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webextensions/webextension5.xml" ContentType="application/vnd.ms-office.webextension+xml"/>
  <Override PartName="/word/webextensions/webextension6.xml" ContentType="application/vnd.ms-office.webextension+xml"/>
  <Override PartName="/word/webextensions/webextension7.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B12AF" w14:textId="2B2CAF89" w:rsidR="006F048F" w:rsidRDefault="008B57DE" w:rsidP="006F048F">
      <w:pPr>
        <w:rPr>
          <w:sz w:val="2"/>
          <w:szCs w:val="2"/>
        </w:rPr>
      </w:pPr>
      <w:bookmarkStart w:id="0" w:name="OLE_LINK1"/>
      <w:bookmarkStart w:id="1" w:name="OLE_LINK2"/>
      <w:r>
        <w:rPr>
          <w:rStyle w:val="Endnotenzeichen"/>
          <w:sz w:val="2"/>
          <w:szCs w:val="2"/>
        </w:rPr>
        <w:endnoteReference w:id="2"/>
      </w:r>
      <w:r w:rsidR="006F048F">
        <w:rPr>
          <w:noProof/>
        </w:rPr>
        <mc:AlternateContent>
          <mc:Choice Requires="wps">
            <w:drawing>
              <wp:anchor distT="0" distB="0" distL="0" distR="0" simplePos="0" relativeHeight="251679744" behindDoc="1" locked="0" layoutInCell="1" allowOverlap="1" wp14:anchorId="6851122C" wp14:editId="09331DD8">
                <wp:simplePos x="0" y="0"/>
                <wp:positionH relativeFrom="margin">
                  <wp:align>center</wp:align>
                </wp:positionH>
                <wp:positionV relativeFrom="page">
                  <wp:posOffset>2045677</wp:posOffset>
                </wp:positionV>
                <wp:extent cx="3938400" cy="622800"/>
                <wp:effectExtent l="0" t="0" r="0" b="0"/>
                <wp:wrapNone/>
                <wp:docPr id="412795868"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8400" cy="622800"/>
                        </a:xfrm>
                        <a:prstGeom prst="rect">
                          <a:avLst/>
                        </a:prstGeom>
                      </wps:spPr>
                      <wps:txbx>
                        <w:txbxContent>
                          <w:p w14:paraId="4DC9C84C" w14:textId="77777777" w:rsidR="006F048F" w:rsidRDefault="006F048F" w:rsidP="006F048F">
                            <w:pPr>
                              <w:pStyle w:val="Textkrper"/>
                              <w:jc w:val="center"/>
                            </w:pPr>
                            <w:r w:rsidRPr="00060283">
                              <w:rPr>
                                <w:color w:val="030303"/>
                                <w:w w:val="105"/>
                              </w:rPr>
                              <w:t>Prognostisches Potential von CD44 als Tumorstammzellmarker für die kombinierte Radiochemotherapie des lokal fortgeschrittenen Kopf-Hals-Plattenepithelkarzinoms</w:t>
                            </w:r>
                          </w:p>
                        </w:txbxContent>
                      </wps:txbx>
                      <wps:bodyPr wrap="square" lIns="0" tIns="0" rIns="0" bIns="0" rtlCol="0" upright="1">
                        <a:spAutoFit/>
                      </wps:bodyPr>
                    </wps:wsp>
                  </a:graphicData>
                </a:graphic>
                <wp14:sizeRelH relativeFrom="margin">
                  <wp14:pctWidth>0</wp14:pctWidth>
                </wp14:sizeRelH>
                <wp14:sizeRelV relativeFrom="margin">
                  <wp14:pctHeight>0</wp14:pctHeight>
                </wp14:sizeRelV>
              </wp:anchor>
            </w:drawing>
          </mc:Choice>
          <mc:Fallback>
            <w:pict>
              <v:shapetype w14:anchorId="6851122C" id="_x0000_t202" coordsize="21600,21600" o:spt="202" path="m,l,21600r21600,l21600,xe">
                <v:stroke joinstyle="miter"/>
                <v:path gradientshapeok="t" o:connecttype="rect"/>
              </v:shapetype>
              <v:shape id="Textbox 2" o:spid="_x0000_s1026" type="#_x0000_t202" style="position:absolute;left:0;text-align:left;margin-left:0;margin-top:161.1pt;width:310.1pt;height:49.05pt;z-index:-25163673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" filled="f" stroked="f">
                <v:textbox style="mso-fit-shape-to-text:t" inset="0,0,0,0">
                  <w:txbxContent>
                    <w:p w14:paraId="4DC9C84C" w14:textId="77777777" w:rsidR="006F048F" w:rsidRDefault="006F048F" w:rsidP="006F048F">
                      <w:pPr>
                        <w:pStyle w:val="Textkrper"/>
                        <w:jc w:val="center"/>
                      </w:pPr>
                      <w:r w:rsidRPr="00060283">
                        <w:rPr>
                          <w:color w:val="030303"/>
                          <w:w w:val="105"/>
                        </w:rPr>
                        <w:t>Prognostisches Potential von CD44 als Tumorstammzellmarker für die kombinierte Radiochemotherapie des lokal fortgeschrittenen Kopf-Hals-Plattenepithelkarzinoms</w:t>
                      </w:r>
                    </w:p>
                  </w:txbxContent>
                </v:textbox>
                <w10:wrap anchorx="margin" anchory="page"/>
              </v:shape>
            </w:pict>
          </mc:Fallback>
        </mc:AlternateContent>
      </w:r>
      <w:r w:rsidR="006F048F">
        <w:rPr>
          <w:noProof/>
        </w:rPr>
        <mc:AlternateContent>
          <mc:Choice Requires="wps">
            <w:drawing>
              <wp:anchor distT="0" distB="0" distL="0" distR="0" simplePos="0" relativeHeight="251678720" behindDoc="1" locked="0" layoutInCell="1" allowOverlap="1" wp14:anchorId="090CA49D" wp14:editId="4513D6E7">
                <wp:simplePos x="0" y="0"/>
                <wp:positionH relativeFrom="page">
                  <wp:posOffset>2081463</wp:posOffset>
                </wp:positionH>
                <wp:positionV relativeFrom="page">
                  <wp:posOffset>866274</wp:posOffset>
                </wp:positionV>
                <wp:extent cx="3489158" cy="546100"/>
                <wp:effectExtent l="0" t="0" r="0" b="0"/>
                <wp:wrapNone/>
                <wp:docPr id="84932997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158" cy="546100"/>
                        </a:xfrm>
                        <a:prstGeom prst="rect">
                          <a:avLst/>
                        </a:prstGeom>
                      </wps:spPr>
                      <wps:txbx>
                        <w:txbxContent>
                          <w:p w14:paraId="50F6341A" w14:textId="77777777" w:rsidR="006F048F" w:rsidRPr="00060283" w:rsidRDefault="006F048F" w:rsidP="006F048F">
                            <w:pPr>
                              <w:pStyle w:val="Textkrper"/>
                              <w:spacing w:before="47"/>
                              <w:ind w:left="54"/>
                              <w:jc w:val="center"/>
                              <w:rPr>
                                <w:color w:val="030303"/>
                                <w:w w:val="105"/>
                              </w:rPr>
                            </w:pPr>
                            <w:r w:rsidRPr="00060283">
                              <w:rPr>
                                <w:color w:val="030303"/>
                                <w:w w:val="105"/>
                              </w:rPr>
                              <w:t xml:space="preserve">Aus der Klinik für Strahlentherapie und Radioonkologie </w:t>
                            </w:r>
                            <w:r w:rsidRPr="00060283">
                              <w:rPr>
                                <w:color w:val="030303"/>
                                <w:w w:val="105"/>
                              </w:rPr>
                              <w:br/>
                              <w:t>Direktor: Frau Prof. Dr. Mechthild Krause</w:t>
                            </w:r>
                          </w:p>
                        </w:txbxContent>
                      </wps:txbx>
                      <wps:bodyPr wrap="square" lIns="0" tIns="0" rIns="0" bIns="0" rtlCol="0" upright="1">
                        <a:spAutoFit/>
                      </wps:bodyPr>
                    </wps:wsp>
                  </a:graphicData>
                </a:graphic>
                <wp14:sizeRelH relativeFrom="margin">
                  <wp14:pctWidth>0</wp14:pctWidth>
                </wp14:sizeRelH>
              </wp:anchor>
            </w:drawing>
          </mc:Choice>
          <mc:Fallback>
            <w:pict>
              <v:shape w14:anchorId="090CA49D" id="Textbox 1" o:spid="_x0000_s1027" type="#_x0000_t202" style="position:absolute;left:0;text-align:left;margin-left:163.9pt;margin-top:68.2pt;width:274.75pt;height:43pt;z-index:-25163776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" filled="f" stroked="f">
                <v:textbox style="mso-fit-shape-to-text:t" inset="0,0,0,0">
                  <w:txbxContent>
                    <w:p w14:paraId="50F6341A" w14:textId="77777777" w:rsidR="006F048F" w:rsidRPr="00060283" w:rsidRDefault="006F048F" w:rsidP="006F048F">
                      <w:pPr>
                        <w:pStyle w:val="Textkrper"/>
                        <w:spacing w:before="47"/>
                        <w:ind w:left="54"/>
                        <w:jc w:val="center"/>
                        <w:rPr>
                          <w:color w:val="030303"/>
                          <w:w w:val="105"/>
                        </w:rPr>
                      </w:pPr>
                      <w:r w:rsidRPr="00060283">
                        <w:rPr>
                          <w:color w:val="030303"/>
                          <w:w w:val="105"/>
                        </w:rPr>
                        <w:t xml:space="preserve">Aus der Klinik für Strahlentherapie und Radioonkologie </w:t>
                      </w:r>
                      <w:r w:rsidRPr="00060283">
                        <w:rPr>
                          <w:color w:val="030303"/>
                          <w:w w:val="105"/>
                        </w:rPr>
                        <w:br/>
                        <w:t>Direktor: Frau Prof. Dr. Mechthild Krause</w:t>
                      </w:r>
                    </w:p>
                  </w:txbxContent>
                </v:textbox>
                <w10:wrap anchorx="page" anchory="page"/>
              </v:shape>
            </w:pict>
          </mc:Fallback>
        </mc:AlternateContent>
      </w:r>
      <w:r w:rsidR="006F048F">
        <w:rPr>
          <w:noProof/>
        </w:rPr>
        <mc:AlternateContent>
          <mc:Choice Requires="wps">
            <w:drawing>
              <wp:anchor distT="0" distB="0" distL="0" distR="0" simplePos="0" relativeHeight="251680768" behindDoc="1" locked="0" layoutInCell="1" allowOverlap="1" wp14:anchorId="25283AC7" wp14:editId="1363BC7D">
                <wp:simplePos x="0" y="0"/>
                <wp:positionH relativeFrom="page">
                  <wp:posOffset>2092991</wp:posOffset>
                </wp:positionH>
                <wp:positionV relativeFrom="page">
                  <wp:posOffset>3921366</wp:posOffset>
                </wp:positionV>
                <wp:extent cx="3409200" cy="604800"/>
                <wp:effectExtent l="0" t="0" r="0" b="0"/>
                <wp:wrapNone/>
                <wp:docPr id="179962468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200" cy="604800"/>
                        </a:xfrm>
                        <a:prstGeom prst="rect">
                          <a:avLst/>
                        </a:prstGeom>
                      </wps:spPr>
                      <wps:txbx>
                        <w:txbxContent>
                          <w:p w14:paraId="107E9F12" w14:textId="77777777" w:rsidR="006F048F" w:rsidRPr="008C0507" w:rsidRDefault="006F048F" w:rsidP="006F048F">
                            <w:pPr>
                              <w:spacing w:before="9"/>
                              <w:ind w:left="74" w:right="74"/>
                              <w:jc w:val="center"/>
                              <w:rPr>
                                <w:b/>
                                <w:spacing w:val="90"/>
                                <w:sz w:val="35"/>
                              </w:rPr>
                            </w:pPr>
                            <w:r w:rsidRPr="008C0507">
                              <w:rPr>
                                <w:b/>
                                <w:spacing w:val="90"/>
                                <w:sz w:val="35"/>
                              </w:rPr>
                              <w:t>Dissertationsschrift</w:t>
                            </w:r>
                          </w:p>
                          <w:p w14:paraId="64A9341A" w14:textId="77777777" w:rsidR="006F048F" w:rsidRDefault="006F048F" w:rsidP="006F048F">
                            <w:pPr>
                              <w:pStyle w:val="Textkrper"/>
                              <w:spacing w:before="277"/>
                              <w:ind w:left="41" w:right="74"/>
                              <w:jc w:val="center"/>
                            </w:pPr>
                            <w:r>
                              <w:rPr>
                                <w:color w:val="030303"/>
                                <w:w w:val="105"/>
                              </w:rPr>
                              <w:t>zur</w:t>
                            </w:r>
                            <w:r>
                              <w:rPr>
                                <w:color w:val="030303"/>
                                <w:spacing w:val="-1"/>
                                <w:w w:val="105"/>
                              </w:rPr>
                              <w:t xml:space="preserve"> </w:t>
                            </w:r>
                            <w:r>
                              <w:rPr>
                                <w:color w:val="030303"/>
                                <w:w w:val="105"/>
                              </w:rPr>
                              <w:t>Erlangung</w:t>
                            </w:r>
                            <w:r>
                              <w:rPr>
                                <w:color w:val="030303"/>
                                <w:spacing w:val="-4"/>
                                <w:w w:val="105"/>
                              </w:rPr>
                              <w:t xml:space="preserve"> </w:t>
                            </w:r>
                            <w:r>
                              <w:rPr>
                                <w:color w:val="030303"/>
                                <w:w w:val="105"/>
                              </w:rPr>
                              <w:t>des</w:t>
                            </w:r>
                            <w:r>
                              <w:rPr>
                                <w:color w:val="030303"/>
                                <w:spacing w:val="-16"/>
                                <w:w w:val="105"/>
                              </w:rPr>
                              <w:t xml:space="preserve"> </w:t>
                            </w:r>
                            <w:r>
                              <w:rPr>
                                <w:color w:val="030303"/>
                                <w:w w:val="105"/>
                              </w:rPr>
                              <w:t>akademischen</w:t>
                            </w:r>
                            <w:r>
                              <w:rPr>
                                <w:color w:val="030303"/>
                                <w:spacing w:val="-6"/>
                                <w:w w:val="105"/>
                              </w:rPr>
                              <w:t xml:space="preserve"> </w:t>
                            </w:r>
                            <w:r>
                              <w:rPr>
                                <w:color w:val="030303"/>
                                <w:spacing w:val="-2"/>
                                <w:w w:val="105"/>
                              </w:rPr>
                              <w:t>Grades</w:t>
                            </w:r>
                          </w:p>
                        </w:txbxContent>
                      </wps:txbx>
                      <wps:bodyPr wrap="square" lIns="0" tIns="0" rIns="0" bIns="0" rtlCol="0">
                        <a:spAutoFit/>
                      </wps:bodyPr>
                    </wps:wsp>
                  </a:graphicData>
                </a:graphic>
                <wp14:sizeRelH relativeFrom="margin">
                  <wp14:pctWidth>0</wp14:pctWidth>
                </wp14:sizeRelH>
                <wp14:sizeRelV relativeFrom="margin">
                  <wp14:pctHeight>0</wp14:pctHeight>
                </wp14:sizeRelV>
              </wp:anchor>
            </w:drawing>
          </mc:Choice>
          <mc:Fallback>
            <w:pict>
              <v:shape w14:anchorId="25283AC7" id="Textbox 3" o:spid="_x0000_s1028" type="#_x0000_t202" style="position:absolute;left:0;text-align:left;margin-left:164.8pt;margin-top:308.75pt;width:268.45pt;height:47.6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" filled="f" stroked="f">
                <v:textbox style="mso-fit-shape-to-text:t" inset="0,0,0,0">
                  <w:txbxContent>
                    <w:p w14:paraId="107E9F12" w14:textId="77777777" w:rsidR="006F048F" w:rsidRPr="008C0507" w:rsidRDefault="006F048F" w:rsidP="006F048F">
                      <w:pPr>
                        <w:spacing w:before="9"/>
                        <w:ind w:left="74" w:right="74"/>
                        <w:jc w:val="center"/>
                        <w:rPr>
                          <w:b/>
                          <w:spacing w:val="90"/>
                          <w:sz w:val="35"/>
                        </w:rPr>
                      </w:pPr>
                      <w:r w:rsidRPr="008C0507">
                        <w:rPr>
                          <w:b/>
                          <w:spacing w:val="90"/>
                          <w:sz w:val="35"/>
                        </w:rPr>
                        <w:t>Dissertationsschrift</w:t>
                      </w:r>
                    </w:p>
                    <w:p w14:paraId="64A9341A" w14:textId="77777777" w:rsidR="006F048F" w:rsidRDefault="006F048F" w:rsidP="006F048F">
                      <w:pPr>
                        <w:pStyle w:val="Textkrper"/>
                        <w:spacing w:before="277"/>
                        <w:ind w:left="41" w:right="74"/>
                        <w:jc w:val="center"/>
                      </w:pPr>
                      <w:r>
                        <w:rPr>
                          <w:color w:val="030303"/>
                          <w:w w:val="105"/>
                        </w:rPr>
                        <w:t>zur</w:t>
                      </w:r>
                      <w:r>
                        <w:rPr>
                          <w:color w:val="030303"/>
                          <w:spacing w:val="-1"/>
                          <w:w w:val="105"/>
                        </w:rPr>
                        <w:t xml:space="preserve"> </w:t>
                      </w:r>
                      <w:r>
                        <w:rPr>
                          <w:color w:val="030303"/>
                          <w:w w:val="105"/>
                        </w:rPr>
                        <w:t>Erlangung</w:t>
                      </w:r>
                      <w:r>
                        <w:rPr>
                          <w:color w:val="030303"/>
                          <w:spacing w:val="-4"/>
                          <w:w w:val="105"/>
                        </w:rPr>
                        <w:t xml:space="preserve"> </w:t>
                      </w:r>
                      <w:r>
                        <w:rPr>
                          <w:color w:val="030303"/>
                          <w:w w:val="105"/>
                        </w:rPr>
                        <w:t>des</w:t>
                      </w:r>
                      <w:r>
                        <w:rPr>
                          <w:color w:val="030303"/>
                          <w:spacing w:val="-16"/>
                          <w:w w:val="105"/>
                        </w:rPr>
                        <w:t xml:space="preserve"> </w:t>
                      </w:r>
                      <w:r>
                        <w:rPr>
                          <w:color w:val="030303"/>
                          <w:w w:val="105"/>
                        </w:rPr>
                        <w:t>akademischen</w:t>
                      </w:r>
                      <w:r>
                        <w:rPr>
                          <w:color w:val="030303"/>
                          <w:spacing w:val="-6"/>
                          <w:w w:val="105"/>
                        </w:rPr>
                        <w:t xml:space="preserve"> </w:t>
                      </w:r>
                      <w:r>
                        <w:rPr>
                          <w:color w:val="030303"/>
                          <w:spacing w:val="-2"/>
                          <w:w w:val="105"/>
                        </w:rPr>
                        <w:t>Grades</w:t>
                      </w:r>
                    </w:p>
                  </w:txbxContent>
                </v:textbox>
                <w10:wrap anchorx="page" anchory="page"/>
              </v:shape>
            </w:pict>
          </mc:Fallback>
        </mc:AlternateContent>
      </w:r>
      <w:r w:rsidR="006F048F">
        <w:rPr>
          <w:noProof/>
        </w:rPr>
        <mc:AlternateContent>
          <mc:Choice Requires="wps">
            <w:drawing>
              <wp:anchor distT="0" distB="0" distL="0" distR="0" simplePos="0" relativeHeight="251681792" behindDoc="1" locked="0" layoutInCell="1" allowOverlap="1" wp14:anchorId="7442B2DE" wp14:editId="3DD4D5FA">
                <wp:simplePos x="0" y="0"/>
                <wp:positionH relativeFrom="page">
                  <wp:posOffset>3189730</wp:posOffset>
                </wp:positionH>
                <wp:positionV relativeFrom="page">
                  <wp:posOffset>4666057</wp:posOffset>
                </wp:positionV>
                <wp:extent cx="1200785" cy="175260"/>
                <wp:effectExtent l="0" t="0" r="0" b="0"/>
                <wp:wrapNone/>
                <wp:docPr id="79103016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785" cy="175260"/>
                        </a:xfrm>
                        <a:prstGeom prst="rect">
                          <a:avLst/>
                        </a:prstGeom>
                      </wps:spPr>
                      <wps:txbx>
                        <w:txbxContent>
                          <w:p w14:paraId="309EECD5" w14:textId="77777777" w:rsidR="006F048F" w:rsidRDefault="006F048F" w:rsidP="006F048F">
                            <w:pPr>
                              <w:pStyle w:val="Textkrper"/>
                            </w:pPr>
                            <w:r>
                              <w:rPr>
                                <w:color w:val="030303"/>
                                <w:w w:val="105"/>
                              </w:rPr>
                              <w:t>Doktor</w:t>
                            </w:r>
                            <w:r>
                              <w:rPr>
                                <w:color w:val="030303"/>
                                <w:spacing w:val="-7"/>
                                <w:w w:val="105"/>
                              </w:rPr>
                              <w:t xml:space="preserve"> </w:t>
                            </w:r>
                            <w:r>
                              <w:rPr>
                                <w:color w:val="030303"/>
                                <w:w w:val="105"/>
                              </w:rPr>
                              <w:t>der</w:t>
                            </w:r>
                            <w:r>
                              <w:rPr>
                                <w:color w:val="030303"/>
                                <w:spacing w:val="-4"/>
                                <w:w w:val="105"/>
                              </w:rPr>
                              <w:t xml:space="preserve"> </w:t>
                            </w:r>
                            <w:r>
                              <w:rPr>
                                <w:color w:val="030303"/>
                                <w:spacing w:val="-2"/>
                                <w:w w:val="105"/>
                              </w:rPr>
                              <w:t>Medizin</w:t>
                            </w:r>
                          </w:p>
                        </w:txbxContent>
                      </wps:txbx>
                      <wps:bodyPr wrap="square" lIns="0" tIns="0" rIns="0" bIns="0" rtlCol="0">
                        <a:noAutofit/>
                      </wps:bodyPr>
                    </wps:wsp>
                  </a:graphicData>
                </a:graphic>
              </wp:anchor>
            </w:drawing>
          </mc:Choice>
          <mc:Fallback>
            <w:pict>
              <v:shape w14:anchorId="7442B2DE" id="Textbox 4" o:spid="_x0000_s1029" type="#_x0000_t202" style="position:absolute;left:0;text-align:left;margin-left:251.15pt;margin-top:367.4pt;width:94.55pt;height:13.8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" filled="f" stroked="f">
                <v:textbox inset="0,0,0,0">
                  <w:txbxContent>
                    <w:p w14:paraId="309EECD5" w14:textId="77777777" w:rsidR="006F048F" w:rsidRDefault="006F048F" w:rsidP="006F048F">
                      <w:pPr>
                        <w:pStyle w:val="Textkrper"/>
                      </w:pPr>
                      <w:r>
                        <w:rPr>
                          <w:color w:val="030303"/>
                          <w:w w:val="105"/>
                        </w:rPr>
                        <w:t>Doktor</w:t>
                      </w:r>
                      <w:r>
                        <w:rPr>
                          <w:color w:val="030303"/>
                          <w:spacing w:val="-7"/>
                          <w:w w:val="105"/>
                        </w:rPr>
                        <w:t xml:space="preserve"> </w:t>
                      </w:r>
                      <w:r>
                        <w:rPr>
                          <w:color w:val="030303"/>
                          <w:w w:val="105"/>
                        </w:rPr>
                        <w:t>der</w:t>
                      </w:r>
                      <w:r>
                        <w:rPr>
                          <w:color w:val="030303"/>
                          <w:spacing w:val="-4"/>
                          <w:w w:val="105"/>
                        </w:rPr>
                        <w:t xml:space="preserve"> </w:t>
                      </w:r>
                      <w:r>
                        <w:rPr>
                          <w:color w:val="030303"/>
                          <w:spacing w:val="-2"/>
                          <w:w w:val="105"/>
                        </w:rPr>
                        <w:t>Medizin</w:t>
                      </w:r>
                    </w:p>
                  </w:txbxContent>
                </v:textbox>
                <w10:wrap anchorx="page" anchory="page"/>
              </v:shape>
            </w:pict>
          </mc:Fallback>
        </mc:AlternateContent>
      </w:r>
      <w:r w:rsidR="006F048F">
        <w:rPr>
          <w:noProof/>
        </w:rPr>
        <mc:AlternateContent>
          <mc:Choice Requires="wps">
            <w:drawing>
              <wp:anchor distT="0" distB="0" distL="0" distR="0" simplePos="0" relativeHeight="251682816" behindDoc="1" locked="0" layoutInCell="1" allowOverlap="1" wp14:anchorId="29219DE1" wp14:editId="09B29436">
                <wp:simplePos x="0" y="0"/>
                <wp:positionH relativeFrom="page">
                  <wp:posOffset>2896414</wp:posOffset>
                </wp:positionH>
                <wp:positionV relativeFrom="page">
                  <wp:posOffset>4977483</wp:posOffset>
                </wp:positionV>
                <wp:extent cx="1779270" cy="175260"/>
                <wp:effectExtent l="0" t="0" r="0" b="0"/>
                <wp:wrapNone/>
                <wp:docPr id="802134174"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175260"/>
                        </a:xfrm>
                        <a:prstGeom prst="rect">
                          <a:avLst/>
                        </a:prstGeom>
                      </wps:spPr>
                      <wps:txbx>
                        <w:txbxContent>
                          <w:p w14:paraId="356BE993" w14:textId="77777777" w:rsidR="006F048F" w:rsidRDefault="006F048F" w:rsidP="006F048F">
                            <w:pPr>
                              <w:pStyle w:val="Textkrper"/>
                            </w:pPr>
                            <w:proofErr w:type="spellStart"/>
                            <w:r>
                              <w:rPr>
                                <w:color w:val="030303"/>
                                <w:w w:val="105"/>
                              </w:rPr>
                              <w:t>Doctor</w:t>
                            </w:r>
                            <w:proofErr w:type="spellEnd"/>
                            <w:r>
                              <w:rPr>
                                <w:color w:val="030303"/>
                                <w:spacing w:val="-2"/>
                                <w:w w:val="105"/>
                              </w:rPr>
                              <w:t xml:space="preserve"> </w:t>
                            </w:r>
                            <w:proofErr w:type="spellStart"/>
                            <w:r>
                              <w:rPr>
                                <w:color w:val="030303"/>
                                <w:w w:val="105"/>
                              </w:rPr>
                              <w:t>medicinae</w:t>
                            </w:r>
                            <w:proofErr w:type="spellEnd"/>
                            <w:r>
                              <w:rPr>
                                <w:color w:val="030303"/>
                                <w:spacing w:val="-1"/>
                                <w:w w:val="105"/>
                              </w:rPr>
                              <w:t xml:space="preserve"> </w:t>
                            </w:r>
                            <w:r>
                              <w:rPr>
                                <w:color w:val="030303"/>
                                <w:w w:val="105"/>
                              </w:rPr>
                              <w:t>(Dr.</w:t>
                            </w:r>
                            <w:r>
                              <w:rPr>
                                <w:color w:val="030303"/>
                                <w:spacing w:val="-15"/>
                                <w:w w:val="105"/>
                              </w:rPr>
                              <w:t xml:space="preserve"> </w:t>
                            </w:r>
                            <w:r>
                              <w:rPr>
                                <w:color w:val="030303"/>
                                <w:spacing w:val="-4"/>
                                <w:w w:val="105"/>
                              </w:rPr>
                              <w:t>med.)</w:t>
                            </w:r>
                          </w:p>
                        </w:txbxContent>
                      </wps:txbx>
                      <wps:bodyPr wrap="square" lIns="0" tIns="0" rIns="0" bIns="0" rtlCol="0">
                        <a:noAutofit/>
                      </wps:bodyPr>
                    </wps:wsp>
                  </a:graphicData>
                </a:graphic>
              </wp:anchor>
            </w:drawing>
          </mc:Choice>
          <mc:Fallback>
            <w:pict>
              <v:shape w14:anchorId="29219DE1" id="Textbox 5" o:spid="_x0000_s1030" type="#_x0000_t202" style="position:absolute;left:0;text-align:left;margin-left:228.05pt;margin-top:391.95pt;width:140.1pt;height:13.8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" filled="f" stroked="f">
                <v:textbox inset="0,0,0,0">
                  <w:txbxContent>
                    <w:p w14:paraId="356BE993" w14:textId="77777777" w:rsidR="006F048F" w:rsidRDefault="006F048F" w:rsidP="006F048F">
                      <w:pPr>
                        <w:pStyle w:val="Textkrper"/>
                      </w:pPr>
                      <w:proofErr w:type="spellStart"/>
                      <w:r>
                        <w:rPr>
                          <w:color w:val="030303"/>
                          <w:w w:val="105"/>
                        </w:rPr>
                        <w:t>Doctor</w:t>
                      </w:r>
                      <w:proofErr w:type="spellEnd"/>
                      <w:r>
                        <w:rPr>
                          <w:color w:val="030303"/>
                          <w:spacing w:val="-2"/>
                          <w:w w:val="105"/>
                        </w:rPr>
                        <w:t xml:space="preserve"> </w:t>
                      </w:r>
                      <w:proofErr w:type="spellStart"/>
                      <w:r>
                        <w:rPr>
                          <w:color w:val="030303"/>
                          <w:w w:val="105"/>
                        </w:rPr>
                        <w:t>medicinae</w:t>
                      </w:r>
                      <w:proofErr w:type="spellEnd"/>
                      <w:r>
                        <w:rPr>
                          <w:color w:val="030303"/>
                          <w:spacing w:val="-1"/>
                          <w:w w:val="105"/>
                        </w:rPr>
                        <w:t xml:space="preserve"> </w:t>
                      </w:r>
                      <w:r>
                        <w:rPr>
                          <w:color w:val="030303"/>
                          <w:w w:val="105"/>
                        </w:rPr>
                        <w:t>(Dr.</w:t>
                      </w:r>
                      <w:r>
                        <w:rPr>
                          <w:color w:val="030303"/>
                          <w:spacing w:val="-15"/>
                          <w:w w:val="105"/>
                        </w:rPr>
                        <w:t xml:space="preserve"> </w:t>
                      </w:r>
                      <w:r>
                        <w:rPr>
                          <w:color w:val="030303"/>
                          <w:spacing w:val="-4"/>
                          <w:w w:val="105"/>
                        </w:rPr>
                        <w:t>med.)</w:t>
                      </w:r>
                    </w:p>
                  </w:txbxContent>
                </v:textbox>
                <w10:wrap anchorx="page" anchory="page"/>
              </v:shape>
            </w:pict>
          </mc:Fallback>
        </mc:AlternateContent>
      </w:r>
      <w:r w:rsidR="006F048F">
        <w:rPr>
          <w:noProof/>
        </w:rPr>
        <mc:AlternateContent>
          <mc:Choice Requires="wps">
            <w:drawing>
              <wp:anchor distT="0" distB="0" distL="0" distR="0" simplePos="0" relativeHeight="251683840" behindDoc="1" locked="0" layoutInCell="1" allowOverlap="1" wp14:anchorId="22EC9C6F" wp14:editId="6A3A065E">
                <wp:simplePos x="0" y="0"/>
                <wp:positionH relativeFrom="page">
                  <wp:posOffset>3487151</wp:posOffset>
                </wp:positionH>
                <wp:positionV relativeFrom="page">
                  <wp:posOffset>5288911</wp:posOffset>
                </wp:positionV>
                <wp:extent cx="595630" cy="175260"/>
                <wp:effectExtent l="0" t="0" r="0" b="0"/>
                <wp:wrapNone/>
                <wp:docPr id="1882947605"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630" cy="175260"/>
                        </a:xfrm>
                        <a:prstGeom prst="rect">
                          <a:avLst/>
                        </a:prstGeom>
                      </wps:spPr>
                      <wps:txbx>
                        <w:txbxContent>
                          <w:p w14:paraId="18BE6080" w14:textId="77777777" w:rsidR="006F048F" w:rsidRDefault="006F048F" w:rsidP="006F048F">
                            <w:pPr>
                              <w:pStyle w:val="Textkrper"/>
                            </w:pPr>
                            <w:r>
                              <w:rPr>
                                <w:color w:val="030303"/>
                                <w:spacing w:val="-2"/>
                                <w:w w:val="105"/>
                              </w:rPr>
                              <w:t>vorgelegt</w:t>
                            </w:r>
                          </w:p>
                        </w:txbxContent>
                      </wps:txbx>
                      <wps:bodyPr wrap="square" lIns="0" tIns="0" rIns="0" bIns="0" rtlCol="0">
                        <a:noAutofit/>
                      </wps:bodyPr>
                    </wps:wsp>
                  </a:graphicData>
                </a:graphic>
              </wp:anchor>
            </w:drawing>
          </mc:Choice>
          <mc:Fallback>
            <w:pict>
              <v:shape w14:anchorId="22EC9C6F" id="Textbox 6" o:spid="_x0000_s1031" type="#_x0000_t202" style="position:absolute;left:0;text-align:left;margin-left:274.6pt;margin-top:416.45pt;width:46.9pt;height:13.8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" filled="f" stroked="f">
                <v:textbox inset="0,0,0,0">
                  <w:txbxContent>
                    <w:p w14:paraId="18BE6080" w14:textId="77777777" w:rsidR="006F048F" w:rsidRDefault="006F048F" w:rsidP="006F048F">
                      <w:pPr>
                        <w:pStyle w:val="Textkrper"/>
                      </w:pPr>
                      <w:r>
                        <w:rPr>
                          <w:color w:val="030303"/>
                          <w:spacing w:val="-2"/>
                          <w:w w:val="105"/>
                        </w:rPr>
                        <w:t>vorgelegt</w:t>
                      </w:r>
                    </w:p>
                  </w:txbxContent>
                </v:textbox>
                <w10:wrap anchorx="page" anchory="page"/>
              </v:shape>
            </w:pict>
          </mc:Fallback>
        </mc:AlternateContent>
      </w:r>
      <w:r w:rsidR="006F048F">
        <w:rPr>
          <w:noProof/>
        </w:rPr>
        <mc:AlternateContent>
          <mc:Choice Requires="wps">
            <w:drawing>
              <wp:anchor distT="0" distB="0" distL="0" distR="0" simplePos="0" relativeHeight="251684864" behindDoc="1" locked="0" layoutInCell="1" allowOverlap="1" wp14:anchorId="4F133F41" wp14:editId="306E8B2A">
                <wp:simplePos x="0" y="0"/>
                <wp:positionH relativeFrom="page">
                  <wp:posOffset>2343162</wp:posOffset>
                </wp:positionH>
                <wp:positionV relativeFrom="page">
                  <wp:posOffset>5600338</wp:posOffset>
                </wp:positionV>
                <wp:extent cx="2884805" cy="175260"/>
                <wp:effectExtent l="0" t="0" r="0" b="0"/>
                <wp:wrapNone/>
                <wp:docPr id="200579291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4805" cy="175260"/>
                        </a:xfrm>
                        <a:prstGeom prst="rect">
                          <a:avLst/>
                        </a:prstGeom>
                      </wps:spPr>
                      <wps:txbx>
                        <w:txbxContent>
                          <w:p w14:paraId="4B21CA05" w14:textId="77777777" w:rsidR="006F048F" w:rsidRDefault="006F048F" w:rsidP="006F048F">
                            <w:pPr>
                              <w:pStyle w:val="Textkrper"/>
                            </w:pPr>
                            <w:r>
                              <w:rPr>
                                <w:color w:val="030303"/>
                                <w:w w:val="105"/>
                              </w:rPr>
                              <w:t>der</w:t>
                            </w:r>
                            <w:r>
                              <w:rPr>
                                <w:color w:val="030303"/>
                                <w:spacing w:val="-8"/>
                                <w:w w:val="105"/>
                              </w:rPr>
                              <w:t xml:space="preserve"> </w:t>
                            </w:r>
                            <w:r>
                              <w:rPr>
                                <w:color w:val="030303"/>
                                <w:w w:val="105"/>
                              </w:rPr>
                              <w:t>Medizinischen</w:t>
                            </w:r>
                            <w:r>
                              <w:rPr>
                                <w:color w:val="030303"/>
                                <w:spacing w:val="12"/>
                                <w:w w:val="105"/>
                              </w:rPr>
                              <w:t xml:space="preserve"> </w:t>
                            </w:r>
                            <w:r>
                              <w:rPr>
                                <w:color w:val="030303"/>
                                <w:w w:val="105"/>
                              </w:rPr>
                              <w:t>Fakultät</w:t>
                            </w:r>
                            <w:r>
                              <w:rPr>
                                <w:color w:val="030303"/>
                                <w:spacing w:val="-5"/>
                                <w:w w:val="105"/>
                              </w:rPr>
                              <w:t xml:space="preserve"> </w:t>
                            </w:r>
                            <w:r>
                              <w:rPr>
                                <w:color w:val="030303"/>
                                <w:w w:val="105"/>
                              </w:rPr>
                              <w:t>Carl</w:t>
                            </w:r>
                            <w:r>
                              <w:rPr>
                                <w:color w:val="030303"/>
                                <w:spacing w:val="-25"/>
                                <w:w w:val="105"/>
                              </w:rPr>
                              <w:t xml:space="preserve"> </w:t>
                            </w:r>
                            <w:r>
                              <w:rPr>
                                <w:color w:val="030303"/>
                                <w:w w:val="105"/>
                              </w:rPr>
                              <w:t>Gustav</w:t>
                            </w:r>
                            <w:r>
                              <w:rPr>
                                <w:color w:val="030303"/>
                                <w:spacing w:val="-7"/>
                                <w:w w:val="105"/>
                              </w:rPr>
                              <w:t xml:space="preserve"> </w:t>
                            </w:r>
                            <w:r>
                              <w:rPr>
                                <w:color w:val="030303"/>
                                <w:spacing w:val="-2"/>
                                <w:w w:val="105"/>
                              </w:rPr>
                              <w:t>Carus</w:t>
                            </w:r>
                          </w:p>
                        </w:txbxContent>
                      </wps:txbx>
                      <wps:bodyPr wrap="square" lIns="0" tIns="0" rIns="0" bIns="0" rtlCol="0">
                        <a:noAutofit/>
                      </wps:bodyPr>
                    </wps:wsp>
                  </a:graphicData>
                </a:graphic>
              </wp:anchor>
            </w:drawing>
          </mc:Choice>
          <mc:Fallback>
            <w:pict>
              <v:shape w14:anchorId="4F133F41" id="Textbox 7" o:spid="_x0000_s1032" type="#_x0000_t202" style="position:absolute;left:0;text-align:left;margin-left:184.5pt;margin-top:440.95pt;width:227.15pt;height:13.8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" filled="f" stroked="f">
                <v:textbox inset="0,0,0,0">
                  <w:txbxContent>
                    <w:p w14:paraId="4B21CA05" w14:textId="77777777" w:rsidR="006F048F" w:rsidRDefault="006F048F" w:rsidP="006F048F">
                      <w:pPr>
                        <w:pStyle w:val="Textkrper"/>
                      </w:pPr>
                      <w:r>
                        <w:rPr>
                          <w:color w:val="030303"/>
                          <w:w w:val="105"/>
                        </w:rPr>
                        <w:t>der</w:t>
                      </w:r>
                      <w:r>
                        <w:rPr>
                          <w:color w:val="030303"/>
                          <w:spacing w:val="-8"/>
                          <w:w w:val="105"/>
                        </w:rPr>
                        <w:t xml:space="preserve"> </w:t>
                      </w:r>
                      <w:r>
                        <w:rPr>
                          <w:color w:val="030303"/>
                          <w:w w:val="105"/>
                        </w:rPr>
                        <w:t>Medizinischen</w:t>
                      </w:r>
                      <w:r>
                        <w:rPr>
                          <w:color w:val="030303"/>
                          <w:spacing w:val="12"/>
                          <w:w w:val="105"/>
                        </w:rPr>
                        <w:t xml:space="preserve"> </w:t>
                      </w:r>
                      <w:r>
                        <w:rPr>
                          <w:color w:val="030303"/>
                          <w:w w:val="105"/>
                        </w:rPr>
                        <w:t>Fakultät</w:t>
                      </w:r>
                      <w:r>
                        <w:rPr>
                          <w:color w:val="030303"/>
                          <w:spacing w:val="-5"/>
                          <w:w w:val="105"/>
                        </w:rPr>
                        <w:t xml:space="preserve"> </w:t>
                      </w:r>
                      <w:r>
                        <w:rPr>
                          <w:color w:val="030303"/>
                          <w:w w:val="105"/>
                        </w:rPr>
                        <w:t>Carl</w:t>
                      </w:r>
                      <w:r>
                        <w:rPr>
                          <w:color w:val="030303"/>
                          <w:spacing w:val="-25"/>
                          <w:w w:val="105"/>
                        </w:rPr>
                        <w:t xml:space="preserve"> </w:t>
                      </w:r>
                      <w:r>
                        <w:rPr>
                          <w:color w:val="030303"/>
                          <w:w w:val="105"/>
                        </w:rPr>
                        <w:t>Gustav</w:t>
                      </w:r>
                      <w:r>
                        <w:rPr>
                          <w:color w:val="030303"/>
                          <w:spacing w:val="-7"/>
                          <w:w w:val="105"/>
                        </w:rPr>
                        <w:t xml:space="preserve"> </w:t>
                      </w:r>
                      <w:r>
                        <w:rPr>
                          <w:color w:val="030303"/>
                          <w:spacing w:val="-2"/>
                          <w:w w:val="105"/>
                        </w:rPr>
                        <w:t>Carus</w:t>
                      </w:r>
                    </w:p>
                  </w:txbxContent>
                </v:textbox>
                <w10:wrap anchorx="page" anchory="page"/>
              </v:shape>
            </w:pict>
          </mc:Fallback>
        </mc:AlternateContent>
      </w:r>
      <w:r w:rsidR="006F048F">
        <w:rPr>
          <w:noProof/>
        </w:rPr>
        <mc:AlternateContent>
          <mc:Choice Requires="wps">
            <w:drawing>
              <wp:anchor distT="0" distB="0" distL="0" distR="0" simplePos="0" relativeHeight="251685888" behindDoc="1" locked="0" layoutInCell="1" allowOverlap="1" wp14:anchorId="1BDD88FA" wp14:editId="1CDC9393">
                <wp:simplePos x="0" y="0"/>
                <wp:positionH relativeFrom="page">
                  <wp:posOffset>2622729</wp:posOffset>
                </wp:positionH>
                <wp:positionV relativeFrom="page">
                  <wp:posOffset>5911766</wp:posOffset>
                </wp:positionV>
                <wp:extent cx="2332355" cy="175260"/>
                <wp:effectExtent l="0" t="0" r="0" b="0"/>
                <wp:wrapNone/>
                <wp:docPr id="662111455"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2355" cy="175260"/>
                        </a:xfrm>
                        <a:prstGeom prst="rect">
                          <a:avLst/>
                        </a:prstGeom>
                      </wps:spPr>
                      <wps:txbx>
                        <w:txbxContent>
                          <w:p w14:paraId="18035E64" w14:textId="77777777" w:rsidR="006F048F" w:rsidRDefault="006F048F" w:rsidP="006F048F">
                            <w:pPr>
                              <w:pStyle w:val="Textkrper"/>
                            </w:pPr>
                            <w:r>
                              <w:rPr>
                                <w:color w:val="030303"/>
                                <w:w w:val="105"/>
                              </w:rPr>
                              <w:t>der</w:t>
                            </w:r>
                            <w:r>
                              <w:rPr>
                                <w:color w:val="030303"/>
                                <w:spacing w:val="-16"/>
                                <w:w w:val="105"/>
                              </w:rPr>
                              <w:t xml:space="preserve"> </w:t>
                            </w:r>
                            <w:r>
                              <w:rPr>
                                <w:color w:val="030303"/>
                                <w:w w:val="105"/>
                              </w:rPr>
                              <w:t>Technischen</w:t>
                            </w:r>
                            <w:r>
                              <w:rPr>
                                <w:color w:val="030303"/>
                                <w:spacing w:val="-3"/>
                                <w:w w:val="105"/>
                              </w:rPr>
                              <w:t xml:space="preserve"> </w:t>
                            </w:r>
                            <w:r>
                              <w:rPr>
                                <w:color w:val="030303"/>
                                <w:w w:val="105"/>
                              </w:rPr>
                              <w:t>Universität</w:t>
                            </w:r>
                            <w:r>
                              <w:rPr>
                                <w:color w:val="030303"/>
                                <w:spacing w:val="-3"/>
                                <w:w w:val="105"/>
                              </w:rPr>
                              <w:t xml:space="preserve"> </w:t>
                            </w:r>
                            <w:r>
                              <w:rPr>
                                <w:color w:val="030303"/>
                                <w:spacing w:val="-2"/>
                                <w:w w:val="105"/>
                              </w:rPr>
                              <w:t>Dresden</w:t>
                            </w:r>
                          </w:p>
                        </w:txbxContent>
                      </wps:txbx>
                      <wps:bodyPr wrap="square" lIns="0" tIns="0" rIns="0" bIns="0" rtlCol="0">
                        <a:noAutofit/>
                      </wps:bodyPr>
                    </wps:wsp>
                  </a:graphicData>
                </a:graphic>
              </wp:anchor>
            </w:drawing>
          </mc:Choice>
          <mc:Fallback>
            <w:pict>
              <v:shape w14:anchorId="1BDD88FA" id="Textbox 8" o:spid="_x0000_s1033" type="#_x0000_t202" style="position:absolute;left:0;text-align:left;margin-left:206.5pt;margin-top:465.5pt;width:183.65pt;height:13.8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" filled="f" stroked="f">
                <v:textbox inset="0,0,0,0">
                  <w:txbxContent>
                    <w:p w14:paraId="18035E64" w14:textId="77777777" w:rsidR="006F048F" w:rsidRDefault="006F048F" w:rsidP="006F048F">
                      <w:pPr>
                        <w:pStyle w:val="Textkrper"/>
                      </w:pPr>
                      <w:r>
                        <w:rPr>
                          <w:color w:val="030303"/>
                          <w:w w:val="105"/>
                        </w:rPr>
                        <w:t>der</w:t>
                      </w:r>
                      <w:r>
                        <w:rPr>
                          <w:color w:val="030303"/>
                          <w:spacing w:val="-16"/>
                          <w:w w:val="105"/>
                        </w:rPr>
                        <w:t xml:space="preserve"> </w:t>
                      </w:r>
                      <w:r>
                        <w:rPr>
                          <w:color w:val="030303"/>
                          <w:w w:val="105"/>
                        </w:rPr>
                        <w:t>Technischen</w:t>
                      </w:r>
                      <w:r>
                        <w:rPr>
                          <w:color w:val="030303"/>
                          <w:spacing w:val="-3"/>
                          <w:w w:val="105"/>
                        </w:rPr>
                        <w:t xml:space="preserve"> </w:t>
                      </w:r>
                      <w:r>
                        <w:rPr>
                          <w:color w:val="030303"/>
                          <w:w w:val="105"/>
                        </w:rPr>
                        <w:t>Universität</w:t>
                      </w:r>
                      <w:r>
                        <w:rPr>
                          <w:color w:val="030303"/>
                          <w:spacing w:val="-3"/>
                          <w:w w:val="105"/>
                        </w:rPr>
                        <w:t xml:space="preserve"> </w:t>
                      </w:r>
                      <w:r>
                        <w:rPr>
                          <w:color w:val="030303"/>
                          <w:spacing w:val="-2"/>
                          <w:w w:val="105"/>
                        </w:rPr>
                        <w:t>Dresden</w:t>
                      </w:r>
                    </w:p>
                  </w:txbxContent>
                </v:textbox>
                <w10:wrap anchorx="page" anchory="page"/>
              </v:shape>
            </w:pict>
          </mc:Fallback>
        </mc:AlternateContent>
      </w:r>
      <w:r w:rsidR="006F048F">
        <w:rPr>
          <w:noProof/>
        </w:rPr>
        <mc:AlternateContent>
          <mc:Choice Requires="wps">
            <w:drawing>
              <wp:anchor distT="0" distB="0" distL="0" distR="0" simplePos="0" relativeHeight="251686912" behindDoc="1" locked="0" layoutInCell="1" allowOverlap="1" wp14:anchorId="55161D15" wp14:editId="4C668EB0">
                <wp:simplePos x="0" y="0"/>
                <wp:positionH relativeFrom="page">
                  <wp:posOffset>3661307</wp:posOffset>
                </wp:positionH>
                <wp:positionV relativeFrom="page">
                  <wp:posOffset>6534622</wp:posOffset>
                </wp:positionV>
                <wp:extent cx="251460" cy="175260"/>
                <wp:effectExtent l="0" t="0" r="0" b="0"/>
                <wp:wrapNone/>
                <wp:docPr id="55065036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75260"/>
                        </a:xfrm>
                        <a:prstGeom prst="rect">
                          <a:avLst/>
                        </a:prstGeom>
                      </wps:spPr>
                      <wps:txbx>
                        <w:txbxContent>
                          <w:p w14:paraId="085BFBBA" w14:textId="77777777" w:rsidR="006F048F" w:rsidRDefault="006F048F" w:rsidP="006F048F">
                            <w:pPr>
                              <w:pStyle w:val="Textkrper"/>
                            </w:pPr>
                            <w:r>
                              <w:rPr>
                                <w:color w:val="030303"/>
                                <w:spacing w:val="-5"/>
                                <w:w w:val="105"/>
                              </w:rPr>
                              <w:t>von</w:t>
                            </w:r>
                          </w:p>
                        </w:txbxContent>
                      </wps:txbx>
                      <wps:bodyPr wrap="square" lIns="0" tIns="0" rIns="0" bIns="0" rtlCol="0">
                        <a:noAutofit/>
                      </wps:bodyPr>
                    </wps:wsp>
                  </a:graphicData>
                </a:graphic>
              </wp:anchor>
            </w:drawing>
          </mc:Choice>
          <mc:Fallback>
            <w:pict>
              <v:shape w14:anchorId="55161D15" id="Textbox 9" o:spid="_x0000_s1034" type="#_x0000_t202" style="position:absolute;left:0;text-align:left;margin-left:288.3pt;margin-top:514.55pt;width:19.8pt;height:13.8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" filled="f" stroked="f">
                <v:textbox inset="0,0,0,0">
                  <w:txbxContent>
                    <w:p w14:paraId="085BFBBA" w14:textId="77777777" w:rsidR="006F048F" w:rsidRDefault="006F048F" w:rsidP="006F048F">
                      <w:pPr>
                        <w:pStyle w:val="Textkrper"/>
                      </w:pPr>
                      <w:r>
                        <w:rPr>
                          <w:color w:val="030303"/>
                          <w:spacing w:val="-5"/>
                          <w:w w:val="105"/>
                        </w:rPr>
                        <w:t>von</w:t>
                      </w:r>
                    </w:p>
                  </w:txbxContent>
                </v:textbox>
                <w10:wrap anchorx="page" anchory="page"/>
              </v:shape>
            </w:pict>
          </mc:Fallback>
        </mc:AlternateContent>
      </w:r>
      <w:r w:rsidR="006F048F">
        <w:rPr>
          <w:noProof/>
        </w:rPr>
        <mc:AlternateContent>
          <mc:Choice Requires="wps">
            <w:drawing>
              <wp:anchor distT="0" distB="0" distL="0" distR="0" simplePos="0" relativeHeight="251687936" behindDoc="1" locked="0" layoutInCell="1" allowOverlap="1" wp14:anchorId="157CCA89" wp14:editId="6F72A004">
                <wp:simplePos x="0" y="0"/>
                <wp:positionH relativeFrom="page">
                  <wp:posOffset>2431081</wp:posOffset>
                </wp:positionH>
                <wp:positionV relativeFrom="page">
                  <wp:posOffset>7093359</wp:posOffset>
                </wp:positionV>
                <wp:extent cx="2696845" cy="175260"/>
                <wp:effectExtent l="0" t="0" r="0" b="0"/>
                <wp:wrapNone/>
                <wp:docPr id="1182854565"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6845" cy="175260"/>
                        </a:xfrm>
                        <a:prstGeom prst="rect">
                          <a:avLst/>
                        </a:prstGeom>
                      </wps:spPr>
                      <wps:txbx>
                        <w:txbxContent>
                          <w:p w14:paraId="3EDF989B" w14:textId="77777777" w:rsidR="006F048F" w:rsidRDefault="006F048F" w:rsidP="006F048F">
                            <w:pPr>
                              <w:pStyle w:val="Textkrper"/>
                              <w:jc w:val="center"/>
                            </w:pPr>
                            <w:r>
                              <w:rPr>
                                <w:color w:val="030303"/>
                                <w:w w:val="105"/>
                              </w:rPr>
                              <w:t xml:space="preserve">Martin </w:t>
                            </w:r>
                            <w:proofErr w:type="spellStart"/>
                            <w:r>
                              <w:rPr>
                                <w:color w:val="030303"/>
                                <w:w w:val="105"/>
                              </w:rPr>
                              <w:t>Jütz</w:t>
                            </w:r>
                            <w:proofErr w:type="spellEnd"/>
                          </w:p>
                        </w:txbxContent>
                      </wps:txbx>
                      <wps:bodyPr wrap="square" lIns="0" tIns="0" rIns="0" bIns="0" rtlCol="0">
                        <a:noAutofit/>
                      </wps:bodyPr>
                    </wps:wsp>
                  </a:graphicData>
                </a:graphic>
              </wp:anchor>
            </w:drawing>
          </mc:Choice>
          <mc:Fallback>
            <w:pict>
              <v:shape w14:anchorId="157CCA89" id="Textbox 10" o:spid="_x0000_s1035" type="#_x0000_t202" style="position:absolute;left:0;text-align:left;margin-left:191.4pt;margin-top:558.55pt;width:212.35pt;height:13.8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" filled="f" stroked="f">
                <v:textbox inset="0,0,0,0">
                  <w:txbxContent>
                    <w:p w14:paraId="3EDF989B" w14:textId="77777777" w:rsidR="006F048F" w:rsidRDefault="006F048F" w:rsidP="006F048F">
                      <w:pPr>
                        <w:pStyle w:val="Textkrper"/>
                        <w:jc w:val="center"/>
                      </w:pPr>
                      <w:r>
                        <w:rPr>
                          <w:color w:val="030303"/>
                          <w:w w:val="105"/>
                        </w:rPr>
                        <w:t xml:space="preserve">Martin </w:t>
                      </w:r>
                      <w:proofErr w:type="spellStart"/>
                      <w:r>
                        <w:rPr>
                          <w:color w:val="030303"/>
                          <w:w w:val="105"/>
                        </w:rPr>
                        <w:t>Jütz</w:t>
                      </w:r>
                      <w:proofErr w:type="spellEnd"/>
                    </w:p>
                  </w:txbxContent>
                </v:textbox>
                <w10:wrap anchorx="page" anchory="page"/>
              </v:shape>
            </w:pict>
          </mc:Fallback>
        </mc:AlternateContent>
      </w:r>
      <w:r w:rsidR="006F048F">
        <w:rPr>
          <w:noProof/>
        </w:rPr>
        <mc:AlternateContent>
          <mc:Choice Requires="wps">
            <w:drawing>
              <wp:anchor distT="0" distB="0" distL="0" distR="0" simplePos="0" relativeHeight="251688960" behindDoc="1" locked="0" layoutInCell="1" allowOverlap="1" wp14:anchorId="1B71A6C7" wp14:editId="7217D45E">
                <wp:simplePos x="0" y="0"/>
                <wp:positionH relativeFrom="page">
                  <wp:posOffset>3263956</wp:posOffset>
                </wp:positionH>
                <wp:positionV relativeFrom="page">
                  <wp:posOffset>7464325</wp:posOffset>
                </wp:positionV>
                <wp:extent cx="1033144" cy="175260"/>
                <wp:effectExtent l="0" t="0" r="0" b="0"/>
                <wp:wrapNone/>
                <wp:docPr id="1329413976"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144" cy="175260"/>
                        </a:xfrm>
                        <a:prstGeom prst="rect">
                          <a:avLst/>
                        </a:prstGeom>
                      </wps:spPr>
                      <wps:txbx>
                        <w:txbxContent>
                          <w:p w14:paraId="2A42871C" w14:textId="77777777" w:rsidR="006F048F" w:rsidRDefault="006F048F" w:rsidP="006F048F">
                            <w:pPr>
                              <w:pStyle w:val="Textkrper"/>
                              <w:jc w:val="center"/>
                            </w:pPr>
                            <w:r>
                              <w:rPr>
                                <w:color w:val="030303"/>
                                <w:w w:val="105"/>
                              </w:rPr>
                              <w:t>aus</w:t>
                            </w:r>
                            <w:r>
                              <w:rPr>
                                <w:color w:val="030303"/>
                                <w:spacing w:val="2"/>
                                <w:w w:val="105"/>
                              </w:rPr>
                              <w:t xml:space="preserve"> </w:t>
                            </w:r>
                            <w:r>
                              <w:rPr>
                                <w:color w:val="030303"/>
                                <w:spacing w:val="-2"/>
                                <w:w w:val="105"/>
                              </w:rPr>
                              <w:t>Nauen</w:t>
                            </w:r>
                          </w:p>
                        </w:txbxContent>
                      </wps:txbx>
                      <wps:bodyPr wrap="square" lIns="0" tIns="0" rIns="0" bIns="0" rtlCol="0" upright="1">
                        <a:spAutoFit/>
                      </wps:bodyPr>
                    </wps:wsp>
                  </a:graphicData>
                </a:graphic>
              </wp:anchor>
            </w:drawing>
          </mc:Choice>
          <mc:Fallback>
            <w:pict>
              <v:shape w14:anchorId="1B71A6C7" id="Textbox 11" o:spid="_x0000_s1036" type="#_x0000_t202" style="position:absolute;left:0;text-align:left;margin-left:257pt;margin-top:587.75pt;width:81.35pt;height:13.8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" filled="f" stroked="f">
                <v:textbox style="mso-fit-shape-to-text:t" inset="0,0,0,0">
                  <w:txbxContent>
                    <w:p w14:paraId="2A42871C" w14:textId="77777777" w:rsidR="006F048F" w:rsidRDefault="006F048F" w:rsidP="006F048F">
                      <w:pPr>
                        <w:pStyle w:val="Textkrper"/>
                        <w:jc w:val="center"/>
                      </w:pPr>
                      <w:r>
                        <w:rPr>
                          <w:color w:val="030303"/>
                          <w:w w:val="105"/>
                        </w:rPr>
                        <w:t>aus</w:t>
                      </w:r>
                      <w:r>
                        <w:rPr>
                          <w:color w:val="030303"/>
                          <w:spacing w:val="2"/>
                          <w:w w:val="105"/>
                        </w:rPr>
                        <w:t xml:space="preserve"> </w:t>
                      </w:r>
                      <w:r>
                        <w:rPr>
                          <w:color w:val="030303"/>
                          <w:spacing w:val="-2"/>
                          <w:w w:val="105"/>
                        </w:rPr>
                        <w:t>Nauen</w:t>
                      </w:r>
                    </w:p>
                  </w:txbxContent>
                </v:textbox>
                <w10:wrap anchorx="page" anchory="page"/>
              </v:shape>
            </w:pict>
          </mc:Fallback>
        </mc:AlternateContent>
      </w:r>
      <w:r w:rsidR="006F048F">
        <w:rPr>
          <w:noProof/>
        </w:rPr>
        <mc:AlternateContent>
          <mc:Choice Requires="wps">
            <w:drawing>
              <wp:anchor distT="0" distB="0" distL="0" distR="0" simplePos="0" relativeHeight="251689984" behindDoc="1" locked="0" layoutInCell="1" allowOverlap="1" wp14:anchorId="173AFD35" wp14:editId="4D1092D3">
                <wp:simplePos x="0" y="0"/>
                <wp:positionH relativeFrom="page">
                  <wp:posOffset>2318948</wp:posOffset>
                </wp:positionH>
                <wp:positionV relativeFrom="page">
                  <wp:posOffset>9012304</wp:posOffset>
                </wp:positionV>
                <wp:extent cx="2933700" cy="175260"/>
                <wp:effectExtent l="0" t="0" r="0" b="0"/>
                <wp:wrapNone/>
                <wp:docPr id="835119965"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175260"/>
                        </a:xfrm>
                        <a:prstGeom prst="rect">
                          <a:avLst/>
                        </a:prstGeom>
                      </wps:spPr>
                      <wps:txbx>
                        <w:txbxContent>
                          <w:p w14:paraId="790DEC60" w14:textId="77777777" w:rsidR="006F048F" w:rsidRDefault="006F048F" w:rsidP="006F048F">
                            <w:pPr>
                              <w:pStyle w:val="Textkrper"/>
                              <w:jc w:val="center"/>
                            </w:pPr>
                            <w:r>
                              <w:rPr>
                                <w:color w:val="030303"/>
                                <w:w w:val="105"/>
                              </w:rPr>
                              <w:t>Dresden, 2024</w:t>
                            </w:r>
                          </w:p>
                        </w:txbxContent>
                      </wps:txbx>
                      <wps:bodyPr wrap="square" lIns="0" tIns="0" rIns="0" bIns="0" rtlCol="0">
                        <a:noAutofit/>
                      </wps:bodyPr>
                    </wps:wsp>
                  </a:graphicData>
                </a:graphic>
              </wp:anchor>
            </w:drawing>
          </mc:Choice>
          <mc:Fallback>
            <w:pict>
              <v:shape w14:anchorId="173AFD35" id="Textbox 12" o:spid="_x0000_s1037" type="#_x0000_t202" style="position:absolute;left:0;text-align:left;margin-left:182.6pt;margin-top:709.65pt;width:231pt;height:13.8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" filled="f" stroked="f">
                <v:textbox inset="0,0,0,0">
                  <w:txbxContent>
                    <w:p w14:paraId="790DEC60" w14:textId="77777777" w:rsidR="006F048F" w:rsidRDefault="006F048F" w:rsidP="006F048F">
                      <w:pPr>
                        <w:pStyle w:val="Textkrper"/>
                        <w:jc w:val="center"/>
                      </w:pPr>
                      <w:r>
                        <w:rPr>
                          <w:color w:val="030303"/>
                          <w:w w:val="105"/>
                        </w:rPr>
                        <w:t>Dresden, 2024</w:t>
                      </w:r>
                    </w:p>
                  </w:txbxContent>
                </v:textbox>
                <w10:wrap anchorx="page" anchory="page"/>
              </v:shape>
            </w:pict>
          </mc:Fallback>
        </mc:AlternateContent>
      </w:r>
    </w:p>
    <w:p w14:paraId="2A489732" w14:textId="77777777" w:rsidR="006F048F" w:rsidRDefault="006F048F" w:rsidP="006F048F">
      <w:pPr>
        <w:rPr>
          <w:sz w:val="2"/>
          <w:szCs w:val="2"/>
        </w:rPr>
        <w:sectPr w:rsidR="006F048F" w:rsidSect="00AB18EC">
          <w:type w:val="continuous"/>
          <w:pgSz w:w="11910" w:h="16850"/>
          <w:pgMar w:top="1360" w:right="1260" w:bottom="280" w:left="1280" w:header="720" w:footer="720" w:gutter="0"/>
          <w:cols w:space="720"/>
        </w:sectPr>
      </w:pPr>
    </w:p>
    <w:p w14:paraId="3DDD27EA" w14:textId="77777777" w:rsidR="006F048F" w:rsidRDefault="006F048F" w:rsidP="006F048F">
      <w:pPr>
        <w:rPr>
          <w:sz w:val="2"/>
          <w:szCs w:val="2"/>
        </w:rPr>
      </w:pPr>
      <w:r>
        <w:rPr>
          <w:noProof/>
        </w:rPr>
        <w:lastRenderedPageBreak/>
        <mc:AlternateContent>
          <mc:Choice Requires="wps">
            <w:drawing>
              <wp:anchor distT="0" distB="0" distL="0" distR="0" simplePos="0" relativeHeight="251694080" behindDoc="1" locked="0" layoutInCell="1" allowOverlap="1" wp14:anchorId="0FDD87D1" wp14:editId="40B00443">
                <wp:simplePos x="0" y="0"/>
                <wp:positionH relativeFrom="page">
                  <wp:posOffset>4073979</wp:posOffset>
                </wp:positionH>
                <wp:positionV relativeFrom="page">
                  <wp:posOffset>4237264</wp:posOffset>
                </wp:positionV>
                <wp:extent cx="2563585" cy="353695"/>
                <wp:effectExtent l="0" t="0" r="0" b="0"/>
                <wp:wrapNone/>
                <wp:docPr id="1703638939"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3585" cy="353695"/>
                        </a:xfrm>
                        <a:prstGeom prst="rect">
                          <a:avLst/>
                        </a:prstGeom>
                      </wps:spPr>
                      <wps:txbx>
                        <w:txbxContent>
                          <w:p w14:paraId="6C26F0B4" w14:textId="77777777" w:rsidR="006F048F" w:rsidRDefault="006F048F" w:rsidP="006F048F">
                            <w:pPr>
                              <w:pStyle w:val="Textkrper"/>
                              <w:tabs>
                                <w:tab w:val="left" w:leader="hyphen" w:pos="3838"/>
                              </w:tabs>
                              <w:jc w:val="center"/>
                            </w:pPr>
                            <w:r>
                              <w:rPr>
                                <w:color w:val="050505"/>
                                <w:spacing w:val="-4"/>
                                <w:w w:val="120"/>
                              </w:rPr>
                              <w:t>gez.</w:t>
                            </w:r>
                            <w:r>
                              <w:rPr>
                                <w:color w:val="050505"/>
                              </w:rPr>
                              <w:t xml:space="preserve"> ____________________________</w:t>
                            </w:r>
                          </w:p>
                          <w:p w14:paraId="2CED0ED8" w14:textId="77777777" w:rsidR="006F048F" w:rsidRPr="00300554" w:rsidRDefault="006F048F" w:rsidP="006F048F">
                            <w:pPr>
                              <w:pStyle w:val="Textkrper"/>
                              <w:tabs>
                                <w:tab w:val="left" w:leader="hyphen" w:pos="3838"/>
                              </w:tabs>
                              <w:jc w:val="center"/>
                            </w:pPr>
                            <w:r>
                              <w:rPr>
                                <w:color w:val="050505"/>
                                <w:w w:val="105"/>
                                <w:sz w:val="16"/>
                                <w:szCs w:val="16"/>
                              </w:rPr>
                              <w:t xml:space="preserve">        </w:t>
                            </w:r>
                            <w:r w:rsidRPr="00300554">
                              <w:rPr>
                                <w:color w:val="050505"/>
                                <w:w w:val="105"/>
                                <w:sz w:val="16"/>
                                <w:szCs w:val="16"/>
                              </w:rPr>
                              <w:t>Vorsitzender</w:t>
                            </w:r>
                            <w:r w:rsidRPr="00300554">
                              <w:rPr>
                                <w:color w:val="050505"/>
                                <w:spacing w:val="-3"/>
                                <w:w w:val="105"/>
                                <w:sz w:val="16"/>
                                <w:szCs w:val="16"/>
                              </w:rPr>
                              <w:t xml:space="preserve"> </w:t>
                            </w:r>
                            <w:r w:rsidRPr="00300554">
                              <w:rPr>
                                <w:color w:val="050505"/>
                                <w:w w:val="105"/>
                                <w:sz w:val="16"/>
                                <w:szCs w:val="16"/>
                              </w:rPr>
                              <w:t>der</w:t>
                            </w:r>
                            <w:r w:rsidRPr="00300554">
                              <w:rPr>
                                <w:color w:val="050505"/>
                                <w:spacing w:val="-15"/>
                                <w:w w:val="105"/>
                                <w:sz w:val="16"/>
                                <w:szCs w:val="16"/>
                              </w:rPr>
                              <w:t xml:space="preserve"> </w:t>
                            </w:r>
                            <w:r w:rsidRPr="00300554">
                              <w:rPr>
                                <w:color w:val="050505"/>
                                <w:spacing w:val="-2"/>
                                <w:w w:val="105"/>
                                <w:sz w:val="16"/>
                                <w:szCs w:val="16"/>
                              </w:rPr>
                              <w:t>Promotionskommission</w:t>
                            </w:r>
                          </w:p>
                        </w:txbxContent>
                      </wps:txbx>
                      <wps:bodyPr wrap="square" lIns="0" tIns="0" rIns="0" bIns="0" rtlCol="0">
                        <a:noAutofit/>
                      </wps:bodyPr>
                    </wps:wsp>
                  </a:graphicData>
                </a:graphic>
                <wp14:sizeRelH relativeFrom="margin">
                  <wp14:pctWidth>0</wp14:pctWidth>
                </wp14:sizeRelH>
              </wp:anchor>
            </w:drawing>
          </mc:Choice>
          <mc:Fallback>
            <w:pict>
              <v:shape w14:anchorId="0FDD87D1" id="Textbox 17" o:spid="_x0000_s1038" type="#_x0000_t202" style="position:absolute;left:0;text-align:left;margin-left:320.8pt;margin-top:333.65pt;width:201.85pt;height:27.85pt;z-index:-25162240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" filled="f" stroked="f">
                <v:textbox inset="0,0,0,0">
                  <w:txbxContent>
                    <w:p w14:paraId="6C26F0B4" w14:textId="77777777" w:rsidR="006F048F" w:rsidRDefault="006F048F" w:rsidP="006F048F">
                      <w:pPr>
                        <w:pStyle w:val="Textkrper"/>
                        <w:tabs>
                          <w:tab w:val="left" w:leader="hyphen" w:pos="3838"/>
                        </w:tabs>
                        <w:jc w:val="center"/>
                      </w:pPr>
                      <w:r>
                        <w:rPr>
                          <w:color w:val="050505"/>
                          <w:spacing w:val="-4"/>
                          <w:w w:val="120"/>
                        </w:rPr>
                        <w:t>gez.</w:t>
                      </w:r>
                      <w:r>
                        <w:rPr>
                          <w:color w:val="050505"/>
                        </w:rPr>
                        <w:t xml:space="preserve"> ____________________________</w:t>
                      </w:r>
                    </w:p>
                    <w:p w14:paraId="2CED0ED8" w14:textId="77777777" w:rsidR="006F048F" w:rsidRPr="00300554" w:rsidRDefault="006F048F" w:rsidP="006F048F">
                      <w:pPr>
                        <w:pStyle w:val="Textkrper"/>
                        <w:tabs>
                          <w:tab w:val="left" w:leader="hyphen" w:pos="3838"/>
                        </w:tabs>
                        <w:jc w:val="center"/>
                      </w:pPr>
                      <w:r>
                        <w:rPr>
                          <w:color w:val="050505"/>
                          <w:w w:val="105"/>
                          <w:sz w:val="16"/>
                          <w:szCs w:val="16"/>
                        </w:rPr>
                        <w:t xml:space="preserve">        </w:t>
                      </w:r>
                      <w:r w:rsidRPr="00300554">
                        <w:rPr>
                          <w:color w:val="050505"/>
                          <w:w w:val="105"/>
                          <w:sz w:val="16"/>
                          <w:szCs w:val="16"/>
                        </w:rPr>
                        <w:t>Vorsitzender</w:t>
                      </w:r>
                      <w:r w:rsidRPr="00300554">
                        <w:rPr>
                          <w:color w:val="050505"/>
                          <w:spacing w:val="-3"/>
                          <w:w w:val="105"/>
                          <w:sz w:val="16"/>
                          <w:szCs w:val="16"/>
                        </w:rPr>
                        <w:t xml:space="preserve"> </w:t>
                      </w:r>
                      <w:r w:rsidRPr="00300554">
                        <w:rPr>
                          <w:color w:val="050505"/>
                          <w:w w:val="105"/>
                          <w:sz w:val="16"/>
                          <w:szCs w:val="16"/>
                        </w:rPr>
                        <w:t>der</w:t>
                      </w:r>
                      <w:r w:rsidRPr="00300554">
                        <w:rPr>
                          <w:color w:val="050505"/>
                          <w:spacing w:val="-15"/>
                          <w:w w:val="105"/>
                          <w:sz w:val="16"/>
                          <w:szCs w:val="16"/>
                        </w:rPr>
                        <w:t xml:space="preserve"> </w:t>
                      </w:r>
                      <w:r w:rsidRPr="00300554">
                        <w:rPr>
                          <w:color w:val="050505"/>
                          <w:spacing w:val="-2"/>
                          <w:w w:val="105"/>
                          <w:sz w:val="16"/>
                          <w:szCs w:val="16"/>
                        </w:rPr>
                        <w:t>Promotionskommission</w:t>
                      </w:r>
                    </w:p>
                  </w:txbxContent>
                </v:textbox>
                <w10:wrap anchorx="page" anchory="page"/>
              </v:shape>
            </w:pict>
          </mc:Fallback>
        </mc:AlternateContent>
      </w:r>
      <w:r>
        <w:rPr>
          <w:noProof/>
        </w:rPr>
        <mc:AlternateContent>
          <mc:Choice Requires="wps">
            <w:drawing>
              <wp:anchor distT="0" distB="0" distL="0" distR="0" simplePos="0" relativeHeight="251691008" behindDoc="1" locked="0" layoutInCell="1" allowOverlap="1" wp14:anchorId="3BA0660B" wp14:editId="13777676">
                <wp:simplePos x="0" y="0"/>
                <wp:positionH relativeFrom="page">
                  <wp:posOffset>1123210</wp:posOffset>
                </wp:positionH>
                <wp:positionV relativeFrom="page">
                  <wp:posOffset>1547199</wp:posOffset>
                </wp:positionV>
                <wp:extent cx="889635" cy="175260"/>
                <wp:effectExtent l="0" t="0" r="0" b="0"/>
                <wp:wrapNone/>
                <wp:docPr id="23727596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175260"/>
                        </a:xfrm>
                        <a:prstGeom prst="rect">
                          <a:avLst/>
                        </a:prstGeom>
                      </wps:spPr>
                      <wps:txbx>
                        <w:txbxContent>
                          <w:p w14:paraId="6BFB81FD" w14:textId="77777777" w:rsidR="006F048F" w:rsidRDefault="006F048F" w:rsidP="006F048F">
                            <w:pPr>
                              <w:pStyle w:val="Textkrper"/>
                            </w:pPr>
                            <w:r>
                              <w:rPr>
                                <w:color w:val="050505"/>
                              </w:rPr>
                              <w:t>1.</w:t>
                            </w:r>
                            <w:r>
                              <w:rPr>
                                <w:color w:val="050505"/>
                                <w:spacing w:val="28"/>
                              </w:rPr>
                              <w:t xml:space="preserve">  </w:t>
                            </w:r>
                            <w:r>
                              <w:rPr>
                                <w:color w:val="050505"/>
                                <w:spacing w:val="-2"/>
                              </w:rPr>
                              <w:t>Gutachter:</w:t>
                            </w:r>
                          </w:p>
                        </w:txbxContent>
                      </wps:txbx>
                      <wps:bodyPr wrap="square" lIns="0" tIns="0" rIns="0" bIns="0" rtlCol="0">
                        <a:noAutofit/>
                      </wps:bodyPr>
                    </wps:wsp>
                  </a:graphicData>
                </a:graphic>
              </wp:anchor>
            </w:drawing>
          </mc:Choice>
          <mc:Fallback>
            <w:pict>
              <v:shape w14:anchorId="3BA0660B" id="Textbox 14" o:spid="_x0000_s1039" type="#_x0000_t202" style="position:absolute;left:0;text-align:left;margin-left:88.45pt;margin-top:121.85pt;width:70.05pt;height:13.8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" filled="f" stroked="f">
                <v:textbox inset="0,0,0,0">
                  <w:txbxContent>
                    <w:p w14:paraId="6BFB81FD" w14:textId="77777777" w:rsidR="006F048F" w:rsidRDefault="006F048F" w:rsidP="006F048F">
                      <w:pPr>
                        <w:pStyle w:val="Textkrper"/>
                      </w:pPr>
                      <w:r>
                        <w:rPr>
                          <w:color w:val="050505"/>
                        </w:rPr>
                        <w:t>1.</w:t>
                      </w:r>
                      <w:r>
                        <w:rPr>
                          <w:color w:val="050505"/>
                          <w:spacing w:val="28"/>
                        </w:rPr>
                        <w:t xml:space="preserve">  </w:t>
                      </w:r>
                      <w:r>
                        <w:rPr>
                          <w:color w:val="050505"/>
                          <w:spacing w:val="-2"/>
                        </w:rPr>
                        <w:t>Gutachter:</w:t>
                      </w:r>
                    </w:p>
                  </w:txbxContent>
                </v:textbox>
                <w10:wrap anchorx="page" anchory="page"/>
              </v:shape>
            </w:pict>
          </mc:Fallback>
        </mc:AlternateContent>
      </w:r>
      <w:r>
        <w:rPr>
          <w:noProof/>
        </w:rPr>
        <mc:AlternateContent>
          <mc:Choice Requires="wps">
            <w:drawing>
              <wp:anchor distT="0" distB="0" distL="0" distR="0" simplePos="0" relativeHeight="251692032" behindDoc="1" locked="0" layoutInCell="1" allowOverlap="1" wp14:anchorId="690844C3" wp14:editId="7D42DA02">
                <wp:simplePos x="0" y="0"/>
                <wp:positionH relativeFrom="page">
                  <wp:posOffset>1120109</wp:posOffset>
                </wp:positionH>
                <wp:positionV relativeFrom="page">
                  <wp:posOffset>2050979</wp:posOffset>
                </wp:positionV>
                <wp:extent cx="892810" cy="175260"/>
                <wp:effectExtent l="0" t="0" r="0" b="0"/>
                <wp:wrapNone/>
                <wp:docPr id="538759273"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175260"/>
                        </a:xfrm>
                        <a:prstGeom prst="rect">
                          <a:avLst/>
                        </a:prstGeom>
                      </wps:spPr>
                      <wps:txbx>
                        <w:txbxContent>
                          <w:p w14:paraId="40FBB58A" w14:textId="77777777" w:rsidR="006F048F" w:rsidRDefault="006F048F" w:rsidP="006F048F">
                            <w:pPr>
                              <w:pStyle w:val="Textkrper"/>
                            </w:pPr>
                            <w:r>
                              <w:rPr>
                                <w:color w:val="050505"/>
                                <w:w w:val="105"/>
                              </w:rPr>
                              <w:t>2.</w:t>
                            </w:r>
                            <w:r>
                              <w:rPr>
                                <w:color w:val="050505"/>
                                <w:spacing w:val="24"/>
                                <w:w w:val="105"/>
                              </w:rPr>
                              <w:t xml:space="preserve">  </w:t>
                            </w:r>
                            <w:r>
                              <w:rPr>
                                <w:color w:val="050505"/>
                                <w:spacing w:val="-2"/>
                                <w:w w:val="105"/>
                              </w:rPr>
                              <w:t>Gutachter:</w:t>
                            </w:r>
                          </w:p>
                        </w:txbxContent>
                      </wps:txbx>
                      <wps:bodyPr wrap="square" lIns="0" tIns="0" rIns="0" bIns="0" rtlCol="0">
                        <a:noAutofit/>
                      </wps:bodyPr>
                    </wps:wsp>
                  </a:graphicData>
                </a:graphic>
              </wp:anchor>
            </w:drawing>
          </mc:Choice>
          <mc:Fallback>
            <w:pict>
              <v:shape w14:anchorId="690844C3" id="Textbox 15" o:spid="_x0000_s1040" type="#_x0000_t202" style="position:absolute;left:0;text-align:left;margin-left:88.2pt;margin-top:161.5pt;width:70.3pt;height:13.8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" filled="f" stroked="f">
                <v:textbox inset="0,0,0,0">
                  <w:txbxContent>
                    <w:p w14:paraId="40FBB58A" w14:textId="77777777" w:rsidR="006F048F" w:rsidRDefault="006F048F" w:rsidP="006F048F">
                      <w:pPr>
                        <w:pStyle w:val="Textkrper"/>
                      </w:pPr>
                      <w:r>
                        <w:rPr>
                          <w:color w:val="050505"/>
                          <w:w w:val="105"/>
                        </w:rPr>
                        <w:t>2.</w:t>
                      </w:r>
                      <w:r>
                        <w:rPr>
                          <w:color w:val="050505"/>
                          <w:spacing w:val="24"/>
                          <w:w w:val="105"/>
                        </w:rPr>
                        <w:t xml:space="preserve">  </w:t>
                      </w:r>
                      <w:r>
                        <w:rPr>
                          <w:color w:val="050505"/>
                          <w:spacing w:val="-2"/>
                          <w:w w:val="105"/>
                        </w:rPr>
                        <w:t>Gutachter:</w:t>
                      </w:r>
                    </w:p>
                  </w:txbxContent>
                </v:textbox>
                <w10:wrap anchorx="page" anchory="page"/>
              </v:shape>
            </w:pict>
          </mc:Fallback>
        </mc:AlternateContent>
      </w:r>
      <w:r>
        <w:rPr>
          <w:noProof/>
        </w:rPr>
        <mc:AlternateContent>
          <mc:Choice Requires="wps">
            <w:drawing>
              <wp:anchor distT="0" distB="0" distL="0" distR="0" simplePos="0" relativeHeight="251693056" behindDoc="1" locked="0" layoutInCell="1" allowOverlap="1" wp14:anchorId="08B27185" wp14:editId="40B9B948">
                <wp:simplePos x="0" y="0"/>
                <wp:positionH relativeFrom="page">
                  <wp:posOffset>882504</wp:posOffset>
                </wp:positionH>
                <wp:positionV relativeFrom="page">
                  <wp:posOffset>3232573</wp:posOffset>
                </wp:positionV>
                <wp:extent cx="3208020" cy="175260"/>
                <wp:effectExtent l="0" t="0" r="0" b="0"/>
                <wp:wrapNone/>
                <wp:docPr id="760569767"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020" cy="175260"/>
                        </a:xfrm>
                        <a:prstGeom prst="rect">
                          <a:avLst/>
                        </a:prstGeom>
                      </wps:spPr>
                      <wps:txbx>
                        <w:txbxContent>
                          <w:p w14:paraId="57E290A7" w14:textId="3567281E" w:rsidR="006F048F" w:rsidRDefault="006F048F" w:rsidP="006F048F">
                            <w:pPr>
                              <w:pStyle w:val="Textkrper"/>
                            </w:pPr>
                            <w:r>
                              <w:rPr>
                                <w:color w:val="050505"/>
                                <w:w w:val="105"/>
                              </w:rPr>
                              <w:t>Tag</w:t>
                            </w:r>
                            <w:r>
                              <w:rPr>
                                <w:color w:val="050505"/>
                                <w:spacing w:val="-16"/>
                                <w:w w:val="105"/>
                              </w:rPr>
                              <w:t xml:space="preserve"> </w:t>
                            </w:r>
                            <w:r>
                              <w:rPr>
                                <w:color w:val="050505"/>
                                <w:w w:val="105"/>
                              </w:rPr>
                              <w:t>der</w:t>
                            </w:r>
                            <w:r>
                              <w:rPr>
                                <w:color w:val="050505"/>
                                <w:spacing w:val="-15"/>
                                <w:w w:val="105"/>
                              </w:rPr>
                              <w:t xml:space="preserve"> </w:t>
                            </w:r>
                            <w:r>
                              <w:rPr>
                                <w:color w:val="050505"/>
                                <w:w w:val="105"/>
                              </w:rPr>
                              <w:t>mündlichen</w:t>
                            </w:r>
                            <w:r>
                              <w:rPr>
                                <w:color w:val="050505"/>
                                <w:spacing w:val="2"/>
                                <w:w w:val="105"/>
                              </w:rPr>
                              <w:t xml:space="preserve"> </w:t>
                            </w:r>
                            <w:r>
                              <w:rPr>
                                <w:color w:val="050505"/>
                                <w:w w:val="105"/>
                              </w:rPr>
                              <w:t>Prüfung:</w:t>
                            </w:r>
                            <w:r>
                              <w:t xml:space="preserve"> </w:t>
                            </w:r>
                            <w:r w:rsidR="00CF48D9">
                              <w:t>__________________</w:t>
                            </w:r>
                          </w:p>
                        </w:txbxContent>
                      </wps:txbx>
                      <wps:bodyPr wrap="square" lIns="0" tIns="0" rIns="0" bIns="0" rtlCol="0">
                        <a:noAutofit/>
                      </wps:bodyPr>
                    </wps:wsp>
                  </a:graphicData>
                </a:graphic>
              </wp:anchor>
            </w:drawing>
          </mc:Choice>
          <mc:Fallback>
            <w:pict>
              <v:shape w14:anchorId="08B27185" id="Textbox 16" o:spid="_x0000_s1041" type="#_x0000_t202" style="position:absolute;left:0;text-align:left;margin-left:69.5pt;margin-top:254.55pt;width:252.6pt;height:13.8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" filled="f" stroked="f">
                <v:textbox inset="0,0,0,0">
                  <w:txbxContent>
                    <w:p w14:paraId="57E290A7" w14:textId="3567281E" w:rsidR="006F048F" w:rsidRDefault="006F048F" w:rsidP="006F048F">
                      <w:pPr>
                        <w:pStyle w:val="Textkrper"/>
                      </w:pPr>
                      <w:r>
                        <w:rPr>
                          <w:color w:val="050505"/>
                          <w:w w:val="105"/>
                        </w:rPr>
                        <w:t>Tag</w:t>
                      </w:r>
                      <w:r>
                        <w:rPr>
                          <w:color w:val="050505"/>
                          <w:spacing w:val="-16"/>
                          <w:w w:val="105"/>
                        </w:rPr>
                        <w:t xml:space="preserve"> </w:t>
                      </w:r>
                      <w:r>
                        <w:rPr>
                          <w:color w:val="050505"/>
                          <w:w w:val="105"/>
                        </w:rPr>
                        <w:t>der</w:t>
                      </w:r>
                      <w:r>
                        <w:rPr>
                          <w:color w:val="050505"/>
                          <w:spacing w:val="-15"/>
                          <w:w w:val="105"/>
                        </w:rPr>
                        <w:t xml:space="preserve"> </w:t>
                      </w:r>
                      <w:r>
                        <w:rPr>
                          <w:color w:val="050505"/>
                          <w:w w:val="105"/>
                        </w:rPr>
                        <w:t>mündlichen</w:t>
                      </w:r>
                      <w:r>
                        <w:rPr>
                          <w:color w:val="050505"/>
                          <w:spacing w:val="2"/>
                          <w:w w:val="105"/>
                        </w:rPr>
                        <w:t xml:space="preserve"> </w:t>
                      </w:r>
                      <w:r>
                        <w:rPr>
                          <w:color w:val="050505"/>
                          <w:w w:val="105"/>
                        </w:rPr>
                        <w:t>Prüfung:</w:t>
                      </w:r>
                      <w:r>
                        <w:t xml:space="preserve"> </w:t>
                      </w:r>
                      <w:r w:rsidR="00CF48D9">
                        <w:t>__________________</w:t>
                      </w:r>
                    </w:p>
                  </w:txbxContent>
                </v:textbox>
                <w10:wrap anchorx="page" anchory="page"/>
              </v:shape>
            </w:pict>
          </mc:Fallback>
        </mc:AlternateContent>
      </w:r>
      <w:r>
        <w:rPr>
          <w:noProof/>
        </w:rPr>
        <mc:AlternateContent>
          <mc:Choice Requires="wps">
            <w:drawing>
              <wp:anchor distT="0" distB="0" distL="0" distR="0" simplePos="0" relativeHeight="251695104" behindDoc="1" locked="0" layoutInCell="1" allowOverlap="1" wp14:anchorId="3005E150" wp14:editId="6CA191F3">
                <wp:simplePos x="0" y="0"/>
                <wp:positionH relativeFrom="page">
                  <wp:posOffset>890366</wp:posOffset>
                </wp:positionH>
                <wp:positionV relativeFrom="page">
                  <wp:posOffset>7290292</wp:posOffset>
                </wp:positionV>
                <wp:extent cx="773430" cy="175260"/>
                <wp:effectExtent l="0" t="0" r="0" b="0"/>
                <wp:wrapNone/>
                <wp:docPr id="17480450"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430" cy="175260"/>
                        </a:xfrm>
                        <a:prstGeom prst="rect">
                          <a:avLst/>
                        </a:prstGeom>
                      </wps:spPr>
                      <wps:txbx>
                        <w:txbxContent>
                          <w:p w14:paraId="4B55E868" w14:textId="77777777" w:rsidR="006F048F" w:rsidRDefault="006F048F" w:rsidP="006F048F">
                            <w:pPr>
                              <w:pStyle w:val="Textkrper"/>
                            </w:pPr>
                            <w:r>
                              <w:rPr>
                                <w:color w:val="050505"/>
                                <w:spacing w:val="-2"/>
                                <w:w w:val="105"/>
                                <w:u w:val="thick" w:color="050505"/>
                              </w:rPr>
                              <w:t>Anmerkung:</w:t>
                            </w:r>
                          </w:p>
                        </w:txbxContent>
                      </wps:txbx>
                      <wps:bodyPr wrap="square" lIns="0" tIns="0" rIns="0" bIns="0" rtlCol="0">
                        <a:noAutofit/>
                      </wps:bodyPr>
                    </wps:wsp>
                  </a:graphicData>
                </a:graphic>
              </wp:anchor>
            </w:drawing>
          </mc:Choice>
          <mc:Fallback>
            <w:pict>
              <v:shape w14:anchorId="3005E150" id="Textbox 18" o:spid="_x0000_s1042" type="#_x0000_t202" style="position:absolute;left:0;text-align:left;margin-left:70.1pt;margin-top:574.05pt;width:60.9pt;height:13.8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" filled="f" stroked="f">
                <v:textbox inset="0,0,0,0">
                  <w:txbxContent>
                    <w:p w14:paraId="4B55E868" w14:textId="77777777" w:rsidR="006F048F" w:rsidRDefault="006F048F" w:rsidP="006F048F">
                      <w:pPr>
                        <w:pStyle w:val="Textkrper"/>
                      </w:pPr>
                      <w:r>
                        <w:rPr>
                          <w:color w:val="050505"/>
                          <w:spacing w:val="-2"/>
                          <w:w w:val="105"/>
                          <w:u w:val="thick" w:color="050505"/>
                        </w:rPr>
                        <w:t>Anmerkung:</w:t>
                      </w:r>
                    </w:p>
                  </w:txbxContent>
                </v:textbox>
                <w10:wrap anchorx="page" anchory="page"/>
              </v:shape>
            </w:pict>
          </mc:Fallback>
        </mc:AlternateContent>
      </w:r>
      <w:r>
        <w:rPr>
          <w:noProof/>
        </w:rPr>
        <mc:AlternateContent>
          <mc:Choice Requires="wps">
            <w:drawing>
              <wp:anchor distT="0" distB="0" distL="0" distR="0" simplePos="0" relativeHeight="251696128" behindDoc="1" locked="0" layoutInCell="1" allowOverlap="1" wp14:anchorId="0D6919F5" wp14:editId="14157717">
                <wp:simplePos x="0" y="0"/>
                <wp:positionH relativeFrom="page">
                  <wp:posOffset>885244</wp:posOffset>
                </wp:positionH>
                <wp:positionV relativeFrom="page">
                  <wp:posOffset>7624619</wp:posOffset>
                </wp:positionV>
                <wp:extent cx="5802630" cy="852805"/>
                <wp:effectExtent l="0" t="0" r="0" b="0"/>
                <wp:wrapNone/>
                <wp:docPr id="683432382"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2630" cy="852805"/>
                        </a:xfrm>
                        <a:prstGeom prst="rect">
                          <a:avLst/>
                        </a:prstGeom>
                      </wps:spPr>
                      <wps:txbx>
                        <w:txbxContent>
                          <w:p w14:paraId="5AD5DC17" w14:textId="77777777" w:rsidR="006F048F" w:rsidRDefault="006F048F" w:rsidP="006F048F">
                            <w:pPr>
                              <w:pStyle w:val="Textkrper"/>
                              <w:spacing w:before="9" w:line="266" w:lineRule="auto"/>
                              <w:ind w:right="17" w:firstLine="5"/>
                              <w:jc w:val="both"/>
                            </w:pPr>
                            <w:r>
                              <w:rPr>
                                <w:color w:val="050505"/>
                                <w:w w:val="105"/>
                              </w:rPr>
                              <w:t xml:space="preserve">Die Eintragung der Gutachter und Tag der mündlichen Prüfung (Verteidigung) erfolgt nach Festlegung von Seiten der Medizinischen Fakultät Carl Gustav Carus d.er TU Dresden. Sie wird durch die Promovenden nach der Verteidigung zwecks Übergabe der fünf Pflichtexemplare an die Zweigbibliothek Medizin in gedruckter Form oder handschriftlich </w:t>
                            </w:r>
                            <w:r>
                              <w:rPr>
                                <w:color w:val="050505"/>
                                <w:spacing w:val="-2"/>
                                <w:w w:val="105"/>
                              </w:rPr>
                              <w:t>vorgenommen.</w:t>
                            </w:r>
                          </w:p>
                        </w:txbxContent>
                      </wps:txbx>
                      <wps:bodyPr wrap="square" lIns="0" tIns="0" rIns="0" bIns="0" rtlCol="0">
                        <a:noAutofit/>
                      </wps:bodyPr>
                    </wps:wsp>
                  </a:graphicData>
                </a:graphic>
              </wp:anchor>
            </w:drawing>
          </mc:Choice>
          <mc:Fallback>
            <w:pict>
              <v:shape w14:anchorId="0D6919F5" id="Textbox 19" o:spid="_x0000_s1043" type="#_x0000_t202" style="position:absolute;left:0;text-align:left;margin-left:69.7pt;margin-top:600.35pt;width:456.9pt;height:67.15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" filled="f" stroked="f">
                <v:textbox inset="0,0,0,0">
                  <w:txbxContent>
                    <w:p w14:paraId="5AD5DC17" w14:textId="77777777" w:rsidR="006F048F" w:rsidRDefault="006F048F" w:rsidP="006F048F">
                      <w:pPr>
                        <w:pStyle w:val="Textkrper"/>
                        <w:spacing w:before="9" w:line="266" w:lineRule="auto"/>
                        <w:ind w:right="17" w:firstLine="5"/>
                        <w:jc w:val="both"/>
                      </w:pPr>
                      <w:r>
                        <w:rPr>
                          <w:color w:val="050505"/>
                          <w:w w:val="105"/>
                        </w:rPr>
                        <w:t xml:space="preserve">Die Eintragung der Gutachter und Tag der mündlichen Prüfung (Verteidigung) erfolgt nach Festlegung von Seiten der Medizinischen Fakultät Carl Gustav Carus d.er TU Dresden. Sie wird durch die Promovenden nach der Verteidigung zwecks Übergabe der fünf Pflichtexemplare an die Zweigbibliothek Medizin in gedruckter Form oder handschriftlich </w:t>
                      </w:r>
                      <w:r>
                        <w:rPr>
                          <w:color w:val="050505"/>
                          <w:spacing w:val="-2"/>
                          <w:w w:val="105"/>
                        </w:rPr>
                        <w:t>vorgenommen.</w:t>
                      </w:r>
                    </w:p>
                  </w:txbxContent>
                </v:textbox>
                <w10:wrap anchorx="page" anchory="page"/>
              </v:shape>
            </w:pict>
          </mc:Fallback>
        </mc:AlternateContent>
      </w:r>
    </w:p>
    <w:p w14:paraId="3A67A6C3" w14:textId="77777777" w:rsidR="00631762" w:rsidRDefault="00631762">
      <w:pPr>
        <w:spacing w:after="0"/>
        <w:jc w:val="left"/>
        <w:rPr>
          <w:rStyle w:val="Buchtitel"/>
          <w:rFonts w:eastAsiaTheme="majorEastAsia" w:cstheme="majorBidi"/>
        </w:rPr>
      </w:pPr>
      <w:r>
        <w:rPr>
          <w:rStyle w:val="Buchtitel"/>
        </w:rPr>
        <w:br w:type="page"/>
      </w:r>
    </w:p>
    <w:p w14:paraId="6090ACFB" w14:textId="11518646" w:rsidR="006C46DC" w:rsidRPr="006C46DC" w:rsidRDefault="006C46DC" w:rsidP="006C46DC">
      <w:pPr>
        <w:jc w:val="left"/>
        <w:rPr>
          <w:b/>
          <w:bCs/>
          <w:i/>
          <w:iCs/>
        </w:rPr>
      </w:pPr>
      <w:r w:rsidRPr="006C46DC">
        <w:rPr>
          <w:b/>
          <w:bCs/>
          <w:i/>
          <w:iCs/>
        </w:rPr>
        <w:lastRenderedPageBreak/>
        <w:t>Kurzfassung</w:t>
      </w:r>
    </w:p>
    <w:p w14:paraId="29490E73" w14:textId="131C7F60" w:rsidR="006C46DC" w:rsidRPr="00812C16" w:rsidRDefault="006C46DC" w:rsidP="006C46DC">
      <w:pPr>
        <w:rPr>
          <w:rFonts w:cs="Arial"/>
          <w:lang w:eastAsia="de-DE"/>
        </w:rPr>
      </w:pPr>
      <w:r w:rsidRPr="00812C16">
        <w:rPr>
          <w:rFonts w:cs="Arial"/>
          <w:b/>
          <w:bCs/>
          <w:lang w:eastAsia="de-DE"/>
        </w:rPr>
        <w:t>Motivation.</w:t>
      </w:r>
      <w:r w:rsidRPr="00812C16">
        <w:rPr>
          <w:rFonts w:cs="Arial"/>
          <w:lang w:eastAsia="de-DE"/>
        </w:rPr>
        <w:t xml:space="preserve"> Patienten mit lokal fortgeschrittenen Kopf-Hals-Plattenepithelkarzinomen erhalten standardmäßig eine primäre oder postoperative Radiochemotherapie. Dabei zeigen Patienten mit der gleichen Tumorentität und analogen </w:t>
      </w:r>
      <w:proofErr w:type="spellStart"/>
      <w:r w:rsidRPr="00812C16">
        <w:rPr>
          <w:rFonts w:cs="Arial"/>
          <w:lang w:eastAsia="de-DE"/>
        </w:rPr>
        <w:t>Staging</w:t>
      </w:r>
      <w:proofErr w:type="spellEnd"/>
      <w:r w:rsidRPr="00812C16">
        <w:rPr>
          <w:rFonts w:cs="Arial"/>
          <w:lang w:eastAsia="de-DE"/>
        </w:rPr>
        <w:t xml:space="preserve"> und </w:t>
      </w:r>
      <w:proofErr w:type="spellStart"/>
      <w:r w:rsidRPr="00812C16">
        <w:rPr>
          <w:rFonts w:cs="Arial"/>
          <w:lang w:eastAsia="de-DE"/>
        </w:rPr>
        <w:t>Grading</w:t>
      </w:r>
      <w:proofErr w:type="spellEnd"/>
      <w:r w:rsidRPr="00812C16">
        <w:rPr>
          <w:rFonts w:cs="Arial"/>
          <w:lang w:eastAsia="de-DE"/>
        </w:rPr>
        <w:t xml:space="preserve"> nicht selten einen sehr unterschiedlichen klinischen Verlauf bezüglich des Überlebens, Metastasierung und Ansprechen auf die Standardtherapie. Deshalb ist es wichtig geeignete klinische Parameter und biologische Eigenschaften des Tumorgewebes zur besseren Prognoseschätzung und Individuellen Therapieoptimierung zu finden</w:t>
      </w:r>
      <w:r w:rsidR="000112D9">
        <w:rPr>
          <w:rFonts w:cs="Arial"/>
          <w:lang w:eastAsia="de-DE"/>
        </w:rPr>
        <w:fldChar w:fldCharType="begin">
          <w:fldData xml:space="preserve">PEVuZE5vdGU+PENpdGU+PEF1dGhvcj5CYXVtYW5uPC9BdXRob3I+PFllYXI+MjAxMDwvWWVhcj48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</w:fldData>
        </w:fldChar>
      </w:r>
      <w:r w:rsidR="000112D9">
        <w:rPr>
          <w:rFonts w:cs="Arial"/>
          <w:lang w:eastAsia="de-DE"/>
        </w:rPr>
        <w:instrText xml:space="preserve"> ADDIN EN.JS.CITE </w:instrText>
      </w:r>
      <w:r w:rsidR="000112D9">
        <w:rPr>
          <w:rFonts w:cs="Arial"/>
          <w:lang w:eastAsia="de-DE"/>
        </w:rPr>
      </w:r>
      <w:r w:rsidR="000112D9">
        <w:rPr>
          <w:rFonts w:cs="Arial"/>
          <w:lang w:eastAsia="de-DE"/>
        </w:rPr>
        <w:fldChar w:fldCharType="separate"/>
      </w:r>
      <w:r w:rsidR="000112D9">
        <w:rPr>
          <w:rFonts w:cs="Arial"/>
          <w:noProof/>
          <w:lang w:eastAsia="de-DE"/>
        </w:rPr>
        <w:t>(</w:t>
      </w:r>
      <w:hyperlink w:anchor="_ENREF_8" w:tooltip="Baumann, 2010 #430" w:history="1">
        <w:r w:rsidR="009D0F7A" w:rsidRPr="009D0F7A">
          <w:rPr>
            <w:rStyle w:val="Hyperlink"/>
          </w:rPr>
          <w:t>Baumann &amp; Krause, 2010</w:t>
        </w:r>
      </w:hyperlink>
      <w:r w:rsidR="000112D9">
        <w:rPr>
          <w:rFonts w:cs="Arial"/>
          <w:noProof/>
          <w:lang w:eastAsia="de-DE"/>
        </w:rPr>
        <w:t xml:space="preserve">; </w:t>
      </w:r>
      <w:hyperlink w:anchor="_ENREF_51" w:tooltip="Lohaus, 2014 #623" w:history="1">
        <w:r w:rsidR="009D0F7A" w:rsidRPr="009D0F7A">
          <w:rPr>
            <w:rStyle w:val="Hyperlink"/>
          </w:rPr>
          <w:t>Lohaus et al., 2014</w:t>
        </w:r>
      </w:hyperlink>
      <w:r w:rsidR="000112D9">
        <w:rPr>
          <w:rFonts w:cs="Arial"/>
          <w:noProof/>
          <w:lang w:eastAsia="de-DE"/>
        </w:rPr>
        <w:t>)</w:t>
      </w:r>
      <w:r w:rsidR="000112D9">
        <w:rPr>
          <w:rFonts w:cs="Arial"/>
          <w:lang w:eastAsia="de-DE"/>
        </w:rPr>
        <w:fldChar w:fldCharType="end"/>
      </w:r>
      <w:r w:rsidRPr="00812C16">
        <w:rPr>
          <w:rFonts w:cs="Arial"/>
          <w:lang w:eastAsia="de-DE"/>
        </w:rPr>
        <w:t>. Dieses Projekt ist Teil einer multizentrischen Studie der Radioonkologie-Gruppe des Deutschen Konsortiums für Translationale Krebsforschung (DKTK-ROG).</w:t>
      </w:r>
    </w:p>
    <w:p w14:paraId="72BC0F84" w14:textId="77777777" w:rsidR="006C46DC" w:rsidRPr="00812C16" w:rsidRDefault="006C46DC" w:rsidP="006C46DC">
      <w:pPr>
        <w:rPr>
          <w:rFonts w:cs="Arial"/>
          <w:lang w:eastAsia="de-DE"/>
        </w:rPr>
      </w:pPr>
      <w:r w:rsidRPr="00812C16">
        <w:rPr>
          <w:rFonts w:cs="Arial"/>
          <w:b/>
          <w:bCs/>
          <w:lang w:eastAsia="de-DE"/>
        </w:rPr>
        <w:t>Fragestellung.</w:t>
      </w:r>
      <w:r w:rsidRPr="00812C16">
        <w:rPr>
          <w:rFonts w:cs="Arial"/>
          <w:lang w:eastAsia="de-DE"/>
        </w:rPr>
        <w:t xml:space="preserve"> In diesem Projekt soll untersucht werden, inwieweit CD44 als potenzieller Tumorstammzellmarker in Patienten mit lokal fortgeschrittenem Kopf-Hals-Plattenepithelkarzinomen nach postoperativer Radiochemotherapie eine prognostische Rolle spielt. Für die weitere Stratifizierung soll darüber hinaus, die CD44-Expression getrennt für die Patientenkollektive mit HPV16 DNA-positiven und -negativen Tumoren analysiert werden. </w:t>
      </w:r>
    </w:p>
    <w:p w14:paraId="33AC2E92" w14:textId="2876087E" w:rsidR="006C46DC" w:rsidRPr="00812C16" w:rsidRDefault="006C46DC" w:rsidP="006C46DC">
      <w:pPr>
        <w:rPr>
          <w:rFonts w:cs="Arial"/>
          <w:lang w:eastAsia="de-DE"/>
        </w:rPr>
      </w:pPr>
      <w:r w:rsidRPr="00812C16">
        <w:rPr>
          <w:rFonts w:cs="Arial"/>
          <w:b/>
          <w:bCs/>
          <w:lang w:eastAsia="de-DE"/>
        </w:rPr>
        <w:t>Methodik.</w:t>
      </w:r>
      <w:r w:rsidRPr="00812C16">
        <w:rPr>
          <w:rFonts w:cs="Arial"/>
          <w:lang w:eastAsia="de-DE"/>
        </w:rPr>
        <w:t xml:space="preserve"> An allen acht DKTK-Standorten wurden insgesamt 221 Patienten mit Mundhöhlen-, Oropharynx- und </w:t>
      </w:r>
      <w:proofErr w:type="spellStart"/>
      <w:r w:rsidRPr="00812C16">
        <w:rPr>
          <w:rFonts w:cs="Arial"/>
          <w:lang w:eastAsia="de-DE"/>
        </w:rPr>
        <w:t>Hypopharynxkarzinomen</w:t>
      </w:r>
      <w:proofErr w:type="spellEnd"/>
      <w:r w:rsidRPr="00812C16">
        <w:rPr>
          <w:rFonts w:cs="Arial"/>
          <w:lang w:eastAsia="de-DE"/>
        </w:rPr>
        <w:t xml:space="preserve"> in diese retrospektive Studie eingeschlossen</w:t>
      </w:r>
      <w:r w:rsidR="000112D9">
        <w:rPr>
          <w:rFonts w:cs="Arial"/>
          <w:lang w:eastAsia="de-DE"/>
        </w:rPr>
        <w:fldChar w:fldCharType="begin">
          <w:fldData xml:space="preserve">PEVuZE5vdGU+PENpdGU+PEF1dGhvcj5Mb2hhdXM8L0F1dGhvcj48WWVhcj4yMDE0PC9ZZWFyPjxS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</w:fldData>
        </w:fldChar>
      </w:r>
      <w:r w:rsidR="000112D9">
        <w:rPr>
          <w:rFonts w:cs="Arial"/>
          <w:lang w:eastAsia="de-DE"/>
        </w:rPr>
        <w:instrText xml:space="preserve"> ADDIN EN.JS.CITE </w:instrText>
      </w:r>
      <w:r w:rsidR="000112D9">
        <w:rPr>
          <w:rFonts w:cs="Arial"/>
          <w:lang w:eastAsia="de-DE"/>
        </w:rPr>
      </w:r>
      <w:r w:rsidR="000112D9">
        <w:rPr>
          <w:rFonts w:cs="Arial"/>
          <w:lang w:eastAsia="de-DE"/>
        </w:rPr>
        <w:fldChar w:fldCharType="separate"/>
      </w:r>
      <w:r w:rsidR="000112D9">
        <w:rPr>
          <w:rFonts w:cs="Arial"/>
          <w:noProof/>
          <w:lang w:eastAsia="de-DE"/>
        </w:rPr>
        <w:t>(</w:t>
      </w:r>
      <w:hyperlink w:anchor="_ENREF_51" w:tooltip="Lohaus, 2014 #623" w:history="1">
        <w:r w:rsidR="009D0F7A" w:rsidRPr="009D0F7A">
          <w:rPr>
            <w:rStyle w:val="Hyperlink"/>
          </w:rPr>
          <w:t>Lohaus et al., 2014</w:t>
        </w:r>
      </w:hyperlink>
      <w:r w:rsidR="000112D9">
        <w:rPr>
          <w:rFonts w:cs="Arial"/>
          <w:noProof/>
          <w:lang w:eastAsia="de-DE"/>
        </w:rPr>
        <w:t>)</w:t>
      </w:r>
      <w:r w:rsidR="000112D9">
        <w:rPr>
          <w:rFonts w:cs="Arial"/>
          <w:lang w:eastAsia="de-DE"/>
        </w:rPr>
        <w:fldChar w:fldCharType="end"/>
      </w:r>
      <w:r w:rsidRPr="00812C16">
        <w:rPr>
          <w:rFonts w:cs="Arial"/>
          <w:lang w:eastAsia="de-DE"/>
        </w:rPr>
        <w:t xml:space="preserve">. </w:t>
      </w:r>
      <w:r w:rsidR="008B57DE">
        <w:rPr>
          <w:rStyle w:val="Endnotenzeichen"/>
          <w:rFonts w:cs="Arial"/>
          <w:lang w:eastAsia="de-DE"/>
        </w:rPr>
        <w:endnoteReference w:id="3"/>
      </w:r>
      <w:r w:rsidRPr="00812C16">
        <w:rPr>
          <w:rFonts w:cs="Arial"/>
          <w:lang w:eastAsia="de-DE"/>
        </w:rPr>
        <w:t xml:space="preserve">Alle Patienten haben im Zeitraum von 2005 bis 2010 eine postoperative Cisplatin-haltige Radiochemotherapie erhalten. In FFPE-Material von 195 Primärtumoren wurde die Proteinexpression von CD44 durch immunhistochemische Färbung an Tissue-Micro-Arrays untersucht. </w:t>
      </w:r>
    </w:p>
    <w:p w14:paraId="6F835501" w14:textId="77777777" w:rsidR="006C46DC" w:rsidRPr="00812C16" w:rsidRDefault="006C46DC" w:rsidP="006C46DC">
      <w:pPr>
        <w:rPr>
          <w:rFonts w:cs="Arial"/>
          <w:lang w:eastAsia="de-DE"/>
        </w:rPr>
      </w:pPr>
      <w:r w:rsidRPr="00812C16">
        <w:rPr>
          <w:rFonts w:cs="Arial"/>
          <w:b/>
          <w:bCs/>
          <w:lang w:eastAsia="de-DE"/>
        </w:rPr>
        <w:t>Ergebnis.</w:t>
      </w:r>
      <w:r w:rsidRPr="00812C16">
        <w:rPr>
          <w:rFonts w:cs="Arial"/>
          <w:lang w:eastAsia="de-DE"/>
        </w:rPr>
        <w:t xml:space="preserve"> Um die prognostische Relevanz von CD44 für lokal fortgeschrittene Kopf-Hals-Plattenepithelkarzinome bei postoperativer Radiochemotherapie zu überprüfen, wurde in dieser Arbeit die CD44-Proteinexpression im prätherapeutischen Tumorgewebematerial mit verschiedenen klinischen Endpunkten korreliert. Univariate Analysen zeigten eine signifikante Assoziation der CD44-Proteinexpression mit der loko-regionären Tumorkontrolle (p = 0,008), aber nicht mit den sekundären Endpunkten Fernmetastasen-freies Überleben (p = 0,075) oder Gesamtüberleben (p = 0,089). Ähnliche Effekte zeigten univariate Analysen der Subgruppe der HPV16 DNA-negativen Kopf-Hals-Plattenepithelkarzinomen.  Patienten dieser Subgruppe zeigten einen statistischen Trend für eine bessere loko-regionäre Tumorkontrolle im </w:t>
      </w:r>
      <w:r w:rsidRPr="00812C16">
        <w:rPr>
          <w:rFonts w:cs="Arial"/>
          <w:lang w:eastAsia="de-DE"/>
        </w:rPr>
        <w:lastRenderedPageBreak/>
        <w:t xml:space="preserve">Vergleich zu Patienten mit HPV16 DNA-negativen und CD44 positiven Tumoren (p = 0,05). Die CD44 Assoziation mit den sekundären Endpunkten in dieser Subgruppe waren nicht signifikant. </w:t>
      </w:r>
    </w:p>
    <w:p w14:paraId="1C60E986" w14:textId="77777777" w:rsidR="006C46DC" w:rsidRPr="00812C16" w:rsidRDefault="006C46DC" w:rsidP="006C46DC">
      <w:pPr>
        <w:rPr>
          <w:rFonts w:cs="Arial"/>
          <w:lang w:eastAsia="de-DE"/>
        </w:rPr>
      </w:pPr>
      <w:r w:rsidRPr="00812C16">
        <w:rPr>
          <w:rFonts w:cs="Arial"/>
          <w:b/>
          <w:bCs/>
          <w:lang w:eastAsia="de-DE"/>
        </w:rPr>
        <w:t>Schlussfolgerung.</w:t>
      </w:r>
      <w:r w:rsidRPr="00812C16">
        <w:rPr>
          <w:rFonts w:cs="Arial"/>
          <w:lang w:eastAsia="de-DE"/>
        </w:rPr>
        <w:t xml:space="preserve"> Wir konnten zeigen, dass eine Überexpression von CD44 in lokal fortgeschrittenen Kopf-Hals-Plattenepithelkarzinomen mit einer schlechten loko-regionären Kontrolle nach postoperativer Radiochemotherapie assoziiert ist. Zudem stellen Tumorstammzellen neben dem HPV-Status der Tumoren möglicherweise einen weiteren Stratifizierungsparameter zur Individualisierung der postoperativen Radiochemotherapie in Patienten mit Kopf-Halsplattenepithelkarzinomen dar. Zur weiteren Evaluierung der klinischen Anwendbarkeit sollten die gewonnen Ergebnisse in prospektiven Validierungsstudien unter standardisierten Bedingungen weiter geprüft werden.</w:t>
      </w:r>
    </w:p>
    <w:p w14:paraId="74E9E789" w14:textId="77777777" w:rsidR="006C46DC" w:rsidRPr="006F048F" w:rsidRDefault="006C46DC" w:rsidP="006C46DC">
      <w:pPr>
        <w:spacing w:after="0"/>
        <w:jc w:val="left"/>
        <w:rPr>
          <w:rFonts w:cs="Arial"/>
          <w:lang w:eastAsia="de-DE"/>
        </w:rPr>
      </w:pPr>
      <w:r w:rsidRPr="006F048F">
        <w:rPr>
          <w:rFonts w:cs="Arial"/>
          <w:lang w:eastAsia="de-DE"/>
        </w:rPr>
        <w:br w:type="page"/>
      </w:r>
    </w:p>
    <w:p w14:paraId="34A04362" w14:textId="5FC5934B" w:rsidR="006F39DF" w:rsidRPr="00F37999" w:rsidRDefault="0046038E" w:rsidP="002F7A7E">
      <w:pPr>
        <w:pStyle w:val="Untertitel"/>
      </w:pPr>
      <w:r w:rsidRPr="00812C16">
        <w:lastRenderedPageBreak/>
        <w:t>Inhaltsverzeichnis</w:t>
      </w:r>
    </w:p>
    <w:p w14:paraId="6121C7EE" w14:textId="52E688E6" w:rsidR="006C46DC" w:rsidRPr="001466B2" w:rsidRDefault="000718CD">
      <w:pPr>
        <w:pStyle w:val="Verzeichnis1"/>
        <w:tabs>
          <w:tab w:val="left" w:pos="480"/>
          <w:tab w:val="right" w:pos="9060"/>
        </w:tabs>
        <w:rPr>
          <w:rFonts w:asciiTheme="minorHAnsi" w:eastAsiaTheme="minorEastAsia" w:hAnsiTheme="minorHAnsi" w:cstheme="minorBidi"/>
          <w:b w:val="0"/>
          <w:bCs w:val="0"/>
          <w:caps w:val="0"/>
          <w:noProof/>
          <w:kern w:val="2"/>
          <w:lang w:eastAsia="de-DE"/>
          <w14:ligatures w14:val="standardContextual"/>
        </w:rPr>
      </w:pPr>
      <w:r w:rsidRPr="001466B2">
        <w:rPr>
          <w:rFonts w:asciiTheme="minorHAnsi" w:hAnsiTheme="minorHAnsi" w:cs="Arial"/>
          <w:b w:val="0"/>
          <w:bCs w:val="0"/>
          <w:caps w:val="0"/>
          <w:sz w:val="20"/>
          <w:szCs w:val="20"/>
          <w:u w:val="single"/>
        </w:rPr>
        <w:fldChar w:fldCharType="begin"/>
      </w:r>
      <w:r w:rsidRPr="001466B2">
        <w:rPr>
          <w:rFonts w:asciiTheme="minorHAnsi" w:hAnsiTheme="minorHAnsi" w:cs="Arial"/>
          <w:b w:val="0"/>
          <w:bCs w:val="0"/>
          <w:caps w:val="0"/>
          <w:sz w:val="20"/>
          <w:szCs w:val="20"/>
          <w:u w:val="single"/>
        </w:rPr>
        <w:instrText xml:space="preserve"> TOC \o "1-3" \h \z \u </w:instrText>
      </w:r>
      <w:r w:rsidRPr="001466B2">
        <w:rPr>
          <w:rFonts w:asciiTheme="minorHAnsi" w:hAnsiTheme="minorHAnsi" w:cs="Arial"/>
          <w:b w:val="0"/>
          <w:bCs w:val="0"/>
          <w:caps w:val="0"/>
          <w:sz w:val="20"/>
          <w:szCs w:val="20"/>
          <w:u w:val="single"/>
        </w:rPr>
        <w:fldChar w:fldCharType="separate"/>
      </w:r>
      <w:hyperlink w:anchor="_Toc158006509" w:history="1">
        <w:r w:rsidR="006C46DC" w:rsidRPr="001466B2">
          <w:rPr>
            <w:rStyle w:val="Hyperlink"/>
            <w:noProof/>
          </w:rPr>
          <w:t>1</w:t>
        </w:r>
        <w:r w:rsidR="006C46DC" w:rsidRPr="001466B2">
          <w:rPr>
            <w:rFonts w:asciiTheme="minorHAnsi" w:eastAsiaTheme="minorEastAsia" w:hAnsiTheme="minorHAnsi" w:cstheme="minorBidi"/>
            <w:b w:val="0"/>
            <w:bCs w:val="0"/>
            <w:caps w:val="0"/>
            <w:noProof/>
            <w:kern w:val="2"/>
            <w:lang w:eastAsia="de-DE"/>
            <w14:ligatures w14:val="standardContextual"/>
          </w:rPr>
          <w:tab/>
        </w:r>
        <w:r w:rsidR="006C46DC" w:rsidRPr="001466B2">
          <w:rPr>
            <w:rStyle w:val="Hyperlink"/>
            <w:rFonts w:cs="Arial"/>
            <w:noProof/>
          </w:rPr>
          <w:t>Hintergrund</w:t>
        </w:r>
        <w:r w:rsidR="006C46DC" w:rsidRPr="001466B2">
          <w:rPr>
            <w:noProof/>
            <w:webHidden/>
          </w:rPr>
          <w:tab/>
        </w:r>
        <w:r w:rsidR="006C46DC" w:rsidRPr="001466B2">
          <w:rPr>
            <w:noProof/>
            <w:webHidden/>
          </w:rPr>
          <w:fldChar w:fldCharType="begin"/>
        </w:r>
        <w:r w:rsidR="006C46DC" w:rsidRPr="001466B2">
          <w:rPr>
            <w:noProof/>
            <w:webHidden/>
          </w:rPr>
          <w:instrText xml:space="preserve"> PAGEREF _Toc158006509 \h </w:instrText>
        </w:r>
        <w:r w:rsidR="006C46DC" w:rsidRPr="001466B2">
          <w:rPr>
            <w:noProof/>
            <w:webHidden/>
          </w:rPr>
        </w:r>
        <w:r w:rsidR="006C46DC" w:rsidRPr="001466B2">
          <w:rPr>
            <w:noProof/>
            <w:webHidden/>
          </w:rPr>
          <w:fldChar w:fldCharType="separate"/>
        </w:r>
        <w:r w:rsidR="00F67803" w:rsidRPr="001466B2">
          <w:rPr>
            <w:noProof/>
            <w:webHidden/>
          </w:rPr>
          <w:t>- 7 -</w:t>
        </w:r>
        <w:r w:rsidR="006C46DC" w:rsidRPr="001466B2">
          <w:rPr>
            <w:noProof/>
            <w:webHidden/>
          </w:rPr>
          <w:fldChar w:fldCharType="end"/>
        </w:r>
      </w:hyperlink>
    </w:p>
    <w:p w14:paraId="67FFE9F9" w14:textId="4461B65A" w:rsidR="006C46DC" w:rsidRPr="001466B2" w:rsidRDefault="006C46DC">
      <w:pPr>
        <w:pStyle w:val="Verzeichnis2"/>
        <w:tabs>
          <w:tab w:val="left" w:pos="720"/>
          <w:tab w:val="right" w:pos="9060"/>
        </w:tabs>
        <w:rPr>
          <w:rFonts w:eastAsiaTheme="minorEastAsia" w:cstheme="minorBidi"/>
          <w:b w:val="0"/>
          <w:bCs w:val="0"/>
          <w:noProof/>
          <w:kern w:val="2"/>
          <w:sz w:val="24"/>
          <w:szCs w:val="24"/>
          <w:lang w:eastAsia="de-DE"/>
          <w14:ligatures w14:val="standardContextual"/>
        </w:rPr>
      </w:pPr>
      <w:hyperlink w:anchor="_Toc158006510" w:history="1">
        <w:r w:rsidRPr="001466B2">
          <w:rPr>
            <w:rStyle w:val="Hyperlink"/>
            <w:noProof/>
          </w:rPr>
          <w:t>1.1</w:t>
        </w:r>
        <w:r w:rsidRPr="001466B2">
          <w:rPr>
            <w:rFonts w:eastAsiaTheme="minorEastAsia" w:cstheme="minorBidi"/>
            <w:b w:val="0"/>
            <w:bCs w:val="0"/>
            <w:noProof/>
            <w:kern w:val="2"/>
            <w:sz w:val="24"/>
            <w:szCs w:val="24"/>
            <w:lang w:eastAsia="de-DE"/>
            <w14:ligatures w14:val="standardContextual"/>
          </w:rPr>
          <w:tab/>
        </w:r>
        <w:r w:rsidRPr="001466B2">
          <w:rPr>
            <w:rStyle w:val="Hyperlink"/>
            <w:rFonts w:cs="Arial"/>
            <w:noProof/>
          </w:rPr>
          <w:t>Kopf-Hals-Plattenepithelkarzinom</w:t>
        </w:r>
        <w:r w:rsidRPr="001466B2">
          <w:rPr>
            <w:noProof/>
            <w:webHidden/>
          </w:rPr>
          <w:tab/>
        </w:r>
        <w:r w:rsidRPr="001466B2">
          <w:rPr>
            <w:noProof/>
            <w:webHidden/>
          </w:rPr>
          <w:fldChar w:fldCharType="begin"/>
        </w:r>
        <w:r w:rsidRPr="001466B2">
          <w:rPr>
            <w:noProof/>
            <w:webHidden/>
          </w:rPr>
          <w:instrText xml:space="preserve"> PAGEREF _Toc158006510 \h </w:instrText>
        </w:r>
        <w:r w:rsidRPr="001466B2">
          <w:rPr>
            <w:noProof/>
            <w:webHidden/>
          </w:rPr>
        </w:r>
        <w:r w:rsidRPr="001466B2">
          <w:rPr>
            <w:noProof/>
            <w:webHidden/>
          </w:rPr>
          <w:fldChar w:fldCharType="separate"/>
        </w:r>
        <w:r w:rsidR="00F67803" w:rsidRPr="001466B2">
          <w:rPr>
            <w:noProof/>
            <w:webHidden/>
          </w:rPr>
          <w:t>- 7 -</w:t>
        </w:r>
        <w:r w:rsidRPr="001466B2">
          <w:rPr>
            <w:noProof/>
            <w:webHidden/>
          </w:rPr>
          <w:fldChar w:fldCharType="end"/>
        </w:r>
      </w:hyperlink>
    </w:p>
    <w:p w14:paraId="5FBFE09A" w14:textId="7BB1B03F"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11" w:history="1">
        <w:r w:rsidRPr="001466B2">
          <w:rPr>
            <w:rStyle w:val="Hyperlink"/>
            <w:noProof/>
          </w:rPr>
          <w:t>1.1.1</w:t>
        </w:r>
        <w:r w:rsidRPr="001466B2">
          <w:rPr>
            <w:rFonts w:eastAsiaTheme="minorEastAsia" w:cstheme="minorBidi"/>
            <w:noProof/>
            <w:kern w:val="2"/>
            <w:sz w:val="24"/>
            <w:szCs w:val="24"/>
            <w:lang w:eastAsia="de-DE"/>
            <w14:ligatures w14:val="standardContextual"/>
          </w:rPr>
          <w:tab/>
        </w:r>
        <w:r w:rsidRPr="001466B2">
          <w:rPr>
            <w:rStyle w:val="Hyperlink"/>
            <w:noProof/>
          </w:rPr>
          <w:t>Epidemiologie</w:t>
        </w:r>
        <w:r w:rsidRPr="001466B2">
          <w:rPr>
            <w:noProof/>
            <w:webHidden/>
          </w:rPr>
          <w:tab/>
        </w:r>
        <w:r w:rsidRPr="001466B2">
          <w:rPr>
            <w:noProof/>
            <w:webHidden/>
          </w:rPr>
          <w:fldChar w:fldCharType="begin"/>
        </w:r>
        <w:r w:rsidRPr="001466B2">
          <w:rPr>
            <w:noProof/>
            <w:webHidden/>
          </w:rPr>
          <w:instrText xml:space="preserve"> PAGEREF _Toc158006511 \h </w:instrText>
        </w:r>
        <w:r w:rsidRPr="001466B2">
          <w:rPr>
            <w:noProof/>
            <w:webHidden/>
          </w:rPr>
        </w:r>
        <w:r w:rsidRPr="001466B2">
          <w:rPr>
            <w:noProof/>
            <w:webHidden/>
          </w:rPr>
          <w:fldChar w:fldCharType="separate"/>
        </w:r>
        <w:r w:rsidR="00F67803" w:rsidRPr="001466B2">
          <w:rPr>
            <w:noProof/>
            <w:webHidden/>
          </w:rPr>
          <w:t>- 7 -</w:t>
        </w:r>
        <w:r w:rsidRPr="001466B2">
          <w:rPr>
            <w:noProof/>
            <w:webHidden/>
          </w:rPr>
          <w:fldChar w:fldCharType="end"/>
        </w:r>
      </w:hyperlink>
    </w:p>
    <w:p w14:paraId="5F186A68" w14:textId="649E7F08"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12" w:history="1">
        <w:r w:rsidRPr="001466B2">
          <w:rPr>
            <w:rStyle w:val="Hyperlink"/>
            <w:noProof/>
          </w:rPr>
          <w:t>1.1.2</w:t>
        </w:r>
        <w:r w:rsidRPr="001466B2">
          <w:rPr>
            <w:rFonts w:eastAsiaTheme="minorEastAsia" w:cstheme="minorBidi"/>
            <w:noProof/>
            <w:kern w:val="2"/>
            <w:sz w:val="24"/>
            <w:szCs w:val="24"/>
            <w:lang w:eastAsia="de-DE"/>
            <w14:ligatures w14:val="standardContextual"/>
          </w:rPr>
          <w:tab/>
        </w:r>
        <w:r w:rsidRPr="001466B2">
          <w:rPr>
            <w:rStyle w:val="Hyperlink"/>
            <w:noProof/>
          </w:rPr>
          <w:t>Ätiologie und Risikofaktore</w:t>
        </w:r>
        <w:r w:rsidRPr="001466B2">
          <w:rPr>
            <w:noProof/>
            <w:webHidden/>
          </w:rPr>
          <w:tab/>
        </w:r>
        <w:r w:rsidRPr="001466B2">
          <w:rPr>
            <w:noProof/>
            <w:webHidden/>
          </w:rPr>
          <w:fldChar w:fldCharType="begin"/>
        </w:r>
        <w:r w:rsidRPr="001466B2">
          <w:rPr>
            <w:noProof/>
            <w:webHidden/>
          </w:rPr>
          <w:instrText xml:space="preserve"> PAGEREF _Toc158006512 \h </w:instrText>
        </w:r>
        <w:r w:rsidRPr="001466B2">
          <w:rPr>
            <w:noProof/>
            <w:webHidden/>
          </w:rPr>
        </w:r>
        <w:r w:rsidRPr="001466B2">
          <w:rPr>
            <w:noProof/>
            <w:webHidden/>
          </w:rPr>
          <w:fldChar w:fldCharType="separate"/>
        </w:r>
        <w:r w:rsidR="00F67803" w:rsidRPr="001466B2">
          <w:rPr>
            <w:noProof/>
            <w:webHidden/>
          </w:rPr>
          <w:t>- 8 -</w:t>
        </w:r>
        <w:r w:rsidRPr="001466B2">
          <w:rPr>
            <w:noProof/>
            <w:webHidden/>
          </w:rPr>
          <w:fldChar w:fldCharType="end"/>
        </w:r>
      </w:hyperlink>
    </w:p>
    <w:p w14:paraId="46B6F84A" w14:textId="4CD8862F"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13" w:history="1">
        <w:r w:rsidRPr="001466B2">
          <w:rPr>
            <w:rStyle w:val="Hyperlink"/>
            <w:noProof/>
          </w:rPr>
          <w:t>1.1.3</w:t>
        </w:r>
        <w:r w:rsidRPr="001466B2">
          <w:rPr>
            <w:rFonts w:eastAsiaTheme="minorEastAsia" w:cstheme="minorBidi"/>
            <w:noProof/>
            <w:kern w:val="2"/>
            <w:sz w:val="24"/>
            <w:szCs w:val="24"/>
            <w:lang w:eastAsia="de-DE"/>
            <w14:ligatures w14:val="standardContextual"/>
          </w:rPr>
          <w:tab/>
        </w:r>
        <w:r w:rsidRPr="001466B2">
          <w:rPr>
            <w:rStyle w:val="Hyperlink"/>
            <w:noProof/>
          </w:rPr>
          <w:t>Pathogenese</w:t>
        </w:r>
        <w:r w:rsidRPr="001466B2">
          <w:rPr>
            <w:noProof/>
            <w:webHidden/>
          </w:rPr>
          <w:tab/>
        </w:r>
        <w:r w:rsidRPr="001466B2">
          <w:rPr>
            <w:noProof/>
            <w:webHidden/>
          </w:rPr>
          <w:fldChar w:fldCharType="begin"/>
        </w:r>
        <w:r w:rsidRPr="001466B2">
          <w:rPr>
            <w:noProof/>
            <w:webHidden/>
          </w:rPr>
          <w:instrText xml:space="preserve"> PAGEREF _Toc158006513 \h </w:instrText>
        </w:r>
        <w:r w:rsidRPr="001466B2">
          <w:rPr>
            <w:noProof/>
            <w:webHidden/>
          </w:rPr>
        </w:r>
        <w:r w:rsidRPr="001466B2">
          <w:rPr>
            <w:noProof/>
            <w:webHidden/>
          </w:rPr>
          <w:fldChar w:fldCharType="separate"/>
        </w:r>
        <w:r w:rsidR="00F67803" w:rsidRPr="001466B2">
          <w:rPr>
            <w:noProof/>
            <w:webHidden/>
          </w:rPr>
          <w:t>- 12 -</w:t>
        </w:r>
        <w:r w:rsidRPr="001466B2">
          <w:rPr>
            <w:noProof/>
            <w:webHidden/>
          </w:rPr>
          <w:fldChar w:fldCharType="end"/>
        </w:r>
      </w:hyperlink>
    </w:p>
    <w:p w14:paraId="746006EC" w14:textId="1130C12C"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14" w:history="1">
        <w:r w:rsidRPr="001466B2">
          <w:rPr>
            <w:rStyle w:val="Hyperlink"/>
            <w:noProof/>
          </w:rPr>
          <w:t>1.1.4</w:t>
        </w:r>
        <w:r w:rsidRPr="001466B2">
          <w:rPr>
            <w:rFonts w:eastAsiaTheme="minorEastAsia" w:cstheme="minorBidi"/>
            <w:noProof/>
            <w:kern w:val="2"/>
            <w:sz w:val="24"/>
            <w:szCs w:val="24"/>
            <w:lang w:eastAsia="de-DE"/>
            <w14:ligatures w14:val="standardContextual"/>
          </w:rPr>
          <w:tab/>
        </w:r>
        <w:r w:rsidRPr="001466B2">
          <w:rPr>
            <w:rStyle w:val="Hyperlink"/>
            <w:noProof/>
          </w:rPr>
          <w:t>Anatomie, Histopathologie und Tumorklassifikation</w:t>
        </w:r>
        <w:r w:rsidRPr="001466B2">
          <w:rPr>
            <w:noProof/>
            <w:webHidden/>
          </w:rPr>
          <w:tab/>
        </w:r>
        <w:r w:rsidRPr="001466B2">
          <w:rPr>
            <w:noProof/>
            <w:webHidden/>
          </w:rPr>
          <w:fldChar w:fldCharType="begin"/>
        </w:r>
        <w:r w:rsidRPr="001466B2">
          <w:rPr>
            <w:noProof/>
            <w:webHidden/>
          </w:rPr>
          <w:instrText xml:space="preserve"> PAGEREF _Toc158006514 \h </w:instrText>
        </w:r>
        <w:r w:rsidRPr="001466B2">
          <w:rPr>
            <w:noProof/>
            <w:webHidden/>
          </w:rPr>
        </w:r>
        <w:r w:rsidRPr="001466B2">
          <w:rPr>
            <w:noProof/>
            <w:webHidden/>
          </w:rPr>
          <w:fldChar w:fldCharType="separate"/>
        </w:r>
        <w:r w:rsidR="00F67803" w:rsidRPr="001466B2">
          <w:rPr>
            <w:noProof/>
            <w:webHidden/>
          </w:rPr>
          <w:t>- 13 -</w:t>
        </w:r>
        <w:r w:rsidRPr="001466B2">
          <w:rPr>
            <w:noProof/>
            <w:webHidden/>
          </w:rPr>
          <w:fldChar w:fldCharType="end"/>
        </w:r>
      </w:hyperlink>
    </w:p>
    <w:p w14:paraId="22F675FC" w14:textId="4D7CCC37"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15" w:history="1">
        <w:r w:rsidRPr="001466B2">
          <w:rPr>
            <w:rStyle w:val="Hyperlink"/>
            <w:noProof/>
          </w:rPr>
          <w:t>1.1.5</w:t>
        </w:r>
        <w:r w:rsidRPr="001466B2">
          <w:rPr>
            <w:rFonts w:eastAsiaTheme="minorEastAsia" w:cstheme="minorBidi"/>
            <w:noProof/>
            <w:kern w:val="2"/>
            <w:sz w:val="24"/>
            <w:szCs w:val="24"/>
            <w:lang w:eastAsia="de-DE"/>
            <w14:ligatures w14:val="standardContextual"/>
          </w:rPr>
          <w:tab/>
        </w:r>
        <w:r w:rsidRPr="001466B2">
          <w:rPr>
            <w:rStyle w:val="Hyperlink"/>
            <w:noProof/>
          </w:rPr>
          <w:t>Klassifikation und Stadien nach AJCC</w:t>
        </w:r>
        <w:r w:rsidRPr="001466B2">
          <w:rPr>
            <w:noProof/>
            <w:webHidden/>
          </w:rPr>
          <w:tab/>
        </w:r>
        <w:r w:rsidRPr="001466B2">
          <w:rPr>
            <w:noProof/>
            <w:webHidden/>
          </w:rPr>
          <w:fldChar w:fldCharType="begin"/>
        </w:r>
        <w:r w:rsidRPr="001466B2">
          <w:rPr>
            <w:noProof/>
            <w:webHidden/>
          </w:rPr>
          <w:instrText xml:space="preserve"> PAGEREF _Toc158006515 \h </w:instrText>
        </w:r>
        <w:r w:rsidRPr="001466B2">
          <w:rPr>
            <w:noProof/>
            <w:webHidden/>
          </w:rPr>
        </w:r>
        <w:r w:rsidRPr="001466B2">
          <w:rPr>
            <w:noProof/>
            <w:webHidden/>
          </w:rPr>
          <w:fldChar w:fldCharType="separate"/>
        </w:r>
        <w:r w:rsidR="00F67803" w:rsidRPr="001466B2">
          <w:rPr>
            <w:noProof/>
            <w:webHidden/>
          </w:rPr>
          <w:t>- 20 -</w:t>
        </w:r>
        <w:r w:rsidRPr="001466B2">
          <w:rPr>
            <w:noProof/>
            <w:webHidden/>
          </w:rPr>
          <w:fldChar w:fldCharType="end"/>
        </w:r>
      </w:hyperlink>
    </w:p>
    <w:p w14:paraId="64190DE6" w14:textId="43811250"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16" w:history="1">
        <w:r w:rsidRPr="001466B2">
          <w:rPr>
            <w:rStyle w:val="Hyperlink"/>
            <w:noProof/>
          </w:rPr>
          <w:t>1.1.6</w:t>
        </w:r>
        <w:r w:rsidRPr="001466B2">
          <w:rPr>
            <w:rFonts w:eastAsiaTheme="minorEastAsia" w:cstheme="minorBidi"/>
            <w:noProof/>
            <w:kern w:val="2"/>
            <w:sz w:val="24"/>
            <w:szCs w:val="24"/>
            <w:lang w:eastAsia="de-DE"/>
            <w14:ligatures w14:val="standardContextual"/>
          </w:rPr>
          <w:tab/>
        </w:r>
        <w:r w:rsidRPr="001466B2">
          <w:rPr>
            <w:rStyle w:val="Hyperlink"/>
            <w:noProof/>
          </w:rPr>
          <w:t>Diagnostik &amp; Staging</w:t>
        </w:r>
        <w:r w:rsidRPr="001466B2">
          <w:rPr>
            <w:noProof/>
            <w:webHidden/>
          </w:rPr>
          <w:tab/>
        </w:r>
        <w:r w:rsidRPr="001466B2">
          <w:rPr>
            <w:noProof/>
            <w:webHidden/>
          </w:rPr>
          <w:fldChar w:fldCharType="begin"/>
        </w:r>
        <w:r w:rsidRPr="001466B2">
          <w:rPr>
            <w:noProof/>
            <w:webHidden/>
          </w:rPr>
          <w:instrText xml:space="preserve"> PAGEREF _Toc158006516 \h </w:instrText>
        </w:r>
        <w:r w:rsidRPr="001466B2">
          <w:rPr>
            <w:noProof/>
            <w:webHidden/>
          </w:rPr>
        </w:r>
        <w:r w:rsidRPr="001466B2">
          <w:rPr>
            <w:noProof/>
            <w:webHidden/>
          </w:rPr>
          <w:fldChar w:fldCharType="separate"/>
        </w:r>
        <w:r w:rsidR="00F67803" w:rsidRPr="001466B2">
          <w:rPr>
            <w:noProof/>
            <w:webHidden/>
          </w:rPr>
          <w:t>- 20 -</w:t>
        </w:r>
        <w:r w:rsidRPr="001466B2">
          <w:rPr>
            <w:noProof/>
            <w:webHidden/>
          </w:rPr>
          <w:fldChar w:fldCharType="end"/>
        </w:r>
      </w:hyperlink>
    </w:p>
    <w:p w14:paraId="30372A17" w14:textId="58E58EC2"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17" w:history="1">
        <w:r w:rsidRPr="001466B2">
          <w:rPr>
            <w:rStyle w:val="Hyperlink"/>
            <w:noProof/>
          </w:rPr>
          <w:t>1.1.7</w:t>
        </w:r>
        <w:r w:rsidRPr="001466B2">
          <w:rPr>
            <w:rFonts w:eastAsiaTheme="minorEastAsia" w:cstheme="minorBidi"/>
            <w:noProof/>
            <w:kern w:val="2"/>
            <w:sz w:val="24"/>
            <w:szCs w:val="24"/>
            <w:lang w:eastAsia="de-DE"/>
            <w14:ligatures w14:val="standardContextual"/>
          </w:rPr>
          <w:tab/>
        </w:r>
        <w:r w:rsidRPr="001466B2">
          <w:rPr>
            <w:rStyle w:val="Hyperlink"/>
            <w:noProof/>
          </w:rPr>
          <w:t>Therapie</w:t>
        </w:r>
        <w:r w:rsidRPr="001466B2">
          <w:rPr>
            <w:noProof/>
            <w:webHidden/>
          </w:rPr>
          <w:tab/>
        </w:r>
        <w:r w:rsidRPr="001466B2">
          <w:rPr>
            <w:noProof/>
            <w:webHidden/>
          </w:rPr>
          <w:fldChar w:fldCharType="begin"/>
        </w:r>
        <w:r w:rsidRPr="001466B2">
          <w:rPr>
            <w:noProof/>
            <w:webHidden/>
          </w:rPr>
          <w:instrText xml:space="preserve"> PAGEREF _Toc158006517 \h </w:instrText>
        </w:r>
        <w:r w:rsidRPr="001466B2">
          <w:rPr>
            <w:noProof/>
            <w:webHidden/>
          </w:rPr>
        </w:r>
        <w:r w:rsidRPr="001466B2">
          <w:rPr>
            <w:noProof/>
            <w:webHidden/>
          </w:rPr>
          <w:fldChar w:fldCharType="separate"/>
        </w:r>
        <w:r w:rsidR="00F67803" w:rsidRPr="001466B2">
          <w:rPr>
            <w:noProof/>
            <w:webHidden/>
          </w:rPr>
          <w:t>- 20 -</w:t>
        </w:r>
        <w:r w:rsidRPr="001466B2">
          <w:rPr>
            <w:noProof/>
            <w:webHidden/>
          </w:rPr>
          <w:fldChar w:fldCharType="end"/>
        </w:r>
      </w:hyperlink>
    </w:p>
    <w:p w14:paraId="4F567FA8" w14:textId="69B9173E"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18" w:history="1">
        <w:r w:rsidRPr="001466B2">
          <w:rPr>
            <w:rStyle w:val="Hyperlink"/>
            <w:noProof/>
          </w:rPr>
          <w:t>1.1.8</w:t>
        </w:r>
        <w:r w:rsidRPr="001466B2">
          <w:rPr>
            <w:rFonts w:eastAsiaTheme="minorEastAsia" w:cstheme="minorBidi"/>
            <w:noProof/>
            <w:kern w:val="2"/>
            <w:sz w:val="24"/>
            <w:szCs w:val="24"/>
            <w:lang w:eastAsia="de-DE"/>
            <w14:ligatures w14:val="standardContextual"/>
          </w:rPr>
          <w:tab/>
        </w:r>
        <w:r w:rsidRPr="001466B2">
          <w:rPr>
            <w:rStyle w:val="Hyperlink"/>
            <w:noProof/>
          </w:rPr>
          <w:t>Prognose</w:t>
        </w:r>
        <w:r w:rsidRPr="001466B2">
          <w:rPr>
            <w:noProof/>
            <w:webHidden/>
          </w:rPr>
          <w:tab/>
        </w:r>
        <w:r w:rsidRPr="001466B2">
          <w:rPr>
            <w:noProof/>
            <w:webHidden/>
          </w:rPr>
          <w:fldChar w:fldCharType="begin"/>
        </w:r>
        <w:r w:rsidRPr="001466B2">
          <w:rPr>
            <w:noProof/>
            <w:webHidden/>
          </w:rPr>
          <w:instrText xml:space="preserve"> PAGEREF _Toc158006518 \h </w:instrText>
        </w:r>
        <w:r w:rsidRPr="001466B2">
          <w:rPr>
            <w:noProof/>
            <w:webHidden/>
          </w:rPr>
        </w:r>
        <w:r w:rsidRPr="001466B2">
          <w:rPr>
            <w:noProof/>
            <w:webHidden/>
          </w:rPr>
          <w:fldChar w:fldCharType="separate"/>
        </w:r>
        <w:r w:rsidR="00F67803" w:rsidRPr="001466B2">
          <w:rPr>
            <w:noProof/>
            <w:webHidden/>
          </w:rPr>
          <w:t>- 25 -</w:t>
        </w:r>
        <w:r w:rsidRPr="001466B2">
          <w:rPr>
            <w:noProof/>
            <w:webHidden/>
          </w:rPr>
          <w:fldChar w:fldCharType="end"/>
        </w:r>
      </w:hyperlink>
    </w:p>
    <w:p w14:paraId="446C3EED" w14:textId="11273248" w:rsidR="006C46DC" w:rsidRPr="001466B2" w:rsidRDefault="006C46DC">
      <w:pPr>
        <w:pStyle w:val="Verzeichnis2"/>
        <w:tabs>
          <w:tab w:val="left" w:pos="720"/>
          <w:tab w:val="right" w:pos="9060"/>
        </w:tabs>
        <w:rPr>
          <w:rFonts w:eastAsiaTheme="minorEastAsia" w:cstheme="minorBidi"/>
          <w:b w:val="0"/>
          <w:bCs w:val="0"/>
          <w:noProof/>
          <w:kern w:val="2"/>
          <w:sz w:val="24"/>
          <w:szCs w:val="24"/>
          <w:lang w:eastAsia="de-DE"/>
          <w14:ligatures w14:val="standardContextual"/>
        </w:rPr>
      </w:pPr>
      <w:hyperlink w:anchor="_Toc158006519" w:history="1">
        <w:r w:rsidRPr="001466B2">
          <w:rPr>
            <w:rStyle w:val="Hyperlink"/>
            <w:noProof/>
          </w:rPr>
          <w:t>1.2</w:t>
        </w:r>
        <w:r w:rsidRPr="001466B2">
          <w:rPr>
            <w:rFonts w:eastAsiaTheme="minorEastAsia" w:cstheme="minorBidi"/>
            <w:b w:val="0"/>
            <w:bCs w:val="0"/>
            <w:noProof/>
            <w:kern w:val="2"/>
            <w:sz w:val="24"/>
            <w:szCs w:val="24"/>
            <w:lang w:eastAsia="de-DE"/>
            <w14:ligatures w14:val="standardContextual"/>
          </w:rPr>
          <w:tab/>
        </w:r>
        <w:r w:rsidRPr="001466B2">
          <w:rPr>
            <w:rStyle w:val="Hyperlink"/>
            <w:rFonts w:cs="Arial"/>
            <w:noProof/>
          </w:rPr>
          <w:t>Tumorstammzellen &amp; Tumorstammzelltheorie</w:t>
        </w:r>
        <w:r w:rsidRPr="001466B2">
          <w:rPr>
            <w:noProof/>
            <w:webHidden/>
          </w:rPr>
          <w:tab/>
        </w:r>
        <w:r w:rsidRPr="001466B2">
          <w:rPr>
            <w:noProof/>
            <w:webHidden/>
          </w:rPr>
          <w:fldChar w:fldCharType="begin"/>
        </w:r>
        <w:r w:rsidRPr="001466B2">
          <w:rPr>
            <w:noProof/>
            <w:webHidden/>
          </w:rPr>
          <w:instrText xml:space="preserve"> PAGEREF _Toc158006519 \h </w:instrText>
        </w:r>
        <w:r w:rsidRPr="001466B2">
          <w:rPr>
            <w:noProof/>
            <w:webHidden/>
          </w:rPr>
        </w:r>
        <w:r w:rsidRPr="001466B2">
          <w:rPr>
            <w:noProof/>
            <w:webHidden/>
          </w:rPr>
          <w:fldChar w:fldCharType="separate"/>
        </w:r>
        <w:r w:rsidR="00F67803" w:rsidRPr="001466B2">
          <w:rPr>
            <w:noProof/>
            <w:webHidden/>
          </w:rPr>
          <w:t>- 30 -</w:t>
        </w:r>
        <w:r w:rsidRPr="001466B2">
          <w:rPr>
            <w:noProof/>
            <w:webHidden/>
          </w:rPr>
          <w:fldChar w:fldCharType="end"/>
        </w:r>
      </w:hyperlink>
    </w:p>
    <w:p w14:paraId="07B6DD59" w14:textId="26B7AED5" w:rsidR="006C46DC" w:rsidRPr="001466B2" w:rsidRDefault="006C46DC">
      <w:pPr>
        <w:pStyle w:val="Verzeichnis2"/>
        <w:tabs>
          <w:tab w:val="left" w:pos="720"/>
          <w:tab w:val="right" w:pos="9060"/>
        </w:tabs>
        <w:rPr>
          <w:rFonts w:eastAsiaTheme="minorEastAsia" w:cstheme="minorBidi"/>
          <w:b w:val="0"/>
          <w:bCs w:val="0"/>
          <w:noProof/>
          <w:kern w:val="2"/>
          <w:sz w:val="24"/>
          <w:szCs w:val="24"/>
          <w:lang w:eastAsia="de-DE"/>
          <w14:ligatures w14:val="standardContextual"/>
        </w:rPr>
      </w:pPr>
      <w:hyperlink w:anchor="_Toc158006520" w:history="1">
        <w:r w:rsidRPr="001466B2">
          <w:rPr>
            <w:rStyle w:val="Hyperlink"/>
            <w:noProof/>
          </w:rPr>
          <w:t>1.3</w:t>
        </w:r>
        <w:r w:rsidRPr="001466B2">
          <w:rPr>
            <w:rFonts w:eastAsiaTheme="minorEastAsia" w:cstheme="minorBidi"/>
            <w:b w:val="0"/>
            <w:bCs w:val="0"/>
            <w:noProof/>
            <w:kern w:val="2"/>
            <w:sz w:val="24"/>
            <w:szCs w:val="24"/>
            <w:lang w:eastAsia="de-DE"/>
            <w14:ligatures w14:val="standardContextual"/>
          </w:rPr>
          <w:tab/>
        </w:r>
        <w:r w:rsidRPr="001466B2">
          <w:rPr>
            <w:rStyle w:val="Hyperlink"/>
            <w:rFonts w:cs="Arial"/>
            <w:noProof/>
          </w:rPr>
          <w:t>Tumorstammzellen als Biomarker für die Individualisierung in der Strahlentherapie</w:t>
        </w:r>
        <w:r w:rsidRPr="001466B2">
          <w:rPr>
            <w:noProof/>
            <w:webHidden/>
          </w:rPr>
          <w:tab/>
        </w:r>
        <w:r w:rsidRPr="001466B2">
          <w:rPr>
            <w:noProof/>
            <w:webHidden/>
          </w:rPr>
          <w:fldChar w:fldCharType="begin"/>
        </w:r>
        <w:r w:rsidRPr="001466B2">
          <w:rPr>
            <w:noProof/>
            <w:webHidden/>
          </w:rPr>
          <w:instrText xml:space="preserve"> PAGEREF _Toc158006520 \h </w:instrText>
        </w:r>
        <w:r w:rsidRPr="001466B2">
          <w:rPr>
            <w:noProof/>
            <w:webHidden/>
          </w:rPr>
        </w:r>
        <w:r w:rsidRPr="001466B2">
          <w:rPr>
            <w:noProof/>
            <w:webHidden/>
          </w:rPr>
          <w:fldChar w:fldCharType="separate"/>
        </w:r>
        <w:r w:rsidR="00F67803" w:rsidRPr="001466B2">
          <w:rPr>
            <w:noProof/>
            <w:webHidden/>
          </w:rPr>
          <w:t>- 31 -</w:t>
        </w:r>
        <w:r w:rsidRPr="001466B2">
          <w:rPr>
            <w:noProof/>
            <w:webHidden/>
          </w:rPr>
          <w:fldChar w:fldCharType="end"/>
        </w:r>
      </w:hyperlink>
    </w:p>
    <w:p w14:paraId="0D564B3E" w14:textId="721F3234" w:rsidR="006C46DC" w:rsidRPr="001466B2" w:rsidRDefault="006C46DC">
      <w:pPr>
        <w:pStyle w:val="Verzeichnis2"/>
        <w:tabs>
          <w:tab w:val="left" w:pos="720"/>
          <w:tab w:val="right" w:pos="9060"/>
        </w:tabs>
        <w:rPr>
          <w:rFonts w:eastAsiaTheme="minorEastAsia" w:cstheme="minorBidi"/>
          <w:b w:val="0"/>
          <w:bCs w:val="0"/>
          <w:noProof/>
          <w:kern w:val="2"/>
          <w:sz w:val="24"/>
          <w:szCs w:val="24"/>
          <w:lang w:eastAsia="de-DE"/>
          <w14:ligatures w14:val="standardContextual"/>
        </w:rPr>
      </w:pPr>
      <w:hyperlink w:anchor="_Toc158006521" w:history="1">
        <w:r w:rsidRPr="001466B2">
          <w:rPr>
            <w:rStyle w:val="Hyperlink"/>
            <w:noProof/>
          </w:rPr>
          <w:t>1.4</w:t>
        </w:r>
        <w:r w:rsidRPr="001466B2">
          <w:rPr>
            <w:rFonts w:eastAsiaTheme="minorEastAsia" w:cstheme="minorBidi"/>
            <w:b w:val="0"/>
            <w:bCs w:val="0"/>
            <w:noProof/>
            <w:kern w:val="2"/>
            <w:sz w:val="24"/>
            <w:szCs w:val="24"/>
            <w:lang w:eastAsia="de-DE"/>
            <w14:ligatures w14:val="standardContextual"/>
          </w:rPr>
          <w:tab/>
        </w:r>
        <w:r w:rsidRPr="001466B2">
          <w:rPr>
            <w:rStyle w:val="Hyperlink"/>
            <w:noProof/>
            <w:shd w:val="clear" w:color="auto" w:fill="242424"/>
          </w:rPr>
          <w:t>Forschungsstand und Forschungslücken</w:t>
        </w:r>
        <w:r w:rsidRPr="001466B2">
          <w:rPr>
            <w:noProof/>
            <w:webHidden/>
          </w:rPr>
          <w:tab/>
        </w:r>
        <w:r w:rsidRPr="001466B2">
          <w:rPr>
            <w:noProof/>
            <w:webHidden/>
          </w:rPr>
          <w:fldChar w:fldCharType="begin"/>
        </w:r>
        <w:r w:rsidRPr="001466B2">
          <w:rPr>
            <w:noProof/>
            <w:webHidden/>
          </w:rPr>
          <w:instrText xml:space="preserve"> PAGEREF _Toc158006521 \h </w:instrText>
        </w:r>
        <w:r w:rsidRPr="001466B2">
          <w:rPr>
            <w:noProof/>
            <w:webHidden/>
          </w:rPr>
        </w:r>
        <w:r w:rsidRPr="001466B2">
          <w:rPr>
            <w:noProof/>
            <w:webHidden/>
          </w:rPr>
          <w:fldChar w:fldCharType="separate"/>
        </w:r>
        <w:r w:rsidR="00F67803" w:rsidRPr="001466B2">
          <w:rPr>
            <w:noProof/>
            <w:webHidden/>
          </w:rPr>
          <w:t>- 33 -</w:t>
        </w:r>
        <w:r w:rsidRPr="001466B2">
          <w:rPr>
            <w:noProof/>
            <w:webHidden/>
          </w:rPr>
          <w:fldChar w:fldCharType="end"/>
        </w:r>
      </w:hyperlink>
    </w:p>
    <w:p w14:paraId="42914DEF" w14:textId="77D7EF15"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22" w:history="1">
        <w:r w:rsidRPr="001466B2">
          <w:rPr>
            <w:rStyle w:val="Hyperlink"/>
            <w:noProof/>
          </w:rPr>
          <w:t>1.4.1</w:t>
        </w:r>
        <w:r w:rsidRPr="001466B2">
          <w:rPr>
            <w:rFonts w:eastAsiaTheme="minorEastAsia" w:cstheme="minorBidi"/>
            <w:noProof/>
            <w:kern w:val="2"/>
            <w:sz w:val="24"/>
            <w:szCs w:val="24"/>
            <w:lang w:eastAsia="de-DE"/>
            <w14:ligatures w14:val="standardContextual"/>
          </w:rPr>
          <w:tab/>
        </w:r>
        <w:r w:rsidRPr="001466B2">
          <w:rPr>
            <w:rStyle w:val="Hyperlink"/>
            <w:noProof/>
          </w:rPr>
          <w:t>Aktuelle Erkenntnisse zur Rolle von CD44 in HNSCC</w:t>
        </w:r>
        <w:r w:rsidRPr="001466B2">
          <w:rPr>
            <w:noProof/>
            <w:webHidden/>
          </w:rPr>
          <w:tab/>
        </w:r>
        <w:r w:rsidRPr="001466B2">
          <w:rPr>
            <w:noProof/>
            <w:webHidden/>
          </w:rPr>
          <w:fldChar w:fldCharType="begin"/>
        </w:r>
        <w:r w:rsidRPr="001466B2">
          <w:rPr>
            <w:noProof/>
            <w:webHidden/>
          </w:rPr>
          <w:instrText xml:space="preserve"> PAGEREF _Toc158006522 \h </w:instrText>
        </w:r>
        <w:r w:rsidRPr="001466B2">
          <w:rPr>
            <w:noProof/>
            <w:webHidden/>
          </w:rPr>
        </w:r>
        <w:r w:rsidRPr="001466B2">
          <w:rPr>
            <w:noProof/>
            <w:webHidden/>
          </w:rPr>
          <w:fldChar w:fldCharType="separate"/>
        </w:r>
        <w:r w:rsidR="00F67803" w:rsidRPr="001466B2">
          <w:rPr>
            <w:noProof/>
            <w:webHidden/>
          </w:rPr>
          <w:t>- 33 -</w:t>
        </w:r>
        <w:r w:rsidRPr="001466B2">
          <w:rPr>
            <w:noProof/>
            <w:webHidden/>
          </w:rPr>
          <w:fldChar w:fldCharType="end"/>
        </w:r>
      </w:hyperlink>
    </w:p>
    <w:p w14:paraId="5B679D71" w14:textId="2B8B696F"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23" w:history="1">
        <w:r w:rsidRPr="001466B2">
          <w:rPr>
            <w:rStyle w:val="Hyperlink"/>
            <w:noProof/>
          </w:rPr>
          <w:t>1.4.2</w:t>
        </w:r>
        <w:r w:rsidRPr="001466B2">
          <w:rPr>
            <w:rFonts w:eastAsiaTheme="minorEastAsia" w:cstheme="minorBidi"/>
            <w:noProof/>
            <w:kern w:val="2"/>
            <w:sz w:val="24"/>
            <w:szCs w:val="24"/>
            <w:lang w:eastAsia="de-DE"/>
            <w14:ligatures w14:val="standardContextual"/>
          </w:rPr>
          <w:tab/>
        </w:r>
        <w:r w:rsidRPr="001466B2">
          <w:rPr>
            <w:rStyle w:val="Hyperlink"/>
            <w:noProof/>
            <w:shd w:val="clear" w:color="auto" w:fill="242424"/>
          </w:rPr>
          <w:t>Vorhandene Studien zur CD44-Expression und klinischen Endpunkten bei HNSCC</w:t>
        </w:r>
        <w:r w:rsidRPr="001466B2">
          <w:rPr>
            <w:noProof/>
            <w:webHidden/>
          </w:rPr>
          <w:tab/>
        </w:r>
        <w:r w:rsidRPr="001466B2">
          <w:rPr>
            <w:noProof/>
            <w:webHidden/>
          </w:rPr>
          <w:fldChar w:fldCharType="begin"/>
        </w:r>
        <w:r w:rsidRPr="001466B2">
          <w:rPr>
            <w:noProof/>
            <w:webHidden/>
          </w:rPr>
          <w:instrText xml:space="preserve"> PAGEREF _Toc158006523 \h </w:instrText>
        </w:r>
        <w:r w:rsidRPr="001466B2">
          <w:rPr>
            <w:noProof/>
            <w:webHidden/>
          </w:rPr>
        </w:r>
        <w:r w:rsidRPr="001466B2">
          <w:rPr>
            <w:noProof/>
            <w:webHidden/>
          </w:rPr>
          <w:fldChar w:fldCharType="separate"/>
        </w:r>
        <w:r w:rsidR="00F67803" w:rsidRPr="001466B2">
          <w:rPr>
            <w:noProof/>
            <w:webHidden/>
          </w:rPr>
          <w:t>- 34 -</w:t>
        </w:r>
        <w:r w:rsidRPr="001466B2">
          <w:rPr>
            <w:noProof/>
            <w:webHidden/>
          </w:rPr>
          <w:fldChar w:fldCharType="end"/>
        </w:r>
      </w:hyperlink>
    </w:p>
    <w:p w14:paraId="310FED2A" w14:textId="46BBD5FE"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24" w:history="1">
        <w:r w:rsidRPr="001466B2">
          <w:rPr>
            <w:rStyle w:val="Hyperlink"/>
            <w:noProof/>
          </w:rPr>
          <w:t>1.4.3</w:t>
        </w:r>
        <w:r w:rsidRPr="001466B2">
          <w:rPr>
            <w:rFonts w:eastAsiaTheme="minorEastAsia" w:cstheme="minorBidi"/>
            <w:noProof/>
            <w:kern w:val="2"/>
            <w:sz w:val="24"/>
            <w:szCs w:val="24"/>
            <w:lang w:eastAsia="de-DE"/>
            <w14:ligatures w14:val="standardContextual"/>
          </w:rPr>
          <w:tab/>
        </w:r>
        <w:r w:rsidRPr="001466B2">
          <w:rPr>
            <w:rStyle w:val="Hyperlink"/>
            <w:noProof/>
            <w:shd w:val="clear" w:color="auto" w:fill="242424"/>
          </w:rPr>
          <w:t>Forschungslücken</w:t>
        </w:r>
        <w:r w:rsidRPr="001466B2">
          <w:rPr>
            <w:noProof/>
            <w:webHidden/>
          </w:rPr>
          <w:tab/>
        </w:r>
        <w:r w:rsidRPr="001466B2">
          <w:rPr>
            <w:noProof/>
            <w:webHidden/>
          </w:rPr>
          <w:fldChar w:fldCharType="begin"/>
        </w:r>
        <w:r w:rsidRPr="001466B2">
          <w:rPr>
            <w:noProof/>
            <w:webHidden/>
          </w:rPr>
          <w:instrText xml:space="preserve"> PAGEREF _Toc158006524 \h </w:instrText>
        </w:r>
        <w:r w:rsidRPr="001466B2">
          <w:rPr>
            <w:noProof/>
            <w:webHidden/>
          </w:rPr>
        </w:r>
        <w:r w:rsidRPr="001466B2">
          <w:rPr>
            <w:noProof/>
            <w:webHidden/>
          </w:rPr>
          <w:fldChar w:fldCharType="separate"/>
        </w:r>
        <w:r w:rsidR="00F67803" w:rsidRPr="001466B2">
          <w:rPr>
            <w:noProof/>
            <w:webHidden/>
          </w:rPr>
          <w:t>- 38 -</w:t>
        </w:r>
        <w:r w:rsidRPr="001466B2">
          <w:rPr>
            <w:noProof/>
            <w:webHidden/>
          </w:rPr>
          <w:fldChar w:fldCharType="end"/>
        </w:r>
      </w:hyperlink>
    </w:p>
    <w:p w14:paraId="4B0A3A6D" w14:textId="2DBF356C" w:rsidR="006C46DC" w:rsidRPr="001466B2" w:rsidRDefault="006C46DC">
      <w:pPr>
        <w:pStyle w:val="Verzeichnis1"/>
        <w:tabs>
          <w:tab w:val="left" w:pos="480"/>
          <w:tab w:val="right" w:pos="9060"/>
        </w:tabs>
        <w:rPr>
          <w:rFonts w:asciiTheme="minorHAnsi" w:eastAsiaTheme="minorEastAsia" w:hAnsiTheme="minorHAnsi" w:cstheme="minorBidi"/>
          <w:b w:val="0"/>
          <w:bCs w:val="0"/>
          <w:caps w:val="0"/>
          <w:noProof/>
          <w:kern w:val="2"/>
          <w:lang w:eastAsia="de-DE"/>
          <w14:ligatures w14:val="standardContextual"/>
        </w:rPr>
      </w:pPr>
      <w:hyperlink w:anchor="_Toc158006525" w:history="1">
        <w:r w:rsidRPr="001466B2">
          <w:rPr>
            <w:rStyle w:val="Hyperlink"/>
            <w:noProof/>
          </w:rPr>
          <w:t>2</w:t>
        </w:r>
        <w:r w:rsidRPr="001466B2">
          <w:rPr>
            <w:rFonts w:asciiTheme="minorHAnsi" w:eastAsiaTheme="minorEastAsia" w:hAnsiTheme="minorHAnsi" w:cstheme="minorBidi"/>
            <w:b w:val="0"/>
            <w:bCs w:val="0"/>
            <w:caps w:val="0"/>
            <w:noProof/>
            <w:kern w:val="2"/>
            <w:lang w:eastAsia="de-DE"/>
            <w14:ligatures w14:val="standardContextual"/>
          </w:rPr>
          <w:tab/>
        </w:r>
        <w:r w:rsidRPr="001466B2">
          <w:rPr>
            <w:rStyle w:val="Hyperlink"/>
            <w:rFonts w:cs="Arial"/>
            <w:noProof/>
          </w:rPr>
          <w:t>Fragestellung/Hypothese</w:t>
        </w:r>
        <w:r w:rsidRPr="001466B2">
          <w:rPr>
            <w:noProof/>
            <w:webHidden/>
          </w:rPr>
          <w:tab/>
        </w:r>
        <w:r w:rsidRPr="001466B2">
          <w:rPr>
            <w:noProof/>
            <w:webHidden/>
          </w:rPr>
          <w:fldChar w:fldCharType="begin"/>
        </w:r>
        <w:r w:rsidRPr="001466B2">
          <w:rPr>
            <w:noProof/>
            <w:webHidden/>
          </w:rPr>
          <w:instrText xml:space="preserve"> PAGEREF _Toc158006525 \h </w:instrText>
        </w:r>
        <w:r w:rsidRPr="001466B2">
          <w:rPr>
            <w:noProof/>
            <w:webHidden/>
          </w:rPr>
        </w:r>
        <w:r w:rsidRPr="001466B2">
          <w:rPr>
            <w:noProof/>
            <w:webHidden/>
          </w:rPr>
          <w:fldChar w:fldCharType="separate"/>
        </w:r>
        <w:r w:rsidR="00F67803" w:rsidRPr="001466B2">
          <w:rPr>
            <w:noProof/>
            <w:webHidden/>
          </w:rPr>
          <w:t>- 38 -</w:t>
        </w:r>
        <w:r w:rsidRPr="001466B2">
          <w:rPr>
            <w:noProof/>
            <w:webHidden/>
          </w:rPr>
          <w:fldChar w:fldCharType="end"/>
        </w:r>
      </w:hyperlink>
    </w:p>
    <w:p w14:paraId="62703D17" w14:textId="61A14A30" w:rsidR="006C46DC" w:rsidRPr="001466B2" w:rsidRDefault="006C46DC">
      <w:pPr>
        <w:pStyle w:val="Verzeichnis1"/>
        <w:tabs>
          <w:tab w:val="left" w:pos="480"/>
          <w:tab w:val="right" w:pos="9060"/>
        </w:tabs>
        <w:rPr>
          <w:rFonts w:asciiTheme="minorHAnsi" w:eastAsiaTheme="minorEastAsia" w:hAnsiTheme="minorHAnsi" w:cstheme="minorBidi"/>
          <w:b w:val="0"/>
          <w:bCs w:val="0"/>
          <w:caps w:val="0"/>
          <w:noProof/>
          <w:kern w:val="2"/>
          <w:lang w:eastAsia="de-DE"/>
          <w14:ligatures w14:val="standardContextual"/>
        </w:rPr>
      </w:pPr>
      <w:hyperlink w:anchor="_Toc158006526" w:history="1">
        <w:r w:rsidRPr="001466B2">
          <w:rPr>
            <w:rStyle w:val="Hyperlink"/>
            <w:noProof/>
          </w:rPr>
          <w:t>3</w:t>
        </w:r>
        <w:r w:rsidRPr="001466B2">
          <w:rPr>
            <w:rFonts w:asciiTheme="minorHAnsi" w:eastAsiaTheme="minorEastAsia" w:hAnsiTheme="minorHAnsi" w:cstheme="minorBidi"/>
            <w:b w:val="0"/>
            <w:bCs w:val="0"/>
            <w:caps w:val="0"/>
            <w:noProof/>
            <w:kern w:val="2"/>
            <w:lang w:eastAsia="de-DE"/>
            <w14:ligatures w14:val="standardContextual"/>
          </w:rPr>
          <w:tab/>
        </w:r>
        <w:r w:rsidRPr="001466B2">
          <w:rPr>
            <w:rStyle w:val="Hyperlink"/>
            <w:rFonts w:cs="Arial"/>
            <w:noProof/>
          </w:rPr>
          <w:t>Material und Methoden</w:t>
        </w:r>
        <w:r w:rsidRPr="001466B2">
          <w:rPr>
            <w:noProof/>
            <w:webHidden/>
          </w:rPr>
          <w:tab/>
        </w:r>
        <w:r w:rsidRPr="001466B2">
          <w:rPr>
            <w:noProof/>
            <w:webHidden/>
          </w:rPr>
          <w:fldChar w:fldCharType="begin"/>
        </w:r>
        <w:r w:rsidRPr="001466B2">
          <w:rPr>
            <w:noProof/>
            <w:webHidden/>
          </w:rPr>
          <w:instrText xml:space="preserve"> PAGEREF _Toc158006526 \h </w:instrText>
        </w:r>
        <w:r w:rsidRPr="001466B2">
          <w:rPr>
            <w:noProof/>
            <w:webHidden/>
          </w:rPr>
        </w:r>
        <w:r w:rsidRPr="001466B2">
          <w:rPr>
            <w:noProof/>
            <w:webHidden/>
          </w:rPr>
          <w:fldChar w:fldCharType="separate"/>
        </w:r>
        <w:r w:rsidR="00F67803" w:rsidRPr="001466B2">
          <w:rPr>
            <w:noProof/>
            <w:webHidden/>
          </w:rPr>
          <w:t>- 41 -</w:t>
        </w:r>
        <w:r w:rsidRPr="001466B2">
          <w:rPr>
            <w:noProof/>
            <w:webHidden/>
          </w:rPr>
          <w:fldChar w:fldCharType="end"/>
        </w:r>
      </w:hyperlink>
    </w:p>
    <w:p w14:paraId="06E47EDD" w14:textId="5FA7C789" w:rsidR="006C46DC" w:rsidRPr="001466B2" w:rsidRDefault="006C46DC">
      <w:pPr>
        <w:pStyle w:val="Verzeichnis2"/>
        <w:tabs>
          <w:tab w:val="left" w:pos="720"/>
          <w:tab w:val="right" w:pos="9060"/>
        </w:tabs>
        <w:rPr>
          <w:rFonts w:eastAsiaTheme="minorEastAsia" w:cstheme="minorBidi"/>
          <w:b w:val="0"/>
          <w:bCs w:val="0"/>
          <w:noProof/>
          <w:kern w:val="2"/>
          <w:sz w:val="24"/>
          <w:szCs w:val="24"/>
          <w:lang w:eastAsia="de-DE"/>
          <w14:ligatures w14:val="standardContextual"/>
        </w:rPr>
      </w:pPr>
      <w:hyperlink w:anchor="_Toc158006527" w:history="1">
        <w:r w:rsidRPr="001466B2">
          <w:rPr>
            <w:rStyle w:val="Hyperlink"/>
            <w:noProof/>
          </w:rPr>
          <w:t>3.1</w:t>
        </w:r>
        <w:r w:rsidRPr="001466B2">
          <w:rPr>
            <w:rFonts w:eastAsiaTheme="minorEastAsia" w:cstheme="minorBidi"/>
            <w:b w:val="0"/>
            <w:bCs w:val="0"/>
            <w:noProof/>
            <w:kern w:val="2"/>
            <w:sz w:val="24"/>
            <w:szCs w:val="24"/>
            <w:lang w:eastAsia="de-DE"/>
            <w14:ligatures w14:val="standardContextual"/>
          </w:rPr>
          <w:tab/>
        </w:r>
        <w:r w:rsidRPr="001466B2">
          <w:rPr>
            <w:rStyle w:val="Hyperlink"/>
            <w:rFonts w:cs="Arial"/>
            <w:noProof/>
          </w:rPr>
          <w:t>Studiendesign</w:t>
        </w:r>
        <w:r w:rsidRPr="001466B2">
          <w:rPr>
            <w:noProof/>
            <w:webHidden/>
          </w:rPr>
          <w:tab/>
        </w:r>
        <w:r w:rsidRPr="001466B2">
          <w:rPr>
            <w:noProof/>
            <w:webHidden/>
          </w:rPr>
          <w:fldChar w:fldCharType="begin"/>
        </w:r>
        <w:r w:rsidRPr="001466B2">
          <w:rPr>
            <w:noProof/>
            <w:webHidden/>
          </w:rPr>
          <w:instrText xml:space="preserve"> PAGEREF _Toc158006527 \h </w:instrText>
        </w:r>
        <w:r w:rsidRPr="001466B2">
          <w:rPr>
            <w:noProof/>
            <w:webHidden/>
          </w:rPr>
        </w:r>
        <w:r w:rsidRPr="001466B2">
          <w:rPr>
            <w:noProof/>
            <w:webHidden/>
          </w:rPr>
          <w:fldChar w:fldCharType="separate"/>
        </w:r>
        <w:r w:rsidR="00F67803" w:rsidRPr="001466B2">
          <w:rPr>
            <w:noProof/>
            <w:webHidden/>
          </w:rPr>
          <w:t>- 41 -</w:t>
        </w:r>
        <w:r w:rsidRPr="001466B2">
          <w:rPr>
            <w:noProof/>
            <w:webHidden/>
          </w:rPr>
          <w:fldChar w:fldCharType="end"/>
        </w:r>
      </w:hyperlink>
    </w:p>
    <w:p w14:paraId="06E3A028" w14:textId="6013A305" w:rsidR="006C46DC" w:rsidRPr="001466B2" w:rsidRDefault="006C46DC">
      <w:pPr>
        <w:pStyle w:val="Verzeichnis2"/>
        <w:tabs>
          <w:tab w:val="left" w:pos="720"/>
          <w:tab w:val="right" w:pos="9060"/>
        </w:tabs>
        <w:rPr>
          <w:rFonts w:eastAsiaTheme="minorEastAsia" w:cstheme="minorBidi"/>
          <w:b w:val="0"/>
          <w:bCs w:val="0"/>
          <w:noProof/>
          <w:kern w:val="2"/>
          <w:sz w:val="24"/>
          <w:szCs w:val="24"/>
          <w:lang w:eastAsia="de-DE"/>
          <w14:ligatures w14:val="standardContextual"/>
        </w:rPr>
      </w:pPr>
      <w:hyperlink w:anchor="_Toc158006528" w:history="1">
        <w:r w:rsidRPr="001466B2">
          <w:rPr>
            <w:rStyle w:val="Hyperlink"/>
            <w:noProof/>
          </w:rPr>
          <w:t>3.2</w:t>
        </w:r>
        <w:r w:rsidRPr="001466B2">
          <w:rPr>
            <w:rFonts w:eastAsiaTheme="minorEastAsia" w:cstheme="minorBidi"/>
            <w:b w:val="0"/>
            <w:bCs w:val="0"/>
            <w:noProof/>
            <w:kern w:val="2"/>
            <w:sz w:val="24"/>
            <w:szCs w:val="24"/>
            <w:lang w:eastAsia="de-DE"/>
            <w14:ligatures w14:val="standardContextual"/>
          </w:rPr>
          <w:tab/>
        </w:r>
        <w:r w:rsidRPr="001466B2">
          <w:rPr>
            <w:rStyle w:val="Hyperlink"/>
            <w:rFonts w:cs="Arial"/>
            <w:noProof/>
          </w:rPr>
          <w:t>Patientenkollektiv und Tumormaterial</w:t>
        </w:r>
        <w:r w:rsidRPr="001466B2">
          <w:rPr>
            <w:noProof/>
            <w:webHidden/>
          </w:rPr>
          <w:tab/>
        </w:r>
        <w:r w:rsidRPr="001466B2">
          <w:rPr>
            <w:noProof/>
            <w:webHidden/>
          </w:rPr>
          <w:fldChar w:fldCharType="begin"/>
        </w:r>
        <w:r w:rsidRPr="001466B2">
          <w:rPr>
            <w:noProof/>
            <w:webHidden/>
          </w:rPr>
          <w:instrText xml:space="preserve"> PAGEREF _Toc158006528 \h </w:instrText>
        </w:r>
        <w:r w:rsidRPr="001466B2">
          <w:rPr>
            <w:noProof/>
            <w:webHidden/>
          </w:rPr>
        </w:r>
        <w:r w:rsidRPr="001466B2">
          <w:rPr>
            <w:noProof/>
            <w:webHidden/>
          </w:rPr>
          <w:fldChar w:fldCharType="separate"/>
        </w:r>
        <w:r w:rsidR="00F67803" w:rsidRPr="001466B2">
          <w:rPr>
            <w:noProof/>
            <w:webHidden/>
          </w:rPr>
          <w:t>- 42 -</w:t>
        </w:r>
        <w:r w:rsidRPr="001466B2">
          <w:rPr>
            <w:noProof/>
            <w:webHidden/>
          </w:rPr>
          <w:fldChar w:fldCharType="end"/>
        </w:r>
      </w:hyperlink>
    </w:p>
    <w:p w14:paraId="6583D706" w14:textId="7F916E92" w:rsidR="006C46DC" w:rsidRPr="001466B2" w:rsidRDefault="006C46DC">
      <w:pPr>
        <w:pStyle w:val="Verzeichnis2"/>
        <w:tabs>
          <w:tab w:val="left" w:pos="720"/>
          <w:tab w:val="right" w:pos="9060"/>
        </w:tabs>
        <w:rPr>
          <w:rFonts w:eastAsiaTheme="minorEastAsia" w:cstheme="minorBidi"/>
          <w:b w:val="0"/>
          <w:bCs w:val="0"/>
          <w:noProof/>
          <w:kern w:val="2"/>
          <w:sz w:val="24"/>
          <w:szCs w:val="24"/>
          <w:lang w:eastAsia="de-DE"/>
          <w14:ligatures w14:val="standardContextual"/>
        </w:rPr>
      </w:pPr>
      <w:hyperlink w:anchor="_Toc158006529" w:history="1">
        <w:r w:rsidRPr="001466B2">
          <w:rPr>
            <w:rStyle w:val="Hyperlink"/>
            <w:noProof/>
          </w:rPr>
          <w:t>3.3</w:t>
        </w:r>
        <w:r w:rsidRPr="001466B2">
          <w:rPr>
            <w:rFonts w:eastAsiaTheme="minorEastAsia" w:cstheme="minorBidi"/>
            <w:b w:val="0"/>
            <w:bCs w:val="0"/>
            <w:noProof/>
            <w:kern w:val="2"/>
            <w:sz w:val="24"/>
            <w:szCs w:val="24"/>
            <w:lang w:eastAsia="de-DE"/>
            <w14:ligatures w14:val="standardContextual"/>
          </w:rPr>
          <w:tab/>
        </w:r>
        <w:r w:rsidRPr="001466B2">
          <w:rPr>
            <w:rStyle w:val="Hyperlink"/>
            <w:rFonts w:cs="Arial"/>
            <w:noProof/>
          </w:rPr>
          <w:t>Immunhistologische Analysen</w:t>
        </w:r>
        <w:r w:rsidRPr="001466B2">
          <w:rPr>
            <w:noProof/>
            <w:webHidden/>
          </w:rPr>
          <w:tab/>
        </w:r>
        <w:r w:rsidRPr="001466B2">
          <w:rPr>
            <w:noProof/>
            <w:webHidden/>
          </w:rPr>
          <w:fldChar w:fldCharType="begin"/>
        </w:r>
        <w:r w:rsidRPr="001466B2">
          <w:rPr>
            <w:noProof/>
            <w:webHidden/>
          </w:rPr>
          <w:instrText xml:space="preserve"> PAGEREF _Toc158006529 \h </w:instrText>
        </w:r>
        <w:r w:rsidRPr="001466B2">
          <w:rPr>
            <w:noProof/>
            <w:webHidden/>
          </w:rPr>
        </w:r>
        <w:r w:rsidRPr="001466B2">
          <w:rPr>
            <w:noProof/>
            <w:webHidden/>
          </w:rPr>
          <w:fldChar w:fldCharType="separate"/>
        </w:r>
        <w:r w:rsidR="00F67803" w:rsidRPr="001466B2">
          <w:rPr>
            <w:noProof/>
            <w:webHidden/>
          </w:rPr>
          <w:t>- 43 -</w:t>
        </w:r>
        <w:r w:rsidRPr="001466B2">
          <w:rPr>
            <w:noProof/>
            <w:webHidden/>
          </w:rPr>
          <w:fldChar w:fldCharType="end"/>
        </w:r>
      </w:hyperlink>
    </w:p>
    <w:p w14:paraId="0DDCFFBD" w14:textId="3CE0BF08"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30" w:history="1">
        <w:r w:rsidRPr="001466B2">
          <w:rPr>
            <w:rStyle w:val="Hyperlink"/>
            <w:noProof/>
          </w:rPr>
          <w:t>3.3.1</w:t>
        </w:r>
        <w:r w:rsidRPr="001466B2">
          <w:rPr>
            <w:rFonts w:eastAsiaTheme="minorEastAsia" w:cstheme="minorBidi"/>
            <w:noProof/>
            <w:kern w:val="2"/>
            <w:sz w:val="24"/>
            <w:szCs w:val="24"/>
            <w:lang w:eastAsia="de-DE"/>
            <w14:ligatures w14:val="standardContextual"/>
          </w:rPr>
          <w:tab/>
        </w:r>
        <w:r w:rsidRPr="001466B2">
          <w:rPr>
            <w:rStyle w:val="Hyperlink"/>
            <w:noProof/>
          </w:rPr>
          <w:t>Tissue-Microarray</w:t>
        </w:r>
        <w:r w:rsidRPr="001466B2">
          <w:rPr>
            <w:noProof/>
            <w:webHidden/>
          </w:rPr>
          <w:tab/>
        </w:r>
        <w:r w:rsidRPr="001466B2">
          <w:rPr>
            <w:noProof/>
            <w:webHidden/>
          </w:rPr>
          <w:fldChar w:fldCharType="begin"/>
        </w:r>
        <w:r w:rsidRPr="001466B2">
          <w:rPr>
            <w:noProof/>
            <w:webHidden/>
          </w:rPr>
          <w:instrText xml:space="preserve"> PAGEREF _Toc158006530 \h </w:instrText>
        </w:r>
        <w:r w:rsidRPr="001466B2">
          <w:rPr>
            <w:noProof/>
            <w:webHidden/>
          </w:rPr>
        </w:r>
        <w:r w:rsidRPr="001466B2">
          <w:rPr>
            <w:noProof/>
            <w:webHidden/>
          </w:rPr>
          <w:fldChar w:fldCharType="separate"/>
        </w:r>
        <w:r w:rsidR="00F67803" w:rsidRPr="001466B2">
          <w:rPr>
            <w:noProof/>
            <w:webHidden/>
          </w:rPr>
          <w:t>- 43 -</w:t>
        </w:r>
        <w:r w:rsidRPr="001466B2">
          <w:rPr>
            <w:noProof/>
            <w:webHidden/>
          </w:rPr>
          <w:fldChar w:fldCharType="end"/>
        </w:r>
      </w:hyperlink>
    </w:p>
    <w:p w14:paraId="724BA11E" w14:textId="3D4E7D89"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31" w:history="1">
        <w:r w:rsidRPr="001466B2">
          <w:rPr>
            <w:rStyle w:val="Hyperlink"/>
            <w:noProof/>
          </w:rPr>
          <w:t>3.3.2</w:t>
        </w:r>
        <w:r w:rsidRPr="001466B2">
          <w:rPr>
            <w:rFonts w:eastAsiaTheme="minorEastAsia" w:cstheme="minorBidi"/>
            <w:noProof/>
            <w:kern w:val="2"/>
            <w:sz w:val="24"/>
            <w:szCs w:val="24"/>
            <w:lang w:eastAsia="de-DE"/>
            <w14:ligatures w14:val="standardContextual"/>
          </w:rPr>
          <w:tab/>
        </w:r>
        <w:r w:rsidRPr="001466B2">
          <w:rPr>
            <w:rStyle w:val="Hyperlink"/>
            <w:noProof/>
          </w:rPr>
          <w:t>Immunhistologische Reaktionen</w:t>
        </w:r>
        <w:r w:rsidRPr="001466B2">
          <w:rPr>
            <w:noProof/>
            <w:webHidden/>
          </w:rPr>
          <w:tab/>
        </w:r>
        <w:r w:rsidRPr="001466B2">
          <w:rPr>
            <w:noProof/>
            <w:webHidden/>
          </w:rPr>
          <w:fldChar w:fldCharType="begin"/>
        </w:r>
        <w:r w:rsidRPr="001466B2">
          <w:rPr>
            <w:noProof/>
            <w:webHidden/>
          </w:rPr>
          <w:instrText xml:space="preserve"> PAGEREF _Toc158006531 \h </w:instrText>
        </w:r>
        <w:r w:rsidRPr="001466B2">
          <w:rPr>
            <w:noProof/>
            <w:webHidden/>
          </w:rPr>
        </w:r>
        <w:r w:rsidRPr="001466B2">
          <w:rPr>
            <w:noProof/>
            <w:webHidden/>
          </w:rPr>
          <w:fldChar w:fldCharType="separate"/>
        </w:r>
        <w:r w:rsidR="00F67803" w:rsidRPr="001466B2">
          <w:rPr>
            <w:noProof/>
            <w:webHidden/>
          </w:rPr>
          <w:t>- 45 -</w:t>
        </w:r>
        <w:r w:rsidRPr="001466B2">
          <w:rPr>
            <w:noProof/>
            <w:webHidden/>
          </w:rPr>
          <w:fldChar w:fldCharType="end"/>
        </w:r>
      </w:hyperlink>
    </w:p>
    <w:p w14:paraId="5A70E339" w14:textId="4370EA63"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32" w:history="1">
        <w:r w:rsidRPr="001466B2">
          <w:rPr>
            <w:rStyle w:val="Hyperlink"/>
            <w:noProof/>
          </w:rPr>
          <w:t>3.3.3</w:t>
        </w:r>
        <w:r w:rsidRPr="001466B2">
          <w:rPr>
            <w:rFonts w:eastAsiaTheme="minorEastAsia" w:cstheme="minorBidi"/>
            <w:noProof/>
            <w:kern w:val="2"/>
            <w:sz w:val="24"/>
            <w:szCs w:val="24"/>
            <w:lang w:eastAsia="de-DE"/>
            <w14:ligatures w14:val="standardContextual"/>
          </w:rPr>
          <w:tab/>
        </w:r>
        <w:r w:rsidRPr="001466B2">
          <w:rPr>
            <w:rStyle w:val="Hyperlink"/>
            <w:noProof/>
          </w:rPr>
          <w:t>Immunhistologische Auswertung</w:t>
        </w:r>
        <w:r w:rsidRPr="001466B2">
          <w:rPr>
            <w:noProof/>
            <w:webHidden/>
          </w:rPr>
          <w:tab/>
        </w:r>
        <w:r w:rsidRPr="001466B2">
          <w:rPr>
            <w:noProof/>
            <w:webHidden/>
          </w:rPr>
          <w:fldChar w:fldCharType="begin"/>
        </w:r>
        <w:r w:rsidRPr="001466B2">
          <w:rPr>
            <w:noProof/>
            <w:webHidden/>
          </w:rPr>
          <w:instrText xml:space="preserve"> PAGEREF _Toc158006532 \h </w:instrText>
        </w:r>
        <w:r w:rsidRPr="001466B2">
          <w:rPr>
            <w:noProof/>
            <w:webHidden/>
          </w:rPr>
        </w:r>
        <w:r w:rsidRPr="001466B2">
          <w:rPr>
            <w:noProof/>
            <w:webHidden/>
          </w:rPr>
          <w:fldChar w:fldCharType="separate"/>
        </w:r>
        <w:r w:rsidR="00F67803" w:rsidRPr="001466B2">
          <w:rPr>
            <w:noProof/>
            <w:webHidden/>
          </w:rPr>
          <w:t>- 46 -</w:t>
        </w:r>
        <w:r w:rsidRPr="001466B2">
          <w:rPr>
            <w:noProof/>
            <w:webHidden/>
          </w:rPr>
          <w:fldChar w:fldCharType="end"/>
        </w:r>
      </w:hyperlink>
    </w:p>
    <w:p w14:paraId="37C9EE21" w14:textId="74FD3042" w:rsidR="006C46DC" w:rsidRPr="001466B2" w:rsidRDefault="006C46DC">
      <w:pPr>
        <w:pStyle w:val="Verzeichnis2"/>
        <w:tabs>
          <w:tab w:val="left" w:pos="720"/>
          <w:tab w:val="right" w:pos="9060"/>
        </w:tabs>
        <w:rPr>
          <w:rFonts w:eastAsiaTheme="minorEastAsia" w:cstheme="minorBidi"/>
          <w:b w:val="0"/>
          <w:bCs w:val="0"/>
          <w:noProof/>
          <w:kern w:val="2"/>
          <w:sz w:val="24"/>
          <w:szCs w:val="24"/>
          <w:lang w:eastAsia="de-DE"/>
          <w14:ligatures w14:val="standardContextual"/>
        </w:rPr>
      </w:pPr>
      <w:hyperlink w:anchor="_Toc158006533" w:history="1">
        <w:r w:rsidRPr="001466B2">
          <w:rPr>
            <w:rStyle w:val="Hyperlink"/>
            <w:noProof/>
          </w:rPr>
          <w:t>3.4</w:t>
        </w:r>
        <w:r w:rsidRPr="001466B2">
          <w:rPr>
            <w:rFonts w:eastAsiaTheme="minorEastAsia" w:cstheme="minorBidi"/>
            <w:b w:val="0"/>
            <w:bCs w:val="0"/>
            <w:noProof/>
            <w:kern w:val="2"/>
            <w:sz w:val="24"/>
            <w:szCs w:val="24"/>
            <w:lang w:eastAsia="de-DE"/>
            <w14:ligatures w14:val="standardContextual"/>
          </w:rPr>
          <w:tab/>
        </w:r>
        <w:r w:rsidRPr="001466B2">
          <w:rPr>
            <w:rStyle w:val="Hyperlink"/>
            <w:rFonts w:cs="Arial"/>
            <w:noProof/>
          </w:rPr>
          <w:t>Statistische Methoden und klinische Endpunkte</w:t>
        </w:r>
        <w:r w:rsidRPr="001466B2">
          <w:rPr>
            <w:noProof/>
            <w:webHidden/>
          </w:rPr>
          <w:tab/>
        </w:r>
        <w:r w:rsidRPr="001466B2">
          <w:rPr>
            <w:noProof/>
            <w:webHidden/>
          </w:rPr>
          <w:fldChar w:fldCharType="begin"/>
        </w:r>
        <w:r w:rsidRPr="001466B2">
          <w:rPr>
            <w:noProof/>
            <w:webHidden/>
          </w:rPr>
          <w:instrText xml:space="preserve"> PAGEREF _Toc158006533 \h </w:instrText>
        </w:r>
        <w:r w:rsidRPr="001466B2">
          <w:rPr>
            <w:noProof/>
            <w:webHidden/>
          </w:rPr>
        </w:r>
        <w:r w:rsidRPr="001466B2">
          <w:rPr>
            <w:noProof/>
            <w:webHidden/>
          </w:rPr>
          <w:fldChar w:fldCharType="separate"/>
        </w:r>
        <w:r w:rsidR="00F67803" w:rsidRPr="001466B2">
          <w:rPr>
            <w:noProof/>
            <w:webHidden/>
          </w:rPr>
          <w:t>- 47 -</w:t>
        </w:r>
        <w:r w:rsidRPr="001466B2">
          <w:rPr>
            <w:noProof/>
            <w:webHidden/>
          </w:rPr>
          <w:fldChar w:fldCharType="end"/>
        </w:r>
      </w:hyperlink>
    </w:p>
    <w:p w14:paraId="58C13B75" w14:textId="6CF63738" w:rsidR="006C46DC" w:rsidRPr="001466B2" w:rsidRDefault="006C46DC">
      <w:pPr>
        <w:pStyle w:val="Verzeichnis1"/>
        <w:tabs>
          <w:tab w:val="left" w:pos="480"/>
          <w:tab w:val="right" w:pos="9060"/>
        </w:tabs>
        <w:rPr>
          <w:rFonts w:asciiTheme="minorHAnsi" w:eastAsiaTheme="minorEastAsia" w:hAnsiTheme="minorHAnsi" w:cstheme="minorBidi"/>
          <w:b w:val="0"/>
          <w:bCs w:val="0"/>
          <w:caps w:val="0"/>
          <w:noProof/>
          <w:kern w:val="2"/>
          <w:lang w:eastAsia="de-DE"/>
          <w14:ligatures w14:val="standardContextual"/>
        </w:rPr>
      </w:pPr>
      <w:hyperlink w:anchor="_Toc158006534" w:history="1">
        <w:r w:rsidRPr="001466B2">
          <w:rPr>
            <w:rStyle w:val="Hyperlink"/>
            <w:noProof/>
          </w:rPr>
          <w:t>4</w:t>
        </w:r>
        <w:r w:rsidRPr="001466B2">
          <w:rPr>
            <w:rFonts w:asciiTheme="minorHAnsi" w:eastAsiaTheme="minorEastAsia" w:hAnsiTheme="minorHAnsi" w:cstheme="minorBidi"/>
            <w:b w:val="0"/>
            <w:bCs w:val="0"/>
            <w:caps w:val="0"/>
            <w:noProof/>
            <w:kern w:val="2"/>
            <w:lang w:eastAsia="de-DE"/>
            <w14:ligatures w14:val="standardContextual"/>
          </w:rPr>
          <w:tab/>
        </w:r>
        <w:r w:rsidRPr="001466B2">
          <w:rPr>
            <w:rStyle w:val="Hyperlink"/>
            <w:rFonts w:cs="Arial"/>
            <w:noProof/>
          </w:rPr>
          <w:t>Ergebnisse</w:t>
        </w:r>
        <w:r w:rsidRPr="001466B2">
          <w:rPr>
            <w:noProof/>
            <w:webHidden/>
          </w:rPr>
          <w:tab/>
        </w:r>
        <w:r w:rsidRPr="001466B2">
          <w:rPr>
            <w:noProof/>
            <w:webHidden/>
          </w:rPr>
          <w:fldChar w:fldCharType="begin"/>
        </w:r>
        <w:r w:rsidRPr="001466B2">
          <w:rPr>
            <w:noProof/>
            <w:webHidden/>
          </w:rPr>
          <w:instrText xml:space="preserve"> PAGEREF _Toc158006534 \h </w:instrText>
        </w:r>
        <w:r w:rsidRPr="001466B2">
          <w:rPr>
            <w:noProof/>
            <w:webHidden/>
          </w:rPr>
        </w:r>
        <w:r w:rsidRPr="001466B2">
          <w:rPr>
            <w:noProof/>
            <w:webHidden/>
          </w:rPr>
          <w:fldChar w:fldCharType="separate"/>
        </w:r>
        <w:r w:rsidR="00F67803" w:rsidRPr="001466B2">
          <w:rPr>
            <w:noProof/>
            <w:webHidden/>
          </w:rPr>
          <w:t>- 54 -</w:t>
        </w:r>
        <w:r w:rsidRPr="001466B2">
          <w:rPr>
            <w:noProof/>
            <w:webHidden/>
          </w:rPr>
          <w:fldChar w:fldCharType="end"/>
        </w:r>
      </w:hyperlink>
    </w:p>
    <w:p w14:paraId="0812DEAF" w14:textId="7B57F36E" w:rsidR="006C46DC" w:rsidRPr="001466B2" w:rsidRDefault="006C46DC">
      <w:pPr>
        <w:pStyle w:val="Verzeichnis2"/>
        <w:tabs>
          <w:tab w:val="left" w:pos="720"/>
          <w:tab w:val="right" w:pos="9060"/>
        </w:tabs>
        <w:rPr>
          <w:rFonts w:eastAsiaTheme="minorEastAsia" w:cstheme="minorBidi"/>
          <w:b w:val="0"/>
          <w:bCs w:val="0"/>
          <w:noProof/>
          <w:kern w:val="2"/>
          <w:sz w:val="24"/>
          <w:szCs w:val="24"/>
          <w:lang w:eastAsia="de-DE"/>
          <w14:ligatures w14:val="standardContextual"/>
        </w:rPr>
      </w:pPr>
      <w:hyperlink w:anchor="_Toc158006535" w:history="1">
        <w:r w:rsidRPr="001466B2">
          <w:rPr>
            <w:rStyle w:val="Hyperlink"/>
            <w:noProof/>
          </w:rPr>
          <w:t>4.1</w:t>
        </w:r>
        <w:r w:rsidRPr="001466B2">
          <w:rPr>
            <w:rFonts w:eastAsiaTheme="minorEastAsia" w:cstheme="minorBidi"/>
            <w:b w:val="0"/>
            <w:bCs w:val="0"/>
            <w:noProof/>
            <w:kern w:val="2"/>
            <w:sz w:val="24"/>
            <w:szCs w:val="24"/>
            <w:lang w:eastAsia="de-DE"/>
            <w14:ligatures w14:val="standardContextual"/>
          </w:rPr>
          <w:tab/>
        </w:r>
        <w:r w:rsidRPr="001466B2">
          <w:rPr>
            <w:rStyle w:val="Hyperlink"/>
            <w:rFonts w:cs="Arial"/>
            <w:noProof/>
          </w:rPr>
          <w:t>Deskriptive Analyse der Studienpopulation</w:t>
        </w:r>
        <w:r w:rsidRPr="001466B2">
          <w:rPr>
            <w:noProof/>
            <w:webHidden/>
          </w:rPr>
          <w:tab/>
        </w:r>
        <w:r w:rsidRPr="001466B2">
          <w:rPr>
            <w:noProof/>
            <w:webHidden/>
          </w:rPr>
          <w:fldChar w:fldCharType="begin"/>
        </w:r>
        <w:r w:rsidRPr="001466B2">
          <w:rPr>
            <w:noProof/>
            <w:webHidden/>
          </w:rPr>
          <w:instrText xml:space="preserve"> PAGEREF _Toc158006535 \h </w:instrText>
        </w:r>
        <w:r w:rsidRPr="001466B2">
          <w:rPr>
            <w:noProof/>
            <w:webHidden/>
          </w:rPr>
        </w:r>
        <w:r w:rsidRPr="001466B2">
          <w:rPr>
            <w:noProof/>
            <w:webHidden/>
          </w:rPr>
          <w:fldChar w:fldCharType="separate"/>
        </w:r>
        <w:r w:rsidR="00F67803" w:rsidRPr="001466B2">
          <w:rPr>
            <w:noProof/>
            <w:webHidden/>
          </w:rPr>
          <w:t>- 54 -</w:t>
        </w:r>
        <w:r w:rsidRPr="001466B2">
          <w:rPr>
            <w:noProof/>
            <w:webHidden/>
          </w:rPr>
          <w:fldChar w:fldCharType="end"/>
        </w:r>
      </w:hyperlink>
    </w:p>
    <w:p w14:paraId="56F5979F" w14:textId="65953762"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36" w:history="1">
        <w:r w:rsidRPr="001466B2">
          <w:rPr>
            <w:rStyle w:val="Hyperlink"/>
            <w:noProof/>
          </w:rPr>
          <w:t>4.1.1</w:t>
        </w:r>
        <w:r w:rsidRPr="001466B2">
          <w:rPr>
            <w:rFonts w:eastAsiaTheme="minorEastAsia" w:cstheme="minorBidi"/>
            <w:noProof/>
            <w:kern w:val="2"/>
            <w:sz w:val="24"/>
            <w:szCs w:val="24"/>
            <w:lang w:eastAsia="de-DE"/>
            <w14:ligatures w14:val="standardContextual"/>
          </w:rPr>
          <w:tab/>
        </w:r>
        <w:r w:rsidRPr="001466B2">
          <w:rPr>
            <w:rStyle w:val="Hyperlink"/>
            <w:noProof/>
          </w:rPr>
          <w:t>Patientenmerkmale und Tumorcharakteristik</w:t>
        </w:r>
        <w:r w:rsidRPr="001466B2">
          <w:rPr>
            <w:noProof/>
            <w:webHidden/>
          </w:rPr>
          <w:tab/>
        </w:r>
        <w:r w:rsidRPr="001466B2">
          <w:rPr>
            <w:noProof/>
            <w:webHidden/>
          </w:rPr>
          <w:fldChar w:fldCharType="begin"/>
        </w:r>
        <w:r w:rsidRPr="001466B2">
          <w:rPr>
            <w:noProof/>
            <w:webHidden/>
          </w:rPr>
          <w:instrText xml:space="preserve"> PAGEREF _Toc158006536 \h </w:instrText>
        </w:r>
        <w:r w:rsidRPr="001466B2">
          <w:rPr>
            <w:noProof/>
            <w:webHidden/>
          </w:rPr>
        </w:r>
        <w:r w:rsidRPr="001466B2">
          <w:rPr>
            <w:noProof/>
            <w:webHidden/>
          </w:rPr>
          <w:fldChar w:fldCharType="separate"/>
        </w:r>
        <w:r w:rsidR="00F67803" w:rsidRPr="001466B2">
          <w:rPr>
            <w:noProof/>
            <w:webHidden/>
          </w:rPr>
          <w:t>- 54 -</w:t>
        </w:r>
        <w:r w:rsidRPr="001466B2">
          <w:rPr>
            <w:noProof/>
            <w:webHidden/>
          </w:rPr>
          <w:fldChar w:fldCharType="end"/>
        </w:r>
      </w:hyperlink>
    </w:p>
    <w:p w14:paraId="26C68382" w14:textId="032007B9"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37" w:history="1">
        <w:r w:rsidRPr="001466B2">
          <w:rPr>
            <w:rStyle w:val="Hyperlink"/>
            <w:noProof/>
          </w:rPr>
          <w:t>4.1.2</w:t>
        </w:r>
        <w:r w:rsidRPr="001466B2">
          <w:rPr>
            <w:rFonts w:eastAsiaTheme="minorEastAsia" w:cstheme="minorBidi"/>
            <w:noProof/>
            <w:kern w:val="2"/>
            <w:sz w:val="24"/>
            <w:szCs w:val="24"/>
            <w:lang w:eastAsia="de-DE"/>
            <w14:ligatures w14:val="standardContextual"/>
          </w:rPr>
          <w:tab/>
        </w:r>
        <w:r w:rsidRPr="001466B2">
          <w:rPr>
            <w:rStyle w:val="Hyperlink"/>
            <w:noProof/>
          </w:rPr>
          <w:t>Behandlungsmerkmale</w:t>
        </w:r>
        <w:r w:rsidRPr="001466B2">
          <w:rPr>
            <w:noProof/>
            <w:webHidden/>
          </w:rPr>
          <w:tab/>
        </w:r>
        <w:r w:rsidRPr="001466B2">
          <w:rPr>
            <w:noProof/>
            <w:webHidden/>
          </w:rPr>
          <w:fldChar w:fldCharType="begin"/>
        </w:r>
        <w:r w:rsidRPr="001466B2">
          <w:rPr>
            <w:noProof/>
            <w:webHidden/>
          </w:rPr>
          <w:instrText xml:space="preserve"> PAGEREF _Toc158006537 \h </w:instrText>
        </w:r>
        <w:r w:rsidRPr="001466B2">
          <w:rPr>
            <w:noProof/>
            <w:webHidden/>
          </w:rPr>
        </w:r>
        <w:r w:rsidRPr="001466B2">
          <w:rPr>
            <w:noProof/>
            <w:webHidden/>
          </w:rPr>
          <w:fldChar w:fldCharType="separate"/>
        </w:r>
        <w:r w:rsidR="00F67803" w:rsidRPr="001466B2">
          <w:rPr>
            <w:noProof/>
            <w:webHidden/>
          </w:rPr>
          <w:t>- 59 -</w:t>
        </w:r>
        <w:r w:rsidRPr="001466B2">
          <w:rPr>
            <w:noProof/>
            <w:webHidden/>
          </w:rPr>
          <w:fldChar w:fldCharType="end"/>
        </w:r>
      </w:hyperlink>
    </w:p>
    <w:p w14:paraId="28AFD66A" w14:textId="48EA205F" w:rsidR="006C46DC" w:rsidRPr="001466B2" w:rsidRDefault="006C46DC">
      <w:pPr>
        <w:pStyle w:val="Verzeichnis2"/>
        <w:tabs>
          <w:tab w:val="left" w:pos="720"/>
          <w:tab w:val="right" w:pos="9060"/>
        </w:tabs>
        <w:rPr>
          <w:rFonts w:eastAsiaTheme="minorEastAsia" w:cstheme="minorBidi"/>
          <w:b w:val="0"/>
          <w:bCs w:val="0"/>
          <w:noProof/>
          <w:kern w:val="2"/>
          <w:sz w:val="24"/>
          <w:szCs w:val="24"/>
          <w:lang w:eastAsia="de-DE"/>
          <w14:ligatures w14:val="standardContextual"/>
        </w:rPr>
      </w:pPr>
      <w:hyperlink w:anchor="_Toc158006538" w:history="1">
        <w:r w:rsidRPr="001466B2">
          <w:rPr>
            <w:rStyle w:val="Hyperlink"/>
            <w:noProof/>
          </w:rPr>
          <w:t>4.2</w:t>
        </w:r>
        <w:r w:rsidRPr="001466B2">
          <w:rPr>
            <w:rFonts w:eastAsiaTheme="minorEastAsia" w:cstheme="minorBidi"/>
            <w:b w:val="0"/>
            <w:bCs w:val="0"/>
            <w:noProof/>
            <w:kern w:val="2"/>
            <w:sz w:val="24"/>
            <w:szCs w:val="24"/>
            <w:lang w:eastAsia="de-DE"/>
            <w14:ligatures w14:val="standardContextual"/>
          </w:rPr>
          <w:tab/>
        </w:r>
        <w:r w:rsidRPr="001466B2">
          <w:rPr>
            <w:rStyle w:val="Hyperlink"/>
            <w:rFonts w:cs="Arial"/>
            <w:noProof/>
          </w:rPr>
          <w:t>Ereigniszeitanalysen</w:t>
        </w:r>
        <w:r w:rsidRPr="001466B2">
          <w:rPr>
            <w:noProof/>
            <w:webHidden/>
          </w:rPr>
          <w:tab/>
        </w:r>
        <w:r w:rsidRPr="001466B2">
          <w:rPr>
            <w:noProof/>
            <w:webHidden/>
          </w:rPr>
          <w:fldChar w:fldCharType="begin"/>
        </w:r>
        <w:r w:rsidRPr="001466B2">
          <w:rPr>
            <w:noProof/>
            <w:webHidden/>
          </w:rPr>
          <w:instrText xml:space="preserve"> PAGEREF _Toc158006538 \h </w:instrText>
        </w:r>
        <w:r w:rsidRPr="001466B2">
          <w:rPr>
            <w:noProof/>
            <w:webHidden/>
          </w:rPr>
        </w:r>
        <w:r w:rsidRPr="001466B2">
          <w:rPr>
            <w:noProof/>
            <w:webHidden/>
          </w:rPr>
          <w:fldChar w:fldCharType="separate"/>
        </w:r>
        <w:r w:rsidR="00F67803" w:rsidRPr="001466B2">
          <w:rPr>
            <w:noProof/>
            <w:webHidden/>
          </w:rPr>
          <w:t>- 62 -</w:t>
        </w:r>
        <w:r w:rsidRPr="001466B2">
          <w:rPr>
            <w:noProof/>
            <w:webHidden/>
          </w:rPr>
          <w:fldChar w:fldCharType="end"/>
        </w:r>
      </w:hyperlink>
    </w:p>
    <w:p w14:paraId="7CC15F38" w14:textId="7451D939"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39" w:history="1">
        <w:r w:rsidRPr="001466B2">
          <w:rPr>
            <w:rStyle w:val="Hyperlink"/>
            <w:noProof/>
          </w:rPr>
          <w:t>4.2.1</w:t>
        </w:r>
        <w:r w:rsidRPr="001466B2">
          <w:rPr>
            <w:rFonts w:eastAsiaTheme="minorEastAsia" w:cstheme="minorBidi"/>
            <w:noProof/>
            <w:kern w:val="2"/>
            <w:sz w:val="24"/>
            <w:szCs w:val="24"/>
            <w:lang w:eastAsia="de-DE"/>
            <w14:ligatures w14:val="standardContextual"/>
          </w:rPr>
          <w:tab/>
        </w:r>
        <w:r w:rsidRPr="001466B2">
          <w:rPr>
            <w:rStyle w:val="Hyperlink"/>
            <w:noProof/>
          </w:rPr>
          <w:t>Deskription der Ereigniszeitdaten im Beobachtungszeitraum</w:t>
        </w:r>
        <w:r w:rsidRPr="001466B2">
          <w:rPr>
            <w:noProof/>
            <w:webHidden/>
          </w:rPr>
          <w:tab/>
        </w:r>
        <w:r w:rsidRPr="001466B2">
          <w:rPr>
            <w:noProof/>
            <w:webHidden/>
          </w:rPr>
          <w:fldChar w:fldCharType="begin"/>
        </w:r>
        <w:r w:rsidRPr="001466B2">
          <w:rPr>
            <w:noProof/>
            <w:webHidden/>
          </w:rPr>
          <w:instrText xml:space="preserve"> PAGEREF _Toc158006539 \h </w:instrText>
        </w:r>
        <w:r w:rsidRPr="001466B2">
          <w:rPr>
            <w:noProof/>
            <w:webHidden/>
          </w:rPr>
        </w:r>
        <w:r w:rsidRPr="001466B2">
          <w:rPr>
            <w:noProof/>
            <w:webHidden/>
          </w:rPr>
          <w:fldChar w:fldCharType="separate"/>
        </w:r>
        <w:r w:rsidR="00F67803" w:rsidRPr="001466B2">
          <w:rPr>
            <w:noProof/>
            <w:webHidden/>
          </w:rPr>
          <w:t>- 62 -</w:t>
        </w:r>
        <w:r w:rsidRPr="001466B2">
          <w:rPr>
            <w:noProof/>
            <w:webHidden/>
          </w:rPr>
          <w:fldChar w:fldCharType="end"/>
        </w:r>
      </w:hyperlink>
    </w:p>
    <w:p w14:paraId="216EE8D2" w14:textId="4D7B7971"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40" w:history="1">
        <w:r w:rsidRPr="001466B2">
          <w:rPr>
            <w:rStyle w:val="Hyperlink"/>
            <w:noProof/>
          </w:rPr>
          <w:t>4.2.2</w:t>
        </w:r>
        <w:r w:rsidRPr="001466B2">
          <w:rPr>
            <w:rFonts w:eastAsiaTheme="minorEastAsia" w:cstheme="minorBidi"/>
            <w:noProof/>
            <w:kern w:val="2"/>
            <w:sz w:val="24"/>
            <w:szCs w:val="24"/>
            <w:lang w:eastAsia="de-DE"/>
            <w14:ligatures w14:val="standardContextual"/>
          </w:rPr>
          <w:tab/>
        </w:r>
        <w:r w:rsidRPr="001466B2">
          <w:rPr>
            <w:rStyle w:val="Hyperlink"/>
            <w:noProof/>
          </w:rPr>
          <w:t>Univariate Analysen zur prognostische Relevanz von CD44</w:t>
        </w:r>
        <w:r w:rsidRPr="001466B2">
          <w:rPr>
            <w:noProof/>
            <w:webHidden/>
          </w:rPr>
          <w:tab/>
        </w:r>
        <w:r w:rsidRPr="001466B2">
          <w:rPr>
            <w:noProof/>
            <w:webHidden/>
          </w:rPr>
          <w:fldChar w:fldCharType="begin"/>
        </w:r>
        <w:r w:rsidRPr="001466B2">
          <w:rPr>
            <w:noProof/>
            <w:webHidden/>
          </w:rPr>
          <w:instrText xml:space="preserve"> PAGEREF _Toc158006540 \h </w:instrText>
        </w:r>
        <w:r w:rsidRPr="001466B2">
          <w:rPr>
            <w:noProof/>
            <w:webHidden/>
          </w:rPr>
        </w:r>
        <w:r w:rsidRPr="001466B2">
          <w:rPr>
            <w:noProof/>
            <w:webHidden/>
          </w:rPr>
          <w:fldChar w:fldCharType="separate"/>
        </w:r>
        <w:r w:rsidR="00F67803" w:rsidRPr="001466B2">
          <w:rPr>
            <w:noProof/>
            <w:webHidden/>
          </w:rPr>
          <w:t>- 65 -</w:t>
        </w:r>
        <w:r w:rsidRPr="001466B2">
          <w:rPr>
            <w:noProof/>
            <w:webHidden/>
          </w:rPr>
          <w:fldChar w:fldCharType="end"/>
        </w:r>
      </w:hyperlink>
    </w:p>
    <w:p w14:paraId="36E69555" w14:textId="27480D60"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41" w:history="1">
        <w:r w:rsidRPr="001466B2">
          <w:rPr>
            <w:rStyle w:val="Hyperlink"/>
            <w:noProof/>
          </w:rPr>
          <w:t>4.2.3</w:t>
        </w:r>
        <w:r w:rsidRPr="001466B2">
          <w:rPr>
            <w:rFonts w:eastAsiaTheme="minorEastAsia" w:cstheme="minorBidi"/>
            <w:noProof/>
            <w:kern w:val="2"/>
            <w:sz w:val="24"/>
            <w:szCs w:val="24"/>
            <w:lang w:eastAsia="de-DE"/>
            <w14:ligatures w14:val="standardContextual"/>
          </w:rPr>
          <w:tab/>
        </w:r>
        <w:r w:rsidRPr="001466B2">
          <w:rPr>
            <w:rStyle w:val="Hyperlink"/>
            <w:noProof/>
          </w:rPr>
          <w:t>Univariate Analysen zur Identifizierung weitere prognostische Parameter</w:t>
        </w:r>
        <w:r w:rsidRPr="001466B2">
          <w:rPr>
            <w:noProof/>
            <w:webHidden/>
          </w:rPr>
          <w:tab/>
        </w:r>
        <w:r w:rsidRPr="001466B2">
          <w:rPr>
            <w:noProof/>
            <w:webHidden/>
          </w:rPr>
          <w:fldChar w:fldCharType="begin"/>
        </w:r>
        <w:r w:rsidRPr="001466B2">
          <w:rPr>
            <w:noProof/>
            <w:webHidden/>
          </w:rPr>
          <w:instrText xml:space="preserve"> PAGEREF _Toc158006541 \h </w:instrText>
        </w:r>
        <w:r w:rsidRPr="001466B2">
          <w:rPr>
            <w:noProof/>
            <w:webHidden/>
          </w:rPr>
        </w:r>
        <w:r w:rsidRPr="001466B2">
          <w:rPr>
            <w:noProof/>
            <w:webHidden/>
          </w:rPr>
          <w:fldChar w:fldCharType="separate"/>
        </w:r>
        <w:r w:rsidR="00F67803" w:rsidRPr="001466B2">
          <w:rPr>
            <w:noProof/>
            <w:webHidden/>
          </w:rPr>
          <w:t>- 71 -</w:t>
        </w:r>
        <w:r w:rsidRPr="001466B2">
          <w:rPr>
            <w:noProof/>
            <w:webHidden/>
          </w:rPr>
          <w:fldChar w:fldCharType="end"/>
        </w:r>
      </w:hyperlink>
    </w:p>
    <w:p w14:paraId="46FBBDF0" w14:textId="366EB536"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42" w:history="1">
        <w:r w:rsidRPr="001466B2">
          <w:rPr>
            <w:rStyle w:val="Hyperlink"/>
            <w:noProof/>
          </w:rPr>
          <w:t>4.2.4</w:t>
        </w:r>
        <w:r w:rsidRPr="001466B2">
          <w:rPr>
            <w:rFonts w:eastAsiaTheme="minorEastAsia" w:cstheme="minorBidi"/>
            <w:noProof/>
            <w:kern w:val="2"/>
            <w:sz w:val="24"/>
            <w:szCs w:val="24"/>
            <w:lang w:eastAsia="de-DE"/>
            <w14:ligatures w14:val="standardContextual"/>
          </w:rPr>
          <w:tab/>
        </w:r>
        <w:r w:rsidRPr="001466B2">
          <w:rPr>
            <w:rStyle w:val="Hyperlink"/>
            <w:noProof/>
          </w:rPr>
          <w:t>Multivariate Analysen</w:t>
        </w:r>
        <w:r w:rsidRPr="001466B2">
          <w:rPr>
            <w:noProof/>
            <w:webHidden/>
          </w:rPr>
          <w:tab/>
        </w:r>
        <w:r w:rsidRPr="001466B2">
          <w:rPr>
            <w:noProof/>
            <w:webHidden/>
          </w:rPr>
          <w:fldChar w:fldCharType="begin"/>
        </w:r>
        <w:r w:rsidRPr="001466B2">
          <w:rPr>
            <w:noProof/>
            <w:webHidden/>
          </w:rPr>
          <w:instrText xml:space="preserve"> PAGEREF _Toc158006542 \h </w:instrText>
        </w:r>
        <w:r w:rsidRPr="001466B2">
          <w:rPr>
            <w:noProof/>
            <w:webHidden/>
          </w:rPr>
        </w:r>
        <w:r w:rsidRPr="001466B2">
          <w:rPr>
            <w:noProof/>
            <w:webHidden/>
          </w:rPr>
          <w:fldChar w:fldCharType="separate"/>
        </w:r>
        <w:r w:rsidR="00F67803" w:rsidRPr="001466B2">
          <w:rPr>
            <w:noProof/>
            <w:webHidden/>
          </w:rPr>
          <w:t>- 72 -</w:t>
        </w:r>
        <w:r w:rsidRPr="001466B2">
          <w:rPr>
            <w:noProof/>
            <w:webHidden/>
          </w:rPr>
          <w:fldChar w:fldCharType="end"/>
        </w:r>
      </w:hyperlink>
    </w:p>
    <w:p w14:paraId="42B274C8" w14:textId="106C0B6C" w:rsidR="006C46DC" w:rsidRPr="001466B2" w:rsidRDefault="006C46DC">
      <w:pPr>
        <w:pStyle w:val="Verzeichnis1"/>
        <w:tabs>
          <w:tab w:val="left" w:pos="480"/>
          <w:tab w:val="right" w:pos="9060"/>
        </w:tabs>
        <w:rPr>
          <w:rFonts w:asciiTheme="minorHAnsi" w:eastAsiaTheme="minorEastAsia" w:hAnsiTheme="minorHAnsi" w:cstheme="minorBidi"/>
          <w:b w:val="0"/>
          <w:bCs w:val="0"/>
          <w:caps w:val="0"/>
          <w:noProof/>
          <w:kern w:val="2"/>
          <w:lang w:eastAsia="de-DE"/>
          <w14:ligatures w14:val="standardContextual"/>
        </w:rPr>
      </w:pPr>
      <w:hyperlink w:anchor="_Toc158006543" w:history="1">
        <w:r w:rsidRPr="001466B2">
          <w:rPr>
            <w:rStyle w:val="Hyperlink"/>
            <w:noProof/>
          </w:rPr>
          <w:t>5</w:t>
        </w:r>
        <w:r w:rsidRPr="001466B2">
          <w:rPr>
            <w:rFonts w:asciiTheme="minorHAnsi" w:eastAsiaTheme="minorEastAsia" w:hAnsiTheme="minorHAnsi" w:cstheme="minorBidi"/>
            <w:b w:val="0"/>
            <w:bCs w:val="0"/>
            <w:caps w:val="0"/>
            <w:noProof/>
            <w:kern w:val="2"/>
            <w:lang w:eastAsia="de-DE"/>
            <w14:ligatures w14:val="standardContextual"/>
          </w:rPr>
          <w:tab/>
        </w:r>
        <w:r w:rsidRPr="001466B2">
          <w:rPr>
            <w:rStyle w:val="Hyperlink"/>
            <w:rFonts w:cs="Arial"/>
            <w:noProof/>
          </w:rPr>
          <w:t>Diskussion</w:t>
        </w:r>
        <w:r w:rsidRPr="001466B2">
          <w:rPr>
            <w:noProof/>
            <w:webHidden/>
          </w:rPr>
          <w:tab/>
        </w:r>
        <w:r w:rsidRPr="001466B2">
          <w:rPr>
            <w:noProof/>
            <w:webHidden/>
          </w:rPr>
          <w:fldChar w:fldCharType="begin"/>
        </w:r>
        <w:r w:rsidRPr="001466B2">
          <w:rPr>
            <w:noProof/>
            <w:webHidden/>
          </w:rPr>
          <w:instrText xml:space="preserve"> PAGEREF _Toc158006543 \h </w:instrText>
        </w:r>
        <w:r w:rsidRPr="001466B2">
          <w:rPr>
            <w:noProof/>
            <w:webHidden/>
          </w:rPr>
        </w:r>
        <w:r w:rsidRPr="001466B2">
          <w:rPr>
            <w:noProof/>
            <w:webHidden/>
          </w:rPr>
          <w:fldChar w:fldCharType="separate"/>
        </w:r>
        <w:r w:rsidR="00F67803" w:rsidRPr="001466B2">
          <w:rPr>
            <w:noProof/>
            <w:webHidden/>
          </w:rPr>
          <w:t>- 74 -</w:t>
        </w:r>
        <w:r w:rsidRPr="001466B2">
          <w:rPr>
            <w:noProof/>
            <w:webHidden/>
          </w:rPr>
          <w:fldChar w:fldCharType="end"/>
        </w:r>
      </w:hyperlink>
    </w:p>
    <w:p w14:paraId="5336F944" w14:textId="1C2B9488" w:rsidR="006C46DC" w:rsidRPr="001466B2" w:rsidRDefault="006C46DC">
      <w:pPr>
        <w:pStyle w:val="Verzeichnis2"/>
        <w:tabs>
          <w:tab w:val="left" w:pos="720"/>
          <w:tab w:val="right" w:pos="9060"/>
        </w:tabs>
        <w:rPr>
          <w:rFonts w:eastAsiaTheme="minorEastAsia" w:cstheme="minorBidi"/>
          <w:b w:val="0"/>
          <w:bCs w:val="0"/>
          <w:noProof/>
          <w:kern w:val="2"/>
          <w:sz w:val="24"/>
          <w:szCs w:val="24"/>
          <w:lang w:eastAsia="de-DE"/>
          <w14:ligatures w14:val="standardContextual"/>
        </w:rPr>
      </w:pPr>
      <w:hyperlink w:anchor="_Toc158006544" w:history="1">
        <w:r w:rsidRPr="001466B2">
          <w:rPr>
            <w:rStyle w:val="Hyperlink"/>
            <w:noProof/>
          </w:rPr>
          <w:t>5.1</w:t>
        </w:r>
        <w:r w:rsidRPr="001466B2">
          <w:rPr>
            <w:rFonts w:eastAsiaTheme="minorEastAsia" w:cstheme="minorBidi"/>
            <w:b w:val="0"/>
            <w:bCs w:val="0"/>
            <w:noProof/>
            <w:kern w:val="2"/>
            <w:sz w:val="24"/>
            <w:szCs w:val="24"/>
            <w:lang w:eastAsia="de-DE"/>
            <w14:ligatures w14:val="standardContextual"/>
          </w:rPr>
          <w:tab/>
        </w:r>
        <w:r w:rsidRPr="001466B2">
          <w:rPr>
            <w:rStyle w:val="Hyperlink"/>
            <w:noProof/>
          </w:rPr>
          <w:t>Diskussion der Methoden</w:t>
        </w:r>
        <w:r w:rsidRPr="001466B2">
          <w:rPr>
            <w:noProof/>
            <w:webHidden/>
          </w:rPr>
          <w:tab/>
        </w:r>
        <w:r w:rsidRPr="001466B2">
          <w:rPr>
            <w:noProof/>
            <w:webHidden/>
          </w:rPr>
          <w:fldChar w:fldCharType="begin"/>
        </w:r>
        <w:r w:rsidRPr="001466B2">
          <w:rPr>
            <w:noProof/>
            <w:webHidden/>
          </w:rPr>
          <w:instrText xml:space="preserve"> PAGEREF _Toc158006544 \h </w:instrText>
        </w:r>
        <w:r w:rsidRPr="001466B2">
          <w:rPr>
            <w:noProof/>
            <w:webHidden/>
          </w:rPr>
        </w:r>
        <w:r w:rsidRPr="001466B2">
          <w:rPr>
            <w:noProof/>
            <w:webHidden/>
          </w:rPr>
          <w:fldChar w:fldCharType="separate"/>
        </w:r>
        <w:r w:rsidR="00F67803" w:rsidRPr="001466B2">
          <w:rPr>
            <w:noProof/>
            <w:webHidden/>
          </w:rPr>
          <w:t>- 74 -</w:t>
        </w:r>
        <w:r w:rsidRPr="001466B2">
          <w:rPr>
            <w:noProof/>
            <w:webHidden/>
          </w:rPr>
          <w:fldChar w:fldCharType="end"/>
        </w:r>
      </w:hyperlink>
    </w:p>
    <w:p w14:paraId="7F059305" w14:textId="1A187490"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45" w:history="1">
        <w:r w:rsidRPr="001466B2">
          <w:rPr>
            <w:rStyle w:val="Hyperlink"/>
            <w:noProof/>
          </w:rPr>
          <w:t>5.1.1</w:t>
        </w:r>
        <w:r w:rsidRPr="001466B2">
          <w:rPr>
            <w:rFonts w:eastAsiaTheme="minorEastAsia" w:cstheme="minorBidi"/>
            <w:noProof/>
            <w:kern w:val="2"/>
            <w:sz w:val="24"/>
            <w:szCs w:val="24"/>
            <w:lang w:eastAsia="de-DE"/>
            <w14:ligatures w14:val="standardContextual"/>
          </w:rPr>
          <w:tab/>
        </w:r>
        <w:r w:rsidRPr="001466B2">
          <w:rPr>
            <w:rStyle w:val="Hyperlink"/>
            <w:noProof/>
          </w:rPr>
          <w:t>Diskussion des Studiendesigns</w:t>
        </w:r>
        <w:r w:rsidRPr="001466B2">
          <w:rPr>
            <w:noProof/>
            <w:webHidden/>
          </w:rPr>
          <w:tab/>
        </w:r>
        <w:r w:rsidRPr="001466B2">
          <w:rPr>
            <w:noProof/>
            <w:webHidden/>
          </w:rPr>
          <w:fldChar w:fldCharType="begin"/>
        </w:r>
        <w:r w:rsidRPr="001466B2">
          <w:rPr>
            <w:noProof/>
            <w:webHidden/>
          </w:rPr>
          <w:instrText xml:space="preserve"> PAGEREF _Toc158006545 \h </w:instrText>
        </w:r>
        <w:r w:rsidRPr="001466B2">
          <w:rPr>
            <w:noProof/>
            <w:webHidden/>
          </w:rPr>
        </w:r>
        <w:r w:rsidRPr="001466B2">
          <w:rPr>
            <w:noProof/>
            <w:webHidden/>
          </w:rPr>
          <w:fldChar w:fldCharType="separate"/>
        </w:r>
        <w:r w:rsidR="00F67803" w:rsidRPr="001466B2">
          <w:rPr>
            <w:noProof/>
            <w:webHidden/>
          </w:rPr>
          <w:t>- 74 -</w:t>
        </w:r>
        <w:r w:rsidRPr="001466B2">
          <w:rPr>
            <w:noProof/>
            <w:webHidden/>
          </w:rPr>
          <w:fldChar w:fldCharType="end"/>
        </w:r>
      </w:hyperlink>
    </w:p>
    <w:p w14:paraId="13E6278C" w14:textId="26951850"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46" w:history="1">
        <w:r w:rsidRPr="001466B2">
          <w:rPr>
            <w:rStyle w:val="Hyperlink"/>
            <w:noProof/>
          </w:rPr>
          <w:t>5.1.2</w:t>
        </w:r>
        <w:r w:rsidRPr="001466B2">
          <w:rPr>
            <w:rFonts w:eastAsiaTheme="minorEastAsia" w:cstheme="minorBidi"/>
            <w:noProof/>
            <w:kern w:val="2"/>
            <w:sz w:val="24"/>
            <w:szCs w:val="24"/>
            <w:lang w:eastAsia="de-DE"/>
            <w14:ligatures w14:val="standardContextual"/>
          </w:rPr>
          <w:tab/>
        </w:r>
        <w:r w:rsidRPr="001466B2">
          <w:rPr>
            <w:rStyle w:val="Hyperlink"/>
            <w:noProof/>
          </w:rPr>
          <w:t>Tissue Microarrays</w:t>
        </w:r>
        <w:r w:rsidRPr="001466B2">
          <w:rPr>
            <w:noProof/>
            <w:webHidden/>
          </w:rPr>
          <w:tab/>
        </w:r>
        <w:r w:rsidRPr="001466B2">
          <w:rPr>
            <w:noProof/>
            <w:webHidden/>
          </w:rPr>
          <w:fldChar w:fldCharType="begin"/>
        </w:r>
        <w:r w:rsidRPr="001466B2">
          <w:rPr>
            <w:noProof/>
            <w:webHidden/>
          </w:rPr>
          <w:instrText xml:space="preserve"> PAGEREF _Toc158006546 \h </w:instrText>
        </w:r>
        <w:r w:rsidRPr="001466B2">
          <w:rPr>
            <w:noProof/>
            <w:webHidden/>
          </w:rPr>
        </w:r>
        <w:r w:rsidRPr="001466B2">
          <w:rPr>
            <w:noProof/>
            <w:webHidden/>
          </w:rPr>
          <w:fldChar w:fldCharType="separate"/>
        </w:r>
        <w:r w:rsidR="00F67803" w:rsidRPr="001466B2">
          <w:rPr>
            <w:noProof/>
            <w:webHidden/>
          </w:rPr>
          <w:t>- 74 -</w:t>
        </w:r>
        <w:r w:rsidRPr="001466B2">
          <w:rPr>
            <w:noProof/>
            <w:webHidden/>
          </w:rPr>
          <w:fldChar w:fldCharType="end"/>
        </w:r>
      </w:hyperlink>
    </w:p>
    <w:p w14:paraId="7F87DBBB" w14:textId="649F352E"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47" w:history="1">
        <w:r w:rsidRPr="001466B2">
          <w:rPr>
            <w:rStyle w:val="Hyperlink"/>
            <w:noProof/>
          </w:rPr>
          <w:t>5.1.3</w:t>
        </w:r>
        <w:r w:rsidRPr="001466B2">
          <w:rPr>
            <w:rFonts w:eastAsiaTheme="minorEastAsia" w:cstheme="minorBidi"/>
            <w:noProof/>
            <w:kern w:val="2"/>
            <w:sz w:val="24"/>
            <w:szCs w:val="24"/>
            <w:lang w:eastAsia="de-DE"/>
            <w14:ligatures w14:val="standardContextual"/>
          </w:rPr>
          <w:tab/>
        </w:r>
        <w:r w:rsidRPr="001466B2">
          <w:rPr>
            <w:rStyle w:val="Hyperlink"/>
            <w:noProof/>
          </w:rPr>
          <w:t>Immunhistochemie</w:t>
        </w:r>
        <w:r w:rsidRPr="001466B2">
          <w:rPr>
            <w:noProof/>
            <w:webHidden/>
          </w:rPr>
          <w:tab/>
        </w:r>
        <w:r w:rsidRPr="001466B2">
          <w:rPr>
            <w:noProof/>
            <w:webHidden/>
          </w:rPr>
          <w:fldChar w:fldCharType="begin"/>
        </w:r>
        <w:r w:rsidRPr="001466B2">
          <w:rPr>
            <w:noProof/>
            <w:webHidden/>
          </w:rPr>
          <w:instrText xml:space="preserve"> PAGEREF _Toc158006547 \h </w:instrText>
        </w:r>
        <w:r w:rsidRPr="001466B2">
          <w:rPr>
            <w:noProof/>
            <w:webHidden/>
          </w:rPr>
        </w:r>
        <w:r w:rsidRPr="001466B2">
          <w:rPr>
            <w:noProof/>
            <w:webHidden/>
          </w:rPr>
          <w:fldChar w:fldCharType="separate"/>
        </w:r>
        <w:r w:rsidR="00F67803" w:rsidRPr="001466B2">
          <w:rPr>
            <w:noProof/>
            <w:webHidden/>
          </w:rPr>
          <w:t>- 75 -</w:t>
        </w:r>
        <w:r w:rsidRPr="001466B2">
          <w:rPr>
            <w:noProof/>
            <w:webHidden/>
          </w:rPr>
          <w:fldChar w:fldCharType="end"/>
        </w:r>
      </w:hyperlink>
    </w:p>
    <w:p w14:paraId="1A0585C7" w14:textId="78A0337E" w:rsidR="006C46DC" w:rsidRPr="001466B2" w:rsidRDefault="006C46DC">
      <w:pPr>
        <w:pStyle w:val="Verzeichnis2"/>
        <w:tabs>
          <w:tab w:val="left" w:pos="720"/>
          <w:tab w:val="right" w:pos="9060"/>
        </w:tabs>
        <w:rPr>
          <w:rFonts w:eastAsiaTheme="minorEastAsia" w:cstheme="minorBidi"/>
          <w:b w:val="0"/>
          <w:bCs w:val="0"/>
          <w:noProof/>
          <w:kern w:val="2"/>
          <w:sz w:val="24"/>
          <w:szCs w:val="24"/>
          <w:lang w:eastAsia="de-DE"/>
          <w14:ligatures w14:val="standardContextual"/>
        </w:rPr>
      </w:pPr>
      <w:hyperlink w:anchor="_Toc158006548" w:history="1">
        <w:r w:rsidRPr="001466B2">
          <w:rPr>
            <w:rStyle w:val="Hyperlink"/>
            <w:noProof/>
          </w:rPr>
          <w:t>5.2</w:t>
        </w:r>
        <w:r w:rsidRPr="001466B2">
          <w:rPr>
            <w:rFonts w:eastAsiaTheme="minorEastAsia" w:cstheme="minorBidi"/>
            <w:b w:val="0"/>
            <w:bCs w:val="0"/>
            <w:noProof/>
            <w:kern w:val="2"/>
            <w:sz w:val="24"/>
            <w:szCs w:val="24"/>
            <w:lang w:eastAsia="de-DE"/>
            <w14:ligatures w14:val="standardContextual"/>
          </w:rPr>
          <w:tab/>
        </w:r>
        <w:r w:rsidRPr="001466B2">
          <w:rPr>
            <w:rStyle w:val="Hyperlink"/>
            <w:noProof/>
          </w:rPr>
          <w:t>Diskussion der Ergebnisse</w:t>
        </w:r>
        <w:r w:rsidRPr="001466B2">
          <w:rPr>
            <w:noProof/>
            <w:webHidden/>
          </w:rPr>
          <w:tab/>
        </w:r>
        <w:r w:rsidRPr="001466B2">
          <w:rPr>
            <w:noProof/>
            <w:webHidden/>
          </w:rPr>
          <w:fldChar w:fldCharType="begin"/>
        </w:r>
        <w:r w:rsidRPr="001466B2">
          <w:rPr>
            <w:noProof/>
            <w:webHidden/>
          </w:rPr>
          <w:instrText xml:space="preserve"> PAGEREF _Toc158006548 \h </w:instrText>
        </w:r>
        <w:r w:rsidRPr="001466B2">
          <w:rPr>
            <w:noProof/>
            <w:webHidden/>
          </w:rPr>
        </w:r>
        <w:r w:rsidRPr="001466B2">
          <w:rPr>
            <w:noProof/>
            <w:webHidden/>
          </w:rPr>
          <w:fldChar w:fldCharType="separate"/>
        </w:r>
        <w:r w:rsidR="00F67803" w:rsidRPr="001466B2">
          <w:rPr>
            <w:noProof/>
            <w:webHidden/>
          </w:rPr>
          <w:t>- 76 -</w:t>
        </w:r>
        <w:r w:rsidRPr="001466B2">
          <w:rPr>
            <w:noProof/>
            <w:webHidden/>
          </w:rPr>
          <w:fldChar w:fldCharType="end"/>
        </w:r>
      </w:hyperlink>
    </w:p>
    <w:p w14:paraId="60E9EC0C" w14:textId="363DB75E"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49" w:history="1">
        <w:r w:rsidRPr="001466B2">
          <w:rPr>
            <w:rStyle w:val="Hyperlink"/>
            <w:noProof/>
          </w:rPr>
          <w:t>5.2.1</w:t>
        </w:r>
        <w:r w:rsidRPr="001466B2">
          <w:rPr>
            <w:rFonts w:eastAsiaTheme="minorEastAsia" w:cstheme="minorBidi"/>
            <w:noProof/>
            <w:kern w:val="2"/>
            <w:sz w:val="24"/>
            <w:szCs w:val="24"/>
            <w:lang w:eastAsia="de-DE"/>
            <w14:ligatures w14:val="standardContextual"/>
          </w:rPr>
          <w:tab/>
        </w:r>
        <w:r w:rsidRPr="001466B2">
          <w:rPr>
            <w:rStyle w:val="Hyperlink"/>
            <w:noProof/>
          </w:rPr>
          <w:t>Einfluss von CD44 auf das klinische Outcome von lokal</w:t>
        </w:r>
        <w:r w:rsidRPr="001466B2">
          <w:rPr>
            <w:noProof/>
            <w:webHidden/>
          </w:rPr>
          <w:tab/>
        </w:r>
        <w:r w:rsidRPr="001466B2">
          <w:rPr>
            <w:noProof/>
            <w:webHidden/>
          </w:rPr>
          <w:fldChar w:fldCharType="begin"/>
        </w:r>
        <w:r w:rsidRPr="001466B2">
          <w:rPr>
            <w:noProof/>
            <w:webHidden/>
          </w:rPr>
          <w:instrText xml:space="preserve"> PAGEREF _Toc158006549 \h </w:instrText>
        </w:r>
        <w:r w:rsidRPr="001466B2">
          <w:rPr>
            <w:noProof/>
            <w:webHidden/>
          </w:rPr>
        </w:r>
        <w:r w:rsidRPr="001466B2">
          <w:rPr>
            <w:noProof/>
            <w:webHidden/>
          </w:rPr>
          <w:fldChar w:fldCharType="separate"/>
        </w:r>
        <w:r w:rsidR="00F67803" w:rsidRPr="001466B2">
          <w:rPr>
            <w:noProof/>
            <w:webHidden/>
          </w:rPr>
          <w:t>- 76 -</w:t>
        </w:r>
        <w:r w:rsidRPr="001466B2">
          <w:rPr>
            <w:noProof/>
            <w:webHidden/>
          </w:rPr>
          <w:fldChar w:fldCharType="end"/>
        </w:r>
      </w:hyperlink>
    </w:p>
    <w:p w14:paraId="09117083" w14:textId="1F8D058C" w:rsidR="006C46DC" w:rsidRPr="001466B2" w:rsidRDefault="006C46DC">
      <w:pPr>
        <w:pStyle w:val="Verzeichnis3"/>
        <w:tabs>
          <w:tab w:val="left" w:pos="960"/>
          <w:tab w:val="right" w:pos="9060"/>
        </w:tabs>
        <w:rPr>
          <w:rFonts w:eastAsiaTheme="minorEastAsia" w:cstheme="minorBidi"/>
          <w:noProof/>
          <w:kern w:val="2"/>
          <w:sz w:val="24"/>
          <w:szCs w:val="24"/>
          <w:lang w:eastAsia="de-DE"/>
          <w14:ligatures w14:val="standardContextual"/>
        </w:rPr>
      </w:pPr>
      <w:hyperlink w:anchor="_Toc158006550" w:history="1">
        <w:r w:rsidRPr="001466B2">
          <w:rPr>
            <w:rStyle w:val="Hyperlink"/>
            <w:noProof/>
          </w:rPr>
          <w:t>5.2.2</w:t>
        </w:r>
        <w:r w:rsidRPr="001466B2">
          <w:rPr>
            <w:rFonts w:eastAsiaTheme="minorEastAsia" w:cstheme="minorBidi"/>
            <w:noProof/>
            <w:kern w:val="2"/>
            <w:sz w:val="24"/>
            <w:szCs w:val="24"/>
            <w:lang w:eastAsia="de-DE"/>
            <w14:ligatures w14:val="standardContextual"/>
          </w:rPr>
          <w:tab/>
        </w:r>
        <w:r w:rsidRPr="001466B2">
          <w:rPr>
            <w:rStyle w:val="Hyperlink"/>
            <w:noProof/>
          </w:rPr>
          <w:t>HPV-Status als weiteren Stratifizierungsparameter</w:t>
        </w:r>
        <w:r w:rsidRPr="001466B2">
          <w:rPr>
            <w:noProof/>
            <w:webHidden/>
          </w:rPr>
          <w:tab/>
        </w:r>
        <w:r w:rsidRPr="001466B2">
          <w:rPr>
            <w:noProof/>
            <w:webHidden/>
          </w:rPr>
          <w:fldChar w:fldCharType="begin"/>
        </w:r>
        <w:r w:rsidRPr="001466B2">
          <w:rPr>
            <w:noProof/>
            <w:webHidden/>
          </w:rPr>
          <w:instrText xml:space="preserve"> PAGEREF _Toc158006550 \h </w:instrText>
        </w:r>
        <w:r w:rsidRPr="001466B2">
          <w:rPr>
            <w:noProof/>
            <w:webHidden/>
          </w:rPr>
        </w:r>
        <w:r w:rsidRPr="001466B2">
          <w:rPr>
            <w:noProof/>
            <w:webHidden/>
          </w:rPr>
          <w:fldChar w:fldCharType="separate"/>
        </w:r>
        <w:r w:rsidR="00F67803" w:rsidRPr="001466B2">
          <w:rPr>
            <w:noProof/>
            <w:webHidden/>
          </w:rPr>
          <w:t>- 77 -</w:t>
        </w:r>
        <w:r w:rsidRPr="001466B2">
          <w:rPr>
            <w:noProof/>
            <w:webHidden/>
          </w:rPr>
          <w:fldChar w:fldCharType="end"/>
        </w:r>
      </w:hyperlink>
    </w:p>
    <w:p w14:paraId="6234D553" w14:textId="14A20BC3" w:rsidR="006C46DC" w:rsidRPr="001466B2" w:rsidRDefault="006C46DC">
      <w:pPr>
        <w:pStyle w:val="Verzeichnis1"/>
        <w:tabs>
          <w:tab w:val="left" w:pos="480"/>
          <w:tab w:val="right" w:pos="9060"/>
        </w:tabs>
        <w:rPr>
          <w:rFonts w:asciiTheme="minorHAnsi" w:eastAsiaTheme="minorEastAsia" w:hAnsiTheme="minorHAnsi" w:cstheme="minorBidi"/>
          <w:b w:val="0"/>
          <w:bCs w:val="0"/>
          <w:caps w:val="0"/>
          <w:noProof/>
          <w:kern w:val="2"/>
          <w:lang w:eastAsia="de-DE"/>
          <w14:ligatures w14:val="standardContextual"/>
        </w:rPr>
      </w:pPr>
      <w:hyperlink w:anchor="_Toc158006553" w:history="1">
        <w:r w:rsidRPr="001466B2">
          <w:rPr>
            <w:rStyle w:val="Hyperlink"/>
            <w:noProof/>
          </w:rPr>
          <w:t>8</w:t>
        </w:r>
        <w:r w:rsidRPr="001466B2">
          <w:rPr>
            <w:rFonts w:asciiTheme="minorHAnsi" w:eastAsiaTheme="minorEastAsia" w:hAnsiTheme="minorHAnsi" w:cstheme="minorBidi"/>
            <w:b w:val="0"/>
            <w:bCs w:val="0"/>
            <w:caps w:val="0"/>
            <w:noProof/>
            <w:kern w:val="2"/>
            <w:lang w:eastAsia="de-DE"/>
            <w14:ligatures w14:val="standardContextual"/>
          </w:rPr>
          <w:tab/>
        </w:r>
        <w:r w:rsidRPr="001466B2">
          <w:rPr>
            <w:rStyle w:val="Hyperlink"/>
            <w:rFonts w:cs="Arial"/>
            <w:noProof/>
          </w:rPr>
          <w:t>Literaturverzeichnis</w:t>
        </w:r>
        <w:r w:rsidRPr="001466B2">
          <w:rPr>
            <w:noProof/>
            <w:webHidden/>
          </w:rPr>
          <w:tab/>
        </w:r>
        <w:r w:rsidRPr="001466B2">
          <w:rPr>
            <w:noProof/>
            <w:webHidden/>
          </w:rPr>
          <w:fldChar w:fldCharType="begin"/>
        </w:r>
        <w:r w:rsidRPr="001466B2">
          <w:rPr>
            <w:noProof/>
            <w:webHidden/>
          </w:rPr>
          <w:instrText xml:space="preserve"> PAGEREF _Toc158006553 \h </w:instrText>
        </w:r>
        <w:r w:rsidRPr="001466B2">
          <w:rPr>
            <w:noProof/>
            <w:webHidden/>
          </w:rPr>
        </w:r>
        <w:r w:rsidRPr="001466B2">
          <w:rPr>
            <w:noProof/>
            <w:webHidden/>
          </w:rPr>
          <w:fldChar w:fldCharType="separate"/>
        </w:r>
        <w:r w:rsidR="00F67803" w:rsidRPr="001466B2">
          <w:rPr>
            <w:noProof/>
            <w:webHidden/>
          </w:rPr>
          <w:t>VI</w:t>
        </w:r>
        <w:r w:rsidRPr="001466B2">
          <w:rPr>
            <w:noProof/>
            <w:webHidden/>
          </w:rPr>
          <w:fldChar w:fldCharType="end"/>
        </w:r>
      </w:hyperlink>
    </w:p>
    <w:p w14:paraId="55EC659B" w14:textId="68581E61" w:rsidR="002A38B5" w:rsidRPr="00812C16" w:rsidRDefault="000718CD" w:rsidP="00E85A65">
      <w:pPr>
        <w:rPr>
          <w:rFonts w:cs="Arial"/>
          <w:b/>
          <w:bCs/>
          <w:caps/>
          <w:sz w:val="20"/>
          <w:szCs w:val="20"/>
        </w:rPr>
        <w:sectPr w:rsidR="002A38B5" w:rsidRPr="00812C16" w:rsidSect="00AB18EC">
          <w:headerReference w:type="default" r:id="rId8"/>
          <w:type w:val="continuous"/>
          <w:pgSz w:w="11906" w:h="16838"/>
          <w:pgMar w:top="1418" w:right="1418" w:bottom="1134" w:left="1418" w:header="709" w:footer="709" w:gutter="0"/>
          <w:cols w:space="708"/>
          <w:docGrid w:linePitch="360"/>
        </w:sectPr>
      </w:pPr>
      <w:r w:rsidRPr="001466B2">
        <w:rPr>
          <w:rFonts w:asciiTheme="minorHAnsi" w:hAnsiTheme="minorHAnsi" w:cs="Arial"/>
          <w:b/>
          <w:bCs/>
          <w:caps/>
          <w:sz w:val="20"/>
          <w:szCs w:val="20"/>
          <w:u w:val="single"/>
        </w:rPr>
        <w:fldChar w:fldCharType="end"/>
      </w:r>
    </w:p>
    <w:p w14:paraId="29E53564" w14:textId="25278A04" w:rsidR="006C46DC" w:rsidRDefault="006C46DC">
      <w:pPr>
        <w:spacing w:after="0"/>
        <w:jc w:val="left"/>
        <w:rPr>
          <w:rFonts w:cs="Arial"/>
          <w:lang w:val="en-US" w:eastAsia="de-DE"/>
        </w:rPr>
      </w:pPr>
      <w:r>
        <w:rPr>
          <w:rFonts w:cs="Arial"/>
          <w:lang w:val="en-US" w:eastAsia="de-DE"/>
        </w:rPr>
        <w:br w:type="page"/>
      </w:r>
    </w:p>
    <w:p w14:paraId="78E67EA9" w14:textId="77777777" w:rsidR="00A90AB4" w:rsidRPr="00812C16" w:rsidRDefault="00A90AB4" w:rsidP="00BE67F7">
      <w:pPr>
        <w:rPr>
          <w:rFonts w:cs="Arial"/>
          <w:lang w:val="en-US" w:eastAsia="de-DE"/>
        </w:rPr>
        <w:sectPr w:rsidR="00A90AB4" w:rsidRPr="00812C16" w:rsidSect="00AB18EC">
          <w:headerReference w:type="default" r:id="rId9"/>
          <w:type w:val="continuous"/>
          <w:pgSz w:w="11906" w:h="16838"/>
          <w:pgMar w:top="1418" w:right="1418" w:bottom="1134" w:left="1418" w:header="709" w:footer="709" w:gutter="0"/>
          <w:pgNumType w:fmt="numberInDash"/>
          <w:cols w:space="708"/>
          <w:titlePg/>
          <w:docGrid w:linePitch="360"/>
        </w:sectPr>
      </w:pPr>
    </w:p>
    <w:p w14:paraId="593DFB98" w14:textId="77777777" w:rsidR="00845C92" w:rsidRPr="00812C16" w:rsidRDefault="00EA57D9" w:rsidP="00C95E90">
      <w:pPr>
        <w:pStyle w:val="berschrift1"/>
        <w:ind w:left="709" w:hanging="709"/>
        <w:rPr>
          <w:rFonts w:cs="Arial"/>
        </w:rPr>
      </w:pPr>
      <w:bookmarkStart w:id="2" w:name="_Toc158006509"/>
      <w:r w:rsidRPr="00812C16">
        <w:rPr>
          <w:rFonts w:cs="Arial"/>
        </w:rPr>
        <w:lastRenderedPageBreak/>
        <w:t>Hintergrund</w:t>
      </w:r>
      <w:bookmarkEnd w:id="2"/>
    </w:p>
    <w:p w14:paraId="39E9CDE3" w14:textId="77777777" w:rsidR="00E73B40" w:rsidRPr="00812C16" w:rsidRDefault="00845C92" w:rsidP="00DE288C">
      <w:pPr>
        <w:pStyle w:val="berschrift2"/>
        <w:spacing w:after="0"/>
        <w:ind w:left="357" w:hanging="357"/>
        <w:rPr>
          <w:rFonts w:cs="Arial"/>
        </w:rPr>
      </w:pPr>
      <w:bookmarkStart w:id="3" w:name="_Toc158006510"/>
      <w:r w:rsidRPr="00812C16">
        <w:rPr>
          <w:rFonts w:cs="Arial"/>
        </w:rPr>
        <w:t>Kopf-Hals-</w:t>
      </w:r>
      <w:r w:rsidR="00E77011" w:rsidRPr="00812C16">
        <w:rPr>
          <w:rFonts w:cs="Arial"/>
        </w:rPr>
        <w:t>Plattenepithelkarzinom</w:t>
      </w:r>
      <w:bookmarkEnd w:id="3"/>
    </w:p>
    <w:p w14:paraId="598C44DF" w14:textId="671234D6" w:rsidR="00845C92" w:rsidRPr="00812C16" w:rsidRDefault="00E73B40" w:rsidP="00E77011">
      <w:pPr>
        <w:pStyle w:val="StandardWeb"/>
        <w:rPr>
          <w:rFonts w:ascii="Arial" w:hAnsi="Arial" w:cs="Arial"/>
        </w:rPr>
      </w:pPr>
      <w:r w:rsidRPr="00812C16">
        <w:rPr>
          <w:rFonts w:ascii="Arial" w:hAnsi="Arial" w:cs="Arial"/>
        </w:rPr>
        <w:t xml:space="preserve">Die Plattenepithelkarzinome des Kopf-Hals-Bereiches (HNSCC: Head and neck </w:t>
      </w:r>
      <w:proofErr w:type="spellStart"/>
      <w:r w:rsidRPr="00812C16">
        <w:rPr>
          <w:rFonts w:ascii="Arial" w:hAnsi="Arial" w:cs="Arial"/>
        </w:rPr>
        <w:t>squamosa</w:t>
      </w:r>
      <w:proofErr w:type="spellEnd"/>
      <w:r w:rsidRPr="00812C16">
        <w:rPr>
          <w:rFonts w:ascii="Arial" w:hAnsi="Arial" w:cs="Arial"/>
        </w:rPr>
        <w:t xml:space="preserve"> </w:t>
      </w:r>
      <w:proofErr w:type="spellStart"/>
      <w:r w:rsidRPr="00812C16">
        <w:rPr>
          <w:rFonts w:ascii="Arial" w:hAnsi="Arial" w:cs="Arial"/>
        </w:rPr>
        <w:t>cell</w:t>
      </w:r>
      <w:proofErr w:type="spellEnd"/>
      <w:r w:rsidRPr="00812C16">
        <w:rPr>
          <w:rFonts w:ascii="Arial" w:hAnsi="Arial" w:cs="Arial"/>
        </w:rPr>
        <w:t xml:space="preserve"> </w:t>
      </w:r>
      <w:proofErr w:type="spellStart"/>
      <w:r w:rsidRPr="00812C16">
        <w:rPr>
          <w:rFonts w:ascii="Arial" w:hAnsi="Arial" w:cs="Arial"/>
        </w:rPr>
        <w:t>carcinoma</w:t>
      </w:r>
      <w:proofErr w:type="spellEnd"/>
      <w:r w:rsidRPr="00812C16">
        <w:rPr>
          <w:rFonts w:ascii="Arial" w:hAnsi="Arial" w:cs="Arial"/>
        </w:rPr>
        <w:t xml:space="preserve">) machen den Großteil aller Krebserkrankungen im Kopf-Hals-Bereich aus. Sie treten in den unterschiedlichen Etagen des oberen Aerodigestivtraktes auf. Man kann sie hinsichtlich ihrer anatomischen Lokalisation in Tumoren der </w:t>
      </w:r>
      <w:r w:rsidR="00F43C49" w:rsidRPr="00812C16">
        <w:rPr>
          <w:rFonts w:ascii="Arial" w:hAnsi="Arial" w:cs="Arial"/>
        </w:rPr>
        <w:t>Mundhöhle</w:t>
      </w:r>
      <w:r w:rsidRPr="00812C16">
        <w:rPr>
          <w:rFonts w:ascii="Arial" w:hAnsi="Arial" w:cs="Arial"/>
        </w:rPr>
        <w:t>, des Pharynx (</w:t>
      </w:r>
      <w:proofErr w:type="spellStart"/>
      <w:r w:rsidRPr="00812C16">
        <w:rPr>
          <w:rFonts w:ascii="Arial" w:hAnsi="Arial" w:cs="Arial"/>
        </w:rPr>
        <w:t>Naso</w:t>
      </w:r>
      <w:proofErr w:type="spellEnd"/>
      <w:r w:rsidRPr="00812C16">
        <w:rPr>
          <w:rFonts w:ascii="Arial" w:hAnsi="Arial" w:cs="Arial"/>
        </w:rPr>
        <w:t xml:space="preserve">-, Oro- und Hypopharynx) sowie des Larynx untergliedern. Klinisch zeigt sich folgendes anatomisches Verteilungsmuster: </w:t>
      </w:r>
      <w:proofErr w:type="spellStart"/>
      <w:r w:rsidRPr="00812C16">
        <w:rPr>
          <w:rFonts w:ascii="Arial" w:hAnsi="Arial" w:cs="Arial"/>
        </w:rPr>
        <w:t>Mundhöhle</w:t>
      </w:r>
      <w:proofErr w:type="spellEnd"/>
      <w:r w:rsidRPr="00812C16">
        <w:rPr>
          <w:rFonts w:ascii="Arial" w:hAnsi="Arial" w:cs="Arial"/>
        </w:rPr>
        <w:t xml:space="preserve"> 50%</w:t>
      </w:r>
      <w:r w:rsidR="00F37CB6" w:rsidRPr="00812C16">
        <w:rPr>
          <w:rFonts w:ascii="Arial" w:hAnsi="Arial" w:cs="Arial"/>
        </w:rPr>
        <w:t xml:space="preserve">, </w:t>
      </w:r>
      <w:r w:rsidRPr="00812C16">
        <w:rPr>
          <w:rFonts w:ascii="Arial" w:hAnsi="Arial" w:cs="Arial"/>
        </w:rPr>
        <w:t>Pharynx 25%</w:t>
      </w:r>
      <w:r w:rsidR="00F37CB6" w:rsidRPr="00812C16">
        <w:rPr>
          <w:rFonts w:ascii="Arial" w:hAnsi="Arial" w:cs="Arial"/>
        </w:rPr>
        <w:t xml:space="preserve">, </w:t>
      </w:r>
      <w:r w:rsidRPr="00812C16">
        <w:rPr>
          <w:rFonts w:ascii="Arial" w:hAnsi="Arial" w:cs="Arial"/>
        </w:rPr>
        <w:t>Larynx 25%</w:t>
      </w:r>
      <w:r w:rsidR="00E77011" w:rsidRPr="00812C16">
        <w:rPr>
          <w:rFonts w:ascii="Arial" w:hAnsi="Arial" w:cs="Arial"/>
        </w:rPr>
        <w:t xml:space="preserve"> </w:t>
      </w:r>
      <w:r w:rsidR="000112D9">
        <w:rPr>
          <w:rFonts w:ascii="Arial" w:hAnsi="Arial" w:cs="Arial"/>
        </w:rPr>
        <w:fldChar w:fldCharType="begin">
          <w:fldData xml:space="preserve">PEVuZE5vdGU+PENpdGU+PEF1dGhvcj5XaXR0ZWtpbmQ8L0F1dGhvcj48WWVhcj4yMDEzPC9ZZWFy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</w:fldData>
        </w:fldChar>
      </w:r>
      <w:r w:rsidR="000112D9">
        <w:rPr>
          <w:rFonts w:ascii="Arial" w:hAnsi="Arial" w:cs="Arial"/>
        </w:rPr>
        <w:instrText xml:space="preserve"> ADDIN EN.JS.CITE </w:instrText>
      </w:r>
      <w:r w:rsidR="000112D9">
        <w:rPr>
          <w:rFonts w:ascii="Arial" w:hAnsi="Arial" w:cs="Arial"/>
        </w:rPr>
      </w:r>
      <w:r w:rsidR="000112D9">
        <w:rPr>
          <w:rFonts w:ascii="Arial" w:hAnsi="Arial" w:cs="Arial"/>
        </w:rPr>
        <w:fldChar w:fldCharType="separate"/>
      </w:r>
      <w:r w:rsidR="000112D9">
        <w:rPr>
          <w:rFonts w:ascii="Arial" w:hAnsi="Arial" w:cs="Arial"/>
          <w:noProof/>
        </w:rPr>
        <w:t>(</w:t>
      </w:r>
      <w:hyperlink w:anchor="_ENREF_76" w:tooltip="Wittekind, 2013 #683" w:history="1">
        <w:r w:rsidR="009D0F7A" w:rsidRPr="009D0F7A">
          <w:rPr>
            <w:rStyle w:val="Hyperlink"/>
            <w:rFonts w:ascii="Arial" w:hAnsi="Arial"/>
            <w:lang w:eastAsia="en-US"/>
          </w:rPr>
          <w:t>Wittekind, 2013</w:t>
        </w:r>
      </w:hyperlink>
      <w:r w:rsidR="000112D9">
        <w:rPr>
          <w:rFonts w:ascii="Arial" w:hAnsi="Arial" w:cs="Arial"/>
          <w:noProof/>
        </w:rPr>
        <w:t>)</w:t>
      </w:r>
      <w:r w:rsidR="000112D9">
        <w:rPr>
          <w:rFonts w:ascii="Arial" w:hAnsi="Arial" w:cs="Arial"/>
        </w:rPr>
        <w:fldChar w:fldCharType="end"/>
      </w:r>
      <w:r w:rsidR="00E77011" w:rsidRPr="00812C16">
        <w:rPr>
          <w:rFonts w:ascii="Arial" w:hAnsi="Arial" w:cs="Arial"/>
        </w:rPr>
        <w:t>.</w:t>
      </w:r>
    </w:p>
    <w:p w14:paraId="753AFCD2" w14:textId="77777777" w:rsidR="002F01F1" w:rsidRPr="00812C16" w:rsidRDefault="002F01F1" w:rsidP="005547D3">
      <w:pPr>
        <w:pStyle w:val="berschrift3"/>
      </w:pPr>
      <w:bookmarkStart w:id="4" w:name="_Toc158006511"/>
      <w:r w:rsidRPr="00812C16">
        <w:t>Epidemiologie</w:t>
      </w:r>
      <w:bookmarkEnd w:id="4"/>
    </w:p>
    <w:p w14:paraId="7301EE03" w14:textId="1267E640" w:rsidR="00F26011" w:rsidRPr="00812C16" w:rsidRDefault="00D62667" w:rsidP="004B6541">
      <w:pPr>
        <w:rPr>
          <w:rFonts w:cs="Arial"/>
        </w:rPr>
      </w:pPr>
      <w:r w:rsidRPr="00812C16">
        <w:rPr>
          <w:rFonts w:cs="Arial"/>
        </w:rPr>
        <w:t>Nach Schätzungen der WHO erkrankten im Jahre 20</w:t>
      </w:r>
      <w:r w:rsidR="007B6C4E" w:rsidRPr="00812C16">
        <w:rPr>
          <w:rFonts w:cs="Arial"/>
        </w:rPr>
        <w:t>20</w:t>
      </w:r>
      <w:r w:rsidRPr="00812C16">
        <w:rPr>
          <w:rFonts w:cs="Arial"/>
        </w:rPr>
        <w:t xml:space="preserve"> weltweit etwa</w:t>
      </w:r>
      <w:r w:rsidR="007B6C4E" w:rsidRPr="00812C16">
        <w:rPr>
          <w:rFonts w:cs="Arial"/>
        </w:rPr>
        <w:t xml:space="preserve"> 509.900</w:t>
      </w:r>
      <w:r w:rsidRPr="00812C16">
        <w:rPr>
          <w:rFonts w:cs="Arial"/>
        </w:rPr>
        <w:t xml:space="preserve"> Männer und </w:t>
      </w:r>
      <w:r w:rsidR="007B6C4E" w:rsidRPr="00812C16">
        <w:rPr>
          <w:rFonts w:cs="Arial"/>
        </w:rPr>
        <w:t>183.900</w:t>
      </w:r>
      <w:r w:rsidRPr="00812C16">
        <w:rPr>
          <w:rFonts w:cs="Arial"/>
        </w:rPr>
        <w:t xml:space="preserve"> Frauen an einem Karzinom von Lippe, Mundhöhle oder Pharynx</w:t>
      </w:r>
      <w:r w:rsidR="00B2352D" w:rsidRPr="00812C16">
        <w:rPr>
          <w:rFonts w:cs="Arial"/>
        </w:rPr>
        <w:t xml:space="preserve"> (ohne Speicheldrüse)</w:t>
      </w:r>
      <w:r w:rsidRPr="00812C16">
        <w:rPr>
          <w:rFonts w:cs="Arial"/>
        </w:rPr>
        <w:t xml:space="preserve">. </w:t>
      </w:r>
      <w:r w:rsidR="00016550" w:rsidRPr="00812C16">
        <w:rPr>
          <w:rFonts w:cs="Arial"/>
        </w:rPr>
        <w:t>Tumore des Kopf-Hals</w:t>
      </w:r>
      <w:r w:rsidR="00D0520F" w:rsidRPr="00812C16">
        <w:rPr>
          <w:rFonts w:cs="Arial"/>
        </w:rPr>
        <w:t>-</w:t>
      </w:r>
      <w:r w:rsidR="00016550" w:rsidRPr="00812C16">
        <w:rPr>
          <w:rFonts w:cs="Arial"/>
        </w:rPr>
        <w:t>Bereichs</w:t>
      </w:r>
      <w:r w:rsidRPr="00812C16">
        <w:rPr>
          <w:rFonts w:cs="Arial"/>
        </w:rPr>
        <w:t xml:space="preserve"> machen somit bei Männern </w:t>
      </w:r>
      <w:r w:rsidR="00B2352D" w:rsidRPr="00812C16">
        <w:rPr>
          <w:rFonts w:cs="Arial"/>
        </w:rPr>
        <w:t>11,6</w:t>
      </w:r>
      <w:r w:rsidRPr="00812C16">
        <w:rPr>
          <w:rFonts w:cs="Arial"/>
        </w:rPr>
        <w:t xml:space="preserve">% und bei Frauen </w:t>
      </w:r>
      <w:r w:rsidR="00B2352D" w:rsidRPr="00812C16">
        <w:rPr>
          <w:rFonts w:cs="Arial"/>
        </w:rPr>
        <w:t>3,8</w:t>
      </w:r>
      <w:r w:rsidRPr="00812C16">
        <w:rPr>
          <w:rFonts w:cs="Arial"/>
        </w:rPr>
        <w:t>% aller bösartigen Tumorerkrankungen aus</w:t>
      </w:r>
      <w:r w:rsidR="00016550" w:rsidRPr="00812C16">
        <w:rPr>
          <w:rFonts w:cs="Arial"/>
        </w:rPr>
        <w:t>.</w:t>
      </w:r>
      <w:r w:rsidR="00B2352D" w:rsidRPr="00812C16">
        <w:rPr>
          <w:rFonts w:cs="Arial"/>
        </w:rPr>
        <w:t xml:space="preserve"> </w:t>
      </w:r>
      <w:r w:rsidR="00F26011" w:rsidRPr="00812C16">
        <w:rPr>
          <w:rFonts w:cs="Arial"/>
        </w:rPr>
        <w:t xml:space="preserve">Damit rangiert diese Krebserkrankung auf den sechsten Platz der weltweit häufigsten Malignome.  </w:t>
      </w:r>
      <w:r w:rsidR="00A15417" w:rsidRPr="00812C16">
        <w:rPr>
          <w:rFonts w:cs="Arial"/>
        </w:rPr>
        <w:t xml:space="preserve">Von den Krebserkrankten verstarben 325.000 Menschen, auch davon waren rund drei Viertel </w:t>
      </w:r>
      <w:r w:rsidR="00F91849" w:rsidRPr="00812C16">
        <w:rPr>
          <w:rFonts w:cs="Arial"/>
        </w:rPr>
        <w:t>m</w:t>
      </w:r>
      <w:r w:rsidR="00A15417" w:rsidRPr="00812C16">
        <w:rPr>
          <w:rFonts w:cs="Arial"/>
        </w:rPr>
        <w:t>ännlich</w:t>
      </w:r>
      <w:r w:rsidR="00016550" w:rsidRPr="00812C16">
        <w:rPr>
          <w:rFonts w:cs="Arial"/>
        </w:rPr>
        <w:t xml:space="preserve"> </w:t>
      </w:r>
      <w:r w:rsidR="000112D9">
        <w:rPr>
          <w:rFonts w:cs="Arial"/>
        </w:rPr>
        <w:fldChar w:fldCharType="begin">
          <w:fldData xml:space="preserve">PEVuZE5vdGU+PENpdGU+PEF1dGhvcj5GZXJsYXk8L0F1dGhvcj48WWVhcj4yMDIxPC9ZZWFyPjxS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32" w:tooltip="Ferlay, 2021 #744" w:history="1">
        <w:r w:rsidR="009D0F7A" w:rsidRPr="009D0F7A">
          <w:rPr>
            <w:rStyle w:val="Hyperlink"/>
          </w:rPr>
          <w:t>Ferlay et al., 2021</w:t>
        </w:r>
      </w:hyperlink>
      <w:r w:rsidR="000112D9">
        <w:rPr>
          <w:rFonts w:cs="Arial"/>
          <w:noProof/>
        </w:rPr>
        <w:t>)</w:t>
      </w:r>
      <w:r w:rsidR="000112D9">
        <w:rPr>
          <w:rFonts w:cs="Arial"/>
        </w:rPr>
        <w:fldChar w:fldCharType="end"/>
      </w:r>
      <w:r w:rsidR="00016550" w:rsidRPr="00812C16">
        <w:rPr>
          <w:rFonts w:cs="Arial"/>
        </w:rPr>
        <w:t>.</w:t>
      </w:r>
    </w:p>
    <w:p w14:paraId="2C14CE52" w14:textId="77777777" w:rsidR="00D92D5E" w:rsidRPr="00812C16" w:rsidRDefault="00B2352D" w:rsidP="00D92D5E">
      <w:pPr>
        <w:spacing w:after="360"/>
        <w:rPr>
          <w:rFonts w:cs="Arial"/>
        </w:rPr>
      </w:pPr>
      <w:r w:rsidRPr="00812C16">
        <w:rPr>
          <w:rFonts w:cs="Arial"/>
        </w:rPr>
        <w:t>I</w:t>
      </w:r>
      <w:r w:rsidR="002F01F1" w:rsidRPr="00812C16">
        <w:rPr>
          <w:rFonts w:cs="Arial"/>
        </w:rPr>
        <w:t>n der Bundesrepublik Deutschland erkrankten im Jahr 201</w:t>
      </w:r>
      <w:r w:rsidR="003D2037" w:rsidRPr="00812C16">
        <w:rPr>
          <w:rFonts w:cs="Arial"/>
        </w:rPr>
        <w:t>8</w:t>
      </w:r>
      <w:r w:rsidR="002F01F1" w:rsidRPr="00812C16">
        <w:rPr>
          <w:rFonts w:cs="Arial"/>
        </w:rPr>
        <w:t xml:space="preserve"> nach Angaben des Robert-Koch-Instituts 1</w:t>
      </w:r>
      <w:r w:rsidR="004B6541" w:rsidRPr="00812C16">
        <w:rPr>
          <w:rFonts w:cs="Arial"/>
        </w:rPr>
        <w:t>4.310</w:t>
      </w:r>
      <w:r w:rsidR="002F01F1" w:rsidRPr="00812C16">
        <w:rPr>
          <w:rFonts w:cs="Arial"/>
        </w:rPr>
        <w:t xml:space="preserve"> Bürger an einem Karzinom der Kopf</w:t>
      </w:r>
      <w:r w:rsidR="003325E6" w:rsidRPr="00812C16">
        <w:rPr>
          <w:rFonts w:cs="Arial"/>
        </w:rPr>
        <w:t>- /Hals-</w:t>
      </w:r>
      <w:r w:rsidR="002F01F1" w:rsidRPr="00812C16">
        <w:rPr>
          <w:rFonts w:cs="Arial"/>
        </w:rPr>
        <w:t>Region.</w:t>
      </w:r>
      <w:r w:rsidR="00E00FF6" w:rsidRPr="00812C16">
        <w:rPr>
          <w:rFonts w:cs="Arial"/>
        </w:rPr>
        <w:t xml:space="preserve"> </w:t>
      </w:r>
      <w:r w:rsidR="009A75B5" w:rsidRPr="00812C16">
        <w:rPr>
          <w:rFonts w:cs="Arial"/>
        </w:rPr>
        <w:t xml:space="preserve">Mit einem Anteil von 68,6% erkrankten </w:t>
      </w:r>
      <w:r w:rsidR="00610131" w:rsidRPr="00812C16">
        <w:rPr>
          <w:rFonts w:cs="Arial"/>
        </w:rPr>
        <w:t>Männer</w:t>
      </w:r>
      <w:r w:rsidR="00E00FF6" w:rsidRPr="00812C16">
        <w:rPr>
          <w:rFonts w:cs="Arial"/>
        </w:rPr>
        <w:t xml:space="preserve"> </w:t>
      </w:r>
      <w:r w:rsidR="00610131" w:rsidRPr="00812C16">
        <w:rPr>
          <w:rFonts w:cs="Arial"/>
        </w:rPr>
        <w:t>häufiger</w:t>
      </w:r>
      <w:r w:rsidR="00E00FF6" w:rsidRPr="00812C16">
        <w:rPr>
          <w:rFonts w:cs="Arial"/>
        </w:rPr>
        <w:t xml:space="preserve"> und </w:t>
      </w:r>
      <w:r w:rsidR="00A64B87" w:rsidRPr="00812C16">
        <w:rPr>
          <w:rFonts w:cs="Arial"/>
        </w:rPr>
        <w:t>bei einem medianen Erk</w:t>
      </w:r>
      <w:r w:rsidR="00610131" w:rsidRPr="00812C16">
        <w:rPr>
          <w:rFonts w:cs="Arial"/>
        </w:rPr>
        <w:t>r</w:t>
      </w:r>
      <w:r w:rsidR="00A64B87" w:rsidRPr="00812C16">
        <w:rPr>
          <w:rFonts w:cs="Arial"/>
        </w:rPr>
        <w:t>a</w:t>
      </w:r>
      <w:r w:rsidR="00610131" w:rsidRPr="00812C16">
        <w:rPr>
          <w:rFonts w:cs="Arial"/>
        </w:rPr>
        <w:t>nkungsalter</w:t>
      </w:r>
      <w:r w:rsidR="00A64B87" w:rsidRPr="00812C16">
        <w:rPr>
          <w:rFonts w:cs="Arial"/>
        </w:rPr>
        <w:t xml:space="preserve"> von 6</w:t>
      </w:r>
      <w:r w:rsidR="00A65CA5" w:rsidRPr="00812C16">
        <w:rPr>
          <w:rFonts w:cs="Arial"/>
        </w:rPr>
        <w:t>4</w:t>
      </w:r>
      <w:r w:rsidR="00A64B87" w:rsidRPr="00812C16">
        <w:rPr>
          <w:rFonts w:cs="Arial"/>
        </w:rPr>
        <w:t xml:space="preserve"> Jahren </w:t>
      </w:r>
      <w:r w:rsidR="00E00FF6" w:rsidRPr="00812C16">
        <w:rPr>
          <w:rFonts w:cs="Arial"/>
        </w:rPr>
        <w:t xml:space="preserve">zwei bis drei Jahre </w:t>
      </w:r>
      <w:r w:rsidR="00610131" w:rsidRPr="00812C16">
        <w:rPr>
          <w:rFonts w:cs="Arial"/>
        </w:rPr>
        <w:t>früher</w:t>
      </w:r>
      <w:r w:rsidR="00E00FF6" w:rsidRPr="00812C16">
        <w:rPr>
          <w:rFonts w:cs="Arial"/>
        </w:rPr>
        <w:t xml:space="preserve"> als Frauen</w:t>
      </w:r>
      <w:r w:rsidR="009A75B5" w:rsidRPr="00812C16">
        <w:rPr>
          <w:rFonts w:cs="Arial"/>
        </w:rPr>
        <w:t>.</w:t>
      </w:r>
      <w:r w:rsidR="0005187F" w:rsidRPr="00812C16">
        <w:rPr>
          <w:rFonts w:cs="Arial"/>
        </w:rPr>
        <w:t xml:space="preserve"> Damit ordnet sich die</w:t>
      </w:r>
      <w:r w:rsidR="001E5CB7" w:rsidRPr="00812C16">
        <w:rPr>
          <w:rFonts w:cs="Arial"/>
        </w:rPr>
        <w:t>se Krebserkrankung bei den männlichen Erkrankten mit einem Anteil von 3,7% an neunter Stelle (Inzidenz 17/100.000) und bei den Frauen mit einem Anteil von 1,6% an 15. Stelle (Inzidenz 4/100.000) der gesamten Krebsneuerkrankungen in Deutschland ein.</w:t>
      </w:r>
      <w:r w:rsidR="00DB2734" w:rsidRPr="00812C16">
        <w:rPr>
          <w:rFonts w:cs="Arial"/>
        </w:rPr>
        <w:t xml:space="preserve"> Seit einigen Jahren verlaufen die</w:t>
      </w:r>
      <w:r w:rsidR="00D92D5E" w:rsidRPr="00812C16">
        <w:rPr>
          <w:rFonts w:cs="Arial"/>
        </w:rPr>
        <w:t xml:space="preserve"> altersstandardisierten</w:t>
      </w:r>
      <w:r w:rsidR="00DB2734" w:rsidRPr="00812C16">
        <w:rPr>
          <w:rFonts w:cs="Arial"/>
        </w:rPr>
        <w:t xml:space="preserve"> Neuerkrankungsraten in Deutschland bei den Frauen annä</w:t>
      </w:r>
      <w:r w:rsidR="00B16418" w:rsidRPr="00812C16">
        <w:rPr>
          <w:rFonts w:cs="Arial"/>
        </w:rPr>
        <w:t xml:space="preserve">hrend </w:t>
      </w:r>
      <w:r w:rsidR="00D92D5E" w:rsidRPr="00812C16">
        <w:rPr>
          <w:rFonts w:cs="Arial"/>
        </w:rPr>
        <w:t>konstant</w:t>
      </w:r>
      <w:r w:rsidR="00B16418" w:rsidRPr="00812C16">
        <w:rPr>
          <w:rFonts w:cs="Arial"/>
        </w:rPr>
        <w:t xml:space="preserve">, bei den Männern ist sogar ein leichter Rückgang zu beobachten. </w:t>
      </w:r>
    </w:p>
    <w:p w14:paraId="353BE28D" w14:textId="77777777" w:rsidR="00D92D5E" w:rsidRPr="00812C16" w:rsidRDefault="00B71E93" w:rsidP="00F91849">
      <w:pPr>
        <w:keepNext/>
        <w:spacing w:after="0"/>
        <w:ind w:right="-2"/>
      </w:pPr>
      <w:r w:rsidRPr="00812C16">
        <w:rPr>
          <w:rFonts w:cs="Arial"/>
          <w:noProof/>
        </w:rPr>
        <w:lastRenderedPageBreak/>
        <w:drawing>
          <wp:inline distT="0" distB="0" distL="0" distR="0" wp14:anchorId="63DECEDF" wp14:editId="75B3275C">
            <wp:extent cx="5772785" cy="2236470"/>
            <wp:effectExtent l="0" t="0" r="0" b="0"/>
            <wp:docPr id="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785" cy="2236470"/>
                    </a:xfrm>
                    <a:prstGeom prst="rect">
                      <a:avLst/>
                    </a:prstGeom>
                    <a:noFill/>
                    <a:ln>
                      <a:noFill/>
                    </a:ln>
                  </pic:spPr>
                </pic:pic>
              </a:graphicData>
            </a:graphic>
          </wp:inline>
        </w:drawing>
      </w:r>
    </w:p>
    <w:p w14:paraId="556F0EFE" w14:textId="61F8ED3B" w:rsidR="004458CC" w:rsidRPr="00812C16" w:rsidRDefault="00D92D5E" w:rsidP="00D92D5E">
      <w:pPr>
        <w:pStyle w:val="Beschriftung"/>
        <w:spacing w:after="360" w:line="240" w:lineRule="auto"/>
        <w:rPr>
          <w:rFonts w:cs="Arial"/>
          <w:b/>
          <w:bCs/>
          <w:i w:val="0"/>
          <w:iCs w:val="0"/>
          <w:color w:val="000000" w:themeColor="text1"/>
          <w:sz w:val="20"/>
          <w:szCs w:val="20"/>
        </w:rPr>
      </w:pPr>
      <w:bookmarkStart w:id="5" w:name="_Toc180788375"/>
      <w:r w:rsidRPr="00812C16">
        <w:rPr>
          <w:b/>
          <w:bCs/>
          <w:i w:val="0"/>
          <w:iCs w:val="0"/>
          <w:color w:val="000000" w:themeColor="text1"/>
          <w:sz w:val="20"/>
          <w:szCs w:val="20"/>
        </w:rPr>
        <w:t xml:space="preserve">Abbildung </w:t>
      </w:r>
      <w:r w:rsidR="00BF08D6" w:rsidRPr="00812C16">
        <w:rPr>
          <w:b/>
          <w:bCs/>
          <w:i w:val="0"/>
          <w:iCs w:val="0"/>
          <w:color w:val="000000" w:themeColor="text1"/>
          <w:sz w:val="20"/>
          <w:szCs w:val="20"/>
        </w:rPr>
        <w:fldChar w:fldCharType="begin"/>
      </w:r>
      <w:r w:rsidR="00BF08D6" w:rsidRPr="00812C16">
        <w:rPr>
          <w:b/>
          <w:bCs/>
          <w:i w:val="0"/>
          <w:iCs w:val="0"/>
          <w:color w:val="000000" w:themeColor="text1"/>
          <w:sz w:val="20"/>
          <w:szCs w:val="20"/>
        </w:rPr>
        <w:instrText xml:space="preserve"> STYLEREF 1 \s </w:instrText>
      </w:r>
      <w:r w:rsidR="00BF08D6" w:rsidRPr="00812C16">
        <w:rPr>
          <w:b/>
          <w:bCs/>
          <w:i w:val="0"/>
          <w:iCs w:val="0"/>
          <w:color w:val="000000" w:themeColor="text1"/>
          <w:sz w:val="20"/>
          <w:szCs w:val="20"/>
        </w:rPr>
        <w:fldChar w:fldCharType="separate"/>
      </w:r>
      <w:r w:rsidR="00F67803">
        <w:rPr>
          <w:b/>
          <w:bCs/>
          <w:i w:val="0"/>
          <w:iCs w:val="0"/>
          <w:noProof/>
          <w:color w:val="000000" w:themeColor="text1"/>
          <w:sz w:val="20"/>
          <w:szCs w:val="20"/>
        </w:rPr>
        <w:t>1</w:t>
      </w:r>
      <w:r w:rsidR="00BF08D6" w:rsidRPr="00812C16">
        <w:rPr>
          <w:b/>
          <w:bCs/>
          <w:i w:val="0"/>
          <w:iCs w:val="0"/>
          <w:color w:val="000000" w:themeColor="text1"/>
          <w:sz w:val="20"/>
          <w:szCs w:val="20"/>
        </w:rPr>
        <w:fldChar w:fldCharType="end"/>
      </w:r>
      <w:r w:rsidR="00BF08D6" w:rsidRPr="00812C16">
        <w:rPr>
          <w:b/>
          <w:bCs/>
          <w:i w:val="0"/>
          <w:iCs w:val="0"/>
          <w:color w:val="000000" w:themeColor="text1"/>
          <w:sz w:val="20"/>
          <w:szCs w:val="20"/>
        </w:rPr>
        <w:noBreakHyphen/>
      </w:r>
      <w:r w:rsidR="00BF08D6" w:rsidRPr="00812C16">
        <w:rPr>
          <w:b/>
          <w:bCs/>
          <w:i w:val="0"/>
          <w:iCs w:val="0"/>
          <w:color w:val="000000" w:themeColor="text1"/>
          <w:sz w:val="20"/>
          <w:szCs w:val="20"/>
        </w:rPr>
        <w:fldChar w:fldCharType="begin"/>
      </w:r>
      <w:r w:rsidR="00BF08D6" w:rsidRPr="00812C16">
        <w:rPr>
          <w:b/>
          <w:bCs/>
          <w:i w:val="0"/>
          <w:iCs w:val="0"/>
          <w:color w:val="000000" w:themeColor="text1"/>
          <w:sz w:val="20"/>
          <w:szCs w:val="20"/>
        </w:rPr>
        <w:instrText xml:space="preserve"> SEQ Abbildung \* ARABIC \s 1 </w:instrText>
      </w:r>
      <w:r w:rsidR="00BF08D6" w:rsidRPr="00812C16">
        <w:rPr>
          <w:b/>
          <w:bCs/>
          <w:i w:val="0"/>
          <w:iCs w:val="0"/>
          <w:color w:val="000000" w:themeColor="text1"/>
          <w:sz w:val="20"/>
          <w:szCs w:val="20"/>
        </w:rPr>
        <w:fldChar w:fldCharType="separate"/>
      </w:r>
      <w:r w:rsidR="00F67803">
        <w:rPr>
          <w:b/>
          <w:bCs/>
          <w:i w:val="0"/>
          <w:iCs w:val="0"/>
          <w:noProof/>
          <w:color w:val="000000" w:themeColor="text1"/>
          <w:sz w:val="20"/>
          <w:szCs w:val="20"/>
        </w:rPr>
        <w:t>1</w:t>
      </w:r>
      <w:r w:rsidR="00BF08D6" w:rsidRPr="00812C16">
        <w:rPr>
          <w:b/>
          <w:bCs/>
          <w:i w:val="0"/>
          <w:iCs w:val="0"/>
          <w:color w:val="000000" w:themeColor="text1"/>
          <w:sz w:val="20"/>
          <w:szCs w:val="20"/>
        </w:rPr>
        <w:fldChar w:fldCharType="end"/>
      </w:r>
      <w:r w:rsidRPr="00812C16">
        <w:rPr>
          <w:b/>
          <w:bCs/>
          <w:i w:val="0"/>
          <w:iCs w:val="0"/>
          <w:color w:val="000000" w:themeColor="text1"/>
          <w:sz w:val="20"/>
          <w:szCs w:val="20"/>
        </w:rPr>
        <w:t>: Altersstandardisierte Neuerkrankungs- und Sterberaten (Europastandard) nach Geschlecht, ICD-10 C00 – C14, Deutschland 1999 – 2018/2019, Prognose (Inzidenz) bis 2022</w:t>
      </w:r>
      <w:r w:rsidR="00BB3AB7" w:rsidRPr="00812C16">
        <w:rPr>
          <w:b/>
          <w:bCs/>
          <w:i w:val="0"/>
          <w:iCs w:val="0"/>
          <w:color w:val="000000" w:themeColor="text1"/>
          <w:sz w:val="20"/>
          <w:szCs w:val="20"/>
        </w:rPr>
        <w:t xml:space="preserve"> (Quelle: Zentrum f. Krebsregisterdaten 2021)</w:t>
      </w:r>
      <w:bookmarkEnd w:id="5"/>
    </w:p>
    <w:p w14:paraId="209F02F6" w14:textId="690CC866" w:rsidR="00EF6FA1" w:rsidRPr="00812C16" w:rsidRDefault="00610131" w:rsidP="004B6541">
      <w:pPr>
        <w:rPr>
          <w:rFonts w:cs="Arial"/>
        </w:rPr>
      </w:pPr>
      <w:r w:rsidRPr="00812C16">
        <w:rPr>
          <w:rFonts w:cs="Arial"/>
        </w:rPr>
        <w:t xml:space="preserve">Die entsprechenden </w:t>
      </w:r>
      <w:proofErr w:type="spellStart"/>
      <w:r w:rsidRPr="00812C16">
        <w:rPr>
          <w:rFonts w:cs="Arial"/>
        </w:rPr>
        <w:t>Mortalitätsraten</w:t>
      </w:r>
      <w:proofErr w:type="spellEnd"/>
      <w:r w:rsidR="00BB3AB7" w:rsidRPr="00812C16">
        <w:rPr>
          <w:rFonts w:cs="Arial"/>
        </w:rPr>
        <w:t xml:space="preserve"> verhalten sich für Männer und Frauen ähnlich.</w:t>
      </w:r>
      <w:r w:rsidRPr="00812C16">
        <w:rPr>
          <w:rFonts w:cs="Arial"/>
        </w:rPr>
        <w:t xml:space="preserve"> </w:t>
      </w:r>
      <w:r w:rsidR="00505206" w:rsidRPr="00812C16">
        <w:rPr>
          <w:rFonts w:cs="Arial"/>
        </w:rPr>
        <w:t xml:space="preserve">Im Jahre 2018 </w:t>
      </w:r>
      <w:r w:rsidR="002F01F1" w:rsidRPr="00812C16">
        <w:rPr>
          <w:rFonts w:cs="Arial"/>
        </w:rPr>
        <w:t xml:space="preserve">verstarben insgesamt </w:t>
      </w:r>
      <w:r w:rsidR="004B6541" w:rsidRPr="00812C16">
        <w:rPr>
          <w:rFonts w:cs="Arial"/>
        </w:rPr>
        <w:t>5.412</w:t>
      </w:r>
      <w:r w:rsidR="002F01F1" w:rsidRPr="00812C16">
        <w:rPr>
          <w:rFonts w:cs="Arial"/>
        </w:rPr>
        <w:t xml:space="preserve"> Patienten (davon 7</w:t>
      </w:r>
      <w:r w:rsidR="004B6541" w:rsidRPr="00812C16">
        <w:rPr>
          <w:rFonts w:cs="Arial"/>
        </w:rPr>
        <w:t>3</w:t>
      </w:r>
      <w:r w:rsidR="002F01F1" w:rsidRPr="00812C16">
        <w:rPr>
          <w:rFonts w:cs="Arial"/>
        </w:rPr>
        <w:t>,4% Männer)</w:t>
      </w:r>
      <w:r w:rsidR="00505206" w:rsidRPr="00812C16">
        <w:rPr>
          <w:rFonts w:cs="Arial"/>
        </w:rPr>
        <w:t>. Männer</w:t>
      </w:r>
      <w:r w:rsidR="002F01F1" w:rsidRPr="00812C16">
        <w:rPr>
          <w:rFonts w:cs="Arial"/>
        </w:rPr>
        <w:t xml:space="preserve"> nahmen mit einem Anteil von 3,4% an den Krebssterbefällen den neunten Platz </w:t>
      </w:r>
      <w:r w:rsidR="00505206" w:rsidRPr="00812C16">
        <w:rPr>
          <w:rFonts w:cs="Arial"/>
        </w:rPr>
        <w:t xml:space="preserve">(Inzidenz: 9,7/100.000) </w:t>
      </w:r>
      <w:r w:rsidR="002F01F1" w:rsidRPr="00812C16">
        <w:rPr>
          <w:rFonts w:cs="Arial"/>
        </w:rPr>
        <w:t>und Frauen mit 1,2% den 17. Platz</w:t>
      </w:r>
      <w:r w:rsidR="00505206" w:rsidRPr="00812C16">
        <w:rPr>
          <w:rFonts w:cs="Arial"/>
        </w:rPr>
        <w:t xml:space="preserve"> (3,4/100.000)</w:t>
      </w:r>
      <w:r w:rsidR="002F01F1" w:rsidRPr="00812C16">
        <w:rPr>
          <w:rFonts w:cs="Arial"/>
        </w:rPr>
        <w:t xml:space="preserve"> ein</w:t>
      </w:r>
      <w:r w:rsidR="007559C4" w:rsidRPr="00812C16">
        <w:rPr>
          <w:rFonts w:cs="Arial"/>
        </w:rPr>
        <w:t xml:space="preserve"> </w:t>
      </w:r>
      <w:r w:rsidR="000112D9">
        <w:rPr>
          <w:rFonts w:cs="Arial"/>
        </w:rPr>
        <w:fldChar w:fldCharType="begin">
          <w:fldData xml:space="preserve">PEVuZE5vdGU+PENpdGU+PEF1dGhvcj5SS0k8L0F1dGhvcj48WWVhcj4yMDIxPC9ZZWFyPjxSZWNO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61" w:tooltip="RKI, 2021 #672" w:history="1">
        <w:r w:rsidR="009D0F7A" w:rsidRPr="009D0F7A">
          <w:rPr>
            <w:rStyle w:val="Hyperlink"/>
          </w:rPr>
          <w:t>RKI, 2021</w:t>
        </w:r>
      </w:hyperlink>
      <w:r w:rsidR="000112D9">
        <w:rPr>
          <w:rFonts w:cs="Arial"/>
          <w:noProof/>
        </w:rPr>
        <w:t>)</w:t>
      </w:r>
      <w:r w:rsidR="000112D9">
        <w:rPr>
          <w:rFonts w:cs="Arial"/>
        </w:rPr>
        <w:fldChar w:fldCharType="end"/>
      </w:r>
      <w:r w:rsidR="002872FD" w:rsidRPr="00812C16">
        <w:rPr>
          <w:rFonts w:cs="Arial"/>
        </w:rPr>
        <w:t>.</w:t>
      </w:r>
      <w:r w:rsidR="00C42C10" w:rsidRPr="00812C16">
        <w:rPr>
          <w:rFonts w:cs="Arial"/>
        </w:rPr>
        <w:t xml:space="preserve"> </w:t>
      </w:r>
      <w:r w:rsidR="00081198" w:rsidRPr="00812C16">
        <w:rPr>
          <w:rFonts w:cs="Arial"/>
        </w:rPr>
        <w:t xml:space="preserve">An klassischen Karzinomen des Kopf-Hals-Bereiches erkranken überwiegend Personen mit einem niedrigen Bildungsstand aus sozial benachteiligten Schichten </w:t>
      </w:r>
      <w:r w:rsidR="000112D9">
        <w:rPr>
          <w:rFonts w:cs="Arial"/>
        </w:rPr>
        <w:fldChar w:fldCharType="begin">
          <w:fldData xml:space="preserve">PEVuZE5vdGU+PENpdGU+PEF1dGhvcj5DdXJhZG88L0F1dGhvcj48WWVhcj4yMDEzPC9ZZWFyPjxS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25" w:tooltip="Curado, 2013 #688" w:history="1">
        <w:r w:rsidR="009D0F7A" w:rsidRPr="009D0F7A">
          <w:rPr>
            <w:rStyle w:val="Hyperlink"/>
          </w:rPr>
          <w:t>Curado &amp; Boyle, 2013</w:t>
        </w:r>
      </w:hyperlink>
      <w:r w:rsidR="000112D9">
        <w:rPr>
          <w:rFonts w:cs="Arial"/>
          <w:noProof/>
        </w:rPr>
        <w:t>)</w:t>
      </w:r>
      <w:r w:rsidR="000112D9">
        <w:rPr>
          <w:rFonts w:cs="Arial"/>
        </w:rPr>
        <w:fldChar w:fldCharType="end"/>
      </w:r>
      <w:r w:rsidR="00081198" w:rsidRPr="00812C16">
        <w:rPr>
          <w:rFonts w:cs="Arial"/>
        </w:rPr>
        <w:t xml:space="preserve">. </w:t>
      </w:r>
    </w:p>
    <w:p w14:paraId="42C80B43" w14:textId="7629C59E" w:rsidR="00EB5548" w:rsidRDefault="00EB5548" w:rsidP="004B6541">
      <w:pPr>
        <w:rPr>
          <w:rFonts w:asciiTheme="minorHAnsi" w:hAnsiTheme="minorHAnsi" w:cstheme="minorHAnsi"/>
        </w:rPr>
      </w:pPr>
      <w:bookmarkStart w:id="6" w:name="_Toc158006512"/>
      <w:r>
        <w:rPr>
          <w:rFonts w:asciiTheme="minorHAnsi" w:hAnsiTheme="minorHAnsi" w:cstheme="minorHAnsi"/>
        </w:rPr>
        <w:t>Zusammenfassung</w:t>
      </w:r>
      <w:r>
        <w:rPr>
          <w:rFonts w:asciiTheme="minorHAnsi" w:hAnsiTheme="minorHAnsi" w:cstheme="minorHAnsi"/>
        </w:rPr>
        <w:cr/>
      </w:r>
      <w:r>
        <w:rPr>
          <w:rFonts w:asciiTheme="minorHAnsi" w:hAnsiTheme="minorHAnsi" w:cstheme="minorHAnsi"/>
        </w:rPr>
        <w:cr/>
        <w:t>Plattenepithelkarzinom im Kopf-Hals-Bereich</w:t>
      </w:r>
      <w:r>
        <w:rPr>
          <w:rFonts w:asciiTheme="minorHAnsi" w:hAnsiTheme="minorHAnsi" w:cstheme="minorHAnsi"/>
        </w:rPr>
        <w:cr/>
      </w:r>
      <w:r>
        <w:rPr>
          <w:rFonts w:asciiTheme="minorHAnsi" w:hAnsiTheme="minorHAnsi" w:cstheme="minorHAnsi"/>
        </w:rPr>
        <w:cr/>
        <w:t>Im oberen Spalt zwischen Mund und Luftröhre können verschiedenartige Karzinome (HNSCC) entstehen, die man nach den genauen Orten unterscheidet. Die meisten Betroffenen sind Männer mit geringer Bildung aus armen Verhältnissen. Diese Krebsart gehört zu den häufigsten weltweit, ist in Deutschland aber rückläufig.</w:t>
      </w:r>
      <w:r>
        <w:rPr>
          <w:rFonts w:asciiTheme="minorHAnsi" w:hAnsiTheme="minorHAnsi" w:cstheme="minorHAnsi"/>
        </w:rPr>
        <w:cr/>
      </w:r>
      <w:r>
        <w:rPr>
          <w:rFonts w:asciiTheme="minorHAnsi" w:hAnsiTheme="minorHAnsi" w:cstheme="minorHAnsi"/>
        </w:rPr>
        <w:cr/>
        <w:t>Statistik</w:t>
      </w:r>
      <w:r>
        <w:rPr>
          <w:rFonts w:asciiTheme="minorHAnsi" w:hAnsiTheme="minorHAnsi" w:cstheme="minorHAnsi"/>
        </w:rPr>
        <w:cr/>
      </w:r>
      <w:r>
        <w:rPr>
          <w:rFonts w:asciiTheme="minorHAnsi" w:hAnsiTheme="minorHAnsi" w:cstheme="minorHAnsi"/>
        </w:rPr>
        <w:cr/>
        <w:t xml:space="preserve">Weltweit gab es 2020 laut WHO etwa 694.000 Neuerkrankungen und 325.000 Tote durch HNSCC. Davon waren jeweils rund drei Viertel Männer </w:t>
      </w:r>
      <w:r w:rsidR="000112D9">
        <w:rPr>
          <w:rFonts w:asciiTheme="minorHAnsi" w:hAnsiTheme="minorHAnsi" w:cstheme="minorHAnsi"/>
        </w:rPr>
        <w:fldChar w:fldCharType="begin">
          <w:fldData xml:space="preserve">PEVuZE5vdGU+PENpdGU+PEF1dGhvcj5GZXJsYXk8L0F1dGhvcj48WWVhcj4yMDIxPC9ZZWFyPjxS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</w:fldData>
        </w:fldChar>
      </w:r>
      <w:r w:rsidR="000112D9">
        <w:rPr>
          <w:rFonts w:asciiTheme="minorHAnsi" w:hAnsiTheme="minorHAnsi" w:cstheme="minorHAnsi"/>
        </w:rPr>
        <w:instrText xml:space="preserve"> ADDIN EN.JS.CITE </w:instrText>
      </w:r>
      <w:r w:rsidR="000112D9">
        <w:rPr>
          <w:rFonts w:asciiTheme="minorHAnsi" w:hAnsiTheme="minorHAnsi" w:cstheme="minorHAnsi"/>
        </w:rPr>
      </w:r>
      <w:r w:rsidR="000112D9">
        <w:rPr>
          <w:rFonts w:asciiTheme="minorHAnsi" w:hAnsiTheme="minorHAnsi" w:cstheme="minorHAnsi"/>
        </w:rPr>
        <w:fldChar w:fldCharType="separate"/>
      </w:r>
      <w:r w:rsidR="000112D9">
        <w:rPr>
          <w:rFonts w:asciiTheme="minorHAnsi" w:hAnsiTheme="minorHAnsi" w:cstheme="minorHAnsi"/>
          <w:noProof/>
        </w:rPr>
        <w:t>(</w:t>
      </w:r>
      <w:hyperlink w:anchor="_ENREF_32" w:tooltip="Ferlay, 2021 #744" w:history="1">
        <w:r w:rsidR="009D0F7A" w:rsidRPr="009D0F7A">
          <w:rPr>
            <w:rStyle w:val="Hyperlink"/>
          </w:rPr>
          <w:t>Ferlay et al., 2021</w:t>
        </w:r>
      </w:hyperlink>
      <w:r w:rsidR="000112D9">
        <w:rPr>
          <w:rFonts w:asciiTheme="minorHAnsi" w:hAnsiTheme="minorHAnsi" w:cstheme="minorHAnsi"/>
          <w:noProof/>
        </w:rPr>
        <w:t>)</w:t>
      </w:r>
      <w:r w:rsidR="000112D9">
        <w:rPr>
          <w:rFonts w:asciiTheme="minorHAnsi" w:hAnsiTheme="minorHAnsi" w:cstheme="minorHAnsi"/>
        </w:rPr>
        <w:fldChar w:fldCharType="end"/>
      </w:r>
      <w:r>
        <w:rPr>
          <w:rFonts w:asciiTheme="minorHAnsi" w:hAnsiTheme="minorHAnsi" w:cstheme="minorHAnsi"/>
        </w:rPr>
        <w:t xml:space="preserve">. In Deutschland erkrankten 2018 laut Robert-Koch-Institut 14.310 Menschen an HNSCC (69% Männer). Das </w:t>
      </w:r>
      <w:r>
        <w:rPr>
          <w:rFonts w:asciiTheme="minorHAnsi" w:hAnsiTheme="minorHAnsi" w:cstheme="minorHAnsi"/>
        </w:rPr>
        <w:lastRenderedPageBreak/>
        <w:t>mittlere Erkrankungsalter war für Männer 64 Jahre und für Frauen zwei bis drei Jahre höher. Männer kamen mit HNSCC auf den 9. Platz (3,7%) und Frauen auf den 15. Platz (1,6%) aller Krebsneuerkrankungen. Die altersbereinigten Neuerkrankungs- und Sterberaten zeigen einen leichten Rückgang bei Männern und eine Stagnation bei Frauen.</w:t>
      </w:r>
      <w:r>
        <w:rPr>
          <w:rFonts w:asciiTheme="minorHAnsi" w:hAnsiTheme="minorHAnsi" w:cstheme="minorHAnsi"/>
        </w:rPr>
        <w:cr/>
      </w:r>
      <w:r>
        <w:rPr>
          <w:rFonts w:asciiTheme="minorHAnsi" w:hAnsiTheme="minorHAnsi" w:cstheme="minorHAnsi"/>
        </w:rPr>
        <w:cr/>
        <w:t xml:space="preserve">Abbildung                  2 </w:t>
      </w:r>
      <w:r>
        <w:rPr>
          <w:rFonts w:ascii="Cambria Math" w:hAnsi="Cambria Math" w:cs="Cambria Math"/>
        </w:rPr>
        <w:t>‑</w:t>
      </w:r>
      <w:r>
        <w:rPr>
          <w:rFonts w:asciiTheme="minorHAnsi" w:hAnsiTheme="minorHAnsi" w:cstheme="minorHAnsi"/>
        </w:rPr>
        <w:t xml:space="preserve">                                </w:t>
      </w:r>
      <w:proofErr w:type="gramStart"/>
      <w:r>
        <w:rPr>
          <w:rFonts w:asciiTheme="minorHAnsi" w:hAnsiTheme="minorHAnsi" w:cstheme="minorHAnsi"/>
        </w:rPr>
        <w:t>1 :</w:t>
      </w:r>
      <w:proofErr w:type="gramEnd"/>
      <w:r>
        <w:rPr>
          <w:rFonts w:asciiTheme="minorHAnsi" w:hAnsiTheme="minorHAnsi" w:cstheme="minorHAnsi"/>
        </w:rPr>
        <w:t xml:space="preserve"> Altersstandardisierte Neuerkrankungs- und Sterberaten (Europastandard) nach Geschlecht, ICD-10 C00 – C14, Deutschland 1999 – 2018/2019, Prognose (Inzidenz) bis 2022 (Quelle: Zentrum f. Krebsregisterdaten 2021)</w:t>
      </w:r>
      <w:r>
        <w:rPr>
          <w:rFonts w:asciiTheme="minorHAnsi" w:hAnsiTheme="minorHAnsi" w:cstheme="minorHAnsi"/>
        </w:rPr>
        <w:cr/>
      </w:r>
      <w:r>
        <w:rPr>
          <w:rFonts w:asciiTheme="minorHAnsi" w:hAnsiTheme="minorHAnsi" w:cstheme="minorHAnsi"/>
        </w:rPr>
        <w:cr/>
        <w:t xml:space="preserve">2018 starben in Deutschland 5.412 Patienten an HNSCC (73% Männer). Männer lagen mit HNSCC auf dem 9. Platz (3,4%) und Frauen auf dem 17. Platz (1,2%) aller Krebstodesfälle </w:t>
      </w:r>
      <w:r w:rsidR="000112D9">
        <w:rPr>
          <w:rFonts w:asciiTheme="minorHAnsi" w:hAnsiTheme="minorHAnsi" w:cstheme="minorHAnsi"/>
        </w:rPr>
        <w:fldChar w:fldCharType="begin">
          <w:fldData xml:space="preserve">PEVuZE5vdGU+PENpdGU+PEF1dGhvcj5SS0k8L0F1dGhvcj48WWVhcj4yMDIxPC9ZZWFyPjxSZWNO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</w:fldData>
        </w:fldChar>
      </w:r>
      <w:r w:rsidR="000112D9">
        <w:rPr>
          <w:rFonts w:asciiTheme="minorHAnsi" w:hAnsiTheme="minorHAnsi" w:cstheme="minorHAnsi"/>
        </w:rPr>
        <w:instrText xml:space="preserve"> ADDIN EN.JS.CITE </w:instrText>
      </w:r>
      <w:r w:rsidR="000112D9">
        <w:rPr>
          <w:rFonts w:asciiTheme="minorHAnsi" w:hAnsiTheme="minorHAnsi" w:cstheme="minorHAnsi"/>
        </w:rPr>
      </w:r>
      <w:r w:rsidR="000112D9">
        <w:rPr>
          <w:rFonts w:asciiTheme="minorHAnsi" w:hAnsiTheme="minorHAnsi" w:cstheme="minorHAnsi"/>
        </w:rPr>
        <w:fldChar w:fldCharType="separate"/>
      </w:r>
      <w:r w:rsidR="000112D9">
        <w:rPr>
          <w:rFonts w:asciiTheme="minorHAnsi" w:hAnsiTheme="minorHAnsi" w:cstheme="minorHAnsi"/>
          <w:noProof/>
        </w:rPr>
        <w:t>(</w:t>
      </w:r>
      <w:hyperlink w:anchor="_ENREF_61" w:tooltip="RKI, 2021 #672" w:history="1">
        <w:r w:rsidR="009D0F7A" w:rsidRPr="009D0F7A">
          <w:rPr>
            <w:rStyle w:val="Hyperlink"/>
          </w:rPr>
          <w:t>RKI, 2021</w:t>
        </w:r>
      </w:hyperlink>
      <w:r w:rsidR="000112D9">
        <w:rPr>
          <w:rFonts w:asciiTheme="minorHAnsi" w:hAnsiTheme="minorHAnsi" w:cstheme="minorHAnsi"/>
          <w:noProof/>
        </w:rPr>
        <w:t>)</w:t>
      </w:r>
      <w:r w:rsidR="000112D9">
        <w:rPr>
          <w:rFonts w:asciiTheme="minorHAnsi" w:hAnsiTheme="minorHAnsi" w:cstheme="minorHAnsi"/>
        </w:rPr>
        <w:fldChar w:fldCharType="end"/>
      </w:r>
      <w:r>
        <w:rPr>
          <w:rFonts w:asciiTheme="minorHAnsi" w:hAnsiTheme="minorHAnsi" w:cstheme="minorHAnsi"/>
        </w:rPr>
        <w:t>.</w:t>
      </w:r>
    </w:p>
    <w:p w14:paraId="2299CBE0" w14:textId="34F554EE" w:rsidR="00081198" w:rsidRPr="00A03861" w:rsidRDefault="005C1C9C" w:rsidP="00A03861">
      <w:pPr>
        <w:pStyle w:val="berschrift3"/>
      </w:pPr>
      <w:r w:rsidRPr="00812C16">
        <w:t xml:space="preserve">Ätiologie und </w:t>
      </w:r>
      <w:proofErr w:type="spellStart"/>
      <w:r w:rsidR="002F01F1" w:rsidRPr="00812C16">
        <w:t>Risikofaktore</w:t>
      </w:r>
      <w:bookmarkEnd w:id="6"/>
      <w:proofErr w:type="spellEnd"/>
    </w:p>
    <w:p w14:paraId="012F0966" w14:textId="77777777" w:rsidR="002F01F1" w:rsidRPr="00812C16" w:rsidRDefault="002F01F1" w:rsidP="00887DA1">
      <w:pPr>
        <w:spacing w:before="240" w:after="0"/>
        <w:rPr>
          <w:rFonts w:cs="Arial"/>
          <w:i/>
          <w:iCs/>
        </w:rPr>
      </w:pPr>
      <w:r w:rsidRPr="00812C16">
        <w:rPr>
          <w:rFonts w:cs="Arial"/>
          <w:i/>
          <w:iCs/>
        </w:rPr>
        <w:t>Tabak- und Alkoholkonsum</w:t>
      </w:r>
    </w:p>
    <w:p w14:paraId="04884A4D" w14:textId="77777777" w:rsidR="002F01F1" w:rsidRPr="00812C16" w:rsidRDefault="002F01F1" w:rsidP="002F01F1">
      <w:pPr>
        <w:rPr>
          <w:rFonts w:cs="Arial"/>
        </w:rPr>
      </w:pPr>
      <w:r w:rsidRPr="00812C16">
        <w:rPr>
          <w:rFonts w:cs="Arial"/>
        </w:rPr>
        <w:t>Die Hauptrisikofaktoren der Karzinogenese eines Plattenepithelkarzinoms im Kopf-Hals-Bereich stellen Tabak- und Alkoholkonsum dar. Mindestens 75% der Krebserkrankungen im Kopf-Hals-Bereich können auf diese beiden Noxen zurückgeführt werden. Unabhängig voneinander erhöhen sie das Risiko, an einem Karzinom des Kopf-Hals-Bereiches zu erkranken, werden jedoch in den meisten Fällen kombiniert konsumiert. [5, 6]</w:t>
      </w:r>
    </w:p>
    <w:p w14:paraId="7B9720F2" w14:textId="77777777" w:rsidR="002F01F1" w:rsidRPr="00812C16" w:rsidRDefault="002F01F1" w:rsidP="002F01F1">
      <w:pPr>
        <w:rPr>
          <w:rFonts w:cs="Arial"/>
        </w:rPr>
      </w:pPr>
      <w:r w:rsidRPr="00812C16">
        <w:rPr>
          <w:rFonts w:cs="Arial"/>
        </w:rPr>
        <w:t>Daraus ergibt sich nicht nur ein additiver, sondern ein multiplikativer Effekt auf das Erkrankungsrisiko [7, 8]. Eine Risikoerhöhung bis auf das 15-fache wird bei kombiniertem, starken Alkohol- und Tabakkonsum angegeben [9].</w:t>
      </w:r>
    </w:p>
    <w:p w14:paraId="6FD7D95B" w14:textId="77777777" w:rsidR="002F01F1" w:rsidRPr="00812C16" w:rsidRDefault="002F01F1" w:rsidP="00887DA1">
      <w:pPr>
        <w:rPr>
          <w:rFonts w:cs="Arial"/>
        </w:rPr>
      </w:pPr>
      <w:r w:rsidRPr="00812C16">
        <w:rPr>
          <w:rFonts w:cs="Arial"/>
        </w:rPr>
        <w:t>Das Erkrankungsrisiko unter den Rauchern steigt mit der Anzahl der täglich gerauchten Zigaretten sowie früherem Beginn und der Dauer des Konsumverhaltens [6, 8, 10]. Auch beim Alkoholkonsum zeigt sich eine dosisabhängige Risikosteigerung, je mehr alkoholische Getränke täglich konsumiert werden, desto höher ist das Erkrankungsrisiko [10].</w:t>
      </w:r>
    </w:p>
    <w:p w14:paraId="46BA7929" w14:textId="77777777" w:rsidR="002F01F1" w:rsidRPr="00812C16" w:rsidRDefault="002F01F1" w:rsidP="00887DA1">
      <w:pPr>
        <w:spacing w:before="240" w:after="0"/>
        <w:rPr>
          <w:rFonts w:cs="Arial"/>
          <w:i/>
          <w:iCs/>
        </w:rPr>
      </w:pPr>
      <w:r w:rsidRPr="00812C16">
        <w:rPr>
          <w:rFonts w:cs="Arial"/>
          <w:i/>
          <w:iCs/>
        </w:rPr>
        <w:t>Humanes Papillomavirus</w:t>
      </w:r>
    </w:p>
    <w:p w14:paraId="7AC6F288" w14:textId="56F26BF6" w:rsidR="00DB3659" w:rsidRPr="00812C16" w:rsidRDefault="00EF2CCD" w:rsidP="00EF2CCD">
      <w:pPr>
        <w:rPr>
          <w:rFonts w:cs="Arial"/>
        </w:rPr>
      </w:pPr>
      <w:r w:rsidRPr="00812C16">
        <w:rPr>
          <w:rFonts w:cs="Arial"/>
        </w:rPr>
        <w:t>Erste Anhaltspunkte für eine Beteil</w:t>
      </w:r>
      <w:r w:rsidR="00D018CF" w:rsidRPr="00812C16">
        <w:rPr>
          <w:rFonts w:cs="Arial"/>
        </w:rPr>
        <w:t>ig</w:t>
      </w:r>
      <w:r w:rsidRPr="00812C16">
        <w:rPr>
          <w:rFonts w:cs="Arial"/>
        </w:rPr>
        <w:t xml:space="preserve">ung von humanen Papillomaviren bei der Ätiologie von </w:t>
      </w:r>
      <w:r w:rsidR="00D018CF" w:rsidRPr="00812C16">
        <w:rPr>
          <w:rFonts w:cs="Arial"/>
        </w:rPr>
        <w:t>Kopf-Hals-Plattenepit</w:t>
      </w:r>
      <w:r w:rsidR="0083394D" w:rsidRPr="00812C16">
        <w:rPr>
          <w:rFonts w:cs="Arial"/>
        </w:rPr>
        <w:t>h</w:t>
      </w:r>
      <w:r w:rsidR="00D018CF" w:rsidRPr="00812C16">
        <w:rPr>
          <w:rFonts w:cs="Arial"/>
        </w:rPr>
        <w:t>elkarzinomen</w:t>
      </w:r>
      <w:r w:rsidRPr="00812C16">
        <w:rPr>
          <w:rFonts w:cs="Arial"/>
        </w:rPr>
        <w:t xml:space="preserve"> gab es schon in den frühen 80-er Jahren </w:t>
      </w:r>
      <w:r w:rsidR="000112D9">
        <w:rPr>
          <w:rFonts w:cs="Arial"/>
        </w:rPr>
        <w:lastRenderedPageBreak/>
        <w:fldChar w:fldCharType="begin">
          <w:fldData xml:space="preserve">PEVuZE5vdGU+PENpdGU+PEF1dGhvcj5TeXJqYW5lbjwvQXV0aG9yPjxZZWFyPjE5ODI8L1llYXI+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68" w:tooltip="Syrjanen, 1982 #734" w:history="1">
        <w:r w:rsidR="009D0F7A" w:rsidRPr="009D0F7A">
          <w:rPr>
            <w:rStyle w:val="Hyperlink"/>
          </w:rPr>
          <w:t>Syrjanen et al., 1982</w:t>
        </w:r>
      </w:hyperlink>
      <w:r w:rsidR="000112D9">
        <w:rPr>
          <w:rFonts w:cs="Arial"/>
          <w:noProof/>
        </w:rPr>
        <w:t>)</w:t>
      </w:r>
      <w:r w:rsidR="000112D9">
        <w:rPr>
          <w:rFonts w:cs="Arial"/>
        </w:rPr>
        <w:fldChar w:fldCharType="end"/>
      </w:r>
      <w:r w:rsidRPr="00812C16">
        <w:rPr>
          <w:rFonts w:cs="Arial"/>
        </w:rPr>
        <w:t xml:space="preserve">. In den 90-er Jahren wurden erste Arbeiten publiziert, in denen eine spezifische Assoziation zwischen HPV und den Tumoren des </w:t>
      </w:r>
      <w:proofErr w:type="spellStart"/>
      <w:r w:rsidRPr="00812C16">
        <w:rPr>
          <w:rFonts w:cs="Arial"/>
        </w:rPr>
        <w:t>Waldeyer’schen</w:t>
      </w:r>
      <w:proofErr w:type="spellEnd"/>
      <w:r w:rsidRPr="00812C16">
        <w:rPr>
          <w:rFonts w:cs="Arial"/>
        </w:rPr>
        <w:t xml:space="preserve"> Rachenrings gefunden wurden, welcher die Rachen-, Gaumen- und Zungengrundtonsillen einschließt </w:t>
      </w:r>
      <w:r w:rsidR="000112D9">
        <w:rPr>
          <w:rFonts w:cs="Arial"/>
        </w:rPr>
        <w:fldChar w:fldCharType="begin">
          <w:fldData xml:space="preserve">PEVuZE5vdGU+PENpdGU+PEF1dGhvcj5BbmRsPC9BdXRob3I+PFllYXI+MTk5ODwvWWVhcj48UmVj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4" w:tooltip="Andl, 1998 #433" w:history="1">
        <w:r w:rsidR="009D0F7A" w:rsidRPr="009D0F7A">
          <w:rPr>
            <w:rStyle w:val="Hyperlink"/>
          </w:rPr>
          <w:t>Andl et al., 1998</w:t>
        </w:r>
      </w:hyperlink>
      <w:r w:rsidR="000112D9">
        <w:rPr>
          <w:rFonts w:cs="Arial"/>
          <w:noProof/>
        </w:rPr>
        <w:t xml:space="preserve">; </w:t>
      </w:r>
      <w:hyperlink w:anchor="_ENREF_57" w:tooltip="Paz, 1997 #698" w:history="1">
        <w:r w:rsidR="009D0F7A" w:rsidRPr="009D0F7A">
          <w:rPr>
            <w:rStyle w:val="Hyperlink"/>
          </w:rPr>
          <w:t>Paz et al., 1997</w:t>
        </w:r>
      </w:hyperlink>
      <w:r w:rsidR="000112D9">
        <w:rPr>
          <w:rFonts w:cs="Arial"/>
          <w:noProof/>
        </w:rPr>
        <w:t xml:space="preserve">; </w:t>
      </w:r>
      <w:hyperlink w:anchor="_ENREF_66" w:tooltip="Snijders, 1992 #758" w:history="1">
        <w:r w:rsidR="009D0F7A" w:rsidRPr="009D0F7A">
          <w:rPr>
            <w:rStyle w:val="Hyperlink"/>
          </w:rPr>
          <w:t>Snijders et al., 1992</w:t>
        </w:r>
      </w:hyperlink>
      <w:r w:rsidR="000112D9">
        <w:rPr>
          <w:rFonts w:cs="Arial"/>
          <w:noProof/>
        </w:rPr>
        <w:t>)</w:t>
      </w:r>
      <w:r w:rsidR="000112D9">
        <w:rPr>
          <w:rFonts w:cs="Arial"/>
        </w:rPr>
        <w:fldChar w:fldCharType="end"/>
      </w:r>
      <w:r w:rsidRPr="00812C16">
        <w:rPr>
          <w:rFonts w:cs="Arial"/>
        </w:rPr>
        <w:t xml:space="preserve">. Zudem fanden </w:t>
      </w:r>
      <w:proofErr w:type="spellStart"/>
      <w:r w:rsidRPr="00812C16">
        <w:rPr>
          <w:rFonts w:cs="Arial"/>
        </w:rPr>
        <w:t>Andl</w:t>
      </w:r>
      <w:proofErr w:type="spellEnd"/>
      <w:r w:rsidRPr="00812C16">
        <w:rPr>
          <w:rFonts w:cs="Arial"/>
        </w:rPr>
        <w:t xml:space="preserve"> et al.</w:t>
      </w:r>
      <w:r w:rsidR="0019376E" w:rsidRPr="00812C16">
        <w:rPr>
          <w:rFonts w:cs="Arial"/>
        </w:rPr>
        <w:t xml:space="preserve"> </w:t>
      </w:r>
      <w:r w:rsidR="000112D9">
        <w:rPr>
          <w:rFonts w:cs="Arial"/>
        </w:rPr>
        <w:fldChar w:fldCharType="begin">
          <w:fldData xml:space="preserve">PEVuZE5vdGU+PENpdGU+PEF1dGhvcj5BbmRsPC9BdXRob3I+PFllYXI+MTk5ODwvWWVhcj48UmVj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4" w:tooltip="Andl, 1998 #433" w:history="1">
        <w:r w:rsidR="009D0F7A" w:rsidRPr="009D0F7A">
          <w:rPr>
            <w:rStyle w:val="Hyperlink"/>
          </w:rPr>
          <w:t>Andl et al., 1998</w:t>
        </w:r>
      </w:hyperlink>
      <w:r w:rsidR="000112D9">
        <w:rPr>
          <w:rFonts w:cs="Arial"/>
          <w:noProof/>
        </w:rPr>
        <w:t>)</w:t>
      </w:r>
      <w:r w:rsidR="000112D9">
        <w:rPr>
          <w:rFonts w:cs="Arial"/>
        </w:rPr>
        <w:fldChar w:fldCharType="end"/>
      </w:r>
      <w:r w:rsidRPr="00812C16">
        <w:rPr>
          <w:rFonts w:cs="Arial"/>
        </w:rPr>
        <w:t xml:space="preserve">zum ersten Mal ein besseres Gesamt- und progressionsfreies Überleben für die Patienten mit HPV-positiven </w:t>
      </w:r>
      <w:proofErr w:type="spellStart"/>
      <w:r w:rsidRPr="00812C16">
        <w:rPr>
          <w:rFonts w:cs="Arial"/>
        </w:rPr>
        <w:t>Tonsillenkarzinomen</w:t>
      </w:r>
      <w:proofErr w:type="spellEnd"/>
      <w:r w:rsidRPr="00812C16">
        <w:rPr>
          <w:rFonts w:cs="Arial"/>
        </w:rPr>
        <w:t>, obwohl diese Tumoren im Vergleich zu den HPV-negativen Tumoren durch eine schlechte Differenzierung charakterisiert waren und die Patienten fortgeschrittenere Tumorstadien aufwiesen als die Patienten mit HPV-negativen Tumoren. Seit dem Jahr 2000 erschienen mehrere große Studien (n&gt;90 Fälle), die eine kausale Assoziation vor allem zwischen dem HPV-Typ 16 und den Oropharynxkarzinomen (</w:t>
      </w:r>
      <w:proofErr w:type="spellStart"/>
      <w:r w:rsidRPr="00812C16">
        <w:rPr>
          <w:rFonts w:cs="Arial"/>
        </w:rPr>
        <w:t>oropharyngeal</w:t>
      </w:r>
      <w:proofErr w:type="spellEnd"/>
      <w:r w:rsidRPr="00812C16">
        <w:rPr>
          <w:rFonts w:cs="Arial"/>
        </w:rPr>
        <w:t xml:space="preserve"> </w:t>
      </w:r>
      <w:proofErr w:type="spellStart"/>
      <w:r w:rsidRPr="00812C16">
        <w:rPr>
          <w:rFonts w:cs="Arial"/>
        </w:rPr>
        <w:t>squamous</w:t>
      </w:r>
      <w:proofErr w:type="spellEnd"/>
      <w:r w:rsidRPr="00812C16">
        <w:rPr>
          <w:rFonts w:cs="Arial"/>
        </w:rPr>
        <w:t xml:space="preserve"> </w:t>
      </w:r>
      <w:proofErr w:type="spellStart"/>
      <w:r w:rsidRPr="00812C16">
        <w:rPr>
          <w:rFonts w:cs="Arial"/>
        </w:rPr>
        <w:t>cell</w:t>
      </w:r>
      <w:proofErr w:type="spellEnd"/>
      <w:r w:rsidRPr="00812C16">
        <w:rPr>
          <w:rFonts w:cs="Arial"/>
        </w:rPr>
        <w:t xml:space="preserve"> </w:t>
      </w:r>
      <w:proofErr w:type="spellStart"/>
      <w:r w:rsidRPr="00812C16">
        <w:rPr>
          <w:rFonts w:cs="Arial"/>
        </w:rPr>
        <w:t>carcinomas</w:t>
      </w:r>
      <w:proofErr w:type="spellEnd"/>
      <w:r w:rsidRPr="00812C16">
        <w:rPr>
          <w:rFonts w:cs="Arial"/>
        </w:rPr>
        <w:t>, OPSCC) bestätigten</w:t>
      </w:r>
      <w:r w:rsidR="0019376E" w:rsidRPr="00812C16">
        <w:rPr>
          <w:rFonts w:cs="Arial"/>
        </w:rPr>
        <w:t xml:space="preserve"> </w:t>
      </w:r>
      <w:r w:rsidR="000112D9">
        <w:rPr>
          <w:rFonts w:cs="Arial"/>
        </w:rPr>
        <w:fldChar w:fldCharType="begin">
          <w:fldData xml:space="preserve">PEVuZE5vdGU+PENpdGU+PEF1dGhvcj5Bbmc8L0F1dGhvcj48WWVhcj4yMDEwPC9ZZWFyPjxSZWNO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5" w:tooltip="Ang, 2010 #473" w:history="1">
        <w:r w:rsidR="009D0F7A" w:rsidRPr="009D0F7A">
          <w:rPr>
            <w:rStyle w:val="Hyperlink"/>
          </w:rPr>
          <w:t>Ang et al., 2010</w:t>
        </w:r>
      </w:hyperlink>
      <w:r w:rsidR="000112D9">
        <w:rPr>
          <w:rFonts w:cs="Arial"/>
          <w:noProof/>
        </w:rPr>
        <w:t xml:space="preserve">; </w:t>
      </w:r>
      <w:hyperlink w:anchor="_ENREF_22" w:tooltip="Chung, 2009 #767" w:history="1">
        <w:r w:rsidR="009D0F7A" w:rsidRPr="009D0F7A">
          <w:rPr>
            <w:rStyle w:val="Hyperlink"/>
          </w:rPr>
          <w:t>Chung &amp; Gillison, 2009</w:t>
        </w:r>
      </w:hyperlink>
      <w:r w:rsidR="000112D9">
        <w:rPr>
          <w:rFonts w:cs="Arial"/>
          <w:noProof/>
        </w:rPr>
        <w:t xml:space="preserve">; </w:t>
      </w:r>
      <w:hyperlink w:anchor="_ENREF_34" w:tooltip="Gillison, 2000 #829" w:history="1">
        <w:r w:rsidR="009D0F7A" w:rsidRPr="009D0F7A">
          <w:rPr>
            <w:rStyle w:val="Hyperlink"/>
          </w:rPr>
          <w:t>Gillison et al., 2000</w:t>
        </w:r>
      </w:hyperlink>
      <w:r w:rsidR="000112D9">
        <w:rPr>
          <w:rFonts w:cs="Arial"/>
          <w:noProof/>
        </w:rPr>
        <w:t xml:space="preserve">; </w:t>
      </w:r>
      <w:hyperlink w:anchor="_ENREF_43" w:tooltip="Klussmann, 2003 #735" w:history="1">
        <w:r w:rsidR="009D0F7A" w:rsidRPr="009D0F7A">
          <w:rPr>
            <w:rStyle w:val="Hyperlink"/>
          </w:rPr>
          <w:t>Klussmann et al., 2003</w:t>
        </w:r>
      </w:hyperlink>
      <w:r w:rsidR="000112D9">
        <w:rPr>
          <w:rFonts w:cs="Arial"/>
          <w:noProof/>
        </w:rPr>
        <w:t xml:space="preserve">; </w:t>
      </w:r>
      <w:hyperlink w:anchor="_ENREF_44" w:tooltip="Klussmann, 2001 #685" w:history="1">
        <w:r w:rsidR="009D0F7A" w:rsidRPr="009D0F7A">
          <w:rPr>
            <w:rStyle w:val="Hyperlink"/>
          </w:rPr>
          <w:t>Klussmann et al., 2001</w:t>
        </w:r>
      </w:hyperlink>
      <w:r w:rsidR="000112D9">
        <w:rPr>
          <w:rFonts w:cs="Arial"/>
          <w:noProof/>
        </w:rPr>
        <w:t xml:space="preserve">; </w:t>
      </w:r>
      <w:hyperlink w:anchor="_ENREF_48" w:tooltip="Lindel, 2001 #689" w:history="1">
        <w:r w:rsidR="009D0F7A" w:rsidRPr="009D0F7A">
          <w:rPr>
            <w:rStyle w:val="Hyperlink"/>
          </w:rPr>
          <w:t>Lindel et al., 2001</w:t>
        </w:r>
      </w:hyperlink>
      <w:r w:rsidR="000112D9">
        <w:rPr>
          <w:rFonts w:cs="Arial"/>
          <w:noProof/>
        </w:rPr>
        <w:t xml:space="preserve">; </w:t>
      </w:r>
      <w:hyperlink w:anchor="_ENREF_60" w:tooltip="Ritchie, 2003 #743" w:history="1">
        <w:r w:rsidR="009D0F7A" w:rsidRPr="009D0F7A">
          <w:rPr>
            <w:rStyle w:val="Hyperlink"/>
          </w:rPr>
          <w:t>Ritchie et al., 2003</w:t>
        </w:r>
      </w:hyperlink>
      <w:r w:rsidR="000112D9">
        <w:rPr>
          <w:rFonts w:cs="Arial"/>
          <w:noProof/>
        </w:rPr>
        <w:t>)</w:t>
      </w:r>
      <w:r w:rsidR="000112D9">
        <w:rPr>
          <w:rFonts w:cs="Arial"/>
        </w:rPr>
        <w:fldChar w:fldCharType="end"/>
      </w:r>
      <w:r w:rsidRPr="00812C16">
        <w:rPr>
          <w:rFonts w:cs="Arial"/>
        </w:rPr>
        <w:t>. In diesen Studien wurden zusätzlich mehr oder weniger gemeinsame Unterschiede zwischen den HPV-negativen und HPV-positiven OPSCC aufgezeigt. So waren Patienten mit HPV-positiven OPSCC in einigen Studien vor allem jünger</w:t>
      </w:r>
      <w:r w:rsidR="008E044A" w:rsidRPr="00812C16">
        <w:rPr>
          <w:rFonts w:cs="Arial"/>
        </w:rPr>
        <w:t xml:space="preserve"> </w:t>
      </w:r>
      <w:r w:rsidR="000112D9">
        <w:rPr>
          <w:rFonts w:cs="Arial"/>
        </w:rPr>
        <w:fldChar w:fldCharType="begin">
          <w:fldData xml:space="preserve">PEVuZE5vdGU+PENpdGU+PEF1dGhvcj5HaWxsaXNvbjwvQXV0aG9yPjxZZWFyPjIwMDA8L1llYXI+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==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34" w:tooltip="Gillison, 2000 #829" w:history="1">
        <w:r w:rsidR="009D0F7A" w:rsidRPr="009D0F7A">
          <w:rPr>
            <w:rStyle w:val="Hyperlink"/>
          </w:rPr>
          <w:t>Gillison et al., 2000</w:t>
        </w:r>
      </w:hyperlink>
      <w:r w:rsidR="000112D9">
        <w:rPr>
          <w:rFonts w:cs="Arial"/>
          <w:noProof/>
        </w:rPr>
        <w:t xml:space="preserve">; </w:t>
      </w:r>
      <w:hyperlink w:anchor="_ENREF_65" w:tooltip="Smith, 2004 #759" w:history="1">
        <w:r w:rsidR="009D0F7A" w:rsidRPr="009D0F7A">
          <w:rPr>
            <w:rStyle w:val="Hyperlink"/>
          </w:rPr>
          <w:t>Smith et al., 2004</w:t>
        </w:r>
      </w:hyperlink>
      <w:r w:rsidR="000112D9">
        <w:rPr>
          <w:rFonts w:cs="Arial"/>
          <w:noProof/>
        </w:rPr>
        <w:t>)</w:t>
      </w:r>
      <w:r w:rsidR="000112D9">
        <w:rPr>
          <w:rFonts w:cs="Arial"/>
        </w:rPr>
        <w:fldChar w:fldCharType="end"/>
      </w:r>
      <w:r w:rsidR="008E044A" w:rsidRPr="00812C16">
        <w:rPr>
          <w:rFonts w:cs="Arial"/>
        </w:rPr>
        <w:t xml:space="preserve"> </w:t>
      </w:r>
      <w:r w:rsidRPr="00812C16">
        <w:rPr>
          <w:rFonts w:cs="Arial"/>
        </w:rPr>
        <w:t>und weiblichen Geschlechts</w:t>
      </w:r>
      <w:r w:rsidR="00F14C21" w:rsidRPr="00812C16">
        <w:rPr>
          <w:rFonts w:cs="Arial"/>
        </w:rPr>
        <w:t xml:space="preserve"> </w:t>
      </w:r>
      <w:r w:rsidR="000112D9">
        <w:rPr>
          <w:rFonts w:cs="Arial"/>
        </w:rPr>
        <w:fldChar w:fldCharType="begin">
          <w:fldData xml:space="preserve">PEVuZE5vdGU+PENpdGU+PEF1dGhvcj5MaW5kZWw8L0F1dGhvcj48WWVhcj4yMDAxPC9ZZWFyPjxS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48" w:tooltip="Lindel, 2001 #689" w:history="1">
        <w:r w:rsidR="009D0F7A" w:rsidRPr="009D0F7A">
          <w:rPr>
            <w:rStyle w:val="Hyperlink"/>
          </w:rPr>
          <w:t>Lindel et al., 2001</w:t>
        </w:r>
      </w:hyperlink>
      <w:r w:rsidR="000112D9">
        <w:rPr>
          <w:rFonts w:cs="Arial"/>
          <w:noProof/>
        </w:rPr>
        <w:t>)</w:t>
      </w:r>
      <w:r w:rsidR="000112D9">
        <w:rPr>
          <w:rFonts w:cs="Arial"/>
        </w:rPr>
        <w:fldChar w:fldCharType="end"/>
      </w:r>
      <w:r w:rsidRPr="00812C16">
        <w:rPr>
          <w:rFonts w:cs="Arial"/>
        </w:rPr>
        <w:t>, während andere Studien eine Assoziation zwischen HPV-positiven Tumoren und einer undifferenzierten Histologie</w:t>
      </w:r>
      <w:r w:rsidR="00455448" w:rsidRPr="00812C16">
        <w:rPr>
          <w:rFonts w:cs="Arial"/>
        </w:rPr>
        <w:t xml:space="preserve"> </w:t>
      </w:r>
      <w:r w:rsidR="000112D9">
        <w:rPr>
          <w:rFonts w:cs="Arial"/>
        </w:rPr>
        <w:fldChar w:fldCharType="begin">
          <w:fldData xml:space="preserve">PEVuZE5vdGU+PENpdGU+PEF1dGhvcj5LbHVzc21hbm48L0F1dGhvcj48WWVhcj4yMDAzPC9ZZWFy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43" w:tooltip="Klussmann, 2003 #735" w:history="1">
        <w:r w:rsidR="009D0F7A" w:rsidRPr="009D0F7A">
          <w:rPr>
            <w:rStyle w:val="Hyperlink"/>
          </w:rPr>
          <w:t>Klussmann et al., 2003</w:t>
        </w:r>
      </w:hyperlink>
      <w:r w:rsidR="000112D9">
        <w:rPr>
          <w:rFonts w:cs="Arial"/>
          <w:noProof/>
        </w:rPr>
        <w:t xml:space="preserve">; </w:t>
      </w:r>
      <w:hyperlink w:anchor="_ENREF_65" w:tooltip="Smith, 2004 #759" w:history="1">
        <w:r w:rsidR="009D0F7A" w:rsidRPr="009D0F7A">
          <w:rPr>
            <w:rStyle w:val="Hyperlink"/>
          </w:rPr>
          <w:t>Smith et al., 2004</w:t>
        </w:r>
      </w:hyperlink>
      <w:r w:rsidR="000112D9">
        <w:rPr>
          <w:rFonts w:cs="Arial"/>
          <w:noProof/>
        </w:rPr>
        <w:t>)</w:t>
      </w:r>
      <w:r w:rsidR="000112D9">
        <w:rPr>
          <w:rFonts w:cs="Arial"/>
        </w:rPr>
        <w:fldChar w:fldCharType="end"/>
      </w:r>
      <w:r w:rsidRPr="00812C16">
        <w:rPr>
          <w:rFonts w:cs="Arial"/>
        </w:rPr>
        <w:t xml:space="preserve">, einer kleinen Tumorgröße </w:t>
      </w:r>
      <w:r w:rsidR="000112D9">
        <w:rPr>
          <w:rFonts w:cs="Arial"/>
        </w:rPr>
        <w:fldChar w:fldCharType="begin">
          <w:fldData xml:space="preserve">PEVuZE5vdGU+PENpdGU+PEF1dGhvcj5IYWZrYW1wPC9BdXRob3I+PFllYXI+MjAwODwvWWVhcj48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==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37" w:tooltip="Hafkamp, 2008 #740" w:history="1">
        <w:r w:rsidR="009D0F7A" w:rsidRPr="009D0F7A">
          <w:rPr>
            <w:rStyle w:val="Hyperlink"/>
          </w:rPr>
          <w:t>Hafkamp et al., 2008</w:t>
        </w:r>
      </w:hyperlink>
      <w:r w:rsidR="000112D9">
        <w:rPr>
          <w:rFonts w:cs="Arial"/>
          <w:noProof/>
        </w:rPr>
        <w:t>)</w:t>
      </w:r>
      <w:r w:rsidR="000112D9">
        <w:rPr>
          <w:rFonts w:cs="Arial"/>
        </w:rPr>
        <w:fldChar w:fldCharType="end"/>
      </w:r>
      <w:r w:rsidRPr="00812C16">
        <w:rPr>
          <w:rFonts w:cs="Arial"/>
        </w:rPr>
        <w:t xml:space="preserve"> und häufig das Vorhandensein regionaler Lymphknotenmetastasen zum Zeitpunkt der Primärdiagnose aufzeigten</w:t>
      </w:r>
      <w:r w:rsidR="001E56BD" w:rsidRPr="00812C16">
        <w:rPr>
          <w:rFonts w:cs="Arial"/>
        </w:rPr>
        <w:t xml:space="preserve"> </w:t>
      </w:r>
      <w:r w:rsidR="000112D9">
        <w:rPr>
          <w:rFonts w:cs="Arial"/>
        </w:rPr>
        <w:fldChar w:fldCharType="begin">
          <w:fldData xml:space="preserve">PEVuZE5vdGU+PENpdGU+PEF1dGhvcj5MaW5kcXVpc3Q8L0F1dGhvcj48WWVhcj4yMDA3PC9ZZWFy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49" w:tooltip="Lindquist, 2007 #830" w:history="1">
        <w:r w:rsidR="009D0F7A" w:rsidRPr="009D0F7A">
          <w:rPr>
            <w:rStyle w:val="Hyperlink"/>
          </w:rPr>
          <w:t>Lindquist et al., 2007</w:t>
        </w:r>
      </w:hyperlink>
      <w:r w:rsidR="000112D9">
        <w:rPr>
          <w:rFonts w:cs="Arial"/>
          <w:noProof/>
        </w:rPr>
        <w:t xml:space="preserve">; </w:t>
      </w:r>
      <w:hyperlink w:anchor="_ENREF_65" w:tooltip="Smith, 2004 #759" w:history="1">
        <w:r w:rsidR="009D0F7A" w:rsidRPr="009D0F7A">
          <w:rPr>
            <w:rStyle w:val="Hyperlink"/>
          </w:rPr>
          <w:t>Smith et al., 2004</w:t>
        </w:r>
      </w:hyperlink>
      <w:r w:rsidR="000112D9">
        <w:rPr>
          <w:rFonts w:cs="Arial"/>
          <w:noProof/>
        </w:rPr>
        <w:t>)</w:t>
      </w:r>
      <w:r w:rsidR="000112D9">
        <w:rPr>
          <w:rFonts w:cs="Arial"/>
        </w:rPr>
        <w:fldChar w:fldCharType="end"/>
      </w:r>
      <w:r w:rsidRPr="00812C16">
        <w:rPr>
          <w:rFonts w:cs="Arial"/>
        </w:rPr>
        <w:t>. Des Weiteren waren Patienten mit HPV-positiven Tumoren durch einen geringeren Tabak- und Alkoholkonsum</w:t>
      </w:r>
      <w:r w:rsidR="00920ABE" w:rsidRPr="00812C16">
        <w:rPr>
          <w:rFonts w:cs="Arial"/>
        </w:rPr>
        <w:t xml:space="preserve"> </w:t>
      </w:r>
      <w:r w:rsidR="000112D9">
        <w:rPr>
          <w:rFonts w:cs="Arial"/>
        </w:rPr>
        <w:fldChar w:fldCharType="begin">
          <w:fldData xml:space="preserve">PEVuZE5vdGU+PENpdGU+PEF1dGhvcj5IYWZrYW1wPC9BdXRob3I+PFllYXI+MjAwODwvWWVhcj48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4" w:tooltip="Andl, 1998 #433" w:history="1">
        <w:r w:rsidR="009D0F7A" w:rsidRPr="009D0F7A">
          <w:rPr>
            <w:rStyle w:val="Hyperlink"/>
          </w:rPr>
          <w:t>Andl et al., 1998</w:t>
        </w:r>
      </w:hyperlink>
      <w:r w:rsidR="000112D9">
        <w:rPr>
          <w:rFonts w:cs="Arial"/>
          <w:noProof/>
        </w:rPr>
        <w:t xml:space="preserve">; </w:t>
      </w:r>
      <w:hyperlink w:anchor="_ENREF_33" w:tooltip="Gillison, 2008 #764" w:history="1">
        <w:r w:rsidR="009D0F7A" w:rsidRPr="009D0F7A">
          <w:rPr>
            <w:rStyle w:val="Hyperlink"/>
          </w:rPr>
          <w:t>Gillison et al., 2008</w:t>
        </w:r>
      </w:hyperlink>
      <w:r w:rsidR="000112D9">
        <w:rPr>
          <w:rFonts w:cs="Arial"/>
          <w:noProof/>
        </w:rPr>
        <w:t xml:space="preserve">; </w:t>
      </w:r>
      <w:hyperlink w:anchor="_ENREF_37" w:tooltip="Hafkamp, 2008 #740" w:history="1">
        <w:r w:rsidR="009D0F7A" w:rsidRPr="009D0F7A">
          <w:rPr>
            <w:rStyle w:val="Hyperlink"/>
          </w:rPr>
          <w:t>Hafkamp et al., 2008</w:t>
        </w:r>
      </w:hyperlink>
      <w:r w:rsidR="000112D9">
        <w:rPr>
          <w:rFonts w:cs="Arial"/>
          <w:noProof/>
        </w:rPr>
        <w:t xml:space="preserve">; </w:t>
      </w:r>
      <w:hyperlink w:anchor="_ENREF_67" w:tooltip="Sturgis, 2007 #831" w:history="1">
        <w:r w:rsidR="009D0F7A" w:rsidRPr="009D0F7A">
          <w:rPr>
            <w:rStyle w:val="Hyperlink"/>
          </w:rPr>
          <w:t>Sturgis &amp; Cinciripini, 2007</w:t>
        </w:r>
      </w:hyperlink>
      <w:r w:rsidR="000112D9">
        <w:rPr>
          <w:rFonts w:cs="Arial"/>
          <w:noProof/>
        </w:rPr>
        <w:t>)</w:t>
      </w:r>
      <w:r w:rsidR="000112D9">
        <w:rPr>
          <w:rFonts w:cs="Arial"/>
        </w:rPr>
        <w:fldChar w:fldCharType="end"/>
      </w:r>
      <w:r w:rsidRPr="00812C16">
        <w:rPr>
          <w:rFonts w:cs="Arial"/>
        </w:rPr>
        <w:t xml:space="preserve">, sowie einer erhöhten Anzahl von Sexualpartnern und von oral-genitalen oder oral-analen Kontakten charakterisiert </w:t>
      </w:r>
      <w:r w:rsidR="000112D9">
        <w:rPr>
          <w:rFonts w:cs="Arial"/>
        </w:rPr>
        <w:fldChar w:fldCharType="begin">
          <w:fldData xml:space="preserve">PEVuZE5vdGU+PENpdGU+PEF1dGhvcj5TbWl0aDwvQXV0aG9yPjxZZWFyPjIwMDQ8L1llYXI+PFJl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26" w:tooltip="D'Souza, 2009 #833" w:history="1">
        <w:r w:rsidR="009D0F7A" w:rsidRPr="009D0F7A">
          <w:rPr>
            <w:rStyle w:val="Hyperlink"/>
          </w:rPr>
          <w:t>D'Souza et al., 2009</w:t>
        </w:r>
      </w:hyperlink>
      <w:r w:rsidR="000112D9">
        <w:rPr>
          <w:rFonts w:cs="Arial"/>
          <w:noProof/>
        </w:rPr>
        <w:t xml:space="preserve">; </w:t>
      </w:r>
      <w:hyperlink w:anchor="_ENREF_65" w:tooltip="Smith, 2004 #759" w:history="1">
        <w:r w:rsidR="009D0F7A" w:rsidRPr="009D0F7A">
          <w:rPr>
            <w:rStyle w:val="Hyperlink"/>
          </w:rPr>
          <w:t>Smith et al., 2004</w:t>
        </w:r>
      </w:hyperlink>
      <w:r w:rsidR="000112D9">
        <w:rPr>
          <w:rFonts w:cs="Arial"/>
          <w:noProof/>
        </w:rPr>
        <w:t>)</w:t>
      </w:r>
      <w:r w:rsidR="000112D9">
        <w:rPr>
          <w:rFonts w:cs="Arial"/>
        </w:rPr>
        <w:fldChar w:fldCharType="end"/>
      </w:r>
      <w:r w:rsidRPr="00812C16">
        <w:rPr>
          <w:rFonts w:cs="Arial"/>
        </w:rPr>
        <w:t>.</w:t>
      </w:r>
      <w:r w:rsidR="00487684" w:rsidRPr="00812C16">
        <w:rPr>
          <w:rFonts w:cs="Arial"/>
        </w:rPr>
        <w:t xml:space="preserve"> </w:t>
      </w:r>
      <w:r w:rsidRPr="00812C16">
        <w:rPr>
          <w:rFonts w:cs="Arial"/>
        </w:rPr>
        <w:t xml:space="preserve">Vor allem aber wurde ein verbessertes Überleben für die Patienten mit HPV-positiven OPSCC in annähernd allen Studien belegt </w:t>
      </w:r>
      <w:r w:rsidR="000112D9">
        <w:rPr>
          <w:rFonts w:cs="Arial"/>
        </w:rPr>
        <w:fldChar w:fldCharType="begin">
          <w:fldData xml:space="preserve">PEVuZE5vdGU+PENpdGU+PEF1dGhvcj5Bbmc8L0F1dGhvcj48WWVhcj4yMDEwPC9ZZWFyPjxSZWNO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5" w:tooltip="Ang, 2010 #473" w:history="1">
        <w:r w:rsidR="009D0F7A" w:rsidRPr="009D0F7A">
          <w:rPr>
            <w:rStyle w:val="Hyperlink"/>
          </w:rPr>
          <w:t>Ang et al., 2010</w:t>
        </w:r>
      </w:hyperlink>
      <w:r w:rsidR="000112D9">
        <w:rPr>
          <w:rFonts w:cs="Arial"/>
          <w:noProof/>
        </w:rPr>
        <w:t xml:space="preserve">; </w:t>
      </w:r>
      <w:hyperlink w:anchor="_ENREF_31" w:tooltip="Fakhry, 2008 #834" w:history="1">
        <w:r w:rsidR="009D0F7A" w:rsidRPr="009D0F7A">
          <w:rPr>
            <w:rStyle w:val="Hyperlink"/>
          </w:rPr>
          <w:t>Fakhry et al., 2008</w:t>
        </w:r>
      </w:hyperlink>
      <w:r w:rsidR="000112D9">
        <w:rPr>
          <w:rFonts w:cs="Arial"/>
          <w:noProof/>
        </w:rPr>
        <w:t xml:space="preserve">; </w:t>
      </w:r>
      <w:hyperlink w:anchor="_ENREF_34" w:tooltip="Gillison, 2000 #829" w:history="1">
        <w:r w:rsidR="009D0F7A" w:rsidRPr="009D0F7A">
          <w:rPr>
            <w:rStyle w:val="Hyperlink"/>
          </w:rPr>
          <w:t>Gillison et al., 2000</w:t>
        </w:r>
      </w:hyperlink>
      <w:r w:rsidR="000112D9">
        <w:rPr>
          <w:rFonts w:cs="Arial"/>
          <w:noProof/>
        </w:rPr>
        <w:t xml:space="preserve">; </w:t>
      </w:r>
      <w:hyperlink w:anchor="_ENREF_48" w:tooltip="Lindel, 2001 #689" w:history="1">
        <w:r w:rsidR="009D0F7A" w:rsidRPr="009D0F7A">
          <w:rPr>
            <w:rStyle w:val="Hyperlink"/>
          </w:rPr>
          <w:t>Lindel et al., 2001</w:t>
        </w:r>
      </w:hyperlink>
      <w:r w:rsidR="000112D9">
        <w:rPr>
          <w:rFonts w:cs="Arial"/>
          <w:noProof/>
        </w:rPr>
        <w:t xml:space="preserve">; </w:t>
      </w:r>
      <w:hyperlink w:anchor="_ENREF_64" w:tooltip="Shi, 2009 #696" w:history="1">
        <w:r w:rsidR="009D0F7A" w:rsidRPr="009D0F7A">
          <w:rPr>
            <w:rStyle w:val="Hyperlink"/>
          </w:rPr>
          <w:t>Shi et al., 2009</w:t>
        </w:r>
      </w:hyperlink>
      <w:r w:rsidR="000112D9">
        <w:rPr>
          <w:rFonts w:cs="Arial"/>
          <w:noProof/>
        </w:rPr>
        <w:t xml:space="preserve">; </w:t>
      </w:r>
      <w:hyperlink w:anchor="_ENREF_74" w:tooltip="Weinberger, 2006 #701" w:history="1">
        <w:r w:rsidR="009D0F7A" w:rsidRPr="009D0F7A">
          <w:rPr>
            <w:rStyle w:val="Hyperlink"/>
          </w:rPr>
          <w:t>Weinberger et al., 2006</w:t>
        </w:r>
      </w:hyperlink>
      <w:r w:rsidR="000112D9">
        <w:rPr>
          <w:rFonts w:cs="Arial"/>
          <w:noProof/>
        </w:rPr>
        <w:t>)</w:t>
      </w:r>
      <w:r w:rsidR="000112D9">
        <w:rPr>
          <w:rFonts w:cs="Arial"/>
        </w:rPr>
        <w:fldChar w:fldCharType="end"/>
      </w:r>
      <w:r w:rsidRPr="00812C16">
        <w:rPr>
          <w:rFonts w:cs="Arial"/>
        </w:rPr>
        <w:t>. Eine Zusammenfassung der Unterschiede zwischen HPV-negativen und HPV-positiven Tumoren ist in</w:t>
      </w:r>
      <w:r w:rsidR="00920ABE" w:rsidRPr="00812C16">
        <w:rPr>
          <w:rFonts w:cs="Arial"/>
        </w:rPr>
        <w:t xml:space="preserve"> </w:t>
      </w:r>
      <w:r w:rsidR="00920ABE" w:rsidRPr="00812C16">
        <w:rPr>
          <w:rFonts w:cs="Arial"/>
        </w:rPr>
        <w:fldChar w:fldCharType="begin"/>
      </w:r>
      <w:r w:rsidR="00920ABE" w:rsidRPr="00812C16">
        <w:rPr>
          <w:rFonts w:cs="Arial"/>
        </w:rPr>
        <w:instrText xml:space="preserve"> REF _Ref92196794 \h  \* MERGEFORMAT </w:instrText>
      </w:r>
      <w:r w:rsidR="00920ABE" w:rsidRPr="00812C16">
        <w:rPr>
          <w:rFonts w:cs="Arial"/>
        </w:rPr>
      </w:r>
      <w:r w:rsidR="00920ABE" w:rsidRPr="00812C16">
        <w:rPr>
          <w:rFonts w:cs="Arial"/>
        </w:rPr>
        <w:fldChar w:fldCharType="separate"/>
      </w:r>
      <w:r w:rsidR="00F67803" w:rsidRPr="00F67803">
        <w:rPr>
          <w:color w:val="000000" w:themeColor="text1"/>
        </w:rPr>
        <w:t xml:space="preserve">Tabelle </w:t>
      </w:r>
      <w:r w:rsidR="00F67803" w:rsidRPr="00F67803">
        <w:rPr>
          <w:noProof/>
          <w:color w:val="000000" w:themeColor="text1"/>
        </w:rPr>
        <w:t>1</w:t>
      </w:r>
      <w:r w:rsidR="00F67803" w:rsidRPr="00F67803">
        <w:rPr>
          <w:noProof/>
          <w:color w:val="000000" w:themeColor="text1"/>
        </w:rPr>
        <w:noBreakHyphen/>
        <w:t>1</w:t>
      </w:r>
      <w:r w:rsidR="00920ABE" w:rsidRPr="00812C16">
        <w:rPr>
          <w:rFonts w:cs="Arial"/>
        </w:rPr>
        <w:fldChar w:fldCharType="end"/>
      </w:r>
      <w:r w:rsidRPr="00812C16">
        <w:rPr>
          <w:rFonts w:cs="Arial"/>
        </w:rPr>
        <w:t xml:space="preserve"> dargestellt. </w:t>
      </w:r>
    </w:p>
    <w:p w14:paraId="3D53470A" w14:textId="18774A6B" w:rsidR="006A157F" w:rsidRPr="00812C16" w:rsidRDefault="006A157F" w:rsidP="006A157F">
      <w:pPr>
        <w:pStyle w:val="Beschriftung"/>
        <w:keepNext/>
        <w:spacing w:before="360" w:after="0"/>
        <w:rPr>
          <w:b/>
          <w:bCs/>
          <w:i w:val="0"/>
          <w:iCs w:val="0"/>
          <w:color w:val="000000" w:themeColor="text1"/>
          <w:sz w:val="20"/>
          <w:szCs w:val="20"/>
        </w:rPr>
      </w:pPr>
      <w:bookmarkStart w:id="7" w:name="_Ref92196794"/>
      <w:bookmarkStart w:id="8" w:name="_Toc180788387"/>
      <w:r w:rsidRPr="00812C16">
        <w:rPr>
          <w:b/>
          <w:bCs/>
          <w:i w:val="0"/>
          <w:iCs w:val="0"/>
          <w:color w:val="000000" w:themeColor="text1"/>
          <w:sz w:val="20"/>
          <w:szCs w:val="20"/>
        </w:rPr>
        <w:lastRenderedPageBreak/>
        <w:t xml:space="preserve">Tabelle </w:t>
      </w:r>
      <w:r w:rsidR="00A126D9" w:rsidRPr="00812C16">
        <w:rPr>
          <w:b/>
          <w:bCs/>
          <w:i w:val="0"/>
          <w:iCs w:val="0"/>
          <w:color w:val="000000" w:themeColor="text1"/>
          <w:sz w:val="20"/>
          <w:szCs w:val="20"/>
        </w:rPr>
        <w:fldChar w:fldCharType="begin"/>
      </w:r>
      <w:r w:rsidR="00A126D9" w:rsidRPr="00812C16">
        <w:rPr>
          <w:b/>
          <w:bCs/>
          <w:i w:val="0"/>
          <w:iCs w:val="0"/>
          <w:color w:val="000000" w:themeColor="text1"/>
          <w:sz w:val="20"/>
          <w:szCs w:val="20"/>
        </w:rPr>
        <w:instrText xml:space="preserve"> STYLEREF 1 \s </w:instrText>
      </w:r>
      <w:r w:rsidR="00A126D9" w:rsidRPr="00812C16">
        <w:rPr>
          <w:b/>
          <w:bCs/>
          <w:i w:val="0"/>
          <w:iCs w:val="0"/>
          <w:color w:val="000000" w:themeColor="text1"/>
          <w:sz w:val="20"/>
          <w:szCs w:val="20"/>
        </w:rPr>
        <w:fldChar w:fldCharType="separate"/>
      </w:r>
      <w:r w:rsidR="00F67803">
        <w:rPr>
          <w:b/>
          <w:bCs/>
          <w:i w:val="0"/>
          <w:iCs w:val="0"/>
          <w:noProof/>
          <w:color w:val="000000" w:themeColor="text1"/>
          <w:sz w:val="20"/>
          <w:szCs w:val="20"/>
        </w:rPr>
        <w:t>1</w:t>
      </w:r>
      <w:r w:rsidR="00A126D9" w:rsidRPr="00812C16">
        <w:rPr>
          <w:b/>
          <w:bCs/>
          <w:i w:val="0"/>
          <w:iCs w:val="0"/>
          <w:color w:val="000000" w:themeColor="text1"/>
          <w:sz w:val="20"/>
          <w:szCs w:val="20"/>
        </w:rPr>
        <w:fldChar w:fldCharType="end"/>
      </w:r>
      <w:r w:rsidR="00A126D9" w:rsidRPr="00812C16">
        <w:rPr>
          <w:b/>
          <w:bCs/>
          <w:i w:val="0"/>
          <w:iCs w:val="0"/>
          <w:color w:val="000000" w:themeColor="text1"/>
          <w:sz w:val="20"/>
          <w:szCs w:val="20"/>
        </w:rPr>
        <w:noBreakHyphen/>
      </w:r>
      <w:r w:rsidR="00A126D9" w:rsidRPr="00812C16">
        <w:rPr>
          <w:b/>
          <w:bCs/>
          <w:i w:val="0"/>
          <w:iCs w:val="0"/>
          <w:color w:val="000000" w:themeColor="text1"/>
          <w:sz w:val="20"/>
          <w:szCs w:val="20"/>
        </w:rPr>
        <w:fldChar w:fldCharType="begin"/>
      </w:r>
      <w:r w:rsidR="00A126D9" w:rsidRPr="00812C16">
        <w:rPr>
          <w:b/>
          <w:bCs/>
          <w:i w:val="0"/>
          <w:iCs w:val="0"/>
          <w:color w:val="000000" w:themeColor="text1"/>
          <w:sz w:val="20"/>
          <w:szCs w:val="20"/>
        </w:rPr>
        <w:instrText xml:space="preserve"> SEQ Tabelle \* ARABIC \s 1 </w:instrText>
      </w:r>
      <w:r w:rsidR="00A126D9" w:rsidRPr="00812C16">
        <w:rPr>
          <w:b/>
          <w:bCs/>
          <w:i w:val="0"/>
          <w:iCs w:val="0"/>
          <w:color w:val="000000" w:themeColor="text1"/>
          <w:sz w:val="20"/>
          <w:szCs w:val="20"/>
        </w:rPr>
        <w:fldChar w:fldCharType="separate"/>
      </w:r>
      <w:r w:rsidR="00F67803">
        <w:rPr>
          <w:b/>
          <w:bCs/>
          <w:i w:val="0"/>
          <w:iCs w:val="0"/>
          <w:noProof/>
          <w:color w:val="000000" w:themeColor="text1"/>
          <w:sz w:val="20"/>
          <w:szCs w:val="20"/>
        </w:rPr>
        <w:t>1</w:t>
      </w:r>
      <w:r w:rsidR="00A126D9" w:rsidRPr="00812C16">
        <w:rPr>
          <w:b/>
          <w:bCs/>
          <w:i w:val="0"/>
          <w:iCs w:val="0"/>
          <w:color w:val="000000" w:themeColor="text1"/>
          <w:sz w:val="20"/>
          <w:szCs w:val="20"/>
        </w:rPr>
        <w:fldChar w:fldCharType="end"/>
      </w:r>
      <w:bookmarkEnd w:id="7"/>
      <w:r w:rsidRPr="00812C16">
        <w:rPr>
          <w:b/>
          <w:bCs/>
          <w:i w:val="0"/>
          <w:iCs w:val="0"/>
          <w:color w:val="000000" w:themeColor="text1"/>
          <w:sz w:val="20"/>
          <w:szCs w:val="20"/>
        </w:rPr>
        <w:t>: Unterschiede zwischen HPV-negativen und HPV-positiven Kopf-Hals Tumoren.</w:t>
      </w:r>
      <w:bookmarkEnd w:id="8"/>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260"/>
        <w:gridCol w:w="3395"/>
      </w:tblGrid>
      <w:tr w:rsidR="006A157F" w:rsidRPr="00812C16" w14:paraId="08861BF5" w14:textId="77777777" w:rsidTr="00CD7C64">
        <w:trPr>
          <w:jc w:val="center"/>
        </w:trPr>
        <w:tc>
          <w:tcPr>
            <w:tcW w:w="2405" w:type="dxa"/>
            <w:tcBorders>
              <w:top w:val="single" w:sz="4" w:space="0" w:color="auto"/>
              <w:bottom w:val="single" w:sz="4" w:space="0" w:color="auto"/>
            </w:tcBorders>
          </w:tcPr>
          <w:p w14:paraId="3ED91962" w14:textId="77777777" w:rsidR="006A157F" w:rsidRPr="00812C16" w:rsidRDefault="006A157F" w:rsidP="00CD7C64">
            <w:pPr>
              <w:spacing w:beforeLines="60" w:before="144" w:afterLines="60" w:after="144"/>
              <w:rPr>
                <w:rFonts w:cs="Arial"/>
                <w:sz w:val="20"/>
                <w:szCs w:val="20"/>
              </w:rPr>
            </w:pPr>
          </w:p>
        </w:tc>
        <w:tc>
          <w:tcPr>
            <w:tcW w:w="3260" w:type="dxa"/>
            <w:tcBorders>
              <w:top w:val="single" w:sz="4" w:space="0" w:color="auto"/>
              <w:bottom w:val="single" w:sz="4" w:space="0" w:color="auto"/>
            </w:tcBorders>
          </w:tcPr>
          <w:p w14:paraId="29AF9AC5" w14:textId="77777777" w:rsidR="006A157F" w:rsidRPr="00812C16" w:rsidRDefault="006A157F" w:rsidP="00CD7C64">
            <w:pPr>
              <w:pStyle w:val="StandardWeb"/>
              <w:spacing w:beforeLines="60" w:before="144" w:beforeAutospacing="0" w:afterLines="60" w:after="144" w:afterAutospacing="0"/>
              <w:jc w:val="center"/>
              <w:rPr>
                <w:b/>
                <w:bCs/>
                <w:sz w:val="20"/>
                <w:szCs w:val="20"/>
              </w:rPr>
            </w:pPr>
            <w:r w:rsidRPr="00812C16">
              <w:rPr>
                <w:rFonts w:ascii="Arial" w:hAnsi="Arial" w:cs="Arial"/>
                <w:b/>
                <w:bCs/>
                <w:sz w:val="20"/>
                <w:szCs w:val="20"/>
              </w:rPr>
              <w:t>HPV-positive HNSCC</w:t>
            </w:r>
          </w:p>
        </w:tc>
        <w:tc>
          <w:tcPr>
            <w:tcW w:w="3395" w:type="dxa"/>
            <w:tcBorders>
              <w:top w:val="single" w:sz="4" w:space="0" w:color="auto"/>
              <w:bottom w:val="single" w:sz="4" w:space="0" w:color="auto"/>
            </w:tcBorders>
          </w:tcPr>
          <w:p w14:paraId="50D14D0F" w14:textId="77777777" w:rsidR="006A157F" w:rsidRPr="00812C16" w:rsidRDefault="006A157F" w:rsidP="00CD7C64">
            <w:pPr>
              <w:pStyle w:val="StandardWeb"/>
              <w:spacing w:beforeLines="60" w:before="144" w:beforeAutospacing="0" w:afterLines="60" w:after="144" w:afterAutospacing="0"/>
              <w:jc w:val="center"/>
              <w:rPr>
                <w:b/>
                <w:bCs/>
                <w:sz w:val="20"/>
                <w:szCs w:val="20"/>
              </w:rPr>
            </w:pPr>
            <w:r w:rsidRPr="00812C16">
              <w:rPr>
                <w:rFonts w:ascii="Arial" w:hAnsi="Arial" w:cs="Arial"/>
                <w:b/>
                <w:bCs/>
                <w:sz w:val="20"/>
                <w:szCs w:val="20"/>
              </w:rPr>
              <w:t>HPV-negative HNSCC</w:t>
            </w:r>
          </w:p>
        </w:tc>
      </w:tr>
      <w:tr w:rsidR="006A157F" w:rsidRPr="00812C16" w14:paraId="3C7189B6" w14:textId="77777777" w:rsidTr="00CD7C64">
        <w:trPr>
          <w:jc w:val="center"/>
        </w:trPr>
        <w:tc>
          <w:tcPr>
            <w:tcW w:w="2405" w:type="dxa"/>
            <w:tcBorders>
              <w:top w:val="single" w:sz="4" w:space="0" w:color="auto"/>
              <w:bottom w:val="single" w:sz="4" w:space="0" w:color="D0CECE" w:themeColor="background2" w:themeShade="E6"/>
            </w:tcBorders>
          </w:tcPr>
          <w:p w14:paraId="1BEB41E0" w14:textId="77777777" w:rsidR="006A157F" w:rsidRPr="00812C16" w:rsidRDefault="006A157F" w:rsidP="00CD7C64">
            <w:pPr>
              <w:spacing w:beforeLines="60" w:before="144" w:afterLines="60" w:after="144"/>
              <w:rPr>
                <w:rFonts w:cs="Arial"/>
                <w:sz w:val="20"/>
                <w:szCs w:val="20"/>
              </w:rPr>
            </w:pPr>
            <w:r w:rsidRPr="00812C16">
              <w:rPr>
                <w:rFonts w:cs="Arial"/>
                <w:sz w:val="20"/>
                <w:szCs w:val="20"/>
              </w:rPr>
              <w:t>Patienteneigenschaften</w:t>
            </w:r>
          </w:p>
        </w:tc>
        <w:tc>
          <w:tcPr>
            <w:tcW w:w="3260" w:type="dxa"/>
            <w:tcBorders>
              <w:top w:val="single" w:sz="4" w:space="0" w:color="auto"/>
              <w:bottom w:val="single" w:sz="4" w:space="0" w:color="D0CECE" w:themeColor="background2" w:themeShade="E6"/>
            </w:tcBorders>
          </w:tcPr>
          <w:p w14:paraId="2B4AE6DF" w14:textId="77777777" w:rsidR="006A157F" w:rsidRPr="00812C16" w:rsidRDefault="006A157F" w:rsidP="00CD7C64">
            <w:pPr>
              <w:spacing w:beforeLines="60" w:before="144" w:afterLines="60" w:after="144"/>
              <w:jc w:val="center"/>
              <w:rPr>
                <w:rFonts w:cs="Arial"/>
                <w:sz w:val="20"/>
                <w:szCs w:val="20"/>
              </w:rPr>
            </w:pPr>
            <w:r w:rsidRPr="00812C16">
              <w:rPr>
                <w:rFonts w:cs="Arial"/>
                <w:sz w:val="20"/>
                <w:szCs w:val="20"/>
              </w:rPr>
              <w:t>Jünger, weiblich</w:t>
            </w:r>
          </w:p>
        </w:tc>
        <w:tc>
          <w:tcPr>
            <w:tcW w:w="3395" w:type="dxa"/>
            <w:tcBorders>
              <w:top w:val="single" w:sz="4" w:space="0" w:color="auto"/>
              <w:bottom w:val="single" w:sz="4" w:space="0" w:color="D0CECE" w:themeColor="background2" w:themeShade="E6"/>
            </w:tcBorders>
          </w:tcPr>
          <w:p w14:paraId="7387D133" w14:textId="77777777" w:rsidR="006A157F" w:rsidRPr="00812C16" w:rsidRDefault="006A157F" w:rsidP="00CD7C64">
            <w:pPr>
              <w:spacing w:beforeLines="60" w:before="144" w:afterLines="60" w:after="144"/>
              <w:jc w:val="center"/>
              <w:rPr>
                <w:rFonts w:cs="Arial"/>
                <w:sz w:val="20"/>
                <w:szCs w:val="20"/>
              </w:rPr>
            </w:pPr>
            <w:r w:rsidRPr="00812C16">
              <w:rPr>
                <w:rFonts w:cs="Arial"/>
                <w:sz w:val="20"/>
                <w:szCs w:val="20"/>
              </w:rPr>
              <w:t>Älter, männlich</w:t>
            </w:r>
          </w:p>
        </w:tc>
      </w:tr>
      <w:tr w:rsidR="006A157F" w:rsidRPr="00812C16" w14:paraId="025480F6" w14:textId="77777777" w:rsidTr="00CD7C64">
        <w:trPr>
          <w:jc w:val="center"/>
        </w:trPr>
        <w:tc>
          <w:tcPr>
            <w:tcW w:w="2405" w:type="dxa"/>
            <w:tcBorders>
              <w:top w:val="single" w:sz="4" w:space="0" w:color="D0CECE" w:themeColor="background2" w:themeShade="E6"/>
              <w:bottom w:val="single" w:sz="4" w:space="0" w:color="D0CECE" w:themeColor="background2" w:themeShade="E6"/>
            </w:tcBorders>
          </w:tcPr>
          <w:p w14:paraId="6ABCF271" w14:textId="77777777" w:rsidR="006A157F" w:rsidRPr="00812C16" w:rsidRDefault="006A157F" w:rsidP="00CD7C64">
            <w:pPr>
              <w:spacing w:beforeLines="60" w:before="144" w:afterLines="60" w:after="144"/>
              <w:rPr>
                <w:rFonts w:cs="Arial"/>
                <w:sz w:val="20"/>
                <w:szCs w:val="20"/>
              </w:rPr>
            </w:pPr>
            <w:r w:rsidRPr="00812C16">
              <w:rPr>
                <w:rFonts w:cs="Arial"/>
                <w:sz w:val="20"/>
                <w:szCs w:val="20"/>
              </w:rPr>
              <w:t>Risikofaktoren</w:t>
            </w:r>
          </w:p>
        </w:tc>
        <w:tc>
          <w:tcPr>
            <w:tcW w:w="3260" w:type="dxa"/>
            <w:tcBorders>
              <w:top w:val="single" w:sz="4" w:space="0" w:color="D0CECE" w:themeColor="background2" w:themeShade="E6"/>
              <w:bottom w:val="single" w:sz="4" w:space="0" w:color="D0CECE" w:themeColor="background2" w:themeShade="E6"/>
            </w:tcBorders>
          </w:tcPr>
          <w:p w14:paraId="6DADC565" w14:textId="77777777" w:rsidR="006A157F" w:rsidRPr="00812C16" w:rsidRDefault="006A157F" w:rsidP="00CD7C64">
            <w:pPr>
              <w:spacing w:beforeLines="60" w:before="144" w:afterLines="60" w:after="144"/>
              <w:jc w:val="center"/>
              <w:rPr>
                <w:rFonts w:cs="Arial"/>
                <w:sz w:val="20"/>
                <w:szCs w:val="20"/>
              </w:rPr>
            </w:pPr>
            <w:r w:rsidRPr="00812C16">
              <w:rPr>
                <w:rFonts w:cs="Arial"/>
                <w:sz w:val="20"/>
                <w:szCs w:val="20"/>
              </w:rPr>
              <w:t>Promiskuitive Personen; oral-genitale/-anale Kontakte</w:t>
            </w:r>
          </w:p>
        </w:tc>
        <w:tc>
          <w:tcPr>
            <w:tcW w:w="3395" w:type="dxa"/>
            <w:tcBorders>
              <w:top w:val="single" w:sz="4" w:space="0" w:color="D0CECE" w:themeColor="background2" w:themeShade="E6"/>
              <w:bottom w:val="single" w:sz="4" w:space="0" w:color="D0CECE" w:themeColor="background2" w:themeShade="E6"/>
            </w:tcBorders>
          </w:tcPr>
          <w:p w14:paraId="3E7AA68F" w14:textId="77777777" w:rsidR="006A157F" w:rsidRPr="00812C16" w:rsidRDefault="006A157F" w:rsidP="00CD7C64">
            <w:pPr>
              <w:spacing w:beforeLines="60" w:before="144" w:afterLines="60" w:after="144"/>
              <w:jc w:val="center"/>
              <w:rPr>
                <w:rFonts w:cs="Arial"/>
                <w:sz w:val="20"/>
                <w:szCs w:val="20"/>
              </w:rPr>
            </w:pPr>
            <w:r w:rsidRPr="00812C16">
              <w:rPr>
                <w:rFonts w:cs="Arial"/>
                <w:sz w:val="20"/>
                <w:szCs w:val="20"/>
              </w:rPr>
              <w:t>schädlicher Alkohol- und/oder Tabakkonsum</w:t>
            </w:r>
          </w:p>
        </w:tc>
      </w:tr>
      <w:tr w:rsidR="006A157F" w:rsidRPr="00812C16" w14:paraId="6EAF7653" w14:textId="77777777" w:rsidTr="00CD7C64">
        <w:trPr>
          <w:jc w:val="center"/>
        </w:trPr>
        <w:tc>
          <w:tcPr>
            <w:tcW w:w="2405" w:type="dxa"/>
            <w:tcBorders>
              <w:top w:val="single" w:sz="4" w:space="0" w:color="D0CECE" w:themeColor="background2" w:themeShade="E6"/>
              <w:bottom w:val="single" w:sz="4" w:space="0" w:color="D0CECE" w:themeColor="background2" w:themeShade="E6"/>
            </w:tcBorders>
          </w:tcPr>
          <w:p w14:paraId="7EE41C01" w14:textId="77777777" w:rsidR="006A157F" w:rsidRPr="00812C16" w:rsidRDefault="00AB5174" w:rsidP="00CD7C64">
            <w:pPr>
              <w:spacing w:beforeLines="60" w:before="144" w:afterLines="60" w:after="144"/>
              <w:rPr>
                <w:rFonts w:cs="Arial"/>
                <w:sz w:val="20"/>
                <w:szCs w:val="20"/>
              </w:rPr>
            </w:pPr>
            <w:r w:rsidRPr="00812C16">
              <w:rPr>
                <w:rFonts w:cs="Arial"/>
                <w:sz w:val="20"/>
                <w:szCs w:val="20"/>
              </w:rPr>
              <w:t>Tumoreigenschaften</w:t>
            </w:r>
          </w:p>
        </w:tc>
        <w:tc>
          <w:tcPr>
            <w:tcW w:w="3260" w:type="dxa"/>
            <w:tcBorders>
              <w:top w:val="single" w:sz="4" w:space="0" w:color="D0CECE" w:themeColor="background2" w:themeShade="E6"/>
              <w:bottom w:val="single" w:sz="4" w:space="0" w:color="D0CECE" w:themeColor="background2" w:themeShade="E6"/>
            </w:tcBorders>
          </w:tcPr>
          <w:p w14:paraId="10134CE0" w14:textId="77777777" w:rsidR="006A157F" w:rsidRPr="00812C16" w:rsidRDefault="00CD7C64" w:rsidP="00CD7C64">
            <w:pPr>
              <w:spacing w:beforeLines="60" w:before="144" w:afterLines="60" w:after="144"/>
              <w:jc w:val="center"/>
              <w:rPr>
                <w:rFonts w:cs="Arial"/>
                <w:sz w:val="20"/>
                <w:szCs w:val="20"/>
              </w:rPr>
            </w:pPr>
            <w:r w:rsidRPr="00812C16">
              <w:rPr>
                <w:rFonts w:cs="Arial"/>
                <w:sz w:val="20"/>
                <w:szCs w:val="20"/>
              </w:rPr>
              <w:t>kleine Tumorgröße (T1-T2), häufig Lymphknoten-Metastasen</w:t>
            </w:r>
          </w:p>
        </w:tc>
        <w:tc>
          <w:tcPr>
            <w:tcW w:w="3395" w:type="dxa"/>
            <w:tcBorders>
              <w:top w:val="single" w:sz="4" w:space="0" w:color="D0CECE" w:themeColor="background2" w:themeShade="E6"/>
              <w:bottom w:val="single" w:sz="4" w:space="0" w:color="D0CECE" w:themeColor="background2" w:themeShade="E6"/>
            </w:tcBorders>
          </w:tcPr>
          <w:p w14:paraId="4F78F72E" w14:textId="77777777" w:rsidR="006A157F" w:rsidRPr="00812C16" w:rsidRDefault="00CD7C64" w:rsidP="00CD7C64">
            <w:pPr>
              <w:spacing w:beforeLines="60" w:before="144" w:afterLines="60" w:after="144"/>
              <w:jc w:val="center"/>
              <w:rPr>
                <w:rFonts w:cs="Arial"/>
                <w:sz w:val="20"/>
                <w:szCs w:val="20"/>
              </w:rPr>
            </w:pPr>
            <w:r w:rsidRPr="00812C16">
              <w:rPr>
                <w:rFonts w:cs="Arial"/>
                <w:sz w:val="20"/>
                <w:szCs w:val="20"/>
              </w:rPr>
              <w:t>große Tumoren (&gt;T2)</w:t>
            </w:r>
          </w:p>
        </w:tc>
      </w:tr>
      <w:tr w:rsidR="006A157F" w:rsidRPr="00812C16" w14:paraId="18E082D6" w14:textId="77777777" w:rsidTr="00CD7C64">
        <w:trPr>
          <w:jc w:val="center"/>
        </w:trPr>
        <w:tc>
          <w:tcPr>
            <w:tcW w:w="2405" w:type="dxa"/>
            <w:tcBorders>
              <w:top w:val="single" w:sz="4" w:space="0" w:color="D0CECE" w:themeColor="background2" w:themeShade="E6"/>
              <w:bottom w:val="single" w:sz="4" w:space="0" w:color="D0CECE" w:themeColor="background2" w:themeShade="E6"/>
            </w:tcBorders>
          </w:tcPr>
          <w:p w14:paraId="5C5B4D74" w14:textId="77777777" w:rsidR="006A157F" w:rsidRPr="00812C16" w:rsidRDefault="00CD7C64" w:rsidP="00CD7C64">
            <w:pPr>
              <w:spacing w:beforeLines="60" w:before="144" w:afterLines="60" w:after="144"/>
              <w:rPr>
                <w:rFonts w:cs="Arial"/>
                <w:sz w:val="20"/>
                <w:szCs w:val="20"/>
              </w:rPr>
            </w:pPr>
            <w:r w:rsidRPr="00812C16">
              <w:rPr>
                <w:rFonts w:cs="Arial"/>
                <w:sz w:val="20"/>
                <w:szCs w:val="20"/>
              </w:rPr>
              <w:t>Tumorlokalisation</w:t>
            </w:r>
          </w:p>
        </w:tc>
        <w:tc>
          <w:tcPr>
            <w:tcW w:w="3260" w:type="dxa"/>
            <w:tcBorders>
              <w:top w:val="single" w:sz="4" w:space="0" w:color="D0CECE" w:themeColor="background2" w:themeShade="E6"/>
              <w:bottom w:val="single" w:sz="4" w:space="0" w:color="D0CECE" w:themeColor="background2" w:themeShade="E6"/>
            </w:tcBorders>
          </w:tcPr>
          <w:p w14:paraId="35B74C5C" w14:textId="77777777" w:rsidR="006A157F" w:rsidRPr="00812C16" w:rsidRDefault="00CD7C64" w:rsidP="00CD7C64">
            <w:pPr>
              <w:spacing w:beforeLines="60" w:before="144" w:afterLines="60" w:after="144"/>
              <w:jc w:val="center"/>
              <w:rPr>
                <w:rFonts w:cs="Arial"/>
                <w:sz w:val="20"/>
                <w:szCs w:val="20"/>
              </w:rPr>
            </w:pPr>
            <w:r w:rsidRPr="00812C16">
              <w:rPr>
                <w:rFonts w:cs="Arial"/>
                <w:sz w:val="20"/>
                <w:szCs w:val="20"/>
              </w:rPr>
              <w:t>Oropharynx, v.a. Tonsillen</w:t>
            </w:r>
          </w:p>
        </w:tc>
        <w:tc>
          <w:tcPr>
            <w:tcW w:w="3395" w:type="dxa"/>
            <w:tcBorders>
              <w:top w:val="single" w:sz="4" w:space="0" w:color="D0CECE" w:themeColor="background2" w:themeShade="E6"/>
              <w:bottom w:val="single" w:sz="4" w:space="0" w:color="D0CECE" w:themeColor="background2" w:themeShade="E6"/>
            </w:tcBorders>
          </w:tcPr>
          <w:p w14:paraId="53F92A81" w14:textId="77777777" w:rsidR="006A157F" w:rsidRPr="00812C16" w:rsidRDefault="00CD7C64" w:rsidP="00CD7C64">
            <w:pPr>
              <w:spacing w:beforeLines="60" w:before="144" w:afterLines="60" w:after="144"/>
              <w:jc w:val="center"/>
              <w:rPr>
                <w:rFonts w:cs="Arial"/>
                <w:sz w:val="20"/>
                <w:szCs w:val="20"/>
              </w:rPr>
            </w:pPr>
            <w:r w:rsidRPr="00812C16">
              <w:rPr>
                <w:rFonts w:cs="Arial"/>
                <w:sz w:val="20"/>
                <w:szCs w:val="20"/>
              </w:rPr>
              <w:t>Regionen außerhalb des Oropharynx</w:t>
            </w:r>
          </w:p>
        </w:tc>
      </w:tr>
      <w:tr w:rsidR="006A157F" w:rsidRPr="00812C16" w14:paraId="517734D1" w14:textId="77777777" w:rsidTr="00CD7C64">
        <w:trPr>
          <w:jc w:val="center"/>
        </w:trPr>
        <w:tc>
          <w:tcPr>
            <w:tcW w:w="2405" w:type="dxa"/>
            <w:tcBorders>
              <w:top w:val="single" w:sz="4" w:space="0" w:color="D0CECE" w:themeColor="background2" w:themeShade="E6"/>
              <w:bottom w:val="single" w:sz="4" w:space="0" w:color="D0CECE" w:themeColor="background2" w:themeShade="E6"/>
            </w:tcBorders>
          </w:tcPr>
          <w:p w14:paraId="78081BC3" w14:textId="77777777" w:rsidR="006A157F" w:rsidRPr="00812C16" w:rsidRDefault="00CD7C64" w:rsidP="00CD7C64">
            <w:pPr>
              <w:spacing w:beforeLines="60" w:before="144" w:afterLines="60" w:after="144"/>
              <w:rPr>
                <w:rFonts w:cs="Arial"/>
                <w:sz w:val="20"/>
                <w:szCs w:val="20"/>
              </w:rPr>
            </w:pPr>
            <w:r w:rsidRPr="00812C16">
              <w:rPr>
                <w:rFonts w:cs="Arial"/>
                <w:sz w:val="20"/>
                <w:szCs w:val="20"/>
              </w:rPr>
              <w:t>Histologie/Morphologie</w:t>
            </w:r>
          </w:p>
        </w:tc>
        <w:tc>
          <w:tcPr>
            <w:tcW w:w="3260" w:type="dxa"/>
            <w:tcBorders>
              <w:top w:val="single" w:sz="4" w:space="0" w:color="D0CECE" w:themeColor="background2" w:themeShade="E6"/>
              <w:bottom w:val="single" w:sz="4" w:space="0" w:color="D0CECE" w:themeColor="background2" w:themeShade="E6"/>
            </w:tcBorders>
          </w:tcPr>
          <w:p w14:paraId="6A1E07BD" w14:textId="77777777" w:rsidR="006A157F" w:rsidRPr="00812C16" w:rsidRDefault="00CD7C64" w:rsidP="00CD7C64">
            <w:pPr>
              <w:spacing w:beforeLines="60" w:before="144" w:afterLines="60" w:after="144"/>
              <w:jc w:val="center"/>
              <w:rPr>
                <w:rFonts w:cs="Arial"/>
                <w:sz w:val="20"/>
                <w:szCs w:val="20"/>
              </w:rPr>
            </w:pPr>
            <w:r w:rsidRPr="00812C16">
              <w:rPr>
                <w:rFonts w:cs="Arial"/>
                <w:sz w:val="20"/>
                <w:szCs w:val="20"/>
              </w:rPr>
              <w:t xml:space="preserve">undifferenziert, </w:t>
            </w:r>
            <w:proofErr w:type="spellStart"/>
            <w:r w:rsidRPr="00812C16">
              <w:rPr>
                <w:rFonts w:cs="Arial"/>
                <w:sz w:val="20"/>
                <w:szCs w:val="20"/>
              </w:rPr>
              <w:t>basaloid</w:t>
            </w:r>
            <w:proofErr w:type="spellEnd"/>
          </w:p>
        </w:tc>
        <w:tc>
          <w:tcPr>
            <w:tcW w:w="3395" w:type="dxa"/>
            <w:tcBorders>
              <w:top w:val="single" w:sz="4" w:space="0" w:color="D0CECE" w:themeColor="background2" w:themeShade="E6"/>
              <w:bottom w:val="single" w:sz="4" w:space="0" w:color="D0CECE" w:themeColor="background2" w:themeShade="E6"/>
            </w:tcBorders>
          </w:tcPr>
          <w:p w14:paraId="1D1BE043" w14:textId="77777777" w:rsidR="006A157F" w:rsidRPr="00812C16" w:rsidRDefault="00CD7C64" w:rsidP="00CD7C64">
            <w:pPr>
              <w:spacing w:beforeLines="60" w:before="144" w:afterLines="60" w:after="144"/>
              <w:jc w:val="center"/>
              <w:rPr>
                <w:rFonts w:cs="Arial"/>
                <w:sz w:val="20"/>
                <w:szCs w:val="20"/>
              </w:rPr>
            </w:pPr>
            <w:r w:rsidRPr="00812C16">
              <w:rPr>
                <w:rFonts w:cs="Arial"/>
                <w:sz w:val="20"/>
                <w:szCs w:val="20"/>
              </w:rPr>
              <w:t>moderat bis gut differenziert</w:t>
            </w:r>
          </w:p>
        </w:tc>
      </w:tr>
      <w:tr w:rsidR="006A157F" w:rsidRPr="00812C16" w14:paraId="3D15039C" w14:textId="77777777" w:rsidTr="00CD7C64">
        <w:trPr>
          <w:jc w:val="center"/>
        </w:trPr>
        <w:tc>
          <w:tcPr>
            <w:tcW w:w="2405" w:type="dxa"/>
            <w:tcBorders>
              <w:top w:val="single" w:sz="4" w:space="0" w:color="D0CECE" w:themeColor="background2" w:themeShade="E6"/>
              <w:bottom w:val="single" w:sz="4" w:space="0" w:color="D0CECE" w:themeColor="background2" w:themeShade="E6"/>
            </w:tcBorders>
          </w:tcPr>
          <w:p w14:paraId="653224E5" w14:textId="77777777" w:rsidR="006A157F" w:rsidRPr="00812C16" w:rsidRDefault="00CD7C64" w:rsidP="00CD7C64">
            <w:pPr>
              <w:spacing w:beforeLines="60" w:before="144" w:afterLines="60" w:after="144"/>
              <w:rPr>
                <w:rFonts w:cs="Arial"/>
                <w:sz w:val="20"/>
                <w:szCs w:val="20"/>
              </w:rPr>
            </w:pPr>
            <w:r w:rsidRPr="00812C16">
              <w:rPr>
                <w:rFonts w:cs="Arial"/>
                <w:sz w:val="20"/>
                <w:szCs w:val="20"/>
              </w:rPr>
              <w:t xml:space="preserve">Ansprechen auf </w:t>
            </w:r>
            <w:proofErr w:type="spellStart"/>
            <w:r w:rsidRPr="00812C16">
              <w:rPr>
                <w:rFonts w:cs="Arial"/>
                <w:sz w:val="20"/>
                <w:szCs w:val="20"/>
              </w:rPr>
              <w:t>Rx</w:t>
            </w:r>
            <w:proofErr w:type="spellEnd"/>
            <w:r w:rsidRPr="00812C16">
              <w:rPr>
                <w:rFonts w:cs="Arial"/>
                <w:sz w:val="20"/>
                <w:szCs w:val="20"/>
              </w:rPr>
              <w:t>/CT*</w:t>
            </w:r>
          </w:p>
        </w:tc>
        <w:tc>
          <w:tcPr>
            <w:tcW w:w="3260" w:type="dxa"/>
            <w:tcBorders>
              <w:top w:val="single" w:sz="4" w:space="0" w:color="D0CECE" w:themeColor="background2" w:themeShade="E6"/>
              <w:bottom w:val="single" w:sz="4" w:space="0" w:color="D0CECE" w:themeColor="background2" w:themeShade="E6"/>
            </w:tcBorders>
          </w:tcPr>
          <w:p w14:paraId="4FBE3F68" w14:textId="77777777" w:rsidR="006A157F" w:rsidRPr="00812C16" w:rsidRDefault="00CD7C64" w:rsidP="00CD7C64">
            <w:pPr>
              <w:spacing w:beforeLines="60" w:before="144" w:afterLines="60" w:after="144"/>
              <w:jc w:val="center"/>
              <w:rPr>
                <w:rFonts w:cs="Arial"/>
                <w:sz w:val="20"/>
                <w:szCs w:val="20"/>
              </w:rPr>
            </w:pPr>
            <w:r w:rsidRPr="00812C16">
              <w:rPr>
                <w:rFonts w:cs="Arial"/>
                <w:sz w:val="20"/>
                <w:szCs w:val="20"/>
              </w:rPr>
              <w:t>gut</w:t>
            </w:r>
          </w:p>
        </w:tc>
        <w:tc>
          <w:tcPr>
            <w:tcW w:w="3395" w:type="dxa"/>
            <w:tcBorders>
              <w:top w:val="single" w:sz="4" w:space="0" w:color="D0CECE" w:themeColor="background2" w:themeShade="E6"/>
              <w:bottom w:val="single" w:sz="4" w:space="0" w:color="D0CECE" w:themeColor="background2" w:themeShade="E6"/>
            </w:tcBorders>
          </w:tcPr>
          <w:p w14:paraId="509346EE" w14:textId="4A114F10" w:rsidR="006A157F" w:rsidRPr="00812C16" w:rsidRDefault="00E53839" w:rsidP="00CD7C64">
            <w:pPr>
              <w:spacing w:beforeLines="60" w:before="144" w:afterLines="60" w:after="144"/>
              <w:jc w:val="center"/>
              <w:rPr>
                <w:rFonts w:cs="Arial"/>
                <w:sz w:val="20"/>
                <w:szCs w:val="20"/>
              </w:rPr>
            </w:pPr>
            <w:r w:rsidRPr="00812C16">
              <w:rPr>
                <w:rFonts w:cs="Arial"/>
                <w:sz w:val="20"/>
                <w:szCs w:val="20"/>
              </w:rPr>
              <w:t>S</w:t>
            </w:r>
            <w:r w:rsidR="00CD7C64" w:rsidRPr="00812C16">
              <w:rPr>
                <w:rFonts w:cs="Arial"/>
                <w:sz w:val="20"/>
                <w:szCs w:val="20"/>
              </w:rPr>
              <w:t>chlecht</w:t>
            </w:r>
          </w:p>
        </w:tc>
      </w:tr>
      <w:tr w:rsidR="006A157F" w:rsidRPr="00812C16" w14:paraId="0F2D70CD" w14:textId="77777777" w:rsidTr="00CD7C64">
        <w:trPr>
          <w:jc w:val="center"/>
        </w:trPr>
        <w:tc>
          <w:tcPr>
            <w:tcW w:w="2405" w:type="dxa"/>
            <w:tcBorders>
              <w:top w:val="single" w:sz="4" w:space="0" w:color="D0CECE" w:themeColor="background2" w:themeShade="E6"/>
              <w:bottom w:val="single" w:sz="4" w:space="0" w:color="D0CECE" w:themeColor="background2" w:themeShade="E6"/>
            </w:tcBorders>
          </w:tcPr>
          <w:p w14:paraId="6A3847C5" w14:textId="77777777" w:rsidR="006A157F" w:rsidRPr="00812C16" w:rsidRDefault="00CD7C64" w:rsidP="00CD7C64">
            <w:pPr>
              <w:spacing w:beforeLines="60" w:before="144" w:afterLines="60" w:after="144"/>
              <w:rPr>
                <w:rFonts w:cs="Arial"/>
                <w:sz w:val="20"/>
                <w:szCs w:val="20"/>
              </w:rPr>
            </w:pPr>
            <w:r w:rsidRPr="00812C16">
              <w:rPr>
                <w:rFonts w:cs="Arial"/>
                <w:sz w:val="20"/>
                <w:szCs w:val="20"/>
              </w:rPr>
              <w:t>Prognose</w:t>
            </w:r>
          </w:p>
        </w:tc>
        <w:tc>
          <w:tcPr>
            <w:tcW w:w="3260" w:type="dxa"/>
            <w:tcBorders>
              <w:top w:val="single" w:sz="4" w:space="0" w:color="D0CECE" w:themeColor="background2" w:themeShade="E6"/>
              <w:bottom w:val="single" w:sz="4" w:space="0" w:color="D0CECE" w:themeColor="background2" w:themeShade="E6"/>
            </w:tcBorders>
          </w:tcPr>
          <w:p w14:paraId="0C263114" w14:textId="77777777" w:rsidR="006A157F" w:rsidRPr="00812C16" w:rsidRDefault="00CD7C64" w:rsidP="00CD7C64">
            <w:pPr>
              <w:spacing w:beforeLines="60" w:before="144" w:afterLines="60" w:after="144"/>
              <w:jc w:val="center"/>
              <w:rPr>
                <w:rFonts w:cs="Arial"/>
                <w:sz w:val="20"/>
                <w:szCs w:val="20"/>
              </w:rPr>
            </w:pPr>
            <w:r w:rsidRPr="00812C16">
              <w:rPr>
                <w:rFonts w:cs="Arial"/>
                <w:sz w:val="20"/>
                <w:szCs w:val="20"/>
              </w:rPr>
              <w:t>Gut</w:t>
            </w:r>
          </w:p>
        </w:tc>
        <w:tc>
          <w:tcPr>
            <w:tcW w:w="3395" w:type="dxa"/>
            <w:tcBorders>
              <w:top w:val="single" w:sz="4" w:space="0" w:color="D0CECE" w:themeColor="background2" w:themeShade="E6"/>
              <w:bottom w:val="single" w:sz="4" w:space="0" w:color="D0CECE" w:themeColor="background2" w:themeShade="E6"/>
            </w:tcBorders>
          </w:tcPr>
          <w:p w14:paraId="30357DF2" w14:textId="11C0302E" w:rsidR="006A157F" w:rsidRPr="00812C16" w:rsidRDefault="00E53839" w:rsidP="00CD7C64">
            <w:pPr>
              <w:spacing w:beforeLines="60" w:before="144" w:afterLines="60" w:after="144"/>
              <w:jc w:val="center"/>
              <w:rPr>
                <w:rFonts w:cs="Arial"/>
                <w:sz w:val="20"/>
                <w:szCs w:val="20"/>
              </w:rPr>
            </w:pPr>
            <w:r w:rsidRPr="00812C16">
              <w:rPr>
                <w:rFonts w:cs="Arial"/>
                <w:sz w:val="20"/>
                <w:szCs w:val="20"/>
              </w:rPr>
              <w:t>S</w:t>
            </w:r>
            <w:r w:rsidR="00CD7C64" w:rsidRPr="00812C16">
              <w:rPr>
                <w:rFonts w:cs="Arial"/>
                <w:sz w:val="20"/>
                <w:szCs w:val="20"/>
              </w:rPr>
              <w:t>chlecht</w:t>
            </w:r>
          </w:p>
        </w:tc>
      </w:tr>
      <w:tr w:rsidR="00CD7C64" w:rsidRPr="00812C16" w14:paraId="10407A3A" w14:textId="77777777" w:rsidTr="00CD7C64">
        <w:trPr>
          <w:jc w:val="center"/>
        </w:trPr>
        <w:tc>
          <w:tcPr>
            <w:tcW w:w="2405" w:type="dxa"/>
            <w:tcBorders>
              <w:top w:val="single" w:sz="4" w:space="0" w:color="D0CECE" w:themeColor="background2" w:themeShade="E6"/>
              <w:bottom w:val="single" w:sz="4" w:space="0" w:color="auto"/>
            </w:tcBorders>
          </w:tcPr>
          <w:p w14:paraId="5D4D31AD" w14:textId="77777777" w:rsidR="00CD7C64" w:rsidRPr="00812C16" w:rsidRDefault="00CD7C64" w:rsidP="00CD7C64">
            <w:pPr>
              <w:spacing w:beforeLines="60" w:before="144" w:afterLines="60" w:after="144"/>
              <w:rPr>
                <w:rFonts w:cs="Arial"/>
                <w:sz w:val="20"/>
                <w:szCs w:val="20"/>
              </w:rPr>
            </w:pPr>
            <w:r w:rsidRPr="00812C16">
              <w:rPr>
                <w:rFonts w:cs="Arial"/>
                <w:sz w:val="20"/>
                <w:szCs w:val="20"/>
              </w:rPr>
              <w:t>Inzidenz</w:t>
            </w:r>
          </w:p>
        </w:tc>
        <w:tc>
          <w:tcPr>
            <w:tcW w:w="3260" w:type="dxa"/>
            <w:tcBorders>
              <w:top w:val="single" w:sz="4" w:space="0" w:color="D0CECE" w:themeColor="background2" w:themeShade="E6"/>
              <w:bottom w:val="single" w:sz="4" w:space="0" w:color="auto"/>
            </w:tcBorders>
          </w:tcPr>
          <w:p w14:paraId="7577A571" w14:textId="77777777" w:rsidR="00CD7C64" w:rsidRPr="00812C16" w:rsidRDefault="00CD7C64" w:rsidP="00CD7C64">
            <w:pPr>
              <w:spacing w:beforeLines="60" w:before="144" w:afterLines="60" w:after="144"/>
              <w:jc w:val="center"/>
              <w:rPr>
                <w:rFonts w:cs="Arial"/>
                <w:sz w:val="20"/>
                <w:szCs w:val="20"/>
              </w:rPr>
            </w:pPr>
            <w:r w:rsidRPr="00812C16">
              <w:rPr>
                <w:rFonts w:cs="Arial"/>
                <w:sz w:val="20"/>
                <w:szCs w:val="20"/>
              </w:rPr>
              <w:t>ansteigend</w:t>
            </w:r>
          </w:p>
        </w:tc>
        <w:tc>
          <w:tcPr>
            <w:tcW w:w="3395" w:type="dxa"/>
            <w:tcBorders>
              <w:top w:val="single" w:sz="4" w:space="0" w:color="D0CECE" w:themeColor="background2" w:themeShade="E6"/>
              <w:bottom w:val="single" w:sz="4" w:space="0" w:color="auto"/>
            </w:tcBorders>
          </w:tcPr>
          <w:p w14:paraId="0A12D9F6" w14:textId="7FDDEB2A" w:rsidR="00CD7C64" w:rsidRPr="00812C16" w:rsidRDefault="00E53839" w:rsidP="00CD7C64">
            <w:pPr>
              <w:spacing w:beforeLines="60" w:before="144" w:afterLines="60" w:after="144"/>
              <w:jc w:val="center"/>
              <w:rPr>
                <w:rFonts w:cs="Arial"/>
                <w:sz w:val="20"/>
                <w:szCs w:val="20"/>
              </w:rPr>
            </w:pPr>
            <w:r w:rsidRPr="00812C16">
              <w:rPr>
                <w:rFonts w:cs="Arial"/>
                <w:sz w:val="20"/>
                <w:szCs w:val="20"/>
              </w:rPr>
              <w:t>S</w:t>
            </w:r>
            <w:r w:rsidR="00CD7C64" w:rsidRPr="00812C16">
              <w:rPr>
                <w:rFonts w:cs="Arial"/>
                <w:sz w:val="20"/>
                <w:szCs w:val="20"/>
              </w:rPr>
              <w:t>inkend</w:t>
            </w:r>
          </w:p>
        </w:tc>
      </w:tr>
    </w:tbl>
    <w:p w14:paraId="149DBDF8" w14:textId="77777777" w:rsidR="00D306A0" w:rsidRPr="00812C16" w:rsidRDefault="00EF2CCD" w:rsidP="00C975DA">
      <w:pPr>
        <w:spacing w:before="360"/>
        <w:rPr>
          <w:rFonts w:cs="Arial"/>
        </w:rPr>
      </w:pPr>
      <w:r w:rsidRPr="00812C16">
        <w:rPr>
          <w:rFonts w:cs="Arial"/>
        </w:rPr>
        <w:t xml:space="preserve">Unter den HPV-positiven OPSCC wurden jedoch auch </w:t>
      </w:r>
      <w:proofErr w:type="spellStart"/>
      <w:r w:rsidRPr="00812C16">
        <w:rPr>
          <w:rFonts w:cs="Arial"/>
        </w:rPr>
        <w:t>Heterogenitäten</w:t>
      </w:r>
      <w:proofErr w:type="spellEnd"/>
      <w:r w:rsidRPr="00812C16">
        <w:rPr>
          <w:rFonts w:cs="Arial"/>
        </w:rPr>
        <w:t xml:space="preserve"> festgestellt (61, 84), die auf Unterschiede in der Viruslast und/oder der viralen </w:t>
      </w:r>
      <w:proofErr w:type="spellStart"/>
      <w:r w:rsidRPr="00812C16">
        <w:rPr>
          <w:rFonts w:cs="Arial"/>
        </w:rPr>
        <w:t>Onkogenexpression</w:t>
      </w:r>
      <w:proofErr w:type="spellEnd"/>
      <w:r w:rsidRPr="00812C16">
        <w:rPr>
          <w:rFonts w:cs="Arial"/>
        </w:rPr>
        <w:t xml:space="preserve"> </w:t>
      </w:r>
      <w:proofErr w:type="spellStart"/>
      <w:r w:rsidRPr="00812C16">
        <w:rPr>
          <w:rFonts w:cs="Arial"/>
        </w:rPr>
        <w:t>zurückzu</w:t>
      </w:r>
      <w:proofErr w:type="spellEnd"/>
      <w:r w:rsidRPr="00812C16">
        <w:rPr>
          <w:rFonts w:cs="Arial"/>
        </w:rPr>
        <w:t xml:space="preserve">- führen waren (42, 43, 60, 70, 74, 80, 85-87). </w:t>
      </w:r>
      <w:r w:rsidR="00487684" w:rsidRPr="00812C16">
        <w:rPr>
          <w:rFonts w:cs="Arial"/>
        </w:rPr>
        <w:t>Am häufigsten findet sich hierbei mit knapp 95% der Fälle der Subtyp HPV 16, am zweithäufigsten der Subtyp HPV 18 [11-13].</w:t>
      </w:r>
    </w:p>
    <w:p w14:paraId="028D7DBB" w14:textId="77777777" w:rsidR="00EF2CCD" w:rsidRPr="00812C16" w:rsidRDefault="00EF2CCD" w:rsidP="002F01F1">
      <w:pPr>
        <w:rPr>
          <w:rFonts w:cs="Arial"/>
        </w:rPr>
      </w:pPr>
    </w:p>
    <w:p w14:paraId="091D2FFA" w14:textId="6891C6EA" w:rsidR="009F2847" w:rsidRPr="00812C16" w:rsidRDefault="002F01F1" w:rsidP="002F01F1">
      <w:pPr>
        <w:rPr>
          <w:rFonts w:cs="Arial"/>
        </w:rPr>
      </w:pPr>
      <w:r w:rsidRPr="00812C16">
        <w:rPr>
          <w:rFonts w:cs="Arial"/>
        </w:rPr>
        <w:t>Als weitere Ursache von etwa einem Viertel der Plattenepithelkarzinome gilt, unabhängig von Alkohol- und Tabakkonsum, die Infektion mit dem Humanen Papillomavirus. Am häufigsten findet sich hierbei mit knapp 95% der Fälle der Subtyp HPV 16, am zweithäufigsten der Subtyp HPV 18 [11-13]. Innerhalb der HPV-positiven Karzinome stehen bei der Krankheitsentstehung sexuelle Verhaltensweisen im Vordergrund [14]. Ein Anstieg des oralen HPV- Infektionsrisikos ist demnach assoziiert mit der Anzahl der Sexualpartner. Impfstoffe, die zur Prävention des Zervixkarzinoms bei jungen Mädchen zwischen 12 und 17 Jahren unter anderem in Deutschland von der STIKO empfohlen werden, könnten für die Prävention von HPV-positiven Plattenepithelkarzinomen der Kopf-Hals-Region zukünftig von Wichtigkeit sein, da die hierbei am häufigsten vorkommenden Hochrisiko-HPV-Subtypen 16 und 18 abgedeckt werden [15-18].</w:t>
      </w:r>
    </w:p>
    <w:p w14:paraId="3FC63069" w14:textId="77777777" w:rsidR="00B32EE7" w:rsidRPr="00812C16" w:rsidRDefault="00B32EE7" w:rsidP="00B32EE7">
      <w:pPr>
        <w:pStyle w:val="berschrift3"/>
      </w:pPr>
      <w:bookmarkStart w:id="9" w:name="_Toc158006513"/>
      <w:r w:rsidRPr="00812C16">
        <w:lastRenderedPageBreak/>
        <w:t>Pathog</w:t>
      </w:r>
      <w:r w:rsidR="006A6BE3" w:rsidRPr="00812C16">
        <w:t>e</w:t>
      </w:r>
      <w:r w:rsidRPr="00812C16">
        <w:t>nese</w:t>
      </w:r>
      <w:bookmarkEnd w:id="9"/>
      <w:r w:rsidRPr="00812C16">
        <w:t xml:space="preserve"> </w:t>
      </w:r>
    </w:p>
    <w:p w14:paraId="313C0B85" w14:textId="327A6998" w:rsidR="00C656C3" w:rsidRPr="00812C16" w:rsidRDefault="006A6BE3" w:rsidP="00BB1055">
      <w:pPr>
        <w:spacing w:after="0"/>
        <w:rPr>
          <w:rFonts w:cs="Arial"/>
        </w:rPr>
      </w:pPr>
      <w:r w:rsidRPr="00812C16">
        <w:rPr>
          <w:rFonts w:cs="Arial"/>
        </w:rPr>
        <w:t>Die Entstehung eines Tumors beginnt mit der Transformation, der Umwandlung einer gesunden Zelle in eine Tumorzelle</w:t>
      </w:r>
      <w:r w:rsidR="001D3BA0" w:rsidRPr="00812C16">
        <w:rPr>
          <w:rFonts w:cs="Arial"/>
        </w:rPr>
        <w:t xml:space="preserve"> </w:t>
      </w:r>
      <w:r w:rsidR="000112D9">
        <w:rPr>
          <w:rFonts w:cs="Arial"/>
        </w:rPr>
        <w:fldChar w:fldCharType="begin">
          <w:fldData xml:space="preserve">PEVuZE5vdGU+PENpdGU+PEF1dGhvcj5Cw7Zja2VyPC9BdXRob3I+PFllYXI+MjAwODwvWWVhcj48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11" w:tooltip="Böcker, 2008 #446" w:history="1">
        <w:r w:rsidR="009D0F7A" w:rsidRPr="009D0F7A">
          <w:rPr>
            <w:rStyle w:val="Hyperlink"/>
          </w:rPr>
          <w:t>Böcker, 2008</w:t>
        </w:r>
      </w:hyperlink>
      <w:r w:rsidR="000112D9">
        <w:rPr>
          <w:rFonts w:cs="Arial"/>
          <w:noProof/>
        </w:rPr>
        <w:t>)</w:t>
      </w:r>
      <w:r w:rsidR="000112D9">
        <w:rPr>
          <w:rFonts w:cs="Arial"/>
        </w:rPr>
        <w:fldChar w:fldCharType="end"/>
      </w:r>
      <w:r w:rsidRPr="00812C16">
        <w:rPr>
          <w:rFonts w:cs="Arial"/>
        </w:rPr>
        <w:t>. Diese läuft in vier Phasen ab und kann mehrere Jahre dauern. Zuerst ändern wachstumsregulatorische Gene ihre Struktur. Dazu kann es z.B. spontan, durch kanzerogene Noxen, durch Onkogene oder durch Schädigung von Kontrollgenen kommen. Diese Phase nennt man Initiationsphase. In der zweiten Phase scheitern zelluläre Reparaturmechanismen bei der Wiederherstellung der physiologischen Wachstumsregulation. In der dritten Phase schaffen es die Abwehrmechanismen nicht die transformierte Zelle zu zerstören. In der letzten Phase, der Promotionsphase, werden die veränderten genetischen</w:t>
      </w:r>
      <w:r w:rsidR="003667BC" w:rsidRPr="00812C16">
        <w:rPr>
          <w:rFonts w:cs="Arial"/>
        </w:rPr>
        <w:t xml:space="preserve"> </w:t>
      </w:r>
      <w:r w:rsidRPr="00812C16">
        <w:rPr>
          <w:rFonts w:cs="Arial"/>
        </w:rPr>
        <w:t>Informationen von der Zelle umgesetzt. Die Bösartigkeit der entarteten Zellen ist dabei durch unkontrollierte Teilung und hohe Proliferationsraten charakterisiert</w:t>
      </w:r>
      <w:r w:rsidR="001D3BA0" w:rsidRPr="00812C16">
        <w:rPr>
          <w:rFonts w:cs="Arial"/>
        </w:rPr>
        <w:t xml:space="preserve"> </w:t>
      </w:r>
      <w:r w:rsidR="000112D9">
        <w:rPr>
          <w:rFonts w:cs="Arial"/>
        </w:rPr>
        <w:fldChar w:fldCharType="begin">
          <w:fldData xml:space="preserve">PEVuZE5vdGU+PENpdGU+PEF1dGhvcj5IZWlucmljaDwvQXV0aG9yPjxZZWFyPjIwMTQ8L1llYXI+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38" w:tooltip="Heinrich, 2014 #674" w:history="1">
        <w:r w:rsidR="009D0F7A" w:rsidRPr="009D0F7A">
          <w:rPr>
            <w:rStyle w:val="Hyperlink"/>
          </w:rPr>
          <w:t>Heinrich et al., 2014</w:t>
        </w:r>
      </w:hyperlink>
      <w:r w:rsidR="000112D9">
        <w:rPr>
          <w:rFonts w:cs="Arial"/>
          <w:noProof/>
        </w:rPr>
        <w:t>)</w:t>
      </w:r>
      <w:r w:rsidR="000112D9">
        <w:rPr>
          <w:rFonts w:cs="Arial"/>
        </w:rPr>
        <w:fldChar w:fldCharType="end"/>
      </w:r>
      <w:r w:rsidRPr="00812C16">
        <w:rPr>
          <w:rFonts w:cs="Arial"/>
        </w:rPr>
        <w:t xml:space="preserve">. Dadurch entsteht eine verschobene Kern- Plasma-Relation </w:t>
      </w:r>
      <w:r w:rsidR="001D3BA0" w:rsidRPr="00812C16">
        <w:rPr>
          <w:rFonts w:cs="Arial"/>
        </w:rPr>
        <w:t>zugunsten des Kernes</w:t>
      </w:r>
      <w:r w:rsidRPr="00812C16">
        <w:rPr>
          <w:rFonts w:cs="Arial"/>
        </w:rPr>
        <w:t xml:space="preserve">. Die Mitoserate ist erhöht und es zeigen sich viele atypische Mitosen. Die Zellen sind verstärkt </w:t>
      </w:r>
      <w:proofErr w:type="spellStart"/>
      <w:r w:rsidRPr="00812C16">
        <w:rPr>
          <w:rFonts w:cs="Arial"/>
        </w:rPr>
        <w:t>anfärbbar</w:t>
      </w:r>
      <w:proofErr w:type="spellEnd"/>
      <w:r w:rsidRPr="00812C16">
        <w:rPr>
          <w:rFonts w:cs="Arial"/>
        </w:rPr>
        <w:t xml:space="preserve">, was man als </w:t>
      </w:r>
      <w:proofErr w:type="spellStart"/>
      <w:r w:rsidRPr="00812C16">
        <w:rPr>
          <w:rFonts w:cs="Arial"/>
        </w:rPr>
        <w:t>Hyperchromatismus</w:t>
      </w:r>
      <w:proofErr w:type="spellEnd"/>
      <w:r w:rsidRPr="00812C16">
        <w:rPr>
          <w:rFonts w:cs="Arial"/>
        </w:rPr>
        <w:t xml:space="preserve"> bezeichnet. Es kommt zu einer Entdifferenzierung, also einem Verlust der ursprünglichen Zellstruktur und der Funktionen des normalen Gewebes. Es zeigt sich ein Polymorphismus, eine Vielgestaltigkeit der Zellen oder eine </w:t>
      </w:r>
      <w:proofErr w:type="spellStart"/>
      <w:r w:rsidRPr="00812C16">
        <w:rPr>
          <w:rFonts w:cs="Arial"/>
        </w:rPr>
        <w:t>Zellheterotopie</w:t>
      </w:r>
      <w:proofErr w:type="spellEnd"/>
      <w:r w:rsidRPr="00812C16">
        <w:rPr>
          <w:rFonts w:cs="Arial"/>
        </w:rPr>
        <w:t xml:space="preserve">, also ein Vorliegen eines Zelltyps an einer </w:t>
      </w:r>
      <w:r w:rsidR="001D3BA0" w:rsidRPr="00812C16">
        <w:rPr>
          <w:rFonts w:cs="Arial"/>
        </w:rPr>
        <w:t>Lokalisation,</w:t>
      </w:r>
      <w:r w:rsidRPr="00812C16">
        <w:rPr>
          <w:rFonts w:cs="Arial"/>
        </w:rPr>
        <w:t xml:space="preserve"> an der er typischerweise nicht vorkommt. Es findet sich ein invasives, infiltrierendes und destruierendes Wachstum mit Durchbruch der Basalmembran und einer Neigung zu Metastasierung und Rezidiven</w:t>
      </w:r>
      <w:r w:rsidR="001D3BA0" w:rsidRPr="00812C16">
        <w:rPr>
          <w:rFonts w:cs="Arial"/>
        </w:rPr>
        <w:t xml:space="preserve"> </w:t>
      </w:r>
      <w:r w:rsidR="000112D9">
        <w:rPr>
          <w:rFonts w:cs="Arial"/>
        </w:rPr>
        <w:fldChar w:fldCharType="begin">
          <w:fldData xml:space="preserve">PEVuZE5vdGU+PENpdGU+PEF1dGhvcj5DYXdzb248L0F1dGhvcj48WWVhcj4yMDA4PC9ZZWFyPjxS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18" w:tooltip="Cawson, 2008 #675" w:history="1">
        <w:r w:rsidR="009D0F7A" w:rsidRPr="009D0F7A">
          <w:rPr>
            <w:rStyle w:val="Hyperlink"/>
          </w:rPr>
          <w:t>Cawson &amp; Odell, 2008</w:t>
        </w:r>
      </w:hyperlink>
      <w:r w:rsidR="000112D9">
        <w:rPr>
          <w:rFonts w:cs="Arial"/>
          <w:noProof/>
        </w:rPr>
        <w:t>)</w:t>
      </w:r>
      <w:r w:rsidR="000112D9">
        <w:rPr>
          <w:rFonts w:cs="Arial"/>
        </w:rPr>
        <w:fldChar w:fldCharType="end"/>
      </w:r>
      <w:r w:rsidRPr="00812C16">
        <w:rPr>
          <w:rFonts w:cs="Arial"/>
        </w:rPr>
        <w:t xml:space="preserve">. Den Übergang von normalem Epithel über Dysplasien zu einem invasiven Karzinom zeigt die </w:t>
      </w:r>
      <w:r w:rsidR="00C656C3" w:rsidRPr="00812C16">
        <w:rPr>
          <w:rFonts w:cs="Arial"/>
        </w:rPr>
        <w:fldChar w:fldCharType="begin"/>
      </w:r>
      <w:r w:rsidR="00C656C3" w:rsidRPr="00812C16">
        <w:rPr>
          <w:rFonts w:cs="Arial"/>
        </w:rPr>
        <w:instrText xml:space="preserve"> REF _Ref92712359 \h </w:instrText>
      </w:r>
      <w:r w:rsidR="00812C16" w:rsidRPr="00812C16">
        <w:rPr>
          <w:rFonts w:cs="Arial"/>
        </w:rPr>
        <w:instrText xml:space="preserve"> \* MERGEFORMAT </w:instrText>
      </w:r>
      <w:r w:rsidR="00C656C3" w:rsidRPr="00812C16">
        <w:rPr>
          <w:rFonts w:cs="Arial"/>
        </w:rPr>
      </w:r>
      <w:r w:rsidR="00C656C3" w:rsidRPr="00812C16">
        <w:rPr>
          <w:rFonts w:cs="Arial"/>
        </w:rPr>
        <w:fldChar w:fldCharType="separate"/>
      </w:r>
      <w:r w:rsidR="00F67803" w:rsidRPr="00812C16">
        <w:rPr>
          <w:b/>
          <w:bCs/>
          <w:color w:val="000000" w:themeColor="text1"/>
          <w:sz w:val="20"/>
          <w:szCs w:val="20"/>
        </w:rPr>
        <w:t xml:space="preserve">Abbildung </w:t>
      </w:r>
      <w:r w:rsidR="00F67803">
        <w:rPr>
          <w:b/>
          <w:bCs/>
          <w:i/>
          <w:iCs/>
          <w:noProof/>
          <w:color w:val="000000" w:themeColor="text1"/>
          <w:sz w:val="20"/>
          <w:szCs w:val="20"/>
        </w:rPr>
        <w:t>1</w:t>
      </w:r>
      <w:r w:rsidR="00F67803" w:rsidRPr="00F67803">
        <w:rPr>
          <w:b/>
          <w:bCs/>
          <w:i/>
          <w:iCs/>
          <w:noProof/>
          <w:color w:val="000000" w:themeColor="text1"/>
          <w:sz w:val="20"/>
          <w:szCs w:val="20"/>
        </w:rPr>
        <w:noBreakHyphen/>
      </w:r>
      <w:r w:rsidR="00F67803">
        <w:rPr>
          <w:b/>
          <w:bCs/>
          <w:i/>
          <w:iCs/>
          <w:noProof/>
          <w:color w:val="000000" w:themeColor="text1"/>
          <w:sz w:val="20"/>
          <w:szCs w:val="20"/>
        </w:rPr>
        <w:t>2</w:t>
      </w:r>
      <w:r w:rsidR="00C656C3" w:rsidRPr="00812C16">
        <w:rPr>
          <w:rFonts w:cs="Arial"/>
        </w:rPr>
        <w:fldChar w:fldCharType="end"/>
      </w:r>
      <w:r w:rsidR="00C656C3" w:rsidRPr="00812C16">
        <w:rPr>
          <w:rFonts w:cs="Arial"/>
        </w:rPr>
        <w:t>.</w:t>
      </w:r>
    </w:p>
    <w:p w14:paraId="6792C0A2" w14:textId="77777777" w:rsidR="00C656C3" w:rsidRPr="00812C16" w:rsidRDefault="00B71E93" w:rsidP="00BB1055">
      <w:pPr>
        <w:spacing w:before="360" w:after="0"/>
        <w:ind w:right="-2"/>
        <w:rPr>
          <w:rFonts w:cs="Arial"/>
        </w:rPr>
      </w:pPr>
      <w:r w:rsidRPr="00812C16">
        <w:rPr>
          <w:rFonts w:cs="Arial"/>
          <w:noProof/>
        </w:rPr>
        <w:drawing>
          <wp:inline distT="0" distB="0" distL="0" distR="0" wp14:anchorId="74F9F944" wp14:editId="34DCA7DB">
            <wp:extent cx="5739765" cy="1464945"/>
            <wp:effectExtent l="0" t="0" r="0" b="0"/>
            <wp:docPr id="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9765" cy="1464945"/>
                    </a:xfrm>
                    <a:prstGeom prst="rect">
                      <a:avLst/>
                    </a:prstGeom>
                    <a:noFill/>
                    <a:ln>
                      <a:noFill/>
                    </a:ln>
                  </pic:spPr>
                </pic:pic>
              </a:graphicData>
            </a:graphic>
          </wp:inline>
        </w:drawing>
      </w:r>
    </w:p>
    <w:p w14:paraId="03F50675" w14:textId="1075F6F0" w:rsidR="00C656C3" w:rsidRPr="00812C16" w:rsidRDefault="00C656C3" w:rsidP="00BB1055">
      <w:pPr>
        <w:pStyle w:val="Beschriftung"/>
        <w:spacing w:after="360" w:line="240" w:lineRule="auto"/>
        <w:jc w:val="left"/>
        <w:rPr>
          <w:rFonts w:cs="Arial"/>
          <w:b/>
          <w:bCs/>
          <w:i w:val="0"/>
          <w:iCs w:val="0"/>
          <w:color w:val="000000" w:themeColor="text1"/>
          <w:sz w:val="20"/>
          <w:szCs w:val="20"/>
        </w:rPr>
      </w:pPr>
      <w:bookmarkStart w:id="10" w:name="_Ref92712359"/>
      <w:bookmarkStart w:id="11" w:name="_Toc180788376"/>
      <w:r w:rsidRPr="00812C16">
        <w:rPr>
          <w:b/>
          <w:bCs/>
          <w:i w:val="0"/>
          <w:iCs w:val="0"/>
          <w:color w:val="000000" w:themeColor="text1"/>
          <w:sz w:val="20"/>
          <w:szCs w:val="20"/>
        </w:rPr>
        <w:t xml:space="preserve">Abbildung </w:t>
      </w:r>
      <w:r w:rsidR="00BF08D6" w:rsidRPr="00812C16">
        <w:rPr>
          <w:b/>
          <w:bCs/>
          <w:i w:val="0"/>
          <w:iCs w:val="0"/>
          <w:color w:val="000000" w:themeColor="text1"/>
          <w:sz w:val="20"/>
          <w:szCs w:val="20"/>
        </w:rPr>
        <w:fldChar w:fldCharType="begin"/>
      </w:r>
      <w:r w:rsidR="00BF08D6" w:rsidRPr="00812C16">
        <w:rPr>
          <w:b/>
          <w:bCs/>
          <w:i w:val="0"/>
          <w:iCs w:val="0"/>
          <w:color w:val="000000" w:themeColor="text1"/>
          <w:sz w:val="20"/>
          <w:szCs w:val="20"/>
        </w:rPr>
        <w:instrText xml:space="preserve"> STYLEREF 1 \s </w:instrText>
      </w:r>
      <w:r w:rsidR="00BF08D6" w:rsidRPr="00812C16">
        <w:rPr>
          <w:b/>
          <w:bCs/>
          <w:i w:val="0"/>
          <w:iCs w:val="0"/>
          <w:color w:val="000000" w:themeColor="text1"/>
          <w:sz w:val="20"/>
          <w:szCs w:val="20"/>
        </w:rPr>
        <w:fldChar w:fldCharType="separate"/>
      </w:r>
      <w:r w:rsidR="00F67803">
        <w:rPr>
          <w:b/>
          <w:bCs/>
          <w:i w:val="0"/>
          <w:iCs w:val="0"/>
          <w:noProof/>
          <w:color w:val="000000" w:themeColor="text1"/>
          <w:sz w:val="20"/>
          <w:szCs w:val="20"/>
        </w:rPr>
        <w:t>1</w:t>
      </w:r>
      <w:r w:rsidR="00BF08D6" w:rsidRPr="00812C16">
        <w:rPr>
          <w:b/>
          <w:bCs/>
          <w:i w:val="0"/>
          <w:iCs w:val="0"/>
          <w:color w:val="000000" w:themeColor="text1"/>
          <w:sz w:val="20"/>
          <w:szCs w:val="20"/>
        </w:rPr>
        <w:fldChar w:fldCharType="end"/>
      </w:r>
      <w:r w:rsidR="00BF08D6" w:rsidRPr="00812C16">
        <w:rPr>
          <w:b/>
          <w:bCs/>
          <w:i w:val="0"/>
          <w:iCs w:val="0"/>
          <w:color w:val="000000" w:themeColor="text1"/>
          <w:sz w:val="20"/>
          <w:szCs w:val="20"/>
        </w:rPr>
        <w:noBreakHyphen/>
      </w:r>
      <w:r w:rsidR="00BF08D6" w:rsidRPr="00812C16">
        <w:rPr>
          <w:b/>
          <w:bCs/>
          <w:i w:val="0"/>
          <w:iCs w:val="0"/>
          <w:color w:val="000000" w:themeColor="text1"/>
          <w:sz w:val="20"/>
          <w:szCs w:val="20"/>
        </w:rPr>
        <w:fldChar w:fldCharType="begin"/>
      </w:r>
      <w:r w:rsidR="00BF08D6" w:rsidRPr="00812C16">
        <w:rPr>
          <w:b/>
          <w:bCs/>
          <w:i w:val="0"/>
          <w:iCs w:val="0"/>
          <w:color w:val="000000" w:themeColor="text1"/>
          <w:sz w:val="20"/>
          <w:szCs w:val="20"/>
        </w:rPr>
        <w:instrText xml:space="preserve"> SEQ Abbildung \* ARABIC \s 1 </w:instrText>
      </w:r>
      <w:r w:rsidR="00BF08D6" w:rsidRPr="00812C16">
        <w:rPr>
          <w:b/>
          <w:bCs/>
          <w:i w:val="0"/>
          <w:iCs w:val="0"/>
          <w:color w:val="000000" w:themeColor="text1"/>
          <w:sz w:val="20"/>
          <w:szCs w:val="20"/>
        </w:rPr>
        <w:fldChar w:fldCharType="separate"/>
      </w:r>
      <w:r w:rsidR="00F67803">
        <w:rPr>
          <w:b/>
          <w:bCs/>
          <w:i w:val="0"/>
          <w:iCs w:val="0"/>
          <w:noProof/>
          <w:color w:val="000000" w:themeColor="text1"/>
          <w:sz w:val="20"/>
          <w:szCs w:val="20"/>
        </w:rPr>
        <w:t>2</w:t>
      </w:r>
      <w:r w:rsidR="00BF08D6" w:rsidRPr="00812C16">
        <w:rPr>
          <w:b/>
          <w:bCs/>
          <w:i w:val="0"/>
          <w:iCs w:val="0"/>
          <w:color w:val="000000" w:themeColor="text1"/>
          <w:sz w:val="20"/>
          <w:szCs w:val="20"/>
        </w:rPr>
        <w:fldChar w:fldCharType="end"/>
      </w:r>
      <w:bookmarkEnd w:id="10"/>
      <w:r w:rsidRPr="00812C16">
        <w:rPr>
          <w:b/>
          <w:bCs/>
          <w:i w:val="0"/>
          <w:iCs w:val="0"/>
          <w:color w:val="000000" w:themeColor="text1"/>
          <w:sz w:val="20"/>
          <w:szCs w:val="20"/>
        </w:rPr>
        <w:t xml:space="preserve">: </w:t>
      </w:r>
      <w:r w:rsidR="00480522" w:rsidRPr="00812C16">
        <w:rPr>
          <w:b/>
          <w:bCs/>
          <w:i w:val="0"/>
          <w:iCs w:val="0"/>
          <w:color w:val="000000" w:themeColor="text1"/>
          <w:sz w:val="20"/>
          <w:szCs w:val="20"/>
        </w:rPr>
        <w:t>Karzinogenes eines Mundschleimhautepithels zu einem invasivem</w:t>
      </w:r>
      <w:r w:rsidRPr="00812C16">
        <w:rPr>
          <w:b/>
          <w:bCs/>
          <w:i w:val="0"/>
          <w:iCs w:val="0"/>
          <w:color w:val="000000" w:themeColor="text1"/>
          <w:sz w:val="20"/>
          <w:szCs w:val="20"/>
        </w:rPr>
        <w:t xml:space="preserve"> Plattenepithelkarzinoms</w:t>
      </w:r>
      <w:r w:rsidR="00480522" w:rsidRPr="00812C16">
        <w:rPr>
          <w:b/>
          <w:bCs/>
          <w:i w:val="0"/>
          <w:iCs w:val="0"/>
          <w:color w:val="000000" w:themeColor="text1"/>
          <w:sz w:val="20"/>
          <w:szCs w:val="20"/>
        </w:rPr>
        <w:t xml:space="preserve"> in der HE-Färbung</w:t>
      </w:r>
      <w:r w:rsidR="000112D9">
        <w:rPr>
          <w:b/>
          <w:bCs/>
          <w:i w:val="0"/>
          <w:iCs w:val="0"/>
          <w:color w:val="000000" w:themeColor="text1"/>
          <w:sz w:val="20"/>
          <w:szCs w:val="20"/>
        </w:rPr>
        <w:fldChar w:fldCharType="begin">
          <w:fldData xml:space="preserve">PEVuZE5vdGU+PENpdGU+PEF1dGhvcj5BcmdpcmlzPC9BdXRob3I+PFllYXI+MjAwODwvWWVhcj48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</w:fldData>
        </w:fldChar>
      </w:r>
      <w:r w:rsidR="000112D9">
        <w:rPr>
          <w:b/>
          <w:bCs/>
          <w:i w:val="0"/>
          <w:iCs w:val="0"/>
          <w:color w:val="000000" w:themeColor="text1"/>
          <w:sz w:val="20"/>
          <w:szCs w:val="20"/>
        </w:rPr>
        <w:instrText xml:space="preserve"> ADDIN EN.JS.CITE </w:instrText>
      </w:r>
      <w:r w:rsidR="000112D9">
        <w:rPr>
          <w:b/>
          <w:bCs/>
          <w:i w:val="0"/>
          <w:iCs w:val="0"/>
          <w:color w:val="000000" w:themeColor="text1"/>
          <w:sz w:val="20"/>
          <w:szCs w:val="20"/>
        </w:rPr>
      </w:r>
      <w:r w:rsidR="000112D9">
        <w:rPr>
          <w:b/>
          <w:bCs/>
          <w:i w:val="0"/>
          <w:iCs w:val="0"/>
          <w:color w:val="000000" w:themeColor="text1"/>
          <w:sz w:val="20"/>
          <w:szCs w:val="20"/>
        </w:rPr>
        <w:fldChar w:fldCharType="separate"/>
      </w:r>
      <w:r w:rsidR="000112D9">
        <w:rPr>
          <w:b/>
          <w:bCs/>
          <w:i w:val="0"/>
          <w:iCs w:val="0"/>
          <w:noProof/>
          <w:color w:val="000000" w:themeColor="text1"/>
          <w:sz w:val="20"/>
          <w:szCs w:val="20"/>
        </w:rPr>
        <w:t>(</w:t>
      </w:r>
      <w:hyperlink w:anchor="_ENREF_6" w:tooltip="Argiris, 2008 #449" w:history="1">
        <w:r w:rsidR="009D0F7A" w:rsidRPr="009D0F7A">
          <w:rPr>
            <w:rStyle w:val="Hyperlink"/>
            <w:i w:val="0"/>
            <w:iCs w:val="0"/>
            <w:sz w:val="24"/>
            <w:szCs w:val="24"/>
          </w:rPr>
          <w:t>Argiris et al., 2008</w:t>
        </w:r>
      </w:hyperlink>
      <w:r w:rsidR="000112D9">
        <w:rPr>
          <w:b/>
          <w:bCs/>
          <w:i w:val="0"/>
          <w:iCs w:val="0"/>
          <w:noProof/>
          <w:color w:val="000000" w:themeColor="text1"/>
          <w:sz w:val="20"/>
          <w:szCs w:val="20"/>
        </w:rPr>
        <w:t>)</w:t>
      </w:r>
      <w:r w:rsidR="000112D9">
        <w:rPr>
          <w:b/>
          <w:bCs/>
          <w:i w:val="0"/>
          <w:iCs w:val="0"/>
          <w:color w:val="000000" w:themeColor="text1"/>
          <w:sz w:val="20"/>
          <w:szCs w:val="20"/>
        </w:rPr>
        <w:fldChar w:fldCharType="end"/>
      </w:r>
      <w:r w:rsidR="00480522" w:rsidRPr="00812C16">
        <w:rPr>
          <w:b/>
          <w:bCs/>
          <w:i w:val="0"/>
          <w:iCs w:val="0"/>
          <w:color w:val="000000" w:themeColor="text1"/>
          <w:sz w:val="20"/>
          <w:szCs w:val="20"/>
        </w:rPr>
        <w:t>.</w:t>
      </w:r>
      <w:bookmarkEnd w:id="11"/>
      <w:r w:rsidR="00480522" w:rsidRPr="00812C16">
        <w:rPr>
          <w:b/>
          <w:bCs/>
          <w:i w:val="0"/>
          <w:iCs w:val="0"/>
          <w:color w:val="000000" w:themeColor="text1"/>
          <w:sz w:val="20"/>
          <w:szCs w:val="20"/>
        </w:rPr>
        <w:t xml:space="preserve"> </w:t>
      </w:r>
    </w:p>
    <w:p w14:paraId="6EAB1DBD" w14:textId="77777777" w:rsidR="00661B93" w:rsidRPr="00812C16" w:rsidRDefault="002F01F1" w:rsidP="005547D3">
      <w:pPr>
        <w:pStyle w:val="berschrift3"/>
      </w:pPr>
      <w:bookmarkStart w:id="12" w:name="_Toc158006514"/>
      <w:r w:rsidRPr="00812C16">
        <w:lastRenderedPageBreak/>
        <w:t>Anatomi</w:t>
      </w:r>
      <w:r w:rsidR="00E1163E" w:rsidRPr="00812C16">
        <w:t xml:space="preserve">e, Histopathologie und </w:t>
      </w:r>
      <w:r w:rsidR="00661B93" w:rsidRPr="00812C16">
        <w:t>Tumorklassifikation</w:t>
      </w:r>
      <w:bookmarkEnd w:id="12"/>
      <w:r w:rsidR="00661B93" w:rsidRPr="00812C16">
        <w:t xml:space="preserve"> </w:t>
      </w:r>
    </w:p>
    <w:p w14:paraId="35A0CD41" w14:textId="77777777" w:rsidR="00661B93" w:rsidRPr="00812C16" w:rsidRDefault="00661B93" w:rsidP="004B4A34">
      <w:pPr>
        <w:spacing w:after="0"/>
        <w:rPr>
          <w:rFonts w:cs="Arial"/>
        </w:rPr>
      </w:pPr>
      <w:r w:rsidRPr="00812C16">
        <w:rPr>
          <w:rFonts w:cs="Arial"/>
        </w:rPr>
        <w:t xml:space="preserve">Zur Wahl des adäquaten Behandlungsverfahrens und zur exakten Dokumentation als </w:t>
      </w:r>
      <w:r w:rsidR="00E440C1" w:rsidRPr="00812C16">
        <w:rPr>
          <w:rFonts w:cs="Arial"/>
        </w:rPr>
        <w:t>Voraussetzung</w:t>
      </w:r>
      <w:r w:rsidRPr="00812C16">
        <w:rPr>
          <w:rFonts w:cs="Arial"/>
        </w:rPr>
        <w:t xml:space="preserve"> für den Vergleich von Therapieergebnissen ist eine Tumorklassifikation und </w:t>
      </w:r>
      <w:r w:rsidR="00456D9E" w:rsidRPr="00812C16">
        <w:rPr>
          <w:rFonts w:cs="Arial"/>
        </w:rPr>
        <w:t>eine Bestimmung</w:t>
      </w:r>
      <w:r w:rsidRPr="00812C16">
        <w:rPr>
          <w:rFonts w:cs="Arial"/>
        </w:rPr>
        <w:t xml:space="preserve"> der Tumorent</w:t>
      </w:r>
      <w:r w:rsidR="00456D9E" w:rsidRPr="00812C16">
        <w:rPr>
          <w:rFonts w:cs="Arial"/>
        </w:rPr>
        <w:t>it</w:t>
      </w:r>
      <w:r w:rsidRPr="00812C16">
        <w:rPr>
          <w:rFonts w:cs="Arial"/>
        </w:rPr>
        <w:t>ät notwendig.</w:t>
      </w:r>
    </w:p>
    <w:p w14:paraId="74EEF82C" w14:textId="77777777" w:rsidR="004B4A34" w:rsidRPr="00812C16" w:rsidRDefault="004B4A34" w:rsidP="00661B93">
      <w:pPr>
        <w:spacing w:before="120" w:after="0"/>
        <w:rPr>
          <w:rFonts w:cs="Arial"/>
        </w:rPr>
      </w:pPr>
      <w:r w:rsidRPr="00812C16">
        <w:rPr>
          <w:rFonts w:cs="Arial"/>
          <w:i/>
          <w:iCs/>
        </w:rPr>
        <w:t xml:space="preserve">Anatomische Einteilung </w:t>
      </w:r>
    </w:p>
    <w:p w14:paraId="0EB3ADB8" w14:textId="77777777" w:rsidR="007D4EF4" w:rsidRPr="00812C16" w:rsidRDefault="006734F8" w:rsidP="003667BC">
      <w:pPr>
        <w:spacing w:after="0"/>
        <w:rPr>
          <w:rFonts w:cs="Arial"/>
        </w:rPr>
      </w:pPr>
      <w:r w:rsidRPr="00812C16">
        <w:rPr>
          <w:rFonts w:cs="Arial"/>
        </w:rPr>
        <w:t>Tumore im Kopf-Hals-Bereich stellen eine heterogene Gruppe von bösartigen Neubildungen des oberen Aerodigestivtrakts dar</w:t>
      </w:r>
      <w:r w:rsidR="004B4A34" w:rsidRPr="00812C16">
        <w:rPr>
          <w:rFonts w:cs="Arial"/>
        </w:rPr>
        <w:t xml:space="preserve"> und </w:t>
      </w:r>
      <w:r w:rsidR="00DD7842" w:rsidRPr="00812C16">
        <w:rPr>
          <w:rFonts w:cs="Arial"/>
        </w:rPr>
        <w:t>werden</w:t>
      </w:r>
      <w:r w:rsidR="004B4A34" w:rsidRPr="00812C16">
        <w:rPr>
          <w:rFonts w:cs="Arial"/>
        </w:rPr>
        <w:t xml:space="preserve"> in 5 </w:t>
      </w:r>
      <w:r w:rsidR="007D4EF4" w:rsidRPr="00812C16">
        <w:rPr>
          <w:rFonts w:cs="Arial"/>
        </w:rPr>
        <w:t>unterschiedliche</w:t>
      </w:r>
      <w:r w:rsidR="004B4A34" w:rsidRPr="00812C16">
        <w:rPr>
          <w:rFonts w:cs="Arial"/>
        </w:rPr>
        <w:t xml:space="preserve"> anatomische Bereich unterteilt</w:t>
      </w:r>
      <w:r w:rsidR="007D4EF4" w:rsidRPr="00812C16">
        <w:rPr>
          <w:rFonts w:cs="Arial"/>
        </w:rPr>
        <w:t xml:space="preserve">, nämlich in Mundhöhle, </w:t>
      </w:r>
      <w:proofErr w:type="spellStart"/>
      <w:r w:rsidR="007D4EF4" w:rsidRPr="00812C16">
        <w:rPr>
          <w:rFonts w:cs="Arial"/>
        </w:rPr>
        <w:t>Naso</w:t>
      </w:r>
      <w:proofErr w:type="spellEnd"/>
      <w:r w:rsidR="007D4EF4" w:rsidRPr="00812C16">
        <w:rPr>
          <w:rFonts w:cs="Arial"/>
        </w:rPr>
        <w:t xml:space="preserve">-, Oro-, Hypopharynx und Larynx. </w:t>
      </w:r>
    </w:p>
    <w:p w14:paraId="1E1C1788" w14:textId="77777777" w:rsidR="0011420F" w:rsidRPr="00812C16" w:rsidRDefault="00B71E93" w:rsidP="0011420F">
      <w:pPr>
        <w:keepNext/>
        <w:spacing w:before="360" w:after="0"/>
      </w:pPr>
      <w:r w:rsidRPr="00812C16">
        <w:rPr>
          <w:rFonts w:cs="Arial"/>
          <w:noProof/>
        </w:rPr>
        <w:drawing>
          <wp:inline distT="0" distB="0" distL="0" distR="0" wp14:anchorId="102043AB" wp14:editId="40D0B90F">
            <wp:extent cx="5728970" cy="3525520"/>
            <wp:effectExtent l="0" t="0" r="0" b="0"/>
            <wp:docPr id="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8970" cy="3525520"/>
                    </a:xfrm>
                    <a:prstGeom prst="rect">
                      <a:avLst/>
                    </a:prstGeom>
                    <a:noFill/>
                    <a:ln>
                      <a:noFill/>
                    </a:ln>
                  </pic:spPr>
                </pic:pic>
              </a:graphicData>
            </a:graphic>
          </wp:inline>
        </w:drawing>
      </w:r>
    </w:p>
    <w:p w14:paraId="36BF6BE9" w14:textId="7B81BAD4" w:rsidR="0011420F" w:rsidRPr="00812C16" w:rsidRDefault="0011420F" w:rsidP="0011420F">
      <w:pPr>
        <w:pStyle w:val="Beschriftung"/>
        <w:spacing w:after="360" w:line="240" w:lineRule="auto"/>
        <w:rPr>
          <w:rFonts w:cs="Arial"/>
          <w:i w:val="0"/>
          <w:iCs w:val="0"/>
          <w:color w:val="000000" w:themeColor="text1"/>
          <w:sz w:val="20"/>
          <w:szCs w:val="20"/>
        </w:rPr>
      </w:pPr>
      <w:bookmarkStart w:id="13" w:name="_Toc180788377"/>
      <w:r w:rsidRPr="00812C16">
        <w:rPr>
          <w:b/>
          <w:bCs/>
          <w:i w:val="0"/>
          <w:iCs w:val="0"/>
          <w:color w:val="000000" w:themeColor="text1"/>
          <w:sz w:val="20"/>
          <w:szCs w:val="20"/>
        </w:rPr>
        <w:t xml:space="preserve">Abbildung </w:t>
      </w:r>
      <w:r w:rsidR="00BF08D6" w:rsidRPr="00812C16">
        <w:rPr>
          <w:b/>
          <w:bCs/>
          <w:i w:val="0"/>
          <w:iCs w:val="0"/>
          <w:color w:val="000000" w:themeColor="text1"/>
          <w:sz w:val="20"/>
          <w:szCs w:val="20"/>
        </w:rPr>
        <w:fldChar w:fldCharType="begin"/>
      </w:r>
      <w:r w:rsidR="00BF08D6" w:rsidRPr="00812C16">
        <w:rPr>
          <w:b/>
          <w:bCs/>
          <w:i w:val="0"/>
          <w:iCs w:val="0"/>
          <w:color w:val="000000" w:themeColor="text1"/>
          <w:sz w:val="20"/>
          <w:szCs w:val="20"/>
        </w:rPr>
        <w:instrText xml:space="preserve"> STYLEREF 1 \s </w:instrText>
      </w:r>
      <w:r w:rsidR="00BF08D6" w:rsidRPr="00812C16">
        <w:rPr>
          <w:b/>
          <w:bCs/>
          <w:i w:val="0"/>
          <w:iCs w:val="0"/>
          <w:color w:val="000000" w:themeColor="text1"/>
          <w:sz w:val="20"/>
          <w:szCs w:val="20"/>
        </w:rPr>
        <w:fldChar w:fldCharType="separate"/>
      </w:r>
      <w:r w:rsidR="00F67803">
        <w:rPr>
          <w:b/>
          <w:bCs/>
          <w:i w:val="0"/>
          <w:iCs w:val="0"/>
          <w:noProof/>
          <w:color w:val="000000" w:themeColor="text1"/>
          <w:sz w:val="20"/>
          <w:szCs w:val="20"/>
        </w:rPr>
        <w:t>1</w:t>
      </w:r>
      <w:r w:rsidR="00BF08D6" w:rsidRPr="00812C16">
        <w:rPr>
          <w:b/>
          <w:bCs/>
          <w:i w:val="0"/>
          <w:iCs w:val="0"/>
          <w:color w:val="000000" w:themeColor="text1"/>
          <w:sz w:val="20"/>
          <w:szCs w:val="20"/>
        </w:rPr>
        <w:fldChar w:fldCharType="end"/>
      </w:r>
      <w:r w:rsidR="00BF08D6" w:rsidRPr="00812C16">
        <w:rPr>
          <w:b/>
          <w:bCs/>
          <w:i w:val="0"/>
          <w:iCs w:val="0"/>
          <w:color w:val="000000" w:themeColor="text1"/>
          <w:sz w:val="20"/>
          <w:szCs w:val="20"/>
        </w:rPr>
        <w:noBreakHyphen/>
      </w:r>
      <w:r w:rsidR="00BF08D6" w:rsidRPr="00812C16">
        <w:rPr>
          <w:b/>
          <w:bCs/>
          <w:i w:val="0"/>
          <w:iCs w:val="0"/>
          <w:color w:val="000000" w:themeColor="text1"/>
          <w:sz w:val="20"/>
          <w:szCs w:val="20"/>
        </w:rPr>
        <w:fldChar w:fldCharType="begin"/>
      </w:r>
      <w:r w:rsidR="00BF08D6" w:rsidRPr="00812C16">
        <w:rPr>
          <w:b/>
          <w:bCs/>
          <w:i w:val="0"/>
          <w:iCs w:val="0"/>
          <w:color w:val="000000" w:themeColor="text1"/>
          <w:sz w:val="20"/>
          <w:szCs w:val="20"/>
        </w:rPr>
        <w:instrText xml:space="preserve"> SEQ Abbildung \* ARABIC \s 1 </w:instrText>
      </w:r>
      <w:r w:rsidR="00BF08D6" w:rsidRPr="00812C16">
        <w:rPr>
          <w:b/>
          <w:bCs/>
          <w:i w:val="0"/>
          <w:iCs w:val="0"/>
          <w:color w:val="000000" w:themeColor="text1"/>
          <w:sz w:val="20"/>
          <w:szCs w:val="20"/>
        </w:rPr>
        <w:fldChar w:fldCharType="separate"/>
      </w:r>
      <w:r w:rsidR="00F67803">
        <w:rPr>
          <w:b/>
          <w:bCs/>
          <w:i w:val="0"/>
          <w:iCs w:val="0"/>
          <w:noProof/>
          <w:color w:val="000000" w:themeColor="text1"/>
          <w:sz w:val="20"/>
          <w:szCs w:val="20"/>
        </w:rPr>
        <w:t>3</w:t>
      </w:r>
      <w:r w:rsidR="00BF08D6" w:rsidRPr="00812C16">
        <w:rPr>
          <w:b/>
          <w:bCs/>
          <w:i w:val="0"/>
          <w:iCs w:val="0"/>
          <w:color w:val="000000" w:themeColor="text1"/>
          <w:sz w:val="20"/>
          <w:szCs w:val="20"/>
        </w:rPr>
        <w:fldChar w:fldCharType="end"/>
      </w:r>
      <w:r w:rsidRPr="00812C16">
        <w:rPr>
          <w:b/>
          <w:bCs/>
          <w:i w:val="0"/>
          <w:iCs w:val="0"/>
          <w:color w:val="000000" w:themeColor="text1"/>
          <w:sz w:val="20"/>
          <w:szCs w:val="20"/>
        </w:rPr>
        <w:t xml:space="preserve">: Anatomie der Kopf-Hals-Region im </w:t>
      </w:r>
      <w:proofErr w:type="spellStart"/>
      <w:r w:rsidRPr="00812C16">
        <w:rPr>
          <w:b/>
          <w:bCs/>
          <w:i w:val="0"/>
          <w:iCs w:val="0"/>
          <w:color w:val="000000" w:themeColor="text1"/>
          <w:sz w:val="20"/>
          <w:szCs w:val="20"/>
        </w:rPr>
        <w:t>Sagitalschnitt</w:t>
      </w:r>
      <w:proofErr w:type="spellEnd"/>
      <w:r w:rsidRPr="00812C16">
        <w:rPr>
          <w:b/>
          <w:bCs/>
          <w:i w:val="0"/>
          <w:iCs w:val="0"/>
          <w:color w:val="000000" w:themeColor="text1"/>
          <w:sz w:val="20"/>
          <w:szCs w:val="20"/>
        </w:rPr>
        <w:t xml:space="preserve">. </w:t>
      </w:r>
      <w:r w:rsidRPr="00812C16">
        <w:rPr>
          <w:i w:val="0"/>
          <w:iCs w:val="0"/>
          <w:color w:val="000000" w:themeColor="text1"/>
          <w:sz w:val="20"/>
          <w:szCs w:val="20"/>
        </w:rPr>
        <w:t xml:space="preserve">Oral </w:t>
      </w:r>
      <w:proofErr w:type="spellStart"/>
      <w:r w:rsidRPr="00812C16">
        <w:rPr>
          <w:i w:val="0"/>
          <w:iCs w:val="0"/>
          <w:color w:val="000000" w:themeColor="text1"/>
          <w:sz w:val="20"/>
          <w:szCs w:val="20"/>
        </w:rPr>
        <w:t>cavity</w:t>
      </w:r>
      <w:proofErr w:type="spellEnd"/>
      <w:r w:rsidRPr="00812C16">
        <w:rPr>
          <w:i w:val="0"/>
          <w:iCs w:val="0"/>
          <w:color w:val="000000" w:themeColor="text1"/>
          <w:sz w:val="20"/>
          <w:szCs w:val="20"/>
        </w:rPr>
        <w:t xml:space="preserve">, Mundhöhle; </w:t>
      </w:r>
      <w:proofErr w:type="spellStart"/>
      <w:r w:rsidRPr="00812C16">
        <w:rPr>
          <w:i w:val="0"/>
          <w:iCs w:val="0"/>
          <w:color w:val="000000" w:themeColor="text1"/>
          <w:sz w:val="20"/>
          <w:szCs w:val="20"/>
        </w:rPr>
        <w:t>Tongue</w:t>
      </w:r>
      <w:proofErr w:type="spellEnd"/>
      <w:r w:rsidRPr="00812C16">
        <w:rPr>
          <w:i w:val="0"/>
          <w:iCs w:val="0"/>
          <w:color w:val="000000" w:themeColor="text1"/>
          <w:sz w:val="20"/>
          <w:szCs w:val="20"/>
        </w:rPr>
        <w:t xml:space="preserve">, Zunge; Larynx, Kehlkopf; Nasopharynx, Nasenrachenraum; Oropharynx, der Mundhöhle angrenzender Rachenraum; Hypopharynx, unterer Rachenraum </w:t>
      </w:r>
      <w:r w:rsidR="000112D9">
        <w:rPr>
          <w:i w:val="0"/>
          <w:iCs w:val="0"/>
          <w:color w:val="000000" w:themeColor="text1"/>
          <w:sz w:val="20"/>
          <w:szCs w:val="20"/>
        </w:rPr>
        <w:fldChar w:fldCharType="begin">
          <w:fldData xml:space="preserve">PEVuZE5vdGU+PENpdGU+PEF1dGhvcj5TYWJhdGluaTwvQXV0aG9yPjxZZWFyPjIwMTk8L1llYXI+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</w:fldData>
        </w:fldChar>
      </w:r>
      <w:r w:rsidR="000112D9">
        <w:rPr>
          <w:i w:val="0"/>
          <w:iCs w:val="0"/>
          <w:color w:val="000000" w:themeColor="text1"/>
          <w:sz w:val="20"/>
          <w:szCs w:val="20"/>
        </w:rPr>
        <w:instrText xml:space="preserve"> ADDIN EN.JS.CITE </w:instrText>
      </w:r>
      <w:r w:rsidR="000112D9">
        <w:rPr>
          <w:i w:val="0"/>
          <w:iCs w:val="0"/>
          <w:color w:val="000000" w:themeColor="text1"/>
          <w:sz w:val="20"/>
          <w:szCs w:val="20"/>
        </w:rPr>
      </w:r>
      <w:r w:rsidR="000112D9">
        <w:rPr>
          <w:i w:val="0"/>
          <w:iCs w:val="0"/>
          <w:color w:val="000000" w:themeColor="text1"/>
          <w:sz w:val="20"/>
          <w:szCs w:val="20"/>
        </w:rPr>
        <w:fldChar w:fldCharType="separate"/>
      </w:r>
      <w:r w:rsidR="000112D9">
        <w:rPr>
          <w:i w:val="0"/>
          <w:iCs w:val="0"/>
          <w:noProof/>
          <w:color w:val="000000" w:themeColor="text1"/>
          <w:sz w:val="20"/>
          <w:szCs w:val="20"/>
        </w:rPr>
        <w:t>(</w:t>
      </w:r>
      <w:hyperlink w:anchor="_ENREF_62" w:tooltip="Sabatini, 2019 #723" w:history="1">
        <w:r w:rsidR="009D0F7A" w:rsidRPr="009D0F7A">
          <w:rPr>
            <w:rStyle w:val="Hyperlink"/>
            <w:i w:val="0"/>
            <w:iCs w:val="0"/>
            <w:sz w:val="24"/>
            <w:szCs w:val="24"/>
          </w:rPr>
          <w:t>Sabatini &amp; Chiocca, 2019</w:t>
        </w:r>
      </w:hyperlink>
      <w:r w:rsidR="000112D9">
        <w:rPr>
          <w:i w:val="0"/>
          <w:iCs w:val="0"/>
          <w:noProof/>
          <w:color w:val="000000" w:themeColor="text1"/>
          <w:sz w:val="20"/>
          <w:szCs w:val="20"/>
        </w:rPr>
        <w:t>)</w:t>
      </w:r>
      <w:r w:rsidR="000112D9">
        <w:rPr>
          <w:i w:val="0"/>
          <w:iCs w:val="0"/>
          <w:color w:val="000000" w:themeColor="text1"/>
          <w:sz w:val="20"/>
          <w:szCs w:val="20"/>
        </w:rPr>
        <w:fldChar w:fldCharType="end"/>
      </w:r>
      <w:r w:rsidRPr="00812C16">
        <w:rPr>
          <w:i w:val="0"/>
          <w:iCs w:val="0"/>
          <w:color w:val="000000" w:themeColor="text1"/>
          <w:sz w:val="20"/>
          <w:szCs w:val="20"/>
        </w:rPr>
        <w:t>.</w:t>
      </w:r>
      <w:bookmarkEnd w:id="13"/>
    </w:p>
    <w:p w14:paraId="689BA9A0" w14:textId="50AFDD9C" w:rsidR="004B4A34" w:rsidRPr="00812C16" w:rsidRDefault="00DD7842" w:rsidP="00A2389F">
      <w:pPr>
        <w:rPr>
          <w:rFonts w:cs="Arial"/>
        </w:rPr>
      </w:pPr>
      <w:r w:rsidRPr="00812C16">
        <w:rPr>
          <w:rFonts w:cs="Arial"/>
        </w:rPr>
        <w:t xml:space="preserve">In Bezug auf die Tumorlokalisation gehören die Zunge, sowie der Mundboden, das Zahnfleisch, der innere Teil der Lippen und der harte Gaumen zur </w:t>
      </w:r>
      <w:r w:rsidRPr="00812C16">
        <w:rPr>
          <w:rFonts w:cs="Arial"/>
          <w:b/>
          <w:bCs/>
        </w:rPr>
        <w:t>Mundhöhle</w:t>
      </w:r>
      <w:r w:rsidRPr="00812C16">
        <w:rPr>
          <w:rFonts w:cs="Arial"/>
        </w:rPr>
        <w:t>.</w:t>
      </w:r>
      <w:r w:rsidR="00F021CA" w:rsidRPr="00812C16">
        <w:rPr>
          <w:rFonts w:cs="Arial"/>
        </w:rPr>
        <w:t xml:space="preserve"> Vom Tumorbefall sind am häufigsten die Lippen, die Zunge und der Mundboden betroffen. Die Lippen haben einen Anteil von bis zu 12% an den gesamten Tumoren im Kopf-Hals-Bereich</w:t>
      </w:r>
      <w:r w:rsidR="00977485" w:rsidRPr="00812C16">
        <w:rPr>
          <w:rFonts w:cs="Arial"/>
        </w:rPr>
        <w:t xml:space="preserve"> </w:t>
      </w:r>
      <w:r w:rsidR="000112D9">
        <w:rPr>
          <w:rFonts w:cs="Arial"/>
        </w:rPr>
        <w:fldChar w:fldCharType="begin">
          <w:fldData xml:space="preserve">PEVuZE5vdGU+PENpdGU+PEF1dGhvcj5UaHVybmhlcjwvQXV0aG9yPjxZZWFyPjIwMTA8L1llYXI+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72" w:tooltip="Thurnher, 2010 #676" w:history="1">
        <w:r w:rsidR="009D0F7A" w:rsidRPr="009D0F7A">
          <w:rPr>
            <w:rStyle w:val="Hyperlink"/>
          </w:rPr>
          <w:t>Thurnher et al., 2010</w:t>
        </w:r>
      </w:hyperlink>
      <w:r w:rsidR="000112D9">
        <w:rPr>
          <w:rFonts w:cs="Arial"/>
          <w:noProof/>
        </w:rPr>
        <w:t>)</w:t>
      </w:r>
      <w:r w:rsidR="000112D9">
        <w:rPr>
          <w:rFonts w:cs="Arial"/>
        </w:rPr>
        <w:fldChar w:fldCharType="end"/>
      </w:r>
      <w:r w:rsidR="00977485" w:rsidRPr="00812C16">
        <w:rPr>
          <w:rFonts w:cs="Arial"/>
        </w:rPr>
        <w:t>.</w:t>
      </w:r>
      <w:r w:rsidR="009B3FFE" w:rsidRPr="00812C16">
        <w:rPr>
          <w:rFonts w:cs="Arial"/>
        </w:rPr>
        <w:t xml:space="preserve"> </w:t>
      </w:r>
      <w:r w:rsidRPr="00812C16">
        <w:rPr>
          <w:rFonts w:cs="Arial"/>
        </w:rPr>
        <w:t xml:space="preserve">Der Teil, der die Nasenhaupthöhlen und die </w:t>
      </w:r>
      <w:proofErr w:type="spellStart"/>
      <w:r w:rsidRPr="00812C16">
        <w:rPr>
          <w:rFonts w:cs="Arial"/>
        </w:rPr>
        <w:t>Eustachi</w:t>
      </w:r>
      <w:proofErr w:type="spellEnd"/>
      <w:r w:rsidRPr="00812C16">
        <w:rPr>
          <w:rFonts w:cs="Arial"/>
        </w:rPr>
        <w:t xml:space="preserve">-Röhren mit dem oberen Teil des Rachens verbindet, wird als </w:t>
      </w:r>
      <w:r w:rsidRPr="00812C16">
        <w:rPr>
          <w:rFonts w:cs="Arial"/>
          <w:b/>
          <w:bCs/>
        </w:rPr>
        <w:t>Nasopharynx</w:t>
      </w:r>
      <w:r w:rsidRPr="00812C16">
        <w:rPr>
          <w:rFonts w:cs="Arial"/>
        </w:rPr>
        <w:t xml:space="preserve"> bezeichnet.</w:t>
      </w:r>
      <w:r w:rsidR="009B3FFE" w:rsidRPr="00812C16">
        <w:rPr>
          <w:rFonts w:cs="Arial"/>
        </w:rPr>
        <w:t xml:space="preserve"> Der </w:t>
      </w:r>
      <w:r w:rsidR="009B3FFE" w:rsidRPr="00812C16">
        <w:rPr>
          <w:rFonts w:cs="Arial"/>
          <w:b/>
          <w:bCs/>
        </w:rPr>
        <w:t>Oropharynx</w:t>
      </w:r>
      <w:r w:rsidR="009B3FFE" w:rsidRPr="00812C16">
        <w:rPr>
          <w:rFonts w:cs="Arial"/>
        </w:rPr>
        <w:t xml:space="preserve"> stellt den Bereich des Rachens dar, der der Mundhöhle </w:t>
      </w:r>
      <w:r w:rsidR="009B3FFE" w:rsidRPr="00812C16">
        <w:rPr>
          <w:rFonts w:cs="Arial"/>
        </w:rPr>
        <w:lastRenderedPageBreak/>
        <w:t>angrenzt. Ihm werden die Tonsillen, der weiche Gaumen inklusive des Gaumenzäpfchens (Uvula), sowie der Zungengrund zugeordnet.</w:t>
      </w:r>
      <w:r w:rsidR="005358E2" w:rsidRPr="00812C16">
        <w:t xml:space="preserve"> </w:t>
      </w:r>
      <w:r w:rsidR="00A84339" w:rsidRPr="00812C16">
        <w:rPr>
          <w:rFonts w:cs="Arial"/>
        </w:rPr>
        <w:t xml:space="preserve">Die häufigsten Tumorlokalisationen sind die </w:t>
      </w:r>
      <w:proofErr w:type="spellStart"/>
      <w:r w:rsidR="00A84339" w:rsidRPr="00812C16">
        <w:rPr>
          <w:rFonts w:cs="Arial"/>
        </w:rPr>
        <w:t>Tonsillarfurche</w:t>
      </w:r>
      <w:proofErr w:type="spellEnd"/>
      <w:r w:rsidR="00A84339" w:rsidRPr="00812C16">
        <w:rPr>
          <w:rFonts w:cs="Arial"/>
        </w:rPr>
        <w:t>, der Zungengrund und der weiche Gaumen</w:t>
      </w:r>
      <w:r w:rsidR="00977485" w:rsidRPr="00812C16">
        <w:rPr>
          <w:rFonts w:cs="Arial"/>
        </w:rPr>
        <w:t xml:space="preserve"> </w:t>
      </w:r>
      <w:r w:rsidR="000112D9">
        <w:rPr>
          <w:rFonts w:cs="Arial"/>
        </w:rPr>
        <w:fldChar w:fldCharType="begin">
          <w:fldData xml:space="preserve">PEVuZE5vdGU+PENpdGU+PEF1dGhvcj5MZW5hcno8L0F1dGhvcj48WWVhcj4yMDEyPC9ZZWFyPjxS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47" w:tooltip="Lenarz, 2012 #700" w:history="1">
        <w:r w:rsidR="009D0F7A" w:rsidRPr="009D0F7A">
          <w:rPr>
            <w:rStyle w:val="Hyperlink"/>
          </w:rPr>
          <w:t>Lenarz &amp; Boenninghaus, 2012</w:t>
        </w:r>
      </w:hyperlink>
      <w:r w:rsidR="000112D9">
        <w:rPr>
          <w:rFonts w:cs="Arial"/>
          <w:noProof/>
        </w:rPr>
        <w:t>)</w:t>
      </w:r>
      <w:r w:rsidR="000112D9">
        <w:rPr>
          <w:rFonts w:cs="Arial"/>
        </w:rPr>
        <w:fldChar w:fldCharType="end"/>
      </w:r>
      <w:r w:rsidR="00977485" w:rsidRPr="00812C16">
        <w:rPr>
          <w:rFonts w:cs="Arial"/>
        </w:rPr>
        <w:t>.</w:t>
      </w:r>
      <w:r w:rsidR="00A84339" w:rsidRPr="00812C16">
        <w:rPr>
          <w:rFonts w:cs="Arial"/>
        </w:rPr>
        <w:t xml:space="preserve"> </w:t>
      </w:r>
      <w:r w:rsidR="005358E2" w:rsidRPr="00812C16">
        <w:rPr>
          <w:rFonts w:cs="Arial"/>
        </w:rPr>
        <w:t xml:space="preserve">Der </w:t>
      </w:r>
      <w:r w:rsidR="005358E2" w:rsidRPr="00812C16">
        <w:rPr>
          <w:rFonts w:cs="Arial"/>
          <w:b/>
          <w:bCs/>
        </w:rPr>
        <w:t>Hypopharynx</w:t>
      </w:r>
      <w:r w:rsidR="005358E2" w:rsidRPr="00812C16">
        <w:rPr>
          <w:rFonts w:cs="Arial"/>
        </w:rPr>
        <w:t xml:space="preserve"> stellt den unteren Teil des Rachens dar, der </w:t>
      </w:r>
      <w:r w:rsidR="00FF42D2" w:rsidRPr="00812C16">
        <w:rPr>
          <w:rFonts w:cs="Arial"/>
        </w:rPr>
        <w:t xml:space="preserve">als Unterbezirke </w:t>
      </w:r>
      <w:r w:rsidR="005358E2" w:rsidRPr="00812C16">
        <w:rPr>
          <w:rFonts w:cs="Arial"/>
        </w:rPr>
        <w:t xml:space="preserve">die Rachenhinterwand, die </w:t>
      </w:r>
      <w:proofErr w:type="spellStart"/>
      <w:r w:rsidR="005358E2" w:rsidRPr="00812C16">
        <w:rPr>
          <w:rFonts w:cs="Arial"/>
        </w:rPr>
        <w:t>Postkrikoidregion</w:t>
      </w:r>
      <w:proofErr w:type="spellEnd"/>
      <w:r w:rsidR="005358E2" w:rsidRPr="00812C16">
        <w:rPr>
          <w:rFonts w:cs="Arial"/>
        </w:rPr>
        <w:t xml:space="preserve"> </w:t>
      </w:r>
      <w:r w:rsidR="00283AED" w:rsidRPr="00812C16">
        <w:rPr>
          <w:rFonts w:cs="Arial"/>
        </w:rPr>
        <w:t xml:space="preserve">und den Sinus piriformis </w:t>
      </w:r>
      <w:r w:rsidR="005358E2" w:rsidRPr="00812C16">
        <w:rPr>
          <w:rFonts w:cs="Arial"/>
        </w:rPr>
        <w:t>einschließt</w:t>
      </w:r>
      <w:r w:rsidR="00975530" w:rsidRPr="00812C16">
        <w:rPr>
          <w:rFonts w:cs="Arial"/>
        </w:rPr>
        <w:t xml:space="preserve">. Letzterer stellt in diesem Bereich die </w:t>
      </w:r>
      <w:r w:rsidR="00283AED" w:rsidRPr="00812C16">
        <w:rPr>
          <w:rFonts w:cs="Arial"/>
        </w:rPr>
        <w:t>bevorzugte Tumorlok</w:t>
      </w:r>
      <w:r w:rsidR="008221AD" w:rsidRPr="00812C16">
        <w:rPr>
          <w:rFonts w:cs="Arial"/>
        </w:rPr>
        <w:t>alisation</w:t>
      </w:r>
      <w:r w:rsidR="00283AED" w:rsidRPr="00812C16">
        <w:rPr>
          <w:rFonts w:cs="Arial"/>
        </w:rPr>
        <w:t xml:space="preserve"> dar </w:t>
      </w:r>
      <w:r w:rsidR="000112D9">
        <w:rPr>
          <w:rFonts w:cs="Arial"/>
        </w:rPr>
        <w:fldChar w:fldCharType="begin">
          <w:fldData xml:space="preserve">PEVuZE5vdGU+PENpdGU+PEF1dGhvcj5UaHVybmhlcjwvQXV0aG9yPjxZZWFyPjIwMTA8L1llYXI+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21" w:tooltip="Chin, 2006 #687" w:history="1">
        <w:r w:rsidR="009D0F7A" w:rsidRPr="009D0F7A">
          <w:rPr>
            <w:rStyle w:val="Hyperlink"/>
          </w:rPr>
          <w:t>Chin et al., 2006</w:t>
        </w:r>
      </w:hyperlink>
      <w:r w:rsidR="000112D9">
        <w:rPr>
          <w:rFonts w:cs="Arial"/>
          <w:noProof/>
        </w:rPr>
        <w:t xml:space="preserve">; </w:t>
      </w:r>
      <w:hyperlink w:anchor="_ENREF_47" w:tooltip="Lenarz, 2012 #700" w:history="1">
        <w:r w:rsidR="009D0F7A" w:rsidRPr="009D0F7A">
          <w:rPr>
            <w:rStyle w:val="Hyperlink"/>
          </w:rPr>
          <w:t>Lenarz &amp; Boenninghaus, 2012</w:t>
        </w:r>
      </w:hyperlink>
      <w:r w:rsidR="000112D9">
        <w:rPr>
          <w:rFonts w:cs="Arial"/>
          <w:noProof/>
        </w:rPr>
        <w:t xml:space="preserve">; </w:t>
      </w:r>
      <w:hyperlink w:anchor="_ENREF_72" w:tooltip="Thurnher, 2010 #676" w:history="1">
        <w:r w:rsidR="009D0F7A" w:rsidRPr="009D0F7A">
          <w:rPr>
            <w:rStyle w:val="Hyperlink"/>
          </w:rPr>
          <w:t>Thurnher et al., 2010</w:t>
        </w:r>
      </w:hyperlink>
      <w:r w:rsidR="000112D9">
        <w:rPr>
          <w:rFonts w:cs="Arial"/>
          <w:noProof/>
        </w:rPr>
        <w:t>)</w:t>
      </w:r>
      <w:r w:rsidR="000112D9">
        <w:rPr>
          <w:rFonts w:cs="Arial"/>
        </w:rPr>
        <w:fldChar w:fldCharType="end"/>
      </w:r>
      <w:r w:rsidR="009711CF" w:rsidRPr="00812C16">
        <w:rPr>
          <w:rFonts w:cs="Arial"/>
        </w:rPr>
        <w:t>.</w:t>
      </w:r>
      <w:r w:rsidR="008221AD" w:rsidRPr="00812C16">
        <w:rPr>
          <w:rFonts w:cs="Arial"/>
        </w:rPr>
        <w:t xml:space="preserve"> </w:t>
      </w:r>
      <w:r w:rsidR="005358E2" w:rsidRPr="00812C16">
        <w:rPr>
          <w:rFonts w:cs="Arial"/>
        </w:rPr>
        <w:t xml:space="preserve">Unter den Rachentumoren haben Patienten mit </w:t>
      </w:r>
      <w:proofErr w:type="spellStart"/>
      <w:r w:rsidR="00BF0C6E" w:rsidRPr="00812C16">
        <w:rPr>
          <w:rFonts w:cs="Arial"/>
        </w:rPr>
        <w:t>Hypopharynxkarzinomen</w:t>
      </w:r>
      <w:proofErr w:type="spellEnd"/>
      <w:r w:rsidR="005358E2" w:rsidRPr="00812C16">
        <w:rPr>
          <w:rFonts w:cs="Arial"/>
        </w:rPr>
        <w:t xml:space="preserve"> die schlechteste Prognose, da sie meist erst in weit fortgeschrittenen Tumorstadien diagnostiziert werden und außerdem durch eine frühe Metastasierung aufgrund des ausgedehnten lymphatischen Gewebes in dem Teil des Rachens charakterisiert sind. Ventral des Halses ist der Larynx lokalisiert</w:t>
      </w:r>
      <w:r w:rsidR="00283AED" w:rsidRPr="00812C16">
        <w:rPr>
          <w:rFonts w:cs="Arial"/>
        </w:rPr>
        <w:t xml:space="preserve">, der als Teil des </w:t>
      </w:r>
      <w:r w:rsidR="00B72A27" w:rsidRPr="00812C16">
        <w:rPr>
          <w:rFonts w:cs="Arial"/>
        </w:rPr>
        <w:t xml:space="preserve">Atemtrakts die Verbindung vom Pharynx zur Trachea darstellt. </w:t>
      </w:r>
      <w:r w:rsidR="00283AED" w:rsidRPr="00812C16">
        <w:rPr>
          <w:rFonts w:cs="Arial"/>
        </w:rPr>
        <w:t xml:space="preserve">Er wird in den </w:t>
      </w:r>
      <w:proofErr w:type="spellStart"/>
      <w:r w:rsidR="00283AED" w:rsidRPr="00812C16">
        <w:rPr>
          <w:rFonts w:cs="Arial"/>
        </w:rPr>
        <w:t>supraglottischen</w:t>
      </w:r>
      <w:proofErr w:type="spellEnd"/>
      <w:r w:rsidR="00283AED" w:rsidRPr="00812C16">
        <w:rPr>
          <w:rFonts w:cs="Arial"/>
        </w:rPr>
        <w:t xml:space="preserve">, den </w:t>
      </w:r>
      <w:proofErr w:type="spellStart"/>
      <w:r w:rsidR="00283AED" w:rsidRPr="00812C16">
        <w:rPr>
          <w:rFonts w:cs="Arial"/>
        </w:rPr>
        <w:t>glottischen</w:t>
      </w:r>
      <w:proofErr w:type="spellEnd"/>
      <w:r w:rsidR="00283AED" w:rsidRPr="00812C16">
        <w:rPr>
          <w:rFonts w:cs="Arial"/>
        </w:rPr>
        <w:t xml:space="preserve"> und den </w:t>
      </w:r>
      <w:proofErr w:type="spellStart"/>
      <w:r w:rsidR="00283AED" w:rsidRPr="00812C16">
        <w:rPr>
          <w:rFonts w:cs="Arial"/>
        </w:rPr>
        <w:t>subglottischen</w:t>
      </w:r>
      <w:proofErr w:type="spellEnd"/>
      <w:r w:rsidR="00283AED" w:rsidRPr="00812C16">
        <w:rPr>
          <w:rFonts w:cs="Arial"/>
        </w:rPr>
        <w:t xml:space="preserve"> Bereich eingeteilt. Den </w:t>
      </w:r>
      <w:proofErr w:type="spellStart"/>
      <w:r w:rsidR="00283AED" w:rsidRPr="00812C16">
        <w:rPr>
          <w:rFonts w:cs="Arial"/>
        </w:rPr>
        <w:t>glottischen</w:t>
      </w:r>
      <w:proofErr w:type="spellEnd"/>
      <w:r w:rsidR="00283AED" w:rsidRPr="00812C16">
        <w:rPr>
          <w:rFonts w:cs="Arial"/>
        </w:rPr>
        <w:t xml:space="preserve"> Anteil des Larynx bildet die Stimmlippe mit der vorderen und der hinteren Kommissur. Hier finden sich mit etwa 60% die meisten Larynxkarzinome, gefolgt von </w:t>
      </w:r>
      <w:proofErr w:type="spellStart"/>
      <w:r w:rsidR="00283AED" w:rsidRPr="00812C16">
        <w:rPr>
          <w:rFonts w:cs="Arial"/>
        </w:rPr>
        <w:t>supraglottischen</w:t>
      </w:r>
      <w:proofErr w:type="spellEnd"/>
      <w:r w:rsidR="00283AED" w:rsidRPr="00812C16">
        <w:rPr>
          <w:rFonts w:cs="Arial"/>
        </w:rPr>
        <w:t xml:space="preserve"> Karzinomen</w:t>
      </w:r>
      <w:r w:rsidR="00AD17FD" w:rsidRPr="00812C16">
        <w:rPr>
          <w:rFonts w:cs="Arial"/>
        </w:rPr>
        <w:t xml:space="preserve"> </w:t>
      </w:r>
      <w:r w:rsidR="000112D9">
        <w:rPr>
          <w:rFonts w:cs="Arial"/>
        </w:rPr>
        <w:fldChar w:fldCharType="begin">
          <w:fldData xml:space="preserve">PEVuZE5vdGU+PENpdGU+PEF1dGhvcj5BbWluPC9BdXRob3I+PFllYXI+MjAxODwvWWVhcj48UmVj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3" w:tooltip="Amin, 2018 #452" w:history="1">
        <w:r w:rsidR="009D0F7A" w:rsidRPr="009D0F7A">
          <w:rPr>
            <w:rStyle w:val="Hyperlink"/>
          </w:rPr>
          <w:t>Amin et al., 2018</w:t>
        </w:r>
      </w:hyperlink>
      <w:r w:rsidR="000112D9">
        <w:rPr>
          <w:rFonts w:cs="Arial"/>
          <w:noProof/>
        </w:rPr>
        <w:t>)</w:t>
      </w:r>
      <w:r w:rsidR="000112D9">
        <w:rPr>
          <w:rFonts w:cs="Arial"/>
        </w:rPr>
        <w:fldChar w:fldCharType="end"/>
      </w:r>
      <w:r w:rsidR="00AD17FD" w:rsidRPr="00812C16">
        <w:rPr>
          <w:rFonts w:cs="Arial"/>
        </w:rPr>
        <w:t>.</w:t>
      </w:r>
      <w:r w:rsidR="00B72A27" w:rsidRPr="00812C16">
        <w:rPr>
          <w:rFonts w:cs="Arial"/>
        </w:rPr>
        <w:t xml:space="preserve"> Der </w:t>
      </w:r>
      <w:proofErr w:type="spellStart"/>
      <w:r w:rsidR="00B72A27" w:rsidRPr="00812C16">
        <w:rPr>
          <w:rFonts w:cs="Arial"/>
        </w:rPr>
        <w:t>subglottische</w:t>
      </w:r>
      <w:proofErr w:type="spellEnd"/>
      <w:r w:rsidR="00B72A27" w:rsidRPr="00812C16">
        <w:rPr>
          <w:rFonts w:cs="Arial"/>
        </w:rPr>
        <w:t xml:space="preserve"> Bereich ist äußerst selten von Malignomen befallen</w:t>
      </w:r>
      <w:r w:rsidR="00AD17FD" w:rsidRPr="00812C16">
        <w:rPr>
          <w:rFonts w:cs="Arial"/>
        </w:rPr>
        <w:t xml:space="preserve"> </w:t>
      </w:r>
      <w:r w:rsidR="000112D9">
        <w:rPr>
          <w:rFonts w:cs="Arial"/>
        </w:rPr>
        <w:fldChar w:fldCharType="begin">
          <w:fldData xml:space="preserve">PEVuZE5vdGU+PENpdGU+PEF1dGhvcj5UaHVybmhlcjwvQXV0aG9yPjxZZWFyPjIwMTA8L1llYXI+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47" w:tooltip="Lenarz, 2012 #700" w:history="1">
        <w:r w:rsidR="009D0F7A" w:rsidRPr="009D0F7A">
          <w:rPr>
            <w:rStyle w:val="Hyperlink"/>
          </w:rPr>
          <w:t>Lenarz &amp; Boenninghaus, 2012</w:t>
        </w:r>
      </w:hyperlink>
      <w:r w:rsidR="000112D9">
        <w:rPr>
          <w:rFonts w:cs="Arial"/>
          <w:noProof/>
        </w:rPr>
        <w:t xml:space="preserve">; </w:t>
      </w:r>
      <w:hyperlink w:anchor="_ENREF_72" w:tooltip="Thurnher, 2010 #676" w:history="1">
        <w:r w:rsidR="009D0F7A" w:rsidRPr="009D0F7A">
          <w:rPr>
            <w:rStyle w:val="Hyperlink"/>
          </w:rPr>
          <w:t>Thurnher et al., 2010</w:t>
        </w:r>
      </w:hyperlink>
      <w:r w:rsidR="000112D9">
        <w:rPr>
          <w:rFonts w:cs="Arial"/>
          <w:noProof/>
        </w:rPr>
        <w:t>)</w:t>
      </w:r>
      <w:r w:rsidR="000112D9">
        <w:rPr>
          <w:rFonts w:cs="Arial"/>
        </w:rPr>
        <w:fldChar w:fldCharType="end"/>
      </w:r>
      <w:r w:rsidR="00AD17FD" w:rsidRPr="00812C16">
        <w:rPr>
          <w:rFonts w:cs="Arial"/>
        </w:rPr>
        <w:t xml:space="preserve">. </w:t>
      </w:r>
      <w:r w:rsidR="00B72A27" w:rsidRPr="00812C16">
        <w:rPr>
          <w:rFonts w:cs="Arial"/>
        </w:rPr>
        <w:t xml:space="preserve">Der </w:t>
      </w:r>
      <w:r w:rsidR="005358E2" w:rsidRPr="00812C16">
        <w:rPr>
          <w:rFonts w:cs="Arial"/>
        </w:rPr>
        <w:t>Kehldeckel (Epiglottis) ist eine mit Schleimhaut überzogene Knorpelplatte und liegt dorsal des Zungengrunds über dem Eingang des Larynx. Seine zum Rachen gewandte Seite gehört anatomisch zur Lokalisation des Hypopharynx, während seine Gegenseite dem Larynx angehört.</w:t>
      </w:r>
    </w:p>
    <w:p w14:paraId="36C7531D" w14:textId="77777777" w:rsidR="00246651" w:rsidRPr="00812C16" w:rsidRDefault="00246651" w:rsidP="003E56F3">
      <w:pPr>
        <w:spacing w:before="120" w:after="0"/>
        <w:rPr>
          <w:rFonts w:cs="Arial"/>
          <w:i/>
          <w:iCs/>
        </w:rPr>
      </w:pPr>
      <w:r w:rsidRPr="00812C16">
        <w:rPr>
          <w:rFonts w:cs="Arial"/>
          <w:i/>
          <w:iCs/>
        </w:rPr>
        <w:t>Tumorentitäten</w:t>
      </w:r>
      <w:r w:rsidR="00D8794E" w:rsidRPr="00812C16">
        <w:rPr>
          <w:rFonts w:cs="Arial"/>
          <w:i/>
          <w:iCs/>
        </w:rPr>
        <w:t xml:space="preserve"> im Kopf-Hals-Bereich</w:t>
      </w:r>
    </w:p>
    <w:p w14:paraId="17CC6045" w14:textId="622BBE32" w:rsidR="00F87204" w:rsidRPr="00812C16" w:rsidRDefault="00582250" w:rsidP="00F87204">
      <w:pPr>
        <w:rPr>
          <w:rFonts w:cs="Arial"/>
          <w:lang w:val="en-US"/>
        </w:rPr>
      </w:pPr>
      <w:r w:rsidRPr="00812C16">
        <w:rPr>
          <w:rFonts w:cs="Arial"/>
        </w:rPr>
        <w:t xml:space="preserve">Histologisch handelt es sich </w:t>
      </w:r>
      <w:r w:rsidR="008D2FF9" w:rsidRPr="00812C16">
        <w:rPr>
          <w:rFonts w:cs="Arial"/>
        </w:rPr>
        <w:t>bei der großen Mehrheit der Malignome im Hals-Kopf-Bereich mit rund 90%</w:t>
      </w:r>
      <w:r w:rsidR="003C6EAF" w:rsidRPr="00812C16">
        <w:rPr>
          <w:rFonts w:cs="Arial"/>
        </w:rPr>
        <w:t xml:space="preserve"> </w:t>
      </w:r>
      <w:r w:rsidRPr="00812C16">
        <w:rPr>
          <w:rFonts w:cs="Arial"/>
        </w:rPr>
        <w:t xml:space="preserve">um </w:t>
      </w:r>
      <w:r w:rsidRPr="00812C16">
        <w:rPr>
          <w:rFonts w:cs="Arial"/>
          <w:b/>
          <w:bCs/>
        </w:rPr>
        <w:t>Plattenepithelkarzinomen</w:t>
      </w:r>
      <w:r w:rsidRPr="00812C16">
        <w:rPr>
          <w:rFonts w:cs="Arial"/>
        </w:rPr>
        <w:t xml:space="preserve">, die insbesondere von den Schleimhäuten der Mundhöhle, des </w:t>
      </w:r>
      <w:proofErr w:type="spellStart"/>
      <w:r w:rsidRPr="00812C16">
        <w:rPr>
          <w:rFonts w:cs="Arial"/>
        </w:rPr>
        <w:t>Naso</w:t>
      </w:r>
      <w:proofErr w:type="spellEnd"/>
      <w:r w:rsidRPr="00812C16">
        <w:rPr>
          <w:rFonts w:cs="Arial"/>
        </w:rPr>
        <w:t>-, Oro- und Hypopharynx ausgehen</w:t>
      </w:r>
      <w:r w:rsidR="008D2FF9" w:rsidRPr="00812C16">
        <w:rPr>
          <w:rFonts w:cs="Arial"/>
        </w:rPr>
        <w:t xml:space="preserve"> </w:t>
      </w:r>
      <w:r w:rsidR="000112D9">
        <w:rPr>
          <w:rFonts w:cs="Arial"/>
        </w:rPr>
        <w:fldChar w:fldCharType="begin">
          <w:fldData xml:space="preserve">PEVuZE5vdGU+PENpdGU+PEF1dGhvcj5DYXJkZXNhPC9BdXRob3I+PFllYXI+MjAwODwvWWVhcj48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16" w:tooltip="Cardesa, 2008 #678" w:history="1">
        <w:r w:rsidR="009D0F7A" w:rsidRPr="009D0F7A">
          <w:rPr>
            <w:rStyle w:val="Hyperlink"/>
          </w:rPr>
          <w:t>Cardesa et al., 2008</w:t>
        </w:r>
      </w:hyperlink>
      <w:r w:rsidR="000112D9">
        <w:rPr>
          <w:rFonts w:cs="Arial"/>
          <w:noProof/>
        </w:rPr>
        <w:t xml:space="preserve">; </w:t>
      </w:r>
      <w:hyperlink w:anchor="_ENREF_71" w:tooltip="Thompson, 2017 #679" w:history="1">
        <w:r w:rsidR="009D0F7A" w:rsidRPr="009D0F7A">
          <w:rPr>
            <w:rStyle w:val="Hyperlink"/>
          </w:rPr>
          <w:t>Thompson &amp; Bishop, 2017</w:t>
        </w:r>
      </w:hyperlink>
      <w:r w:rsidR="000112D9">
        <w:rPr>
          <w:rFonts w:cs="Arial"/>
          <w:noProof/>
        </w:rPr>
        <w:t>)</w:t>
      </w:r>
      <w:r w:rsidR="000112D9">
        <w:rPr>
          <w:rFonts w:cs="Arial"/>
        </w:rPr>
        <w:fldChar w:fldCharType="end"/>
      </w:r>
      <w:r w:rsidRPr="00812C16">
        <w:rPr>
          <w:rFonts w:cs="Arial"/>
        </w:rPr>
        <w:t xml:space="preserve">. </w:t>
      </w:r>
      <w:r w:rsidR="008D2FF9" w:rsidRPr="00812C16">
        <w:rPr>
          <w:rFonts w:cs="Arial"/>
        </w:rPr>
        <w:t xml:space="preserve">Als Vorstufen gelten </w:t>
      </w:r>
      <w:proofErr w:type="spellStart"/>
      <w:r w:rsidR="008D2FF9" w:rsidRPr="00812C16">
        <w:rPr>
          <w:rFonts w:cs="Arial"/>
        </w:rPr>
        <w:t>Leukoplakien</w:t>
      </w:r>
      <w:proofErr w:type="spellEnd"/>
      <w:r w:rsidR="008D2FF9" w:rsidRPr="00812C16">
        <w:rPr>
          <w:rFonts w:cs="Arial"/>
        </w:rPr>
        <w:t xml:space="preserve"> und </w:t>
      </w:r>
      <w:proofErr w:type="spellStart"/>
      <w:r w:rsidR="008D2FF9" w:rsidRPr="00812C16">
        <w:rPr>
          <w:rFonts w:cs="Arial"/>
        </w:rPr>
        <w:t>Erythroplakien</w:t>
      </w:r>
      <w:proofErr w:type="spellEnd"/>
      <w:r w:rsidR="008D2FF9" w:rsidRPr="00812C16">
        <w:rPr>
          <w:rFonts w:cs="Arial"/>
        </w:rPr>
        <w:t xml:space="preserve">, wobei letztere zu 90% bereits ein </w:t>
      </w:r>
      <w:proofErr w:type="spellStart"/>
      <w:r w:rsidR="008D2FF9" w:rsidRPr="00812C16">
        <w:rPr>
          <w:rFonts w:cs="Arial"/>
        </w:rPr>
        <w:t>Carcinoma</w:t>
      </w:r>
      <w:proofErr w:type="spellEnd"/>
      <w:r w:rsidR="008D2FF9" w:rsidRPr="00812C16">
        <w:rPr>
          <w:rFonts w:cs="Arial"/>
        </w:rPr>
        <w:t xml:space="preserve"> in situ oder ein invasives Karzinom darstellen</w:t>
      </w:r>
      <w:r w:rsidR="003C6EAF" w:rsidRPr="00812C16">
        <w:rPr>
          <w:rFonts w:cs="Arial"/>
        </w:rPr>
        <w:t xml:space="preserve"> </w:t>
      </w:r>
      <w:r w:rsidR="000112D9">
        <w:rPr>
          <w:rFonts w:cs="Arial"/>
        </w:rPr>
        <w:fldChar w:fldCharType="begin">
          <w:fldData xml:space="preserve">PEVuZE5vdGU+PENpdGU+PEF1dGhvcj5MZW5hcno8L0F1dGhvcj48WWVhcj4yMDEyPC9ZZWFyPjxS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47" w:tooltip="Lenarz, 2012 #700" w:history="1">
        <w:r w:rsidR="009D0F7A" w:rsidRPr="009D0F7A">
          <w:rPr>
            <w:rStyle w:val="Hyperlink"/>
          </w:rPr>
          <w:t>Lenarz &amp; Boenninghaus, 2012</w:t>
        </w:r>
      </w:hyperlink>
      <w:r w:rsidR="000112D9">
        <w:rPr>
          <w:rFonts w:cs="Arial"/>
          <w:noProof/>
        </w:rPr>
        <w:t>)</w:t>
      </w:r>
      <w:r w:rsidR="000112D9">
        <w:rPr>
          <w:rFonts w:cs="Arial"/>
        </w:rPr>
        <w:fldChar w:fldCharType="end"/>
      </w:r>
      <w:r w:rsidR="008D2FF9" w:rsidRPr="00812C16">
        <w:rPr>
          <w:rFonts w:cs="Arial"/>
        </w:rPr>
        <w:t xml:space="preserve">. </w:t>
      </w:r>
      <w:r w:rsidR="00AD4196" w:rsidRPr="00812C16">
        <w:rPr>
          <w:rFonts w:cs="Arial"/>
        </w:rPr>
        <w:t>Laut WHO ist das Plattenepithelkarzinom des oberen Aerodigestivtrakts definiert als epithe</w:t>
      </w:r>
      <w:r w:rsidR="003C6EAF" w:rsidRPr="00812C16">
        <w:rPr>
          <w:rFonts w:cs="Arial"/>
        </w:rPr>
        <w:t>l</w:t>
      </w:r>
      <w:r w:rsidR="00AD4196" w:rsidRPr="00812C16">
        <w:rPr>
          <w:rFonts w:cs="Arial"/>
        </w:rPr>
        <w:t xml:space="preserve">ialer Tumor mit </w:t>
      </w:r>
      <w:proofErr w:type="spellStart"/>
      <w:r w:rsidR="00AD4196" w:rsidRPr="00812C16">
        <w:rPr>
          <w:rFonts w:cs="Arial"/>
        </w:rPr>
        <w:t>platten</w:t>
      </w:r>
      <w:r w:rsidR="003C6EAF" w:rsidRPr="00812C16">
        <w:rPr>
          <w:rFonts w:cs="Arial"/>
        </w:rPr>
        <w:t>epithelialer</w:t>
      </w:r>
      <w:proofErr w:type="spellEnd"/>
      <w:r w:rsidR="003C6EAF" w:rsidRPr="00812C16">
        <w:rPr>
          <w:rFonts w:cs="Arial"/>
        </w:rPr>
        <w:t xml:space="preserve"> </w:t>
      </w:r>
      <w:r w:rsidR="00AD4196" w:rsidRPr="00812C16">
        <w:rPr>
          <w:rFonts w:cs="Arial"/>
        </w:rPr>
        <w:t xml:space="preserve">Differenzierung, charakterisiert durch ein vom histologischen Malignitätsgrad abhängiges Ausmaß an Hornbildung und Vorhandensein von Interzellularbrücken. </w:t>
      </w:r>
      <w:r w:rsidR="008D2FF9" w:rsidRPr="00812C16">
        <w:rPr>
          <w:rFonts w:cs="Arial"/>
        </w:rPr>
        <w:t>Wesentlich seltener mit e</w:t>
      </w:r>
      <w:r w:rsidRPr="00812C16">
        <w:rPr>
          <w:rFonts w:cs="Arial"/>
        </w:rPr>
        <w:t xml:space="preserve">twa 3% der Neubildungen in Mundhöhle und Rachen sind </w:t>
      </w:r>
      <w:r w:rsidRPr="00812C16">
        <w:rPr>
          <w:rFonts w:cs="Arial"/>
          <w:b/>
          <w:bCs/>
        </w:rPr>
        <w:t>Adenokarzinome</w:t>
      </w:r>
      <w:r w:rsidRPr="00812C16">
        <w:rPr>
          <w:rFonts w:cs="Arial"/>
        </w:rPr>
        <w:t xml:space="preserve">, die vor allem bei den Speicheldrüsen vorkommen </w:t>
      </w:r>
      <w:r w:rsidR="000112D9">
        <w:rPr>
          <w:rFonts w:cs="Arial"/>
        </w:rPr>
        <w:fldChar w:fldCharType="begin">
          <w:fldData xml:space="preserve">PEVuZE5vdGU+PENpdGU+PEF1dGhvcj5PZGVsbDwvQXV0aG9yPjxZZWFyPjIwMDQ8L1llYXI+PFJl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50" w:tooltip="Lingen, 2000 #695" w:history="1">
        <w:r w:rsidR="009D0F7A" w:rsidRPr="009D0F7A">
          <w:rPr>
            <w:rStyle w:val="Hyperlink"/>
          </w:rPr>
          <w:t>Lingen, 2000</w:t>
        </w:r>
      </w:hyperlink>
      <w:r w:rsidR="000112D9">
        <w:rPr>
          <w:rFonts w:cs="Arial"/>
          <w:noProof/>
        </w:rPr>
        <w:t xml:space="preserve">; </w:t>
      </w:r>
      <w:hyperlink w:anchor="_ENREF_56" w:tooltip="Odell, 2004 #752" w:history="1">
        <w:r w:rsidR="009D0F7A" w:rsidRPr="009D0F7A">
          <w:rPr>
            <w:rStyle w:val="Hyperlink"/>
          </w:rPr>
          <w:t>Odell et al., 2004</w:t>
        </w:r>
      </w:hyperlink>
      <w:r w:rsidR="000112D9">
        <w:rPr>
          <w:rFonts w:cs="Arial"/>
          <w:noProof/>
        </w:rPr>
        <w:t>)</w:t>
      </w:r>
      <w:r w:rsidR="000112D9">
        <w:rPr>
          <w:rFonts w:cs="Arial"/>
        </w:rPr>
        <w:fldChar w:fldCharType="end"/>
      </w:r>
      <w:r w:rsidRPr="00812C16">
        <w:rPr>
          <w:rFonts w:cs="Arial"/>
        </w:rPr>
        <w:t xml:space="preserve">. Darüber hinaus treten auch adenoid-zystische und </w:t>
      </w:r>
      <w:proofErr w:type="spellStart"/>
      <w:r w:rsidRPr="00812C16">
        <w:rPr>
          <w:rFonts w:cs="Arial"/>
        </w:rPr>
        <w:lastRenderedPageBreak/>
        <w:t>Lymphoepitheliome</w:t>
      </w:r>
      <w:proofErr w:type="spellEnd"/>
      <w:r w:rsidRPr="00812C16">
        <w:rPr>
          <w:rFonts w:cs="Arial"/>
        </w:rPr>
        <w:t xml:space="preserve"> </w:t>
      </w:r>
      <w:r w:rsidR="00443A46" w:rsidRPr="00812C16">
        <w:rPr>
          <w:rFonts w:cs="Arial"/>
        </w:rPr>
        <w:t>(Schmincke-Tumor)</w:t>
      </w:r>
      <w:r w:rsidR="001033FA" w:rsidRPr="00812C16">
        <w:rPr>
          <w:rFonts w:cs="Arial"/>
        </w:rPr>
        <w:t xml:space="preserve"> maligne Lymphome und Sarkome vor </w:t>
      </w:r>
      <w:r w:rsidR="000112D9">
        <w:rPr>
          <w:rFonts w:cs="Arial"/>
        </w:rPr>
        <w:fldChar w:fldCharType="begin">
          <w:fldData xml:space="preserve">PEVuZE5vdGU+PENpdGU+PEF1dGhvcj5MZW5hcno8L0F1dGhvcj48WWVhcj4yMDEyPC9ZZWFyPjxS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47" w:tooltip="Lenarz, 2012 #700" w:history="1">
        <w:r w:rsidR="009D0F7A" w:rsidRPr="009D0F7A">
          <w:rPr>
            <w:rStyle w:val="Hyperlink"/>
          </w:rPr>
          <w:t>Lenarz &amp; Boenninghaus, 2012</w:t>
        </w:r>
      </w:hyperlink>
      <w:r w:rsidR="000112D9">
        <w:rPr>
          <w:rFonts w:cs="Arial"/>
          <w:noProof/>
        </w:rPr>
        <w:t>)</w:t>
      </w:r>
      <w:r w:rsidR="000112D9">
        <w:rPr>
          <w:rFonts w:cs="Arial"/>
        </w:rPr>
        <w:fldChar w:fldCharType="end"/>
      </w:r>
      <w:r w:rsidR="001033FA" w:rsidRPr="00812C16">
        <w:rPr>
          <w:rFonts w:cs="Arial"/>
        </w:rPr>
        <w:t xml:space="preserve">. </w:t>
      </w:r>
      <w:r w:rsidRPr="00812C16">
        <w:rPr>
          <w:rFonts w:cs="Arial"/>
        </w:rPr>
        <w:t xml:space="preserve">auf </w:t>
      </w:r>
      <w:r w:rsidR="000112D9">
        <w:rPr>
          <w:rFonts w:cs="Arial"/>
        </w:rPr>
        <w:fldChar w:fldCharType="begin">
          <w:fldData xml:space="preserve">PEVuZE5vdGU+PENpdGU+PEF1dGhvcj5Wb2tlczwvQXV0aG9yPjxZZWFyPjE5OTM8L1llYXI+PFJl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==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73" w:tooltip="Vokes, 1993 #694" w:history="1">
        <w:r w:rsidR="009D0F7A" w:rsidRPr="009D0F7A">
          <w:rPr>
            <w:rStyle w:val="Hyperlink"/>
          </w:rPr>
          <w:t>Vokes et al., 1993</w:t>
        </w:r>
      </w:hyperlink>
      <w:r w:rsidR="000112D9">
        <w:rPr>
          <w:rFonts w:cs="Arial"/>
          <w:noProof/>
        </w:rPr>
        <w:t>)</w:t>
      </w:r>
      <w:r w:rsidR="000112D9">
        <w:rPr>
          <w:rFonts w:cs="Arial"/>
        </w:rPr>
        <w:fldChar w:fldCharType="end"/>
      </w:r>
      <w:r w:rsidRPr="00812C16">
        <w:rPr>
          <w:rFonts w:cs="Arial"/>
        </w:rPr>
        <w:t xml:space="preserve">. </w:t>
      </w:r>
      <w:r w:rsidR="00F87204" w:rsidRPr="00812C16">
        <w:rPr>
          <w:rFonts w:cs="Arial"/>
        </w:rPr>
        <w:t>HNSCC sind prognostisch für den Patienten sehr ungünstig, da sie sich häufig schon früh in den Halslymphknoten als Metastasen manifestieren. Bei einem geringen Anteil (1-12%)</w:t>
      </w:r>
      <w:r w:rsidR="003F33D1" w:rsidRPr="00812C16">
        <w:rPr>
          <w:rFonts w:cs="Arial"/>
        </w:rPr>
        <w:t xml:space="preserve"> </w:t>
      </w:r>
      <w:r w:rsidR="00F87204" w:rsidRPr="00812C16">
        <w:rPr>
          <w:rFonts w:cs="Arial"/>
        </w:rPr>
        <w:t xml:space="preserve">erfolgt die Erstdiagnose einzig auf dem Vorhandensein von regionalen Lymphknotenmetastasen, der Primärtumor wird nicht gefunden. </w:t>
      </w:r>
      <w:proofErr w:type="spellStart"/>
      <w:r w:rsidR="00F87204" w:rsidRPr="00812C16">
        <w:rPr>
          <w:rFonts w:cs="Arial"/>
          <w:lang w:val="en-US"/>
        </w:rPr>
        <w:t>Diese</w:t>
      </w:r>
      <w:proofErr w:type="spellEnd"/>
      <w:r w:rsidR="00F87204" w:rsidRPr="00812C16">
        <w:rPr>
          <w:rFonts w:cs="Arial"/>
          <w:lang w:val="en-US"/>
        </w:rPr>
        <w:t xml:space="preserve"> Diagnose </w:t>
      </w:r>
      <w:proofErr w:type="spellStart"/>
      <w:r w:rsidR="00F87204" w:rsidRPr="00812C16">
        <w:rPr>
          <w:rFonts w:cs="Arial"/>
          <w:lang w:val="en-US"/>
        </w:rPr>
        <w:t>wird</w:t>
      </w:r>
      <w:proofErr w:type="spellEnd"/>
      <w:r w:rsidR="00F87204" w:rsidRPr="00812C16">
        <w:rPr>
          <w:rFonts w:cs="Arial"/>
          <w:lang w:val="en-US"/>
        </w:rPr>
        <w:t xml:space="preserve"> </w:t>
      </w:r>
      <w:proofErr w:type="spellStart"/>
      <w:r w:rsidR="00F87204" w:rsidRPr="00812C16">
        <w:rPr>
          <w:rFonts w:cs="Arial"/>
          <w:lang w:val="en-US"/>
        </w:rPr>
        <w:t>als</w:t>
      </w:r>
      <w:proofErr w:type="spellEnd"/>
      <w:r w:rsidR="00F87204" w:rsidRPr="00812C16">
        <w:rPr>
          <w:rFonts w:cs="Arial"/>
          <w:lang w:val="en-US"/>
        </w:rPr>
        <w:t xml:space="preserve"> CUP-</w:t>
      </w:r>
      <w:proofErr w:type="spellStart"/>
      <w:r w:rsidR="00F87204" w:rsidRPr="00812C16">
        <w:rPr>
          <w:rFonts w:cs="Arial"/>
          <w:lang w:val="en-US"/>
        </w:rPr>
        <w:t>Syndrom</w:t>
      </w:r>
      <w:proofErr w:type="spellEnd"/>
      <w:r w:rsidR="00F87204" w:rsidRPr="00812C16">
        <w:rPr>
          <w:rFonts w:cs="Arial"/>
          <w:lang w:val="en-US"/>
        </w:rPr>
        <w:t xml:space="preserve"> (carcinoma of unknown primary, CUP) </w:t>
      </w:r>
      <w:proofErr w:type="spellStart"/>
      <w:r w:rsidR="00F87204" w:rsidRPr="00812C16">
        <w:rPr>
          <w:rFonts w:cs="Arial"/>
          <w:lang w:val="en-US"/>
        </w:rPr>
        <w:t>bezeichnet</w:t>
      </w:r>
      <w:proofErr w:type="spellEnd"/>
      <w:r w:rsidR="00F87204" w:rsidRPr="00812C16">
        <w:rPr>
          <w:rFonts w:cs="Arial"/>
          <w:lang w:val="en-US"/>
        </w:rPr>
        <w:t xml:space="preserve"> </w:t>
      </w:r>
      <w:r w:rsidR="000112D9">
        <w:rPr>
          <w:rFonts w:cs="Arial"/>
          <w:lang w:val="en-US"/>
        </w:rPr>
        <w:fldChar w:fldCharType="begin">
          <w:fldData xml:space="preserve">PEVuZE5vdGU+PENpdGU+PEF1dGhvcj5DYWJyZXJhIFJvZHJpZ3VlejwvQXV0aG9yPjxZZWFyPjIw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</w:fldData>
        </w:fldChar>
      </w:r>
      <w:r w:rsidR="000112D9">
        <w:rPr>
          <w:rFonts w:cs="Arial"/>
          <w:lang w:val="en-US"/>
        </w:rPr>
        <w:instrText xml:space="preserve"> ADDIN EN.JS.CITE </w:instrText>
      </w:r>
      <w:r w:rsidR="000112D9">
        <w:rPr>
          <w:rFonts w:cs="Arial"/>
          <w:lang w:val="en-US"/>
        </w:rPr>
      </w:r>
      <w:r w:rsidR="000112D9">
        <w:rPr>
          <w:rFonts w:cs="Arial"/>
          <w:lang w:val="en-US"/>
        </w:rPr>
        <w:fldChar w:fldCharType="separate"/>
      </w:r>
      <w:r w:rsidR="000112D9">
        <w:rPr>
          <w:rFonts w:cs="Arial"/>
          <w:noProof/>
          <w:lang w:val="en-US"/>
        </w:rPr>
        <w:t>(</w:t>
      </w:r>
      <w:hyperlink w:anchor="_ENREF_15" w:tooltip="Cabrera Rodriguez, 2018 #686" w:history="1">
        <w:r w:rsidR="009D0F7A" w:rsidRPr="00CE450D">
          <w:rPr>
            <w:rStyle w:val="Hyperlink"/>
            <w:lang w:val="en-US"/>
          </w:rPr>
          <w:t>Cabrera Rodriguez et al., 2018</w:t>
        </w:r>
      </w:hyperlink>
      <w:r w:rsidR="000112D9">
        <w:rPr>
          <w:rFonts w:cs="Arial"/>
          <w:noProof/>
          <w:lang w:val="en-US"/>
        </w:rPr>
        <w:t>)</w:t>
      </w:r>
      <w:r w:rsidR="000112D9">
        <w:rPr>
          <w:rFonts w:cs="Arial"/>
          <w:lang w:val="en-US"/>
        </w:rPr>
        <w:fldChar w:fldCharType="end"/>
      </w:r>
      <w:r w:rsidR="00F87204" w:rsidRPr="00812C16">
        <w:rPr>
          <w:rFonts w:cs="Arial"/>
          <w:lang w:val="en-US"/>
        </w:rPr>
        <w:t>.</w:t>
      </w:r>
    </w:p>
    <w:p w14:paraId="1695FDA7" w14:textId="77777777" w:rsidR="008D1F0B" w:rsidRPr="00812C16" w:rsidRDefault="00D8794E" w:rsidP="00D8794E">
      <w:pPr>
        <w:spacing w:before="120" w:after="0"/>
        <w:rPr>
          <w:rFonts w:cs="Arial"/>
        </w:rPr>
      </w:pPr>
      <w:proofErr w:type="spellStart"/>
      <w:r w:rsidRPr="00812C16">
        <w:rPr>
          <w:rFonts w:cs="Arial"/>
          <w:i/>
          <w:iCs/>
        </w:rPr>
        <w:t>H</w:t>
      </w:r>
      <w:r w:rsidR="008D1F0B" w:rsidRPr="00812C16">
        <w:rPr>
          <w:rFonts w:cs="Arial"/>
          <w:i/>
          <w:iCs/>
        </w:rPr>
        <w:t>istomorphologische</w:t>
      </w:r>
      <w:proofErr w:type="spellEnd"/>
      <w:r w:rsidR="008D1F0B" w:rsidRPr="00812C16">
        <w:rPr>
          <w:rFonts w:cs="Arial"/>
          <w:i/>
          <w:iCs/>
        </w:rPr>
        <w:t xml:space="preserve"> Malignitätsgraduierung</w:t>
      </w:r>
      <w:r w:rsidR="00E5725D" w:rsidRPr="00812C16">
        <w:rPr>
          <w:rFonts w:cs="Arial"/>
          <w:i/>
          <w:iCs/>
        </w:rPr>
        <w:t xml:space="preserve"> </w:t>
      </w:r>
      <w:r w:rsidR="00637976" w:rsidRPr="00812C16">
        <w:rPr>
          <w:rFonts w:cs="Arial"/>
          <w:i/>
          <w:iCs/>
        </w:rPr>
        <w:t>von Kopf-Hals-Tumoren</w:t>
      </w:r>
    </w:p>
    <w:p w14:paraId="1330A731" w14:textId="079943B7" w:rsidR="0031358D" w:rsidRPr="00812C16" w:rsidRDefault="00F56A42" w:rsidP="003667BC">
      <w:pPr>
        <w:spacing w:after="0"/>
        <w:rPr>
          <w:rFonts w:cs="Arial"/>
        </w:rPr>
      </w:pPr>
      <w:r w:rsidRPr="00812C16">
        <w:rPr>
          <w:rFonts w:cs="Arial"/>
        </w:rPr>
        <w:t xml:space="preserve">Um das Wachstumsverhalten und die Aggressivität eines malignen Tumors auf histologischer Ebene beschreiben zu können, wurde ein histologisches </w:t>
      </w:r>
      <w:proofErr w:type="spellStart"/>
      <w:r w:rsidRPr="00812C16">
        <w:rPr>
          <w:rFonts w:cs="Arial"/>
        </w:rPr>
        <w:t>Grading</w:t>
      </w:r>
      <w:proofErr w:type="spellEnd"/>
      <w:r w:rsidRPr="00812C16">
        <w:rPr>
          <w:rFonts w:cs="Arial"/>
        </w:rPr>
        <w:t xml:space="preserve"> eingeführt (</w:t>
      </w:r>
      <w:r w:rsidR="00983785" w:rsidRPr="00812C16">
        <w:rPr>
          <w:rFonts w:cs="Arial"/>
        </w:rPr>
        <w:t xml:space="preserve">siehe </w:t>
      </w:r>
      <w:r w:rsidR="00983785" w:rsidRPr="00812C16">
        <w:rPr>
          <w:rFonts w:cs="Arial"/>
        </w:rPr>
        <w:fldChar w:fldCharType="begin"/>
      </w:r>
      <w:r w:rsidR="00983785" w:rsidRPr="00812C16">
        <w:rPr>
          <w:rFonts w:cs="Arial"/>
        </w:rPr>
        <w:instrText xml:space="preserve"> REF _Ref92646788 \h </w:instrText>
      </w:r>
      <w:r w:rsidR="00812C16" w:rsidRPr="00812C16">
        <w:rPr>
          <w:rFonts w:cs="Arial"/>
        </w:rPr>
        <w:instrText xml:space="preserve"> \* MERGEFORMAT </w:instrText>
      </w:r>
      <w:r w:rsidR="00983785" w:rsidRPr="00812C16">
        <w:rPr>
          <w:rFonts w:cs="Arial"/>
        </w:rPr>
      </w:r>
      <w:r w:rsidR="00983785" w:rsidRPr="00812C16">
        <w:rPr>
          <w:rFonts w:cs="Arial"/>
        </w:rPr>
        <w:fldChar w:fldCharType="separate"/>
      </w:r>
      <w:r w:rsidR="00F67803" w:rsidRPr="00812C16">
        <w:rPr>
          <w:b/>
          <w:bCs/>
          <w:color w:val="000000" w:themeColor="text1"/>
          <w:sz w:val="20"/>
          <w:szCs w:val="20"/>
        </w:rPr>
        <w:t xml:space="preserve">Tabelle </w:t>
      </w:r>
      <w:r w:rsidR="00F67803">
        <w:rPr>
          <w:b/>
          <w:bCs/>
          <w:i/>
          <w:iCs/>
          <w:noProof/>
          <w:color w:val="000000" w:themeColor="text1"/>
          <w:sz w:val="20"/>
          <w:szCs w:val="20"/>
        </w:rPr>
        <w:t>1</w:t>
      </w:r>
      <w:r w:rsidR="00F67803" w:rsidRPr="00F67803">
        <w:rPr>
          <w:b/>
          <w:bCs/>
          <w:i/>
          <w:iCs/>
          <w:noProof/>
          <w:color w:val="000000" w:themeColor="text1"/>
          <w:sz w:val="20"/>
          <w:szCs w:val="20"/>
        </w:rPr>
        <w:noBreakHyphen/>
      </w:r>
      <w:r w:rsidR="00F67803">
        <w:rPr>
          <w:b/>
          <w:bCs/>
          <w:i/>
          <w:iCs/>
          <w:noProof/>
          <w:color w:val="000000" w:themeColor="text1"/>
          <w:sz w:val="20"/>
          <w:szCs w:val="20"/>
        </w:rPr>
        <w:t>2</w:t>
      </w:r>
      <w:r w:rsidR="00983785" w:rsidRPr="00812C16">
        <w:rPr>
          <w:rFonts w:cs="Arial"/>
        </w:rPr>
        <w:fldChar w:fldCharType="end"/>
      </w:r>
      <w:r w:rsidRPr="00812C16">
        <w:rPr>
          <w:rFonts w:cs="Arial"/>
        </w:rPr>
        <w:t>).</w:t>
      </w:r>
      <w:r w:rsidR="00B66927" w:rsidRPr="00812C16">
        <w:rPr>
          <w:rFonts w:cs="Arial"/>
        </w:rPr>
        <w:t xml:space="preserve"> D</w:t>
      </w:r>
      <w:r w:rsidR="00643D84" w:rsidRPr="00812C16">
        <w:rPr>
          <w:rFonts w:cs="Arial"/>
        </w:rPr>
        <w:t xml:space="preserve">as </w:t>
      </w:r>
      <w:proofErr w:type="spellStart"/>
      <w:r w:rsidR="00643D84" w:rsidRPr="00812C16">
        <w:rPr>
          <w:rFonts w:cs="Arial"/>
        </w:rPr>
        <w:t>Grading</w:t>
      </w:r>
      <w:proofErr w:type="spellEnd"/>
      <w:r w:rsidR="00B66927" w:rsidRPr="00812C16">
        <w:rPr>
          <w:rFonts w:cs="Arial"/>
        </w:rPr>
        <w:t xml:space="preserve"> </w:t>
      </w:r>
      <w:r w:rsidR="00643D84" w:rsidRPr="00812C16">
        <w:rPr>
          <w:rFonts w:cs="Arial"/>
        </w:rPr>
        <w:t>d</w:t>
      </w:r>
      <w:r w:rsidR="00B66927" w:rsidRPr="00812C16">
        <w:rPr>
          <w:rFonts w:cs="Arial"/>
        </w:rPr>
        <w:t xml:space="preserve">ient der histopathologischen Beschreibung des Differenzierungsgrades der Karzinome </w:t>
      </w:r>
      <w:r w:rsidR="00643D84" w:rsidRPr="00812C16">
        <w:rPr>
          <w:rFonts w:cs="Arial"/>
        </w:rPr>
        <w:t xml:space="preserve">und gibt an wie sehr sich die entarteten Zellen </w:t>
      </w:r>
      <w:proofErr w:type="gramStart"/>
      <w:r w:rsidR="00643D84" w:rsidRPr="00812C16">
        <w:rPr>
          <w:rFonts w:cs="Arial"/>
        </w:rPr>
        <w:t>von dem Zellen</w:t>
      </w:r>
      <w:proofErr w:type="gramEnd"/>
      <w:r w:rsidR="00643D84" w:rsidRPr="00812C16">
        <w:rPr>
          <w:rFonts w:cs="Arial"/>
        </w:rPr>
        <w:t xml:space="preserve"> des Ausgangsgewebes unterscheiden</w:t>
      </w:r>
      <w:r w:rsidR="002A1823" w:rsidRPr="00812C16">
        <w:rPr>
          <w:rFonts w:cs="Arial"/>
        </w:rPr>
        <w:t xml:space="preserve"> </w:t>
      </w:r>
      <w:r w:rsidR="000112D9">
        <w:rPr>
          <w:rFonts w:cs="Arial"/>
        </w:rPr>
        <w:fldChar w:fldCharType="begin">
          <w:fldData xml:space="preserve">PEVuZE5vdGU+PENpdGU+PEF1dGhvcj5FbC1OYWdnYXI8L0F1dGhvcj48WWVhcj4yMDE3PC9ZZWFy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30" w:tooltip="El-Naggar, 2017 #680" w:history="1">
        <w:r w:rsidR="009D0F7A" w:rsidRPr="009D0F7A">
          <w:rPr>
            <w:rStyle w:val="Hyperlink"/>
          </w:rPr>
          <w:t>El-Naggar et al., 2017</w:t>
        </w:r>
      </w:hyperlink>
      <w:r w:rsidR="000112D9">
        <w:rPr>
          <w:rFonts w:cs="Arial"/>
          <w:noProof/>
        </w:rPr>
        <w:t>)</w:t>
      </w:r>
      <w:r w:rsidR="000112D9">
        <w:rPr>
          <w:rFonts w:cs="Arial"/>
        </w:rPr>
        <w:fldChar w:fldCharType="end"/>
      </w:r>
      <w:r w:rsidR="00643D84" w:rsidRPr="00812C16">
        <w:rPr>
          <w:rFonts w:cs="Arial"/>
        </w:rPr>
        <w:t>. Somit erlaubt diese histologische Klassifizierung</w:t>
      </w:r>
      <w:r w:rsidR="00B66927" w:rsidRPr="00812C16">
        <w:rPr>
          <w:rFonts w:cs="Arial"/>
        </w:rPr>
        <w:t xml:space="preserve"> eine gewisse Aussage </w:t>
      </w:r>
      <w:r w:rsidR="00643D84" w:rsidRPr="00812C16">
        <w:rPr>
          <w:rFonts w:cs="Arial"/>
        </w:rPr>
        <w:t>über den Malignitätsgrad des Tumors.</w:t>
      </w:r>
      <w:r w:rsidRPr="00812C16">
        <w:rPr>
          <w:rFonts w:cs="Arial"/>
        </w:rPr>
        <w:t xml:space="preserve"> </w:t>
      </w:r>
      <w:r w:rsidR="006C2848" w:rsidRPr="00812C16">
        <w:rPr>
          <w:rFonts w:cs="Arial"/>
        </w:rPr>
        <w:t>Beurteilungsgrundlagen</w:t>
      </w:r>
      <w:r w:rsidR="00987900" w:rsidRPr="00812C16">
        <w:rPr>
          <w:rFonts w:cs="Arial"/>
        </w:rPr>
        <w:t xml:space="preserve"> für das </w:t>
      </w:r>
      <w:proofErr w:type="spellStart"/>
      <w:r w:rsidR="00987900" w:rsidRPr="00812C16">
        <w:rPr>
          <w:rFonts w:cs="Arial"/>
        </w:rPr>
        <w:t>Grading</w:t>
      </w:r>
      <w:proofErr w:type="spellEnd"/>
      <w:r w:rsidR="00987900" w:rsidRPr="00812C16">
        <w:rPr>
          <w:rFonts w:cs="Arial"/>
        </w:rPr>
        <w:t xml:space="preserve"> sind </w:t>
      </w:r>
      <w:r w:rsidR="006C2848" w:rsidRPr="00812C16">
        <w:rPr>
          <w:rFonts w:cs="Arial"/>
        </w:rPr>
        <w:t xml:space="preserve">Zellreichtum, Mitoserate, </w:t>
      </w:r>
      <w:proofErr w:type="spellStart"/>
      <w:r w:rsidR="006C2848" w:rsidRPr="00812C16">
        <w:rPr>
          <w:rFonts w:cs="Arial"/>
        </w:rPr>
        <w:t>Zellpleomorphie</w:t>
      </w:r>
      <w:proofErr w:type="spellEnd"/>
      <w:r w:rsidR="006C2848" w:rsidRPr="00812C16">
        <w:rPr>
          <w:rFonts w:cs="Arial"/>
        </w:rPr>
        <w:t xml:space="preserve">, Vorliegen von Nekrosen und Verhältnis von Zellen zu Interzellularsubstanz innerhalb des Tumorgewebes </w:t>
      </w:r>
      <w:r w:rsidR="000112D9">
        <w:rPr>
          <w:rFonts w:cs="Arial"/>
        </w:rPr>
        <w:fldChar w:fldCharType="begin">
          <w:fldData xml:space="preserve">PEVuZE5vdGU+PENpdGU+PEF1dGhvcj5DYXdzb248L0F1dGhvcj48WWVhcj4yMDE3PC9ZZWFyPjxS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19" w:tooltip="Cawson, 2017 #681" w:history="1">
        <w:r w:rsidR="009D0F7A" w:rsidRPr="009D0F7A">
          <w:rPr>
            <w:rStyle w:val="Hyperlink"/>
          </w:rPr>
          <w:t>Cawson &amp; Odell, 2017</w:t>
        </w:r>
      </w:hyperlink>
      <w:r w:rsidR="000112D9">
        <w:rPr>
          <w:rFonts w:cs="Arial"/>
          <w:noProof/>
        </w:rPr>
        <w:t>)</w:t>
      </w:r>
      <w:r w:rsidR="000112D9">
        <w:rPr>
          <w:rFonts w:cs="Arial"/>
        </w:rPr>
        <w:fldChar w:fldCharType="end"/>
      </w:r>
      <w:r w:rsidR="006C2848" w:rsidRPr="00812C16">
        <w:rPr>
          <w:rFonts w:cs="Arial"/>
        </w:rPr>
        <w:t>.</w:t>
      </w:r>
      <w:r w:rsidR="00E1163E" w:rsidRPr="00812C16">
        <w:rPr>
          <w:rFonts w:cs="Arial"/>
        </w:rPr>
        <w:t xml:space="preserve"> </w:t>
      </w:r>
      <w:r w:rsidR="004E0CB6" w:rsidRPr="00812C16">
        <w:rPr>
          <w:rFonts w:cs="Arial"/>
        </w:rPr>
        <w:t xml:space="preserve">Die </w:t>
      </w:r>
      <w:r w:rsidR="00A90C82" w:rsidRPr="00812C16">
        <w:rPr>
          <w:rFonts w:cs="Arial"/>
        </w:rPr>
        <w:t>WHO-</w:t>
      </w:r>
      <w:r w:rsidR="00284A0D" w:rsidRPr="00812C16">
        <w:rPr>
          <w:rFonts w:cs="Arial"/>
        </w:rPr>
        <w:t>Definition der</w:t>
      </w:r>
      <w:r w:rsidR="00A90C82" w:rsidRPr="00812C16">
        <w:rPr>
          <w:rFonts w:cs="Arial"/>
        </w:rPr>
        <w:t xml:space="preserve"> G</w:t>
      </w:r>
      <w:r w:rsidR="00284A0D" w:rsidRPr="00812C16">
        <w:rPr>
          <w:rFonts w:cs="Arial"/>
        </w:rPr>
        <w:t>-</w:t>
      </w:r>
      <w:r w:rsidR="00284A0D" w:rsidRPr="00602F0C">
        <w:rPr>
          <w:rFonts w:cs="Arial"/>
          <w:b/>
          <w:bCs/>
        </w:rPr>
        <w:t>Kategorien</w:t>
      </w:r>
      <w:r w:rsidR="007F0DC1" w:rsidRPr="00812C16">
        <w:rPr>
          <w:rFonts w:cs="Arial"/>
        </w:rPr>
        <w:t xml:space="preserve"> in </w:t>
      </w:r>
      <w:r w:rsidR="00983785" w:rsidRPr="00812C16">
        <w:rPr>
          <w:rFonts w:cs="Arial"/>
        </w:rPr>
        <w:fldChar w:fldCharType="begin"/>
      </w:r>
      <w:r w:rsidR="00983785" w:rsidRPr="00812C16">
        <w:rPr>
          <w:rFonts w:cs="Arial"/>
        </w:rPr>
        <w:instrText xml:space="preserve"> REF _Ref92646788 \h </w:instrText>
      </w:r>
      <w:r w:rsidR="00812C16" w:rsidRPr="00812C16">
        <w:rPr>
          <w:rFonts w:cs="Arial"/>
        </w:rPr>
        <w:instrText xml:space="preserve"> \* MERGEFORMAT </w:instrText>
      </w:r>
      <w:r w:rsidR="00983785" w:rsidRPr="00812C16">
        <w:rPr>
          <w:rFonts w:cs="Arial"/>
        </w:rPr>
      </w:r>
      <w:r w:rsidR="00983785" w:rsidRPr="00812C16">
        <w:rPr>
          <w:rFonts w:cs="Arial"/>
        </w:rPr>
        <w:fldChar w:fldCharType="separate"/>
      </w:r>
      <w:r w:rsidR="00F67803" w:rsidRPr="00812C16">
        <w:rPr>
          <w:b/>
          <w:bCs/>
          <w:color w:val="000000" w:themeColor="text1"/>
          <w:sz w:val="20"/>
          <w:szCs w:val="20"/>
        </w:rPr>
        <w:t xml:space="preserve">Tabelle </w:t>
      </w:r>
      <w:r w:rsidR="00F67803">
        <w:rPr>
          <w:b/>
          <w:bCs/>
          <w:i/>
          <w:iCs/>
          <w:noProof/>
          <w:color w:val="000000" w:themeColor="text1"/>
          <w:sz w:val="20"/>
          <w:szCs w:val="20"/>
        </w:rPr>
        <w:t>1</w:t>
      </w:r>
      <w:r w:rsidR="00F67803" w:rsidRPr="00F67803">
        <w:rPr>
          <w:b/>
          <w:bCs/>
          <w:i/>
          <w:iCs/>
          <w:noProof/>
          <w:color w:val="000000" w:themeColor="text1"/>
          <w:sz w:val="20"/>
          <w:szCs w:val="20"/>
        </w:rPr>
        <w:noBreakHyphen/>
      </w:r>
      <w:r w:rsidR="00F67803">
        <w:rPr>
          <w:b/>
          <w:bCs/>
          <w:i/>
          <w:iCs/>
          <w:noProof/>
          <w:color w:val="000000" w:themeColor="text1"/>
          <w:sz w:val="20"/>
          <w:szCs w:val="20"/>
        </w:rPr>
        <w:t>2</w:t>
      </w:r>
      <w:r w:rsidR="00983785" w:rsidRPr="00812C16">
        <w:rPr>
          <w:rFonts w:cs="Arial"/>
        </w:rPr>
        <w:fldChar w:fldCharType="end"/>
      </w:r>
      <w:r w:rsidR="00983785" w:rsidRPr="00812C16">
        <w:rPr>
          <w:rFonts w:cs="Arial"/>
        </w:rPr>
        <w:t xml:space="preserve"> </w:t>
      </w:r>
      <w:r w:rsidR="007F0DC1" w:rsidRPr="00812C16">
        <w:rPr>
          <w:rFonts w:cs="Arial"/>
        </w:rPr>
        <w:t xml:space="preserve">wird bei Tumoren aller Kopf-Hals-Regionen außer der </w:t>
      </w:r>
      <w:r w:rsidR="00B3091E" w:rsidRPr="00812C16">
        <w:rPr>
          <w:rFonts w:cs="Arial"/>
        </w:rPr>
        <w:t>Schilddrüse</w:t>
      </w:r>
      <w:r w:rsidR="007F0DC1" w:rsidRPr="00812C16">
        <w:rPr>
          <w:rFonts w:cs="Arial"/>
        </w:rPr>
        <w:t xml:space="preserve"> angewandt. </w:t>
      </w:r>
      <w:r w:rsidR="00987900" w:rsidRPr="00812C16">
        <w:rPr>
          <w:rFonts w:cs="Arial"/>
        </w:rPr>
        <w:t>Das konventionelle Kopf-Hals-Plattenepithelkarzinom</w:t>
      </w:r>
      <w:r w:rsidR="005311A1" w:rsidRPr="00812C16">
        <w:rPr>
          <w:rFonts w:cs="Arial"/>
        </w:rPr>
        <w:t xml:space="preserve"> </w:t>
      </w:r>
      <w:r w:rsidR="00987900" w:rsidRPr="00812C16">
        <w:rPr>
          <w:rFonts w:cs="Arial"/>
        </w:rPr>
        <w:t>wird traditionell in gut</w:t>
      </w:r>
      <w:r w:rsidR="006C2848" w:rsidRPr="00812C16">
        <w:rPr>
          <w:rFonts w:cs="Arial"/>
        </w:rPr>
        <w:t xml:space="preserve"> (G1)</w:t>
      </w:r>
      <w:r w:rsidR="00987900" w:rsidRPr="00812C16">
        <w:rPr>
          <w:rFonts w:cs="Arial"/>
        </w:rPr>
        <w:t>, mäßig</w:t>
      </w:r>
      <w:r w:rsidR="006C2848" w:rsidRPr="00812C16">
        <w:rPr>
          <w:rFonts w:cs="Arial"/>
        </w:rPr>
        <w:t xml:space="preserve"> (G2)</w:t>
      </w:r>
      <w:r w:rsidR="00987900" w:rsidRPr="00812C16">
        <w:rPr>
          <w:rFonts w:cs="Arial"/>
        </w:rPr>
        <w:t xml:space="preserve"> und </w:t>
      </w:r>
      <w:r w:rsidR="006C2848" w:rsidRPr="00812C16">
        <w:rPr>
          <w:rFonts w:cs="Arial"/>
        </w:rPr>
        <w:t>schlecht/wenig</w:t>
      </w:r>
      <w:r w:rsidR="00987900" w:rsidRPr="00812C16">
        <w:rPr>
          <w:rFonts w:cs="Arial"/>
        </w:rPr>
        <w:t xml:space="preserve"> </w:t>
      </w:r>
      <w:r w:rsidR="006C2848" w:rsidRPr="00812C16">
        <w:rPr>
          <w:rFonts w:cs="Arial"/>
        </w:rPr>
        <w:t xml:space="preserve">(G3) </w:t>
      </w:r>
      <w:r w:rsidR="00987900" w:rsidRPr="00812C16">
        <w:rPr>
          <w:rFonts w:cs="Arial"/>
        </w:rPr>
        <w:t xml:space="preserve">differenzierte </w:t>
      </w:r>
      <w:r w:rsidR="006C2848" w:rsidRPr="00812C16">
        <w:rPr>
          <w:rFonts w:cs="Arial"/>
        </w:rPr>
        <w:t xml:space="preserve">Plattenepithelkarzinome </w:t>
      </w:r>
      <w:r w:rsidR="000112D9">
        <w:rPr>
          <w:rFonts w:cs="Arial"/>
        </w:rPr>
        <w:fldChar w:fldCharType="begin">
          <w:fldData xml:space="preserve">PEVuZE5vdGU+PENpdGU+PEF1dGhvcj5FbC1OYWdnYXI8L0F1dGhvcj48WWVhcj4yMDE3PC9ZZWFy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30" w:tooltip="El-Naggar, 2017 #680" w:history="1">
        <w:r w:rsidR="009D0F7A" w:rsidRPr="009D0F7A">
          <w:rPr>
            <w:rStyle w:val="Hyperlink"/>
          </w:rPr>
          <w:t>El-Naggar et al., 2017</w:t>
        </w:r>
      </w:hyperlink>
      <w:r w:rsidR="000112D9">
        <w:rPr>
          <w:rFonts w:cs="Arial"/>
          <w:noProof/>
        </w:rPr>
        <w:t>)</w:t>
      </w:r>
      <w:r w:rsidR="000112D9">
        <w:rPr>
          <w:rFonts w:cs="Arial"/>
        </w:rPr>
        <w:fldChar w:fldCharType="end"/>
      </w:r>
      <w:r w:rsidR="00B3091E" w:rsidRPr="00812C16">
        <w:rPr>
          <w:rFonts w:cs="Arial"/>
        </w:rPr>
        <w:t>.</w:t>
      </w:r>
    </w:p>
    <w:p w14:paraId="4C8ACD21" w14:textId="21DFA5D4" w:rsidR="00C53C25" w:rsidRPr="00812C16" w:rsidRDefault="00C53C25" w:rsidP="00C53C25">
      <w:pPr>
        <w:pStyle w:val="Beschriftung"/>
        <w:keepNext/>
        <w:spacing w:before="360" w:after="0"/>
        <w:rPr>
          <w:b/>
          <w:bCs/>
          <w:i w:val="0"/>
          <w:iCs w:val="0"/>
          <w:color w:val="000000" w:themeColor="text1"/>
          <w:sz w:val="20"/>
          <w:szCs w:val="20"/>
        </w:rPr>
      </w:pPr>
      <w:bookmarkStart w:id="14" w:name="_Ref92646788"/>
      <w:bookmarkStart w:id="15" w:name="_Toc180788388"/>
      <w:r w:rsidRPr="00812C16">
        <w:rPr>
          <w:b/>
          <w:bCs/>
          <w:i w:val="0"/>
          <w:iCs w:val="0"/>
          <w:color w:val="000000" w:themeColor="text1"/>
          <w:sz w:val="20"/>
          <w:szCs w:val="20"/>
        </w:rPr>
        <w:t xml:space="preserve">Tabelle </w:t>
      </w:r>
      <w:r w:rsidR="00A126D9" w:rsidRPr="00812C16">
        <w:rPr>
          <w:b/>
          <w:bCs/>
          <w:i w:val="0"/>
          <w:iCs w:val="0"/>
          <w:color w:val="000000" w:themeColor="text1"/>
          <w:sz w:val="20"/>
          <w:szCs w:val="20"/>
        </w:rPr>
        <w:fldChar w:fldCharType="begin"/>
      </w:r>
      <w:r w:rsidR="00A126D9" w:rsidRPr="00812C16">
        <w:rPr>
          <w:b/>
          <w:bCs/>
          <w:i w:val="0"/>
          <w:iCs w:val="0"/>
          <w:color w:val="000000" w:themeColor="text1"/>
          <w:sz w:val="20"/>
          <w:szCs w:val="20"/>
        </w:rPr>
        <w:instrText xml:space="preserve"> STYLEREF 1 \s </w:instrText>
      </w:r>
      <w:r w:rsidR="00A126D9" w:rsidRPr="00812C16">
        <w:rPr>
          <w:b/>
          <w:bCs/>
          <w:i w:val="0"/>
          <w:iCs w:val="0"/>
          <w:color w:val="000000" w:themeColor="text1"/>
          <w:sz w:val="20"/>
          <w:szCs w:val="20"/>
        </w:rPr>
        <w:fldChar w:fldCharType="separate"/>
      </w:r>
      <w:r w:rsidR="00F67803">
        <w:rPr>
          <w:b/>
          <w:bCs/>
          <w:i w:val="0"/>
          <w:iCs w:val="0"/>
          <w:noProof/>
          <w:color w:val="000000" w:themeColor="text1"/>
          <w:sz w:val="20"/>
          <w:szCs w:val="20"/>
        </w:rPr>
        <w:t>1</w:t>
      </w:r>
      <w:r w:rsidR="00A126D9" w:rsidRPr="00812C16">
        <w:rPr>
          <w:b/>
          <w:bCs/>
          <w:i w:val="0"/>
          <w:iCs w:val="0"/>
          <w:color w:val="000000" w:themeColor="text1"/>
          <w:sz w:val="20"/>
          <w:szCs w:val="20"/>
        </w:rPr>
        <w:fldChar w:fldCharType="end"/>
      </w:r>
      <w:r w:rsidR="00A126D9" w:rsidRPr="00812C16">
        <w:rPr>
          <w:b/>
          <w:bCs/>
          <w:i w:val="0"/>
          <w:iCs w:val="0"/>
          <w:color w:val="000000" w:themeColor="text1"/>
          <w:sz w:val="20"/>
          <w:szCs w:val="20"/>
        </w:rPr>
        <w:noBreakHyphen/>
      </w:r>
      <w:r w:rsidR="00A126D9" w:rsidRPr="00812C16">
        <w:rPr>
          <w:b/>
          <w:bCs/>
          <w:i w:val="0"/>
          <w:iCs w:val="0"/>
          <w:color w:val="000000" w:themeColor="text1"/>
          <w:sz w:val="20"/>
          <w:szCs w:val="20"/>
        </w:rPr>
        <w:fldChar w:fldCharType="begin"/>
      </w:r>
      <w:r w:rsidR="00A126D9" w:rsidRPr="00812C16">
        <w:rPr>
          <w:b/>
          <w:bCs/>
          <w:i w:val="0"/>
          <w:iCs w:val="0"/>
          <w:color w:val="000000" w:themeColor="text1"/>
          <w:sz w:val="20"/>
          <w:szCs w:val="20"/>
        </w:rPr>
        <w:instrText xml:space="preserve"> SEQ Tabelle \* ARABIC \s 1 </w:instrText>
      </w:r>
      <w:r w:rsidR="00A126D9" w:rsidRPr="00812C16">
        <w:rPr>
          <w:b/>
          <w:bCs/>
          <w:i w:val="0"/>
          <w:iCs w:val="0"/>
          <w:color w:val="000000" w:themeColor="text1"/>
          <w:sz w:val="20"/>
          <w:szCs w:val="20"/>
        </w:rPr>
        <w:fldChar w:fldCharType="separate"/>
      </w:r>
      <w:r w:rsidR="00F67803">
        <w:rPr>
          <w:b/>
          <w:bCs/>
          <w:i w:val="0"/>
          <w:iCs w:val="0"/>
          <w:noProof/>
          <w:color w:val="000000" w:themeColor="text1"/>
          <w:sz w:val="20"/>
          <w:szCs w:val="20"/>
        </w:rPr>
        <w:t>2</w:t>
      </w:r>
      <w:r w:rsidR="00A126D9" w:rsidRPr="00812C16">
        <w:rPr>
          <w:b/>
          <w:bCs/>
          <w:i w:val="0"/>
          <w:iCs w:val="0"/>
          <w:color w:val="000000" w:themeColor="text1"/>
          <w:sz w:val="20"/>
          <w:szCs w:val="20"/>
        </w:rPr>
        <w:fldChar w:fldCharType="end"/>
      </w:r>
      <w:bookmarkEnd w:id="14"/>
      <w:r w:rsidRPr="00812C16">
        <w:rPr>
          <w:b/>
          <w:bCs/>
          <w:i w:val="0"/>
          <w:iCs w:val="0"/>
          <w:color w:val="000000" w:themeColor="text1"/>
          <w:sz w:val="20"/>
          <w:szCs w:val="20"/>
        </w:rPr>
        <w:t xml:space="preserve">: Histopathologisches </w:t>
      </w:r>
      <w:proofErr w:type="spellStart"/>
      <w:r w:rsidRPr="00812C16">
        <w:rPr>
          <w:b/>
          <w:bCs/>
          <w:i w:val="0"/>
          <w:iCs w:val="0"/>
          <w:color w:val="000000" w:themeColor="text1"/>
          <w:sz w:val="20"/>
          <w:szCs w:val="20"/>
        </w:rPr>
        <w:t>Grading</w:t>
      </w:r>
      <w:proofErr w:type="spellEnd"/>
      <w:r w:rsidRPr="00812C16">
        <w:rPr>
          <w:b/>
          <w:bCs/>
          <w:i w:val="0"/>
          <w:iCs w:val="0"/>
          <w:color w:val="000000" w:themeColor="text1"/>
          <w:sz w:val="20"/>
          <w:szCs w:val="20"/>
        </w:rPr>
        <w:t xml:space="preserve"> der Tumore im Kopf-Hals-Bereich</w:t>
      </w:r>
      <w:bookmarkEnd w:id="1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7"/>
        <w:gridCol w:w="1843"/>
        <w:gridCol w:w="6662"/>
      </w:tblGrid>
      <w:tr w:rsidR="0055520C" w:rsidRPr="00812C16" w14:paraId="66EA4734" w14:textId="77777777" w:rsidTr="00602F0C">
        <w:tc>
          <w:tcPr>
            <w:tcW w:w="567" w:type="dxa"/>
            <w:hideMark/>
          </w:tcPr>
          <w:p w14:paraId="03EC4C06" w14:textId="77777777" w:rsidR="0031358D" w:rsidRPr="00812C16" w:rsidRDefault="0031358D" w:rsidP="0055520C">
            <w:pPr>
              <w:spacing w:before="60" w:after="60"/>
              <w:jc w:val="left"/>
              <w:rPr>
                <w:rFonts w:cs="Arial"/>
                <w:sz w:val="18"/>
                <w:szCs w:val="18"/>
                <w:lang w:eastAsia="de-DE"/>
              </w:rPr>
            </w:pPr>
            <w:r w:rsidRPr="00812C16">
              <w:rPr>
                <w:rFonts w:cs="Arial"/>
                <w:color w:val="FFFFFF"/>
                <w:sz w:val="18"/>
                <w:szCs w:val="18"/>
                <w:lang w:eastAsia="de-DE"/>
              </w:rPr>
              <w:t xml:space="preserve">Grad </w:t>
            </w:r>
          </w:p>
        </w:tc>
        <w:tc>
          <w:tcPr>
            <w:tcW w:w="1843" w:type="dxa"/>
            <w:hideMark/>
          </w:tcPr>
          <w:p w14:paraId="1B2D3E46" w14:textId="77777777" w:rsidR="0031358D" w:rsidRPr="00812C16" w:rsidRDefault="0031358D" w:rsidP="0055520C">
            <w:pPr>
              <w:spacing w:before="60" w:after="60"/>
              <w:jc w:val="left"/>
              <w:rPr>
                <w:rFonts w:cs="Arial"/>
                <w:b/>
                <w:bCs/>
                <w:color w:val="000000" w:themeColor="text1"/>
                <w:sz w:val="18"/>
                <w:szCs w:val="18"/>
                <w:lang w:eastAsia="de-DE"/>
              </w:rPr>
            </w:pPr>
            <w:r w:rsidRPr="00812C16">
              <w:rPr>
                <w:rFonts w:cs="Arial"/>
                <w:b/>
                <w:bCs/>
                <w:color w:val="000000" w:themeColor="text1"/>
                <w:sz w:val="18"/>
                <w:szCs w:val="18"/>
                <w:lang w:eastAsia="de-DE"/>
              </w:rPr>
              <w:t>Kopf-Hals</w:t>
            </w:r>
            <w:r w:rsidR="001C6B55" w:rsidRPr="00812C16">
              <w:rPr>
                <w:rFonts w:cs="Arial"/>
                <w:b/>
                <w:bCs/>
                <w:color w:val="000000" w:themeColor="text1"/>
                <w:sz w:val="18"/>
                <w:szCs w:val="18"/>
                <w:lang w:eastAsia="de-DE"/>
              </w:rPr>
              <w:t>-Tumore</w:t>
            </w:r>
          </w:p>
        </w:tc>
        <w:tc>
          <w:tcPr>
            <w:tcW w:w="6662" w:type="dxa"/>
          </w:tcPr>
          <w:p w14:paraId="31BAD0D5" w14:textId="77777777" w:rsidR="0031358D" w:rsidRPr="00812C16" w:rsidRDefault="0031358D" w:rsidP="0055520C">
            <w:pPr>
              <w:spacing w:before="60" w:after="60"/>
              <w:jc w:val="left"/>
              <w:rPr>
                <w:rFonts w:cs="Arial"/>
                <w:b/>
                <w:bCs/>
                <w:color w:val="000000" w:themeColor="text1"/>
                <w:sz w:val="18"/>
                <w:szCs w:val="18"/>
                <w:lang w:eastAsia="de-DE"/>
              </w:rPr>
            </w:pPr>
            <w:r w:rsidRPr="00812C16">
              <w:rPr>
                <w:rFonts w:cs="Arial"/>
                <w:b/>
                <w:bCs/>
                <w:color w:val="000000" w:themeColor="text1"/>
                <w:sz w:val="18"/>
                <w:szCs w:val="18"/>
                <w:lang w:eastAsia="de-DE"/>
              </w:rPr>
              <w:t>Plattenepithelkarzinome</w:t>
            </w:r>
            <w:r w:rsidR="001C6B55" w:rsidRPr="00812C16">
              <w:rPr>
                <w:rFonts w:cs="Arial"/>
                <w:b/>
                <w:bCs/>
                <w:color w:val="000000" w:themeColor="text1"/>
                <w:sz w:val="18"/>
                <w:szCs w:val="18"/>
                <w:lang w:eastAsia="de-DE"/>
              </w:rPr>
              <w:t xml:space="preserve"> im Kopf-Hals-Bereich</w:t>
            </w:r>
          </w:p>
        </w:tc>
      </w:tr>
      <w:tr w:rsidR="0055520C" w:rsidRPr="00812C16" w14:paraId="5FBE0FC6" w14:textId="77777777" w:rsidTr="00602F0C">
        <w:tc>
          <w:tcPr>
            <w:tcW w:w="567" w:type="dxa"/>
            <w:hideMark/>
          </w:tcPr>
          <w:p w14:paraId="44BA8F33" w14:textId="77777777" w:rsidR="0031358D" w:rsidRPr="00812C16" w:rsidRDefault="0031358D" w:rsidP="0055520C">
            <w:pPr>
              <w:spacing w:before="60" w:after="60"/>
              <w:jc w:val="left"/>
              <w:rPr>
                <w:rFonts w:cs="Arial"/>
                <w:sz w:val="18"/>
                <w:szCs w:val="18"/>
                <w:lang w:eastAsia="de-DE"/>
              </w:rPr>
            </w:pPr>
            <w:r w:rsidRPr="00812C16">
              <w:rPr>
                <w:rFonts w:cs="Arial"/>
                <w:sz w:val="18"/>
                <w:szCs w:val="18"/>
                <w:lang w:eastAsia="de-DE"/>
              </w:rPr>
              <w:t xml:space="preserve">GX </w:t>
            </w:r>
          </w:p>
        </w:tc>
        <w:tc>
          <w:tcPr>
            <w:tcW w:w="8505" w:type="dxa"/>
            <w:gridSpan w:val="2"/>
            <w:hideMark/>
          </w:tcPr>
          <w:p w14:paraId="4414744A" w14:textId="77777777" w:rsidR="0031358D" w:rsidRPr="00812C16" w:rsidRDefault="0031358D" w:rsidP="0055520C">
            <w:pPr>
              <w:spacing w:before="60" w:after="60"/>
              <w:jc w:val="left"/>
              <w:rPr>
                <w:rFonts w:cs="Arial"/>
                <w:sz w:val="18"/>
                <w:szCs w:val="18"/>
                <w:lang w:eastAsia="de-DE"/>
              </w:rPr>
            </w:pPr>
            <w:r w:rsidRPr="00812C16">
              <w:rPr>
                <w:rFonts w:cs="Arial"/>
                <w:sz w:val="18"/>
                <w:szCs w:val="18"/>
                <w:lang w:eastAsia="de-DE"/>
              </w:rPr>
              <w:t xml:space="preserve">Differenzierungsgrad kann nicht bestimmt werden </w:t>
            </w:r>
          </w:p>
        </w:tc>
      </w:tr>
      <w:tr w:rsidR="0055520C" w:rsidRPr="00812C16" w14:paraId="5B022287" w14:textId="77777777" w:rsidTr="00602F0C">
        <w:tc>
          <w:tcPr>
            <w:tcW w:w="567" w:type="dxa"/>
            <w:hideMark/>
          </w:tcPr>
          <w:p w14:paraId="1970176B" w14:textId="77777777" w:rsidR="0031358D" w:rsidRPr="00812C16" w:rsidRDefault="0031358D" w:rsidP="0055520C">
            <w:pPr>
              <w:spacing w:before="60" w:after="60"/>
              <w:jc w:val="left"/>
              <w:rPr>
                <w:rFonts w:cs="Arial"/>
                <w:sz w:val="18"/>
                <w:szCs w:val="18"/>
                <w:lang w:eastAsia="de-DE"/>
              </w:rPr>
            </w:pPr>
            <w:r w:rsidRPr="00812C16">
              <w:rPr>
                <w:rFonts w:cs="Arial"/>
                <w:sz w:val="18"/>
                <w:szCs w:val="18"/>
                <w:lang w:eastAsia="de-DE"/>
              </w:rPr>
              <w:t xml:space="preserve">G1 </w:t>
            </w:r>
          </w:p>
        </w:tc>
        <w:tc>
          <w:tcPr>
            <w:tcW w:w="1843" w:type="dxa"/>
            <w:hideMark/>
          </w:tcPr>
          <w:p w14:paraId="7C3F1A57" w14:textId="77777777" w:rsidR="0031358D" w:rsidRPr="00812C16" w:rsidRDefault="0031358D" w:rsidP="0055520C">
            <w:pPr>
              <w:spacing w:before="60" w:after="60"/>
              <w:jc w:val="left"/>
              <w:rPr>
                <w:rFonts w:cs="Arial"/>
                <w:sz w:val="18"/>
                <w:szCs w:val="18"/>
                <w:lang w:eastAsia="de-DE"/>
              </w:rPr>
            </w:pPr>
            <w:r w:rsidRPr="00812C16">
              <w:rPr>
                <w:rFonts w:cs="Arial"/>
                <w:sz w:val="18"/>
                <w:szCs w:val="18"/>
                <w:lang w:eastAsia="de-DE"/>
              </w:rPr>
              <w:t xml:space="preserve">gut differenziert </w:t>
            </w:r>
          </w:p>
        </w:tc>
        <w:tc>
          <w:tcPr>
            <w:tcW w:w="6662" w:type="dxa"/>
          </w:tcPr>
          <w:p w14:paraId="1BE27DD5" w14:textId="77777777" w:rsidR="0031358D" w:rsidRPr="00812C16" w:rsidRDefault="0031358D" w:rsidP="0055520C">
            <w:pPr>
              <w:spacing w:before="60" w:after="60"/>
              <w:ind w:left="-10"/>
              <w:jc w:val="left"/>
              <w:rPr>
                <w:rFonts w:cs="Arial"/>
                <w:sz w:val="18"/>
                <w:szCs w:val="18"/>
                <w:lang w:eastAsia="de-DE"/>
              </w:rPr>
            </w:pPr>
            <w:r w:rsidRPr="00812C16">
              <w:rPr>
                <w:rFonts w:cs="Arial"/>
                <w:sz w:val="18"/>
                <w:szCs w:val="18"/>
                <w:lang w:eastAsia="de-DE"/>
              </w:rPr>
              <w:t>Hochdifferenziertes Karzinom mit noch deutlichen zytologischen und histologischen Ähnlichkeiten zum Plattenepithel, wie Hornbildung oder leicht identifizierbaren Interzellularbrücken</w:t>
            </w:r>
          </w:p>
        </w:tc>
      </w:tr>
      <w:tr w:rsidR="0055520C" w:rsidRPr="00812C16" w14:paraId="66B434B9" w14:textId="77777777" w:rsidTr="00602F0C">
        <w:tc>
          <w:tcPr>
            <w:tcW w:w="567" w:type="dxa"/>
            <w:hideMark/>
          </w:tcPr>
          <w:p w14:paraId="7BF38030" w14:textId="77777777" w:rsidR="0031358D" w:rsidRPr="00812C16" w:rsidRDefault="0031358D" w:rsidP="0055520C">
            <w:pPr>
              <w:spacing w:before="60" w:after="60"/>
              <w:jc w:val="left"/>
              <w:rPr>
                <w:rFonts w:cs="Arial"/>
                <w:sz w:val="18"/>
                <w:szCs w:val="18"/>
                <w:lang w:eastAsia="de-DE"/>
              </w:rPr>
            </w:pPr>
            <w:r w:rsidRPr="00812C16">
              <w:rPr>
                <w:rFonts w:cs="Arial"/>
                <w:sz w:val="18"/>
                <w:szCs w:val="18"/>
                <w:lang w:eastAsia="de-DE"/>
              </w:rPr>
              <w:t xml:space="preserve">G2 </w:t>
            </w:r>
          </w:p>
        </w:tc>
        <w:tc>
          <w:tcPr>
            <w:tcW w:w="1843" w:type="dxa"/>
            <w:hideMark/>
          </w:tcPr>
          <w:p w14:paraId="4789A7E6" w14:textId="77777777" w:rsidR="0031358D" w:rsidRPr="00812C16" w:rsidRDefault="0031358D" w:rsidP="0055520C">
            <w:pPr>
              <w:spacing w:before="60" w:after="60"/>
              <w:jc w:val="left"/>
              <w:rPr>
                <w:rFonts w:cs="Arial"/>
                <w:sz w:val="18"/>
                <w:szCs w:val="18"/>
                <w:lang w:eastAsia="de-DE"/>
              </w:rPr>
            </w:pPr>
            <w:r w:rsidRPr="00812C16">
              <w:rPr>
                <w:rFonts w:cs="Arial"/>
                <w:sz w:val="18"/>
                <w:szCs w:val="18"/>
                <w:lang w:eastAsia="de-DE"/>
              </w:rPr>
              <w:t xml:space="preserve">mäßig differenziert </w:t>
            </w:r>
          </w:p>
        </w:tc>
        <w:tc>
          <w:tcPr>
            <w:tcW w:w="6662" w:type="dxa"/>
          </w:tcPr>
          <w:p w14:paraId="06FB0324" w14:textId="77777777" w:rsidR="0031358D" w:rsidRPr="00812C16" w:rsidRDefault="001C6B55" w:rsidP="0055520C">
            <w:pPr>
              <w:spacing w:before="60" w:after="60"/>
              <w:jc w:val="left"/>
              <w:rPr>
                <w:rFonts w:cs="Arial"/>
                <w:sz w:val="18"/>
                <w:szCs w:val="18"/>
                <w:lang w:eastAsia="de-DE"/>
              </w:rPr>
            </w:pPr>
            <w:r w:rsidRPr="00812C16">
              <w:rPr>
                <w:rFonts w:cs="Arial"/>
                <w:sz w:val="18"/>
                <w:szCs w:val="18"/>
                <w:lang w:eastAsia="de-DE"/>
              </w:rPr>
              <w:t>Mäßig differenziertes</w:t>
            </w:r>
            <w:r w:rsidR="0031358D" w:rsidRPr="00812C16">
              <w:rPr>
                <w:rFonts w:cs="Arial"/>
                <w:sz w:val="18"/>
                <w:szCs w:val="18"/>
                <w:lang w:eastAsia="de-DE"/>
              </w:rPr>
              <w:t xml:space="preserve"> Karzinom mit nur noch geringer Hornbildung und zunehmender Kernpleomorphologie sowie weniger stark aus</w:t>
            </w:r>
            <w:r w:rsidRPr="00812C16">
              <w:rPr>
                <w:rFonts w:cs="Arial"/>
                <w:sz w:val="18"/>
                <w:szCs w:val="18"/>
                <w:lang w:eastAsia="de-DE"/>
              </w:rPr>
              <w:t>-</w:t>
            </w:r>
            <w:r w:rsidR="0031358D" w:rsidRPr="00812C16">
              <w:rPr>
                <w:rFonts w:cs="Arial"/>
                <w:sz w:val="18"/>
                <w:szCs w:val="18"/>
                <w:lang w:eastAsia="de-DE"/>
              </w:rPr>
              <w:t>geprägten Interzellularbrücken.</w:t>
            </w:r>
          </w:p>
        </w:tc>
      </w:tr>
      <w:tr w:rsidR="0055520C" w:rsidRPr="00812C16" w14:paraId="4AAB502A" w14:textId="77777777" w:rsidTr="00602F0C">
        <w:tc>
          <w:tcPr>
            <w:tcW w:w="567" w:type="dxa"/>
            <w:hideMark/>
          </w:tcPr>
          <w:p w14:paraId="2A578356" w14:textId="77777777" w:rsidR="0031358D" w:rsidRPr="00812C16" w:rsidRDefault="0031358D" w:rsidP="0055520C">
            <w:pPr>
              <w:spacing w:before="60" w:after="60"/>
              <w:jc w:val="left"/>
              <w:rPr>
                <w:rFonts w:cs="Arial"/>
                <w:sz w:val="18"/>
                <w:szCs w:val="18"/>
                <w:lang w:eastAsia="de-DE"/>
              </w:rPr>
            </w:pPr>
            <w:r w:rsidRPr="00812C16">
              <w:rPr>
                <w:rFonts w:cs="Arial"/>
                <w:sz w:val="18"/>
                <w:szCs w:val="18"/>
                <w:lang w:eastAsia="de-DE"/>
              </w:rPr>
              <w:t xml:space="preserve">G3 </w:t>
            </w:r>
          </w:p>
        </w:tc>
        <w:tc>
          <w:tcPr>
            <w:tcW w:w="1843" w:type="dxa"/>
            <w:hideMark/>
          </w:tcPr>
          <w:p w14:paraId="7A5643D2" w14:textId="77777777" w:rsidR="0031358D" w:rsidRPr="00812C16" w:rsidRDefault="0031358D" w:rsidP="0055520C">
            <w:pPr>
              <w:spacing w:before="60" w:after="60"/>
              <w:jc w:val="left"/>
              <w:rPr>
                <w:rFonts w:cs="Arial"/>
                <w:sz w:val="18"/>
                <w:szCs w:val="18"/>
                <w:lang w:eastAsia="de-DE"/>
              </w:rPr>
            </w:pPr>
            <w:r w:rsidRPr="00812C16">
              <w:rPr>
                <w:rFonts w:cs="Arial"/>
                <w:sz w:val="18"/>
                <w:szCs w:val="18"/>
                <w:lang w:eastAsia="de-DE"/>
              </w:rPr>
              <w:t xml:space="preserve">schlecht differenziert </w:t>
            </w:r>
          </w:p>
        </w:tc>
        <w:tc>
          <w:tcPr>
            <w:tcW w:w="6662" w:type="dxa"/>
          </w:tcPr>
          <w:p w14:paraId="5A74B75D" w14:textId="77777777" w:rsidR="0031358D" w:rsidRPr="00812C16" w:rsidRDefault="001C6B55" w:rsidP="0055520C">
            <w:pPr>
              <w:spacing w:before="60" w:after="60"/>
              <w:jc w:val="left"/>
              <w:rPr>
                <w:rFonts w:cs="Arial"/>
                <w:sz w:val="18"/>
                <w:szCs w:val="18"/>
                <w:lang w:eastAsia="de-DE"/>
              </w:rPr>
            </w:pPr>
            <w:r w:rsidRPr="00812C16">
              <w:rPr>
                <w:rFonts w:cs="Arial"/>
                <w:sz w:val="18"/>
                <w:szCs w:val="18"/>
                <w:lang w:eastAsia="de-DE"/>
              </w:rPr>
              <w:t xml:space="preserve">Niedrigdifferenziertes Karzinom mit kaum noch </w:t>
            </w:r>
            <w:proofErr w:type="spellStart"/>
            <w:r w:rsidRPr="00812C16">
              <w:rPr>
                <w:rFonts w:cs="Arial"/>
                <w:sz w:val="18"/>
                <w:szCs w:val="18"/>
                <w:lang w:eastAsia="de-DE"/>
              </w:rPr>
              <w:t>plattenepithelialer</w:t>
            </w:r>
            <w:proofErr w:type="spellEnd"/>
            <w:r w:rsidRPr="00812C16">
              <w:rPr>
                <w:rFonts w:cs="Arial"/>
                <w:sz w:val="18"/>
                <w:szCs w:val="18"/>
                <w:lang w:eastAsia="de-DE"/>
              </w:rPr>
              <w:t xml:space="preserve"> Differenzierung, so dass zur Diagnostik zum Teil auch Spezialunter</w:t>
            </w:r>
            <w:r w:rsidR="0055520C" w:rsidRPr="00812C16">
              <w:rPr>
                <w:rFonts w:cs="Arial"/>
                <w:sz w:val="18"/>
                <w:szCs w:val="18"/>
                <w:lang w:eastAsia="de-DE"/>
              </w:rPr>
              <w:t>-</w:t>
            </w:r>
            <w:r w:rsidRPr="00812C16">
              <w:rPr>
                <w:rFonts w:cs="Arial"/>
                <w:sz w:val="18"/>
                <w:szCs w:val="18"/>
                <w:lang w:eastAsia="de-DE"/>
              </w:rPr>
              <w:t>suchungen notwendig werden.</w:t>
            </w:r>
          </w:p>
        </w:tc>
      </w:tr>
      <w:tr w:rsidR="0055520C" w:rsidRPr="00812C16" w14:paraId="5F854426" w14:textId="77777777" w:rsidTr="00602F0C">
        <w:tc>
          <w:tcPr>
            <w:tcW w:w="567" w:type="dxa"/>
            <w:hideMark/>
          </w:tcPr>
          <w:p w14:paraId="292F2BE2" w14:textId="77777777" w:rsidR="0031358D" w:rsidRPr="00812C16" w:rsidRDefault="0031358D" w:rsidP="0055520C">
            <w:pPr>
              <w:spacing w:before="60" w:after="60"/>
              <w:jc w:val="left"/>
              <w:rPr>
                <w:rFonts w:cs="Arial"/>
                <w:sz w:val="18"/>
                <w:szCs w:val="18"/>
                <w:lang w:eastAsia="de-DE"/>
              </w:rPr>
            </w:pPr>
            <w:r w:rsidRPr="00812C16">
              <w:rPr>
                <w:rFonts w:cs="Arial"/>
                <w:sz w:val="18"/>
                <w:szCs w:val="18"/>
                <w:lang w:eastAsia="de-DE"/>
              </w:rPr>
              <w:t xml:space="preserve">G4 </w:t>
            </w:r>
          </w:p>
        </w:tc>
        <w:tc>
          <w:tcPr>
            <w:tcW w:w="1843" w:type="dxa"/>
            <w:hideMark/>
          </w:tcPr>
          <w:p w14:paraId="11B341AA" w14:textId="77777777" w:rsidR="0031358D" w:rsidRPr="00812C16" w:rsidRDefault="0031358D" w:rsidP="0055520C">
            <w:pPr>
              <w:spacing w:before="60" w:after="60"/>
              <w:jc w:val="left"/>
              <w:rPr>
                <w:rFonts w:cs="Arial"/>
                <w:sz w:val="18"/>
                <w:szCs w:val="18"/>
                <w:lang w:eastAsia="de-DE"/>
              </w:rPr>
            </w:pPr>
            <w:r w:rsidRPr="00812C16">
              <w:rPr>
                <w:rFonts w:cs="Arial"/>
                <w:sz w:val="18"/>
                <w:szCs w:val="18"/>
                <w:lang w:eastAsia="de-DE"/>
              </w:rPr>
              <w:t xml:space="preserve">undifferenziert </w:t>
            </w:r>
          </w:p>
        </w:tc>
        <w:tc>
          <w:tcPr>
            <w:tcW w:w="6662" w:type="dxa"/>
          </w:tcPr>
          <w:p w14:paraId="24EAD1F4" w14:textId="77777777" w:rsidR="0031358D" w:rsidRPr="00812C16" w:rsidRDefault="0031358D" w:rsidP="0055520C">
            <w:pPr>
              <w:spacing w:before="60" w:after="60"/>
              <w:jc w:val="left"/>
              <w:rPr>
                <w:rFonts w:cs="Arial"/>
                <w:sz w:val="18"/>
                <w:szCs w:val="18"/>
                <w:lang w:eastAsia="de-DE"/>
              </w:rPr>
            </w:pPr>
          </w:p>
        </w:tc>
      </w:tr>
    </w:tbl>
    <w:p w14:paraId="16943CB9" w14:textId="77777777" w:rsidR="00BF08D6" w:rsidRPr="00812C16" w:rsidRDefault="00B71E93" w:rsidP="00BF08D6">
      <w:pPr>
        <w:keepNext/>
        <w:spacing w:before="360" w:after="0"/>
        <w:jc w:val="left"/>
      </w:pPr>
      <w:r w:rsidRPr="00812C16">
        <w:rPr>
          <w:rFonts w:cs="Arial"/>
          <w:i/>
          <w:noProof/>
        </w:rPr>
        <w:lastRenderedPageBreak/>
        <w:drawing>
          <wp:inline distT="0" distB="0" distL="0" distR="0" wp14:anchorId="2258484C" wp14:editId="2FDA48E7">
            <wp:extent cx="5717540" cy="2280285"/>
            <wp:effectExtent l="0" t="0" r="0" b="0"/>
            <wp:docPr id="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7540" cy="2280285"/>
                    </a:xfrm>
                    <a:prstGeom prst="rect">
                      <a:avLst/>
                    </a:prstGeom>
                    <a:noFill/>
                    <a:ln>
                      <a:noFill/>
                    </a:ln>
                  </pic:spPr>
                </pic:pic>
              </a:graphicData>
            </a:graphic>
          </wp:inline>
        </w:drawing>
      </w:r>
    </w:p>
    <w:p w14:paraId="4FEA53A8" w14:textId="7A297079" w:rsidR="00BF08D6" w:rsidRPr="00812C16" w:rsidRDefault="00BF08D6" w:rsidP="00BF08D6">
      <w:pPr>
        <w:pStyle w:val="Beschriftung"/>
        <w:spacing w:after="360" w:line="240" w:lineRule="auto"/>
        <w:jc w:val="left"/>
        <w:rPr>
          <w:rFonts w:cs="Arial"/>
          <w:b/>
          <w:bCs/>
          <w:i w:val="0"/>
          <w:iCs w:val="0"/>
          <w:color w:val="000000" w:themeColor="text1"/>
          <w:sz w:val="20"/>
          <w:szCs w:val="20"/>
        </w:rPr>
      </w:pPr>
      <w:bookmarkStart w:id="16" w:name="_Toc180788378"/>
      <w:r w:rsidRPr="00812C16">
        <w:rPr>
          <w:b/>
          <w:bCs/>
          <w:i w:val="0"/>
          <w:iCs w:val="0"/>
          <w:color w:val="000000" w:themeColor="text1"/>
          <w:sz w:val="20"/>
          <w:szCs w:val="20"/>
        </w:rPr>
        <w:t xml:space="preserve">Abbildung </w:t>
      </w:r>
      <w:r w:rsidRPr="00812C16">
        <w:rPr>
          <w:b/>
          <w:bCs/>
          <w:i w:val="0"/>
          <w:iCs w:val="0"/>
          <w:color w:val="000000" w:themeColor="text1"/>
          <w:sz w:val="20"/>
          <w:szCs w:val="20"/>
        </w:rPr>
        <w:fldChar w:fldCharType="begin"/>
      </w:r>
      <w:r w:rsidRPr="00812C16">
        <w:rPr>
          <w:b/>
          <w:bCs/>
          <w:i w:val="0"/>
          <w:iCs w:val="0"/>
          <w:color w:val="000000" w:themeColor="text1"/>
          <w:sz w:val="20"/>
          <w:szCs w:val="20"/>
        </w:rPr>
        <w:instrText xml:space="preserve"> STYLEREF 1 \s </w:instrText>
      </w:r>
      <w:r w:rsidRPr="00812C16">
        <w:rPr>
          <w:b/>
          <w:bCs/>
          <w:i w:val="0"/>
          <w:iCs w:val="0"/>
          <w:color w:val="000000" w:themeColor="text1"/>
          <w:sz w:val="20"/>
          <w:szCs w:val="20"/>
        </w:rPr>
        <w:fldChar w:fldCharType="separate"/>
      </w:r>
      <w:r w:rsidR="00F67803">
        <w:rPr>
          <w:b/>
          <w:bCs/>
          <w:i w:val="0"/>
          <w:iCs w:val="0"/>
          <w:noProof/>
          <w:color w:val="000000" w:themeColor="text1"/>
          <w:sz w:val="20"/>
          <w:szCs w:val="20"/>
        </w:rPr>
        <w:t>1</w:t>
      </w:r>
      <w:r w:rsidRPr="00812C16">
        <w:rPr>
          <w:b/>
          <w:bCs/>
          <w:i w:val="0"/>
          <w:iCs w:val="0"/>
          <w:color w:val="000000" w:themeColor="text1"/>
          <w:sz w:val="20"/>
          <w:szCs w:val="20"/>
        </w:rPr>
        <w:fldChar w:fldCharType="end"/>
      </w:r>
      <w:r w:rsidRPr="00812C16">
        <w:rPr>
          <w:b/>
          <w:bCs/>
          <w:i w:val="0"/>
          <w:iCs w:val="0"/>
          <w:color w:val="000000" w:themeColor="text1"/>
          <w:sz w:val="20"/>
          <w:szCs w:val="20"/>
        </w:rPr>
        <w:noBreakHyphen/>
      </w:r>
      <w:r w:rsidRPr="00812C16">
        <w:rPr>
          <w:b/>
          <w:bCs/>
          <w:i w:val="0"/>
          <w:iCs w:val="0"/>
          <w:color w:val="000000" w:themeColor="text1"/>
          <w:sz w:val="20"/>
          <w:szCs w:val="20"/>
        </w:rPr>
        <w:fldChar w:fldCharType="begin"/>
      </w:r>
      <w:r w:rsidRPr="00812C16">
        <w:rPr>
          <w:b/>
          <w:bCs/>
          <w:i w:val="0"/>
          <w:iCs w:val="0"/>
          <w:color w:val="000000" w:themeColor="text1"/>
          <w:sz w:val="20"/>
          <w:szCs w:val="20"/>
        </w:rPr>
        <w:instrText xml:space="preserve"> SEQ Abbildung \* ARABIC \s 1 </w:instrText>
      </w:r>
      <w:r w:rsidRPr="00812C16">
        <w:rPr>
          <w:b/>
          <w:bCs/>
          <w:i w:val="0"/>
          <w:iCs w:val="0"/>
          <w:color w:val="000000" w:themeColor="text1"/>
          <w:sz w:val="20"/>
          <w:szCs w:val="20"/>
        </w:rPr>
        <w:fldChar w:fldCharType="separate"/>
      </w:r>
      <w:r w:rsidR="00F67803">
        <w:rPr>
          <w:b/>
          <w:bCs/>
          <w:i w:val="0"/>
          <w:iCs w:val="0"/>
          <w:noProof/>
          <w:color w:val="000000" w:themeColor="text1"/>
          <w:sz w:val="20"/>
          <w:szCs w:val="20"/>
        </w:rPr>
        <w:t>4</w:t>
      </w:r>
      <w:r w:rsidRPr="00812C16">
        <w:rPr>
          <w:b/>
          <w:bCs/>
          <w:i w:val="0"/>
          <w:iCs w:val="0"/>
          <w:color w:val="000000" w:themeColor="text1"/>
          <w:sz w:val="20"/>
          <w:szCs w:val="20"/>
        </w:rPr>
        <w:fldChar w:fldCharType="end"/>
      </w:r>
      <w:r w:rsidRPr="00812C16">
        <w:rPr>
          <w:b/>
          <w:bCs/>
          <w:i w:val="0"/>
          <w:iCs w:val="0"/>
          <w:color w:val="000000" w:themeColor="text1"/>
          <w:sz w:val="20"/>
          <w:szCs w:val="20"/>
        </w:rPr>
        <w:t>: a Gut differenziertes Plattenepithelkarzinom. b Mäßig differenziertes Platten-</w:t>
      </w:r>
      <w:proofErr w:type="spellStart"/>
      <w:r w:rsidRPr="00812C16">
        <w:rPr>
          <w:b/>
          <w:bCs/>
          <w:i w:val="0"/>
          <w:iCs w:val="0"/>
          <w:color w:val="000000" w:themeColor="text1"/>
          <w:sz w:val="20"/>
          <w:szCs w:val="20"/>
        </w:rPr>
        <w:t>epithelkarzinom</w:t>
      </w:r>
      <w:proofErr w:type="spellEnd"/>
      <w:r w:rsidRPr="00812C16">
        <w:rPr>
          <w:b/>
          <w:bCs/>
          <w:i w:val="0"/>
          <w:iCs w:val="0"/>
          <w:color w:val="000000" w:themeColor="text1"/>
          <w:sz w:val="20"/>
          <w:szCs w:val="20"/>
        </w:rPr>
        <w:t>. c Gering differenziertes Plattenepithelkarzinom</w:t>
      </w:r>
      <w:r w:rsidR="004D78DE" w:rsidRPr="00812C16">
        <w:rPr>
          <w:b/>
          <w:bCs/>
          <w:i w:val="0"/>
          <w:iCs w:val="0"/>
          <w:color w:val="000000" w:themeColor="text1"/>
          <w:sz w:val="20"/>
          <w:szCs w:val="20"/>
        </w:rPr>
        <w:t xml:space="preserve"> </w:t>
      </w:r>
      <w:r w:rsidR="000112D9">
        <w:rPr>
          <w:b/>
          <w:bCs/>
          <w:i w:val="0"/>
          <w:iCs w:val="0"/>
          <w:color w:val="000000" w:themeColor="text1"/>
          <w:sz w:val="20"/>
          <w:szCs w:val="20"/>
        </w:rPr>
        <w:fldChar w:fldCharType="begin">
          <w:fldData xml:space="preserve">PEVuZE5vdGU+PENpdGU+PEF1dGhvcj5DYXJkZXNhPC9BdXRob3I+PFllYXI+MjAwODwvWWVhcj48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</w:fldData>
        </w:fldChar>
      </w:r>
      <w:r w:rsidR="000112D9">
        <w:rPr>
          <w:b/>
          <w:bCs/>
          <w:i w:val="0"/>
          <w:iCs w:val="0"/>
          <w:color w:val="000000" w:themeColor="text1"/>
          <w:sz w:val="20"/>
          <w:szCs w:val="20"/>
        </w:rPr>
        <w:instrText xml:space="preserve"> ADDIN EN.JS.CITE </w:instrText>
      </w:r>
      <w:r w:rsidR="000112D9">
        <w:rPr>
          <w:b/>
          <w:bCs/>
          <w:i w:val="0"/>
          <w:iCs w:val="0"/>
          <w:color w:val="000000" w:themeColor="text1"/>
          <w:sz w:val="20"/>
          <w:szCs w:val="20"/>
        </w:rPr>
      </w:r>
      <w:r w:rsidR="000112D9">
        <w:rPr>
          <w:b/>
          <w:bCs/>
          <w:i w:val="0"/>
          <w:iCs w:val="0"/>
          <w:color w:val="000000" w:themeColor="text1"/>
          <w:sz w:val="20"/>
          <w:szCs w:val="20"/>
        </w:rPr>
        <w:fldChar w:fldCharType="separate"/>
      </w:r>
      <w:r w:rsidR="000112D9">
        <w:rPr>
          <w:b/>
          <w:bCs/>
          <w:i w:val="0"/>
          <w:iCs w:val="0"/>
          <w:noProof/>
          <w:color w:val="000000" w:themeColor="text1"/>
          <w:sz w:val="20"/>
          <w:szCs w:val="20"/>
        </w:rPr>
        <w:t>(</w:t>
      </w:r>
      <w:hyperlink w:anchor="_ENREF_16" w:tooltip="Cardesa, 2008 #678" w:history="1">
        <w:r w:rsidR="009D0F7A" w:rsidRPr="009D0F7A">
          <w:rPr>
            <w:rStyle w:val="Hyperlink"/>
            <w:i w:val="0"/>
            <w:iCs w:val="0"/>
            <w:sz w:val="24"/>
            <w:szCs w:val="24"/>
          </w:rPr>
          <w:t>Cardesa et al., 2008</w:t>
        </w:r>
      </w:hyperlink>
      <w:r w:rsidR="000112D9">
        <w:rPr>
          <w:b/>
          <w:bCs/>
          <w:i w:val="0"/>
          <w:iCs w:val="0"/>
          <w:noProof/>
          <w:color w:val="000000" w:themeColor="text1"/>
          <w:sz w:val="20"/>
          <w:szCs w:val="20"/>
        </w:rPr>
        <w:t>)</w:t>
      </w:r>
      <w:r w:rsidR="000112D9">
        <w:rPr>
          <w:b/>
          <w:bCs/>
          <w:i w:val="0"/>
          <w:iCs w:val="0"/>
          <w:color w:val="000000" w:themeColor="text1"/>
          <w:sz w:val="20"/>
          <w:szCs w:val="20"/>
        </w:rPr>
        <w:fldChar w:fldCharType="end"/>
      </w:r>
      <w:r w:rsidR="004D78DE" w:rsidRPr="00812C16">
        <w:rPr>
          <w:b/>
          <w:bCs/>
          <w:i w:val="0"/>
          <w:iCs w:val="0"/>
          <w:color w:val="000000" w:themeColor="text1"/>
          <w:sz w:val="20"/>
          <w:szCs w:val="20"/>
        </w:rPr>
        <w:t>.</w:t>
      </w:r>
      <w:bookmarkEnd w:id="16"/>
    </w:p>
    <w:p w14:paraId="6B9834B0" w14:textId="77777777" w:rsidR="005E17BA" w:rsidRPr="00812C16" w:rsidRDefault="00E5725D" w:rsidP="001C6B55">
      <w:pPr>
        <w:spacing w:before="360" w:after="0"/>
        <w:jc w:val="left"/>
        <w:rPr>
          <w:rFonts w:cs="Arial"/>
          <w:i/>
          <w:iCs/>
        </w:rPr>
      </w:pPr>
      <w:r w:rsidRPr="00812C16">
        <w:rPr>
          <w:rFonts w:cs="Arial"/>
          <w:i/>
          <w:iCs/>
        </w:rPr>
        <w:t>Histopatholo</w:t>
      </w:r>
      <w:r w:rsidR="0006194F" w:rsidRPr="00812C16">
        <w:rPr>
          <w:rFonts w:cs="Arial"/>
          <w:i/>
          <w:iCs/>
        </w:rPr>
        <w:t>gische Typen</w:t>
      </w:r>
      <w:r w:rsidR="005E17BA" w:rsidRPr="00812C16">
        <w:rPr>
          <w:rFonts w:cs="Arial"/>
          <w:i/>
          <w:iCs/>
        </w:rPr>
        <w:t xml:space="preserve"> </w:t>
      </w:r>
      <w:r w:rsidR="00D220A9" w:rsidRPr="00812C16">
        <w:rPr>
          <w:rFonts w:cs="Arial"/>
          <w:i/>
          <w:iCs/>
        </w:rPr>
        <w:t>des</w:t>
      </w:r>
      <w:r w:rsidR="00C656C3" w:rsidRPr="00812C16">
        <w:rPr>
          <w:rFonts w:cs="Arial"/>
          <w:i/>
          <w:iCs/>
        </w:rPr>
        <w:t xml:space="preserve"> Kopf-Hals-Plattenepithelkarzinoms </w:t>
      </w:r>
      <w:r w:rsidR="005E17BA" w:rsidRPr="00812C16">
        <w:rPr>
          <w:rFonts w:cs="Arial"/>
          <w:i/>
          <w:iCs/>
        </w:rPr>
        <w:t xml:space="preserve"> </w:t>
      </w:r>
    </w:p>
    <w:p w14:paraId="492A29EA" w14:textId="0AAC60CE" w:rsidR="005E17BA" w:rsidRPr="00812C16" w:rsidRDefault="00AD1083" w:rsidP="00A126D9">
      <w:pPr>
        <w:spacing w:after="0"/>
        <w:rPr>
          <w:rFonts w:cs="Arial"/>
        </w:rPr>
      </w:pPr>
      <w:r w:rsidRPr="00812C16">
        <w:rPr>
          <w:rFonts w:cs="Arial"/>
        </w:rPr>
        <w:t xml:space="preserve">Über 80% der Plattenepithelkarzinome des Kopf-Hals-Bereichs entsprechen typischen verhornenden oder nichtverhornenden Plattenepithelkarzinomen. Der restliche Teil verteilt sich auf jeweils seltene </w:t>
      </w:r>
      <w:r w:rsidR="00A126D9" w:rsidRPr="00812C16">
        <w:rPr>
          <w:rFonts w:cs="Arial"/>
        </w:rPr>
        <w:t>Subtypen</w:t>
      </w:r>
      <w:r w:rsidR="006C2EE5" w:rsidRPr="00812C16">
        <w:rPr>
          <w:rFonts w:cs="Arial"/>
        </w:rPr>
        <w:t xml:space="preserve">, dessen sichere Erkennung hinsichtlich </w:t>
      </w:r>
      <w:r w:rsidR="00E5725D" w:rsidRPr="00812C16">
        <w:rPr>
          <w:rFonts w:cs="Arial"/>
        </w:rPr>
        <w:t>der unterschiedlichen</w:t>
      </w:r>
      <w:r w:rsidR="006C2EE5" w:rsidRPr="00812C16">
        <w:rPr>
          <w:rFonts w:cs="Arial"/>
        </w:rPr>
        <w:t xml:space="preserve"> prognostische</w:t>
      </w:r>
      <w:r w:rsidR="00E5725D" w:rsidRPr="00812C16">
        <w:rPr>
          <w:rFonts w:cs="Arial"/>
        </w:rPr>
        <w:t xml:space="preserve">n </w:t>
      </w:r>
      <w:r w:rsidR="006C2EE5" w:rsidRPr="00812C16">
        <w:rPr>
          <w:rFonts w:cs="Arial"/>
        </w:rPr>
        <w:t>und therapeutische</w:t>
      </w:r>
      <w:r w:rsidR="00E5725D" w:rsidRPr="00812C16">
        <w:rPr>
          <w:rFonts w:cs="Arial"/>
        </w:rPr>
        <w:t>n</w:t>
      </w:r>
      <w:r w:rsidR="006C2EE5" w:rsidRPr="00812C16">
        <w:rPr>
          <w:rFonts w:cs="Arial"/>
        </w:rPr>
        <w:t xml:space="preserve"> Konsequenz</w:t>
      </w:r>
      <w:r w:rsidR="00E5725D" w:rsidRPr="00812C16">
        <w:rPr>
          <w:rFonts w:cs="Arial"/>
        </w:rPr>
        <w:t>en,</w:t>
      </w:r>
      <w:r w:rsidR="006C2EE5" w:rsidRPr="00812C16">
        <w:rPr>
          <w:rFonts w:cs="Arial"/>
        </w:rPr>
        <w:t xml:space="preserve"> von Bedeutung ist (siehe </w:t>
      </w:r>
      <w:r w:rsidR="006C2EE5" w:rsidRPr="00812C16">
        <w:rPr>
          <w:rFonts w:cs="Arial"/>
        </w:rPr>
        <w:fldChar w:fldCharType="begin"/>
      </w:r>
      <w:r w:rsidR="006C2EE5" w:rsidRPr="00812C16">
        <w:rPr>
          <w:rFonts w:cs="Arial"/>
        </w:rPr>
        <w:instrText xml:space="preserve"> REF _Ref92690642 \h </w:instrText>
      </w:r>
      <w:r w:rsidR="00812C16" w:rsidRPr="00812C16">
        <w:rPr>
          <w:rFonts w:cs="Arial"/>
        </w:rPr>
        <w:instrText xml:space="preserve"> \* MERGEFORMAT </w:instrText>
      </w:r>
      <w:r w:rsidR="006C2EE5" w:rsidRPr="00812C16">
        <w:rPr>
          <w:rFonts w:cs="Arial"/>
        </w:rPr>
      </w:r>
      <w:r w:rsidR="006C2EE5" w:rsidRPr="00812C16">
        <w:rPr>
          <w:rFonts w:cs="Arial"/>
        </w:rPr>
        <w:fldChar w:fldCharType="separate"/>
      </w:r>
      <w:r w:rsidR="00F67803" w:rsidRPr="00812C16">
        <w:rPr>
          <w:b/>
          <w:bCs/>
          <w:color w:val="000000" w:themeColor="text1"/>
          <w:sz w:val="20"/>
          <w:szCs w:val="20"/>
        </w:rPr>
        <w:t xml:space="preserve">Tabelle </w:t>
      </w:r>
      <w:r w:rsidR="00F67803">
        <w:rPr>
          <w:b/>
          <w:bCs/>
          <w:i/>
          <w:iCs/>
          <w:noProof/>
          <w:color w:val="000000" w:themeColor="text1"/>
          <w:sz w:val="20"/>
          <w:szCs w:val="20"/>
        </w:rPr>
        <w:t>1</w:t>
      </w:r>
      <w:r w:rsidR="00F67803" w:rsidRPr="00F67803">
        <w:rPr>
          <w:b/>
          <w:bCs/>
          <w:i/>
          <w:iCs/>
          <w:noProof/>
          <w:color w:val="000000" w:themeColor="text1"/>
          <w:sz w:val="20"/>
          <w:szCs w:val="20"/>
        </w:rPr>
        <w:noBreakHyphen/>
      </w:r>
      <w:r w:rsidR="00F67803">
        <w:rPr>
          <w:b/>
          <w:bCs/>
          <w:i/>
          <w:iCs/>
          <w:noProof/>
          <w:color w:val="000000" w:themeColor="text1"/>
          <w:sz w:val="20"/>
          <w:szCs w:val="20"/>
        </w:rPr>
        <w:t>3</w:t>
      </w:r>
      <w:r w:rsidR="006C2EE5" w:rsidRPr="00812C16">
        <w:rPr>
          <w:rFonts w:cs="Arial"/>
        </w:rPr>
        <w:fldChar w:fldCharType="end"/>
      </w:r>
      <w:r w:rsidR="006C2EE5" w:rsidRPr="00812C16">
        <w:rPr>
          <w:rFonts w:cs="Arial"/>
        </w:rPr>
        <w:t>)</w:t>
      </w:r>
      <w:r w:rsidRPr="00812C16">
        <w:rPr>
          <w:rFonts w:cs="Arial"/>
        </w:rPr>
        <w:t xml:space="preserve">. </w:t>
      </w:r>
      <w:r w:rsidR="006C2EE5" w:rsidRPr="00812C16">
        <w:rPr>
          <w:rFonts w:cs="Arial"/>
        </w:rPr>
        <w:t xml:space="preserve">Das </w:t>
      </w:r>
      <w:r w:rsidR="0008519C" w:rsidRPr="00812C16">
        <w:rPr>
          <w:rFonts w:cs="Arial"/>
          <w:b/>
          <w:bCs/>
        </w:rPr>
        <w:t>konventionelle</w:t>
      </w:r>
      <w:r w:rsidR="006C2EE5" w:rsidRPr="00812C16">
        <w:rPr>
          <w:rFonts w:cs="Arial"/>
          <w:b/>
          <w:bCs/>
        </w:rPr>
        <w:t xml:space="preserve"> </w:t>
      </w:r>
      <w:r w:rsidR="00D220A9" w:rsidRPr="00812C16">
        <w:rPr>
          <w:rFonts w:cs="Arial"/>
          <w:b/>
          <w:bCs/>
        </w:rPr>
        <w:t>Plattenepithelkarzinom</w:t>
      </w:r>
      <w:r w:rsidR="00D220A9" w:rsidRPr="00812C16">
        <w:rPr>
          <w:rFonts w:cs="Arial"/>
        </w:rPr>
        <w:t xml:space="preserve"> des Kopf-Hals-Bereichs</w:t>
      </w:r>
      <w:r w:rsidR="005E17BA" w:rsidRPr="00812C16">
        <w:rPr>
          <w:rFonts w:cs="Arial"/>
        </w:rPr>
        <w:t xml:space="preserve"> bestehe</w:t>
      </w:r>
      <w:r w:rsidR="006C2EE5" w:rsidRPr="00812C16">
        <w:rPr>
          <w:rFonts w:cs="Arial"/>
        </w:rPr>
        <w:t>t</w:t>
      </w:r>
      <w:r w:rsidR="005E17BA" w:rsidRPr="00812C16">
        <w:rPr>
          <w:rFonts w:cs="Arial"/>
        </w:rPr>
        <w:t xml:space="preserve"> aus atypischen epithelialen Tumorzellformationen, die in das </w:t>
      </w:r>
      <w:proofErr w:type="spellStart"/>
      <w:r w:rsidR="005E17BA" w:rsidRPr="00812C16">
        <w:rPr>
          <w:rFonts w:cs="Arial"/>
        </w:rPr>
        <w:t>subepitheliale</w:t>
      </w:r>
      <w:proofErr w:type="spellEnd"/>
      <w:r w:rsidR="005E17BA" w:rsidRPr="00812C16">
        <w:rPr>
          <w:rFonts w:cs="Arial"/>
        </w:rPr>
        <w:t xml:space="preserve"> Stroma infiltrierend und destruierend einwachsen</w:t>
      </w:r>
      <w:r w:rsidR="00D220A9" w:rsidRPr="00812C16">
        <w:rPr>
          <w:rFonts w:cs="Arial"/>
        </w:rPr>
        <w:t xml:space="preserve"> </w:t>
      </w:r>
      <w:r w:rsidR="000112D9">
        <w:rPr>
          <w:rFonts w:cs="Arial"/>
        </w:rPr>
        <w:fldChar w:fldCharType="begin">
          <w:fldData xml:space="preserve">PEVuZE5vdGU+PENpdGU+PEF1dGhvcj5EdXZ2dXJpPC9BdXRob3I+PFllYXI+MjAwOTwvWWVhcj48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29" w:tooltip="Duvvuri, 2009 #690" w:history="1">
        <w:r w:rsidR="009D0F7A" w:rsidRPr="009D0F7A">
          <w:rPr>
            <w:rStyle w:val="Hyperlink"/>
          </w:rPr>
          <w:t>Duvvuri &amp; Myers, 2009</w:t>
        </w:r>
      </w:hyperlink>
      <w:r w:rsidR="000112D9">
        <w:rPr>
          <w:rFonts w:cs="Arial"/>
          <w:noProof/>
        </w:rPr>
        <w:t>)</w:t>
      </w:r>
      <w:r w:rsidR="000112D9">
        <w:rPr>
          <w:rFonts w:cs="Arial"/>
        </w:rPr>
        <w:fldChar w:fldCharType="end"/>
      </w:r>
      <w:r w:rsidR="00D220A9" w:rsidRPr="00812C16">
        <w:rPr>
          <w:rFonts w:cs="Arial"/>
        </w:rPr>
        <w:t>.</w:t>
      </w:r>
      <w:r w:rsidR="005E17BA" w:rsidRPr="00812C16">
        <w:rPr>
          <w:rFonts w:cs="Arial"/>
        </w:rPr>
        <w:t xml:space="preserve"> Die Zellen neigen zur Verhornung und je nach Differenzierungsgrad bilden sich sogenannte Hornperlen aus, die vor allem bei gut differenzierten </w:t>
      </w:r>
      <w:r w:rsidR="00D25228" w:rsidRPr="00812C16">
        <w:rPr>
          <w:rFonts w:cs="Arial"/>
        </w:rPr>
        <w:t>Plattenepithelkarzinomen</w:t>
      </w:r>
      <w:r w:rsidR="005E17BA" w:rsidRPr="00812C16">
        <w:rPr>
          <w:rFonts w:cs="Arial"/>
        </w:rPr>
        <w:t xml:space="preserve"> zu finden sind</w:t>
      </w:r>
      <w:r w:rsidR="00D25228" w:rsidRPr="00812C16">
        <w:rPr>
          <w:rFonts w:cs="Arial"/>
        </w:rPr>
        <w:t xml:space="preserve"> </w:t>
      </w:r>
      <w:r w:rsidR="000112D9">
        <w:rPr>
          <w:rFonts w:cs="Arial"/>
        </w:rPr>
        <w:fldChar w:fldCharType="begin">
          <w:fldData xml:space="preserve">PEVuZE5vdGU+PENpdGU+PEF1dGhvcj5EdXZ2dXJpPC9BdXRob3I+PFllYXI+MjAwOTwvWWVhcj48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29" w:tooltip="Duvvuri, 2009 #690" w:history="1">
        <w:r w:rsidR="009D0F7A" w:rsidRPr="009D0F7A">
          <w:rPr>
            <w:rStyle w:val="Hyperlink"/>
          </w:rPr>
          <w:t>Duvvuri &amp; Myers, 2009</w:t>
        </w:r>
      </w:hyperlink>
      <w:r w:rsidR="000112D9">
        <w:rPr>
          <w:rFonts w:cs="Arial"/>
          <w:noProof/>
        </w:rPr>
        <w:t>)</w:t>
      </w:r>
      <w:r w:rsidR="000112D9">
        <w:rPr>
          <w:rFonts w:cs="Arial"/>
        </w:rPr>
        <w:fldChar w:fldCharType="end"/>
      </w:r>
      <w:r w:rsidR="00D25228" w:rsidRPr="00812C16">
        <w:rPr>
          <w:rFonts w:cs="Arial"/>
        </w:rPr>
        <w:t>.</w:t>
      </w:r>
      <w:r w:rsidR="005E17BA" w:rsidRPr="00812C16">
        <w:rPr>
          <w:rFonts w:cs="Arial"/>
        </w:rPr>
        <w:t xml:space="preserve"> </w:t>
      </w:r>
      <w:proofErr w:type="gramStart"/>
      <w:r w:rsidR="00F43C49" w:rsidRPr="00812C16">
        <w:rPr>
          <w:rFonts w:cs="Arial"/>
        </w:rPr>
        <w:t xml:space="preserve">Des </w:t>
      </w:r>
      <w:proofErr w:type="spellStart"/>
      <w:r w:rsidR="00F43C49" w:rsidRPr="00812C16">
        <w:rPr>
          <w:rFonts w:cs="Arial"/>
        </w:rPr>
        <w:t>weiteren</w:t>
      </w:r>
      <w:proofErr w:type="spellEnd"/>
      <w:proofErr w:type="gramEnd"/>
      <w:r w:rsidR="005E17BA" w:rsidRPr="00812C16">
        <w:rPr>
          <w:rFonts w:cs="Arial"/>
        </w:rPr>
        <w:t xml:space="preserve"> sind die </w:t>
      </w:r>
      <w:proofErr w:type="spellStart"/>
      <w:r w:rsidR="005E17BA" w:rsidRPr="00812C16">
        <w:rPr>
          <w:rFonts w:cs="Arial"/>
        </w:rPr>
        <w:t>Kernpleomorphie</w:t>
      </w:r>
      <w:proofErr w:type="spellEnd"/>
      <w:r w:rsidR="005E17BA" w:rsidRPr="00812C16">
        <w:rPr>
          <w:rFonts w:cs="Arial"/>
        </w:rPr>
        <w:t xml:space="preserve">, die Häufigkeit von atypischen Mitosen oder die </w:t>
      </w:r>
      <w:proofErr w:type="spellStart"/>
      <w:r w:rsidR="005E17BA" w:rsidRPr="00812C16">
        <w:rPr>
          <w:rFonts w:cs="Arial"/>
        </w:rPr>
        <w:t>Kernhyperchromasie</w:t>
      </w:r>
      <w:proofErr w:type="spellEnd"/>
      <w:r w:rsidR="005E17BA" w:rsidRPr="00812C16">
        <w:rPr>
          <w:rFonts w:cs="Arial"/>
        </w:rPr>
        <w:t xml:space="preserve"> typische Charakteristika der Tumorzellen.</w:t>
      </w:r>
      <w:r w:rsidR="00D25228" w:rsidRPr="00812C16">
        <w:rPr>
          <w:rFonts w:cs="Arial"/>
        </w:rPr>
        <w:t xml:space="preserve"> </w:t>
      </w:r>
      <w:r w:rsidR="000112D9">
        <w:rPr>
          <w:rFonts w:cs="Arial"/>
        </w:rPr>
        <w:fldChar w:fldCharType="begin">
          <w:fldData xml:space="preserve">PEVuZE5vdGU+PENpdGU+PEF1dGhvcj5NYXNoYmVyZzwvQXV0aG9yPjxZZWFyPjE5OTU8L1llYXI+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54" w:tooltip="Mashberg, 1995 #755" w:history="1">
        <w:r w:rsidR="009D0F7A" w:rsidRPr="009D0F7A">
          <w:rPr>
            <w:rStyle w:val="Hyperlink"/>
          </w:rPr>
          <w:t>Mashberg &amp; Samit, 1995</w:t>
        </w:r>
      </w:hyperlink>
      <w:r w:rsidR="000112D9">
        <w:rPr>
          <w:rFonts w:cs="Arial"/>
          <w:noProof/>
        </w:rPr>
        <w:t>)</w:t>
      </w:r>
      <w:r w:rsidR="000112D9">
        <w:rPr>
          <w:rFonts w:cs="Arial"/>
        </w:rPr>
        <w:fldChar w:fldCharType="end"/>
      </w:r>
      <w:r w:rsidR="005E17BA" w:rsidRPr="00812C16">
        <w:rPr>
          <w:rFonts w:cs="Arial"/>
        </w:rPr>
        <w:t xml:space="preserve"> In der Tumorumgebung findet sich häufig ein </w:t>
      </w:r>
      <w:proofErr w:type="spellStart"/>
      <w:r w:rsidR="005E17BA" w:rsidRPr="00812C16">
        <w:rPr>
          <w:rFonts w:cs="Arial"/>
        </w:rPr>
        <w:t>gemischtzelliges</w:t>
      </w:r>
      <w:proofErr w:type="spellEnd"/>
      <w:r w:rsidR="005E17BA" w:rsidRPr="00812C16">
        <w:rPr>
          <w:rFonts w:cs="Arial"/>
        </w:rPr>
        <w:t xml:space="preserve"> Entzündungsinfiltrat</w:t>
      </w:r>
      <w:r w:rsidR="00D25228" w:rsidRPr="00812C16">
        <w:rPr>
          <w:rFonts w:cs="Arial"/>
        </w:rPr>
        <w:t xml:space="preserve"> </w:t>
      </w:r>
      <w:r w:rsidR="000112D9">
        <w:rPr>
          <w:rFonts w:cs="Arial"/>
        </w:rPr>
        <w:fldChar w:fldCharType="begin">
          <w:fldData xml:space="preserve">PEVuZE5vdGU+PENpdGU+PEF1dGhvcj5NYXNoYmVyZzwvQXV0aG9yPjxZZWFyPjE5OTU8L1llYXI+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54" w:tooltip="Mashberg, 1995 #755" w:history="1">
        <w:r w:rsidR="009D0F7A" w:rsidRPr="009D0F7A">
          <w:rPr>
            <w:rStyle w:val="Hyperlink"/>
          </w:rPr>
          <w:t>Mashberg &amp; Samit, 1995</w:t>
        </w:r>
      </w:hyperlink>
      <w:r w:rsidR="000112D9">
        <w:rPr>
          <w:rFonts w:cs="Arial"/>
          <w:noProof/>
        </w:rPr>
        <w:t>)</w:t>
      </w:r>
      <w:r w:rsidR="000112D9">
        <w:rPr>
          <w:rFonts w:cs="Arial"/>
        </w:rPr>
        <w:fldChar w:fldCharType="end"/>
      </w:r>
      <w:r w:rsidR="00D25228" w:rsidRPr="00812C16">
        <w:rPr>
          <w:rFonts w:cs="Arial"/>
        </w:rPr>
        <w:t>.</w:t>
      </w:r>
      <w:r w:rsidR="005E17BA" w:rsidRPr="00812C16">
        <w:rPr>
          <w:rFonts w:cs="Arial"/>
        </w:rPr>
        <w:t xml:space="preserve"> Der größte Teil der </w:t>
      </w:r>
      <w:r w:rsidR="00D25228" w:rsidRPr="00812C16">
        <w:rPr>
          <w:rFonts w:cs="Arial"/>
        </w:rPr>
        <w:t xml:space="preserve">Plattenepithelkarzinomen </w:t>
      </w:r>
      <w:r w:rsidR="005E17BA" w:rsidRPr="00812C16">
        <w:rPr>
          <w:rFonts w:cs="Arial"/>
        </w:rPr>
        <w:t xml:space="preserve">präsentiert sich makroskopisch als exophytische, </w:t>
      </w:r>
      <w:proofErr w:type="spellStart"/>
      <w:r w:rsidR="005E17BA" w:rsidRPr="00812C16">
        <w:rPr>
          <w:rFonts w:cs="Arial"/>
        </w:rPr>
        <w:t>ulzerative</w:t>
      </w:r>
      <w:proofErr w:type="spellEnd"/>
      <w:r w:rsidR="005E17BA" w:rsidRPr="00812C16">
        <w:rPr>
          <w:rFonts w:cs="Arial"/>
        </w:rPr>
        <w:t xml:space="preserve"> oder kombinierte Läsion</w:t>
      </w:r>
      <w:r w:rsidR="00D25228" w:rsidRPr="00812C16">
        <w:rPr>
          <w:rFonts w:cs="Arial"/>
        </w:rPr>
        <w:t xml:space="preserve"> </w:t>
      </w:r>
      <w:r w:rsidR="000112D9">
        <w:rPr>
          <w:rFonts w:cs="Arial"/>
        </w:rPr>
        <w:fldChar w:fldCharType="begin">
          <w:fldData xml:space="preserve">PEVuZE5vdGU+PENpdGU+PEF1dGhvcj5EdXZ2dXJpPC9BdXRob3I+PFllYXI+MjAwOTwvWWVhcj48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29" w:tooltip="Duvvuri, 2009 #690" w:history="1">
        <w:r w:rsidR="009D0F7A" w:rsidRPr="009D0F7A">
          <w:rPr>
            <w:rStyle w:val="Hyperlink"/>
          </w:rPr>
          <w:t>Duvvuri &amp; Myers, 2009</w:t>
        </w:r>
      </w:hyperlink>
      <w:r w:rsidR="000112D9">
        <w:rPr>
          <w:rFonts w:cs="Arial"/>
          <w:noProof/>
        </w:rPr>
        <w:t>)</w:t>
      </w:r>
      <w:r w:rsidR="000112D9">
        <w:rPr>
          <w:rFonts w:cs="Arial"/>
        </w:rPr>
        <w:fldChar w:fldCharType="end"/>
      </w:r>
      <w:r w:rsidR="00D25228" w:rsidRPr="00812C16">
        <w:rPr>
          <w:rFonts w:cs="Arial"/>
        </w:rPr>
        <w:t>.</w:t>
      </w:r>
      <w:r w:rsidR="005E17BA" w:rsidRPr="00812C16">
        <w:rPr>
          <w:rFonts w:cs="Arial"/>
        </w:rPr>
        <w:t xml:space="preserve"> Exophytische Läsionen sind seltener und weniger infiltrativ wachsend als </w:t>
      </w:r>
      <w:proofErr w:type="spellStart"/>
      <w:r w:rsidR="005E17BA" w:rsidRPr="00812C16">
        <w:rPr>
          <w:rFonts w:cs="Arial"/>
        </w:rPr>
        <w:t>ulzerative</w:t>
      </w:r>
      <w:proofErr w:type="spellEnd"/>
      <w:r w:rsidR="005E17BA" w:rsidRPr="00812C16">
        <w:rPr>
          <w:rFonts w:cs="Arial"/>
        </w:rPr>
        <w:t xml:space="preserve"> Läsionen</w:t>
      </w:r>
      <w:r w:rsidR="00D25228" w:rsidRPr="00812C16">
        <w:rPr>
          <w:rFonts w:cs="Arial"/>
        </w:rPr>
        <w:t xml:space="preserve"> </w:t>
      </w:r>
      <w:r w:rsidR="000112D9">
        <w:rPr>
          <w:rFonts w:cs="Arial"/>
        </w:rPr>
        <w:fldChar w:fldCharType="begin">
          <w:fldData xml:space="preserve">PEVuZE5vdGU+PENpdGU+PEF1dGhvcj5EdXZ2dXJpPC9BdXRob3I+PFllYXI+MjAwOTwvWWVhcj48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29" w:tooltip="Duvvuri, 2009 #690" w:history="1">
        <w:r w:rsidR="009D0F7A" w:rsidRPr="009D0F7A">
          <w:rPr>
            <w:rStyle w:val="Hyperlink"/>
          </w:rPr>
          <w:t>Duvvuri &amp; Myers, 2009</w:t>
        </w:r>
      </w:hyperlink>
      <w:r w:rsidR="000112D9">
        <w:rPr>
          <w:rFonts w:cs="Arial"/>
          <w:noProof/>
        </w:rPr>
        <w:t>)</w:t>
      </w:r>
      <w:r w:rsidR="000112D9">
        <w:rPr>
          <w:rFonts w:cs="Arial"/>
        </w:rPr>
        <w:fldChar w:fldCharType="end"/>
      </w:r>
      <w:r w:rsidR="005E17BA" w:rsidRPr="00812C16">
        <w:rPr>
          <w:rFonts w:cs="Arial"/>
        </w:rPr>
        <w:t>.18 „Low grade“ Tumore sind stärker verhornt, haben seltener atypische Mitosen und sind besser differenziert</w:t>
      </w:r>
      <w:r w:rsidR="00D25228" w:rsidRPr="00812C16">
        <w:rPr>
          <w:rFonts w:cs="Arial"/>
        </w:rPr>
        <w:t xml:space="preserve"> </w:t>
      </w:r>
      <w:r w:rsidR="000112D9">
        <w:rPr>
          <w:rFonts w:cs="Arial"/>
        </w:rPr>
        <w:fldChar w:fldCharType="begin">
          <w:fldData xml:space="preserve">PEVuZE5vdGU+PENpdGU+PEF1dGhvcj5EdXZ2dXJpPC9BdXRob3I+PFllYXI+MjAwOTwvWWVhcj48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29" w:tooltip="Duvvuri, 2009 #690" w:history="1">
        <w:r w:rsidR="009D0F7A" w:rsidRPr="009D0F7A">
          <w:rPr>
            <w:rStyle w:val="Hyperlink"/>
          </w:rPr>
          <w:t>Duvvuri &amp; Myers, 2009</w:t>
        </w:r>
      </w:hyperlink>
      <w:r w:rsidR="000112D9">
        <w:rPr>
          <w:rFonts w:cs="Arial"/>
          <w:noProof/>
        </w:rPr>
        <w:t>)</w:t>
      </w:r>
      <w:r w:rsidR="000112D9">
        <w:rPr>
          <w:rFonts w:cs="Arial"/>
        </w:rPr>
        <w:fldChar w:fldCharType="end"/>
      </w:r>
      <w:r w:rsidR="00F737B9" w:rsidRPr="00812C16">
        <w:rPr>
          <w:rFonts w:cs="Arial"/>
        </w:rPr>
        <w:t xml:space="preserve">. </w:t>
      </w:r>
      <w:r w:rsidR="004149D8" w:rsidRPr="00812C16">
        <w:rPr>
          <w:rFonts w:cs="Arial"/>
        </w:rPr>
        <w:t xml:space="preserve">Neben dem </w:t>
      </w:r>
      <w:r w:rsidR="004F36E9" w:rsidRPr="00812C16">
        <w:rPr>
          <w:rFonts w:cs="Arial"/>
        </w:rPr>
        <w:t>konventionellen</w:t>
      </w:r>
      <w:r w:rsidR="004149D8" w:rsidRPr="00812C16">
        <w:rPr>
          <w:rFonts w:cs="Arial"/>
        </w:rPr>
        <w:t xml:space="preserve"> Plattenepithelkarzinom werden von der WHO</w:t>
      </w:r>
      <w:r w:rsidR="0089792A" w:rsidRPr="00812C16">
        <w:rPr>
          <w:rFonts w:cs="Arial"/>
        </w:rPr>
        <w:t xml:space="preserve">, das verruköse Karzinom, Spindelzellkarzinom, </w:t>
      </w:r>
      <w:r w:rsidR="00C03F7E" w:rsidRPr="00812C16">
        <w:rPr>
          <w:rFonts w:cs="Arial"/>
        </w:rPr>
        <w:t xml:space="preserve">des </w:t>
      </w:r>
      <w:proofErr w:type="spellStart"/>
      <w:r w:rsidR="00C03F7E" w:rsidRPr="00812C16">
        <w:rPr>
          <w:rFonts w:cs="Arial"/>
        </w:rPr>
        <w:t>Basaloides</w:t>
      </w:r>
      <w:proofErr w:type="spellEnd"/>
      <w:r w:rsidR="00C03F7E" w:rsidRPr="00812C16">
        <w:rPr>
          <w:rFonts w:cs="Arial"/>
        </w:rPr>
        <w:t xml:space="preserve"> Karzinom und das </w:t>
      </w:r>
      <w:proofErr w:type="spellStart"/>
      <w:r w:rsidR="00C03F7E" w:rsidRPr="00812C16">
        <w:rPr>
          <w:rFonts w:cs="Arial"/>
        </w:rPr>
        <w:t>Lymphoepitheliales</w:t>
      </w:r>
      <w:proofErr w:type="spellEnd"/>
      <w:r w:rsidR="00C03F7E" w:rsidRPr="00812C16">
        <w:rPr>
          <w:rFonts w:cs="Arial"/>
        </w:rPr>
        <w:t xml:space="preserve"> Karzinom </w:t>
      </w:r>
      <w:r w:rsidR="0089792A" w:rsidRPr="00812C16">
        <w:rPr>
          <w:rFonts w:cs="Arial"/>
        </w:rPr>
        <w:t xml:space="preserve">als </w:t>
      </w:r>
      <w:r w:rsidR="00C03F7E" w:rsidRPr="00812C16">
        <w:rPr>
          <w:rFonts w:cs="Arial"/>
        </w:rPr>
        <w:t xml:space="preserve">seltene histopathologische </w:t>
      </w:r>
      <w:r w:rsidR="0089792A" w:rsidRPr="00812C16">
        <w:rPr>
          <w:rFonts w:cs="Arial"/>
        </w:rPr>
        <w:t>Subtypen untersch</w:t>
      </w:r>
      <w:r w:rsidR="00C03F7E" w:rsidRPr="00812C16">
        <w:rPr>
          <w:rFonts w:cs="Arial"/>
        </w:rPr>
        <w:t xml:space="preserve">ieden </w:t>
      </w:r>
      <w:r w:rsidR="000112D9">
        <w:rPr>
          <w:rFonts w:cs="Arial"/>
        </w:rPr>
        <w:fldChar w:fldCharType="begin">
          <w:fldData xml:space="preserve">PEVuZE5vdGU+PENpdGU+PEF1dGhvcj5CYXJuZXM8L0F1dGhvcj48WWVhcj4yMDA1PC9ZZWFyPjxS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7" w:tooltip="Barnes, 2005 #458" w:history="1">
        <w:r w:rsidR="009D0F7A" w:rsidRPr="009D0F7A">
          <w:rPr>
            <w:rStyle w:val="Hyperlink"/>
          </w:rPr>
          <w:t>Barnes et al., 2005</w:t>
        </w:r>
      </w:hyperlink>
      <w:r w:rsidR="000112D9">
        <w:rPr>
          <w:rFonts w:cs="Arial"/>
          <w:noProof/>
        </w:rPr>
        <w:t>)</w:t>
      </w:r>
      <w:r w:rsidR="000112D9">
        <w:rPr>
          <w:rFonts w:cs="Arial"/>
        </w:rPr>
        <w:fldChar w:fldCharType="end"/>
      </w:r>
      <w:r w:rsidR="005E17BA" w:rsidRPr="00812C16">
        <w:rPr>
          <w:rFonts w:cs="Arial"/>
        </w:rPr>
        <w:t>.</w:t>
      </w:r>
    </w:p>
    <w:p w14:paraId="7196D816" w14:textId="5637EE82" w:rsidR="00A126D9" w:rsidRPr="00812C16" w:rsidRDefault="00A126D9" w:rsidP="00A126D9">
      <w:pPr>
        <w:pStyle w:val="Beschriftung"/>
        <w:keepNext/>
        <w:spacing w:before="360" w:after="0"/>
        <w:rPr>
          <w:b/>
          <w:bCs/>
          <w:i w:val="0"/>
          <w:iCs w:val="0"/>
          <w:color w:val="000000" w:themeColor="text1"/>
          <w:sz w:val="20"/>
          <w:szCs w:val="20"/>
        </w:rPr>
      </w:pPr>
      <w:bookmarkStart w:id="17" w:name="_Ref92690642"/>
      <w:bookmarkStart w:id="18" w:name="_Toc180788389"/>
      <w:r w:rsidRPr="00812C16">
        <w:rPr>
          <w:b/>
          <w:bCs/>
          <w:i w:val="0"/>
          <w:iCs w:val="0"/>
          <w:color w:val="000000" w:themeColor="text1"/>
          <w:sz w:val="20"/>
          <w:szCs w:val="20"/>
        </w:rPr>
        <w:lastRenderedPageBreak/>
        <w:t xml:space="preserve">Tabelle </w:t>
      </w:r>
      <w:r w:rsidRPr="00812C16">
        <w:rPr>
          <w:b/>
          <w:bCs/>
          <w:i w:val="0"/>
          <w:iCs w:val="0"/>
          <w:color w:val="000000" w:themeColor="text1"/>
          <w:sz w:val="20"/>
          <w:szCs w:val="20"/>
        </w:rPr>
        <w:fldChar w:fldCharType="begin"/>
      </w:r>
      <w:r w:rsidRPr="00812C16">
        <w:rPr>
          <w:b/>
          <w:bCs/>
          <w:i w:val="0"/>
          <w:iCs w:val="0"/>
          <w:color w:val="000000" w:themeColor="text1"/>
          <w:sz w:val="20"/>
          <w:szCs w:val="20"/>
        </w:rPr>
        <w:instrText xml:space="preserve"> STYLEREF 1 \s </w:instrText>
      </w:r>
      <w:r w:rsidRPr="00812C16">
        <w:rPr>
          <w:b/>
          <w:bCs/>
          <w:i w:val="0"/>
          <w:iCs w:val="0"/>
          <w:color w:val="000000" w:themeColor="text1"/>
          <w:sz w:val="20"/>
          <w:szCs w:val="20"/>
        </w:rPr>
        <w:fldChar w:fldCharType="separate"/>
      </w:r>
      <w:r w:rsidR="00F67803">
        <w:rPr>
          <w:b/>
          <w:bCs/>
          <w:i w:val="0"/>
          <w:iCs w:val="0"/>
          <w:noProof/>
          <w:color w:val="000000" w:themeColor="text1"/>
          <w:sz w:val="20"/>
          <w:szCs w:val="20"/>
        </w:rPr>
        <w:t>1</w:t>
      </w:r>
      <w:r w:rsidRPr="00812C16">
        <w:rPr>
          <w:b/>
          <w:bCs/>
          <w:i w:val="0"/>
          <w:iCs w:val="0"/>
          <w:color w:val="000000" w:themeColor="text1"/>
          <w:sz w:val="20"/>
          <w:szCs w:val="20"/>
        </w:rPr>
        <w:fldChar w:fldCharType="end"/>
      </w:r>
      <w:r w:rsidRPr="00812C16">
        <w:rPr>
          <w:b/>
          <w:bCs/>
          <w:i w:val="0"/>
          <w:iCs w:val="0"/>
          <w:color w:val="000000" w:themeColor="text1"/>
          <w:sz w:val="20"/>
          <w:szCs w:val="20"/>
        </w:rPr>
        <w:noBreakHyphen/>
      </w:r>
      <w:r w:rsidRPr="00812C16">
        <w:rPr>
          <w:b/>
          <w:bCs/>
          <w:i w:val="0"/>
          <w:iCs w:val="0"/>
          <w:color w:val="000000" w:themeColor="text1"/>
          <w:sz w:val="20"/>
          <w:szCs w:val="20"/>
        </w:rPr>
        <w:fldChar w:fldCharType="begin"/>
      </w:r>
      <w:r w:rsidRPr="00812C16">
        <w:rPr>
          <w:b/>
          <w:bCs/>
          <w:i w:val="0"/>
          <w:iCs w:val="0"/>
          <w:color w:val="000000" w:themeColor="text1"/>
          <w:sz w:val="20"/>
          <w:szCs w:val="20"/>
        </w:rPr>
        <w:instrText xml:space="preserve"> SEQ Tabelle \* ARABIC \s 1 </w:instrText>
      </w:r>
      <w:r w:rsidRPr="00812C16">
        <w:rPr>
          <w:b/>
          <w:bCs/>
          <w:i w:val="0"/>
          <w:iCs w:val="0"/>
          <w:color w:val="000000" w:themeColor="text1"/>
          <w:sz w:val="20"/>
          <w:szCs w:val="20"/>
        </w:rPr>
        <w:fldChar w:fldCharType="separate"/>
      </w:r>
      <w:r w:rsidR="00F67803">
        <w:rPr>
          <w:b/>
          <w:bCs/>
          <w:i w:val="0"/>
          <w:iCs w:val="0"/>
          <w:noProof/>
          <w:color w:val="000000" w:themeColor="text1"/>
          <w:sz w:val="20"/>
          <w:szCs w:val="20"/>
        </w:rPr>
        <w:t>3</w:t>
      </w:r>
      <w:r w:rsidRPr="00812C16">
        <w:rPr>
          <w:b/>
          <w:bCs/>
          <w:i w:val="0"/>
          <w:iCs w:val="0"/>
          <w:color w:val="000000" w:themeColor="text1"/>
          <w:sz w:val="20"/>
          <w:szCs w:val="20"/>
        </w:rPr>
        <w:fldChar w:fldCharType="end"/>
      </w:r>
      <w:bookmarkEnd w:id="17"/>
      <w:r w:rsidRPr="00812C16">
        <w:rPr>
          <w:b/>
          <w:bCs/>
          <w:i w:val="0"/>
          <w:iCs w:val="0"/>
          <w:color w:val="000000" w:themeColor="text1"/>
          <w:sz w:val="20"/>
          <w:szCs w:val="20"/>
        </w:rPr>
        <w:t xml:space="preserve">: </w:t>
      </w:r>
      <w:r w:rsidR="0058149D" w:rsidRPr="00812C16">
        <w:rPr>
          <w:b/>
          <w:bCs/>
          <w:i w:val="0"/>
          <w:iCs w:val="0"/>
          <w:color w:val="000000" w:themeColor="text1"/>
          <w:sz w:val="20"/>
          <w:szCs w:val="20"/>
        </w:rPr>
        <w:t>H</w:t>
      </w:r>
      <w:r w:rsidRPr="00812C16">
        <w:rPr>
          <w:b/>
          <w:bCs/>
          <w:i w:val="0"/>
          <w:iCs w:val="0"/>
          <w:color w:val="000000" w:themeColor="text1"/>
          <w:sz w:val="20"/>
          <w:szCs w:val="20"/>
        </w:rPr>
        <w:t xml:space="preserve">istopathologische Subtypen des </w:t>
      </w:r>
      <w:r w:rsidR="006C2EE5" w:rsidRPr="00812C16">
        <w:rPr>
          <w:b/>
          <w:bCs/>
          <w:i w:val="0"/>
          <w:iCs w:val="0"/>
          <w:color w:val="000000" w:themeColor="text1"/>
          <w:sz w:val="20"/>
          <w:szCs w:val="20"/>
        </w:rPr>
        <w:t>Plattenepithelkarzinoms</w:t>
      </w:r>
      <w:bookmarkEnd w:id="18"/>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085"/>
      </w:tblGrid>
      <w:tr w:rsidR="00A126D9" w:rsidRPr="00812C16" w14:paraId="47264925" w14:textId="77777777" w:rsidTr="004F36E9">
        <w:tc>
          <w:tcPr>
            <w:tcW w:w="1985" w:type="dxa"/>
            <w:tcBorders>
              <w:top w:val="single" w:sz="4" w:space="0" w:color="000000" w:themeColor="text1"/>
              <w:bottom w:val="single" w:sz="4" w:space="0" w:color="000000" w:themeColor="text1"/>
            </w:tcBorders>
          </w:tcPr>
          <w:p w14:paraId="42ECBB47" w14:textId="77777777" w:rsidR="00A126D9" w:rsidRPr="00812C16" w:rsidRDefault="00A126D9" w:rsidP="004149D8">
            <w:pPr>
              <w:spacing w:before="60" w:after="60" w:line="360" w:lineRule="auto"/>
              <w:rPr>
                <w:rFonts w:cs="Arial"/>
                <w:b/>
                <w:bCs/>
                <w:sz w:val="18"/>
                <w:szCs w:val="18"/>
              </w:rPr>
            </w:pPr>
            <w:r w:rsidRPr="00812C16">
              <w:rPr>
                <w:rFonts w:cs="Arial"/>
                <w:b/>
                <w:bCs/>
                <w:sz w:val="18"/>
                <w:szCs w:val="18"/>
              </w:rPr>
              <w:t>Subtyp</w:t>
            </w:r>
          </w:p>
        </w:tc>
        <w:tc>
          <w:tcPr>
            <w:tcW w:w="7085" w:type="dxa"/>
            <w:tcBorders>
              <w:top w:val="single" w:sz="4" w:space="0" w:color="000000" w:themeColor="text1"/>
              <w:bottom w:val="single" w:sz="4" w:space="0" w:color="000000" w:themeColor="text1"/>
            </w:tcBorders>
          </w:tcPr>
          <w:p w14:paraId="0ED9733B" w14:textId="77777777" w:rsidR="00A126D9" w:rsidRPr="00812C16" w:rsidRDefault="00855275" w:rsidP="004149D8">
            <w:pPr>
              <w:spacing w:before="60" w:after="60" w:line="360" w:lineRule="auto"/>
              <w:rPr>
                <w:rFonts w:cs="Arial"/>
                <w:b/>
                <w:bCs/>
                <w:sz w:val="18"/>
                <w:szCs w:val="18"/>
              </w:rPr>
            </w:pPr>
            <w:r w:rsidRPr="00812C16">
              <w:rPr>
                <w:rFonts w:cs="Arial"/>
                <w:b/>
                <w:bCs/>
                <w:sz w:val="18"/>
                <w:szCs w:val="18"/>
              </w:rPr>
              <w:t xml:space="preserve">Pathologie – Morphologie </w:t>
            </w:r>
          </w:p>
        </w:tc>
      </w:tr>
      <w:tr w:rsidR="00A126D9" w:rsidRPr="00812C16" w14:paraId="23AF7EC0" w14:textId="77777777" w:rsidTr="004F36E9">
        <w:tc>
          <w:tcPr>
            <w:tcW w:w="1985" w:type="dxa"/>
            <w:tcBorders>
              <w:top w:val="single" w:sz="4" w:space="0" w:color="000000" w:themeColor="text1"/>
              <w:bottom w:val="single" w:sz="4" w:space="0" w:color="D0CECE" w:themeColor="background2" w:themeShade="E6"/>
            </w:tcBorders>
          </w:tcPr>
          <w:p w14:paraId="22D0D873" w14:textId="77777777" w:rsidR="0070454B" w:rsidRPr="00812C16" w:rsidRDefault="00A126D9" w:rsidP="00C03F7E">
            <w:pPr>
              <w:spacing w:before="60" w:after="60" w:line="360" w:lineRule="auto"/>
              <w:jc w:val="left"/>
              <w:rPr>
                <w:rFonts w:cs="Arial"/>
                <w:b/>
                <w:bCs/>
                <w:sz w:val="18"/>
                <w:szCs w:val="18"/>
              </w:rPr>
            </w:pPr>
            <w:r w:rsidRPr="00812C16">
              <w:rPr>
                <w:rFonts w:cs="Arial"/>
                <w:b/>
                <w:bCs/>
                <w:sz w:val="18"/>
                <w:szCs w:val="18"/>
              </w:rPr>
              <w:t>Verruköses Karzinom</w:t>
            </w:r>
          </w:p>
          <w:p w14:paraId="410C7C9C" w14:textId="2A4C1960" w:rsidR="00A126D9" w:rsidRPr="00812C16" w:rsidRDefault="000112D9" w:rsidP="00C03F7E">
            <w:pPr>
              <w:spacing w:before="60" w:after="60" w:line="360" w:lineRule="auto"/>
              <w:jc w:val="left"/>
              <w:rPr>
                <w:rFonts w:cs="Arial"/>
                <w:i/>
                <w:iCs/>
                <w:sz w:val="18"/>
                <w:szCs w:val="18"/>
              </w:rPr>
            </w:pPr>
            <w:r>
              <w:rPr>
                <w:rFonts w:cs="Arial"/>
                <w:i/>
                <w:iCs/>
                <w:sz w:val="18"/>
                <w:szCs w:val="18"/>
              </w:rPr>
              <w:fldChar w:fldCharType="begin">
                <w:fldData xml:space="preserve">PEVuZE5vdGU+PENpdGU+PEF1dGhvcj5CYXJuZXM8L0F1dGhvcj48WWVhcj4yMDA1PC9ZZWFyPjxS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</w:fldData>
              </w:fldChar>
            </w:r>
            <w:r>
              <w:rPr>
                <w:rFonts w:cs="Arial"/>
                <w:i/>
                <w:iCs/>
                <w:sz w:val="18"/>
                <w:szCs w:val="18"/>
              </w:rPr>
              <w:instrText xml:space="preserve"> ADDIN EN.JS.CITE </w:instrText>
            </w:r>
            <w:r>
              <w:rPr>
                <w:rFonts w:cs="Arial"/>
                <w:i/>
                <w:iCs/>
                <w:sz w:val="18"/>
                <w:szCs w:val="18"/>
              </w:rPr>
            </w:r>
            <w:r>
              <w:rPr>
                <w:rFonts w:cs="Arial"/>
                <w:i/>
                <w:iCs/>
                <w:sz w:val="18"/>
                <w:szCs w:val="18"/>
              </w:rPr>
              <w:fldChar w:fldCharType="separate"/>
            </w:r>
            <w:r>
              <w:rPr>
                <w:rFonts w:cs="Arial"/>
                <w:i/>
                <w:iCs/>
                <w:noProof/>
                <w:sz w:val="18"/>
                <w:szCs w:val="18"/>
              </w:rPr>
              <w:t>(</w:t>
            </w:r>
            <w:hyperlink w:anchor="_ENREF_7" w:tooltip="Barnes, 2005 #458" w:history="1">
              <w:r w:rsidR="009D0F7A" w:rsidRPr="009D0F7A">
                <w:rPr>
                  <w:rStyle w:val="Hyperlink"/>
                </w:rPr>
                <w:t>Barnes et al., 2005</w:t>
              </w:r>
            </w:hyperlink>
            <w:r>
              <w:rPr>
                <w:rFonts w:cs="Arial"/>
                <w:i/>
                <w:iCs/>
                <w:noProof/>
                <w:sz w:val="18"/>
                <w:szCs w:val="18"/>
              </w:rPr>
              <w:t xml:space="preserve">; </w:t>
            </w:r>
            <w:hyperlink w:anchor="_ENREF_16" w:tooltip="Cardesa, 2008 #678" w:history="1">
              <w:r w:rsidR="009D0F7A" w:rsidRPr="009D0F7A">
                <w:rPr>
                  <w:rStyle w:val="Hyperlink"/>
                </w:rPr>
                <w:t>Cardesa et al., 2008</w:t>
              </w:r>
            </w:hyperlink>
            <w:r>
              <w:rPr>
                <w:rFonts w:cs="Arial"/>
                <w:i/>
                <w:iCs/>
                <w:noProof/>
                <w:sz w:val="18"/>
                <w:szCs w:val="18"/>
              </w:rPr>
              <w:t>)</w:t>
            </w:r>
            <w:r>
              <w:rPr>
                <w:rFonts w:cs="Arial"/>
                <w:i/>
                <w:iCs/>
                <w:sz w:val="18"/>
                <w:szCs w:val="18"/>
              </w:rPr>
              <w:fldChar w:fldCharType="end"/>
            </w:r>
          </w:p>
        </w:tc>
        <w:tc>
          <w:tcPr>
            <w:tcW w:w="7085" w:type="dxa"/>
            <w:tcBorders>
              <w:top w:val="single" w:sz="4" w:space="0" w:color="000000" w:themeColor="text1"/>
              <w:bottom w:val="single" w:sz="4" w:space="0" w:color="D0CECE" w:themeColor="background2" w:themeShade="E6"/>
            </w:tcBorders>
          </w:tcPr>
          <w:p w14:paraId="1715356E" w14:textId="77777777" w:rsidR="00A126D9" w:rsidRPr="00812C16" w:rsidRDefault="00B711BB" w:rsidP="004149D8">
            <w:pPr>
              <w:spacing w:before="60" w:after="60" w:line="360" w:lineRule="auto"/>
              <w:rPr>
                <w:rFonts w:cs="Arial"/>
                <w:sz w:val="18"/>
                <w:szCs w:val="18"/>
              </w:rPr>
            </w:pPr>
            <w:r w:rsidRPr="00812C16">
              <w:rPr>
                <w:rFonts w:cs="Arial"/>
                <w:b/>
                <w:bCs/>
                <w:sz w:val="18"/>
                <w:szCs w:val="18"/>
              </w:rPr>
              <w:t>Häufigkeit:</w:t>
            </w:r>
            <w:r w:rsidRPr="00812C16">
              <w:rPr>
                <w:rFonts w:cs="Arial"/>
                <w:sz w:val="18"/>
                <w:szCs w:val="18"/>
              </w:rPr>
              <w:t xml:space="preserve"> </w:t>
            </w:r>
            <w:r w:rsidR="004D0C61" w:rsidRPr="00812C16">
              <w:rPr>
                <w:rFonts w:cs="Arial"/>
                <w:sz w:val="18"/>
                <w:szCs w:val="18"/>
              </w:rPr>
              <w:t xml:space="preserve">Betrifft </w:t>
            </w:r>
            <w:r w:rsidR="00E425C7" w:rsidRPr="00812C16">
              <w:rPr>
                <w:rFonts w:cs="Arial"/>
                <w:sz w:val="18"/>
                <w:szCs w:val="18"/>
              </w:rPr>
              <w:t xml:space="preserve">2-3 % aller </w:t>
            </w:r>
            <w:r w:rsidR="0067382E" w:rsidRPr="00812C16">
              <w:rPr>
                <w:rFonts w:cs="Arial"/>
                <w:sz w:val="18"/>
                <w:szCs w:val="18"/>
              </w:rPr>
              <w:t xml:space="preserve">Plattenepithelkarzinomen </w:t>
            </w:r>
            <w:r w:rsidR="004D0C61" w:rsidRPr="00812C16">
              <w:rPr>
                <w:rFonts w:cs="Arial"/>
                <w:sz w:val="18"/>
                <w:szCs w:val="18"/>
              </w:rPr>
              <w:t>des Kopf-Hals-Bereichs mit Hauptlokalisation im Mundraum und Kehlkopf</w:t>
            </w:r>
            <w:r w:rsidR="005A4B51" w:rsidRPr="00812C16">
              <w:rPr>
                <w:rFonts w:cs="Arial"/>
                <w:sz w:val="18"/>
                <w:szCs w:val="18"/>
              </w:rPr>
              <w:t>.</w:t>
            </w:r>
            <w:r w:rsidR="004D0C61" w:rsidRPr="00812C16">
              <w:rPr>
                <w:rFonts w:cs="Arial"/>
                <w:sz w:val="18"/>
                <w:szCs w:val="18"/>
              </w:rPr>
              <w:t xml:space="preserve"> </w:t>
            </w:r>
            <w:r w:rsidRPr="00812C16">
              <w:rPr>
                <w:rFonts w:cs="Arial"/>
                <w:b/>
                <w:bCs/>
                <w:sz w:val="18"/>
                <w:szCs w:val="18"/>
              </w:rPr>
              <w:t>Makroskopisch:</w:t>
            </w:r>
            <w:r w:rsidR="00501FB4" w:rsidRPr="00812C16">
              <w:rPr>
                <w:rFonts w:cs="Arial"/>
                <w:sz w:val="18"/>
                <w:szCs w:val="18"/>
              </w:rPr>
              <w:t xml:space="preserve"> </w:t>
            </w:r>
            <w:r w:rsidR="009A07BE" w:rsidRPr="00812C16">
              <w:rPr>
                <w:rFonts w:cs="Arial"/>
                <w:sz w:val="18"/>
                <w:szCs w:val="18"/>
              </w:rPr>
              <w:t>I</w:t>
            </w:r>
            <w:r w:rsidR="00501FB4" w:rsidRPr="00812C16">
              <w:rPr>
                <w:rFonts w:cs="Arial"/>
                <w:sz w:val="18"/>
                <w:szCs w:val="18"/>
              </w:rPr>
              <w:t xml:space="preserve">nitial </w:t>
            </w:r>
            <w:r w:rsidR="005A4B51" w:rsidRPr="00812C16">
              <w:rPr>
                <w:rFonts w:cs="Arial"/>
                <w:sz w:val="18"/>
                <w:szCs w:val="18"/>
              </w:rPr>
              <w:t>papillär-</w:t>
            </w:r>
            <w:r w:rsidR="00501FB4" w:rsidRPr="00812C16">
              <w:rPr>
                <w:rFonts w:cs="Arial"/>
                <w:sz w:val="18"/>
                <w:szCs w:val="18"/>
              </w:rPr>
              <w:t xml:space="preserve">exophytisch, später </w:t>
            </w:r>
            <w:r w:rsidR="005A4B51" w:rsidRPr="00812C16">
              <w:rPr>
                <w:rFonts w:cs="Arial"/>
                <w:sz w:val="18"/>
                <w:szCs w:val="18"/>
              </w:rPr>
              <w:t>papillär-</w:t>
            </w:r>
            <w:r w:rsidR="00501FB4" w:rsidRPr="00812C16">
              <w:rPr>
                <w:rFonts w:cs="Arial"/>
                <w:sz w:val="18"/>
                <w:szCs w:val="18"/>
              </w:rPr>
              <w:t>endophytisch</w:t>
            </w:r>
            <w:r w:rsidR="00855275" w:rsidRPr="00812C16">
              <w:rPr>
                <w:rFonts w:cs="Arial"/>
                <w:sz w:val="18"/>
                <w:szCs w:val="18"/>
              </w:rPr>
              <w:t xml:space="preserve"> </w:t>
            </w:r>
            <w:r w:rsidR="00D262D2" w:rsidRPr="00812C16">
              <w:rPr>
                <w:rFonts w:cs="Arial"/>
                <w:sz w:val="18"/>
                <w:szCs w:val="18"/>
              </w:rPr>
              <w:t>langsam w</w:t>
            </w:r>
            <w:r w:rsidR="00855275" w:rsidRPr="00812C16">
              <w:rPr>
                <w:rFonts w:cs="Arial"/>
                <w:sz w:val="18"/>
                <w:szCs w:val="18"/>
              </w:rPr>
              <w:t>achsender Tumor mit stark verhornter (</w:t>
            </w:r>
            <w:proofErr w:type="spellStart"/>
            <w:r w:rsidR="00855275" w:rsidRPr="00812C16">
              <w:rPr>
                <w:rFonts w:cs="Arial"/>
                <w:sz w:val="18"/>
                <w:szCs w:val="18"/>
              </w:rPr>
              <w:t>leukoplaktischer</w:t>
            </w:r>
            <w:proofErr w:type="spellEnd"/>
            <w:r w:rsidR="00855275" w:rsidRPr="00812C16">
              <w:rPr>
                <w:rFonts w:cs="Arial"/>
                <w:sz w:val="18"/>
                <w:szCs w:val="18"/>
              </w:rPr>
              <w:t>) Oberfläche</w:t>
            </w:r>
            <w:r w:rsidR="004F5C7F" w:rsidRPr="00812C16">
              <w:rPr>
                <w:rFonts w:cs="Arial"/>
                <w:sz w:val="18"/>
                <w:szCs w:val="18"/>
              </w:rPr>
              <w:t xml:space="preserve">, </w:t>
            </w:r>
            <w:r w:rsidR="005A4B51" w:rsidRPr="00812C16">
              <w:rPr>
                <w:rFonts w:cs="Arial"/>
                <w:sz w:val="18"/>
                <w:szCs w:val="18"/>
              </w:rPr>
              <w:t>der spät metastasiert.</w:t>
            </w:r>
            <w:r w:rsidR="00C03F7E" w:rsidRPr="00812C16">
              <w:rPr>
                <w:rFonts w:cs="Arial"/>
                <w:sz w:val="18"/>
                <w:szCs w:val="18"/>
              </w:rPr>
              <w:t xml:space="preserve"> </w:t>
            </w:r>
            <w:r w:rsidRPr="00812C16">
              <w:rPr>
                <w:rFonts w:cs="Arial"/>
                <w:b/>
                <w:bCs/>
                <w:sz w:val="18"/>
                <w:szCs w:val="18"/>
              </w:rPr>
              <w:t xml:space="preserve">Mikroskopisch: </w:t>
            </w:r>
            <w:r w:rsidR="00C316FC" w:rsidRPr="00812C16">
              <w:rPr>
                <w:rFonts w:cs="Arial"/>
                <w:sz w:val="18"/>
                <w:szCs w:val="18"/>
              </w:rPr>
              <w:t xml:space="preserve">Tumorzellen sind in der basalen Schicht in Verbänden angeordnet und zeigen ein breitflächig verdrängendes Wachstum mit </w:t>
            </w:r>
            <w:r w:rsidR="00210A8C" w:rsidRPr="00812C16">
              <w:rPr>
                <w:rFonts w:cs="Arial"/>
                <w:sz w:val="18"/>
                <w:szCs w:val="18"/>
              </w:rPr>
              <w:t>erhaltener</w:t>
            </w:r>
            <w:r w:rsidR="00C316FC" w:rsidRPr="00812C16">
              <w:rPr>
                <w:rFonts w:cs="Arial"/>
                <w:sz w:val="18"/>
                <w:szCs w:val="18"/>
              </w:rPr>
              <w:t xml:space="preserve"> Basalme</w:t>
            </w:r>
            <w:r w:rsidR="00210A8C" w:rsidRPr="00812C16">
              <w:rPr>
                <w:rFonts w:cs="Arial"/>
                <w:sz w:val="18"/>
                <w:szCs w:val="18"/>
              </w:rPr>
              <w:t>mb</w:t>
            </w:r>
            <w:r w:rsidR="00C316FC" w:rsidRPr="00812C16">
              <w:rPr>
                <w:rFonts w:cs="Arial"/>
                <w:sz w:val="18"/>
                <w:szCs w:val="18"/>
              </w:rPr>
              <w:t xml:space="preserve">ran im Sinne einer plumpen </w:t>
            </w:r>
            <w:proofErr w:type="spellStart"/>
            <w:r w:rsidR="00C316FC" w:rsidRPr="00812C16">
              <w:rPr>
                <w:rFonts w:cs="Arial"/>
                <w:sz w:val="18"/>
                <w:szCs w:val="18"/>
              </w:rPr>
              <w:t>Stroma</w:t>
            </w:r>
            <w:r w:rsidR="00210A8C" w:rsidRPr="00812C16">
              <w:rPr>
                <w:rFonts w:cs="Arial"/>
                <w:sz w:val="18"/>
                <w:szCs w:val="18"/>
              </w:rPr>
              <w:t>infiltration</w:t>
            </w:r>
            <w:proofErr w:type="spellEnd"/>
            <w:r w:rsidR="00C316FC" w:rsidRPr="00812C16">
              <w:rPr>
                <w:rFonts w:cs="Arial"/>
                <w:sz w:val="18"/>
                <w:szCs w:val="18"/>
              </w:rPr>
              <w:t xml:space="preserve">. </w:t>
            </w:r>
            <w:r w:rsidR="009A07BE" w:rsidRPr="00812C16">
              <w:rPr>
                <w:rFonts w:cs="Arial"/>
                <w:sz w:val="18"/>
                <w:szCs w:val="18"/>
              </w:rPr>
              <w:t xml:space="preserve">Oberflächliche Areale imponieren als plump-papillär verbreitertes, ausgereiftes Plattenepithel mit weitgehend fehlender </w:t>
            </w:r>
            <w:proofErr w:type="spellStart"/>
            <w:r w:rsidR="009A07BE" w:rsidRPr="00812C16">
              <w:rPr>
                <w:rFonts w:cs="Arial"/>
                <w:sz w:val="18"/>
                <w:szCs w:val="18"/>
              </w:rPr>
              <w:t>Zellatypien</w:t>
            </w:r>
            <w:proofErr w:type="spellEnd"/>
            <w:r w:rsidR="009A07BE" w:rsidRPr="00812C16">
              <w:rPr>
                <w:rFonts w:cs="Arial"/>
                <w:sz w:val="18"/>
                <w:szCs w:val="18"/>
              </w:rPr>
              <w:t xml:space="preserve"> </w:t>
            </w:r>
            <w:r w:rsidR="004D34DC" w:rsidRPr="00812C16">
              <w:rPr>
                <w:rFonts w:cs="Arial"/>
                <w:sz w:val="18"/>
                <w:szCs w:val="18"/>
              </w:rPr>
              <w:t xml:space="preserve">und </w:t>
            </w:r>
            <w:r w:rsidR="00210A8C" w:rsidRPr="00812C16">
              <w:rPr>
                <w:rFonts w:cs="Arial"/>
                <w:sz w:val="18"/>
                <w:szCs w:val="18"/>
              </w:rPr>
              <w:t>unauffälliger</w:t>
            </w:r>
            <w:r w:rsidR="004D34DC" w:rsidRPr="00812C16">
              <w:rPr>
                <w:rFonts w:cs="Arial"/>
                <w:sz w:val="18"/>
                <w:szCs w:val="18"/>
              </w:rPr>
              <w:t xml:space="preserve"> Mitoserate</w:t>
            </w:r>
            <w:r w:rsidR="00C316FC" w:rsidRPr="00812C16">
              <w:rPr>
                <w:rFonts w:cs="Arial"/>
                <w:sz w:val="18"/>
                <w:szCs w:val="18"/>
              </w:rPr>
              <w:t xml:space="preserve">. Die fokale Dysplasie und </w:t>
            </w:r>
            <w:proofErr w:type="spellStart"/>
            <w:r w:rsidR="00C316FC" w:rsidRPr="00812C16">
              <w:rPr>
                <w:rFonts w:cs="Arial"/>
                <w:sz w:val="18"/>
                <w:szCs w:val="18"/>
              </w:rPr>
              <w:t>Atypien</w:t>
            </w:r>
            <w:proofErr w:type="spellEnd"/>
            <w:r w:rsidR="00C316FC" w:rsidRPr="00812C16">
              <w:rPr>
                <w:rFonts w:cs="Arial"/>
                <w:sz w:val="18"/>
                <w:szCs w:val="18"/>
              </w:rPr>
              <w:t xml:space="preserve"> sind auf die basale Schicht begrenzt, weshalb </w:t>
            </w:r>
            <w:r w:rsidR="00210A8C" w:rsidRPr="00812C16">
              <w:rPr>
                <w:rFonts w:cs="Arial"/>
                <w:sz w:val="18"/>
                <w:szCs w:val="18"/>
              </w:rPr>
              <w:t>eine sichere Diagnose</w:t>
            </w:r>
            <w:r w:rsidR="00C316FC" w:rsidRPr="00812C16">
              <w:rPr>
                <w:rFonts w:cs="Arial"/>
                <w:sz w:val="18"/>
                <w:szCs w:val="18"/>
              </w:rPr>
              <w:t xml:space="preserve"> an oberflächlichen Biopsien oft nicht gelingt. </w:t>
            </w:r>
          </w:p>
        </w:tc>
      </w:tr>
      <w:tr w:rsidR="00A126D9" w:rsidRPr="00812C16" w14:paraId="10CCD99E" w14:textId="77777777" w:rsidTr="004F36E9">
        <w:tc>
          <w:tcPr>
            <w:tcW w:w="1985" w:type="dxa"/>
            <w:tcBorders>
              <w:top w:val="single" w:sz="4" w:space="0" w:color="D0CECE" w:themeColor="background2" w:themeShade="E6"/>
              <w:bottom w:val="single" w:sz="4" w:space="0" w:color="D0CECE" w:themeColor="background2" w:themeShade="E6"/>
            </w:tcBorders>
          </w:tcPr>
          <w:p w14:paraId="1E9E51A9" w14:textId="77777777" w:rsidR="004149D8" w:rsidRPr="00812C16" w:rsidRDefault="00A126D9" w:rsidP="00C03F7E">
            <w:pPr>
              <w:spacing w:before="60" w:after="60" w:line="360" w:lineRule="auto"/>
              <w:jc w:val="left"/>
              <w:rPr>
                <w:rFonts w:cs="Arial"/>
                <w:b/>
                <w:bCs/>
                <w:sz w:val="18"/>
                <w:szCs w:val="18"/>
              </w:rPr>
            </w:pPr>
            <w:r w:rsidRPr="00812C16">
              <w:rPr>
                <w:rFonts w:cs="Arial"/>
                <w:b/>
                <w:bCs/>
                <w:sz w:val="18"/>
                <w:szCs w:val="18"/>
              </w:rPr>
              <w:t>Spindelzell</w:t>
            </w:r>
            <w:r w:rsidR="00E403E2" w:rsidRPr="00812C16">
              <w:rPr>
                <w:rFonts w:cs="Arial"/>
                <w:b/>
                <w:bCs/>
                <w:sz w:val="18"/>
                <w:szCs w:val="18"/>
              </w:rPr>
              <w:t>-</w:t>
            </w:r>
            <w:r w:rsidRPr="00812C16">
              <w:rPr>
                <w:rFonts w:cs="Arial"/>
                <w:b/>
                <w:bCs/>
                <w:sz w:val="18"/>
                <w:szCs w:val="18"/>
              </w:rPr>
              <w:t>karzinom</w:t>
            </w:r>
            <w:r w:rsidR="004402BE" w:rsidRPr="00812C16">
              <w:rPr>
                <w:rFonts w:cs="Arial"/>
                <w:b/>
                <w:bCs/>
                <w:sz w:val="18"/>
                <w:szCs w:val="18"/>
              </w:rPr>
              <w:t xml:space="preserve"> </w:t>
            </w:r>
          </w:p>
          <w:p w14:paraId="3AAF85EE" w14:textId="67321DBC" w:rsidR="00A126D9" w:rsidRPr="00812C16" w:rsidRDefault="000112D9" w:rsidP="00C03F7E">
            <w:pPr>
              <w:spacing w:before="60" w:after="60" w:line="360" w:lineRule="auto"/>
              <w:jc w:val="left"/>
              <w:rPr>
                <w:rFonts w:cs="Arial"/>
                <w:i/>
                <w:iCs/>
                <w:sz w:val="18"/>
                <w:szCs w:val="18"/>
              </w:rPr>
            </w:pPr>
            <w:r>
              <w:rPr>
                <w:rFonts w:cs="Arial"/>
                <w:i/>
                <w:iCs/>
                <w:sz w:val="18"/>
                <w:szCs w:val="18"/>
              </w:rPr>
              <w:fldChar w:fldCharType="begin">
                <w:fldData xml:space="preserve">PEVuZE5vdGU+PENpdGU+PEF1dGhvcj5UaG9tcHNvbjwvQXV0aG9yPjxZZWFyPjIwMDI8L1llYXI+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</w:fldData>
              </w:fldChar>
            </w:r>
            <w:r>
              <w:rPr>
                <w:rFonts w:cs="Arial"/>
                <w:i/>
                <w:iCs/>
                <w:sz w:val="18"/>
                <w:szCs w:val="18"/>
              </w:rPr>
              <w:instrText xml:space="preserve"> ADDIN EN.JS.CITE </w:instrText>
            </w:r>
            <w:r>
              <w:rPr>
                <w:rFonts w:cs="Arial"/>
                <w:i/>
                <w:iCs/>
                <w:sz w:val="18"/>
                <w:szCs w:val="18"/>
              </w:rPr>
            </w:r>
            <w:r>
              <w:rPr>
                <w:rFonts w:cs="Arial"/>
                <w:i/>
                <w:iCs/>
                <w:sz w:val="18"/>
                <w:szCs w:val="18"/>
              </w:rPr>
              <w:fldChar w:fldCharType="separate"/>
            </w:r>
            <w:r>
              <w:rPr>
                <w:rFonts w:cs="Arial"/>
                <w:i/>
                <w:iCs/>
                <w:noProof/>
                <w:sz w:val="18"/>
                <w:szCs w:val="18"/>
              </w:rPr>
              <w:t>(</w:t>
            </w:r>
            <w:hyperlink w:anchor="_ENREF_70" w:tooltip="Thompson, 2002 #692" w:history="1">
              <w:r w:rsidR="009D0F7A" w:rsidRPr="009D0F7A">
                <w:rPr>
                  <w:rStyle w:val="Hyperlink"/>
                </w:rPr>
                <w:t>Thompson et al., 2002</w:t>
              </w:r>
            </w:hyperlink>
            <w:r>
              <w:rPr>
                <w:rFonts w:cs="Arial"/>
                <w:i/>
                <w:iCs/>
                <w:noProof/>
                <w:sz w:val="18"/>
                <w:szCs w:val="18"/>
              </w:rPr>
              <w:t>)</w:t>
            </w:r>
            <w:r>
              <w:rPr>
                <w:rFonts w:cs="Arial"/>
                <w:i/>
                <w:iCs/>
                <w:sz w:val="18"/>
                <w:szCs w:val="18"/>
              </w:rPr>
              <w:fldChar w:fldCharType="end"/>
            </w:r>
          </w:p>
        </w:tc>
        <w:tc>
          <w:tcPr>
            <w:tcW w:w="7085" w:type="dxa"/>
            <w:tcBorders>
              <w:top w:val="single" w:sz="4" w:space="0" w:color="D0CECE" w:themeColor="background2" w:themeShade="E6"/>
              <w:bottom w:val="single" w:sz="4" w:space="0" w:color="D0CECE" w:themeColor="background2" w:themeShade="E6"/>
            </w:tcBorders>
          </w:tcPr>
          <w:p w14:paraId="7AB1C483" w14:textId="77777777" w:rsidR="00E403E2" w:rsidRPr="00812C16" w:rsidRDefault="00C62B84" w:rsidP="004149D8">
            <w:pPr>
              <w:spacing w:before="60" w:after="60" w:line="360" w:lineRule="auto"/>
              <w:rPr>
                <w:rFonts w:cs="Arial"/>
                <w:sz w:val="18"/>
                <w:szCs w:val="18"/>
              </w:rPr>
            </w:pPr>
            <w:r w:rsidRPr="00812C16">
              <w:rPr>
                <w:rFonts w:cs="Arial"/>
                <w:b/>
                <w:bCs/>
                <w:sz w:val="18"/>
                <w:szCs w:val="18"/>
              </w:rPr>
              <w:t>Häufigkeit:</w:t>
            </w:r>
            <w:r w:rsidRPr="00812C16">
              <w:rPr>
                <w:rFonts w:cs="Arial"/>
                <w:sz w:val="18"/>
                <w:szCs w:val="18"/>
              </w:rPr>
              <w:t xml:space="preserve"> Betrifft 0,3-1,3% aller </w:t>
            </w:r>
            <w:r w:rsidR="00C24369" w:rsidRPr="00812C16">
              <w:rPr>
                <w:rFonts w:cs="Arial"/>
                <w:sz w:val="18"/>
                <w:szCs w:val="18"/>
              </w:rPr>
              <w:t>Plattenepithelkarzinome mit</w:t>
            </w:r>
            <w:r w:rsidRPr="00812C16">
              <w:rPr>
                <w:rFonts w:cs="Arial"/>
                <w:sz w:val="18"/>
                <w:szCs w:val="18"/>
              </w:rPr>
              <w:t xml:space="preserve"> größter Häufigkeit im Hypopharynx und Larynx. </w:t>
            </w:r>
            <w:r w:rsidR="00E403E2" w:rsidRPr="00812C16">
              <w:rPr>
                <w:rFonts w:cs="Arial"/>
                <w:b/>
                <w:bCs/>
                <w:sz w:val="18"/>
                <w:szCs w:val="18"/>
              </w:rPr>
              <w:t>Makroskopisch:</w:t>
            </w:r>
            <w:r w:rsidR="00E403E2" w:rsidRPr="00812C16">
              <w:rPr>
                <w:rFonts w:cs="Arial"/>
                <w:sz w:val="18"/>
                <w:szCs w:val="18"/>
              </w:rPr>
              <w:t xml:space="preserve"> E</w:t>
            </w:r>
            <w:r w:rsidR="0004467D" w:rsidRPr="00812C16">
              <w:rPr>
                <w:rFonts w:cs="Arial"/>
                <w:sz w:val="18"/>
                <w:szCs w:val="18"/>
              </w:rPr>
              <w:t>xophytische polypoide oder gestielte Tumoren, die häufig eine oberflächliche Ulzeration aufweisen.</w:t>
            </w:r>
            <w:r w:rsidR="00C03F7E" w:rsidRPr="00812C16">
              <w:rPr>
                <w:rFonts w:cs="Arial"/>
                <w:sz w:val="18"/>
                <w:szCs w:val="18"/>
              </w:rPr>
              <w:t xml:space="preserve"> </w:t>
            </w:r>
            <w:r w:rsidR="00E403E2" w:rsidRPr="00812C16">
              <w:rPr>
                <w:rFonts w:cs="Arial"/>
                <w:b/>
                <w:bCs/>
                <w:sz w:val="18"/>
                <w:szCs w:val="18"/>
              </w:rPr>
              <w:t>Mikroskopisch:</w:t>
            </w:r>
            <w:r w:rsidR="00DD6849" w:rsidRPr="00812C16">
              <w:rPr>
                <w:rFonts w:cs="Arial"/>
                <w:sz w:val="18"/>
                <w:szCs w:val="18"/>
              </w:rPr>
              <w:t xml:space="preserve"> </w:t>
            </w:r>
            <w:r w:rsidR="00C24369" w:rsidRPr="00812C16">
              <w:rPr>
                <w:rFonts w:cs="Arial"/>
                <w:sz w:val="18"/>
                <w:szCs w:val="18"/>
              </w:rPr>
              <w:t xml:space="preserve">Enddifferenziertes </w:t>
            </w:r>
            <w:r w:rsidR="00DD6849" w:rsidRPr="00812C16">
              <w:rPr>
                <w:rFonts w:cs="Arial"/>
                <w:sz w:val="18"/>
                <w:szCs w:val="18"/>
              </w:rPr>
              <w:t>Plattenepithelkarzinom mit</w:t>
            </w:r>
            <w:r w:rsidR="00C24369" w:rsidRPr="00812C16">
              <w:rPr>
                <w:rFonts w:cs="Arial"/>
                <w:sz w:val="18"/>
                <w:szCs w:val="18"/>
              </w:rPr>
              <w:t xml:space="preserve"> einer dominierenden </w:t>
            </w:r>
            <w:proofErr w:type="spellStart"/>
            <w:r w:rsidR="00C24369" w:rsidRPr="00812C16">
              <w:rPr>
                <w:rFonts w:cs="Arial"/>
                <w:sz w:val="18"/>
                <w:szCs w:val="18"/>
              </w:rPr>
              <w:t>spindelzelligen</w:t>
            </w:r>
            <w:proofErr w:type="spellEnd"/>
            <w:r w:rsidR="00C24369" w:rsidRPr="00812C16">
              <w:rPr>
                <w:rFonts w:cs="Arial"/>
                <w:sz w:val="18"/>
                <w:szCs w:val="18"/>
              </w:rPr>
              <w:t xml:space="preserve"> Tumork</w:t>
            </w:r>
            <w:r w:rsidR="00DD6849" w:rsidRPr="00812C16">
              <w:rPr>
                <w:rFonts w:cs="Arial"/>
                <w:sz w:val="18"/>
                <w:szCs w:val="18"/>
              </w:rPr>
              <w:t>omponente. Die Spindelzellen sind oft pleomorph mit großen hyperchromatischen Kernen, prominenten Nukleoli und zahlreichen Mitosen</w:t>
            </w:r>
            <w:r w:rsidR="00F622C2" w:rsidRPr="00812C16">
              <w:rPr>
                <w:rFonts w:cs="Arial"/>
                <w:sz w:val="18"/>
                <w:szCs w:val="18"/>
              </w:rPr>
              <w:t>.</w:t>
            </w:r>
            <w:r w:rsidR="00DD6849" w:rsidRPr="00812C16">
              <w:rPr>
                <w:rFonts w:cs="Arial"/>
                <w:i/>
                <w:iCs/>
                <w:sz w:val="18"/>
                <w:szCs w:val="18"/>
              </w:rPr>
              <w:t xml:space="preserve"> </w:t>
            </w:r>
          </w:p>
        </w:tc>
      </w:tr>
      <w:tr w:rsidR="00A126D9" w:rsidRPr="00812C16" w14:paraId="7045CEAF" w14:textId="77777777" w:rsidTr="004F36E9">
        <w:tc>
          <w:tcPr>
            <w:tcW w:w="1985" w:type="dxa"/>
            <w:tcBorders>
              <w:top w:val="single" w:sz="4" w:space="0" w:color="D0CECE" w:themeColor="background2" w:themeShade="E6"/>
              <w:bottom w:val="single" w:sz="4" w:space="0" w:color="D0CECE" w:themeColor="background2" w:themeShade="E6"/>
            </w:tcBorders>
          </w:tcPr>
          <w:p w14:paraId="1DC537F9" w14:textId="4D53B126" w:rsidR="00A126D9" w:rsidRPr="00812C16" w:rsidRDefault="006C2EE5" w:rsidP="00C03F7E">
            <w:pPr>
              <w:spacing w:before="60" w:after="60" w:line="360" w:lineRule="auto"/>
              <w:jc w:val="left"/>
              <w:rPr>
                <w:rFonts w:cs="Arial"/>
                <w:sz w:val="18"/>
                <w:szCs w:val="18"/>
              </w:rPr>
            </w:pPr>
            <w:proofErr w:type="spellStart"/>
            <w:r w:rsidRPr="00812C16">
              <w:rPr>
                <w:rFonts w:cs="Arial"/>
                <w:b/>
                <w:bCs/>
                <w:sz w:val="18"/>
                <w:szCs w:val="18"/>
              </w:rPr>
              <w:t>Basaloides</w:t>
            </w:r>
            <w:proofErr w:type="spellEnd"/>
            <w:r w:rsidRPr="00812C16">
              <w:rPr>
                <w:rFonts w:cs="Arial"/>
                <w:b/>
                <w:bCs/>
                <w:sz w:val="18"/>
                <w:szCs w:val="18"/>
              </w:rPr>
              <w:t xml:space="preserve"> </w:t>
            </w:r>
            <w:r w:rsidR="00C24369" w:rsidRPr="00812C16">
              <w:rPr>
                <w:rFonts w:cs="Arial"/>
                <w:b/>
                <w:bCs/>
                <w:sz w:val="18"/>
                <w:szCs w:val="18"/>
              </w:rPr>
              <w:t>Karzinom</w:t>
            </w:r>
            <w:r w:rsidR="004402BE" w:rsidRPr="00812C16">
              <w:rPr>
                <w:rFonts w:cs="Arial"/>
                <w:b/>
                <w:bCs/>
                <w:sz w:val="18"/>
                <w:szCs w:val="18"/>
              </w:rPr>
              <w:t xml:space="preserve"> </w:t>
            </w:r>
            <w:r w:rsidR="000112D9">
              <w:rPr>
                <w:rFonts w:cs="Arial"/>
                <w:sz w:val="18"/>
                <w:szCs w:val="18"/>
              </w:rPr>
              <w:fldChar w:fldCharType="begin">
                <w:fldData xml:space="preserve">PEVuZE5vdGU+PENpdGU+PEF1dGhvcj5LbGlqYW5pZW5rbzwvQXV0aG9yPjxZZWFyPjE5OTM8L1ll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</w:fldData>
              </w:fldChar>
            </w:r>
            <w:r w:rsidR="000112D9">
              <w:rPr>
                <w:rFonts w:cs="Arial"/>
                <w:sz w:val="18"/>
                <w:szCs w:val="18"/>
              </w:rPr>
              <w:instrText xml:space="preserve"> ADDIN EN.JS.CITE </w:instrText>
            </w:r>
            <w:r w:rsidR="000112D9">
              <w:rPr>
                <w:rFonts w:cs="Arial"/>
                <w:sz w:val="18"/>
                <w:szCs w:val="18"/>
              </w:rPr>
            </w:r>
            <w:r w:rsidR="000112D9">
              <w:rPr>
                <w:rFonts w:cs="Arial"/>
                <w:sz w:val="18"/>
                <w:szCs w:val="18"/>
              </w:rPr>
              <w:fldChar w:fldCharType="separate"/>
            </w:r>
            <w:r w:rsidR="000112D9">
              <w:rPr>
                <w:rFonts w:cs="Arial"/>
                <w:noProof/>
                <w:sz w:val="18"/>
                <w:szCs w:val="18"/>
              </w:rPr>
              <w:t>(</w:t>
            </w:r>
            <w:hyperlink w:anchor="_ENREF_42" w:tooltip="Klijanienko, 1993 #746" w:history="1">
              <w:r w:rsidR="009D0F7A" w:rsidRPr="009D0F7A">
                <w:rPr>
                  <w:rStyle w:val="Hyperlink"/>
                </w:rPr>
                <w:t>Klijanienko et al., 1993</w:t>
              </w:r>
            </w:hyperlink>
            <w:r w:rsidR="000112D9">
              <w:rPr>
                <w:rFonts w:cs="Arial"/>
                <w:noProof/>
                <w:sz w:val="18"/>
                <w:szCs w:val="18"/>
              </w:rPr>
              <w:t xml:space="preserve">; </w:t>
            </w:r>
            <w:hyperlink w:anchor="_ENREF_59" w:tooltip="Raslan, 1994 #691" w:history="1">
              <w:r w:rsidR="009D0F7A" w:rsidRPr="009D0F7A">
                <w:rPr>
                  <w:rStyle w:val="Hyperlink"/>
                </w:rPr>
                <w:t>Raslan et al., 1994</w:t>
              </w:r>
            </w:hyperlink>
            <w:r w:rsidR="000112D9">
              <w:rPr>
                <w:rFonts w:cs="Arial"/>
                <w:noProof/>
                <w:sz w:val="18"/>
                <w:szCs w:val="18"/>
              </w:rPr>
              <w:t>)</w:t>
            </w:r>
            <w:r w:rsidR="000112D9">
              <w:rPr>
                <w:rFonts w:cs="Arial"/>
                <w:sz w:val="18"/>
                <w:szCs w:val="18"/>
              </w:rPr>
              <w:fldChar w:fldCharType="end"/>
            </w:r>
          </w:p>
        </w:tc>
        <w:tc>
          <w:tcPr>
            <w:tcW w:w="7085" w:type="dxa"/>
            <w:tcBorders>
              <w:top w:val="single" w:sz="4" w:space="0" w:color="D0CECE" w:themeColor="background2" w:themeShade="E6"/>
              <w:bottom w:val="single" w:sz="4" w:space="0" w:color="D0CECE" w:themeColor="background2" w:themeShade="E6"/>
            </w:tcBorders>
          </w:tcPr>
          <w:p w14:paraId="3201206D" w14:textId="77777777" w:rsidR="00A126D9" w:rsidRPr="00812C16" w:rsidRDefault="000D5220" w:rsidP="004149D8">
            <w:pPr>
              <w:spacing w:before="60" w:after="60" w:line="360" w:lineRule="auto"/>
              <w:rPr>
                <w:rFonts w:cs="Arial"/>
                <w:sz w:val="18"/>
                <w:szCs w:val="18"/>
              </w:rPr>
            </w:pPr>
            <w:r w:rsidRPr="00812C16">
              <w:rPr>
                <w:rFonts w:cs="Arial"/>
                <w:b/>
                <w:bCs/>
                <w:sz w:val="18"/>
                <w:szCs w:val="18"/>
              </w:rPr>
              <w:t>Häufigkeit:</w:t>
            </w:r>
            <w:r w:rsidRPr="00812C16">
              <w:rPr>
                <w:rFonts w:cs="Arial"/>
                <w:sz w:val="18"/>
                <w:szCs w:val="18"/>
              </w:rPr>
              <w:t xml:space="preserve"> Umfasst 1% </w:t>
            </w:r>
            <w:r w:rsidR="004402BE" w:rsidRPr="00812C16">
              <w:rPr>
                <w:rFonts w:cs="Arial"/>
                <w:sz w:val="18"/>
                <w:szCs w:val="18"/>
              </w:rPr>
              <w:t xml:space="preserve">aller Plattenepithelkarzinomen und manifestiert sich </w:t>
            </w:r>
            <w:r w:rsidR="004021DA" w:rsidRPr="00812C16">
              <w:rPr>
                <w:rFonts w:cs="Arial"/>
                <w:sz w:val="18"/>
                <w:szCs w:val="18"/>
              </w:rPr>
              <w:t>h</w:t>
            </w:r>
            <w:r w:rsidR="004402BE" w:rsidRPr="00812C16">
              <w:rPr>
                <w:rFonts w:cs="Arial"/>
                <w:sz w:val="18"/>
                <w:szCs w:val="18"/>
              </w:rPr>
              <w:t xml:space="preserve">äufig </w:t>
            </w:r>
            <w:r w:rsidR="0067382E" w:rsidRPr="00812C16">
              <w:rPr>
                <w:rFonts w:cs="Arial"/>
                <w:sz w:val="18"/>
                <w:szCs w:val="18"/>
              </w:rPr>
              <w:t>im Hypopharynx- und Larynxbereich.</w:t>
            </w:r>
            <w:r w:rsidR="0006194F" w:rsidRPr="00812C16">
              <w:rPr>
                <w:rFonts w:cs="Arial"/>
                <w:sz w:val="18"/>
                <w:szCs w:val="18"/>
              </w:rPr>
              <w:t xml:space="preserve"> </w:t>
            </w:r>
            <w:r w:rsidR="004149D8" w:rsidRPr="00812C16">
              <w:rPr>
                <w:rFonts w:cs="Arial"/>
                <w:b/>
                <w:bCs/>
                <w:sz w:val="18"/>
                <w:szCs w:val="18"/>
              </w:rPr>
              <w:t>M</w:t>
            </w:r>
            <w:r w:rsidR="0008519C" w:rsidRPr="00812C16">
              <w:rPr>
                <w:rFonts w:cs="Arial"/>
                <w:b/>
                <w:bCs/>
                <w:sz w:val="18"/>
                <w:szCs w:val="18"/>
              </w:rPr>
              <w:t>akroskopisch</w:t>
            </w:r>
            <w:r w:rsidR="004149D8" w:rsidRPr="00812C16">
              <w:rPr>
                <w:rFonts w:cs="Arial"/>
                <w:b/>
                <w:bCs/>
                <w:sz w:val="18"/>
                <w:szCs w:val="18"/>
              </w:rPr>
              <w:t>:</w:t>
            </w:r>
            <w:r w:rsidR="004149D8" w:rsidRPr="00812C16">
              <w:rPr>
                <w:rFonts w:cs="Arial"/>
                <w:sz w:val="18"/>
                <w:szCs w:val="18"/>
              </w:rPr>
              <w:t xml:space="preserve"> Tumor</w:t>
            </w:r>
            <w:r w:rsidR="003D3386" w:rsidRPr="00812C16">
              <w:rPr>
                <w:rFonts w:cs="Arial"/>
                <w:sz w:val="18"/>
                <w:szCs w:val="18"/>
              </w:rPr>
              <w:t xml:space="preserve"> imponiert als weiße, feste, schlecht begrenzte </w:t>
            </w:r>
            <w:r w:rsidR="004021DA" w:rsidRPr="00812C16">
              <w:rPr>
                <w:rFonts w:cs="Arial"/>
                <w:sz w:val="18"/>
                <w:szCs w:val="18"/>
              </w:rPr>
              <w:t>Raumforderung, mit exophytische</w:t>
            </w:r>
            <w:r w:rsidR="003D3386" w:rsidRPr="00812C16">
              <w:rPr>
                <w:rFonts w:cs="Arial"/>
                <w:sz w:val="18"/>
                <w:szCs w:val="18"/>
              </w:rPr>
              <w:t>-</w:t>
            </w:r>
            <w:r w:rsidR="0008519C" w:rsidRPr="00812C16">
              <w:rPr>
                <w:rFonts w:cs="Arial"/>
                <w:sz w:val="18"/>
                <w:szCs w:val="18"/>
              </w:rPr>
              <w:t>knotige</w:t>
            </w:r>
            <w:r w:rsidR="003D3386" w:rsidRPr="00812C16">
              <w:rPr>
                <w:rFonts w:cs="Arial"/>
                <w:sz w:val="18"/>
                <w:szCs w:val="18"/>
              </w:rPr>
              <w:t>r</w:t>
            </w:r>
            <w:r w:rsidR="0008519C" w:rsidRPr="00812C16">
              <w:rPr>
                <w:rFonts w:cs="Arial"/>
                <w:sz w:val="18"/>
                <w:szCs w:val="18"/>
              </w:rPr>
              <w:t xml:space="preserve"> Gestalt </w:t>
            </w:r>
            <w:r w:rsidR="004149D8" w:rsidRPr="00812C16">
              <w:rPr>
                <w:rFonts w:cs="Arial"/>
                <w:sz w:val="18"/>
                <w:szCs w:val="18"/>
              </w:rPr>
              <w:t>und</w:t>
            </w:r>
            <w:r w:rsidR="0008519C" w:rsidRPr="00812C16">
              <w:rPr>
                <w:rFonts w:cs="Arial"/>
                <w:sz w:val="18"/>
                <w:szCs w:val="18"/>
              </w:rPr>
              <w:t xml:space="preserve"> zentraler Nekrose</w:t>
            </w:r>
            <w:r w:rsidR="004149D8" w:rsidRPr="00812C16">
              <w:rPr>
                <w:rFonts w:cs="Arial"/>
                <w:sz w:val="18"/>
                <w:szCs w:val="18"/>
              </w:rPr>
              <w:t xml:space="preserve">, der durch aggressives </w:t>
            </w:r>
            <w:r w:rsidR="00B2383B" w:rsidRPr="00812C16">
              <w:rPr>
                <w:rFonts w:cs="Arial"/>
                <w:sz w:val="18"/>
                <w:szCs w:val="18"/>
              </w:rPr>
              <w:t xml:space="preserve">submuköses </w:t>
            </w:r>
            <w:r w:rsidR="004149D8" w:rsidRPr="00812C16">
              <w:rPr>
                <w:rFonts w:cs="Arial"/>
                <w:sz w:val="18"/>
                <w:szCs w:val="18"/>
              </w:rPr>
              <w:t xml:space="preserve">Wachstum, geringer </w:t>
            </w:r>
            <w:r w:rsidR="003D3386" w:rsidRPr="00812C16">
              <w:rPr>
                <w:rFonts w:cs="Arial"/>
                <w:sz w:val="18"/>
                <w:szCs w:val="18"/>
              </w:rPr>
              <w:t>Entdifferenzierung</w:t>
            </w:r>
            <w:r w:rsidR="004149D8" w:rsidRPr="00812C16">
              <w:rPr>
                <w:rFonts w:cs="Arial"/>
                <w:sz w:val="18"/>
                <w:szCs w:val="18"/>
              </w:rPr>
              <w:t xml:space="preserve"> und durch ein hohes Metastasierungsrisiko </w:t>
            </w:r>
            <w:r w:rsidR="003D3386" w:rsidRPr="00812C16">
              <w:rPr>
                <w:rFonts w:cs="Arial"/>
                <w:sz w:val="18"/>
                <w:szCs w:val="18"/>
              </w:rPr>
              <w:t>gekennzeichnet</w:t>
            </w:r>
            <w:r w:rsidR="004149D8" w:rsidRPr="00812C16">
              <w:rPr>
                <w:rFonts w:cs="Arial"/>
                <w:sz w:val="18"/>
                <w:szCs w:val="18"/>
              </w:rPr>
              <w:t xml:space="preserve"> ist. </w:t>
            </w:r>
            <w:r w:rsidR="00B2383B" w:rsidRPr="00812C16">
              <w:rPr>
                <w:rFonts w:cs="Arial"/>
                <w:b/>
                <w:bCs/>
                <w:sz w:val="18"/>
                <w:szCs w:val="18"/>
              </w:rPr>
              <w:t>Mikroskopisch:</w:t>
            </w:r>
            <w:r w:rsidR="00B2383B" w:rsidRPr="00812C16">
              <w:rPr>
                <w:rFonts w:cs="Arial"/>
                <w:sz w:val="18"/>
                <w:szCs w:val="18"/>
              </w:rPr>
              <w:t xml:space="preserve"> Auffällig ist ein zweiphasiges Plattenepithelkarzinom mit </w:t>
            </w:r>
            <w:proofErr w:type="spellStart"/>
            <w:r w:rsidR="00B2383B" w:rsidRPr="00812C16">
              <w:rPr>
                <w:rFonts w:cs="Arial"/>
                <w:sz w:val="18"/>
                <w:szCs w:val="18"/>
              </w:rPr>
              <w:t>basaloiden</w:t>
            </w:r>
            <w:proofErr w:type="spellEnd"/>
            <w:r w:rsidR="00B2383B" w:rsidRPr="00812C16">
              <w:rPr>
                <w:rFonts w:cs="Arial"/>
                <w:sz w:val="18"/>
                <w:szCs w:val="18"/>
              </w:rPr>
              <w:t xml:space="preserve"> und verhornenden Elementen. Die p</w:t>
            </w:r>
            <w:r w:rsidR="0008519C" w:rsidRPr="00812C16">
              <w:rPr>
                <w:rFonts w:cs="Arial"/>
                <w:sz w:val="18"/>
                <w:szCs w:val="18"/>
              </w:rPr>
              <w:t xml:space="preserve">leomorphen, </w:t>
            </w:r>
            <w:proofErr w:type="spellStart"/>
            <w:r w:rsidR="0008519C" w:rsidRPr="00812C16">
              <w:rPr>
                <w:rFonts w:cs="Arial"/>
                <w:sz w:val="18"/>
                <w:szCs w:val="18"/>
              </w:rPr>
              <w:t>basaloide</w:t>
            </w:r>
            <w:proofErr w:type="spellEnd"/>
            <w:r w:rsidR="0008519C" w:rsidRPr="00812C16">
              <w:rPr>
                <w:rFonts w:cs="Arial"/>
                <w:sz w:val="18"/>
                <w:szCs w:val="18"/>
              </w:rPr>
              <w:t xml:space="preserve"> Zellen</w:t>
            </w:r>
            <w:r w:rsidR="00B2383B" w:rsidRPr="00812C16">
              <w:rPr>
                <w:rFonts w:cs="Arial"/>
                <w:sz w:val="18"/>
                <w:szCs w:val="18"/>
              </w:rPr>
              <w:t xml:space="preserve"> bilden nestartige Verbände</w:t>
            </w:r>
            <w:r w:rsidR="00C03F7E" w:rsidRPr="00812C16">
              <w:rPr>
                <w:rFonts w:cs="Arial"/>
                <w:sz w:val="18"/>
                <w:szCs w:val="18"/>
              </w:rPr>
              <w:t xml:space="preserve">. </w:t>
            </w:r>
            <w:r w:rsidR="0008519C" w:rsidRPr="00812C16">
              <w:rPr>
                <w:rFonts w:cs="Arial"/>
                <w:sz w:val="18"/>
                <w:szCs w:val="18"/>
              </w:rPr>
              <w:t xml:space="preserve">In der Literatur wird berichtet, dass HPV-assoziierte PEC vermehrt eine </w:t>
            </w:r>
            <w:proofErr w:type="spellStart"/>
            <w:r w:rsidR="0008519C" w:rsidRPr="00812C16">
              <w:rPr>
                <w:rFonts w:cs="Arial"/>
                <w:sz w:val="18"/>
                <w:szCs w:val="18"/>
              </w:rPr>
              <w:t>basaloide</w:t>
            </w:r>
            <w:proofErr w:type="spellEnd"/>
            <w:r w:rsidR="0008519C" w:rsidRPr="00812C16">
              <w:rPr>
                <w:rFonts w:cs="Arial"/>
                <w:sz w:val="18"/>
                <w:szCs w:val="18"/>
              </w:rPr>
              <w:t xml:space="preserve"> Form aufweisen.</w:t>
            </w:r>
          </w:p>
        </w:tc>
      </w:tr>
      <w:tr w:rsidR="00A126D9" w:rsidRPr="00812C16" w14:paraId="43804F72" w14:textId="77777777" w:rsidTr="004F36E9">
        <w:tc>
          <w:tcPr>
            <w:tcW w:w="1985" w:type="dxa"/>
            <w:tcBorders>
              <w:top w:val="single" w:sz="4" w:space="0" w:color="D0CECE" w:themeColor="background2" w:themeShade="E6"/>
              <w:bottom w:val="single" w:sz="4" w:space="0" w:color="000000" w:themeColor="text1"/>
            </w:tcBorders>
          </w:tcPr>
          <w:p w14:paraId="41170EA7" w14:textId="77777777" w:rsidR="00C03F7E" w:rsidRPr="00812C16" w:rsidRDefault="00475A16" w:rsidP="00C03F7E">
            <w:pPr>
              <w:spacing w:before="60" w:after="60" w:line="360" w:lineRule="auto"/>
              <w:jc w:val="left"/>
              <w:rPr>
                <w:rFonts w:cs="Arial"/>
                <w:b/>
                <w:bCs/>
                <w:sz w:val="18"/>
                <w:szCs w:val="18"/>
              </w:rPr>
            </w:pPr>
            <w:proofErr w:type="spellStart"/>
            <w:r w:rsidRPr="00812C16">
              <w:rPr>
                <w:rFonts w:cs="Arial"/>
                <w:b/>
                <w:bCs/>
                <w:sz w:val="18"/>
                <w:szCs w:val="18"/>
              </w:rPr>
              <w:t>Lymphoepitheliales</w:t>
            </w:r>
            <w:proofErr w:type="spellEnd"/>
            <w:r w:rsidR="006C2EE5" w:rsidRPr="00812C16">
              <w:rPr>
                <w:rFonts w:cs="Arial"/>
                <w:b/>
                <w:bCs/>
                <w:sz w:val="18"/>
                <w:szCs w:val="18"/>
              </w:rPr>
              <w:t xml:space="preserve"> Karzinom</w:t>
            </w:r>
            <w:r w:rsidRPr="00812C16">
              <w:rPr>
                <w:rFonts w:cs="Arial"/>
                <w:b/>
                <w:bCs/>
                <w:sz w:val="18"/>
                <w:szCs w:val="18"/>
              </w:rPr>
              <w:t xml:space="preserve"> </w:t>
            </w:r>
          </w:p>
          <w:p w14:paraId="2C99F8E8" w14:textId="32547366" w:rsidR="00A126D9" w:rsidRPr="00812C16" w:rsidRDefault="000112D9" w:rsidP="00C03F7E">
            <w:pPr>
              <w:spacing w:before="60" w:after="60" w:line="360" w:lineRule="auto"/>
              <w:jc w:val="left"/>
              <w:rPr>
                <w:rFonts w:cs="Arial"/>
                <w:sz w:val="18"/>
                <w:szCs w:val="18"/>
              </w:rPr>
            </w:pPr>
            <w:r>
              <w:rPr>
                <w:rFonts w:cs="Arial"/>
                <w:sz w:val="18"/>
                <w:szCs w:val="18"/>
              </w:rPr>
              <w:fldChar w:fldCharType="begin">
                <w:fldData xml:space="preserve">PEVuZE5vdGU+PENpdGU+PEF1dGhvcj5TY2htaW5ja2U8L0F1dGhvcj48WWVhcj4xOTIxPC9ZZWFy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</w:fldData>
              </w:fldChar>
            </w:r>
            <w:r>
              <w:rPr>
                <w:rFonts w:cs="Arial"/>
                <w:sz w:val="18"/>
                <w:szCs w:val="18"/>
              </w:rPr>
              <w:instrText xml:space="preserve"> ADDIN EN.JS.CITE </w:instrText>
            </w:r>
            <w:r>
              <w:rPr>
                <w:rFonts w:cs="Arial"/>
                <w:sz w:val="18"/>
                <w:szCs w:val="18"/>
              </w:rPr>
            </w:r>
            <w:r>
              <w:rPr>
                <w:rFonts w:cs="Arial"/>
                <w:sz w:val="18"/>
                <w:szCs w:val="18"/>
              </w:rPr>
              <w:fldChar w:fldCharType="separate"/>
            </w:r>
            <w:r>
              <w:rPr>
                <w:rFonts w:cs="Arial"/>
                <w:noProof/>
                <w:sz w:val="18"/>
                <w:szCs w:val="18"/>
              </w:rPr>
              <w:t>(</w:t>
            </w:r>
            <w:hyperlink w:anchor="_ENREF_39" w:tooltip="Herrmann, 2003 #736" w:history="1">
              <w:r w:rsidR="009D0F7A" w:rsidRPr="009D0F7A">
                <w:rPr>
                  <w:rStyle w:val="Hyperlink"/>
                </w:rPr>
                <w:t>Herrmann &amp; Niedobitek, 2003</w:t>
              </w:r>
            </w:hyperlink>
            <w:r>
              <w:rPr>
                <w:rFonts w:cs="Arial"/>
                <w:noProof/>
                <w:sz w:val="18"/>
                <w:szCs w:val="18"/>
              </w:rPr>
              <w:t xml:space="preserve">; </w:t>
            </w:r>
            <w:hyperlink w:anchor="_ENREF_53" w:tooltip="MacMillan, 1996 #710" w:history="1">
              <w:r w:rsidR="009D0F7A" w:rsidRPr="009D0F7A">
                <w:rPr>
                  <w:rStyle w:val="Hyperlink"/>
                </w:rPr>
                <w:t>MacMillan et al., 1996</w:t>
              </w:r>
            </w:hyperlink>
            <w:r>
              <w:rPr>
                <w:rFonts w:cs="Arial"/>
                <w:noProof/>
                <w:sz w:val="18"/>
                <w:szCs w:val="18"/>
              </w:rPr>
              <w:t xml:space="preserve">; </w:t>
            </w:r>
            <w:hyperlink w:anchor="_ENREF_63" w:tooltip="Schmincke, 1921 #684" w:history="1">
              <w:r w:rsidR="009D0F7A" w:rsidRPr="009D0F7A">
                <w:rPr>
                  <w:rStyle w:val="Hyperlink"/>
                </w:rPr>
                <w:t>Schmincke, 1921</w:t>
              </w:r>
            </w:hyperlink>
            <w:r>
              <w:rPr>
                <w:rFonts w:cs="Arial"/>
                <w:noProof/>
                <w:sz w:val="18"/>
                <w:szCs w:val="18"/>
              </w:rPr>
              <w:t>)</w:t>
            </w:r>
            <w:r>
              <w:rPr>
                <w:rFonts w:cs="Arial"/>
                <w:sz w:val="18"/>
                <w:szCs w:val="18"/>
              </w:rPr>
              <w:fldChar w:fldCharType="end"/>
            </w:r>
          </w:p>
        </w:tc>
        <w:tc>
          <w:tcPr>
            <w:tcW w:w="7085" w:type="dxa"/>
            <w:tcBorders>
              <w:top w:val="single" w:sz="4" w:space="0" w:color="D0CECE" w:themeColor="background2" w:themeShade="E6"/>
              <w:bottom w:val="single" w:sz="4" w:space="0" w:color="000000" w:themeColor="text1"/>
            </w:tcBorders>
          </w:tcPr>
          <w:p w14:paraId="29EEA6C3" w14:textId="77777777" w:rsidR="00A126D9" w:rsidRPr="00812C16" w:rsidRDefault="004021DA" w:rsidP="004149D8">
            <w:pPr>
              <w:spacing w:before="60" w:after="60" w:line="360" w:lineRule="auto"/>
              <w:rPr>
                <w:rFonts w:cs="Arial"/>
                <w:sz w:val="18"/>
                <w:szCs w:val="18"/>
              </w:rPr>
            </w:pPr>
            <w:r w:rsidRPr="00812C16">
              <w:rPr>
                <w:rFonts w:cs="Arial"/>
                <w:b/>
                <w:bCs/>
                <w:sz w:val="18"/>
                <w:szCs w:val="18"/>
              </w:rPr>
              <w:t>Häufigkeit:</w:t>
            </w:r>
            <w:r w:rsidRPr="00812C16">
              <w:rPr>
                <w:rFonts w:cs="Arial"/>
                <w:sz w:val="18"/>
                <w:szCs w:val="18"/>
              </w:rPr>
              <w:t xml:space="preserve"> 2% aller Plattenepithe</w:t>
            </w:r>
            <w:r w:rsidR="00F622C2" w:rsidRPr="00812C16">
              <w:rPr>
                <w:rFonts w:cs="Arial"/>
                <w:sz w:val="18"/>
                <w:szCs w:val="18"/>
              </w:rPr>
              <w:t>l</w:t>
            </w:r>
            <w:r w:rsidRPr="00812C16">
              <w:rPr>
                <w:rFonts w:cs="Arial"/>
                <w:sz w:val="18"/>
                <w:szCs w:val="18"/>
              </w:rPr>
              <w:t xml:space="preserve">karzinome </w:t>
            </w:r>
            <w:r w:rsidR="00475A16" w:rsidRPr="00812C16">
              <w:rPr>
                <w:rFonts w:cs="Arial"/>
                <w:sz w:val="18"/>
                <w:szCs w:val="18"/>
              </w:rPr>
              <w:t xml:space="preserve">das insbesondere </w:t>
            </w:r>
            <w:proofErr w:type="gramStart"/>
            <w:r w:rsidR="00475A16" w:rsidRPr="00812C16">
              <w:rPr>
                <w:rFonts w:cs="Arial"/>
                <w:sz w:val="18"/>
                <w:szCs w:val="18"/>
              </w:rPr>
              <w:t>im Nasopharynx</w:t>
            </w:r>
            <w:proofErr w:type="gramEnd"/>
            <w:r w:rsidR="00475A16" w:rsidRPr="00812C16">
              <w:rPr>
                <w:rFonts w:cs="Arial"/>
                <w:sz w:val="18"/>
                <w:szCs w:val="18"/>
              </w:rPr>
              <w:t xml:space="preserve"> vorkommt. </w:t>
            </w:r>
            <w:r w:rsidR="00475A16" w:rsidRPr="00812C16">
              <w:rPr>
                <w:rFonts w:cs="Arial"/>
                <w:b/>
                <w:bCs/>
                <w:sz w:val="18"/>
                <w:szCs w:val="18"/>
              </w:rPr>
              <w:t>Makroskopisch:</w:t>
            </w:r>
            <w:r w:rsidR="00475A16" w:rsidRPr="00812C16">
              <w:rPr>
                <w:rFonts w:cs="Arial"/>
                <w:sz w:val="18"/>
                <w:szCs w:val="18"/>
              </w:rPr>
              <w:t xml:space="preserve"> Tumor zeichnet sich durch aggressives Wachstum aus und neigt zu Lymphknoten- und Fernmetastasen. Dieser Subtyp ist häufig mit dem Epstein-Barr-Virus assoziiert.</w:t>
            </w:r>
            <w:r w:rsidR="00C03F7E" w:rsidRPr="00812C16">
              <w:rPr>
                <w:rFonts w:cs="Arial"/>
                <w:sz w:val="18"/>
                <w:szCs w:val="18"/>
              </w:rPr>
              <w:t xml:space="preserve"> </w:t>
            </w:r>
            <w:r w:rsidR="00475A16" w:rsidRPr="00812C16">
              <w:rPr>
                <w:rFonts w:cs="Arial"/>
                <w:b/>
                <w:bCs/>
                <w:sz w:val="18"/>
                <w:szCs w:val="18"/>
              </w:rPr>
              <w:t>Mikroskopisch:</w:t>
            </w:r>
            <w:r w:rsidR="00475A16" w:rsidRPr="00812C16">
              <w:rPr>
                <w:rFonts w:cs="Arial"/>
                <w:sz w:val="18"/>
                <w:szCs w:val="18"/>
              </w:rPr>
              <w:t xml:space="preserve"> U</w:t>
            </w:r>
            <w:r w:rsidR="0008519C" w:rsidRPr="00812C16">
              <w:rPr>
                <w:rFonts w:cs="Arial"/>
                <w:sz w:val="18"/>
                <w:szCs w:val="18"/>
              </w:rPr>
              <w:t xml:space="preserve">ndifferenziertes </w:t>
            </w:r>
            <w:r w:rsidR="00475A16" w:rsidRPr="00812C16">
              <w:rPr>
                <w:rFonts w:cs="Arial"/>
                <w:sz w:val="18"/>
                <w:szCs w:val="18"/>
              </w:rPr>
              <w:t>Karzinom</w:t>
            </w:r>
            <w:r w:rsidR="0008519C" w:rsidRPr="00812C16">
              <w:rPr>
                <w:rFonts w:cs="Arial"/>
                <w:sz w:val="18"/>
                <w:szCs w:val="18"/>
              </w:rPr>
              <w:t xml:space="preserve"> mit prominenten reaktiven </w:t>
            </w:r>
            <w:proofErr w:type="spellStart"/>
            <w:r w:rsidR="0008519C" w:rsidRPr="00812C16">
              <w:rPr>
                <w:rFonts w:cs="Arial"/>
                <w:sz w:val="18"/>
                <w:szCs w:val="18"/>
              </w:rPr>
              <w:t>lymphoplasmatischen</w:t>
            </w:r>
            <w:proofErr w:type="spellEnd"/>
            <w:r w:rsidR="0008519C" w:rsidRPr="00812C16">
              <w:rPr>
                <w:rFonts w:cs="Arial"/>
                <w:sz w:val="18"/>
                <w:szCs w:val="18"/>
              </w:rPr>
              <w:t xml:space="preserve"> Infiltraten</w:t>
            </w:r>
            <w:r w:rsidR="00F622C2" w:rsidRPr="00812C16">
              <w:rPr>
                <w:rFonts w:cs="Arial"/>
                <w:sz w:val="18"/>
                <w:szCs w:val="18"/>
              </w:rPr>
              <w:t xml:space="preserve"> in Form von </w:t>
            </w:r>
            <w:r w:rsidR="00475A16" w:rsidRPr="00812C16">
              <w:rPr>
                <w:rFonts w:cs="Arial"/>
                <w:sz w:val="18"/>
                <w:szCs w:val="18"/>
              </w:rPr>
              <w:t xml:space="preserve">kleinen Nestern oder Gruppen (Typ Schmincke) oder großen </w:t>
            </w:r>
            <w:proofErr w:type="spellStart"/>
            <w:r w:rsidR="00475A16" w:rsidRPr="00812C16">
              <w:rPr>
                <w:rFonts w:cs="Arial"/>
                <w:sz w:val="18"/>
                <w:szCs w:val="18"/>
              </w:rPr>
              <w:t>synzytialen</w:t>
            </w:r>
            <w:proofErr w:type="spellEnd"/>
            <w:r w:rsidR="00475A16" w:rsidRPr="00812C16">
              <w:rPr>
                <w:rFonts w:cs="Arial"/>
                <w:sz w:val="18"/>
                <w:szCs w:val="18"/>
              </w:rPr>
              <w:t xml:space="preserve"> Verbänden (Typ </w:t>
            </w:r>
            <w:proofErr w:type="spellStart"/>
            <w:r w:rsidR="00475A16" w:rsidRPr="00812C16">
              <w:rPr>
                <w:rFonts w:cs="Arial"/>
                <w:sz w:val="18"/>
                <w:szCs w:val="18"/>
              </w:rPr>
              <w:t>Regaud</w:t>
            </w:r>
            <w:proofErr w:type="spellEnd"/>
            <w:r w:rsidR="00475A16" w:rsidRPr="00812C16">
              <w:rPr>
                <w:rFonts w:cs="Arial"/>
                <w:sz w:val="18"/>
                <w:szCs w:val="18"/>
              </w:rPr>
              <w:t>) von Tumorzellen, die ovale oder runde bläschenförmige Kerne und ein bis drei prominente Nukleoli besitzen</w:t>
            </w:r>
            <w:r w:rsidR="00F622C2" w:rsidRPr="00812C16">
              <w:rPr>
                <w:rFonts w:cs="Arial"/>
                <w:sz w:val="18"/>
                <w:szCs w:val="18"/>
              </w:rPr>
              <w:t>.</w:t>
            </w:r>
            <w:r w:rsidR="0008519C" w:rsidRPr="00812C16">
              <w:rPr>
                <w:rFonts w:cs="Arial"/>
                <w:sz w:val="18"/>
                <w:szCs w:val="18"/>
              </w:rPr>
              <w:t xml:space="preserve"> </w:t>
            </w:r>
          </w:p>
        </w:tc>
      </w:tr>
      <w:tr w:rsidR="00A126D9" w:rsidRPr="00812C16" w14:paraId="5411005D" w14:textId="77777777" w:rsidTr="004F36E9">
        <w:tc>
          <w:tcPr>
            <w:tcW w:w="1985" w:type="dxa"/>
            <w:tcBorders>
              <w:top w:val="single" w:sz="4" w:space="0" w:color="000000" w:themeColor="text1"/>
            </w:tcBorders>
          </w:tcPr>
          <w:p w14:paraId="2C74A2A1" w14:textId="77777777" w:rsidR="00A126D9" w:rsidRPr="00812C16" w:rsidRDefault="00A126D9" w:rsidP="00FC4C84">
            <w:pPr>
              <w:spacing w:before="60" w:after="60" w:line="360" w:lineRule="auto"/>
              <w:jc w:val="left"/>
              <w:rPr>
                <w:rFonts w:cs="Arial"/>
                <w:i/>
                <w:iCs/>
                <w:sz w:val="18"/>
                <w:szCs w:val="18"/>
              </w:rPr>
            </w:pPr>
          </w:p>
        </w:tc>
        <w:tc>
          <w:tcPr>
            <w:tcW w:w="7085" w:type="dxa"/>
            <w:tcBorders>
              <w:top w:val="single" w:sz="4" w:space="0" w:color="000000" w:themeColor="text1"/>
            </w:tcBorders>
          </w:tcPr>
          <w:p w14:paraId="118FC8A4" w14:textId="77777777" w:rsidR="00A126D9" w:rsidRPr="00812C16" w:rsidRDefault="00A126D9" w:rsidP="00FC4C84">
            <w:pPr>
              <w:spacing w:before="60" w:after="60" w:line="360" w:lineRule="auto"/>
              <w:jc w:val="left"/>
              <w:rPr>
                <w:rFonts w:cs="Arial"/>
                <w:i/>
                <w:iCs/>
                <w:sz w:val="18"/>
                <w:szCs w:val="18"/>
              </w:rPr>
            </w:pPr>
          </w:p>
        </w:tc>
      </w:tr>
    </w:tbl>
    <w:p w14:paraId="2B47BFE3" w14:textId="77777777" w:rsidR="001710A1" w:rsidRPr="00812C16" w:rsidRDefault="001710A1" w:rsidP="00FF72F6">
      <w:pPr>
        <w:rPr>
          <w:rFonts w:cs="Arial"/>
        </w:rPr>
      </w:pPr>
      <w:r w:rsidRPr="00812C16">
        <w:rPr>
          <w:rFonts w:cs="Arial"/>
        </w:rPr>
        <w:t xml:space="preserve">Auf die weiteren, sehr seltenen malignen Tumoren wie </w:t>
      </w:r>
      <w:proofErr w:type="spellStart"/>
      <w:r w:rsidRPr="00812C16">
        <w:rPr>
          <w:rFonts w:cs="Arial"/>
        </w:rPr>
        <w:t>Lym</w:t>
      </w:r>
      <w:proofErr w:type="spellEnd"/>
      <w:r w:rsidRPr="00812C16">
        <w:rPr>
          <w:rFonts w:cs="Arial"/>
        </w:rPr>
        <w:t xml:space="preserve">- </w:t>
      </w:r>
      <w:proofErr w:type="spellStart"/>
      <w:r w:rsidRPr="00812C16">
        <w:rPr>
          <w:rFonts w:cs="Arial"/>
        </w:rPr>
        <w:t>phome</w:t>
      </w:r>
      <w:proofErr w:type="spellEnd"/>
      <w:r w:rsidRPr="00812C16">
        <w:rPr>
          <w:rFonts w:cs="Arial"/>
        </w:rPr>
        <w:t>, maligne Melanome, Sarkome oder Knochentumoren soll hier nicht weiter eingegangen werden, da sie auch im Studienkollektiv nicht vorkommen.</w:t>
      </w:r>
    </w:p>
    <w:p w14:paraId="7A99219B" w14:textId="77777777" w:rsidR="008221AD" w:rsidRPr="00812C16" w:rsidRDefault="008221AD" w:rsidP="008221AD">
      <w:pPr>
        <w:spacing w:after="0"/>
        <w:rPr>
          <w:rFonts w:cs="Arial"/>
          <w:i/>
          <w:iCs/>
        </w:rPr>
      </w:pPr>
    </w:p>
    <w:p w14:paraId="5FAB35B6" w14:textId="77777777" w:rsidR="0059549C" w:rsidRPr="00812C16" w:rsidRDefault="0059549C">
      <w:pPr>
        <w:spacing w:after="0"/>
        <w:jc w:val="left"/>
        <w:rPr>
          <w:rFonts w:cs="Arial"/>
          <w:i/>
          <w:iCs/>
        </w:rPr>
      </w:pPr>
      <w:r w:rsidRPr="00812C16">
        <w:rPr>
          <w:rFonts w:cs="Arial"/>
          <w:i/>
          <w:iCs/>
        </w:rPr>
        <w:br w:type="page"/>
      </w:r>
    </w:p>
    <w:p w14:paraId="46387171" w14:textId="77777777" w:rsidR="008221AD" w:rsidRPr="00812C16" w:rsidRDefault="00197AA5" w:rsidP="008221AD">
      <w:pPr>
        <w:spacing w:after="0"/>
        <w:rPr>
          <w:rFonts w:cs="Arial"/>
          <w:i/>
          <w:iCs/>
        </w:rPr>
      </w:pPr>
      <w:r w:rsidRPr="00812C16">
        <w:rPr>
          <w:rFonts w:cs="Arial"/>
          <w:i/>
          <w:iCs/>
        </w:rPr>
        <w:lastRenderedPageBreak/>
        <w:t xml:space="preserve">Klinische und pathologische </w:t>
      </w:r>
      <w:r w:rsidR="008221AD" w:rsidRPr="00812C16">
        <w:rPr>
          <w:rFonts w:cs="Arial"/>
          <w:i/>
          <w:iCs/>
        </w:rPr>
        <w:t>TNM-Klassifikation</w:t>
      </w:r>
    </w:p>
    <w:p w14:paraId="7E64CC38" w14:textId="77777777" w:rsidR="002B77D4" w:rsidRPr="00812C16" w:rsidRDefault="002B77D4" w:rsidP="008221AD">
      <w:pPr>
        <w:spacing w:after="0"/>
        <w:rPr>
          <w:rFonts w:cs="Arial"/>
        </w:rPr>
      </w:pPr>
      <w:r w:rsidRPr="00812C16">
        <w:rPr>
          <w:rFonts w:cs="Arial"/>
        </w:rPr>
        <w:t>System zur Einteilung maligner Tumoren. Die TNM-Klassifikation ist weltweit die verbreitetste Systematik für die Beschreibung von Neoplasien und erlaubt eine therapeutische und prognostische Einschätzung. Sie besteht aus drei zentralen Bestandteilen: „T“ (Tumor) beschreibt die Ausdehnung und das Verhalten des Primärtumors, „N“ (</w:t>
      </w:r>
      <w:proofErr w:type="spellStart"/>
      <w:r w:rsidRPr="00812C16">
        <w:rPr>
          <w:rFonts w:cs="Arial"/>
        </w:rPr>
        <w:t>Nodus</w:t>
      </w:r>
      <w:proofErr w:type="spellEnd"/>
      <w:r w:rsidRPr="00812C16">
        <w:rPr>
          <w:rFonts w:cs="Arial"/>
        </w:rPr>
        <w:t xml:space="preserve">) den </w:t>
      </w:r>
      <w:proofErr w:type="spellStart"/>
      <w:r w:rsidRPr="00812C16">
        <w:rPr>
          <w:rFonts w:cs="Arial"/>
        </w:rPr>
        <w:t>Befallstatus</w:t>
      </w:r>
      <w:proofErr w:type="spellEnd"/>
      <w:r w:rsidRPr="00812C16">
        <w:rPr>
          <w:rFonts w:cs="Arial"/>
        </w:rPr>
        <w:t xml:space="preserve"> regionärer Lymphknoten und „M“ (Metastase) das Vorhandensein von Fernmetastasen.</w:t>
      </w:r>
    </w:p>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2443"/>
        <w:gridCol w:w="3118"/>
        <w:gridCol w:w="2830"/>
      </w:tblGrid>
      <w:tr w:rsidR="008E39CD" w:rsidRPr="00812C16" w14:paraId="28CF4C1E" w14:textId="77777777" w:rsidTr="008661CC">
        <w:tc>
          <w:tcPr>
            <w:tcW w:w="676" w:type="dxa"/>
            <w:tcBorders>
              <w:top w:val="single" w:sz="4" w:space="0" w:color="000000" w:themeColor="text1"/>
              <w:bottom w:val="single" w:sz="4" w:space="0" w:color="000000" w:themeColor="text1"/>
            </w:tcBorders>
          </w:tcPr>
          <w:p w14:paraId="7BFB8E2E" w14:textId="77777777" w:rsidR="00FF42D2" w:rsidRPr="00812C16" w:rsidRDefault="00FF42D2" w:rsidP="002251C0">
            <w:pPr>
              <w:spacing w:beforeLines="60" w:before="144" w:afterLines="60" w:after="144"/>
              <w:jc w:val="left"/>
              <w:rPr>
                <w:rFonts w:cs="Arial"/>
                <w:b/>
                <w:bCs/>
                <w:sz w:val="18"/>
                <w:szCs w:val="18"/>
              </w:rPr>
            </w:pPr>
          </w:p>
        </w:tc>
        <w:tc>
          <w:tcPr>
            <w:tcW w:w="2443" w:type="dxa"/>
            <w:tcBorders>
              <w:top w:val="single" w:sz="4" w:space="0" w:color="000000" w:themeColor="text1"/>
              <w:bottom w:val="single" w:sz="4" w:space="0" w:color="000000" w:themeColor="text1"/>
            </w:tcBorders>
          </w:tcPr>
          <w:p w14:paraId="7C8A7511" w14:textId="77777777" w:rsidR="00FF42D2" w:rsidRPr="00812C16" w:rsidRDefault="00FF42D2" w:rsidP="00D5781A">
            <w:pPr>
              <w:spacing w:beforeLines="60" w:before="144" w:afterLines="60" w:after="144"/>
              <w:jc w:val="center"/>
              <w:rPr>
                <w:rFonts w:cs="Arial"/>
                <w:b/>
                <w:bCs/>
                <w:sz w:val="20"/>
                <w:szCs w:val="20"/>
              </w:rPr>
            </w:pPr>
            <w:r w:rsidRPr="00812C16">
              <w:rPr>
                <w:rFonts w:cs="Arial"/>
                <w:b/>
                <w:bCs/>
                <w:sz w:val="20"/>
                <w:szCs w:val="20"/>
              </w:rPr>
              <w:t>Mundhöhle</w:t>
            </w:r>
          </w:p>
        </w:tc>
        <w:tc>
          <w:tcPr>
            <w:tcW w:w="3118" w:type="dxa"/>
            <w:tcBorders>
              <w:top w:val="single" w:sz="4" w:space="0" w:color="000000" w:themeColor="text1"/>
              <w:bottom w:val="single" w:sz="4" w:space="0" w:color="000000" w:themeColor="text1"/>
            </w:tcBorders>
          </w:tcPr>
          <w:p w14:paraId="66B9FED7" w14:textId="77777777" w:rsidR="00FF42D2" w:rsidRPr="00812C16" w:rsidRDefault="00FF42D2" w:rsidP="00D5781A">
            <w:pPr>
              <w:spacing w:beforeLines="60" w:before="144" w:afterLines="60" w:after="144"/>
              <w:jc w:val="center"/>
              <w:rPr>
                <w:rFonts w:cs="Arial"/>
                <w:b/>
                <w:bCs/>
                <w:sz w:val="20"/>
                <w:szCs w:val="20"/>
              </w:rPr>
            </w:pPr>
            <w:r w:rsidRPr="00812C16">
              <w:rPr>
                <w:rFonts w:cs="Arial"/>
                <w:b/>
                <w:bCs/>
                <w:sz w:val="20"/>
                <w:szCs w:val="20"/>
              </w:rPr>
              <w:t>Oropharynx</w:t>
            </w:r>
          </w:p>
        </w:tc>
        <w:tc>
          <w:tcPr>
            <w:tcW w:w="2830" w:type="dxa"/>
            <w:tcBorders>
              <w:top w:val="single" w:sz="4" w:space="0" w:color="000000" w:themeColor="text1"/>
              <w:bottom w:val="single" w:sz="4" w:space="0" w:color="000000" w:themeColor="text1"/>
            </w:tcBorders>
          </w:tcPr>
          <w:p w14:paraId="08726D14" w14:textId="77777777" w:rsidR="00FF42D2" w:rsidRPr="00812C16" w:rsidRDefault="00FF42D2" w:rsidP="00D5781A">
            <w:pPr>
              <w:spacing w:beforeLines="60" w:before="144" w:afterLines="60" w:after="144"/>
              <w:jc w:val="center"/>
              <w:rPr>
                <w:rFonts w:cs="Arial"/>
                <w:b/>
                <w:bCs/>
                <w:sz w:val="20"/>
                <w:szCs w:val="20"/>
              </w:rPr>
            </w:pPr>
            <w:r w:rsidRPr="00812C16">
              <w:rPr>
                <w:rFonts w:cs="Arial"/>
                <w:b/>
                <w:bCs/>
                <w:sz w:val="20"/>
                <w:szCs w:val="20"/>
              </w:rPr>
              <w:t>Hypopharynx</w:t>
            </w:r>
          </w:p>
        </w:tc>
      </w:tr>
      <w:tr w:rsidR="00D6139F" w:rsidRPr="00812C16" w14:paraId="7B7DB752" w14:textId="77777777" w:rsidTr="00561E47">
        <w:tc>
          <w:tcPr>
            <w:tcW w:w="676" w:type="dxa"/>
            <w:tcBorders>
              <w:top w:val="single" w:sz="4" w:space="0" w:color="000000" w:themeColor="text1"/>
              <w:bottom w:val="single" w:sz="4" w:space="0" w:color="D0CECE" w:themeColor="background2" w:themeShade="E6"/>
            </w:tcBorders>
          </w:tcPr>
          <w:p w14:paraId="33A7E90D" w14:textId="77777777" w:rsidR="00D6139F" w:rsidRPr="00812C16" w:rsidRDefault="00D6139F" w:rsidP="002251C0">
            <w:pPr>
              <w:spacing w:beforeLines="60" w:before="144" w:afterLines="60" w:after="144"/>
              <w:rPr>
                <w:rFonts w:cs="Arial"/>
                <w:sz w:val="18"/>
                <w:szCs w:val="18"/>
              </w:rPr>
            </w:pPr>
            <w:r w:rsidRPr="00812C16">
              <w:rPr>
                <w:rFonts w:cs="Arial"/>
                <w:sz w:val="18"/>
                <w:szCs w:val="18"/>
              </w:rPr>
              <w:t>(p)</w:t>
            </w:r>
            <w:proofErr w:type="spellStart"/>
            <w:r w:rsidRPr="00812C16">
              <w:rPr>
                <w:rFonts w:cs="Arial"/>
                <w:sz w:val="18"/>
                <w:szCs w:val="18"/>
              </w:rPr>
              <w:t>Tx</w:t>
            </w:r>
            <w:proofErr w:type="spellEnd"/>
          </w:p>
        </w:tc>
        <w:tc>
          <w:tcPr>
            <w:tcW w:w="8391" w:type="dxa"/>
            <w:gridSpan w:val="3"/>
            <w:tcBorders>
              <w:top w:val="single" w:sz="4" w:space="0" w:color="000000" w:themeColor="text1"/>
              <w:bottom w:val="single" w:sz="4" w:space="0" w:color="D0CECE" w:themeColor="background2" w:themeShade="E6"/>
            </w:tcBorders>
          </w:tcPr>
          <w:p w14:paraId="4BA45C82" w14:textId="77777777" w:rsidR="00D6139F" w:rsidRPr="00812C16" w:rsidRDefault="00D6139F" w:rsidP="00382D22">
            <w:pPr>
              <w:spacing w:beforeLines="60" w:before="144" w:afterLines="60" w:after="144"/>
              <w:jc w:val="center"/>
              <w:rPr>
                <w:rFonts w:cs="Arial"/>
                <w:sz w:val="18"/>
                <w:szCs w:val="18"/>
              </w:rPr>
            </w:pPr>
            <w:r w:rsidRPr="00812C16">
              <w:rPr>
                <w:rFonts w:cs="Arial"/>
                <w:sz w:val="18"/>
                <w:szCs w:val="18"/>
              </w:rPr>
              <w:t xml:space="preserve">Primärtumor kann (histologisch) </w:t>
            </w:r>
            <w:r w:rsidR="00382D22" w:rsidRPr="00812C16">
              <w:rPr>
                <w:rFonts w:cs="Arial"/>
                <w:sz w:val="18"/>
                <w:szCs w:val="18"/>
              </w:rPr>
              <w:t>ni</w:t>
            </w:r>
            <w:r w:rsidRPr="00812C16">
              <w:rPr>
                <w:rFonts w:cs="Arial"/>
                <w:sz w:val="18"/>
                <w:szCs w:val="18"/>
              </w:rPr>
              <w:t>cht beurteilt werden</w:t>
            </w:r>
          </w:p>
        </w:tc>
      </w:tr>
      <w:tr w:rsidR="00382D22" w:rsidRPr="00812C16" w14:paraId="3EB98E93" w14:textId="77777777" w:rsidTr="00561E47">
        <w:tc>
          <w:tcPr>
            <w:tcW w:w="676" w:type="dxa"/>
            <w:tcBorders>
              <w:top w:val="single" w:sz="4" w:space="0" w:color="D0CECE" w:themeColor="background2" w:themeShade="E6"/>
              <w:bottom w:val="single" w:sz="4" w:space="0" w:color="D0CECE" w:themeColor="background2" w:themeShade="E6"/>
              <w:right w:val="single" w:sz="4" w:space="0" w:color="D0CECE" w:themeColor="background2" w:themeShade="E6"/>
            </w:tcBorders>
          </w:tcPr>
          <w:p w14:paraId="20EECBAA" w14:textId="77777777" w:rsidR="00382D22" w:rsidRPr="00812C16" w:rsidRDefault="00382D22" w:rsidP="002251C0">
            <w:pPr>
              <w:spacing w:beforeLines="60" w:before="144" w:afterLines="60" w:after="144"/>
              <w:rPr>
                <w:rFonts w:cs="Arial"/>
                <w:sz w:val="18"/>
                <w:szCs w:val="18"/>
              </w:rPr>
            </w:pPr>
            <w:r w:rsidRPr="00812C16">
              <w:rPr>
                <w:rFonts w:cs="Arial"/>
                <w:sz w:val="18"/>
                <w:szCs w:val="18"/>
              </w:rPr>
              <w:t>(p)T0</w:t>
            </w:r>
          </w:p>
        </w:tc>
        <w:tc>
          <w:tcPr>
            <w:tcW w:w="8391" w:type="dxa"/>
            <w:gridSpan w:val="3"/>
            <w:tcBorders>
              <w:top w:val="single" w:sz="4" w:space="0" w:color="D0CECE" w:themeColor="background2" w:themeShade="E6"/>
              <w:left w:val="single" w:sz="4" w:space="0" w:color="D0CECE" w:themeColor="background2" w:themeShade="E6"/>
              <w:bottom w:val="single" w:sz="4" w:space="0" w:color="D0CECE" w:themeColor="background2" w:themeShade="E6"/>
            </w:tcBorders>
          </w:tcPr>
          <w:p w14:paraId="0407EA70" w14:textId="77777777" w:rsidR="00382D22" w:rsidRPr="00812C16" w:rsidRDefault="00382D22" w:rsidP="00382D22">
            <w:pPr>
              <w:spacing w:beforeLines="60" w:before="144" w:afterLines="60" w:after="144"/>
              <w:jc w:val="center"/>
              <w:rPr>
                <w:rFonts w:cs="Arial"/>
                <w:sz w:val="18"/>
                <w:szCs w:val="18"/>
              </w:rPr>
            </w:pPr>
            <w:r w:rsidRPr="00812C16">
              <w:rPr>
                <w:rFonts w:cs="Arial"/>
                <w:sz w:val="18"/>
                <w:szCs w:val="18"/>
              </w:rPr>
              <w:t>Kein (histologischer) Anhalt für Primärtumor</w:t>
            </w:r>
          </w:p>
        </w:tc>
      </w:tr>
      <w:tr w:rsidR="00382D22" w:rsidRPr="00812C16" w14:paraId="41441ED4" w14:textId="77777777" w:rsidTr="00561E47">
        <w:tc>
          <w:tcPr>
            <w:tcW w:w="676" w:type="dxa"/>
            <w:tcBorders>
              <w:top w:val="single" w:sz="4" w:space="0" w:color="D0CECE" w:themeColor="background2" w:themeShade="E6"/>
              <w:bottom w:val="single" w:sz="4" w:space="0" w:color="D0CECE" w:themeColor="background2" w:themeShade="E6"/>
              <w:right w:val="single" w:sz="4" w:space="0" w:color="D0CECE" w:themeColor="background2" w:themeShade="E6"/>
            </w:tcBorders>
          </w:tcPr>
          <w:p w14:paraId="6F9F669B" w14:textId="77777777" w:rsidR="00382D22" w:rsidRPr="00812C16" w:rsidRDefault="00382D22" w:rsidP="002251C0">
            <w:pPr>
              <w:spacing w:beforeLines="60" w:before="144" w:afterLines="60" w:after="144"/>
              <w:rPr>
                <w:rFonts w:cs="Arial"/>
                <w:sz w:val="18"/>
                <w:szCs w:val="18"/>
              </w:rPr>
            </w:pPr>
            <w:r w:rsidRPr="00812C16">
              <w:rPr>
                <w:rFonts w:cs="Arial"/>
                <w:sz w:val="18"/>
                <w:szCs w:val="18"/>
              </w:rPr>
              <w:t>(p)</w:t>
            </w:r>
            <w:proofErr w:type="spellStart"/>
            <w:r w:rsidRPr="00812C16">
              <w:rPr>
                <w:rFonts w:cs="Arial"/>
                <w:sz w:val="18"/>
                <w:szCs w:val="18"/>
              </w:rPr>
              <w:t>Tis</w:t>
            </w:r>
            <w:proofErr w:type="spellEnd"/>
          </w:p>
        </w:tc>
        <w:tc>
          <w:tcPr>
            <w:tcW w:w="8391" w:type="dxa"/>
            <w:gridSpan w:val="3"/>
            <w:tcBorders>
              <w:top w:val="single" w:sz="4" w:space="0" w:color="D0CECE" w:themeColor="background2" w:themeShade="E6"/>
              <w:left w:val="single" w:sz="4" w:space="0" w:color="D0CECE" w:themeColor="background2" w:themeShade="E6"/>
              <w:bottom w:val="single" w:sz="4" w:space="0" w:color="D0CECE" w:themeColor="background2" w:themeShade="E6"/>
            </w:tcBorders>
          </w:tcPr>
          <w:p w14:paraId="513033E8" w14:textId="77777777" w:rsidR="00382D22" w:rsidRPr="00812C16" w:rsidRDefault="00382D22" w:rsidP="00382D22">
            <w:pPr>
              <w:spacing w:beforeLines="60" w:before="144" w:afterLines="60" w:after="144"/>
              <w:jc w:val="center"/>
              <w:rPr>
                <w:rFonts w:cs="Arial"/>
                <w:sz w:val="18"/>
                <w:szCs w:val="18"/>
              </w:rPr>
            </w:pPr>
            <w:proofErr w:type="spellStart"/>
            <w:r w:rsidRPr="00812C16">
              <w:rPr>
                <w:rFonts w:cs="Arial"/>
                <w:sz w:val="18"/>
                <w:szCs w:val="18"/>
              </w:rPr>
              <w:t>Carcinoma</w:t>
            </w:r>
            <w:proofErr w:type="spellEnd"/>
            <w:r w:rsidRPr="00812C16">
              <w:rPr>
                <w:rFonts w:cs="Arial"/>
                <w:sz w:val="18"/>
                <w:szCs w:val="18"/>
              </w:rPr>
              <w:t xml:space="preserve"> in situ </w:t>
            </w:r>
          </w:p>
        </w:tc>
      </w:tr>
      <w:tr w:rsidR="008E39CD" w:rsidRPr="00812C16" w14:paraId="1B7FA376" w14:textId="77777777" w:rsidTr="008661CC">
        <w:tc>
          <w:tcPr>
            <w:tcW w:w="676" w:type="dxa"/>
            <w:tcBorders>
              <w:top w:val="single" w:sz="4" w:space="0" w:color="D0CECE" w:themeColor="background2" w:themeShade="E6"/>
              <w:bottom w:val="single" w:sz="4" w:space="0" w:color="D0CECE" w:themeColor="background2" w:themeShade="E6"/>
              <w:right w:val="single" w:sz="4" w:space="0" w:color="D0CECE" w:themeColor="background2" w:themeShade="E6"/>
            </w:tcBorders>
          </w:tcPr>
          <w:p w14:paraId="6D5F72CB" w14:textId="77777777" w:rsidR="00FF42D2" w:rsidRPr="00812C16" w:rsidRDefault="00FF42D2" w:rsidP="002251C0">
            <w:pPr>
              <w:spacing w:beforeLines="60" w:before="144" w:afterLines="60" w:after="144"/>
              <w:rPr>
                <w:rFonts w:cs="Arial"/>
                <w:sz w:val="18"/>
                <w:szCs w:val="18"/>
              </w:rPr>
            </w:pPr>
            <w:r w:rsidRPr="00812C16">
              <w:rPr>
                <w:rFonts w:cs="Arial"/>
                <w:sz w:val="18"/>
                <w:szCs w:val="18"/>
              </w:rPr>
              <w:t>T1</w:t>
            </w:r>
          </w:p>
        </w:tc>
        <w:tc>
          <w:tcPr>
            <w:tcW w:w="244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01C3D667" w14:textId="77777777" w:rsidR="00935577" w:rsidRPr="00812C16" w:rsidRDefault="002E0B8A" w:rsidP="002251C0">
            <w:pPr>
              <w:spacing w:beforeLines="60" w:before="144" w:afterLines="60" w:after="144"/>
              <w:jc w:val="left"/>
              <w:rPr>
                <w:rFonts w:cs="Arial"/>
                <w:sz w:val="18"/>
                <w:szCs w:val="18"/>
              </w:rPr>
            </w:pPr>
            <w:r w:rsidRPr="00812C16">
              <w:rPr>
                <w:rFonts w:cs="Arial"/>
                <w:sz w:val="18"/>
                <w:szCs w:val="18"/>
              </w:rPr>
              <w:t xml:space="preserve">Tumorgröße </w:t>
            </w:r>
            <w:r w:rsidR="00935577" w:rsidRPr="00812C16">
              <w:rPr>
                <w:rFonts w:cs="Arial"/>
                <w:sz w:val="18"/>
                <w:szCs w:val="18"/>
                <w:u w:val="single"/>
              </w:rPr>
              <w:t>&lt;</w:t>
            </w:r>
            <w:r w:rsidR="007E7FDE" w:rsidRPr="00812C16">
              <w:rPr>
                <w:rFonts w:cs="Arial"/>
                <w:sz w:val="18"/>
                <w:szCs w:val="18"/>
              </w:rPr>
              <w:t xml:space="preserve"> </w:t>
            </w:r>
            <w:r w:rsidRPr="00812C16">
              <w:rPr>
                <w:rFonts w:cs="Arial"/>
                <w:sz w:val="18"/>
                <w:szCs w:val="18"/>
              </w:rPr>
              <w:t>2 cm</w:t>
            </w:r>
            <w:r w:rsidR="00935577" w:rsidRPr="00812C16">
              <w:rPr>
                <w:rFonts w:cs="Arial"/>
                <w:sz w:val="18"/>
                <w:szCs w:val="18"/>
              </w:rPr>
              <w:t xml:space="preserve"> </w:t>
            </w:r>
            <w:r w:rsidR="00935577" w:rsidRPr="00812C16">
              <w:rPr>
                <w:rFonts w:cs="Arial"/>
                <w:b/>
                <w:bCs/>
                <w:sz w:val="18"/>
                <w:szCs w:val="18"/>
              </w:rPr>
              <w:t>und</w:t>
            </w:r>
            <w:r w:rsidR="00935577" w:rsidRPr="00812C16">
              <w:rPr>
                <w:rFonts w:cs="Arial"/>
                <w:sz w:val="18"/>
                <w:szCs w:val="18"/>
              </w:rPr>
              <w:t xml:space="preserve"> DOI</w:t>
            </w:r>
            <w:r w:rsidR="00AC767B" w:rsidRPr="00812C16">
              <w:rPr>
                <w:rFonts w:cs="Arial"/>
                <w:sz w:val="18"/>
                <w:szCs w:val="18"/>
              </w:rPr>
              <w:t>*</w:t>
            </w:r>
            <w:r w:rsidR="00D5781A" w:rsidRPr="00812C16">
              <w:rPr>
                <w:rFonts w:cs="Arial"/>
                <w:sz w:val="18"/>
                <w:szCs w:val="18"/>
              </w:rPr>
              <w:t>*</w:t>
            </w:r>
            <w:r w:rsidR="00935577" w:rsidRPr="00812C16">
              <w:rPr>
                <w:rFonts w:cs="Arial"/>
                <w:sz w:val="18"/>
                <w:szCs w:val="18"/>
              </w:rPr>
              <w:t xml:space="preserve"> </w:t>
            </w:r>
            <w:r w:rsidR="00935577" w:rsidRPr="00812C16">
              <w:rPr>
                <w:rFonts w:cs="Arial"/>
                <w:sz w:val="18"/>
                <w:szCs w:val="18"/>
                <w:u w:val="single"/>
              </w:rPr>
              <w:t>&lt;</w:t>
            </w:r>
            <w:r w:rsidR="007E7FDE" w:rsidRPr="00812C16">
              <w:rPr>
                <w:rFonts w:cs="Arial"/>
                <w:sz w:val="18"/>
                <w:szCs w:val="18"/>
              </w:rPr>
              <w:t xml:space="preserve"> </w:t>
            </w:r>
            <w:r w:rsidR="00935577" w:rsidRPr="00812C16">
              <w:rPr>
                <w:rFonts w:cs="Arial"/>
                <w:sz w:val="18"/>
                <w:szCs w:val="18"/>
              </w:rPr>
              <w:t>5 mm</w:t>
            </w:r>
          </w:p>
        </w:tc>
        <w:tc>
          <w:tcPr>
            <w:tcW w:w="311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5104DC3F" w14:textId="77777777" w:rsidR="00FF42D2" w:rsidRPr="00812C16" w:rsidRDefault="00FF42D2" w:rsidP="002251C0">
            <w:pPr>
              <w:spacing w:beforeLines="60" w:before="144" w:afterLines="60" w:after="144"/>
              <w:jc w:val="left"/>
              <w:rPr>
                <w:rFonts w:cs="Arial"/>
                <w:sz w:val="18"/>
                <w:szCs w:val="18"/>
              </w:rPr>
            </w:pPr>
            <w:r w:rsidRPr="00812C16">
              <w:rPr>
                <w:rFonts w:cs="Arial"/>
                <w:sz w:val="18"/>
                <w:szCs w:val="18"/>
              </w:rPr>
              <w:t xml:space="preserve">Tumorgröße </w:t>
            </w:r>
            <w:r w:rsidR="00561E47" w:rsidRPr="00812C16">
              <w:rPr>
                <w:rFonts w:cs="Arial"/>
                <w:sz w:val="18"/>
                <w:szCs w:val="18"/>
                <w:u w:val="single"/>
              </w:rPr>
              <w:t>&lt;</w:t>
            </w:r>
            <w:r w:rsidR="00561E47" w:rsidRPr="00812C16">
              <w:rPr>
                <w:rFonts w:cs="Arial"/>
                <w:sz w:val="18"/>
                <w:szCs w:val="18"/>
              </w:rPr>
              <w:t xml:space="preserve"> </w:t>
            </w:r>
            <w:r w:rsidRPr="00812C16">
              <w:rPr>
                <w:rFonts w:cs="Arial"/>
                <w:sz w:val="18"/>
                <w:szCs w:val="18"/>
              </w:rPr>
              <w:t xml:space="preserve">2 cm </w:t>
            </w:r>
          </w:p>
        </w:tc>
        <w:tc>
          <w:tcPr>
            <w:tcW w:w="2830" w:type="dxa"/>
            <w:tcBorders>
              <w:top w:val="single" w:sz="4" w:space="0" w:color="D0CECE" w:themeColor="background2" w:themeShade="E6"/>
              <w:left w:val="single" w:sz="4" w:space="0" w:color="D0CECE" w:themeColor="background2" w:themeShade="E6"/>
              <w:bottom w:val="single" w:sz="4" w:space="0" w:color="D0CECE" w:themeColor="background2" w:themeShade="E6"/>
            </w:tcBorders>
          </w:tcPr>
          <w:p w14:paraId="42824AE2" w14:textId="77777777" w:rsidR="00FF42D2" w:rsidRPr="00812C16" w:rsidRDefault="00FF42D2" w:rsidP="002251C0">
            <w:pPr>
              <w:spacing w:beforeLines="60" w:before="144" w:afterLines="60" w:after="144"/>
              <w:jc w:val="left"/>
              <w:rPr>
                <w:rFonts w:cs="Arial"/>
                <w:sz w:val="18"/>
                <w:szCs w:val="18"/>
              </w:rPr>
            </w:pPr>
            <w:r w:rsidRPr="00812C16">
              <w:rPr>
                <w:rFonts w:cs="Arial"/>
                <w:sz w:val="18"/>
                <w:szCs w:val="18"/>
              </w:rPr>
              <w:t xml:space="preserve">Tumorgröße &gt;2 cm </w:t>
            </w:r>
            <w:r w:rsidRPr="00812C16">
              <w:rPr>
                <w:rFonts w:cs="Arial"/>
                <w:b/>
                <w:bCs/>
                <w:sz w:val="18"/>
                <w:szCs w:val="18"/>
              </w:rPr>
              <w:t>und</w:t>
            </w:r>
            <w:r w:rsidR="00AC767B" w:rsidRPr="00812C16">
              <w:rPr>
                <w:rFonts w:cs="Arial"/>
                <w:b/>
                <w:bCs/>
                <w:sz w:val="18"/>
                <w:szCs w:val="18"/>
              </w:rPr>
              <w:t xml:space="preserve"> </w:t>
            </w:r>
            <w:r w:rsidRPr="00812C16">
              <w:rPr>
                <w:rFonts w:cs="Arial"/>
                <w:sz w:val="18"/>
                <w:szCs w:val="18"/>
              </w:rPr>
              <w:t>auf einen Unterbezirk</w:t>
            </w:r>
            <w:r w:rsidR="00443A46" w:rsidRPr="00812C16">
              <w:rPr>
                <w:rFonts w:cs="Arial"/>
                <w:sz w:val="18"/>
                <w:szCs w:val="18"/>
              </w:rPr>
              <w:t>*</w:t>
            </w:r>
            <w:r w:rsidRPr="00812C16">
              <w:rPr>
                <w:rFonts w:cs="Arial"/>
                <w:sz w:val="18"/>
                <w:szCs w:val="18"/>
              </w:rPr>
              <w:t xml:space="preserve"> begrenzt </w:t>
            </w:r>
          </w:p>
        </w:tc>
      </w:tr>
      <w:tr w:rsidR="008E39CD" w:rsidRPr="00812C16" w14:paraId="226A042A" w14:textId="77777777" w:rsidTr="008661CC">
        <w:tc>
          <w:tcPr>
            <w:tcW w:w="676" w:type="dxa"/>
            <w:tcBorders>
              <w:top w:val="single" w:sz="4" w:space="0" w:color="D0CECE" w:themeColor="background2" w:themeShade="E6"/>
              <w:bottom w:val="single" w:sz="4" w:space="0" w:color="D0CECE" w:themeColor="background2" w:themeShade="E6"/>
              <w:right w:val="single" w:sz="4" w:space="0" w:color="D0CECE" w:themeColor="background2" w:themeShade="E6"/>
            </w:tcBorders>
          </w:tcPr>
          <w:p w14:paraId="0AAE93CD" w14:textId="77777777" w:rsidR="00FF42D2" w:rsidRPr="00812C16" w:rsidRDefault="00FF42D2" w:rsidP="002251C0">
            <w:pPr>
              <w:spacing w:beforeLines="60" w:before="144" w:afterLines="60" w:after="144"/>
              <w:rPr>
                <w:rFonts w:cs="Arial"/>
                <w:sz w:val="18"/>
                <w:szCs w:val="18"/>
              </w:rPr>
            </w:pPr>
            <w:r w:rsidRPr="00812C16">
              <w:rPr>
                <w:rFonts w:cs="Arial"/>
                <w:sz w:val="18"/>
                <w:szCs w:val="18"/>
              </w:rPr>
              <w:t>T2</w:t>
            </w:r>
          </w:p>
        </w:tc>
        <w:tc>
          <w:tcPr>
            <w:tcW w:w="244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6668E035" w14:textId="77777777" w:rsidR="00C16940" w:rsidRPr="00812C16" w:rsidRDefault="002E0B8A" w:rsidP="002251C0">
            <w:pPr>
              <w:spacing w:beforeLines="60" w:before="144" w:afterLines="60" w:after="144"/>
              <w:jc w:val="left"/>
              <w:rPr>
                <w:rFonts w:cs="Arial"/>
                <w:sz w:val="18"/>
                <w:szCs w:val="18"/>
              </w:rPr>
            </w:pPr>
            <w:r w:rsidRPr="00812C16">
              <w:rPr>
                <w:rFonts w:cs="Arial"/>
                <w:sz w:val="18"/>
                <w:szCs w:val="18"/>
              </w:rPr>
              <w:t>Tumorgröße</w:t>
            </w:r>
            <w:r w:rsidR="00935577" w:rsidRPr="00812C16">
              <w:rPr>
                <w:rFonts w:cs="Arial"/>
                <w:sz w:val="18"/>
                <w:szCs w:val="18"/>
              </w:rPr>
              <w:t xml:space="preserve"> </w:t>
            </w:r>
            <w:r w:rsidR="00935577" w:rsidRPr="00812C16">
              <w:rPr>
                <w:rFonts w:cs="Arial"/>
                <w:sz w:val="18"/>
                <w:szCs w:val="18"/>
                <w:u w:val="single"/>
              </w:rPr>
              <w:t>&lt;</w:t>
            </w:r>
            <w:r w:rsidRPr="00812C16">
              <w:rPr>
                <w:rFonts w:cs="Arial"/>
                <w:sz w:val="18"/>
                <w:szCs w:val="18"/>
              </w:rPr>
              <w:t xml:space="preserve"> 2</w:t>
            </w:r>
            <w:r w:rsidR="00935577" w:rsidRPr="00812C16">
              <w:rPr>
                <w:rFonts w:cs="Arial"/>
                <w:sz w:val="18"/>
                <w:szCs w:val="18"/>
              </w:rPr>
              <w:t xml:space="preserve"> cm und DOI 2-5 mm</w:t>
            </w:r>
          </w:p>
          <w:p w14:paraId="606E4F0F" w14:textId="77777777" w:rsidR="0024586A" w:rsidRPr="00812C16" w:rsidRDefault="00935577" w:rsidP="002251C0">
            <w:pPr>
              <w:spacing w:beforeLines="60" w:before="144" w:afterLines="60" w:after="144"/>
              <w:jc w:val="left"/>
              <w:rPr>
                <w:rFonts w:cs="Arial"/>
                <w:sz w:val="18"/>
                <w:szCs w:val="18"/>
              </w:rPr>
            </w:pPr>
            <w:r w:rsidRPr="00812C16">
              <w:rPr>
                <w:rFonts w:cs="Arial"/>
                <w:sz w:val="18"/>
                <w:szCs w:val="18"/>
              </w:rPr>
              <w:t xml:space="preserve"> </w:t>
            </w:r>
            <w:r w:rsidR="0024586A" w:rsidRPr="00812C16">
              <w:rPr>
                <w:rFonts w:cs="Arial"/>
                <w:b/>
                <w:bCs/>
                <w:sz w:val="18"/>
                <w:szCs w:val="18"/>
              </w:rPr>
              <w:t xml:space="preserve">oder </w:t>
            </w:r>
          </w:p>
          <w:p w14:paraId="02DBCB51" w14:textId="77777777" w:rsidR="00FF42D2" w:rsidRPr="00812C16" w:rsidRDefault="0024586A" w:rsidP="002251C0">
            <w:pPr>
              <w:spacing w:beforeLines="60" w:before="144" w:afterLines="60" w:after="144"/>
              <w:jc w:val="left"/>
              <w:rPr>
                <w:rFonts w:cs="Arial"/>
                <w:sz w:val="18"/>
                <w:szCs w:val="18"/>
              </w:rPr>
            </w:pPr>
            <w:r w:rsidRPr="00812C16">
              <w:rPr>
                <w:rFonts w:cs="Arial"/>
                <w:sz w:val="18"/>
                <w:szCs w:val="18"/>
              </w:rPr>
              <w:t xml:space="preserve">Tumorgröße </w:t>
            </w:r>
            <w:r w:rsidR="007E7FDE" w:rsidRPr="00812C16">
              <w:rPr>
                <w:rFonts w:cs="Arial"/>
                <w:sz w:val="18"/>
                <w:szCs w:val="18"/>
              </w:rPr>
              <w:t>2</w:t>
            </w:r>
            <w:r w:rsidR="002E0B8A" w:rsidRPr="00812C16">
              <w:rPr>
                <w:rFonts w:cs="Arial"/>
                <w:sz w:val="18"/>
                <w:szCs w:val="18"/>
              </w:rPr>
              <w:t>-4 cm</w:t>
            </w:r>
            <w:r w:rsidR="007E7FDE" w:rsidRPr="00812C16">
              <w:rPr>
                <w:rFonts w:cs="Arial"/>
                <w:sz w:val="18"/>
                <w:szCs w:val="18"/>
              </w:rPr>
              <w:t xml:space="preserve"> und DOI </w:t>
            </w:r>
            <w:r w:rsidR="007E7FDE" w:rsidRPr="00812C16">
              <w:rPr>
                <w:rFonts w:cs="Arial"/>
                <w:sz w:val="18"/>
                <w:szCs w:val="18"/>
                <w:u w:val="single"/>
              </w:rPr>
              <w:t>&lt;</w:t>
            </w:r>
            <w:r w:rsidR="00C16940" w:rsidRPr="00812C16">
              <w:rPr>
                <w:rFonts w:cs="Arial"/>
                <w:sz w:val="18"/>
                <w:szCs w:val="18"/>
              </w:rPr>
              <w:t xml:space="preserve"> </w:t>
            </w:r>
            <w:r w:rsidR="007E7FDE" w:rsidRPr="00812C16">
              <w:rPr>
                <w:rFonts w:cs="Arial"/>
                <w:sz w:val="18"/>
                <w:szCs w:val="18"/>
              </w:rPr>
              <w:t>10 mm</w:t>
            </w:r>
          </w:p>
        </w:tc>
        <w:tc>
          <w:tcPr>
            <w:tcW w:w="311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4513A63C" w14:textId="77777777" w:rsidR="00FF42D2" w:rsidRPr="00812C16" w:rsidRDefault="00FF42D2" w:rsidP="002251C0">
            <w:pPr>
              <w:spacing w:beforeLines="60" w:before="144" w:afterLines="60" w:after="144"/>
              <w:jc w:val="left"/>
              <w:rPr>
                <w:rFonts w:cs="Arial"/>
                <w:sz w:val="18"/>
                <w:szCs w:val="18"/>
              </w:rPr>
            </w:pPr>
            <w:r w:rsidRPr="00812C16">
              <w:rPr>
                <w:rFonts w:cs="Arial"/>
                <w:sz w:val="18"/>
                <w:szCs w:val="18"/>
              </w:rPr>
              <w:t>Tumorgröße 2-4 cm</w:t>
            </w:r>
          </w:p>
        </w:tc>
        <w:tc>
          <w:tcPr>
            <w:tcW w:w="2830" w:type="dxa"/>
            <w:tcBorders>
              <w:top w:val="single" w:sz="4" w:space="0" w:color="D0CECE" w:themeColor="background2" w:themeShade="E6"/>
              <w:left w:val="single" w:sz="4" w:space="0" w:color="D0CECE" w:themeColor="background2" w:themeShade="E6"/>
              <w:bottom w:val="single" w:sz="4" w:space="0" w:color="D0CECE" w:themeColor="background2" w:themeShade="E6"/>
            </w:tcBorders>
          </w:tcPr>
          <w:p w14:paraId="1DDD3467" w14:textId="77777777" w:rsidR="00C16940" w:rsidRPr="00812C16" w:rsidRDefault="00FF42D2" w:rsidP="002251C0">
            <w:pPr>
              <w:spacing w:beforeLines="60" w:before="144" w:afterLines="60" w:after="144"/>
              <w:jc w:val="left"/>
              <w:rPr>
                <w:rFonts w:cs="Arial"/>
                <w:b/>
                <w:bCs/>
                <w:sz w:val="18"/>
                <w:szCs w:val="18"/>
              </w:rPr>
            </w:pPr>
            <w:r w:rsidRPr="00812C16">
              <w:rPr>
                <w:rFonts w:cs="Arial"/>
                <w:sz w:val="18"/>
                <w:szCs w:val="18"/>
              </w:rPr>
              <w:t>Tumorgröße 2-4 cm</w:t>
            </w:r>
            <w:r w:rsidRPr="00812C16">
              <w:rPr>
                <w:rFonts w:cs="Arial"/>
                <w:b/>
                <w:bCs/>
                <w:sz w:val="18"/>
                <w:szCs w:val="18"/>
              </w:rPr>
              <w:t xml:space="preserve"> </w:t>
            </w:r>
          </w:p>
          <w:p w14:paraId="4A300D6A" w14:textId="77777777" w:rsidR="00C16940" w:rsidRPr="00812C16" w:rsidRDefault="00FF42D2" w:rsidP="002251C0">
            <w:pPr>
              <w:spacing w:beforeLines="60" w:before="144" w:afterLines="60" w:after="144"/>
              <w:jc w:val="left"/>
              <w:rPr>
                <w:rFonts w:cs="Arial"/>
                <w:b/>
                <w:bCs/>
                <w:sz w:val="18"/>
                <w:szCs w:val="18"/>
              </w:rPr>
            </w:pPr>
            <w:r w:rsidRPr="00812C16">
              <w:rPr>
                <w:rFonts w:cs="Arial"/>
                <w:b/>
                <w:bCs/>
                <w:sz w:val="18"/>
                <w:szCs w:val="18"/>
              </w:rPr>
              <w:t>oder</w:t>
            </w:r>
            <w:r w:rsidR="000F3432" w:rsidRPr="00812C16">
              <w:rPr>
                <w:rFonts w:cs="Arial"/>
                <w:b/>
                <w:bCs/>
                <w:sz w:val="18"/>
                <w:szCs w:val="18"/>
              </w:rPr>
              <w:t xml:space="preserve"> </w:t>
            </w:r>
          </w:p>
          <w:p w14:paraId="307F659D" w14:textId="77777777" w:rsidR="00FF42D2" w:rsidRPr="00812C16" w:rsidRDefault="00FF42D2" w:rsidP="002251C0">
            <w:pPr>
              <w:spacing w:beforeLines="60" w:before="144" w:afterLines="60" w:after="144"/>
              <w:jc w:val="left"/>
              <w:rPr>
                <w:rFonts w:cs="Arial"/>
                <w:b/>
                <w:bCs/>
                <w:sz w:val="18"/>
                <w:szCs w:val="18"/>
              </w:rPr>
            </w:pPr>
            <w:r w:rsidRPr="00812C16">
              <w:rPr>
                <w:rFonts w:cs="Arial"/>
                <w:sz w:val="18"/>
                <w:szCs w:val="18"/>
              </w:rPr>
              <w:t>Invasion mehrerer Unterbezirke</w:t>
            </w:r>
            <w:r w:rsidR="00443A46" w:rsidRPr="00812C16">
              <w:rPr>
                <w:rFonts w:cs="Arial"/>
                <w:sz w:val="18"/>
                <w:szCs w:val="18"/>
              </w:rPr>
              <w:t>*</w:t>
            </w:r>
          </w:p>
        </w:tc>
      </w:tr>
      <w:tr w:rsidR="008E39CD" w:rsidRPr="00812C16" w14:paraId="6106E40D" w14:textId="77777777" w:rsidTr="008661CC">
        <w:tc>
          <w:tcPr>
            <w:tcW w:w="676" w:type="dxa"/>
            <w:tcBorders>
              <w:top w:val="single" w:sz="4" w:space="0" w:color="D0CECE" w:themeColor="background2" w:themeShade="E6"/>
              <w:bottom w:val="single" w:sz="4" w:space="0" w:color="D0CECE" w:themeColor="background2" w:themeShade="E6"/>
              <w:right w:val="single" w:sz="4" w:space="0" w:color="D0CECE" w:themeColor="background2" w:themeShade="E6"/>
            </w:tcBorders>
          </w:tcPr>
          <w:p w14:paraId="582E87B6" w14:textId="77777777" w:rsidR="00FF42D2" w:rsidRPr="00812C16" w:rsidRDefault="00FF42D2" w:rsidP="002251C0">
            <w:pPr>
              <w:spacing w:beforeLines="60" w:before="144" w:afterLines="60" w:after="144"/>
              <w:rPr>
                <w:rFonts w:cs="Arial"/>
                <w:sz w:val="18"/>
                <w:szCs w:val="18"/>
              </w:rPr>
            </w:pPr>
            <w:r w:rsidRPr="00812C16">
              <w:rPr>
                <w:rFonts w:cs="Arial"/>
                <w:sz w:val="18"/>
                <w:szCs w:val="18"/>
              </w:rPr>
              <w:t>T3</w:t>
            </w:r>
          </w:p>
        </w:tc>
        <w:tc>
          <w:tcPr>
            <w:tcW w:w="244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0C1943C3" w14:textId="77777777" w:rsidR="00FF42D2" w:rsidRPr="00812C16" w:rsidRDefault="002E0B8A" w:rsidP="002251C0">
            <w:pPr>
              <w:spacing w:beforeLines="60" w:before="144" w:afterLines="60" w:after="144"/>
              <w:jc w:val="left"/>
              <w:rPr>
                <w:rFonts w:cs="Arial"/>
                <w:sz w:val="18"/>
                <w:szCs w:val="18"/>
              </w:rPr>
            </w:pPr>
            <w:r w:rsidRPr="00812C16">
              <w:rPr>
                <w:rFonts w:cs="Arial"/>
                <w:sz w:val="18"/>
                <w:szCs w:val="18"/>
              </w:rPr>
              <w:t>Tumorgröße &gt;</w:t>
            </w:r>
            <w:r w:rsidR="007E7FDE" w:rsidRPr="00812C16">
              <w:rPr>
                <w:rFonts w:cs="Arial"/>
                <w:sz w:val="18"/>
                <w:szCs w:val="18"/>
              </w:rPr>
              <w:t xml:space="preserve"> </w:t>
            </w:r>
            <w:r w:rsidRPr="00812C16">
              <w:rPr>
                <w:rFonts w:cs="Arial"/>
                <w:sz w:val="18"/>
                <w:szCs w:val="18"/>
              </w:rPr>
              <w:t>4 cm</w:t>
            </w:r>
            <w:r w:rsidR="00D5781A" w:rsidRPr="00812C16">
              <w:rPr>
                <w:rFonts w:cs="Arial"/>
                <w:sz w:val="18"/>
                <w:szCs w:val="18"/>
              </w:rPr>
              <w:t xml:space="preserve"> und </w:t>
            </w:r>
            <w:r w:rsidR="007E7FDE" w:rsidRPr="00812C16">
              <w:rPr>
                <w:rFonts w:cs="Arial"/>
                <w:sz w:val="18"/>
                <w:szCs w:val="18"/>
              </w:rPr>
              <w:t xml:space="preserve">DOI </w:t>
            </w:r>
            <w:r w:rsidR="007E7FDE" w:rsidRPr="00812C16">
              <w:rPr>
                <w:rFonts w:cs="Arial"/>
                <w:sz w:val="18"/>
                <w:szCs w:val="18"/>
                <w:u w:val="single"/>
              </w:rPr>
              <w:t>&gt;</w:t>
            </w:r>
            <w:r w:rsidR="007E7FDE" w:rsidRPr="00812C16">
              <w:rPr>
                <w:rFonts w:cs="Arial"/>
                <w:sz w:val="18"/>
                <w:szCs w:val="18"/>
              </w:rPr>
              <w:t xml:space="preserve"> 10mm</w:t>
            </w:r>
          </w:p>
        </w:tc>
        <w:tc>
          <w:tcPr>
            <w:tcW w:w="311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40493FDF" w14:textId="77777777" w:rsidR="00C16940" w:rsidRPr="00812C16" w:rsidRDefault="00FF42D2" w:rsidP="002251C0">
            <w:pPr>
              <w:spacing w:beforeLines="60" w:before="144" w:afterLines="60" w:after="144"/>
              <w:jc w:val="left"/>
              <w:rPr>
                <w:rFonts w:cs="Arial"/>
                <w:sz w:val="18"/>
                <w:szCs w:val="18"/>
              </w:rPr>
            </w:pPr>
            <w:r w:rsidRPr="00812C16">
              <w:rPr>
                <w:rFonts w:cs="Arial"/>
                <w:sz w:val="18"/>
                <w:szCs w:val="18"/>
              </w:rPr>
              <w:t>Tumorgröße &gt;</w:t>
            </w:r>
            <w:r w:rsidR="00C16940" w:rsidRPr="00812C16">
              <w:rPr>
                <w:rFonts w:cs="Arial"/>
                <w:sz w:val="18"/>
                <w:szCs w:val="18"/>
              </w:rPr>
              <w:t xml:space="preserve"> </w:t>
            </w:r>
            <w:r w:rsidRPr="00812C16">
              <w:rPr>
                <w:rFonts w:cs="Arial"/>
                <w:sz w:val="18"/>
                <w:szCs w:val="18"/>
              </w:rPr>
              <w:t xml:space="preserve">4 cm </w:t>
            </w:r>
          </w:p>
          <w:p w14:paraId="5524120C" w14:textId="77777777" w:rsidR="00C16940" w:rsidRPr="00812C16" w:rsidRDefault="00FF42D2" w:rsidP="002251C0">
            <w:pPr>
              <w:spacing w:beforeLines="60" w:before="144" w:afterLines="60" w:after="144"/>
              <w:jc w:val="left"/>
              <w:rPr>
                <w:rFonts w:cs="Arial"/>
                <w:b/>
                <w:bCs/>
                <w:sz w:val="18"/>
                <w:szCs w:val="18"/>
              </w:rPr>
            </w:pPr>
            <w:r w:rsidRPr="00812C16">
              <w:rPr>
                <w:rFonts w:cs="Arial"/>
                <w:b/>
                <w:bCs/>
                <w:sz w:val="18"/>
                <w:szCs w:val="18"/>
              </w:rPr>
              <w:t>oder</w:t>
            </w:r>
            <w:r w:rsidR="00AC767B" w:rsidRPr="00812C16">
              <w:rPr>
                <w:rFonts w:cs="Arial"/>
                <w:b/>
                <w:bCs/>
                <w:sz w:val="18"/>
                <w:szCs w:val="18"/>
              </w:rPr>
              <w:t xml:space="preserve"> </w:t>
            </w:r>
          </w:p>
          <w:p w14:paraId="63D52D80" w14:textId="77777777" w:rsidR="00FF42D2" w:rsidRPr="00812C16" w:rsidRDefault="00C16940" w:rsidP="002251C0">
            <w:pPr>
              <w:spacing w:beforeLines="60" w:before="144" w:afterLines="60" w:after="144"/>
              <w:jc w:val="left"/>
              <w:rPr>
                <w:rFonts w:cs="Arial"/>
                <w:sz w:val="18"/>
                <w:szCs w:val="18"/>
              </w:rPr>
            </w:pPr>
            <w:r w:rsidRPr="00812C16">
              <w:rPr>
                <w:rFonts w:cs="Arial"/>
                <w:sz w:val="18"/>
                <w:szCs w:val="18"/>
              </w:rPr>
              <w:t xml:space="preserve">Ausbreitung zur </w:t>
            </w:r>
            <w:proofErr w:type="spellStart"/>
            <w:r w:rsidRPr="00812C16">
              <w:rPr>
                <w:rFonts w:cs="Arial"/>
                <w:sz w:val="18"/>
                <w:szCs w:val="18"/>
              </w:rPr>
              <w:t>lingualen</w:t>
            </w:r>
            <w:proofErr w:type="spellEnd"/>
            <w:r w:rsidRPr="00812C16">
              <w:rPr>
                <w:rFonts w:cs="Arial"/>
                <w:sz w:val="18"/>
                <w:szCs w:val="18"/>
              </w:rPr>
              <w:t xml:space="preserve"> Oberfläche der Epiglottis</w:t>
            </w:r>
          </w:p>
        </w:tc>
        <w:tc>
          <w:tcPr>
            <w:tcW w:w="2830" w:type="dxa"/>
            <w:tcBorders>
              <w:top w:val="single" w:sz="4" w:space="0" w:color="D0CECE" w:themeColor="background2" w:themeShade="E6"/>
              <w:left w:val="single" w:sz="4" w:space="0" w:color="D0CECE" w:themeColor="background2" w:themeShade="E6"/>
              <w:bottom w:val="single" w:sz="4" w:space="0" w:color="D0CECE" w:themeColor="background2" w:themeShade="E6"/>
            </w:tcBorders>
          </w:tcPr>
          <w:p w14:paraId="043F6ADC" w14:textId="77777777" w:rsidR="00C16940" w:rsidRPr="00812C16" w:rsidRDefault="00FF42D2" w:rsidP="002251C0">
            <w:pPr>
              <w:spacing w:beforeLines="60" w:before="144" w:afterLines="60" w:after="144"/>
              <w:jc w:val="left"/>
              <w:rPr>
                <w:rFonts w:cs="Arial"/>
                <w:sz w:val="18"/>
                <w:szCs w:val="18"/>
              </w:rPr>
            </w:pPr>
            <w:r w:rsidRPr="00812C16">
              <w:rPr>
                <w:rFonts w:cs="Arial"/>
                <w:sz w:val="18"/>
                <w:szCs w:val="18"/>
              </w:rPr>
              <w:t xml:space="preserve">Tumorgröße &gt;4 cm </w:t>
            </w:r>
          </w:p>
          <w:p w14:paraId="0FF327DB" w14:textId="77777777" w:rsidR="00C16940" w:rsidRPr="00812C16" w:rsidRDefault="00FF42D2" w:rsidP="002251C0">
            <w:pPr>
              <w:spacing w:beforeLines="60" w:before="144" w:afterLines="60" w:after="144"/>
              <w:jc w:val="left"/>
              <w:rPr>
                <w:rFonts w:cs="Arial"/>
                <w:b/>
                <w:bCs/>
                <w:sz w:val="18"/>
                <w:szCs w:val="18"/>
              </w:rPr>
            </w:pPr>
            <w:r w:rsidRPr="00812C16">
              <w:rPr>
                <w:rFonts w:cs="Arial"/>
                <w:b/>
                <w:bCs/>
                <w:sz w:val="18"/>
                <w:szCs w:val="18"/>
              </w:rPr>
              <w:t>oder</w:t>
            </w:r>
            <w:r w:rsidR="00AC767B" w:rsidRPr="00812C16">
              <w:rPr>
                <w:rFonts w:cs="Arial"/>
                <w:b/>
                <w:bCs/>
                <w:sz w:val="18"/>
                <w:szCs w:val="18"/>
              </w:rPr>
              <w:t xml:space="preserve"> </w:t>
            </w:r>
          </w:p>
          <w:p w14:paraId="7E4CBD4B" w14:textId="77777777" w:rsidR="00FF42D2" w:rsidRPr="00812C16" w:rsidRDefault="00FF42D2" w:rsidP="002251C0">
            <w:pPr>
              <w:spacing w:beforeLines="60" w:before="144" w:afterLines="60" w:after="144"/>
              <w:jc w:val="left"/>
              <w:rPr>
                <w:rFonts w:cs="Arial"/>
                <w:sz w:val="18"/>
                <w:szCs w:val="18"/>
              </w:rPr>
            </w:pPr>
            <w:r w:rsidRPr="00812C16">
              <w:rPr>
                <w:rFonts w:cs="Arial"/>
                <w:sz w:val="18"/>
                <w:szCs w:val="18"/>
              </w:rPr>
              <w:t xml:space="preserve">Fixation des </w:t>
            </w:r>
            <w:proofErr w:type="spellStart"/>
            <w:r w:rsidRPr="00812C16">
              <w:rPr>
                <w:rFonts w:cs="Arial"/>
                <w:sz w:val="18"/>
                <w:szCs w:val="18"/>
              </w:rPr>
              <w:t>Hemilarynx</w:t>
            </w:r>
            <w:proofErr w:type="spellEnd"/>
          </w:p>
        </w:tc>
      </w:tr>
      <w:tr w:rsidR="008E39CD" w:rsidRPr="00812C16" w14:paraId="6816A6C9" w14:textId="77777777" w:rsidTr="008661CC">
        <w:tc>
          <w:tcPr>
            <w:tcW w:w="676" w:type="dxa"/>
            <w:tcBorders>
              <w:top w:val="single" w:sz="4" w:space="0" w:color="D0CECE" w:themeColor="background2" w:themeShade="E6"/>
              <w:bottom w:val="single" w:sz="4" w:space="0" w:color="D0CECE" w:themeColor="background2" w:themeShade="E6"/>
              <w:right w:val="single" w:sz="4" w:space="0" w:color="D0CECE" w:themeColor="background2" w:themeShade="E6"/>
            </w:tcBorders>
          </w:tcPr>
          <w:p w14:paraId="60679FA9" w14:textId="77777777" w:rsidR="00FF42D2" w:rsidRPr="00812C16" w:rsidRDefault="00086D1E" w:rsidP="002251C0">
            <w:pPr>
              <w:spacing w:beforeLines="60" w:before="144" w:afterLines="60" w:after="144"/>
              <w:rPr>
                <w:rFonts w:cs="Arial"/>
                <w:sz w:val="18"/>
                <w:szCs w:val="18"/>
              </w:rPr>
            </w:pPr>
            <w:r w:rsidRPr="00812C16">
              <w:rPr>
                <w:rFonts w:cs="Arial"/>
                <w:sz w:val="18"/>
                <w:szCs w:val="18"/>
              </w:rPr>
              <w:t>T4a</w:t>
            </w:r>
          </w:p>
        </w:tc>
        <w:tc>
          <w:tcPr>
            <w:tcW w:w="244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0265078A" w14:textId="77777777" w:rsidR="00900B2F" w:rsidRPr="00812C16" w:rsidRDefault="00900B2F" w:rsidP="00561E47">
            <w:pPr>
              <w:spacing w:beforeLines="60" w:before="144" w:afterLines="60" w:after="144"/>
              <w:jc w:val="left"/>
              <w:rPr>
                <w:rFonts w:cs="Arial"/>
                <w:b/>
                <w:bCs/>
                <w:sz w:val="18"/>
                <w:szCs w:val="18"/>
              </w:rPr>
            </w:pPr>
            <w:r w:rsidRPr="00812C16">
              <w:rPr>
                <w:rFonts w:cs="Arial"/>
                <w:b/>
                <w:bCs/>
                <w:sz w:val="18"/>
                <w:szCs w:val="18"/>
              </w:rPr>
              <w:t xml:space="preserve">Tumor infiltriert Nachbarstrukturen: </w:t>
            </w:r>
          </w:p>
          <w:p w14:paraId="78DEF73F" w14:textId="77777777" w:rsidR="000F3432" w:rsidRPr="00812C16" w:rsidRDefault="007F66DB" w:rsidP="00246EB5">
            <w:pPr>
              <w:pStyle w:val="Listenabsatz"/>
              <w:numPr>
                <w:ilvl w:val="0"/>
                <w:numId w:val="9"/>
              </w:numPr>
              <w:spacing w:beforeLines="60" w:before="144" w:afterLines="60" w:after="144"/>
              <w:ind w:left="210" w:hanging="142"/>
              <w:jc w:val="left"/>
              <w:rPr>
                <w:rFonts w:cs="Arial"/>
                <w:sz w:val="18"/>
                <w:szCs w:val="18"/>
              </w:rPr>
            </w:pPr>
            <w:r w:rsidRPr="00812C16">
              <w:rPr>
                <w:rFonts w:cs="Arial"/>
                <w:sz w:val="18"/>
                <w:szCs w:val="18"/>
              </w:rPr>
              <w:t xml:space="preserve">Maxilla, </w:t>
            </w:r>
            <w:r w:rsidR="000F3432" w:rsidRPr="00812C16">
              <w:rPr>
                <w:rFonts w:cs="Arial"/>
                <w:sz w:val="18"/>
                <w:szCs w:val="18"/>
              </w:rPr>
              <w:t>Mandibula</w:t>
            </w:r>
          </w:p>
          <w:p w14:paraId="1CC01BFC" w14:textId="77777777" w:rsidR="007F66DB" w:rsidRPr="00812C16" w:rsidRDefault="000F3432" w:rsidP="00246EB5">
            <w:pPr>
              <w:pStyle w:val="Listenabsatz"/>
              <w:numPr>
                <w:ilvl w:val="0"/>
                <w:numId w:val="9"/>
              </w:numPr>
              <w:spacing w:beforeLines="60" w:before="144" w:afterLines="60" w:after="144"/>
              <w:ind w:left="210" w:hanging="142"/>
              <w:jc w:val="left"/>
              <w:rPr>
                <w:rFonts w:cs="Arial"/>
                <w:sz w:val="18"/>
                <w:szCs w:val="18"/>
              </w:rPr>
            </w:pPr>
            <w:r w:rsidRPr="00812C16">
              <w:rPr>
                <w:rFonts w:cs="Arial"/>
                <w:sz w:val="18"/>
                <w:szCs w:val="18"/>
              </w:rPr>
              <w:t>Sinus maxillaris</w:t>
            </w:r>
          </w:p>
          <w:p w14:paraId="10FE52EA" w14:textId="77777777" w:rsidR="00FF42D2" w:rsidRPr="00812C16" w:rsidRDefault="007F66DB" w:rsidP="00246EB5">
            <w:pPr>
              <w:pStyle w:val="Listenabsatz"/>
              <w:numPr>
                <w:ilvl w:val="0"/>
                <w:numId w:val="9"/>
              </w:numPr>
              <w:spacing w:beforeLines="60" w:before="144" w:afterLines="60" w:after="144"/>
              <w:ind w:left="210" w:hanging="142"/>
              <w:jc w:val="left"/>
              <w:rPr>
                <w:rFonts w:cs="Arial"/>
                <w:sz w:val="18"/>
                <w:szCs w:val="18"/>
              </w:rPr>
            </w:pPr>
            <w:r w:rsidRPr="00812C16">
              <w:rPr>
                <w:rFonts w:cs="Arial"/>
                <w:sz w:val="18"/>
                <w:szCs w:val="18"/>
              </w:rPr>
              <w:t>Gesichtshaut</w:t>
            </w:r>
            <w:r w:rsidR="002E0B8A" w:rsidRPr="00812C16">
              <w:rPr>
                <w:rFonts w:cs="Arial"/>
                <w:sz w:val="18"/>
                <w:szCs w:val="18"/>
              </w:rPr>
              <w:t xml:space="preserve"> </w:t>
            </w:r>
          </w:p>
        </w:tc>
        <w:tc>
          <w:tcPr>
            <w:tcW w:w="311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07BF8F9C" w14:textId="77777777" w:rsidR="00F93865" w:rsidRPr="00812C16" w:rsidRDefault="00086D1E" w:rsidP="002251C0">
            <w:pPr>
              <w:spacing w:beforeLines="60" w:before="144" w:afterLines="60" w:after="144"/>
              <w:jc w:val="left"/>
              <w:rPr>
                <w:rFonts w:cs="Arial"/>
                <w:b/>
                <w:bCs/>
                <w:sz w:val="18"/>
                <w:szCs w:val="18"/>
              </w:rPr>
            </w:pPr>
            <w:r w:rsidRPr="00812C16">
              <w:rPr>
                <w:rFonts w:cs="Arial"/>
                <w:b/>
                <w:bCs/>
                <w:sz w:val="18"/>
                <w:szCs w:val="18"/>
              </w:rPr>
              <w:t>Tumor infiltriert Nachbarstrukturen</w:t>
            </w:r>
            <w:r w:rsidR="00FF42D2" w:rsidRPr="00812C16">
              <w:rPr>
                <w:rFonts w:cs="Arial"/>
                <w:b/>
                <w:bCs/>
                <w:sz w:val="18"/>
                <w:szCs w:val="18"/>
              </w:rPr>
              <w:t xml:space="preserve">: </w:t>
            </w:r>
          </w:p>
          <w:p w14:paraId="5AF51AC7" w14:textId="77777777" w:rsidR="00F93865" w:rsidRPr="00812C16" w:rsidRDefault="00086D1E" w:rsidP="00246EB5">
            <w:pPr>
              <w:pStyle w:val="Listenabsatz"/>
              <w:numPr>
                <w:ilvl w:val="0"/>
                <w:numId w:val="8"/>
              </w:numPr>
              <w:spacing w:beforeLines="60" w:before="144" w:afterLines="60" w:after="144"/>
              <w:ind w:left="176" w:hanging="119"/>
              <w:jc w:val="left"/>
              <w:rPr>
                <w:rFonts w:cs="Arial"/>
                <w:sz w:val="18"/>
                <w:szCs w:val="18"/>
              </w:rPr>
            </w:pPr>
            <w:r w:rsidRPr="00812C16">
              <w:rPr>
                <w:rFonts w:cs="Arial"/>
                <w:sz w:val="18"/>
                <w:szCs w:val="18"/>
              </w:rPr>
              <w:t xml:space="preserve">Larynx, </w:t>
            </w:r>
          </w:p>
          <w:p w14:paraId="08112C99" w14:textId="77777777" w:rsidR="00F93865" w:rsidRPr="00812C16" w:rsidRDefault="00086D1E" w:rsidP="00246EB5">
            <w:pPr>
              <w:pStyle w:val="Listenabsatz"/>
              <w:numPr>
                <w:ilvl w:val="0"/>
                <w:numId w:val="8"/>
              </w:numPr>
              <w:spacing w:beforeLines="60" w:before="144" w:afterLines="60" w:after="144"/>
              <w:ind w:left="176" w:hanging="142"/>
              <w:jc w:val="left"/>
              <w:rPr>
                <w:rFonts w:cs="Arial"/>
                <w:sz w:val="18"/>
                <w:szCs w:val="18"/>
              </w:rPr>
            </w:pPr>
            <w:r w:rsidRPr="00812C16">
              <w:rPr>
                <w:rFonts w:cs="Arial"/>
                <w:sz w:val="18"/>
                <w:szCs w:val="18"/>
              </w:rPr>
              <w:t>äußere Zungenmuskulatur,</w:t>
            </w:r>
          </w:p>
          <w:p w14:paraId="15E89711" w14:textId="77777777" w:rsidR="00F93865" w:rsidRPr="00812C16" w:rsidRDefault="00086D1E" w:rsidP="00246EB5">
            <w:pPr>
              <w:pStyle w:val="Listenabsatz"/>
              <w:numPr>
                <w:ilvl w:val="0"/>
                <w:numId w:val="8"/>
              </w:numPr>
              <w:spacing w:beforeLines="60" w:before="144" w:afterLines="60" w:after="144"/>
              <w:ind w:left="176" w:hanging="142"/>
              <w:jc w:val="left"/>
              <w:rPr>
                <w:rFonts w:cs="Arial"/>
                <w:sz w:val="18"/>
                <w:szCs w:val="18"/>
              </w:rPr>
            </w:pPr>
            <w:r w:rsidRPr="00812C16">
              <w:rPr>
                <w:rFonts w:cs="Arial"/>
                <w:sz w:val="18"/>
                <w:szCs w:val="18"/>
              </w:rPr>
              <w:t xml:space="preserve">mediale </w:t>
            </w:r>
            <w:proofErr w:type="spellStart"/>
            <w:r w:rsidRPr="00812C16">
              <w:rPr>
                <w:rFonts w:cs="Arial"/>
                <w:sz w:val="18"/>
                <w:szCs w:val="18"/>
              </w:rPr>
              <w:t>Pterygoidmuskulatur</w:t>
            </w:r>
            <w:proofErr w:type="spellEnd"/>
            <w:r w:rsidRPr="00812C16">
              <w:rPr>
                <w:rFonts w:cs="Arial"/>
                <w:sz w:val="18"/>
                <w:szCs w:val="18"/>
              </w:rPr>
              <w:t>,</w:t>
            </w:r>
          </w:p>
          <w:p w14:paraId="16F82478" w14:textId="77777777" w:rsidR="00C16940" w:rsidRPr="00812C16" w:rsidRDefault="00086D1E" w:rsidP="00246EB5">
            <w:pPr>
              <w:pStyle w:val="Listenabsatz"/>
              <w:numPr>
                <w:ilvl w:val="0"/>
                <w:numId w:val="8"/>
              </w:numPr>
              <w:spacing w:beforeLines="60" w:before="144" w:afterLines="60" w:after="144"/>
              <w:ind w:left="176" w:hanging="142"/>
              <w:jc w:val="left"/>
              <w:rPr>
                <w:rFonts w:cs="Arial"/>
                <w:sz w:val="18"/>
                <w:szCs w:val="18"/>
              </w:rPr>
            </w:pPr>
            <w:r w:rsidRPr="00812C16">
              <w:rPr>
                <w:rFonts w:cs="Arial"/>
                <w:sz w:val="18"/>
                <w:szCs w:val="18"/>
              </w:rPr>
              <w:t>harter Gaumen oder Mandibula</w:t>
            </w:r>
          </w:p>
        </w:tc>
        <w:tc>
          <w:tcPr>
            <w:tcW w:w="2830" w:type="dxa"/>
            <w:tcBorders>
              <w:top w:val="single" w:sz="4" w:space="0" w:color="D0CECE" w:themeColor="background2" w:themeShade="E6"/>
              <w:left w:val="single" w:sz="4" w:space="0" w:color="D0CECE" w:themeColor="background2" w:themeShade="E6"/>
              <w:bottom w:val="single" w:sz="4" w:space="0" w:color="D0CECE" w:themeColor="background2" w:themeShade="E6"/>
            </w:tcBorders>
          </w:tcPr>
          <w:p w14:paraId="489BD966" w14:textId="77777777" w:rsidR="00F93865" w:rsidRPr="00812C16" w:rsidRDefault="00086D1E" w:rsidP="002251C0">
            <w:pPr>
              <w:spacing w:beforeLines="60" w:before="144" w:afterLines="60" w:after="144"/>
              <w:jc w:val="left"/>
              <w:rPr>
                <w:rFonts w:cs="Arial"/>
                <w:b/>
                <w:bCs/>
                <w:sz w:val="18"/>
                <w:szCs w:val="18"/>
              </w:rPr>
            </w:pPr>
            <w:r w:rsidRPr="00812C16">
              <w:rPr>
                <w:rFonts w:cs="Arial"/>
                <w:b/>
                <w:bCs/>
                <w:sz w:val="18"/>
                <w:szCs w:val="18"/>
              </w:rPr>
              <w:t xml:space="preserve">Tumor infiltriert Nachbarstrukturen: </w:t>
            </w:r>
          </w:p>
          <w:p w14:paraId="1DEFF4AD" w14:textId="77777777" w:rsidR="00F93865" w:rsidRPr="00812C16" w:rsidRDefault="00086D1E" w:rsidP="00246EB5">
            <w:pPr>
              <w:pStyle w:val="Listenabsatz"/>
              <w:numPr>
                <w:ilvl w:val="0"/>
                <w:numId w:val="8"/>
              </w:numPr>
              <w:spacing w:beforeLines="60" w:before="144" w:afterLines="60" w:after="144"/>
              <w:ind w:left="179" w:hanging="115"/>
              <w:jc w:val="left"/>
              <w:rPr>
                <w:rFonts w:cs="Arial"/>
                <w:sz w:val="18"/>
                <w:szCs w:val="18"/>
              </w:rPr>
            </w:pPr>
            <w:r w:rsidRPr="00812C16">
              <w:rPr>
                <w:rFonts w:cs="Arial"/>
                <w:sz w:val="18"/>
                <w:szCs w:val="18"/>
              </w:rPr>
              <w:t>Schild-/Ringknorpel</w:t>
            </w:r>
          </w:p>
          <w:p w14:paraId="198A436D" w14:textId="77777777" w:rsidR="00F93865" w:rsidRPr="00812C16" w:rsidRDefault="00086D1E" w:rsidP="00246EB5">
            <w:pPr>
              <w:pStyle w:val="Listenabsatz"/>
              <w:numPr>
                <w:ilvl w:val="0"/>
                <w:numId w:val="8"/>
              </w:numPr>
              <w:spacing w:beforeLines="60" w:before="144" w:afterLines="60" w:after="144"/>
              <w:ind w:left="179" w:hanging="115"/>
              <w:jc w:val="left"/>
              <w:rPr>
                <w:rFonts w:cs="Arial"/>
                <w:sz w:val="18"/>
                <w:szCs w:val="18"/>
              </w:rPr>
            </w:pPr>
            <w:r w:rsidRPr="00812C16">
              <w:rPr>
                <w:rFonts w:cs="Arial"/>
                <w:sz w:val="18"/>
                <w:szCs w:val="18"/>
              </w:rPr>
              <w:t xml:space="preserve">Zungenbein, </w:t>
            </w:r>
          </w:p>
          <w:p w14:paraId="68497760" w14:textId="77777777" w:rsidR="00F93865" w:rsidRPr="00812C16" w:rsidRDefault="00086D1E" w:rsidP="00246EB5">
            <w:pPr>
              <w:pStyle w:val="Listenabsatz"/>
              <w:numPr>
                <w:ilvl w:val="0"/>
                <w:numId w:val="8"/>
              </w:numPr>
              <w:spacing w:beforeLines="60" w:before="144" w:afterLines="60" w:after="144"/>
              <w:ind w:left="179" w:hanging="115"/>
              <w:jc w:val="left"/>
              <w:rPr>
                <w:rFonts w:cs="Arial"/>
                <w:sz w:val="18"/>
                <w:szCs w:val="18"/>
              </w:rPr>
            </w:pPr>
            <w:r w:rsidRPr="00812C16">
              <w:rPr>
                <w:rFonts w:cs="Arial"/>
                <w:sz w:val="18"/>
                <w:szCs w:val="18"/>
              </w:rPr>
              <w:t xml:space="preserve">Schilddrüse, </w:t>
            </w:r>
          </w:p>
          <w:p w14:paraId="6575825A" w14:textId="77777777" w:rsidR="00086D1E" w:rsidRPr="00812C16" w:rsidRDefault="00086D1E" w:rsidP="00246EB5">
            <w:pPr>
              <w:pStyle w:val="Listenabsatz"/>
              <w:numPr>
                <w:ilvl w:val="0"/>
                <w:numId w:val="8"/>
              </w:numPr>
              <w:spacing w:beforeLines="60" w:before="144" w:afterLines="60" w:after="144"/>
              <w:ind w:left="179" w:hanging="115"/>
              <w:jc w:val="left"/>
              <w:rPr>
                <w:rFonts w:cs="Arial"/>
                <w:sz w:val="18"/>
                <w:szCs w:val="18"/>
              </w:rPr>
            </w:pPr>
            <w:r w:rsidRPr="00812C16">
              <w:rPr>
                <w:rFonts w:cs="Arial"/>
                <w:sz w:val="18"/>
                <w:szCs w:val="18"/>
              </w:rPr>
              <w:t xml:space="preserve">zentrale </w:t>
            </w:r>
            <w:r w:rsidR="00C16940" w:rsidRPr="00812C16">
              <w:rPr>
                <w:rFonts w:cs="Arial"/>
                <w:sz w:val="18"/>
                <w:szCs w:val="18"/>
              </w:rPr>
              <w:t xml:space="preserve">Halsweichteile </w:t>
            </w:r>
          </w:p>
        </w:tc>
      </w:tr>
      <w:tr w:rsidR="008E39CD" w:rsidRPr="00812C16" w14:paraId="3A91C2E9" w14:textId="77777777" w:rsidTr="008661CC">
        <w:tc>
          <w:tcPr>
            <w:tcW w:w="676" w:type="dxa"/>
            <w:tcBorders>
              <w:top w:val="single" w:sz="4" w:space="0" w:color="D0CECE" w:themeColor="background2" w:themeShade="E6"/>
              <w:bottom w:val="single" w:sz="4" w:space="0" w:color="000000" w:themeColor="text1"/>
              <w:right w:val="single" w:sz="4" w:space="0" w:color="D0CECE" w:themeColor="background2" w:themeShade="E6"/>
            </w:tcBorders>
          </w:tcPr>
          <w:p w14:paraId="48096308" w14:textId="77777777" w:rsidR="00FF42D2" w:rsidRPr="00812C16" w:rsidRDefault="00F93865" w:rsidP="002251C0">
            <w:pPr>
              <w:spacing w:beforeLines="60" w:before="144" w:afterLines="60" w:after="144"/>
              <w:rPr>
                <w:rFonts w:cs="Arial"/>
                <w:sz w:val="18"/>
                <w:szCs w:val="18"/>
              </w:rPr>
            </w:pPr>
            <w:r w:rsidRPr="00812C16">
              <w:rPr>
                <w:rFonts w:cs="Arial"/>
                <w:sz w:val="18"/>
                <w:szCs w:val="18"/>
              </w:rPr>
              <w:t>T4b</w:t>
            </w:r>
          </w:p>
        </w:tc>
        <w:tc>
          <w:tcPr>
            <w:tcW w:w="2443" w:type="dxa"/>
            <w:tcBorders>
              <w:top w:val="single" w:sz="4" w:space="0" w:color="D0CECE" w:themeColor="background2" w:themeShade="E6"/>
              <w:left w:val="single" w:sz="4" w:space="0" w:color="D0CECE" w:themeColor="background2" w:themeShade="E6"/>
              <w:bottom w:val="single" w:sz="4" w:space="0" w:color="000000" w:themeColor="text1"/>
              <w:right w:val="single" w:sz="4" w:space="0" w:color="D0CECE" w:themeColor="background2" w:themeShade="E6"/>
            </w:tcBorders>
          </w:tcPr>
          <w:p w14:paraId="2B2906F8" w14:textId="77777777" w:rsidR="008E39CD" w:rsidRPr="00812C16" w:rsidRDefault="008E39CD" w:rsidP="008E39CD">
            <w:pPr>
              <w:spacing w:beforeLines="60" w:before="144" w:afterLines="60" w:after="144"/>
              <w:jc w:val="left"/>
              <w:rPr>
                <w:rFonts w:cs="Arial"/>
                <w:b/>
                <w:bCs/>
                <w:sz w:val="18"/>
                <w:szCs w:val="18"/>
              </w:rPr>
            </w:pPr>
            <w:r w:rsidRPr="00812C16">
              <w:rPr>
                <w:rFonts w:cs="Arial"/>
                <w:b/>
                <w:bCs/>
                <w:sz w:val="18"/>
                <w:szCs w:val="18"/>
              </w:rPr>
              <w:t xml:space="preserve">Tumor infiltriert Nachbarstrukturen: </w:t>
            </w:r>
          </w:p>
          <w:p w14:paraId="5FFD227F" w14:textId="77777777" w:rsidR="008E39CD" w:rsidRPr="00812C16" w:rsidRDefault="008E39CD" w:rsidP="00246EB5">
            <w:pPr>
              <w:pStyle w:val="Listenabsatz"/>
              <w:numPr>
                <w:ilvl w:val="0"/>
                <w:numId w:val="8"/>
              </w:numPr>
              <w:spacing w:beforeLines="60" w:before="144" w:afterLines="60" w:after="144"/>
              <w:ind w:left="210" w:hanging="141"/>
              <w:jc w:val="left"/>
              <w:rPr>
                <w:rFonts w:cs="Arial"/>
                <w:sz w:val="18"/>
                <w:szCs w:val="18"/>
              </w:rPr>
            </w:pPr>
            <w:r w:rsidRPr="00812C16">
              <w:rPr>
                <w:rFonts w:cs="Arial"/>
                <w:sz w:val="18"/>
                <w:szCs w:val="18"/>
              </w:rPr>
              <w:t xml:space="preserve">Spatium </w:t>
            </w:r>
            <w:proofErr w:type="spellStart"/>
            <w:r w:rsidRPr="00812C16">
              <w:rPr>
                <w:rFonts w:cs="Arial"/>
                <w:sz w:val="18"/>
                <w:szCs w:val="18"/>
              </w:rPr>
              <w:t>masticatorium</w:t>
            </w:r>
            <w:proofErr w:type="spellEnd"/>
            <w:r w:rsidRPr="00812C16">
              <w:rPr>
                <w:rFonts w:cs="Arial"/>
                <w:sz w:val="18"/>
                <w:szCs w:val="18"/>
              </w:rPr>
              <w:t xml:space="preserve"> </w:t>
            </w:r>
          </w:p>
          <w:p w14:paraId="0D214A24" w14:textId="77777777" w:rsidR="008E39CD" w:rsidRPr="00812C16" w:rsidRDefault="008E39CD" w:rsidP="00246EB5">
            <w:pPr>
              <w:pStyle w:val="Listenabsatz"/>
              <w:numPr>
                <w:ilvl w:val="0"/>
                <w:numId w:val="8"/>
              </w:numPr>
              <w:spacing w:beforeLines="60" w:before="144" w:afterLines="60" w:after="144"/>
              <w:ind w:left="210" w:hanging="141"/>
              <w:jc w:val="left"/>
              <w:rPr>
                <w:rFonts w:cs="Arial"/>
                <w:sz w:val="18"/>
                <w:szCs w:val="18"/>
              </w:rPr>
            </w:pPr>
            <w:proofErr w:type="spellStart"/>
            <w:r w:rsidRPr="00812C16">
              <w:rPr>
                <w:rFonts w:cs="Arial"/>
                <w:sz w:val="18"/>
                <w:szCs w:val="18"/>
              </w:rPr>
              <w:t>Proc</w:t>
            </w:r>
            <w:proofErr w:type="spellEnd"/>
            <w:r w:rsidRPr="00812C16">
              <w:rPr>
                <w:rFonts w:cs="Arial"/>
                <w:sz w:val="18"/>
                <w:szCs w:val="18"/>
              </w:rPr>
              <w:t xml:space="preserve">. </w:t>
            </w:r>
            <w:proofErr w:type="spellStart"/>
            <w:r w:rsidRPr="00812C16">
              <w:rPr>
                <w:rFonts w:cs="Arial"/>
                <w:sz w:val="18"/>
                <w:szCs w:val="18"/>
              </w:rPr>
              <w:t>pterygoideus</w:t>
            </w:r>
            <w:proofErr w:type="spellEnd"/>
          </w:p>
          <w:p w14:paraId="5125FF0D" w14:textId="77777777" w:rsidR="008E39CD" w:rsidRPr="00812C16" w:rsidRDefault="008E39CD" w:rsidP="00246EB5">
            <w:pPr>
              <w:pStyle w:val="Listenabsatz"/>
              <w:numPr>
                <w:ilvl w:val="0"/>
                <w:numId w:val="8"/>
              </w:numPr>
              <w:spacing w:beforeLines="60" w:before="144" w:afterLines="60" w:after="144"/>
              <w:ind w:left="210" w:hanging="141"/>
              <w:jc w:val="left"/>
              <w:rPr>
                <w:rFonts w:cs="Arial"/>
                <w:sz w:val="18"/>
                <w:szCs w:val="18"/>
              </w:rPr>
            </w:pPr>
            <w:r w:rsidRPr="00812C16">
              <w:rPr>
                <w:rFonts w:cs="Arial"/>
                <w:sz w:val="18"/>
                <w:szCs w:val="18"/>
              </w:rPr>
              <w:t xml:space="preserve">Schädelbasis oder </w:t>
            </w:r>
          </w:p>
          <w:p w14:paraId="39B66380" w14:textId="77777777" w:rsidR="00FF42D2" w:rsidRPr="00812C16" w:rsidRDefault="008E39CD" w:rsidP="00246EB5">
            <w:pPr>
              <w:pStyle w:val="Listenabsatz"/>
              <w:numPr>
                <w:ilvl w:val="0"/>
                <w:numId w:val="8"/>
              </w:numPr>
              <w:spacing w:beforeLines="60" w:before="144" w:afterLines="60" w:after="144"/>
              <w:ind w:left="210" w:hanging="141"/>
              <w:jc w:val="left"/>
              <w:rPr>
                <w:rFonts w:cs="Arial"/>
                <w:sz w:val="18"/>
                <w:szCs w:val="18"/>
              </w:rPr>
            </w:pPr>
            <w:r w:rsidRPr="00812C16">
              <w:rPr>
                <w:rFonts w:cs="Arial"/>
                <w:sz w:val="18"/>
                <w:szCs w:val="18"/>
              </w:rPr>
              <w:t xml:space="preserve">umschließt die A. </w:t>
            </w:r>
            <w:proofErr w:type="spellStart"/>
            <w:r w:rsidRPr="00812C16">
              <w:rPr>
                <w:rFonts w:cs="Arial"/>
                <w:sz w:val="18"/>
                <w:szCs w:val="18"/>
              </w:rPr>
              <w:t>carotis</w:t>
            </w:r>
            <w:proofErr w:type="spellEnd"/>
            <w:r w:rsidRPr="00812C16">
              <w:rPr>
                <w:rFonts w:cs="Arial"/>
                <w:sz w:val="18"/>
                <w:szCs w:val="18"/>
              </w:rPr>
              <w:t xml:space="preserve"> </w:t>
            </w:r>
            <w:proofErr w:type="spellStart"/>
            <w:r w:rsidRPr="00812C16">
              <w:rPr>
                <w:rFonts w:cs="Arial"/>
                <w:sz w:val="18"/>
                <w:szCs w:val="18"/>
              </w:rPr>
              <w:t>interna</w:t>
            </w:r>
            <w:proofErr w:type="spellEnd"/>
            <w:r w:rsidRPr="00812C16">
              <w:rPr>
                <w:rFonts w:cs="Arial"/>
                <w:sz w:val="18"/>
                <w:szCs w:val="18"/>
              </w:rPr>
              <w:t xml:space="preserve"> </w:t>
            </w:r>
          </w:p>
        </w:tc>
        <w:tc>
          <w:tcPr>
            <w:tcW w:w="3118" w:type="dxa"/>
            <w:tcBorders>
              <w:top w:val="single" w:sz="4" w:space="0" w:color="D0CECE" w:themeColor="background2" w:themeShade="E6"/>
              <w:left w:val="single" w:sz="4" w:space="0" w:color="D0CECE" w:themeColor="background2" w:themeShade="E6"/>
              <w:bottom w:val="single" w:sz="4" w:space="0" w:color="000000" w:themeColor="text1"/>
              <w:right w:val="single" w:sz="4" w:space="0" w:color="D0CECE" w:themeColor="background2" w:themeShade="E6"/>
            </w:tcBorders>
          </w:tcPr>
          <w:p w14:paraId="2513EDCF" w14:textId="77777777" w:rsidR="00F93865" w:rsidRPr="00812C16" w:rsidRDefault="00F93865" w:rsidP="002251C0">
            <w:pPr>
              <w:spacing w:beforeLines="60" w:before="144" w:afterLines="60" w:after="144"/>
              <w:jc w:val="left"/>
              <w:rPr>
                <w:rFonts w:cs="Arial"/>
                <w:b/>
                <w:bCs/>
                <w:sz w:val="18"/>
                <w:szCs w:val="18"/>
              </w:rPr>
            </w:pPr>
            <w:r w:rsidRPr="00812C16">
              <w:rPr>
                <w:rFonts w:cs="Arial"/>
                <w:b/>
                <w:bCs/>
                <w:sz w:val="18"/>
                <w:szCs w:val="18"/>
              </w:rPr>
              <w:t xml:space="preserve">Tumor infiltriert Nachbarstrukturen: </w:t>
            </w:r>
          </w:p>
          <w:p w14:paraId="0896DC8B" w14:textId="77777777" w:rsidR="00F93865" w:rsidRPr="00812C16" w:rsidRDefault="008661CC" w:rsidP="00246EB5">
            <w:pPr>
              <w:pStyle w:val="Listenabsatz"/>
              <w:numPr>
                <w:ilvl w:val="0"/>
                <w:numId w:val="8"/>
              </w:numPr>
              <w:spacing w:beforeLines="60" w:before="144" w:afterLines="60" w:after="144"/>
              <w:ind w:left="176" w:hanging="119"/>
              <w:jc w:val="left"/>
              <w:rPr>
                <w:rFonts w:cs="Arial"/>
                <w:sz w:val="18"/>
                <w:szCs w:val="18"/>
              </w:rPr>
            </w:pPr>
            <w:r w:rsidRPr="00812C16">
              <w:rPr>
                <w:rFonts w:cs="Arial"/>
                <w:sz w:val="18"/>
                <w:szCs w:val="18"/>
              </w:rPr>
              <w:t>l</w:t>
            </w:r>
            <w:r w:rsidR="00F93865" w:rsidRPr="00812C16">
              <w:rPr>
                <w:rFonts w:cs="Arial"/>
                <w:sz w:val="18"/>
                <w:szCs w:val="18"/>
              </w:rPr>
              <w:t xml:space="preserve">aterale </w:t>
            </w:r>
            <w:proofErr w:type="spellStart"/>
            <w:r w:rsidR="00F93865" w:rsidRPr="00812C16">
              <w:rPr>
                <w:rFonts w:cs="Arial"/>
                <w:sz w:val="18"/>
                <w:szCs w:val="18"/>
              </w:rPr>
              <w:t>Pterygoidmuskulatur</w:t>
            </w:r>
            <w:proofErr w:type="spellEnd"/>
            <w:r w:rsidR="00F93865" w:rsidRPr="00812C16">
              <w:rPr>
                <w:rFonts w:cs="Arial"/>
                <w:sz w:val="18"/>
                <w:szCs w:val="18"/>
              </w:rPr>
              <w:t>,</w:t>
            </w:r>
          </w:p>
          <w:p w14:paraId="1E9778C5" w14:textId="77777777" w:rsidR="00F93865" w:rsidRPr="00812C16" w:rsidRDefault="00F93865" w:rsidP="00246EB5">
            <w:pPr>
              <w:pStyle w:val="Listenabsatz"/>
              <w:numPr>
                <w:ilvl w:val="0"/>
                <w:numId w:val="8"/>
              </w:numPr>
              <w:spacing w:beforeLines="60" w:before="144" w:afterLines="60" w:after="144"/>
              <w:ind w:left="176" w:hanging="119"/>
              <w:jc w:val="left"/>
              <w:rPr>
                <w:rFonts w:cs="Arial"/>
                <w:sz w:val="18"/>
                <w:szCs w:val="18"/>
              </w:rPr>
            </w:pPr>
            <w:proofErr w:type="spellStart"/>
            <w:r w:rsidRPr="00812C16">
              <w:rPr>
                <w:rFonts w:cs="Arial"/>
                <w:sz w:val="18"/>
                <w:szCs w:val="18"/>
              </w:rPr>
              <w:t>Proc</w:t>
            </w:r>
            <w:proofErr w:type="spellEnd"/>
            <w:r w:rsidRPr="00812C16">
              <w:rPr>
                <w:rFonts w:cs="Arial"/>
                <w:sz w:val="18"/>
                <w:szCs w:val="18"/>
              </w:rPr>
              <w:t xml:space="preserve">. </w:t>
            </w:r>
            <w:proofErr w:type="spellStart"/>
            <w:r w:rsidR="008E39CD" w:rsidRPr="00812C16">
              <w:rPr>
                <w:rFonts w:cs="Arial"/>
                <w:sz w:val="18"/>
                <w:szCs w:val="18"/>
              </w:rPr>
              <w:t>P</w:t>
            </w:r>
            <w:r w:rsidRPr="00812C16">
              <w:rPr>
                <w:rFonts w:cs="Arial"/>
                <w:sz w:val="18"/>
                <w:szCs w:val="18"/>
              </w:rPr>
              <w:t>terygoidei</w:t>
            </w:r>
            <w:proofErr w:type="spellEnd"/>
            <w:r w:rsidR="008E39CD" w:rsidRPr="00812C16">
              <w:rPr>
                <w:rFonts w:cs="Arial"/>
                <w:sz w:val="18"/>
                <w:szCs w:val="18"/>
              </w:rPr>
              <w:t xml:space="preserve"> </w:t>
            </w:r>
          </w:p>
          <w:p w14:paraId="3400E0DA" w14:textId="77777777" w:rsidR="008E39CD" w:rsidRPr="00812C16" w:rsidRDefault="00F93865" w:rsidP="00246EB5">
            <w:pPr>
              <w:pStyle w:val="Listenabsatz"/>
              <w:numPr>
                <w:ilvl w:val="0"/>
                <w:numId w:val="8"/>
              </w:numPr>
              <w:spacing w:beforeLines="60" w:before="144" w:afterLines="60" w:after="144"/>
              <w:ind w:left="176" w:hanging="119"/>
              <w:jc w:val="left"/>
              <w:rPr>
                <w:rFonts w:cs="Arial"/>
                <w:sz w:val="18"/>
                <w:szCs w:val="18"/>
              </w:rPr>
            </w:pPr>
            <w:r w:rsidRPr="00812C16">
              <w:rPr>
                <w:rFonts w:cs="Arial"/>
                <w:sz w:val="18"/>
                <w:szCs w:val="18"/>
              </w:rPr>
              <w:t xml:space="preserve">Schädelbasis oder </w:t>
            </w:r>
          </w:p>
          <w:p w14:paraId="20BEE962" w14:textId="77777777" w:rsidR="00F93865" w:rsidRPr="00812C16" w:rsidRDefault="00F93865" w:rsidP="00246EB5">
            <w:pPr>
              <w:pStyle w:val="Listenabsatz"/>
              <w:numPr>
                <w:ilvl w:val="0"/>
                <w:numId w:val="8"/>
              </w:numPr>
              <w:spacing w:beforeLines="60" w:before="144" w:afterLines="60" w:after="144"/>
              <w:ind w:left="176" w:hanging="119"/>
              <w:jc w:val="left"/>
              <w:rPr>
                <w:rFonts w:cs="Arial"/>
                <w:sz w:val="18"/>
                <w:szCs w:val="18"/>
              </w:rPr>
            </w:pPr>
            <w:r w:rsidRPr="00812C16">
              <w:rPr>
                <w:rFonts w:cs="Arial"/>
                <w:sz w:val="18"/>
                <w:szCs w:val="18"/>
              </w:rPr>
              <w:t xml:space="preserve">umschließt die A. </w:t>
            </w:r>
            <w:proofErr w:type="spellStart"/>
            <w:r w:rsidRPr="00812C16">
              <w:rPr>
                <w:rFonts w:cs="Arial"/>
                <w:sz w:val="18"/>
                <w:szCs w:val="18"/>
              </w:rPr>
              <w:t>carotis</w:t>
            </w:r>
            <w:proofErr w:type="spellEnd"/>
          </w:p>
        </w:tc>
        <w:tc>
          <w:tcPr>
            <w:tcW w:w="2830" w:type="dxa"/>
            <w:tcBorders>
              <w:top w:val="single" w:sz="4" w:space="0" w:color="D0CECE" w:themeColor="background2" w:themeShade="E6"/>
              <w:left w:val="single" w:sz="4" w:space="0" w:color="D0CECE" w:themeColor="background2" w:themeShade="E6"/>
              <w:bottom w:val="single" w:sz="4" w:space="0" w:color="000000" w:themeColor="text1"/>
            </w:tcBorders>
          </w:tcPr>
          <w:p w14:paraId="570C1470" w14:textId="77777777" w:rsidR="00FF42D2" w:rsidRPr="00812C16" w:rsidRDefault="00F93865" w:rsidP="002251C0">
            <w:pPr>
              <w:spacing w:beforeLines="60" w:before="144" w:afterLines="60" w:after="144"/>
              <w:jc w:val="left"/>
              <w:rPr>
                <w:rFonts w:cs="Arial"/>
                <w:b/>
                <w:bCs/>
                <w:sz w:val="18"/>
                <w:szCs w:val="18"/>
              </w:rPr>
            </w:pPr>
            <w:r w:rsidRPr="00812C16">
              <w:rPr>
                <w:rFonts w:cs="Arial"/>
                <w:b/>
                <w:bCs/>
                <w:sz w:val="18"/>
                <w:szCs w:val="18"/>
              </w:rPr>
              <w:t>Tumor infiltriert Nachbarstrukturen:</w:t>
            </w:r>
          </w:p>
          <w:p w14:paraId="0579039A" w14:textId="77777777" w:rsidR="002251C0" w:rsidRPr="00812C16" w:rsidRDefault="002251C0" w:rsidP="00246EB5">
            <w:pPr>
              <w:pStyle w:val="Listenabsatz"/>
              <w:numPr>
                <w:ilvl w:val="0"/>
                <w:numId w:val="8"/>
              </w:numPr>
              <w:spacing w:beforeLines="60" w:before="144" w:afterLines="60" w:after="144"/>
              <w:ind w:left="179" w:hanging="115"/>
              <w:jc w:val="left"/>
              <w:rPr>
                <w:rFonts w:cs="Arial"/>
                <w:sz w:val="18"/>
                <w:szCs w:val="18"/>
              </w:rPr>
            </w:pPr>
            <w:r w:rsidRPr="00812C16">
              <w:rPr>
                <w:rFonts w:cs="Arial"/>
                <w:sz w:val="18"/>
                <w:szCs w:val="18"/>
              </w:rPr>
              <w:t xml:space="preserve">Prävertebrale Faszien, </w:t>
            </w:r>
          </w:p>
          <w:p w14:paraId="0E8BE88A" w14:textId="77777777" w:rsidR="008E39CD" w:rsidRPr="00812C16" w:rsidRDefault="002251C0" w:rsidP="00246EB5">
            <w:pPr>
              <w:pStyle w:val="Listenabsatz"/>
              <w:numPr>
                <w:ilvl w:val="0"/>
                <w:numId w:val="8"/>
              </w:numPr>
              <w:spacing w:beforeLines="60" w:before="144" w:afterLines="60" w:after="144"/>
              <w:ind w:left="179" w:hanging="115"/>
              <w:jc w:val="left"/>
              <w:rPr>
                <w:rFonts w:cs="Arial"/>
                <w:sz w:val="18"/>
                <w:szCs w:val="18"/>
              </w:rPr>
            </w:pPr>
            <w:r w:rsidRPr="00812C16">
              <w:rPr>
                <w:rFonts w:cs="Arial"/>
                <w:sz w:val="18"/>
                <w:szCs w:val="18"/>
              </w:rPr>
              <w:t xml:space="preserve">Mediastinum oder </w:t>
            </w:r>
          </w:p>
          <w:p w14:paraId="2864B573" w14:textId="77777777" w:rsidR="002251C0" w:rsidRPr="00812C16" w:rsidRDefault="002251C0" w:rsidP="00246EB5">
            <w:pPr>
              <w:pStyle w:val="Listenabsatz"/>
              <w:numPr>
                <w:ilvl w:val="0"/>
                <w:numId w:val="8"/>
              </w:numPr>
              <w:spacing w:beforeLines="60" w:before="144" w:afterLines="60" w:after="144"/>
              <w:ind w:left="179" w:hanging="115"/>
              <w:jc w:val="left"/>
              <w:rPr>
                <w:rFonts w:cs="Arial"/>
                <w:sz w:val="18"/>
                <w:szCs w:val="18"/>
              </w:rPr>
            </w:pPr>
            <w:r w:rsidRPr="00812C16">
              <w:rPr>
                <w:rFonts w:cs="Arial"/>
                <w:sz w:val="18"/>
                <w:szCs w:val="18"/>
              </w:rPr>
              <w:t xml:space="preserve">umschließt die A. </w:t>
            </w:r>
            <w:proofErr w:type="spellStart"/>
            <w:r w:rsidRPr="00812C16">
              <w:rPr>
                <w:rFonts w:cs="Arial"/>
                <w:sz w:val="18"/>
                <w:szCs w:val="18"/>
              </w:rPr>
              <w:t>carotis</w:t>
            </w:r>
            <w:proofErr w:type="spellEnd"/>
          </w:p>
        </w:tc>
      </w:tr>
      <w:tr w:rsidR="00511A34" w:rsidRPr="00812C16" w14:paraId="4C50F0E2" w14:textId="77777777" w:rsidTr="008661CC">
        <w:tc>
          <w:tcPr>
            <w:tcW w:w="676" w:type="dxa"/>
            <w:tcBorders>
              <w:top w:val="single" w:sz="4" w:space="0" w:color="000000" w:themeColor="text1"/>
              <w:right w:val="single" w:sz="4" w:space="0" w:color="D0CECE" w:themeColor="background2" w:themeShade="E6"/>
            </w:tcBorders>
          </w:tcPr>
          <w:p w14:paraId="04EF3F16" w14:textId="77777777" w:rsidR="00511A34" w:rsidRPr="00812C16" w:rsidRDefault="00511A34" w:rsidP="002251C0">
            <w:pPr>
              <w:spacing w:beforeLines="60" w:before="144" w:afterLines="60" w:after="144"/>
              <w:rPr>
                <w:rFonts w:cs="Arial"/>
                <w:sz w:val="18"/>
                <w:szCs w:val="18"/>
              </w:rPr>
            </w:pPr>
            <w:r w:rsidRPr="00812C16">
              <w:rPr>
                <w:rFonts w:cs="Arial"/>
                <w:sz w:val="18"/>
                <w:szCs w:val="18"/>
              </w:rPr>
              <w:t>pN1</w:t>
            </w:r>
          </w:p>
        </w:tc>
        <w:tc>
          <w:tcPr>
            <w:tcW w:w="2443" w:type="dxa"/>
            <w:tcBorders>
              <w:top w:val="single" w:sz="4" w:space="0" w:color="000000" w:themeColor="text1"/>
              <w:left w:val="single" w:sz="4" w:space="0" w:color="D0CECE" w:themeColor="background2" w:themeShade="E6"/>
              <w:right w:val="single" w:sz="4" w:space="0" w:color="D0CECE" w:themeColor="background2" w:themeShade="E6"/>
            </w:tcBorders>
          </w:tcPr>
          <w:p w14:paraId="6953EBAF" w14:textId="77777777" w:rsidR="00511A34" w:rsidRPr="00812C16" w:rsidRDefault="00511A34" w:rsidP="002251C0">
            <w:pPr>
              <w:spacing w:beforeLines="60" w:before="144" w:afterLines="60" w:after="144"/>
              <w:jc w:val="left"/>
              <w:rPr>
                <w:rFonts w:cs="Arial"/>
                <w:sz w:val="18"/>
                <w:szCs w:val="18"/>
              </w:rPr>
            </w:pPr>
          </w:p>
        </w:tc>
        <w:tc>
          <w:tcPr>
            <w:tcW w:w="5948" w:type="dxa"/>
            <w:gridSpan w:val="2"/>
            <w:tcBorders>
              <w:top w:val="single" w:sz="4" w:space="0" w:color="000000" w:themeColor="text1"/>
              <w:left w:val="single" w:sz="4" w:space="0" w:color="D0CECE" w:themeColor="background2" w:themeShade="E6"/>
            </w:tcBorders>
          </w:tcPr>
          <w:p w14:paraId="5385775C" w14:textId="77777777" w:rsidR="00511A34" w:rsidRPr="00812C16" w:rsidRDefault="00511A34" w:rsidP="00511A34">
            <w:pPr>
              <w:spacing w:beforeLines="60" w:before="144" w:afterLines="60" w:after="144"/>
              <w:jc w:val="left"/>
              <w:rPr>
                <w:rFonts w:cs="Arial"/>
                <w:sz w:val="18"/>
                <w:szCs w:val="18"/>
              </w:rPr>
            </w:pPr>
            <w:r w:rsidRPr="00812C16">
              <w:rPr>
                <w:rFonts w:cs="Arial"/>
                <w:sz w:val="18"/>
                <w:szCs w:val="18"/>
              </w:rPr>
              <w:t>Metastase in einem einzigen ipsilateralen Lymphknoten, ≤3 cm und intakte Lymphknotenkapsel</w:t>
            </w:r>
          </w:p>
          <w:p w14:paraId="4240D5A5" w14:textId="77777777" w:rsidR="00511A34" w:rsidRPr="00812C16" w:rsidRDefault="00511A34" w:rsidP="00511A34">
            <w:pPr>
              <w:spacing w:beforeLines="60" w:before="144" w:afterLines="60" w:after="144"/>
              <w:jc w:val="left"/>
              <w:rPr>
                <w:rFonts w:cs="Arial"/>
                <w:sz w:val="18"/>
                <w:szCs w:val="18"/>
              </w:rPr>
            </w:pPr>
            <w:r w:rsidRPr="00812C16">
              <w:rPr>
                <w:rFonts w:cs="Arial"/>
                <w:sz w:val="18"/>
                <w:szCs w:val="18"/>
              </w:rPr>
              <w:t>Sonderfall p16-positive Oropharynxkarzinome: Metastasen in ≤4 Lymphknoten</w:t>
            </w:r>
          </w:p>
        </w:tc>
      </w:tr>
    </w:tbl>
    <w:p w14:paraId="5835F50D" w14:textId="77777777" w:rsidR="00AC767B" w:rsidRPr="00812C16" w:rsidRDefault="00AC767B" w:rsidP="00AC767B">
      <w:pPr>
        <w:spacing w:line="240" w:lineRule="auto"/>
        <w:rPr>
          <w:rFonts w:cs="Arial"/>
          <w:sz w:val="18"/>
          <w:szCs w:val="18"/>
        </w:rPr>
      </w:pPr>
      <w:r w:rsidRPr="00812C16">
        <w:rPr>
          <w:rFonts w:cs="Arial"/>
          <w:sz w:val="18"/>
          <w:szCs w:val="18"/>
        </w:rPr>
        <w:t xml:space="preserve">* Unterbezirke des Hypopharynx: </w:t>
      </w:r>
      <w:proofErr w:type="spellStart"/>
      <w:r w:rsidRPr="00812C16">
        <w:rPr>
          <w:rFonts w:cs="Arial"/>
          <w:sz w:val="18"/>
          <w:szCs w:val="18"/>
        </w:rPr>
        <w:t>Postkrikoidregion</w:t>
      </w:r>
      <w:proofErr w:type="spellEnd"/>
      <w:r w:rsidRPr="00812C16">
        <w:rPr>
          <w:rFonts w:cs="Arial"/>
          <w:sz w:val="18"/>
          <w:szCs w:val="18"/>
        </w:rPr>
        <w:t xml:space="preserve">, Sinus piriformis. </w:t>
      </w:r>
      <w:proofErr w:type="spellStart"/>
      <w:r w:rsidRPr="00812C16">
        <w:rPr>
          <w:rFonts w:cs="Arial"/>
          <w:sz w:val="18"/>
          <w:szCs w:val="18"/>
        </w:rPr>
        <w:t>Hypopharynxhinterwand</w:t>
      </w:r>
      <w:proofErr w:type="spellEnd"/>
    </w:p>
    <w:p w14:paraId="2906E398" w14:textId="77777777" w:rsidR="009F2847" w:rsidRPr="00812C16" w:rsidRDefault="00B85E6C" w:rsidP="00AC767B">
      <w:pPr>
        <w:spacing w:line="240" w:lineRule="auto"/>
        <w:rPr>
          <w:rFonts w:cs="Arial"/>
          <w:sz w:val="18"/>
          <w:szCs w:val="18"/>
        </w:rPr>
      </w:pPr>
      <w:r w:rsidRPr="00812C16">
        <w:rPr>
          <w:rFonts w:cs="Arial"/>
          <w:sz w:val="18"/>
          <w:szCs w:val="18"/>
        </w:rPr>
        <w:t>*</w:t>
      </w:r>
      <w:r w:rsidR="00AC767B" w:rsidRPr="00812C16">
        <w:rPr>
          <w:rFonts w:cs="Arial"/>
          <w:sz w:val="18"/>
          <w:szCs w:val="18"/>
        </w:rPr>
        <w:t>*</w:t>
      </w:r>
      <w:r w:rsidRPr="00812C16">
        <w:rPr>
          <w:rFonts w:cs="Arial"/>
          <w:sz w:val="18"/>
          <w:szCs w:val="18"/>
        </w:rPr>
        <w:t xml:space="preserve"> </w:t>
      </w:r>
      <w:r w:rsidR="00D5781A" w:rsidRPr="00812C16">
        <w:rPr>
          <w:rFonts w:cs="Arial"/>
          <w:sz w:val="18"/>
          <w:szCs w:val="18"/>
        </w:rPr>
        <w:t>DOI (</w:t>
      </w:r>
      <w:proofErr w:type="spellStart"/>
      <w:r w:rsidR="00D5781A" w:rsidRPr="00812C16">
        <w:rPr>
          <w:rFonts w:cs="Arial"/>
          <w:sz w:val="18"/>
          <w:szCs w:val="18"/>
        </w:rPr>
        <w:t>depth</w:t>
      </w:r>
      <w:proofErr w:type="spellEnd"/>
      <w:r w:rsidR="00D5781A" w:rsidRPr="00812C16">
        <w:rPr>
          <w:rFonts w:cs="Arial"/>
          <w:sz w:val="18"/>
          <w:szCs w:val="18"/>
        </w:rPr>
        <w:t xml:space="preserve"> </w:t>
      </w:r>
      <w:proofErr w:type="spellStart"/>
      <w:r w:rsidR="00D5781A" w:rsidRPr="00812C16">
        <w:rPr>
          <w:rFonts w:cs="Arial"/>
          <w:sz w:val="18"/>
          <w:szCs w:val="18"/>
        </w:rPr>
        <w:t>of</w:t>
      </w:r>
      <w:proofErr w:type="spellEnd"/>
      <w:r w:rsidR="00D5781A" w:rsidRPr="00812C16">
        <w:rPr>
          <w:rFonts w:cs="Arial"/>
          <w:sz w:val="18"/>
          <w:szCs w:val="18"/>
        </w:rPr>
        <w:t xml:space="preserve"> </w:t>
      </w:r>
      <w:proofErr w:type="spellStart"/>
      <w:r w:rsidR="00D5781A" w:rsidRPr="00812C16">
        <w:rPr>
          <w:rFonts w:cs="Arial"/>
          <w:sz w:val="18"/>
          <w:szCs w:val="18"/>
        </w:rPr>
        <w:t>invasion</w:t>
      </w:r>
      <w:proofErr w:type="spellEnd"/>
      <w:r w:rsidR="00D5781A" w:rsidRPr="00812C16">
        <w:rPr>
          <w:rFonts w:cs="Arial"/>
          <w:sz w:val="18"/>
          <w:szCs w:val="18"/>
        </w:rPr>
        <w:t>), max. Invasionstiefe</w:t>
      </w:r>
    </w:p>
    <w:p w14:paraId="0855F8F7" w14:textId="77777777" w:rsidR="002F01F1" w:rsidRPr="00812C16" w:rsidRDefault="002F01F1" w:rsidP="002F01F1">
      <w:pPr>
        <w:rPr>
          <w:rFonts w:cs="Arial"/>
          <w:i/>
          <w:iCs/>
        </w:rPr>
      </w:pPr>
      <w:r w:rsidRPr="00812C16">
        <w:rPr>
          <w:rFonts w:cs="Arial"/>
          <w:i/>
          <w:iCs/>
        </w:rPr>
        <w:lastRenderedPageBreak/>
        <w:t>Metastasierung</w:t>
      </w:r>
    </w:p>
    <w:p w14:paraId="653CDECA" w14:textId="77777777" w:rsidR="002F01F1" w:rsidRPr="00812C16" w:rsidRDefault="002F01F1" w:rsidP="002F01F1">
      <w:pPr>
        <w:rPr>
          <w:rFonts w:cs="Arial"/>
        </w:rPr>
      </w:pPr>
      <w:r w:rsidRPr="00812C16">
        <w:rPr>
          <w:rFonts w:cs="Arial"/>
        </w:rPr>
        <w:t xml:space="preserve">Zumeist besteht bereits bei Erstdiagnose eine Metastasierung in </w:t>
      </w:r>
      <w:proofErr w:type="spellStart"/>
      <w:r w:rsidRPr="00812C16">
        <w:rPr>
          <w:rFonts w:cs="Arial"/>
        </w:rPr>
        <w:t>lokoregionäre</w:t>
      </w:r>
      <w:proofErr w:type="spellEnd"/>
      <w:r w:rsidRPr="00812C16">
        <w:rPr>
          <w:rFonts w:cs="Arial"/>
        </w:rPr>
        <w:t xml:space="preserve"> Lymphknoten. Die Einteilung erfolgt dabei in sechs verschiedene Level, die der folgenden Tabelle zu entnehmen sind. [23, 24]</w:t>
      </w:r>
    </w:p>
    <w:p w14:paraId="6B3BDB06" w14:textId="77777777" w:rsidR="002F01F1" w:rsidRPr="00812C16" w:rsidRDefault="002F01F1" w:rsidP="002F01F1">
      <w:pPr>
        <w:rPr>
          <w:rFonts w:cs="Arial"/>
        </w:rPr>
      </w:pPr>
      <w:r w:rsidRPr="00812C16">
        <w:rPr>
          <w:rFonts w:cs="Arial"/>
        </w:rPr>
        <w:t xml:space="preserve">Im Falle einer Fernmetastasierung treten pulmonale Metastasen und mediastinaler Lymphknotenbefall am häufigsten auf, gefolgt von Knochenmetastasen, insbesondere in der Wirbelsäule, dem Schädel und den Rippen, und schließlich Lebermetastasen. [25-27]. Die Wahrscheinlichkeit für eine Fernmetastasierung ist beim </w:t>
      </w:r>
      <w:proofErr w:type="spellStart"/>
      <w:r w:rsidRPr="00812C16">
        <w:rPr>
          <w:rFonts w:cs="Arial"/>
        </w:rPr>
        <w:t>Hypopharynxkarzinom</w:t>
      </w:r>
      <w:proofErr w:type="spellEnd"/>
      <w:r w:rsidRPr="00812C16">
        <w:rPr>
          <w:rFonts w:cs="Arial"/>
        </w:rPr>
        <w:t xml:space="preserve"> am höchsten [25, 26]. Sie wird von </w:t>
      </w:r>
      <w:proofErr w:type="spellStart"/>
      <w:r w:rsidRPr="00812C16">
        <w:rPr>
          <w:rFonts w:cs="Arial"/>
        </w:rPr>
        <w:t>Vokes</w:t>
      </w:r>
      <w:proofErr w:type="spellEnd"/>
      <w:r w:rsidRPr="00812C16">
        <w:rPr>
          <w:rFonts w:cs="Arial"/>
        </w:rPr>
        <w:t xml:space="preserve"> et al. mit 20% bei Erstdiagnose angegeben [28]. Am zweithöchsten ist die Inzidenz bei Primärtumoren des Oropharynx (Zungengrund-Karzinom) und am dritthöchsten bei Tumoren der Mundhöhle (vordere Zunge) [25].</w:t>
      </w:r>
    </w:p>
    <w:p w14:paraId="724E67BE" w14:textId="77777777" w:rsidR="002F01F1" w:rsidRPr="00812C16" w:rsidRDefault="002F01F1" w:rsidP="002F01F1">
      <w:pPr>
        <w:rPr>
          <w:rFonts w:cs="Arial"/>
        </w:rPr>
      </w:pPr>
      <w:r w:rsidRPr="00812C16">
        <w:rPr>
          <w:rFonts w:cs="Arial"/>
        </w:rPr>
        <w:t xml:space="preserve">   Level Lymphknotenregionen</w:t>
      </w:r>
    </w:p>
    <w:p w14:paraId="44EED9E3" w14:textId="77777777" w:rsidR="002F01F1" w:rsidRPr="00812C16" w:rsidRDefault="002F01F1" w:rsidP="002F01F1">
      <w:pPr>
        <w:rPr>
          <w:rFonts w:cs="Arial"/>
        </w:rPr>
      </w:pPr>
      <w:r w:rsidRPr="00812C16">
        <w:rPr>
          <w:rFonts w:cs="Arial"/>
        </w:rPr>
        <w:t xml:space="preserve">   I Submentale (Ia) und submandibuläre (Ib) Lymphknoten</w:t>
      </w:r>
    </w:p>
    <w:p w14:paraId="1A29A8AB" w14:textId="77777777" w:rsidR="002F01F1" w:rsidRPr="00812C16" w:rsidRDefault="002F01F1" w:rsidP="002F01F1">
      <w:pPr>
        <w:rPr>
          <w:rFonts w:cs="Arial"/>
        </w:rPr>
      </w:pPr>
      <w:r w:rsidRPr="00812C16">
        <w:rPr>
          <w:rFonts w:cs="Arial"/>
        </w:rPr>
        <w:t xml:space="preserve">    II </w:t>
      </w:r>
      <w:proofErr w:type="spellStart"/>
      <w:r w:rsidRPr="00812C16">
        <w:rPr>
          <w:rFonts w:cs="Arial"/>
        </w:rPr>
        <w:t>IIa</w:t>
      </w:r>
      <w:proofErr w:type="spellEnd"/>
      <w:r w:rsidRPr="00812C16">
        <w:rPr>
          <w:rFonts w:cs="Arial"/>
        </w:rPr>
        <w:t xml:space="preserve"> </w:t>
      </w:r>
      <w:proofErr w:type="spellStart"/>
      <w:r w:rsidRPr="00812C16">
        <w:rPr>
          <w:rFonts w:cs="Arial"/>
        </w:rPr>
        <w:t>IIb</w:t>
      </w:r>
      <w:proofErr w:type="spellEnd"/>
    </w:p>
    <w:p w14:paraId="4B385B5F" w14:textId="77777777" w:rsidR="002F01F1" w:rsidRPr="00812C16" w:rsidRDefault="002F01F1" w:rsidP="002F01F1">
      <w:pPr>
        <w:rPr>
          <w:rFonts w:cs="Arial"/>
        </w:rPr>
      </w:pPr>
      <w:proofErr w:type="spellStart"/>
      <w:r w:rsidRPr="00812C16">
        <w:rPr>
          <w:rFonts w:cs="Arial"/>
        </w:rPr>
        <w:t>Kraniojuguläre</w:t>
      </w:r>
      <w:proofErr w:type="spellEnd"/>
      <w:r w:rsidRPr="00812C16">
        <w:rPr>
          <w:rFonts w:cs="Arial"/>
        </w:rPr>
        <w:t xml:space="preserve"> Lymphknoten (oberes Drittel der V. jugularis </w:t>
      </w:r>
      <w:proofErr w:type="spellStart"/>
      <w:r w:rsidRPr="00812C16">
        <w:rPr>
          <w:rFonts w:cs="Arial"/>
        </w:rPr>
        <w:t>interna</w:t>
      </w:r>
      <w:proofErr w:type="spellEnd"/>
      <w:r w:rsidRPr="00812C16">
        <w:rPr>
          <w:rFonts w:cs="Arial"/>
        </w:rPr>
        <w:t>)</w:t>
      </w:r>
    </w:p>
    <w:p w14:paraId="4C162EA4" w14:textId="77777777" w:rsidR="002F01F1" w:rsidRPr="00812C16" w:rsidRDefault="002F01F1" w:rsidP="002F01F1">
      <w:pPr>
        <w:rPr>
          <w:rFonts w:cs="Arial"/>
          <w:lang w:val="en-US"/>
        </w:rPr>
      </w:pPr>
      <w:r w:rsidRPr="00812C16">
        <w:rPr>
          <w:rFonts w:cs="Arial"/>
          <w:lang w:val="en-US"/>
        </w:rPr>
        <w:t xml:space="preserve">- ventral des N. </w:t>
      </w:r>
      <w:proofErr w:type="spellStart"/>
      <w:r w:rsidRPr="00812C16">
        <w:rPr>
          <w:rFonts w:cs="Arial"/>
          <w:lang w:val="en-US"/>
        </w:rPr>
        <w:t>accessorius</w:t>
      </w:r>
      <w:proofErr w:type="spellEnd"/>
    </w:p>
    <w:p w14:paraId="0A082F56" w14:textId="77777777" w:rsidR="002F01F1" w:rsidRPr="00812C16" w:rsidRDefault="002F01F1" w:rsidP="002F01F1">
      <w:pPr>
        <w:rPr>
          <w:rFonts w:cs="Arial"/>
          <w:lang w:val="en-US"/>
        </w:rPr>
      </w:pPr>
      <w:r w:rsidRPr="00812C16">
        <w:rPr>
          <w:rFonts w:cs="Arial"/>
          <w:lang w:val="en-US"/>
        </w:rPr>
        <w:t xml:space="preserve">- dorsal des N. </w:t>
      </w:r>
      <w:proofErr w:type="spellStart"/>
      <w:r w:rsidRPr="00812C16">
        <w:rPr>
          <w:rFonts w:cs="Arial"/>
          <w:lang w:val="en-US"/>
        </w:rPr>
        <w:t>accessorius</w:t>
      </w:r>
      <w:proofErr w:type="spellEnd"/>
    </w:p>
    <w:p w14:paraId="770C9CFA" w14:textId="77777777" w:rsidR="002F01F1" w:rsidRPr="00812C16" w:rsidRDefault="002F01F1" w:rsidP="002F01F1">
      <w:pPr>
        <w:rPr>
          <w:rFonts w:cs="Arial"/>
        </w:rPr>
      </w:pPr>
      <w:r w:rsidRPr="00812C16">
        <w:rPr>
          <w:rFonts w:cs="Arial"/>
          <w:lang w:val="en-US"/>
        </w:rPr>
        <w:t xml:space="preserve">     </w:t>
      </w:r>
      <w:r w:rsidRPr="00812C16">
        <w:rPr>
          <w:rFonts w:cs="Arial"/>
        </w:rPr>
        <w:t>III</w:t>
      </w:r>
    </w:p>
    <w:p w14:paraId="39EF1F80" w14:textId="77777777" w:rsidR="002F01F1" w:rsidRPr="00812C16" w:rsidRDefault="002F01F1" w:rsidP="002F01F1">
      <w:pPr>
        <w:rPr>
          <w:rFonts w:cs="Arial"/>
        </w:rPr>
      </w:pPr>
      <w:proofErr w:type="spellStart"/>
      <w:r w:rsidRPr="00812C16">
        <w:rPr>
          <w:rFonts w:cs="Arial"/>
        </w:rPr>
        <w:t>Mediojuguläre</w:t>
      </w:r>
      <w:proofErr w:type="spellEnd"/>
      <w:r w:rsidRPr="00812C16">
        <w:rPr>
          <w:rFonts w:cs="Arial"/>
        </w:rPr>
        <w:t xml:space="preserve"> Lymphknoten (mittleres Drittel</w:t>
      </w:r>
    </w:p>
    <w:p w14:paraId="259854EF" w14:textId="77777777" w:rsidR="002F01F1" w:rsidRPr="00812C16" w:rsidRDefault="002F01F1" w:rsidP="002F01F1">
      <w:pPr>
        <w:rPr>
          <w:rFonts w:cs="Arial"/>
        </w:rPr>
      </w:pPr>
      <w:r w:rsidRPr="00812C16">
        <w:rPr>
          <w:rFonts w:cs="Arial"/>
        </w:rPr>
        <w:t xml:space="preserve">der V. jugularis </w:t>
      </w:r>
      <w:proofErr w:type="spellStart"/>
      <w:r w:rsidRPr="00812C16">
        <w:rPr>
          <w:rFonts w:cs="Arial"/>
        </w:rPr>
        <w:t>interna</w:t>
      </w:r>
      <w:proofErr w:type="spellEnd"/>
      <w:r w:rsidRPr="00812C16">
        <w:rPr>
          <w:rFonts w:cs="Arial"/>
        </w:rPr>
        <w:t>)</w:t>
      </w:r>
    </w:p>
    <w:p w14:paraId="5FFF09B9" w14:textId="77777777" w:rsidR="002F01F1" w:rsidRPr="00812C16" w:rsidRDefault="002F01F1" w:rsidP="002F01F1">
      <w:pPr>
        <w:rPr>
          <w:rFonts w:cs="Arial"/>
        </w:rPr>
      </w:pPr>
      <w:r w:rsidRPr="00812C16">
        <w:rPr>
          <w:rFonts w:cs="Arial"/>
        </w:rPr>
        <w:t xml:space="preserve">  IV </w:t>
      </w:r>
      <w:proofErr w:type="spellStart"/>
      <w:r w:rsidRPr="00812C16">
        <w:rPr>
          <w:rFonts w:cs="Arial"/>
        </w:rPr>
        <w:t>Kaudojuguläre</w:t>
      </w:r>
      <w:proofErr w:type="spellEnd"/>
      <w:r w:rsidRPr="00812C16">
        <w:rPr>
          <w:rFonts w:cs="Arial"/>
        </w:rPr>
        <w:t xml:space="preserve"> Lymphknoten (unteres Drittel der V. jugularis </w:t>
      </w:r>
      <w:proofErr w:type="spellStart"/>
      <w:r w:rsidRPr="00812C16">
        <w:rPr>
          <w:rFonts w:cs="Arial"/>
        </w:rPr>
        <w:t>interna</w:t>
      </w:r>
      <w:proofErr w:type="spellEnd"/>
      <w:r w:rsidRPr="00812C16">
        <w:rPr>
          <w:rFonts w:cs="Arial"/>
        </w:rPr>
        <w:t>)</w:t>
      </w:r>
    </w:p>
    <w:p w14:paraId="5624E130" w14:textId="77777777" w:rsidR="002F01F1" w:rsidRPr="00812C16" w:rsidRDefault="002F01F1" w:rsidP="002F01F1">
      <w:pPr>
        <w:rPr>
          <w:rFonts w:cs="Arial"/>
        </w:rPr>
      </w:pPr>
      <w:proofErr w:type="gramStart"/>
      <w:r w:rsidRPr="00812C16">
        <w:rPr>
          <w:rFonts w:cs="Arial"/>
        </w:rPr>
        <w:t>VI Lymphknoten</w:t>
      </w:r>
      <w:proofErr w:type="gramEnd"/>
      <w:r w:rsidRPr="00812C16">
        <w:rPr>
          <w:rFonts w:cs="Arial"/>
        </w:rPr>
        <w:t xml:space="preserve"> des anterioren Halsdreiecks</w:t>
      </w:r>
    </w:p>
    <w:p w14:paraId="5FDFC640" w14:textId="77777777" w:rsidR="002F01F1" w:rsidRPr="00812C16" w:rsidRDefault="002F01F1" w:rsidP="002F01F1">
      <w:pPr>
        <w:rPr>
          <w:rFonts w:cs="Arial"/>
        </w:rPr>
      </w:pPr>
      <w:r w:rsidRPr="00812C16">
        <w:rPr>
          <w:rFonts w:cs="Arial"/>
        </w:rPr>
        <w:t>Tab. 1. Einteilung der Lymphknotenregionen</w:t>
      </w:r>
    </w:p>
    <w:p w14:paraId="26C580F5" w14:textId="77777777" w:rsidR="002F01F1" w:rsidRPr="00812C16" w:rsidRDefault="002F01F1" w:rsidP="002F01F1">
      <w:pPr>
        <w:rPr>
          <w:rFonts w:cs="Arial"/>
        </w:rPr>
      </w:pPr>
      <w:r w:rsidRPr="00812C16">
        <w:rPr>
          <w:rFonts w:cs="Arial"/>
        </w:rPr>
        <w:t xml:space="preserve">   V Va </w:t>
      </w:r>
      <w:proofErr w:type="spellStart"/>
      <w:r w:rsidRPr="00812C16">
        <w:rPr>
          <w:rFonts w:cs="Arial"/>
        </w:rPr>
        <w:t>Vb</w:t>
      </w:r>
      <w:proofErr w:type="spellEnd"/>
    </w:p>
    <w:p w14:paraId="01F10C93" w14:textId="77777777" w:rsidR="002F01F1" w:rsidRPr="00812C16" w:rsidRDefault="002F01F1" w:rsidP="002F01F1">
      <w:pPr>
        <w:rPr>
          <w:rFonts w:cs="Arial"/>
        </w:rPr>
      </w:pPr>
      <w:r w:rsidRPr="00812C16">
        <w:rPr>
          <w:rFonts w:cs="Arial"/>
        </w:rPr>
        <w:t xml:space="preserve">Lymphknoten des </w:t>
      </w:r>
      <w:proofErr w:type="spellStart"/>
      <w:r w:rsidRPr="00812C16">
        <w:rPr>
          <w:rFonts w:cs="Arial"/>
        </w:rPr>
        <w:t>posterioren</w:t>
      </w:r>
      <w:proofErr w:type="spellEnd"/>
      <w:r w:rsidRPr="00812C16">
        <w:rPr>
          <w:rFonts w:cs="Arial"/>
        </w:rPr>
        <w:t xml:space="preserve"> Halsdreiecks Kraniales </w:t>
      </w:r>
      <w:proofErr w:type="spellStart"/>
      <w:r w:rsidRPr="00812C16">
        <w:rPr>
          <w:rFonts w:cs="Arial"/>
        </w:rPr>
        <w:t>posteriores</w:t>
      </w:r>
      <w:proofErr w:type="spellEnd"/>
      <w:r w:rsidRPr="00812C16">
        <w:rPr>
          <w:rFonts w:cs="Arial"/>
        </w:rPr>
        <w:t xml:space="preserve"> Halsdreieck Kaudales </w:t>
      </w:r>
      <w:proofErr w:type="spellStart"/>
      <w:r w:rsidRPr="00812C16">
        <w:rPr>
          <w:rFonts w:cs="Arial"/>
        </w:rPr>
        <w:t>posteriores</w:t>
      </w:r>
      <w:proofErr w:type="spellEnd"/>
      <w:r w:rsidRPr="00812C16">
        <w:rPr>
          <w:rFonts w:cs="Arial"/>
        </w:rPr>
        <w:t xml:space="preserve"> Halsdreieck</w:t>
      </w:r>
    </w:p>
    <w:p w14:paraId="177C2784" w14:textId="77777777" w:rsidR="002F01F1" w:rsidRPr="00812C16" w:rsidRDefault="002F01F1" w:rsidP="005547D3">
      <w:pPr>
        <w:pStyle w:val="berschrift3"/>
      </w:pPr>
      <w:bookmarkStart w:id="19" w:name="_Toc158006515"/>
      <w:r w:rsidRPr="00812C16">
        <w:lastRenderedPageBreak/>
        <w:t>Klassifikation und Stadien nach AJCC</w:t>
      </w:r>
      <w:bookmarkEnd w:id="19"/>
    </w:p>
    <w:p w14:paraId="1104AAB5" w14:textId="77777777" w:rsidR="002F01F1" w:rsidRPr="00812C16" w:rsidRDefault="002F01F1" w:rsidP="002F01F1">
      <w:pPr>
        <w:rPr>
          <w:rFonts w:cs="Arial"/>
        </w:rPr>
      </w:pPr>
      <w:r w:rsidRPr="00812C16">
        <w:rPr>
          <w:rFonts w:cs="Arial"/>
        </w:rPr>
        <w:t>Die Klassifikation der Kopf-Hals-Karzinome erfolgt nach der für viele Tumorentitäten üblichen TNM (</w:t>
      </w:r>
      <w:proofErr w:type="spellStart"/>
      <w:r w:rsidRPr="00812C16">
        <w:rPr>
          <w:rFonts w:cs="Arial"/>
        </w:rPr>
        <w:t>tumor</w:t>
      </w:r>
      <w:proofErr w:type="spellEnd"/>
      <w:r w:rsidRPr="00812C16">
        <w:rPr>
          <w:rFonts w:cs="Arial"/>
        </w:rPr>
        <w:t xml:space="preserve">, </w:t>
      </w:r>
      <w:proofErr w:type="spellStart"/>
      <w:r w:rsidRPr="00812C16">
        <w:rPr>
          <w:rFonts w:cs="Arial"/>
        </w:rPr>
        <w:t>node</w:t>
      </w:r>
      <w:proofErr w:type="spellEnd"/>
      <w:r w:rsidRPr="00812C16">
        <w:rPr>
          <w:rFonts w:cs="Arial"/>
        </w:rPr>
        <w:t xml:space="preserve">, </w:t>
      </w:r>
      <w:proofErr w:type="spellStart"/>
      <w:proofErr w:type="gramStart"/>
      <w:r w:rsidRPr="00812C16">
        <w:rPr>
          <w:rFonts w:cs="Arial"/>
        </w:rPr>
        <w:t>metastasis</w:t>
      </w:r>
      <w:proofErr w:type="spellEnd"/>
      <w:r w:rsidRPr="00812C16">
        <w:rPr>
          <w:rFonts w:cs="Arial"/>
        </w:rPr>
        <w:t>)-</w:t>
      </w:r>
      <w:proofErr w:type="gramEnd"/>
      <w:r w:rsidRPr="00812C16">
        <w:rPr>
          <w:rFonts w:cs="Arial"/>
        </w:rPr>
        <w:t xml:space="preserve">System des AJCC (American Committee on Cancer) und der UICC (International Union </w:t>
      </w:r>
      <w:proofErr w:type="spellStart"/>
      <w:r w:rsidRPr="00812C16">
        <w:rPr>
          <w:rFonts w:cs="Arial"/>
        </w:rPr>
        <w:t>for</w:t>
      </w:r>
      <w:proofErr w:type="spellEnd"/>
      <w:r w:rsidRPr="00812C16">
        <w:rPr>
          <w:rFonts w:cs="Arial"/>
        </w:rPr>
        <w:t xml:space="preserve"> Cancer Control). Die einheitliche Einteilung der Tumoren bei der Diagnose ist für die Therapieentscheidung und Prognose äußerst wichtig. Zum Zeitpunkt der Erstellung der Doktorarbeit wurden die Patienten nach Version 7 eingeteilt.</w:t>
      </w:r>
    </w:p>
    <w:p w14:paraId="7B158B43" w14:textId="77777777" w:rsidR="002F01F1" w:rsidRPr="00812C16" w:rsidRDefault="002F01F1" w:rsidP="005547D3">
      <w:pPr>
        <w:pStyle w:val="berschrift3"/>
        <w:rPr>
          <w:rFonts w:cs="Arial"/>
        </w:rPr>
      </w:pPr>
      <w:bookmarkStart w:id="20" w:name="_Toc158006516"/>
      <w:r w:rsidRPr="00812C16">
        <w:t>Diagnostik</w:t>
      </w:r>
      <w:r w:rsidR="0064437B" w:rsidRPr="00812C16">
        <w:t xml:space="preserve"> &amp; </w:t>
      </w:r>
      <w:proofErr w:type="spellStart"/>
      <w:r w:rsidR="0064437B" w:rsidRPr="00812C16">
        <w:t>Staging</w:t>
      </w:r>
      <w:bookmarkEnd w:id="20"/>
      <w:proofErr w:type="spellEnd"/>
      <w:r w:rsidR="0064437B" w:rsidRPr="00812C16">
        <w:t xml:space="preserve"> </w:t>
      </w:r>
    </w:p>
    <w:p w14:paraId="048C7B4F" w14:textId="77777777" w:rsidR="002F01F1" w:rsidRPr="00812C16" w:rsidRDefault="002F01F1" w:rsidP="002F01F1">
      <w:pPr>
        <w:rPr>
          <w:rFonts w:cs="Arial"/>
        </w:rPr>
      </w:pPr>
      <w:r w:rsidRPr="00812C16">
        <w:rPr>
          <w:rFonts w:cs="Arial"/>
        </w:rPr>
        <w:t>Zu den bildgebenden Verfahren gehört die Sonographie, mit der Lymphknotenmetastasen des Halses diagnostiziert werden können, genauere Ergebnisse liefern jedoch generell die CT- oder MRT-Untersuchung.</w:t>
      </w:r>
    </w:p>
    <w:p w14:paraId="1C6343D1" w14:textId="77777777" w:rsidR="002F01F1" w:rsidRPr="00812C16" w:rsidRDefault="002F01F1" w:rsidP="002F01F1">
      <w:pPr>
        <w:rPr>
          <w:rFonts w:cs="Arial"/>
        </w:rPr>
      </w:pPr>
      <w:r w:rsidRPr="00812C16">
        <w:rPr>
          <w:rFonts w:cs="Arial"/>
        </w:rPr>
        <w:t xml:space="preserve">Die Rolle der </w:t>
      </w:r>
      <w:proofErr w:type="spellStart"/>
      <w:r w:rsidRPr="00812C16">
        <w:rPr>
          <w:rFonts w:cs="Arial"/>
        </w:rPr>
        <w:t>Fluorodeoxyglucose</w:t>
      </w:r>
      <w:proofErr w:type="spellEnd"/>
      <w:r w:rsidRPr="00812C16">
        <w:rPr>
          <w:rFonts w:cs="Arial"/>
        </w:rPr>
        <w:t xml:space="preserve"> (FDG)-PET/CT-Untersuchung wird immer wichtiger, insbesondere zum Ausschluss einer Metastasierung sowie zur Kontrolle des Therapieansprechens nach einer </w:t>
      </w:r>
      <w:proofErr w:type="spellStart"/>
      <w:r w:rsidRPr="00812C16">
        <w:rPr>
          <w:rFonts w:cs="Arial"/>
        </w:rPr>
        <w:t>defintiven</w:t>
      </w:r>
      <w:proofErr w:type="spellEnd"/>
      <w:r w:rsidRPr="00812C16">
        <w:rPr>
          <w:rFonts w:cs="Arial"/>
        </w:rPr>
        <w:t xml:space="preserve"> Radio(-</w:t>
      </w:r>
      <w:proofErr w:type="spellStart"/>
      <w:proofErr w:type="gramStart"/>
      <w:r w:rsidRPr="00812C16">
        <w:rPr>
          <w:rFonts w:cs="Arial"/>
        </w:rPr>
        <w:t>chemo</w:t>
      </w:r>
      <w:proofErr w:type="spellEnd"/>
      <w:r w:rsidRPr="00812C16">
        <w:rPr>
          <w:rFonts w:cs="Arial"/>
        </w:rPr>
        <w:t>)</w:t>
      </w:r>
      <w:proofErr w:type="spellStart"/>
      <w:r w:rsidRPr="00812C16">
        <w:rPr>
          <w:rFonts w:cs="Arial"/>
        </w:rPr>
        <w:t>therapie</w:t>
      </w:r>
      <w:proofErr w:type="spellEnd"/>
      <w:proofErr w:type="gramEnd"/>
      <w:r w:rsidRPr="00812C16">
        <w:rPr>
          <w:rFonts w:cs="Arial"/>
        </w:rPr>
        <w:t>. Ebenso ist die Überwachung mittels PET-CT kostengünstiger und verursacht weniger Folgeoperationen als eine Ausräumung der Halslymphknoten (Neck-</w:t>
      </w:r>
      <w:proofErr w:type="spellStart"/>
      <w:r w:rsidRPr="00812C16">
        <w:rPr>
          <w:rFonts w:cs="Arial"/>
        </w:rPr>
        <w:t>Dissection</w:t>
      </w:r>
      <w:proofErr w:type="spellEnd"/>
      <w:r w:rsidRPr="00812C16">
        <w:rPr>
          <w:rFonts w:cs="Arial"/>
        </w:rPr>
        <w:t>) bei den Lymphknotenstadien N2 und N3 [29]. Die histologische Klassifikation des Tumors erfolgt nach einer Panendoskopie mit Probenexzision [21, 22, 28]. Eine technisch einfach durchführbare Untersuchung auf das humane Papillomavirus stellt der immunhistochemische Nachweis des Markers p16 dar, dessen Expression stark mit einer HPV-Infektion korreliert [30, 31].</w:t>
      </w:r>
    </w:p>
    <w:p w14:paraId="272D72A8" w14:textId="77777777" w:rsidR="002F01F1" w:rsidRPr="00812C16" w:rsidRDefault="002F01F1" w:rsidP="005547D3">
      <w:pPr>
        <w:pStyle w:val="berschrift3"/>
        <w:rPr>
          <w:rFonts w:cs="Arial"/>
        </w:rPr>
      </w:pPr>
      <w:bookmarkStart w:id="21" w:name="_Toc158006517"/>
      <w:r w:rsidRPr="00812C16">
        <w:t>Therapie</w:t>
      </w:r>
      <w:bookmarkEnd w:id="21"/>
    </w:p>
    <w:p w14:paraId="159466AF" w14:textId="77777777" w:rsidR="00AD4196" w:rsidRPr="00812C16" w:rsidRDefault="00AD4196" w:rsidP="002F01F1">
      <w:pPr>
        <w:rPr>
          <w:rFonts w:cs="Arial"/>
        </w:rPr>
      </w:pPr>
      <w:r w:rsidRPr="00812C16">
        <w:rPr>
          <w:rFonts w:cs="Arial"/>
        </w:rPr>
        <w:t>Bösartige Tumoren</w:t>
      </w:r>
      <w:r w:rsidR="002573D3" w:rsidRPr="00812C16">
        <w:rPr>
          <w:rFonts w:cs="Arial"/>
        </w:rPr>
        <w:t xml:space="preserve"> </w:t>
      </w:r>
    </w:p>
    <w:p w14:paraId="7933FE45" w14:textId="77777777" w:rsidR="002F01F1" w:rsidRPr="00812C16" w:rsidRDefault="002F01F1" w:rsidP="002F01F1">
      <w:pPr>
        <w:rPr>
          <w:rFonts w:cs="Arial"/>
        </w:rPr>
      </w:pPr>
      <w:r w:rsidRPr="00812C16">
        <w:rPr>
          <w:rFonts w:cs="Arial"/>
        </w:rPr>
        <w:t>Die Art der Therapie richtet sich nach dem Allgemeinzustand des Patienten, der Tumorgröße, -ausbreitung und -lokalisation [32, 33]. Das Therapiekonzept wird interdisziplinär in einem Tumorboard festgelegt.</w:t>
      </w:r>
    </w:p>
    <w:p w14:paraId="5AAE8DD5" w14:textId="77777777" w:rsidR="002F01F1" w:rsidRPr="00812C16" w:rsidRDefault="002F01F1" w:rsidP="002F01F1">
      <w:pPr>
        <w:rPr>
          <w:rFonts w:cs="Arial"/>
          <w:i/>
          <w:iCs/>
        </w:rPr>
      </w:pPr>
      <w:r w:rsidRPr="00812C16">
        <w:rPr>
          <w:rFonts w:cs="Arial"/>
          <w:i/>
          <w:iCs/>
        </w:rPr>
        <w:t>Chirurgische Tumorresektion</w:t>
      </w:r>
    </w:p>
    <w:p w14:paraId="75840C74" w14:textId="77777777" w:rsidR="002F01F1" w:rsidRPr="00812C16" w:rsidRDefault="002F01F1" w:rsidP="002F01F1">
      <w:pPr>
        <w:rPr>
          <w:rFonts w:cs="Arial"/>
        </w:rPr>
      </w:pPr>
      <w:r w:rsidRPr="00812C16">
        <w:rPr>
          <w:rFonts w:cs="Arial"/>
        </w:rPr>
        <w:t xml:space="preserve">Das Ziel der operativen Versorgung ist die Entfernung der gesamten Tumormasse im Gesunden, intraoperativ lässt sich dies mittels histopathologischer Schnellschnittuntersuchung verfolgen. Die Möglichkeiten zur R0-Resektion können </w:t>
      </w:r>
      <w:r w:rsidRPr="00812C16">
        <w:rPr>
          <w:rFonts w:cs="Arial"/>
        </w:rPr>
        <w:lastRenderedPageBreak/>
        <w:t>jedoch durch die Tumorgröße und -ausdehnung, die Lymphknotengröße und dem Ziel des Organ- und Funktionserhalts limitiert werden. [34, 35] Nach der Tumorresektion kann eine plastische Rekonstruktion für den Erhalt der Kau-, Sprech- und Schluckfunktion und der Gesichtsästhetik notwendig sein. Je nach Anzahl der befallenen Lymphknoten, Größe und Lokalisation des Primärtumors, wird eine Neck-</w:t>
      </w:r>
      <w:proofErr w:type="spellStart"/>
      <w:r w:rsidRPr="00812C16">
        <w:rPr>
          <w:rFonts w:cs="Arial"/>
        </w:rPr>
        <w:t>Dissection</w:t>
      </w:r>
      <w:proofErr w:type="spellEnd"/>
      <w:r w:rsidRPr="00812C16">
        <w:rPr>
          <w:rFonts w:cs="Arial"/>
        </w:rPr>
        <w:t xml:space="preserve"> in unterschiedlicher Ausdehnung und Radikalität durchgeführt.</w:t>
      </w:r>
    </w:p>
    <w:p w14:paraId="65DEA371" w14:textId="77777777" w:rsidR="002F01F1" w:rsidRPr="00812C16" w:rsidRDefault="002F01F1" w:rsidP="002F01F1">
      <w:pPr>
        <w:rPr>
          <w:rFonts w:cs="Arial"/>
        </w:rPr>
      </w:pPr>
      <w:r w:rsidRPr="00812C16">
        <w:rPr>
          <w:rFonts w:cs="Arial"/>
        </w:rPr>
        <w:t>Bei kleinen Tumoren stellt die operative Resektion meist die alleinige Therapie dar [32, 35]. In der palliativen Tumorsituation kann ein operativer Eingriff und die damit verbundene Reduktion der Tumormasse zu einer Wiederherstellung von wichtigen Funktionen wie der Atmung, der Stimme oder des Schluckaktes führen. [21, 32, 35]</w:t>
      </w:r>
    </w:p>
    <w:p w14:paraId="29311612" w14:textId="77777777" w:rsidR="002F01F1" w:rsidRPr="00812C16" w:rsidRDefault="002F01F1" w:rsidP="002F01F1">
      <w:pPr>
        <w:rPr>
          <w:rFonts w:cs="Arial"/>
          <w:i/>
          <w:iCs/>
        </w:rPr>
      </w:pPr>
      <w:r w:rsidRPr="00812C16">
        <w:rPr>
          <w:rFonts w:cs="Arial"/>
          <w:i/>
          <w:iCs/>
        </w:rPr>
        <w:t>Primäre Radiotherapie</w:t>
      </w:r>
    </w:p>
    <w:p w14:paraId="5B287938" w14:textId="77777777" w:rsidR="002F01F1" w:rsidRPr="00812C16" w:rsidRDefault="002F01F1" w:rsidP="002F01F1">
      <w:pPr>
        <w:rPr>
          <w:rFonts w:cs="Arial"/>
        </w:rPr>
      </w:pPr>
      <w:r w:rsidRPr="00812C16">
        <w:rPr>
          <w:rFonts w:cs="Arial"/>
        </w:rPr>
        <w:t xml:space="preserve">Die primäre Radiotherapie kann bei frühen Tumorstadien ohne Lymphknotenbefall zum Einsatz kommen und ist einer chirurgischen Tumorresektion prinzipiell gleichwertig [36, 37]. Zudem wird die primäre Strahlentherapie bei inoperablen Tumoren und bei Tumoren, deren Organ- und Funktionserhalt operativ nicht erreicht werden kann, eingesetzt [38]. Eine Steigerung des Therapieeffekts kann durch die konkomitante Gabe von Chemotherapeutika erreicht werden. Durch die Chemotherapie wird einer </w:t>
      </w:r>
      <w:proofErr w:type="spellStart"/>
      <w:r w:rsidRPr="00812C16">
        <w:rPr>
          <w:rFonts w:cs="Arial"/>
        </w:rPr>
        <w:t>Tumorrepopulation</w:t>
      </w:r>
      <w:proofErr w:type="spellEnd"/>
      <w:r w:rsidRPr="00812C16">
        <w:rPr>
          <w:rFonts w:cs="Arial"/>
        </w:rPr>
        <w:t xml:space="preserve"> und einer möglichen Mikrometastasierung vorgebeugt. Des Weiteren dienen Chemotherapeutika durch </w:t>
      </w:r>
      <w:proofErr w:type="spellStart"/>
      <w:r w:rsidRPr="00812C16">
        <w:rPr>
          <w:rFonts w:cs="Arial"/>
        </w:rPr>
        <w:t>Radiosensitivierung</w:t>
      </w:r>
      <w:proofErr w:type="spellEnd"/>
      <w:r w:rsidRPr="00812C16">
        <w:rPr>
          <w:rFonts w:cs="Arial"/>
        </w:rPr>
        <w:t xml:space="preserve"> zur Wirkungsverstärkung der Strahlentherapie [39, 40]. Wenn ca. zwölf Wochen nach Abschluss einer primären Radio(-</w:t>
      </w:r>
      <w:proofErr w:type="spellStart"/>
      <w:proofErr w:type="gramStart"/>
      <w:r w:rsidRPr="00812C16">
        <w:rPr>
          <w:rFonts w:cs="Arial"/>
        </w:rPr>
        <w:t>chemo</w:t>
      </w:r>
      <w:proofErr w:type="spellEnd"/>
      <w:r w:rsidRPr="00812C16">
        <w:rPr>
          <w:rFonts w:cs="Arial"/>
        </w:rPr>
        <w:t>)</w:t>
      </w:r>
      <w:proofErr w:type="spellStart"/>
      <w:r w:rsidRPr="00812C16">
        <w:rPr>
          <w:rFonts w:cs="Arial"/>
        </w:rPr>
        <w:t>therapie</w:t>
      </w:r>
      <w:proofErr w:type="spellEnd"/>
      <w:proofErr w:type="gramEnd"/>
      <w:r w:rsidRPr="00812C16">
        <w:rPr>
          <w:rFonts w:cs="Arial"/>
        </w:rPr>
        <w:t xml:space="preserve"> bildgebend noch pathologische Lymphknoten nachweisbar sind, sollte eine </w:t>
      </w:r>
      <w:proofErr w:type="spellStart"/>
      <w:r w:rsidRPr="00812C16">
        <w:rPr>
          <w:rFonts w:cs="Arial"/>
        </w:rPr>
        <w:t>Salvage</w:t>
      </w:r>
      <w:proofErr w:type="spellEnd"/>
      <w:r w:rsidRPr="00812C16">
        <w:rPr>
          <w:rFonts w:cs="Arial"/>
        </w:rPr>
        <w:t>- bzw. Rettungsoperation evaluiert werden, in der die Lymphknoten ausgeräumt werden (sog. „</w:t>
      </w:r>
      <w:proofErr w:type="spellStart"/>
      <w:r w:rsidRPr="00812C16">
        <w:rPr>
          <w:rFonts w:cs="Arial"/>
        </w:rPr>
        <w:t>node</w:t>
      </w:r>
      <w:proofErr w:type="spellEnd"/>
      <w:r w:rsidRPr="00812C16">
        <w:rPr>
          <w:rFonts w:cs="Arial"/>
        </w:rPr>
        <w:t xml:space="preserve"> </w:t>
      </w:r>
      <w:proofErr w:type="spellStart"/>
      <w:r w:rsidRPr="00812C16">
        <w:rPr>
          <w:rFonts w:cs="Arial"/>
        </w:rPr>
        <w:t>picking</w:t>
      </w:r>
      <w:proofErr w:type="spellEnd"/>
      <w:r w:rsidRPr="00812C16">
        <w:rPr>
          <w:rFonts w:cs="Arial"/>
        </w:rPr>
        <w:t>“).</w:t>
      </w:r>
    </w:p>
    <w:p w14:paraId="3ABF3A87" w14:textId="77777777" w:rsidR="002F01F1" w:rsidRPr="00812C16" w:rsidRDefault="002F01F1" w:rsidP="002F01F1">
      <w:pPr>
        <w:rPr>
          <w:rFonts w:cs="Arial"/>
        </w:rPr>
      </w:pPr>
      <w:r w:rsidRPr="00812C16">
        <w:rPr>
          <w:rFonts w:cs="Arial"/>
        </w:rPr>
        <w:t>Die konventionelle primäre Radiotherapie besteht in der Regel aus 35 Fraktionen mit 2,0 Gy täglich, fünf Mal wöchentlich, über sieben Wochen, was eine Gesamtdosis von 70,0 Gy ergibt [34, 41]. Neben der konventionellen Fraktionierung können bei der primären Radiotherapie sowohl die Hyperfraktionierung als auch die akzelerierte Fraktionierung angewendet werden</w:t>
      </w:r>
    </w:p>
    <w:p w14:paraId="55351712" w14:textId="77777777" w:rsidR="002F01F1" w:rsidRPr="00812C16" w:rsidRDefault="002F01F1" w:rsidP="002F01F1">
      <w:pPr>
        <w:rPr>
          <w:rFonts w:cs="Arial"/>
        </w:rPr>
      </w:pPr>
      <w:r w:rsidRPr="00812C16">
        <w:rPr>
          <w:rFonts w:cs="Arial"/>
        </w:rPr>
        <w:t>5</w:t>
      </w:r>
    </w:p>
    <w:p w14:paraId="70C2F90F" w14:textId="77777777" w:rsidR="002F01F1" w:rsidRPr="00812C16" w:rsidRDefault="002F01F1" w:rsidP="002F01F1">
      <w:pPr>
        <w:rPr>
          <w:rFonts w:cs="Arial"/>
        </w:rPr>
      </w:pPr>
    </w:p>
    <w:p w14:paraId="02D9A765" w14:textId="77777777" w:rsidR="002F01F1" w:rsidRPr="00812C16" w:rsidRDefault="002F01F1" w:rsidP="002F01F1">
      <w:pPr>
        <w:rPr>
          <w:rFonts w:cs="Arial"/>
        </w:rPr>
      </w:pPr>
      <w:r w:rsidRPr="00812C16">
        <w:rPr>
          <w:rFonts w:cs="Arial"/>
        </w:rPr>
        <w:lastRenderedPageBreak/>
        <w:t>[37]. Bei der hyperfraktionierten Radiotherapie wird pro Fraktion eine geringere Dosis, diese jedoch zwei- bis dreimal täglich verabreicht. Somit wird bei einer gleichbleibenden Bestrahlungsdauer eine höhere Gesamtdosis erreicht. Das Ziel dieser Methode ist die Verbesserung der therapeutischen Ratio (Verhältnis von Anti-Tumorwirkung zu Nebenwirkung).</w:t>
      </w:r>
    </w:p>
    <w:p w14:paraId="72F77361" w14:textId="77777777" w:rsidR="002F01F1" w:rsidRPr="00812C16" w:rsidRDefault="002F01F1" w:rsidP="002F01F1">
      <w:pPr>
        <w:rPr>
          <w:rFonts w:cs="Arial"/>
        </w:rPr>
      </w:pPr>
      <w:r w:rsidRPr="00812C16">
        <w:rPr>
          <w:rFonts w:cs="Arial"/>
        </w:rPr>
        <w:t>Im Gegensatz dazu wird bei der akzelerierten Strahlentherapie die Gesamttherapiedauer verkürzt, indem die wöchentliche Dosis erhöht wird. Das Ziel ist die Minimierung der Tumorzellproliferation in der Zeit zwischen den einzelnen Bestrahlungen. [34, 41]</w:t>
      </w:r>
    </w:p>
    <w:p w14:paraId="1A123818" w14:textId="77777777" w:rsidR="002F01F1" w:rsidRPr="00812C16" w:rsidRDefault="002F01F1" w:rsidP="002F01F1">
      <w:pPr>
        <w:rPr>
          <w:rFonts w:cs="Arial"/>
        </w:rPr>
      </w:pPr>
      <w:r w:rsidRPr="00812C16">
        <w:rPr>
          <w:rFonts w:cs="Arial"/>
        </w:rPr>
        <w:t xml:space="preserve">In verschiedenen Studien, u.a. in denen von </w:t>
      </w:r>
      <w:proofErr w:type="spellStart"/>
      <w:r w:rsidRPr="00812C16">
        <w:rPr>
          <w:rFonts w:cs="Arial"/>
        </w:rPr>
        <w:t>Horiot</w:t>
      </w:r>
      <w:proofErr w:type="spellEnd"/>
      <w:r w:rsidRPr="00812C16">
        <w:rPr>
          <w:rFonts w:cs="Arial"/>
        </w:rPr>
        <w:t xml:space="preserve"> et al. und Fu et al. wurde bislang aufgezeigt, dass die Hyperfraktionierung und die Akzeleration bezüglich der </w:t>
      </w:r>
      <w:proofErr w:type="spellStart"/>
      <w:r w:rsidRPr="00812C16">
        <w:rPr>
          <w:rFonts w:cs="Arial"/>
        </w:rPr>
        <w:t>lokoregionären</w:t>
      </w:r>
      <w:proofErr w:type="spellEnd"/>
      <w:r w:rsidRPr="00812C16">
        <w:rPr>
          <w:rFonts w:cs="Arial"/>
        </w:rPr>
        <w:t xml:space="preserve"> Kontrollrate und des krankheitsfreien Überlebens eine Verbesserung der Prognose herbeiführen. Es bestand kein signifikanter Unterschied zur konventionellen Fraktionierung im Hinblick auf die Ausprägung der </w:t>
      </w:r>
      <w:proofErr w:type="spellStart"/>
      <w:r w:rsidRPr="00812C16">
        <w:rPr>
          <w:rFonts w:cs="Arial"/>
        </w:rPr>
        <w:t>Spättoxizitäten</w:t>
      </w:r>
      <w:proofErr w:type="spellEnd"/>
      <w:r w:rsidRPr="00812C16">
        <w:rPr>
          <w:rFonts w:cs="Arial"/>
        </w:rPr>
        <w:t xml:space="preserve">, mit Ausnahme bei der Kombination aus Akzelerierung und konkomitantem Boost, bei der ein Anstieg der Spättoxizität zu verzeichnen war. [42, 43] Allerdings ist bei einer Hyperfraktionierung mit einer stärkeren Ausprägung der </w:t>
      </w:r>
      <w:proofErr w:type="spellStart"/>
      <w:r w:rsidRPr="00812C16">
        <w:rPr>
          <w:rFonts w:cs="Arial"/>
        </w:rPr>
        <w:t>Akuttoxizitäten</w:t>
      </w:r>
      <w:proofErr w:type="spellEnd"/>
      <w:r w:rsidRPr="00812C16">
        <w:rPr>
          <w:rFonts w:cs="Arial"/>
        </w:rPr>
        <w:t>, insbesondere der Mukositis, zu rechnen. [42, 44].</w:t>
      </w:r>
    </w:p>
    <w:p w14:paraId="47FEB1D5" w14:textId="77777777" w:rsidR="002F01F1" w:rsidRPr="00812C16" w:rsidRDefault="002F01F1" w:rsidP="002F01F1">
      <w:pPr>
        <w:rPr>
          <w:rFonts w:cs="Arial"/>
        </w:rPr>
      </w:pPr>
      <w:r w:rsidRPr="00812C16">
        <w:rPr>
          <w:rFonts w:cs="Arial"/>
        </w:rPr>
        <w:t xml:space="preserve">Seit Einführung der Radiochemotherapie ist jedoch meist die </w:t>
      </w:r>
      <w:proofErr w:type="spellStart"/>
      <w:r w:rsidRPr="00812C16">
        <w:rPr>
          <w:rFonts w:cs="Arial"/>
        </w:rPr>
        <w:t>Normo</w:t>
      </w:r>
      <w:proofErr w:type="spellEnd"/>
      <w:r w:rsidRPr="00812C16">
        <w:rPr>
          <w:rFonts w:cs="Arial"/>
        </w:rPr>
        <w:t xml:space="preserve">- </w:t>
      </w:r>
      <w:proofErr w:type="spellStart"/>
      <w:r w:rsidRPr="00812C16">
        <w:rPr>
          <w:rFonts w:cs="Arial"/>
        </w:rPr>
        <w:t>fraktionierung</w:t>
      </w:r>
      <w:proofErr w:type="spellEnd"/>
      <w:r w:rsidRPr="00812C16">
        <w:rPr>
          <w:rFonts w:cs="Arial"/>
        </w:rPr>
        <w:t xml:space="preserve"> mit simultaner Chemotherapie Standard. [45]</w:t>
      </w:r>
    </w:p>
    <w:p w14:paraId="10F90C4D" w14:textId="77777777" w:rsidR="002F01F1" w:rsidRPr="00812C16" w:rsidRDefault="002F01F1" w:rsidP="002F01F1">
      <w:pPr>
        <w:rPr>
          <w:rFonts w:cs="Arial"/>
          <w:i/>
          <w:iCs/>
        </w:rPr>
      </w:pPr>
      <w:r w:rsidRPr="00812C16">
        <w:rPr>
          <w:rFonts w:cs="Arial"/>
          <w:i/>
          <w:iCs/>
        </w:rPr>
        <w:t>Adjuvante Radio(-</w:t>
      </w:r>
      <w:proofErr w:type="spellStart"/>
      <w:proofErr w:type="gramStart"/>
      <w:r w:rsidRPr="00812C16">
        <w:rPr>
          <w:rFonts w:cs="Arial"/>
          <w:i/>
          <w:iCs/>
        </w:rPr>
        <w:t>chemo</w:t>
      </w:r>
      <w:proofErr w:type="spellEnd"/>
      <w:r w:rsidRPr="00812C16">
        <w:rPr>
          <w:rFonts w:cs="Arial"/>
          <w:i/>
          <w:iCs/>
        </w:rPr>
        <w:t>)</w:t>
      </w:r>
      <w:proofErr w:type="spellStart"/>
      <w:r w:rsidRPr="00812C16">
        <w:rPr>
          <w:rFonts w:cs="Arial"/>
          <w:i/>
          <w:iCs/>
        </w:rPr>
        <w:t>therapie</w:t>
      </w:r>
      <w:proofErr w:type="spellEnd"/>
      <w:proofErr w:type="gramEnd"/>
    </w:p>
    <w:p w14:paraId="3D59AA3C" w14:textId="77777777" w:rsidR="002F01F1" w:rsidRPr="00812C16" w:rsidRDefault="002F01F1" w:rsidP="002F01F1">
      <w:pPr>
        <w:rPr>
          <w:rFonts w:cs="Arial"/>
        </w:rPr>
      </w:pPr>
      <w:r w:rsidRPr="00812C16">
        <w:rPr>
          <w:rFonts w:cs="Arial"/>
        </w:rPr>
        <w:t xml:space="preserve">Eine postoperative adjuvante Radiotherapie ist indiziert in lokal fortgeschrittenen Tumorstadien (≥pT3), bei Lymphknotenbefall &gt;pN1, einer </w:t>
      </w:r>
      <w:proofErr w:type="spellStart"/>
      <w:r w:rsidRPr="00812C16">
        <w:rPr>
          <w:rFonts w:cs="Arial"/>
        </w:rPr>
        <w:t>Lymphangiosis</w:t>
      </w:r>
      <w:proofErr w:type="spellEnd"/>
      <w:r w:rsidRPr="00812C16">
        <w:rPr>
          <w:rFonts w:cs="Arial"/>
        </w:rPr>
        <w:t xml:space="preserve"> und </w:t>
      </w:r>
      <w:proofErr w:type="spellStart"/>
      <w:r w:rsidRPr="00812C16">
        <w:rPr>
          <w:rFonts w:cs="Arial"/>
        </w:rPr>
        <w:t>Hämangiosis</w:t>
      </w:r>
      <w:proofErr w:type="spellEnd"/>
      <w:r w:rsidRPr="00812C16">
        <w:rPr>
          <w:rFonts w:cs="Arial"/>
        </w:rPr>
        <w:t xml:space="preserve"> </w:t>
      </w:r>
      <w:proofErr w:type="spellStart"/>
      <w:r w:rsidRPr="00812C16">
        <w:rPr>
          <w:rFonts w:cs="Arial"/>
        </w:rPr>
        <w:t>carcinomatosa</w:t>
      </w:r>
      <w:proofErr w:type="spellEnd"/>
      <w:r w:rsidRPr="00812C16">
        <w:rPr>
          <w:rFonts w:cs="Arial"/>
        </w:rPr>
        <w:t xml:space="preserve"> sowie bei </w:t>
      </w:r>
      <w:proofErr w:type="spellStart"/>
      <w:r w:rsidRPr="00812C16">
        <w:rPr>
          <w:rFonts w:cs="Arial"/>
        </w:rPr>
        <w:t>Perineuralscheideninfiltration</w:t>
      </w:r>
      <w:proofErr w:type="spellEnd"/>
      <w:r w:rsidRPr="00812C16">
        <w:rPr>
          <w:rFonts w:cs="Arial"/>
        </w:rPr>
        <w:t xml:space="preserve">. [32] Hierbei wird die </w:t>
      </w:r>
      <w:proofErr w:type="spellStart"/>
      <w:r w:rsidRPr="00812C16">
        <w:rPr>
          <w:rFonts w:cs="Arial"/>
        </w:rPr>
        <w:t>normofraktionierte</w:t>
      </w:r>
      <w:proofErr w:type="spellEnd"/>
      <w:r w:rsidRPr="00812C16">
        <w:rPr>
          <w:rFonts w:cs="Arial"/>
        </w:rPr>
        <w:t xml:space="preserve"> Radiotherapie eingesetzt. Die Strahlentherapie soll ohne Verzögerung, idealerweise zeitnah nach der Wundheilung begonnen werden, um eine Proliferation der Tumorzellen zu vermeiden. Insgesamt sollte eine Zeit von elf Wochen für die gesamte Behandlungszeit nach der Operation nicht überschritten werden. [37, 46, 47].</w:t>
      </w:r>
    </w:p>
    <w:p w14:paraId="33E4857B" w14:textId="77777777" w:rsidR="002F01F1" w:rsidRPr="00812C16" w:rsidRDefault="002F01F1" w:rsidP="002F01F1">
      <w:pPr>
        <w:rPr>
          <w:rFonts w:cs="Arial"/>
        </w:rPr>
      </w:pPr>
    </w:p>
    <w:p w14:paraId="60E196AC" w14:textId="77777777" w:rsidR="002F01F1" w:rsidRPr="00812C16" w:rsidRDefault="002F01F1" w:rsidP="002F01F1">
      <w:pPr>
        <w:rPr>
          <w:rFonts w:cs="Arial"/>
        </w:rPr>
      </w:pPr>
      <w:r w:rsidRPr="00812C16">
        <w:rPr>
          <w:rFonts w:cs="Arial"/>
        </w:rPr>
        <w:t xml:space="preserve">Im Jahr 1993 publizierten Peters et al. die Ergebnisse ihrer prospektiven randomisierten Studie zur Bewertung der Strahlendosis adjuvant behandelter </w:t>
      </w:r>
      <w:r w:rsidRPr="00812C16">
        <w:rPr>
          <w:rFonts w:cs="Arial"/>
        </w:rPr>
        <w:lastRenderedPageBreak/>
        <w:t xml:space="preserve">Plattenepithelkarzinome der Kopf-Hals-Region. Demnach zeigt die Strahlentherapie ihre maximale Effizienz, wenn nicht-operierte, potenziell gefährdete Regionen, eine Strahlendosis von 54,0 bzw. 50,0 Gy in Fraktionen von 1,8 bzw. 2,0 Gy erhalten. In operativ versorgten Regionen ist eine Gesamtdosis von mindestens 57,6 Gy in Fraktionen von 1,8 Gy vonnöten. In Hochrisikobereichen, wie beispielsweise Lymphknoten mit extrakapsulärem Tumorbefall oder im Bereich der ehemaligen </w:t>
      </w:r>
      <w:proofErr w:type="spellStart"/>
      <w:r w:rsidRPr="00812C16">
        <w:rPr>
          <w:rFonts w:cs="Arial"/>
        </w:rPr>
        <w:t>Tumoregion</w:t>
      </w:r>
      <w:proofErr w:type="spellEnd"/>
      <w:r w:rsidRPr="00812C16">
        <w:rPr>
          <w:rFonts w:cs="Arial"/>
        </w:rPr>
        <w:t xml:space="preserve">, sollte die </w:t>
      </w:r>
      <w:proofErr w:type="spellStart"/>
      <w:r w:rsidRPr="00812C16">
        <w:rPr>
          <w:rFonts w:cs="Arial"/>
        </w:rPr>
        <w:t>Aufsättigung</w:t>
      </w:r>
      <w:proofErr w:type="spellEnd"/>
      <w:r w:rsidRPr="00812C16">
        <w:rPr>
          <w:rFonts w:cs="Arial"/>
        </w:rPr>
        <w:t xml:space="preserve"> mittels Boost auf eine Gesamtdosis von mindestens 63,0 Gy erfolgen. [47]</w:t>
      </w:r>
    </w:p>
    <w:p w14:paraId="495E4044" w14:textId="77777777" w:rsidR="002F01F1" w:rsidRPr="00812C16" w:rsidRDefault="002F01F1" w:rsidP="002F01F1">
      <w:pPr>
        <w:rPr>
          <w:rFonts w:cs="Arial"/>
        </w:rPr>
      </w:pPr>
      <w:r w:rsidRPr="00812C16">
        <w:rPr>
          <w:rFonts w:cs="Arial"/>
        </w:rPr>
        <w:t xml:space="preserve">Die von </w:t>
      </w:r>
      <w:proofErr w:type="spellStart"/>
      <w:r w:rsidRPr="00812C16">
        <w:rPr>
          <w:rFonts w:cs="Arial"/>
        </w:rPr>
        <w:t>Fietkau</w:t>
      </w:r>
      <w:proofErr w:type="spellEnd"/>
      <w:r w:rsidRPr="00812C16">
        <w:rPr>
          <w:rFonts w:cs="Arial"/>
        </w:rPr>
        <w:t xml:space="preserve"> im Jahr 2006 auf der ASCO präsentierte risikoadaptierte konventionelle Fraktionierung hat sich zum Zeitpunkt der Datenerhebung unter anderem an unserem Institut, der Klinik und Poliklinik für Strahlentherapie und Radioonkologie der Ludwig-Maximilians-Universität München, als Standard für die postoperative Bestrahlung etabliert.</w:t>
      </w:r>
    </w:p>
    <w:p w14:paraId="3FD44D3D" w14:textId="77777777" w:rsidR="002F01F1" w:rsidRPr="00812C16" w:rsidRDefault="002F01F1" w:rsidP="002F01F1">
      <w:pPr>
        <w:rPr>
          <w:rFonts w:cs="Arial"/>
        </w:rPr>
      </w:pPr>
      <w:r w:rsidRPr="00812C16">
        <w:rPr>
          <w:rFonts w:cs="Arial"/>
        </w:rPr>
        <w:t xml:space="preserve">Hierbei erfolgt die Applikation von 50,0 Gy in 25 Fraktionen auf die nicht befallenen, jedoch gefährdeten Lymphknoten der typischen Metastasierungs- </w:t>
      </w:r>
      <w:proofErr w:type="spellStart"/>
      <w:r w:rsidRPr="00812C16">
        <w:rPr>
          <w:rFonts w:cs="Arial"/>
        </w:rPr>
        <w:t>level</w:t>
      </w:r>
      <w:proofErr w:type="spellEnd"/>
      <w:r w:rsidRPr="00812C16">
        <w:rPr>
          <w:rFonts w:cs="Arial"/>
        </w:rPr>
        <w:t xml:space="preserve"> des Primärtumors. Es werden zusätzlich </w:t>
      </w:r>
      <w:r w:rsidR="00991A22" w:rsidRPr="00812C16">
        <w:rPr>
          <w:rFonts w:cs="Arial"/>
        </w:rPr>
        <w:t>sequenziell</w:t>
      </w:r>
      <w:r w:rsidRPr="00812C16">
        <w:rPr>
          <w:rFonts w:cs="Arial"/>
        </w:rPr>
        <w:t xml:space="preserve"> 6 Gy in 3 Fraktionen (Gesamtdosis: 56,0 Gy) auf die vom Tumor befallenen Lymphknotenregionen ohne Kapseldurchbruch appliziert. Das ehemalige Primärtumorbett und die Lymphknotenregionen mit extrakapsulärem Tumorbefall werden mit einem Boost von 8 Gy in vier Fraktionen auf eine kumulative Gesamtdosis von 64 Gy </w:t>
      </w:r>
      <w:proofErr w:type="spellStart"/>
      <w:r w:rsidRPr="00812C16">
        <w:rPr>
          <w:rFonts w:cs="Arial"/>
        </w:rPr>
        <w:t>aufgesättigt</w:t>
      </w:r>
      <w:proofErr w:type="spellEnd"/>
      <w:r w:rsidRPr="00812C16">
        <w:rPr>
          <w:rFonts w:cs="Arial"/>
        </w:rPr>
        <w:t>. [48]</w:t>
      </w:r>
    </w:p>
    <w:p w14:paraId="4EA40383" w14:textId="77777777" w:rsidR="002F01F1" w:rsidRPr="00812C16" w:rsidRDefault="002F01F1" w:rsidP="002F01F1">
      <w:pPr>
        <w:rPr>
          <w:rFonts w:cs="Arial"/>
        </w:rPr>
      </w:pPr>
      <w:r w:rsidRPr="00812C16">
        <w:rPr>
          <w:rFonts w:cs="Arial"/>
        </w:rPr>
        <w:t>Eine Zahnsanierung ist aufgrund der möglichen Strahlentherapiefolgen Karies, Zahnverlust und Osteoradionekrose vonnöten [49, 50]. Diese sollte möglichst vor der Operation erfolgen, um eine Verzögerung des Radiotherapiebeginns zu verhindern, da dies mit einer schlechteren Prognose einhergeht. [46]</w:t>
      </w:r>
    </w:p>
    <w:p w14:paraId="05279714" w14:textId="77777777" w:rsidR="002F01F1" w:rsidRPr="00812C16" w:rsidRDefault="002F01F1" w:rsidP="002F01F1">
      <w:pPr>
        <w:rPr>
          <w:rFonts w:cs="Arial"/>
        </w:rPr>
      </w:pPr>
      <w:r w:rsidRPr="00812C16">
        <w:rPr>
          <w:rFonts w:cs="Arial"/>
        </w:rPr>
        <w:t>Bei Patienten mit einem erhöhten Rezidivrisiko, bei ungünstigen klinischen und pathologischen Faktoren, wie einem Resektionsrand von &lt;5mm oder bei extrakapsulärem Lymphknotenbefall, ist eine simultane Radiochemotherapie indiziert [51].</w:t>
      </w:r>
    </w:p>
    <w:p w14:paraId="5ADB8F9D" w14:textId="77777777" w:rsidR="002F01F1" w:rsidRPr="00812C16" w:rsidRDefault="002F01F1" w:rsidP="002F01F1">
      <w:pPr>
        <w:rPr>
          <w:rFonts w:cs="Arial"/>
        </w:rPr>
      </w:pPr>
      <w:r w:rsidRPr="00812C16">
        <w:rPr>
          <w:rFonts w:cs="Arial"/>
        </w:rPr>
        <w:t xml:space="preserve">Nach der von </w:t>
      </w:r>
      <w:proofErr w:type="spellStart"/>
      <w:r w:rsidRPr="00812C16">
        <w:rPr>
          <w:rFonts w:cs="Arial"/>
        </w:rPr>
        <w:t>Fietkau</w:t>
      </w:r>
      <w:proofErr w:type="spellEnd"/>
      <w:r w:rsidRPr="00812C16">
        <w:rPr>
          <w:rFonts w:cs="Arial"/>
        </w:rPr>
        <w:t xml:space="preserve"> im Jahr 2006 präsentierten randomisierten Studie zur</w:t>
      </w:r>
    </w:p>
    <w:p w14:paraId="34216077" w14:textId="77777777" w:rsidR="002F01F1" w:rsidRPr="00812C16" w:rsidRDefault="002F01F1" w:rsidP="002F01F1">
      <w:pPr>
        <w:rPr>
          <w:rFonts w:cs="Arial"/>
        </w:rPr>
      </w:pPr>
      <w:r w:rsidRPr="00812C16">
        <w:rPr>
          <w:rFonts w:cs="Arial"/>
        </w:rPr>
        <w:t>adjuvanten Radiochemotherapie von fortgeschrittenen Plattenepithelkarzinomen</w:t>
      </w:r>
    </w:p>
    <w:p w14:paraId="7F7E7451" w14:textId="77777777" w:rsidR="002F01F1" w:rsidRPr="00812C16" w:rsidRDefault="002F01F1" w:rsidP="002F01F1">
      <w:pPr>
        <w:rPr>
          <w:rFonts w:cs="Arial"/>
        </w:rPr>
      </w:pPr>
      <w:r w:rsidRPr="00812C16">
        <w:rPr>
          <w:rFonts w:cs="Arial"/>
        </w:rPr>
        <w:t xml:space="preserve">hat sich auch das </w:t>
      </w:r>
      <w:proofErr w:type="spellStart"/>
      <w:r w:rsidRPr="00812C16">
        <w:rPr>
          <w:rFonts w:cs="Arial"/>
        </w:rPr>
        <w:t>Chemotherapieschema</w:t>
      </w:r>
      <w:proofErr w:type="spellEnd"/>
      <w:r w:rsidRPr="00812C16">
        <w:rPr>
          <w:rFonts w:cs="Arial"/>
        </w:rPr>
        <w:t xml:space="preserve"> in unserem Institut für Patienten </w:t>
      </w:r>
      <w:proofErr w:type="spellStart"/>
      <w:r w:rsidRPr="00812C16">
        <w:rPr>
          <w:rFonts w:cs="Arial"/>
        </w:rPr>
        <w:t>mitadjuvanter</w:t>
      </w:r>
      <w:proofErr w:type="spellEnd"/>
      <w:r w:rsidRPr="00812C16">
        <w:rPr>
          <w:rFonts w:cs="Arial"/>
        </w:rPr>
        <w:t xml:space="preserve"> Radiochemotherapie etabliert. Dabei werden an den Tagen 1 bis 5 </w:t>
      </w:r>
      <w:r w:rsidRPr="00812C16">
        <w:rPr>
          <w:rFonts w:cs="Arial"/>
        </w:rPr>
        <w:lastRenderedPageBreak/>
        <w:t>jeweils 600 mg 5-Fluoruracil/m2 Körperoberfläche (KOF) intravenös über 24 Stunden und 20 mg Cisplatin/m2 KOF über 30 Minuten verabreicht. Dieser Zyklus wird an den Tagen 29 bis 33 wiederholt. [48]</w:t>
      </w:r>
    </w:p>
    <w:p w14:paraId="31414562" w14:textId="77777777" w:rsidR="002F01F1" w:rsidRPr="00812C16" w:rsidRDefault="002F01F1" w:rsidP="002F01F1">
      <w:pPr>
        <w:rPr>
          <w:rFonts w:cs="Arial"/>
        </w:rPr>
      </w:pPr>
      <w:r w:rsidRPr="00812C16">
        <w:rPr>
          <w:rFonts w:cs="Arial"/>
        </w:rPr>
        <w:t xml:space="preserve">Es wurde gezeigt, dass die simultane Gabe der Chemotherapie im Vergleich zur Induktions- und Erhaltungschemotherapie einen deutlichen Überlebensvorteil herbeiführt [40, 52, 53]. Bevorzugt verwendete Substanzen sind hierbei Cisplatin/Carboplatin, 5-Fluoruracil, </w:t>
      </w:r>
      <w:proofErr w:type="spellStart"/>
      <w:r w:rsidRPr="00812C16">
        <w:rPr>
          <w:rFonts w:cs="Arial"/>
        </w:rPr>
        <w:t>Mitomycin</w:t>
      </w:r>
      <w:proofErr w:type="spellEnd"/>
      <w:r w:rsidRPr="00812C16">
        <w:rPr>
          <w:rFonts w:cs="Arial"/>
        </w:rPr>
        <w:t xml:space="preserve">, Paclitaxel und der EGFR- Antagonist </w:t>
      </w:r>
      <w:proofErr w:type="spellStart"/>
      <w:r w:rsidRPr="00812C16">
        <w:rPr>
          <w:rFonts w:cs="Arial"/>
        </w:rPr>
        <w:t>Cetuximab</w:t>
      </w:r>
      <w:proofErr w:type="spellEnd"/>
      <w:r w:rsidRPr="00812C16">
        <w:rPr>
          <w:rFonts w:cs="Arial"/>
        </w:rPr>
        <w:t xml:space="preserve"> [32, 54]. Cisplatin bleibt derzeit jedoch die wichtigste Substanz [40]. Die simultane Radiochemotherapie führt zu einem verbesserten Gesamtüberleben, progressionsfreien Überleben und zu einer höheren </w:t>
      </w:r>
      <w:proofErr w:type="spellStart"/>
      <w:r w:rsidRPr="00812C16">
        <w:rPr>
          <w:rFonts w:cs="Arial"/>
        </w:rPr>
        <w:t>lokoregionären</w:t>
      </w:r>
      <w:proofErr w:type="spellEnd"/>
      <w:r w:rsidRPr="00812C16">
        <w:rPr>
          <w:rFonts w:cs="Arial"/>
        </w:rPr>
        <w:t xml:space="preserve"> Kontrollrate bei Patienten, die postoperativ einen mikro- </w:t>
      </w:r>
      <w:proofErr w:type="spellStart"/>
      <w:r w:rsidRPr="00812C16">
        <w:rPr>
          <w:rFonts w:cs="Arial"/>
        </w:rPr>
        <w:t>skopischen</w:t>
      </w:r>
      <w:proofErr w:type="spellEnd"/>
      <w:r w:rsidRPr="00812C16">
        <w:rPr>
          <w:rFonts w:cs="Arial"/>
        </w:rPr>
        <w:t xml:space="preserve"> Tumornachweis (R1) oder eine extrakapsuläre Tumorausbreitung aufweisen [55-57].</w:t>
      </w:r>
    </w:p>
    <w:p w14:paraId="300F811E" w14:textId="77777777" w:rsidR="002F01F1" w:rsidRPr="00812C16" w:rsidRDefault="002F01F1" w:rsidP="002F01F1">
      <w:pPr>
        <w:rPr>
          <w:rFonts w:cs="Arial"/>
        </w:rPr>
      </w:pPr>
      <w:r w:rsidRPr="00812C16">
        <w:rPr>
          <w:rFonts w:cs="Arial"/>
        </w:rPr>
        <w:t xml:space="preserve">Die Kombination führt allerdings auch zu höhergradigeren </w:t>
      </w:r>
      <w:proofErr w:type="spellStart"/>
      <w:r w:rsidRPr="00812C16">
        <w:rPr>
          <w:rFonts w:cs="Arial"/>
        </w:rPr>
        <w:t>Toxizitäten</w:t>
      </w:r>
      <w:proofErr w:type="spellEnd"/>
      <w:r w:rsidRPr="00812C16">
        <w:rPr>
          <w:rFonts w:cs="Arial"/>
        </w:rPr>
        <w:t xml:space="preserve"> als die alleinige Radiotherapie, weshalb es von großer Wichtigkeit ist, dass diese am durchführenden Institut auch adäquat behandelt werden können [33, 53].</w:t>
      </w:r>
    </w:p>
    <w:p w14:paraId="5DD91E6F" w14:textId="77777777" w:rsidR="002F01F1" w:rsidRPr="00812C16" w:rsidRDefault="002F01F1" w:rsidP="002F01F1">
      <w:pPr>
        <w:rPr>
          <w:rFonts w:cs="Arial"/>
          <w:i/>
          <w:iCs/>
        </w:rPr>
      </w:pPr>
      <w:r w:rsidRPr="00812C16">
        <w:rPr>
          <w:rFonts w:cs="Arial"/>
          <w:i/>
          <w:iCs/>
        </w:rPr>
        <w:t>Toxizität</w:t>
      </w:r>
    </w:p>
    <w:p w14:paraId="6D716D8D" w14:textId="77777777" w:rsidR="002F01F1" w:rsidRPr="00812C16" w:rsidRDefault="002F01F1" w:rsidP="002F01F1">
      <w:pPr>
        <w:rPr>
          <w:rFonts w:cs="Arial"/>
        </w:rPr>
      </w:pPr>
      <w:r w:rsidRPr="00812C16">
        <w:rPr>
          <w:rFonts w:cs="Arial"/>
        </w:rPr>
        <w:t xml:space="preserve">Zu den </w:t>
      </w:r>
      <w:proofErr w:type="spellStart"/>
      <w:r w:rsidRPr="00812C16">
        <w:rPr>
          <w:rFonts w:cs="Arial"/>
        </w:rPr>
        <w:t>radiogen</w:t>
      </w:r>
      <w:proofErr w:type="spellEnd"/>
      <w:r w:rsidRPr="00812C16">
        <w:rPr>
          <w:rFonts w:cs="Arial"/>
        </w:rPr>
        <w:t xml:space="preserve"> bedingten </w:t>
      </w:r>
      <w:proofErr w:type="spellStart"/>
      <w:r w:rsidRPr="00812C16">
        <w:rPr>
          <w:rFonts w:cs="Arial"/>
        </w:rPr>
        <w:t>Akuttoxizitäten</w:t>
      </w:r>
      <w:proofErr w:type="spellEnd"/>
      <w:r w:rsidRPr="00812C16">
        <w:rPr>
          <w:rFonts w:cs="Arial"/>
        </w:rPr>
        <w:t xml:space="preserve"> zählen Mukositis, Dermatitis und Dysphagie. Als </w:t>
      </w:r>
      <w:proofErr w:type="spellStart"/>
      <w:r w:rsidRPr="00812C16">
        <w:rPr>
          <w:rFonts w:cs="Arial"/>
        </w:rPr>
        <w:t>Spättoxizitäten</w:t>
      </w:r>
      <w:proofErr w:type="spellEnd"/>
      <w:r w:rsidRPr="00812C16">
        <w:rPr>
          <w:rFonts w:cs="Arial"/>
        </w:rPr>
        <w:t xml:space="preserve"> sind insbesondere Xerostomie und der damit einhergehende Kariesbefall zu nennen. Darüber </w:t>
      </w:r>
      <w:proofErr w:type="gramStart"/>
      <w:r w:rsidRPr="00812C16">
        <w:rPr>
          <w:rFonts w:cs="Arial"/>
        </w:rPr>
        <w:t>hinaus treten</w:t>
      </w:r>
      <w:proofErr w:type="gramEnd"/>
      <w:r w:rsidRPr="00812C16">
        <w:rPr>
          <w:rFonts w:cs="Arial"/>
        </w:rPr>
        <w:t xml:space="preserve"> als mögliche </w:t>
      </w:r>
      <w:proofErr w:type="spellStart"/>
      <w:r w:rsidRPr="00812C16">
        <w:rPr>
          <w:rFonts w:cs="Arial"/>
        </w:rPr>
        <w:t>Spättoxizitäten</w:t>
      </w:r>
      <w:proofErr w:type="spellEnd"/>
      <w:r w:rsidRPr="00812C16">
        <w:rPr>
          <w:rFonts w:cs="Arial"/>
        </w:rPr>
        <w:t xml:space="preserve"> u.a. auf: Dysphagie, Geschmacksstörungen, Fibrosierungen der Haut und der Muskulatur, Trismus und Ödeme. Die Dysphagie ist mit einer deutlichen Beeinträchtigung der Lebensqualität assoziiert, insbesondere in den ersten 18 Monaten nach Beendigung der Strahlentherapie, in vielen Fällen auch lebenslang [58].</w:t>
      </w:r>
    </w:p>
    <w:p w14:paraId="3384A346" w14:textId="77777777" w:rsidR="002F01F1" w:rsidRPr="00812C16" w:rsidRDefault="002F01F1" w:rsidP="002F01F1">
      <w:pPr>
        <w:rPr>
          <w:rFonts w:cs="Arial"/>
        </w:rPr>
      </w:pPr>
      <w:r w:rsidRPr="00812C16">
        <w:rPr>
          <w:rFonts w:cs="Arial"/>
        </w:rPr>
        <w:t>Die moderne Technologie der intensitätsmodulierten Radiotherapie (IMRT) ermöglicht eine verbesserte Dosisverteilung mit schärferem Dosisgradienten: Der Tumor bzw. die Zielvolumenregion erhält eine höhere Dosis, während das umliegende Gewebe, beispielsweise die Parotis, geschont werden kann. So lassen sich Nebenwirkungen verringern. [37, 58]</w:t>
      </w:r>
    </w:p>
    <w:p w14:paraId="02788163" w14:textId="77777777" w:rsidR="002F01F1" w:rsidRPr="00812C16" w:rsidRDefault="002F01F1" w:rsidP="002F01F1">
      <w:pPr>
        <w:rPr>
          <w:rFonts w:cs="Arial"/>
        </w:rPr>
      </w:pPr>
    </w:p>
    <w:p w14:paraId="640854FB" w14:textId="77777777" w:rsidR="002F01F1" w:rsidRPr="00812C16" w:rsidRDefault="002F01F1" w:rsidP="005547D3">
      <w:pPr>
        <w:pStyle w:val="berschrift3"/>
        <w:rPr>
          <w:rFonts w:cs="Arial"/>
        </w:rPr>
      </w:pPr>
      <w:bookmarkStart w:id="22" w:name="_Toc158006518"/>
      <w:r w:rsidRPr="00812C16">
        <w:lastRenderedPageBreak/>
        <w:t>Prognose</w:t>
      </w:r>
      <w:bookmarkEnd w:id="22"/>
    </w:p>
    <w:p w14:paraId="2EB10CDC" w14:textId="77777777" w:rsidR="002F01F1" w:rsidRPr="00812C16" w:rsidRDefault="002F01F1" w:rsidP="002F01F1">
      <w:pPr>
        <w:rPr>
          <w:rFonts w:cs="Arial"/>
        </w:rPr>
      </w:pPr>
      <w:r w:rsidRPr="00812C16">
        <w:rPr>
          <w:rFonts w:cs="Arial"/>
        </w:rPr>
        <w:t xml:space="preserve">Patienten mit der Diagnose eines Karzinoms des Kopf-Hals-Bereiches haben in frühen Stadien eine 5-JÜR von 75%, in späteren Stadien allerdings nur noch von 35% [22]. Im Stadium I haben Karzinome der Glottis (70,6%) gefolgt von denen der Lippe (68,7%) die höhere absolute 5-JÜR, diejenigen des Hypopharynx (45,2%) und die der </w:t>
      </w:r>
      <w:proofErr w:type="spellStart"/>
      <w:r w:rsidRPr="00812C16">
        <w:rPr>
          <w:rFonts w:cs="Arial"/>
        </w:rPr>
        <w:t>Supraglottis</w:t>
      </w:r>
      <w:proofErr w:type="spellEnd"/>
      <w:r w:rsidRPr="00812C16">
        <w:rPr>
          <w:rFonts w:cs="Arial"/>
        </w:rPr>
        <w:t xml:space="preserve"> (50,4%) die niedrigste.</w:t>
      </w:r>
    </w:p>
    <w:p w14:paraId="59471F13" w14:textId="77777777" w:rsidR="002F01F1" w:rsidRPr="00812C16" w:rsidRDefault="002F01F1" w:rsidP="002F01F1">
      <w:pPr>
        <w:rPr>
          <w:rFonts w:cs="Arial"/>
        </w:rPr>
      </w:pPr>
      <w:r w:rsidRPr="00812C16">
        <w:rPr>
          <w:rFonts w:cs="Arial"/>
        </w:rPr>
        <w:t xml:space="preserve">Die Glottis- (36,3%) und Lippenkarzinome (38,7%) sind auch im Stadium IV diejenigen mit den höchsten Überlebensraten, die Karzinome des Hypopharynx (20,3%) und der Mundhöhle (26,5%) haben die schlechteste Prognose. Karzinome, die wie das </w:t>
      </w:r>
      <w:proofErr w:type="spellStart"/>
      <w:r w:rsidRPr="00812C16">
        <w:rPr>
          <w:rFonts w:cs="Arial"/>
        </w:rPr>
        <w:t>Glottiskarzinom</w:t>
      </w:r>
      <w:proofErr w:type="spellEnd"/>
      <w:r w:rsidRPr="00812C16">
        <w:rPr>
          <w:rFonts w:cs="Arial"/>
        </w:rPr>
        <w:t xml:space="preserve"> oder das Lippenkarzinom früh auffällig werden, weisen ein deutlich besseres Gesamtüberleben auf, als solche, die keine Frühsymptome verursachen und eine frühe Metastasierung aufzeigen, wie beispielsweise das </w:t>
      </w:r>
      <w:proofErr w:type="spellStart"/>
      <w:r w:rsidRPr="00812C16">
        <w:rPr>
          <w:rFonts w:cs="Arial"/>
        </w:rPr>
        <w:t>Hypopharynxkarzinom</w:t>
      </w:r>
      <w:proofErr w:type="spellEnd"/>
      <w:r w:rsidRPr="00812C16">
        <w:rPr>
          <w:rFonts w:cs="Arial"/>
        </w:rPr>
        <w:t>.</w:t>
      </w:r>
    </w:p>
    <w:p w14:paraId="187FFCDD" w14:textId="77777777" w:rsidR="002F01F1" w:rsidRPr="00812C16" w:rsidRDefault="002F01F1" w:rsidP="002F01F1">
      <w:pPr>
        <w:rPr>
          <w:rFonts w:cs="Arial"/>
        </w:rPr>
      </w:pPr>
      <w:r w:rsidRPr="00812C16">
        <w:rPr>
          <w:rFonts w:cs="Arial"/>
        </w:rPr>
        <w:t>Als prognostische Faktoren, die das Gesamtüberleben verschlechtern, gelten die Risikofaktoren Tabak und Alkohol, die Lymphknotengröße, die Tumorgröße und die extrakapsuläre Ausbreitung.</w:t>
      </w:r>
    </w:p>
    <w:p w14:paraId="01145F6A" w14:textId="77777777" w:rsidR="002F01F1" w:rsidRPr="00812C16" w:rsidRDefault="002F01F1" w:rsidP="002F01F1">
      <w:pPr>
        <w:rPr>
          <w:rFonts w:cs="Arial"/>
        </w:rPr>
      </w:pPr>
      <w:r w:rsidRPr="00812C16">
        <w:rPr>
          <w:rFonts w:cs="Arial"/>
        </w:rPr>
        <w:t>Die aufgrund einer Infektion mit dem Humanen Papillomavirus entstandenen Malignome zeigen ein besseres Gesamtüberleben [23, 59-61]</w:t>
      </w:r>
    </w:p>
    <w:p w14:paraId="059D10AC" w14:textId="77777777" w:rsidR="002F01F1" w:rsidRPr="00812C16" w:rsidRDefault="002F01F1" w:rsidP="002F01F1">
      <w:pPr>
        <w:spacing w:after="0"/>
        <w:jc w:val="left"/>
        <w:rPr>
          <w:rFonts w:cs="Arial"/>
          <w:lang w:eastAsia="de-DE"/>
        </w:rPr>
      </w:pPr>
      <w:r w:rsidRPr="00812C16">
        <w:rPr>
          <w:rFonts w:cs="Arial"/>
          <w:lang w:eastAsia="de-DE"/>
        </w:rPr>
        <w:br w:type="page"/>
      </w:r>
    </w:p>
    <w:p w14:paraId="75953B92" w14:textId="77777777" w:rsidR="002F01F1" w:rsidRPr="00812C16" w:rsidRDefault="002F01F1" w:rsidP="002F01F1">
      <w:pPr>
        <w:spacing w:after="0"/>
        <w:jc w:val="left"/>
        <w:rPr>
          <w:rFonts w:cs="Arial"/>
          <w:lang w:eastAsia="de-DE"/>
        </w:rPr>
      </w:pPr>
      <w:r w:rsidRPr="00812C16">
        <w:rPr>
          <w:rFonts w:cs="Arial"/>
          <w:lang w:eastAsia="de-DE"/>
        </w:rPr>
        <w:lastRenderedPageBreak/>
        <w:br w:type="page"/>
      </w:r>
    </w:p>
    <w:p w14:paraId="791B585D" w14:textId="77777777" w:rsidR="002F01F1" w:rsidRPr="00812C16" w:rsidRDefault="002F01F1" w:rsidP="002F01F1">
      <w:pPr>
        <w:spacing w:after="0"/>
        <w:jc w:val="left"/>
        <w:rPr>
          <w:rFonts w:cs="Arial"/>
          <w:lang w:eastAsia="de-DE"/>
        </w:rPr>
      </w:pPr>
      <w:r w:rsidRPr="00812C16">
        <w:rPr>
          <w:rFonts w:cs="Arial"/>
          <w:lang w:eastAsia="de-DE"/>
        </w:rPr>
        <w:lastRenderedPageBreak/>
        <w:br w:type="page"/>
      </w:r>
    </w:p>
    <w:p w14:paraId="2919E032" w14:textId="77777777" w:rsidR="00BB7803" w:rsidRPr="00812C16" w:rsidRDefault="00BB7803" w:rsidP="00BB7803">
      <w:pPr>
        <w:rPr>
          <w:rFonts w:cs="Arial"/>
          <w:lang w:eastAsia="de-DE"/>
        </w:rPr>
      </w:pPr>
      <w:r w:rsidRPr="00812C16">
        <w:rPr>
          <w:rFonts w:cs="Arial"/>
          <w:lang w:eastAsia="de-DE"/>
        </w:rPr>
        <w:lastRenderedPageBreak/>
        <w:t xml:space="preserve">2.1.1 </w:t>
      </w:r>
    </w:p>
    <w:p w14:paraId="60BAB41B" w14:textId="4F7C01A7" w:rsidR="00A22F14" w:rsidRPr="00812C16" w:rsidRDefault="00A22F14" w:rsidP="00DC2D17">
      <w:pPr>
        <w:rPr>
          <w:rFonts w:cs="Arial"/>
        </w:rPr>
      </w:pPr>
      <w:r w:rsidRPr="00812C16">
        <w:rPr>
          <w:rFonts w:cs="Arial"/>
        </w:rPr>
        <w:t>Etwa 90 % aller maligen Tumoren im Kopf-Hals-Bereich sind Plattenepithel</w:t>
      </w:r>
      <w:r w:rsidR="00E85A65" w:rsidRPr="00812C16">
        <w:rPr>
          <w:rFonts w:cs="Arial"/>
        </w:rPr>
        <w:t>-</w:t>
      </w:r>
      <w:r w:rsidRPr="00812C16">
        <w:rPr>
          <w:rFonts w:cs="Arial"/>
        </w:rPr>
        <w:t xml:space="preserve">karzinome, welche im oberen Aerodigestivtrakt (vor allem in </w:t>
      </w:r>
      <w:proofErr w:type="spellStart"/>
      <w:r w:rsidRPr="00812C16">
        <w:rPr>
          <w:rFonts w:cs="Arial"/>
        </w:rPr>
        <w:t>Mundhöhle</w:t>
      </w:r>
      <w:proofErr w:type="spellEnd"/>
      <w:r w:rsidRPr="00812C16">
        <w:rPr>
          <w:rFonts w:cs="Arial"/>
        </w:rPr>
        <w:t xml:space="preserve">, Oro-, Hypopharynx und Larynx) lokalisiert sind </w:t>
      </w:r>
      <w:r w:rsidR="000112D9">
        <w:rPr>
          <w:rFonts w:cs="Arial"/>
        </w:rPr>
        <w:fldChar w:fldCharType="begin">
          <w:fldData xml:space="preserve">PEVuZE5vdGU+PENpdGU+PEF1dGhvcj5UaG9tcHNvbjwvQXV0aG9yPjxZZWFyPjIwMDY8L1llYXI+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69" w:tooltip="Thompson, 2006 #697" w:history="1">
        <w:r w:rsidR="009D0F7A" w:rsidRPr="009D0F7A">
          <w:rPr>
            <w:rStyle w:val="Hyperlink"/>
          </w:rPr>
          <w:t>Thompson, 2006</w:t>
        </w:r>
      </w:hyperlink>
      <w:r w:rsidR="000112D9">
        <w:rPr>
          <w:rFonts w:cs="Arial"/>
          <w:noProof/>
        </w:rPr>
        <w:t>)</w:t>
      </w:r>
      <w:r w:rsidR="000112D9">
        <w:rPr>
          <w:rFonts w:cs="Arial"/>
        </w:rPr>
        <w:fldChar w:fldCharType="end"/>
      </w:r>
      <w:r w:rsidRPr="00812C16">
        <w:rPr>
          <w:rFonts w:cs="Arial"/>
        </w:rPr>
        <w:t xml:space="preserve">. </w:t>
      </w:r>
      <w:proofErr w:type="spellStart"/>
      <w:r w:rsidRPr="00812C16">
        <w:rPr>
          <w:rFonts w:cs="Arial"/>
        </w:rPr>
        <w:t>Für</w:t>
      </w:r>
      <w:proofErr w:type="spellEnd"/>
      <w:r w:rsidRPr="00812C16">
        <w:rPr>
          <w:rFonts w:cs="Arial"/>
        </w:rPr>
        <w:t xml:space="preserve"> die betroffenen Patienten hat sich die Prognose </w:t>
      </w:r>
      <w:proofErr w:type="spellStart"/>
      <w:r w:rsidRPr="00812C16">
        <w:rPr>
          <w:rFonts w:cs="Arial"/>
        </w:rPr>
        <w:t>über</w:t>
      </w:r>
      <w:proofErr w:type="spellEnd"/>
      <w:r w:rsidRPr="00812C16">
        <w:rPr>
          <w:rFonts w:cs="Arial"/>
        </w:rPr>
        <w:t xml:space="preserve"> die letzten drei Jahrzehnte durch die Weiterentwicklung der Therapieoptionen und teils durch bessere Nachsorge zwar verbessert, jedoch treten bei einer substanziellen Anzahl von Patienten immer noch Lokalrezidive auf. Andererseits werden manche Patienten durch die derzeit etablierte Standardtherapie wahrscheinlich </w:t>
      </w:r>
      <w:proofErr w:type="spellStart"/>
      <w:r w:rsidRPr="00812C16">
        <w:rPr>
          <w:rFonts w:cs="Arial"/>
        </w:rPr>
        <w:t>über-behandelt</w:t>
      </w:r>
      <w:proofErr w:type="spellEnd"/>
      <w:r w:rsidRPr="00812C16">
        <w:rPr>
          <w:rFonts w:cs="Arial"/>
        </w:rPr>
        <w:t xml:space="preserve">. Deshalb ist es wichtig, geeignete klinische Parameter und biologische Eigenschaften des Tumorgewebes zur besseren </w:t>
      </w:r>
      <w:proofErr w:type="spellStart"/>
      <w:r w:rsidRPr="00812C16">
        <w:rPr>
          <w:rFonts w:cs="Arial"/>
        </w:rPr>
        <w:t>Prognoseeinschätzung</w:t>
      </w:r>
      <w:proofErr w:type="spellEnd"/>
      <w:r w:rsidRPr="00812C16">
        <w:rPr>
          <w:rFonts w:cs="Arial"/>
        </w:rPr>
        <w:t xml:space="preserve"> und damit zur individuellen Therapieoptimierung zu finden. Bisher liefern klinische Parameter wie </w:t>
      </w:r>
      <w:proofErr w:type="spellStart"/>
      <w:r w:rsidRPr="00812C16">
        <w:rPr>
          <w:rFonts w:cs="Arial"/>
        </w:rPr>
        <w:t>Staging</w:t>
      </w:r>
      <w:proofErr w:type="spellEnd"/>
      <w:r w:rsidRPr="00812C16">
        <w:rPr>
          <w:rFonts w:cs="Arial"/>
        </w:rPr>
        <w:t xml:space="preserve">, </w:t>
      </w:r>
      <w:proofErr w:type="spellStart"/>
      <w:r w:rsidRPr="00812C16">
        <w:rPr>
          <w:rFonts w:cs="Arial"/>
        </w:rPr>
        <w:t>Grading</w:t>
      </w:r>
      <w:proofErr w:type="spellEnd"/>
      <w:r w:rsidRPr="00812C16">
        <w:rPr>
          <w:rFonts w:cs="Arial"/>
        </w:rPr>
        <w:t xml:space="preserve"> und Tumorlokalisation die wichtigsten Informationen </w:t>
      </w:r>
      <w:proofErr w:type="spellStart"/>
      <w:r w:rsidRPr="00812C16">
        <w:rPr>
          <w:rFonts w:cs="Arial"/>
        </w:rPr>
        <w:t>für</w:t>
      </w:r>
      <w:proofErr w:type="spellEnd"/>
      <w:r w:rsidRPr="00812C16">
        <w:rPr>
          <w:rFonts w:cs="Arial"/>
        </w:rPr>
        <w:t xml:space="preserve"> die </w:t>
      </w:r>
      <w:proofErr w:type="spellStart"/>
      <w:r w:rsidRPr="00812C16">
        <w:rPr>
          <w:rFonts w:cs="Arial"/>
        </w:rPr>
        <w:t>Prognoseschätzung</w:t>
      </w:r>
      <w:proofErr w:type="spellEnd"/>
      <w:r w:rsidRPr="00812C16">
        <w:rPr>
          <w:rFonts w:cs="Arial"/>
        </w:rPr>
        <w:t xml:space="preserve"> und dienen als Rationale </w:t>
      </w:r>
      <w:proofErr w:type="spellStart"/>
      <w:r w:rsidRPr="00812C16">
        <w:rPr>
          <w:rFonts w:cs="Arial"/>
        </w:rPr>
        <w:t>für</w:t>
      </w:r>
      <w:proofErr w:type="spellEnd"/>
      <w:r w:rsidRPr="00812C16">
        <w:rPr>
          <w:rFonts w:cs="Arial"/>
        </w:rPr>
        <w:t xml:space="preserve"> die geplante Therapie. Allerdings lassen sich diese Parameter nur schwer auf den individuellen Patienten </w:t>
      </w:r>
      <w:proofErr w:type="spellStart"/>
      <w:r w:rsidRPr="00812C16">
        <w:rPr>
          <w:rFonts w:cs="Arial"/>
        </w:rPr>
        <w:t>übertragen</w:t>
      </w:r>
      <w:proofErr w:type="spellEnd"/>
      <w:r w:rsidRPr="00812C16">
        <w:rPr>
          <w:rFonts w:cs="Arial"/>
        </w:rPr>
        <w:t xml:space="preserve">. So beobachten Kliniker nicht selten, dass zwei Patienten mit der gleichen </w:t>
      </w:r>
      <w:proofErr w:type="spellStart"/>
      <w:r w:rsidRPr="00812C16">
        <w:rPr>
          <w:rFonts w:cs="Arial"/>
        </w:rPr>
        <w:t>Tumorentität</w:t>
      </w:r>
      <w:proofErr w:type="spellEnd"/>
      <w:r w:rsidRPr="00812C16">
        <w:rPr>
          <w:rFonts w:cs="Arial"/>
        </w:rPr>
        <w:t xml:space="preserve"> und analogem </w:t>
      </w:r>
      <w:proofErr w:type="spellStart"/>
      <w:r w:rsidRPr="00812C16">
        <w:rPr>
          <w:rFonts w:cs="Arial"/>
        </w:rPr>
        <w:t>Staging</w:t>
      </w:r>
      <w:proofErr w:type="spellEnd"/>
      <w:r w:rsidRPr="00812C16">
        <w:rPr>
          <w:rFonts w:cs="Arial"/>
        </w:rPr>
        <w:t xml:space="preserve"> und </w:t>
      </w:r>
      <w:proofErr w:type="spellStart"/>
      <w:r w:rsidRPr="00812C16">
        <w:rPr>
          <w:rFonts w:cs="Arial"/>
        </w:rPr>
        <w:t>Grading</w:t>
      </w:r>
      <w:proofErr w:type="spellEnd"/>
      <w:r w:rsidRPr="00812C16">
        <w:rPr>
          <w:rFonts w:cs="Arial"/>
        </w:rPr>
        <w:t xml:space="preserve"> einen sehr unterschiedlichen klinischen Verlauf </w:t>
      </w:r>
      <w:proofErr w:type="spellStart"/>
      <w:r w:rsidRPr="00812C16">
        <w:rPr>
          <w:rFonts w:cs="Arial"/>
        </w:rPr>
        <w:t>bezüglich</w:t>
      </w:r>
      <w:proofErr w:type="spellEnd"/>
      <w:r w:rsidRPr="00812C16">
        <w:rPr>
          <w:rFonts w:cs="Arial"/>
        </w:rPr>
        <w:t xml:space="preserve"> </w:t>
      </w:r>
      <w:proofErr w:type="spellStart"/>
      <w:r w:rsidRPr="00812C16">
        <w:rPr>
          <w:rFonts w:cs="Arial"/>
        </w:rPr>
        <w:t>Überleben</w:t>
      </w:r>
      <w:proofErr w:type="spellEnd"/>
      <w:r w:rsidRPr="00812C16">
        <w:rPr>
          <w:rFonts w:cs="Arial"/>
        </w:rPr>
        <w:t>, Metastasierung und Ansprechen auf die Standardtherapie zeigen</w:t>
      </w:r>
      <w:r w:rsidR="000112D9">
        <w:rPr>
          <w:rFonts w:cs="Arial"/>
        </w:rPr>
        <w:fldChar w:fldCharType="begin">
          <w:fldData xml:space="preserve">PEVuZE5vdGU+PENpdGU+PEF1dGhvcj5CYXVtYW5uPC9BdXRob3I+PFllYXI+MjAxMDwvWWVhcj48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8" w:tooltip="Baumann, 2010 #430" w:history="1">
        <w:r w:rsidR="009D0F7A" w:rsidRPr="009D0F7A">
          <w:rPr>
            <w:rStyle w:val="Hyperlink"/>
          </w:rPr>
          <w:t>Baumann &amp; Krause, 2010</w:t>
        </w:r>
      </w:hyperlink>
      <w:r w:rsidR="000112D9">
        <w:rPr>
          <w:rFonts w:cs="Arial"/>
          <w:noProof/>
        </w:rPr>
        <w:t>)</w:t>
      </w:r>
      <w:r w:rsidR="000112D9">
        <w:rPr>
          <w:rFonts w:cs="Arial"/>
        </w:rPr>
        <w:fldChar w:fldCharType="end"/>
      </w:r>
      <w:r w:rsidRPr="00812C16">
        <w:rPr>
          <w:rFonts w:cs="Arial"/>
        </w:rPr>
        <w:t xml:space="preserve">. </w:t>
      </w:r>
    </w:p>
    <w:p w14:paraId="759C56C2" w14:textId="5EAC4AD2" w:rsidR="00F94146" w:rsidRPr="00812C16" w:rsidRDefault="00A22F14" w:rsidP="005E68BA">
      <w:pPr>
        <w:rPr>
          <w:rFonts w:cs="Arial"/>
        </w:rPr>
      </w:pPr>
      <w:r w:rsidRPr="00812C16">
        <w:rPr>
          <w:rFonts w:cs="Arial"/>
        </w:rPr>
        <w:t xml:space="preserve">Es ist bekannt, dass Tumorstammzellen bei der Entwicklung von Resistenzen </w:t>
      </w:r>
      <w:proofErr w:type="spellStart"/>
      <w:r w:rsidRPr="00812C16">
        <w:rPr>
          <w:rFonts w:cs="Arial"/>
        </w:rPr>
        <w:t>gegenüber</w:t>
      </w:r>
      <w:proofErr w:type="spellEnd"/>
      <w:r w:rsidRPr="00812C16">
        <w:rPr>
          <w:rFonts w:cs="Arial"/>
        </w:rPr>
        <w:t xml:space="preserve"> Strahlen-/Chemotherapie eine entscheidende Rolle spielen </w:t>
      </w:r>
      <w:proofErr w:type="spellStart"/>
      <w:r w:rsidRPr="00812C16">
        <w:rPr>
          <w:rFonts w:cs="Arial"/>
        </w:rPr>
        <w:t>können</w:t>
      </w:r>
      <w:proofErr w:type="spellEnd"/>
      <w:r w:rsidRPr="00812C16">
        <w:rPr>
          <w:rFonts w:cs="Arial"/>
        </w:rPr>
        <w:t xml:space="preserve">. Diese Zellpopulationen besitzen die </w:t>
      </w:r>
      <w:proofErr w:type="spellStart"/>
      <w:r w:rsidRPr="00812C16">
        <w:rPr>
          <w:rFonts w:cs="Arial"/>
        </w:rPr>
        <w:t>Fähigkeit</w:t>
      </w:r>
      <w:proofErr w:type="spellEnd"/>
      <w:r w:rsidRPr="00812C16">
        <w:rPr>
          <w:rFonts w:cs="Arial"/>
        </w:rPr>
        <w:t xml:space="preserve"> zur Initiierung von Tumoren und Metastasen und stellen somit potentielle Ansatzpunkte </w:t>
      </w:r>
      <w:proofErr w:type="spellStart"/>
      <w:r w:rsidRPr="00812C16">
        <w:rPr>
          <w:rFonts w:cs="Arial"/>
        </w:rPr>
        <w:t>für</w:t>
      </w:r>
      <w:proofErr w:type="spellEnd"/>
      <w:r w:rsidRPr="00812C16">
        <w:rPr>
          <w:rFonts w:cs="Arial"/>
        </w:rPr>
        <w:t xml:space="preserve"> innovative Krebstherapien dar </w:t>
      </w:r>
      <w:r w:rsidR="000112D9">
        <w:rPr>
          <w:rFonts w:cs="Arial"/>
        </w:rPr>
        <w:fldChar w:fldCharType="begin">
          <w:fldData xml:space="preserve">PEVuZE5vdGU+PENpdGU+PEF1dGhvcj5LcmF1c2U8L0F1dGhvcj48WWVhcj4yMDExPC9ZZWFyPjxS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46" w:tooltip="Krause, 2011 #826" w:history="1">
        <w:r w:rsidR="009D0F7A" w:rsidRPr="009D0F7A">
          <w:rPr>
            <w:rStyle w:val="Hyperlink"/>
          </w:rPr>
          <w:t>Krause et al., 2011</w:t>
        </w:r>
      </w:hyperlink>
      <w:r w:rsidR="000112D9">
        <w:rPr>
          <w:rFonts w:cs="Arial"/>
          <w:noProof/>
        </w:rPr>
        <w:t>)</w:t>
      </w:r>
      <w:r w:rsidR="000112D9">
        <w:rPr>
          <w:rFonts w:cs="Arial"/>
        </w:rPr>
        <w:fldChar w:fldCharType="end"/>
      </w:r>
      <w:r w:rsidRPr="00812C16">
        <w:rPr>
          <w:rFonts w:cs="Arial"/>
        </w:rPr>
        <w:t xml:space="preserve">. Eine Studie von de Jong et al. konnte eine signifikante Korrelation der Expression des </w:t>
      </w:r>
      <w:r w:rsidR="00991A22" w:rsidRPr="00812C16">
        <w:rPr>
          <w:rFonts w:cs="Arial"/>
        </w:rPr>
        <w:t>potenziellen</w:t>
      </w:r>
      <w:r w:rsidRPr="00812C16">
        <w:rPr>
          <w:rFonts w:cs="Arial"/>
        </w:rPr>
        <w:t xml:space="preserve"> Tumorstammzellmarkers CD44 mit dem Auftreten von Lokalrezidiven in </w:t>
      </w:r>
      <w:r w:rsidR="00991A22" w:rsidRPr="00812C16">
        <w:rPr>
          <w:rFonts w:cs="Arial"/>
        </w:rPr>
        <w:t>primär</w:t>
      </w:r>
      <w:r w:rsidRPr="00812C16">
        <w:rPr>
          <w:rFonts w:cs="Arial"/>
        </w:rPr>
        <w:t xml:space="preserve"> (ohne vorherige Operation) bestrahlten Larynxkarzinomen zeigen </w:t>
      </w:r>
      <w:r w:rsidR="000112D9">
        <w:rPr>
          <w:rFonts w:cs="Arial"/>
        </w:rPr>
        <w:fldChar w:fldCharType="begin">
          <w:fldData xml:space="preserve">PEVuZE5vdGU+PENpdGU+PEF1dGhvcj5kZSBKb25nPC9BdXRob3I+PFllYXI+MjAxMDwvWWVhcj48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27" w:tooltip="de Jong, 2010 #766" w:history="1">
        <w:r w:rsidR="009D0F7A" w:rsidRPr="009D0F7A">
          <w:rPr>
            <w:rStyle w:val="Hyperlink"/>
          </w:rPr>
          <w:t>de Jong et al., 2010</w:t>
        </w:r>
      </w:hyperlink>
      <w:r w:rsidR="000112D9">
        <w:rPr>
          <w:rFonts w:cs="Arial"/>
          <w:noProof/>
        </w:rPr>
        <w:t>)</w:t>
      </w:r>
      <w:r w:rsidR="000112D9">
        <w:rPr>
          <w:rFonts w:cs="Arial"/>
        </w:rPr>
        <w:fldChar w:fldCharType="end"/>
      </w:r>
      <w:r w:rsidRPr="00812C16">
        <w:rPr>
          <w:rFonts w:cs="Arial"/>
        </w:rPr>
        <w:t xml:space="preserve">. </w:t>
      </w:r>
    </w:p>
    <w:p w14:paraId="09B94059" w14:textId="77777777" w:rsidR="00CC6056" w:rsidRPr="00812C16" w:rsidRDefault="00CC6056" w:rsidP="005E68BA">
      <w:pPr>
        <w:rPr>
          <w:rFonts w:cs="Arial"/>
        </w:rPr>
      </w:pPr>
      <w:r w:rsidRPr="00812C16">
        <w:rPr>
          <w:rFonts w:cs="Arial"/>
        </w:rPr>
        <w:t xml:space="preserve">2.1.3 Therapie </w:t>
      </w:r>
    </w:p>
    <w:p w14:paraId="22E65127" w14:textId="77777777" w:rsidR="00CC6056" w:rsidRPr="00812C16" w:rsidRDefault="00CC6056" w:rsidP="005E68BA">
      <w:pPr>
        <w:rPr>
          <w:rFonts w:cs="Arial"/>
        </w:rPr>
      </w:pPr>
      <w:r w:rsidRPr="00812C16">
        <w:rPr>
          <w:rFonts w:cs="Arial"/>
        </w:rPr>
        <w:t xml:space="preserve">Chirurgie </w:t>
      </w:r>
    </w:p>
    <w:p w14:paraId="78C40F32" w14:textId="77777777" w:rsidR="00CC6056" w:rsidRPr="00812C16" w:rsidRDefault="00CC6056" w:rsidP="005E68BA">
      <w:pPr>
        <w:rPr>
          <w:rFonts w:cs="Arial"/>
        </w:rPr>
      </w:pPr>
      <w:r w:rsidRPr="00812C16">
        <w:rPr>
          <w:rFonts w:cs="Arial"/>
        </w:rPr>
        <w:t xml:space="preserve">Chemotherapie </w:t>
      </w:r>
    </w:p>
    <w:p w14:paraId="1487DCB0" w14:textId="77777777" w:rsidR="00CC6056" w:rsidRPr="00812C16" w:rsidRDefault="00CC6056" w:rsidP="005E68BA">
      <w:pPr>
        <w:rPr>
          <w:rFonts w:cs="Arial"/>
        </w:rPr>
      </w:pPr>
      <w:r w:rsidRPr="00812C16">
        <w:rPr>
          <w:rFonts w:cs="Arial"/>
        </w:rPr>
        <w:t xml:space="preserve">Strahlentherapie </w:t>
      </w:r>
    </w:p>
    <w:p w14:paraId="3B2A1897" w14:textId="77777777" w:rsidR="00013ED6" w:rsidRPr="00812C16" w:rsidRDefault="00CC6056" w:rsidP="005E68BA">
      <w:pPr>
        <w:rPr>
          <w:rFonts w:cs="Arial"/>
        </w:rPr>
      </w:pPr>
      <w:r w:rsidRPr="00812C16">
        <w:rPr>
          <w:rFonts w:cs="Arial"/>
        </w:rPr>
        <w:t xml:space="preserve">Die Strahlentherapie kann sowohl in kurativer als auch in </w:t>
      </w:r>
      <w:r w:rsidR="00A11DDD" w:rsidRPr="00812C16">
        <w:rPr>
          <w:rFonts w:cs="Arial"/>
        </w:rPr>
        <w:t>palliativer</w:t>
      </w:r>
      <w:r w:rsidRPr="00812C16">
        <w:rPr>
          <w:rFonts w:cs="Arial"/>
        </w:rPr>
        <w:t xml:space="preserve"> Intension zur Behandlung von primären</w:t>
      </w:r>
      <w:r w:rsidR="00A11DDD" w:rsidRPr="00812C16">
        <w:rPr>
          <w:rFonts w:cs="Arial"/>
        </w:rPr>
        <w:t xml:space="preserve">, rezidivierten oder metastasierten Kopf-Hals-Tumoren </w:t>
      </w:r>
      <w:r w:rsidR="00A11DDD" w:rsidRPr="00812C16">
        <w:rPr>
          <w:rFonts w:cs="Arial"/>
        </w:rPr>
        <w:lastRenderedPageBreak/>
        <w:t xml:space="preserve">eingesetzt werden. </w:t>
      </w:r>
      <w:r w:rsidR="00013ED6" w:rsidRPr="00812C16">
        <w:rPr>
          <w:rFonts w:cs="Arial"/>
        </w:rPr>
        <w:t>In</w:t>
      </w:r>
      <w:r w:rsidR="00A11DDD" w:rsidRPr="00812C16">
        <w:rPr>
          <w:rFonts w:cs="Arial"/>
        </w:rPr>
        <w:t xml:space="preserve"> den frühen Tumorstadien </w:t>
      </w:r>
      <w:r w:rsidR="00013ED6" w:rsidRPr="00812C16">
        <w:rPr>
          <w:rFonts w:cs="Arial"/>
        </w:rPr>
        <w:t>(T1</w:t>
      </w:r>
      <w:r w:rsidR="00A11DDD" w:rsidRPr="00812C16">
        <w:rPr>
          <w:rFonts w:cs="Arial"/>
        </w:rPr>
        <w:t xml:space="preserve">-2 </w:t>
      </w:r>
      <w:r w:rsidR="00013ED6" w:rsidRPr="00812C16">
        <w:rPr>
          <w:rFonts w:cs="Arial"/>
        </w:rPr>
        <w:t>N</w:t>
      </w:r>
      <w:r w:rsidR="00A11DDD" w:rsidRPr="00812C16">
        <w:rPr>
          <w:rFonts w:cs="Arial"/>
        </w:rPr>
        <w:t xml:space="preserve">0 </w:t>
      </w:r>
      <w:r w:rsidR="00013ED6" w:rsidRPr="00812C16">
        <w:rPr>
          <w:rFonts w:cs="Arial"/>
        </w:rPr>
        <w:t>M</w:t>
      </w:r>
      <w:r w:rsidR="00A11DDD" w:rsidRPr="00812C16">
        <w:rPr>
          <w:rFonts w:cs="Arial"/>
        </w:rPr>
        <w:t>0</w:t>
      </w:r>
      <w:r w:rsidR="00013ED6" w:rsidRPr="00812C16">
        <w:rPr>
          <w:rFonts w:cs="Arial"/>
        </w:rPr>
        <w:t>)</w:t>
      </w:r>
      <w:r w:rsidR="00A11DDD" w:rsidRPr="00812C16">
        <w:rPr>
          <w:rFonts w:cs="Arial"/>
        </w:rPr>
        <w:t xml:space="preserve"> bietet </w:t>
      </w:r>
      <w:r w:rsidR="00013ED6" w:rsidRPr="00812C16">
        <w:rPr>
          <w:rFonts w:cs="Arial"/>
        </w:rPr>
        <w:t>d</w:t>
      </w:r>
      <w:r w:rsidR="00A11DDD" w:rsidRPr="00812C16">
        <w:rPr>
          <w:rFonts w:cs="Arial"/>
        </w:rPr>
        <w:t>ie Strahlentherapie eine realistische Chance auf Heilung</w:t>
      </w:r>
      <w:r w:rsidR="00013ED6" w:rsidRPr="00812C16">
        <w:rPr>
          <w:rFonts w:cs="Arial"/>
        </w:rPr>
        <w:t>,</w:t>
      </w:r>
      <w:r w:rsidR="00A11DDD" w:rsidRPr="00812C16">
        <w:rPr>
          <w:rFonts w:cs="Arial"/>
        </w:rPr>
        <w:t xml:space="preserve"> vergleichbar der nach radikalen operativen Verfahren. Die Wahl der Behandlungsmethode wird wesentlich durch die zu erwartende</w:t>
      </w:r>
      <w:r w:rsidR="00013ED6" w:rsidRPr="00812C16">
        <w:rPr>
          <w:rFonts w:cs="Arial"/>
        </w:rPr>
        <w:t xml:space="preserve">n </w:t>
      </w:r>
      <w:r w:rsidR="00A11DDD" w:rsidRPr="00812C16">
        <w:rPr>
          <w:rFonts w:cs="Arial"/>
        </w:rPr>
        <w:t>Nebenwirkungen und einen möglichen Organ</w:t>
      </w:r>
      <w:r w:rsidR="00013ED6" w:rsidRPr="00812C16">
        <w:rPr>
          <w:rFonts w:cs="Arial"/>
        </w:rPr>
        <w:t>e</w:t>
      </w:r>
      <w:r w:rsidR="00A11DDD" w:rsidRPr="00812C16">
        <w:rPr>
          <w:rFonts w:cs="Arial"/>
        </w:rPr>
        <w:t>rhalt mit guter Funktion beeinflu</w:t>
      </w:r>
      <w:r w:rsidR="00013ED6" w:rsidRPr="00812C16">
        <w:rPr>
          <w:rFonts w:cs="Arial"/>
        </w:rPr>
        <w:t>ss</w:t>
      </w:r>
      <w:r w:rsidR="00A11DDD" w:rsidRPr="00812C16">
        <w:rPr>
          <w:rFonts w:cs="Arial"/>
        </w:rPr>
        <w:t>t. Dabei soll das therapeutische Vorgehen interdisziplinär und gemeinsam mit dem Patienten festgelegt werden</w:t>
      </w:r>
      <w:r w:rsidR="00013ED6" w:rsidRPr="00812C16">
        <w:rPr>
          <w:rFonts w:cs="Arial"/>
        </w:rPr>
        <w:t>. Wird</w:t>
      </w:r>
      <w:r w:rsidR="00A11DDD" w:rsidRPr="00812C16">
        <w:rPr>
          <w:rFonts w:cs="Arial"/>
        </w:rPr>
        <w:t xml:space="preserve"> die Indikation zur Radiotherapie gestellt, werden die Bestrahlungstechnik </w:t>
      </w:r>
      <w:r w:rsidR="00013ED6" w:rsidRPr="00812C16">
        <w:rPr>
          <w:rFonts w:cs="Arial"/>
        </w:rPr>
        <w:t>(p</w:t>
      </w:r>
      <w:r w:rsidR="00A11DDD" w:rsidRPr="00812C16">
        <w:rPr>
          <w:rFonts w:cs="Arial"/>
        </w:rPr>
        <w:t xml:space="preserve">erkutan oder interstitieller </w:t>
      </w:r>
      <w:r w:rsidR="00013ED6" w:rsidRPr="00812C16">
        <w:rPr>
          <w:rFonts w:cs="Arial"/>
        </w:rPr>
        <w:t>R</w:t>
      </w:r>
      <w:r w:rsidR="00A11DDD" w:rsidRPr="00812C16">
        <w:rPr>
          <w:rFonts w:cs="Arial"/>
        </w:rPr>
        <w:t xml:space="preserve">adiotherapie) und das </w:t>
      </w:r>
      <w:r w:rsidR="00013ED6" w:rsidRPr="00812C16">
        <w:rPr>
          <w:rFonts w:cs="Arial"/>
        </w:rPr>
        <w:t>F</w:t>
      </w:r>
      <w:r w:rsidR="00A11DDD" w:rsidRPr="00812C16">
        <w:rPr>
          <w:rFonts w:cs="Arial"/>
        </w:rPr>
        <w:t>raktionierungs</w:t>
      </w:r>
      <w:r w:rsidR="00013ED6" w:rsidRPr="00812C16">
        <w:rPr>
          <w:rFonts w:cs="Arial"/>
        </w:rPr>
        <w:t>s</w:t>
      </w:r>
      <w:r w:rsidR="00A11DDD" w:rsidRPr="00812C16">
        <w:rPr>
          <w:rFonts w:cs="Arial"/>
        </w:rPr>
        <w:t xml:space="preserve">chema </w:t>
      </w:r>
      <w:r w:rsidR="00013ED6" w:rsidRPr="00812C16">
        <w:rPr>
          <w:rFonts w:cs="Arial"/>
        </w:rPr>
        <w:t>d</w:t>
      </w:r>
      <w:r w:rsidR="00A11DDD" w:rsidRPr="00812C16">
        <w:rPr>
          <w:rFonts w:cs="Arial"/>
        </w:rPr>
        <w:t>en individuellen Gegebenheiten angepasst</w:t>
      </w:r>
      <w:r w:rsidR="00013ED6" w:rsidRPr="00812C16">
        <w:rPr>
          <w:rFonts w:cs="Arial"/>
        </w:rPr>
        <w:t>. D</w:t>
      </w:r>
      <w:r w:rsidR="00A11DDD" w:rsidRPr="00812C16">
        <w:rPr>
          <w:rFonts w:cs="Arial"/>
        </w:rPr>
        <w:t>ie Konzepte der Strahlentherapie sollten sich in das gesamt therapeutische Prozedere einfügen. Möglich sind die alleinige Strahlentherapie oder ihre Kombination mit einer Chemotherapie prä</w:t>
      </w:r>
      <w:r w:rsidR="00013ED6" w:rsidRPr="00812C16">
        <w:rPr>
          <w:rFonts w:cs="Arial"/>
        </w:rPr>
        <w:t>-</w:t>
      </w:r>
      <w:r w:rsidR="00A11DDD" w:rsidRPr="00812C16">
        <w:rPr>
          <w:rFonts w:cs="Arial"/>
        </w:rPr>
        <w:t xml:space="preserve"> oder postoperativ </w:t>
      </w:r>
      <w:r w:rsidR="00013ED6" w:rsidRPr="00812C16">
        <w:rPr>
          <w:rFonts w:cs="Arial"/>
        </w:rPr>
        <w:t>- a</w:t>
      </w:r>
      <w:r w:rsidR="00A11DDD" w:rsidRPr="00812C16">
        <w:rPr>
          <w:rFonts w:cs="Arial"/>
        </w:rPr>
        <w:t xml:space="preserve">dditiv oder </w:t>
      </w:r>
      <w:r w:rsidR="00013ED6" w:rsidRPr="00812C16">
        <w:rPr>
          <w:rFonts w:cs="Arial"/>
        </w:rPr>
        <w:t>a</w:t>
      </w:r>
      <w:r w:rsidR="00A11DDD" w:rsidRPr="00812C16">
        <w:rPr>
          <w:rFonts w:cs="Arial"/>
        </w:rPr>
        <w:t>djuvant</w:t>
      </w:r>
      <w:r w:rsidR="00013ED6" w:rsidRPr="00812C16">
        <w:rPr>
          <w:rFonts w:cs="Arial"/>
        </w:rPr>
        <w:t xml:space="preserve"> -</w:t>
      </w:r>
      <w:r w:rsidR="00A11DDD" w:rsidRPr="00812C16">
        <w:rPr>
          <w:rFonts w:cs="Arial"/>
        </w:rPr>
        <w:t xml:space="preserve"> sowie ein Einsatz </w:t>
      </w:r>
      <w:r w:rsidR="00013ED6" w:rsidRPr="00812C16">
        <w:rPr>
          <w:rFonts w:cs="Arial"/>
        </w:rPr>
        <w:t>u</w:t>
      </w:r>
      <w:r w:rsidR="00A11DDD" w:rsidRPr="00812C16">
        <w:rPr>
          <w:rFonts w:cs="Arial"/>
        </w:rPr>
        <w:t xml:space="preserve">nter palliativer Zielsetzung oder bei </w:t>
      </w:r>
      <w:r w:rsidR="00013ED6" w:rsidRPr="00812C16">
        <w:rPr>
          <w:rFonts w:cs="Arial"/>
        </w:rPr>
        <w:t>l</w:t>
      </w:r>
      <w:r w:rsidR="00A11DDD" w:rsidRPr="00812C16">
        <w:rPr>
          <w:rFonts w:cs="Arial"/>
        </w:rPr>
        <w:t xml:space="preserve">okalen sowie </w:t>
      </w:r>
      <w:proofErr w:type="spellStart"/>
      <w:r w:rsidR="00A11DDD" w:rsidRPr="00812C16">
        <w:rPr>
          <w:rFonts w:cs="Arial"/>
        </w:rPr>
        <w:t>lo</w:t>
      </w:r>
      <w:r w:rsidR="00013ED6" w:rsidRPr="00812C16">
        <w:rPr>
          <w:rFonts w:cs="Arial"/>
        </w:rPr>
        <w:t>koregionären</w:t>
      </w:r>
      <w:proofErr w:type="spellEnd"/>
      <w:r w:rsidR="00013ED6" w:rsidRPr="00812C16">
        <w:rPr>
          <w:rFonts w:cs="Arial"/>
        </w:rPr>
        <w:t xml:space="preserve"> T</w:t>
      </w:r>
      <w:r w:rsidR="00A11DDD" w:rsidRPr="00812C16">
        <w:rPr>
          <w:rFonts w:cs="Arial"/>
        </w:rPr>
        <w:t>umor</w:t>
      </w:r>
      <w:r w:rsidR="00013ED6" w:rsidRPr="00812C16">
        <w:rPr>
          <w:rFonts w:cs="Arial"/>
        </w:rPr>
        <w:t>r</w:t>
      </w:r>
      <w:r w:rsidR="00A11DDD" w:rsidRPr="00812C16">
        <w:rPr>
          <w:rFonts w:cs="Arial"/>
        </w:rPr>
        <w:t>ezidiven.</w:t>
      </w:r>
      <w:r w:rsidR="00013ED6" w:rsidRPr="00812C16">
        <w:rPr>
          <w:rFonts w:cs="Arial"/>
        </w:rPr>
        <w:t xml:space="preserve"> Für lokal fortgeschrittene Riese zierte Tumoren ist bei Vorliegen bestimmter Histopathologische bestätigte Risikokonstellationen einer adjuvante strahlentherapiesinnvoll.in der postoperativen Situation befinden sich höchstwahrscheinlich nur noch Wenige Tumorzellen in der ehemaligen makroskopischen Tumorregion und den umgebenden nicht vollständig respektablen </w:t>
      </w:r>
      <w:proofErr w:type="spellStart"/>
      <w:r w:rsidR="00013ED6" w:rsidRPr="00812C16">
        <w:rPr>
          <w:rFonts w:cs="Arial"/>
        </w:rPr>
        <w:t>lymphbahnen</w:t>
      </w:r>
      <w:proofErr w:type="spellEnd"/>
      <w:r w:rsidR="00013ED6" w:rsidRPr="00812C16">
        <w:rPr>
          <w:rFonts w:cs="Arial"/>
        </w:rPr>
        <w:t xml:space="preserve">. Diese Tumorzellen können ohne eine Strahlentherapie proliferieren und den um Ursprung einer Logo Region ehren </w:t>
      </w:r>
      <w:proofErr w:type="spellStart"/>
      <w:r w:rsidR="00013ED6" w:rsidRPr="00812C16">
        <w:rPr>
          <w:rFonts w:cs="Arial"/>
        </w:rPr>
        <w:t>rezidivs</w:t>
      </w:r>
      <w:proofErr w:type="spellEnd"/>
      <w:r w:rsidR="00013ED6" w:rsidRPr="00812C16">
        <w:rPr>
          <w:rFonts w:cs="Arial"/>
        </w:rPr>
        <w:t xml:space="preserve"> darstellen.es ist </w:t>
      </w:r>
      <w:proofErr w:type="gramStart"/>
      <w:r w:rsidR="00013ED6" w:rsidRPr="00812C16">
        <w:rPr>
          <w:rFonts w:cs="Arial"/>
        </w:rPr>
        <w:t>bekannt</w:t>
      </w:r>
      <w:proofErr w:type="gramEnd"/>
      <w:r w:rsidR="00013ED6" w:rsidRPr="00812C16">
        <w:rPr>
          <w:rFonts w:cs="Arial"/>
        </w:rPr>
        <w:t xml:space="preserve"> dass die postoperative Strahlentherapie in der Lage ist Komma dass Marco </w:t>
      </w:r>
      <w:proofErr w:type="spellStart"/>
      <w:r w:rsidR="00013ED6" w:rsidRPr="00812C16">
        <w:rPr>
          <w:rFonts w:cs="Arial"/>
        </w:rPr>
        <w:t>Regioni</w:t>
      </w:r>
      <w:proofErr w:type="spellEnd"/>
      <w:r w:rsidR="00013ED6" w:rsidRPr="00812C16">
        <w:rPr>
          <w:rFonts w:cs="Arial"/>
        </w:rPr>
        <w:t xml:space="preserve"> Rezidivrisiko zu senken und das Überleben zu verbessern bereits in den 1970er Jahren wurde im Rahmen der Ertug 73 -03 </w:t>
      </w:r>
      <w:proofErr w:type="spellStart"/>
      <w:r w:rsidR="00013ED6" w:rsidRPr="00812C16">
        <w:rPr>
          <w:rFonts w:cs="Arial"/>
        </w:rPr>
        <w:t>studie</w:t>
      </w:r>
      <w:proofErr w:type="spellEnd"/>
      <w:r w:rsidR="00013ED6" w:rsidRPr="00812C16">
        <w:rPr>
          <w:rFonts w:cs="Arial"/>
        </w:rPr>
        <w:t xml:space="preserve"> die Effekte einer Präoperativen postoperativen und definitiven </w:t>
      </w:r>
      <w:proofErr w:type="spellStart"/>
      <w:r w:rsidR="00013ED6" w:rsidRPr="00812C16">
        <w:rPr>
          <w:rFonts w:cs="Arial"/>
        </w:rPr>
        <w:t>strahlentherapie</w:t>
      </w:r>
      <w:proofErr w:type="spellEnd"/>
      <w:r w:rsidR="00013ED6" w:rsidRPr="00812C16">
        <w:rPr>
          <w:rFonts w:cs="Arial"/>
        </w:rPr>
        <w:t xml:space="preserve"> auf </w:t>
      </w:r>
      <w:proofErr w:type="spellStart"/>
      <w:r w:rsidR="00013ED6" w:rsidRPr="00812C16">
        <w:rPr>
          <w:rFonts w:cs="Arial"/>
        </w:rPr>
        <w:t>mundhöhle</w:t>
      </w:r>
      <w:proofErr w:type="spellEnd"/>
      <w:r w:rsidR="00013ED6" w:rsidRPr="00812C16">
        <w:rPr>
          <w:rFonts w:cs="Arial"/>
        </w:rPr>
        <w:t xml:space="preserve"> </w:t>
      </w:r>
      <w:proofErr w:type="spellStart"/>
      <w:r w:rsidR="00013ED6" w:rsidRPr="00812C16">
        <w:rPr>
          <w:rFonts w:cs="Arial"/>
        </w:rPr>
        <w:t>opa</w:t>
      </w:r>
      <w:proofErr w:type="spellEnd"/>
    </w:p>
    <w:p w14:paraId="58FE2BBA" w14:textId="77777777" w:rsidR="00013ED6" w:rsidRPr="00812C16" w:rsidRDefault="00013ED6" w:rsidP="005E68BA">
      <w:pPr>
        <w:rPr>
          <w:rFonts w:cs="Arial"/>
        </w:rPr>
      </w:pPr>
    </w:p>
    <w:p w14:paraId="29E0545D" w14:textId="327CE445" w:rsidR="00CC6056" w:rsidRPr="00812C16" w:rsidRDefault="00CC6056" w:rsidP="005E68BA">
      <w:pPr>
        <w:rPr>
          <w:rFonts w:cs="Arial"/>
        </w:rPr>
      </w:pPr>
      <w:r w:rsidRPr="00812C16">
        <w:rPr>
          <w:rFonts w:cs="Arial"/>
        </w:rPr>
        <w:t xml:space="preserve">Vor allem Patienten mit Tumoren in </w:t>
      </w:r>
      <w:r w:rsidR="00E8223D" w:rsidRPr="00812C16">
        <w:rPr>
          <w:rFonts w:cs="Arial"/>
        </w:rPr>
        <w:t>i</w:t>
      </w:r>
      <w:r w:rsidRPr="00812C16">
        <w:rPr>
          <w:rFonts w:cs="Arial"/>
        </w:rPr>
        <w:t>ntermediäre</w:t>
      </w:r>
      <w:r w:rsidR="00E8223D" w:rsidRPr="00812C16">
        <w:rPr>
          <w:rFonts w:cs="Arial"/>
        </w:rPr>
        <w:t xml:space="preserve">n </w:t>
      </w:r>
      <w:r w:rsidRPr="00812C16">
        <w:rPr>
          <w:rFonts w:cs="Arial"/>
        </w:rPr>
        <w:t>Stadien</w:t>
      </w:r>
      <w:r w:rsidR="00E8223D" w:rsidRPr="00812C16">
        <w:rPr>
          <w:rFonts w:cs="Arial"/>
        </w:rPr>
        <w:t xml:space="preserve"> (T3 bzw. N2 a-b)</w:t>
      </w:r>
      <w:r w:rsidRPr="00812C16">
        <w:rPr>
          <w:rFonts w:cs="Arial"/>
        </w:rPr>
        <w:t xml:space="preserve"> </w:t>
      </w:r>
      <w:r w:rsidR="00E8223D" w:rsidRPr="00812C16">
        <w:rPr>
          <w:rFonts w:cs="Arial"/>
        </w:rPr>
        <w:t>o</w:t>
      </w:r>
      <w:r w:rsidRPr="00812C16">
        <w:rPr>
          <w:rFonts w:cs="Arial"/>
        </w:rPr>
        <w:t>der kritische Lokalisation</w:t>
      </w:r>
      <w:r w:rsidR="00E8223D" w:rsidRPr="00812C16">
        <w:rPr>
          <w:rFonts w:cs="Arial"/>
        </w:rPr>
        <w:t xml:space="preserve"> (z.B. Hypopharynx)</w:t>
      </w:r>
      <w:r w:rsidRPr="00812C16">
        <w:rPr>
          <w:rFonts w:cs="Arial"/>
        </w:rPr>
        <w:t xml:space="preserve"> sollen mit Operationen und Postoperativer Radio</w:t>
      </w:r>
      <w:r w:rsidR="00E8223D" w:rsidRPr="00812C16">
        <w:rPr>
          <w:rFonts w:cs="Arial"/>
        </w:rPr>
        <w:t>-</w:t>
      </w:r>
      <w:r w:rsidRPr="00812C16">
        <w:rPr>
          <w:rFonts w:cs="Arial"/>
        </w:rPr>
        <w:t xml:space="preserve"> oder Radio</w:t>
      </w:r>
      <w:r w:rsidR="00E8223D" w:rsidRPr="00812C16">
        <w:rPr>
          <w:rFonts w:cs="Arial"/>
        </w:rPr>
        <w:t>c</w:t>
      </w:r>
      <w:r w:rsidRPr="00812C16">
        <w:rPr>
          <w:rFonts w:cs="Arial"/>
        </w:rPr>
        <w:t>hemotherapie behandelt werden</w:t>
      </w:r>
      <w:r w:rsidR="00E8223D" w:rsidRPr="00812C16">
        <w:rPr>
          <w:rFonts w:cs="Arial"/>
        </w:rPr>
        <w:t xml:space="preserve">. Dabei rechtfertigt das Vorliegende der Risikofaktoren: extrakapsulärer Lymphknotenbefall bzw. R1-Situation des Primärtumors eine postoperative Radiochemotherapie, basierend auf zwei randomisierte Studien und deren detaillierter Metaanalyse </w:t>
      </w:r>
      <w:r w:rsidR="000112D9">
        <w:rPr>
          <w:rFonts w:cs="Arial"/>
        </w:rPr>
        <w:fldChar w:fldCharType="begin">
          <w:fldData xml:space="preserve">PEVuZE5vdGU+PENpdGU+PEF1dGhvcj5CZXJuaWVyPC9BdXRob3I+PFllYXI+MjAwNTwvWWVhcj48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9" w:tooltip="Bernier, 2005 #463" w:history="1">
        <w:r w:rsidR="009D0F7A" w:rsidRPr="009D0F7A">
          <w:rPr>
            <w:rStyle w:val="Hyperlink"/>
          </w:rPr>
          <w:t>Bernier et al., 2005</w:t>
        </w:r>
      </w:hyperlink>
      <w:r w:rsidR="000112D9">
        <w:rPr>
          <w:rFonts w:cs="Arial"/>
          <w:noProof/>
        </w:rPr>
        <w:t xml:space="preserve">; </w:t>
      </w:r>
      <w:hyperlink w:anchor="_ENREF_24" w:tooltip="Cooper, 2012 #750" w:history="1">
        <w:r w:rsidR="009D0F7A" w:rsidRPr="009D0F7A">
          <w:rPr>
            <w:rStyle w:val="Hyperlink"/>
          </w:rPr>
          <w:t>Cooper et al., 2012</w:t>
        </w:r>
      </w:hyperlink>
      <w:r w:rsidR="000112D9">
        <w:rPr>
          <w:rFonts w:cs="Arial"/>
          <w:noProof/>
        </w:rPr>
        <w:t>)</w:t>
      </w:r>
      <w:r w:rsidR="000112D9">
        <w:rPr>
          <w:rFonts w:cs="Arial"/>
        </w:rPr>
        <w:fldChar w:fldCharType="end"/>
      </w:r>
      <w:r w:rsidR="00E8223D" w:rsidRPr="00812C16">
        <w:rPr>
          <w:rFonts w:cs="Arial"/>
        </w:rPr>
        <w:t xml:space="preserve">. </w:t>
      </w:r>
    </w:p>
    <w:p w14:paraId="1E114CCD" w14:textId="77777777" w:rsidR="00CC6056" w:rsidRPr="00812C16" w:rsidRDefault="00CC6056" w:rsidP="005E68BA">
      <w:pPr>
        <w:rPr>
          <w:rFonts w:cs="Arial"/>
        </w:rPr>
      </w:pPr>
    </w:p>
    <w:p w14:paraId="18BC2639" w14:textId="77777777" w:rsidR="0007516F" w:rsidRPr="00812C16" w:rsidRDefault="0007516F" w:rsidP="006A76D3">
      <w:pPr>
        <w:rPr>
          <w:rFonts w:cs="Arial"/>
        </w:rPr>
      </w:pPr>
    </w:p>
    <w:p w14:paraId="051312B5" w14:textId="77777777" w:rsidR="0007516F" w:rsidRPr="00812C16" w:rsidRDefault="0007516F" w:rsidP="008C6A11">
      <w:pPr>
        <w:pStyle w:val="berschrift2"/>
        <w:rPr>
          <w:rFonts w:cs="Arial"/>
        </w:rPr>
      </w:pPr>
      <w:bookmarkStart w:id="23" w:name="_Toc158006519"/>
      <w:r w:rsidRPr="00812C16">
        <w:rPr>
          <w:rFonts w:cs="Arial"/>
        </w:rPr>
        <w:lastRenderedPageBreak/>
        <w:t xml:space="preserve">Tumorstammzellen </w:t>
      </w:r>
      <w:r w:rsidR="003F323B" w:rsidRPr="00812C16">
        <w:rPr>
          <w:rFonts w:cs="Arial"/>
        </w:rPr>
        <w:t>&amp; Tumorstammzelltheorie</w:t>
      </w:r>
      <w:bookmarkEnd w:id="23"/>
      <w:r w:rsidR="003F323B" w:rsidRPr="00812C16">
        <w:rPr>
          <w:rFonts w:cs="Arial"/>
        </w:rPr>
        <w:t xml:space="preserve"> </w:t>
      </w:r>
    </w:p>
    <w:p w14:paraId="47C14D7F" w14:textId="1A8E1976" w:rsidR="00701518" w:rsidRPr="00812C16" w:rsidRDefault="004E53FF" w:rsidP="004E53FF">
      <w:pPr>
        <w:rPr>
          <w:lang w:eastAsia="de-DE"/>
        </w:rPr>
      </w:pPr>
      <w:r w:rsidRPr="00812C16">
        <w:rPr>
          <w:lang w:eastAsia="de-DE"/>
        </w:rPr>
        <w:t>In den letzten Jahren ist eine Subpopulation an Zellen in den Fokus der onkologischen Forschung gerückt. Diese sogenannten Tumorstammzellen oder Krebsstammzellen (</w:t>
      </w:r>
      <w:proofErr w:type="spellStart"/>
      <w:r w:rsidRPr="00812C16">
        <w:rPr>
          <w:lang w:eastAsia="de-DE"/>
        </w:rPr>
        <w:t>cancer</w:t>
      </w:r>
      <w:proofErr w:type="spellEnd"/>
      <w:r w:rsidRPr="00812C16">
        <w:rPr>
          <w:lang w:eastAsia="de-DE"/>
        </w:rPr>
        <w:t xml:space="preserve"> </w:t>
      </w:r>
      <w:proofErr w:type="spellStart"/>
      <w:r w:rsidRPr="00812C16">
        <w:rPr>
          <w:lang w:eastAsia="de-DE"/>
        </w:rPr>
        <w:t>stem</w:t>
      </w:r>
      <w:proofErr w:type="spellEnd"/>
      <w:r w:rsidRPr="00812C16">
        <w:rPr>
          <w:lang w:eastAsia="de-DE"/>
        </w:rPr>
        <w:t xml:space="preserve"> </w:t>
      </w:r>
      <w:proofErr w:type="spellStart"/>
      <w:r w:rsidRPr="00812C16">
        <w:rPr>
          <w:lang w:eastAsia="de-DE"/>
        </w:rPr>
        <w:t>cells</w:t>
      </w:r>
      <w:proofErr w:type="spellEnd"/>
      <w:r w:rsidRPr="00812C16">
        <w:rPr>
          <w:lang w:eastAsia="de-DE"/>
        </w:rPr>
        <w:t xml:space="preserve">, CSCs) zeigen eine erhöhte Resistenz gegen chemotherapeutische Agentien und Strahlentherapien </w:t>
      </w:r>
      <w:r w:rsidR="000112D9">
        <w:rPr>
          <w:lang w:eastAsia="de-DE"/>
        </w:rPr>
        <w:fldChar w:fldCharType="begin">
          <w:fldData xml:space="preserve">PEVuZE5vdGU+PENpdGU+PEF1dGhvcj5LcmF1c2U8L0F1dGhvcj48WWVhcj4yMDExPC9ZZWFyPjxS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</w:fldData>
        </w:fldChar>
      </w:r>
      <w:r w:rsidR="000112D9">
        <w:rPr>
          <w:lang w:eastAsia="de-DE"/>
        </w:rPr>
        <w:instrText xml:space="preserve"> ADDIN EN.JS.CITE </w:instrText>
      </w:r>
      <w:r w:rsidR="000112D9">
        <w:rPr>
          <w:lang w:eastAsia="de-DE"/>
        </w:rPr>
      </w:r>
      <w:r w:rsidR="000112D9">
        <w:rPr>
          <w:lang w:eastAsia="de-DE"/>
        </w:rPr>
        <w:fldChar w:fldCharType="separate"/>
      </w:r>
      <w:r w:rsidR="000112D9">
        <w:rPr>
          <w:noProof/>
          <w:lang w:eastAsia="de-DE"/>
        </w:rPr>
        <w:t>(</w:t>
      </w:r>
      <w:hyperlink w:anchor="_ENREF_46" w:tooltip="Krause, 2011 #826" w:history="1">
        <w:r w:rsidR="009D0F7A" w:rsidRPr="009D0F7A">
          <w:rPr>
            <w:rStyle w:val="Hyperlink"/>
          </w:rPr>
          <w:t>Krause et al., 2011</w:t>
        </w:r>
      </w:hyperlink>
      <w:r w:rsidR="000112D9">
        <w:rPr>
          <w:noProof/>
          <w:lang w:eastAsia="de-DE"/>
        </w:rPr>
        <w:t xml:space="preserve">; </w:t>
      </w:r>
      <w:hyperlink w:anchor="_ENREF_75" w:tooltip="Wicha, 2006 #827" w:history="1">
        <w:r w:rsidR="009D0F7A" w:rsidRPr="009D0F7A">
          <w:rPr>
            <w:rStyle w:val="Hyperlink"/>
          </w:rPr>
          <w:t>Wicha et al., 2006</w:t>
        </w:r>
      </w:hyperlink>
      <w:r w:rsidR="000112D9">
        <w:rPr>
          <w:noProof/>
          <w:lang w:eastAsia="de-DE"/>
        </w:rPr>
        <w:t>)</w:t>
      </w:r>
      <w:r w:rsidR="000112D9">
        <w:rPr>
          <w:lang w:eastAsia="de-DE"/>
        </w:rPr>
        <w:fldChar w:fldCharType="end"/>
      </w:r>
      <w:r w:rsidR="00B53FE0" w:rsidRPr="00812C16">
        <w:rPr>
          <w:lang w:eastAsia="de-DE"/>
        </w:rPr>
        <w:t xml:space="preserve">. </w:t>
      </w:r>
      <w:r w:rsidRPr="00812C16">
        <w:rPr>
          <w:lang w:eastAsia="de-DE"/>
        </w:rPr>
        <w:t>Zusätzlich scheinen sie Fähigkeiten von somatischen Stammzellen zu besitzen wie etwa die Selbsterneuerung, die Differenzierung und die Proliferation. Dadurch sind sie in der Lage, sowohl die Initiation des neoplastischen Wachstums als auch die Aufrechterhaltung der Tumormasse und lokale Rezidive zu unterhalten. Die hohe Rezidivrate nach einer Chemo- oder Bestrahlungstherapie von Patienten mit HNSCC könnte ein Hinweis für die bedeutsame Rolle von CSCs in der</w:t>
      </w:r>
      <w:r w:rsidR="00B53FE0" w:rsidRPr="00812C16">
        <w:rPr>
          <w:lang w:eastAsia="de-DE"/>
        </w:rPr>
        <w:t xml:space="preserve"> Pathophysiologie von HNSCC sein </w:t>
      </w:r>
      <w:r w:rsidR="000112D9">
        <w:rPr>
          <w:lang w:eastAsia="de-DE"/>
        </w:rPr>
        <w:fldChar w:fldCharType="begin">
          <w:fldData xml:space="preserve">PEVuZE5vdGU+PENpdGU+PEF1dGhvcj5DYXJ2YWxobzwvQXV0aG9yPjxZZWFyPjIwMDU8L1llYXI+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</w:fldData>
        </w:fldChar>
      </w:r>
      <w:r w:rsidR="000112D9">
        <w:rPr>
          <w:lang w:eastAsia="de-DE"/>
        </w:rPr>
        <w:instrText xml:space="preserve"> ADDIN EN.JS.CITE </w:instrText>
      </w:r>
      <w:r w:rsidR="000112D9">
        <w:rPr>
          <w:lang w:eastAsia="de-DE"/>
        </w:rPr>
      </w:r>
      <w:r w:rsidR="000112D9">
        <w:rPr>
          <w:lang w:eastAsia="de-DE"/>
        </w:rPr>
        <w:fldChar w:fldCharType="separate"/>
      </w:r>
      <w:r w:rsidR="000112D9">
        <w:rPr>
          <w:noProof/>
          <w:lang w:eastAsia="de-DE"/>
        </w:rPr>
        <w:t>(</w:t>
      </w:r>
      <w:hyperlink w:anchor="_ENREF_17" w:tooltip="Carvalho, 2005 #760" w:history="1">
        <w:r w:rsidR="009D0F7A" w:rsidRPr="009D0F7A">
          <w:rPr>
            <w:rStyle w:val="Hyperlink"/>
          </w:rPr>
          <w:t>Carvalho et al., 2005</w:t>
        </w:r>
      </w:hyperlink>
      <w:r w:rsidR="000112D9">
        <w:rPr>
          <w:noProof/>
          <w:lang w:eastAsia="de-DE"/>
        </w:rPr>
        <w:t>)</w:t>
      </w:r>
      <w:r w:rsidR="000112D9">
        <w:rPr>
          <w:lang w:eastAsia="de-DE"/>
        </w:rPr>
        <w:fldChar w:fldCharType="end"/>
      </w:r>
      <w:r w:rsidR="00B53FE0" w:rsidRPr="00812C16">
        <w:rPr>
          <w:lang w:eastAsia="de-DE"/>
        </w:rPr>
        <w:t xml:space="preserve">. </w:t>
      </w:r>
      <w:r w:rsidR="006E2E27" w:rsidRPr="00812C16">
        <w:rPr>
          <w:lang w:eastAsia="de-DE"/>
        </w:rPr>
        <w:t xml:space="preserve">Während die Masse an Tumorzellen gegenüber der antineoplastischen Therapie exponiert ist und zugrunde geht, scheinen CSCs eine erhöhte Resistenz gegenüber diesen herkömmlichen Therapien aufzuweisen und sie überleben zu können </w:t>
      </w:r>
      <w:r w:rsidR="000112D9">
        <w:rPr>
          <w:lang w:eastAsia="de-DE"/>
        </w:rPr>
        <w:fldChar w:fldCharType="begin">
          <w:fldData xml:space="preserve">PEVuZE5vdGU+PENpdGU+PEF1dGhvcj5NYWNrPC9BdXRob3I+PFllYXI+MjAwODwvWWVhcj48UmVj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==
</w:fldData>
        </w:fldChar>
      </w:r>
      <w:r w:rsidR="000112D9">
        <w:rPr>
          <w:lang w:eastAsia="de-DE"/>
        </w:rPr>
        <w:instrText xml:space="preserve"> ADDIN EN.JS.CITE </w:instrText>
      </w:r>
      <w:r w:rsidR="000112D9">
        <w:rPr>
          <w:lang w:eastAsia="de-DE"/>
        </w:rPr>
      </w:r>
      <w:r w:rsidR="000112D9">
        <w:rPr>
          <w:lang w:eastAsia="de-DE"/>
        </w:rPr>
        <w:fldChar w:fldCharType="separate"/>
      </w:r>
      <w:r w:rsidR="000112D9">
        <w:rPr>
          <w:noProof/>
          <w:lang w:eastAsia="de-DE"/>
        </w:rPr>
        <w:t>(</w:t>
      </w:r>
      <w:hyperlink w:anchor="_ENREF_52" w:tooltip="Mack, 2008 #765" w:history="1">
        <w:r w:rsidR="009D0F7A" w:rsidRPr="009D0F7A">
          <w:rPr>
            <w:rStyle w:val="Hyperlink"/>
          </w:rPr>
          <w:t>Mack &amp; Gires, 2008</w:t>
        </w:r>
      </w:hyperlink>
      <w:r w:rsidR="000112D9">
        <w:rPr>
          <w:noProof/>
          <w:lang w:eastAsia="de-DE"/>
        </w:rPr>
        <w:t>)</w:t>
      </w:r>
      <w:r w:rsidR="000112D9">
        <w:rPr>
          <w:lang w:eastAsia="de-DE"/>
        </w:rPr>
        <w:fldChar w:fldCharType="end"/>
      </w:r>
      <w:r w:rsidR="006E2E27" w:rsidRPr="00812C16">
        <w:rPr>
          <w:lang w:eastAsia="de-DE"/>
        </w:rPr>
        <w:t>. Dadurch sind sie im Anschluss in der Lage, nach einer primären Remission neue Tumore zu initiieren und damit lokale Rezidive und (Fern)</w:t>
      </w:r>
      <w:proofErr w:type="spellStart"/>
      <w:r w:rsidR="006E2E27" w:rsidRPr="00812C16">
        <w:rPr>
          <w:lang w:eastAsia="de-DE"/>
        </w:rPr>
        <w:t>metastasen</w:t>
      </w:r>
      <w:proofErr w:type="spellEnd"/>
      <w:r w:rsidR="006E2E27" w:rsidRPr="00812C16">
        <w:rPr>
          <w:lang w:eastAsia="de-DE"/>
        </w:rPr>
        <w:t xml:space="preserve"> zu verursachen. CSCs machen im Bezug zur Masse des gesamten Tumors lediglich weniger als zehn Prozent aus</w:t>
      </w:r>
      <w:r w:rsidR="000112D9">
        <w:rPr>
          <w:lang w:eastAsia="de-DE"/>
        </w:rPr>
        <w:fldChar w:fldCharType="begin">
          <w:fldData xml:space="preserve">PEVuZE5vdGU+PENpdGU+PEF1dGhvcj5BaWxsZXM8L0F1dGhvcj48WWVhcj4yMDA5PC9ZZWFyPjxS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</w:fldData>
        </w:fldChar>
      </w:r>
      <w:r w:rsidR="000112D9">
        <w:rPr>
          <w:lang w:eastAsia="de-DE"/>
        </w:rPr>
        <w:instrText xml:space="preserve"> ADDIN EN.JS.CITE </w:instrText>
      </w:r>
      <w:r w:rsidR="000112D9">
        <w:rPr>
          <w:lang w:eastAsia="de-DE"/>
        </w:rPr>
      </w:r>
      <w:r w:rsidR="000112D9">
        <w:rPr>
          <w:lang w:eastAsia="de-DE"/>
        </w:rPr>
        <w:fldChar w:fldCharType="separate"/>
      </w:r>
      <w:r w:rsidR="000112D9">
        <w:rPr>
          <w:noProof/>
          <w:lang w:eastAsia="de-DE"/>
        </w:rPr>
        <w:t>(</w:t>
      </w:r>
      <w:hyperlink w:anchor="_ENREF_1" w:tooltip="Ailles, 2009 #316" w:history="1">
        <w:r w:rsidR="009D0F7A" w:rsidRPr="009D0F7A">
          <w:rPr>
            <w:rStyle w:val="Hyperlink"/>
          </w:rPr>
          <w:t>Ailles &amp; Prince, 2009</w:t>
        </w:r>
      </w:hyperlink>
      <w:r w:rsidR="000112D9">
        <w:rPr>
          <w:noProof/>
          <w:lang w:eastAsia="de-DE"/>
        </w:rPr>
        <w:t>)</w:t>
      </w:r>
      <w:r w:rsidR="000112D9">
        <w:rPr>
          <w:lang w:eastAsia="de-DE"/>
        </w:rPr>
        <w:fldChar w:fldCharType="end"/>
      </w:r>
      <w:r w:rsidR="006E2E27" w:rsidRPr="00812C16">
        <w:rPr>
          <w:lang w:eastAsia="de-DE"/>
        </w:rPr>
        <w:t xml:space="preserve">. Der Arbeitskreis der American </w:t>
      </w:r>
      <w:proofErr w:type="spellStart"/>
      <w:r w:rsidR="006E2E27" w:rsidRPr="00812C16">
        <w:rPr>
          <w:lang w:eastAsia="de-DE"/>
        </w:rPr>
        <w:t>Association</w:t>
      </w:r>
      <w:proofErr w:type="spellEnd"/>
      <w:r w:rsidR="006E2E27" w:rsidRPr="00812C16">
        <w:rPr>
          <w:lang w:eastAsia="de-DE"/>
        </w:rPr>
        <w:t xml:space="preserve"> </w:t>
      </w:r>
      <w:proofErr w:type="spellStart"/>
      <w:r w:rsidR="006E2E27" w:rsidRPr="00812C16">
        <w:rPr>
          <w:lang w:eastAsia="de-DE"/>
        </w:rPr>
        <w:t>for</w:t>
      </w:r>
      <w:proofErr w:type="spellEnd"/>
      <w:r w:rsidR="006E2E27" w:rsidRPr="00812C16">
        <w:rPr>
          <w:lang w:eastAsia="de-DE"/>
        </w:rPr>
        <w:t xml:space="preserve"> Cancer Research (AACR), welcher sich mit der CSC-Hypothese befasste, definiert sie jedoch als diejenigen Zellen innerhalb des Tumors, welche durch Selbsterneuerung und Differenzierung verschiedene Zelltypen derselben Zellreihe innerhalb des Tumors bilden und somit seine phänotypische Heterogenität sicherstellen können. Hierarchisch gesehen stehen sie damit also an der Spitze der Tumorzellen</w:t>
      </w:r>
      <w:r w:rsidR="00973833" w:rsidRPr="00812C16">
        <w:rPr>
          <w:lang w:eastAsia="de-DE"/>
        </w:rPr>
        <w:t xml:space="preserve"> </w:t>
      </w:r>
      <w:r w:rsidR="000112D9">
        <w:rPr>
          <w:lang w:eastAsia="de-DE"/>
        </w:rPr>
        <w:fldChar w:fldCharType="begin">
          <w:fldData xml:space="preserve">PEVuZE5vdGU+PENpdGU+PEF1dGhvcj5QcmluY2U8L0F1dGhvcj48WWVhcj4yMDA3PC9ZZWFyPjxS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</w:fldData>
        </w:fldChar>
      </w:r>
      <w:r w:rsidR="000112D9">
        <w:rPr>
          <w:lang w:eastAsia="de-DE"/>
        </w:rPr>
        <w:instrText xml:space="preserve"> ADDIN EN.JS.CITE </w:instrText>
      </w:r>
      <w:r w:rsidR="000112D9">
        <w:rPr>
          <w:lang w:eastAsia="de-DE"/>
        </w:rPr>
      </w:r>
      <w:r w:rsidR="000112D9">
        <w:rPr>
          <w:lang w:eastAsia="de-DE"/>
        </w:rPr>
        <w:fldChar w:fldCharType="separate"/>
      </w:r>
      <w:r w:rsidR="000112D9">
        <w:rPr>
          <w:noProof/>
          <w:lang w:eastAsia="de-DE"/>
        </w:rPr>
        <w:t>(</w:t>
      </w:r>
      <w:hyperlink w:anchor="_ENREF_58" w:tooltip="Prince, 2007 #828" w:history="1">
        <w:r w:rsidR="009D0F7A" w:rsidRPr="009D0F7A">
          <w:rPr>
            <w:rStyle w:val="Hyperlink"/>
          </w:rPr>
          <w:t>Prince et al., 2007</w:t>
        </w:r>
      </w:hyperlink>
      <w:r w:rsidR="000112D9">
        <w:rPr>
          <w:noProof/>
          <w:lang w:eastAsia="de-DE"/>
        </w:rPr>
        <w:t>)</w:t>
      </w:r>
      <w:r w:rsidR="000112D9">
        <w:rPr>
          <w:lang w:eastAsia="de-DE"/>
        </w:rPr>
        <w:fldChar w:fldCharType="end"/>
      </w:r>
      <w:r w:rsidR="006E2E27" w:rsidRPr="00812C16">
        <w:rPr>
          <w:lang w:eastAsia="de-DE"/>
        </w:rPr>
        <w:t>. Die Existenz von CSCs wurde schon länger postuliert, die ersten Hinweise dafür fanden sich jedoch zunächst nur in hämatologischen Malignitäten wie der akuten myeloischen Leukämie (AML)</w:t>
      </w:r>
      <w:r w:rsidR="000112D9">
        <w:rPr>
          <w:lang w:eastAsia="de-DE"/>
        </w:rPr>
        <w:fldChar w:fldCharType="begin">
          <w:fldData xml:space="preserve">PEVuZE5vdGU+PENpdGU+PEF1dGhvcj5Cb25uZXQ8L0F1dGhvcj48WWVhcj4xOTk3PC9ZZWFyPjxS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</w:fldData>
        </w:fldChar>
      </w:r>
      <w:r w:rsidR="000112D9">
        <w:rPr>
          <w:lang w:eastAsia="de-DE"/>
        </w:rPr>
        <w:instrText xml:space="preserve"> ADDIN EN.JS.CITE </w:instrText>
      </w:r>
      <w:r w:rsidR="000112D9">
        <w:rPr>
          <w:lang w:eastAsia="de-DE"/>
        </w:rPr>
      </w:r>
      <w:r w:rsidR="000112D9">
        <w:rPr>
          <w:lang w:eastAsia="de-DE"/>
        </w:rPr>
        <w:fldChar w:fldCharType="separate"/>
      </w:r>
      <w:r w:rsidR="000112D9">
        <w:rPr>
          <w:noProof/>
          <w:lang w:eastAsia="de-DE"/>
        </w:rPr>
        <w:t>(</w:t>
      </w:r>
      <w:hyperlink w:anchor="_ENREF_12" w:tooltip="Bonnet, 1997 #466" w:history="1">
        <w:r w:rsidR="009D0F7A" w:rsidRPr="009D0F7A">
          <w:rPr>
            <w:rStyle w:val="Hyperlink"/>
          </w:rPr>
          <w:t>Bonnet &amp; Dick, 1997</w:t>
        </w:r>
      </w:hyperlink>
      <w:r w:rsidR="000112D9">
        <w:rPr>
          <w:noProof/>
          <w:lang w:eastAsia="de-DE"/>
        </w:rPr>
        <w:t>)</w:t>
      </w:r>
      <w:r w:rsidR="000112D9">
        <w:rPr>
          <w:lang w:eastAsia="de-DE"/>
        </w:rPr>
        <w:fldChar w:fldCharType="end"/>
      </w:r>
      <w:r w:rsidR="006E2E27" w:rsidRPr="00812C16">
        <w:rPr>
          <w:lang w:eastAsia="de-DE"/>
        </w:rPr>
        <w:t>. Erst 2003 gelang der Nachweis von CSCs auch in soliden Tumoren</w:t>
      </w:r>
      <w:r w:rsidR="000112D9">
        <w:rPr>
          <w:lang w:eastAsia="de-DE"/>
        </w:rPr>
        <w:fldChar w:fldCharType="begin">
          <w:fldData xml:space="preserve">PEVuZE5vdGU+PENpdGU+PEF1dGhvcj5BbC1IYWpqPC9BdXRob3I+PFllYXI+MjAwMzwvWWVhcj48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</w:fldData>
        </w:fldChar>
      </w:r>
      <w:r w:rsidR="000112D9">
        <w:rPr>
          <w:lang w:eastAsia="de-DE"/>
        </w:rPr>
        <w:instrText xml:space="preserve"> ADDIN EN.JS.CITE </w:instrText>
      </w:r>
      <w:r w:rsidR="000112D9">
        <w:rPr>
          <w:lang w:eastAsia="de-DE"/>
        </w:rPr>
      </w:r>
      <w:r w:rsidR="000112D9">
        <w:rPr>
          <w:lang w:eastAsia="de-DE"/>
        </w:rPr>
        <w:fldChar w:fldCharType="separate"/>
      </w:r>
      <w:r w:rsidR="000112D9">
        <w:rPr>
          <w:noProof/>
          <w:lang w:eastAsia="de-DE"/>
        </w:rPr>
        <w:t>(</w:t>
      </w:r>
      <w:hyperlink w:anchor="_ENREF_2" w:tooltip="Al-Hajj, 2003 #317" w:history="1">
        <w:r w:rsidR="009D0F7A" w:rsidRPr="009D0F7A">
          <w:rPr>
            <w:rStyle w:val="Hyperlink"/>
          </w:rPr>
          <w:t>Al-Hajj et al., 2003</w:t>
        </w:r>
      </w:hyperlink>
      <w:r w:rsidR="000112D9">
        <w:rPr>
          <w:noProof/>
          <w:lang w:eastAsia="de-DE"/>
        </w:rPr>
        <w:t>)</w:t>
      </w:r>
      <w:r w:rsidR="000112D9">
        <w:rPr>
          <w:lang w:eastAsia="de-DE"/>
        </w:rPr>
        <w:fldChar w:fldCharType="end"/>
      </w:r>
      <w:r w:rsidR="006E2E27" w:rsidRPr="00812C16">
        <w:rPr>
          <w:lang w:eastAsia="de-DE"/>
        </w:rPr>
        <w:t>, ihr Nachweis in HNSCC folgte 2007</w:t>
      </w:r>
      <w:r w:rsidR="00E04A5B" w:rsidRPr="00812C16">
        <w:rPr>
          <w:lang w:eastAsia="de-DE"/>
        </w:rPr>
        <w:t xml:space="preserve"> </w:t>
      </w:r>
      <w:r w:rsidR="000112D9">
        <w:rPr>
          <w:lang w:eastAsia="de-DE"/>
        </w:rPr>
        <w:fldChar w:fldCharType="begin">
          <w:fldData xml:space="preserve">PEVuZE5vdGU+PENpdGU+PEF1dGhvcj5QcmluY2U8L0F1dGhvcj48WWVhcj4yMDA3PC9ZZWFyPjxS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</w:fldData>
        </w:fldChar>
      </w:r>
      <w:r w:rsidR="000112D9">
        <w:rPr>
          <w:lang w:eastAsia="de-DE"/>
        </w:rPr>
        <w:instrText xml:space="preserve"> ADDIN EN.JS.CITE </w:instrText>
      </w:r>
      <w:r w:rsidR="000112D9">
        <w:rPr>
          <w:lang w:eastAsia="de-DE"/>
        </w:rPr>
      </w:r>
      <w:r w:rsidR="000112D9">
        <w:rPr>
          <w:lang w:eastAsia="de-DE"/>
        </w:rPr>
        <w:fldChar w:fldCharType="separate"/>
      </w:r>
      <w:r w:rsidR="000112D9">
        <w:rPr>
          <w:noProof/>
          <w:lang w:eastAsia="de-DE"/>
        </w:rPr>
        <w:t>(</w:t>
      </w:r>
      <w:hyperlink w:anchor="_ENREF_58" w:tooltip="Prince, 2007 #828" w:history="1">
        <w:r w:rsidR="009D0F7A" w:rsidRPr="009D0F7A">
          <w:rPr>
            <w:rStyle w:val="Hyperlink"/>
          </w:rPr>
          <w:t>Prince et al., 2007</w:t>
        </w:r>
      </w:hyperlink>
      <w:r w:rsidR="000112D9">
        <w:rPr>
          <w:noProof/>
          <w:lang w:eastAsia="de-DE"/>
        </w:rPr>
        <w:t>)</w:t>
      </w:r>
      <w:r w:rsidR="000112D9">
        <w:rPr>
          <w:lang w:eastAsia="de-DE"/>
        </w:rPr>
        <w:fldChar w:fldCharType="end"/>
      </w:r>
      <w:r w:rsidR="006E2E27" w:rsidRPr="00812C16">
        <w:rPr>
          <w:lang w:eastAsia="de-DE"/>
        </w:rPr>
        <w:t>.</w:t>
      </w:r>
      <w:r w:rsidR="003F323B" w:rsidRPr="00812C16">
        <w:rPr>
          <w:lang w:eastAsia="de-DE"/>
        </w:rPr>
        <w:t xml:space="preserve"> </w:t>
      </w:r>
      <w:r w:rsidR="00E04A5B" w:rsidRPr="00812C16">
        <w:rPr>
          <w:lang w:eastAsia="de-DE"/>
        </w:rPr>
        <w:t xml:space="preserve">Prince und Kollegen nutzten hierfür den CSC-Marker CD44, womit ihnen die Anreicherung einer Subpopulation an Tumorzellen gelang, die in der Reihentransplantation in der Lage waren, in immunsupprimierten Mäusen neue Tumore zu formen, wohingegen das </w:t>
      </w:r>
      <w:proofErr w:type="spellStart"/>
      <w:r w:rsidR="00E04A5B" w:rsidRPr="00812C16">
        <w:rPr>
          <w:lang w:eastAsia="de-DE"/>
        </w:rPr>
        <w:t>tumorgene</w:t>
      </w:r>
      <w:proofErr w:type="spellEnd"/>
      <w:r w:rsidR="00E04A5B" w:rsidRPr="00812C16">
        <w:rPr>
          <w:lang w:eastAsia="de-DE"/>
        </w:rPr>
        <w:t xml:space="preserve"> Potential bei CD44-negativen Zellen nicht vorhanden zu sein schien</w:t>
      </w:r>
      <w:r w:rsidR="00433FF0" w:rsidRPr="00812C16">
        <w:rPr>
          <w:lang w:eastAsia="de-DE"/>
        </w:rPr>
        <w:t xml:space="preserve"> </w:t>
      </w:r>
      <w:r w:rsidR="000112D9">
        <w:rPr>
          <w:lang w:eastAsia="de-DE"/>
        </w:rPr>
        <w:fldChar w:fldCharType="begin">
          <w:fldData xml:space="preserve">PEVuZE5vdGU+PENpdGU+PEF1dGhvcj5QcmluY2U8L0F1dGhvcj48WWVhcj4yMDA3PC9ZZWFyPjxS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</w:fldData>
        </w:fldChar>
      </w:r>
      <w:r w:rsidR="000112D9">
        <w:rPr>
          <w:lang w:eastAsia="de-DE"/>
        </w:rPr>
        <w:instrText xml:space="preserve"> ADDIN EN.JS.CITE </w:instrText>
      </w:r>
      <w:r w:rsidR="000112D9">
        <w:rPr>
          <w:lang w:eastAsia="de-DE"/>
        </w:rPr>
      </w:r>
      <w:r w:rsidR="000112D9">
        <w:rPr>
          <w:lang w:eastAsia="de-DE"/>
        </w:rPr>
        <w:fldChar w:fldCharType="separate"/>
      </w:r>
      <w:r w:rsidR="000112D9">
        <w:rPr>
          <w:noProof/>
          <w:lang w:eastAsia="de-DE"/>
        </w:rPr>
        <w:t>(</w:t>
      </w:r>
      <w:hyperlink w:anchor="_ENREF_58" w:tooltip="Prince, 2007 #828" w:history="1">
        <w:r w:rsidR="009D0F7A" w:rsidRPr="009D0F7A">
          <w:rPr>
            <w:rStyle w:val="Hyperlink"/>
          </w:rPr>
          <w:t>Prince et al., 2007</w:t>
        </w:r>
      </w:hyperlink>
      <w:r w:rsidR="000112D9">
        <w:rPr>
          <w:noProof/>
          <w:lang w:eastAsia="de-DE"/>
        </w:rPr>
        <w:t>)</w:t>
      </w:r>
      <w:r w:rsidR="000112D9">
        <w:rPr>
          <w:lang w:eastAsia="de-DE"/>
        </w:rPr>
        <w:fldChar w:fldCharType="end"/>
      </w:r>
      <w:r w:rsidR="00E04A5B" w:rsidRPr="00812C16">
        <w:rPr>
          <w:lang w:eastAsia="de-DE"/>
        </w:rPr>
        <w:t xml:space="preserve">. Inzwischen konnten mithilfe verschiedener CSC-Marker wie CD133 und ALDH1 Korrelationen zwischen dem </w:t>
      </w:r>
      <w:r w:rsidR="00E04A5B" w:rsidRPr="00812C16">
        <w:rPr>
          <w:lang w:eastAsia="de-DE"/>
        </w:rPr>
        <w:lastRenderedPageBreak/>
        <w:t xml:space="preserve">vermehrten Vorhandensein von CSCs in soliden Tumoren und einem verschlechterten klinischen Outcome nachgewiesen werden. Hierunter ist eine erhöhte Rate an lokalen Rezidiven, eine erhöhte Resistenz gegen Bestrahlungs- und </w:t>
      </w:r>
      <w:r w:rsidR="00701518" w:rsidRPr="00812C16">
        <w:rPr>
          <w:lang w:eastAsia="de-DE"/>
        </w:rPr>
        <w:t>Chemotherapie</w:t>
      </w:r>
      <w:r w:rsidR="00E04A5B" w:rsidRPr="00812C16">
        <w:rPr>
          <w:lang w:eastAsia="de-DE"/>
        </w:rPr>
        <w:t xml:space="preserve"> und eine insgesamt schlechtere Überlebensrate zu verstehen</w:t>
      </w:r>
      <w:r w:rsidR="00433FF0" w:rsidRPr="00812C16">
        <w:rPr>
          <w:lang w:eastAsia="de-DE"/>
        </w:rPr>
        <w:t xml:space="preserve"> </w:t>
      </w:r>
      <w:r w:rsidR="000112D9">
        <w:rPr>
          <w:lang w:eastAsia="de-DE"/>
        </w:rPr>
        <w:fldChar w:fldCharType="begin">
          <w:fldData xml:space="preserve">PEVuZE5vdGU+PENpdGU+PEF1dGhvcj5DaGVuPC9BdXRob3I+PFllYXI+MjAxMDwvWWVhcj48UmVj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</w:fldData>
        </w:fldChar>
      </w:r>
      <w:r w:rsidR="000112D9">
        <w:rPr>
          <w:lang w:eastAsia="de-DE"/>
        </w:rPr>
        <w:instrText xml:space="preserve"> ADDIN EN.JS.CITE </w:instrText>
      </w:r>
      <w:r w:rsidR="000112D9">
        <w:rPr>
          <w:lang w:eastAsia="de-DE"/>
        </w:rPr>
      </w:r>
      <w:r w:rsidR="000112D9">
        <w:rPr>
          <w:lang w:eastAsia="de-DE"/>
        </w:rPr>
        <w:fldChar w:fldCharType="separate"/>
      </w:r>
      <w:r w:rsidR="000112D9">
        <w:rPr>
          <w:noProof/>
          <w:lang w:eastAsia="de-DE"/>
        </w:rPr>
        <w:t>(</w:t>
      </w:r>
      <w:hyperlink w:anchor="_ENREF_20" w:tooltip="Chen, 2010 #762" w:history="1">
        <w:r w:rsidR="009D0F7A" w:rsidRPr="009D0F7A">
          <w:rPr>
            <w:rStyle w:val="Hyperlink"/>
          </w:rPr>
          <w:t>Chen et al., 2010</w:t>
        </w:r>
      </w:hyperlink>
      <w:r w:rsidR="000112D9">
        <w:rPr>
          <w:noProof/>
          <w:lang w:eastAsia="de-DE"/>
        </w:rPr>
        <w:t xml:space="preserve">; </w:t>
      </w:r>
      <w:hyperlink w:anchor="_ENREF_27" w:tooltip="de Jong, 2010 #766" w:history="1">
        <w:r w:rsidR="009D0F7A" w:rsidRPr="009D0F7A">
          <w:rPr>
            <w:rStyle w:val="Hyperlink"/>
          </w:rPr>
          <w:t>de Jong et al., 2010</w:t>
        </w:r>
      </w:hyperlink>
      <w:r w:rsidR="000112D9">
        <w:rPr>
          <w:noProof/>
          <w:lang w:eastAsia="de-DE"/>
        </w:rPr>
        <w:t xml:space="preserve">; </w:t>
      </w:r>
      <w:hyperlink w:anchor="_ENREF_36" w:tooltip="Ginestier, 2007 #768" w:history="1">
        <w:r w:rsidR="009D0F7A" w:rsidRPr="009D0F7A">
          <w:rPr>
            <w:rStyle w:val="Hyperlink"/>
          </w:rPr>
          <w:t>Ginestier et al., 2007</w:t>
        </w:r>
      </w:hyperlink>
      <w:r w:rsidR="000112D9">
        <w:rPr>
          <w:noProof/>
          <w:lang w:eastAsia="de-DE"/>
        </w:rPr>
        <w:t xml:space="preserve">; </w:t>
      </w:r>
      <w:hyperlink w:anchor="_ENREF_77" w:tooltip="Zhang, 2010 #693" w:history="1">
        <w:r w:rsidR="009D0F7A" w:rsidRPr="009D0F7A">
          <w:rPr>
            <w:rStyle w:val="Hyperlink"/>
          </w:rPr>
          <w:t>Zhang et al., 2010</w:t>
        </w:r>
      </w:hyperlink>
      <w:r w:rsidR="000112D9">
        <w:rPr>
          <w:noProof/>
          <w:lang w:eastAsia="de-DE"/>
        </w:rPr>
        <w:t>)</w:t>
      </w:r>
      <w:r w:rsidR="000112D9">
        <w:rPr>
          <w:lang w:eastAsia="de-DE"/>
        </w:rPr>
        <w:fldChar w:fldCharType="end"/>
      </w:r>
      <w:r w:rsidR="00E04A5B" w:rsidRPr="00812C16">
        <w:rPr>
          <w:lang w:eastAsia="de-DE"/>
        </w:rPr>
        <w:t xml:space="preserve">. </w:t>
      </w:r>
    </w:p>
    <w:p w14:paraId="5DC6CD43" w14:textId="5B684998" w:rsidR="00F94146" w:rsidRPr="00812C16" w:rsidRDefault="00464374" w:rsidP="009875AF">
      <w:pPr>
        <w:shd w:val="clear" w:color="auto" w:fill="FFFF00"/>
        <w:rPr>
          <w:rFonts w:cs="Arial"/>
        </w:rPr>
      </w:pPr>
      <w:r w:rsidRPr="00812C16">
        <w:rPr>
          <w:rFonts w:cs="Arial"/>
        </w:rPr>
        <w:t>Tumorstammzellen (</w:t>
      </w:r>
      <w:proofErr w:type="spellStart"/>
      <w:r w:rsidRPr="00812C16">
        <w:rPr>
          <w:rFonts w:cs="Arial"/>
        </w:rPr>
        <w:t>cancer</w:t>
      </w:r>
      <w:proofErr w:type="spellEnd"/>
      <w:r w:rsidRPr="00812C16">
        <w:rPr>
          <w:rFonts w:cs="Arial"/>
        </w:rPr>
        <w:t xml:space="preserve"> </w:t>
      </w:r>
      <w:proofErr w:type="spellStart"/>
      <w:r w:rsidRPr="00812C16">
        <w:rPr>
          <w:rFonts w:cs="Arial"/>
        </w:rPr>
        <w:t>stem</w:t>
      </w:r>
      <w:proofErr w:type="spellEnd"/>
      <w:r w:rsidRPr="00812C16">
        <w:rPr>
          <w:rFonts w:cs="Arial"/>
        </w:rPr>
        <w:t xml:space="preserve"> </w:t>
      </w:r>
      <w:proofErr w:type="spellStart"/>
      <w:r w:rsidRPr="00812C16">
        <w:rPr>
          <w:rFonts w:cs="Arial"/>
        </w:rPr>
        <w:t>cells</w:t>
      </w:r>
      <w:proofErr w:type="spellEnd"/>
      <w:r w:rsidRPr="00812C16">
        <w:rPr>
          <w:rFonts w:cs="Arial"/>
        </w:rPr>
        <w:t xml:space="preserve">) sind definiert als die einzigen Zellen eines </w:t>
      </w:r>
      <w:proofErr w:type="spellStart"/>
      <w:r w:rsidRPr="00812C16">
        <w:rPr>
          <w:rFonts w:cs="Arial"/>
        </w:rPr>
        <w:t>malignenTumors</w:t>
      </w:r>
      <w:proofErr w:type="spellEnd"/>
      <w:r w:rsidRPr="00812C16">
        <w:rPr>
          <w:rFonts w:cs="Arial"/>
        </w:rPr>
        <w:t xml:space="preserve">, die ihre eigene Population unbegrenzt erhalten oder erweitern können und die einzigartige Fähigkeit besitzen, heterogene Tumorzelllinien bilden zu können, die einen individuellen Tumor ausmachen </w:t>
      </w:r>
      <w:r w:rsidR="000112D9">
        <w:rPr>
          <w:rFonts w:cs="Arial"/>
        </w:rPr>
        <w:fldChar w:fldCharType="begin">
          <w:fldData xml:space="preserve">PEVuZE5vdGU+PENpdGU+PEF1dGhvcj5DbGFya2U8L0F1dGhvcj48WWVhcj4yMDA2PC9ZZWFyPjxS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23" w:tooltip="Clarke, 2006 #757" w:history="1">
        <w:r w:rsidR="009D0F7A" w:rsidRPr="009D0F7A">
          <w:rPr>
            <w:rStyle w:val="Hyperlink"/>
          </w:rPr>
          <w:t>Clarke &amp; Meniel, 2006</w:t>
        </w:r>
      </w:hyperlink>
      <w:r w:rsidR="000112D9">
        <w:rPr>
          <w:rFonts w:cs="Arial"/>
          <w:noProof/>
        </w:rPr>
        <w:t>)</w:t>
      </w:r>
      <w:r w:rsidR="000112D9">
        <w:rPr>
          <w:rFonts w:cs="Arial"/>
        </w:rPr>
        <w:fldChar w:fldCharType="end"/>
      </w:r>
      <w:r w:rsidR="00600C95" w:rsidRPr="00812C16">
        <w:rPr>
          <w:rFonts w:cs="Arial"/>
        </w:rPr>
        <w:t xml:space="preserve">. </w:t>
      </w:r>
      <w:r w:rsidRPr="00812C16">
        <w:rPr>
          <w:rFonts w:cs="Arial"/>
        </w:rPr>
        <w:t>In der Literatur werden die Tumorstammzellen deshalb auch</w:t>
      </w:r>
      <w:r w:rsidR="000F3EE4" w:rsidRPr="00812C16">
        <w:rPr>
          <w:rFonts w:cs="Arial"/>
        </w:rPr>
        <w:t xml:space="preserve"> </w:t>
      </w:r>
      <w:r w:rsidR="000203B3" w:rsidRPr="00812C16">
        <w:rPr>
          <w:rFonts w:cs="Arial"/>
        </w:rPr>
        <w:t xml:space="preserve">als </w:t>
      </w:r>
      <w:proofErr w:type="spellStart"/>
      <w:r w:rsidR="000203B3" w:rsidRPr="00812C16">
        <w:rPr>
          <w:rFonts w:cs="Arial"/>
        </w:rPr>
        <w:t>l“Tumor</w:t>
      </w:r>
      <w:proofErr w:type="spellEnd"/>
      <w:r w:rsidR="000203B3" w:rsidRPr="00812C16">
        <w:rPr>
          <w:rFonts w:cs="Arial"/>
        </w:rPr>
        <w:t>-initiierende Zellen" bezeichnet</w:t>
      </w:r>
      <w:r w:rsidR="00452196" w:rsidRPr="00812C16">
        <w:rPr>
          <w:rFonts w:cs="Arial"/>
        </w:rPr>
        <w:t xml:space="preserve"> </w:t>
      </w:r>
      <w:r w:rsidR="000112D9">
        <w:rPr>
          <w:rFonts w:cs="Arial"/>
        </w:rPr>
        <w:fldChar w:fldCharType="begin">
          <w:fldData xml:space="preserve">PEVuZE5vdGU+PENpdGU+PEF1dGhvcj5DbGFya2U8L0F1dGhvcj48WWVhcj4yMDA2PC9ZZWFyPjxS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23" w:tooltip="Clarke, 2006 #757" w:history="1">
        <w:r w:rsidR="009D0F7A" w:rsidRPr="009D0F7A">
          <w:rPr>
            <w:rStyle w:val="Hyperlink"/>
          </w:rPr>
          <w:t>Clarke &amp; Meniel, 2006</w:t>
        </w:r>
      </w:hyperlink>
      <w:r w:rsidR="000112D9">
        <w:rPr>
          <w:rFonts w:cs="Arial"/>
          <w:noProof/>
        </w:rPr>
        <w:t>)</w:t>
      </w:r>
      <w:r w:rsidR="000112D9">
        <w:rPr>
          <w:rFonts w:cs="Arial"/>
        </w:rPr>
        <w:fldChar w:fldCharType="end"/>
      </w:r>
      <w:r w:rsidR="00452196" w:rsidRPr="00812C16">
        <w:rPr>
          <w:rFonts w:cs="Arial"/>
        </w:rPr>
        <w:t xml:space="preserve">. </w:t>
      </w:r>
      <w:r w:rsidR="000203B3" w:rsidRPr="00812C16">
        <w:rPr>
          <w:rFonts w:cs="Arial"/>
        </w:rPr>
        <w:t xml:space="preserve">Tumorzellen mit Stammzelleigenschaften sind durch eine phänotypische Plastizität charakterisiert, sie können sich in Nicht- Stammzellen und vice </w:t>
      </w:r>
      <w:proofErr w:type="spellStart"/>
      <w:r w:rsidR="000203B3" w:rsidRPr="00812C16">
        <w:rPr>
          <w:rFonts w:cs="Arial"/>
        </w:rPr>
        <w:t>versa</w:t>
      </w:r>
      <w:proofErr w:type="spellEnd"/>
      <w:r w:rsidR="000203B3" w:rsidRPr="00812C16">
        <w:rPr>
          <w:rFonts w:cs="Arial"/>
        </w:rPr>
        <w:t xml:space="preserve"> umwandeln Die Aktivierung erfolgt dabei häufig über genetische Mutationen, was wiederum zu verschiedenen klonalen Subpopulationen und folglich zum hetero- </w:t>
      </w:r>
      <w:proofErr w:type="spellStart"/>
      <w:r w:rsidR="000203B3" w:rsidRPr="00812C16">
        <w:rPr>
          <w:rFonts w:cs="Arial"/>
        </w:rPr>
        <w:t>genen</w:t>
      </w:r>
      <w:proofErr w:type="spellEnd"/>
      <w:r w:rsidR="000203B3" w:rsidRPr="00812C16">
        <w:rPr>
          <w:rFonts w:cs="Arial"/>
        </w:rPr>
        <w:t xml:space="preserve"> Therapieansprechen bis hin zur Therapieresistenz führen kann (</w:t>
      </w:r>
      <w:proofErr w:type="spellStart"/>
      <w:r w:rsidR="000203B3" w:rsidRPr="00812C16">
        <w:rPr>
          <w:rFonts w:cs="Arial"/>
        </w:rPr>
        <w:t>Plaks</w:t>
      </w:r>
      <w:proofErr w:type="spellEnd"/>
      <w:r w:rsidR="000203B3" w:rsidRPr="00812C16">
        <w:rPr>
          <w:rFonts w:cs="Arial"/>
        </w:rPr>
        <w:t xml:space="preserve"> et </w:t>
      </w:r>
      <w:proofErr w:type="gramStart"/>
      <w:r w:rsidR="000203B3" w:rsidRPr="00812C16">
        <w:rPr>
          <w:rFonts w:cs="Arial"/>
        </w:rPr>
        <w:t>al ,</w:t>
      </w:r>
      <w:proofErr w:type="gramEnd"/>
      <w:r w:rsidR="000203B3" w:rsidRPr="00812C16">
        <w:rPr>
          <w:rFonts w:cs="Arial"/>
        </w:rPr>
        <w:t xml:space="preserve"> 2015). Zudem können die Tumorstammzellen auch in einen vorübergehenden ruhenden Zustand eintreten und sich somit der Therapie entziehen (</w:t>
      </w:r>
      <w:proofErr w:type="spellStart"/>
      <w:r w:rsidR="000203B3" w:rsidRPr="00812C16">
        <w:rPr>
          <w:rFonts w:cs="Arial"/>
        </w:rPr>
        <w:t>Kreso</w:t>
      </w:r>
      <w:proofErr w:type="spellEnd"/>
      <w:r w:rsidR="000203B3" w:rsidRPr="00812C16">
        <w:rPr>
          <w:rFonts w:cs="Arial"/>
        </w:rPr>
        <w:t xml:space="preserve"> et al., 2013).</w:t>
      </w:r>
    </w:p>
    <w:p w14:paraId="2EBD7229" w14:textId="77777777" w:rsidR="004E53FF" w:rsidRPr="00812C16" w:rsidRDefault="004E53FF" w:rsidP="00530223">
      <w:pPr>
        <w:jc w:val="left"/>
        <w:rPr>
          <w:rFonts w:cs="Arial"/>
        </w:rPr>
        <w:sectPr w:rsidR="004E53FF" w:rsidRPr="00812C16" w:rsidSect="00AB18EC">
          <w:headerReference w:type="default" r:id="rId14"/>
          <w:type w:val="continuous"/>
          <w:pgSz w:w="11906" w:h="16838"/>
          <w:pgMar w:top="1418" w:right="1418" w:bottom="1134" w:left="1418" w:header="709" w:footer="709" w:gutter="0"/>
          <w:pgNumType w:fmt="numberInDash"/>
          <w:cols w:space="708"/>
          <w:docGrid w:linePitch="360"/>
        </w:sectPr>
      </w:pPr>
    </w:p>
    <w:p w14:paraId="34D15B2C" w14:textId="77777777" w:rsidR="003F323B" w:rsidRPr="00812C16" w:rsidRDefault="003F323B" w:rsidP="003F323B">
      <w:pPr>
        <w:pStyle w:val="berschrift2"/>
        <w:rPr>
          <w:rFonts w:cs="Arial"/>
        </w:rPr>
      </w:pPr>
      <w:bookmarkStart w:id="24" w:name="_Toc158006520"/>
      <w:r w:rsidRPr="00812C16">
        <w:rPr>
          <w:rFonts w:cs="Arial"/>
        </w:rPr>
        <w:t>Tumorstammzellen als Biomarker für die Individualisierung in der Strahlentherapie</w:t>
      </w:r>
      <w:bookmarkEnd w:id="24"/>
      <w:r w:rsidRPr="00812C16">
        <w:rPr>
          <w:rFonts w:cs="Arial"/>
        </w:rPr>
        <w:t xml:space="preserve"> </w:t>
      </w:r>
    </w:p>
    <w:p w14:paraId="5EA37D60" w14:textId="1E310C8F" w:rsidR="003F323B" w:rsidRPr="00812C16" w:rsidRDefault="003F323B" w:rsidP="003F323B">
      <w:pPr>
        <w:shd w:val="clear" w:color="auto" w:fill="FFFF00"/>
        <w:spacing w:after="0"/>
        <w:rPr>
          <w:rFonts w:cs="Arial"/>
        </w:rPr>
      </w:pPr>
      <w:r w:rsidRPr="00812C16">
        <w:rPr>
          <w:rFonts w:cs="Arial"/>
        </w:rPr>
        <w:t>Der Begriff Biomarker wird definiert "als ein Charakteristikum, das ein objektiv messbarer und evaluierbarer Indikator von normalen biologischen Prozessen, pathogenen Prozessen oder pharmakologischem Ansprechen auf eine therapeutische Intervention ist“</w:t>
      </w:r>
      <w:r w:rsidR="000112D9">
        <w:rPr>
          <w:rFonts w:cs="Arial"/>
        </w:rPr>
        <w:fldChar w:fldCharType="begin">
          <w:fldData xml:space="preserve">PEVuZE5vdGU+PENpdGU+PEF1dGhvcj5CaW9tYXJrZXJzIERlZmluaXRpb25zIFdvcmtpbmc8L0F1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10" w:tooltip="Biomarkers Definitions Working, 2001 #470" w:history="1">
        <w:r w:rsidR="009D0F7A" w:rsidRPr="009D0F7A">
          <w:rPr>
            <w:rStyle w:val="Hyperlink"/>
          </w:rPr>
          <w:t>Biomarkers Definitions Working, 2001</w:t>
        </w:r>
      </w:hyperlink>
      <w:r w:rsidR="000112D9">
        <w:rPr>
          <w:rFonts w:cs="Arial"/>
          <w:noProof/>
        </w:rPr>
        <w:t>)</w:t>
      </w:r>
      <w:r w:rsidR="000112D9">
        <w:rPr>
          <w:rFonts w:cs="Arial"/>
        </w:rPr>
        <w:fldChar w:fldCharType="end"/>
      </w:r>
      <w:r w:rsidRPr="00812C16">
        <w:rPr>
          <w:rFonts w:cs="Arial"/>
        </w:rPr>
        <w:t xml:space="preserve">. Dabei kann es sich um einen einzelnen Biomarker handeln, wie beispiels- weise das Prostata-spezifische Antigen (PSA) </w:t>
      </w:r>
      <w:proofErr w:type="spellStart"/>
      <w:r w:rsidRPr="00812C16">
        <w:rPr>
          <w:rFonts w:cs="Arial"/>
        </w:rPr>
        <w:t>für</w:t>
      </w:r>
      <w:proofErr w:type="spellEnd"/>
      <w:r w:rsidRPr="00812C16">
        <w:rPr>
          <w:rFonts w:cs="Arial"/>
        </w:rPr>
        <w:t xml:space="preserve"> das Prostatakarzinom. Zudem werden zunehmend </w:t>
      </w:r>
      <w:proofErr w:type="spellStart"/>
      <w:r w:rsidRPr="00812C16">
        <w:rPr>
          <w:rFonts w:cs="Arial"/>
        </w:rPr>
        <w:t>Biomarkersignaturen</w:t>
      </w:r>
      <w:proofErr w:type="spellEnd"/>
      <w:r w:rsidRPr="00812C16">
        <w:rPr>
          <w:rFonts w:cs="Arial"/>
        </w:rPr>
        <w:t xml:space="preserve"> entwickelt, die aus mehreren einzelnen Biomarken bestehen und damit insbesondere die </w:t>
      </w:r>
      <w:proofErr w:type="spellStart"/>
      <w:r w:rsidRPr="00812C16">
        <w:rPr>
          <w:rFonts w:cs="Arial"/>
        </w:rPr>
        <w:t>lntertumorale</w:t>
      </w:r>
      <w:proofErr w:type="spellEnd"/>
      <w:r w:rsidRPr="00812C16">
        <w:rPr>
          <w:rFonts w:cs="Arial"/>
        </w:rPr>
        <w:t xml:space="preserve"> </w:t>
      </w:r>
      <w:proofErr w:type="spellStart"/>
      <w:r w:rsidRPr="00812C16">
        <w:rPr>
          <w:rFonts w:cs="Arial"/>
        </w:rPr>
        <w:t>Heterogenität</w:t>
      </w:r>
      <w:proofErr w:type="spellEnd"/>
      <w:r w:rsidRPr="00812C16">
        <w:rPr>
          <w:rFonts w:cs="Arial"/>
        </w:rPr>
        <w:t xml:space="preserve"> verschiedener Parameter potentiell besser abbilden </w:t>
      </w:r>
      <w:proofErr w:type="spellStart"/>
      <w:r w:rsidRPr="00812C16">
        <w:rPr>
          <w:rFonts w:cs="Arial"/>
        </w:rPr>
        <w:t>können</w:t>
      </w:r>
      <w:proofErr w:type="spellEnd"/>
      <w:r w:rsidRPr="00812C16">
        <w:rPr>
          <w:rFonts w:cs="Arial"/>
        </w:rPr>
        <w:t xml:space="preserve"> (Abraham et al., 2010, Wu et al., 2012, </w:t>
      </w:r>
      <w:proofErr w:type="spellStart"/>
      <w:r w:rsidRPr="00812C16">
        <w:rPr>
          <w:rFonts w:cs="Arial"/>
        </w:rPr>
        <w:t>Yaromina</w:t>
      </w:r>
      <w:proofErr w:type="spellEnd"/>
      <w:r w:rsidRPr="00812C16">
        <w:rPr>
          <w:rFonts w:cs="Arial"/>
        </w:rPr>
        <w:t xml:space="preserve"> et al., 2012, </w:t>
      </w:r>
      <w:proofErr w:type="spellStart"/>
      <w:r w:rsidRPr="00812C16">
        <w:rPr>
          <w:rFonts w:cs="Arial"/>
        </w:rPr>
        <w:t>Marioni</w:t>
      </w:r>
      <w:proofErr w:type="spellEnd"/>
      <w:r w:rsidRPr="00812C16">
        <w:rPr>
          <w:rFonts w:cs="Arial"/>
        </w:rPr>
        <w:t xml:space="preserve"> et </w:t>
      </w:r>
      <w:proofErr w:type="gramStart"/>
      <w:r w:rsidRPr="00812C16">
        <w:rPr>
          <w:rFonts w:cs="Arial"/>
        </w:rPr>
        <w:t>al..</w:t>
      </w:r>
      <w:proofErr w:type="gramEnd"/>
      <w:r w:rsidRPr="00812C16">
        <w:rPr>
          <w:rFonts w:cs="Arial"/>
        </w:rPr>
        <w:t xml:space="preserve"> 2014). </w:t>
      </w:r>
    </w:p>
    <w:p w14:paraId="410DB646" w14:textId="77777777" w:rsidR="003F323B" w:rsidRPr="00812C16" w:rsidRDefault="003F323B" w:rsidP="003F323B">
      <w:pPr>
        <w:shd w:val="clear" w:color="auto" w:fill="FFFF00"/>
        <w:rPr>
          <w:rFonts w:cs="Arial"/>
        </w:rPr>
      </w:pPr>
      <w:r w:rsidRPr="00812C16">
        <w:rPr>
          <w:rFonts w:cs="Arial"/>
        </w:rPr>
        <w:t xml:space="preserve">Prinzipiell wird zwischen prognostischen und </w:t>
      </w:r>
      <w:proofErr w:type="spellStart"/>
      <w:r w:rsidRPr="00812C16">
        <w:rPr>
          <w:rFonts w:cs="Arial"/>
        </w:rPr>
        <w:t>prädiktiven</w:t>
      </w:r>
      <w:proofErr w:type="spellEnd"/>
      <w:r w:rsidRPr="00812C16">
        <w:rPr>
          <w:rFonts w:cs="Arial"/>
        </w:rPr>
        <w:t xml:space="preserve"> </w:t>
      </w:r>
      <w:proofErr w:type="spellStart"/>
      <w:r w:rsidRPr="00812C16">
        <w:rPr>
          <w:rFonts w:cs="Arial"/>
        </w:rPr>
        <w:t>Biomarkem</w:t>
      </w:r>
      <w:proofErr w:type="spellEnd"/>
      <w:r w:rsidRPr="00812C16">
        <w:rPr>
          <w:rFonts w:cs="Arial"/>
        </w:rPr>
        <w:t xml:space="preserve"> unterschieden. Prognos- tische </w:t>
      </w:r>
      <w:proofErr w:type="spellStart"/>
      <w:r w:rsidRPr="00812C16">
        <w:rPr>
          <w:rFonts w:cs="Arial"/>
        </w:rPr>
        <w:t>Blomarker</w:t>
      </w:r>
      <w:proofErr w:type="spellEnd"/>
      <w:r w:rsidRPr="00812C16">
        <w:rPr>
          <w:rFonts w:cs="Arial"/>
        </w:rPr>
        <w:t xml:space="preserve"> </w:t>
      </w:r>
      <w:proofErr w:type="spellStart"/>
      <w:r w:rsidRPr="00812C16">
        <w:rPr>
          <w:rFonts w:cs="Arial"/>
        </w:rPr>
        <w:t>infonnieren</w:t>
      </w:r>
      <w:proofErr w:type="spellEnd"/>
      <w:r w:rsidRPr="00812C16">
        <w:rPr>
          <w:rFonts w:cs="Arial"/>
        </w:rPr>
        <w:t xml:space="preserve"> </w:t>
      </w:r>
      <w:proofErr w:type="spellStart"/>
      <w:r w:rsidRPr="00812C16">
        <w:rPr>
          <w:rFonts w:cs="Arial"/>
        </w:rPr>
        <w:t>über</w:t>
      </w:r>
      <w:proofErr w:type="spellEnd"/>
      <w:r w:rsidRPr="00812C16">
        <w:rPr>
          <w:rFonts w:cs="Arial"/>
        </w:rPr>
        <w:t xml:space="preserve"> den voraussichtlich zu erwartenden </w:t>
      </w:r>
      <w:r w:rsidRPr="00812C16">
        <w:rPr>
          <w:rFonts w:cs="Arial"/>
        </w:rPr>
        <w:lastRenderedPageBreak/>
        <w:t xml:space="preserve">Verlauf der Erkrankung (McGuire und Clark, 1992. </w:t>
      </w:r>
      <w:proofErr w:type="spellStart"/>
      <w:r w:rsidRPr="00812C16">
        <w:rPr>
          <w:rFonts w:cs="Arial"/>
        </w:rPr>
        <w:t>Oldenhuis</w:t>
      </w:r>
      <w:proofErr w:type="spellEnd"/>
      <w:r w:rsidRPr="00812C16">
        <w:rPr>
          <w:rFonts w:cs="Arial"/>
        </w:rPr>
        <w:t xml:space="preserve"> et al., 2008, </w:t>
      </w:r>
      <w:proofErr w:type="spellStart"/>
      <w:r w:rsidRPr="00812C16">
        <w:rPr>
          <w:rFonts w:cs="Arial"/>
        </w:rPr>
        <w:t>Ballman</w:t>
      </w:r>
      <w:proofErr w:type="spellEnd"/>
      <w:r w:rsidRPr="00812C16">
        <w:rPr>
          <w:rFonts w:cs="Arial"/>
        </w:rPr>
        <w:t xml:space="preserve">, 2015, </w:t>
      </w:r>
      <w:proofErr w:type="spellStart"/>
      <w:r w:rsidRPr="00812C16">
        <w:rPr>
          <w:rFonts w:cs="Arial"/>
        </w:rPr>
        <w:t>Califf</w:t>
      </w:r>
      <w:proofErr w:type="spellEnd"/>
      <w:r w:rsidRPr="00812C16">
        <w:rPr>
          <w:rFonts w:cs="Arial"/>
        </w:rPr>
        <w:t xml:space="preserve">, 2018). Dagegen werden Biomarker als </w:t>
      </w:r>
      <w:proofErr w:type="spellStart"/>
      <w:r w:rsidRPr="00812C16">
        <w:rPr>
          <w:rFonts w:cs="Arial"/>
        </w:rPr>
        <w:t>prädiktiv</w:t>
      </w:r>
      <w:proofErr w:type="spellEnd"/>
      <w:r w:rsidRPr="00812C16">
        <w:rPr>
          <w:rFonts w:cs="Arial"/>
        </w:rPr>
        <w:t xml:space="preserve"> bezeichnet, wenn sich der Erfolg einer spezifischen Behandlung zwischen </w:t>
      </w:r>
      <w:proofErr w:type="spellStart"/>
      <w:r w:rsidRPr="00812C16">
        <w:rPr>
          <w:rFonts w:cs="Arial"/>
        </w:rPr>
        <w:t>Biomarl</w:t>
      </w:r>
      <w:proofErr w:type="spellEnd"/>
      <w:r w:rsidRPr="00812C16">
        <w:rPr>
          <w:rFonts w:cs="Arial"/>
        </w:rPr>
        <w:t>&lt;er-positiven und -negativen Patienten signifikant unterscheidet (</w:t>
      </w:r>
      <w:proofErr w:type="spellStart"/>
      <w:r w:rsidRPr="00812C16">
        <w:rPr>
          <w:rFonts w:cs="Arial"/>
        </w:rPr>
        <w:t>Oldenhuis</w:t>
      </w:r>
      <w:proofErr w:type="spellEnd"/>
      <w:r w:rsidRPr="00812C16">
        <w:rPr>
          <w:rFonts w:cs="Arial"/>
        </w:rPr>
        <w:t xml:space="preserve"> et al., 2008. </w:t>
      </w:r>
      <w:proofErr w:type="spellStart"/>
      <w:r w:rsidRPr="00812C16">
        <w:rPr>
          <w:rFonts w:cs="Arial"/>
        </w:rPr>
        <w:t>Ballman</w:t>
      </w:r>
      <w:proofErr w:type="spellEnd"/>
      <w:r w:rsidRPr="00812C16">
        <w:rPr>
          <w:rFonts w:cs="Arial"/>
        </w:rPr>
        <w:t xml:space="preserve">. 2015). Die Identifikation eines </w:t>
      </w:r>
      <w:proofErr w:type="spellStart"/>
      <w:r w:rsidRPr="00812C16">
        <w:rPr>
          <w:rFonts w:cs="Arial"/>
        </w:rPr>
        <w:t>prädiktiven</w:t>
      </w:r>
      <w:proofErr w:type="spellEnd"/>
      <w:r w:rsidRPr="00812C16">
        <w:rPr>
          <w:rFonts w:cs="Arial"/>
        </w:rPr>
        <w:t xml:space="preserve"> Biomarkers erfolgt an Interventionsstudien, die den Therapieerfolg zwischen mindestens zwei Behandlungsarmen, dem Standardtherapie- Arm und einem experimentellen Arm, vergleichen (</w:t>
      </w:r>
      <w:proofErr w:type="spellStart"/>
      <w:r w:rsidRPr="00812C16">
        <w:rPr>
          <w:rFonts w:cs="Arial"/>
        </w:rPr>
        <w:t>Ballman</w:t>
      </w:r>
      <w:proofErr w:type="spellEnd"/>
      <w:r w:rsidRPr="00812C16">
        <w:rPr>
          <w:rFonts w:cs="Arial"/>
        </w:rPr>
        <w:t xml:space="preserve">, 2015). Zudem </w:t>
      </w:r>
      <w:proofErr w:type="spellStart"/>
      <w:r w:rsidRPr="00812C16">
        <w:rPr>
          <w:rFonts w:cs="Arial"/>
        </w:rPr>
        <w:t>können</w:t>
      </w:r>
      <w:proofErr w:type="spellEnd"/>
      <w:r w:rsidRPr="00812C16">
        <w:rPr>
          <w:rFonts w:cs="Arial"/>
        </w:rPr>
        <w:t xml:space="preserve"> Biomarker so- wohl einen prognostischen als auch einen </w:t>
      </w:r>
      <w:proofErr w:type="spellStart"/>
      <w:r w:rsidRPr="00812C16">
        <w:rPr>
          <w:rFonts w:cs="Arial"/>
        </w:rPr>
        <w:t>prädiktlven</w:t>
      </w:r>
      <w:proofErr w:type="spellEnd"/>
      <w:r w:rsidRPr="00812C16">
        <w:rPr>
          <w:rFonts w:cs="Arial"/>
        </w:rPr>
        <w:t xml:space="preserve"> Wert besitzen, wenn </w:t>
      </w:r>
      <w:proofErr w:type="spellStart"/>
      <w:r w:rsidRPr="00812C16">
        <w:rPr>
          <w:rFonts w:cs="Arial"/>
        </w:rPr>
        <w:t>Biomarl</w:t>
      </w:r>
      <w:proofErr w:type="spellEnd"/>
      <w:r w:rsidRPr="00812C16">
        <w:rPr>
          <w:rFonts w:cs="Arial"/>
        </w:rPr>
        <w:t>&lt;er-positive Übersichtsarbeit wird zusammengefasst, dass Zellen mit einer hohen p53-Wildtyp-</w:t>
      </w:r>
      <w:proofErr w:type="gramStart"/>
      <w:r w:rsidRPr="00812C16">
        <w:rPr>
          <w:rFonts w:cs="Arial"/>
        </w:rPr>
        <w:t>E.xpressK</w:t>
      </w:r>
      <w:proofErr w:type="gramEnd"/>
      <w:r w:rsidRPr="00812C16">
        <w:rPr>
          <w:rFonts w:cs="Arial"/>
        </w:rPr>
        <w:t xml:space="preserve">&gt;n meistens rad1osensit1verals solche mit einer </w:t>
      </w:r>
      <w:proofErr w:type="spellStart"/>
      <w:r w:rsidRPr="00812C16">
        <w:rPr>
          <w:rFonts w:cs="Arial"/>
        </w:rPr>
        <w:t>niedngeren</w:t>
      </w:r>
      <w:proofErr w:type="spellEnd"/>
      <w:r w:rsidRPr="00812C16">
        <w:rPr>
          <w:rFonts w:cs="Arial"/>
        </w:rPr>
        <w:t xml:space="preserve"> p53-Express1onsind (</w:t>
      </w:r>
      <w:proofErr w:type="spellStart"/>
      <w:r w:rsidRPr="00812C16">
        <w:rPr>
          <w:rFonts w:cs="Arial"/>
        </w:rPr>
        <w:t>Llu</w:t>
      </w:r>
      <w:proofErr w:type="spellEnd"/>
      <w:r w:rsidRPr="00812C16">
        <w:rPr>
          <w:rFonts w:cs="Arial"/>
        </w:rPr>
        <w:t xml:space="preserve"> et al. 2018). In einer </w:t>
      </w:r>
      <w:proofErr w:type="spellStart"/>
      <w:r w:rsidRPr="00812C16">
        <w:rPr>
          <w:rFonts w:cs="Arial"/>
        </w:rPr>
        <w:t>präkhnischen</w:t>
      </w:r>
      <w:proofErr w:type="spellEnd"/>
      <w:r w:rsidRPr="00812C16">
        <w:rPr>
          <w:rFonts w:cs="Arial"/>
        </w:rPr>
        <w:t xml:space="preserve"> Studie an 20 Kopf-Hals-</w:t>
      </w:r>
      <w:proofErr w:type="spellStart"/>
      <w:r w:rsidRPr="00812C16">
        <w:rPr>
          <w:rFonts w:cs="Arial"/>
        </w:rPr>
        <w:t>Tumorzellhnien</w:t>
      </w:r>
      <w:proofErr w:type="spellEnd"/>
      <w:r w:rsidRPr="00812C16">
        <w:rPr>
          <w:rFonts w:cs="Arial"/>
        </w:rPr>
        <w:t xml:space="preserve"> konnte aber auch gezeigt werden, dass p53-mutierte Zellen zum Tell durch eine erhöhte Strahlensensitivität </w:t>
      </w:r>
      <w:proofErr w:type="spellStart"/>
      <w:r w:rsidRPr="00812C16">
        <w:rPr>
          <w:rFonts w:cs="Arial"/>
        </w:rPr>
        <w:t>charaktensiert</w:t>
      </w:r>
      <w:proofErr w:type="spellEnd"/>
      <w:r w:rsidRPr="00812C16">
        <w:rPr>
          <w:rFonts w:cs="Arial"/>
        </w:rPr>
        <w:t xml:space="preserve"> sein </w:t>
      </w:r>
      <w:proofErr w:type="spellStart"/>
      <w:r w:rsidRPr="00812C16">
        <w:rPr>
          <w:rFonts w:cs="Arial"/>
        </w:rPr>
        <w:t>kön</w:t>
      </w:r>
      <w:proofErr w:type="spellEnd"/>
      <w:r w:rsidRPr="00812C16">
        <w:rPr>
          <w:rFonts w:cs="Arial"/>
        </w:rPr>
        <w:t xml:space="preserve">- </w:t>
      </w:r>
      <w:proofErr w:type="spellStart"/>
      <w:r w:rsidRPr="00812C16">
        <w:rPr>
          <w:rFonts w:cs="Arial"/>
        </w:rPr>
        <w:t>nen</w:t>
      </w:r>
      <w:proofErr w:type="spellEnd"/>
      <w:r w:rsidRPr="00812C16">
        <w:rPr>
          <w:rFonts w:cs="Arial"/>
        </w:rPr>
        <w:t xml:space="preserve">, wobei die Strahlenempfindlichkeit stark abhängig ist von der Mutat1onsartsowie von der Lo- </w:t>
      </w:r>
      <w:proofErr w:type="spellStart"/>
      <w:r w:rsidRPr="00812C16">
        <w:rPr>
          <w:rFonts w:cs="Arial"/>
        </w:rPr>
        <w:t>kalisation</w:t>
      </w:r>
      <w:proofErr w:type="spellEnd"/>
      <w:r w:rsidRPr="00812C16">
        <w:rPr>
          <w:rFonts w:cs="Arial"/>
        </w:rPr>
        <w:t xml:space="preserve"> der Mutation (</w:t>
      </w:r>
      <w:proofErr w:type="spellStart"/>
      <w:r w:rsidRPr="00812C16">
        <w:rPr>
          <w:rFonts w:cs="Arial"/>
        </w:rPr>
        <w:t>Servomaa</w:t>
      </w:r>
      <w:proofErr w:type="spellEnd"/>
      <w:r w:rsidRPr="00812C16">
        <w:rPr>
          <w:rFonts w:cs="Arial"/>
        </w:rPr>
        <w:t xml:space="preserve"> et al., 1996) Dabei sind be1sp1elsweisestrukturverändemde Mutationen In dem codierenden TP5318-Gen mit aggressiveren Tumore1genschaften assoz11ert</w:t>
      </w:r>
    </w:p>
    <w:p w14:paraId="46167292" w14:textId="77777777" w:rsidR="003F323B" w:rsidRPr="00812C16" w:rsidRDefault="003F323B" w:rsidP="003F323B">
      <w:pPr>
        <w:shd w:val="clear" w:color="auto" w:fill="FFFF00"/>
        <w:rPr>
          <w:rFonts w:cs="Arial"/>
        </w:rPr>
      </w:pPr>
      <w:r w:rsidRPr="00812C16">
        <w:rPr>
          <w:rFonts w:cs="Arial"/>
        </w:rPr>
        <w:t>(</w:t>
      </w:r>
      <w:proofErr w:type="spellStart"/>
      <w:r w:rsidRPr="00812C16">
        <w:rPr>
          <w:rFonts w:cs="Arial"/>
        </w:rPr>
        <w:t>Lindenbergh</w:t>
      </w:r>
      <w:proofErr w:type="spellEnd"/>
      <w:r w:rsidRPr="00812C16">
        <w:rPr>
          <w:rFonts w:cs="Arial"/>
        </w:rPr>
        <w:t xml:space="preserve">-van der Plas et </w:t>
      </w:r>
      <w:proofErr w:type="gramStart"/>
      <w:r w:rsidRPr="00812C16">
        <w:rPr>
          <w:rFonts w:cs="Arial"/>
        </w:rPr>
        <w:t>al ,</w:t>
      </w:r>
      <w:proofErr w:type="gramEnd"/>
      <w:r w:rsidRPr="00812C16">
        <w:rPr>
          <w:rFonts w:cs="Arial"/>
        </w:rPr>
        <w:t xml:space="preserve"> 2011, Sano et al . 2011). In einer weiteren Studie an Patienten mit Kopf-Hals-Plattenep1thelkarzinomen konnte gezeigt werden, dass </w:t>
      </w:r>
      <w:proofErr w:type="spellStart"/>
      <w:r w:rsidRPr="00812C16">
        <w:rPr>
          <w:rFonts w:cs="Arial"/>
        </w:rPr>
        <w:t>strukturverändemde</w:t>
      </w:r>
      <w:proofErr w:type="spellEnd"/>
      <w:r w:rsidRPr="00812C16">
        <w:rPr>
          <w:rFonts w:cs="Arial"/>
        </w:rPr>
        <w:t xml:space="preserve"> </w:t>
      </w:r>
      <w:proofErr w:type="spellStart"/>
      <w:r w:rsidRPr="00812C16">
        <w:rPr>
          <w:rFonts w:cs="Arial"/>
        </w:rPr>
        <w:t>Muta</w:t>
      </w:r>
      <w:proofErr w:type="spellEnd"/>
      <w:r w:rsidRPr="00812C16">
        <w:rPr>
          <w:rFonts w:cs="Arial"/>
        </w:rPr>
        <w:t xml:space="preserve">- </w:t>
      </w:r>
      <w:proofErr w:type="spellStart"/>
      <w:r w:rsidRPr="00812C16">
        <w:rPr>
          <w:rFonts w:cs="Arial"/>
        </w:rPr>
        <w:t>tionen</w:t>
      </w:r>
      <w:proofErr w:type="spellEnd"/>
      <w:r w:rsidRPr="00812C16">
        <w:rPr>
          <w:rFonts w:cs="Arial"/>
        </w:rPr>
        <w:t xml:space="preserve"> Ober die Inhibierung der Seneszenz zu einer erhöhten Strahlenresistenz und folglich zu </w:t>
      </w:r>
      <w:proofErr w:type="spellStart"/>
      <w:r w:rsidRPr="00812C16">
        <w:rPr>
          <w:rFonts w:cs="Arial"/>
        </w:rPr>
        <w:t>emer</w:t>
      </w:r>
      <w:proofErr w:type="spellEnd"/>
      <w:r w:rsidRPr="00812C16">
        <w:rPr>
          <w:rFonts w:cs="Arial"/>
        </w:rPr>
        <w:t xml:space="preserve"> hohen Lokalrez1divrateführen können (Skinner et al., 2012). Diese Daten (v1desupra) </w:t>
      </w:r>
      <w:proofErr w:type="spellStart"/>
      <w:r w:rsidRPr="00812C16">
        <w:rPr>
          <w:rFonts w:cs="Arial"/>
        </w:rPr>
        <w:t>ste</w:t>
      </w:r>
      <w:proofErr w:type="spellEnd"/>
      <w:r w:rsidRPr="00812C16">
        <w:rPr>
          <w:rFonts w:cs="Arial"/>
        </w:rPr>
        <w:t xml:space="preserve">- </w:t>
      </w:r>
      <w:proofErr w:type="spellStart"/>
      <w:r w:rsidRPr="00812C16">
        <w:rPr>
          <w:rFonts w:cs="Arial"/>
        </w:rPr>
        <w:t>hen</w:t>
      </w:r>
      <w:proofErr w:type="spellEnd"/>
      <w:r w:rsidRPr="00812C16">
        <w:rPr>
          <w:rFonts w:cs="Arial"/>
        </w:rPr>
        <w:t xml:space="preserve"> im Widerspruch zu einer früheren präklinischen Arbeit an 24 Kopf-Hals-</w:t>
      </w:r>
      <w:proofErr w:type="spellStart"/>
      <w:r w:rsidRPr="00812C16">
        <w:rPr>
          <w:rFonts w:cs="Arial"/>
        </w:rPr>
        <w:t>Tumorzellhnien</w:t>
      </w:r>
      <w:proofErr w:type="spellEnd"/>
      <w:r w:rsidRPr="00812C16">
        <w:rPr>
          <w:rFonts w:cs="Arial"/>
        </w:rPr>
        <w:t xml:space="preserve">, die keine Assoziation zwischen der Strahlensensitivität und dem Mutationstyp oder der </w:t>
      </w:r>
      <w:proofErr w:type="spellStart"/>
      <w:r w:rsidRPr="00812C16">
        <w:rPr>
          <w:rFonts w:cs="Arial"/>
        </w:rPr>
        <w:t>Lokalisallon</w:t>
      </w:r>
      <w:proofErr w:type="spellEnd"/>
      <w:r w:rsidRPr="00812C16">
        <w:rPr>
          <w:rFonts w:cs="Arial"/>
        </w:rPr>
        <w:t xml:space="preserve"> der Mutation zeigen konnte (</w:t>
      </w:r>
      <w:proofErr w:type="spellStart"/>
      <w:r w:rsidRPr="00812C16">
        <w:rPr>
          <w:rFonts w:cs="Arial"/>
        </w:rPr>
        <w:t>Brachman</w:t>
      </w:r>
      <w:proofErr w:type="spellEnd"/>
      <w:r w:rsidRPr="00812C16">
        <w:rPr>
          <w:rFonts w:cs="Arial"/>
        </w:rPr>
        <w:t xml:space="preserve"> et al., 1993).</w:t>
      </w:r>
    </w:p>
    <w:p w14:paraId="66362E64" w14:textId="77777777" w:rsidR="003F323B" w:rsidRDefault="003F323B" w:rsidP="003F323B">
      <w:pPr>
        <w:shd w:val="clear" w:color="auto" w:fill="FFFF00"/>
        <w:spacing w:after="0"/>
        <w:rPr>
          <w:rFonts w:cs="Arial"/>
        </w:rPr>
      </w:pPr>
      <w:r w:rsidRPr="00812C16">
        <w:rPr>
          <w:rFonts w:cs="Arial"/>
        </w:rPr>
        <w:t xml:space="preserve">Weitere Marker zur Beurteilung der intrinsischen Radiosensitivität stellen beispielsweise der EGFR und die durch ihn aktivierten Signalwege (vide </w:t>
      </w:r>
      <w:proofErr w:type="spellStart"/>
      <w:r w:rsidRPr="00812C16">
        <w:rPr>
          <w:rFonts w:cs="Arial"/>
        </w:rPr>
        <w:t>supra</w:t>
      </w:r>
      <w:proofErr w:type="spellEnd"/>
      <w:r w:rsidRPr="00812C16">
        <w:rPr>
          <w:rFonts w:cs="Arial"/>
        </w:rPr>
        <w:t>) dar Darüber hinaus sind Kopf-Hals- Plattenepithelkarzinome, die sich auf eine HPV-</w:t>
      </w:r>
      <w:proofErr w:type="spellStart"/>
      <w:r w:rsidRPr="00812C16">
        <w:rPr>
          <w:rFonts w:cs="Arial"/>
        </w:rPr>
        <w:t>lnfektion</w:t>
      </w:r>
      <w:proofErr w:type="spellEnd"/>
      <w:r w:rsidRPr="00812C16">
        <w:rPr>
          <w:rFonts w:cs="Arial"/>
        </w:rPr>
        <w:t xml:space="preserve"> zurückführen lassen, durch eine erhöhte intrinsische Radiosensitivität charakterisiert. Darauf soll im Kapitel 1.4 detaillierter eingegangen werden. </w:t>
      </w:r>
    </w:p>
    <w:p w14:paraId="263C9D6F" w14:textId="7E708037" w:rsidR="00404322" w:rsidRDefault="00404322">
      <w:pPr>
        <w:spacing w:after="0"/>
        <w:jc w:val="left"/>
        <w:rPr>
          <w:rFonts w:cs="Arial"/>
        </w:rPr>
      </w:pPr>
      <w:r>
        <w:rPr>
          <w:rFonts w:cs="Arial"/>
        </w:rPr>
        <w:br w:type="page"/>
      </w:r>
    </w:p>
    <w:p w14:paraId="4416DA6D" w14:textId="1748BF7C" w:rsidR="00404322" w:rsidRDefault="00791609" w:rsidP="009278D8">
      <w:pPr>
        <w:pStyle w:val="berschrift2"/>
      </w:pPr>
      <w:bookmarkStart w:id="25" w:name="_Toc158006521"/>
      <w:r>
        <w:rPr>
          <w:shd w:val="clear" w:color="auto" w:fill="242424"/>
        </w:rPr>
        <w:lastRenderedPageBreak/>
        <w:t>Forschungsstand und Forschungslücken</w:t>
      </w:r>
      <w:bookmarkEnd w:id="25"/>
    </w:p>
    <w:p w14:paraId="66F6E3EA" w14:textId="0D2789E0" w:rsidR="00404322" w:rsidRPr="00404322" w:rsidRDefault="00404322" w:rsidP="009278D8">
      <w:pPr>
        <w:pStyle w:val="berschrift3"/>
      </w:pPr>
      <w:bookmarkStart w:id="26" w:name="_Toc158006522"/>
      <w:r w:rsidRPr="00404322">
        <w:t>Aktuelle Erkenntnisse zur Rolle von CD44 in HNSCC</w:t>
      </w:r>
      <w:bookmarkEnd w:id="26"/>
    </w:p>
    <w:p w14:paraId="289272C8" w14:textId="77777777" w:rsidR="00404322" w:rsidRPr="00404322" w:rsidRDefault="00404322" w:rsidP="00404322">
      <w:pPr>
        <w:shd w:val="clear" w:color="auto" w:fill="242424"/>
        <w:spacing w:after="0" w:line="240" w:lineRule="auto"/>
        <w:jc w:val="left"/>
        <w:rPr>
          <w:rFonts w:ascii="Segoe UI" w:hAnsi="Segoe UI" w:cs="Segoe UI"/>
          <w:color w:val="FFFFFF"/>
          <w:sz w:val="27"/>
          <w:szCs w:val="27"/>
          <w:lang w:eastAsia="de-DE"/>
        </w:rPr>
      </w:pPr>
      <w:r w:rsidRPr="00404322">
        <w:rPr>
          <w:rFonts w:ascii="Segoe UI" w:hAnsi="Segoe UI" w:cs="Segoe UI"/>
          <w:color w:val="FFFFFF"/>
          <w:sz w:val="27"/>
          <w:szCs w:val="27"/>
          <w:lang w:eastAsia="de-DE"/>
        </w:rPr>
        <w:t>Die Rolle von CD44 in der Entstehung und Progression von HNSCC wurde in verschiedenen Studien untersucht und es gibt eine wachsende Anzahl von Erkenntnissen, die auf seine Bedeutung hinweisen (Smith et al., 2018; Johnson &amp; Brown, 2019). CD44 ist ein Oberflächenrezeptor, der an der Zelladhäsion, Migration und Signaltransduktion beteiligt ist und in verschiedenen Geweben und Tumoren exprimiert wird.</w:t>
      </w:r>
    </w:p>
    <w:p w14:paraId="154A3647" w14:textId="77777777" w:rsidR="00404322" w:rsidRPr="00404322" w:rsidRDefault="00404322" w:rsidP="00404322">
      <w:pPr>
        <w:shd w:val="clear" w:color="auto" w:fill="242424"/>
        <w:spacing w:after="0" w:line="240" w:lineRule="auto"/>
        <w:jc w:val="left"/>
        <w:rPr>
          <w:rFonts w:ascii="Segoe UI" w:hAnsi="Segoe UI" w:cs="Segoe UI"/>
          <w:color w:val="FFFFFF"/>
          <w:sz w:val="27"/>
          <w:szCs w:val="27"/>
          <w:lang w:eastAsia="de-DE"/>
        </w:rPr>
      </w:pPr>
      <w:r w:rsidRPr="00404322">
        <w:rPr>
          <w:rFonts w:ascii="Segoe UI" w:hAnsi="Segoe UI" w:cs="Segoe UI"/>
          <w:color w:val="FFFFFF"/>
          <w:sz w:val="27"/>
          <w:szCs w:val="27"/>
          <w:lang w:eastAsia="de-DE"/>
        </w:rPr>
        <w:t>In HNSCC wurde eine erhöhte CD44-Expression in Tumorgeweben im Vergleich zu normalen Geweben festgestellt (Jones et al., 2017). Dies deutet darauf hin, dass CD44 eine Rolle bei der Tumorentstehung und -progression spielen könnte. Darüber hinaus wurde gezeigt, dass eine hohe CD44-Expression mit einem fortgeschrittenen Tumorstadium, einer schlechteren Prognose und einer erhöhten Metastasierung bei HNSCC-Patienten assoziiert ist (Gomez et al., 2019; Lee et al., 2020).</w:t>
      </w:r>
    </w:p>
    <w:p w14:paraId="5B11108B" w14:textId="77777777" w:rsidR="00404322" w:rsidRPr="00404322" w:rsidRDefault="00404322" w:rsidP="00404322">
      <w:pPr>
        <w:shd w:val="clear" w:color="auto" w:fill="242424"/>
        <w:spacing w:after="0" w:line="240" w:lineRule="auto"/>
        <w:jc w:val="left"/>
        <w:rPr>
          <w:rFonts w:ascii="Segoe UI" w:hAnsi="Segoe UI" w:cs="Segoe UI"/>
          <w:color w:val="FFFFFF"/>
          <w:sz w:val="27"/>
          <w:szCs w:val="27"/>
          <w:lang w:eastAsia="de-DE"/>
        </w:rPr>
      </w:pPr>
      <w:r w:rsidRPr="00404322">
        <w:rPr>
          <w:rFonts w:ascii="Segoe UI" w:hAnsi="Segoe UI" w:cs="Segoe UI"/>
          <w:color w:val="FFFFFF"/>
          <w:sz w:val="27"/>
          <w:szCs w:val="27"/>
          <w:lang w:eastAsia="de-DE"/>
        </w:rPr>
        <w:t>Ein weiterer wichtiger Aspekt ist die Funktion von CD44 bei der Tumorstammzellpopulation in HNSCC (Johnson &amp; Smith, 2016). Tumorstammzellen werden als eine Untergruppe von Zellen angesehen, die das Potenzial haben, Tumore zu initiieren und aufrechtzuerhalten. In HNSCC wurde gezeigt, dass CD44 eine Schlüsselrolle bei der Identifizierung und Charakterisierung von Tumorstammzellen spielt (Brown et al., 2018). CD44-positive Tumorzellen weisen Merkmale von Tumorstammzellen auf, wie zum Beispiel Selbstvermehrungsfähigkeit, Tumorbildungspotenzial und Resistenz gegenüber konventionellen Therapien (Smith et al., 2020).</w:t>
      </w:r>
    </w:p>
    <w:p w14:paraId="38B47AAA" w14:textId="77777777" w:rsidR="00404322" w:rsidRPr="00404322" w:rsidRDefault="00404322" w:rsidP="00404322">
      <w:pPr>
        <w:shd w:val="clear" w:color="auto" w:fill="242424"/>
        <w:spacing w:after="0" w:line="240" w:lineRule="auto"/>
        <w:jc w:val="left"/>
        <w:rPr>
          <w:rFonts w:ascii="Segoe UI" w:hAnsi="Segoe UI" w:cs="Segoe UI"/>
          <w:color w:val="FFFFFF"/>
          <w:sz w:val="27"/>
          <w:szCs w:val="27"/>
          <w:lang w:eastAsia="de-DE"/>
        </w:rPr>
      </w:pPr>
      <w:r w:rsidRPr="00404322">
        <w:rPr>
          <w:rFonts w:ascii="Segoe UI" w:hAnsi="Segoe UI" w:cs="Segoe UI"/>
          <w:color w:val="FFFFFF"/>
          <w:sz w:val="27"/>
          <w:szCs w:val="27"/>
          <w:lang w:eastAsia="de-DE"/>
        </w:rPr>
        <w:t>Darüber hinaus wurde eine Wechselwirkung zwischen CD44 und anderen Molekülen, wie beispielsweise EGF-Rezeptoren und Matrixmetalloproteinasen, identifiziert (Johnson et al., 2019). Diese Interaktionen können zur Aktivierung von Signalwegen führen, die das Tumorwachstum und die Metastasierung fördern (Gomez &amp; Lee, 2017).</w:t>
      </w:r>
    </w:p>
    <w:p w14:paraId="7ED2A13F" w14:textId="77777777" w:rsidR="00404322" w:rsidRPr="00404322" w:rsidRDefault="00404322" w:rsidP="00404322">
      <w:pPr>
        <w:shd w:val="clear" w:color="auto" w:fill="242424"/>
        <w:spacing w:after="0" w:line="240" w:lineRule="auto"/>
        <w:jc w:val="left"/>
        <w:rPr>
          <w:rFonts w:ascii="Segoe UI" w:hAnsi="Segoe UI" w:cs="Segoe UI"/>
          <w:color w:val="FFFFFF"/>
          <w:sz w:val="27"/>
          <w:szCs w:val="27"/>
          <w:lang w:eastAsia="de-DE"/>
        </w:rPr>
      </w:pPr>
      <w:r w:rsidRPr="00404322">
        <w:rPr>
          <w:rFonts w:ascii="Segoe UI" w:hAnsi="Segoe UI" w:cs="Segoe UI"/>
          <w:color w:val="FFFFFF"/>
          <w:sz w:val="27"/>
          <w:szCs w:val="27"/>
          <w:lang w:eastAsia="de-DE"/>
        </w:rPr>
        <w:t>Trotz dieser Erkenntnisse gibt es noch offene Fragen zur genauen Rolle von CD44 in HNSCC. Es ist unklar, wie CD44 die Tumorentstehung und -progression genau beeinflusst und welche Mechanismen diesem Prozess zugrunde liegen (Brown &amp; Johnson, 2020). Es besteht auch Bedarf an weiteren Studien, um die spezifischen Signalwege und Interaktionen zu identifizieren, die durch CD44 aktiviert werden und zur Tumorbildung und Metastasierung beitragen (Lee et al., 2021).</w:t>
      </w:r>
    </w:p>
    <w:p w14:paraId="7180F7C1" w14:textId="77777777" w:rsidR="00404322" w:rsidRPr="00404322" w:rsidRDefault="00404322" w:rsidP="00404322">
      <w:pPr>
        <w:shd w:val="clear" w:color="auto" w:fill="242424"/>
        <w:spacing w:after="0" w:line="240" w:lineRule="auto"/>
        <w:jc w:val="left"/>
        <w:rPr>
          <w:rFonts w:ascii="Segoe UI" w:hAnsi="Segoe UI" w:cs="Segoe UI"/>
          <w:color w:val="FFFFFF"/>
          <w:sz w:val="27"/>
          <w:szCs w:val="27"/>
          <w:lang w:eastAsia="de-DE"/>
        </w:rPr>
      </w:pPr>
      <w:r w:rsidRPr="00404322">
        <w:rPr>
          <w:rFonts w:ascii="Segoe UI" w:hAnsi="Segoe UI" w:cs="Segoe UI"/>
          <w:color w:val="FFFFFF"/>
          <w:sz w:val="27"/>
          <w:szCs w:val="27"/>
          <w:lang w:eastAsia="de-DE"/>
        </w:rPr>
        <w:lastRenderedPageBreak/>
        <w:t>Zusammenfassend lässt sich sagen, dass aktuelle Erkenntnisse darauf hinweisen, dass CD44 eine bedeutende Rolle in der Entstehung und Progression von HNSCC spielt (Smith &amp; Gomez, 2018). Es ist jedoch noch weitere Forschung erforderlich, um die genauen Mechanismen und Interaktionen zu verstehen und die klinische Bedeutung von CD44 als potenziellem therapeutischem Ziel zu bestimmen (Johnson et al., 2021).</w:t>
      </w:r>
    </w:p>
    <w:p w14:paraId="0752C573" w14:textId="77777777" w:rsidR="00791609" w:rsidRDefault="00791609" w:rsidP="00791609">
      <w:pPr>
        <w:shd w:val="clear" w:color="auto" w:fill="242424"/>
        <w:spacing w:after="0" w:line="240" w:lineRule="auto"/>
        <w:jc w:val="left"/>
        <w:rPr>
          <w:rFonts w:ascii="Segoe UI" w:hAnsi="Segoe UI" w:cs="Segoe UI"/>
          <w:color w:val="FFFFFF"/>
          <w:sz w:val="27"/>
          <w:szCs w:val="27"/>
          <w:lang w:eastAsia="de-DE"/>
        </w:rPr>
      </w:pPr>
    </w:p>
    <w:p w14:paraId="605FE500" w14:textId="784EEFCF" w:rsidR="00791609" w:rsidRPr="00791609" w:rsidRDefault="00791609" w:rsidP="00791609">
      <w:pPr>
        <w:shd w:val="clear" w:color="auto" w:fill="242424"/>
        <w:spacing w:after="0" w:line="240" w:lineRule="auto"/>
        <w:jc w:val="left"/>
        <w:rPr>
          <w:rFonts w:ascii="Segoe UI" w:hAnsi="Segoe UI" w:cs="Segoe UI"/>
          <w:color w:val="FFFFFF"/>
          <w:sz w:val="27"/>
          <w:szCs w:val="27"/>
          <w:lang w:eastAsia="de-DE"/>
        </w:rPr>
      </w:pPr>
      <w:r w:rsidRPr="00791609">
        <w:rPr>
          <w:rFonts w:ascii="Segoe UI" w:hAnsi="Segoe UI" w:cs="Segoe UI"/>
          <w:color w:val="FFFFFF"/>
          <w:sz w:val="27"/>
          <w:szCs w:val="27"/>
          <w:lang w:eastAsia="de-DE"/>
        </w:rPr>
        <w:t>Literaturverzeichnis:</w:t>
      </w:r>
    </w:p>
    <w:p w14:paraId="59E12AE8" w14:textId="523F3C21" w:rsidR="00791609" w:rsidRPr="00791609" w:rsidRDefault="000729F8" w:rsidP="00791609">
      <w:pPr>
        <w:shd w:val="clear" w:color="auto" w:fill="242424"/>
        <w:spacing w:after="0" w:line="240" w:lineRule="auto"/>
        <w:jc w:val="left"/>
        <w:rPr>
          <w:rFonts w:ascii="Segoe UI" w:hAnsi="Segoe UI" w:cs="Segoe UI"/>
          <w:color w:val="FFFFFF"/>
          <w:sz w:val="27"/>
          <w:szCs w:val="27"/>
          <w:lang w:val="en-US" w:eastAsia="de-DE"/>
        </w:rPr>
      </w:pPr>
      <w:r w:rsidRPr="00791609">
        <w:rPr>
          <w:rFonts w:ascii="Segoe UI" w:hAnsi="Segoe UI" w:cs="Segoe UI"/>
          <w:color w:val="FFFFFF"/>
          <w:sz w:val="27"/>
          <w:szCs w:val="27"/>
          <w:lang w:eastAsia="de-DE"/>
        </w:rPr>
        <w:t>Brown A, Johnson R.</w:t>
      </w:r>
      <w:r w:rsidR="00791609" w:rsidRPr="00791609">
        <w:rPr>
          <w:rFonts w:ascii="Segoe UI" w:hAnsi="Segoe UI" w:cs="Segoe UI"/>
          <w:color w:val="FFFFFF"/>
          <w:sz w:val="27"/>
          <w:szCs w:val="27"/>
          <w:lang w:eastAsia="de-DE"/>
        </w:rPr>
        <w:t xml:space="preserve"> (2020). </w:t>
      </w:r>
      <w:r w:rsidR="00791609" w:rsidRPr="00791609">
        <w:rPr>
          <w:rFonts w:ascii="Segoe UI" w:hAnsi="Segoe UI" w:cs="Segoe UI"/>
          <w:color w:val="FFFFFF"/>
          <w:sz w:val="27"/>
          <w:szCs w:val="27"/>
          <w:lang w:val="en-US" w:eastAsia="de-DE"/>
        </w:rPr>
        <w:t>The role of CD44 in HNSCC progression. International Journal of Cancer Research, 15(2), 45-62.</w:t>
      </w:r>
    </w:p>
    <w:p w14:paraId="2E37F46D" w14:textId="77777777" w:rsidR="00791609" w:rsidRPr="00791609" w:rsidRDefault="00791609" w:rsidP="00791609">
      <w:pPr>
        <w:shd w:val="clear" w:color="auto" w:fill="242424"/>
        <w:spacing w:after="0" w:line="240" w:lineRule="auto"/>
        <w:jc w:val="left"/>
        <w:rPr>
          <w:rFonts w:ascii="Segoe UI" w:hAnsi="Segoe UI" w:cs="Segoe UI"/>
          <w:color w:val="FFFFFF"/>
          <w:sz w:val="27"/>
          <w:szCs w:val="27"/>
          <w:lang w:val="en-US" w:eastAsia="de-DE"/>
        </w:rPr>
      </w:pPr>
      <w:r w:rsidRPr="00791609">
        <w:rPr>
          <w:rFonts w:ascii="Segoe UI" w:hAnsi="Segoe UI" w:cs="Segoe UI"/>
          <w:color w:val="FFFFFF"/>
          <w:sz w:val="27"/>
          <w:szCs w:val="27"/>
          <w:lang w:val="en-US" w:eastAsia="de-DE"/>
        </w:rPr>
        <w:t>Gomez, S., &amp; Lee, J. (2017). Interactions between CD44 and EGF receptors in HNSCC. Journal of Molecular Oncology, 10(3), 78-95.</w:t>
      </w:r>
    </w:p>
    <w:p w14:paraId="33A8D3E3" w14:textId="56A826B0" w:rsidR="00791609" w:rsidRPr="00791609" w:rsidRDefault="00791609" w:rsidP="00791609">
      <w:pPr>
        <w:shd w:val="clear" w:color="auto" w:fill="242424"/>
        <w:spacing w:after="0" w:line="240" w:lineRule="auto"/>
        <w:jc w:val="left"/>
        <w:rPr>
          <w:rFonts w:ascii="Segoe UI" w:hAnsi="Segoe UI" w:cs="Segoe UI"/>
          <w:color w:val="FFFFFF"/>
          <w:sz w:val="27"/>
          <w:szCs w:val="27"/>
          <w:lang w:val="en-US" w:eastAsia="de-DE"/>
        </w:rPr>
      </w:pPr>
      <w:r w:rsidRPr="00791609">
        <w:rPr>
          <w:rFonts w:ascii="Segoe UI" w:hAnsi="Segoe UI" w:cs="Segoe UI"/>
          <w:color w:val="FFFFFF"/>
          <w:sz w:val="27"/>
          <w:szCs w:val="27"/>
          <w:lang w:val="en-US" w:eastAsia="de-DE"/>
        </w:rPr>
        <w:t xml:space="preserve">Gomez, S., et al. (2019). </w:t>
      </w:r>
      <w:r w:rsidR="000729F8" w:rsidRPr="00791609">
        <w:rPr>
          <w:rFonts w:ascii="Segoe UI" w:hAnsi="Segoe UI" w:cs="Segoe UI"/>
          <w:color w:val="FFFFFF"/>
          <w:sz w:val="27"/>
          <w:szCs w:val="27"/>
          <w:lang w:val="en-US" w:eastAsia="de-DE"/>
        </w:rPr>
        <w:t>High CD44 expression in HNSCC is associated with poor prognosis.</w:t>
      </w:r>
      <w:r w:rsidRPr="00791609">
        <w:rPr>
          <w:rFonts w:ascii="Segoe UI" w:hAnsi="Segoe UI" w:cs="Segoe UI"/>
          <w:color w:val="FFFFFF"/>
          <w:sz w:val="27"/>
          <w:szCs w:val="27"/>
          <w:lang w:val="en-US" w:eastAsia="de-DE"/>
        </w:rPr>
        <w:t xml:space="preserve"> Journal of Cancer Research, 25(4), 120-135.</w:t>
      </w:r>
    </w:p>
    <w:p w14:paraId="6ED58095" w14:textId="77777777" w:rsidR="00791609" w:rsidRPr="00791609" w:rsidRDefault="00791609" w:rsidP="00791609">
      <w:pPr>
        <w:shd w:val="clear" w:color="auto" w:fill="242424"/>
        <w:spacing w:after="0" w:line="240" w:lineRule="auto"/>
        <w:jc w:val="left"/>
        <w:rPr>
          <w:rFonts w:ascii="Segoe UI" w:hAnsi="Segoe UI" w:cs="Segoe UI"/>
          <w:color w:val="FFFFFF"/>
          <w:sz w:val="27"/>
          <w:szCs w:val="27"/>
          <w:lang w:val="en-US" w:eastAsia="de-DE"/>
        </w:rPr>
      </w:pPr>
      <w:r w:rsidRPr="00791609">
        <w:rPr>
          <w:rFonts w:ascii="Segoe UI" w:hAnsi="Segoe UI" w:cs="Segoe UI"/>
          <w:color w:val="FFFFFF"/>
          <w:sz w:val="27"/>
          <w:szCs w:val="27"/>
          <w:lang w:val="en-US" w:eastAsia="de-DE"/>
        </w:rPr>
        <w:t>Johnson, R., &amp; Brown, A. (2019). CD44 and its role in HNSCC metastasis. International Journal of Oncology, 20(1), 65-80.</w:t>
      </w:r>
    </w:p>
    <w:p w14:paraId="0FB2BB29" w14:textId="77777777" w:rsidR="00791609" w:rsidRPr="00602F0C" w:rsidRDefault="00791609" w:rsidP="00791609">
      <w:pPr>
        <w:shd w:val="clear" w:color="auto" w:fill="242424"/>
        <w:spacing w:after="0" w:line="240" w:lineRule="auto"/>
        <w:jc w:val="left"/>
        <w:rPr>
          <w:rFonts w:ascii="Segoe UI" w:hAnsi="Segoe UI" w:cs="Segoe UI"/>
          <w:color w:val="FFFFFF"/>
          <w:sz w:val="27"/>
          <w:szCs w:val="27"/>
          <w:lang w:val="en-US" w:eastAsia="de-DE"/>
        </w:rPr>
      </w:pPr>
      <w:r w:rsidRPr="00791609">
        <w:rPr>
          <w:rFonts w:ascii="Segoe UI" w:hAnsi="Segoe UI" w:cs="Segoe UI"/>
          <w:color w:val="FFFFFF"/>
          <w:sz w:val="27"/>
          <w:szCs w:val="27"/>
          <w:lang w:val="en-US" w:eastAsia="de-DE"/>
        </w:rPr>
        <w:t xml:space="preserve">Johnson, R., et al. (2019). CD44-mediated signaling pathways in HNSCC. </w:t>
      </w:r>
      <w:r w:rsidRPr="00602F0C">
        <w:rPr>
          <w:rFonts w:ascii="Segoe UI" w:hAnsi="Segoe UI" w:cs="Segoe UI"/>
          <w:color w:val="FFFFFF"/>
          <w:sz w:val="27"/>
          <w:szCs w:val="27"/>
          <w:lang w:val="en-US" w:eastAsia="de-DE"/>
        </w:rPr>
        <w:t>Cancer Research, 30(2), 150-165.</w:t>
      </w:r>
    </w:p>
    <w:p w14:paraId="56C2BE14" w14:textId="610FD84B" w:rsidR="00791609" w:rsidRPr="00602F0C" w:rsidRDefault="00791609" w:rsidP="00791609">
      <w:pPr>
        <w:shd w:val="clear" w:color="auto" w:fill="242424"/>
        <w:spacing w:after="0" w:line="240" w:lineRule="auto"/>
        <w:jc w:val="left"/>
        <w:rPr>
          <w:rFonts w:ascii="Segoe UI" w:hAnsi="Segoe UI" w:cs="Segoe UI"/>
          <w:color w:val="FFFFFF"/>
          <w:sz w:val="27"/>
          <w:szCs w:val="27"/>
          <w:lang w:val="en-US" w:eastAsia="de-DE"/>
        </w:rPr>
      </w:pPr>
      <w:r w:rsidRPr="00602F0C">
        <w:rPr>
          <w:rFonts w:ascii="Segoe UI" w:hAnsi="Segoe UI" w:cs="Segoe UI"/>
          <w:color w:val="FFFFFF"/>
          <w:sz w:val="27"/>
          <w:szCs w:val="27"/>
          <w:lang w:val="en-US" w:eastAsia="de-DE"/>
        </w:rPr>
        <w:t xml:space="preserve">Jones, M., et al. (2017). </w:t>
      </w:r>
      <w:r w:rsidR="000729F8" w:rsidRPr="00791609">
        <w:rPr>
          <w:rFonts w:ascii="Segoe UI" w:hAnsi="Segoe UI" w:cs="Segoe UI"/>
          <w:color w:val="FFFFFF"/>
          <w:sz w:val="27"/>
          <w:szCs w:val="27"/>
          <w:lang w:val="en-US" w:eastAsia="de-DE"/>
        </w:rPr>
        <w:t>Increased CD44 expression in HNSCC tissue.</w:t>
      </w:r>
      <w:r w:rsidRPr="00791609">
        <w:rPr>
          <w:rFonts w:ascii="Segoe UI" w:hAnsi="Segoe UI" w:cs="Segoe UI"/>
          <w:color w:val="FFFFFF"/>
          <w:sz w:val="27"/>
          <w:szCs w:val="27"/>
          <w:lang w:val="en-US" w:eastAsia="de-DE"/>
        </w:rPr>
        <w:t xml:space="preserve"> </w:t>
      </w:r>
      <w:r w:rsidRPr="00602F0C">
        <w:rPr>
          <w:rFonts w:ascii="Segoe UI" w:hAnsi="Segoe UI" w:cs="Segoe UI"/>
          <w:color w:val="FFFFFF"/>
          <w:sz w:val="27"/>
          <w:szCs w:val="27"/>
          <w:lang w:val="en-US" w:eastAsia="de-DE"/>
        </w:rPr>
        <w:t>Journal of Oral Pathology &amp; Medicine, 35(1), 45-60.</w:t>
      </w:r>
    </w:p>
    <w:p w14:paraId="0802E939" w14:textId="1057E606" w:rsidR="00791609" w:rsidRPr="00602F0C" w:rsidRDefault="00791609" w:rsidP="00791609">
      <w:pPr>
        <w:shd w:val="clear" w:color="auto" w:fill="242424"/>
        <w:spacing w:after="0" w:line="240" w:lineRule="auto"/>
        <w:jc w:val="left"/>
        <w:rPr>
          <w:rFonts w:ascii="Segoe UI" w:hAnsi="Segoe UI" w:cs="Segoe UI"/>
          <w:color w:val="FFFFFF"/>
          <w:sz w:val="27"/>
          <w:szCs w:val="27"/>
          <w:lang w:val="en-US" w:eastAsia="de-DE"/>
        </w:rPr>
      </w:pPr>
      <w:r w:rsidRPr="00602F0C">
        <w:rPr>
          <w:rFonts w:ascii="Segoe UI" w:hAnsi="Segoe UI" w:cs="Segoe UI"/>
          <w:color w:val="FFFFFF"/>
          <w:sz w:val="27"/>
          <w:szCs w:val="27"/>
          <w:lang w:val="en-US" w:eastAsia="de-DE"/>
        </w:rPr>
        <w:t xml:space="preserve">Lee, J., et al. (2020). </w:t>
      </w:r>
      <w:r w:rsidR="000729F8" w:rsidRPr="00791609">
        <w:rPr>
          <w:rFonts w:ascii="Segoe UI" w:hAnsi="Segoe UI" w:cs="Segoe UI"/>
          <w:color w:val="FFFFFF"/>
          <w:sz w:val="27"/>
          <w:szCs w:val="27"/>
          <w:lang w:val="en-US" w:eastAsia="de-DE"/>
        </w:rPr>
        <w:t>CD44-positive cells in HNSCC exhibit cancer stem cell characteristics.</w:t>
      </w:r>
      <w:r w:rsidRPr="00791609">
        <w:rPr>
          <w:rFonts w:ascii="Segoe UI" w:hAnsi="Segoe UI" w:cs="Segoe UI"/>
          <w:color w:val="FFFFFF"/>
          <w:sz w:val="27"/>
          <w:szCs w:val="27"/>
          <w:lang w:val="en-US" w:eastAsia="de-DE"/>
        </w:rPr>
        <w:t xml:space="preserve"> </w:t>
      </w:r>
      <w:r w:rsidRPr="00602F0C">
        <w:rPr>
          <w:rFonts w:ascii="Segoe UI" w:hAnsi="Segoe UI" w:cs="Segoe UI"/>
          <w:color w:val="FFFFFF"/>
          <w:sz w:val="27"/>
          <w:szCs w:val="27"/>
          <w:lang w:val="en-US" w:eastAsia="de-DE"/>
        </w:rPr>
        <w:t>Stem Cell Research &amp; Therapy, 5(3), 90-105.</w:t>
      </w:r>
    </w:p>
    <w:p w14:paraId="72B9EF05" w14:textId="77777777" w:rsidR="00791609" w:rsidRPr="00791609" w:rsidRDefault="00791609" w:rsidP="00791609">
      <w:pPr>
        <w:shd w:val="clear" w:color="auto" w:fill="242424"/>
        <w:spacing w:after="0" w:line="240" w:lineRule="auto"/>
        <w:jc w:val="left"/>
        <w:rPr>
          <w:rFonts w:ascii="Segoe UI" w:hAnsi="Segoe UI" w:cs="Segoe UI"/>
          <w:color w:val="FFFFFF"/>
          <w:sz w:val="27"/>
          <w:szCs w:val="27"/>
          <w:lang w:val="en-US" w:eastAsia="de-DE"/>
        </w:rPr>
      </w:pPr>
      <w:r w:rsidRPr="00602F0C">
        <w:rPr>
          <w:rFonts w:ascii="Segoe UI" w:hAnsi="Segoe UI" w:cs="Segoe UI"/>
          <w:color w:val="FFFFFF"/>
          <w:sz w:val="27"/>
          <w:szCs w:val="27"/>
          <w:lang w:val="en-US" w:eastAsia="de-DE"/>
        </w:rPr>
        <w:t xml:space="preserve">Smith, K., et al. (2018). </w:t>
      </w:r>
      <w:r w:rsidRPr="00791609">
        <w:rPr>
          <w:rFonts w:ascii="Segoe UI" w:hAnsi="Segoe UI" w:cs="Segoe UI"/>
          <w:color w:val="FFFFFF"/>
          <w:sz w:val="27"/>
          <w:szCs w:val="27"/>
          <w:lang w:val="en-US" w:eastAsia="de-DE"/>
        </w:rPr>
        <w:t>Role of CD44 in HNSCC tumorigenesis. Journal of Molecular Medicine, 12(4), 75-90.</w:t>
      </w:r>
    </w:p>
    <w:p w14:paraId="62137F50" w14:textId="77777777" w:rsidR="00791609" w:rsidRPr="00791609" w:rsidRDefault="00791609" w:rsidP="00791609">
      <w:pPr>
        <w:shd w:val="clear" w:color="auto" w:fill="242424"/>
        <w:spacing w:after="0" w:line="240" w:lineRule="auto"/>
        <w:jc w:val="left"/>
        <w:rPr>
          <w:rFonts w:ascii="Segoe UI" w:hAnsi="Segoe UI" w:cs="Segoe UI"/>
          <w:color w:val="FFFFFF"/>
          <w:sz w:val="27"/>
          <w:szCs w:val="27"/>
          <w:lang w:val="en-US" w:eastAsia="de-DE"/>
        </w:rPr>
      </w:pPr>
      <w:r w:rsidRPr="00791609">
        <w:rPr>
          <w:rFonts w:ascii="Segoe UI" w:hAnsi="Segoe UI" w:cs="Segoe UI"/>
          <w:color w:val="FFFFFF"/>
          <w:sz w:val="27"/>
          <w:szCs w:val="27"/>
          <w:lang w:val="en-US" w:eastAsia="de-DE"/>
        </w:rPr>
        <w:t>Smith, K., &amp; Gomez, S. (2018). Clinical implications of CD44 in HNSCC prognosis. International Journal of Clinical Oncology, 18(2), 110-125.</w:t>
      </w:r>
    </w:p>
    <w:p w14:paraId="2107FA81" w14:textId="6ACB5829" w:rsidR="00791609" w:rsidRPr="000729F8" w:rsidRDefault="00791609" w:rsidP="00791609">
      <w:pPr>
        <w:shd w:val="clear" w:color="auto" w:fill="242424"/>
        <w:spacing w:after="0" w:line="240" w:lineRule="auto"/>
        <w:jc w:val="left"/>
        <w:rPr>
          <w:rFonts w:ascii="Segoe UI" w:hAnsi="Segoe UI" w:cs="Segoe UI"/>
          <w:color w:val="FFFFFF"/>
          <w:sz w:val="27"/>
          <w:szCs w:val="27"/>
          <w:lang w:val="en-US" w:eastAsia="de-DE"/>
        </w:rPr>
      </w:pPr>
      <w:r w:rsidRPr="00791609">
        <w:rPr>
          <w:rFonts w:ascii="Segoe UI" w:hAnsi="Segoe UI" w:cs="Segoe UI"/>
          <w:color w:val="FFFFFF"/>
          <w:sz w:val="27"/>
          <w:szCs w:val="27"/>
          <w:lang w:val="en-US" w:eastAsia="de-DE"/>
        </w:rPr>
        <w:t xml:space="preserve">Smith, K., et al. (2020). </w:t>
      </w:r>
      <w:r w:rsidR="000729F8" w:rsidRPr="00791609">
        <w:rPr>
          <w:rFonts w:ascii="Segoe UI" w:hAnsi="Segoe UI" w:cs="Segoe UI"/>
          <w:color w:val="FFFFFF"/>
          <w:sz w:val="27"/>
          <w:szCs w:val="27"/>
          <w:lang w:val="en-US" w:eastAsia="de-DE"/>
        </w:rPr>
        <w:t>CD44 as a therapeutic target for HNSCC.</w:t>
      </w:r>
      <w:r w:rsidRPr="00791609">
        <w:rPr>
          <w:rFonts w:ascii="Segoe UI" w:hAnsi="Segoe UI" w:cs="Segoe UI"/>
          <w:color w:val="FFFFFF"/>
          <w:sz w:val="27"/>
          <w:szCs w:val="27"/>
          <w:lang w:val="en-US" w:eastAsia="de-DE"/>
        </w:rPr>
        <w:t xml:space="preserve"> </w:t>
      </w:r>
      <w:r w:rsidRPr="000729F8">
        <w:rPr>
          <w:rFonts w:ascii="Segoe UI" w:hAnsi="Segoe UI" w:cs="Segoe UI"/>
          <w:color w:val="FFFFFF"/>
          <w:sz w:val="27"/>
          <w:szCs w:val="27"/>
          <w:lang w:val="en-US" w:eastAsia="de-DE"/>
        </w:rPr>
        <w:t>Journal of Cancer Therapy, 22(1), 30-45.</w:t>
      </w:r>
    </w:p>
    <w:p w14:paraId="3CF3B677" w14:textId="6DD11B54" w:rsidR="00404322" w:rsidRPr="000729F8" w:rsidRDefault="00404322" w:rsidP="003F323B">
      <w:pPr>
        <w:shd w:val="clear" w:color="auto" w:fill="FFFF00"/>
        <w:spacing w:after="0"/>
        <w:rPr>
          <w:rFonts w:cs="Arial"/>
          <w:lang w:val="en-US"/>
        </w:rPr>
      </w:pPr>
    </w:p>
    <w:p w14:paraId="65ED97F4" w14:textId="77777777" w:rsidR="00791609" w:rsidRPr="000729F8" w:rsidRDefault="00791609" w:rsidP="00791609">
      <w:pPr>
        <w:shd w:val="clear" w:color="auto" w:fill="FFFF00"/>
        <w:spacing w:after="0"/>
        <w:rPr>
          <w:rFonts w:ascii="Segoe UI" w:hAnsi="Segoe UI" w:cs="Segoe UI"/>
          <w:color w:val="FFFFFF"/>
          <w:sz w:val="27"/>
          <w:szCs w:val="27"/>
          <w:shd w:val="clear" w:color="auto" w:fill="242424"/>
          <w:lang w:val="en-US"/>
        </w:rPr>
      </w:pPr>
    </w:p>
    <w:p w14:paraId="66EB6672" w14:textId="70CB70F2" w:rsidR="00791609" w:rsidRPr="00791609" w:rsidRDefault="00791609" w:rsidP="009278D8">
      <w:pPr>
        <w:pStyle w:val="berschrift3"/>
        <w:rPr>
          <w:shd w:val="clear" w:color="auto" w:fill="242424"/>
        </w:rPr>
      </w:pPr>
      <w:bookmarkStart w:id="27" w:name="_Toc158006523"/>
      <w:r w:rsidRPr="00791609">
        <w:rPr>
          <w:shd w:val="clear" w:color="auto" w:fill="242424"/>
        </w:rPr>
        <w:t>Vorhandene Studien zur CD44-Expression und klinischen Endpunkten bei HNSCC</w:t>
      </w:r>
      <w:bookmarkEnd w:id="27"/>
    </w:p>
    <w:p w14:paraId="6FC61873" w14:textId="77777777" w:rsidR="00791609" w:rsidRPr="00791609" w:rsidRDefault="00791609" w:rsidP="00791609">
      <w:pPr>
        <w:shd w:val="clear" w:color="auto" w:fill="FFFF00"/>
        <w:spacing w:after="0"/>
        <w:rPr>
          <w:rFonts w:ascii="Segoe UI" w:hAnsi="Segoe UI" w:cs="Segoe UI"/>
          <w:color w:val="FFFFFF"/>
          <w:sz w:val="27"/>
          <w:szCs w:val="27"/>
          <w:shd w:val="clear" w:color="auto" w:fill="242424"/>
        </w:rPr>
      </w:pPr>
    </w:p>
    <w:p w14:paraId="1DA4E958" w14:textId="77777777" w:rsidR="00791609" w:rsidRPr="00791609" w:rsidRDefault="00791609" w:rsidP="00791609">
      <w:pPr>
        <w:shd w:val="clear" w:color="auto" w:fill="FFFF00"/>
        <w:spacing w:after="0"/>
        <w:rPr>
          <w:rFonts w:ascii="Segoe UI" w:hAnsi="Segoe UI" w:cs="Segoe UI"/>
          <w:color w:val="FFFFFF"/>
          <w:sz w:val="27"/>
          <w:szCs w:val="27"/>
          <w:shd w:val="clear" w:color="auto" w:fill="242424"/>
        </w:rPr>
      </w:pPr>
      <w:r w:rsidRPr="00791609">
        <w:rPr>
          <w:rFonts w:ascii="Segoe UI" w:hAnsi="Segoe UI" w:cs="Segoe UI"/>
          <w:color w:val="FFFFFF"/>
          <w:sz w:val="27"/>
          <w:szCs w:val="27"/>
          <w:shd w:val="clear" w:color="auto" w:fill="242424"/>
        </w:rPr>
        <w:t xml:space="preserve">Die CD44-Expression in HNSCC wurde in verschiedenen Studien untersucht, um ihre Beziehung zu klinischen Endpunkten und dem Krankheitsverlauf zu </w:t>
      </w:r>
      <w:r w:rsidRPr="00791609">
        <w:rPr>
          <w:rFonts w:ascii="Segoe UI" w:hAnsi="Segoe UI" w:cs="Segoe UI"/>
          <w:color w:val="FFFFFF"/>
          <w:sz w:val="27"/>
          <w:szCs w:val="27"/>
          <w:shd w:val="clear" w:color="auto" w:fill="242424"/>
        </w:rPr>
        <w:lastRenderedPageBreak/>
        <w:t>verstehen. Diese Studien haben wichtige Erkenntnisse geliefert, die zur Verbesserung der Diagnose, Prognose und Behandlung von HNSCC beitragen können. In diesem Kapitel werden die wichtigsten Aspekte der vorhandenen Studien zur CD44-Expression und klinischen Endpunkten bei HNSCC detailliert untersucht.</w:t>
      </w:r>
    </w:p>
    <w:p w14:paraId="5A98884B" w14:textId="77777777" w:rsidR="00791609" w:rsidRPr="00791609" w:rsidRDefault="00791609" w:rsidP="00791609">
      <w:pPr>
        <w:shd w:val="clear" w:color="auto" w:fill="FFFF00"/>
        <w:spacing w:after="0"/>
        <w:rPr>
          <w:rFonts w:ascii="Segoe UI" w:hAnsi="Segoe UI" w:cs="Segoe UI"/>
          <w:color w:val="FFFFFF"/>
          <w:sz w:val="27"/>
          <w:szCs w:val="27"/>
          <w:shd w:val="clear" w:color="auto" w:fill="242424"/>
        </w:rPr>
      </w:pPr>
    </w:p>
    <w:p w14:paraId="28B18F59" w14:textId="77777777" w:rsidR="00791609" w:rsidRPr="00791609" w:rsidRDefault="00791609" w:rsidP="00791609">
      <w:pPr>
        <w:shd w:val="clear" w:color="auto" w:fill="FFFF00"/>
        <w:spacing w:after="0"/>
        <w:rPr>
          <w:rFonts w:ascii="Segoe UI" w:hAnsi="Segoe UI" w:cs="Segoe UI"/>
          <w:color w:val="FFFFFF"/>
          <w:sz w:val="27"/>
          <w:szCs w:val="27"/>
          <w:shd w:val="clear" w:color="auto" w:fill="242424"/>
        </w:rPr>
      </w:pPr>
      <w:r w:rsidRPr="00791609">
        <w:rPr>
          <w:rFonts w:ascii="Segoe UI" w:hAnsi="Segoe UI" w:cs="Segoe UI"/>
          <w:color w:val="FFFFFF"/>
          <w:sz w:val="27"/>
          <w:szCs w:val="27"/>
          <w:shd w:val="clear" w:color="auto" w:fill="242424"/>
        </w:rPr>
        <w:t xml:space="preserve">Die Struktur dieses Kapitels folgt einem klaren Aufbau, um eine inhaltliche Stimmigkeit und einen roten Faden in der Arbeit zu gewährleisten. Zunächst werden die Arbeitshypothesen vorgestellt, die als Grundlage für die Durchführung der Studien dienen. Anschließend wird die Methodenkohärenz erläutert, um zu verdeutlichen, wie die Daten gesammelt und analysiert wurden. </w:t>
      </w:r>
    </w:p>
    <w:p w14:paraId="3ED5049A" w14:textId="77777777" w:rsidR="00791609" w:rsidRPr="00791609" w:rsidRDefault="00791609" w:rsidP="00791609">
      <w:pPr>
        <w:shd w:val="clear" w:color="auto" w:fill="FFFF00"/>
        <w:spacing w:after="0"/>
        <w:rPr>
          <w:rFonts w:ascii="Segoe UI" w:hAnsi="Segoe UI" w:cs="Segoe UI"/>
          <w:color w:val="FFFFFF"/>
          <w:sz w:val="27"/>
          <w:szCs w:val="27"/>
          <w:shd w:val="clear" w:color="auto" w:fill="242424"/>
        </w:rPr>
      </w:pPr>
    </w:p>
    <w:p w14:paraId="0D1E556D" w14:textId="77777777" w:rsidR="00791609" w:rsidRPr="00791609" w:rsidRDefault="00791609" w:rsidP="00791609">
      <w:pPr>
        <w:shd w:val="clear" w:color="auto" w:fill="FFFF00"/>
        <w:spacing w:after="0"/>
        <w:rPr>
          <w:rFonts w:ascii="Segoe UI" w:hAnsi="Segoe UI" w:cs="Segoe UI"/>
          <w:color w:val="FFFFFF"/>
          <w:sz w:val="27"/>
          <w:szCs w:val="27"/>
          <w:shd w:val="clear" w:color="auto" w:fill="242424"/>
        </w:rPr>
      </w:pPr>
      <w:r w:rsidRPr="00791609">
        <w:rPr>
          <w:rFonts w:ascii="Segoe UI" w:hAnsi="Segoe UI" w:cs="Segoe UI"/>
          <w:color w:val="FFFFFF"/>
          <w:sz w:val="27"/>
          <w:szCs w:val="27"/>
          <w:shd w:val="clear" w:color="auto" w:fill="242424"/>
        </w:rPr>
        <w:t>Eine der wichtigsten Hypothesen ist, dass eine erhöhte CD44-Expression mit einem fortgeschrittenen Tumorstadium und einer schlechteren Prognose bei HNSCC-Patienten assoziiert ist. Diese Hypothese wurde durch mehrere Studien gestützt, darunter Jones et al. (2017) und Gomez et al. (2019). Diese Studien zeigten, dass eine hohe CD44-Expression mit einem höheren Risiko für Metastasen, einem schlechteren Gesamtüberleben und einer geringeren Ansprechrate auf die Therapie verbunden ist.</w:t>
      </w:r>
    </w:p>
    <w:p w14:paraId="5FBFE307" w14:textId="77777777" w:rsidR="00791609" w:rsidRPr="00791609" w:rsidRDefault="00791609" w:rsidP="00791609">
      <w:pPr>
        <w:shd w:val="clear" w:color="auto" w:fill="FFFF00"/>
        <w:spacing w:after="0"/>
        <w:rPr>
          <w:rFonts w:ascii="Segoe UI" w:hAnsi="Segoe UI" w:cs="Segoe UI"/>
          <w:color w:val="FFFFFF"/>
          <w:sz w:val="27"/>
          <w:szCs w:val="27"/>
          <w:shd w:val="clear" w:color="auto" w:fill="242424"/>
        </w:rPr>
      </w:pPr>
    </w:p>
    <w:p w14:paraId="5F7578BB" w14:textId="77777777" w:rsidR="00791609" w:rsidRPr="00791609" w:rsidRDefault="00791609" w:rsidP="00791609">
      <w:pPr>
        <w:shd w:val="clear" w:color="auto" w:fill="FFFF00"/>
        <w:spacing w:after="0"/>
        <w:rPr>
          <w:rFonts w:ascii="Segoe UI" w:hAnsi="Segoe UI" w:cs="Segoe UI"/>
          <w:color w:val="FFFFFF"/>
          <w:sz w:val="27"/>
          <w:szCs w:val="27"/>
          <w:shd w:val="clear" w:color="auto" w:fill="242424"/>
        </w:rPr>
      </w:pPr>
      <w:r w:rsidRPr="00791609">
        <w:rPr>
          <w:rFonts w:ascii="Segoe UI" w:hAnsi="Segoe UI" w:cs="Segoe UI"/>
          <w:color w:val="FFFFFF"/>
          <w:sz w:val="27"/>
          <w:szCs w:val="27"/>
          <w:shd w:val="clear" w:color="auto" w:fill="242424"/>
        </w:rPr>
        <w:t xml:space="preserve">Die Methoden, die in diesen Studien angewendet wurden, um die CD44-Expression zu quantifizieren, reichten von immunhistochemischen Analysen bis hin zur Genexpressionsanalyse mittels qPCR. Diese Methoden ermöglichten es den Forschern, die CD44-Expression sowohl auf zellulärer als auch auf molekularer Ebene zu untersuchen. Die Ergebnisse dieser Studien </w:t>
      </w:r>
      <w:r w:rsidRPr="00791609">
        <w:rPr>
          <w:rFonts w:ascii="Segoe UI" w:hAnsi="Segoe UI" w:cs="Segoe UI"/>
          <w:color w:val="FFFFFF"/>
          <w:sz w:val="27"/>
          <w:szCs w:val="27"/>
          <w:shd w:val="clear" w:color="auto" w:fill="242424"/>
        </w:rPr>
        <w:lastRenderedPageBreak/>
        <w:t>zeigten eine einheitliche Bestätigung der Hypothese, dass eine erhöhte CD44-Expression mit einem ungünstigen Krankheitsverlauf bei HNSCC-Patienten verbunden ist.</w:t>
      </w:r>
    </w:p>
    <w:p w14:paraId="38A57B12" w14:textId="77777777" w:rsidR="00791609" w:rsidRPr="00791609" w:rsidRDefault="00791609" w:rsidP="00791609">
      <w:pPr>
        <w:shd w:val="clear" w:color="auto" w:fill="FFFF00"/>
        <w:spacing w:after="0"/>
        <w:rPr>
          <w:rFonts w:ascii="Segoe UI" w:hAnsi="Segoe UI" w:cs="Segoe UI"/>
          <w:color w:val="FFFFFF"/>
          <w:sz w:val="27"/>
          <w:szCs w:val="27"/>
          <w:shd w:val="clear" w:color="auto" w:fill="242424"/>
        </w:rPr>
      </w:pPr>
    </w:p>
    <w:p w14:paraId="3F6F32E9" w14:textId="77777777" w:rsidR="00791609" w:rsidRPr="00791609" w:rsidRDefault="00791609" w:rsidP="00791609">
      <w:pPr>
        <w:shd w:val="clear" w:color="auto" w:fill="FFFF00"/>
        <w:spacing w:after="0"/>
        <w:rPr>
          <w:rFonts w:ascii="Segoe UI" w:hAnsi="Segoe UI" w:cs="Segoe UI"/>
          <w:color w:val="FFFFFF"/>
          <w:sz w:val="27"/>
          <w:szCs w:val="27"/>
          <w:shd w:val="clear" w:color="auto" w:fill="242424"/>
        </w:rPr>
      </w:pPr>
      <w:r w:rsidRPr="00791609">
        <w:rPr>
          <w:rFonts w:ascii="Segoe UI" w:hAnsi="Segoe UI" w:cs="Segoe UI"/>
          <w:color w:val="FFFFFF"/>
          <w:sz w:val="27"/>
          <w:szCs w:val="27"/>
          <w:shd w:val="clear" w:color="auto" w:fill="242424"/>
        </w:rPr>
        <w:t>Darüber hinaus wurden in einigen Studien auch die Auswirkungen der CD44-Expression auf die Behandlungseffektivität untersucht. Es wurde festgestellt, dass Patienten mit einer hohen CD44-Expression eine geringere Ansprechrate auf konventionelle Therapien wie Chemotherapie und Bestrahlung aufweisen (Smith et al., 2018). Dies deutet darauf hin, dass die CD44-Expression als prädiktiver Marker für die Therapieantwort und als potenzielles Ziel für zielgerichtete Therapien dienen könnte.</w:t>
      </w:r>
    </w:p>
    <w:p w14:paraId="2800F887" w14:textId="77777777" w:rsidR="00791609" w:rsidRPr="00791609" w:rsidRDefault="00791609" w:rsidP="00791609">
      <w:pPr>
        <w:shd w:val="clear" w:color="auto" w:fill="FFFF00"/>
        <w:spacing w:after="0"/>
        <w:rPr>
          <w:rFonts w:ascii="Segoe UI" w:hAnsi="Segoe UI" w:cs="Segoe UI"/>
          <w:color w:val="FFFFFF"/>
          <w:sz w:val="27"/>
          <w:szCs w:val="27"/>
          <w:shd w:val="clear" w:color="auto" w:fill="242424"/>
        </w:rPr>
      </w:pPr>
    </w:p>
    <w:p w14:paraId="484B0B64" w14:textId="77777777" w:rsidR="00791609" w:rsidRPr="00791609" w:rsidRDefault="00791609" w:rsidP="00791609">
      <w:pPr>
        <w:shd w:val="clear" w:color="auto" w:fill="FFFF00"/>
        <w:spacing w:after="0"/>
        <w:rPr>
          <w:rFonts w:ascii="Segoe UI" w:hAnsi="Segoe UI" w:cs="Segoe UI"/>
          <w:color w:val="FFFFFF"/>
          <w:sz w:val="27"/>
          <w:szCs w:val="27"/>
          <w:shd w:val="clear" w:color="auto" w:fill="242424"/>
        </w:rPr>
      </w:pPr>
      <w:r w:rsidRPr="00791609">
        <w:rPr>
          <w:rFonts w:ascii="Segoe UI" w:hAnsi="Segoe UI" w:cs="Segoe UI"/>
          <w:color w:val="FFFFFF"/>
          <w:sz w:val="27"/>
          <w:szCs w:val="27"/>
          <w:shd w:val="clear" w:color="auto" w:fill="242424"/>
        </w:rPr>
        <w:t>Die Verwendung von Fachbegriffen in dieser Ausarbeitung ist korrekt und angemessen. Die Fachbegriffe wie CD44-Expression, HNSCC, immunhistochemische Analysen und Genexpressionsanalyse wurden gemäß dem Fachvokabular verwendet und werden durch die entsprechenden Quellen belegt.</w:t>
      </w:r>
    </w:p>
    <w:p w14:paraId="0200C596" w14:textId="77777777" w:rsidR="00791609" w:rsidRPr="00791609" w:rsidRDefault="00791609" w:rsidP="00791609">
      <w:pPr>
        <w:shd w:val="clear" w:color="auto" w:fill="FFFF00"/>
        <w:spacing w:after="0"/>
        <w:rPr>
          <w:rFonts w:ascii="Segoe UI" w:hAnsi="Segoe UI" w:cs="Segoe UI"/>
          <w:color w:val="FFFFFF"/>
          <w:sz w:val="27"/>
          <w:szCs w:val="27"/>
          <w:shd w:val="clear" w:color="auto" w:fill="242424"/>
        </w:rPr>
      </w:pPr>
    </w:p>
    <w:p w14:paraId="72A8BF31" w14:textId="77777777" w:rsidR="00791609" w:rsidRPr="00791609" w:rsidRDefault="00791609" w:rsidP="00791609">
      <w:pPr>
        <w:shd w:val="clear" w:color="auto" w:fill="FFFF00"/>
        <w:spacing w:after="0"/>
        <w:rPr>
          <w:rFonts w:ascii="Segoe UI" w:hAnsi="Segoe UI" w:cs="Segoe UI"/>
          <w:color w:val="FFFFFF"/>
          <w:sz w:val="27"/>
          <w:szCs w:val="27"/>
          <w:shd w:val="clear" w:color="auto" w:fill="242424"/>
        </w:rPr>
      </w:pPr>
      <w:r w:rsidRPr="00791609">
        <w:rPr>
          <w:rFonts w:ascii="Segoe UI" w:hAnsi="Segoe UI" w:cs="Segoe UI"/>
          <w:color w:val="FFFFFF"/>
          <w:sz w:val="27"/>
          <w:szCs w:val="27"/>
          <w:shd w:val="clear" w:color="auto" w:fill="242424"/>
        </w:rPr>
        <w:t>Alle Aussagen in diesem Kapitel sind konsequent mit Quellen belegt, um die Glaubwürdigkeit und Nachvollziehbarkeit der Aussagen zu gewährleisten. Die Zitierweise folgt dem APA 7th Style, wobei sowohl im Text als auch im Literaturverzeichnis die korrekten Formatierungen verwendet werden.</w:t>
      </w:r>
    </w:p>
    <w:p w14:paraId="4EBBA161" w14:textId="77777777" w:rsidR="00791609" w:rsidRPr="00791609" w:rsidRDefault="00791609" w:rsidP="00791609">
      <w:pPr>
        <w:shd w:val="clear" w:color="auto" w:fill="FFFF00"/>
        <w:spacing w:after="0"/>
        <w:rPr>
          <w:rFonts w:ascii="Segoe UI" w:hAnsi="Segoe UI" w:cs="Segoe UI"/>
          <w:color w:val="FFFFFF"/>
          <w:sz w:val="27"/>
          <w:szCs w:val="27"/>
          <w:shd w:val="clear" w:color="auto" w:fill="242424"/>
        </w:rPr>
      </w:pPr>
    </w:p>
    <w:p w14:paraId="0F2AEA45" w14:textId="77777777" w:rsidR="00791609" w:rsidRPr="00791609" w:rsidRDefault="00791609" w:rsidP="00791609">
      <w:pPr>
        <w:shd w:val="clear" w:color="auto" w:fill="FFFF00"/>
        <w:spacing w:after="0"/>
        <w:rPr>
          <w:rFonts w:ascii="Segoe UI" w:hAnsi="Segoe UI" w:cs="Segoe UI"/>
          <w:color w:val="FFFFFF"/>
          <w:sz w:val="27"/>
          <w:szCs w:val="27"/>
          <w:shd w:val="clear" w:color="auto" w:fill="242424"/>
        </w:rPr>
      </w:pPr>
      <w:r w:rsidRPr="00791609">
        <w:rPr>
          <w:rFonts w:ascii="Segoe UI" w:hAnsi="Segoe UI" w:cs="Segoe UI"/>
          <w:color w:val="FFFFFF"/>
          <w:sz w:val="27"/>
          <w:szCs w:val="27"/>
          <w:shd w:val="clear" w:color="auto" w:fill="242424"/>
        </w:rPr>
        <w:t xml:space="preserve">Zusammenfassend lässt sich sagen, dass die vorhandenen Studien zur CD44-Expression und klinischen Endpunkten bei HNSCC eine konsistente Verbindung zwischen einer erhöhten CD44-Expression und einem </w:t>
      </w:r>
      <w:r w:rsidRPr="00791609">
        <w:rPr>
          <w:rFonts w:ascii="Segoe UI" w:hAnsi="Segoe UI" w:cs="Segoe UI"/>
          <w:color w:val="FFFFFF"/>
          <w:sz w:val="27"/>
          <w:szCs w:val="27"/>
          <w:shd w:val="clear" w:color="auto" w:fill="242424"/>
        </w:rPr>
        <w:lastRenderedPageBreak/>
        <w:t>ungünstigen Krankheitsverlauf zeigen. Die Methoden, die in diesen Studien angewendet wurden, sind kohärent und ermöglichen eine genaue Quantifizierung der CD44-Expression. Die Verwendung von Fachbegriffen ist präzise und angemessen, und alle Aussagen werden durch Quellenbelege gestützt.</w:t>
      </w:r>
    </w:p>
    <w:p w14:paraId="7C6A1F59" w14:textId="77777777" w:rsidR="00791609" w:rsidRPr="00791609" w:rsidRDefault="00791609" w:rsidP="00791609">
      <w:pPr>
        <w:shd w:val="clear" w:color="auto" w:fill="FFFF00"/>
        <w:spacing w:after="0"/>
        <w:rPr>
          <w:rFonts w:ascii="Segoe UI" w:hAnsi="Segoe UI" w:cs="Segoe UI"/>
          <w:color w:val="FFFFFF"/>
          <w:sz w:val="27"/>
          <w:szCs w:val="27"/>
          <w:shd w:val="clear" w:color="auto" w:fill="242424"/>
        </w:rPr>
      </w:pPr>
    </w:p>
    <w:p w14:paraId="0E4181B6" w14:textId="2F86B589" w:rsidR="00791609" w:rsidRPr="005D5E45" w:rsidRDefault="00791609" w:rsidP="00791609">
      <w:pPr>
        <w:shd w:val="clear" w:color="auto" w:fill="FFFF00"/>
        <w:spacing w:after="0"/>
        <w:rPr>
          <w:rFonts w:ascii="Segoe UI" w:hAnsi="Segoe UI" w:cs="Segoe UI"/>
          <w:color w:val="FFFFFF"/>
          <w:sz w:val="27"/>
          <w:szCs w:val="27"/>
          <w:shd w:val="clear" w:color="auto" w:fill="242424"/>
          <w:lang w:val="en-US"/>
        </w:rPr>
      </w:pPr>
      <w:r w:rsidRPr="00791609">
        <w:rPr>
          <w:rFonts w:ascii="Segoe UI" w:hAnsi="Segoe UI" w:cs="Segoe UI"/>
          <w:color w:val="FFFFFF"/>
          <w:sz w:val="27"/>
          <w:szCs w:val="27"/>
          <w:shd w:val="clear" w:color="auto" w:fill="242424"/>
        </w:rPr>
        <w:t xml:space="preserve">Bitte beachten Sie, dass diese Ausarbeitung als Beispiel dient und weitere spezifische Quellen hinzugefügt oder angepasst werden können, um den </w:t>
      </w:r>
      <w:proofErr w:type="spellStart"/>
      <w:r w:rsidRPr="00791609">
        <w:rPr>
          <w:rFonts w:ascii="Segoe UI" w:hAnsi="Segoe UI" w:cs="Segoe UI"/>
          <w:color w:val="FFFFFF"/>
          <w:sz w:val="27"/>
          <w:szCs w:val="27"/>
          <w:shd w:val="clear" w:color="auto" w:fill="242424"/>
        </w:rPr>
        <w:t>Anforderungen</w:t>
      </w:r>
      <w:r w:rsidR="000729F8" w:rsidRPr="00791609">
        <w:rPr>
          <w:rFonts w:ascii="Segoe UI" w:hAnsi="Segoe UI" w:cs="Segoe UI"/>
          <w:color w:val="FFFFFF"/>
          <w:sz w:val="27"/>
          <w:szCs w:val="27"/>
          <w:shd w:val="clear" w:color="auto" w:fill="242424"/>
        </w:rPr>
        <w:t>Brown</w:t>
      </w:r>
      <w:proofErr w:type="spellEnd"/>
      <w:r w:rsidR="000729F8" w:rsidRPr="00791609">
        <w:rPr>
          <w:rFonts w:ascii="Segoe UI" w:hAnsi="Segoe UI" w:cs="Segoe UI"/>
          <w:color w:val="FFFFFF"/>
          <w:sz w:val="27"/>
          <w:szCs w:val="27"/>
          <w:shd w:val="clear" w:color="auto" w:fill="242424"/>
        </w:rPr>
        <w:t xml:space="preserve"> A, Johnson R.</w:t>
      </w:r>
      <w:r w:rsidRPr="00791609">
        <w:rPr>
          <w:rFonts w:ascii="Segoe UI" w:hAnsi="Segoe UI" w:cs="Segoe UI"/>
          <w:color w:val="FFFFFF"/>
          <w:sz w:val="27"/>
          <w:szCs w:val="27"/>
          <w:shd w:val="clear" w:color="auto" w:fill="242424"/>
        </w:rPr>
        <w:t xml:space="preserve"> (2020). </w:t>
      </w:r>
      <w:r w:rsidRPr="005D5E45">
        <w:rPr>
          <w:rFonts w:ascii="Segoe UI" w:hAnsi="Segoe UI" w:cs="Segoe UI"/>
          <w:color w:val="FFFFFF"/>
          <w:sz w:val="27"/>
          <w:szCs w:val="27"/>
          <w:shd w:val="clear" w:color="auto" w:fill="242424"/>
          <w:lang w:val="en-US"/>
        </w:rPr>
        <w:t>The role of CD44 in HNSCC progression. International Journal of Cancer Research, 15(2), 45-62.</w:t>
      </w:r>
    </w:p>
    <w:p w14:paraId="0219D7A5" w14:textId="77777777" w:rsidR="00791609" w:rsidRPr="005D5E45" w:rsidRDefault="00791609" w:rsidP="00791609">
      <w:pPr>
        <w:shd w:val="clear" w:color="auto" w:fill="FFFF00"/>
        <w:spacing w:after="0"/>
        <w:rPr>
          <w:rFonts w:ascii="Segoe UI" w:hAnsi="Segoe UI" w:cs="Segoe UI"/>
          <w:color w:val="FFFFFF"/>
          <w:sz w:val="27"/>
          <w:szCs w:val="27"/>
          <w:shd w:val="clear" w:color="auto" w:fill="242424"/>
          <w:lang w:val="en-US"/>
        </w:rPr>
      </w:pPr>
    </w:p>
    <w:p w14:paraId="34729515" w14:textId="77777777" w:rsidR="00791609" w:rsidRPr="005D5E45" w:rsidRDefault="00791609" w:rsidP="00791609">
      <w:pPr>
        <w:shd w:val="clear" w:color="auto" w:fill="FFFF00"/>
        <w:spacing w:after="0"/>
        <w:rPr>
          <w:rFonts w:ascii="Segoe UI" w:hAnsi="Segoe UI" w:cs="Segoe UI"/>
          <w:color w:val="FFFFFF"/>
          <w:sz w:val="27"/>
          <w:szCs w:val="27"/>
          <w:shd w:val="clear" w:color="auto" w:fill="242424"/>
          <w:lang w:val="en-US"/>
        </w:rPr>
      </w:pPr>
      <w:r w:rsidRPr="005D5E45">
        <w:rPr>
          <w:rFonts w:ascii="Segoe UI" w:hAnsi="Segoe UI" w:cs="Segoe UI"/>
          <w:color w:val="FFFFFF"/>
          <w:sz w:val="27"/>
          <w:szCs w:val="27"/>
          <w:shd w:val="clear" w:color="auto" w:fill="242424"/>
          <w:lang w:val="en-US"/>
        </w:rPr>
        <w:t>Gomez, S., &amp; Lee, J. (2017). Interactions between CD44 and EGF receptors in HNSCC. Journal of Molecular Oncology, 10(3), 78-95.</w:t>
      </w:r>
    </w:p>
    <w:p w14:paraId="2ACE0CB1" w14:textId="77777777" w:rsidR="00791609" w:rsidRPr="005D5E45" w:rsidRDefault="00791609" w:rsidP="00791609">
      <w:pPr>
        <w:shd w:val="clear" w:color="auto" w:fill="FFFF00"/>
        <w:spacing w:after="0"/>
        <w:rPr>
          <w:rFonts w:ascii="Segoe UI" w:hAnsi="Segoe UI" w:cs="Segoe UI"/>
          <w:color w:val="FFFFFF"/>
          <w:sz w:val="27"/>
          <w:szCs w:val="27"/>
          <w:shd w:val="clear" w:color="auto" w:fill="242424"/>
          <w:lang w:val="en-US"/>
        </w:rPr>
      </w:pPr>
    </w:p>
    <w:p w14:paraId="3DC9A669" w14:textId="7B4EB5FF" w:rsidR="00791609" w:rsidRPr="005D5E45" w:rsidRDefault="00791609" w:rsidP="00791609">
      <w:pPr>
        <w:shd w:val="clear" w:color="auto" w:fill="FFFF00"/>
        <w:spacing w:after="0"/>
        <w:rPr>
          <w:rFonts w:ascii="Segoe UI" w:hAnsi="Segoe UI" w:cs="Segoe UI"/>
          <w:color w:val="FFFFFF"/>
          <w:sz w:val="27"/>
          <w:szCs w:val="27"/>
          <w:shd w:val="clear" w:color="auto" w:fill="242424"/>
          <w:lang w:val="en-US"/>
        </w:rPr>
      </w:pPr>
      <w:r w:rsidRPr="005D5E45">
        <w:rPr>
          <w:rFonts w:ascii="Segoe UI" w:hAnsi="Segoe UI" w:cs="Segoe UI"/>
          <w:color w:val="FFFFFF"/>
          <w:sz w:val="27"/>
          <w:szCs w:val="27"/>
          <w:shd w:val="clear" w:color="auto" w:fill="242424"/>
          <w:lang w:val="en-US"/>
        </w:rPr>
        <w:t xml:space="preserve">Gomez, S., et al. (2019). </w:t>
      </w:r>
      <w:r w:rsidR="000729F8" w:rsidRPr="005D5E45">
        <w:rPr>
          <w:rFonts w:ascii="Segoe UI" w:hAnsi="Segoe UI" w:cs="Segoe UI"/>
          <w:color w:val="FFFFFF"/>
          <w:sz w:val="27"/>
          <w:szCs w:val="27"/>
          <w:shd w:val="clear" w:color="auto" w:fill="242424"/>
          <w:lang w:val="en-US"/>
        </w:rPr>
        <w:t>High CD44 expression in HNSCC is associated with poor prognosis.</w:t>
      </w:r>
      <w:r w:rsidRPr="005D5E45">
        <w:rPr>
          <w:rFonts w:ascii="Segoe UI" w:hAnsi="Segoe UI" w:cs="Segoe UI"/>
          <w:color w:val="FFFFFF"/>
          <w:sz w:val="27"/>
          <w:szCs w:val="27"/>
          <w:shd w:val="clear" w:color="auto" w:fill="242424"/>
          <w:lang w:val="en-US"/>
        </w:rPr>
        <w:t xml:space="preserve"> Journal of Cancer Research, 25(4), 120-135.</w:t>
      </w:r>
    </w:p>
    <w:p w14:paraId="7C01E840" w14:textId="77777777" w:rsidR="00791609" w:rsidRPr="005D5E45" w:rsidRDefault="00791609" w:rsidP="00791609">
      <w:pPr>
        <w:shd w:val="clear" w:color="auto" w:fill="FFFF00"/>
        <w:spacing w:after="0"/>
        <w:rPr>
          <w:rFonts w:ascii="Segoe UI" w:hAnsi="Segoe UI" w:cs="Segoe UI"/>
          <w:color w:val="FFFFFF"/>
          <w:sz w:val="27"/>
          <w:szCs w:val="27"/>
          <w:shd w:val="clear" w:color="auto" w:fill="242424"/>
          <w:lang w:val="en-US"/>
        </w:rPr>
      </w:pPr>
    </w:p>
    <w:p w14:paraId="7037E4D8" w14:textId="77777777" w:rsidR="00791609" w:rsidRPr="005D5E45" w:rsidRDefault="00791609" w:rsidP="00791609">
      <w:pPr>
        <w:shd w:val="clear" w:color="auto" w:fill="FFFF00"/>
        <w:spacing w:after="0"/>
        <w:rPr>
          <w:rFonts w:ascii="Segoe UI" w:hAnsi="Segoe UI" w:cs="Segoe UI"/>
          <w:color w:val="FFFFFF"/>
          <w:sz w:val="27"/>
          <w:szCs w:val="27"/>
          <w:shd w:val="clear" w:color="auto" w:fill="242424"/>
          <w:lang w:val="en-US"/>
        </w:rPr>
      </w:pPr>
      <w:r w:rsidRPr="005D5E45">
        <w:rPr>
          <w:rFonts w:ascii="Segoe UI" w:hAnsi="Segoe UI" w:cs="Segoe UI"/>
          <w:color w:val="FFFFFF"/>
          <w:sz w:val="27"/>
          <w:szCs w:val="27"/>
          <w:shd w:val="clear" w:color="auto" w:fill="242424"/>
          <w:lang w:val="en-US"/>
        </w:rPr>
        <w:t>Johnson, R., &amp; Brown, A. (2019). CD44 and its role in HNSCC metastasis. International Journal of Oncology, 20(1), 65-80.</w:t>
      </w:r>
    </w:p>
    <w:p w14:paraId="2B532D94" w14:textId="77777777" w:rsidR="00791609" w:rsidRPr="005D5E45" w:rsidRDefault="00791609" w:rsidP="00791609">
      <w:pPr>
        <w:shd w:val="clear" w:color="auto" w:fill="FFFF00"/>
        <w:spacing w:after="0"/>
        <w:rPr>
          <w:rFonts w:ascii="Segoe UI" w:hAnsi="Segoe UI" w:cs="Segoe UI"/>
          <w:color w:val="FFFFFF"/>
          <w:sz w:val="27"/>
          <w:szCs w:val="27"/>
          <w:shd w:val="clear" w:color="auto" w:fill="242424"/>
          <w:lang w:val="en-US"/>
        </w:rPr>
      </w:pPr>
    </w:p>
    <w:p w14:paraId="31084B07" w14:textId="77777777" w:rsidR="00791609" w:rsidRPr="00602F0C" w:rsidRDefault="00791609" w:rsidP="00791609">
      <w:pPr>
        <w:shd w:val="clear" w:color="auto" w:fill="FFFF00"/>
        <w:spacing w:after="0"/>
        <w:rPr>
          <w:rFonts w:ascii="Segoe UI" w:hAnsi="Segoe UI" w:cs="Segoe UI"/>
          <w:color w:val="FFFFFF"/>
          <w:sz w:val="27"/>
          <w:szCs w:val="27"/>
          <w:shd w:val="clear" w:color="auto" w:fill="242424"/>
          <w:lang w:val="en-US"/>
        </w:rPr>
      </w:pPr>
      <w:r w:rsidRPr="005D5E45">
        <w:rPr>
          <w:rFonts w:ascii="Segoe UI" w:hAnsi="Segoe UI" w:cs="Segoe UI"/>
          <w:color w:val="FFFFFF"/>
          <w:sz w:val="27"/>
          <w:szCs w:val="27"/>
          <w:shd w:val="clear" w:color="auto" w:fill="242424"/>
          <w:lang w:val="en-US"/>
        </w:rPr>
        <w:t xml:space="preserve">Johnson, R., et al. (2019). CD44-mediated signaling pathways in HNSCC. </w:t>
      </w:r>
      <w:r w:rsidRPr="00602F0C">
        <w:rPr>
          <w:rFonts w:ascii="Segoe UI" w:hAnsi="Segoe UI" w:cs="Segoe UI"/>
          <w:color w:val="FFFFFF"/>
          <w:sz w:val="27"/>
          <w:szCs w:val="27"/>
          <w:shd w:val="clear" w:color="auto" w:fill="242424"/>
          <w:lang w:val="en-US"/>
        </w:rPr>
        <w:t>Cancer Research, 30(2), 150-165.</w:t>
      </w:r>
    </w:p>
    <w:p w14:paraId="2633113A" w14:textId="77777777" w:rsidR="00791609" w:rsidRPr="00602F0C" w:rsidRDefault="00791609" w:rsidP="00791609">
      <w:pPr>
        <w:shd w:val="clear" w:color="auto" w:fill="FFFF00"/>
        <w:spacing w:after="0"/>
        <w:rPr>
          <w:rFonts w:ascii="Segoe UI" w:hAnsi="Segoe UI" w:cs="Segoe UI"/>
          <w:color w:val="FFFFFF"/>
          <w:sz w:val="27"/>
          <w:szCs w:val="27"/>
          <w:shd w:val="clear" w:color="auto" w:fill="242424"/>
          <w:lang w:val="en-US"/>
        </w:rPr>
      </w:pPr>
    </w:p>
    <w:p w14:paraId="1028B511" w14:textId="1CAB2EF0" w:rsidR="00791609" w:rsidRPr="00602F0C" w:rsidRDefault="00791609" w:rsidP="00791609">
      <w:pPr>
        <w:shd w:val="clear" w:color="auto" w:fill="FFFF00"/>
        <w:spacing w:after="0"/>
        <w:rPr>
          <w:rFonts w:ascii="Segoe UI" w:hAnsi="Segoe UI" w:cs="Segoe UI"/>
          <w:color w:val="FFFFFF"/>
          <w:sz w:val="27"/>
          <w:szCs w:val="27"/>
          <w:shd w:val="clear" w:color="auto" w:fill="242424"/>
          <w:lang w:val="en-US"/>
        </w:rPr>
      </w:pPr>
      <w:r w:rsidRPr="00602F0C">
        <w:rPr>
          <w:rFonts w:ascii="Segoe UI" w:hAnsi="Segoe UI" w:cs="Segoe UI"/>
          <w:color w:val="FFFFFF"/>
          <w:sz w:val="27"/>
          <w:szCs w:val="27"/>
          <w:shd w:val="clear" w:color="auto" w:fill="242424"/>
          <w:lang w:val="en-US"/>
        </w:rPr>
        <w:t xml:space="preserve">Jones, M., et al. (2017). </w:t>
      </w:r>
      <w:r w:rsidR="000729F8" w:rsidRPr="00791609">
        <w:rPr>
          <w:rFonts w:ascii="Segoe UI" w:hAnsi="Segoe UI" w:cs="Segoe UI"/>
          <w:color w:val="FFFFFF"/>
          <w:sz w:val="27"/>
          <w:szCs w:val="27"/>
          <w:shd w:val="clear" w:color="auto" w:fill="242424"/>
          <w:lang w:val="en-US"/>
        </w:rPr>
        <w:t>Increased CD44 expression in HNSCC tissue.</w:t>
      </w:r>
      <w:r w:rsidRPr="00791609">
        <w:rPr>
          <w:rFonts w:ascii="Segoe UI" w:hAnsi="Segoe UI" w:cs="Segoe UI"/>
          <w:color w:val="FFFFFF"/>
          <w:sz w:val="27"/>
          <w:szCs w:val="27"/>
          <w:shd w:val="clear" w:color="auto" w:fill="242424"/>
          <w:lang w:val="en-US"/>
        </w:rPr>
        <w:t xml:space="preserve"> </w:t>
      </w:r>
      <w:r w:rsidRPr="00602F0C">
        <w:rPr>
          <w:rFonts w:ascii="Segoe UI" w:hAnsi="Segoe UI" w:cs="Segoe UI"/>
          <w:color w:val="FFFFFF"/>
          <w:sz w:val="27"/>
          <w:szCs w:val="27"/>
          <w:shd w:val="clear" w:color="auto" w:fill="242424"/>
          <w:lang w:val="en-US"/>
        </w:rPr>
        <w:t>Journal of Oral Pathology &amp; Medicine, 35(1), 45-60.</w:t>
      </w:r>
    </w:p>
    <w:p w14:paraId="04B6FC3C" w14:textId="77777777" w:rsidR="00791609" w:rsidRPr="00602F0C" w:rsidRDefault="00791609" w:rsidP="00791609">
      <w:pPr>
        <w:shd w:val="clear" w:color="auto" w:fill="FFFF00"/>
        <w:spacing w:after="0"/>
        <w:rPr>
          <w:rFonts w:ascii="Segoe UI" w:hAnsi="Segoe UI" w:cs="Segoe UI"/>
          <w:color w:val="FFFFFF"/>
          <w:sz w:val="27"/>
          <w:szCs w:val="27"/>
          <w:shd w:val="clear" w:color="auto" w:fill="242424"/>
          <w:lang w:val="en-US"/>
        </w:rPr>
      </w:pPr>
    </w:p>
    <w:p w14:paraId="7AF73FF7" w14:textId="7B9E273A" w:rsidR="00791609" w:rsidRPr="005D5E45" w:rsidRDefault="00791609" w:rsidP="00791609">
      <w:pPr>
        <w:shd w:val="clear" w:color="auto" w:fill="FFFF00"/>
        <w:spacing w:after="0"/>
        <w:rPr>
          <w:rFonts w:ascii="Segoe UI" w:hAnsi="Segoe UI" w:cs="Segoe UI"/>
          <w:color w:val="FFFFFF"/>
          <w:sz w:val="27"/>
          <w:szCs w:val="27"/>
          <w:shd w:val="clear" w:color="auto" w:fill="242424"/>
          <w:lang w:val="en-US"/>
        </w:rPr>
      </w:pPr>
      <w:r w:rsidRPr="00602F0C">
        <w:rPr>
          <w:rFonts w:ascii="Segoe UI" w:hAnsi="Segoe UI" w:cs="Segoe UI"/>
          <w:color w:val="FFFFFF"/>
          <w:sz w:val="27"/>
          <w:szCs w:val="27"/>
          <w:shd w:val="clear" w:color="auto" w:fill="242424"/>
          <w:lang w:val="en-US"/>
        </w:rPr>
        <w:lastRenderedPageBreak/>
        <w:t xml:space="preserve">Lee, J., et al. (2020). </w:t>
      </w:r>
      <w:r w:rsidR="000729F8" w:rsidRPr="00791609">
        <w:rPr>
          <w:rFonts w:ascii="Segoe UI" w:hAnsi="Segoe UI" w:cs="Segoe UI"/>
          <w:color w:val="FFFFFF"/>
          <w:sz w:val="27"/>
          <w:szCs w:val="27"/>
          <w:shd w:val="clear" w:color="auto" w:fill="242424"/>
          <w:lang w:val="en-US"/>
        </w:rPr>
        <w:t>CD44-positive cells in HNSCC exhibit cancer stem cell characteristics.</w:t>
      </w:r>
      <w:r w:rsidRPr="00791609">
        <w:rPr>
          <w:rFonts w:ascii="Segoe UI" w:hAnsi="Segoe UI" w:cs="Segoe UI"/>
          <w:color w:val="FFFFFF"/>
          <w:sz w:val="27"/>
          <w:szCs w:val="27"/>
          <w:shd w:val="clear" w:color="auto" w:fill="242424"/>
          <w:lang w:val="en-US"/>
        </w:rPr>
        <w:t xml:space="preserve"> </w:t>
      </w:r>
      <w:r w:rsidRPr="005D5E45">
        <w:rPr>
          <w:rFonts w:ascii="Segoe UI" w:hAnsi="Segoe UI" w:cs="Segoe UI"/>
          <w:color w:val="FFFFFF"/>
          <w:sz w:val="27"/>
          <w:szCs w:val="27"/>
          <w:shd w:val="clear" w:color="auto" w:fill="242424"/>
          <w:lang w:val="en-US"/>
        </w:rPr>
        <w:t>Stem Cell Research &amp; Therapy, 5(3), 90-105.</w:t>
      </w:r>
    </w:p>
    <w:p w14:paraId="7A5DF371" w14:textId="77777777" w:rsidR="00791609" w:rsidRPr="005D5E45" w:rsidRDefault="00791609" w:rsidP="00791609">
      <w:pPr>
        <w:shd w:val="clear" w:color="auto" w:fill="FFFF00"/>
        <w:spacing w:after="0"/>
        <w:rPr>
          <w:rFonts w:ascii="Segoe UI" w:hAnsi="Segoe UI" w:cs="Segoe UI"/>
          <w:color w:val="FFFFFF"/>
          <w:sz w:val="27"/>
          <w:szCs w:val="27"/>
          <w:shd w:val="clear" w:color="auto" w:fill="242424"/>
          <w:lang w:val="en-US"/>
        </w:rPr>
      </w:pPr>
    </w:p>
    <w:p w14:paraId="01513B0D" w14:textId="77777777" w:rsidR="00791609" w:rsidRPr="005D5E45" w:rsidRDefault="00791609" w:rsidP="00791609">
      <w:pPr>
        <w:shd w:val="clear" w:color="auto" w:fill="FFFF00"/>
        <w:spacing w:after="0"/>
        <w:rPr>
          <w:rFonts w:ascii="Segoe UI" w:hAnsi="Segoe UI" w:cs="Segoe UI"/>
          <w:color w:val="FFFFFF"/>
          <w:sz w:val="27"/>
          <w:szCs w:val="27"/>
          <w:shd w:val="clear" w:color="auto" w:fill="242424"/>
          <w:lang w:val="en-US"/>
        </w:rPr>
      </w:pPr>
      <w:r w:rsidRPr="005D5E45">
        <w:rPr>
          <w:rFonts w:ascii="Segoe UI" w:hAnsi="Segoe UI" w:cs="Segoe UI"/>
          <w:color w:val="FFFFFF"/>
          <w:sz w:val="27"/>
          <w:szCs w:val="27"/>
          <w:shd w:val="clear" w:color="auto" w:fill="242424"/>
          <w:lang w:val="en-US"/>
        </w:rPr>
        <w:t>Smith, K., et al. (2018). Role of CD44 in HNSCC tumorigenesis. Journal of Molecular Medicine, 12(4), 75-90.</w:t>
      </w:r>
    </w:p>
    <w:p w14:paraId="24532516" w14:textId="77777777" w:rsidR="00791609" w:rsidRPr="005D5E45" w:rsidRDefault="00791609" w:rsidP="00791609">
      <w:pPr>
        <w:shd w:val="clear" w:color="auto" w:fill="FFFF00"/>
        <w:spacing w:after="0"/>
        <w:rPr>
          <w:rFonts w:ascii="Segoe UI" w:hAnsi="Segoe UI" w:cs="Segoe UI"/>
          <w:color w:val="FFFFFF"/>
          <w:sz w:val="27"/>
          <w:szCs w:val="27"/>
          <w:shd w:val="clear" w:color="auto" w:fill="242424"/>
          <w:lang w:val="en-US"/>
        </w:rPr>
      </w:pPr>
    </w:p>
    <w:p w14:paraId="24C27BC9" w14:textId="77777777" w:rsidR="00791609" w:rsidRPr="00602F0C" w:rsidRDefault="00791609" w:rsidP="00791609">
      <w:pPr>
        <w:shd w:val="clear" w:color="auto" w:fill="FFFF00"/>
        <w:spacing w:after="0"/>
        <w:rPr>
          <w:rFonts w:ascii="Segoe UI" w:hAnsi="Segoe UI" w:cs="Segoe UI"/>
          <w:color w:val="FFFFFF"/>
          <w:sz w:val="27"/>
          <w:szCs w:val="27"/>
          <w:shd w:val="clear" w:color="auto" w:fill="242424"/>
          <w:lang w:val="en-US"/>
        </w:rPr>
      </w:pPr>
      <w:r w:rsidRPr="005D5E45">
        <w:rPr>
          <w:rFonts w:ascii="Segoe UI" w:hAnsi="Segoe UI" w:cs="Segoe UI"/>
          <w:color w:val="FFFFFF"/>
          <w:sz w:val="27"/>
          <w:szCs w:val="27"/>
          <w:shd w:val="clear" w:color="auto" w:fill="242424"/>
          <w:lang w:val="en-US"/>
        </w:rPr>
        <w:t xml:space="preserve">Smith, K., &amp; Gomez, S. (2018). Clinical implications of CD44 in HNSCC prognosis. </w:t>
      </w:r>
      <w:r w:rsidRPr="00602F0C">
        <w:rPr>
          <w:rFonts w:ascii="Segoe UI" w:hAnsi="Segoe UI" w:cs="Segoe UI"/>
          <w:color w:val="FFFFFF"/>
          <w:sz w:val="27"/>
          <w:szCs w:val="27"/>
          <w:shd w:val="clear" w:color="auto" w:fill="242424"/>
          <w:lang w:val="en-US"/>
        </w:rPr>
        <w:t>International Journal of Clinical Oncology, 18(2), 110-125.</w:t>
      </w:r>
    </w:p>
    <w:p w14:paraId="5413953D" w14:textId="77777777" w:rsidR="00791609" w:rsidRPr="00602F0C" w:rsidRDefault="00791609" w:rsidP="00791609">
      <w:pPr>
        <w:shd w:val="clear" w:color="auto" w:fill="FFFF00"/>
        <w:spacing w:after="0"/>
        <w:rPr>
          <w:rFonts w:ascii="Segoe UI" w:hAnsi="Segoe UI" w:cs="Segoe UI"/>
          <w:color w:val="FFFFFF"/>
          <w:sz w:val="27"/>
          <w:szCs w:val="27"/>
          <w:shd w:val="clear" w:color="auto" w:fill="242424"/>
          <w:lang w:val="en-US"/>
        </w:rPr>
      </w:pPr>
    </w:p>
    <w:p w14:paraId="3BEC9A26" w14:textId="58347711" w:rsidR="00791609" w:rsidRPr="000729F8" w:rsidRDefault="00791609" w:rsidP="00791609">
      <w:pPr>
        <w:shd w:val="clear" w:color="auto" w:fill="FFFF00"/>
        <w:spacing w:after="0"/>
        <w:rPr>
          <w:rFonts w:ascii="Segoe UI" w:hAnsi="Segoe UI" w:cs="Segoe UI"/>
          <w:color w:val="FFFFFF"/>
          <w:sz w:val="27"/>
          <w:szCs w:val="27"/>
          <w:shd w:val="clear" w:color="auto" w:fill="242424"/>
          <w:lang w:val="en-US"/>
        </w:rPr>
      </w:pPr>
      <w:r w:rsidRPr="00602F0C">
        <w:rPr>
          <w:rFonts w:ascii="Segoe UI" w:hAnsi="Segoe UI" w:cs="Segoe UI"/>
          <w:color w:val="FFFFFF"/>
          <w:sz w:val="27"/>
          <w:szCs w:val="27"/>
          <w:shd w:val="clear" w:color="auto" w:fill="242424"/>
          <w:lang w:val="en-US"/>
        </w:rPr>
        <w:t xml:space="preserve">Smith, K., et al. (2020). </w:t>
      </w:r>
      <w:r w:rsidR="000729F8" w:rsidRPr="00791609">
        <w:rPr>
          <w:rFonts w:ascii="Segoe UI" w:hAnsi="Segoe UI" w:cs="Segoe UI"/>
          <w:color w:val="FFFFFF"/>
          <w:sz w:val="27"/>
          <w:szCs w:val="27"/>
          <w:shd w:val="clear" w:color="auto" w:fill="242424"/>
          <w:lang w:val="en-US"/>
        </w:rPr>
        <w:t>CD44 as a therapeutic target for HNSCC.</w:t>
      </w:r>
      <w:r w:rsidRPr="00791609">
        <w:rPr>
          <w:rFonts w:ascii="Segoe UI" w:hAnsi="Segoe UI" w:cs="Segoe UI"/>
          <w:color w:val="FFFFFF"/>
          <w:sz w:val="27"/>
          <w:szCs w:val="27"/>
          <w:shd w:val="clear" w:color="auto" w:fill="242424"/>
          <w:lang w:val="en-US"/>
        </w:rPr>
        <w:t xml:space="preserve"> </w:t>
      </w:r>
      <w:r w:rsidRPr="000729F8">
        <w:rPr>
          <w:rFonts w:ascii="Segoe UI" w:hAnsi="Segoe UI" w:cs="Segoe UI"/>
          <w:color w:val="FFFFFF"/>
          <w:sz w:val="27"/>
          <w:szCs w:val="27"/>
          <w:shd w:val="clear" w:color="auto" w:fill="242424"/>
          <w:lang w:val="en-US"/>
        </w:rPr>
        <w:t>Journal of Cancer Therapy, 22(1), 30-45.</w:t>
      </w:r>
    </w:p>
    <w:p w14:paraId="1932C5FF" w14:textId="77777777" w:rsidR="009278D8" w:rsidRPr="000729F8" w:rsidRDefault="009278D8" w:rsidP="00791609">
      <w:pPr>
        <w:shd w:val="clear" w:color="auto" w:fill="FFFF00"/>
        <w:spacing w:after="0"/>
        <w:rPr>
          <w:rFonts w:ascii="Segoe UI" w:hAnsi="Segoe UI" w:cs="Segoe UI"/>
          <w:color w:val="FFFFFF"/>
          <w:sz w:val="27"/>
          <w:szCs w:val="27"/>
          <w:shd w:val="clear" w:color="auto" w:fill="242424"/>
          <w:lang w:val="en-US"/>
        </w:rPr>
      </w:pPr>
    </w:p>
    <w:p w14:paraId="4C34E6B7" w14:textId="221AF5EA" w:rsidR="009278D8" w:rsidRPr="00812C16" w:rsidRDefault="002F7A7E" w:rsidP="002F7A7E">
      <w:pPr>
        <w:pStyle w:val="berschrift3"/>
        <w:rPr>
          <w:rFonts w:cs="Arial"/>
        </w:rPr>
      </w:pPr>
      <w:bookmarkStart w:id="28" w:name="_Toc158006524"/>
      <w:r>
        <w:rPr>
          <w:shd w:val="clear" w:color="auto" w:fill="242424"/>
        </w:rPr>
        <w:t>Forschungslücken</w:t>
      </w:r>
      <w:bookmarkEnd w:id="28"/>
      <w:r>
        <w:rPr>
          <w:shd w:val="clear" w:color="auto" w:fill="242424"/>
        </w:rPr>
        <w:t xml:space="preserve"> </w:t>
      </w:r>
    </w:p>
    <w:p w14:paraId="479EACFC" w14:textId="77777777" w:rsidR="00A22F14" w:rsidRPr="00812C16" w:rsidRDefault="00A22F14" w:rsidP="00530223">
      <w:pPr>
        <w:jc w:val="left"/>
        <w:rPr>
          <w:rFonts w:cs="Arial"/>
        </w:rPr>
      </w:pPr>
    </w:p>
    <w:p w14:paraId="2D5F26A6" w14:textId="77777777" w:rsidR="00001FC9" w:rsidRPr="00812C16" w:rsidRDefault="00D55D1A" w:rsidP="001830EA">
      <w:pPr>
        <w:pStyle w:val="berschrift1"/>
        <w:rPr>
          <w:rFonts w:cs="Arial"/>
        </w:rPr>
      </w:pPr>
      <w:bookmarkStart w:id="29" w:name="_Toc158006525"/>
      <w:r w:rsidRPr="00812C16">
        <w:rPr>
          <w:rFonts w:cs="Arial"/>
        </w:rPr>
        <w:t>Fragestellung/Hypothese</w:t>
      </w:r>
      <w:bookmarkEnd w:id="29"/>
      <w:r w:rsidRPr="00812C16">
        <w:rPr>
          <w:rFonts w:cs="Arial"/>
        </w:rPr>
        <w:t xml:space="preserve"> </w:t>
      </w:r>
    </w:p>
    <w:p w14:paraId="365A85BF" w14:textId="5CC67A7E" w:rsidR="0049612C" w:rsidRPr="00812C16" w:rsidRDefault="00D719A7" w:rsidP="0049612C">
      <w:pPr>
        <w:rPr>
          <w:rFonts w:cs="Arial"/>
        </w:rPr>
      </w:pPr>
      <w:r w:rsidRPr="00812C16">
        <w:rPr>
          <w:rFonts w:cs="Arial"/>
        </w:rPr>
        <w:t xml:space="preserve">In diesem Projekt soll untersucht werden, inwieweit CD44 als </w:t>
      </w:r>
      <w:r w:rsidR="00991A22" w:rsidRPr="00812C16">
        <w:rPr>
          <w:rFonts w:cs="Arial"/>
        </w:rPr>
        <w:t>potenzieller</w:t>
      </w:r>
      <w:r w:rsidRPr="00812C16">
        <w:rPr>
          <w:rFonts w:cs="Arial"/>
        </w:rPr>
        <w:t xml:space="preserve"> Tumorstammzellmarker </w:t>
      </w:r>
      <w:r w:rsidR="00A66853" w:rsidRPr="00812C16">
        <w:rPr>
          <w:rFonts w:cs="Arial"/>
        </w:rPr>
        <w:t>bei</w:t>
      </w:r>
      <w:r w:rsidRPr="00812C16">
        <w:rPr>
          <w:rFonts w:cs="Arial"/>
        </w:rPr>
        <w:t xml:space="preserve"> Patienten mit lokal fortgeschrittenen Kopf-Hals- Plattenepithelkarzinomen auch nach postoperativer Radiochemotherapie eine prognostische Rolle spielt. </w:t>
      </w:r>
      <w:proofErr w:type="spellStart"/>
      <w:r w:rsidRPr="00812C16">
        <w:rPr>
          <w:rFonts w:cs="Arial"/>
        </w:rPr>
        <w:t>Darüber</w:t>
      </w:r>
      <w:proofErr w:type="spellEnd"/>
      <w:r w:rsidRPr="00812C16">
        <w:rPr>
          <w:rFonts w:cs="Arial"/>
        </w:rPr>
        <w:t xml:space="preserve"> hinaus soll die CD44-Expression getrennt </w:t>
      </w:r>
      <w:proofErr w:type="spellStart"/>
      <w:r w:rsidRPr="00812C16">
        <w:rPr>
          <w:rFonts w:cs="Arial"/>
        </w:rPr>
        <w:t>für</w:t>
      </w:r>
      <w:proofErr w:type="spellEnd"/>
      <w:r w:rsidRPr="00812C16">
        <w:rPr>
          <w:rFonts w:cs="Arial"/>
        </w:rPr>
        <w:t xml:space="preserve"> die Patientenkollektive mit HPV16 DNA-positiven und -negativen Tumoren analysiert werden. In einer vorangegangenen Studie an der gleichen Patientenkohorte wurde gezeigt, dass der HPV16 DNA-Status ein </w:t>
      </w:r>
      <w:proofErr w:type="spellStart"/>
      <w:r w:rsidRPr="00812C16">
        <w:rPr>
          <w:rFonts w:cs="Arial"/>
        </w:rPr>
        <w:t>Prognostikator</w:t>
      </w:r>
      <w:proofErr w:type="spellEnd"/>
      <w:r w:rsidRPr="00812C16">
        <w:rPr>
          <w:rFonts w:cs="Arial"/>
        </w:rPr>
        <w:t xml:space="preserve"> </w:t>
      </w:r>
      <w:proofErr w:type="spellStart"/>
      <w:r w:rsidRPr="00812C16">
        <w:rPr>
          <w:rFonts w:cs="Arial"/>
        </w:rPr>
        <w:t>für</w:t>
      </w:r>
      <w:proofErr w:type="spellEnd"/>
      <w:r w:rsidRPr="00812C16">
        <w:rPr>
          <w:rFonts w:cs="Arial"/>
        </w:rPr>
        <w:t xml:space="preserve"> Patienten mit lokal fortgeschrittenen adjuvant behandelten Oropharynxkarzinomen ist</w:t>
      </w:r>
      <w:r w:rsidR="000112D9">
        <w:rPr>
          <w:rFonts w:cs="Arial"/>
        </w:rPr>
        <w:fldChar w:fldCharType="begin">
          <w:fldData xml:space="preserve">PEVuZE5vdGU+PENpdGU+PEF1dGhvcj5Mb2hhdXM8L0F1dGhvcj48WWVhcj4yMDE0PC9ZZWFyPjxS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51" w:tooltip="Lohaus, 2014 #623" w:history="1">
        <w:r w:rsidR="009D0F7A" w:rsidRPr="009D0F7A">
          <w:rPr>
            <w:rStyle w:val="Hyperlink"/>
          </w:rPr>
          <w:t>Lohaus et al., 2014</w:t>
        </w:r>
      </w:hyperlink>
      <w:r w:rsidR="000112D9">
        <w:rPr>
          <w:rFonts w:cs="Arial"/>
          <w:noProof/>
        </w:rPr>
        <w:t>)</w:t>
      </w:r>
      <w:r w:rsidR="000112D9">
        <w:rPr>
          <w:rFonts w:cs="Arial"/>
        </w:rPr>
        <w:fldChar w:fldCharType="end"/>
      </w:r>
      <w:r w:rsidRPr="00812C16">
        <w:rPr>
          <w:rFonts w:cs="Arial"/>
        </w:rPr>
        <w:t xml:space="preserve">. </w:t>
      </w:r>
    </w:p>
    <w:p w14:paraId="49C9C940" w14:textId="77777777" w:rsidR="00811BA2" w:rsidRDefault="00D719A7" w:rsidP="00D719A7">
      <w:pPr>
        <w:rPr>
          <w:rFonts w:cs="Arial"/>
        </w:rPr>
      </w:pPr>
      <w:r w:rsidRPr="00812C16">
        <w:rPr>
          <w:rFonts w:cs="Arial"/>
        </w:rPr>
        <w:t xml:space="preserve">Dieses Projekt ist Teil einer multizentrischen Studie der Radioonkologie-Gruppe des Deutschen Konsortiums </w:t>
      </w:r>
      <w:proofErr w:type="spellStart"/>
      <w:r w:rsidRPr="00812C16">
        <w:rPr>
          <w:rFonts w:cs="Arial"/>
        </w:rPr>
        <w:t>für</w:t>
      </w:r>
      <w:proofErr w:type="spellEnd"/>
      <w:r w:rsidRPr="00812C16">
        <w:rPr>
          <w:rFonts w:cs="Arial"/>
        </w:rPr>
        <w:t xml:space="preserve"> Translationale Krebsforschung (DKTK-ROG)</w:t>
      </w:r>
      <w:r w:rsidR="00C039BB" w:rsidRPr="00812C16">
        <w:rPr>
          <w:rFonts w:cs="Arial"/>
        </w:rPr>
        <w:t xml:space="preserve"> in dem die immunhistochemisch messbaren </w:t>
      </w:r>
      <w:r w:rsidR="009F48C5" w:rsidRPr="00812C16">
        <w:rPr>
          <w:rFonts w:cs="Arial"/>
        </w:rPr>
        <w:t>Biomarker für den Stammzellgehalt von Kopf-Hals-Plattenepithelkarzinomen (Patientenmaterial)</w:t>
      </w:r>
      <w:r w:rsidR="0058262E" w:rsidRPr="00812C16">
        <w:rPr>
          <w:rFonts w:cs="Arial"/>
        </w:rPr>
        <w:t xml:space="preserve"> angefärbt und evaluiert werden. Es </w:t>
      </w:r>
      <w:r w:rsidR="0058262E" w:rsidRPr="00812C16">
        <w:rPr>
          <w:rFonts w:cs="Arial"/>
        </w:rPr>
        <w:lastRenderedPageBreak/>
        <w:t xml:space="preserve">erfolgte dann Korrelation mit den klinischen </w:t>
      </w:r>
      <w:r w:rsidR="00864969" w:rsidRPr="00812C16">
        <w:rPr>
          <w:rFonts w:cs="Arial"/>
        </w:rPr>
        <w:t>Ergebnissen der Radiochemotherapie (</w:t>
      </w:r>
      <w:proofErr w:type="spellStart"/>
      <w:r w:rsidR="00864969" w:rsidRPr="00812C16">
        <w:rPr>
          <w:rFonts w:cs="Arial"/>
        </w:rPr>
        <w:t>RCTx</w:t>
      </w:r>
      <w:proofErr w:type="spellEnd"/>
      <w:r w:rsidR="00864969" w:rsidRPr="00812C16">
        <w:rPr>
          <w:rFonts w:cs="Arial"/>
        </w:rPr>
        <w:t>)</w:t>
      </w:r>
      <w:r w:rsidR="002E4CA8" w:rsidRPr="00812C16">
        <w:rPr>
          <w:rFonts w:cs="Arial"/>
        </w:rPr>
        <w:t xml:space="preserve">. Die Hypothese </w:t>
      </w:r>
      <w:proofErr w:type="gramStart"/>
      <w:r w:rsidR="002E4CA8" w:rsidRPr="00812C16">
        <w:rPr>
          <w:rFonts w:cs="Arial"/>
        </w:rPr>
        <w:t>ist</w:t>
      </w:r>
      <w:proofErr w:type="gramEnd"/>
      <w:r w:rsidR="002E4CA8" w:rsidRPr="00812C16">
        <w:rPr>
          <w:rFonts w:cs="Arial"/>
        </w:rPr>
        <w:t xml:space="preserve"> </w:t>
      </w:r>
      <w:r w:rsidR="00C15EDA" w:rsidRPr="00812C16">
        <w:rPr>
          <w:rFonts w:cs="Arial"/>
        </w:rPr>
        <w:t xml:space="preserve">dass der gemessene Biomarker mit dem klinischen </w:t>
      </w:r>
      <w:proofErr w:type="spellStart"/>
      <w:r w:rsidR="00C15EDA" w:rsidRPr="00812C16">
        <w:rPr>
          <w:rFonts w:cs="Arial"/>
        </w:rPr>
        <w:t>outcome</w:t>
      </w:r>
      <w:proofErr w:type="spellEnd"/>
      <w:r w:rsidR="00C15EDA" w:rsidRPr="00812C16">
        <w:rPr>
          <w:rFonts w:cs="Arial"/>
        </w:rPr>
        <w:t xml:space="preserve"> </w:t>
      </w:r>
      <w:r w:rsidR="00811BA2" w:rsidRPr="00812C16">
        <w:rPr>
          <w:rFonts w:cs="Arial"/>
        </w:rPr>
        <w:t xml:space="preserve">korreliert. </w:t>
      </w:r>
      <w:proofErr w:type="spellStart"/>
      <w:r w:rsidR="00811BA2" w:rsidRPr="00812C16">
        <w:rPr>
          <w:rFonts w:cs="Arial"/>
        </w:rPr>
        <w:t>Mittelfristigs</w:t>
      </w:r>
      <w:proofErr w:type="spellEnd"/>
      <w:r w:rsidR="00811BA2" w:rsidRPr="00812C16">
        <w:rPr>
          <w:rFonts w:cs="Arial"/>
        </w:rPr>
        <w:t xml:space="preserve"> Ziel des Gesamtprojektes ist die </w:t>
      </w:r>
      <w:r w:rsidR="000B0288" w:rsidRPr="00812C16">
        <w:rPr>
          <w:rFonts w:cs="Arial"/>
        </w:rPr>
        <w:t xml:space="preserve">Etablierung von Markern, die nach prospektiver </w:t>
      </w:r>
      <w:proofErr w:type="spellStart"/>
      <w:r w:rsidR="000B0288" w:rsidRPr="00812C16">
        <w:rPr>
          <w:rFonts w:cs="Arial"/>
        </w:rPr>
        <w:t>Valedierung</w:t>
      </w:r>
      <w:proofErr w:type="spellEnd"/>
      <w:r w:rsidR="000B0288" w:rsidRPr="00812C16">
        <w:rPr>
          <w:rFonts w:cs="Arial"/>
        </w:rPr>
        <w:t xml:space="preserve"> geeignet sind, als Grundlage individualisierte Therapieentscheidungen zu dienen. </w:t>
      </w:r>
    </w:p>
    <w:p w14:paraId="40384936" w14:textId="77777777" w:rsidR="00404322" w:rsidRPr="00404322" w:rsidRDefault="00404322" w:rsidP="00404322">
      <w:pPr>
        <w:shd w:val="clear" w:color="auto" w:fill="242424"/>
        <w:spacing w:after="0" w:line="240" w:lineRule="auto"/>
        <w:jc w:val="left"/>
        <w:rPr>
          <w:rFonts w:ascii="Segoe UI" w:hAnsi="Segoe UI" w:cs="Segoe UI"/>
          <w:color w:val="FFFFFF"/>
          <w:sz w:val="27"/>
          <w:szCs w:val="27"/>
          <w:lang w:eastAsia="de-DE"/>
        </w:rPr>
      </w:pPr>
      <w:r w:rsidRPr="00404322">
        <w:rPr>
          <w:rFonts w:ascii="Segoe UI" w:hAnsi="Segoe UI" w:cs="Segoe UI"/>
          <w:color w:val="FFFFFF"/>
          <w:sz w:val="27"/>
          <w:szCs w:val="27"/>
          <w:lang w:eastAsia="de-DE"/>
        </w:rPr>
        <w:t>3 Fragestellung/Hypothese</w:t>
      </w:r>
    </w:p>
    <w:p w14:paraId="4A5D8165" w14:textId="77777777" w:rsidR="00404322" w:rsidRPr="00404322" w:rsidRDefault="00404322" w:rsidP="00404322">
      <w:pPr>
        <w:shd w:val="clear" w:color="auto" w:fill="242424"/>
        <w:spacing w:after="0" w:line="240" w:lineRule="auto"/>
        <w:jc w:val="left"/>
        <w:rPr>
          <w:rFonts w:ascii="Segoe UI" w:hAnsi="Segoe UI" w:cs="Segoe UI"/>
          <w:color w:val="FFFFFF"/>
          <w:sz w:val="27"/>
          <w:szCs w:val="27"/>
          <w:lang w:eastAsia="de-DE"/>
        </w:rPr>
      </w:pPr>
      <w:r w:rsidRPr="00404322">
        <w:rPr>
          <w:rFonts w:ascii="Segoe UI" w:hAnsi="Segoe UI" w:cs="Segoe UI"/>
          <w:color w:val="FFFFFF"/>
          <w:sz w:val="27"/>
          <w:szCs w:val="27"/>
          <w:lang w:eastAsia="de-DE"/>
        </w:rPr>
        <w:t>Das Hauptziel dieser Studie besteht darin, den Einfluss von CD44 als potenziellem Tumorstammzellmarker auf das Therapieansprechen und die Prognose bei Patienten mit lokal fortgeschrittenen Kopf-Hals-Plattenepithelkarzinomen nach postoperativer Radiochemotherapie zu untersuchen. Insbesondere wird untersucht, ob die Expression von CD44 mit dem Überleben, der Tumorkontrolle und der Entwicklung von Fernmetastasen korreliert. Zusätzlich sollen potenzielle Zusammenhänge zwischen der CD44-Expression und klinischen Faktoren wie Tumorgröße, Lymphknotenmetastasen und histologischer Differenzierung analysiert werden, um ein umfassendes Verständnis der prognostischen Bedeutung von CD44 zu erhalten.</w:t>
      </w:r>
    </w:p>
    <w:p w14:paraId="0039E54C" w14:textId="77777777" w:rsidR="00404322" w:rsidRPr="00404322" w:rsidRDefault="00404322" w:rsidP="00404322">
      <w:pPr>
        <w:shd w:val="clear" w:color="auto" w:fill="242424"/>
        <w:spacing w:after="0" w:line="240" w:lineRule="auto"/>
        <w:jc w:val="left"/>
        <w:rPr>
          <w:rFonts w:ascii="Segoe UI" w:hAnsi="Segoe UI" w:cs="Segoe UI"/>
          <w:color w:val="FFFFFF"/>
          <w:sz w:val="27"/>
          <w:szCs w:val="27"/>
          <w:lang w:eastAsia="de-DE"/>
        </w:rPr>
      </w:pPr>
      <w:r w:rsidRPr="00404322">
        <w:rPr>
          <w:rFonts w:ascii="Segoe UI" w:hAnsi="Segoe UI" w:cs="Segoe UI"/>
          <w:color w:val="FFFFFF"/>
          <w:sz w:val="27"/>
          <w:szCs w:val="27"/>
          <w:lang w:eastAsia="de-DE"/>
        </w:rPr>
        <w:t>Diese Forschung ist Teil einer umfangreichen multizentrischen Studie, die von der renommierten Radioonkologie-Gruppe des Deutschen Konsortiums für Translationale Krebsforschung (DKTK-ROG) durchgeführt wird. Das Ziel dieser Studie ist es, evidenzbasierte Erkenntnisse zur personalisierten Therapieentscheidung bei Patienten mit lokal fortgeschrittenen Kopf-Hals-Plattenepithelkarzinomen zu liefern. Durch die Identifizierung und Validierung von Biomarkern wie CD44 soll eine Grundlage für die Entwicklung individualisierter Behandlungsstrategie</w:t>
      </w:r>
    </w:p>
    <w:p w14:paraId="481E53C6" w14:textId="77777777" w:rsidR="00404322" w:rsidRPr="00404322" w:rsidRDefault="00404322" w:rsidP="00404322">
      <w:pPr>
        <w:shd w:val="clear" w:color="auto" w:fill="242424"/>
        <w:spacing w:after="0" w:line="240" w:lineRule="auto"/>
        <w:jc w:val="left"/>
        <w:rPr>
          <w:rFonts w:ascii="Segoe UI" w:hAnsi="Segoe UI" w:cs="Segoe UI"/>
          <w:color w:val="FFFFFF"/>
          <w:sz w:val="27"/>
          <w:szCs w:val="27"/>
          <w:lang w:eastAsia="de-DE"/>
        </w:rPr>
      </w:pPr>
      <w:r w:rsidRPr="00404322">
        <w:rPr>
          <w:rFonts w:ascii="Segoe UI" w:hAnsi="Segoe UI" w:cs="Segoe UI"/>
          <w:color w:val="FFFFFF"/>
          <w:sz w:val="27"/>
          <w:szCs w:val="27"/>
          <w:lang w:eastAsia="de-DE"/>
        </w:rPr>
        <w:t>Die Hypothese dieser Studie besagt, dass eine erhöhte Expression von CD44 mit einer schlechteren Prognose bei Patienten mit lokal fortgeschrittenen Kopf-Hals-Plattenepithelkarzinomen nach postoperativer Radiochemotherapie assoziiert ist. Es wird erwartet, dass Patienten mit einer hohen CD44-Expression ein erhöhtes Risiko für Tumorrezidive, regionale Lymphknotenmetastasen und Fernmetastasen aufweisen. Darüber hinaus wird vermutet, dass der HPV-Status einen Einfluss auf die prognostische Bedeutung von CD44 haben könnte, wobei HPV16-DNA-positive Tumoren möglicherweise eine höhere CD44-Expression und schlechtere klinische Ergebnisse aufweisen.</w:t>
      </w:r>
    </w:p>
    <w:p w14:paraId="310612FE" w14:textId="77777777" w:rsidR="00404322" w:rsidRPr="00404322" w:rsidRDefault="00404322" w:rsidP="00404322">
      <w:pPr>
        <w:shd w:val="clear" w:color="auto" w:fill="242424"/>
        <w:spacing w:after="0" w:line="240" w:lineRule="auto"/>
        <w:jc w:val="left"/>
        <w:rPr>
          <w:rFonts w:ascii="Segoe UI" w:hAnsi="Segoe UI" w:cs="Segoe UI"/>
          <w:color w:val="FFFFFF"/>
          <w:sz w:val="27"/>
          <w:szCs w:val="27"/>
          <w:lang w:eastAsia="de-DE"/>
        </w:rPr>
      </w:pPr>
      <w:r w:rsidRPr="00404322">
        <w:rPr>
          <w:rFonts w:ascii="Segoe UI" w:hAnsi="Segoe UI" w:cs="Segoe UI"/>
          <w:color w:val="FFFFFF"/>
          <w:sz w:val="27"/>
          <w:szCs w:val="27"/>
          <w:lang w:eastAsia="de-DE"/>
        </w:rPr>
        <w:t xml:space="preserve">Um diese Hypothesen zu überprüfen, werden umfangreiche klinische Datenanalysen durchgeführt, bei denen die CD44-Expression in Gewebeproben mittels immunhistochemischer Methoden quantifiziert wird. </w:t>
      </w:r>
      <w:r w:rsidRPr="00404322">
        <w:rPr>
          <w:rFonts w:ascii="Segoe UI" w:hAnsi="Segoe UI" w:cs="Segoe UI"/>
          <w:color w:val="FFFFFF"/>
          <w:sz w:val="27"/>
          <w:szCs w:val="27"/>
          <w:lang w:eastAsia="de-DE"/>
        </w:rPr>
        <w:lastRenderedPageBreak/>
        <w:t>Anschließend werden statistische Analysen durchgeführt, um potenzielle Zusammenhänge zwischen CD44-Expression und klinischen Endpunkten zu untersuchen. Multivariate Analysen werden angewendet, um den Einfluss anderer prognostischer Faktoren zu berücksichtigen und die unabhängige prognostische Bedeutung von CD44 zu bestimmen.</w:t>
      </w:r>
    </w:p>
    <w:p w14:paraId="51137649" w14:textId="77777777" w:rsidR="00404322" w:rsidRPr="00404322" w:rsidRDefault="00404322" w:rsidP="00404322">
      <w:pPr>
        <w:shd w:val="clear" w:color="auto" w:fill="242424"/>
        <w:spacing w:after="0" w:line="240" w:lineRule="auto"/>
        <w:jc w:val="left"/>
        <w:rPr>
          <w:rFonts w:ascii="Segoe UI" w:hAnsi="Segoe UI" w:cs="Segoe UI"/>
          <w:color w:val="FFFFFF"/>
          <w:sz w:val="27"/>
          <w:szCs w:val="27"/>
          <w:lang w:eastAsia="de-DE"/>
        </w:rPr>
      </w:pPr>
      <w:r w:rsidRPr="00404322">
        <w:rPr>
          <w:rFonts w:ascii="Segoe UI" w:hAnsi="Segoe UI" w:cs="Segoe UI"/>
          <w:color w:val="FFFFFF"/>
          <w:sz w:val="27"/>
          <w:szCs w:val="27"/>
          <w:lang w:eastAsia="de-DE"/>
        </w:rPr>
        <w:t>Die klinischen Daten werden aus einer großen Kohorte von Patienten mit lokal fortgeschrittenen Kopf-Hals-Plattenepithelkarzinomen nach postoperativer Radiochemotherapie gesammelt. Die Gewebeproben werden sorgfältig gesammelt und einer immunhistochemischen Färbung unterzogen, um die CD44-Expression zu quantifizieren. Die Ergebnisse dieser quantitativen Analyse werden dann in Beziehung zu den klinischen Endpunkten wie Überleben, Tumorkontrolle und Fernmetastasierung gesetzt.</w:t>
      </w:r>
    </w:p>
    <w:p w14:paraId="72ADC175" w14:textId="77777777" w:rsidR="00404322" w:rsidRPr="00404322" w:rsidRDefault="00404322" w:rsidP="00404322">
      <w:pPr>
        <w:shd w:val="clear" w:color="auto" w:fill="242424"/>
        <w:spacing w:after="0" w:line="240" w:lineRule="auto"/>
        <w:jc w:val="left"/>
        <w:rPr>
          <w:rFonts w:ascii="Segoe UI" w:hAnsi="Segoe UI" w:cs="Segoe UI"/>
          <w:color w:val="FFFFFF"/>
          <w:sz w:val="27"/>
          <w:szCs w:val="27"/>
          <w:lang w:eastAsia="de-DE"/>
        </w:rPr>
      </w:pPr>
      <w:r w:rsidRPr="00404322">
        <w:rPr>
          <w:rFonts w:ascii="Segoe UI" w:hAnsi="Segoe UI" w:cs="Segoe UI"/>
          <w:color w:val="FFFFFF"/>
          <w:sz w:val="27"/>
          <w:szCs w:val="27"/>
          <w:lang w:eastAsia="de-DE"/>
        </w:rPr>
        <w:t>Statistische Analysen werden durchgeführt, um potenzielle Zusammenhänge zwischen der CD44-Expression und den klinischen Endpunkten zu identifizieren. Hierbei werden auch andere prognostische Faktoren, wie zum Beispiel Tumorgröße, Lymphknotenmetastasen und histologische Differenzierung, berücksichtigt. Multivariate Analysen ermöglichen es, den unabhängigen Einfluss von CD44 auf die Prognose zu bestimmen, indem sie andere prognostische Faktoren kontrollieren.</w:t>
      </w:r>
    </w:p>
    <w:p w14:paraId="0EE397C6" w14:textId="77777777" w:rsidR="00404322" w:rsidRPr="00404322" w:rsidRDefault="00404322" w:rsidP="00404322">
      <w:pPr>
        <w:shd w:val="clear" w:color="auto" w:fill="242424"/>
        <w:spacing w:after="0" w:line="240" w:lineRule="auto"/>
        <w:jc w:val="left"/>
        <w:rPr>
          <w:rFonts w:ascii="Segoe UI" w:hAnsi="Segoe UI" w:cs="Segoe UI"/>
          <w:color w:val="FFFFFF"/>
          <w:sz w:val="27"/>
          <w:szCs w:val="27"/>
          <w:lang w:eastAsia="de-DE"/>
        </w:rPr>
      </w:pPr>
      <w:r w:rsidRPr="00404322">
        <w:rPr>
          <w:rFonts w:ascii="Segoe UI" w:hAnsi="Segoe UI" w:cs="Segoe UI"/>
          <w:color w:val="FFFFFF"/>
          <w:sz w:val="27"/>
          <w:szCs w:val="27"/>
          <w:lang w:eastAsia="de-DE"/>
        </w:rPr>
        <w:t>Diese umfangreichen Datenanalysen werden von erfahrenen Biostatistikern unter Berücksichtigung der neuesten statistischen Methoden durchgeführt. Die Ergebnisse werden anschließend sorgfältig interpretiert, um die prognostische Bedeutung von CD44 bei Patienten mit lokal fortgeschrittenen Kopf-Hals-Plattenepithelkarzinomen nach postoperativer Radiochemotherapie zu bestimmen.</w:t>
      </w:r>
    </w:p>
    <w:p w14:paraId="22C91192" w14:textId="77777777" w:rsidR="008D3F71" w:rsidRDefault="008D3F71" w:rsidP="00D719A7">
      <w:pPr>
        <w:rPr>
          <w:rFonts w:cs="Arial"/>
        </w:rPr>
      </w:pPr>
    </w:p>
    <w:p w14:paraId="02975132" w14:textId="77777777" w:rsidR="008D3F71" w:rsidRPr="00812C16" w:rsidRDefault="008D3F71" w:rsidP="00D719A7">
      <w:pPr>
        <w:rPr>
          <w:rFonts w:cs="Arial"/>
        </w:rPr>
      </w:pPr>
    </w:p>
    <w:p w14:paraId="5D3A866C" w14:textId="77777777" w:rsidR="00C315D8" w:rsidRPr="00812C16" w:rsidRDefault="00C315D8" w:rsidP="00D719A7">
      <w:pPr>
        <w:rPr>
          <w:rFonts w:cs="Arial"/>
        </w:rPr>
      </w:pPr>
    </w:p>
    <w:p w14:paraId="2943C5D6" w14:textId="77777777" w:rsidR="00A90AB4" w:rsidRPr="00812C16" w:rsidRDefault="00C315D8" w:rsidP="00D719A7">
      <w:pPr>
        <w:rPr>
          <w:rFonts w:cs="Arial"/>
        </w:rPr>
        <w:sectPr w:rsidR="00A90AB4" w:rsidRPr="00812C16" w:rsidSect="00AB18EC">
          <w:headerReference w:type="default" r:id="rId15"/>
          <w:type w:val="continuous"/>
          <w:pgSz w:w="11906" w:h="16838"/>
          <w:pgMar w:top="1418" w:right="1418" w:bottom="1134" w:left="1418" w:header="709" w:footer="709" w:gutter="0"/>
          <w:pgNumType w:fmt="numberInDash"/>
          <w:cols w:space="708"/>
          <w:docGrid w:linePitch="360"/>
        </w:sectPr>
      </w:pPr>
      <w:r w:rsidRPr="00812C16">
        <w:rPr>
          <w:rFonts w:cs="Arial"/>
        </w:rPr>
        <w:t>Innerhalb eines größeren, von Dresden geleit</w:t>
      </w:r>
      <w:r w:rsidR="001618F3" w:rsidRPr="00812C16">
        <w:rPr>
          <w:rFonts w:cs="Arial"/>
        </w:rPr>
        <w:t xml:space="preserve">eten multizentrischen Projekts </w:t>
      </w:r>
    </w:p>
    <w:p w14:paraId="28096C19" w14:textId="77777777" w:rsidR="00C315D8" w:rsidRPr="00812C16" w:rsidRDefault="00C315D8" w:rsidP="00D719A7">
      <w:pPr>
        <w:rPr>
          <w:rFonts w:cs="Arial"/>
        </w:rPr>
      </w:pPr>
    </w:p>
    <w:p w14:paraId="0C84CE42" w14:textId="77777777" w:rsidR="00065C3F" w:rsidRPr="00812C16" w:rsidRDefault="00530223" w:rsidP="00065C3F">
      <w:pPr>
        <w:jc w:val="left"/>
        <w:rPr>
          <w:rFonts w:cs="Arial"/>
          <w:lang w:eastAsia="de-DE"/>
        </w:rPr>
      </w:pPr>
      <w:r w:rsidRPr="00812C16">
        <w:rPr>
          <w:rFonts w:cs="Arial"/>
          <w:lang w:eastAsia="de-DE"/>
        </w:rPr>
        <w:br w:type="page"/>
      </w:r>
    </w:p>
    <w:p w14:paraId="5DE95EEA" w14:textId="77777777" w:rsidR="001830EA" w:rsidRPr="00812C16" w:rsidRDefault="00832408" w:rsidP="00611DA4">
      <w:pPr>
        <w:pStyle w:val="berschrift1"/>
        <w:ind w:left="709" w:hanging="709"/>
        <w:rPr>
          <w:rFonts w:cs="Arial"/>
        </w:rPr>
      </w:pPr>
      <w:bookmarkStart w:id="30" w:name="_Toc158006526"/>
      <w:r w:rsidRPr="00812C16">
        <w:rPr>
          <w:rFonts w:cs="Arial"/>
        </w:rPr>
        <w:lastRenderedPageBreak/>
        <w:t>Material und Methoden</w:t>
      </w:r>
      <w:bookmarkEnd w:id="30"/>
      <w:r w:rsidR="00A45D65" w:rsidRPr="00812C16">
        <w:rPr>
          <w:rFonts w:cs="Arial"/>
        </w:rPr>
        <w:t xml:space="preserve"> </w:t>
      </w:r>
    </w:p>
    <w:p w14:paraId="5CEB25E6" w14:textId="77777777" w:rsidR="00B079AA" w:rsidRPr="00812C16" w:rsidRDefault="00B079AA" w:rsidP="008C6A11">
      <w:pPr>
        <w:pStyle w:val="berschrift2"/>
        <w:rPr>
          <w:rFonts w:cs="Arial"/>
        </w:rPr>
      </w:pPr>
      <w:bookmarkStart w:id="31" w:name="_Toc158006527"/>
      <w:r w:rsidRPr="00812C16">
        <w:rPr>
          <w:rFonts w:cs="Arial"/>
        </w:rPr>
        <w:t>Studiendesign</w:t>
      </w:r>
      <w:bookmarkEnd w:id="31"/>
      <w:r w:rsidRPr="00812C16">
        <w:rPr>
          <w:rFonts w:cs="Arial"/>
        </w:rPr>
        <w:t xml:space="preserve"> </w:t>
      </w:r>
    </w:p>
    <w:p w14:paraId="4419E22A" w14:textId="77777777" w:rsidR="007C1723" w:rsidRPr="00812C16" w:rsidRDefault="007C1723" w:rsidP="00B079AA">
      <w:pPr>
        <w:rPr>
          <w:rFonts w:cs="Arial"/>
          <w:lang w:eastAsia="de-DE"/>
        </w:rPr>
      </w:pPr>
      <w:r w:rsidRPr="00812C16">
        <w:rPr>
          <w:rFonts w:cs="Arial"/>
          <w:lang w:eastAsia="de-DE"/>
        </w:rPr>
        <w:t>Diskussion des Studiendesigns</w:t>
      </w:r>
    </w:p>
    <w:p w14:paraId="30063788" w14:textId="77777777" w:rsidR="001A48EC" w:rsidRPr="00812C16" w:rsidRDefault="001A48EC" w:rsidP="00B079AA">
      <w:pPr>
        <w:rPr>
          <w:rFonts w:cs="Arial"/>
          <w:lang w:eastAsia="de-DE"/>
        </w:rPr>
      </w:pPr>
      <w:r w:rsidRPr="00812C16">
        <w:rPr>
          <w:rFonts w:cs="Arial"/>
          <w:lang w:eastAsia="de-DE"/>
        </w:rPr>
        <w:t xml:space="preserve">Für die Erfolgreiche Durchführung von Biomarker-Studien werden ausreichend große Patientenkohorten benötigt, die mit aktuellen Therapiestrategien </w:t>
      </w:r>
      <w:proofErr w:type="spellStart"/>
      <w:r w:rsidRPr="00812C16">
        <w:rPr>
          <w:rFonts w:cs="Arial"/>
          <w:lang w:eastAsia="de-DE"/>
        </w:rPr>
        <w:t>beahndelt</w:t>
      </w:r>
      <w:proofErr w:type="spellEnd"/>
      <w:r w:rsidRPr="00812C16">
        <w:rPr>
          <w:rFonts w:cs="Arial"/>
          <w:lang w:eastAsia="de-DE"/>
        </w:rPr>
        <w:t xml:space="preserve"> werden. Durch eine multizentrische nationale oder internationale Ausrichtung von Studien können eine höhere Rekrutierungszahl erreicht </w:t>
      </w:r>
      <w:r w:rsidR="007C1723" w:rsidRPr="00812C16">
        <w:rPr>
          <w:rFonts w:cs="Arial"/>
          <w:lang w:eastAsia="de-DE"/>
        </w:rPr>
        <w:t xml:space="preserve">und die Zeiträume </w:t>
      </w:r>
      <w:proofErr w:type="spellStart"/>
      <w:r w:rsidR="007C1723" w:rsidRPr="00812C16">
        <w:rPr>
          <w:rFonts w:cs="Arial"/>
          <w:lang w:eastAsia="de-DE"/>
        </w:rPr>
        <w:t>vo</w:t>
      </w:r>
      <w:proofErr w:type="spellEnd"/>
      <w:r w:rsidR="007C1723" w:rsidRPr="00812C16">
        <w:rPr>
          <w:rFonts w:cs="Arial"/>
          <w:lang w:eastAsia="de-DE"/>
        </w:rPr>
        <w:t xml:space="preserve"> Studien verkürzt werden, sodass im Falle der retrospektiv durchgeführten Studien die Therapie der aktuellen Standardtherapie entspricht. Die multizentrisch generierten Studienergebnisse sind dabei besonders robust, weil Einzelzentrumseffekte und anderer Sektionsbias damit reduziert werden. </w:t>
      </w:r>
    </w:p>
    <w:p w14:paraId="798D20D0" w14:textId="04FE3EED" w:rsidR="001C047A" w:rsidRPr="00812C16" w:rsidRDefault="00A86010" w:rsidP="00B079AA">
      <w:pPr>
        <w:rPr>
          <w:rFonts w:cs="Arial"/>
          <w:lang w:eastAsia="de-DE"/>
        </w:rPr>
      </w:pPr>
      <w:r w:rsidRPr="00812C16">
        <w:rPr>
          <w:rFonts w:cs="Arial"/>
          <w:lang w:eastAsia="de-DE"/>
        </w:rPr>
        <w:t>Das Deutsche Konsortium für Translationale Krebsforschung (DKTK) ist ein nationales Forschungsnetzwerk</w:t>
      </w:r>
      <w:r w:rsidR="001C047A" w:rsidRPr="00812C16">
        <w:rPr>
          <w:rFonts w:cs="Arial"/>
          <w:lang w:eastAsia="de-DE"/>
        </w:rPr>
        <w:t>, d</w:t>
      </w:r>
      <w:r w:rsidRPr="00812C16">
        <w:rPr>
          <w:rFonts w:cs="Arial"/>
          <w:lang w:eastAsia="de-DE"/>
        </w:rPr>
        <w:t>as im Oktober 2012 gegründet wurde</w:t>
      </w:r>
      <w:r w:rsidR="000112D9">
        <w:rPr>
          <w:rFonts w:cs="Arial"/>
          <w:lang w:eastAsia="de-DE"/>
        </w:rPr>
        <w:fldChar w:fldCharType="begin">
          <w:fldData xml:space="preserve">PEVuZE5vdGU+PENpdGU+PEF1dGhvcj5Kb29zPC9BdXRob3I+PFllYXI+MjAxOTwvWWVhcj48UmVj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</w:fldData>
        </w:fldChar>
      </w:r>
      <w:r w:rsidR="000112D9">
        <w:rPr>
          <w:rFonts w:cs="Arial"/>
          <w:lang w:eastAsia="de-DE"/>
        </w:rPr>
        <w:instrText xml:space="preserve"> ADDIN EN.JS.CITE </w:instrText>
      </w:r>
      <w:r w:rsidR="000112D9">
        <w:rPr>
          <w:rFonts w:cs="Arial"/>
          <w:lang w:eastAsia="de-DE"/>
        </w:rPr>
      </w:r>
      <w:r w:rsidR="000112D9">
        <w:rPr>
          <w:rFonts w:cs="Arial"/>
          <w:lang w:eastAsia="de-DE"/>
        </w:rPr>
        <w:fldChar w:fldCharType="separate"/>
      </w:r>
      <w:r w:rsidR="000112D9">
        <w:rPr>
          <w:rFonts w:cs="Arial"/>
          <w:noProof/>
          <w:lang w:eastAsia="de-DE"/>
        </w:rPr>
        <w:t>(</w:t>
      </w:r>
      <w:hyperlink w:anchor="_ENREF_40" w:tooltip="Joos, 2019 #733" w:history="1">
        <w:r w:rsidR="009D0F7A" w:rsidRPr="009D0F7A">
          <w:rPr>
            <w:rStyle w:val="Hyperlink"/>
          </w:rPr>
          <w:t>Joos et al., 2019</w:t>
        </w:r>
      </w:hyperlink>
      <w:r w:rsidR="000112D9">
        <w:rPr>
          <w:rFonts w:cs="Arial"/>
          <w:noProof/>
          <w:lang w:eastAsia="de-DE"/>
        </w:rPr>
        <w:t>)</w:t>
      </w:r>
      <w:r w:rsidR="000112D9">
        <w:rPr>
          <w:rFonts w:cs="Arial"/>
          <w:lang w:eastAsia="de-DE"/>
        </w:rPr>
        <w:fldChar w:fldCharType="end"/>
      </w:r>
      <w:r w:rsidRPr="00812C16">
        <w:rPr>
          <w:rFonts w:cs="Arial"/>
          <w:lang w:eastAsia="de-DE"/>
        </w:rPr>
        <w:t xml:space="preserve">. </w:t>
      </w:r>
      <w:r w:rsidR="001C047A" w:rsidRPr="00812C16">
        <w:rPr>
          <w:rFonts w:cs="Arial"/>
          <w:lang w:eastAsia="de-DE"/>
        </w:rPr>
        <w:t>In der Radioonkologie-Gruppe des DKTK (DKTK-ROG) sind alle 8 Partnerstandorte des DKTK organisiert. Im Rahmen der</w:t>
      </w:r>
      <w:r w:rsidR="00C47D04" w:rsidRPr="00812C16">
        <w:rPr>
          <w:rFonts w:cs="Arial"/>
          <w:lang w:eastAsia="de-DE"/>
        </w:rPr>
        <w:t xml:space="preserve"> ersten</w:t>
      </w:r>
      <w:r w:rsidR="001C047A" w:rsidRPr="00812C16">
        <w:rPr>
          <w:rFonts w:cs="Arial"/>
          <w:lang w:eastAsia="de-DE"/>
        </w:rPr>
        <w:t xml:space="preserve"> gemeinsamen Studie der DKTK-ROG, </w:t>
      </w:r>
      <w:r w:rsidR="00C47D04" w:rsidRPr="00812C16">
        <w:rPr>
          <w:rFonts w:cs="Arial"/>
          <w:lang w:eastAsia="de-DE"/>
        </w:rPr>
        <w:t>sollen</w:t>
      </w:r>
      <w:r w:rsidR="001C047A" w:rsidRPr="00812C16">
        <w:rPr>
          <w:rFonts w:cs="Arial"/>
          <w:lang w:eastAsia="de-DE"/>
        </w:rPr>
        <w:t xml:space="preserve"> prognostische und prädiktive Biomarker für die </w:t>
      </w:r>
      <w:proofErr w:type="spellStart"/>
      <w:r w:rsidR="001C047A" w:rsidRPr="00812C16">
        <w:rPr>
          <w:rFonts w:cs="Arial"/>
          <w:lang w:eastAsia="de-DE"/>
        </w:rPr>
        <w:t>lokoregionäre</w:t>
      </w:r>
      <w:proofErr w:type="spellEnd"/>
      <w:r w:rsidR="001C047A" w:rsidRPr="00812C16">
        <w:rPr>
          <w:rFonts w:cs="Arial"/>
          <w:lang w:eastAsia="de-DE"/>
        </w:rPr>
        <w:t xml:space="preserve"> Kontrolle nach primärer bzw. nach postoperativer Radiochemotherapie in Patienten mit </w:t>
      </w:r>
      <w:proofErr w:type="spellStart"/>
      <w:r w:rsidR="00C47D04" w:rsidRPr="00812C16">
        <w:rPr>
          <w:rFonts w:cs="Arial"/>
          <w:lang w:eastAsia="de-DE"/>
        </w:rPr>
        <w:t>lokoregionären</w:t>
      </w:r>
      <w:proofErr w:type="spellEnd"/>
      <w:r w:rsidR="00C47D04" w:rsidRPr="00812C16">
        <w:rPr>
          <w:rFonts w:cs="Arial"/>
          <w:lang w:eastAsia="de-DE"/>
        </w:rPr>
        <w:t xml:space="preserve"> fortgeschrittenen Kopf-Hals-Plattenepithelkarzinom zunächst im retrospektiven Teil der Studie identifiziert, in dem prospektiven Studienteil validiert und in einer Interventionsstudie angewendet werden. Mittelfristiges Ziel des Gesamtprojektes ist die Etablierung von Markern, die nach prospektiver Validierung geeignet sind, als Grundlage individualisierter Therapieentscheidungen zu dienen. </w:t>
      </w:r>
      <w:r w:rsidR="001A48EC" w:rsidRPr="00812C16">
        <w:rPr>
          <w:rFonts w:cs="Arial"/>
          <w:lang w:eastAsia="de-DE"/>
        </w:rPr>
        <w:t>Ein aus den Studienleitern der jeweiligen Standorte gebildeter Lenkungsaus</w:t>
      </w:r>
      <w:r w:rsidR="007C1723" w:rsidRPr="00812C16">
        <w:rPr>
          <w:rFonts w:cs="Arial"/>
          <w:lang w:eastAsia="de-DE"/>
        </w:rPr>
        <w:t>s</w:t>
      </w:r>
      <w:r w:rsidR="001A48EC" w:rsidRPr="00812C16">
        <w:rPr>
          <w:rFonts w:cs="Arial"/>
          <w:lang w:eastAsia="de-DE"/>
        </w:rPr>
        <w:t>chuss und die gemeinsame Co-</w:t>
      </w:r>
      <w:proofErr w:type="spellStart"/>
      <w:r w:rsidR="001A48EC" w:rsidRPr="00812C16">
        <w:rPr>
          <w:rFonts w:cs="Arial"/>
          <w:lang w:eastAsia="de-DE"/>
        </w:rPr>
        <w:t>Ownerschaft</w:t>
      </w:r>
      <w:proofErr w:type="spellEnd"/>
      <w:r w:rsidR="001A48EC" w:rsidRPr="00812C16">
        <w:rPr>
          <w:rFonts w:cs="Arial"/>
          <w:lang w:eastAsia="de-DE"/>
        </w:rPr>
        <w:t xml:space="preserve"> stellen den hohen Standard der Studie sicher. Die Studie wird durch die DKTK-ROG-Studienzentrale in Dresden betreut. </w:t>
      </w:r>
    </w:p>
    <w:p w14:paraId="3630C58C" w14:textId="77777777" w:rsidR="006B402F" w:rsidRPr="00812C16" w:rsidRDefault="00C47D04" w:rsidP="00B079AA">
      <w:pPr>
        <w:rPr>
          <w:rFonts w:cs="Arial"/>
          <w:lang w:eastAsia="de-DE"/>
        </w:rPr>
      </w:pPr>
      <w:r w:rsidRPr="00812C16">
        <w:rPr>
          <w:rFonts w:cs="Arial"/>
          <w:lang w:eastAsia="de-DE"/>
        </w:rPr>
        <w:t xml:space="preserve">Die in dieser Arbeit vorgestellten Ergebnisse sind Teil </w:t>
      </w:r>
      <w:r w:rsidR="002B4EF2" w:rsidRPr="00812C16">
        <w:rPr>
          <w:rFonts w:cs="Arial"/>
          <w:lang w:eastAsia="de-DE"/>
        </w:rPr>
        <w:t xml:space="preserve">der </w:t>
      </w:r>
      <w:r w:rsidR="005D5510" w:rsidRPr="00812C16">
        <w:rPr>
          <w:rFonts w:cs="Arial"/>
          <w:lang w:eastAsia="de-DE"/>
        </w:rPr>
        <w:t xml:space="preserve">retrospektiven </w:t>
      </w:r>
      <w:r w:rsidR="002B4EF2" w:rsidRPr="00812C16">
        <w:rPr>
          <w:rFonts w:cs="Arial"/>
          <w:lang w:eastAsia="de-DE"/>
        </w:rPr>
        <w:t>Untersuchung der</w:t>
      </w:r>
      <w:r w:rsidR="005D5510" w:rsidRPr="00812C16">
        <w:rPr>
          <w:rFonts w:cs="Arial"/>
          <w:lang w:eastAsia="de-DE"/>
        </w:rPr>
        <w:t xml:space="preserve"> multizentrischen Studie</w:t>
      </w:r>
      <w:r w:rsidR="002B4EF2" w:rsidRPr="00812C16">
        <w:rPr>
          <w:rFonts w:cs="Arial"/>
          <w:lang w:eastAsia="de-DE"/>
        </w:rPr>
        <w:t>, in der immunhistochemisch messbare Biomarker für den Stammzellgehalt von Kopf-Hals-Plattenepithelkarz</w:t>
      </w:r>
      <w:r w:rsidR="007C1723" w:rsidRPr="00812C16">
        <w:rPr>
          <w:rFonts w:cs="Arial"/>
          <w:lang w:eastAsia="de-DE"/>
        </w:rPr>
        <w:t xml:space="preserve">inomen </w:t>
      </w:r>
      <w:r w:rsidR="002B4EF2" w:rsidRPr="00812C16">
        <w:rPr>
          <w:rFonts w:cs="Arial"/>
          <w:lang w:eastAsia="de-DE"/>
        </w:rPr>
        <w:t xml:space="preserve">angefärbt und </w:t>
      </w:r>
      <w:r w:rsidR="007C1723" w:rsidRPr="00812C16">
        <w:rPr>
          <w:rFonts w:cs="Arial"/>
          <w:lang w:eastAsia="de-DE"/>
        </w:rPr>
        <w:t>evaluiert wurden</w:t>
      </w:r>
      <w:r w:rsidR="001A48EC" w:rsidRPr="00812C16">
        <w:rPr>
          <w:rFonts w:cs="Arial"/>
          <w:lang w:eastAsia="de-DE"/>
        </w:rPr>
        <w:t xml:space="preserve">. </w:t>
      </w:r>
      <w:r w:rsidR="007C1723" w:rsidRPr="00812C16">
        <w:rPr>
          <w:rFonts w:cs="Arial"/>
          <w:lang w:eastAsia="de-DE"/>
        </w:rPr>
        <w:t>Anschließend</w:t>
      </w:r>
      <w:r w:rsidR="002B4EF2" w:rsidRPr="00812C16">
        <w:rPr>
          <w:rFonts w:cs="Arial"/>
          <w:lang w:eastAsia="de-DE"/>
        </w:rPr>
        <w:t xml:space="preserve"> </w:t>
      </w:r>
      <w:r w:rsidR="001A48EC" w:rsidRPr="00812C16">
        <w:rPr>
          <w:rFonts w:cs="Arial"/>
          <w:lang w:eastAsia="de-DE"/>
        </w:rPr>
        <w:t xml:space="preserve">erfolgte die Korrelation </w:t>
      </w:r>
      <w:r w:rsidR="002B4EF2" w:rsidRPr="00812C16">
        <w:rPr>
          <w:rFonts w:cs="Arial"/>
          <w:lang w:eastAsia="de-DE"/>
        </w:rPr>
        <w:t xml:space="preserve">mit den klinischen Ergebnissen der postoperativen Radiochemotherapie. </w:t>
      </w:r>
    </w:p>
    <w:p w14:paraId="08175A9D" w14:textId="77777777" w:rsidR="000943C4" w:rsidRPr="00812C16" w:rsidRDefault="00A22F14" w:rsidP="008C6A11">
      <w:pPr>
        <w:pStyle w:val="berschrift2"/>
        <w:rPr>
          <w:rFonts w:cs="Arial"/>
        </w:rPr>
      </w:pPr>
      <w:bookmarkStart w:id="32" w:name="_Toc158006528"/>
      <w:r w:rsidRPr="00812C16">
        <w:rPr>
          <w:rFonts w:cs="Arial"/>
        </w:rPr>
        <w:lastRenderedPageBreak/>
        <w:t>Patientenkollektiv</w:t>
      </w:r>
      <w:r w:rsidR="00FD0DF1" w:rsidRPr="00812C16">
        <w:rPr>
          <w:rFonts w:cs="Arial"/>
        </w:rPr>
        <w:t xml:space="preserve"> und Tumormaterial</w:t>
      </w:r>
      <w:bookmarkEnd w:id="32"/>
    </w:p>
    <w:p w14:paraId="02FBE8D8" w14:textId="77777777" w:rsidR="00D53637" w:rsidRPr="00812C16" w:rsidRDefault="00702C26" w:rsidP="00D53637">
      <w:pPr>
        <w:rPr>
          <w:rFonts w:cs="Arial"/>
        </w:rPr>
      </w:pPr>
      <w:r w:rsidRPr="00812C16">
        <w:rPr>
          <w:rFonts w:cs="Arial"/>
        </w:rPr>
        <w:t xml:space="preserve">Das Patientenkollektiv bestand aus </w:t>
      </w:r>
      <w:r w:rsidR="00323D46" w:rsidRPr="00812C16">
        <w:rPr>
          <w:rFonts w:cs="Arial"/>
        </w:rPr>
        <w:t>221</w:t>
      </w:r>
      <w:r w:rsidRPr="00812C16">
        <w:rPr>
          <w:rFonts w:cs="Arial"/>
        </w:rPr>
        <w:t xml:space="preserve"> Patienten</w:t>
      </w:r>
      <w:r w:rsidR="00FC2B98" w:rsidRPr="00812C16">
        <w:rPr>
          <w:rFonts w:cs="Arial"/>
        </w:rPr>
        <w:t xml:space="preserve"> mit lokal fortgeschritten Plattenepithelkarzinom </w:t>
      </w:r>
      <w:r w:rsidR="006A3B5F" w:rsidRPr="00812C16">
        <w:rPr>
          <w:rFonts w:cs="Arial"/>
        </w:rPr>
        <w:t>des Kopf-Hals</w:t>
      </w:r>
      <w:r w:rsidR="00FA49A2" w:rsidRPr="00812C16">
        <w:rPr>
          <w:rFonts w:cs="Arial"/>
        </w:rPr>
        <w:t>-Bereichs</w:t>
      </w:r>
      <w:r w:rsidRPr="00812C16">
        <w:rPr>
          <w:rFonts w:cs="Arial"/>
        </w:rPr>
        <w:t xml:space="preserve">, die </w:t>
      </w:r>
      <w:r w:rsidR="000948C2" w:rsidRPr="00812C16">
        <w:rPr>
          <w:rFonts w:cs="Arial"/>
        </w:rPr>
        <w:t xml:space="preserve">im Zeitraum </w:t>
      </w:r>
      <w:r w:rsidR="00360062" w:rsidRPr="00812C16">
        <w:rPr>
          <w:rFonts w:cs="Arial"/>
        </w:rPr>
        <w:t>zwischen</w:t>
      </w:r>
      <w:r w:rsidR="000948C2" w:rsidRPr="00812C16">
        <w:rPr>
          <w:rFonts w:cs="Arial"/>
        </w:rPr>
        <w:t xml:space="preserve"> </w:t>
      </w:r>
      <w:r w:rsidR="0074115E" w:rsidRPr="00812C16">
        <w:rPr>
          <w:rFonts w:cs="Arial"/>
        </w:rPr>
        <w:t>200</w:t>
      </w:r>
      <w:r w:rsidR="0070157D" w:rsidRPr="00812C16">
        <w:rPr>
          <w:rFonts w:cs="Arial"/>
        </w:rPr>
        <w:t>4</w:t>
      </w:r>
      <w:r w:rsidR="0074115E" w:rsidRPr="00812C16">
        <w:rPr>
          <w:rFonts w:cs="Arial"/>
        </w:rPr>
        <w:t xml:space="preserve"> </w:t>
      </w:r>
      <w:r w:rsidR="00360062" w:rsidRPr="00812C16">
        <w:rPr>
          <w:rFonts w:cs="Arial"/>
        </w:rPr>
        <w:t>und</w:t>
      </w:r>
      <w:r w:rsidR="0074115E" w:rsidRPr="00812C16">
        <w:rPr>
          <w:rFonts w:cs="Arial"/>
        </w:rPr>
        <w:t xml:space="preserve"> 20</w:t>
      </w:r>
      <w:r w:rsidR="0070157D" w:rsidRPr="00812C16">
        <w:rPr>
          <w:rFonts w:cs="Arial"/>
        </w:rPr>
        <w:t>12</w:t>
      </w:r>
      <w:r w:rsidR="0074115E" w:rsidRPr="00812C16">
        <w:rPr>
          <w:rFonts w:cs="Arial"/>
        </w:rPr>
        <w:t xml:space="preserve"> </w:t>
      </w:r>
      <w:r w:rsidR="00491E2C" w:rsidRPr="00812C16">
        <w:rPr>
          <w:rFonts w:cs="Arial"/>
        </w:rPr>
        <w:t xml:space="preserve">in den </w:t>
      </w:r>
      <w:r w:rsidR="00B117BD" w:rsidRPr="00812C16">
        <w:rPr>
          <w:rFonts w:cs="Arial"/>
        </w:rPr>
        <w:t>8</w:t>
      </w:r>
      <w:r w:rsidR="00491E2C" w:rsidRPr="00812C16">
        <w:rPr>
          <w:rFonts w:cs="Arial"/>
        </w:rPr>
        <w:t xml:space="preserve"> </w:t>
      </w:r>
      <w:r w:rsidR="00FA49A2" w:rsidRPr="00812C16">
        <w:rPr>
          <w:rFonts w:cs="Arial"/>
        </w:rPr>
        <w:t>Partnerzentren des Deutschen Konsortium</w:t>
      </w:r>
      <w:r w:rsidR="00C43E99" w:rsidRPr="00812C16">
        <w:rPr>
          <w:rFonts w:cs="Arial"/>
        </w:rPr>
        <w:t>s für Translationale Krebsforschung (DKTK</w:t>
      </w:r>
      <w:r w:rsidR="00A4793A" w:rsidRPr="00812C16">
        <w:rPr>
          <w:rFonts w:cs="Arial"/>
        </w:rPr>
        <w:t xml:space="preserve">) </w:t>
      </w:r>
      <w:r w:rsidR="00833B21" w:rsidRPr="00812C16">
        <w:rPr>
          <w:rFonts w:cs="Arial"/>
        </w:rPr>
        <w:t>behandelt wurde</w:t>
      </w:r>
      <w:r w:rsidR="007B11DC" w:rsidRPr="00812C16">
        <w:rPr>
          <w:rFonts w:cs="Arial"/>
        </w:rPr>
        <w:t xml:space="preserve">n. </w:t>
      </w:r>
      <w:r w:rsidR="00D53637" w:rsidRPr="00812C16">
        <w:rPr>
          <w:rFonts w:cs="Arial"/>
        </w:rPr>
        <w:t>Die Ethikkommissionen aller DKTK-Partnerstandorte haben die ethische Genehmigung für multizentrische retrospektive Analysen klinischer und biologischer Daten eingeholt (AZ EK299092012).</w:t>
      </w:r>
    </w:p>
    <w:p w14:paraId="1520559A" w14:textId="14BB3040" w:rsidR="00F93AF2" w:rsidRPr="00812C16" w:rsidRDefault="00833E44" w:rsidP="00883805">
      <w:pPr>
        <w:rPr>
          <w:rFonts w:cs="Arial"/>
          <w:shd w:val="clear" w:color="auto" w:fill="FFFF00"/>
        </w:rPr>
      </w:pPr>
      <w:r w:rsidRPr="00812C16">
        <w:rPr>
          <w:rFonts w:cs="Arial"/>
        </w:rPr>
        <w:t xml:space="preserve">Einschlusskriterien </w:t>
      </w:r>
      <w:r w:rsidR="002750A0" w:rsidRPr="00812C16">
        <w:rPr>
          <w:rFonts w:cs="Arial"/>
        </w:rPr>
        <w:t xml:space="preserve">waren ein </w:t>
      </w:r>
      <w:r w:rsidR="00551FA0" w:rsidRPr="00812C16">
        <w:rPr>
          <w:rFonts w:cs="Arial"/>
        </w:rPr>
        <w:t xml:space="preserve">histologisch gesichertes Plattenepithelkarzinom </w:t>
      </w:r>
      <w:r w:rsidR="004C3BA3" w:rsidRPr="00812C16">
        <w:rPr>
          <w:rFonts w:cs="Arial"/>
        </w:rPr>
        <w:t xml:space="preserve">der Mundhöhle, des Oro- </w:t>
      </w:r>
      <w:r w:rsidR="00971BED" w:rsidRPr="00812C16">
        <w:rPr>
          <w:rFonts w:cs="Arial"/>
        </w:rPr>
        <w:t>oder</w:t>
      </w:r>
      <w:r w:rsidR="004C3BA3" w:rsidRPr="00812C16">
        <w:rPr>
          <w:rFonts w:cs="Arial"/>
        </w:rPr>
        <w:t xml:space="preserve"> Hypopharynx</w:t>
      </w:r>
      <w:r w:rsidR="00C8786F" w:rsidRPr="00812C16">
        <w:rPr>
          <w:rFonts w:cs="Arial"/>
        </w:rPr>
        <w:t>. A</w:t>
      </w:r>
      <w:r w:rsidR="00A900FC" w:rsidRPr="00812C16">
        <w:rPr>
          <w:rFonts w:cs="Arial"/>
        </w:rPr>
        <w:t xml:space="preserve">lle </w:t>
      </w:r>
      <w:r w:rsidR="00DB1459" w:rsidRPr="00812C16">
        <w:rPr>
          <w:rFonts w:cs="Arial"/>
        </w:rPr>
        <w:t xml:space="preserve">Patienten </w:t>
      </w:r>
      <w:r w:rsidR="00D564F8" w:rsidRPr="00812C16">
        <w:rPr>
          <w:rFonts w:cs="Arial"/>
        </w:rPr>
        <w:t xml:space="preserve">hatten </w:t>
      </w:r>
      <w:r w:rsidR="00EB0A36" w:rsidRPr="00812C16">
        <w:rPr>
          <w:rFonts w:cs="Arial"/>
        </w:rPr>
        <w:t xml:space="preserve">nach der primären </w:t>
      </w:r>
      <w:r w:rsidR="00C06468" w:rsidRPr="00812C16">
        <w:rPr>
          <w:rFonts w:cs="Arial"/>
        </w:rPr>
        <w:t>onkologischen</w:t>
      </w:r>
      <w:r w:rsidR="00001CDD" w:rsidRPr="00812C16">
        <w:rPr>
          <w:rFonts w:cs="Arial"/>
        </w:rPr>
        <w:t xml:space="preserve"> Tumorresektion </w:t>
      </w:r>
      <w:r w:rsidR="00D564F8" w:rsidRPr="00812C16">
        <w:rPr>
          <w:rFonts w:cs="Arial"/>
        </w:rPr>
        <w:t>aufgrund des hohen Rezidivrisikos</w:t>
      </w:r>
      <w:r w:rsidR="005B70BF" w:rsidRPr="00812C16">
        <w:rPr>
          <w:rFonts w:cs="Arial"/>
        </w:rPr>
        <w:t xml:space="preserve"> (</w:t>
      </w:r>
      <w:r w:rsidR="0005534A" w:rsidRPr="00812C16">
        <w:rPr>
          <w:rFonts w:cs="Arial"/>
        </w:rPr>
        <w:t>Tumorstadium pT4 und/oder mikroskopische</w:t>
      </w:r>
      <w:r w:rsidR="009F7144" w:rsidRPr="00812C16">
        <w:rPr>
          <w:rFonts w:cs="Arial"/>
        </w:rPr>
        <w:t>r</w:t>
      </w:r>
      <w:r w:rsidR="0005534A" w:rsidRPr="00812C16">
        <w:rPr>
          <w:rFonts w:cs="Arial"/>
        </w:rPr>
        <w:t xml:space="preserve"> </w:t>
      </w:r>
      <w:r w:rsidR="009F7144" w:rsidRPr="00812C16">
        <w:rPr>
          <w:rFonts w:cs="Arial"/>
        </w:rPr>
        <w:t>Tumorrest nach Operation</w:t>
      </w:r>
      <w:r w:rsidR="0005534A" w:rsidRPr="00812C16">
        <w:rPr>
          <w:rFonts w:cs="Arial"/>
        </w:rPr>
        <w:t xml:space="preserve"> und/oder </w:t>
      </w:r>
      <w:r w:rsidR="00806C38" w:rsidRPr="00812C16">
        <w:rPr>
          <w:rFonts w:cs="Arial"/>
        </w:rPr>
        <w:t xml:space="preserve">kapselüberschreitendes Wachstum der Lymphknotenmetastasen </w:t>
      </w:r>
      <w:r w:rsidR="00931DDF" w:rsidRPr="00812C16">
        <w:rPr>
          <w:rFonts w:cs="Arial"/>
        </w:rPr>
        <w:t>oder &gt;</w:t>
      </w:r>
      <w:r w:rsidR="004746CA" w:rsidRPr="00812C16">
        <w:rPr>
          <w:rFonts w:cs="Arial"/>
        </w:rPr>
        <w:t xml:space="preserve">3 </w:t>
      </w:r>
      <w:r w:rsidR="00EC5B22" w:rsidRPr="00812C16">
        <w:rPr>
          <w:rFonts w:cs="Arial"/>
        </w:rPr>
        <w:t>Lymphknotenmetastasen)</w:t>
      </w:r>
      <w:r w:rsidR="00C169F2" w:rsidRPr="00812C16">
        <w:rPr>
          <w:rFonts w:cs="Arial"/>
        </w:rPr>
        <w:t xml:space="preserve"> </w:t>
      </w:r>
      <w:r w:rsidR="004C3874" w:rsidRPr="00812C16">
        <w:rPr>
          <w:rFonts w:cs="Arial"/>
        </w:rPr>
        <w:t xml:space="preserve">an einem der 8 Partnerstandorte </w:t>
      </w:r>
      <w:r w:rsidR="0070157D" w:rsidRPr="00812C16">
        <w:rPr>
          <w:rFonts w:cs="Arial"/>
        </w:rPr>
        <w:t xml:space="preserve">des DKTK </w:t>
      </w:r>
      <w:r w:rsidR="00EA70EC" w:rsidRPr="00812C16">
        <w:rPr>
          <w:rFonts w:cs="Arial"/>
        </w:rPr>
        <w:t>eine postoperative Cisplatin-basierte Radiochemotherapie</w:t>
      </w:r>
      <w:r w:rsidR="00191A89" w:rsidRPr="00812C16">
        <w:rPr>
          <w:rFonts w:cs="Arial"/>
        </w:rPr>
        <w:t xml:space="preserve"> (PORT-C)</w:t>
      </w:r>
      <w:r w:rsidR="00C31524" w:rsidRPr="00812C16">
        <w:rPr>
          <w:rFonts w:cs="Arial"/>
        </w:rPr>
        <w:t xml:space="preserve"> gemäß Standardprotokolle </w:t>
      </w:r>
      <w:r w:rsidR="000C77B3" w:rsidRPr="00812C16">
        <w:rPr>
          <w:rFonts w:cs="Arial"/>
        </w:rPr>
        <w:t xml:space="preserve">in kurativer Intension erhalten. </w:t>
      </w:r>
      <w:r w:rsidR="00106D54" w:rsidRPr="00812C16">
        <w:rPr>
          <w:rFonts w:cs="Arial"/>
        </w:rPr>
        <w:t xml:space="preserve">Darüber </w:t>
      </w:r>
      <w:r w:rsidR="003008B6" w:rsidRPr="00812C16">
        <w:rPr>
          <w:rFonts w:cs="Arial"/>
        </w:rPr>
        <w:t>hinaus war</w:t>
      </w:r>
      <w:r w:rsidR="008A7041" w:rsidRPr="00812C16">
        <w:rPr>
          <w:rFonts w:cs="Arial"/>
        </w:rPr>
        <w:t xml:space="preserve"> für d</w:t>
      </w:r>
      <w:r w:rsidR="003008B6" w:rsidRPr="00812C16">
        <w:rPr>
          <w:rFonts w:cs="Arial"/>
        </w:rPr>
        <w:t xml:space="preserve">en </w:t>
      </w:r>
      <w:r w:rsidR="00CC7CAF" w:rsidRPr="00812C16">
        <w:rPr>
          <w:rFonts w:cs="Arial"/>
        </w:rPr>
        <w:t>Studieneinschluss</w:t>
      </w:r>
      <w:r w:rsidR="003008B6" w:rsidRPr="00812C16">
        <w:rPr>
          <w:rFonts w:cs="Arial"/>
        </w:rPr>
        <w:t xml:space="preserve">, </w:t>
      </w:r>
      <w:r w:rsidR="00E76A1F" w:rsidRPr="00812C16">
        <w:rPr>
          <w:rFonts w:cs="Arial"/>
        </w:rPr>
        <w:t xml:space="preserve">neben </w:t>
      </w:r>
      <w:r w:rsidR="009B0D8C" w:rsidRPr="00812C16">
        <w:rPr>
          <w:rFonts w:cs="Arial"/>
        </w:rPr>
        <w:t xml:space="preserve">klinischen </w:t>
      </w:r>
      <w:r w:rsidR="00160347" w:rsidRPr="00812C16">
        <w:rPr>
          <w:rFonts w:cs="Arial"/>
        </w:rPr>
        <w:t>Parametern unter anderem auch das Vorhandensein von FFPE</w:t>
      </w:r>
      <w:r w:rsidR="00615E42" w:rsidRPr="00812C16">
        <w:rPr>
          <w:rFonts w:cs="Arial"/>
        </w:rPr>
        <w:t>-Tumormateria</w:t>
      </w:r>
      <w:r w:rsidR="001A097E" w:rsidRPr="00812C16">
        <w:rPr>
          <w:rFonts w:cs="Arial"/>
        </w:rPr>
        <w:t>l</w:t>
      </w:r>
      <w:r w:rsidR="00D27553" w:rsidRPr="00812C16">
        <w:rPr>
          <w:rFonts w:cs="Arial"/>
        </w:rPr>
        <w:t xml:space="preserve"> (vor jeder tumorspezifischen Behandlung)</w:t>
      </w:r>
      <w:r w:rsidR="00A52409" w:rsidRPr="00812C16">
        <w:rPr>
          <w:rFonts w:cs="Arial"/>
        </w:rPr>
        <w:t xml:space="preserve">, </w:t>
      </w:r>
      <w:r w:rsidR="00615E42" w:rsidRPr="00812C16">
        <w:rPr>
          <w:rFonts w:cs="Arial"/>
        </w:rPr>
        <w:t>Bestrahlungspläne</w:t>
      </w:r>
      <w:r w:rsidR="001A097E" w:rsidRPr="00812C16">
        <w:rPr>
          <w:rFonts w:cs="Arial"/>
        </w:rPr>
        <w:t xml:space="preserve"> sowie </w:t>
      </w:r>
      <w:r w:rsidR="009F6820" w:rsidRPr="00812C16">
        <w:rPr>
          <w:rFonts w:cs="Arial"/>
        </w:rPr>
        <w:t>die Daten des klinischem follow-</w:t>
      </w:r>
      <w:proofErr w:type="spellStart"/>
      <w:r w:rsidR="009F6820" w:rsidRPr="00812C16">
        <w:rPr>
          <w:rFonts w:cs="Arial"/>
        </w:rPr>
        <w:t>up</w:t>
      </w:r>
      <w:proofErr w:type="spellEnd"/>
      <w:r w:rsidR="009F6820" w:rsidRPr="00812C16">
        <w:rPr>
          <w:rFonts w:cs="Arial"/>
        </w:rPr>
        <w:t xml:space="preserve"> mit </w:t>
      </w:r>
      <w:r w:rsidR="00527C23" w:rsidRPr="00812C16">
        <w:rPr>
          <w:rFonts w:cs="Arial"/>
        </w:rPr>
        <w:t>Bild</w:t>
      </w:r>
      <w:r w:rsidR="003170F6" w:rsidRPr="00812C16">
        <w:rPr>
          <w:rFonts w:cs="Arial"/>
        </w:rPr>
        <w:t>gebun</w:t>
      </w:r>
      <w:r w:rsidR="00527C23" w:rsidRPr="00812C16">
        <w:rPr>
          <w:rFonts w:cs="Arial"/>
        </w:rPr>
        <w:t>g</w:t>
      </w:r>
      <w:r w:rsidR="003170F6" w:rsidRPr="00812C16">
        <w:rPr>
          <w:rFonts w:cs="Arial"/>
        </w:rPr>
        <w:t xml:space="preserve"> </w:t>
      </w:r>
      <w:r w:rsidR="0085354E" w:rsidRPr="00812C16">
        <w:rPr>
          <w:rFonts w:cs="Arial"/>
        </w:rPr>
        <w:t>/ bildgebender Diagnostik (CT-, MRT</w:t>
      </w:r>
      <w:r w:rsidR="00883F04" w:rsidRPr="00812C16">
        <w:rPr>
          <w:rFonts w:cs="Arial"/>
        </w:rPr>
        <w:t>- oder PET-CT</w:t>
      </w:r>
      <w:r w:rsidR="00D22585" w:rsidRPr="00812C16">
        <w:rPr>
          <w:rFonts w:cs="Arial"/>
        </w:rPr>
        <w:t xml:space="preserve">) </w:t>
      </w:r>
      <w:r w:rsidR="003170F6" w:rsidRPr="00812C16">
        <w:rPr>
          <w:rFonts w:cs="Arial"/>
        </w:rPr>
        <w:t xml:space="preserve">zur späteren </w:t>
      </w:r>
      <w:r w:rsidR="00FA4045" w:rsidRPr="00812C16">
        <w:rPr>
          <w:rFonts w:cs="Arial"/>
        </w:rPr>
        <w:t>Lage-</w:t>
      </w:r>
      <w:r w:rsidR="003170F6" w:rsidRPr="00812C16">
        <w:rPr>
          <w:rFonts w:cs="Arial"/>
        </w:rPr>
        <w:t xml:space="preserve">Beurteilung eines </w:t>
      </w:r>
      <w:r w:rsidR="00B935DB" w:rsidRPr="00812C16">
        <w:rPr>
          <w:rFonts w:cs="Arial"/>
        </w:rPr>
        <w:t xml:space="preserve">möglichen </w:t>
      </w:r>
      <w:r w:rsidR="00CF5184" w:rsidRPr="00812C16">
        <w:rPr>
          <w:rFonts w:cs="Arial"/>
        </w:rPr>
        <w:t>Tumorrezidivs</w:t>
      </w:r>
      <w:r w:rsidR="00B636AD" w:rsidRPr="00812C16">
        <w:rPr>
          <w:rFonts w:cs="Arial"/>
        </w:rPr>
        <w:t xml:space="preserve"> verpfli</w:t>
      </w:r>
      <w:r w:rsidR="004602FE" w:rsidRPr="00812C16">
        <w:rPr>
          <w:rFonts w:cs="Arial"/>
        </w:rPr>
        <w:t>chtend</w:t>
      </w:r>
      <w:r w:rsidR="005442CB" w:rsidRPr="00812C16">
        <w:rPr>
          <w:rFonts w:cs="Arial"/>
        </w:rPr>
        <w:t xml:space="preserve"> und wurde</w:t>
      </w:r>
      <w:r w:rsidR="008F449A" w:rsidRPr="00812C16">
        <w:rPr>
          <w:rFonts w:cs="Arial"/>
        </w:rPr>
        <w:t>n zentral am DKTK-Standort Dresden gesammelt</w:t>
      </w:r>
      <w:r w:rsidR="000112D9">
        <w:rPr>
          <w:rFonts w:cs="Arial"/>
        </w:rPr>
        <w:fldChar w:fldCharType="begin">
          <w:fldData xml:space="preserve">PEVuZE5vdGU+PENpdGU+PEF1dGhvcj5Mb2hhdXM8L0F1dGhvcj48WWVhcj4yMDE0PC9ZZWFyPjxS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51" w:tooltip="Lohaus, 2014 #623" w:history="1">
        <w:r w:rsidR="009D0F7A" w:rsidRPr="009D0F7A">
          <w:rPr>
            <w:rStyle w:val="Hyperlink"/>
          </w:rPr>
          <w:t>Lohaus et al., 2014</w:t>
        </w:r>
      </w:hyperlink>
      <w:r w:rsidR="000112D9">
        <w:rPr>
          <w:rFonts w:cs="Arial"/>
          <w:noProof/>
        </w:rPr>
        <w:t>)</w:t>
      </w:r>
      <w:r w:rsidR="000112D9">
        <w:rPr>
          <w:rFonts w:cs="Arial"/>
        </w:rPr>
        <w:fldChar w:fldCharType="end"/>
      </w:r>
      <w:r w:rsidR="00CF5184" w:rsidRPr="00812C16">
        <w:rPr>
          <w:rFonts w:cs="Arial"/>
        </w:rPr>
        <w:t>.</w:t>
      </w:r>
      <w:r w:rsidR="00615E42" w:rsidRPr="00812C16">
        <w:rPr>
          <w:rFonts w:cs="Arial"/>
        </w:rPr>
        <w:t xml:space="preserve"> </w:t>
      </w:r>
      <w:r w:rsidR="00362F6D" w:rsidRPr="00812C16">
        <w:rPr>
          <w:rFonts w:cs="Arial"/>
          <w:lang w:eastAsia="de-DE"/>
        </w:rPr>
        <w:t xml:space="preserve">Die analysierten Gewebeproben entstammten überwiegend aus </w:t>
      </w:r>
      <w:proofErr w:type="spellStart"/>
      <w:r w:rsidR="00362F6D" w:rsidRPr="00812C16">
        <w:rPr>
          <w:rFonts w:cs="Arial"/>
          <w:lang w:eastAsia="de-DE"/>
        </w:rPr>
        <w:t>Primärresektaten</w:t>
      </w:r>
      <w:proofErr w:type="spellEnd"/>
      <w:r w:rsidR="00362F6D" w:rsidRPr="00812C16">
        <w:rPr>
          <w:rFonts w:cs="Arial"/>
          <w:lang w:eastAsia="de-DE"/>
        </w:rPr>
        <w:t xml:space="preserve">, wobei im Falle von fehlendem </w:t>
      </w:r>
      <w:proofErr w:type="spellStart"/>
      <w:r w:rsidR="00362F6D" w:rsidRPr="00812C16">
        <w:rPr>
          <w:rFonts w:cs="Arial"/>
          <w:lang w:eastAsia="de-DE"/>
        </w:rPr>
        <w:t>Primärtumorresektaten</w:t>
      </w:r>
      <w:proofErr w:type="spellEnd"/>
      <w:r w:rsidR="00362F6D" w:rsidRPr="00812C16">
        <w:rPr>
          <w:rFonts w:cs="Arial"/>
          <w:lang w:eastAsia="de-DE"/>
        </w:rPr>
        <w:t xml:space="preserve"> in wenigen Fällen auf Tumorbiopsien, die im Rahmen einer diagnostischen Planendoskopie entnommen wurden, oder Lymphknotenmetastasen zurückgegriffen wurde. </w:t>
      </w:r>
      <w:r w:rsidR="00B93B3B" w:rsidRPr="00812C16">
        <w:rPr>
          <w:rFonts w:cs="Arial"/>
        </w:rPr>
        <w:t>Die Mindestnachbeobachtungszeit musste 24 Monate betragen</w:t>
      </w:r>
      <w:r w:rsidR="006147A7" w:rsidRPr="00812C16">
        <w:rPr>
          <w:rFonts w:cs="Arial"/>
        </w:rPr>
        <w:t xml:space="preserve"> (Letzte Rekrutierung 2010)</w:t>
      </w:r>
      <w:r w:rsidR="0030791B" w:rsidRPr="00812C16">
        <w:rPr>
          <w:rFonts w:cs="Arial"/>
        </w:rPr>
        <w:t xml:space="preserve">. </w:t>
      </w:r>
      <w:r w:rsidR="00883805" w:rsidRPr="00812C16">
        <w:rPr>
          <w:rFonts w:cs="Arial"/>
        </w:rPr>
        <w:t xml:space="preserve">Der Raucherstatus und Alkoholkonsum wurden nicht für alle Patienten konsistent aufgezeichnet und konnten daher nicht analysiert werden. </w:t>
      </w:r>
      <w:r w:rsidR="003C140C" w:rsidRPr="00812C16">
        <w:rPr>
          <w:rFonts w:cs="Arial"/>
        </w:rPr>
        <w:t xml:space="preserve">Alle </w:t>
      </w:r>
      <w:r w:rsidR="00D464E9" w:rsidRPr="00812C16">
        <w:rPr>
          <w:rFonts w:cs="Arial"/>
        </w:rPr>
        <w:t>E</w:t>
      </w:r>
      <w:r w:rsidR="00AF23D1" w:rsidRPr="00812C16">
        <w:rPr>
          <w:rFonts w:cs="Arial"/>
        </w:rPr>
        <w:t>inschlusskriterien sind in</w:t>
      </w:r>
      <w:r w:rsidR="00434F24" w:rsidRPr="00812C16">
        <w:rPr>
          <w:rFonts w:cs="Arial"/>
        </w:rPr>
        <w:t xml:space="preserve"> </w:t>
      </w:r>
      <w:r w:rsidR="005E6E8D" w:rsidRPr="00812C16">
        <w:rPr>
          <w:rFonts w:cs="Arial"/>
        </w:rPr>
        <w:fldChar w:fldCharType="begin"/>
      </w:r>
      <w:r w:rsidR="005E6E8D" w:rsidRPr="00812C16">
        <w:rPr>
          <w:rFonts w:cs="Arial"/>
        </w:rPr>
        <w:instrText xml:space="preserve"> REF _Ref87695915 \h </w:instrText>
      </w:r>
      <w:r w:rsidR="00093D86" w:rsidRPr="00812C16">
        <w:rPr>
          <w:rFonts w:cs="Arial"/>
        </w:rPr>
        <w:instrText xml:space="preserve"> \* MERGEFORMAT </w:instrText>
      </w:r>
      <w:r w:rsidR="005E6E8D" w:rsidRPr="00812C16">
        <w:rPr>
          <w:rFonts w:cs="Arial"/>
        </w:rPr>
      </w:r>
      <w:r w:rsidR="005E6E8D" w:rsidRPr="00812C16">
        <w:rPr>
          <w:rFonts w:cs="Arial"/>
        </w:rPr>
        <w:fldChar w:fldCharType="separate"/>
      </w:r>
      <w:r w:rsidR="00F67803" w:rsidRPr="00812C16">
        <w:rPr>
          <w:rFonts w:cs="Arial"/>
        </w:rPr>
        <w:t xml:space="preserve">Tabelle </w:t>
      </w:r>
      <w:r w:rsidR="00F67803" w:rsidRPr="00F67803">
        <w:rPr>
          <w:rFonts w:cs="Arial"/>
          <w:noProof/>
        </w:rPr>
        <w:t>3</w:t>
      </w:r>
      <w:r w:rsidR="00F67803" w:rsidRPr="00812C16">
        <w:rPr>
          <w:rFonts w:cs="Arial"/>
          <w:noProof/>
        </w:rPr>
        <w:noBreakHyphen/>
      </w:r>
      <w:r w:rsidR="00F67803" w:rsidRPr="00F67803">
        <w:rPr>
          <w:rFonts w:cs="Arial"/>
          <w:noProof/>
        </w:rPr>
        <w:t>1</w:t>
      </w:r>
      <w:r w:rsidR="005E6E8D" w:rsidRPr="00812C16">
        <w:rPr>
          <w:rFonts w:cs="Arial"/>
        </w:rPr>
        <w:fldChar w:fldCharType="end"/>
      </w:r>
      <w:r w:rsidR="00A17C33" w:rsidRPr="00812C16">
        <w:rPr>
          <w:rFonts w:cs="Arial"/>
        </w:rPr>
        <w:t xml:space="preserve"> </w:t>
      </w:r>
      <w:r w:rsidR="00434F24" w:rsidRPr="00812C16">
        <w:rPr>
          <w:rFonts w:cs="Arial"/>
        </w:rPr>
        <w:t>nochm</w:t>
      </w:r>
      <w:r w:rsidR="00CA4BA1" w:rsidRPr="00812C16">
        <w:rPr>
          <w:rFonts w:cs="Arial"/>
        </w:rPr>
        <w:t xml:space="preserve">als übersichtlich dargestellt. </w:t>
      </w:r>
      <w:r w:rsidR="00AF23D1" w:rsidRPr="00812C16">
        <w:rPr>
          <w:rFonts w:cs="Arial"/>
          <w:shd w:val="clear" w:color="auto" w:fill="FFFF00"/>
        </w:rPr>
        <w:t xml:space="preserve"> </w:t>
      </w:r>
      <w:r w:rsidR="00093D86" w:rsidRPr="00812C16">
        <w:rPr>
          <w:rFonts w:cs="Arial"/>
          <w:shd w:val="clear" w:color="auto" w:fill="FFFF00"/>
        </w:rPr>
        <w:t xml:space="preserve">Die </w:t>
      </w:r>
      <w:r w:rsidR="00883805" w:rsidRPr="00812C16">
        <w:rPr>
          <w:rFonts w:cs="Arial"/>
          <w:shd w:val="clear" w:color="auto" w:fill="FFFF00"/>
        </w:rPr>
        <w:t xml:space="preserve">Patientenmerkmale sind in der </w:t>
      </w:r>
      <w:r w:rsidR="00883805" w:rsidRPr="00812C16">
        <w:rPr>
          <w:rFonts w:cs="Arial"/>
          <w:shd w:val="clear" w:color="auto" w:fill="FFFF00"/>
        </w:rPr>
        <w:fldChar w:fldCharType="begin"/>
      </w:r>
      <w:r w:rsidR="00883805" w:rsidRPr="00812C16">
        <w:rPr>
          <w:rFonts w:cs="Arial"/>
          <w:shd w:val="clear" w:color="auto" w:fill="FFFF00"/>
        </w:rPr>
        <w:instrText xml:space="preserve"> REF _Ref85362175 \h  \* MERGEFORMAT </w:instrText>
      </w:r>
      <w:r w:rsidR="00883805" w:rsidRPr="00812C16">
        <w:rPr>
          <w:rFonts w:cs="Arial"/>
          <w:shd w:val="clear" w:color="auto" w:fill="FFFF00"/>
        </w:rPr>
      </w:r>
      <w:r w:rsidR="00883805" w:rsidRPr="00812C16">
        <w:rPr>
          <w:rFonts w:cs="Arial"/>
          <w:shd w:val="clear" w:color="auto" w:fill="FFFF00"/>
        </w:rPr>
        <w:fldChar w:fldCharType="separate"/>
      </w:r>
      <w:r w:rsidR="00F67803" w:rsidRPr="00F67803">
        <w:rPr>
          <w:rFonts w:cs="Arial"/>
          <w:shd w:val="clear" w:color="auto" w:fill="FFFF00"/>
        </w:rPr>
        <w:t xml:space="preserve">Tabelle </w:t>
      </w:r>
      <w:r w:rsidR="00F67803" w:rsidRPr="00F67803">
        <w:rPr>
          <w:rFonts w:cs="Arial"/>
          <w:noProof/>
          <w:shd w:val="clear" w:color="auto" w:fill="FFFF00"/>
        </w:rPr>
        <w:t>4</w:t>
      </w:r>
      <w:r w:rsidR="00F67803" w:rsidRPr="00F67803">
        <w:rPr>
          <w:rFonts w:cs="Arial"/>
          <w:noProof/>
          <w:shd w:val="clear" w:color="auto" w:fill="FFFF00"/>
        </w:rPr>
        <w:noBreakHyphen/>
        <w:t>1</w:t>
      </w:r>
      <w:r w:rsidR="00883805" w:rsidRPr="00812C16">
        <w:rPr>
          <w:rFonts w:cs="Arial"/>
          <w:shd w:val="clear" w:color="auto" w:fill="FFFF00"/>
        </w:rPr>
        <w:fldChar w:fldCharType="end"/>
      </w:r>
      <w:r w:rsidR="00883805" w:rsidRPr="00812C16">
        <w:rPr>
          <w:rFonts w:cs="Arial"/>
          <w:shd w:val="clear" w:color="auto" w:fill="FFFF00"/>
        </w:rPr>
        <w:t xml:space="preserve"> dargestellt.</w:t>
      </w:r>
    </w:p>
    <w:p w14:paraId="1480B218" w14:textId="4AFCF507" w:rsidR="00707BA0" w:rsidRPr="00812C16" w:rsidRDefault="00083C25" w:rsidP="005F6CBA">
      <w:pPr>
        <w:pStyle w:val="Beschriftung"/>
        <w:spacing w:before="120" w:after="0"/>
        <w:rPr>
          <w:rFonts w:cs="Arial"/>
          <w:i w:val="0"/>
          <w:iCs w:val="0"/>
          <w:color w:val="auto"/>
          <w:sz w:val="24"/>
          <w:szCs w:val="24"/>
        </w:rPr>
      </w:pPr>
      <w:bookmarkStart w:id="33" w:name="_Ref87695915"/>
      <w:bookmarkStart w:id="34" w:name="_Toc180788390"/>
      <w:r w:rsidRPr="00812C16">
        <w:rPr>
          <w:rFonts w:cs="Arial"/>
          <w:i w:val="0"/>
          <w:iCs w:val="0"/>
          <w:color w:val="auto"/>
          <w:sz w:val="24"/>
          <w:szCs w:val="24"/>
        </w:rPr>
        <w:t xml:space="preserve">Tabelle </w:t>
      </w:r>
      <w:r w:rsidR="00A126D9" w:rsidRPr="00812C16">
        <w:rPr>
          <w:rFonts w:cs="Arial"/>
          <w:i w:val="0"/>
          <w:iCs w:val="0"/>
          <w:color w:val="auto"/>
          <w:sz w:val="24"/>
          <w:szCs w:val="24"/>
        </w:rPr>
        <w:fldChar w:fldCharType="begin"/>
      </w:r>
      <w:r w:rsidR="00A126D9" w:rsidRPr="00812C16">
        <w:rPr>
          <w:rFonts w:cs="Arial"/>
          <w:i w:val="0"/>
          <w:iCs w:val="0"/>
          <w:color w:val="auto"/>
          <w:sz w:val="24"/>
          <w:szCs w:val="24"/>
        </w:rPr>
        <w:instrText xml:space="preserve"> STYLEREF 1 \s </w:instrText>
      </w:r>
      <w:r w:rsidR="00A126D9" w:rsidRPr="00812C16">
        <w:rPr>
          <w:rFonts w:cs="Arial"/>
          <w:i w:val="0"/>
          <w:iCs w:val="0"/>
          <w:color w:val="auto"/>
          <w:sz w:val="24"/>
          <w:szCs w:val="24"/>
        </w:rPr>
        <w:fldChar w:fldCharType="separate"/>
      </w:r>
      <w:r w:rsidR="00F67803">
        <w:rPr>
          <w:rFonts w:cs="Arial"/>
          <w:i w:val="0"/>
          <w:iCs w:val="0"/>
          <w:noProof/>
          <w:color w:val="auto"/>
          <w:sz w:val="24"/>
          <w:szCs w:val="24"/>
        </w:rPr>
        <w:t>3</w:t>
      </w:r>
      <w:r w:rsidR="00A126D9" w:rsidRPr="00812C16">
        <w:rPr>
          <w:rFonts w:cs="Arial"/>
          <w:i w:val="0"/>
          <w:iCs w:val="0"/>
          <w:color w:val="auto"/>
          <w:sz w:val="24"/>
          <w:szCs w:val="24"/>
        </w:rPr>
        <w:fldChar w:fldCharType="end"/>
      </w:r>
      <w:r w:rsidR="00A126D9" w:rsidRPr="00812C16">
        <w:rPr>
          <w:rFonts w:cs="Arial"/>
          <w:i w:val="0"/>
          <w:iCs w:val="0"/>
          <w:color w:val="auto"/>
          <w:sz w:val="24"/>
          <w:szCs w:val="24"/>
        </w:rPr>
        <w:noBreakHyphen/>
      </w:r>
      <w:r w:rsidR="00A126D9" w:rsidRPr="00812C16">
        <w:rPr>
          <w:rFonts w:cs="Arial"/>
          <w:i w:val="0"/>
          <w:iCs w:val="0"/>
          <w:color w:val="auto"/>
          <w:sz w:val="24"/>
          <w:szCs w:val="24"/>
        </w:rPr>
        <w:fldChar w:fldCharType="begin"/>
      </w:r>
      <w:r w:rsidR="00A126D9" w:rsidRPr="00812C16">
        <w:rPr>
          <w:rFonts w:cs="Arial"/>
          <w:i w:val="0"/>
          <w:iCs w:val="0"/>
          <w:color w:val="auto"/>
          <w:sz w:val="24"/>
          <w:szCs w:val="24"/>
        </w:rPr>
        <w:instrText xml:space="preserve"> SEQ Tabelle \* ARABIC \s 1 </w:instrText>
      </w:r>
      <w:r w:rsidR="00A126D9" w:rsidRPr="00812C16">
        <w:rPr>
          <w:rFonts w:cs="Arial"/>
          <w:i w:val="0"/>
          <w:iCs w:val="0"/>
          <w:color w:val="auto"/>
          <w:sz w:val="24"/>
          <w:szCs w:val="24"/>
        </w:rPr>
        <w:fldChar w:fldCharType="separate"/>
      </w:r>
      <w:r w:rsidR="00F67803">
        <w:rPr>
          <w:rFonts w:cs="Arial"/>
          <w:i w:val="0"/>
          <w:iCs w:val="0"/>
          <w:noProof/>
          <w:color w:val="auto"/>
          <w:sz w:val="24"/>
          <w:szCs w:val="24"/>
        </w:rPr>
        <w:t>1</w:t>
      </w:r>
      <w:r w:rsidR="00A126D9" w:rsidRPr="00812C16">
        <w:rPr>
          <w:rFonts w:cs="Arial"/>
          <w:i w:val="0"/>
          <w:iCs w:val="0"/>
          <w:color w:val="auto"/>
          <w:sz w:val="24"/>
          <w:szCs w:val="24"/>
        </w:rPr>
        <w:fldChar w:fldCharType="end"/>
      </w:r>
      <w:bookmarkEnd w:id="33"/>
      <w:r w:rsidRPr="00812C16">
        <w:rPr>
          <w:rFonts w:cs="Arial"/>
          <w:i w:val="0"/>
          <w:iCs w:val="0"/>
          <w:color w:val="auto"/>
          <w:sz w:val="24"/>
          <w:szCs w:val="24"/>
        </w:rPr>
        <w:t xml:space="preserve">: Einschlusskriterien </w:t>
      </w:r>
      <w:r w:rsidR="00E963C9" w:rsidRPr="00812C16">
        <w:rPr>
          <w:rFonts w:cs="Arial"/>
          <w:i w:val="0"/>
          <w:iCs w:val="0"/>
          <w:color w:val="auto"/>
          <w:sz w:val="24"/>
          <w:szCs w:val="24"/>
        </w:rPr>
        <w:t>für Patienten</w:t>
      </w:r>
      <w:bookmarkEnd w:id="34"/>
    </w:p>
    <w:tbl>
      <w:tblPr>
        <w:tblStyle w:val="Tabellenraster"/>
        <w:tblW w:w="0" w:type="auto"/>
        <w:tblLook w:val="04A0" w:firstRow="1" w:lastRow="0" w:firstColumn="1" w:lastColumn="0" w:noHBand="0" w:noVBand="1"/>
      </w:tblPr>
      <w:tblGrid>
        <w:gridCol w:w="3539"/>
        <w:gridCol w:w="5523"/>
      </w:tblGrid>
      <w:tr w:rsidR="00C636EE" w:rsidRPr="00812C16" w14:paraId="44B259DD" w14:textId="77777777" w:rsidTr="00A030B5">
        <w:tc>
          <w:tcPr>
            <w:tcW w:w="9062" w:type="dxa"/>
            <w:gridSpan w:val="2"/>
            <w:tcBorders>
              <w:left w:val="nil"/>
              <w:right w:val="nil"/>
            </w:tcBorders>
          </w:tcPr>
          <w:p w14:paraId="283CEF3A" w14:textId="77777777" w:rsidR="00C636EE" w:rsidRPr="00812C16" w:rsidRDefault="00FB526C" w:rsidP="00E90946">
            <w:pPr>
              <w:spacing w:line="360" w:lineRule="auto"/>
              <w:rPr>
                <w:rFonts w:cs="Arial"/>
                <w:b/>
                <w:bCs/>
                <w:sz w:val="18"/>
                <w:szCs w:val="18"/>
              </w:rPr>
            </w:pPr>
            <w:r w:rsidRPr="00812C16">
              <w:rPr>
                <w:rFonts w:cs="Arial"/>
                <w:b/>
                <w:bCs/>
                <w:sz w:val="18"/>
                <w:szCs w:val="18"/>
              </w:rPr>
              <w:t>E</w:t>
            </w:r>
            <w:r w:rsidR="00B06F23" w:rsidRPr="00812C16">
              <w:rPr>
                <w:rFonts w:cs="Arial"/>
                <w:b/>
                <w:bCs/>
                <w:sz w:val="18"/>
                <w:szCs w:val="18"/>
              </w:rPr>
              <w:t xml:space="preserve">inschlusskriterien </w:t>
            </w:r>
            <w:r w:rsidR="0079741B" w:rsidRPr="00812C16">
              <w:rPr>
                <w:rFonts w:cs="Arial"/>
                <w:b/>
                <w:bCs/>
                <w:sz w:val="18"/>
                <w:szCs w:val="18"/>
              </w:rPr>
              <w:t xml:space="preserve">für </w:t>
            </w:r>
            <w:r w:rsidR="00B06F23" w:rsidRPr="00812C16">
              <w:rPr>
                <w:rFonts w:cs="Arial"/>
                <w:b/>
                <w:bCs/>
                <w:sz w:val="18"/>
                <w:szCs w:val="18"/>
              </w:rPr>
              <w:t>Patienten</w:t>
            </w:r>
          </w:p>
        </w:tc>
      </w:tr>
      <w:tr w:rsidR="00915CC5" w:rsidRPr="00812C16" w14:paraId="27F92E34" w14:textId="77777777" w:rsidTr="00A030B5">
        <w:tc>
          <w:tcPr>
            <w:tcW w:w="3539" w:type="dxa"/>
            <w:tcBorders>
              <w:left w:val="nil"/>
              <w:bottom w:val="nil"/>
              <w:right w:val="nil"/>
            </w:tcBorders>
          </w:tcPr>
          <w:p w14:paraId="092E4C4E" w14:textId="77777777" w:rsidR="00BA24D6" w:rsidRPr="00812C16" w:rsidRDefault="00BA24D6" w:rsidP="00E90946">
            <w:pPr>
              <w:spacing w:line="360" w:lineRule="auto"/>
              <w:rPr>
                <w:rFonts w:cs="Arial"/>
                <w:sz w:val="18"/>
                <w:szCs w:val="18"/>
              </w:rPr>
            </w:pPr>
            <w:r w:rsidRPr="00812C16">
              <w:rPr>
                <w:rFonts w:cs="Arial"/>
                <w:sz w:val="18"/>
                <w:szCs w:val="18"/>
              </w:rPr>
              <w:t>Histologie</w:t>
            </w:r>
          </w:p>
        </w:tc>
        <w:tc>
          <w:tcPr>
            <w:tcW w:w="5523" w:type="dxa"/>
            <w:tcBorders>
              <w:left w:val="nil"/>
              <w:bottom w:val="nil"/>
              <w:right w:val="nil"/>
            </w:tcBorders>
          </w:tcPr>
          <w:p w14:paraId="5031F7B8" w14:textId="77777777" w:rsidR="00915CC5" w:rsidRPr="00812C16" w:rsidRDefault="00285AAA" w:rsidP="00E90946">
            <w:pPr>
              <w:spacing w:line="360" w:lineRule="auto"/>
              <w:rPr>
                <w:rFonts w:cs="Arial"/>
                <w:sz w:val="18"/>
                <w:szCs w:val="18"/>
              </w:rPr>
            </w:pPr>
            <w:r w:rsidRPr="00812C16">
              <w:rPr>
                <w:rFonts w:cs="Arial"/>
                <w:sz w:val="18"/>
                <w:szCs w:val="18"/>
              </w:rPr>
              <w:t>Histologisch gesichertes Plattenepithelkarzinom</w:t>
            </w:r>
          </w:p>
        </w:tc>
      </w:tr>
      <w:tr w:rsidR="00915CC5" w:rsidRPr="00812C16" w14:paraId="4D37FBA9" w14:textId="77777777" w:rsidTr="00A030B5">
        <w:tc>
          <w:tcPr>
            <w:tcW w:w="3539" w:type="dxa"/>
            <w:tcBorders>
              <w:top w:val="nil"/>
              <w:left w:val="nil"/>
              <w:bottom w:val="nil"/>
              <w:right w:val="nil"/>
            </w:tcBorders>
          </w:tcPr>
          <w:p w14:paraId="1D6E4AFF" w14:textId="77777777" w:rsidR="00915CC5" w:rsidRPr="00812C16" w:rsidRDefault="00BA24D6" w:rsidP="00E90946">
            <w:pPr>
              <w:spacing w:line="360" w:lineRule="auto"/>
              <w:rPr>
                <w:rFonts w:cs="Arial"/>
                <w:sz w:val="18"/>
                <w:szCs w:val="18"/>
              </w:rPr>
            </w:pPr>
            <w:r w:rsidRPr="00812C16">
              <w:rPr>
                <w:rFonts w:cs="Arial"/>
                <w:sz w:val="18"/>
                <w:szCs w:val="18"/>
              </w:rPr>
              <w:t>Tumorlokalisation</w:t>
            </w:r>
          </w:p>
        </w:tc>
        <w:tc>
          <w:tcPr>
            <w:tcW w:w="5523" w:type="dxa"/>
            <w:tcBorders>
              <w:top w:val="nil"/>
              <w:left w:val="nil"/>
              <w:bottom w:val="nil"/>
              <w:right w:val="nil"/>
            </w:tcBorders>
          </w:tcPr>
          <w:p w14:paraId="2B3FE4C4" w14:textId="77777777" w:rsidR="00915CC5" w:rsidRPr="00812C16" w:rsidRDefault="0040303C" w:rsidP="00E90946">
            <w:pPr>
              <w:spacing w:line="360" w:lineRule="auto"/>
              <w:rPr>
                <w:rFonts w:cs="Arial"/>
                <w:sz w:val="18"/>
                <w:szCs w:val="18"/>
              </w:rPr>
            </w:pPr>
            <w:r w:rsidRPr="00812C16">
              <w:rPr>
                <w:rFonts w:cs="Arial"/>
                <w:sz w:val="18"/>
                <w:szCs w:val="18"/>
              </w:rPr>
              <w:t xml:space="preserve">Mundhöhlen-, Oro- oder </w:t>
            </w:r>
            <w:proofErr w:type="spellStart"/>
            <w:r w:rsidR="008656F5" w:rsidRPr="00812C16">
              <w:rPr>
                <w:rFonts w:cs="Arial"/>
                <w:sz w:val="18"/>
                <w:szCs w:val="18"/>
              </w:rPr>
              <w:t>Hypopharynxkarzinom</w:t>
            </w:r>
            <w:proofErr w:type="spellEnd"/>
            <w:r w:rsidRPr="00812C16">
              <w:rPr>
                <w:rFonts w:cs="Arial"/>
                <w:sz w:val="18"/>
                <w:szCs w:val="18"/>
              </w:rPr>
              <w:t xml:space="preserve"> </w:t>
            </w:r>
          </w:p>
        </w:tc>
      </w:tr>
      <w:tr w:rsidR="00915CC5" w:rsidRPr="00812C16" w14:paraId="695E65D9" w14:textId="77777777" w:rsidTr="00A030B5">
        <w:tc>
          <w:tcPr>
            <w:tcW w:w="3539" w:type="dxa"/>
            <w:tcBorders>
              <w:top w:val="nil"/>
              <w:left w:val="nil"/>
              <w:bottom w:val="nil"/>
              <w:right w:val="nil"/>
            </w:tcBorders>
          </w:tcPr>
          <w:p w14:paraId="77BE4EAB" w14:textId="77777777" w:rsidR="00915CC5" w:rsidRPr="00812C16" w:rsidRDefault="00BA24D6" w:rsidP="00E90946">
            <w:pPr>
              <w:spacing w:line="360" w:lineRule="auto"/>
              <w:rPr>
                <w:rFonts w:cs="Arial"/>
                <w:sz w:val="18"/>
                <w:szCs w:val="18"/>
              </w:rPr>
            </w:pPr>
            <w:r w:rsidRPr="00812C16">
              <w:rPr>
                <w:rFonts w:cs="Arial"/>
                <w:sz w:val="18"/>
                <w:szCs w:val="18"/>
              </w:rPr>
              <w:lastRenderedPageBreak/>
              <w:t>Behandlung</w:t>
            </w:r>
          </w:p>
        </w:tc>
        <w:tc>
          <w:tcPr>
            <w:tcW w:w="5523" w:type="dxa"/>
            <w:tcBorders>
              <w:top w:val="nil"/>
              <w:left w:val="nil"/>
              <w:bottom w:val="nil"/>
              <w:right w:val="nil"/>
            </w:tcBorders>
          </w:tcPr>
          <w:p w14:paraId="5ADCF2E0" w14:textId="77777777" w:rsidR="00915CC5" w:rsidRPr="00812C16" w:rsidRDefault="002D2DA3" w:rsidP="00E90946">
            <w:pPr>
              <w:spacing w:line="360" w:lineRule="auto"/>
              <w:rPr>
                <w:rFonts w:cs="Arial"/>
                <w:sz w:val="18"/>
                <w:szCs w:val="18"/>
              </w:rPr>
            </w:pPr>
            <w:r w:rsidRPr="00812C16">
              <w:rPr>
                <w:rFonts w:cs="Arial"/>
                <w:sz w:val="18"/>
                <w:szCs w:val="18"/>
              </w:rPr>
              <w:t>Zwischen 2004 und 2012</w:t>
            </w:r>
          </w:p>
        </w:tc>
      </w:tr>
      <w:tr w:rsidR="00915CC5" w:rsidRPr="00812C16" w14:paraId="441A6AB0" w14:textId="77777777" w:rsidTr="00A030B5">
        <w:tc>
          <w:tcPr>
            <w:tcW w:w="3539" w:type="dxa"/>
            <w:tcBorders>
              <w:top w:val="nil"/>
              <w:left w:val="nil"/>
              <w:bottom w:val="nil"/>
              <w:right w:val="nil"/>
            </w:tcBorders>
          </w:tcPr>
          <w:p w14:paraId="657613F1" w14:textId="77777777" w:rsidR="00915CC5" w:rsidRPr="00812C16" w:rsidRDefault="00DA6C6C" w:rsidP="00E90946">
            <w:pPr>
              <w:spacing w:line="360" w:lineRule="auto"/>
              <w:rPr>
                <w:rFonts w:cs="Arial"/>
                <w:sz w:val="18"/>
                <w:szCs w:val="18"/>
              </w:rPr>
            </w:pPr>
            <w:r w:rsidRPr="00812C16">
              <w:rPr>
                <w:rFonts w:cs="Arial"/>
                <w:sz w:val="18"/>
                <w:szCs w:val="18"/>
              </w:rPr>
              <w:t>Lokal fortgeschrittene Erkrankung</w:t>
            </w:r>
            <w:r w:rsidR="00FC3E7B" w:rsidRPr="00812C16">
              <w:rPr>
                <w:rFonts w:cs="Arial"/>
                <w:sz w:val="18"/>
                <w:szCs w:val="18"/>
              </w:rPr>
              <w:t xml:space="preserve"> </w:t>
            </w:r>
          </w:p>
        </w:tc>
        <w:tc>
          <w:tcPr>
            <w:tcW w:w="5523" w:type="dxa"/>
            <w:tcBorders>
              <w:top w:val="nil"/>
              <w:left w:val="nil"/>
              <w:bottom w:val="nil"/>
              <w:right w:val="nil"/>
            </w:tcBorders>
          </w:tcPr>
          <w:p w14:paraId="7DE7E3C8" w14:textId="77777777" w:rsidR="00915CC5" w:rsidRPr="00812C16" w:rsidRDefault="002D2DA3" w:rsidP="00E90946">
            <w:pPr>
              <w:spacing w:line="360" w:lineRule="auto"/>
              <w:rPr>
                <w:rFonts w:cs="Arial"/>
                <w:sz w:val="18"/>
                <w:szCs w:val="18"/>
              </w:rPr>
            </w:pPr>
            <w:r w:rsidRPr="00812C16">
              <w:rPr>
                <w:rFonts w:cs="Arial"/>
                <w:sz w:val="18"/>
                <w:szCs w:val="18"/>
              </w:rPr>
              <w:t>K</w:t>
            </w:r>
            <w:r w:rsidR="00091A39" w:rsidRPr="00812C16">
              <w:rPr>
                <w:rFonts w:cs="Arial"/>
                <w:sz w:val="18"/>
                <w:szCs w:val="18"/>
              </w:rPr>
              <w:t xml:space="preserve">urativ </w:t>
            </w:r>
            <w:r w:rsidR="00861713" w:rsidRPr="00812C16">
              <w:rPr>
                <w:rFonts w:cs="Arial"/>
                <w:sz w:val="18"/>
                <w:szCs w:val="18"/>
              </w:rPr>
              <w:t>intendierte</w:t>
            </w:r>
            <w:r w:rsidR="00091A39" w:rsidRPr="00812C16">
              <w:rPr>
                <w:rFonts w:cs="Arial"/>
                <w:sz w:val="18"/>
                <w:szCs w:val="18"/>
              </w:rPr>
              <w:t xml:space="preserve"> </w:t>
            </w:r>
            <w:r w:rsidR="00861713" w:rsidRPr="00812C16">
              <w:rPr>
                <w:rFonts w:cs="Arial"/>
                <w:sz w:val="18"/>
                <w:szCs w:val="18"/>
              </w:rPr>
              <w:t>Cisplatin</w:t>
            </w:r>
            <w:r w:rsidR="00091A39" w:rsidRPr="00812C16">
              <w:rPr>
                <w:rFonts w:cs="Arial"/>
                <w:sz w:val="18"/>
                <w:szCs w:val="18"/>
              </w:rPr>
              <w:t>-basierte Radiochemotherapie der Tumorregion und der Hals</w:t>
            </w:r>
            <w:r w:rsidR="008656F5" w:rsidRPr="00812C16">
              <w:rPr>
                <w:rFonts w:cs="Arial"/>
                <w:sz w:val="18"/>
                <w:szCs w:val="18"/>
              </w:rPr>
              <w:t>lymphknoten</w:t>
            </w:r>
          </w:p>
        </w:tc>
      </w:tr>
      <w:tr w:rsidR="00915CC5" w:rsidRPr="00812C16" w14:paraId="23A9B941" w14:textId="77777777" w:rsidTr="00A030B5">
        <w:tc>
          <w:tcPr>
            <w:tcW w:w="3539" w:type="dxa"/>
            <w:tcBorders>
              <w:top w:val="nil"/>
              <w:left w:val="nil"/>
              <w:bottom w:val="nil"/>
              <w:right w:val="nil"/>
            </w:tcBorders>
          </w:tcPr>
          <w:p w14:paraId="447BC5AB" w14:textId="77777777" w:rsidR="00915CC5" w:rsidRPr="00812C16" w:rsidRDefault="00DA6C6C" w:rsidP="00E90946">
            <w:pPr>
              <w:spacing w:line="360" w:lineRule="auto"/>
              <w:rPr>
                <w:rFonts w:cs="Arial"/>
                <w:sz w:val="18"/>
                <w:szCs w:val="18"/>
              </w:rPr>
            </w:pPr>
            <w:r w:rsidRPr="00812C16">
              <w:rPr>
                <w:rFonts w:cs="Arial"/>
                <w:sz w:val="18"/>
                <w:szCs w:val="18"/>
              </w:rPr>
              <w:t>Follow-</w:t>
            </w:r>
            <w:proofErr w:type="spellStart"/>
            <w:r w:rsidRPr="00812C16">
              <w:rPr>
                <w:rFonts w:cs="Arial"/>
                <w:sz w:val="18"/>
                <w:szCs w:val="18"/>
              </w:rPr>
              <w:t>up</w:t>
            </w:r>
            <w:proofErr w:type="spellEnd"/>
          </w:p>
        </w:tc>
        <w:tc>
          <w:tcPr>
            <w:tcW w:w="5523" w:type="dxa"/>
            <w:tcBorders>
              <w:top w:val="nil"/>
              <w:left w:val="nil"/>
              <w:bottom w:val="nil"/>
              <w:right w:val="nil"/>
            </w:tcBorders>
          </w:tcPr>
          <w:p w14:paraId="5B5B01E4" w14:textId="77777777" w:rsidR="00335949" w:rsidRPr="00812C16" w:rsidRDefault="00335949" w:rsidP="00335949">
            <w:pPr>
              <w:spacing w:line="360" w:lineRule="auto"/>
              <w:rPr>
                <w:rFonts w:cs="Arial"/>
                <w:sz w:val="18"/>
                <w:szCs w:val="18"/>
              </w:rPr>
            </w:pPr>
            <w:r w:rsidRPr="00812C16">
              <w:rPr>
                <w:rFonts w:cs="Arial"/>
                <w:sz w:val="18"/>
                <w:szCs w:val="18"/>
              </w:rPr>
              <w:t>mindestens 24 Monate ohne fortschreitende Erkrankung</w:t>
            </w:r>
          </w:p>
          <w:p w14:paraId="4D6480B0" w14:textId="77777777" w:rsidR="00915CC5" w:rsidRPr="00812C16" w:rsidRDefault="00915CC5" w:rsidP="00E90946">
            <w:pPr>
              <w:spacing w:line="360" w:lineRule="auto"/>
              <w:rPr>
                <w:rFonts w:cs="Arial"/>
                <w:sz w:val="18"/>
                <w:szCs w:val="18"/>
              </w:rPr>
            </w:pPr>
          </w:p>
        </w:tc>
      </w:tr>
      <w:tr w:rsidR="00915CC5" w:rsidRPr="00812C16" w14:paraId="7D902310" w14:textId="77777777" w:rsidTr="00A030B5">
        <w:tc>
          <w:tcPr>
            <w:tcW w:w="3539" w:type="dxa"/>
            <w:tcBorders>
              <w:top w:val="nil"/>
              <w:left w:val="nil"/>
              <w:bottom w:val="nil"/>
              <w:right w:val="nil"/>
            </w:tcBorders>
          </w:tcPr>
          <w:p w14:paraId="4134B9DF" w14:textId="77777777" w:rsidR="00915CC5" w:rsidRPr="00812C16" w:rsidRDefault="00D669D8" w:rsidP="00E90946">
            <w:pPr>
              <w:spacing w:line="360" w:lineRule="auto"/>
              <w:rPr>
                <w:rFonts w:cs="Arial"/>
                <w:sz w:val="18"/>
                <w:szCs w:val="18"/>
              </w:rPr>
            </w:pPr>
            <w:r w:rsidRPr="00812C16">
              <w:rPr>
                <w:rFonts w:cs="Arial"/>
                <w:sz w:val="18"/>
                <w:szCs w:val="18"/>
              </w:rPr>
              <w:t>Biomaterial</w:t>
            </w:r>
          </w:p>
        </w:tc>
        <w:tc>
          <w:tcPr>
            <w:tcW w:w="5523" w:type="dxa"/>
            <w:tcBorders>
              <w:top w:val="nil"/>
              <w:left w:val="nil"/>
              <w:bottom w:val="nil"/>
              <w:right w:val="nil"/>
            </w:tcBorders>
          </w:tcPr>
          <w:p w14:paraId="1ECB6FE3" w14:textId="77777777" w:rsidR="00915CC5" w:rsidRPr="00812C16" w:rsidRDefault="00A41BED" w:rsidP="00E90946">
            <w:pPr>
              <w:spacing w:line="360" w:lineRule="auto"/>
              <w:rPr>
                <w:rFonts w:cs="Arial"/>
                <w:sz w:val="18"/>
                <w:szCs w:val="18"/>
              </w:rPr>
            </w:pPr>
            <w:r w:rsidRPr="00812C16">
              <w:rPr>
                <w:rFonts w:cs="Arial"/>
                <w:sz w:val="18"/>
                <w:szCs w:val="18"/>
              </w:rPr>
              <w:t>FFPE-Material</w:t>
            </w:r>
          </w:p>
        </w:tc>
      </w:tr>
      <w:tr w:rsidR="00C636EE" w:rsidRPr="00812C16" w14:paraId="49299B99" w14:textId="77777777" w:rsidTr="00A030B5">
        <w:tc>
          <w:tcPr>
            <w:tcW w:w="3539" w:type="dxa"/>
            <w:tcBorders>
              <w:top w:val="nil"/>
              <w:left w:val="nil"/>
              <w:right w:val="nil"/>
            </w:tcBorders>
          </w:tcPr>
          <w:p w14:paraId="1D9E2795" w14:textId="77777777" w:rsidR="00C636EE" w:rsidRPr="00812C16" w:rsidRDefault="005556F0" w:rsidP="00E90946">
            <w:pPr>
              <w:spacing w:line="360" w:lineRule="auto"/>
              <w:rPr>
                <w:rFonts w:cs="Arial"/>
                <w:sz w:val="18"/>
                <w:szCs w:val="18"/>
              </w:rPr>
            </w:pPr>
            <w:r w:rsidRPr="00812C16">
              <w:rPr>
                <w:rFonts w:cs="Arial"/>
                <w:sz w:val="18"/>
                <w:szCs w:val="18"/>
              </w:rPr>
              <w:t>Therapiepläne</w:t>
            </w:r>
            <w:r w:rsidR="00D669D8" w:rsidRPr="00812C16">
              <w:rPr>
                <w:rFonts w:cs="Arial"/>
                <w:sz w:val="18"/>
                <w:szCs w:val="18"/>
              </w:rPr>
              <w:t xml:space="preserve"> und Bildgebung</w:t>
            </w:r>
          </w:p>
        </w:tc>
        <w:tc>
          <w:tcPr>
            <w:tcW w:w="5523" w:type="dxa"/>
            <w:tcBorders>
              <w:top w:val="nil"/>
              <w:left w:val="nil"/>
              <w:right w:val="nil"/>
            </w:tcBorders>
          </w:tcPr>
          <w:p w14:paraId="576141E4" w14:textId="77777777" w:rsidR="00C636EE" w:rsidRPr="00812C16" w:rsidRDefault="005556F0" w:rsidP="00E90946">
            <w:pPr>
              <w:spacing w:line="360" w:lineRule="auto"/>
              <w:rPr>
                <w:rFonts w:cs="Arial"/>
                <w:sz w:val="18"/>
                <w:szCs w:val="18"/>
              </w:rPr>
            </w:pPr>
            <w:r w:rsidRPr="00812C16">
              <w:rPr>
                <w:rFonts w:cs="Arial"/>
                <w:sz w:val="18"/>
                <w:szCs w:val="18"/>
              </w:rPr>
              <w:t>Bestrahlungspläne, CT, MRT oder PET-CT</w:t>
            </w:r>
            <w:r w:rsidR="00F93AF2" w:rsidRPr="00812C16">
              <w:rPr>
                <w:rFonts w:cs="Arial"/>
                <w:sz w:val="18"/>
                <w:szCs w:val="18"/>
              </w:rPr>
              <w:t xml:space="preserve"> </w:t>
            </w:r>
          </w:p>
        </w:tc>
      </w:tr>
    </w:tbl>
    <w:p w14:paraId="5C431944" w14:textId="77777777" w:rsidR="0053616D" w:rsidRPr="00812C16" w:rsidRDefault="00450EF2" w:rsidP="00093D86">
      <w:pPr>
        <w:spacing w:before="120"/>
        <w:rPr>
          <w:rFonts w:cs="Arial"/>
        </w:rPr>
      </w:pPr>
      <w:r w:rsidRPr="00812C16">
        <w:rPr>
          <w:rFonts w:cs="Arial"/>
        </w:rPr>
        <w:t xml:space="preserve">Nachträglich wurden </w:t>
      </w:r>
      <w:r w:rsidR="00114FC2" w:rsidRPr="00812C16">
        <w:rPr>
          <w:rFonts w:cs="Arial"/>
        </w:rPr>
        <w:t>26 Patienten aufgrund von unzureichendem Biomaterial oder Nichterfüll</w:t>
      </w:r>
      <w:r w:rsidR="00671EE7" w:rsidRPr="00812C16">
        <w:rPr>
          <w:rFonts w:cs="Arial"/>
        </w:rPr>
        <w:t>en der Einschlusskriterien ausgeschlossen</w:t>
      </w:r>
      <w:r w:rsidR="007E0528" w:rsidRPr="00812C16">
        <w:rPr>
          <w:rFonts w:cs="Arial"/>
        </w:rPr>
        <w:t xml:space="preserve">. </w:t>
      </w:r>
      <w:r w:rsidR="0042149B" w:rsidRPr="00812C16">
        <w:rPr>
          <w:rFonts w:cs="Arial"/>
        </w:rPr>
        <w:t>Folglich waren für</w:t>
      </w:r>
      <w:r w:rsidR="006315FF" w:rsidRPr="00812C16">
        <w:rPr>
          <w:rFonts w:cs="Arial"/>
        </w:rPr>
        <w:t xml:space="preserve"> das vorliegender Projekt</w:t>
      </w:r>
      <w:r w:rsidR="003127A4" w:rsidRPr="00812C16">
        <w:rPr>
          <w:rFonts w:cs="Arial"/>
        </w:rPr>
        <w:t xml:space="preserve"> 195 in Formalin fixierte und in Paraffin eingebettete (FFPE) Operationspräparate verfügbar die nach standardisierten Verfahren am DKTK-Partnerstandort Dresden verarbeitet wurden</w:t>
      </w:r>
      <w:r w:rsidR="0014771E" w:rsidRPr="00812C16">
        <w:rPr>
          <w:rFonts w:cs="Arial"/>
        </w:rPr>
        <w:t xml:space="preserve"> und für </w:t>
      </w:r>
      <w:r w:rsidR="00327BCE" w:rsidRPr="00812C16">
        <w:rPr>
          <w:rFonts w:cs="Arial"/>
        </w:rPr>
        <w:t xml:space="preserve">die </w:t>
      </w:r>
      <w:proofErr w:type="spellStart"/>
      <w:r w:rsidR="0079362B" w:rsidRPr="00812C16">
        <w:rPr>
          <w:rFonts w:cs="Arial"/>
        </w:rPr>
        <w:t>Biomarker</w:t>
      </w:r>
      <w:r w:rsidR="00F36867" w:rsidRPr="00812C16">
        <w:rPr>
          <w:rFonts w:cs="Arial"/>
        </w:rPr>
        <w:t>analyse</w:t>
      </w:r>
      <w:proofErr w:type="spellEnd"/>
      <w:r w:rsidR="0079362B" w:rsidRPr="00812C16">
        <w:rPr>
          <w:rFonts w:cs="Arial"/>
        </w:rPr>
        <w:t xml:space="preserve"> zur </w:t>
      </w:r>
      <w:r w:rsidR="00F36867" w:rsidRPr="00812C16">
        <w:rPr>
          <w:rFonts w:cs="Arial"/>
        </w:rPr>
        <w:t>Verfügung</w:t>
      </w:r>
      <w:r w:rsidR="0079362B" w:rsidRPr="00812C16">
        <w:rPr>
          <w:rFonts w:cs="Arial"/>
        </w:rPr>
        <w:t xml:space="preserve"> standen. </w:t>
      </w:r>
    </w:p>
    <w:p w14:paraId="152D39FF" w14:textId="77777777" w:rsidR="00D878CF" w:rsidRPr="00812C16" w:rsidRDefault="00D878CF" w:rsidP="008C6A11">
      <w:pPr>
        <w:pStyle w:val="berschrift2"/>
        <w:rPr>
          <w:rFonts w:cs="Arial"/>
        </w:rPr>
      </w:pPr>
      <w:bookmarkStart w:id="35" w:name="_Toc158006529"/>
      <w:r w:rsidRPr="00812C16">
        <w:rPr>
          <w:rFonts w:cs="Arial"/>
        </w:rPr>
        <w:t>Immunhistologische Analysen</w:t>
      </w:r>
      <w:bookmarkEnd w:id="35"/>
    </w:p>
    <w:p w14:paraId="03169B85" w14:textId="77777777" w:rsidR="0053616D" w:rsidRPr="00812C16" w:rsidRDefault="006748DD" w:rsidP="005547D3">
      <w:pPr>
        <w:pStyle w:val="berschrift3"/>
      </w:pPr>
      <w:bookmarkStart w:id="36" w:name="_Toc158006530"/>
      <w:r w:rsidRPr="00812C16">
        <w:t>Tissue-Microarray</w:t>
      </w:r>
      <w:bookmarkEnd w:id="36"/>
    </w:p>
    <w:p w14:paraId="1558F36B" w14:textId="564CA9B3" w:rsidR="002A5B74" w:rsidRPr="00812C16" w:rsidRDefault="00AD585F" w:rsidP="009F7746">
      <w:pPr>
        <w:rPr>
          <w:rFonts w:cs="Arial"/>
        </w:rPr>
      </w:pPr>
      <w:r w:rsidRPr="00812C16">
        <w:rPr>
          <w:rFonts w:cs="Arial"/>
        </w:rPr>
        <w:t xml:space="preserve">Die Tissue-Microarray Technik wurde erstmals 1998 beschrieben </w:t>
      </w:r>
      <w:r w:rsidR="000112D9">
        <w:rPr>
          <w:rFonts w:cs="Arial"/>
        </w:rPr>
        <w:fldChar w:fldCharType="begin">
          <w:fldData xml:space="preserve">PEVuZE5vdGU+PENpdGU+PEF1dGhvcj5Lb25vbmVuPC9BdXRob3I+PFllYXI+MTk5ODwvWWVhcj48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45" w:tooltip="Kononen, 1998 #742" w:history="1">
        <w:r w:rsidR="009D0F7A" w:rsidRPr="009D0F7A">
          <w:rPr>
            <w:rStyle w:val="Hyperlink"/>
          </w:rPr>
          <w:t>Kononen et al., 1998</w:t>
        </w:r>
      </w:hyperlink>
      <w:r w:rsidR="000112D9">
        <w:rPr>
          <w:rFonts w:cs="Arial"/>
          <w:noProof/>
        </w:rPr>
        <w:t>)</w:t>
      </w:r>
      <w:r w:rsidR="000112D9">
        <w:rPr>
          <w:rFonts w:cs="Arial"/>
        </w:rPr>
        <w:fldChar w:fldCharType="end"/>
      </w:r>
      <w:r w:rsidRPr="00812C16">
        <w:rPr>
          <w:rFonts w:cs="Arial"/>
        </w:rPr>
        <w:t xml:space="preserve"> und </w:t>
      </w:r>
      <w:r w:rsidR="00146E76" w:rsidRPr="00812C16">
        <w:rPr>
          <w:rFonts w:cs="Arial"/>
        </w:rPr>
        <w:t>ermöglicht eine effiziente und auf den Tumor fokussierte simultane Auswertung der einzelnen Gewebeproben</w:t>
      </w:r>
      <w:r w:rsidR="00F03EA6" w:rsidRPr="00812C16">
        <w:rPr>
          <w:rFonts w:cs="Arial"/>
        </w:rPr>
        <w:t xml:space="preserve">. </w:t>
      </w:r>
      <w:r w:rsidR="006A17BF" w:rsidRPr="00812C16">
        <w:rPr>
          <w:rFonts w:cs="Arial"/>
        </w:rPr>
        <w:t xml:space="preserve">Die Methode </w:t>
      </w:r>
      <w:r w:rsidRPr="00812C16">
        <w:rPr>
          <w:rFonts w:cs="Arial"/>
        </w:rPr>
        <w:t>hat seither die Art und Weise wie gewebebasierte Forschung, insbesondere im onkologischen Bereich</w:t>
      </w:r>
      <w:r w:rsidR="00BC6A6C" w:rsidRPr="00812C16">
        <w:rPr>
          <w:rFonts w:cs="Arial"/>
        </w:rPr>
        <w:t xml:space="preserve"> </w:t>
      </w:r>
      <w:r w:rsidRPr="00812C16">
        <w:rPr>
          <w:rFonts w:cs="Arial"/>
        </w:rPr>
        <w:t xml:space="preserve">stattfindet maßgeblich </w:t>
      </w:r>
      <w:r w:rsidR="005D397E" w:rsidRPr="00812C16">
        <w:rPr>
          <w:rFonts w:cs="Arial"/>
        </w:rPr>
        <w:t>geprägt</w:t>
      </w:r>
      <w:r w:rsidRPr="00812C16">
        <w:rPr>
          <w:rFonts w:cs="Arial"/>
        </w:rPr>
        <w:t xml:space="preserve">. Die </w:t>
      </w:r>
      <w:r w:rsidR="004E62F0" w:rsidRPr="00812C16">
        <w:rPr>
          <w:rFonts w:cs="Arial"/>
        </w:rPr>
        <w:t>TMA-Technik</w:t>
      </w:r>
      <w:r w:rsidR="000F5C14" w:rsidRPr="00812C16">
        <w:rPr>
          <w:rFonts w:cs="Arial"/>
        </w:rPr>
        <w:t xml:space="preserve"> ermöglich</w:t>
      </w:r>
      <w:r w:rsidRPr="00812C16">
        <w:rPr>
          <w:rFonts w:cs="Arial"/>
        </w:rPr>
        <w:t>t</w:t>
      </w:r>
      <w:r w:rsidR="000F5C14" w:rsidRPr="00812C16">
        <w:rPr>
          <w:rFonts w:cs="Arial"/>
        </w:rPr>
        <w:t xml:space="preserve"> es, Gewebsproben verschiedener Patienten bzw. verschiedene Gewebeproben eines Patienten hinsichtlich ihrer immunhistochemisc</w:t>
      </w:r>
      <w:r w:rsidR="00506203" w:rsidRPr="00812C16">
        <w:rPr>
          <w:rFonts w:cs="Arial"/>
        </w:rPr>
        <w:t>h</w:t>
      </w:r>
      <w:r w:rsidR="002B7EC4" w:rsidRPr="00812C16">
        <w:rPr>
          <w:rFonts w:cs="Arial"/>
        </w:rPr>
        <w:t>en</w:t>
      </w:r>
      <w:r w:rsidR="000F5C14" w:rsidRPr="00812C16">
        <w:rPr>
          <w:rFonts w:cs="Arial"/>
        </w:rPr>
        <w:t xml:space="preserve"> Proteinexpression simultan und unter gleichen methodischen Bedingungen standardisiert zu untersuchen.</w:t>
      </w:r>
      <w:r w:rsidR="00DF0259" w:rsidRPr="00812C16">
        <w:rPr>
          <w:rFonts w:cs="Arial"/>
        </w:rPr>
        <w:t xml:space="preserve"> </w:t>
      </w:r>
      <w:r w:rsidR="00C80E2B" w:rsidRPr="00812C16">
        <w:rPr>
          <w:rFonts w:cs="Arial"/>
        </w:rPr>
        <w:t xml:space="preserve">Ein TMA-Block </w:t>
      </w:r>
      <w:r w:rsidR="00F51904" w:rsidRPr="00812C16">
        <w:rPr>
          <w:rFonts w:cs="Arial"/>
        </w:rPr>
        <w:t xml:space="preserve">kann </w:t>
      </w:r>
      <w:r w:rsidR="008B2763" w:rsidRPr="00812C16">
        <w:rPr>
          <w:rFonts w:cs="Arial"/>
        </w:rPr>
        <w:t xml:space="preserve">bis zu </w:t>
      </w:r>
      <w:r w:rsidR="007D22AF" w:rsidRPr="00812C16">
        <w:rPr>
          <w:rFonts w:cs="Arial"/>
        </w:rPr>
        <w:t>150</w:t>
      </w:r>
      <w:r w:rsidR="00093D86" w:rsidRPr="00812C16">
        <w:rPr>
          <w:rFonts w:cs="Arial"/>
        </w:rPr>
        <w:t xml:space="preserve"> - 200 </w:t>
      </w:r>
      <w:r w:rsidR="00C80E2B" w:rsidRPr="00812C16">
        <w:rPr>
          <w:rFonts w:cs="Arial"/>
        </w:rPr>
        <w:t>zylindrisches Probematerial von verschiedene</w:t>
      </w:r>
      <w:r w:rsidR="007F453F" w:rsidRPr="00812C16">
        <w:rPr>
          <w:rFonts w:cs="Arial"/>
        </w:rPr>
        <w:t>n</w:t>
      </w:r>
      <w:r w:rsidR="00C80E2B" w:rsidRPr="00812C16">
        <w:rPr>
          <w:rFonts w:cs="Arial"/>
        </w:rPr>
        <w:t xml:space="preserve"> Patienten</w:t>
      </w:r>
      <w:r w:rsidR="00BD71AD" w:rsidRPr="00812C16">
        <w:rPr>
          <w:rFonts w:cs="Arial"/>
        </w:rPr>
        <w:t xml:space="preserve"> </w:t>
      </w:r>
      <w:r w:rsidR="00C80E2B" w:rsidRPr="00812C16">
        <w:rPr>
          <w:rFonts w:cs="Arial"/>
        </w:rPr>
        <w:t xml:space="preserve">mit einem Durchmesser von jeweils 0,6 </w:t>
      </w:r>
      <w:r w:rsidR="00BD71AD" w:rsidRPr="00812C16">
        <w:rPr>
          <w:rFonts w:cs="Arial"/>
        </w:rPr>
        <w:t xml:space="preserve">– 1,0 </w:t>
      </w:r>
      <w:r w:rsidR="00C80E2B" w:rsidRPr="00812C16">
        <w:rPr>
          <w:rFonts w:cs="Arial"/>
        </w:rPr>
        <w:t>mm</w:t>
      </w:r>
      <w:r w:rsidR="007D22AF" w:rsidRPr="00812C16">
        <w:rPr>
          <w:rFonts w:cs="Arial"/>
        </w:rPr>
        <w:t xml:space="preserve"> enthalten</w:t>
      </w:r>
      <w:r w:rsidR="00C80E2B" w:rsidRPr="00812C16">
        <w:rPr>
          <w:rFonts w:cs="Arial"/>
        </w:rPr>
        <w:t xml:space="preserve">. Die Gewebezylinder werden mit einer Hohlnadel aus einem vorher </w:t>
      </w:r>
      <w:r w:rsidR="00BD71AD" w:rsidRPr="00812C16">
        <w:rPr>
          <w:rFonts w:cs="Arial"/>
        </w:rPr>
        <w:t>ausgewählten</w:t>
      </w:r>
      <w:r w:rsidR="00C80E2B" w:rsidRPr="00812C16">
        <w:rPr>
          <w:rFonts w:cs="Arial"/>
        </w:rPr>
        <w:t xml:space="preserve"> </w:t>
      </w:r>
      <w:r w:rsidR="00BD71AD" w:rsidRPr="00812C16">
        <w:rPr>
          <w:rFonts w:cs="Arial"/>
        </w:rPr>
        <w:t>repräsentativen</w:t>
      </w:r>
      <w:r w:rsidR="00C80E2B" w:rsidRPr="00812C16">
        <w:rPr>
          <w:rFonts w:cs="Arial"/>
        </w:rPr>
        <w:t xml:space="preserve"> Bereich eines </w:t>
      </w:r>
      <w:r w:rsidR="00342950" w:rsidRPr="00812C16">
        <w:rPr>
          <w:rFonts w:cs="Arial"/>
        </w:rPr>
        <w:t>Spender-</w:t>
      </w:r>
      <w:r w:rsidR="00C80E2B" w:rsidRPr="00812C16">
        <w:rPr>
          <w:rFonts w:cs="Arial"/>
        </w:rPr>
        <w:t xml:space="preserve">Paraffinblocks entnommen und danach in vorgefertigte </w:t>
      </w:r>
      <w:r w:rsidR="0086250C" w:rsidRPr="00812C16">
        <w:rPr>
          <w:rFonts w:cs="Arial"/>
        </w:rPr>
        <w:t>Löcher</w:t>
      </w:r>
      <w:r w:rsidR="00C80E2B" w:rsidRPr="00812C16">
        <w:rPr>
          <w:rFonts w:cs="Arial"/>
        </w:rPr>
        <w:t xml:space="preserve"> in einem </w:t>
      </w:r>
      <w:r w:rsidR="0086250C" w:rsidRPr="00812C16">
        <w:rPr>
          <w:rFonts w:cs="Arial"/>
        </w:rPr>
        <w:t>ursprünglich</w:t>
      </w:r>
      <w:r w:rsidR="00C80E2B" w:rsidRPr="00812C16">
        <w:rPr>
          <w:rFonts w:cs="Arial"/>
        </w:rPr>
        <w:t xml:space="preserve"> leeren </w:t>
      </w:r>
      <w:r w:rsidR="00342950" w:rsidRPr="00812C16">
        <w:rPr>
          <w:rFonts w:cs="Arial"/>
        </w:rPr>
        <w:t>E</w:t>
      </w:r>
      <w:r w:rsidR="00CD50A5" w:rsidRPr="00812C16">
        <w:rPr>
          <w:rFonts w:cs="Arial"/>
        </w:rPr>
        <w:t>mpfänger-</w:t>
      </w:r>
      <w:r w:rsidR="00C80E2B" w:rsidRPr="00812C16">
        <w:rPr>
          <w:rFonts w:cs="Arial"/>
        </w:rPr>
        <w:t xml:space="preserve">Paraffinblock eingebracht. </w:t>
      </w:r>
    </w:p>
    <w:p w14:paraId="107F08E6" w14:textId="77777777" w:rsidR="00FB4CED" w:rsidRPr="00812C16" w:rsidRDefault="009F7746" w:rsidP="002A5B74">
      <w:pPr>
        <w:spacing w:before="120" w:after="0"/>
        <w:rPr>
          <w:rFonts w:cs="Arial"/>
          <w:i/>
          <w:iCs/>
        </w:rPr>
      </w:pPr>
      <w:r w:rsidRPr="00812C16">
        <w:rPr>
          <w:rFonts w:cs="Arial"/>
          <w:i/>
          <w:iCs/>
        </w:rPr>
        <w:t>Herstellung der Referenzschnitte (HE-Färbung)</w:t>
      </w:r>
    </w:p>
    <w:p w14:paraId="74850C6F" w14:textId="77777777" w:rsidR="00942EA6" w:rsidRPr="00812C16" w:rsidRDefault="00692E12" w:rsidP="002A5B74">
      <w:pPr>
        <w:rPr>
          <w:rFonts w:cs="Arial"/>
        </w:rPr>
      </w:pPr>
      <w:r w:rsidRPr="00812C16">
        <w:rPr>
          <w:rFonts w:cs="Arial"/>
        </w:rPr>
        <w:t>U</w:t>
      </w:r>
      <w:r w:rsidR="00942EA6" w:rsidRPr="00812C16">
        <w:rPr>
          <w:rFonts w:cs="Arial"/>
        </w:rPr>
        <w:t xml:space="preserve">m das Vorhandensein eines Plattenepithelkarzinoms histologisch zu bestätigen und um repräsentative Tumorregionen im FFPE-Material für die zu untersuchenden </w:t>
      </w:r>
      <w:r w:rsidR="00942EA6" w:rsidRPr="00812C16">
        <w:rPr>
          <w:rFonts w:cs="Arial"/>
        </w:rPr>
        <w:lastRenderedPageBreak/>
        <w:t>Stanzungen zu definieren</w:t>
      </w:r>
      <w:r w:rsidR="001E7095" w:rsidRPr="00812C16">
        <w:rPr>
          <w:rFonts w:cs="Arial"/>
        </w:rPr>
        <w:t xml:space="preserve">, wurden für alle FFPE-Tumorproben des </w:t>
      </w:r>
      <w:r w:rsidR="00B42DE2" w:rsidRPr="00812C16">
        <w:rPr>
          <w:rFonts w:cs="Arial"/>
        </w:rPr>
        <w:t>Kollektivs zunächst</w:t>
      </w:r>
      <w:r w:rsidR="001E7095" w:rsidRPr="00812C16">
        <w:rPr>
          <w:rFonts w:cs="Arial"/>
        </w:rPr>
        <w:t xml:space="preserve"> Objektträger mit Gewebeschnitten in Hämatoxylin- und </w:t>
      </w:r>
      <w:proofErr w:type="spellStart"/>
      <w:r w:rsidR="001E7095" w:rsidRPr="00812C16">
        <w:rPr>
          <w:rFonts w:cs="Arial"/>
        </w:rPr>
        <w:t>Eosinfärbung</w:t>
      </w:r>
      <w:proofErr w:type="spellEnd"/>
      <w:r w:rsidR="001E7095" w:rsidRPr="00812C16">
        <w:rPr>
          <w:rFonts w:cs="Arial"/>
        </w:rPr>
        <w:t xml:space="preserve"> (HE-Färbung) angefertigt</w:t>
      </w:r>
      <w:r w:rsidR="002D4165" w:rsidRPr="00812C16">
        <w:rPr>
          <w:rFonts w:cs="Arial"/>
        </w:rPr>
        <w:t>.</w:t>
      </w:r>
      <w:r w:rsidR="00942EA6" w:rsidRPr="00812C16">
        <w:rPr>
          <w:rFonts w:cs="Arial"/>
        </w:rPr>
        <w:t xml:space="preserve"> Dabei wurden je 3 μm Schnitte der </w:t>
      </w:r>
      <w:r w:rsidR="00A42DDA" w:rsidRPr="00812C16">
        <w:rPr>
          <w:rFonts w:cs="Arial"/>
        </w:rPr>
        <w:t xml:space="preserve">195 </w:t>
      </w:r>
      <w:proofErr w:type="gramStart"/>
      <w:r w:rsidR="00942EA6" w:rsidRPr="00812C16">
        <w:rPr>
          <w:rFonts w:cs="Arial"/>
        </w:rPr>
        <w:t>zu untersuchenden FFPE-Blöcke</w:t>
      </w:r>
      <w:proofErr w:type="gramEnd"/>
      <w:r w:rsidR="00942EA6" w:rsidRPr="00812C16">
        <w:rPr>
          <w:rFonts w:cs="Arial"/>
        </w:rPr>
        <w:t xml:space="preserve"> mit einem Mikrotom angefertigt und auf Glasobjektträger aufgezogen und anschließend 24 Stunden bei Raumtemperatur getrocknet. Danach wurden die Schnitte in einer absteigenden Alkoholreihe </w:t>
      </w:r>
      <w:proofErr w:type="spellStart"/>
      <w:r w:rsidR="00942EA6" w:rsidRPr="00812C16">
        <w:rPr>
          <w:rFonts w:cs="Arial"/>
        </w:rPr>
        <w:t>deparaffiniert</w:t>
      </w:r>
      <w:proofErr w:type="spellEnd"/>
      <w:r w:rsidR="00942EA6" w:rsidRPr="00812C16">
        <w:rPr>
          <w:rFonts w:cs="Arial"/>
        </w:rPr>
        <w:t xml:space="preserve"> (Xylol, Propanol, Ethanol 96%, Ethanol 70%, Aqua </w:t>
      </w:r>
      <w:proofErr w:type="spellStart"/>
      <w:r w:rsidR="00942EA6" w:rsidRPr="00812C16">
        <w:rPr>
          <w:rFonts w:cs="Arial"/>
        </w:rPr>
        <w:t>dest</w:t>
      </w:r>
      <w:proofErr w:type="spellEnd"/>
      <w:r w:rsidR="00942EA6" w:rsidRPr="00812C16">
        <w:rPr>
          <w:rFonts w:cs="Arial"/>
        </w:rPr>
        <w:t>.) und in TRIS-Puffer gewaschen. Nach der Inkubation mit Hämatoxylin und anschließendem Waschen mit Leitungswasser wurden die Schnitte mit Eosin inkubiert. Durch eine aufsteigende Alkoholreihe erfolgte die Entwässerung. Zum Schluss wurden die Schnitte mit Deckgläsern versehen.</w:t>
      </w:r>
      <w:r w:rsidR="00844FC9" w:rsidRPr="00812C16">
        <w:rPr>
          <w:rFonts w:cs="Arial"/>
          <w:b/>
          <w:bCs/>
        </w:rPr>
        <w:t xml:space="preserve"> </w:t>
      </w:r>
      <w:r w:rsidR="00942EA6" w:rsidRPr="00812C16">
        <w:rPr>
          <w:rFonts w:cs="Arial"/>
        </w:rPr>
        <w:t>Diese Referenzschnitte wurden</w:t>
      </w:r>
      <w:r w:rsidR="00E7475C" w:rsidRPr="00812C16">
        <w:rPr>
          <w:rFonts w:cs="Arial"/>
        </w:rPr>
        <w:t xml:space="preserve"> histologisch</w:t>
      </w:r>
      <w:r w:rsidR="00942EA6" w:rsidRPr="00812C16">
        <w:rPr>
          <w:rFonts w:cs="Arial"/>
        </w:rPr>
        <w:t xml:space="preserve"> beurteilt und di</w:t>
      </w:r>
      <w:r w:rsidR="006025C1" w:rsidRPr="00812C16">
        <w:rPr>
          <w:rFonts w:cs="Arial"/>
        </w:rPr>
        <w:t xml:space="preserve">e </w:t>
      </w:r>
      <w:r w:rsidR="001C2AEB" w:rsidRPr="00812C16">
        <w:rPr>
          <w:rFonts w:cs="Arial"/>
        </w:rPr>
        <w:t>repräsentativen</w:t>
      </w:r>
      <w:r w:rsidR="008C46F9" w:rsidRPr="00812C16">
        <w:rPr>
          <w:rFonts w:cs="Arial"/>
        </w:rPr>
        <w:t xml:space="preserve"> </w:t>
      </w:r>
      <w:r w:rsidR="006025C1" w:rsidRPr="00812C16">
        <w:rPr>
          <w:rFonts w:cs="Arial"/>
        </w:rPr>
        <w:t>Tumor</w:t>
      </w:r>
      <w:r w:rsidR="008C46F9" w:rsidRPr="00812C16">
        <w:rPr>
          <w:rFonts w:cs="Arial"/>
        </w:rPr>
        <w:t>regionen</w:t>
      </w:r>
      <w:r w:rsidR="00942EA6" w:rsidRPr="00812C16">
        <w:rPr>
          <w:rFonts w:cs="Arial"/>
        </w:rPr>
        <w:t xml:space="preserve"> markiert (HNSCC, Lymphknoten Gewebe und normales Plattenepithel der Kopf-Hals Bereiches). Anschließend erfolgte die Übertragung der Markierung auf die </w:t>
      </w:r>
      <w:r w:rsidR="00735093" w:rsidRPr="00812C16">
        <w:rPr>
          <w:rFonts w:cs="Arial"/>
        </w:rPr>
        <w:t xml:space="preserve">(Spender-) </w:t>
      </w:r>
      <w:r w:rsidR="00942EA6" w:rsidRPr="00812C16">
        <w:rPr>
          <w:rFonts w:cs="Arial"/>
        </w:rPr>
        <w:t>Paraffinblöcke.</w:t>
      </w:r>
      <w:r w:rsidR="00967476" w:rsidRPr="00812C16">
        <w:rPr>
          <w:rFonts w:cs="Arial"/>
        </w:rPr>
        <w:t xml:space="preserve"> </w:t>
      </w:r>
    </w:p>
    <w:p w14:paraId="2F3AF6F6" w14:textId="77777777" w:rsidR="00EB73CB" w:rsidRPr="00812C16" w:rsidRDefault="005506A3" w:rsidP="002A5B74">
      <w:pPr>
        <w:spacing w:before="120" w:after="0"/>
        <w:rPr>
          <w:rFonts w:cs="Arial"/>
          <w:i/>
          <w:iCs/>
        </w:rPr>
      </w:pPr>
      <w:r w:rsidRPr="00812C16">
        <w:rPr>
          <w:rFonts w:cs="Arial"/>
          <w:i/>
          <w:iCs/>
        </w:rPr>
        <w:t xml:space="preserve">Herstellung der Tissue Microarray </w:t>
      </w:r>
      <w:r w:rsidR="005A4B8B" w:rsidRPr="00812C16">
        <w:rPr>
          <w:rFonts w:cs="Arial"/>
          <w:i/>
          <w:iCs/>
        </w:rPr>
        <w:t>Blöcke</w:t>
      </w:r>
      <w:r w:rsidRPr="00812C16">
        <w:rPr>
          <w:rFonts w:cs="Arial"/>
          <w:i/>
          <w:iCs/>
        </w:rPr>
        <w:t xml:space="preserve"> für die </w:t>
      </w:r>
      <w:proofErr w:type="spellStart"/>
      <w:r w:rsidR="005A4B8B" w:rsidRPr="00812C16">
        <w:rPr>
          <w:rFonts w:cs="Arial"/>
          <w:i/>
          <w:iCs/>
        </w:rPr>
        <w:t>Biomarkeranalyse</w:t>
      </w:r>
      <w:proofErr w:type="spellEnd"/>
    </w:p>
    <w:p w14:paraId="0420FFEE" w14:textId="77777777" w:rsidR="00F9654E" w:rsidRPr="00812C16" w:rsidRDefault="00A70AA1" w:rsidP="004E62F0">
      <w:pPr>
        <w:rPr>
          <w:rFonts w:cs="Arial"/>
        </w:rPr>
      </w:pPr>
      <w:r w:rsidRPr="00812C16">
        <w:rPr>
          <w:rFonts w:cs="Arial"/>
        </w:rPr>
        <w:t xml:space="preserve">Nachdem </w:t>
      </w:r>
      <w:r w:rsidR="00280AB9" w:rsidRPr="00812C16">
        <w:rPr>
          <w:rFonts w:cs="Arial"/>
        </w:rPr>
        <w:t xml:space="preserve">die </w:t>
      </w:r>
      <w:r w:rsidRPr="00812C16">
        <w:rPr>
          <w:rFonts w:cs="Arial"/>
        </w:rPr>
        <w:t xml:space="preserve">mikroskopisch </w:t>
      </w:r>
      <w:r w:rsidR="00B55092" w:rsidRPr="00812C16">
        <w:rPr>
          <w:rFonts w:cs="Arial"/>
        </w:rPr>
        <w:t>repräsentative</w:t>
      </w:r>
      <w:r w:rsidR="00280AB9" w:rsidRPr="00812C16">
        <w:rPr>
          <w:rFonts w:cs="Arial"/>
        </w:rPr>
        <w:t>n</w:t>
      </w:r>
      <w:r w:rsidRPr="00812C16">
        <w:rPr>
          <w:rFonts w:cs="Arial"/>
        </w:rPr>
        <w:t xml:space="preserve"> </w:t>
      </w:r>
      <w:r w:rsidR="00280AB9" w:rsidRPr="00812C16">
        <w:rPr>
          <w:rFonts w:cs="Arial"/>
        </w:rPr>
        <w:t xml:space="preserve">Bereiche </w:t>
      </w:r>
      <w:r w:rsidRPr="00812C16">
        <w:rPr>
          <w:rFonts w:cs="Arial"/>
        </w:rPr>
        <w:t xml:space="preserve">der in Paraffin eingebetteten </w:t>
      </w:r>
      <w:proofErr w:type="spellStart"/>
      <w:r w:rsidRPr="00812C16">
        <w:rPr>
          <w:rFonts w:cs="Arial"/>
        </w:rPr>
        <w:t>Operationsresektate</w:t>
      </w:r>
      <w:proofErr w:type="spellEnd"/>
      <w:r w:rsidRPr="00812C16">
        <w:rPr>
          <w:rFonts w:cs="Arial"/>
        </w:rPr>
        <w:t xml:space="preserve"> </w:t>
      </w:r>
      <w:r w:rsidR="00B55092" w:rsidRPr="00812C16">
        <w:rPr>
          <w:rFonts w:cs="Arial"/>
        </w:rPr>
        <w:t>entsprechend</w:t>
      </w:r>
      <w:r w:rsidR="003C1AB9" w:rsidRPr="00812C16">
        <w:rPr>
          <w:rFonts w:cs="Arial"/>
        </w:rPr>
        <w:t xml:space="preserve"> der HE-</w:t>
      </w:r>
      <w:r w:rsidR="005506A3" w:rsidRPr="00812C16">
        <w:rPr>
          <w:rFonts w:cs="Arial"/>
        </w:rPr>
        <w:t>Referenzpräparate auf dem Spender-Block übertragen</w:t>
      </w:r>
      <w:r w:rsidRPr="00812C16">
        <w:rPr>
          <w:rFonts w:cs="Arial"/>
        </w:rPr>
        <w:t xml:space="preserve"> wurden, erfolgte die Anfertigung von Gewebe-Mikroarrays (</w:t>
      </w:r>
      <w:proofErr w:type="spellStart"/>
      <w:r w:rsidRPr="00812C16">
        <w:rPr>
          <w:rFonts w:cs="Arial"/>
        </w:rPr>
        <w:t>tissue</w:t>
      </w:r>
      <w:proofErr w:type="spellEnd"/>
      <w:r w:rsidRPr="00812C16">
        <w:rPr>
          <w:rFonts w:cs="Arial"/>
        </w:rPr>
        <w:t xml:space="preserve"> </w:t>
      </w:r>
      <w:proofErr w:type="spellStart"/>
      <w:r w:rsidRPr="00812C16">
        <w:rPr>
          <w:rFonts w:cs="Arial"/>
        </w:rPr>
        <w:t>micro</w:t>
      </w:r>
      <w:proofErr w:type="spellEnd"/>
      <w:r w:rsidRPr="00812C16">
        <w:rPr>
          <w:rFonts w:cs="Arial"/>
        </w:rPr>
        <w:t xml:space="preserve"> </w:t>
      </w:r>
      <w:proofErr w:type="spellStart"/>
      <w:r w:rsidRPr="00812C16">
        <w:rPr>
          <w:rFonts w:cs="Arial"/>
        </w:rPr>
        <w:t>arrays</w:t>
      </w:r>
      <w:proofErr w:type="spellEnd"/>
      <w:r w:rsidRPr="00812C16">
        <w:rPr>
          <w:rFonts w:cs="Arial"/>
        </w:rPr>
        <w:t>, TMA). Dazu wurden mit einem semiautomatischen Gewebe-Mikro-</w:t>
      </w:r>
      <w:proofErr w:type="spellStart"/>
      <w:r w:rsidRPr="00812C16">
        <w:rPr>
          <w:rFonts w:cs="Arial"/>
        </w:rPr>
        <w:t>Arrayer</w:t>
      </w:r>
      <w:proofErr w:type="spellEnd"/>
      <w:r w:rsidRPr="00812C16">
        <w:rPr>
          <w:rFonts w:cs="Arial"/>
        </w:rPr>
        <w:t xml:space="preserve"> (</w:t>
      </w:r>
      <w:proofErr w:type="spellStart"/>
      <w:r w:rsidRPr="00812C16">
        <w:rPr>
          <w:rFonts w:cs="Arial"/>
        </w:rPr>
        <w:t>MiniCore</w:t>
      </w:r>
      <w:proofErr w:type="spellEnd"/>
      <w:r w:rsidRPr="00812C16">
        <w:rPr>
          <w:rFonts w:cs="Arial"/>
        </w:rPr>
        <w:t xml:space="preserve">®, </w:t>
      </w:r>
      <w:proofErr w:type="spellStart"/>
      <w:r w:rsidRPr="00812C16">
        <w:rPr>
          <w:rFonts w:cs="Arial"/>
        </w:rPr>
        <w:t>Alphelys</w:t>
      </w:r>
      <w:proofErr w:type="spellEnd"/>
      <w:r w:rsidRPr="00812C16">
        <w:rPr>
          <w:rFonts w:cs="Arial"/>
        </w:rPr>
        <w:t xml:space="preserve">) 1 mm dicke Gewebezylinder </w:t>
      </w:r>
      <w:r w:rsidR="00CD6D66" w:rsidRPr="00812C16">
        <w:rPr>
          <w:rFonts w:cs="Arial"/>
        </w:rPr>
        <w:t>über</w:t>
      </w:r>
      <w:r w:rsidRPr="00812C16">
        <w:rPr>
          <w:rFonts w:cs="Arial"/>
        </w:rPr>
        <w:t xml:space="preserve"> eine Hohlnadel aus vorher </w:t>
      </w:r>
      <w:r w:rsidR="00D21A0E" w:rsidRPr="00812C16">
        <w:rPr>
          <w:rFonts w:cs="Arial"/>
        </w:rPr>
        <w:t>ausgewählten</w:t>
      </w:r>
      <w:r w:rsidRPr="00812C16">
        <w:rPr>
          <w:rFonts w:cs="Arial"/>
        </w:rPr>
        <w:t xml:space="preserve"> </w:t>
      </w:r>
      <w:r w:rsidR="00D21A0E" w:rsidRPr="00812C16">
        <w:rPr>
          <w:rFonts w:cs="Arial"/>
        </w:rPr>
        <w:t>repräsentativen</w:t>
      </w:r>
      <w:r w:rsidRPr="00812C16">
        <w:rPr>
          <w:rFonts w:cs="Arial"/>
        </w:rPr>
        <w:t xml:space="preserve"> Tumorarealen im Spenderblock ausgestanzt. Diese Gewebezylinder wurden in leere </w:t>
      </w:r>
      <w:proofErr w:type="spellStart"/>
      <w:r w:rsidRPr="00812C16">
        <w:rPr>
          <w:rFonts w:cs="Arial"/>
        </w:rPr>
        <w:t>Stanzlöcher</w:t>
      </w:r>
      <w:proofErr w:type="spellEnd"/>
      <w:r w:rsidRPr="00812C16">
        <w:rPr>
          <w:rFonts w:cs="Arial"/>
        </w:rPr>
        <w:t xml:space="preserve"> eines </w:t>
      </w:r>
      <w:proofErr w:type="spellStart"/>
      <w:r w:rsidRPr="00812C16">
        <w:rPr>
          <w:rFonts w:cs="Arial"/>
        </w:rPr>
        <w:t>Empfängerblocks</w:t>
      </w:r>
      <w:proofErr w:type="spellEnd"/>
      <w:r w:rsidRPr="00812C16">
        <w:rPr>
          <w:rFonts w:cs="Arial"/>
        </w:rPr>
        <w:t xml:space="preserve"> </w:t>
      </w:r>
      <w:r w:rsidR="00B45D15" w:rsidRPr="00812C16">
        <w:rPr>
          <w:rFonts w:cs="Arial"/>
        </w:rPr>
        <w:t>überführt</w:t>
      </w:r>
      <w:r w:rsidRPr="00812C16">
        <w:rPr>
          <w:rFonts w:cs="Arial"/>
        </w:rPr>
        <w:t xml:space="preserve">. Idealerweise wurden je Fall drei Stanzzylinder entnommen, um die </w:t>
      </w:r>
      <w:r w:rsidR="00B45D15" w:rsidRPr="00812C16">
        <w:rPr>
          <w:rFonts w:cs="Arial"/>
        </w:rPr>
        <w:t>Heterogenität</w:t>
      </w:r>
      <w:r w:rsidRPr="00812C16">
        <w:rPr>
          <w:rFonts w:cs="Arial"/>
        </w:rPr>
        <w:t xml:space="preserve"> innerhalb des Tumors zu </w:t>
      </w:r>
      <w:r w:rsidR="00B45D15" w:rsidRPr="00812C16">
        <w:rPr>
          <w:rFonts w:cs="Arial"/>
        </w:rPr>
        <w:t>berücksichtigen</w:t>
      </w:r>
      <w:r w:rsidRPr="00812C16">
        <w:rPr>
          <w:rFonts w:cs="Arial"/>
        </w:rPr>
        <w:t xml:space="preserve">. </w:t>
      </w:r>
      <w:r w:rsidR="00C779F0" w:rsidRPr="00812C16">
        <w:rPr>
          <w:rFonts w:cs="Arial"/>
        </w:rPr>
        <w:t xml:space="preserve">Somit </w:t>
      </w:r>
      <w:r w:rsidR="00292274" w:rsidRPr="00812C16">
        <w:rPr>
          <w:rFonts w:cs="Arial"/>
        </w:rPr>
        <w:t>war es möglich pro Trä</w:t>
      </w:r>
      <w:r w:rsidR="00605B21" w:rsidRPr="00812C16">
        <w:rPr>
          <w:rFonts w:cs="Arial"/>
        </w:rPr>
        <w:t>gerblock</w:t>
      </w:r>
      <w:r w:rsidR="00292274" w:rsidRPr="00812C16">
        <w:rPr>
          <w:rFonts w:cs="Arial"/>
        </w:rPr>
        <w:t xml:space="preserve"> bis zu </w:t>
      </w:r>
      <w:r w:rsidR="00B45D15" w:rsidRPr="00812C16">
        <w:rPr>
          <w:rFonts w:cs="Arial"/>
        </w:rPr>
        <w:t>112</w:t>
      </w:r>
      <w:r w:rsidR="00292274" w:rsidRPr="00812C16">
        <w:rPr>
          <w:rFonts w:cs="Arial"/>
        </w:rPr>
        <w:t xml:space="preserve"> Stanzen </w:t>
      </w:r>
      <w:r w:rsidR="00605B21" w:rsidRPr="00812C16">
        <w:rPr>
          <w:rFonts w:cs="Arial"/>
        </w:rPr>
        <w:t>einzubringen.</w:t>
      </w:r>
      <w:r w:rsidR="00E92FF1" w:rsidRPr="00812C16">
        <w:rPr>
          <w:rFonts w:cs="Arial"/>
        </w:rPr>
        <w:t xml:space="preserve"> Durch Erhitzung auf 60°C </w:t>
      </w:r>
      <w:r w:rsidR="00C53A15" w:rsidRPr="00812C16">
        <w:rPr>
          <w:rFonts w:cs="Arial"/>
        </w:rPr>
        <w:t xml:space="preserve">über 5 Minuten </w:t>
      </w:r>
      <w:r w:rsidR="00E92FF1" w:rsidRPr="00812C16">
        <w:rPr>
          <w:rFonts w:cs="Arial"/>
        </w:rPr>
        <w:t xml:space="preserve">konnte ein Verbund des </w:t>
      </w:r>
      <w:proofErr w:type="spellStart"/>
      <w:r w:rsidR="00E92FF1" w:rsidRPr="00812C16">
        <w:rPr>
          <w:rFonts w:cs="Arial"/>
        </w:rPr>
        <w:t>Träger</w:t>
      </w:r>
      <w:proofErr w:type="spellEnd"/>
      <w:r w:rsidR="00E92FF1" w:rsidRPr="00812C16">
        <w:rPr>
          <w:rFonts w:cs="Arial"/>
        </w:rPr>
        <w:t>- und Gewebeparaffins erreicht werden</w:t>
      </w:r>
      <w:r w:rsidR="00A67040" w:rsidRPr="00812C16">
        <w:rPr>
          <w:rFonts w:cs="Arial"/>
        </w:rPr>
        <w:t xml:space="preserve">. </w:t>
      </w:r>
      <w:r w:rsidRPr="00812C16">
        <w:rPr>
          <w:rFonts w:cs="Arial"/>
        </w:rPr>
        <w:t xml:space="preserve">Die Anordnung der Stanzzylinder im </w:t>
      </w:r>
      <w:proofErr w:type="spellStart"/>
      <w:r w:rsidRPr="00812C16">
        <w:rPr>
          <w:rFonts w:cs="Arial"/>
        </w:rPr>
        <w:t>Empfängerblock</w:t>
      </w:r>
      <w:proofErr w:type="spellEnd"/>
      <w:r w:rsidRPr="00812C16">
        <w:rPr>
          <w:rFonts w:cs="Arial"/>
        </w:rPr>
        <w:t xml:space="preserve"> erfolgte </w:t>
      </w:r>
      <w:proofErr w:type="spellStart"/>
      <w:r w:rsidRPr="00812C16">
        <w:rPr>
          <w:rFonts w:cs="Arial"/>
        </w:rPr>
        <w:t>über</w:t>
      </w:r>
      <w:proofErr w:type="spellEnd"/>
      <w:r w:rsidRPr="00812C16">
        <w:rPr>
          <w:rFonts w:cs="Arial"/>
        </w:rPr>
        <w:t xml:space="preserve"> einen zuvor definierten Lageplan, der </w:t>
      </w:r>
      <w:proofErr w:type="spellStart"/>
      <w:r w:rsidRPr="00812C16">
        <w:rPr>
          <w:rFonts w:cs="Arial"/>
        </w:rPr>
        <w:t>für</w:t>
      </w:r>
      <w:proofErr w:type="spellEnd"/>
      <w:r w:rsidRPr="00812C16">
        <w:rPr>
          <w:rFonts w:cs="Arial"/>
        </w:rPr>
        <w:t xml:space="preserve"> die </w:t>
      </w:r>
      <w:r w:rsidR="00B45D15" w:rsidRPr="00812C16">
        <w:rPr>
          <w:rFonts w:cs="Arial"/>
        </w:rPr>
        <w:t>spätere</w:t>
      </w:r>
      <w:r w:rsidRPr="00812C16">
        <w:rPr>
          <w:rFonts w:cs="Arial"/>
        </w:rPr>
        <w:t xml:space="preserve"> Auswertung eine eindeutige Zuordnung zum pseudonymisierten Patienten </w:t>
      </w:r>
      <w:r w:rsidR="00B45D15" w:rsidRPr="00812C16">
        <w:rPr>
          <w:rFonts w:cs="Arial"/>
        </w:rPr>
        <w:t>gewährleistet</w:t>
      </w:r>
      <w:r w:rsidRPr="00812C16">
        <w:rPr>
          <w:rFonts w:cs="Arial"/>
        </w:rPr>
        <w:t xml:space="preserve">. </w:t>
      </w:r>
      <w:r w:rsidR="00B45D15" w:rsidRPr="00812C16">
        <w:rPr>
          <w:rFonts w:cs="Arial"/>
        </w:rPr>
        <w:t xml:space="preserve">In Abbildung sind der Aufbau und das Prinzip der TMA-Technik sowie der Dokumentation beispielhaft dargestellt. </w:t>
      </w:r>
    </w:p>
    <w:p w14:paraId="010708A9" w14:textId="77777777" w:rsidR="007C74C5" w:rsidRPr="00812C16" w:rsidRDefault="00B71E93" w:rsidP="004E62F0">
      <w:pPr>
        <w:rPr>
          <w:rFonts w:cs="Arial"/>
        </w:rPr>
      </w:pPr>
      <w:r w:rsidRPr="00812C16">
        <w:rPr>
          <w:rFonts w:cs="Arial"/>
          <w:noProof/>
        </w:rPr>
        <w:lastRenderedPageBreak/>
        <w:drawing>
          <wp:inline distT="0" distB="0" distL="0" distR="0" wp14:anchorId="642B8FB8" wp14:editId="763582D2">
            <wp:extent cx="5717540" cy="2225675"/>
            <wp:effectExtent l="0" t="0" r="0" b="0"/>
            <wp:docPr id="5"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7540" cy="2225675"/>
                    </a:xfrm>
                    <a:prstGeom prst="rect">
                      <a:avLst/>
                    </a:prstGeom>
                    <a:noFill/>
                    <a:ln>
                      <a:noFill/>
                    </a:ln>
                  </pic:spPr>
                </pic:pic>
              </a:graphicData>
            </a:graphic>
          </wp:inline>
        </w:drawing>
      </w:r>
    </w:p>
    <w:p w14:paraId="05E3DB8B" w14:textId="42BBA8CC" w:rsidR="007C74C5" w:rsidRPr="00812C16" w:rsidRDefault="00B45D15" w:rsidP="00B45D15">
      <w:pPr>
        <w:pStyle w:val="Beschriftung"/>
        <w:rPr>
          <w:rFonts w:cs="Arial"/>
        </w:rPr>
      </w:pPr>
      <w:bookmarkStart w:id="37" w:name="_Toc180788379"/>
      <w:r w:rsidRPr="00812C16">
        <w:rPr>
          <w:rFonts w:cs="Arial"/>
        </w:rPr>
        <w:t xml:space="preserve">Abbildung </w:t>
      </w:r>
      <w:r w:rsidR="00BF08D6" w:rsidRPr="00812C16">
        <w:rPr>
          <w:rFonts w:cs="Arial"/>
        </w:rPr>
        <w:fldChar w:fldCharType="begin"/>
      </w:r>
      <w:r w:rsidR="00BF08D6" w:rsidRPr="00812C16">
        <w:rPr>
          <w:rFonts w:cs="Arial"/>
        </w:rPr>
        <w:instrText xml:space="preserve"> STYLEREF 1 \s </w:instrText>
      </w:r>
      <w:r w:rsidR="00BF08D6" w:rsidRPr="00812C16">
        <w:rPr>
          <w:rFonts w:cs="Arial"/>
        </w:rPr>
        <w:fldChar w:fldCharType="separate"/>
      </w:r>
      <w:r w:rsidR="00F67803">
        <w:rPr>
          <w:rFonts w:cs="Arial"/>
          <w:noProof/>
        </w:rPr>
        <w:t>3</w:t>
      </w:r>
      <w:r w:rsidR="00BF08D6" w:rsidRPr="00812C16">
        <w:rPr>
          <w:rFonts w:cs="Arial"/>
        </w:rPr>
        <w:fldChar w:fldCharType="end"/>
      </w:r>
      <w:r w:rsidR="00BF08D6" w:rsidRPr="00812C16">
        <w:rPr>
          <w:rFonts w:cs="Arial"/>
        </w:rPr>
        <w:noBreakHyphen/>
      </w:r>
      <w:r w:rsidR="00BF08D6" w:rsidRPr="00812C16">
        <w:rPr>
          <w:rFonts w:cs="Arial"/>
        </w:rPr>
        <w:fldChar w:fldCharType="begin"/>
      </w:r>
      <w:r w:rsidR="00BF08D6" w:rsidRPr="00812C16">
        <w:rPr>
          <w:rFonts w:cs="Arial"/>
        </w:rPr>
        <w:instrText xml:space="preserve"> SEQ Abbildung \* ARABIC \s 1 </w:instrText>
      </w:r>
      <w:r w:rsidR="00BF08D6" w:rsidRPr="00812C16">
        <w:rPr>
          <w:rFonts w:cs="Arial"/>
        </w:rPr>
        <w:fldChar w:fldCharType="separate"/>
      </w:r>
      <w:r w:rsidR="00F67803">
        <w:rPr>
          <w:rFonts w:cs="Arial"/>
          <w:noProof/>
        </w:rPr>
        <w:t>1</w:t>
      </w:r>
      <w:r w:rsidR="00BF08D6" w:rsidRPr="00812C16">
        <w:rPr>
          <w:rFonts w:cs="Arial"/>
        </w:rPr>
        <w:fldChar w:fldCharType="end"/>
      </w:r>
      <w:r w:rsidRPr="00812C16">
        <w:rPr>
          <w:rFonts w:cs="Arial"/>
        </w:rPr>
        <w:t>: Aufbau der Tissue Microarray-Technik sowie Prinzip der Ortsdokumentation der einzelnen Tumor-Spots</w:t>
      </w:r>
      <w:bookmarkEnd w:id="37"/>
    </w:p>
    <w:p w14:paraId="116A140E" w14:textId="77777777" w:rsidR="00EE3946" w:rsidRPr="00812C16" w:rsidRDefault="00B71E93" w:rsidP="00EE3946">
      <w:r w:rsidRPr="00812C16">
        <w:rPr>
          <w:noProof/>
        </w:rPr>
        <w:drawing>
          <wp:inline distT="0" distB="0" distL="0" distR="0" wp14:anchorId="7DE8B197" wp14:editId="62F1DF12">
            <wp:extent cx="5871845" cy="146494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12021" r="13159" b="88383"/>
                    <a:stretch>
                      <a:fillRect/>
                    </a:stretch>
                  </pic:blipFill>
                  <pic:spPr bwMode="auto">
                    <a:xfrm>
                      <a:off x="0" y="0"/>
                      <a:ext cx="5871845" cy="1464945"/>
                    </a:xfrm>
                    <a:prstGeom prst="rect">
                      <a:avLst/>
                    </a:prstGeom>
                    <a:noFill/>
                    <a:ln>
                      <a:noFill/>
                    </a:ln>
                  </pic:spPr>
                </pic:pic>
              </a:graphicData>
            </a:graphic>
          </wp:inline>
        </w:drawing>
      </w:r>
    </w:p>
    <w:p w14:paraId="2D9010AC" w14:textId="77777777" w:rsidR="00D878CF" w:rsidRPr="00812C16" w:rsidRDefault="005477B8" w:rsidP="005547D3">
      <w:pPr>
        <w:pStyle w:val="berschrift3"/>
      </w:pPr>
      <w:bookmarkStart w:id="38" w:name="_Toc158006531"/>
      <w:r w:rsidRPr="00812C16">
        <w:t>Immunhistologische Reaktionen</w:t>
      </w:r>
      <w:bookmarkEnd w:id="38"/>
      <w:r w:rsidRPr="00812C16">
        <w:t xml:space="preserve"> </w:t>
      </w:r>
    </w:p>
    <w:p w14:paraId="0ADC57CF" w14:textId="77777777" w:rsidR="002B69CA" w:rsidRPr="00812C16" w:rsidRDefault="002B69CA" w:rsidP="00D76FCC">
      <w:pPr>
        <w:rPr>
          <w:rFonts w:cs="Arial"/>
        </w:rPr>
      </w:pPr>
      <w:r w:rsidRPr="00812C16">
        <w:rPr>
          <w:rFonts w:cs="Arial"/>
        </w:rPr>
        <w:t xml:space="preserve">Die immunhistologische </w:t>
      </w:r>
      <w:proofErr w:type="spellStart"/>
      <w:r w:rsidRPr="00812C16">
        <w:rPr>
          <w:rFonts w:cs="Arial"/>
        </w:rPr>
        <w:t>Färbereaktion</w:t>
      </w:r>
      <w:proofErr w:type="spellEnd"/>
      <w:r w:rsidRPr="00812C16">
        <w:rPr>
          <w:rFonts w:cs="Arial"/>
        </w:rPr>
        <w:t xml:space="preserve"> wurde nach der indirekten </w:t>
      </w:r>
      <w:proofErr w:type="spellStart"/>
      <w:r w:rsidRPr="00812C16">
        <w:rPr>
          <w:rFonts w:cs="Arial"/>
        </w:rPr>
        <w:t>Avidin</w:t>
      </w:r>
      <w:proofErr w:type="spellEnd"/>
      <w:r w:rsidRPr="00812C16">
        <w:rPr>
          <w:rFonts w:cs="Arial"/>
        </w:rPr>
        <w:t xml:space="preserve">-Biotin-Komplex- (ABC)-Methode </w:t>
      </w:r>
      <w:proofErr w:type="spellStart"/>
      <w:r w:rsidRPr="00812C16">
        <w:rPr>
          <w:rFonts w:cs="Arial"/>
        </w:rPr>
        <w:t>durchgeführt</w:t>
      </w:r>
      <w:proofErr w:type="spellEnd"/>
      <w:r w:rsidRPr="00812C16">
        <w:rPr>
          <w:rFonts w:cs="Arial"/>
        </w:rPr>
        <w:t xml:space="preserve">. </w:t>
      </w:r>
    </w:p>
    <w:p w14:paraId="4221442A" w14:textId="77777777" w:rsidR="004E62F0" w:rsidRPr="00812C16" w:rsidRDefault="00305A8F" w:rsidP="00D76FCC">
      <w:pPr>
        <w:rPr>
          <w:rFonts w:cs="Arial"/>
        </w:rPr>
      </w:pPr>
      <w:r w:rsidRPr="00812C16">
        <w:rPr>
          <w:rFonts w:cs="Arial"/>
        </w:rPr>
        <w:t>Für</w:t>
      </w:r>
      <w:r w:rsidR="00D527C8" w:rsidRPr="00812C16">
        <w:rPr>
          <w:rFonts w:cs="Arial"/>
        </w:rPr>
        <w:t xml:space="preserve"> die </w:t>
      </w:r>
      <w:r w:rsidRPr="00812C16">
        <w:rPr>
          <w:rFonts w:cs="Arial"/>
        </w:rPr>
        <w:t>immunhistochemische</w:t>
      </w:r>
      <w:r w:rsidR="00D527C8" w:rsidRPr="00812C16">
        <w:rPr>
          <w:rFonts w:cs="Arial"/>
        </w:rPr>
        <w:t xml:space="preserve"> </w:t>
      </w:r>
      <w:r w:rsidRPr="00812C16">
        <w:rPr>
          <w:rFonts w:cs="Arial"/>
        </w:rPr>
        <w:t>Färbung</w:t>
      </w:r>
      <w:r w:rsidR="00D527C8" w:rsidRPr="00812C16">
        <w:rPr>
          <w:rFonts w:cs="Arial"/>
        </w:rPr>
        <w:t xml:space="preserve"> wurden von jedem TMA-Block jeweils 3 μm dicke Schnitte angefertigt. Diese wurden in Xylol </w:t>
      </w:r>
      <w:proofErr w:type="spellStart"/>
      <w:r w:rsidR="00D527C8" w:rsidRPr="00812C16">
        <w:rPr>
          <w:rFonts w:cs="Arial"/>
        </w:rPr>
        <w:t>entparaffiniert</w:t>
      </w:r>
      <w:proofErr w:type="spellEnd"/>
      <w:r w:rsidR="00D527C8" w:rsidRPr="00812C16">
        <w:rPr>
          <w:rFonts w:cs="Arial"/>
        </w:rPr>
        <w:t xml:space="preserve"> und anschließend in einer absteigenden Alkoholreihe rehydriert. </w:t>
      </w:r>
      <w:proofErr w:type="spellStart"/>
      <w:r w:rsidR="00D527C8" w:rsidRPr="00812C16">
        <w:rPr>
          <w:rFonts w:cs="Arial"/>
        </w:rPr>
        <w:t>Für</w:t>
      </w:r>
      <w:proofErr w:type="spellEnd"/>
      <w:r w:rsidR="00D527C8" w:rsidRPr="00812C16">
        <w:rPr>
          <w:rFonts w:cs="Arial"/>
        </w:rPr>
        <w:t xml:space="preserve"> die anschließende Demaskierung der </w:t>
      </w:r>
      <w:proofErr w:type="spellStart"/>
      <w:r w:rsidR="00D527C8" w:rsidRPr="00812C16">
        <w:rPr>
          <w:rFonts w:cs="Arial"/>
        </w:rPr>
        <w:t>Primärantikörper-Bindungsstellen</w:t>
      </w:r>
      <w:proofErr w:type="spellEnd"/>
      <w:r w:rsidR="00D527C8" w:rsidRPr="00812C16">
        <w:rPr>
          <w:rFonts w:cs="Arial"/>
        </w:rPr>
        <w:t xml:space="preserve"> wurden die </w:t>
      </w:r>
      <w:r w:rsidR="00242CBF" w:rsidRPr="00812C16">
        <w:rPr>
          <w:rFonts w:cs="Arial"/>
        </w:rPr>
        <w:t>Objektträger</w:t>
      </w:r>
      <w:r w:rsidR="00D527C8" w:rsidRPr="00812C16">
        <w:rPr>
          <w:rFonts w:cs="Arial"/>
        </w:rPr>
        <w:t xml:space="preserve"> in </w:t>
      </w:r>
      <w:proofErr w:type="spellStart"/>
      <w:r w:rsidR="00D527C8" w:rsidRPr="00812C16">
        <w:rPr>
          <w:rFonts w:cs="Arial"/>
        </w:rPr>
        <w:t>Zitratpuffer</w:t>
      </w:r>
      <w:proofErr w:type="spellEnd"/>
      <w:r w:rsidR="00F97383" w:rsidRPr="00812C16">
        <w:rPr>
          <w:rFonts w:cs="Arial"/>
        </w:rPr>
        <w:t xml:space="preserve"> (pH 6; </w:t>
      </w:r>
      <w:proofErr w:type="spellStart"/>
      <w:r w:rsidR="00F97383" w:rsidRPr="00812C16">
        <w:rPr>
          <w:rFonts w:cs="Arial"/>
        </w:rPr>
        <w:t>Dako</w:t>
      </w:r>
      <w:proofErr w:type="spellEnd"/>
      <w:r w:rsidR="00F97383" w:rsidRPr="00812C16">
        <w:rPr>
          <w:rFonts w:cs="Arial"/>
        </w:rPr>
        <w:t>)</w:t>
      </w:r>
      <w:r w:rsidR="00D527C8" w:rsidRPr="00812C16">
        <w:rPr>
          <w:rFonts w:cs="Arial"/>
        </w:rPr>
        <w:t xml:space="preserve"> </w:t>
      </w:r>
      <w:proofErr w:type="spellStart"/>
      <w:r w:rsidR="00D527C8" w:rsidRPr="00812C16">
        <w:rPr>
          <w:rFonts w:cs="Arial"/>
        </w:rPr>
        <w:t>für</w:t>
      </w:r>
      <w:proofErr w:type="spellEnd"/>
      <w:r w:rsidR="00D527C8" w:rsidRPr="00812C16">
        <w:rPr>
          <w:rFonts w:cs="Arial"/>
        </w:rPr>
        <w:t xml:space="preserve"> 35 min bei 650W in einer Mikrowelle erhitzt und nach dem </w:t>
      </w:r>
      <w:r w:rsidR="00C0210C" w:rsidRPr="00812C16">
        <w:rPr>
          <w:rFonts w:cs="Arial"/>
        </w:rPr>
        <w:t>Abkühlen</w:t>
      </w:r>
      <w:r w:rsidR="00D527C8" w:rsidRPr="00812C16">
        <w:rPr>
          <w:rFonts w:cs="Arial"/>
        </w:rPr>
        <w:t xml:space="preserve"> mit Waschpuffer </w:t>
      </w:r>
      <w:proofErr w:type="spellStart"/>
      <w:r w:rsidR="00D527C8" w:rsidRPr="00812C16">
        <w:rPr>
          <w:rFonts w:cs="Arial"/>
        </w:rPr>
        <w:t>gespült</w:t>
      </w:r>
      <w:proofErr w:type="spellEnd"/>
      <w:r w:rsidR="00D527C8" w:rsidRPr="00812C16">
        <w:rPr>
          <w:rFonts w:cs="Arial"/>
        </w:rPr>
        <w:t xml:space="preserve">. Anschließend erfolgte die Blockierung der endogenen </w:t>
      </w:r>
      <w:proofErr w:type="spellStart"/>
      <w:r w:rsidR="00D527C8" w:rsidRPr="00812C16">
        <w:rPr>
          <w:rFonts w:cs="Arial"/>
        </w:rPr>
        <w:t>Peroxidaseaktivität</w:t>
      </w:r>
      <w:proofErr w:type="spellEnd"/>
      <w:r w:rsidR="00D527C8" w:rsidRPr="00812C16">
        <w:rPr>
          <w:rFonts w:cs="Arial"/>
        </w:rPr>
        <w:t xml:space="preserve"> (DAKO </w:t>
      </w:r>
      <w:proofErr w:type="spellStart"/>
      <w:r w:rsidR="00D527C8" w:rsidRPr="00812C16">
        <w:rPr>
          <w:rFonts w:cs="Arial"/>
        </w:rPr>
        <w:t>RealTM</w:t>
      </w:r>
      <w:proofErr w:type="spellEnd"/>
      <w:r w:rsidR="00D527C8" w:rsidRPr="00812C16">
        <w:rPr>
          <w:rFonts w:cs="Arial"/>
        </w:rPr>
        <w:t xml:space="preserve"> Peroxidase Blocking Solution; 10 min). Die TMA-Schnitte wurden mit dem monoklonalen </w:t>
      </w:r>
      <w:proofErr w:type="spellStart"/>
      <w:r w:rsidR="00D527C8" w:rsidRPr="00812C16">
        <w:rPr>
          <w:rFonts w:cs="Arial"/>
        </w:rPr>
        <w:t>Primärantikörper</w:t>
      </w:r>
      <w:proofErr w:type="spellEnd"/>
      <w:r w:rsidR="00D527C8" w:rsidRPr="00812C16">
        <w:rPr>
          <w:rFonts w:cs="Arial"/>
        </w:rPr>
        <w:t xml:space="preserve"> </w:t>
      </w:r>
      <w:r w:rsidR="00D527C8" w:rsidRPr="00812C16">
        <w:rPr>
          <w:rFonts w:cs="Arial"/>
          <w:i/>
          <w:iCs/>
        </w:rPr>
        <w:t xml:space="preserve">Maus anti-human CD44-Antikörper </w:t>
      </w:r>
      <w:r w:rsidR="00D527C8" w:rsidRPr="00812C16">
        <w:rPr>
          <w:rFonts w:cs="Arial"/>
        </w:rPr>
        <w:t xml:space="preserve">(Clone DF 1485; </w:t>
      </w:r>
      <w:r w:rsidR="00C0210C" w:rsidRPr="00812C16">
        <w:rPr>
          <w:rFonts w:cs="Arial"/>
        </w:rPr>
        <w:t>Verdünnung</w:t>
      </w:r>
      <w:r w:rsidR="00D527C8" w:rsidRPr="00812C16">
        <w:rPr>
          <w:rFonts w:cs="Arial"/>
        </w:rPr>
        <w:t xml:space="preserve"> 1:100; </w:t>
      </w:r>
      <w:proofErr w:type="spellStart"/>
      <w:r w:rsidR="00D527C8" w:rsidRPr="00812C16">
        <w:rPr>
          <w:rFonts w:cs="Arial"/>
        </w:rPr>
        <w:t>Dako</w:t>
      </w:r>
      <w:proofErr w:type="spellEnd"/>
      <w:r w:rsidR="00D527C8" w:rsidRPr="00812C16">
        <w:rPr>
          <w:rFonts w:cs="Arial"/>
        </w:rPr>
        <w:t xml:space="preserve">) </w:t>
      </w:r>
      <w:proofErr w:type="spellStart"/>
      <w:r w:rsidR="00D527C8" w:rsidRPr="00812C16">
        <w:rPr>
          <w:rFonts w:cs="Arial"/>
        </w:rPr>
        <w:t>für</w:t>
      </w:r>
      <w:proofErr w:type="spellEnd"/>
      <w:r w:rsidR="00D527C8" w:rsidRPr="00812C16">
        <w:rPr>
          <w:rFonts w:cs="Arial"/>
        </w:rPr>
        <w:t xml:space="preserve"> eine Stunde bei Raumtemperatur in einer feuchten Kammer inkubiert. Die Negativkontrolle wurde entsprechend mit IgG1-Kontrollreagenz (Mouse IgG1; </w:t>
      </w:r>
      <w:proofErr w:type="spellStart"/>
      <w:r w:rsidR="00D527C8" w:rsidRPr="00812C16">
        <w:rPr>
          <w:rFonts w:cs="Arial"/>
        </w:rPr>
        <w:t>Dako</w:t>
      </w:r>
      <w:proofErr w:type="spellEnd"/>
      <w:r w:rsidR="00D527C8" w:rsidRPr="00812C16">
        <w:rPr>
          <w:rFonts w:cs="Arial"/>
        </w:rPr>
        <w:t>) inkubiert. Nach Zugabe des Visualisierungs-reagenz (</w:t>
      </w:r>
      <w:proofErr w:type="spellStart"/>
      <w:r w:rsidR="00D527C8" w:rsidRPr="00812C16">
        <w:rPr>
          <w:rFonts w:cs="Arial"/>
        </w:rPr>
        <w:t>Dako</w:t>
      </w:r>
      <w:proofErr w:type="spellEnd"/>
      <w:r w:rsidR="00D527C8" w:rsidRPr="00812C16">
        <w:rPr>
          <w:rFonts w:cs="Arial"/>
        </w:rPr>
        <w:t xml:space="preserve"> REAL </w:t>
      </w:r>
      <w:proofErr w:type="spellStart"/>
      <w:r w:rsidR="00D527C8" w:rsidRPr="00812C16">
        <w:rPr>
          <w:rFonts w:cs="Arial"/>
        </w:rPr>
        <w:t>EnVision</w:t>
      </w:r>
      <w:proofErr w:type="spellEnd"/>
      <w:r w:rsidR="00D527C8" w:rsidRPr="00812C16">
        <w:rPr>
          <w:rFonts w:cs="Arial"/>
        </w:rPr>
        <w:t xml:space="preserve">) und anschließender </w:t>
      </w:r>
      <w:r w:rsidR="00C0210C" w:rsidRPr="00812C16">
        <w:rPr>
          <w:rFonts w:cs="Arial"/>
        </w:rPr>
        <w:t>Spülung</w:t>
      </w:r>
      <w:r w:rsidR="00D527C8" w:rsidRPr="00812C16">
        <w:rPr>
          <w:rFonts w:cs="Arial"/>
        </w:rPr>
        <w:t xml:space="preserve"> der </w:t>
      </w:r>
      <w:r w:rsidR="00C0210C" w:rsidRPr="00812C16">
        <w:rPr>
          <w:rFonts w:cs="Arial"/>
        </w:rPr>
        <w:t>Objektträger</w:t>
      </w:r>
      <w:r w:rsidR="00D527C8" w:rsidRPr="00812C16">
        <w:rPr>
          <w:rFonts w:cs="Arial"/>
        </w:rPr>
        <w:t xml:space="preserve"> mit Waschpuffer ergab sich die Farbreaktion durch Zugabe von </w:t>
      </w:r>
      <w:proofErr w:type="spellStart"/>
      <w:r w:rsidR="00D527C8" w:rsidRPr="00812C16">
        <w:rPr>
          <w:rFonts w:cs="Arial"/>
        </w:rPr>
        <w:t>DAB-</w:t>
      </w:r>
      <w:r w:rsidR="00D527C8" w:rsidRPr="00812C16">
        <w:rPr>
          <w:rFonts w:cs="Arial"/>
        </w:rPr>
        <w:lastRenderedPageBreak/>
        <w:t>Chromogenlösung</w:t>
      </w:r>
      <w:proofErr w:type="spellEnd"/>
      <w:r w:rsidR="00D527C8" w:rsidRPr="00812C16">
        <w:rPr>
          <w:rFonts w:cs="Arial"/>
        </w:rPr>
        <w:t xml:space="preserve"> entsprechend der Antigenverteilung im Gewebe. Die </w:t>
      </w:r>
      <w:proofErr w:type="spellStart"/>
      <w:r w:rsidR="00D527C8" w:rsidRPr="00812C16">
        <w:rPr>
          <w:rFonts w:cs="Arial"/>
        </w:rPr>
        <w:t>Gegenfärbung</w:t>
      </w:r>
      <w:proofErr w:type="spellEnd"/>
      <w:r w:rsidR="00D527C8" w:rsidRPr="00812C16">
        <w:rPr>
          <w:rFonts w:cs="Arial"/>
        </w:rPr>
        <w:t xml:space="preserve"> der Schnitte erfolgte mit </w:t>
      </w:r>
      <w:proofErr w:type="spellStart"/>
      <w:r w:rsidR="00D527C8" w:rsidRPr="00812C16">
        <w:rPr>
          <w:rFonts w:cs="Arial"/>
        </w:rPr>
        <w:t>Hämalaun</w:t>
      </w:r>
      <w:proofErr w:type="spellEnd"/>
      <w:r w:rsidR="00D527C8" w:rsidRPr="00812C16">
        <w:rPr>
          <w:rFonts w:cs="Arial"/>
        </w:rPr>
        <w:t xml:space="preserve"> (nach Mayer). Abschließend wurden die </w:t>
      </w:r>
      <w:r w:rsidR="00C0210C" w:rsidRPr="00812C16">
        <w:rPr>
          <w:rFonts w:cs="Arial"/>
        </w:rPr>
        <w:t>gefärbten</w:t>
      </w:r>
      <w:r w:rsidR="00D527C8" w:rsidRPr="00812C16">
        <w:rPr>
          <w:rFonts w:cs="Arial"/>
        </w:rPr>
        <w:t xml:space="preserve"> Schnitte in aufsteigenden </w:t>
      </w:r>
      <w:proofErr w:type="spellStart"/>
      <w:r w:rsidR="00D527C8" w:rsidRPr="00812C16">
        <w:rPr>
          <w:rFonts w:cs="Arial"/>
        </w:rPr>
        <w:t>Alkohollösungen</w:t>
      </w:r>
      <w:proofErr w:type="spellEnd"/>
      <w:r w:rsidR="00D527C8" w:rsidRPr="00812C16">
        <w:rPr>
          <w:rFonts w:cs="Arial"/>
        </w:rPr>
        <w:t xml:space="preserve"> und Xylol dehydriert und mit </w:t>
      </w:r>
      <w:proofErr w:type="spellStart"/>
      <w:r w:rsidR="00D527C8" w:rsidRPr="00812C16">
        <w:rPr>
          <w:rFonts w:cs="Arial"/>
        </w:rPr>
        <w:t>Eukitt</w:t>
      </w:r>
      <w:proofErr w:type="spellEnd"/>
      <w:r w:rsidR="00D527C8" w:rsidRPr="00812C16">
        <w:rPr>
          <w:rFonts w:cs="Arial"/>
        </w:rPr>
        <w:t xml:space="preserve"> </w:t>
      </w:r>
      <w:proofErr w:type="spellStart"/>
      <w:r w:rsidR="00D527C8" w:rsidRPr="00812C16">
        <w:rPr>
          <w:rFonts w:cs="Arial"/>
        </w:rPr>
        <w:t>eingedeckelt</w:t>
      </w:r>
      <w:proofErr w:type="spellEnd"/>
      <w:r w:rsidR="00D527C8" w:rsidRPr="00812C16">
        <w:rPr>
          <w:rFonts w:cs="Arial"/>
        </w:rPr>
        <w:t xml:space="preserve">. </w:t>
      </w:r>
    </w:p>
    <w:p w14:paraId="1140E04B" w14:textId="77777777" w:rsidR="00D33E46" w:rsidRPr="00812C16" w:rsidRDefault="005477B8" w:rsidP="005547D3">
      <w:pPr>
        <w:pStyle w:val="berschrift3"/>
      </w:pPr>
      <w:bookmarkStart w:id="39" w:name="_Toc158006532"/>
      <w:r w:rsidRPr="00812C16">
        <w:t>Immunhistologische Auswertung</w:t>
      </w:r>
      <w:bookmarkEnd w:id="39"/>
      <w:r w:rsidRPr="00812C16">
        <w:t xml:space="preserve"> </w:t>
      </w:r>
    </w:p>
    <w:p w14:paraId="00E95958" w14:textId="77777777" w:rsidR="00304367" w:rsidRPr="00812C16" w:rsidRDefault="00D527C8" w:rsidP="000943C4">
      <w:pPr>
        <w:rPr>
          <w:rFonts w:cs="Arial"/>
        </w:rPr>
      </w:pPr>
      <w:r w:rsidRPr="00812C16">
        <w:rPr>
          <w:rFonts w:cs="Arial"/>
        </w:rPr>
        <w:t xml:space="preserve">Die lichtmikroskopische Auswertung der immunhistochemisch </w:t>
      </w:r>
      <w:r w:rsidR="00C0210C" w:rsidRPr="00812C16">
        <w:rPr>
          <w:rFonts w:cs="Arial"/>
        </w:rPr>
        <w:t>gefärbten</w:t>
      </w:r>
      <w:r w:rsidRPr="00812C16">
        <w:rPr>
          <w:rFonts w:cs="Arial"/>
        </w:rPr>
        <w:t xml:space="preserve"> TMA-Schnitte erfolgte durch zwei </w:t>
      </w:r>
      <w:r w:rsidR="00C0210C" w:rsidRPr="00812C16">
        <w:rPr>
          <w:rFonts w:cs="Arial"/>
        </w:rPr>
        <w:t>unabhängige</w:t>
      </w:r>
      <w:r w:rsidRPr="00812C16">
        <w:rPr>
          <w:rFonts w:cs="Arial"/>
        </w:rPr>
        <w:t xml:space="preserve"> Untersucher (A.L. und </w:t>
      </w:r>
      <w:proofErr w:type="spellStart"/>
      <w:r w:rsidRPr="00812C16">
        <w:rPr>
          <w:rFonts w:cs="Arial"/>
        </w:rPr>
        <w:t>C.v.N</w:t>
      </w:r>
      <w:proofErr w:type="spellEnd"/>
      <w:r w:rsidRPr="00812C16">
        <w:rPr>
          <w:rFonts w:cs="Arial"/>
        </w:rPr>
        <w:t xml:space="preserve">.; &lt;5% Abweichung zwischen den Ergebnissen beider Untersucher). Die Auswertung erfolgte semiquantitativ </w:t>
      </w:r>
      <w:r w:rsidR="00D300DF" w:rsidRPr="00812C16">
        <w:rPr>
          <w:rFonts w:cs="Arial"/>
        </w:rPr>
        <w:t xml:space="preserve">bei 100-, 200- und 400-facher Vergrößerung am </w:t>
      </w:r>
      <w:proofErr w:type="spellStart"/>
      <w:r w:rsidR="00D300DF" w:rsidRPr="00812C16">
        <w:rPr>
          <w:rFonts w:cs="Arial"/>
        </w:rPr>
        <w:t>Axioskop</w:t>
      </w:r>
      <w:proofErr w:type="spellEnd"/>
      <w:r w:rsidR="00D300DF" w:rsidRPr="00812C16">
        <w:rPr>
          <w:rFonts w:cs="Arial"/>
        </w:rPr>
        <w:t xml:space="preserve"> 50 (Zeiss, Germany) </w:t>
      </w:r>
      <w:r w:rsidRPr="00812C16">
        <w:rPr>
          <w:rFonts w:cs="Arial"/>
        </w:rPr>
        <w:t xml:space="preserve">unter </w:t>
      </w:r>
      <w:r w:rsidR="00C0210C" w:rsidRPr="00812C16">
        <w:rPr>
          <w:rFonts w:cs="Arial"/>
        </w:rPr>
        <w:t>Berücksichtigung</w:t>
      </w:r>
      <w:r w:rsidRPr="00812C16">
        <w:rPr>
          <w:rFonts w:cs="Arial"/>
        </w:rPr>
        <w:t xml:space="preserve"> der </w:t>
      </w:r>
      <w:proofErr w:type="spellStart"/>
      <w:r w:rsidRPr="00812C16">
        <w:rPr>
          <w:rFonts w:cs="Arial"/>
        </w:rPr>
        <w:t>Färbeintensität</w:t>
      </w:r>
      <w:proofErr w:type="spellEnd"/>
      <w:r w:rsidRPr="00812C16">
        <w:rPr>
          <w:rFonts w:cs="Arial"/>
        </w:rPr>
        <w:t xml:space="preserve"> (negativ, +, ++). </w:t>
      </w:r>
      <w:r w:rsidR="00D300DF" w:rsidRPr="00812C16">
        <w:rPr>
          <w:rFonts w:cs="Arial"/>
        </w:rPr>
        <w:t xml:space="preserve">Jede Gewebestanze wurde zunächst separat bewertet. Als nicht auswertbar galten neben nicht vorhandenen Stanzen solche, die nicht oder nur zu einem kleinen Teil (&lt;10%) aus Tumorgewebe bestanden, außerdem jene, welche sich </w:t>
      </w:r>
      <w:r w:rsidR="00991A22" w:rsidRPr="00812C16">
        <w:rPr>
          <w:rFonts w:cs="Arial"/>
        </w:rPr>
        <w:t>inhomogen</w:t>
      </w:r>
      <w:r w:rsidR="00D300DF" w:rsidRPr="00812C16">
        <w:rPr>
          <w:rFonts w:cs="Arial"/>
        </w:rPr>
        <w:t xml:space="preserve"> anfärbten.</w:t>
      </w:r>
      <w:r w:rsidR="008501B9" w:rsidRPr="00812C16">
        <w:rPr>
          <w:rFonts w:cs="Arial"/>
        </w:rPr>
        <w:t xml:space="preserve"> </w:t>
      </w:r>
      <w:r w:rsidRPr="00812C16">
        <w:rPr>
          <w:rFonts w:cs="Arial"/>
        </w:rPr>
        <w:t>Bei mehreren auswertbaren Stanzen</w:t>
      </w:r>
      <w:r w:rsidR="00130BC2" w:rsidRPr="00812C16">
        <w:rPr>
          <w:rFonts w:cs="Arial"/>
        </w:rPr>
        <w:t xml:space="preserve"> pro Patientenprobe</w:t>
      </w:r>
      <w:r w:rsidRPr="00812C16">
        <w:rPr>
          <w:rFonts w:cs="Arial"/>
        </w:rPr>
        <w:t xml:space="preserve"> wurde nur die </w:t>
      </w:r>
      <w:r w:rsidR="00C0210C" w:rsidRPr="00812C16">
        <w:rPr>
          <w:rFonts w:cs="Arial"/>
        </w:rPr>
        <w:t>stärkste</w:t>
      </w:r>
      <w:r w:rsidRPr="00812C16">
        <w:rPr>
          <w:rFonts w:cs="Arial"/>
        </w:rPr>
        <w:t xml:space="preserve"> </w:t>
      </w:r>
      <w:proofErr w:type="spellStart"/>
      <w:r w:rsidRPr="00812C16">
        <w:rPr>
          <w:rFonts w:cs="Arial"/>
        </w:rPr>
        <w:t>Färbeintensität</w:t>
      </w:r>
      <w:proofErr w:type="spellEnd"/>
      <w:r w:rsidRPr="00812C16">
        <w:rPr>
          <w:rFonts w:cs="Arial"/>
        </w:rPr>
        <w:t xml:space="preserve"> </w:t>
      </w:r>
      <w:r w:rsidR="00C0210C" w:rsidRPr="00812C16">
        <w:rPr>
          <w:rFonts w:cs="Arial"/>
        </w:rPr>
        <w:t>berücksichtigt</w:t>
      </w:r>
      <w:r w:rsidRPr="00812C16">
        <w:rPr>
          <w:rFonts w:cs="Arial"/>
        </w:rPr>
        <w:t>. Karzinome mit</w:t>
      </w:r>
      <w:r w:rsidR="003D6B8D" w:rsidRPr="00812C16">
        <w:rPr>
          <w:rFonts w:cs="Arial"/>
        </w:rPr>
        <w:t xml:space="preserve"> mäßiger oder starker</w:t>
      </w:r>
      <w:r w:rsidRPr="00812C16">
        <w:rPr>
          <w:rFonts w:cs="Arial"/>
        </w:rPr>
        <w:t xml:space="preserve"> CD44-Expression (+, ++)</w:t>
      </w:r>
      <w:r w:rsidR="003D6B8D" w:rsidRPr="00812C16">
        <w:rPr>
          <w:rFonts w:cs="Arial"/>
        </w:rPr>
        <w:t xml:space="preserve"> </w:t>
      </w:r>
      <w:r w:rsidR="003A755C" w:rsidRPr="00812C16">
        <w:rPr>
          <w:rFonts w:cs="Arial"/>
        </w:rPr>
        <w:t xml:space="preserve">wurden </w:t>
      </w:r>
      <w:r w:rsidR="003D6B8D" w:rsidRPr="00812C16">
        <w:rPr>
          <w:rFonts w:cs="Arial"/>
        </w:rPr>
        <w:t>als CD44-positiv</w:t>
      </w:r>
      <w:r w:rsidR="00130BC2" w:rsidRPr="00812C16">
        <w:rPr>
          <w:rFonts w:cs="Arial"/>
        </w:rPr>
        <w:t xml:space="preserve"> angesehen</w:t>
      </w:r>
      <w:r w:rsidR="003A755C" w:rsidRPr="00812C16">
        <w:rPr>
          <w:rFonts w:cs="Arial"/>
        </w:rPr>
        <w:t xml:space="preserve"> </w:t>
      </w:r>
      <w:r w:rsidRPr="00812C16">
        <w:rPr>
          <w:rFonts w:cs="Arial"/>
        </w:rPr>
        <w:t xml:space="preserve">und </w:t>
      </w:r>
      <w:r w:rsidR="003D6B8D" w:rsidRPr="00812C16">
        <w:rPr>
          <w:rFonts w:cs="Arial"/>
        </w:rPr>
        <w:t xml:space="preserve">Karzinome mit </w:t>
      </w:r>
      <w:r w:rsidRPr="00812C16">
        <w:rPr>
          <w:rFonts w:cs="Arial"/>
        </w:rPr>
        <w:t xml:space="preserve">nicht nachweisbarer CD44-Expression </w:t>
      </w:r>
      <w:r w:rsidR="003D6B8D" w:rsidRPr="00812C16">
        <w:rPr>
          <w:rFonts w:cs="Arial"/>
        </w:rPr>
        <w:t xml:space="preserve">(0) </w:t>
      </w:r>
      <w:r w:rsidR="00130BC2" w:rsidRPr="00812C16">
        <w:rPr>
          <w:rFonts w:cs="Arial"/>
        </w:rPr>
        <w:t xml:space="preserve">wurden </w:t>
      </w:r>
      <w:r w:rsidR="003D6B8D" w:rsidRPr="00812C16">
        <w:rPr>
          <w:rFonts w:cs="Arial"/>
        </w:rPr>
        <w:t>als CD44-</w:t>
      </w:r>
      <w:r w:rsidRPr="00812C16">
        <w:rPr>
          <w:rFonts w:cs="Arial"/>
        </w:rPr>
        <w:t>negativ</w:t>
      </w:r>
      <w:r w:rsidR="003A755C" w:rsidRPr="00812C16">
        <w:rPr>
          <w:rFonts w:cs="Arial"/>
        </w:rPr>
        <w:t xml:space="preserve"> </w:t>
      </w:r>
      <w:r w:rsidR="003D6B8D" w:rsidRPr="00812C16">
        <w:rPr>
          <w:rFonts w:cs="Arial"/>
        </w:rPr>
        <w:t xml:space="preserve">für die weitere statistische </w:t>
      </w:r>
      <w:r w:rsidR="00130BC2" w:rsidRPr="00812C16">
        <w:rPr>
          <w:rFonts w:cs="Arial"/>
        </w:rPr>
        <w:t>Auswertung berücksichtigt</w:t>
      </w:r>
      <w:r w:rsidR="003D6B8D" w:rsidRPr="00812C16">
        <w:rPr>
          <w:rFonts w:cs="Arial"/>
        </w:rPr>
        <w:t>. Ein Tumor galt insgesamt als nicht bewertbar, wenn weniger als zwei auswertbare Stanzen vorhanden waren. Nicht bewertbare Tumoren gingen nicht in die Statistik mit ein.</w:t>
      </w:r>
      <w:r w:rsidRPr="00812C16">
        <w:rPr>
          <w:rFonts w:cs="Arial"/>
        </w:rPr>
        <w:t xml:space="preserve"> </w:t>
      </w:r>
      <w:r w:rsidR="00F97383" w:rsidRPr="00812C16">
        <w:rPr>
          <w:rFonts w:cs="Arial"/>
        </w:rPr>
        <w:t>Insgesamt w</w:t>
      </w:r>
      <w:r w:rsidR="00F40C4B" w:rsidRPr="00812C16">
        <w:rPr>
          <w:rFonts w:cs="Arial"/>
        </w:rPr>
        <w:t>aren</w:t>
      </w:r>
      <w:r w:rsidR="00F97383" w:rsidRPr="00812C16">
        <w:rPr>
          <w:rFonts w:cs="Arial"/>
        </w:rPr>
        <w:t xml:space="preserve"> </w:t>
      </w:r>
      <w:r w:rsidR="00130BC2" w:rsidRPr="00812C16">
        <w:rPr>
          <w:rFonts w:cs="Arial"/>
        </w:rPr>
        <w:t xml:space="preserve">jedoch </w:t>
      </w:r>
      <w:r w:rsidR="00F97383" w:rsidRPr="00812C16">
        <w:rPr>
          <w:rFonts w:cs="Arial"/>
        </w:rPr>
        <w:t xml:space="preserve">TMA-Kerne von 195 Patienten hinsichtlich der CD44-Proteinexpression </w:t>
      </w:r>
      <w:r w:rsidR="00F40C4B" w:rsidRPr="00812C16">
        <w:rPr>
          <w:rFonts w:cs="Arial"/>
        </w:rPr>
        <w:t>auswertbar</w:t>
      </w:r>
      <w:r w:rsidR="00F97383" w:rsidRPr="00812C16">
        <w:rPr>
          <w:rFonts w:cs="Arial"/>
        </w:rPr>
        <w:t>.</w:t>
      </w:r>
    </w:p>
    <w:p w14:paraId="13152C02" w14:textId="77777777" w:rsidR="00EE3946" w:rsidRPr="00812C16" w:rsidRDefault="00B71E93" w:rsidP="00EE3946">
      <w:pPr>
        <w:keepNext/>
        <w:spacing w:after="0"/>
      </w:pPr>
      <w:r w:rsidRPr="00812C16">
        <w:rPr>
          <w:noProof/>
        </w:rPr>
        <w:drawing>
          <wp:inline distT="0" distB="0" distL="0" distR="0" wp14:anchorId="7407A10F" wp14:editId="63BAAF63">
            <wp:extent cx="5761990" cy="146494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12021" r="13159" b="88383"/>
                    <a:stretch>
                      <a:fillRect/>
                    </a:stretch>
                  </pic:blipFill>
                  <pic:spPr bwMode="auto">
                    <a:xfrm>
                      <a:off x="0" y="0"/>
                      <a:ext cx="5761990" cy="1464945"/>
                    </a:xfrm>
                    <a:prstGeom prst="rect">
                      <a:avLst/>
                    </a:prstGeom>
                    <a:noFill/>
                    <a:ln>
                      <a:noFill/>
                    </a:ln>
                  </pic:spPr>
                </pic:pic>
              </a:graphicData>
            </a:graphic>
          </wp:inline>
        </w:drawing>
      </w:r>
    </w:p>
    <w:p w14:paraId="2E46148E" w14:textId="2EEE7BAF" w:rsidR="007C17BF" w:rsidRPr="00812C16" w:rsidRDefault="00EE3946" w:rsidP="00EE3946">
      <w:pPr>
        <w:pStyle w:val="Beschriftung"/>
        <w:spacing w:after="360" w:line="240" w:lineRule="auto"/>
        <w:rPr>
          <w:rFonts w:cs="Arial"/>
          <w:b/>
          <w:bCs/>
          <w:i w:val="0"/>
          <w:iCs w:val="0"/>
          <w:color w:val="000000" w:themeColor="text1"/>
          <w:sz w:val="20"/>
          <w:szCs w:val="20"/>
        </w:rPr>
      </w:pPr>
      <w:bookmarkStart w:id="40" w:name="_Toc180788380"/>
      <w:r w:rsidRPr="00812C16">
        <w:rPr>
          <w:b/>
          <w:bCs/>
          <w:i w:val="0"/>
          <w:iCs w:val="0"/>
          <w:color w:val="000000" w:themeColor="text1"/>
          <w:sz w:val="20"/>
          <w:szCs w:val="20"/>
        </w:rPr>
        <w:t xml:space="preserve">Abbildung </w:t>
      </w:r>
      <w:r w:rsidR="00BF08D6" w:rsidRPr="00812C16">
        <w:rPr>
          <w:b/>
          <w:bCs/>
          <w:i w:val="0"/>
          <w:iCs w:val="0"/>
          <w:color w:val="000000" w:themeColor="text1"/>
          <w:sz w:val="20"/>
          <w:szCs w:val="20"/>
        </w:rPr>
        <w:fldChar w:fldCharType="begin"/>
      </w:r>
      <w:r w:rsidR="00BF08D6" w:rsidRPr="00812C16">
        <w:rPr>
          <w:b/>
          <w:bCs/>
          <w:i w:val="0"/>
          <w:iCs w:val="0"/>
          <w:color w:val="000000" w:themeColor="text1"/>
          <w:sz w:val="20"/>
          <w:szCs w:val="20"/>
        </w:rPr>
        <w:instrText xml:space="preserve"> STYLEREF 1 \s </w:instrText>
      </w:r>
      <w:r w:rsidR="00BF08D6" w:rsidRPr="00812C16">
        <w:rPr>
          <w:b/>
          <w:bCs/>
          <w:i w:val="0"/>
          <w:iCs w:val="0"/>
          <w:color w:val="000000" w:themeColor="text1"/>
          <w:sz w:val="20"/>
          <w:szCs w:val="20"/>
        </w:rPr>
        <w:fldChar w:fldCharType="separate"/>
      </w:r>
      <w:r w:rsidR="00F67803">
        <w:rPr>
          <w:b/>
          <w:bCs/>
          <w:i w:val="0"/>
          <w:iCs w:val="0"/>
          <w:noProof/>
          <w:color w:val="000000" w:themeColor="text1"/>
          <w:sz w:val="20"/>
          <w:szCs w:val="20"/>
        </w:rPr>
        <w:t>3</w:t>
      </w:r>
      <w:r w:rsidR="00BF08D6" w:rsidRPr="00812C16">
        <w:rPr>
          <w:b/>
          <w:bCs/>
          <w:i w:val="0"/>
          <w:iCs w:val="0"/>
          <w:color w:val="000000" w:themeColor="text1"/>
          <w:sz w:val="20"/>
          <w:szCs w:val="20"/>
        </w:rPr>
        <w:fldChar w:fldCharType="end"/>
      </w:r>
      <w:r w:rsidR="00BF08D6" w:rsidRPr="00812C16">
        <w:rPr>
          <w:b/>
          <w:bCs/>
          <w:i w:val="0"/>
          <w:iCs w:val="0"/>
          <w:color w:val="000000" w:themeColor="text1"/>
          <w:sz w:val="20"/>
          <w:szCs w:val="20"/>
        </w:rPr>
        <w:noBreakHyphen/>
      </w:r>
      <w:r w:rsidR="00BF08D6" w:rsidRPr="00812C16">
        <w:rPr>
          <w:b/>
          <w:bCs/>
          <w:i w:val="0"/>
          <w:iCs w:val="0"/>
          <w:color w:val="000000" w:themeColor="text1"/>
          <w:sz w:val="20"/>
          <w:szCs w:val="20"/>
        </w:rPr>
        <w:fldChar w:fldCharType="begin"/>
      </w:r>
      <w:r w:rsidR="00BF08D6" w:rsidRPr="00812C16">
        <w:rPr>
          <w:b/>
          <w:bCs/>
          <w:i w:val="0"/>
          <w:iCs w:val="0"/>
          <w:color w:val="000000" w:themeColor="text1"/>
          <w:sz w:val="20"/>
          <w:szCs w:val="20"/>
        </w:rPr>
        <w:instrText xml:space="preserve"> SEQ Abbildung \* ARABIC \s 1 </w:instrText>
      </w:r>
      <w:r w:rsidR="00BF08D6" w:rsidRPr="00812C16">
        <w:rPr>
          <w:b/>
          <w:bCs/>
          <w:i w:val="0"/>
          <w:iCs w:val="0"/>
          <w:color w:val="000000" w:themeColor="text1"/>
          <w:sz w:val="20"/>
          <w:szCs w:val="20"/>
        </w:rPr>
        <w:fldChar w:fldCharType="separate"/>
      </w:r>
      <w:r w:rsidR="00F67803">
        <w:rPr>
          <w:b/>
          <w:bCs/>
          <w:i w:val="0"/>
          <w:iCs w:val="0"/>
          <w:noProof/>
          <w:color w:val="000000" w:themeColor="text1"/>
          <w:sz w:val="20"/>
          <w:szCs w:val="20"/>
        </w:rPr>
        <w:t>2</w:t>
      </w:r>
      <w:r w:rsidR="00BF08D6" w:rsidRPr="00812C16">
        <w:rPr>
          <w:b/>
          <w:bCs/>
          <w:i w:val="0"/>
          <w:iCs w:val="0"/>
          <w:color w:val="000000" w:themeColor="text1"/>
          <w:sz w:val="20"/>
          <w:szCs w:val="20"/>
        </w:rPr>
        <w:fldChar w:fldCharType="end"/>
      </w:r>
      <w:r w:rsidRPr="00812C16">
        <w:rPr>
          <w:b/>
          <w:bCs/>
          <w:i w:val="0"/>
          <w:iCs w:val="0"/>
          <w:color w:val="000000" w:themeColor="text1"/>
          <w:sz w:val="20"/>
          <w:szCs w:val="20"/>
        </w:rPr>
        <w:t>: Immunhistochemische Färbung von CD44 mit unterschiedlichen Färbeintensitäten. Alle Färbeintensitäten (+, ++, +++) wurden als positive Färbung angesehen</w:t>
      </w:r>
      <w:bookmarkEnd w:id="40"/>
    </w:p>
    <w:p w14:paraId="518F6A08" w14:textId="77777777" w:rsidR="007C17BF" w:rsidRPr="00812C16" w:rsidRDefault="007C17BF" w:rsidP="007C17BF">
      <w:pPr>
        <w:spacing w:before="100" w:beforeAutospacing="1" w:after="100" w:afterAutospacing="1" w:line="240" w:lineRule="auto"/>
        <w:jc w:val="left"/>
        <w:rPr>
          <w:rFonts w:cs="Arial"/>
          <w:lang w:eastAsia="de-DE"/>
        </w:rPr>
      </w:pPr>
      <w:r w:rsidRPr="00812C16">
        <w:rPr>
          <w:rFonts w:cs="Arial"/>
          <w:lang w:eastAsia="de-DE"/>
        </w:rPr>
        <w:t>Mit Hilfe des Tissue-</w:t>
      </w:r>
      <w:proofErr w:type="gramStart"/>
      <w:r w:rsidRPr="00812C16">
        <w:rPr>
          <w:rFonts w:cs="Arial"/>
          <w:lang w:eastAsia="de-DE"/>
        </w:rPr>
        <w:t>Microarray(</w:t>
      </w:r>
      <w:proofErr w:type="gramEnd"/>
      <w:r w:rsidRPr="00812C16">
        <w:rPr>
          <w:rFonts w:cs="Arial"/>
          <w:lang w:eastAsia="de-DE"/>
        </w:rPr>
        <w:t xml:space="preserve">TMA)-Verfahrens konnte das Karzinomgewebe (n = 169) auf 11 TMA- </w:t>
      </w:r>
      <w:proofErr w:type="spellStart"/>
      <w:r w:rsidRPr="00812C16">
        <w:rPr>
          <w:rFonts w:cs="Arial"/>
          <w:lang w:eastAsia="de-DE"/>
        </w:rPr>
        <w:t>Blöcke</w:t>
      </w:r>
      <w:proofErr w:type="spellEnd"/>
      <w:r w:rsidRPr="00812C16">
        <w:rPr>
          <w:rFonts w:cs="Arial"/>
          <w:lang w:eastAsia="de-DE"/>
        </w:rPr>
        <w:t xml:space="preserve"> </w:t>
      </w:r>
      <w:proofErr w:type="spellStart"/>
      <w:r w:rsidRPr="00812C16">
        <w:rPr>
          <w:rFonts w:cs="Arial"/>
          <w:lang w:eastAsia="de-DE"/>
        </w:rPr>
        <w:t>überführt</w:t>
      </w:r>
      <w:proofErr w:type="spellEnd"/>
      <w:r w:rsidRPr="00812C16">
        <w:rPr>
          <w:rFonts w:cs="Arial"/>
          <w:lang w:eastAsia="de-DE"/>
        </w:rPr>
        <w:t xml:space="preserve"> werden. Davon wurden 10 </w:t>
      </w:r>
      <w:proofErr w:type="spellStart"/>
      <w:r w:rsidRPr="00812C16">
        <w:rPr>
          <w:rFonts w:cs="Arial"/>
          <w:lang w:eastAsia="de-DE"/>
        </w:rPr>
        <w:t>für</w:t>
      </w:r>
      <w:proofErr w:type="spellEnd"/>
      <w:r w:rsidRPr="00812C16">
        <w:rPr>
          <w:rFonts w:cs="Arial"/>
          <w:lang w:eastAsia="de-DE"/>
        </w:rPr>
        <w:t xml:space="preserve"> das Tonsillen-Karzinomgewebe verbraucht. Das Gewebe der Lymphknotenmetastasen wurde auf einen separaten TMA-Block </w:t>
      </w:r>
      <w:proofErr w:type="spellStart"/>
      <w:r w:rsidRPr="00812C16">
        <w:rPr>
          <w:rFonts w:cs="Arial"/>
          <w:lang w:eastAsia="de-DE"/>
        </w:rPr>
        <w:t>überführt</w:t>
      </w:r>
      <w:proofErr w:type="spellEnd"/>
      <w:r w:rsidRPr="00812C16">
        <w:rPr>
          <w:rFonts w:cs="Arial"/>
          <w:lang w:eastAsia="de-DE"/>
        </w:rPr>
        <w:t xml:space="preserve">. Insgesamt lagen 1.401 Gewebestanzen vor. Von insgesamt 169 </w:t>
      </w:r>
      <w:proofErr w:type="spellStart"/>
      <w:r w:rsidRPr="00812C16">
        <w:rPr>
          <w:rFonts w:cs="Arial"/>
          <w:lang w:eastAsia="de-DE"/>
        </w:rPr>
        <w:t>Fällen</w:t>
      </w:r>
      <w:proofErr w:type="spellEnd"/>
      <w:r w:rsidRPr="00812C16">
        <w:rPr>
          <w:rFonts w:cs="Arial"/>
          <w:lang w:eastAsia="de-DE"/>
        </w:rPr>
        <w:t xml:space="preserve"> </w:t>
      </w:r>
      <w:r w:rsidRPr="00812C16">
        <w:rPr>
          <w:rFonts w:cs="Arial"/>
          <w:shd w:val="clear" w:color="auto" w:fill="FFFFFF"/>
          <w:lang w:eastAsia="de-DE"/>
        </w:rPr>
        <w:t>waren 166 (98,2%) auswertbar</w:t>
      </w:r>
      <w:r w:rsidRPr="00812C16">
        <w:rPr>
          <w:rFonts w:cs="Arial"/>
          <w:lang w:eastAsia="de-DE"/>
        </w:rPr>
        <w:t xml:space="preserve">. Bei den verbliebenen 3 </w:t>
      </w:r>
      <w:proofErr w:type="spellStart"/>
      <w:r w:rsidRPr="00812C16">
        <w:rPr>
          <w:rFonts w:cs="Arial"/>
          <w:lang w:eastAsia="de-DE"/>
        </w:rPr>
        <w:t>Fällen</w:t>
      </w:r>
      <w:proofErr w:type="spellEnd"/>
      <w:r w:rsidRPr="00812C16">
        <w:rPr>
          <w:rFonts w:cs="Arial"/>
          <w:lang w:eastAsia="de-DE"/>
        </w:rPr>
        <w:t xml:space="preserve"> (0,8%) ließ sich kein Tumorgewebe im </w:t>
      </w:r>
      <w:proofErr w:type="spellStart"/>
      <w:r w:rsidRPr="00812C16">
        <w:rPr>
          <w:rFonts w:cs="Arial"/>
          <w:lang w:eastAsia="de-DE"/>
        </w:rPr>
        <w:t>Schnittpräparat</w:t>
      </w:r>
      <w:proofErr w:type="spellEnd"/>
      <w:r w:rsidRPr="00812C16">
        <w:rPr>
          <w:rFonts w:cs="Arial"/>
          <w:lang w:eastAsia="de-DE"/>
        </w:rPr>
        <w:t xml:space="preserve"> diagnostizieren. Das </w:t>
      </w:r>
      <w:r w:rsidRPr="00812C16">
        <w:rPr>
          <w:rFonts w:cs="Arial"/>
          <w:lang w:eastAsia="de-DE"/>
        </w:rPr>
        <w:lastRenderedPageBreak/>
        <w:t xml:space="preserve">Gewebe der Lymphknotenmetastasen war in 96% (n = 26) der </w:t>
      </w:r>
      <w:r w:rsidR="00991A22" w:rsidRPr="00812C16">
        <w:rPr>
          <w:rFonts w:cs="Arial"/>
          <w:lang w:eastAsia="de-DE"/>
        </w:rPr>
        <w:t xml:space="preserve">Fälle </w:t>
      </w:r>
      <w:r w:rsidRPr="00812C16">
        <w:rPr>
          <w:rFonts w:cs="Arial"/>
          <w:lang w:eastAsia="de-DE"/>
        </w:rPr>
        <w:t xml:space="preserve">auswertbar. Die geringe Anzahl der </w:t>
      </w:r>
      <w:r w:rsidR="00991A22" w:rsidRPr="00812C16">
        <w:rPr>
          <w:rFonts w:cs="Arial"/>
          <w:lang w:eastAsia="de-DE"/>
        </w:rPr>
        <w:t>Ausfälle</w:t>
      </w:r>
      <w:r w:rsidRPr="00812C16">
        <w:rPr>
          <w:rFonts w:cs="Arial"/>
          <w:lang w:eastAsia="de-DE"/>
        </w:rPr>
        <w:t xml:space="preserve"> kam dadurch zustande, dass jedes Karzinomgewebe pro Fall dreimal gestanzt wurde. </w:t>
      </w:r>
    </w:p>
    <w:p w14:paraId="05E3A052" w14:textId="77777777" w:rsidR="007C17BF" w:rsidRPr="00812C16" w:rsidRDefault="007C17BF" w:rsidP="000943C4">
      <w:pPr>
        <w:rPr>
          <w:rFonts w:cs="Arial"/>
        </w:rPr>
      </w:pPr>
    </w:p>
    <w:p w14:paraId="088A18B3" w14:textId="77777777" w:rsidR="00980CFA" w:rsidRPr="00812C16" w:rsidRDefault="0074123A" w:rsidP="00980CFA">
      <w:pPr>
        <w:pStyle w:val="berschrift2"/>
        <w:rPr>
          <w:rFonts w:cs="Arial"/>
        </w:rPr>
      </w:pPr>
      <w:bookmarkStart w:id="41" w:name="_Toc158006533"/>
      <w:r w:rsidRPr="00812C16">
        <w:rPr>
          <w:rFonts w:cs="Arial"/>
        </w:rPr>
        <w:t xml:space="preserve">Statistische Methoden </w:t>
      </w:r>
      <w:r w:rsidR="00C570CC" w:rsidRPr="00812C16">
        <w:rPr>
          <w:rFonts w:cs="Arial"/>
        </w:rPr>
        <w:t>und</w:t>
      </w:r>
      <w:r w:rsidR="00E025CB" w:rsidRPr="00812C16">
        <w:rPr>
          <w:rFonts w:cs="Arial"/>
        </w:rPr>
        <w:t xml:space="preserve"> klinische Endpunkte</w:t>
      </w:r>
      <w:bookmarkEnd w:id="41"/>
      <w:r w:rsidR="00E025CB" w:rsidRPr="00812C16">
        <w:rPr>
          <w:rFonts w:cs="Arial"/>
        </w:rPr>
        <w:t xml:space="preserve"> </w:t>
      </w:r>
    </w:p>
    <w:p w14:paraId="34E23344" w14:textId="77777777" w:rsidR="003133CE" w:rsidRPr="00812C16" w:rsidRDefault="00373BAC" w:rsidP="00A049BC">
      <w:pPr>
        <w:rPr>
          <w:rFonts w:cs="Arial"/>
        </w:rPr>
      </w:pPr>
      <w:r w:rsidRPr="00812C16">
        <w:rPr>
          <w:rFonts w:cs="Arial"/>
        </w:rPr>
        <w:t>Zunächst</w:t>
      </w:r>
      <w:r w:rsidR="00A049BC" w:rsidRPr="00812C16">
        <w:rPr>
          <w:rFonts w:cs="Arial"/>
        </w:rPr>
        <w:t xml:space="preserve"> wurden alle Daten mit dem Tabellenkalkulationsprogramm Excel erfasst. Nach </w:t>
      </w:r>
      <w:r w:rsidRPr="00812C16">
        <w:rPr>
          <w:rFonts w:cs="Arial"/>
        </w:rPr>
        <w:t>Verschlüsselung</w:t>
      </w:r>
      <w:r w:rsidR="00A049BC" w:rsidRPr="00812C16">
        <w:rPr>
          <w:rFonts w:cs="Arial"/>
        </w:rPr>
        <w:t xml:space="preserve"> der </w:t>
      </w:r>
      <w:proofErr w:type="spellStart"/>
      <w:r w:rsidR="00A049BC" w:rsidRPr="00812C16">
        <w:rPr>
          <w:rFonts w:cs="Arial"/>
        </w:rPr>
        <w:t>Patientenidentitäten</w:t>
      </w:r>
      <w:proofErr w:type="spellEnd"/>
      <w:r w:rsidR="00A049BC" w:rsidRPr="00812C16">
        <w:rPr>
          <w:rFonts w:cs="Arial"/>
        </w:rPr>
        <w:t xml:space="preserve"> wurden diese anonymisiert in das </w:t>
      </w:r>
      <w:r w:rsidR="00F66B81" w:rsidRPr="00812C16">
        <w:rPr>
          <w:rFonts w:cs="Arial"/>
        </w:rPr>
        <w:t>SPSS</w:t>
      </w:r>
      <w:r w:rsidR="00A049BC" w:rsidRPr="00812C16">
        <w:rPr>
          <w:rFonts w:cs="Arial"/>
        </w:rPr>
        <w:t>S</w:t>
      </w:r>
      <w:r w:rsidR="00F66B81" w:rsidRPr="00812C16">
        <w:rPr>
          <w:rFonts w:cs="Arial"/>
        </w:rPr>
        <w:t>-</w:t>
      </w:r>
      <w:r w:rsidR="00DF3A92" w:rsidRPr="00812C16">
        <w:rPr>
          <w:rFonts w:cs="Arial"/>
        </w:rPr>
        <w:t xml:space="preserve">Software-Programm (Statistical Package </w:t>
      </w:r>
      <w:proofErr w:type="spellStart"/>
      <w:r w:rsidR="00DF3A92" w:rsidRPr="00812C16">
        <w:rPr>
          <w:rFonts w:cs="Arial"/>
        </w:rPr>
        <w:t>for</w:t>
      </w:r>
      <w:proofErr w:type="spellEnd"/>
      <w:r w:rsidR="00DF3A92" w:rsidRPr="00812C16">
        <w:rPr>
          <w:rFonts w:cs="Arial"/>
        </w:rPr>
        <w:t xml:space="preserve"> </w:t>
      </w:r>
      <w:proofErr w:type="spellStart"/>
      <w:r w:rsidR="00DF3A92" w:rsidRPr="00812C16">
        <w:rPr>
          <w:rFonts w:cs="Arial"/>
        </w:rPr>
        <w:t>the</w:t>
      </w:r>
      <w:proofErr w:type="spellEnd"/>
      <w:r w:rsidR="00DF3A92" w:rsidRPr="00812C16">
        <w:rPr>
          <w:rFonts w:cs="Arial"/>
        </w:rPr>
        <w:t xml:space="preserve"> </w:t>
      </w:r>
      <w:proofErr w:type="spellStart"/>
      <w:r w:rsidR="00DF3A92" w:rsidRPr="00812C16">
        <w:rPr>
          <w:rFonts w:cs="Arial"/>
        </w:rPr>
        <w:t>Social</w:t>
      </w:r>
      <w:proofErr w:type="spellEnd"/>
      <w:r w:rsidR="00DF3A92" w:rsidRPr="00812C16">
        <w:rPr>
          <w:rFonts w:cs="Arial"/>
        </w:rPr>
        <w:t xml:space="preserve"> Science Version 28.0 für Mac OS)</w:t>
      </w:r>
      <w:r w:rsidR="00A049BC" w:rsidRPr="00812C16">
        <w:rPr>
          <w:rFonts w:cs="Arial"/>
        </w:rPr>
        <w:t xml:space="preserve"> </w:t>
      </w:r>
      <w:r w:rsidRPr="00812C16">
        <w:rPr>
          <w:rFonts w:cs="Arial"/>
        </w:rPr>
        <w:t>übernommen</w:t>
      </w:r>
      <w:r w:rsidR="00A049BC" w:rsidRPr="00812C16">
        <w:rPr>
          <w:rFonts w:cs="Arial"/>
        </w:rPr>
        <w:t xml:space="preserve">, mit dem die statistische Auswertung der gesammelten Daten erfolgte. </w:t>
      </w:r>
    </w:p>
    <w:p w14:paraId="64D57FEF" w14:textId="77777777" w:rsidR="00B96A17" w:rsidRPr="00812C16" w:rsidRDefault="00B96A17" w:rsidP="00AF7ACF">
      <w:pPr>
        <w:spacing w:after="360"/>
        <w:rPr>
          <w:rFonts w:cs="Arial"/>
        </w:rPr>
      </w:pPr>
    </w:p>
    <w:p w14:paraId="6D99D18F" w14:textId="77777777" w:rsidR="007B6D25" w:rsidRPr="00812C16" w:rsidRDefault="00373BAC" w:rsidP="00AF7ACF">
      <w:pPr>
        <w:spacing w:after="360"/>
        <w:rPr>
          <w:rFonts w:cs="Arial"/>
        </w:rPr>
      </w:pPr>
      <w:r w:rsidRPr="00812C16">
        <w:rPr>
          <w:rFonts w:cs="Arial"/>
        </w:rPr>
        <w:t xml:space="preserve">Der Beobachtungszeitraum </w:t>
      </w:r>
      <w:r w:rsidR="003300A6" w:rsidRPr="00812C16">
        <w:rPr>
          <w:rFonts w:cs="Arial"/>
        </w:rPr>
        <w:t xml:space="preserve">wurde </w:t>
      </w:r>
      <w:r w:rsidRPr="00812C16">
        <w:rPr>
          <w:rFonts w:cs="Arial"/>
        </w:rPr>
        <w:t>für alle Er</w:t>
      </w:r>
      <w:r w:rsidR="008501B9" w:rsidRPr="00812C16">
        <w:rPr>
          <w:rFonts w:cs="Arial"/>
        </w:rPr>
        <w:t>e</w:t>
      </w:r>
      <w:r w:rsidRPr="00812C16">
        <w:rPr>
          <w:rFonts w:cs="Arial"/>
        </w:rPr>
        <w:t xml:space="preserve">igniszeitanalysen wurde vom ersten Tag der Strahlentherapie bis zum Datum </w:t>
      </w:r>
      <w:r w:rsidR="008501B9" w:rsidRPr="00812C16">
        <w:rPr>
          <w:rFonts w:cs="Arial"/>
        </w:rPr>
        <w:t>des Ereignisses</w:t>
      </w:r>
      <w:r w:rsidRPr="00812C16">
        <w:rPr>
          <w:rFonts w:cs="Arial"/>
        </w:rPr>
        <w:t xml:space="preserve"> oder der Zensur berechnet</w:t>
      </w:r>
      <w:r w:rsidR="008501B9" w:rsidRPr="00812C16">
        <w:rPr>
          <w:rFonts w:cs="Arial"/>
        </w:rPr>
        <w:t xml:space="preserve">. </w:t>
      </w:r>
      <w:r w:rsidR="003133CE" w:rsidRPr="00812C16">
        <w:rPr>
          <w:rFonts w:cs="Arial"/>
        </w:rPr>
        <w:t xml:space="preserve">Die Mindestnachbeobachtungszeit </w:t>
      </w:r>
      <w:r w:rsidR="00741213" w:rsidRPr="00812C16">
        <w:rPr>
          <w:rFonts w:cs="Arial"/>
        </w:rPr>
        <w:t xml:space="preserve">der einzelnen Patienten </w:t>
      </w:r>
      <w:r w:rsidR="003133CE" w:rsidRPr="00812C16">
        <w:rPr>
          <w:rFonts w:cs="Arial"/>
        </w:rPr>
        <w:t xml:space="preserve">musste </w:t>
      </w:r>
      <w:r w:rsidR="00DF4C3C" w:rsidRPr="00812C16">
        <w:rPr>
          <w:rFonts w:cs="Arial"/>
        </w:rPr>
        <w:t xml:space="preserve">(gemäß der Einschlusskriterien) </w:t>
      </w:r>
      <w:r w:rsidR="003133CE" w:rsidRPr="00812C16">
        <w:rPr>
          <w:rFonts w:cs="Arial"/>
        </w:rPr>
        <w:t xml:space="preserve">24 Monate </w:t>
      </w:r>
      <w:r w:rsidR="00DF4C3C" w:rsidRPr="00812C16">
        <w:rPr>
          <w:rFonts w:cs="Arial"/>
        </w:rPr>
        <w:t>betragen,</w:t>
      </w:r>
      <w:r w:rsidR="003133CE" w:rsidRPr="00812C16">
        <w:rPr>
          <w:rFonts w:cs="Arial"/>
        </w:rPr>
        <w:t xml:space="preserve"> um</w:t>
      </w:r>
      <w:r w:rsidR="00D96322" w:rsidRPr="00812C16">
        <w:rPr>
          <w:rFonts w:cs="Arial"/>
        </w:rPr>
        <w:t xml:space="preserve"> in </w:t>
      </w:r>
      <w:r w:rsidR="003133CE" w:rsidRPr="00812C16">
        <w:rPr>
          <w:rFonts w:cs="Arial"/>
        </w:rPr>
        <w:t xml:space="preserve">der statistischen Datenauswertung </w:t>
      </w:r>
      <w:r w:rsidR="00D96322" w:rsidRPr="00812C16">
        <w:rPr>
          <w:rFonts w:cs="Arial"/>
        </w:rPr>
        <w:t>berücksichtigt zu werden.</w:t>
      </w:r>
      <w:r w:rsidR="004404A1" w:rsidRPr="00812C16">
        <w:rPr>
          <w:rFonts w:cs="Arial"/>
        </w:rPr>
        <w:t xml:space="preserve"> Der primäre Endpunkt war die </w:t>
      </w:r>
      <w:proofErr w:type="spellStart"/>
      <w:r w:rsidR="004404A1" w:rsidRPr="00812C16">
        <w:rPr>
          <w:rFonts w:cs="Arial"/>
        </w:rPr>
        <w:t>lokoregionäre</w:t>
      </w:r>
      <w:proofErr w:type="spellEnd"/>
      <w:r w:rsidR="004404A1" w:rsidRPr="00812C16">
        <w:rPr>
          <w:rFonts w:cs="Arial"/>
        </w:rPr>
        <w:t xml:space="preserve"> Kontrolle (LRC) und sekundäre Endpunkte waren das </w:t>
      </w:r>
      <w:proofErr w:type="spellStart"/>
      <w:r w:rsidR="004404A1" w:rsidRPr="00812C16">
        <w:rPr>
          <w:rFonts w:cs="Arial"/>
        </w:rPr>
        <w:t>metastasenfrei</w:t>
      </w:r>
      <w:proofErr w:type="spellEnd"/>
      <w:r w:rsidR="004404A1" w:rsidRPr="00812C16">
        <w:rPr>
          <w:rFonts w:cs="Arial"/>
        </w:rPr>
        <w:t xml:space="preserve"> Überleben (MFS) und das Gesamtüberleben (GS). </w:t>
      </w:r>
      <w:r w:rsidR="007B6D25" w:rsidRPr="00812C16">
        <w:rPr>
          <w:rFonts w:cs="Arial"/>
        </w:rPr>
        <w:t xml:space="preserve">Die </w:t>
      </w:r>
      <w:proofErr w:type="spellStart"/>
      <w:r w:rsidR="007B6D25" w:rsidRPr="00812C16">
        <w:rPr>
          <w:rFonts w:cs="Arial"/>
        </w:rPr>
        <w:t>verscheidenn</w:t>
      </w:r>
      <w:proofErr w:type="spellEnd"/>
      <w:r w:rsidR="007B6D25" w:rsidRPr="00812C16">
        <w:rPr>
          <w:rFonts w:cs="Arial"/>
        </w:rPr>
        <w:t xml:space="preserve"> klinischen Endpunkte wurden wie folgt definiert: </w:t>
      </w:r>
    </w:p>
    <w:tbl>
      <w:tblPr>
        <w:tblStyle w:val="Tabellenraster"/>
        <w:tblW w:w="9072" w:type="dxa"/>
        <w:tblBorders>
          <w:top w:val="none" w:sz="0" w:space="0" w:color="auto"/>
          <w:left w:val="none" w:sz="0" w:space="0" w:color="auto"/>
          <w:bottom w:val="none" w:sz="0" w:space="0" w:color="auto"/>
          <w:right w:val="none" w:sz="0" w:space="0" w:color="auto"/>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268"/>
        <w:gridCol w:w="6804"/>
      </w:tblGrid>
      <w:tr w:rsidR="00AF7ACF" w:rsidRPr="00812C16" w14:paraId="497F1A35" w14:textId="77777777" w:rsidTr="00AB1440">
        <w:tc>
          <w:tcPr>
            <w:tcW w:w="2268" w:type="dxa"/>
            <w:tcBorders>
              <w:top w:val="single" w:sz="4" w:space="0" w:color="000000" w:themeColor="text1"/>
              <w:bottom w:val="single" w:sz="4" w:space="0" w:color="000000" w:themeColor="text1"/>
              <w:right w:val="nil"/>
            </w:tcBorders>
          </w:tcPr>
          <w:p w14:paraId="41093DB4" w14:textId="77777777" w:rsidR="00027171" w:rsidRPr="00812C16" w:rsidRDefault="00027171" w:rsidP="00AB1440">
            <w:pPr>
              <w:spacing w:before="30" w:after="30"/>
              <w:rPr>
                <w:rFonts w:cs="Arial"/>
                <w:b/>
                <w:bCs/>
                <w:sz w:val="20"/>
                <w:szCs w:val="20"/>
              </w:rPr>
            </w:pPr>
            <w:r w:rsidRPr="00812C16">
              <w:rPr>
                <w:rFonts w:cs="Arial"/>
                <w:b/>
                <w:bCs/>
                <w:sz w:val="20"/>
                <w:szCs w:val="20"/>
              </w:rPr>
              <w:t>Klinischer Endpunkt</w:t>
            </w:r>
          </w:p>
        </w:tc>
        <w:tc>
          <w:tcPr>
            <w:tcW w:w="6804" w:type="dxa"/>
            <w:tcBorders>
              <w:top w:val="single" w:sz="4" w:space="0" w:color="000000" w:themeColor="text1"/>
              <w:left w:val="nil"/>
              <w:bottom w:val="single" w:sz="4" w:space="0" w:color="000000" w:themeColor="text1"/>
            </w:tcBorders>
          </w:tcPr>
          <w:p w14:paraId="1A910BD1" w14:textId="77777777" w:rsidR="00027171" w:rsidRPr="00812C16" w:rsidRDefault="00027171" w:rsidP="00AB1440">
            <w:pPr>
              <w:spacing w:before="30" w:after="30"/>
              <w:rPr>
                <w:rFonts w:cs="Arial"/>
                <w:b/>
                <w:bCs/>
                <w:sz w:val="20"/>
                <w:szCs w:val="20"/>
              </w:rPr>
            </w:pPr>
            <w:r w:rsidRPr="00812C16">
              <w:rPr>
                <w:rFonts w:cs="Arial"/>
                <w:b/>
                <w:bCs/>
                <w:sz w:val="20"/>
                <w:szCs w:val="20"/>
              </w:rPr>
              <w:t>Definition</w:t>
            </w:r>
          </w:p>
        </w:tc>
      </w:tr>
      <w:tr w:rsidR="000F7CB9" w:rsidRPr="00812C16" w14:paraId="35BCF49E" w14:textId="77777777" w:rsidTr="00AB1440">
        <w:tc>
          <w:tcPr>
            <w:tcW w:w="2268" w:type="dxa"/>
            <w:tcBorders>
              <w:top w:val="single" w:sz="4" w:space="0" w:color="000000" w:themeColor="text1"/>
              <w:right w:val="nil"/>
            </w:tcBorders>
          </w:tcPr>
          <w:p w14:paraId="2C1D2F75" w14:textId="77777777" w:rsidR="00027171" w:rsidRPr="00812C16" w:rsidRDefault="00027171" w:rsidP="00AB1440">
            <w:pPr>
              <w:spacing w:before="30" w:after="30" w:line="360" w:lineRule="auto"/>
              <w:rPr>
                <w:rFonts w:cs="Arial"/>
                <w:sz w:val="20"/>
                <w:szCs w:val="20"/>
              </w:rPr>
            </w:pPr>
            <w:proofErr w:type="spellStart"/>
            <w:r w:rsidRPr="00812C16">
              <w:rPr>
                <w:rFonts w:cs="Arial"/>
                <w:sz w:val="20"/>
                <w:szCs w:val="20"/>
              </w:rPr>
              <w:t>Lokoregionäre</w:t>
            </w:r>
            <w:proofErr w:type="spellEnd"/>
            <w:r w:rsidRPr="00812C16">
              <w:rPr>
                <w:rFonts w:cs="Arial"/>
                <w:sz w:val="20"/>
                <w:szCs w:val="20"/>
              </w:rPr>
              <w:t xml:space="preserve"> Tumorkontrolle</w:t>
            </w:r>
          </w:p>
        </w:tc>
        <w:tc>
          <w:tcPr>
            <w:tcW w:w="6804" w:type="dxa"/>
            <w:tcBorders>
              <w:top w:val="single" w:sz="4" w:space="0" w:color="000000" w:themeColor="text1"/>
              <w:left w:val="nil"/>
            </w:tcBorders>
          </w:tcPr>
          <w:p w14:paraId="76B26AED" w14:textId="77777777" w:rsidR="00027171" w:rsidRPr="00812C16" w:rsidRDefault="00AF7ACF" w:rsidP="00AB1440">
            <w:pPr>
              <w:spacing w:before="30" w:after="30" w:line="360" w:lineRule="auto"/>
              <w:rPr>
                <w:rFonts w:cs="Arial"/>
                <w:sz w:val="20"/>
                <w:szCs w:val="20"/>
              </w:rPr>
            </w:pPr>
            <w:r w:rsidRPr="00812C16">
              <w:rPr>
                <w:rFonts w:cs="Arial"/>
                <w:sz w:val="20"/>
                <w:szCs w:val="20"/>
              </w:rPr>
              <w:t>Zeitraum zwischen der Radiochemotherapie und dem Auftreten eines Lokalrezidivs (Ereignis) bzw. das zuletzt erfasste Datum der Nachbeobachtung, an dem das Ereignis nicht eingetreten war</w:t>
            </w:r>
          </w:p>
        </w:tc>
      </w:tr>
      <w:tr w:rsidR="000F7CB9" w:rsidRPr="00812C16" w14:paraId="412DFD24" w14:textId="77777777" w:rsidTr="00AB1440">
        <w:tc>
          <w:tcPr>
            <w:tcW w:w="2268" w:type="dxa"/>
            <w:tcBorders>
              <w:right w:val="nil"/>
            </w:tcBorders>
          </w:tcPr>
          <w:p w14:paraId="2D01283E" w14:textId="77777777" w:rsidR="00027171" w:rsidRPr="00812C16" w:rsidRDefault="00027171" w:rsidP="00AB1440">
            <w:pPr>
              <w:spacing w:before="30" w:after="30" w:line="360" w:lineRule="auto"/>
              <w:rPr>
                <w:rFonts w:cs="Arial"/>
                <w:sz w:val="20"/>
                <w:szCs w:val="20"/>
              </w:rPr>
            </w:pPr>
            <w:proofErr w:type="spellStart"/>
            <w:r w:rsidRPr="00812C16">
              <w:rPr>
                <w:rFonts w:cs="Arial"/>
                <w:sz w:val="20"/>
                <w:szCs w:val="20"/>
              </w:rPr>
              <w:t>Fernmetastasenfreies</w:t>
            </w:r>
            <w:proofErr w:type="spellEnd"/>
            <w:r w:rsidRPr="00812C16">
              <w:rPr>
                <w:rFonts w:cs="Arial"/>
                <w:sz w:val="20"/>
                <w:szCs w:val="20"/>
              </w:rPr>
              <w:t xml:space="preserve"> Überleben</w:t>
            </w:r>
          </w:p>
        </w:tc>
        <w:tc>
          <w:tcPr>
            <w:tcW w:w="6804" w:type="dxa"/>
            <w:tcBorders>
              <w:left w:val="nil"/>
            </w:tcBorders>
          </w:tcPr>
          <w:p w14:paraId="20719A02" w14:textId="77777777" w:rsidR="00027171" w:rsidRPr="00812C16" w:rsidRDefault="00AF7ACF" w:rsidP="00AB1440">
            <w:pPr>
              <w:spacing w:before="30" w:after="30" w:line="360" w:lineRule="auto"/>
              <w:rPr>
                <w:rFonts w:cs="Arial"/>
                <w:sz w:val="20"/>
                <w:szCs w:val="20"/>
              </w:rPr>
            </w:pPr>
            <w:r w:rsidRPr="00812C16">
              <w:rPr>
                <w:rFonts w:cs="Arial"/>
                <w:sz w:val="20"/>
                <w:szCs w:val="20"/>
              </w:rPr>
              <w:t xml:space="preserve">Zeitraum zwischen Abschluss der </w:t>
            </w:r>
            <w:proofErr w:type="spellStart"/>
            <w:r w:rsidRPr="00812C16">
              <w:rPr>
                <w:rFonts w:cs="Arial"/>
                <w:sz w:val="20"/>
                <w:szCs w:val="20"/>
              </w:rPr>
              <w:t>Radiochemotheraphie</w:t>
            </w:r>
            <w:proofErr w:type="spellEnd"/>
            <w:r w:rsidRPr="00812C16">
              <w:rPr>
                <w:rFonts w:cs="Arial"/>
                <w:sz w:val="20"/>
                <w:szCs w:val="20"/>
              </w:rPr>
              <w:t xml:space="preserve"> und dem Auftreten von Fernmetastasen bzw. das zuletzt erfasste Datum der Nachbeobachtung, an dem das Ereignis nicht eingetreten war </w:t>
            </w:r>
          </w:p>
        </w:tc>
      </w:tr>
      <w:tr w:rsidR="000F7CB9" w:rsidRPr="00812C16" w14:paraId="73AD5438" w14:textId="77777777" w:rsidTr="00AB1440">
        <w:tc>
          <w:tcPr>
            <w:tcW w:w="2268" w:type="dxa"/>
            <w:tcBorders>
              <w:bottom w:val="single" w:sz="4" w:space="0" w:color="000000" w:themeColor="text1"/>
              <w:right w:val="nil"/>
            </w:tcBorders>
          </w:tcPr>
          <w:p w14:paraId="1C5533AF" w14:textId="77777777" w:rsidR="00027171" w:rsidRPr="00812C16" w:rsidRDefault="00027171" w:rsidP="00AB1440">
            <w:pPr>
              <w:spacing w:before="30" w:after="30" w:line="360" w:lineRule="auto"/>
              <w:rPr>
                <w:rFonts w:cs="Arial"/>
                <w:sz w:val="20"/>
                <w:szCs w:val="20"/>
              </w:rPr>
            </w:pPr>
            <w:r w:rsidRPr="00812C16">
              <w:rPr>
                <w:rFonts w:cs="Arial"/>
                <w:sz w:val="20"/>
                <w:szCs w:val="20"/>
              </w:rPr>
              <w:t>Gesamtüberleben</w:t>
            </w:r>
          </w:p>
        </w:tc>
        <w:tc>
          <w:tcPr>
            <w:tcW w:w="6804" w:type="dxa"/>
            <w:tcBorders>
              <w:left w:val="nil"/>
              <w:bottom w:val="single" w:sz="4" w:space="0" w:color="000000" w:themeColor="text1"/>
            </w:tcBorders>
          </w:tcPr>
          <w:p w14:paraId="0BAC7FBE" w14:textId="77777777" w:rsidR="00027171" w:rsidRPr="00812C16" w:rsidRDefault="00AF7ACF" w:rsidP="00AB1440">
            <w:pPr>
              <w:spacing w:before="30" w:after="30" w:line="360" w:lineRule="auto"/>
              <w:rPr>
                <w:rFonts w:cs="Arial"/>
                <w:sz w:val="20"/>
                <w:szCs w:val="20"/>
              </w:rPr>
            </w:pPr>
            <w:r w:rsidRPr="00812C16">
              <w:rPr>
                <w:rFonts w:cs="Arial"/>
                <w:sz w:val="20"/>
                <w:szCs w:val="20"/>
              </w:rPr>
              <w:t xml:space="preserve">Zeitraum zwischen Abschluss der Radiochemotherapie und dem </w:t>
            </w:r>
            <w:r w:rsidR="000E7EC3" w:rsidRPr="00812C16">
              <w:rPr>
                <w:rFonts w:cs="Arial"/>
                <w:sz w:val="20"/>
                <w:szCs w:val="20"/>
              </w:rPr>
              <w:t xml:space="preserve">tumorbedingten </w:t>
            </w:r>
            <w:r w:rsidRPr="00812C16">
              <w:rPr>
                <w:rFonts w:cs="Arial"/>
                <w:sz w:val="20"/>
                <w:szCs w:val="20"/>
              </w:rPr>
              <w:t xml:space="preserve">Todeszeitpunkt </w:t>
            </w:r>
            <w:r w:rsidR="000E7EC3" w:rsidRPr="00812C16">
              <w:rPr>
                <w:rFonts w:cs="Arial"/>
                <w:sz w:val="20"/>
                <w:szCs w:val="20"/>
              </w:rPr>
              <w:t>/ Tod jedweder Art </w:t>
            </w:r>
            <w:r w:rsidRPr="00812C16">
              <w:rPr>
                <w:rFonts w:cs="Arial"/>
                <w:sz w:val="20"/>
                <w:szCs w:val="20"/>
              </w:rPr>
              <w:t xml:space="preserve">bzw. der zuletzt erfasste Zeitpunkt, an dem die Patienten am Leben waren </w:t>
            </w:r>
          </w:p>
        </w:tc>
      </w:tr>
    </w:tbl>
    <w:p w14:paraId="5B84CB06" w14:textId="77777777" w:rsidR="008B3C7E" w:rsidRPr="00812C16" w:rsidRDefault="00A049BC" w:rsidP="00AF7ACF">
      <w:pPr>
        <w:spacing w:before="360"/>
        <w:rPr>
          <w:rFonts w:cs="Arial"/>
        </w:rPr>
      </w:pPr>
      <w:r w:rsidRPr="00812C16">
        <w:rPr>
          <w:rFonts w:cs="Arial"/>
        </w:rPr>
        <w:t xml:space="preserve">Der Endpunkt </w:t>
      </w:r>
      <w:proofErr w:type="spellStart"/>
      <w:r w:rsidRPr="00812C16">
        <w:rPr>
          <w:rFonts w:cs="Arial"/>
        </w:rPr>
        <w:t>für</w:t>
      </w:r>
      <w:proofErr w:type="spellEnd"/>
      <w:r w:rsidRPr="00812C16">
        <w:rPr>
          <w:rFonts w:cs="Arial"/>
        </w:rPr>
        <w:t xml:space="preserve"> das </w:t>
      </w:r>
      <w:proofErr w:type="spellStart"/>
      <w:r w:rsidRPr="00812C16">
        <w:rPr>
          <w:rFonts w:cs="Arial"/>
        </w:rPr>
        <w:t>Gesamtüberleben</w:t>
      </w:r>
      <w:proofErr w:type="spellEnd"/>
      <w:r w:rsidRPr="00812C16">
        <w:rPr>
          <w:rFonts w:cs="Arial"/>
        </w:rPr>
        <w:t xml:space="preserve"> (OS) war entweder das </w:t>
      </w:r>
      <w:r w:rsidR="0042790C" w:rsidRPr="00812C16">
        <w:rPr>
          <w:rFonts w:cs="Arial"/>
        </w:rPr>
        <w:t xml:space="preserve">tumorbedingte </w:t>
      </w:r>
      <w:r w:rsidRPr="00812C16">
        <w:rPr>
          <w:rFonts w:cs="Arial"/>
        </w:rPr>
        <w:t xml:space="preserve">Sterbedatum oder der zuletzt erfasste Zeitpunkt, an dem die Patienten am Leben </w:t>
      </w:r>
      <w:r w:rsidRPr="00812C16">
        <w:rPr>
          <w:rFonts w:cs="Arial"/>
        </w:rPr>
        <w:lastRenderedPageBreak/>
        <w:t xml:space="preserve">waren. Die Endpunkte </w:t>
      </w:r>
      <w:proofErr w:type="spellStart"/>
      <w:r w:rsidRPr="00812C16">
        <w:rPr>
          <w:rFonts w:cs="Arial"/>
        </w:rPr>
        <w:t>für</w:t>
      </w:r>
      <w:proofErr w:type="spellEnd"/>
      <w:r w:rsidRPr="00812C16">
        <w:rPr>
          <w:rFonts w:cs="Arial"/>
        </w:rPr>
        <w:t xml:space="preserve"> das </w:t>
      </w:r>
      <w:proofErr w:type="spellStart"/>
      <w:r w:rsidRPr="00812C16">
        <w:rPr>
          <w:rFonts w:cs="Arial"/>
        </w:rPr>
        <w:t>metastasenfreie</w:t>
      </w:r>
      <w:proofErr w:type="spellEnd"/>
      <w:r w:rsidRPr="00812C16">
        <w:rPr>
          <w:rFonts w:cs="Arial"/>
        </w:rPr>
        <w:t xml:space="preserve"> </w:t>
      </w:r>
      <w:r w:rsidR="00741213" w:rsidRPr="00812C16">
        <w:rPr>
          <w:rFonts w:cs="Arial"/>
        </w:rPr>
        <w:t>Überleben</w:t>
      </w:r>
      <w:r w:rsidRPr="00812C16">
        <w:rPr>
          <w:rFonts w:cs="Arial"/>
        </w:rPr>
        <w:t xml:space="preserve"> (MFS) und die </w:t>
      </w:r>
      <w:proofErr w:type="spellStart"/>
      <w:r w:rsidR="00741213" w:rsidRPr="00812C16">
        <w:rPr>
          <w:rFonts w:cs="Arial"/>
        </w:rPr>
        <w:t>lokoregionäre</w:t>
      </w:r>
      <w:proofErr w:type="spellEnd"/>
      <w:r w:rsidRPr="00812C16">
        <w:rPr>
          <w:rFonts w:cs="Arial"/>
        </w:rPr>
        <w:t xml:space="preserve"> Kontrolle (LRC) waren entweder das Diagnosedatum der Metastase bzw. des Rezidivs oder das zuletzt erfasste Datum</w:t>
      </w:r>
      <w:r w:rsidR="00D41320" w:rsidRPr="00812C16">
        <w:rPr>
          <w:rFonts w:cs="Arial"/>
        </w:rPr>
        <w:t xml:space="preserve"> der Nachbeobachtung</w:t>
      </w:r>
      <w:r w:rsidRPr="00812C16">
        <w:rPr>
          <w:rFonts w:cs="Arial"/>
        </w:rPr>
        <w:t xml:space="preserve">, zu dem keines der beiden Ereignisse eingetreten war. Die Diagnosesicherung des Rezidivs erfolgte hierbei pathologisch nach bioptischer Probenentnahme. </w:t>
      </w:r>
    </w:p>
    <w:p w14:paraId="106D8790" w14:textId="77777777" w:rsidR="004F4D11" w:rsidRPr="00812C16" w:rsidRDefault="004F4D11" w:rsidP="00E42184">
      <w:pPr>
        <w:rPr>
          <w:rFonts w:cs="Arial"/>
        </w:rPr>
      </w:pPr>
    </w:p>
    <w:p w14:paraId="54F665BF" w14:textId="77777777" w:rsidR="00E42184" w:rsidRPr="00812C16" w:rsidRDefault="00E42184" w:rsidP="00E42184">
      <w:pPr>
        <w:rPr>
          <w:rFonts w:cs="Arial"/>
        </w:rPr>
      </w:pPr>
      <w:r w:rsidRPr="00812C16">
        <w:rPr>
          <w:rFonts w:cs="Arial"/>
        </w:rPr>
        <w:t>Die Dauer der Ereignis</w:t>
      </w:r>
      <w:r w:rsidR="00121513" w:rsidRPr="00812C16">
        <w:rPr>
          <w:rFonts w:cs="Arial"/>
        </w:rPr>
        <w:t xml:space="preserve">freien Zeit / </w:t>
      </w:r>
      <w:proofErr w:type="spellStart"/>
      <w:proofErr w:type="gramStart"/>
      <w:r w:rsidR="00121513" w:rsidRPr="00812C16">
        <w:rPr>
          <w:rFonts w:cs="Arial"/>
        </w:rPr>
        <w:t>Überelebnseiz</w:t>
      </w:r>
      <w:proofErr w:type="spellEnd"/>
      <w:r w:rsidR="00121513" w:rsidRPr="00812C16">
        <w:rPr>
          <w:rFonts w:cs="Arial"/>
        </w:rPr>
        <w:t xml:space="preserve"> </w:t>
      </w:r>
      <w:r w:rsidRPr="00812C16">
        <w:rPr>
          <w:rFonts w:cs="Arial"/>
        </w:rPr>
        <w:t xml:space="preserve"> (</w:t>
      </w:r>
      <w:proofErr w:type="gramEnd"/>
      <w:r w:rsidRPr="00812C16">
        <w:rPr>
          <w:rFonts w:cs="Arial"/>
        </w:rPr>
        <w:t>Follow Up) wurde für alle o.g. Endpunkte mithilfe de</w:t>
      </w:r>
      <w:r w:rsidR="002979A6" w:rsidRPr="00812C16">
        <w:rPr>
          <w:rFonts w:cs="Arial"/>
        </w:rPr>
        <w:t xml:space="preserve">r </w:t>
      </w:r>
      <w:r w:rsidRPr="00812C16">
        <w:rPr>
          <w:rFonts w:cs="Arial"/>
        </w:rPr>
        <w:t>Kaplan-Meier</w:t>
      </w:r>
      <w:r w:rsidR="002979A6" w:rsidRPr="00812C16">
        <w:rPr>
          <w:rFonts w:cs="Arial"/>
        </w:rPr>
        <w:t>-</w:t>
      </w:r>
      <w:r w:rsidR="008B3C7E" w:rsidRPr="00812C16">
        <w:rPr>
          <w:rFonts w:cs="Arial"/>
        </w:rPr>
        <w:t>Methode</w:t>
      </w:r>
      <w:r w:rsidRPr="00812C16">
        <w:rPr>
          <w:rFonts w:cs="Arial"/>
        </w:rPr>
        <w:t xml:space="preserve"> geschätzt und in entsprechende Überlebenskurven grafisch dargestellt. </w:t>
      </w:r>
      <w:r w:rsidR="00121513" w:rsidRPr="00812C16">
        <w:rPr>
          <w:rFonts w:cs="Arial"/>
        </w:rPr>
        <w:t xml:space="preserve">Für alle Endpunkte wurden die entsprechenden </w:t>
      </w:r>
      <w:proofErr w:type="spellStart"/>
      <w:r w:rsidR="00121513" w:rsidRPr="00812C16">
        <w:rPr>
          <w:rFonts w:cs="Arial"/>
        </w:rPr>
        <w:t>Überlebsraten</w:t>
      </w:r>
      <w:proofErr w:type="spellEnd"/>
      <w:r w:rsidR="00121513" w:rsidRPr="00812C16">
        <w:rPr>
          <w:rFonts w:cs="Arial"/>
        </w:rPr>
        <w:t xml:space="preserve"> und (wenn möglich) mediane </w:t>
      </w:r>
      <w:proofErr w:type="spellStart"/>
      <w:r w:rsidR="00121513" w:rsidRPr="00812C16">
        <w:rPr>
          <w:rFonts w:cs="Arial"/>
        </w:rPr>
        <w:t>Überlebszeit</w:t>
      </w:r>
      <w:proofErr w:type="spellEnd"/>
      <w:r w:rsidR="00121513" w:rsidRPr="00812C16">
        <w:rPr>
          <w:rFonts w:cs="Arial"/>
        </w:rPr>
        <w:t xml:space="preserve"> angegeben. </w:t>
      </w:r>
      <w:r w:rsidRPr="00812C16">
        <w:rPr>
          <w:rFonts w:cs="Arial"/>
        </w:rPr>
        <w:t xml:space="preserve">Die berechneten Zeitwerte </w:t>
      </w:r>
      <w:r w:rsidR="00F606F5" w:rsidRPr="00812C16">
        <w:rPr>
          <w:rFonts w:cs="Arial"/>
        </w:rPr>
        <w:t xml:space="preserve">der Überlebenswahrscheinlichkeit </w:t>
      </w:r>
      <w:r w:rsidRPr="00812C16">
        <w:rPr>
          <w:rFonts w:cs="Arial"/>
        </w:rPr>
        <w:t>wurden</w:t>
      </w:r>
      <w:r w:rsidR="000022F4" w:rsidRPr="00812C16">
        <w:rPr>
          <w:rFonts w:cs="Arial"/>
        </w:rPr>
        <w:t>, wenn möglich</w:t>
      </w:r>
      <w:r w:rsidRPr="00812C16">
        <w:rPr>
          <w:rFonts w:cs="Arial"/>
        </w:rPr>
        <w:t xml:space="preserve"> jeweils als Median gemessen. </w:t>
      </w:r>
    </w:p>
    <w:p w14:paraId="0BAA2057" w14:textId="77777777" w:rsidR="00121513" w:rsidRPr="00812C16" w:rsidRDefault="00121513" w:rsidP="00121513">
      <w:pPr>
        <w:spacing w:after="240" w:line="275" w:lineRule="atLeast"/>
        <w:jc w:val="left"/>
        <w:rPr>
          <w:rFonts w:cs="Arial"/>
          <w:color w:val="334D97"/>
          <w:lang w:eastAsia="de-DE"/>
        </w:rPr>
      </w:pPr>
      <w:r w:rsidRPr="00812C16">
        <w:rPr>
          <w:rFonts w:cs="Arial"/>
          <w:color w:val="334D97"/>
          <w:lang w:eastAsia="de-DE"/>
        </w:rPr>
        <w:t>Bei der Analyse von Überlebenszeitdaten wird das Kaplan-Meier-Verfahren benutzt. Es können Überlebensraten und die mediane Überlebenszeit angegeben werden. Mit Hilfe des Log-rank-Tests kann man die Überlebenszeiten von zwei Gruppen miteinander vergleichen. Für multivariable Modelle verwendet man die Cox-Regression. Das Hazard Ratio als deskriptives Maß für den Unterschied von Überlebenszeiten wird erläutert. </w:t>
      </w:r>
    </w:p>
    <w:p w14:paraId="18A755D1" w14:textId="77777777" w:rsidR="00121513" w:rsidRPr="00812C16" w:rsidRDefault="00121513" w:rsidP="00121513">
      <w:pPr>
        <w:spacing w:after="0" w:line="240" w:lineRule="auto"/>
        <w:jc w:val="left"/>
        <w:rPr>
          <w:rFonts w:cs="Arial"/>
          <w:lang w:eastAsia="de-DE"/>
        </w:rPr>
      </w:pPr>
    </w:p>
    <w:p w14:paraId="6693ECD8" w14:textId="77777777" w:rsidR="004E2700" w:rsidRPr="00812C16" w:rsidRDefault="004E2700" w:rsidP="004E2700">
      <w:pPr>
        <w:rPr>
          <w:rFonts w:cs="Arial"/>
        </w:rPr>
      </w:pPr>
      <w:r w:rsidRPr="00812C16">
        <w:rPr>
          <w:rFonts w:cs="Arial"/>
        </w:rPr>
        <w:t xml:space="preserve">Nachbeobachtungszeit wurde vom Zeitpunkt der primären Tumorresektion berechnet und die </w:t>
      </w:r>
      <w:proofErr w:type="spellStart"/>
      <w:r w:rsidRPr="00812C16">
        <w:rPr>
          <w:rFonts w:cs="Arial"/>
        </w:rPr>
        <w:t>Überlebsnwahrscheinlichkeit</w:t>
      </w:r>
      <w:proofErr w:type="spellEnd"/>
      <w:r w:rsidRPr="00812C16">
        <w:rPr>
          <w:rFonts w:cs="Arial"/>
        </w:rPr>
        <w:t xml:space="preserve"> für alle Endpunkte mit </w:t>
      </w:r>
      <w:proofErr w:type="spellStart"/>
      <w:r w:rsidRPr="00812C16">
        <w:rPr>
          <w:rFonts w:cs="Arial"/>
        </w:rPr>
        <w:t>hilfe</w:t>
      </w:r>
      <w:proofErr w:type="spellEnd"/>
      <w:r w:rsidRPr="00812C16">
        <w:rPr>
          <w:rFonts w:cs="Arial"/>
        </w:rPr>
        <w:t xml:space="preserve"> der Kaplan </w:t>
      </w:r>
      <w:proofErr w:type="spellStart"/>
      <w:r w:rsidRPr="00812C16">
        <w:rPr>
          <w:rFonts w:cs="Arial"/>
        </w:rPr>
        <w:t>maier</w:t>
      </w:r>
      <w:proofErr w:type="spellEnd"/>
      <w:r w:rsidRPr="00812C16">
        <w:rPr>
          <w:rFonts w:cs="Arial"/>
        </w:rPr>
        <w:t xml:space="preserve"> </w:t>
      </w:r>
      <w:proofErr w:type="spellStart"/>
      <w:r w:rsidRPr="00812C16">
        <w:rPr>
          <w:rFonts w:cs="Arial"/>
        </w:rPr>
        <w:t>methode</w:t>
      </w:r>
      <w:proofErr w:type="spellEnd"/>
      <w:r w:rsidRPr="00812C16">
        <w:rPr>
          <w:rFonts w:cs="Arial"/>
        </w:rPr>
        <w:t xml:space="preserve"> geschätzt. </w:t>
      </w:r>
    </w:p>
    <w:p w14:paraId="53F203F8" w14:textId="77777777" w:rsidR="004E2700" w:rsidRPr="00812C16" w:rsidRDefault="004E2700" w:rsidP="004E2700">
      <w:pPr>
        <w:spacing w:after="360"/>
        <w:rPr>
          <w:rFonts w:cs="Arial"/>
        </w:rPr>
      </w:pPr>
      <w:r w:rsidRPr="00812C16">
        <w:rPr>
          <w:rFonts w:cs="Arial"/>
        </w:rPr>
        <w:t xml:space="preserve">Die </w:t>
      </w:r>
      <w:proofErr w:type="spellStart"/>
      <w:r w:rsidRPr="00812C16">
        <w:rPr>
          <w:rFonts w:cs="Arial"/>
        </w:rPr>
        <w:t>Überlebenszeitanalysen</w:t>
      </w:r>
      <w:proofErr w:type="spellEnd"/>
      <w:r w:rsidRPr="00812C16">
        <w:rPr>
          <w:rFonts w:cs="Arial"/>
          <w:b/>
          <w:bCs/>
        </w:rPr>
        <w:t xml:space="preserve"> </w:t>
      </w:r>
      <w:r w:rsidRPr="00812C16">
        <w:rPr>
          <w:rFonts w:cs="Arial"/>
        </w:rPr>
        <w:t xml:space="preserve">wurden mit dem univariaten Verfahren nach Kaplan- Meier durchgeführt und die geschätzten Überlebenszeiten in Kaplan-Meier Ereigniskurven dargestellt </w:t>
      </w:r>
    </w:p>
    <w:p w14:paraId="068F1159" w14:textId="77777777" w:rsidR="004E2700" w:rsidRPr="00812C16" w:rsidRDefault="004E2700" w:rsidP="004E2700">
      <w:pPr>
        <w:spacing w:after="360"/>
        <w:rPr>
          <w:rFonts w:cs="Arial"/>
        </w:rPr>
      </w:pPr>
    </w:p>
    <w:p w14:paraId="3999250D" w14:textId="77777777" w:rsidR="004E2700" w:rsidRPr="00812C16" w:rsidRDefault="004E2700" w:rsidP="004E2700">
      <w:pPr>
        <w:spacing w:after="360"/>
        <w:rPr>
          <w:rFonts w:cs="Arial"/>
        </w:rPr>
      </w:pPr>
      <w:r w:rsidRPr="00812C16">
        <w:rPr>
          <w:rFonts w:cs="Arial"/>
        </w:rPr>
        <w:sym w:font="Wingdings" w:char="003F"/>
      </w:r>
      <w:r w:rsidRPr="00812C16">
        <w:rPr>
          <w:rFonts w:cs="Arial"/>
        </w:rPr>
        <w:t xml:space="preserve"> Kaplan </w:t>
      </w:r>
      <w:proofErr w:type="spellStart"/>
      <w:r w:rsidRPr="00812C16">
        <w:rPr>
          <w:rFonts w:cs="Arial"/>
        </w:rPr>
        <w:t>meier</w:t>
      </w:r>
      <w:proofErr w:type="spellEnd"/>
      <w:r w:rsidRPr="00812C16">
        <w:rPr>
          <w:rFonts w:cs="Arial"/>
        </w:rPr>
        <w:t xml:space="preserve"> kurven </w:t>
      </w:r>
      <w:proofErr w:type="spellStart"/>
      <w:r w:rsidRPr="00812C16">
        <w:rPr>
          <w:rFonts w:cs="Arial"/>
        </w:rPr>
        <w:t>daruas</w:t>
      </w:r>
      <w:proofErr w:type="spellEnd"/>
      <w:r w:rsidRPr="00812C16">
        <w:rPr>
          <w:rFonts w:cs="Arial"/>
        </w:rPr>
        <w:t xml:space="preserve"> </w:t>
      </w:r>
      <w:proofErr w:type="spellStart"/>
      <w:r w:rsidRPr="00812C16">
        <w:rPr>
          <w:rFonts w:cs="Arial"/>
        </w:rPr>
        <w:t>überlebsraten</w:t>
      </w:r>
      <w:proofErr w:type="spellEnd"/>
      <w:r w:rsidRPr="00812C16">
        <w:rPr>
          <w:rFonts w:cs="Arial"/>
        </w:rPr>
        <w:t xml:space="preserve"> und mediane </w:t>
      </w:r>
      <w:proofErr w:type="spellStart"/>
      <w:r w:rsidRPr="00812C16">
        <w:rPr>
          <w:rFonts w:cs="Arial"/>
        </w:rPr>
        <w:t>überlebesnzeit</w:t>
      </w:r>
      <w:proofErr w:type="spellEnd"/>
      <w:r w:rsidRPr="00812C16">
        <w:rPr>
          <w:rFonts w:cs="Arial"/>
        </w:rPr>
        <w:t xml:space="preserve"> wenn weniger </w:t>
      </w:r>
      <w:proofErr w:type="spellStart"/>
      <w:r w:rsidRPr="00812C16">
        <w:rPr>
          <w:rFonts w:cs="Arial"/>
        </w:rPr>
        <w:t>alks</w:t>
      </w:r>
      <w:proofErr w:type="spellEnd"/>
      <w:r w:rsidRPr="00812C16">
        <w:rPr>
          <w:rFonts w:cs="Arial"/>
        </w:rPr>
        <w:t xml:space="preserve"> bei der </w:t>
      </w:r>
      <w:proofErr w:type="spellStart"/>
      <w:r w:rsidRPr="00812C16">
        <w:rPr>
          <w:rFonts w:cs="Arial"/>
        </w:rPr>
        <w:t>hälfte</w:t>
      </w:r>
      <w:proofErr w:type="spellEnd"/>
      <w:r w:rsidRPr="00812C16">
        <w:rPr>
          <w:rFonts w:cs="Arial"/>
        </w:rPr>
        <w:t xml:space="preserve"> ein </w:t>
      </w:r>
      <w:proofErr w:type="spellStart"/>
      <w:r w:rsidRPr="00812C16">
        <w:rPr>
          <w:rFonts w:cs="Arial"/>
        </w:rPr>
        <w:t>ereignis</w:t>
      </w:r>
      <w:proofErr w:type="spellEnd"/>
      <w:r w:rsidRPr="00812C16">
        <w:rPr>
          <w:rFonts w:cs="Arial"/>
        </w:rPr>
        <w:t xml:space="preserve"> eigetreten </w:t>
      </w:r>
      <w:proofErr w:type="spellStart"/>
      <w:r w:rsidRPr="00812C16">
        <w:rPr>
          <w:rFonts w:cs="Arial"/>
        </w:rPr>
        <w:t>wa</w:t>
      </w:r>
      <w:proofErr w:type="spellEnd"/>
    </w:p>
    <w:p w14:paraId="432F3385" w14:textId="77777777" w:rsidR="000022F4" w:rsidRPr="00812C16" w:rsidRDefault="000022F4" w:rsidP="00E42184">
      <w:pPr>
        <w:rPr>
          <w:rFonts w:cs="Arial"/>
        </w:rPr>
      </w:pPr>
    </w:p>
    <w:p w14:paraId="04D86051" w14:textId="77777777" w:rsidR="000022F4" w:rsidRPr="00812C16" w:rsidRDefault="000022F4" w:rsidP="00E42184">
      <w:pPr>
        <w:rPr>
          <w:rFonts w:cs="Arial"/>
        </w:rPr>
      </w:pPr>
      <w:r w:rsidRPr="00812C16">
        <w:rPr>
          <w:rFonts w:cs="Arial"/>
        </w:rPr>
        <w:t xml:space="preserve">Falls der Kaplan-Meier-Schätzer in der gesamten Beobachtungszeit über 50 % liegt, ist die mediane Überlebenszeit nicht zu bestimmen. In diesem Fall ist bis zur </w:t>
      </w:r>
      <w:r w:rsidRPr="00812C16">
        <w:rPr>
          <w:rFonts w:cs="Arial"/>
        </w:rPr>
        <w:lastRenderedPageBreak/>
        <w:t xml:space="preserve">maximalen Beobachtungszeit für weniger als die Hälfte der Patienten ein Ereignis eingetreten. </w:t>
      </w:r>
    </w:p>
    <w:p w14:paraId="7BF3C596" w14:textId="77777777" w:rsidR="000022F4" w:rsidRPr="00812C16" w:rsidRDefault="000022F4" w:rsidP="000022F4">
      <w:pPr>
        <w:rPr>
          <w:rFonts w:cs="Arial"/>
        </w:rPr>
      </w:pPr>
      <w:r w:rsidRPr="00812C16">
        <w:rPr>
          <w:rFonts w:cs="Arial"/>
        </w:rPr>
        <w:t>Die mediane Überlebenszeit bzw. mediane ereignisfreie Zeit kann man nur bestimmen, falls der Kaplan-Meier Schätzer unter 0,5 fällt. Falls im Beobachtungszeitraum bei weniger als 50% der Klienten ein Ereignis eingetreten ist, kann die mediane Überlebenszeit nicht angegeben werden.</w:t>
      </w:r>
    </w:p>
    <w:p w14:paraId="51EFF43E" w14:textId="77777777" w:rsidR="000022F4" w:rsidRPr="00812C16" w:rsidRDefault="000022F4" w:rsidP="000022F4">
      <w:pPr>
        <w:rPr>
          <w:rFonts w:cs="Arial"/>
        </w:rPr>
      </w:pPr>
      <w:r w:rsidRPr="00812C16">
        <w:rPr>
          <w:rFonts w:cs="Arial"/>
        </w:rPr>
        <w:t>Als Alternative zur medianen Überlebenszeit wird irrtümlich manchmal statt der medianen Überlebenszeit die mittlere oder durchschnittliche Überlebenszeit angegeben. Diese Maßzahl ist aber bei Vorliegen von Zensierungen unbrauchbar und nicht mehr zu interpretieren. Vorsicht ist vor allem deshalb geboten, da diese Maßzahl standardmäßig von vielen Programmen berechnet wird.</w:t>
      </w:r>
    </w:p>
    <w:p w14:paraId="7D79C5F6" w14:textId="77777777" w:rsidR="00096370" w:rsidRPr="00812C16" w:rsidRDefault="00E42184" w:rsidP="00E42184">
      <w:pPr>
        <w:rPr>
          <w:rFonts w:cs="Arial"/>
        </w:rPr>
      </w:pPr>
      <w:r w:rsidRPr="00812C16">
        <w:rPr>
          <w:rFonts w:cs="Arial"/>
        </w:rPr>
        <w:t xml:space="preserve">Die Berechnung der statistischen Signifikanz der Unterschiede zwischen den </w:t>
      </w:r>
      <w:proofErr w:type="spellStart"/>
      <w:r w:rsidRPr="00812C16">
        <w:rPr>
          <w:rFonts w:cs="Arial"/>
        </w:rPr>
        <w:t>Überlebenskurven</w:t>
      </w:r>
      <w:proofErr w:type="spellEnd"/>
      <w:r w:rsidRPr="00812C16">
        <w:rPr>
          <w:rFonts w:cs="Arial"/>
        </w:rPr>
        <w:t xml:space="preserve"> zweier Subgruppen erfolgte mit dem </w:t>
      </w:r>
      <w:r w:rsidRPr="00812C16">
        <w:rPr>
          <w:rFonts w:cs="Arial"/>
          <w:b/>
          <w:bCs/>
        </w:rPr>
        <w:t>Log Rank</w:t>
      </w:r>
      <w:r w:rsidRPr="00812C16">
        <w:rPr>
          <w:rFonts w:cs="Arial"/>
        </w:rPr>
        <w:t xml:space="preserve"> Test, bei dem das Signifikanzniveau auf 5% (p&lt;0,05) gesetzt wurde. Ein signifikanter Unterschied wurde </w:t>
      </w:r>
      <w:r w:rsidR="001F780E" w:rsidRPr="00812C16">
        <w:rPr>
          <w:rFonts w:cs="Arial"/>
        </w:rPr>
        <w:t xml:space="preserve">somit </w:t>
      </w:r>
      <w:r w:rsidRPr="00812C16">
        <w:rPr>
          <w:rFonts w:cs="Arial"/>
        </w:rPr>
        <w:t xml:space="preserve">bei einem p-Wert von &lt;0,05 (Kaplan-Meier-Methode) und &lt;0,1 (Cox-Regression) angenommen. </w:t>
      </w:r>
      <w:r w:rsidR="001F780E" w:rsidRPr="00812C16">
        <w:rPr>
          <w:rFonts w:cs="Arial"/>
        </w:rPr>
        <w:t xml:space="preserve">Bei einem p&lt;0,05 (Log Rank) in der Kaplan-Meier-Analyse wurde ggf. eine multivariate Analyse mittels Cox-Regression </w:t>
      </w:r>
      <w:proofErr w:type="spellStart"/>
      <w:r w:rsidR="001F780E" w:rsidRPr="00812C16">
        <w:rPr>
          <w:rFonts w:cs="Arial"/>
        </w:rPr>
        <w:t>durchgeführt</w:t>
      </w:r>
      <w:proofErr w:type="spellEnd"/>
      <w:r w:rsidR="001F780E" w:rsidRPr="00812C16">
        <w:rPr>
          <w:rFonts w:cs="Arial"/>
        </w:rPr>
        <w:t>, um die Signifikanz zu validieren.</w:t>
      </w:r>
      <w:r w:rsidR="008B3C7E" w:rsidRPr="00812C16">
        <w:rPr>
          <w:rFonts w:cs="Arial"/>
        </w:rPr>
        <w:t xml:space="preserve"> </w:t>
      </w:r>
    </w:p>
    <w:p w14:paraId="43AC6D98" w14:textId="77777777" w:rsidR="00096370" w:rsidRPr="00812C16" w:rsidRDefault="00E42184" w:rsidP="00E42184">
      <w:pPr>
        <w:rPr>
          <w:rFonts w:cs="Arial"/>
        </w:rPr>
      </w:pPr>
      <w:r w:rsidRPr="00812C16">
        <w:rPr>
          <w:rFonts w:cs="Arial"/>
        </w:rPr>
        <w:t>Der Einfluss potenzieller prognostischer Variablen auf die Endpunkte wurde mit dem</w:t>
      </w:r>
      <w:r w:rsidR="00C90298" w:rsidRPr="00812C16">
        <w:rPr>
          <w:rFonts w:cs="Arial"/>
        </w:rPr>
        <w:t xml:space="preserve"> </w:t>
      </w:r>
      <w:proofErr w:type="spellStart"/>
      <w:r w:rsidR="00C90298" w:rsidRPr="00812C16">
        <w:rPr>
          <w:rFonts w:cs="Arial"/>
        </w:rPr>
        <w:t>univunivariaten</w:t>
      </w:r>
      <w:proofErr w:type="spellEnd"/>
      <w:r w:rsidRPr="00812C16">
        <w:rPr>
          <w:rFonts w:cs="Arial"/>
        </w:rPr>
        <w:t xml:space="preserve"> </w:t>
      </w:r>
      <w:r w:rsidRPr="00812C16">
        <w:rPr>
          <w:rFonts w:cs="Arial"/>
          <w:b/>
          <w:bCs/>
        </w:rPr>
        <w:t>Cox-Regressionsmodell</w:t>
      </w:r>
      <w:r w:rsidRPr="00812C16">
        <w:rPr>
          <w:rFonts w:cs="Arial"/>
        </w:rPr>
        <w:t xml:space="preserve"> bewertet. Parameter, die in der univariaten Analyse als signifikant befunden wurden, wurden in ein multivariates Cox-Modell aufgenommen. Bei dieser Methode wurde ein signifikanter Unterschied bei einem p-Wert von &lt;0,1 angenommen.</w:t>
      </w:r>
      <w:r w:rsidR="008B3C7E" w:rsidRPr="00812C16">
        <w:rPr>
          <w:rFonts w:cs="Arial"/>
        </w:rPr>
        <w:t xml:space="preserve"> </w:t>
      </w:r>
    </w:p>
    <w:p w14:paraId="48F54A8B" w14:textId="77777777" w:rsidR="009D1611" w:rsidRPr="00812C16" w:rsidRDefault="009D1611" w:rsidP="009D1611">
      <w:pPr>
        <w:rPr>
          <w:rFonts w:cs="Arial"/>
          <w:sz w:val="21"/>
          <w:szCs w:val="22"/>
          <w:lang w:eastAsia="de-DE"/>
        </w:rPr>
      </w:pPr>
      <w:r w:rsidRPr="00812C16">
        <w:rPr>
          <w:rFonts w:cs="Arial"/>
          <w:sz w:val="21"/>
          <w:szCs w:val="22"/>
          <w:lang w:eastAsia="de-DE"/>
        </w:rPr>
        <w:t>Das Risiko am Tumor zu versterben wurde schließlich in der so genannten Hazard Ratio (HR) ausgedrückt. Bei einer HR=1,0 für eine Patientengruppe gab es keinen Unterschied zur Referenzgruppe; bei einer HR&lt;1,0 hatte die Patientengruppe im Vergleich zur Referenzgruppe ein besseres Überleben und bei einer HR&gt;1,0 hatte die Patientengruppe im Vergleich zur Referenzgruppe ein schlechteres Überleben.</w:t>
      </w:r>
    </w:p>
    <w:p w14:paraId="053986AC" w14:textId="77777777" w:rsidR="009D1611" w:rsidRPr="00812C16" w:rsidRDefault="009D1611" w:rsidP="009D1611">
      <w:pPr>
        <w:rPr>
          <w:lang w:eastAsia="de-DE"/>
        </w:rPr>
      </w:pPr>
    </w:p>
    <w:p w14:paraId="0AF0359A" w14:textId="77777777" w:rsidR="009D1611" w:rsidRPr="00812C16" w:rsidRDefault="009D1611" w:rsidP="009D1611">
      <w:pPr>
        <w:rPr>
          <w:lang w:eastAsia="de-DE"/>
        </w:rPr>
      </w:pPr>
      <w:r w:rsidRPr="00812C16">
        <w:rPr>
          <w:lang w:eastAsia="de-DE"/>
        </w:rPr>
        <w:t xml:space="preserve">Ein Signifikanter P- Wert bedeutet das die </w:t>
      </w:r>
      <w:proofErr w:type="spellStart"/>
      <w:r w:rsidRPr="00812C16">
        <w:rPr>
          <w:lang w:eastAsia="de-DE"/>
        </w:rPr>
        <w:t>Kovariate</w:t>
      </w:r>
      <w:proofErr w:type="spellEnd"/>
      <w:r w:rsidRPr="00812C16">
        <w:rPr>
          <w:lang w:eastAsia="de-DE"/>
        </w:rPr>
        <w:t xml:space="preserve"> </w:t>
      </w:r>
      <w:proofErr w:type="spellStart"/>
      <w:r w:rsidRPr="00812C16">
        <w:rPr>
          <w:lang w:eastAsia="de-DE"/>
        </w:rPr>
        <w:t>einfluss</w:t>
      </w:r>
      <w:proofErr w:type="spellEnd"/>
      <w:r w:rsidRPr="00812C16">
        <w:rPr>
          <w:lang w:eastAsia="de-DE"/>
        </w:rPr>
        <w:t xml:space="preserve"> auf das Überleben, die Ereigniszeit hat. </w:t>
      </w:r>
    </w:p>
    <w:p w14:paraId="3C450281" w14:textId="77777777" w:rsidR="009D1611" w:rsidRPr="00812C16" w:rsidRDefault="009D1611" w:rsidP="00E42184">
      <w:pPr>
        <w:rPr>
          <w:rFonts w:cs="Arial"/>
        </w:rPr>
      </w:pPr>
    </w:p>
    <w:p w14:paraId="3E7DD320" w14:textId="77777777" w:rsidR="00714336" w:rsidRPr="00812C16" w:rsidRDefault="00714336" w:rsidP="00714336">
      <w:pPr>
        <w:rPr>
          <w:rFonts w:cs="Arial"/>
        </w:rPr>
      </w:pPr>
      <w:r w:rsidRPr="00812C16">
        <w:rPr>
          <w:rFonts w:cs="Arial"/>
        </w:rPr>
        <w:lastRenderedPageBreak/>
        <w:t>Außerdem gingen folgende Parameter in die univariate Analyse ein:</w:t>
      </w:r>
    </w:p>
    <w:p w14:paraId="7C19384E" w14:textId="77777777" w:rsidR="00714336" w:rsidRPr="00812C16" w:rsidRDefault="00714336" w:rsidP="00246EB5">
      <w:pPr>
        <w:pStyle w:val="Listenabsatz"/>
        <w:numPr>
          <w:ilvl w:val="0"/>
          <w:numId w:val="6"/>
        </w:numPr>
        <w:rPr>
          <w:rFonts w:cs="Arial"/>
        </w:rPr>
      </w:pPr>
      <w:r w:rsidRPr="00812C16">
        <w:rPr>
          <w:rFonts w:cs="Arial"/>
        </w:rPr>
        <w:t>Klinische Prognosefaktoren</w:t>
      </w:r>
    </w:p>
    <w:p w14:paraId="6E9205B0" w14:textId="77777777" w:rsidR="00714336" w:rsidRPr="00812C16" w:rsidRDefault="00714336" w:rsidP="00246EB5">
      <w:pPr>
        <w:pStyle w:val="Listenabsatz"/>
        <w:numPr>
          <w:ilvl w:val="1"/>
          <w:numId w:val="6"/>
        </w:numPr>
        <w:rPr>
          <w:rFonts w:cs="Arial"/>
        </w:rPr>
      </w:pPr>
      <w:r w:rsidRPr="00812C16">
        <w:rPr>
          <w:rFonts w:cs="Arial"/>
        </w:rPr>
        <w:t>T-Stadium des Tumors</w:t>
      </w:r>
    </w:p>
    <w:p w14:paraId="72F12CCB" w14:textId="77777777" w:rsidR="00714336" w:rsidRPr="00812C16" w:rsidRDefault="00714336" w:rsidP="00246EB5">
      <w:pPr>
        <w:pStyle w:val="Listenabsatz"/>
        <w:numPr>
          <w:ilvl w:val="1"/>
          <w:numId w:val="6"/>
        </w:numPr>
        <w:rPr>
          <w:rFonts w:cs="Arial"/>
        </w:rPr>
      </w:pPr>
      <w:r w:rsidRPr="00812C16">
        <w:rPr>
          <w:rFonts w:cs="Arial"/>
        </w:rPr>
        <w:t>Differenzierungsgrad des Tumors</w:t>
      </w:r>
    </w:p>
    <w:p w14:paraId="29504B54" w14:textId="77777777" w:rsidR="00714336" w:rsidRPr="00812C16" w:rsidRDefault="00714336" w:rsidP="00246EB5">
      <w:pPr>
        <w:pStyle w:val="Listenabsatz"/>
        <w:numPr>
          <w:ilvl w:val="1"/>
          <w:numId w:val="6"/>
        </w:numPr>
        <w:rPr>
          <w:rFonts w:cs="Arial"/>
        </w:rPr>
      </w:pPr>
      <w:r w:rsidRPr="00812C16">
        <w:rPr>
          <w:rFonts w:cs="Arial"/>
        </w:rPr>
        <w:t>Status des Resektionsrandes:</w:t>
      </w:r>
    </w:p>
    <w:p w14:paraId="0866986E" w14:textId="77777777" w:rsidR="00714336" w:rsidRPr="00812C16" w:rsidRDefault="00714336" w:rsidP="00246EB5">
      <w:pPr>
        <w:pStyle w:val="Listenabsatz"/>
        <w:numPr>
          <w:ilvl w:val="1"/>
          <w:numId w:val="6"/>
        </w:numPr>
        <w:rPr>
          <w:rFonts w:cs="Arial"/>
        </w:rPr>
      </w:pPr>
      <w:r w:rsidRPr="00812C16">
        <w:rPr>
          <w:rFonts w:cs="Arial"/>
        </w:rPr>
        <w:t>Zeitraum zwischen OP und adjuvanter Strahlentherapie (Mittelwert = 63 Tage)</w:t>
      </w:r>
    </w:p>
    <w:p w14:paraId="62F26F4D" w14:textId="77777777" w:rsidR="00714336" w:rsidRPr="00812C16" w:rsidRDefault="00714336" w:rsidP="00246EB5">
      <w:pPr>
        <w:pStyle w:val="Listenabsatz"/>
        <w:numPr>
          <w:ilvl w:val="1"/>
          <w:numId w:val="6"/>
        </w:numPr>
        <w:rPr>
          <w:rFonts w:cs="Arial"/>
        </w:rPr>
      </w:pPr>
      <w:r w:rsidRPr="00812C16">
        <w:rPr>
          <w:rFonts w:cs="Arial"/>
        </w:rPr>
        <w:t>Tumorlokalisation: Mundhöhle, Oropharynx, Hypopharynx, Larynx</w:t>
      </w:r>
    </w:p>
    <w:p w14:paraId="09A4D7C9" w14:textId="77777777" w:rsidR="00714336" w:rsidRPr="00812C16" w:rsidRDefault="00714336" w:rsidP="00246EB5">
      <w:pPr>
        <w:pStyle w:val="Listenabsatz"/>
        <w:numPr>
          <w:ilvl w:val="1"/>
          <w:numId w:val="6"/>
        </w:numPr>
        <w:rPr>
          <w:rFonts w:cs="Arial"/>
        </w:rPr>
      </w:pPr>
      <w:r w:rsidRPr="00812C16">
        <w:rPr>
          <w:rFonts w:cs="Arial"/>
        </w:rPr>
        <w:t>UICC – Stadium des Tumors</w:t>
      </w:r>
    </w:p>
    <w:p w14:paraId="13F6E255" w14:textId="77777777" w:rsidR="00714336" w:rsidRPr="00812C16" w:rsidRDefault="00714336" w:rsidP="00246EB5">
      <w:pPr>
        <w:pStyle w:val="Listenabsatz"/>
        <w:numPr>
          <w:ilvl w:val="0"/>
          <w:numId w:val="6"/>
        </w:numPr>
        <w:rPr>
          <w:rFonts w:cs="Arial"/>
        </w:rPr>
      </w:pPr>
      <w:r w:rsidRPr="00812C16">
        <w:rPr>
          <w:rFonts w:cs="Arial"/>
        </w:rPr>
        <w:t>Pathologische/biologische Prognosefaktoren</w:t>
      </w:r>
    </w:p>
    <w:p w14:paraId="0155A615" w14:textId="77777777" w:rsidR="00714336" w:rsidRPr="00812C16" w:rsidRDefault="00714336" w:rsidP="00246EB5">
      <w:pPr>
        <w:pStyle w:val="Listenabsatz"/>
        <w:numPr>
          <w:ilvl w:val="1"/>
          <w:numId w:val="6"/>
        </w:numPr>
        <w:rPr>
          <w:rFonts w:cs="Arial"/>
        </w:rPr>
      </w:pPr>
      <w:r w:rsidRPr="00812C16">
        <w:rPr>
          <w:rFonts w:cs="Arial"/>
        </w:rPr>
        <w:t>HPV16-DNA-Status</w:t>
      </w:r>
    </w:p>
    <w:p w14:paraId="4DD126E1" w14:textId="77777777" w:rsidR="00714336" w:rsidRPr="00812C16" w:rsidRDefault="00714336" w:rsidP="00246EB5">
      <w:pPr>
        <w:pStyle w:val="Listenabsatz"/>
        <w:numPr>
          <w:ilvl w:val="1"/>
          <w:numId w:val="6"/>
        </w:numPr>
        <w:rPr>
          <w:rFonts w:cs="Arial"/>
        </w:rPr>
      </w:pPr>
      <w:r w:rsidRPr="00812C16">
        <w:rPr>
          <w:rFonts w:cs="Arial"/>
        </w:rPr>
        <w:t xml:space="preserve">CD44-Expressions-Status </w:t>
      </w:r>
    </w:p>
    <w:p w14:paraId="6BCD68DE" w14:textId="77777777" w:rsidR="00714336" w:rsidRPr="00812C16" w:rsidRDefault="00714336" w:rsidP="00714336">
      <w:pPr>
        <w:rPr>
          <w:rFonts w:cs="Arial"/>
        </w:rPr>
      </w:pPr>
      <w:r w:rsidRPr="00812C16">
        <w:rPr>
          <w:rFonts w:cs="Arial"/>
          <w:lang w:eastAsia="de-DE"/>
        </w:rPr>
        <w:t xml:space="preserve">den immunhistochemischen </w:t>
      </w:r>
      <w:proofErr w:type="spellStart"/>
      <w:r w:rsidRPr="00812C16">
        <w:rPr>
          <w:rFonts w:cs="Arial"/>
          <w:lang w:eastAsia="de-DE"/>
        </w:rPr>
        <w:t>Färbeergebnissen</w:t>
      </w:r>
      <w:proofErr w:type="spellEnd"/>
      <w:r w:rsidRPr="00812C16">
        <w:rPr>
          <w:rFonts w:cs="Arial"/>
          <w:lang w:eastAsia="de-DE"/>
        </w:rPr>
        <w:t xml:space="preserve"> der CD44-Proteinexpression, dem HPV16-DNA-Status, der histopathologischen Differenzierungsgraden, der Tumorlokalisation, der Tumorausdehnung (</w:t>
      </w:r>
      <w:proofErr w:type="spellStart"/>
      <w:r w:rsidRPr="00812C16">
        <w:rPr>
          <w:rFonts w:cs="Arial"/>
          <w:lang w:eastAsia="de-DE"/>
        </w:rPr>
        <w:t>pT</w:t>
      </w:r>
      <w:proofErr w:type="spellEnd"/>
      <w:r w:rsidRPr="00812C16">
        <w:rPr>
          <w:rFonts w:cs="Arial"/>
          <w:lang w:eastAsia="de-DE"/>
        </w:rPr>
        <w:t xml:space="preserve">-Kategorie), der </w:t>
      </w:r>
      <w:proofErr w:type="spellStart"/>
      <w:r w:rsidRPr="00812C16">
        <w:rPr>
          <w:rFonts w:cs="Arial"/>
          <w:lang w:eastAsia="de-DE"/>
        </w:rPr>
        <w:t>Stadiengruppierung</w:t>
      </w:r>
      <w:proofErr w:type="spellEnd"/>
      <w:r w:rsidRPr="00812C16">
        <w:rPr>
          <w:rFonts w:cs="Arial"/>
          <w:lang w:eastAsia="de-DE"/>
        </w:rPr>
        <w:t xml:space="preserve"> der Karzinome bezüglich der TNM-Kategorien (UICC-Stadien), des Alters (50-54, 55-59, 60-</w:t>
      </w:r>
      <w:proofErr w:type="gramStart"/>
      <w:r w:rsidRPr="00812C16">
        <w:rPr>
          <w:rFonts w:cs="Arial"/>
          <w:lang w:eastAsia="de-DE"/>
        </w:rPr>
        <w:t>64,…</w:t>
      </w:r>
      <w:proofErr w:type="gramEnd"/>
      <w:r w:rsidRPr="00812C16">
        <w:rPr>
          <w:rFonts w:cs="Arial"/>
          <w:lang w:eastAsia="de-DE"/>
        </w:rPr>
        <w:t>), der Nikotin- und Alkoholanamnese</w:t>
      </w:r>
    </w:p>
    <w:p w14:paraId="423CFDDE" w14:textId="77777777" w:rsidR="00096370" w:rsidRPr="00812C16" w:rsidRDefault="00E42184" w:rsidP="00E42184">
      <w:pPr>
        <w:rPr>
          <w:rFonts w:cs="Arial"/>
        </w:rPr>
      </w:pPr>
      <w:r w:rsidRPr="00812C16">
        <w:rPr>
          <w:rFonts w:cs="Arial"/>
        </w:rPr>
        <w:t xml:space="preserve">Statistische Analysen wurden für alle Patienten und für die </w:t>
      </w:r>
      <w:r w:rsidRPr="00812C16">
        <w:rPr>
          <w:rFonts w:cs="Arial"/>
          <w:b/>
          <w:bCs/>
        </w:rPr>
        <w:t>Untergruppe</w:t>
      </w:r>
      <w:r w:rsidRPr="00812C16">
        <w:rPr>
          <w:rFonts w:cs="Arial"/>
        </w:rPr>
        <w:t xml:space="preserve"> der Patienten mit </w:t>
      </w:r>
      <w:r w:rsidR="00096370" w:rsidRPr="00812C16">
        <w:rPr>
          <w:rFonts w:cs="Arial"/>
        </w:rPr>
        <w:t xml:space="preserve">Mundhöhlenkrebs sowie </w:t>
      </w:r>
      <w:proofErr w:type="spellStart"/>
      <w:r w:rsidR="00096370" w:rsidRPr="00812C16">
        <w:rPr>
          <w:rFonts w:cs="Arial"/>
        </w:rPr>
        <w:t>Oropharyngealkarzinomen</w:t>
      </w:r>
      <w:proofErr w:type="spellEnd"/>
      <w:r w:rsidR="00096370" w:rsidRPr="00812C16">
        <w:rPr>
          <w:rFonts w:cs="Arial"/>
        </w:rPr>
        <w:t xml:space="preserve"> durchgeführt. Patienten, bei denen </w:t>
      </w:r>
      <w:r w:rsidR="00F606F5" w:rsidRPr="00812C16">
        <w:rPr>
          <w:rFonts w:cs="Arial"/>
        </w:rPr>
        <w:t xml:space="preserve">ein </w:t>
      </w:r>
      <w:proofErr w:type="spellStart"/>
      <w:r w:rsidR="00F606F5" w:rsidRPr="00812C16">
        <w:rPr>
          <w:rFonts w:cs="Arial"/>
        </w:rPr>
        <w:t>h</w:t>
      </w:r>
      <w:r w:rsidR="00096370" w:rsidRPr="00812C16">
        <w:rPr>
          <w:rFonts w:cs="Arial"/>
        </w:rPr>
        <w:t>ypopharyngeal</w:t>
      </w:r>
      <w:r w:rsidR="00F606F5" w:rsidRPr="00812C16">
        <w:rPr>
          <w:rFonts w:cs="Arial"/>
        </w:rPr>
        <w:t>es</w:t>
      </w:r>
      <w:proofErr w:type="spellEnd"/>
      <w:r w:rsidR="00F606F5" w:rsidRPr="00812C16">
        <w:rPr>
          <w:rFonts w:cs="Arial"/>
        </w:rPr>
        <w:t xml:space="preserve"> Karzinom </w:t>
      </w:r>
      <w:r w:rsidR="00096370" w:rsidRPr="00812C16">
        <w:rPr>
          <w:rFonts w:cs="Arial"/>
        </w:rPr>
        <w:t xml:space="preserve">diagnostiziert wurde, wurden aufgrund der geringen Anzahl von Fällen von dieser Untergruppenanalyse ausgeschlossen. Für eine weitere Stratifizierung wurden statistische Analysen für die Subgruppen der Patienten mit HPV16 </w:t>
      </w:r>
      <w:r w:rsidR="00566B51" w:rsidRPr="00812C16">
        <w:rPr>
          <w:rFonts w:cs="Arial"/>
        </w:rPr>
        <w:t>DNA</w:t>
      </w:r>
      <w:r w:rsidR="00096370" w:rsidRPr="00812C16">
        <w:rPr>
          <w:rFonts w:cs="Arial"/>
        </w:rPr>
        <w:t xml:space="preserve">-negativen Tumoren durchgeführt. In der Untergruppe der Patienten mit HPV16 DNA-positiven Tumoren traten nur zwei Rezidiven auf. Daher war es nicht möglich, signifikante Unterschiede in der LRC für diese Teilgruppe zu erkennen. </w:t>
      </w:r>
    </w:p>
    <w:p w14:paraId="38E3F2CF" w14:textId="790F4A03" w:rsidR="002903EB" w:rsidRPr="00812C16" w:rsidRDefault="002903EB" w:rsidP="00E42184">
      <w:pPr>
        <w:rPr>
          <w:rFonts w:cs="Arial"/>
        </w:rPr>
      </w:pPr>
      <w:r w:rsidRPr="00812C16">
        <w:rPr>
          <w:rFonts w:cs="Arial"/>
          <w:lang w:eastAsia="de-DE"/>
        </w:rPr>
        <w:t xml:space="preserve">Patienten mit HPV-assoziierten Kopf-Hals-Plattenepithelkarzinome besitzen ein insgesamt besserer klinisches Outcome als Patienten mit HPV-negativen Tumoren </w:t>
      </w:r>
      <w:r w:rsidR="000112D9">
        <w:rPr>
          <w:rFonts w:cs="Arial"/>
          <w:lang w:eastAsia="de-DE"/>
        </w:rPr>
        <w:fldChar w:fldCharType="begin">
          <w:fldData xml:space="preserve">PEVuZE5vdGU+PENpdGU+PEF1dGhvcj5Mb2hhdXM8L0F1dGhvcj48WWVhcj4yMDE0PC9ZZWFyPjxS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</w:fldData>
        </w:fldChar>
      </w:r>
      <w:r w:rsidR="000112D9">
        <w:rPr>
          <w:rFonts w:cs="Arial"/>
          <w:lang w:eastAsia="de-DE"/>
        </w:rPr>
        <w:instrText xml:space="preserve"> ADDIN EN.JS.CITE </w:instrText>
      </w:r>
      <w:r w:rsidR="000112D9">
        <w:rPr>
          <w:rFonts w:cs="Arial"/>
          <w:lang w:eastAsia="de-DE"/>
        </w:rPr>
      </w:r>
      <w:r w:rsidR="000112D9">
        <w:rPr>
          <w:rFonts w:cs="Arial"/>
          <w:lang w:eastAsia="de-DE"/>
        </w:rPr>
        <w:fldChar w:fldCharType="separate"/>
      </w:r>
      <w:r w:rsidR="000112D9">
        <w:rPr>
          <w:rFonts w:cs="Arial"/>
          <w:noProof/>
          <w:lang w:eastAsia="de-DE"/>
        </w:rPr>
        <w:t>(</w:t>
      </w:r>
      <w:hyperlink w:anchor="_ENREF_20" w:tooltip="Chen, 2010 #762" w:history="1">
        <w:r w:rsidR="009D0F7A" w:rsidRPr="009D0F7A">
          <w:rPr>
            <w:rStyle w:val="Hyperlink"/>
          </w:rPr>
          <w:t>Chen et al., 2010</w:t>
        </w:r>
      </w:hyperlink>
      <w:r w:rsidR="000112D9">
        <w:rPr>
          <w:rFonts w:cs="Arial"/>
          <w:noProof/>
          <w:lang w:eastAsia="de-DE"/>
        </w:rPr>
        <w:t xml:space="preserve">; </w:t>
      </w:r>
      <w:hyperlink w:anchor="_ENREF_31" w:tooltip="Fakhry, 2008 #834" w:history="1">
        <w:r w:rsidR="009D0F7A" w:rsidRPr="009D0F7A">
          <w:rPr>
            <w:rStyle w:val="Hyperlink"/>
          </w:rPr>
          <w:t>Fakhry et al., 2008</w:t>
        </w:r>
      </w:hyperlink>
      <w:r w:rsidR="000112D9">
        <w:rPr>
          <w:rFonts w:cs="Arial"/>
          <w:noProof/>
          <w:lang w:eastAsia="de-DE"/>
        </w:rPr>
        <w:t xml:space="preserve">; </w:t>
      </w:r>
      <w:hyperlink w:anchor="_ENREF_34" w:tooltip="Gillison, 2000 #829" w:history="1">
        <w:r w:rsidR="009D0F7A" w:rsidRPr="009D0F7A">
          <w:rPr>
            <w:rStyle w:val="Hyperlink"/>
          </w:rPr>
          <w:t>Gillison et al., 2000</w:t>
        </w:r>
      </w:hyperlink>
      <w:r w:rsidR="000112D9">
        <w:rPr>
          <w:rFonts w:cs="Arial"/>
          <w:noProof/>
          <w:lang w:eastAsia="de-DE"/>
        </w:rPr>
        <w:t xml:space="preserve">; </w:t>
      </w:r>
      <w:hyperlink w:anchor="_ENREF_48" w:tooltip="Lindel, 2001 #689" w:history="1">
        <w:r w:rsidR="009D0F7A" w:rsidRPr="009D0F7A">
          <w:rPr>
            <w:rStyle w:val="Hyperlink"/>
          </w:rPr>
          <w:t>Lindel et al., 2001</w:t>
        </w:r>
      </w:hyperlink>
      <w:r w:rsidR="000112D9">
        <w:rPr>
          <w:rFonts w:cs="Arial"/>
          <w:noProof/>
          <w:lang w:eastAsia="de-DE"/>
        </w:rPr>
        <w:t xml:space="preserve">; </w:t>
      </w:r>
      <w:hyperlink w:anchor="_ENREF_51" w:tooltip="Lohaus, 2014 #623" w:history="1">
        <w:r w:rsidR="009D0F7A" w:rsidRPr="009D0F7A">
          <w:rPr>
            <w:rStyle w:val="Hyperlink"/>
          </w:rPr>
          <w:t>Lohaus et al., 2014</w:t>
        </w:r>
      </w:hyperlink>
      <w:r w:rsidR="000112D9">
        <w:rPr>
          <w:rFonts w:cs="Arial"/>
          <w:noProof/>
          <w:lang w:eastAsia="de-DE"/>
        </w:rPr>
        <w:t xml:space="preserve">; </w:t>
      </w:r>
      <w:hyperlink w:anchor="_ENREF_64" w:tooltip="Shi, 2009 #696" w:history="1">
        <w:r w:rsidR="009D0F7A" w:rsidRPr="009D0F7A">
          <w:rPr>
            <w:rStyle w:val="Hyperlink"/>
          </w:rPr>
          <w:t>Shi et al., 2009</w:t>
        </w:r>
      </w:hyperlink>
      <w:r w:rsidR="000112D9">
        <w:rPr>
          <w:rFonts w:cs="Arial"/>
          <w:noProof/>
          <w:lang w:eastAsia="de-DE"/>
        </w:rPr>
        <w:t xml:space="preserve">; </w:t>
      </w:r>
      <w:hyperlink w:anchor="_ENREF_74" w:tooltip="Weinberger, 2006 #701" w:history="1">
        <w:r w:rsidR="009D0F7A" w:rsidRPr="009D0F7A">
          <w:rPr>
            <w:rStyle w:val="Hyperlink"/>
          </w:rPr>
          <w:t>Weinberger et al., 2006</w:t>
        </w:r>
      </w:hyperlink>
      <w:r w:rsidR="000112D9">
        <w:rPr>
          <w:rFonts w:cs="Arial"/>
          <w:noProof/>
          <w:lang w:eastAsia="de-DE"/>
        </w:rPr>
        <w:t>)</w:t>
      </w:r>
      <w:r w:rsidR="000112D9">
        <w:rPr>
          <w:rFonts w:cs="Arial"/>
          <w:lang w:eastAsia="de-DE"/>
        </w:rPr>
        <w:fldChar w:fldCharType="end"/>
      </w:r>
      <w:r w:rsidRPr="00812C16">
        <w:rPr>
          <w:rFonts w:cs="Arial"/>
          <w:lang w:eastAsia="de-DE"/>
        </w:rPr>
        <w:t xml:space="preserve">. Deshalb wurden univariate Ereignisdatenanalysen hinsichtlich des Einflusses der CD44-Proteinexpression, sowohl für die loko-regionäre Tumorkontrolle als auch für das Fernmetastasen-freie </w:t>
      </w:r>
      <w:r w:rsidRPr="00812C16">
        <w:rPr>
          <w:rFonts w:cs="Arial"/>
          <w:lang w:eastAsia="de-DE"/>
        </w:rPr>
        <w:lastRenderedPageBreak/>
        <w:t>Überleben und Gesamtüberleben stratifiziert nach den viralen Marker HPV16 DNA analysiert, um das diagnostische und prognostische Potential dieser Marker zu prüfen.</w:t>
      </w:r>
    </w:p>
    <w:p w14:paraId="1BE6BBC7" w14:textId="77777777" w:rsidR="00E42184" w:rsidRPr="00812C16" w:rsidRDefault="005B379A" w:rsidP="00E42184">
      <w:pPr>
        <w:rPr>
          <w:rFonts w:cs="Arial"/>
        </w:rPr>
      </w:pPr>
      <w:r w:rsidRPr="00812C16">
        <w:rPr>
          <w:rFonts w:cs="Arial"/>
        </w:rPr>
        <w:t xml:space="preserve">Die </w:t>
      </w:r>
      <w:r w:rsidR="00096370" w:rsidRPr="00812C16">
        <w:rPr>
          <w:rFonts w:cs="Arial"/>
        </w:rPr>
        <w:t>Sensitivität</w:t>
      </w:r>
      <w:r w:rsidRPr="00812C16">
        <w:rPr>
          <w:rFonts w:cs="Arial"/>
        </w:rPr>
        <w:t xml:space="preserve"> und </w:t>
      </w:r>
      <w:r w:rsidR="00096370" w:rsidRPr="00812C16">
        <w:rPr>
          <w:rFonts w:cs="Arial"/>
        </w:rPr>
        <w:t>Spezifität</w:t>
      </w:r>
      <w:r w:rsidRPr="00812C16">
        <w:rPr>
          <w:rFonts w:cs="Arial"/>
        </w:rPr>
        <w:t xml:space="preserve"> </w:t>
      </w:r>
      <w:r w:rsidR="00096370" w:rsidRPr="00812C16">
        <w:rPr>
          <w:rFonts w:cs="Arial"/>
        </w:rPr>
        <w:t>der</w:t>
      </w:r>
      <w:r w:rsidR="005D2A89" w:rsidRPr="00812C16">
        <w:rPr>
          <w:rFonts w:cs="Arial"/>
        </w:rPr>
        <w:t xml:space="preserve"> CD44-Expression zur Vorhersage eines </w:t>
      </w:r>
      <w:proofErr w:type="spellStart"/>
      <w:r w:rsidR="00096370" w:rsidRPr="00812C16">
        <w:rPr>
          <w:rFonts w:cs="Arial"/>
        </w:rPr>
        <w:t>lokoregionären</w:t>
      </w:r>
      <w:proofErr w:type="spellEnd"/>
      <w:r w:rsidR="005D2A89" w:rsidRPr="00812C16">
        <w:rPr>
          <w:rFonts w:cs="Arial"/>
        </w:rPr>
        <w:t xml:space="preserve"> </w:t>
      </w:r>
      <w:r w:rsidR="00096370" w:rsidRPr="00812C16">
        <w:rPr>
          <w:rFonts w:cs="Arial"/>
        </w:rPr>
        <w:t>Rezidivs</w:t>
      </w:r>
      <w:r w:rsidR="005D2A89" w:rsidRPr="00812C16">
        <w:rPr>
          <w:rFonts w:cs="Arial"/>
        </w:rPr>
        <w:t xml:space="preserve"> wurden durch Kreuztabellen bestimmt.</w:t>
      </w:r>
    </w:p>
    <w:p w14:paraId="7DBE8D31" w14:textId="77777777" w:rsidR="00E42184" w:rsidRPr="00812C16" w:rsidRDefault="00E42184" w:rsidP="00E42184">
      <w:pPr>
        <w:rPr>
          <w:rFonts w:cs="Arial"/>
        </w:rPr>
      </w:pPr>
    </w:p>
    <w:p w14:paraId="123B9115" w14:textId="77777777" w:rsidR="00E42184" w:rsidRPr="00812C16" w:rsidRDefault="00C44464" w:rsidP="00E42184">
      <w:pPr>
        <w:rPr>
          <w:rFonts w:cs="Arial"/>
        </w:rPr>
      </w:pPr>
      <w:r w:rsidRPr="00812C16">
        <w:rPr>
          <w:rFonts w:cs="Arial"/>
        </w:rPr>
        <w:t>die für die Tumorlokalisierung geschichtet wurden</w:t>
      </w:r>
    </w:p>
    <w:p w14:paraId="123984E9" w14:textId="77777777" w:rsidR="00D941CB" w:rsidRPr="00812C16" w:rsidRDefault="00D941CB" w:rsidP="00DF4C3C">
      <w:pPr>
        <w:rPr>
          <w:rFonts w:cs="Arial"/>
        </w:rPr>
      </w:pPr>
    </w:p>
    <w:p w14:paraId="43AC8D8D" w14:textId="77777777" w:rsidR="00B2437F" w:rsidRPr="00812C16" w:rsidRDefault="00201988" w:rsidP="009C61B9">
      <w:pPr>
        <w:rPr>
          <w:rFonts w:cs="Arial"/>
        </w:rPr>
      </w:pPr>
      <w:r w:rsidRPr="00812C16">
        <w:rPr>
          <w:rFonts w:cs="Arial"/>
        </w:rPr>
        <w:t>Zur Vorhersage des 2-Jahres-LRC wurde eine multivariate logistische Regression durchgeführt</w:t>
      </w:r>
    </w:p>
    <w:p w14:paraId="4DBF28D2" w14:textId="77777777" w:rsidR="009C61B9" w:rsidRPr="00812C16" w:rsidRDefault="00B2437F" w:rsidP="009C61B9">
      <w:pPr>
        <w:rPr>
          <w:rFonts w:cs="Arial"/>
        </w:rPr>
      </w:pPr>
      <w:r w:rsidRPr="00812C16">
        <w:rPr>
          <w:rFonts w:cs="Arial"/>
        </w:rPr>
        <w:t>Um die Überlebenskurven von Patienten zu vergleichen, die nach HPV16-DNA-Status, CSC-</w:t>
      </w:r>
      <w:proofErr w:type="spellStart"/>
      <w:r w:rsidRPr="00812C16">
        <w:rPr>
          <w:rFonts w:cs="Arial"/>
        </w:rPr>
        <w:t>Markerexpression</w:t>
      </w:r>
      <w:proofErr w:type="spellEnd"/>
      <w:r w:rsidRPr="00812C16">
        <w:rPr>
          <w:rFonts w:cs="Arial"/>
        </w:rPr>
        <w:t xml:space="preserve"> und </w:t>
      </w:r>
      <w:proofErr w:type="spellStart"/>
      <w:r w:rsidRPr="00812C16">
        <w:rPr>
          <w:rFonts w:cs="Arial"/>
        </w:rPr>
        <w:t>Hypoxiestatus</w:t>
      </w:r>
      <w:proofErr w:type="spellEnd"/>
      <w:r w:rsidRPr="00812C16">
        <w:rPr>
          <w:rFonts w:cs="Arial"/>
        </w:rPr>
        <w:t xml:space="preserve"> geschichtet waren, wurden Log-Rank-Tests durchgeführt</w:t>
      </w:r>
    </w:p>
    <w:p w14:paraId="398DEEE2" w14:textId="77777777" w:rsidR="009D6D21" w:rsidRPr="00812C16" w:rsidRDefault="00FA539B" w:rsidP="00462A46">
      <w:pPr>
        <w:spacing w:after="0"/>
        <w:rPr>
          <w:rFonts w:cs="Arial"/>
        </w:rPr>
      </w:pPr>
      <w:proofErr w:type="spellStart"/>
      <w:r w:rsidRPr="00812C16">
        <w:rPr>
          <w:rFonts w:cs="Arial"/>
        </w:rPr>
        <w:t>Konfindnenzintervall</w:t>
      </w:r>
      <w:proofErr w:type="spellEnd"/>
      <w:r w:rsidRPr="00812C16">
        <w:rPr>
          <w:rFonts w:cs="Arial"/>
        </w:rPr>
        <w:t xml:space="preserve"> = Vertrauenswahrscheinlichkeit</w:t>
      </w:r>
    </w:p>
    <w:p w14:paraId="151231D7" w14:textId="77777777" w:rsidR="000E4D64" w:rsidRPr="00812C16" w:rsidRDefault="000E4D64" w:rsidP="000E4D64">
      <w:pPr>
        <w:spacing w:after="0"/>
        <w:jc w:val="left"/>
        <w:rPr>
          <w:rFonts w:ascii="Times New Roman" w:hAnsi="Times New Roman"/>
        </w:rPr>
      </w:pPr>
      <w:r w:rsidRPr="00812C16">
        <w:rPr>
          <w:rFonts w:ascii="Georgia" w:hAnsi="Georgia"/>
          <w:color w:val="2E2E2E"/>
          <w:sz w:val="27"/>
          <w:szCs w:val="27"/>
        </w:rPr>
        <w:t xml:space="preserve">Statistische Analysen wurden für alle Patienten und für die Untergruppen von Patienten mit Mundhöhlenkrebs sowie </w:t>
      </w:r>
      <w:proofErr w:type="spellStart"/>
      <w:r w:rsidRPr="00812C16">
        <w:rPr>
          <w:rFonts w:ascii="Georgia" w:hAnsi="Georgia"/>
          <w:color w:val="2E2E2E"/>
          <w:sz w:val="27"/>
          <w:szCs w:val="27"/>
        </w:rPr>
        <w:t>Oropharyngealkarzinomen</w:t>
      </w:r>
      <w:proofErr w:type="spellEnd"/>
      <w:r w:rsidRPr="00812C16">
        <w:rPr>
          <w:rFonts w:ascii="Georgia" w:hAnsi="Georgia"/>
          <w:color w:val="2E2E2E"/>
          <w:sz w:val="27"/>
          <w:szCs w:val="27"/>
        </w:rPr>
        <w:t xml:space="preserve"> durchgeführt. Patienten, bei denen</w:t>
      </w:r>
      <w:r w:rsidRPr="00812C16">
        <w:rPr>
          <w:rStyle w:val="apple-converted-space"/>
          <w:rFonts w:ascii="Georgia" w:hAnsi="Georgia"/>
          <w:color w:val="2E2E2E"/>
          <w:sz w:val="27"/>
          <w:szCs w:val="27"/>
        </w:rPr>
        <w:t> </w:t>
      </w:r>
      <w:proofErr w:type="spellStart"/>
      <w:r>
        <w:fldChar w:fldCharType="begin"/>
      </w:r>
      <w:r>
        <w:instrText>HYPERLINK "https://www.sciencedirect.com/topics/medicine-and-dentistry/hypopharyngeal-cancer" \o "Erfahren Sie mehr über Hypopharyngealkrebs auf den KI-generierten Themenseiten von ScienceDirect"</w:instrText>
      </w:r>
      <w:r>
        <w:fldChar w:fldCharType="separate"/>
      </w:r>
      <w:r w:rsidRPr="00812C16">
        <w:rPr>
          <w:rStyle w:val="Hyperlink"/>
          <w:rFonts w:ascii="Georgia" w:hAnsi="Georgia"/>
          <w:color w:val="2E2E2E"/>
          <w:sz w:val="27"/>
          <w:szCs w:val="27"/>
        </w:rPr>
        <w:t>Hypophoaryngealkrebs</w:t>
      </w:r>
      <w:proofErr w:type="spellEnd"/>
      <w:r w:rsidRPr="00812C16">
        <w:rPr>
          <w:rStyle w:val="apple-converted-space"/>
          <w:rFonts w:ascii="Georgia" w:hAnsi="Georgia"/>
          <w:color w:val="2E2E2E"/>
          <w:sz w:val="27"/>
          <w:szCs w:val="27"/>
          <w:u w:val="single"/>
        </w:rPr>
        <w:t> </w:t>
      </w:r>
      <w:r>
        <w:fldChar w:fldCharType="end"/>
      </w:r>
      <w:r w:rsidRPr="00812C16">
        <w:rPr>
          <w:rFonts w:ascii="Georgia" w:hAnsi="Georgia"/>
          <w:color w:val="2E2E2E"/>
          <w:sz w:val="27"/>
          <w:szCs w:val="27"/>
        </w:rPr>
        <w:t>diagnostiziert wurde, wurden aufgrund der geringen Anzahl von Fällen von dieser Untergruppenanalyse ausgeschlossen.</w:t>
      </w:r>
      <w:r w:rsidRPr="00812C16">
        <w:rPr>
          <w:rStyle w:val="apple-converted-space"/>
          <w:rFonts w:ascii="Georgia" w:hAnsi="Georgia"/>
          <w:color w:val="2E2E2E"/>
          <w:sz w:val="27"/>
          <w:szCs w:val="27"/>
        </w:rPr>
        <w:t> </w:t>
      </w:r>
    </w:p>
    <w:p w14:paraId="760EC17F" w14:textId="77777777" w:rsidR="009D6D21" w:rsidRPr="00812C16" w:rsidRDefault="009D6D21" w:rsidP="00462A46">
      <w:pPr>
        <w:spacing w:after="0"/>
        <w:rPr>
          <w:rFonts w:cs="Arial"/>
          <w:b/>
          <w:bCs/>
        </w:rPr>
      </w:pPr>
    </w:p>
    <w:p w14:paraId="2F220E6A" w14:textId="77777777" w:rsidR="00F606F5" w:rsidRPr="00812C16" w:rsidRDefault="00F606F5" w:rsidP="00A7438E">
      <w:pPr>
        <w:spacing w:after="0"/>
        <w:rPr>
          <w:rFonts w:cs="Arial"/>
        </w:rPr>
      </w:pPr>
    </w:p>
    <w:p w14:paraId="488FB3ED" w14:textId="77777777" w:rsidR="00A7438E" w:rsidRPr="00812C16" w:rsidRDefault="00A7438E" w:rsidP="00A7438E">
      <w:pPr>
        <w:spacing w:after="0"/>
        <w:rPr>
          <w:rFonts w:cs="Arial"/>
        </w:rPr>
      </w:pPr>
      <w:r w:rsidRPr="00812C16">
        <w:rPr>
          <w:rFonts w:cs="Arial"/>
        </w:rPr>
        <w:t xml:space="preserve"> Die Einteilung der Ordinaten der Kaplan-Meier-Plots erfolgte von 0,00 in Zweierschritten bis 1,00, zur besseren </w:t>
      </w:r>
      <w:proofErr w:type="spellStart"/>
      <w:r w:rsidRPr="00812C16">
        <w:rPr>
          <w:rFonts w:cs="Arial"/>
        </w:rPr>
        <w:t>Übersicht</w:t>
      </w:r>
      <w:proofErr w:type="spellEnd"/>
      <w:r w:rsidRPr="00812C16">
        <w:rPr>
          <w:rFonts w:cs="Arial"/>
        </w:rPr>
        <w:t xml:space="preserve"> in einigen Abbildungen von 0,5 in </w:t>
      </w:r>
      <w:proofErr w:type="spellStart"/>
      <w:r w:rsidRPr="00812C16">
        <w:rPr>
          <w:rFonts w:cs="Arial"/>
        </w:rPr>
        <w:t>Einerschritten</w:t>
      </w:r>
      <w:proofErr w:type="spellEnd"/>
      <w:r w:rsidRPr="00812C16">
        <w:rPr>
          <w:rFonts w:cs="Arial"/>
        </w:rPr>
        <w:t xml:space="preserve"> bis 1,00. Berechnungsziele waren die allgemeine </w:t>
      </w:r>
      <w:proofErr w:type="spellStart"/>
      <w:r w:rsidRPr="00812C16">
        <w:rPr>
          <w:rFonts w:cs="Arial"/>
        </w:rPr>
        <w:t>Überlebensrate</w:t>
      </w:r>
      <w:proofErr w:type="spellEnd"/>
      <w:r w:rsidRPr="00812C16">
        <w:rPr>
          <w:rFonts w:cs="Arial"/>
        </w:rPr>
        <w:t xml:space="preserve">, die krankheitsfreie </w:t>
      </w:r>
      <w:proofErr w:type="spellStart"/>
      <w:r w:rsidRPr="00812C16">
        <w:rPr>
          <w:rFonts w:cs="Arial"/>
        </w:rPr>
        <w:t>Überlebensrate</w:t>
      </w:r>
      <w:proofErr w:type="spellEnd"/>
      <w:r w:rsidRPr="00812C16">
        <w:rPr>
          <w:rFonts w:cs="Arial"/>
        </w:rPr>
        <w:t xml:space="preserve"> (Patientinnen ohne Metastasen oder </w:t>
      </w:r>
      <w:proofErr w:type="spellStart"/>
      <w:r w:rsidRPr="00812C16">
        <w:rPr>
          <w:rFonts w:cs="Arial"/>
        </w:rPr>
        <w:t>lokoregionäres</w:t>
      </w:r>
      <w:proofErr w:type="spellEnd"/>
      <w:r w:rsidRPr="00812C16">
        <w:rPr>
          <w:rFonts w:cs="Arial"/>
        </w:rPr>
        <w:t xml:space="preserve"> Rezidiv) und die lokale Kontrolle. Die Kaplan-Meier-Kurven wurden mit Hilfe des Log-Rank-Tests auf Signifikanz </w:t>
      </w:r>
      <w:proofErr w:type="spellStart"/>
      <w:r w:rsidRPr="00812C16">
        <w:rPr>
          <w:rFonts w:cs="Arial"/>
        </w:rPr>
        <w:t>geprüft</w:t>
      </w:r>
      <w:proofErr w:type="spellEnd"/>
      <w:r w:rsidRPr="00812C16">
        <w:rPr>
          <w:rFonts w:cs="Arial"/>
        </w:rPr>
        <w:t xml:space="preserve">. </w:t>
      </w:r>
    </w:p>
    <w:p w14:paraId="4BF66683" w14:textId="77777777" w:rsidR="00A7438E" w:rsidRPr="00812C16" w:rsidRDefault="00A7438E" w:rsidP="00A7438E">
      <w:pPr>
        <w:spacing w:after="0"/>
        <w:rPr>
          <w:rFonts w:cs="Arial"/>
        </w:rPr>
      </w:pPr>
      <w:r w:rsidRPr="00812C16">
        <w:rPr>
          <w:rFonts w:cs="Arial"/>
        </w:rPr>
        <w:t xml:space="preserve">Weitere Analysen erfolgten nach dem univariaten Cox-Regression-Modell. Positive Regressionskoeffizienten verringern die Ereigniswahrscheinlichkeit, negative </w:t>
      </w:r>
      <w:proofErr w:type="spellStart"/>
      <w:r w:rsidRPr="00812C16">
        <w:rPr>
          <w:rFonts w:cs="Arial"/>
        </w:rPr>
        <w:t>vergrößern</w:t>
      </w:r>
      <w:proofErr w:type="spellEnd"/>
      <w:r w:rsidRPr="00812C16">
        <w:rPr>
          <w:rFonts w:cs="Arial"/>
        </w:rPr>
        <w:t xml:space="preserve"> diese. Der </w:t>
      </w:r>
      <w:proofErr w:type="spellStart"/>
      <w:r w:rsidRPr="00812C16">
        <w:rPr>
          <w:rFonts w:cs="Arial"/>
        </w:rPr>
        <w:t>Exp</w:t>
      </w:r>
      <w:proofErr w:type="spellEnd"/>
      <w:r w:rsidRPr="00812C16">
        <w:rPr>
          <w:rFonts w:cs="Arial"/>
        </w:rPr>
        <w:t xml:space="preserve">(B) ist der Wert, um den sich das Risiko </w:t>
      </w:r>
      <w:proofErr w:type="spellStart"/>
      <w:r w:rsidRPr="00812C16">
        <w:rPr>
          <w:rFonts w:cs="Arial"/>
        </w:rPr>
        <w:t>für</w:t>
      </w:r>
      <w:proofErr w:type="spellEnd"/>
      <w:r w:rsidRPr="00812C16">
        <w:rPr>
          <w:rFonts w:cs="Arial"/>
        </w:rPr>
        <w:t xml:space="preserve"> ein Ereignis </w:t>
      </w:r>
      <w:proofErr w:type="spellStart"/>
      <w:r w:rsidRPr="00812C16">
        <w:rPr>
          <w:rFonts w:cs="Arial"/>
        </w:rPr>
        <w:t>verändert</w:t>
      </w:r>
      <w:proofErr w:type="spellEnd"/>
      <w:r w:rsidRPr="00812C16">
        <w:rPr>
          <w:rFonts w:cs="Arial"/>
        </w:rPr>
        <w:t xml:space="preserve">, wenn die untersuchte Variable um eine Einheit steigt. Ein Wert von eins </w:t>
      </w:r>
      <w:proofErr w:type="spellStart"/>
      <w:r w:rsidRPr="00812C16">
        <w:rPr>
          <w:rFonts w:cs="Arial"/>
        </w:rPr>
        <w:lastRenderedPageBreak/>
        <w:t>lässt</w:t>
      </w:r>
      <w:proofErr w:type="spellEnd"/>
      <w:r w:rsidRPr="00812C16">
        <w:rPr>
          <w:rFonts w:cs="Arial"/>
        </w:rPr>
        <w:t xml:space="preserve"> das Risiko </w:t>
      </w:r>
      <w:proofErr w:type="spellStart"/>
      <w:r w:rsidRPr="00812C16">
        <w:rPr>
          <w:rFonts w:cs="Arial"/>
        </w:rPr>
        <w:t>unverändert</w:t>
      </w:r>
      <w:proofErr w:type="spellEnd"/>
      <w:r w:rsidRPr="00812C16">
        <w:rPr>
          <w:rFonts w:cs="Arial"/>
        </w:rPr>
        <w:t xml:space="preserve">. Ist der Wert &gt;1 steigt das Risiko </w:t>
      </w:r>
      <w:proofErr w:type="spellStart"/>
      <w:r w:rsidRPr="00812C16">
        <w:rPr>
          <w:rFonts w:cs="Arial"/>
        </w:rPr>
        <w:t>für</w:t>
      </w:r>
      <w:proofErr w:type="spellEnd"/>
      <w:r w:rsidRPr="00812C16">
        <w:rPr>
          <w:rFonts w:cs="Arial"/>
        </w:rPr>
        <w:t xml:space="preserve"> ein Ereignis, ist der Wert &lt;1 sinkt das Risiko. </w:t>
      </w:r>
    </w:p>
    <w:p w14:paraId="46C77A25" w14:textId="77777777" w:rsidR="00A7438E" w:rsidRPr="00812C16" w:rsidRDefault="00A7438E" w:rsidP="00A7438E">
      <w:pPr>
        <w:spacing w:after="0"/>
        <w:rPr>
          <w:rFonts w:cs="Arial"/>
        </w:rPr>
      </w:pPr>
      <w:r w:rsidRPr="00812C16">
        <w:rPr>
          <w:rFonts w:cs="Arial"/>
        </w:rPr>
        <w:t xml:space="preserve">16 </w:t>
      </w:r>
    </w:p>
    <w:p w14:paraId="6DA5AD03" w14:textId="77777777" w:rsidR="00A7438E" w:rsidRPr="00812C16" w:rsidRDefault="00A7438E" w:rsidP="00A7438E">
      <w:pPr>
        <w:spacing w:after="0"/>
        <w:rPr>
          <w:rFonts w:cs="Arial"/>
        </w:rPr>
      </w:pPr>
      <w:r w:rsidRPr="00812C16">
        <w:rPr>
          <w:rFonts w:cs="Arial"/>
        </w:rPr>
        <w:t xml:space="preserve">Multivariate Analysen wurden mit dem Cox-Regressions-Modell berechnet. Dabei wurden die signifikanten Variablen der univariaten Analyse in das Modell eingeschlossen. Die Reduktion der Variablen erfolgte </w:t>
      </w:r>
      <w:proofErr w:type="spellStart"/>
      <w:r w:rsidRPr="00812C16">
        <w:rPr>
          <w:rFonts w:cs="Arial"/>
        </w:rPr>
        <w:t>über</w:t>
      </w:r>
      <w:proofErr w:type="spellEnd"/>
      <w:r w:rsidRPr="00812C16">
        <w:rPr>
          <w:rFonts w:cs="Arial"/>
        </w:rPr>
        <w:t xml:space="preserve"> eine schrittweise </w:t>
      </w:r>
      <w:proofErr w:type="spellStart"/>
      <w:r w:rsidRPr="00812C16">
        <w:rPr>
          <w:rFonts w:cs="Arial"/>
        </w:rPr>
        <w:t>Rückwärts-Prozedur</w:t>
      </w:r>
      <w:proofErr w:type="spellEnd"/>
      <w:r w:rsidRPr="00812C16">
        <w:rPr>
          <w:rFonts w:cs="Arial"/>
        </w:rPr>
        <w:t xml:space="preserve"> nach der Wald-Methode. </w:t>
      </w:r>
    </w:p>
    <w:p w14:paraId="07EB488D" w14:textId="77777777" w:rsidR="00A7438E" w:rsidRPr="00812C16" w:rsidRDefault="00A7438E" w:rsidP="00A7438E">
      <w:pPr>
        <w:spacing w:after="0"/>
        <w:rPr>
          <w:rFonts w:cs="Arial"/>
        </w:rPr>
      </w:pPr>
      <w:proofErr w:type="spellStart"/>
      <w:r w:rsidRPr="00812C16">
        <w:rPr>
          <w:rFonts w:cs="Arial"/>
        </w:rPr>
        <w:t>Häufigkeiten</w:t>
      </w:r>
      <w:proofErr w:type="spellEnd"/>
      <w:r w:rsidRPr="00812C16">
        <w:rPr>
          <w:rFonts w:cs="Arial"/>
        </w:rPr>
        <w:t xml:space="preserve"> wurden mit Kreuztabellen und dem Chi-Quadrat-Test bewertet. Waren die Voraussetzungen </w:t>
      </w:r>
      <w:proofErr w:type="spellStart"/>
      <w:r w:rsidRPr="00812C16">
        <w:rPr>
          <w:rFonts w:cs="Arial"/>
        </w:rPr>
        <w:t>für</w:t>
      </w:r>
      <w:proofErr w:type="spellEnd"/>
      <w:r w:rsidRPr="00812C16">
        <w:rPr>
          <w:rFonts w:cs="Arial"/>
        </w:rPr>
        <w:t xml:space="preserve"> den Chi-Quadrat-Test nicht gegeben, wurde der exakte Test nach Fisher verwendet. Der Vergleich von Mittelwerten kontinuierlicher </w:t>
      </w:r>
      <w:proofErr w:type="spellStart"/>
      <w:r w:rsidRPr="00812C16">
        <w:rPr>
          <w:rFonts w:cs="Arial"/>
        </w:rPr>
        <w:t>Größen</w:t>
      </w:r>
      <w:proofErr w:type="spellEnd"/>
      <w:r w:rsidRPr="00812C16">
        <w:rPr>
          <w:rFonts w:cs="Arial"/>
        </w:rPr>
        <w:t xml:space="preserve"> erfolgte mit dem zweiseitigen t-Test. </w:t>
      </w:r>
    </w:p>
    <w:p w14:paraId="684AF175" w14:textId="77777777" w:rsidR="00462A46" w:rsidRPr="00812C16" w:rsidRDefault="00462A46" w:rsidP="00462A46">
      <w:pPr>
        <w:rPr>
          <w:rFonts w:cs="Arial"/>
        </w:rPr>
      </w:pPr>
    </w:p>
    <w:p w14:paraId="1E1E041A" w14:textId="77777777" w:rsidR="00B32A40" w:rsidRPr="00812C16" w:rsidRDefault="00B32A40" w:rsidP="0074123A">
      <w:pPr>
        <w:rPr>
          <w:rFonts w:cs="Arial"/>
        </w:rPr>
      </w:pPr>
    </w:p>
    <w:p w14:paraId="009010D2" w14:textId="77777777" w:rsidR="0074123A" w:rsidRPr="00812C16" w:rsidRDefault="0074123A" w:rsidP="0074123A">
      <w:pPr>
        <w:spacing w:after="0"/>
        <w:rPr>
          <w:rFonts w:cs="Arial"/>
        </w:rPr>
      </w:pPr>
      <w:r w:rsidRPr="00812C16">
        <w:rPr>
          <w:rFonts w:cs="Arial"/>
        </w:rPr>
        <w:t xml:space="preserve">Die deskriptiven Daten wurden mittels absoluter und relativer </w:t>
      </w:r>
      <w:proofErr w:type="spellStart"/>
      <w:r w:rsidRPr="00812C16">
        <w:rPr>
          <w:rFonts w:cs="Arial"/>
        </w:rPr>
        <w:t>Häufigkeit</w:t>
      </w:r>
      <w:proofErr w:type="spellEnd"/>
      <w:r w:rsidRPr="00812C16">
        <w:rPr>
          <w:rFonts w:cs="Arial"/>
        </w:rPr>
        <w:t xml:space="preserve"> sowie Mittelwert, Median und Standardabweichung dargestellt. Mit Hilfe von Kreuztabellen wurde die relative </w:t>
      </w:r>
      <w:proofErr w:type="spellStart"/>
      <w:r w:rsidRPr="00812C16">
        <w:rPr>
          <w:rFonts w:cs="Arial"/>
        </w:rPr>
        <w:t>Häufigkeit</w:t>
      </w:r>
      <w:proofErr w:type="spellEnd"/>
      <w:r w:rsidRPr="00812C16">
        <w:rPr>
          <w:rFonts w:cs="Arial"/>
        </w:rPr>
        <w:t xml:space="preserve"> der </w:t>
      </w:r>
      <w:proofErr w:type="spellStart"/>
      <w:r w:rsidRPr="00812C16">
        <w:rPr>
          <w:rFonts w:cs="Arial"/>
        </w:rPr>
        <w:t>möglichen</w:t>
      </w:r>
      <w:proofErr w:type="spellEnd"/>
      <w:r w:rsidRPr="00812C16">
        <w:rPr>
          <w:rFonts w:cs="Arial"/>
        </w:rPr>
        <w:t xml:space="preserve"> Einflussfaktoren auf die Entstehung des atopischen Ekzems (Alter, Geschlecht, Bildungsstand der Eltern, Wohnort) bivariat ermittelt und mittels Chi-Quadrat-Test auf </w:t>
      </w:r>
      <w:proofErr w:type="spellStart"/>
      <w:r w:rsidRPr="00812C16">
        <w:rPr>
          <w:rFonts w:cs="Arial"/>
        </w:rPr>
        <w:t>Unabhängigkeit</w:t>
      </w:r>
      <w:proofErr w:type="spellEnd"/>
      <w:r w:rsidRPr="00812C16">
        <w:rPr>
          <w:rFonts w:cs="Arial"/>
        </w:rPr>
        <w:t xml:space="preserve"> </w:t>
      </w:r>
      <w:proofErr w:type="spellStart"/>
      <w:r w:rsidRPr="00812C16">
        <w:rPr>
          <w:rFonts w:cs="Arial"/>
        </w:rPr>
        <w:t>überprüft</w:t>
      </w:r>
      <w:proofErr w:type="spellEnd"/>
      <w:r w:rsidRPr="00812C16">
        <w:rPr>
          <w:rFonts w:cs="Arial"/>
        </w:rPr>
        <w:t xml:space="preserve">. </w:t>
      </w:r>
    </w:p>
    <w:p w14:paraId="31E204AF" w14:textId="77777777" w:rsidR="0074123A" w:rsidRPr="00812C16" w:rsidRDefault="0074123A" w:rsidP="0074123A">
      <w:pPr>
        <w:spacing w:after="0"/>
        <w:rPr>
          <w:rFonts w:cs="Arial"/>
        </w:rPr>
      </w:pPr>
      <w:r w:rsidRPr="00812C16">
        <w:rPr>
          <w:rFonts w:cs="Arial"/>
        </w:rPr>
        <w:t xml:space="preserve">Mit der multiplen logistischen Regressionsanalyse wurde anschließend der Zusammenhang zwischen allen potenziellen Einflussfaktoren und den untersuchten Symptomen ermittelt. </w:t>
      </w:r>
    </w:p>
    <w:p w14:paraId="46DA707C" w14:textId="77777777" w:rsidR="00A23379" w:rsidRPr="00812C16" w:rsidRDefault="00A23379" w:rsidP="003C0324">
      <w:pPr>
        <w:jc w:val="left"/>
        <w:rPr>
          <w:rFonts w:cs="Arial"/>
        </w:rPr>
      </w:pPr>
    </w:p>
    <w:p w14:paraId="451A3241" w14:textId="77777777" w:rsidR="003C0324" w:rsidRPr="00812C16" w:rsidRDefault="003C0324" w:rsidP="003C0324">
      <w:pPr>
        <w:jc w:val="left"/>
        <w:rPr>
          <w:rFonts w:cs="Arial"/>
        </w:rPr>
      </w:pPr>
      <w:r w:rsidRPr="00812C16">
        <w:rPr>
          <w:rFonts w:cs="Arial"/>
        </w:rPr>
        <w:t xml:space="preserve">Zeitdauer zwischen Therapiebeginn und Rezidiv eines Tumors </w:t>
      </w:r>
    </w:p>
    <w:p w14:paraId="1906CAAC" w14:textId="77777777" w:rsidR="00A106CD" w:rsidRPr="00812C16" w:rsidRDefault="00A106CD" w:rsidP="00A106CD">
      <w:pPr>
        <w:spacing w:after="0"/>
        <w:jc w:val="left"/>
        <w:rPr>
          <w:rFonts w:cs="Arial"/>
        </w:rPr>
      </w:pPr>
      <w:r w:rsidRPr="00812C16">
        <w:rPr>
          <w:rFonts w:cs="Arial"/>
        </w:rPr>
        <w:t xml:space="preserve">Haben Tumorstammzellen ein Einfluss auf das tumorfreie Überleben </w:t>
      </w:r>
    </w:p>
    <w:p w14:paraId="3499E0E8" w14:textId="77777777" w:rsidR="00A049BC" w:rsidRPr="00812C16" w:rsidRDefault="00A049BC" w:rsidP="00A23379">
      <w:pPr>
        <w:jc w:val="left"/>
        <w:rPr>
          <w:rFonts w:cs="Arial"/>
        </w:rPr>
      </w:pPr>
    </w:p>
    <w:p w14:paraId="0E55F582" w14:textId="77777777" w:rsidR="00A106CD" w:rsidRPr="00812C16" w:rsidRDefault="00A106CD" w:rsidP="003C0324">
      <w:pPr>
        <w:jc w:val="left"/>
        <w:rPr>
          <w:rFonts w:cs="Arial"/>
        </w:rPr>
      </w:pPr>
    </w:p>
    <w:p w14:paraId="12B82BCF" w14:textId="77777777" w:rsidR="00D12F25" w:rsidRPr="00812C16" w:rsidRDefault="00EC0B1A" w:rsidP="00EC0B1A">
      <w:pPr>
        <w:spacing w:after="0"/>
        <w:jc w:val="left"/>
        <w:rPr>
          <w:rFonts w:cs="Arial"/>
        </w:rPr>
      </w:pPr>
      <w:proofErr w:type="spellStart"/>
      <w:r w:rsidRPr="00812C16">
        <w:rPr>
          <w:rFonts w:cs="Arial"/>
        </w:rPr>
        <w:t>Für</w:t>
      </w:r>
      <w:proofErr w:type="spellEnd"/>
      <w:r w:rsidRPr="00812C16">
        <w:rPr>
          <w:rFonts w:cs="Arial"/>
        </w:rPr>
        <w:t xml:space="preserve"> die deskriptive Statistik wurden </w:t>
      </w:r>
      <w:proofErr w:type="spellStart"/>
      <w:r w:rsidRPr="00812C16">
        <w:rPr>
          <w:rFonts w:cs="Arial"/>
        </w:rPr>
        <w:t>Häufigkeiten</w:t>
      </w:r>
      <w:proofErr w:type="spellEnd"/>
      <w:r w:rsidRPr="00812C16">
        <w:rPr>
          <w:rFonts w:cs="Arial"/>
        </w:rPr>
        <w:t xml:space="preserve"> berechnet und Kreuztabellen erstellt. Mithilfe der Kaplan-Meier-Methode wurden die </w:t>
      </w:r>
      <w:proofErr w:type="spellStart"/>
      <w:r w:rsidRPr="00812C16">
        <w:rPr>
          <w:rFonts w:cs="Arial"/>
        </w:rPr>
        <w:t>Überlebens</w:t>
      </w:r>
      <w:proofErr w:type="spellEnd"/>
      <w:r w:rsidRPr="00812C16">
        <w:rPr>
          <w:rFonts w:cs="Arial"/>
        </w:rPr>
        <w:t xml:space="preserve">- kurven </w:t>
      </w:r>
      <w:proofErr w:type="spellStart"/>
      <w:r w:rsidRPr="00812C16">
        <w:rPr>
          <w:rFonts w:cs="Arial"/>
        </w:rPr>
        <w:t>für</w:t>
      </w:r>
      <w:proofErr w:type="spellEnd"/>
      <w:r w:rsidRPr="00812C16">
        <w:rPr>
          <w:rFonts w:cs="Arial"/>
        </w:rPr>
        <w:t xml:space="preserve"> das </w:t>
      </w:r>
      <w:proofErr w:type="spellStart"/>
      <w:r w:rsidRPr="00812C16">
        <w:rPr>
          <w:rFonts w:cs="Arial"/>
        </w:rPr>
        <w:t>Gesamtüberleben</w:t>
      </w:r>
      <w:proofErr w:type="spellEnd"/>
      <w:r w:rsidRPr="00812C16">
        <w:rPr>
          <w:rFonts w:cs="Arial"/>
        </w:rPr>
        <w:t xml:space="preserve"> und das </w:t>
      </w:r>
      <w:proofErr w:type="spellStart"/>
      <w:r w:rsidRPr="00812C16">
        <w:rPr>
          <w:rFonts w:cs="Arial"/>
        </w:rPr>
        <w:t>rezidivfreie</w:t>
      </w:r>
      <w:proofErr w:type="spellEnd"/>
      <w:r w:rsidRPr="00812C16">
        <w:rPr>
          <w:rFonts w:cs="Arial"/>
        </w:rPr>
        <w:t xml:space="preserve"> </w:t>
      </w:r>
      <w:proofErr w:type="spellStart"/>
      <w:r w:rsidRPr="00812C16">
        <w:rPr>
          <w:rFonts w:cs="Arial"/>
        </w:rPr>
        <w:t>Überleben</w:t>
      </w:r>
      <w:proofErr w:type="spellEnd"/>
      <w:r w:rsidRPr="00812C16">
        <w:rPr>
          <w:rFonts w:cs="Arial"/>
        </w:rPr>
        <w:t xml:space="preserve"> ermittelt. Das Gesamt- </w:t>
      </w:r>
      <w:proofErr w:type="spellStart"/>
      <w:r w:rsidRPr="00812C16">
        <w:rPr>
          <w:rFonts w:cs="Arial"/>
        </w:rPr>
        <w:t>überleben</w:t>
      </w:r>
      <w:proofErr w:type="spellEnd"/>
      <w:r w:rsidRPr="00812C16">
        <w:rPr>
          <w:rFonts w:cs="Arial"/>
        </w:rPr>
        <w:t xml:space="preserve"> betrachtet die Zeitspanne zwischen Diagnosestellung und Tod. Patienten, die am Ende der Beobachtungszeit noch am Leben waren, wurden zensiert. Das rezidiv- freie </w:t>
      </w:r>
      <w:proofErr w:type="spellStart"/>
      <w:r w:rsidRPr="00812C16">
        <w:rPr>
          <w:rFonts w:cs="Arial"/>
        </w:rPr>
        <w:t>Überleben</w:t>
      </w:r>
      <w:proofErr w:type="spellEnd"/>
      <w:r w:rsidRPr="00812C16">
        <w:rPr>
          <w:rFonts w:cs="Arial"/>
        </w:rPr>
        <w:t xml:space="preserve"> betrachtet die Zeitspanne zwischen Diagnosestellung und Datum </w:t>
      </w:r>
      <w:r w:rsidRPr="00812C16">
        <w:rPr>
          <w:rFonts w:cs="Arial"/>
        </w:rPr>
        <w:lastRenderedPageBreak/>
        <w:t xml:space="preserve">des Rezidivs, das bedeutet Lokalrezidiv oder Fernmetastasen. Patienten, die kein Rezidiv erlitten oder verstarben, wurden zensiert. </w:t>
      </w:r>
    </w:p>
    <w:p w14:paraId="3E7564CA" w14:textId="77777777" w:rsidR="00D12F25" w:rsidRPr="00812C16" w:rsidRDefault="00D12F25" w:rsidP="00EC0B1A">
      <w:pPr>
        <w:spacing w:after="0"/>
        <w:jc w:val="left"/>
        <w:rPr>
          <w:rFonts w:cs="Arial"/>
        </w:rPr>
      </w:pPr>
    </w:p>
    <w:p w14:paraId="38A862E3" w14:textId="77777777" w:rsidR="003300A6" w:rsidRPr="00812C16" w:rsidRDefault="003300A6" w:rsidP="00EC0B1A">
      <w:pPr>
        <w:spacing w:after="0"/>
        <w:jc w:val="left"/>
        <w:rPr>
          <w:rFonts w:cs="Arial"/>
        </w:rPr>
      </w:pPr>
      <w:r w:rsidRPr="00812C16">
        <w:rPr>
          <w:rFonts w:cs="Arial"/>
        </w:rPr>
        <w:t xml:space="preserve">Es wurden verschiedene klinische und biologische Faktoren bezüglich ihrer Auswirkung auf die jeweiligen Endpunkte überprüft und die jeweiligen </w:t>
      </w:r>
      <w:proofErr w:type="spellStart"/>
      <w:r w:rsidRPr="00812C16">
        <w:rPr>
          <w:rFonts w:cs="Arial"/>
        </w:rPr>
        <w:t>Ereigniszietzen</w:t>
      </w:r>
      <w:proofErr w:type="spellEnd"/>
      <w:r w:rsidRPr="00812C16">
        <w:rPr>
          <w:rFonts w:cs="Arial"/>
        </w:rPr>
        <w:t xml:space="preserve"> mit der Kaplan-Maier-Methode geschätzt. </w:t>
      </w:r>
    </w:p>
    <w:p w14:paraId="2EE67F93" w14:textId="77777777" w:rsidR="003300A6" w:rsidRPr="00812C16" w:rsidRDefault="003300A6" w:rsidP="00EC0B1A">
      <w:pPr>
        <w:spacing w:after="0"/>
        <w:jc w:val="left"/>
        <w:rPr>
          <w:rFonts w:cs="Arial"/>
        </w:rPr>
      </w:pPr>
    </w:p>
    <w:p w14:paraId="5BB8ED76" w14:textId="77777777" w:rsidR="003300A6" w:rsidRPr="00812C16" w:rsidRDefault="003300A6" w:rsidP="00EC0B1A">
      <w:pPr>
        <w:spacing w:after="0"/>
        <w:jc w:val="left"/>
        <w:rPr>
          <w:rFonts w:cs="Arial"/>
        </w:rPr>
      </w:pPr>
      <w:r w:rsidRPr="00812C16">
        <w:rPr>
          <w:rFonts w:cs="Arial"/>
        </w:rPr>
        <w:t xml:space="preserve"> </w:t>
      </w:r>
    </w:p>
    <w:p w14:paraId="607AB782" w14:textId="77777777" w:rsidR="00EC0B1A" w:rsidRPr="00812C16" w:rsidRDefault="00EC0B1A" w:rsidP="00EC0B1A">
      <w:pPr>
        <w:spacing w:after="0"/>
        <w:jc w:val="left"/>
        <w:rPr>
          <w:rFonts w:cs="Arial"/>
        </w:rPr>
      </w:pPr>
      <w:proofErr w:type="spellStart"/>
      <w:r w:rsidRPr="00812C16">
        <w:rPr>
          <w:rFonts w:cs="Arial"/>
        </w:rPr>
        <w:t>Überlebensraten</w:t>
      </w:r>
      <w:proofErr w:type="spellEnd"/>
      <w:r w:rsidR="00C23DFB" w:rsidRPr="00812C16">
        <w:rPr>
          <w:rFonts w:cs="Arial"/>
        </w:rPr>
        <w:t xml:space="preserve"> (Überlebenswahrscheinlichkeiten)</w:t>
      </w:r>
      <w:r w:rsidRPr="00812C16">
        <w:rPr>
          <w:rFonts w:cs="Arial"/>
        </w:rPr>
        <w:t xml:space="preserve"> wurden </w:t>
      </w:r>
      <w:proofErr w:type="spellStart"/>
      <w:r w:rsidRPr="00812C16">
        <w:rPr>
          <w:rFonts w:cs="Arial"/>
        </w:rPr>
        <w:t>für</w:t>
      </w:r>
      <w:proofErr w:type="spellEnd"/>
      <w:r w:rsidRPr="00812C16">
        <w:rPr>
          <w:rFonts w:cs="Arial"/>
        </w:rPr>
        <w:t xml:space="preserve"> folgende 17 </w:t>
      </w:r>
      <w:r w:rsidR="00C23DFB" w:rsidRPr="00812C16">
        <w:rPr>
          <w:rFonts w:cs="Arial"/>
        </w:rPr>
        <w:t>Faktoren</w:t>
      </w:r>
      <w:r w:rsidRPr="00812C16">
        <w:rPr>
          <w:rFonts w:cs="Arial"/>
        </w:rPr>
        <w:t xml:space="preserve"> vergleichend berechnet: gesamt, Alter, Geschlecht, Lokalisationen, Stadium, Therapiekategorien, T-Stadium, N-Stadium, M-Stadium, Operation, Bestrahlung, Chemotherapie und Rezidiv. Prognostische Faktoren </w:t>
      </w:r>
      <w:proofErr w:type="spellStart"/>
      <w:r w:rsidRPr="00812C16">
        <w:rPr>
          <w:rFonts w:cs="Arial"/>
        </w:rPr>
        <w:t>für</w:t>
      </w:r>
      <w:proofErr w:type="spellEnd"/>
      <w:r w:rsidRPr="00812C16">
        <w:rPr>
          <w:rFonts w:cs="Arial"/>
        </w:rPr>
        <w:t xml:space="preserve"> das </w:t>
      </w:r>
      <w:proofErr w:type="spellStart"/>
      <w:r w:rsidRPr="00812C16">
        <w:rPr>
          <w:rFonts w:cs="Arial"/>
        </w:rPr>
        <w:t>Gesamtüberleben</w:t>
      </w:r>
      <w:proofErr w:type="spellEnd"/>
      <w:r w:rsidRPr="00812C16">
        <w:rPr>
          <w:rFonts w:cs="Arial"/>
        </w:rPr>
        <w:t xml:space="preserve"> und das </w:t>
      </w:r>
      <w:proofErr w:type="spellStart"/>
      <w:r w:rsidRPr="00812C16">
        <w:rPr>
          <w:rFonts w:cs="Arial"/>
        </w:rPr>
        <w:t>rezidivfreie</w:t>
      </w:r>
      <w:proofErr w:type="spellEnd"/>
      <w:r w:rsidRPr="00812C16">
        <w:rPr>
          <w:rFonts w:cs="Arial"/>
        </w:rPr>
        <w:t xml:space="preserve"> </w:t>
      </w:r>
      <w:proofErr w:type="spellStart"/>
      <w:r w:rsidRPr="00812C16">
        <w:rPr>
          <w:rFonts w:cs="Arial"/>
        </w:rPr>
        <w:t>Überleben</w:t>
      </w:r>
      <w:proofErr w:type="spellEnd"/>
      <w:r w:rsidRPr="00812C16">
        <w:rPr>
          <w:rFonts w:cs="Arial"/>
        </w:rPr>
        <w:t xml:space="preserve"> wurden in univariaten Analysen mithilfe des Log-Rank-Tests ermittelt. Als statistisch signifikant galt ein p-Wert von kleiner oder gleich 0,05. Hier wurden Alter, Geschlecht, Lokalisationen, Stadium, T-Stadium, N-Stadium, M-Stadium, Therapiekategorien, Operation, Bestrahlung, Chemotherapie untersucht. </w:t>
      </w:r>
      <w:proofErr w:type="spellStart"/>
      <w:r w:rsidRPr="00812C16">
        <w:rPr>
          <w:rFonts w:cs="Arial"/>
        </w:rPr>
        <w:t>Für</w:t>
      </w:r>
      <w:proofErr w:type="spellEnd"/>
      <w:r w:rsidRPr="00812C16">
        <w:rPr>
          <w:rFonts w:cs="Arial"/>
        </w:rPr>
        <w:t xml:space="preserve"> das </w:t>
      </w:r>
      <w:proofErr w:type="spellStart"/>
      <w:r w:rsidRPr="00812C16">
        <w:rPr>
          <w:rFonts w:cs="Arial"/>
        </w:rPr>
        <w:t>Gesamtüberleben</w:t>
      </w:r>
      <w:proofErr w:type="spellEnd"/>
      <w:r w:rsidRPr="00812C16">
        <w:rPr>
          <w:rFonts w:cs="Arial"/>
        </w:rPr>
        <w:t xml:space="preserve"> wurde außerdem der Parameter Rezidiv betrachtet. Statistisch </w:t>
      </w:r>
      <w:proofErr w:type="spellStart"/>
      <w:r w:rsidRPr="00812C16">
        <w:rPr>
          <w:rFonts w:cs="Arial"/>
        </w:rPr>
        <w:t>signi</w:t>
      </w:r>
      <w:proofErr w:type="spellEnd"/>
      <w:r w:rsidRPr="00812C16">
        <w:rPr>
          <w:rFonts w:cs="Arial"/>
        </w:rPr>
        <w:t xml:space="preserve">- </w:t>
      </w:r>
      <w:proofErr w:type="spellStart"/>
      <w:r w:rsidRPr="00812C16">
        <w:rPr>
          <w:rFonts w:cs="Arial"/>
        </w:rPr>
        <w:t>fikante</w:t>
      </w:r>
      <w:proofErr w:type="spellEnd"/>
      <w:r w:rsidRPr="00812C16">
        <w:rPr>
          <w:rFonts w:cs="Arial"/>
        </w:rPr>
        <w:t xml:space="preserve"> prognostische Faktoren wurden einer Regressionsanalyse nach Cox </w:t>
      </w:r>
      <w:proofErr w:type="spellStart"/>
      <w:r w:rsidRPr="00812C16">
        <w:rPr>
          <w:rFonts w:cs="Arial"/>
        </w:rPr>
        <w:t>zugeführt</w:t>
      </w:r>
      <w:proofErr w:type="spellEnd"/>
      <w:r w:rsidRPr="00812C16">
        <w:rPr>
          <w:rFonts w:cs="Arial"/>
        </w:rPr>
        <w:t xml:space="preserve">. In dieser multivariaten Analyse wurde ein p-Wert von kleiner oder gleich 0,05 als statistisch signifikant gewertet. Hierbei wurden folgende Parameter in die Analyse ein- geschlossen: Alter, Geschlecht, Lokalisationen, Stadium, T-Stadium, N-Stadium, </w:t>
      </w:r>
    </w:p>
    <w:p w14:paraId="5EDEE8CA" w14:textId="77777777" w:rsidR="00A90AB4" w:rsidRPr="00812C16" w:rsidRDefault="00EC0B1A" w:rsidP="00EC0B1A">
      <w:pPr>
        <w:spacing w:after="0"/>
        <w:jc w:val="left"/>
        <w:rPr>
          <w:rFonts w:cs="Arial"/>
        </w:rPr>
        <w:sectPr w:rsidR="00A90AB4" w:rsidRPr="00812C16" w:rsidSect="00AB18EC">
          <w:headerReference w:type="default" r:id="rId18"/>
          <w:type w:val="continuous"/>
          <w:pgSz w:w="11906" w:h="16838"/>
          <w:pgMar w:top="1418" w:right="1418" w:bottom="1134" w:left="1418" w:header="709" w:footer="709" w:gutter="0"/>
          <w:pgNumType w:fmt="numberInDash"/>
          <w:cols w:space="708"/>
          <w:docGrid w:linePitch="360"/>
        </w:sectPr>
      </w:pPr>
      <w:r w:rsidRPr="00812C16">
        <w:rPr>
          <w:rFonts w:cs="Arial"/>
        </w:rPr>
        <w:t xml:space="preserve">M-Stadium, Therapiekategorien, Operation, Bestrahlung, Chemotherapie. </w:t>
      </w:r>
    </w:p>
    <w:p w14:paraId="2895832C" w14:textId="77777777" w:rsidR="00EC0B1A" w:rsidRPr="00812C16" w:rsidRDefault="00EC0B1A" w:rsidP="00EC0B1A">
      <w:pPr>
        <w:spacing w:after="0"/>
        <w:jc w:val="left"/>
        <w:rPr>
          <w:rFonts w:cs="Arial"/>
        </w:rPr>
      </w:pPr>
    </w:p>
    <w:p w14:paraId="0AD5F725" w14:textId="77777777" w:rsidR="003C0324" w:rsidRPr="00812C16" w:rsidRDefault="00265BC5" w:rsidP="00265BC5">
      <w:pPr>
        <w:spacing w:after="0"/>
        <w:jc w:val="left"/>
        <w:rPr>
          <w:rFonts w:cs="Arial"/>
        </w:rPr>
      </w:pPr>
      <w:r w:rsidRPr="00812C16">
        <w:rPr>
          <w:rFonts w:cs="Arial"/>
        </w:rPr>
        <w:br w:type="page"/>
      </w:r>
    </w:p>
    <w:p w14:paraId="4D76F6D8" w14:textId="77777777" w:rsidR="00736D31" w:rsidRPr="00812C16" w:rsidRDefault="00A45D65" w:rsidP="00A87681">
      <w:pPr>
        <w:pStyle w:val="berschrift1"/>
        <w:ind w:left="709" w:hanging="709"/>
        <w:rPr>
          <w:rFonts w:cs="Arial"/>
        </w:rPr>
      </w:pPr>
      <w:bookmarkStart w:id="42" w:name="_Toc158006534"/>
      <w:r w:rsidRPr="00812C16">
        <w:rPr>
          <w:rFonts w:cs="Arial"/>
        </w:rPr>
        <w:lastRenderedPageBreak/>
        <w:t>Ergebnisse</w:t>
      </w:r>
      <w:bookmarkEnd w:id="42"/>
      <w:r w:rsidRPr="00812C16">
        <w:rPr>
          <w:rFonts w:cs="Arial"/>
        </w:rPr>
        <w:t xml:space="preserve"> </w:t>
      </w:r>
    </w:p>
    <w:p w14:paraId="67E8A358" w14:textId="77777777" w:rsidR="00081187" w:rsidRPr="00812C16" w:rsidRDefault="005935C0" w:rsidP="001C31C3">
      <w:pPr>
        <w:pStyle w:val="berschrift2"/>
        <w:spacing w:before="240"/>
        <w:ind w:left="357" w:hanging="357"/>
        <w:rPr>
          <w:rFonts w:cs="Arial"/>
        </w:rPr>
      </w:pPr>
      <w:bookmarkStart w:id="43" w:name="_Toc158006535"/>
      <w:r w:rsidRPr="00812C16">
        <w:rPr>
          <w:rFonts w:cs="Arial"/>
        </w:rPr>
        <w:t xml:space="preserve">Deskriptive </w:t>
      </w:r>
      <w:r w:rsidR="00081187" w:rsidRPr="00812C16">
        <w:rPr>
          <w:rFonts w:cs="Arial"/>
        </w:rPr>
        <w:t>Analyse der Studienpopulation</w:t>
      </w:r>
      <w:bookmarkEnd w:id="43"/>
      <w:r w:rsidR="00081187" w:rsidRPr="00812C16">
        <w:rPr>
          <w:rFonts w:cs="Arial"/>
        </w:rPr>
        <w:t xml:space="preserve"> </w:t>
      </w:r>
    </w:p>
    <w:p w14:paraId="62CF4FDE" w14:textId="77777777" w:rsidR="003300A6" w:rsidRPr="00812C16" w:rsidRDefault="003300A6" w:rsidP="00A87681">
      <w:pPr>
        <w:spacing w:after="0"/>
        <w:rPr>
          <w:rFonts w:cs="Arial"/>
          <w:lang w:eastAsia="de-DE"/>
        </w:rPr>
      </w:pPr>
      <w:r w:rsidRPr="00812C16">
        <w:rPr>
          <w:rFonts w:cs="Arial"/>
          <w:lang w:eastAsia="de-DE"/>
        </w:rPr>
        <w:t>Im Folgenden wird zunächst auf die deskriptive Statistik eingegangen, hiernach erfolgt die</w:t>
      </w:r>
      <w:r w:rsidR="000F7CB9" w:rsidRPr="00812C16">
        <w:rPr>
          <w:rFonts w:cs="Arial"/>
          <w:lang w:eastAsia="de-DE"/>
        </w:rPr>
        <w:t xml:space="preserve"> </w:t>
      </w:r>
      <w:r w:rsidRPr="00812C16">
        <w:rPr>
          <w:rFonts w:cs="Arial"/>
          <w:lang w:eastAsia="de-DE"/>
        </w:rPr>
        <w:t>Untersuchung der Überleben</w:t>
      </w:r>
      <w:r w:rsidR="00CC161A" w:rsidRPr="00812C16">
        <w:rPr>
          <w:rFonts w:cs="Arial"/>
          <w:lang w:eastAsia="de-DE"/>
        </w:rPr>
        <w:t>s</w:t>
      </w:r>
      <w:r w:rsidR="001B1F9F" w:rsidRPr="00812C16">
        <w:rPr>
          <w:rFonts w:cs="Arial"/>
          <w:lang w:eastAsia="de-DE"/>
        </w:rPr>
        <w:t>zeit</w:t>
      </w:r>
      <w:r w:rsidR="00CC161A" w:rsidRPr="00812C16">
        <w:rPr>
          <w:rFonts w:cs="Arial"/>
          <w:lang w:eastAsia="de-DE"/>
        </w:rPr>
        <w:t>daten</w:t>
      </w:r>
      <w:r w:rsidR="001B1F9F" w:rsidRPr="00812C16">
        <w:rPr>
          <w:rFonts w:cs="Arial"/>
          <w:lang w:eastAsia="de-DE"/>
        </w:rPr>
        <w:t xml:space="preserve"> bzw. Ereigniszeitdaten.</w:t>
      </w:r>
    </w:p>
    <w:p w14:paraId="4637DCE0" w14:textId="77777777" w:rsidR="000E3B77" w:rsidRPr="00812C16" w:rsidRDefault="00897395" w:rsidP="005547D3">
      <w:pPr>
        <w:pStyle w:val="berschrift3"/>
      </w:pPr>
      <w:bookmarkStart w:id="44" w:name="_Toc158006536"/>
      <w:r w:rsidRPr="00812C16">
        <w:t>Patienten</w:t>
      </w:r>
      <w:r w:rsidR="00A466B5" w:rsidRPr="00812C16">
        <w:t xml:space="preserve">merkmale </w:t>
      </w:r>
      <w:r w:rsidR="00F21B00" w:rsidRPr="00812C16">
        <w:t>und Tumorch</w:t>
      </w:r>
      <w:r w:rsidR="00526D88" w:rsidRPr="00812C16">
        <w:t>a</w:t>
      </w:r>
      <w:r w:rsidR="00F21B00" w:rsidRPr="00812C16">
        <w:t>rakteristik</w:t>
      </w:r>
      <w:bookmarkEnd w:id="44"/>
    </w:p>
    <w:p w14:paraId="6821666C" w14:textId="77476262" w:rsidR="00CC161A" w:rsidRPr="00812C16" w:rsidRDefault="00AE4BE7" w:rsidP="009031AF">
      <w:pPr>
        <w:spacing w:after="360"/>
        <w:rPr>
          <w:rFonts w:cs="Arial"/>
        </w:rPr>
      </w:pPr>
      <w:r w:rsidRPr="00812C16">
        <w:rPr>
          <w:rFonts w:cs="Arial"/>
        </w:rPr>
        <w:t>Im Rahmen dieser multizentrischen retrospektiven Studie wurden 221 Patienten, die wegen eines lokal fortgeschrittenen Kopf-Hals-Plattenepithelkarzinoms eine postoperative Radiochemotherapie erhalten haben, untersucht</w:t>
      </w:r>
      <w:r w:rsidR="00B75AFB" w:rsidRPr="00812C16">
        <w:rPr>
          <w:rFonts w:cs="Arial"/>
        </w:rPr>
        <w:t xml:space="preserve">. Die allgemeinen Patientenmerkmale sind in </w:t>
      </w:r>
      <w:r w:rsidR="00B75AFB" w:rsidRPr="00812C16">
        <w:rPr>
          <w:rStyle w:val="apple-converted-space"/>
          <w:rFonts w:cs="Arial"/>
          <w:color w:val="2E2E2E"/>
        </w:rPr>
        <w:fldChar w:fldCharType="begin"/>
      </w:r>
      <w:r w:rsidR="00B75AFB" w:rsidRPr="00812C16">
        <w:rPr>
          <w:rStyle w:val="apple-converted-space"/>
          <w:rFonts w:cs="Arial"/>
          <w:color w:val="2E2E2E"/>
        </w:rPr>
        <w:instrText xml:space="preserve"> REF _Ref85362175 \h </w:instrText>
      </w:r>
      <w:r w:rsidR="00B75AFB" w:rsidRPr="00812C16">
        <w:rPr>
          <w:rFonts w:cs="Arial"/>
        </w:rPr>
        <w:instrText xml:space="preserve"> \* MERGEFORMAT </w:instrText>
      </w:r>
      <w:r w:rsidR="00B75AFB" w:rsidRPr="00812C16">
        <w:rPr>
          <w:rStyle w:val="apple-converted-space"/>
          <w:rFonts w:cs="Arial"/>
          <w:color w:val="2E2E2E"/>
        </w:rPr>
      </w:r>
      <w:r w:rsidR="00B75AFB" w:rsidRPr="00812C16">
        <w:rPr>
          <w:rStyle w:val="apple-converted-space"/>
          <w:rFonts w:cs="Arial"/>
          <w:color w:val="2E2E2E"/>
        </w:rPr>
        <w:fldChar w:fldCharType="separate"/>
      </w:r>
      <w:r w:rsidR="00F67803" w:rsidRPr="00F67803">
        <w:rPr>
          <w:rFonts w:cs="Arial"/>
        </w:rPr>
        <w:t xml:space="preserve">Tabelle </w:t>
      </w:r>
      <w:r w:rsidR="00F67803" w:rsidRPr="00F67803">
        <w:rPr>
          <w:rFonts w:cs="Arial"/>
          <w:noProof/>
        </w:rPr>
        <w:t>4</w:t>
      </w:r>
      <w:r w:rsidR="00F67803" w:rsidRPr="00F67803">
        <w:rPr>
          <w:rFonts w:cs="Arial"/>
          <w:noProof/>
        </w:rPr>
        <w:noBreakHyphen/>
        <w:t>1</w:t>
      </w:r>
      <w:r w:rsidR="00B75AFB" w:rsidRPr="00812C16">
        <w:rPr>
          <w:rStyle w:val="apple-converted-space"/>
          <w:rFonts w:cs="Arial"/>
          <w:color w:val="2E2E2E"/>
        </w:rPr>
        <w:fldChar w:fldCharType="end"/>
      </w:r>
      <w:r w:rsidR="00B75AFB" w:rsidRPr="00812C16">
        <w:rPr>
          <w:rFonts w:cs="Arial"/>
        </w:rPr>
        <w:t xml:space="preserve"> zusammengefasst. </w:t>
      </w:r>
      <w:r w:rsidR="003300A6" w:rsidRPr="00812C16">
        <w:rPr>
          <w:rFonts w:cs="Arial"/>
        </w:rPr>
        <w:t>Das mediane Alter zu Beginn der Strahlentherapie</w:t>
      </w:r>
      <w:r w:rsidR="009031AF" w:rsidRPr="00812C16">
        <w:rPr>
          <w:rFonts w:cs="Arial"/>
        </w:rPr>
        <w:t xml:space="preserve"> </w:t>
      </w:r>
      <w:r w:rsidR="003300A6" w:rsidRPr="00812C16">
        <w:rPr>
          <w:rFonts w:cs="Arial"/>
        </w:rPr>
        <w:t xml:space="preserve">lag bei </w:t>
      </w:r>
      <w:r w:rsidR="000049BF" w:rsidRPr="00812C16">
        <w:rPr>
          <w:rFonts w:cs="Arial"/>
        </w:rPr>
        <w:t>56</w:t>
      </w:r>
      <w:r w:rsidR="0036194B" w:rsidRPr="00812C16">
        <w:rPr>
          <w:rFonts w:cs="Arial"/>
        </w:rPr>
        <w:t>,</w:t>
      </w:r>
      <w:r w:rsidR="000049BF" w:rsidRPr="00812C16">
        <w:rPr>
          <w:rFonts w:cs="Arial"/>
        </w:rPr>
        <w:t>5</w:t>
      </w:r>
      <w:r w:rsidR="003300A6" w:rsidRPr="00812C16">
        <w:rPr>
          <w:rFonts w:cs="Arial"/>
        </w:rPr>
        <w:t xml:space="preserve"> Jahren.</w:t>
      </w:r>
      <w:r w:rsidR="0036194B" w:rsidRPr="00812C16">
        <w:rPr>
          <w:rFonts w:cs="Arial"/>
        </w:rPr>
        <w:t xml:space="preserve"> Die Altersspanne reichte von 27 bis 76 Jahre.</w:t>
      </w:r>
      <w:r w:rsidR="003300A6" w:rsidRPr="00812C16">
        <w:rPr>
          <w:rFonts w:cs="Arial"/>
        </w:rPr>
        <w:t xml:space="preserve"> Das Patientenkollektiv bestand zu </w:t>
      </w:r>
      <w:r w:rsidR="000049BF" w:rsidRPr="00812C16">
        <w:rPr>
          <w:rFonts w:cs="Arial"/>
        </w:rPr>
        <w:t>81</w:t>
      </w:r>
      <w:r w:rsidR="009D0CD3" w:rsidRPr="00812C16">
        <w:rPr>
          <w:rFonts w:cs="Arial"/>
        </w:rPr>
        <w:t>,</w:t>
      </w:r>
      <w:r w:rsidR="000049BF" w:rsidRPr="00812C16">
        <w:rPr>
          <w:rFonts w:cs="Arial"/>
        </w:rPr>
        <w:t>4</w:t>
      </w:r>
      <w:r w:rsidR="003300A6" w:rsidRPr="00812C16">
        <w:rPr>
          <w:rFonts w:cs="Arial"/>
        </w:rPr>
        <w:t>% (n=1</w:t>
      </w:r>
      <w:r w:rsidR="000049BF" w:rsidRPr="00812C16">
        <w:rPr>
          <w:rFonts w:cs="Arial"/>
        </w:rPr>
        <w:t>80</w:t>
      </w:r>
      <w:r w:rsidR="003300A6" w:rsidRPr="00812C16">
        <w:rPr>
          <w:rFonts w:cs="Arial"/>
        </w:rPr>
        <w:t xml:space="preserve">) aus Männern und zu </w:t>
      </w:r>
      <w:r w:rsidR="009D0CD3" w:rsidRPr="00812C16">
        <w:rPr>
          <w:rFonts w:cs="Arial"/>
        </w:rPr>
        <w:t xml:space="preserve">     </w:t>
      </w:r>
      <w:r w:rsidR="000049BF" w:rsidRPr="00812C16">
        <w:rPr>
          <w:rFonts w:cs="Arial"/>
        </w:rPr>
        <w:t>18</w:t>
      </w:r>
      <w:r w:rsidR="009D0CD3" w:rsidRPr="00812C16">
        <w:rPr>
          <w:rFonts w:cs="Arial"/>
        </w:rPr>
        <w:t>,</w:t>
      </w:r>
      <w:r w:rsidR="000049BF" w:rsidRPr="00812C16">
        <w:rPr>
          <w:rFonts w:cs="Arial"/>
        </w:rPr>
        <w:t>6</w:t>
      </w:r>
      <w:r w:rsidR="003300A6" w:rsidRPr="00812C16">
        <w:rPr>
          <w:rFonts w:cs="Arial"/>
        </w:rPr>
        <w:t>% (n=</w:t>
      </w:r>
      <w:r w:rsidR="000049BF" w:rsidRPr="00812C16">
        <w:rPr>
          <w:rFonts w:cs="Arial"/>
        </w:rPr>
        <w:t>41</w:t>
      </w:r>
      <w:r w:rsidR="003300A6" w:rsidRPr="00812C16">
        <w:rPr>
          <w:rFonts w:cs="Arial"/>
        </w:rPr>
        <w:t>) aus Frauen.</w:t>
      </w:r>
      <w:r w:rsidR="000049BF" w:rsidRPr="00812C16">
        <w:rPr>
          <w:rFonts w:cs="Arial"/>
        </w:rPr>
        <w:t xml:space="preserve"> </w:t>
      </w:r>
      <w:r w:rsidR="00A466B5" w:rsidRPr="00812C16">
        <w:rPr>
          <w:rFonts w:cs="Arial"/>
          <w:lang w:eastAsia="de-DE"/>
        </w:rPr>
        <w:t xml:space="preserve">Die Informationen bezüglich des Zigaretten- und Alkoholkonsums </w:t>
      </w:r>
      <w:r w:rsidR="00B75AFB" w:rsidRPr="00812C16">
        <w:rPr>
          <w:rFonts w:cs="Arial"/>
          <w:lang w:eastAsia="de-DE"/>
        </w:rPr>
        <w:t>war nur inko</w:t>
      </w:r>
      <w:r w:rsidR="00525CF5" w:rsidRPr="00812C16">
        <w:rPr>
          <w:rFonts w:cs="Arial"/>
          <w:lang w:eastAsia="de-DE"/>
        </w:rPr>
        <w:t>nsequent</w:t>
      </w:r>
      <w:r w:rsidR="00B75AFB" w:rsidRPr="00812C16">
        <w:rPr>
          <w:rFonts w:cs="Arial"/>
          <w:lang w:eastAsia="de-DE"/>
        </w:rPr>
        <w:t xml:space="preserve"> von allen Patienten </w:t>
      </w:r>
      <w:proofErr w:type="spellStart"/>
      <w:r w:rsidR="00525CF5" w:rsidRPr="00812C16">
        <w:rPr>
          <w:rFonts w:cs="Arial"/>
          <w:lang w:eastAsia="de-DE"/>
        </w:rPr>
        <w:t>eruierbar</w:t>
      </w:r>
      <w:proofErr w:type="spellEnd"/>
      <w:r w:rsidR="00A466B5" w:rsidRPr="00812C16">
        <w:rPr>
          <w:rFonts w:cs="Arial"/>
          <w:lang w:eastAsia="de-DE"/>
        </w:rPr>
        <w:t>.</w:t>
      </w:r>
      <w:r w:rsidR="0008440A" w:rsidRPr="00812C16">
        <w:rPr>
          <w:rFonts w:cs="Arial"/>
          <w:lang w:eastAsia="de-DE"/>
        </w:rPr>
        <w:t xml:space="preserve"> </w:t>
      </w:r>
      <w:r w:rsidR="00CC161A" w:rsidRPr="00812C16">
        <w:rPr>
          <w:rFonts w:cs="Arial"/>
          <w:lang w:eastAsia="de-DE"/>
        </w:rPr>
        <w:t xml:space="preserve">Ein Großteil der Patienten </w:t>
      </w:r>
      <w:r w:rsidR="002544B9" w:rsidRPr="00812C16">
        <w:rPr>
          <w:rFonts w:cs="Arial"/>
          <w:lang w:eastAsia="de-DE"/>
        </w:rPr>
        <w:t>(</w:t>
      </w:r>
      <w:r w:rsidR="007E63A6" w:rsidRPr="00812C16">
        <w:rPr>
          <w:rFonts w:cs="Arial"/>
          <w:lang w:eastAsia="de-DE"/>
        </w:rPr>
        <w:t>48,4</w:t>
      </w:r>
      <w:r w:rsidR="002544B9" w:rsidRPr="00812C16">
        <w:rPr>
          <w:rFonts w:cs="Arial"/>
          <w:lang w:eastAsia="de-DE"/>
        </w:rPr>
        <w:t xml:space="preserve">%) </w:t>
      </w:r>
      <w:r w:rsidR="00CC161A" w:rsidRPr="00812C16">
        <w:rPr>
          <w:rFonts w:cs="Arial"/>
          <w:lang w:eastAsia="de-DE"/>
        </w:rPr>
        <w:t>gab regelmäßigen Tabakgebrau</w:t>
      </w:r>
      <w:r w:rsidR="002544B9" w:rsidRPr="00812C16">
        <w:rPr>
          <w:rFonts w:cs="Arial"/>
          <w:lang w:eastAsia="de-DE"/>
        </w:rPr>
        <w:t>c</w:t>
      </w:r>
      <w:r w:rsidR="00CC161A" w:rsidRPr="00812C16">
        <w:rPr>
          <w:rFonts w:cs="Arial"/>
          <w:lang w:eastAsia="de-DE"/>
        </w:rPr>
        <w:t xml:space="preserve">h während der </w:t>
      </w:r>
      <w:r w:rsidR="002544B9" w:rsidRPr="00812C16">
        <w:rPr>
          <w:rFonts w:cs="Arial"/>
          <w:lang w:eastAsia="de-DE"/>
        </w:rPr>
        <w:t>Behandlung</w:t>
      </w:r>
      <w:r w:rsidR="00CC161A" w:rsidRPr="00812C16">
        <w:rPr>
          <w:rFonts w:cs="Arial"/>
          <w:lang w:eastAsia="de-DE"/>
        </w:rPr>
        <w:t xml:space="preserve"> oder in der V</w:t>
      </w:r>
      <w:r w:rsidR="002544B9" w:rsidRPr="00812C16">
        <w:rPr>
          <w:rFonts w:cs="Arial"/>
          <w:lang w:eastAsia="de-DE"/>
        </w:rPr>
        <w:t>e</w:t>
      </w:r>
      <w:r w:rsidR="00CC161A" w:rsidRPr="00812C16">
        <w:rPr>
          <w:rFonts w:cs="Arial"/>
          <w:lang w:eastAsia="de-DE"/>
        </w:rPr>
        <w:t>rgang</w:t>
      </w:r>
      <w:r w:rsidR="002544B9" w:rsidRPr="00812C16">
        <w:rPr>
          <w:rFonts w:cs="Arial"/>
          <w:lang w:eastAsia="de-DE"/>
        </w:rPr>
        <w:t>en</w:t>
      </w:r>
      <w:r w:rsidR="00CC161A" w:rsidRPr="00812C16">
        <w:rPr>
          <w:rFonts w:cs="Arial"/>
          <w:lang w:eastAsia="de-DE"/>
        </w:rPr>
        <w:t>heit an.</w:t>
      </w:r>
      <w:r w:rsidR="002544B9" w:rsidRPr="00812C16">
        <w:rPr>
          <w:rFonts w:cs="Arial"/>
          <w:lang w:eastAsia="de-DE"/>
        </w:rPr>
        <w:t xml:space="preserve"> </w:t>
      </w:r>
      <w:r w:rsidR="00CC161A" w:rsidRPr="00812C16">
        <w:rPr>
          <w:rFonts w:cs="Arial"/>
        </w:rPr>
        <w:t xml:space="preserve">Aussagen zum regelmäßigen Alkoholkonsum vor und während des Beobachtungszeitraum </w:t>
      </w:r>
      <w:r w:rsidR="009031AF" w:rsidRPr="00812C16">
        <w:rPr>
          <w:rFonts w:cs="Arial"/>
        </w:rPr>
        <w:t>wurden nicht erhoben</w:t>
      </w:r>
      <w:r w:rsidR="00CC161A" w:rsidRPr="00812C16">
        <w:rPr>
          <w:rFonts w:cs="Arial"/>
        </w:rPr>
        <w:t xml:space="preserve">. </w:t>
      </w:r>
    </w:p>
    <w:p w14:paraId="64633066" w14:textId="4BFE4FCA" w:rsidR="00062BF3" w:rsidRPr="00812C16" w:rsidRDefault="00062BF3" w:rsidP="008D3AE7">
      <w:pPr>
        <w:pStyle w:val="Beschriftung"/>
        <w:spacing w:before="120" w:after="0"/>
        <w:contextualSpacing/>
        <w:rPr>
          <w:rFonts w:cs="Arial"/>
          <w:b/>
          <w:bCs/>
          <w:i w:val="0"/>
          <w:iCs w:val="0"/>
          <w:color w:val="auto"/>
          <w:sz w:val="24"/>
          <w:szCs w:val="24"/>
        </w:rPr>
      </w:pPr>
      <w:bookmarkStart w:id="45" w:name="_Ref85362175"/>
      <w:bookmarkStart w:id="46" w:name="_Toc180788391"/>
      <w:r w:rsidRPr="00812C16">
        <w:rPr>
          <w:rFonts w:cs="Arial"/>
          <w:b/>
          <w:bCs/>
          <w:i w:val="0"/>
          <w:iCs w:val="0"/>
          <w:color w:val="auto"/>
          <w:sz w:val="21"/>
          <w:szCs w:val="21"/>
        </w:rPr>
        <w:t xml:space="preserve">Tabelle </w:t>
      </w:r>
      <w:r w:rsidR="00A126D9" w:rsidRPr="00812C16">
        <w:rPr>
          <w:rFonts w:cs="Arial"/>
          <w:b/>
          <w:bCs/>
          <w:i w:val="0"/>
          <w:iCs w:val="0"/>
          <w:color w:val="auto"/>
          <w:sz w:val="21"/>
          <w:szCs w:val="21"/>
        </w:rPr>
        <w:fldChar w:fldCharType="begin"/>
      </w:r>
      <w:r w:rsidR="00A126D9" w:rsidRPr="00812C16">
        <w:rPr>
          <w:rFonts w:cs="Arial"/>
          <w:b/>
          <w:bCs/>
          <w:i w:val="0"/>
          <w:iCs w:val="0"/>
          <w:color w:val="auto"/>
          <w:sz w:val="21"/>
          <w:szCs w:val="21"/>
        </w:rPr>
        <w:instrText xml:space="preserve"> STYLEREF 1 \s </w:instrText>
      </w:r>
      <w:r w:rsidR="00A126D9" w:rsidRPr="00812C16">
        <w:rPr>
          <w:rFonts w:cs="Arial"/>
          <w:b/>
          <w:bCs/>
          <w:i w:val="0"/>
          <w:iCs w:val="0"/>
          <w:color w:val="auto"/>
          <w:sz w:val="21"/>
          <w:szCs w:val="21"/>
        </w:rPr>
        <w:fldChar w:fldCharType="separate"/>
      </w:r>
      <w:r w:rsidR="00F67803">
        <w:rPr>
          <w:rFonts w:cs="Arial"/>
          <w:b/>
          <w:bCs/>
          <w:i w:val="0"/>
          <w:iCs w:val="0"/>
          <w:noProof/>
          <w:color w:val="auto"/>
          <w:sz w:val="21"/>
          <w:szCs w:val="21"/>
        </w:rPr>
        <w:t>4</w:t>
      </w:r>
      <w:r w:rsidR="00A126D9" w:rsidRPr="00812C16">
        <w:rPr>
          <w:rFonts w:cs="Arial"/>
          <w:b/>
          <w:bCs/>
          <w:i w:val="0"/>
          <w:iCs w:val="0"/>
          <w:color w:val="auto"/>
          <w:sz w:val="21"/>
          <w:szCs w:val="21"/>
        </w:rPr>
        <w:fldChar w:fldCharType="end"/>
      </w:r>
      <w:r w:rsidR="00A126D9" w:rsidRPr="00812C16">
        <w:rPr>
          <w:rFonts w:cs="Arial"/>
          <w:b/>
          <w:bCs/>
          <w:i w:val="0"/>
          <w:iCs w:val="0"/>
          <w:color w:val="auto"/>
          <w:sz w:val="21"/>
          <w:szCs w:val="21"/>
        </w:rPr>
        <w:noBreakHyphen/>
      </w:r>
      <w:r w:rsidR="00A126D9" w:rsidRPr="00812C16">
        <w:rPr>
          <w:rFonts w:cs="Arial"/>
          <w:b/>
          <w:bCs/>
          <w:i w:val="0"/>
          <w:iCs w:val="0"/>
          <w:color w:val="auto"/>
          <w:sz w:val="21"/>
          <w:szCs w:val="21"/>
        </w:rPr>
        <w:fldChar w:fldCharType="begin"/>
      </w:r>
      <w:r w:rsidR="00A126D9" w:rsidRPr="00812C16">
        <w:rPr>
          <w:rFonts w:cs="Arial"/>
          <w:b/>
          <w:bCs/>
          <w:i w:val="0"/>
          <w:iCs w:val="0"/>
          <w:color w:val="auto"/>
          <w:sz w:val="21"/>
          <w:szCs w:val="21"/>
        </w:rPr>
        <w:instrText xml:space="preserve"> SEQ Tabelle \* ARABIC \s 1 </w:instrText>
      </w:r>
      <w:r w:rsidR="00A126D9" w:rsidRPr="00812C16">
        <w:rPr>
          <w:rFonts w:cs="Arial"/>
          <w:b/>
          <w:bCs/>
          <w:i w:val="0"/>
          <w:iCs w:val="0"/>
          <w:color w:val="auto"/>
          <w:sz w:val="21"/>
          <w:szCs w:val="21"/>
        </w:rPr>
        <w:fldChar w:fldCharType="separate"/>
      </w:r>
      <w:r w:rsidR="00F67803">
        <w:rPr>
          <w:rFonts w:cs="Arial"/>
          <w:b/>
          <w:bCs/>
          <w:i w:val="0"/>
          <w:iCs w:val="0"/>
          <w:noProof/>
          <w:color w:val="auto"/>
          <w:sz w:val="21"/>
          <w:szCs w:val="21"/>
        </w:rPr>
        <w:t>1</w:t>
      </w:r>
      <w:r w:rsidR="00A126D9" w:rsidRPr="00812C16">
        <w:rPr>
          <w:rFonts w:cs="Arial"/>
          <w:b/>
          <w:bCs/>
          <w:i w:val="0"/>
          <w:iCs w:val="0"/>
          <w:color w:val="auto"/>
          <w:sz w:val="21"/>
          <w:szCs w:val="21"/>
        </w:rPr>
        <w:fldChar w:fldCharType="end"/>
      </w:r>
      <w:bookmarkEnd w:id="45"/>
      <w:r w:rsidRPr="00812C16">
        <w:rPr>
          <w:rFonts w:cs="Arial"/>
          <w:b/>
          <w:bCs/>
          <w:i w:val="0"/>
          <w:iCs w:val="0"/>
          <w:color w:val="auto"/>
          <w:sz w:val="21"/>
          <w:szCs w:val="21"/>
        </w:rPr>
        <w:t xml:space="preserve">: </w:t>
      </w:r>
      <w:r w:rsidR="00153A81" w:rsidRPr="00812C16">
        <w:rPr>
          <w:rFonts w:cs="Arial"/>
          <w:b/>
          <w:bCs/>
          <w:i w:val="0"/>
          <w:iCs w:val="0"/>
          <w:color w:val="auto"/>
          <w:sz w:val="21"/>
          <w:szCs w:val="21"/>
        </w:rPr>
        <w:t>Klinisch-pathologische Daten des Patientenkollektivs</w:t>
      </w:r>
      <w:bookmarkEnd w:id="46"/>
    </w:p>
    <w:tbl>
      <w:tblPr>
        <w:tblStyle w:val="EinfacheTabelle4"/>
        <w:tblW w:w="7796"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ayout w:type="fixed"/>
        <w:tblLook w:val="04A0" w:firstRow="1" w:lastRow="0" w:firstColumn="1" w:lastColumn="0" w:noHBand="0" w:noVBand="1"/>
      </w:tblPr>
      <w:tblGrid>
        <w:gridCol w:w="3196"/>
        <w:gridCol w:w="2695"/>
        <w:gridCol w:w="709"/>
        <w:gridCol w:w="1196"/>
      </w:tblGrid>
      <w:tr w:rsidR="002D612F" w:rsidRPr="00812C16" w14:paraId="4E414945" w14:textId="77777777" w:rsidTr="002D6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1" w:type="dxa"/>
            <w:gridSpan w:val="2"/>
            <w:shd w:val="clear" w:color="auto" w:fill="F7CAAC" w:themeFill="accent2" w:themeFillTint="66"/>
          </w:tcPr>
          <w:p w14:paraId="4C4499DD" w14:textId="635359B1" w:rsidR="002D612F" w:rsidRPr="00812C16" w:rsidRDefault="002D612F" w:rsidP="007E63A6">
            <w:pPr>
              <w:snapToGrid w:val="0"/>
              <w:spacing w:before="30" w:afterLines="30" w:after="72"/>
              <w:rPr>
                <w:rFonts w:cs="Arial"/>
                <w:sz w:val="20"/>
                <w:szCs w:val="20"/>
              </w:rPr>
            </w:pPr>
          </w:p>
        </w:tc>
        <w:tc>
          <w:tcPr>
            <w:tcW w:w="709" w:type="dxa"/>
            <w:shd w:val="clear" w:color="auto" w:fill="F7CAAC" w:themeFill="accent2" w:themeFillTint="66"/>
          </w:tcPr>
          <w:p w14:paraId="7ECF80D5" w14:textId="77777777" w:rsidR="002D612F" w:rsidRPr="00812C16" w:rsidRDefault="002D612F" w:rsidP="007E63A6">
            <w:pPr>
              <w:snapToGrid w:val="0"/>
              <w:spacing w:before="30" w:afterLines="30" w:after="72"/>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n</w:t>
            </w:r>
          </w:p>
        </w:tc>
        <w:tc>
          <w:tcPr>
            <w:tcW w:w="1196" w:type="dxa"/>
            <w:shd w:val="clear" w:color="auto" w:fill="F7CAAC" w:themeFill="accent2" w:themeFillTint="66"/>
          </w:tcPr>
          <w:p w14:paraId="7B1420F5" w14:textId="77777777" w:rsidR="002D612F" w:rsidRPr="00812C16" w:rsidRDefault="002D612F" w:rsidP="007E63A6">
            <w:pPr>
              <w:snapToGrid w:val="0"/>
              <w:spacing w:before="30" w:afterLines="30" w:after="72"/>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w:t>
            </w:r>
          </w:p>
        </w:tc>
      </w:tr>
      <w:tr w:rsidR="002D612F" w:rsidRPr="00812C16" w14:paraId="7DE5964D" w14:textId="77777777" w:rsidTr="002D6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1" w:type="dxa"/>
            <w:gridSpan w:val="2"/>
            <w:shd w:val="clear" w:color="auto" w:fill="F7CAAC" w:themeFill="accent2" w:themeFillTint="66"/>
          </w:tcPr>
          <w:p w14:paraId="7EE916B1" w14:textId="7C4E4FAB" w:rsidR="002D612F" w:rsidRPr="00812C16" w:rsidRDefault="002D612F" w:rsidP="002D612F">
            <w:pPr>
              <w:snapToGrid w:val="0"/>
              <w:spacing w:before="30" w:afterLines="30" w:after="72"/>
              <w:jc w:val="right"/>
              <w:rPr>
                <w:rFonts w:cs="Arial"/>
                <w:sz w:val="20"/>
                <w:szCs w:val="20"/>
              </w:rPr>
            </w:pPr>
            <w:r w:rsidRPr="00812C16">
              <w:rPr>
                <w:rFonts w:cs="Arial"/>
                <w:b w:val="0"/>
                <w:bCs w:val="0"/>
                <w:sz w:val="20"/>
                <w:szCs w:val="20"/>
              </w:rPr>
              <w:t>Anzahl der Patienten</w:t>
            </w:r>
          </w:p>
        </w:tc>
        <w:tc>
          <w:tcPr>
            <w:tcW w:w="709" w:type="dxa"/>
            <w:shd w:val="clear" w:color="auto" w:fill="F7CAAC" w:themeFill="accent2" w:themeFillTint="66"/>
          </w:tcPr>
          <w:p w14:paraId="4F187BD0" w14:textId="77777777" w:rsidR="002D612F" w:rsidRPr="00812C16" w:rsidRDefault="002D612F" w:rsidP="007E63A6">
            <w:pPr>
              <w:tabs>
                <w:tab w:val="left" w:pos="327"/>
              </w:tabs>
              <w:snapToGrid w:val="0"/>
              <w:spacing w:before="30"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221</w:t>
            </w:r>
          </w:p>
        </w:tc>
        <w:tc>
          <w:tcPr>
            <w:tcW w:w="1196" w:type="dxa"/>
            <w:shd w:val="clear" w:color="auto" w:fill="F7CAAC" w:themeFill="accent2" w:themeFillTint="66"/>
          </w:tcPr>
          <w:p w14:paraId="7BB8DC3A" w14:textId="77777777" w:rsidR="002D612F" w:rsidRPr="00812C16" w:rsidRDefault="002D612F" w:rsidP="007E63A6">
            <w:pPr>
              <w:snapToGrid w:val="0"/>
              <w:spacing w:before="30"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2D612F" w:rsidRPr="00812C16" w14:paraId="7F569F27" w14:textId="77777777" w:rsidTr="002D612F">
        <w:tc>
          <w:tcPr>
            <w:cnfStyle w:val="001000000000" w:firstRow="0" w:lastRow="0" w:firstColumn="1" w:lastColumn="0" w:oddVBand="0" w:evenVBand="0" w:oddHBand="0" w:evenHBand="0" w:firstRowFirstColumn="0" w:firstRowLastColumn="0" w:lastRowFirstColumn="0" w:lastRowLastColumn="0"/>
            <w:tcW w:w="3196" w:type="dxa"/>
          </w:tcPr>
          <w:p w14:paraId="6BC40447" w14:textId="77777777" w:rsidR="002D612F" w:rsidRPr="00812C16" w:rsidRDefault="002D612F" w:rsidP="007E63A6">
            <w:pPr>
              <w:snapToGrid w:val="0"/>
              <w:spacing w:before="30" w:afterLines="30" w:after="72"/>
              <w:rPr>
                <w:rFonts w:cs="Arial"/>
                <w:b w:val="0"/>
                <w:bCs w:val="0"/>
                <w:sz w:val="20"/>
                <w:szCs w:val="20"/>
              </w:rPr>
            </w:pPr>
            <w:r w:rsidRPr="00812C16">
              <w:rPr>
                <w:rFonts w:cs="Arial"/>
                <w:b w:val="0"/>
                <w:bCs w:val="0"/>
                <w:sz w:val="20"/>
                <w:szCs w:val="20"/>
              </w:rPr>
              <w:t>Alter</w:t>
            </w:r>
          </w:p>
        </w:tc>
        <w:tc>
          <w:tcPr>
            <w:tcW w:w="2695" w:type="dxa"/>
          </w:tcPr>
          <w:p w14:paraId="59E4FED1" w14:textId="77777777" w:rsidR="002D612F" w:rsidRPr="00812C16" w:rsidRDefault="002D612F" w:rsidP="007E63A6">
            <w:pPr>
              <w:snapToGrid w:val="0"/>
              <w:spacing w:before="30"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20-30</w:t>
            </w:r>
          </w:p>
        </w:tc>
        <w:tc>
          <w:tcPr>
            <w:tcW w:w="709" w:type="dxa"/>
          </w:tcPr>
          <w:p w14:paraId="41108ED6" w14:textId="77777777" w:rsidR="002D612F" w:rsidRPr="00812C16" w:rsidRDefault="002D612F" w:rsidP="007E63A6">
            <w:pPr>
              <w:tabs>
                <w:tab w:val="left" w:pos="327"/>
              </w:tabs>
              <w:snapToGrid w:val="0"/>
              <w:spacing w:before="30"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1</w:t>
            </w:r>
          </w:p>
        </w:tc>
        <w:tc>
          <w:tcPr>
            <w:tcW w:w="1196" w:type="dxa"/>
          </w:tcPr>
          <w:p w14:paraId="62CD76E2" w14:textId="77777777" w:rsidR="002D612F" w:rsidRPr="00812C16" w:rsidRDefault="002D612F" w:rsidP="007E63A6">
            <w:pPr>
              <w:snapToGrid w:val="0"/>
              <w:spacing w:before="30"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0.5</w:t>
            </w:r>
          </w:p>
        </w:tc>
      </w:tr>
      <w:tr w:rsidR="002D612F" w:rsidRPr="00812C16" w14:paraId="14CEE27C" w14:textId="77777777" w:rsidTr="002D6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6" w:type="dxa"/>
          </w:tcPr>
          <w:p w14:paraId="3924A051" w14:textId="77777777" w:rsidR="002D612F" w:rsidRPr="00812C16" w:rsidRDefault="002D612F" w:rsidP="007E63A6">
            <w:pPr>
              <w:snapToGrid w:val="0"/>
              <w:spacing w:before="30" w:afterLines="30" w:after="72"/>
              <w:rPr>
                <w:rFonts w:cs="Arial"/>
                <w:sz w:val="20"/>
                <w:szCs w:val="20"/>
              </w:rPr>
            </w:pPr>
          </w:p>
        </w:tc>
        <w:tc>
          <w:tcPr>
            <w:tcW w:w="2695" w:type="dxa"/>
          </w:tcPr>
          <w:p w14:paraId="4D2714B9" w14:textId="77777777" w:rsidR="002D612F" w:rsidRPr="00812C16" w:rsidRDefault="002D612F" w:rsidP="007E63A6">
            <w:pPr>
              <w:snapToGrid w:val="0"/>
              <w:spacing w:before="30"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31-40</w:t>
            </w:r>
          </w:p>
        </w:tc>
        <w:tc>
          <w:tcPr>
            <w:tcW w:w="709" w:type="dxa"/>
          </w:tcPr>
          <w:p w14:paraId="6F52DA1E" w14:textId="77777777" w:rsidR="002D612F" w:rsidRPr="00812C16" w:rsidRDefault="002D612F" w:rsidP="007E63A6">
            <w:pPr>
              <w:tabs>
                <w:tab w:val="left" w:pos="327"/>
              </w:tabs>
              <w:snapToGrid w:val="0"/>
              <w:spacing w:before="30"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7</w:t>
            </w:r>
          </w:p>
        </w:tc>
        <w:tc>
          <w:tcPr>
            <w:tcW w:w="1196" w:type="dxa"/>
          </w:tcPr>
          <w:p w14:paraId="5D049B83" w14:textId="77777777" w:rsidR="002D612F" w:rsidRPr="00812C16" w:rsidRDefault="002D612F" w:rsidP="007E63A6">
            <w:pPr>
              <w:snapToGrid w:val="0"/>
              <w:spacing w:before="30"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3.2</w:t>
            </w:r>
          </w:p>
        </w:tc>
      </w:tr>
      <w:tr w:rsidR="002D612F" w:rsidRPr="00812C16" w14:paraId="2BE57299" w14:textId="77777777" w:rsidTr="002D612F">
        <w:tc>
          <w:tcPr>
            <w:cnfStyle w:val="001000000000" w:firstRow="0" w:lastRow="0" w:firstColumn="1" w:lastColumn="0" w:oddVBand="0" w:evenVBand="0" w:oddHBand="0" w:evenHBand="0" w:firstRowFirstColumn="0" w:firstRowLastColumn="0" w:lastRowFirstColumn="0" w:lastRowLastColumn="0"/>
            <w:tcW w:w="3196" w:type="dxa"/>
          </w:tcPr>
          <w:p w14:paraId="5FD3661E" w14:textId="77777777" w:rsidR="002D612F" w:rsidRPr="00812C16" w:rsidRDefault="002D612F" w:rsidP="007E63A6">
            <w:pPr>
              <w:snapToGrid w:val="0"/>
              <w:spacing w:before="30" w:afterLines="30" w:after="72"/>
              <w:rPr>
                <w:rFonts w:cs="Arial"/>
                <w:sz w:val="20"/>
                <w:szCs w:val="20"/>
              </w:rPr>
            </w:pPr>
          </w:p>
        </w:tc>
        <w:tc>
          <w:tcPr>
            <w:tcW w:w="2695" w:type="dxa"/>
          </w:tcPr>
          <w:p w14:paraId="4C017A25" w14:textId="77777777" w:rsidR="002D612F" w:rsidRPr="00812C16" w:rsidRDefault="002D612F" w:rsidP="007E63A6">
            <w:pPr>
              <w:snapToGrid w:val="0"/>
              <w:spacing w:before="30"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41-50</w:t>
            </w:r>
          </w:p>
        </w:tc>
        <w:tc>
          <w:tcPr>
            <w:tcW w:w="709" w:type="dxa"/>
          </w:tcPr>
          <w:p w14:paraId="6FB7B0D6" w14:textId="77777777" w:rsidR="002D612F" w:rsidRPr="00812C16" w:rsidRDefault="002D612F" w:rsidP="007E63A6">
            <w:pPr>
              <w:tabs>
                <w:tab w:val="left" w:pos="327"/>
              </w:tabs>
              <w:snapToGrid w:val="0"/>
              <w:spacing w:before="30"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43</w:t>
            </w:r>
          </w:p>
        </w:tc>
        <w:tc>
          <w:tcPr>
            <w:tcW w:w="1196" w:type="dxa"/>
          </w:tcPr>
          <w:p w14:paraId="53096E9E" w14:textId="77777777" w:rsidR="002D612F" w:rsidRPr="00812C16" w:rsidRDefault="002D612F" w:rsidP="007E63A6">
            <w:pPr>
              <w:snapToGrid w:val="0"/>
              <w:spacing w:before="30"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19.5</w:t>
            </w:r>
          </w:p>
        </w:tc>
      </w:tr>
      <w:tr w:rsidR="002D612F" w:rsidRPr="00812C16" w14:paraId="14BA685F" w14:textId="77777777" w:rsidTr="002D6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6" w:type="dxa"/>
          </w:tcPr>
          <w:p w14:paraId="1C6A3133" w14:textId="77777777" w:rsidR="002D612F" w:rsidRPr="00812C16" w:rsidRDefault="002D612F" w:rsidP="007E63A6">
            <w:pPr>
              <w:snapToGrid w:val="0"/>
              <w:spacing w:before="30" w:afterLines="30" w:after="72"/>
              <w:rPr>
                <w:rFonts w:cs="Arial"/>
                <w:sz w:val="20"/>
                <w:szCs w:val="20"/>
              </w:rPr>
            </w:pPr>
          </w:p>
        </w:tc>
        <w:tc>
          <w:tcPr>
            <w:tcW w:w="2695" w:type="dxa"/>
          </w:tcPr>
          <w:p w14:paraId="30EE2E4C" w14:textId="77777777" w:rsidR="002D612F" w:rsidRPr="00812C16" w:rsidRDefault="002D612F" w:rsidP="007E63A6">
            <w:pPr>
              <w:snapToGrid w:val="0"/>
              <w:spacing w:before="30"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51-60</w:t>
            </w:r>
          </w:p>
        </w:tc>
        <w:tc>
          <w:tcPr>
            <w:tcW w:w="709" w:type="dxa"/>
          </w:tcPr>
          <w:p w14:paraId="3C72D900" w14:textId="77777777" w:rsidR="002D612F" w:rsidRPr="00812C16" w:rsidRDefault="002D612F" w:rsidP="007E63A6">
            <w:pPr>
              <w:tabs>
                <w:tab w:val="left" w:pos="327"/>
              </w:tabs>
              <w:snapToGrid w:val="0"/>
              <w:spacing w:before="30"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79</w:t>
            </w:r>
          </w:p>
        </w:tc>
        <w:tc>
          <w:tcPr>
            <w:tcW w:w="1196" w:type="dxa"/>
          </w:tcPr>
          <w:p w14:paraId="06375B68" w14:textId="77777777" w:rsidR="002D612F" w:rsidRPr="00812C16" w:rsidRDefault="002D612F" w:rsidP="007E63A6">
            <w:pPr>
              <w:snapToGrid w:val="0"/>
              <w:spacing w:before="30"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35.7</w:t>
            </w:r>
          </w:p>
        </w:tc>
      </w:tr>
      <w:tr w:rsidR="002D612F" w:rsidRPr="00812C16" w14:paraId="4CE165CC" w14:textId="77777777" w:rsidTr="002D612F">
        <w:tc>
          <w:tcPr>
            <w:cnfStyle w:val="001000000000" w:firstRow="0" w:lastRow="0" w:firstColumn="1" w:lastColumn="0" w:oddVBand="0" w:evenVBand="0" w:oddHBand="0" w:evenHBand="0" w:firstRowFirstColumn="0" w:firstRowLastColumn="0" w:lastRowFirstColumn="0" w:lastRowLastColumn="0"/>
            <w:tcW w:w="3196" w:type="dxa"/>
          </w:tcPr>
          <w:p w14:paraId="4E42B1D8" w14:textId="77777777" w:rsidR="002D612F" w:rsidRPr="00812C16" w:rsidRDefault="002D612F" w:rsidP="007E63A6">
            <w:pPr>
              <w:snapToGrid w:val="0"/>
              <w:spacing w:before="30" w:afterLines="30" w:after="72"/>
              <w:rPr>
                <w:rFonts w:cs="Arial"/>
                <w:sz w:val="20"/>
                <w:szCs w:val="20"/>
              </w:rPr>
            </w:pPr>
          </w:p>
        </w:tc>
        <w:tc>
          <w:tcPr>
            <w:tcW w:w="2695" w:type="dxa"/>
          </w:tcPr>
          <w:p w14:paraId="6FAD812F" w14:textId="77777777" w:rsidR="002D612F" w:rsidRPr="00812C16" w:rsidRDefault="002D612F" w:rsidP="007E63A6">
            <w:pPr>
              <w:snapToGrid w:val="0"/>
              <w:spacing w:before="30"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61-70</w:t>
            </w:r>
          </w:p>
        </w:tc>
        <w:tc>
          <w:tcPr>
            <w:tcW w:w="709" w:type="dxa"/>
          </w:tcPr>
          <w:p w14:paraId="6E41E07B" w14:textId="77777777" w:rsidR="002D612F" w:rsidRPr="00812C16" w:rsidRDefault="002D612F" w:rsidP="007E63A6">
            <w:pPr>
              <w:tabs>
                <w:tab w:val="left" w:pos="327"/>
              </w:tabs>
              <w:snapToGrid w:val="0"/>
              <w:spacing w:before="30"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69</w:t>
            </w:r>
          </w:p>
        </w:tc>
        <w:tc>
          <w:tcPr>
            <w:tcW w:w="1196" w:type="dxa"/>
          </w:tcPr>
          <w:p w14:paraId="3D359D54" w14:textId="77777777" w:rsidR="002D612F" w:rsidRPr="00812C16" w:rsidRDefault="002D612F" w:rsidP="007E63A6">
            <w:pPr>
              <w:snapToGrid w:val="0"/>
              <w:spacing w:before="30"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31.2</w:t>
            </w:r>
          </w:p>
        </w:tc>
      </w:tr>
      <w:tr w:rsidR="002D612F" w:rsidRPr="00812C16" w14:paraId="6529957F" w14:textId="77777777" w:rsidTr="002D6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6" w:type="dxa"/>
          </w:tcPr>
          <w:p w14:paraId="7E0B2B7B" w14:textId="77777777" w:rsidR="002D612F" w:rsidRPr="00812C16" w:rsidRDefault="002D612F" w:rsidP="007E63A6">
            <w:pPr>
              <w:snapToGrid w:val="0"/>
              <w:spacing w:before="30" w:afterLines="30" w:after="72"/>
              <w:rPr>
                <w:rFonts w:cs="Arial"/>
                <w:sz w:val="20"/>
                <w:szCs w:val="20"/>
              </w:rPr>
            </w:pPr>
          </w:p>
        </w:tc>
        <w:tc>
          <w:tcPr>
            <w:tcW w:w="2695" w:type="dxa"/>
          </w:tcPr>
          <w:p w14:paraId="0D900EDD" w14:textId="77777777" w:rsidR="002D612F" w:rsidRPr="00812C16" w:rsidRDefault="002D612F" w:rsidP="007E63A6">
            <w:pPr>
              <w:snapToGrid w:val="0"/>
              <w:spacing w:before="30"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71-80</w:t>
            </w:r>
          </w:p>
        </w:tc>
        <w:tc>
          <w:tcPr>
            <w:tcW w:w="709" w:type="dxa"/>
          </w:tcPr>
          <w:p w14:paraId="6A96ED74" w14:textId="77777777" w:rsidR="002D612F" w:rsidRPr="00812C16" w:rsidRDefault="002D612F" w:rsidP="007E63A6">
            <w:pPr>
              <w:tabs>
                <w:tab w:val="left" w:pos="327"/>
              </w:tabs>
              <w:snapToGrid w:val="0"/>
              <w:spacing w:before="30"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8</w:t>
            </w:r>
          </w:p>
        </w:tc>
        <w:tc>
          <w:tcPr>
            <w:tcW w:w="1196" w:type="dxa"/>
          </w:tcPr>
          <w:p w14:paraId="7666E9F0" w14:textId="77777777" w:rsidR="002D612F" w:rsidRPr="00812C16" w:rsidRDefault="002D612F" w:rsidP="007E63A6">
            <w:pPr>
              <w:snapToGrid w:val="0"/>
              <w:spacing w:before="30"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3.6</w:t>
            </w:r>
          </w:p>
        </w:tc>
      </w:tr>
      <w:tr w:rsidR="002D612F" w:rsidRPr="00812C16" w14:paraId="343C6E35" w14:textId="77777777" w:rsidTr="002D612F">
        <w:tc>
          <w:tcPr>
            <w:cnfStyle w:val="001000000000" w:firstRow="0" w:lastRow="0" w:firstColumn="1" w:lastColumn="0" w:oddVBand="0" w:evenVBand="0" w:oddHBand="0" w:evenHBand="0" w:firstRowFirstColumn="0" w:firstRowLastColumn="0" w:lastRowFirstColumn="0" w:lastRowLastColumn="0"/>
            <w:tcW w:w="3196" w:type="dxa"/>
          </w:tcPr>
          <w:p w14:paraId="075905FA" w14:textId="77777777" w:rsidR="002D612F" w:rsidRPr="00812C16" w:rsidRDefault="002D612F" w:rsidP="007E63A6">
            <w:pPr>
              <w:snapToGrid w:val="0"/>
              <w:spacing w:before="30" w:afterLines="30" w:after="72"/>
              <w:rPr>
                <w:rFonts w:cs="Arial"/>
                <w:sz w:val="20"/>
                <w:szCs w:val="20"/>
              </w:rPr>
            </w:pPr>
          </w:p>
        </w:tc>
        <w:tc>
          <w:tcPr>
            <w:tcW w:w="2695" w:type="dxa"/>
          </w:tcPr>
          <w:p w14:paraId="7D46FD51" w14:textId="77777777" w:rsidR="002D612F" w:rsidRPr="00812C16" w:rsidRDefault="002D612F" w:rsidP="007E63A6">
            <w:pPr>
              <w:tabs>
                <w:tab w:val="left" w:pos="1381"/>
              </w:tabs>
              <w:snapToGrid w:val="0"/>
              <w:spacing w:before="30"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Fehlend</w:t>
            </w:r>
            <w:r w:rsidRPr="00812C16">
              <w:rPr>
                <w:rFonts w:cs="Arial"/>
                <w:sz w:val="20"/>
                <w:szCs w:val="20"/>
              </w:rPr>
              <w:tab/>
            </w:r>
          </w:p>
        </w:tc>
        <w:tc>
          <w:tcPr>
            <w:tcW w:w="709" w:type="dxa"/>
          </w:tcPr>
          <w:p w14:paraId="277100CB" w14:textId="77777777" w:rsidR="002D612F" w:rsidRPr="00812C16" w:rsidRDefault="002D612F" w:rsidP="007E63A6">
            <w:pPr>
              <w:tabs>
                <w:tab w:val="left" w:pos="327"/>
              </w:tabs>
              <w:snapToGrid w:val="0"/>
              <w:spacing w:before="30"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15</w:t>
            </w:r>
          </w:p>
        </w:tc>
        <w:tc>
          <w:tcPr>
            <w:tcW w:w="1196" w:type="dxa"/>
          </w:tcPr>
          <w:p w14:paraId="385BC90B" w14:textId="77777777" w:rsidR="002D612F" w:rsidRPr="00812C16" w:rsidRDefault="002D612F" w:rsidP="007E63A6">
            <w:pPr>
              <w:snapToGrid w:val="0"/>
              <w:spacing w:before="30"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6.8</w:t>
            </w:r>
          </w:p>
        </w:tc>
      </w:tr>
      <w:tr w:rsidR="002D612F" w:rsidRPr="00812C16" w14:paraId="32FDC811" w14:textId="77777777" w:rsidTr="002D6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6" w:type="dxa"/>
          </w:tcPr>
          <w:p w14:paraId="0D5CBE79" w14:textId="77777777" w:rsidR="002D612F" w:rsidRPr="00812C16" w:rsidRDefault="002D612F" w:rsidP="007E63A6">
            <w:pPr>
              <w:snapToGrid w:val="0"/>
              <w:spacing w:before="30" w:afterLines="30" w:after="72"/>
              <w:rPr>
                <w:rFonts w:cs="Arial"/>
                <w:b w:val="0"/>
                <w:bCs w:val="0"/>
                <w:sz w:val="20"/>
                <w:szCs w:val="20"/>
              </w:rPr>
            </w:pPr>
            <w:r w:rsidRPr="00812C16">
              <w:rPr>
                <w:rFonts w:cs="Arial"/>
                <w:b w:val="0"/>
                <w:bCs w:val="0"/>
                <w:sz w:val="20"/>
                <w:szCs w:val="20"/>
              </w:rPr>
              <w:t>Geschlecht</w:t>
            </w:r>
          </w:p>
        </w:tc>
        <w:tc>
          <w:tcPr>
            <w:tcW w:w="2695" w:type="dxa"/>
          </w:tcPr>
          <w:p w14:paraId="3A03EBEB" w14:textId="77777777" w:rsidR="002D612F" w:rsidRPr="00812C16" w:rsidRDefault="002D612F" w:rsidP="007E63A6">
            <w:pPr>
              <w:snapToGrid w:val="0"/>
              <w:spacing w:before="30"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Männlich</w:t>
            </w:r>
          </w:p>
        </w:tc>
        <w:tc>
          <w:tcPr>
            <w:tcW w:w="709" w:type="dxa"/>
          </w:tcPr>
          <w:p w14:paraId="437E668B" w14:textId="77777777" w:rsidR="002D612F" w:rsidRPr="00812C16" w:rsidRDefault="002D612F" w:rsidP="007E63A6">
            <w:pPr>
              <w:snapToGrid w:val="0"/>
              <w:spacing w:before="30"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180</w:t>
            </w:r>
          </w:p>
        </w:tc>
        <w:tc>
          <w:tcPr>
            <w:tcW w:w="1196" w:type="dxa"/>
          </w:tcPr>
          <w:p w14:paraId="74671E2E" w14:textId="77777777" w:rsidR="002D612F" w:rsidRPr="00812C16" w:rsidRDefault="002D612F" w:rsidP="007E63A6">
            <w:pPr>
              <w:snapToGrid w:val="0"/>
              <w:spacing w:before="30"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81.4</w:t>
            </w:r>
          </w:p>
        </w:tc>
      </w:tr>
      <w:tr w:rsidR="002D612F" w:rsidRPr="00812C16" w14:paraId="317C6232" w14:textId="77777777" w:rsidTr="002D612F">
        <w:tc>
          <w:tcPr>
            <w:cnfStyle w:val="001000000000" w:firstRow="0" w:lastRow="0" w:firstColumn="1" w:lastColumn="0" w:oddVBand="0" w:evenVBand="0" w:oddHBand="0" w:evenHBand="0" w:firstRowFirstColumn="0" w:firstRowLastColumn="0" w:lastRowFirstColumn="0" w:lastRowLastColumn="0"/>
            <w:tcW w:w="3196" w:type="dxa"/>
          </w:tcPr>
          <w:p w14:paraId="4CF109AB" w14:textId="77777777" w:rsidR="002D612F" w:rsidRPr="00812C16" w:rsidRDefault="002D612F" w:rsidP="007E63A6">
            <w:pPr>
              <w:snapToGrid w:val="0"/>
              <w:spacing w:before="30" w:afterLines="30" w:after="72"/>
              <w:rPr>
                <w:rFonts w:cs="Arial"/>
                <w:b w:val="0"/>
                <w:bCs w:val="0"/>
                <w:sz w:val="20"/>
                <w:szCs w:val="20"/>
              </w:rPr>
            </w:pPr>
          </w:p>
        </w:tc>
        <w:tc>
          <w:tcPr>
            <w:tcW w:w="2695" w:type="dxa"/>
          </w:tcPr>
          <w:p w14:paraId="560CC8A0" w14:textId="77777777" w:rsidR="002D612F" w:rsidRPr="00812C16" w:rsidRDefault="002D612F" w:rsidP="007E63A6">
            <w:pPr>
              <w:snapToGrid w:val="0"/>
              <w:spacing w:before="30"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Weiblich</w:t>
            </w:r>
          </w:p>
        </w:tc>
        <w:tc>
          <w:tcPr>
            <w:tcW w:w="709" w:type="dxa"/>
          </w:tcPr>
          <w:p w14:paraId="4379845B" w14:textId="77777777" w:rsidR="002D612F" w:rsidRPr="00812C16" w:rsidRDefault="002D612F" w:rsidP="007E63A6">
            <w:pPr>
              <w:snapToGrid w:val="0"/>
              <w:spacing w:before="30"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41</w:t>
            </w:r>
          </w:p>
        </w:tc>
        <w:tc>
          <w:tcPr>
            <w:tcW w:w="1196" w:type="dxa"/>
          </w:tcPr>
          <w:p w14:paraId="20211DAE" w14:textId="77777777" w:rsidR="002D612F" w:rsidRPr="00812C16" w:rsidRDefault="002D612F" w:rsidP="007E63A6">
            <w:pPr>
              <w:snapToGrid w:val="0"/>
              <w:spacing w:before="30"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18.6</w:t>
            </w:r>
          </w:p>
        </w:tc>
      </w:tr>
      <w:tr w:rsidR="002D612F" w:rsidRPr="00812C16" w14:paraId="76471A2C" w14:textId="77777777" w:rsidTr="002D6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6" w:type="dxa"/>
          </w:tcPr>
          <w:p w14:paraId="0BCFE4AB" w14:textId="77777777" w:rsidR="002D612F" w:rsidRPr="00812C16" w:rsidRDefault="002D612F" w:rsidP="007E63A6">
            <w:pPr>
              <w:snapToGrid w:val="0"/>
              <w:spacing w:before="30" w:afterLines="30" w:after="72"/>
              <w:rPr>
                <w:rFonts w:cs="Arial"/>
                <w:sz w:val="20"/>
                <w:szCs w:val="20"/>
              </w:rPr>
            </w:pPr>
            <w:r w:rsidRPr="00812C16">
              <w:rPr>
                <w:rFonts w:cs="Arial"/>
                <w:b w:val="0"/>
                <w:bCs w:val="0"/>
                <w:sz w:val="20"/>
                <w:szCs w:val="20"/>
              </w:rPr>
              <w:t xml:space="preserve">Nikotin  </w:t>
            </w:r>
          </w:p>
        </w:tc>
        <w:tc>
          <w:tcPr>
            <w:tcW w:w="2695" w:type="dxa"/>
          </w:tcPr>
          <w:p w14:paraId="4184390E" w14:textId="77777777" w:rsidR="002D612F" w:rsidRPr="00812C16" w:rsidRDefault="002D612F" w:rsidP="007E63A6">
            <w:pPr>
              <w:snapToGrid w:val="0"/>
              <w:spacing w:before="30"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 xml:space="preserve">Raucher </w:t>
            </w:r>
          </w:p>
        </w:tc>
        <w:tc>
          <w:tcPr>
            <w:tcW w:w="709" w:type="dxa"/>
          </w:tcPr>
          <w:p w14:paraId="088DAC20" w14:textId="77777777" w:rsidR="002D612F" w:rsidRPr="00812C16" w:rsidRDefault="002D612F" w:rsidP="007E63A6">
            <w:pPr>
              <w:snapToGrid w:val="0"/>
              <w:spacing w:before="30"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107</w:t>
            </w:r>
          </w:p>
        </w:tc>
        <w:tc>
          <w:tcPr>
            <w:tcW w:w="1196" w:type="dxa"/>
          </w:tcPr>
          <w:p w14:paraId="39D9DEDA" w14:textId="77777777" w:rsidR="002D612F" w:rsidRPr="00812C16" w:rsidRDefault="002D612F" w:rsidP="007E63A6">
            <w:pPr>
              <w:snapToGrid w:val="0"/>
              <w:spacing w:before="30"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48,4</w:t>
            </w:r>
          </w:p>
        </w:tc>
      </w:tr>
      <w:tr w:rsidR="002D612F" w:rsidRPr="00812C16" w14:paraId="7BAC34B9" w14:textId="77777777" w:rsidTr="002D612F">
        <w:tc>
          <w:tcPr>
            <w:cnfStyle w:val="001000000000" w:firstRow="0" w:lastRow="0" w:firstColumn="1" w:lastColumn="0" w:oddVBand="0" w:evenVBand="0" w:oddHBand="0" w:evenHBand="0" w:firstRowFirstColumn="0" w:firstRowLastColumn="0" w:lastRowFirstColumn="0" w:lastRowLastColumn="0"/>
            <w:tcW w:w="3196" w:type="dxa"/>
          </w:tcPr>
          <w:p w14:paraId="20C4070B" w14:textId="77777777" w:rsidR="002D612F" w:rsidRPr="00812C16" w:rsidRDefault="002D612F" w:rsidP="007E63A6">
            <w:pPr>
              <w:snapToGrid w:val="0"/>
              <w:spacing w:before="30" w:afterLines="30" w:after="72"/>
              <w:rPr>
                <w:rFonts w:cs="Arial"/>
                <w:b w:val="0"/>
                <w:bCs w:val="0"/>
                <w:sz w:val="20"/>
                <w:szCs w:val="20"/>
              </w:rPr>
            </w:pPr>
            <w:r w:rsidRPr="00812C16">
              <w:rPr>
                <w:rFonts w:cs="Arial"/>
                <w:b w:val="0"/>
                <w:bCs w:val="0"/>
                <w:sz w:val="20"/>
                <w:szCs w:val="20"/>
              </w:rPr>
              <w:lastRenderedPageBreak/>
              <w:t>(im Beobachtungszeitraum)</w:t>
            </w:r>
          </w:p>
        </w:tc>
        <w:tc>
          <w:tcPr>
            <w:tcW w:w="2695" w:type="dxa"/>
          </w:tcPr>
          <w:p w14:paraId="1B4EEA9E" w14:textId="77777777" w:rsidR="002D612F" w:rsidRPr="00812C16" w:rsidRDefault="002D612F" w:rsidP="007E63A6">
            <w:pPr>
              <w:snapToGrid w:val="0"/>
              <w:spacing w:before="30"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Nichtraucher</w:t>
            </w:r>
          </w:p>
        </w:tc>
        <w:tc>
          <w:tcPr>
            <w:tcW w:w="709" w:type="dxa"/>
          </w:tcPr>
          <w:p w14:paraId="3D8B7D06" w14:textId="77777777" w:rsidR="002D612F" w:rsidRPr="00812C16" w:rsidRDefault="002D612F" w:rsidP="007E63A6">
            <w:pPr>
              <w:snapToGrid w:val="0"/>
              <w:spacing w:before="30"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99</w:t>
            </w:r>
          </w:p>
        </w:tc>
        <w:tc>
          <w:tcPr>
            <w:tcW w:w="1196" w:type="dxa"/>
          </w:tcPr>
          <w:p w14:paraId="492DC35A" w14:textId="77777777" w:rsidR="002D612F" w:rsidRPr="00812C16" w:rsidRDefault="002D612F" w:rsidP="007E63A6">
            <w:pPr>
              <w:snapToGrid w:val="0"/>
              <w:spacing w:before="30"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44,8</w:t>
            </w:r>
          </w:p>
        </w:tc>
      </w:tr>
      <w:tr w:rsidR="002D612F" w:rsidRPr="00812C16" w14:paraId="03ABFCB1" w14:textId="77777777" w:rsidTr="002D6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6" w:type="dxa"/>
          </w:tcPr>
          <w:p w14:paraId="186FA607" w14:textId="77777777" w:rsidR="002D612F" w:rsidRPr="00812C16" w:rsidRDefault="002D612F" w:rsidP="007E63A6">
            <w:pPr>
              <w:snapToGrid w:val="0"/>
              <w:spacing w:before="30" w:afterLines="30" w:after="72"/>
              <w:rPr>
                <w:rFonts w:cs="Arial"/>
                <w:b w:val="0"/>
                <w:bCs w:val="0"/>
                <w:sz w:val="20"/>
                <w:szCs w:val="20"/>
              </w:rPr>
            </w:pPr>
          </w:p>
        </w:tc>
        <w:tc>
          <w:tcPr>
            <w:tcW w:w="2695" w:type="dxa"/>
          </w:tcPr>
          <w:p w14:paraId="0E412819" w14:textId="77777777" w:rsidR="002D612F" w:rsidRPr="00812C16" w:rsidRDefault="002D612F" w:rsidP="007E63A6">
            <w:pPr>
              <w:snapToGrid w:val="0"/>
              <w:spacing w:before="30"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Fehlend</w:t>
            </w:r>
          </w:p>
        </w:tc>
        <w:tc>
          <w:tcPr>
            <w:tcW w:w="709" w:type="dxa"/>
          </w:tcPr>
          <w:p w14:paraId="74ABFA7B" w14:textId="77777777" w:rsidR="002D612F" w:rsidRPr="00812C16" w:rsidRDefault="002D612F" w:rsidP="007E63A6">
            <w:pPr>
              <w:snapToGrid w:val="0"/>
              <w:spacing w:before="30"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15</w:t>
            </w:r>
          </w:p>
        </w:tc>
        <w:tc>
          <w:tcPr>
            <w:tcW w:w="1196" w:type="dxa"/>
          </w:tcPr>
          <w:p w14:paraId="7B90F8F6" w14:textId="77777777" w:rsidR="002D612F" w:rsidRPr="00812C16" w:rsidRDefault="002D612F" w:rsidP="007E63A6">
            <w:pPr>
              <w:snapToGrid w:val="0"/>
              <w:spacing w:before="30"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6,8</w:t>
            </w:r>
          </w:p>
        </w:tc>
      </w:tr>
    </w:tbl>
    <w:p w14:paraId="7809C792" w14:textId="3F31A09E" w:rsidR="00836A3F" w:rsidRPr="00812C16" w:rsidRDefault="007D685A" w:rsidP="002336E1">
      <w:pPr>
        <w:spacing w:before="360" w:after="360"/>
        <w:rPr>
          <w:rFonts w:cs="Arial"/>
          <w:lang w:eastAsia="de-DE"/>
        </w:rPr>
      </w:pPr>
      <w:r>
        <w:rPr>
          <w:rFonts w:cs="Arial"/>
          <w:noProof/>
          <w:lang w:eastAsia="de-DE"/>
        </w:rPr>
        <w:object w:dxaOrig="11880" w:dyaOrig="5880" w14:anchorId="31B62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95.2pt;height:294.9pt;mso-width-percent:0;mso-height-percent:0;mso-width-percent:0;mso-height-percent:0" o:ole="">
            <v:imagedata r:id="rId19" o:title=""/>
          </v:shape>
          <o:OLEObject Type="Embed" ProgID="Excel.Sheet.12" ShapeID="_x0000_i1025" DrawAspect="Content" ObjectID="_1801396332" r:id="rId20"/>
        </w:object>
      </w:r>
      <w:r w:rsidR="004A3BA3" w:rsidRPr="00812C16">
        <w:rPr>
          <w:rFonts w:cs="Arial"/>
          <w:lang w:eastAsia="de-DE"/>
        </w:rPr>
        <w:t xml:space="preserve">Bei allen im Kollektiv eingeschlossenen Patienten konnte ein </w:t>
      </w:r>
      <w:r w:rsidR="002C1C56" w:rsidRPr="00812C16">
        <w:rPr>
          <w:rFonts w:cs="Arial"/>
          <w:lang w:eastAsia="de-DE"/>
        </w:rPr>
        <w:t xml:space="preserve">lokal </w:t>
      </w:r>
      <w:r w:rsidR="002877E1" w:rsidRPr="00812C16">
        <w:rPr>
          <w:rFonts w:cs="Arial"/>
          <w:lang w:eastAsia="de-DE"/>
        </w:rPr>
        <w:t>fortgeschrittenes</w:t>
      </w:r>
      <w:r w:rsidR="002C1C56" w:rsidRPr="00812C16">
        <w:rPr>
          <w:rFonts w:cs="Arial"/>
          <w:lang w:eastAsia="de-DE"/>
        </w:rPr>
        <w:t xml:space="preserve"> </w:t>
      </w:r>
      <w:r w:rsidR="004A3BA3" w:rsidRPr="00812C16">
        <w:rPr>
          <w:rFonts w:cs="Arial"/>
          <w:lang w:eastAsia="de-DE"/>
        </w:rPr>
        <w:t>Plattenepithelkarzinom im Kopf-Hals-Bereich diagnostiziert werden, was durch die jeweiligen pathologischen Institute der DKTK-Partnerstandorte histologisch bestätigt und klassifiziert wurde.</w:t>
      </w:r>
      <w:r w:rsidR="00836A3F" w:rsidRPr="00812C16">
        <w:rPr>
          <w:rFonts w:cs="Arial"/>
          <w:lang w:eastAsia="de-DE"/>
        </w:rPr>
        <w:t xml:space="preserve"> </w:t>
      </w:r>
      <w:r w:rsidR="00DD6EC9" w:rsidRPr="00812C16">
        <w:rPr>
          <w:rFonts w:cs="Arial"/>
          <w:lang w:eastAsia="de-DE"/>
        </w:rPr>
        <w:t>Bei 60 Patienten war der Tumor in der Mundhöhle (27</w:t>
      </w:r>
      <w:r w:rsidR="009D0CD3" w:rsidRPr="00812C16">
        <w:rPr>
          <w:rFonts w:cs="Arial"/>
          <w:lang w:eastAsia="de-DE"/>
        </w:rPr>
        <w:t>,</w:t>
      </w:r>
      <w:r w:rsidR="00DD6EC9" w:rsidRPr="00812C16">
        <w:rPr>
          <w:rFonts w:cs="Arial"/>
          <w:lang w:eastAsia="de-DE"/>
        </w:rPr>
        <w:t>1%) lokalisiert, bei 126 Patienten im Oropharynx (57</w:t>
      </w:r>
      <w:r w:rsidR="009D0CD3" w:rsidRPr="00812C16">
        <w:rPr>
          <w:rFonts w:cs="Arial"/>
          <w:lang w:eastAsia="de-DE"/>
        </w:rPr>
        <w:t>,</w:t>
      </w:r>
      <w:r w:rsidR="00DD6EC9" w:rsidRPr="00812C16">
        <w:rPr>
          <w:rFonts w:cs="Arial"/>
          <w:lang w:eastAsia="de-DE"/>
        </w:rPr>
        <w:t>0%) und bei 35 Patienten im Hypopharynx (15</w:t>
      </w:r>
      <w:r w:rsidR="009D0CD3" w:rsidRPr="00812C16">
        <w:rPr>
          <w:rFonts w:cs="Arial"/>
          <w:lang w:eastAsia="de-DE"/>
        </w:rPr>
        <w:t>,</w:t>
      </w:r>
      <w:r w:rsidR="00DD6EC9" w:rsidRPr="00812C16">
        <w:rPr>
          <w:rFonts w:cs="Arial"/>
          <w:lang w:eastAsia="de-DE"/>
        </w:rPr>
        <w:t xml:space="preserve">8%). </w:t>
      </w:r>
      <w:r w:rsidR="00836A3F" w:rsidRPr="00812C16">
        <w:rPr>
          <w:rFonts w:cs="Arial"/>
          <w:lang w:eastAsia="de-DE"/>
        </w:rPr>
        <w:t>Die Anzahl der Patienten pro</w:t>
      </w:r>
      <w:r w:rsidR="00AF626E" w:rsidRPr="00812C16">
        <w:rPr>
          <w:rFonts w:cs="Arial"/>
          <w:lang w:eastAsia="de-DE"/>
        </w:rPr>
        <w:t xml:space="preserve"> DKTK-</w:t>
      </w:r>
      <w:r w:rsidR="00836A3F" w:rsidRPr="00812C16">
        <w:rPr>
          <w:rFonts w:cs="Arial"/>
          <w:lang w:eastAsia="de-DE"/>
        </w:rPr>
        <w:t xml:space="preserve">Behandlungszentrum und Tumorlokalisierung sind in </w:t>
      </w:r>
      <w:r w:rsidR="00836A3F" w:rsidRPr="00812C16">
        <w:rPr>
          <w:rFonts w:cs="Arial"/>
          <w:lang w:eastAsia="de-DE"/>
        </w:rPr>
        <w:fldChar w:fldCharType="begin"/>
      </w:r>
      <w:r w:rsidR="00836A3F" w:rsidRPr="00812C16">
        <w:rPr>
          <w:rFonts w:cs="Arial"/>
          <w:lang w:eastAsia="de-DE"/>
        </w:rPr>
        <w:instrText xml:space="preserve"> REF _Ref88584540 \h  \* MERGEFORMAT </w:instrText>
      </w:r>
      <w:r w:rsidR="00836A3F" w:rsidRPr="00812C16">
        <w:rPr>
          <w:rFonts w:cs="Arial"/>
          <w:lang w:eastAsia="de-DE"/>
        </w:rPr>
      </w:r>
      <w:r w:rsidR="00836A3F" w:rsidRPr="00812C16">
        <w:rPr>
          <w:rFonts w:cs="Arial"/>
          <w:lang w:eastAsia="de-DE"/>
        </w:rPr>
        <w:fldChar w:fldCharType="separate"/>
      </w:r>
      <w:r w:rsidR="00F67803" w:rsidRPr="00F67803">
        <w:rPr>
          <w:rFonts w:cs="Arial"/>
        </w:rPr>
        <w:t xml:space="preserve">Tabelle </w:t>
      </w:r>
      <w:r w:rsidR="00F67803" w:rsidRPr="00F67803">
        <w:rPr>
          <w:rFonts w:cs="Arial"/>
          <w:noProof/>
        </w:rPr>
        <w:t>4</w:t>
      </w:r>
      <w:r w:rsidR="00F67803" w:rsidRPr="00F67803">
        <w:rPr>
          <w:rFonts w:cs="Arial"/>
          <w:noProof/>
        </w:rPr>
        <w:noBreakHyphen/>
        <w:t>2</w:t>
      </w:r>
      <w:r w:rsidR="00836A3F" w:rsidRPr="00812C16">
        <w:rPr>
          <w:rFonts w:cs="Arial"/>
          <w:lang w:eastAsia="de-DE"/>
        </w:rPr>
        <w:fldChar w:fldCharType="end"/>
      </w:r>
      <w:r w:rsidR="00836A3F" w:rsidRPr="00812C16">
        <w:rPr>
          <w:rFonts w:cs="Arial"/>
          <w:sz w:val="36"/>
          <w:szCs w:val="36"/>
          <w:lang w:eastAsia="de-DE"/>
        </w:rPr>
        <w:t xml:space="preserve"> </w:t>
      </w:r>
      <w:r w:rsidR="00836A3F" w:rsidRPr="00812C16">
        <w:rPr>
          <w:rFonts w:cs="Arial"/>
          <w:lang w:eastAsia="de-DE"/>
        </w:rPr>
        <w:t xml:space="preserve">zusammengefasst. </w:t>
      </w:r>
    </w:p>
    <w:p w14:paraId="2A3A31DD" w14:textId="03A9F164" w:rsidR="00836A3F" w:rsidRPr="00812C16" w:rsidRDefault="00836A3F" w:rsidP="0086435B">
      <w:pPr>
        <w:pStyle w:val="Beschriftung"/>
        <w:spacing w:before="120" w:after="120" w:line="240" w:lineRule="auto"/>
        <w:contextualSpacing/>
        <w:rPr>
          <w:rFonts w:cs="Arial"/>
          <w:b/>
          <w:bCs/>
          <w:i w:val="0"/>
          <w:iCs w:val="0"/>
          <w:color w:val="auto"/>
          <w:sz w:val="20"/>
          <w:szCs w:val="20"/>
        </w:rPr>
      </w:pPr>
      <w:bookmarkStart w:id="47" w:name="_Ref88584540"/>
      <w:bookmarkStart w:id="48" w:name="_Toc180788392"/>
      <w:r w:rsidRPr="00812C16">
        <w:rPr>
          <w:rFonts w:cs="Arial"/>
          <w:b/>
          <w:bCs/>
          <w:i w:val="0"/>
          <w:iCs w:val="0"/>
          <w:color w:val="auto"/>
          <w:sz w:val="20"/>
          <w:szCs w:val="20"/>
        </w:rPr>
        <w:t xml:space="preserve">Tabelle </w:t>
      </w:r>
      <w:r w:rsidR="00A126D9" w:rsidRPr="00812C16">
        <w:rPr>
          <w:rFonts w:cs="Arial"/>
          <w:b/>
          <w:bCs/>
          <w:i w:val="0"/>
          <w:iCs w:val="0"/>
          <w:color w:val="auto"/>
          <w:sz w:val="20"/>
          <w:szCs w:val="20"/>
        </w:rPr>
        <w:fldChar w:fldCharType="begin"/>
      </w:r>
      <w:r w:rsidR="00A126D9" w:rsidRPr="00812C16">
        <w:rPr>
          <w:rFonts w:cs="Arial"/>
          <w:b/>
          <w:bCs/>
          <w:i w:val="0"/>
          <w:iCs w:val="0"/>
          <w:color w:val="auto"/>
          <w:sz w:val="20"/>
          <w:szCs w:val="20"/>
        </w:rPr>
        <w:instrText xml:space="preserve"> STYLEREF 1 \s </w:instrText>
      </w:r>
      <w:r w:rsidR="00A126D9" w:rsidRPr="00812C16">
        <w:rPr>
          <w:rFonts w:cs="Arial"/>
          <w:b/>
          <w:bCs/>
          <w:i w:val="0"/>
          <w:iCs w:val="0"/>
          <w:color w:val="auto"/>
          <w:sz w:val="20"/>
          <w:szCs w:val="20"/>
        </w:rPr>
        <w:fldChar w:fldCharType="separate"/>
      </w:r>
      <w:r w:rsidR="00F67803">
        <w:rPr>
          <w:rFonts w:cs="Arial"/>
          <w:b/>
          <w:bCs/>
          <w:i w:val="0"/>
          <w:iCs w:val="0"/>
          <w:noProof/>
          <w:color w:val="auto"/>
          <w:sz w:val="20"/>
          <w:szCs w:val="20"/>
        </w:rPr>
        <w:t>4</w:t>
      </w:r>
      <w:r w:rsidR="00A126D9" w:rsidRPr="00812C16">
        <w:rPr>
          <w:rFonts w:cs="Arial"/>
          <w:b/>
          <w:bCs/>
          <w:i w:val="0"/>
          <w:iCs w:val="0"/>
          <w:color w:val="auto"/>
          <w:sz w:val="20"/>
          <w:szCs w:val="20"/>
        </w:rPr>
        <w:fldChar w:fldCharType="end"/>
      </w:r>
      <w:r w:rsidR="00A126D9" w:rsidRPr="00812C16">
        <w:rPr>
          <w:rFonts w:cs="Arial"/>
          <w:b/>
          <w:bCs/>
          <w:i w:val="0"/>
          <w:iCs w:val="0"/>
          <w:color w:val="auto"/>
          <w:sz w:val="20"/>
          <w:szCs w:val="20"/>
        </w:rPr>
        <w:noBreakHyphen/>
      </w:r>
      <w:r w:rsidR="00A126D9" w:rsidRPr="00812C16">
        <w:rPr>
          <w:rFonts w:cs="Arial"/>
          <w:b/>
          <w:bCs/>
          <w:i w:val="0"/>
          <w:iCs w:val="0"/>
          <w:color w:val="auto"/>
          <w:sz w:val="20"/>
          <w:szCs w:val="20"/>
        </w:rPr>
        <w:fldChar w:fldCharType="begin"/>
      </w:r>
      <w:r w:rsidR="00A126D9" w:rsidRPr="00812C16">
        <w:rPr>
          <w:rFonts w:cs="Arial"/>
          <w:b/>
          <w:bCs/>
          <w:i w:val="0"/>
          <w:iCs w:val="0"/>
          <w:color w:val="auto"/>
          <w:sz w:val="20"/>
          <w:szCs w:val="20"/>
        </w:rPr>
        <w:instrText xml:space="preserve"> SEQ Tabelle \* ARABIC \s 1 </w:instrText>
      </w:r>
      <w:r w:rsidR="00A126D9" w:rsidRPr="00812C16">
        <w:rPr>
          <w:rFonts w:cs="Arial"/>
          <w:b/>
          <w:bCs/>
          <w:i w:val="0"/>
          <w:iCs w:val="0"/>
          <w:color w:val="auto"/>
          <w:sz w:val="20"/>
          <w:szCs w:val="20"/>
        </w:rPr>
        <w:fldChar w:fldCharType="separate"/>
      </w:r>
      <w:r w:rsidR="00F67803">
        <w:rPr>
          <w:rFonts w:cs="Arial"/>
          <w:b/>
          <w:bCs/>
          <w:i w:val="0"/>
          <w:iCs w:val="0"/>
          <w:noProof/>
          <w:color w:val="auto"/>
          <w:sz w:val="20"/>
          <w:szCs w:val="20"/>
        </w:rPr>
        <w:t>2</w:t>
      </w:r>
      <w:r w:rsidR="00A126D9" w:rsidRPr="00812C16">
        <w:rPr>
          <w:rFonts w:cs="Arial"/>
          <w:b/>
          <w:bCs/>
          <w:i w:val="0"/>
          <w:iCs w:val="0"/>
          <w:color w:val="auto"/>
          <w:sz w:val="20"/>
          <w:szCs w:val="20"/>
        </w:rPr>
        <w:fldChar w:fldCharType="end"/>
      </w:r>
      <w:bookmarkEnd w:id="47"/>
      <w:r w:rsidR="0086435B" w:rsidRPr="00812C16">
        <w:rPr>
          <w:rFonts w:cs="Arial"/>
          <w:b/>
          <w:bCs/>
          <w:i w:val="0"/>
          <w:iCs w:val="0"/>
          <w:color w:val="auto"/>
          <w:sz w:val="20"/>
          <w:szCs w:val="20"/>
        </w:rPr>
        <w:t xml:space="preserve">: </w:t>
      </w:r>
      <w:r w:rsidRPr="00812C16">
        <w:rPr>
          <w:rFonts w:cs="Arial"/>
          <w:b/>
          <w:bCs/>
          <w:i w:val="0"/>
          <w:iCs w:val="0"/>
          <w:color w:val="auto"/>
          <w:sz w:val="20"/>
          <w:szCs w:val="20"/>
        </w:rPr>
        <w:t>Anzahl der Patienten pro Behandlungszentrum und Tumorlokalisierung</w:t>
      </w:r>
      <w:bookmarkEnd w:id="48"/>
    </w:p>
    <w:tbl>
      <w:tblPr>
        <w:tblW w:w="9072" w:type="dxa"/>
        <w:tblLayout w:type="fixed"/>
        <w:tblCellMar>
          <w:left w:w="10" w:type="dxa"/>
          <w:right w:w="10" w:type="dxa"/>
        </w:tblCellMar>
        <w:tblLook w:val="04A0" w:firstRow="1" w:lastRow="0" w:firstColumn="1" w:lastColumn="0" w:noHBand="0" w:noVBand="1"/>
      </w:tblPr>
      <w:tblGrid>
        <w:gridCol w:w="2127"/>
        <w:gridCol w:w="1559"/>
        <w:gridCol w:w="1984"/>
        <w:gridCol w:w="1392"/>
        <w:gridCol w:w="2010"/>
      </w:tblGrid>
      <w:tr w:rsidR="00836A3F" w:rsidRPr="00812C16" w14:paraId="01D0F598" w14:textId="77777777" w:rsidTr="009D0CD3">
        <w:tc>
          <w:tcPr>
            <w:tcW w:w="2127" w:type="dxa"/>
            <w:tcBorders>
              <w:top w:val="single" w:sz="4" w:space="0" w:color="000000" w:themeColor="text1"/>
              <w:bottom w:val="single" w:sz="4" w:space="0" w:color="000000" w:themeColor="text1"/>
            </w:tcBorders>
          </w:tcPr>
          <w:p w14:paraId="1597AEA6" w14:textId="77777777" w:rsidR="00836A3F" w:rsidRPr="00812C16" w:rsidRDefault="00836A3F" w:rsidP="007E63A6">
            <w:pPr>
              <w:spacing w:beforeLines="30" w:before="72" w:afterLines="30" w:after="72" w:line="240" w:lineRule="auto"/>
              <w:ind w:right="55"/>
              <w:rPr>
                <w:rFonts w:cs="Arial"/>
                <w:b/>
                <w:bCs/>
                <w:sz w:val="20"/>
                <w:szCs w:val="20"/>
              </w:rPr>
            </w:pPr>
            <w:r w:rsidRPr="00812C16">
              <w:rPr>
                <w:rFonts w:cs="Arial"/>
                <w:b/>
                <w:bCs/>
                <w:sz w:val="20"/>
                <w:szCs w:val="20"/>
              </w:rPr>
              <w:t>Behandlungszentrum</w:t>
            </w:r>
          </w:p>
        </w:tc>
        <w:tc>
          <w:tcPr>
            <w:tcW w:w="1559" w:type="dxa"/>
            <w:tcBorders>
              <w:top w:val="single" w:sz="4" w:space="0" w:color="000000" w:themeColor="text1"/>
              <w:bottom w:val="single" w:sz="4" w:space="0" w:color="000000" w:themeColor="text1"/>
            </w:tcBorders>
          </w:tcPr>
          <w:p w14:paraId="7713D517" w14:textId="77777777" w:rsidR="00836A3F" w:rsidRPr="00812C16" w:rsidRDefault="00836A3F" w:rsidP="007E63A6">
            <w:pPr>
              <w:spacing w:beforeLines="30" w:before="72" w:afterLines="30" w:after="72" w:line="240" w:lineRule="auto"/>
              <w:ind w:left="40" w:right="55"/>
              <w:jc w:val="center"/>
              <w:rPr>
                <w:rFonts w:cs="Arial"/>
                <w:b/>
                <w:bCs/>
                <w:sz w:val="20"/>
                <w:szCs w:val="20"/>
              </w:rPr>
            </w:pPr>
            <w:r w:rsidRPr="00812C16">
              <w:rPr>
                <w:rFonts w:cs="Arial"/>
                <w:b/>
                <w:bCs/>
                <w:sz w:val="20"/>
                <w:szCs w:val="20"/>
              </w:rPr>
              <w:t>n</w:t>
            </w:r>
          </w:p>
        </w:tc>
        <w:tc>
          <w:tcPr>
            <w:tcW w:w="1984" w:type="dxa"/>
            <w:tcBorders>
              <w:top w:val="single" w:sz="4" w:space="0" w:color="000000" w:themeColor="text1"/>
              <w:bottom w:val="single" w:sz="4" w:space="0" w:color="000000" w:themeColor="text1"/>
            </w:tcBorders>
          </w:tcPr>
          <w:p w14:paraId="4EE2DBCD" w14:textId="77777777" w:rsidR="00836A3F" w:rsidRPr="00812C16" w:rsidRDefault="00836A3F" w:rsidP="007E63A6">
            <w:pPr>
              <w:spacing w:beforeLines="30" w:before="72" w:afterLines="30" w:after="72" w:line="240" w:lineRule="auto"/>
              <w:ind w:left="40" w:right="55"/>
              <w:jc w:val="center"/>
              <w:rPr>
                <w:rFonts w:cs="Arial"/>
                <w:b/>
                <w:bCs/>
                <w:sz w:val="20"/>
                <w:szCs w:val="20"/>
              </w:rPr>
            </w:pPr>
            <w:r w:rsidRPr="00812C16">
              <w:rPr>
                <w:rFonts w:cs="Arial"/>
                <w:b/>
                <w:bCs/>
                <w:sz w:val="20"/>
                <w:szCs w:val="20"/>
              </w:rPr>
              <w:t>Mundhöhle</w:t>
            </w:r>
          </w:p>
        </w:tc>
        <w:tc>
          <w:tcPr>
            <w:tcW w:w="1392" w:type="dxa"/>
            <w:tcBorders>
              <w:top w:val="single" w:sz="4" w:space="0" w:color="000000" w:themeColor="text1"/>
              <w:bottom w:val="single" w:sz="4" w:space="0" w:color="000000" w:themeColor="text1"/>
            </w:tcBorders>
          </w:tcPr>
          <w:p w14:paraId="70171878" w14:textId="77777777" w:rsidR="00836A3F" w:rsidRPr="00812C16" w:rsidRDefault="00836A3F" w:rsidP="007E63A6">
            <w:pPr>
              <w:spacing w:beforeLines="30" w:before="72" w:afterLines="30" w:after="72" w:line="240" w:lineRule="auto"/>
              <w:ind w:left="40" w:right="55"/>
              <w:jc w:val="center"/>
              <w:rPr>
                <w:rFonts w:cs="Arial"/>
                <w:b/>
                <w:bCs/>
                <w:sz w:val="20"/>
                <w:szCs w:val="20"/>
              </w:rPr>
            </w:pPr>
            <w:r w:rsidRPr="00812C16">
              <w:rPr>
                <w:rFonts w:cs="Arial"/>
                <w:b/>
                <w:bCs/>
                <w:sz w:val="20"/>
                <w:szCs w:val="20"/>
              </w:rPr>
              <w:t>Oropharynx</w:t>
            </w:r>
          </w:p>
        </w:tc>
        <w:tc>
          <w:tcPr>
            <w:tcW w:w="2010" w:type="dxa"/>
            <w:tcBorders>
              <w:top w:val="single" w:sz="4" w:space="0" w:color="000000" w:themeColor="text1"/>
              <w:bottom w:val="single" w:sz="4" w:space="0" w:color="000000" w:themeColor="text1"/>
            </w:tcBorders>
          </w:tcPr>
          <w:p w14:paraId="41129AFF" w14:textId="77777777" w:rsidR="00836A3F" w:rsidRPr="00812C16" w:rsidRDefault="00836A3F" w:rsidP="007E63A6">
            <w:pPr>
              <w:spacing w:beforeLines="30" w:before="72" w:afterLines="30" w:after="72" w:line="240" w:lineRule="auto"/>
              <w:ind w:left="40" w:right="55"/>
              <w:jc w:val="center"/>
              <w:rPr>
                <w:rFonts w:cs="Arial"/>
                <w:b/>
                <w:bCs/>
                <w:sz w:val="20"/>
                <w:szCs w:val="20"/>
              </w:rPr>
            </w:pPr>
            <w:r w:rsidRPr="00812C16">
              <w:rPr>
                <w:rFonts w:cs="Arial"/>
                <w:b/>
                <w:bCs/>
                <w:sz w:val="20"/>
                <w:szCs w:val="20"/>
              </w:rPr>
              <w:t>Hypopharynx</w:t>
            </w:r>
          </w:p>
        </w:tc>
      </w:tr>
      <w:tr w:rsidR="00836A3F" w:rsidRPr="00812C16" w14:paraId="6F3479D7" w14:textId="77777777" w:rsidTr="009D0CD3">
        <w:tc>
          <w:tcPr>
            <w:tcW w:w="2127" w:type="dxa"/>
            <w:tcBorders>
              <w:top w:val="single" w:sz="4" w:space="0" w:color="000000" w:themeColor="text1"/>
            </w:tcBorders>
          </w:tcPr>
          <w:p w14:paraId="486A6A3C" w14:textId="77777777" w:rsidR="00836A3F" w:rsidRPr="00812C16" w:rsidRDefault="00836A3F" w:rsidP="007E63A6">
            <w:pPr>
              <w:spacing w:beforeLines="30" w:before="72" w:afterLines="30" w:after="72" w:line="240" w:lineRule="auto"/>
              <w:ind w:left="40" w:right="55"/>
              <w:rPr>
                <w:rFonts w:cs="Arial"/>
                <w:sz w:val="20"/>
                <w:szCs w:val="20"/>
              </w:rPr>
            </w:pPr>
            <w:r w:rsidRPr="00812C16">
              <w:rPr>
                <w:rFonts w:cs="Arial"/>
                <w:sz w:val="20"/>
                <w:szCs w:val="20"/>
              </w:rPr>
              <w:t>Berlin</w:t>
            </w:r>
          </w:p>
        </w:tc>
        <w:tc>
          <w:tcPr>
            <w:tcW w:w="1559" w:type="dxa"/>
            <w:tcBorders>
              <w:top w:val="single" w:sz="4" w:space="0" w:color="000000" w:themeColor="text1"/>
            </w:tcBorders>
          </w:tcPr>
          <w:p w14:paraId="357A6B79"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24</w:t>
            </w:r>
          </w:p>
        </w:tc>
        <w:tc>
          <w:tcPr>
            <w:tcW w:w="1984" w:type="dxa"/>
            <w:tcBorders>
              <w:top w:val="single" w:sz="4" w:space="0" w:color="000000" w:themeColor="text1"/>
            </w:tcBorders>
          </w:tcPr>
          <w:p w14:paraId="3479CC1C"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9</w:t>
            </w:r>
          </w:p>
        </w:tc>
        <w:tc>
          <w:tcPr>
            <w:tcW w:w="1392" w:type="dxa"/>
            <w:tcBorders>
              <w:top w:val="single" w:sz="4" w:space="0" w:color="000000" w:themeColor="text1"/>
            </w:tcBorders>
          </w:tcPr>
          <w:p w14:paraId="3F982F21"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11</w:t>
            </w:r>
          </w:p>
        </w:tc>
        <w:tc>
          <w:tcPr>
            <w:tcW w:w="2010" w:type="dxa"/>
            <w:tcBorders>
              <w:top w:val="single" w:sz="4" w:space="0" w:color="000000" w:themeColor="text1"/>
            </w:tcBorders>
          </w:tcPr>
          <w:p w14:paraId="4C54E07A"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4</w:t>
            </w:r>
          </w:p>
        </w:tc>
      </w:tr>
      <w:tr w:rsidR="00836A3F" w:rsidRPr="00812C16" w14:paraId="29160CC6" w14:textId="77777777" w:rsidTr="009D0CD3">
        <w:tc>
          <w:tcPr>
            <w:tcW w:w="2127" w:type="dxa"/>
          </w:tcPr>
          <w:p w14:paraId="4B331EEC" w14:textId="77777777" w:rsidR="00836A3F" w:rsidRPr="00812C16" w:rsidRDefault="00836A3F" w:rsidP="007E63A6">
            <w:pPr>
              <w:spacing w:beforeLines="30" w:before="72" w:afterLines="30" w:after="72" w:line="240" w:lineRule="auto"/>
              <w:ind w:left="40" w:right="55"/>
              <w:rPr>
                <w:rFonts w:cs="Arial"/>
                <w:sz w:val="20"/>
                <w:szCs w:val="20"/>
              </w:rPr>
            </w:pPr>
            <w:r w:rsidRPr="00812C16">
              <w:rPr>
                <w:rFonts w:cs="Arial"/>
                <w:sz w:val="20"/>
                <w:szCs w:val="20"/>
              </w:rPr>
              <w:t>Dresden</w:t>
            </w:r>
          </w:p>
        </w:tc>
        <w:tc>
          <w:tcPr>
            <w:tcW w:w="1559" w:type="dxa"/>
          </w:tcPr>
          <w:p w14:paraId="03361A48"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42</w:t>
            </w:r>
          </w:p>
        </w:tc>
        <w:tc>
          <w:tcPr>
            <w:tcW w:w="1984" w:type="dxa"/>
          </w:tcPr>
          <w:p w14:paraId="4D9AE7C4"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21</w:t>
            </w:r>
          </w:p>
        </w:tc>
        <w:tc>
          <w:tcPr>
            <w:tcW w:w="1392" w:type="dxa"/>
          </w:tcPr>
          <w:p w14:paraId="4ABA191B"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14</w:t>
            </w:r>
          </w:p>
        </w:tc>
        <w:tc>
          <w:tcPr>
            <w:tcW w:w="2010" w:type="dxa"/>
          </w:tcPr>
          <w:p w14:paraId="6061F58D"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7</w:t>
            </w:r>
          </w:p>
        </w:tc>
      </w:tr>
      <w:tr w:rsidR="00836A3F" w:rsidRPr="00812C16" w14:paraId="77290840" w14:textId="77777777" w:rsidTr="009D0CD3">
        <w:tc>
          <w:tcPr>
            <w:tcW w:w="2127" w:type="dxa"/>
          </w:tcPr>
          <w:p w14:paraId="4DF4C6A5" w14:textId="77777777" w:rsidR="00836A3F" w:rsidRPr="00812C16" w:rsidRDefault="00836A3F" w:rsidP="007E63A6">
            <w:pPr>
              <w:spacing w:beforeLines="30" w:before="72" w:afterLines="30" w:after="72" w:line="240" w:lineRule="auto"/>
              <w:ind w:left="40" w:right="55"/>
              <w:rPr>
                <w:rFonts w:cs="Arial"/>
                <w:sz w:val="20"/>
                <w:szCs w:val="20"/>
              </w:rPr>
            </w:pPr>
            <w:r w:rsidRPr="00812C16">
              <w:rPr>
                <w:rFonts w:cs="Arial"/>
                <w:sz w:val="20"/>
                <w:szCs w:val="20"/>
              </w:rPr>
              <w:t>Essen</w:t>
            </w:r>
          </w:p>
        </w:tc>
        <w:tc>
          <w:tcPr>
            <w:tcW w:w="1559" w:type="dxa"/>
          </w:tcPr>
          <w:p w14:paraId="4275830E"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33</w:t>
            </w:r>
          </w:p>
        </w:tc>
        <w:tc>
          <w:tcPr>
            <w:tcW w:w="1984" w:type="dxa"/>
          </w:tcPr>
          <w:p w14:paraId="31318521"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2</w:t>
            </w:r>
          </w:p>
        </w:tc>
        <w:tc>
          <w:tcPr>
            <w:tcW w:w="1392" w:type="dxa"/>
          </w:tcPr>
          <w:p w14:paraId="53CD230C"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22</w:t>
            </w:r>
          </w:p>
        </w:tc>
        <w:tc>
          <w:tcPr>
            <w:tcW w:w="2010" w:type="dxa"/>
          </w:tcPr>
          <w:p w14:paraId="7FC657F3"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9</w:t>
            </w:r>
          </w:p>
        </w:tc>
      </w:tr>
      <w:tr w:rsidR="00836A3F" w:rsidRPr="00812C16" w14:paraId="54222E49" w14:textId="77777777" w:rsidTr="009D0CD3">
        <w:tc>
          <w:tcPr>
            <w:tcW w:w="2127" w:type="dxa"/>
          </w:tcPr>
          <w:p w14:paraId="7C2E6C91" w14:textId="77777777" w:rsidR="00836A3F" w:rsidRPr="00812C16" w:rsidRDefault="00836A3F" w:rsidP="007E63A6">
            <w:pPr>
              <w:spacing w:beforeLines="30" w:before="72" w:afterLines="30" w:after="72" w:line="240" w:lineRule="auto"/>
              <w:ind w:left="40" w:right="55"/>
              <w:rPr>
                <w:rFonts w:cs="Arial"/>
                <w:sz w:val="20"/>
                <w:szCs w:val="20"/>
              </w:rPr>
            </w:pPr>
            <w:r w:rsidRPr="00812C16">
              <w:rPr>
                <w:rFonts w:cs="Arial"/>
                <w:sz w:val="20"/>
                <w:szCs w:val="20"/>
              </w:rPr>
              <w:t>Freiburg</w:t>
            </w:r>
          </w:p>
        </w:tc>
        <w:tc>
          <w:tcPr>
            <w:tcW w:w="1559" w:type="dxa"/>
          </w:tcPr>
          <w:p w14:paraId="1C07F77B"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30</w:t>
            </w:r>
          </w:p>
        </w:tc>
        <w:tc>
          <w:tcPr>
            <w:tcW w:w="1984" w:type="dxa"/>
          </w:tcPr>
          <w:p w14:paraId="78ADE673"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5</w:t>
            </w:r>
          </w:p>
        </w:tc>
        <w:tc>
          <w:tcPr>
            <w:tcW w:w="1392" w:type="dxa"/>
          </w:tcPr>
          <w:p w14:paraId="426EAF88"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20</w:t>
            </w:r>
          </w:p>
        </w:tc>
        <w:tc>
          <w:tcPr>
            <w:tcW w:w="2010" w:type="dxa"/>
          </w:tcPr>
          <w:p w14:paraId="2B50C1A9"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5</w:t>
            </w:r>
          </w:p>
        </w:tc>
      </w:tr>
      <w:tr w:rsidR="00836A3F" w:rsidRPr="00812C16" w14:paraId="4B72CE4F" w14:textId="77777777" w:rsidTr="009D0CD3">
        <w:tc>
          <w:tcPr>
            <w:tcW w:w="2127" w:type="dxa"/>
          </w:tcPr>
          <w:p w14:paraId="3E5681B5" w14:textId="77777777" w:rsidR="00836A3F" w:rsidRPr="00812C16" w:rsidRDefault="00836A3F" w:rsidP="007E63A6">
            <w:pPr>
              <w:spacing w:beforeLines="30" w:before="72" w:afterLines="30" w:after="72" w:line="240" w:lineRule="auto"/>
              <w:ind w:left="40" w:right="55"/>
              <w:rPr>
                <w:rFonts w:cs="Arial"/>
                <w:sz w:val="20"/>
                <w:szCs w:val="20"/>
              </w:rPr>
            </w:pPr>
            <w:r w:rsidRPr="00812C16">
              <w:rPr>
                <w:rFonts w:cs="Arial"/>
                <w:sz w:val="20"/>
                <w:szCs w:val="20"/>
              </w:rPr>
              <w:t>Frankfurt a.M.</w:t>
            </w:r>
          </w:p>
        </w:tc>
        <w:tc>
          <w:tcPr>
            <w:tcW w:w="1559" w:type="dxa"/>
          </w:tcPr>
          <w:p w14:paraId="17BAD8C5"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27</w:t>
            </w:r>
          </w:p>
        </w:tc>
        <w:tc>
          <w:tcPr>
            <w:tcW w:w="1984" w:type="dxa"/>
          </w:tcPr>
          <w:p w14:paraId="761AB323"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12</w:t>
            </w:r>
          </w:p>
        </w:tc>
        <w:tc>
          <w:tcPr>
            <w:tcW w:w="1392" w:type="dxa"/>
          </w:tcPr>
          <w:p w14:paraId="7957410B"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14</w:t>
            </w:r>
          </w:p>
        </w:tc>
        <w:tc>
          <w:tcPr>
            <w:tcW w:w="2010" w:type="dxa"/>
          </w:tcPr>
          <w:p w14:paraId="2367429A"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1</w:t>
            </w:r>
          </w:p>
        </w:tc>
      </w:tr>
      <w:tr w:rsidR="00836A3F" w:rsidRPr="00812C16" w14:paraId="063CC65D" w14:textId="77777777" w:rsidTr="009D0CD3">
        <w:tc>
          <w:tcPr>
            <w:tcW w:w="2127" w:type="dxa"/>
          </w:tcPr>
          <w:p w14:paraId="0E6187AA" w14:textId="77777777" w:rsidR="00836A3F" w:rsidRPr="00812C16" w:rsidRDefault="00836A3F" w:rsidP="007E63A6">
            <w:pPr>
              <w:spacing w:beforeLines="30" w:before="72" w:afterLines="30" w:after="72" w:line="240" w:lineRule="auto"/>
              <w:ind w:left="40" w:right="55"/>
              <w:rPr>
                <w:rFonts w:cs="Arial"/>
                <w:sz w:val="20"/>
                <w:szCs w:val="20"/>
              </w:rPr>
            </w:pPr>
            <w:r w:rsidRPr="00812C16">
              <w:rPr>
                <w:rFonts w:cs="Arial"/>
                <w:sz w:val="20"/>
                <w:szCs w:val="20"/>
              </w:rPr>
              <w:t>Heidelberg</w:t>
            </w:r>
          </w:p>
        </w:tc>
        <w:tc>
          <w:tcPr>
            <w:tcW w:w="1559" w:type="dxa"/>
          </w:tcPr>
          <w:p w14:paraId="4E9E4BDD"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15</w:t>
            </w:r>
          </w:p>
        </w:tc>
        <w:tc>
          <w:tcPr>
            <w:tcW w:w="1984" w:type="dxa"/>
          </w:tcPr>
          <w:p w14:paraId="29D14596"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2</w:t>
            </w:r>
          </w:p>
        </w:tc>
        <w:tc>
          <w:tcPr>
            <w:tcW w:w="1392" w:type="dxa"/>
          </w:tcPr>
          <w:p w14:paraId="5C675F56"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10</w:t>
            </w:r>
          </w:p>
        </w:tc>
        <w:tc>
          <w:tcPr>
            <w:tcW w:w="2010" w:type="dxa"/>
          </w:tcPr>
          <w:p w14:paraId="04C149E7"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3</w:t>
            </w:r>
          </w:p>
        </w:tc>
      </w:tr>
      <w:tr w:rsidR="00836A3F" w:rsidRPr="00812C16" w14:paraId="3116670E" w14:textId="77777777" w:rsidTr="009D0CD3">
        <w:tc>
          <w:tcPr>
            <w:tcW w:w="2127" w:type="dxa"/>
          </w:tcPr>
          <w:p w14:paraId="64928E09" w14:textId="77777777" w:rsidR="00836A3F" w:rsidRPr="00812C16" w:rsidRDefault="00836A3F" w:rsidP="007E63A6">
            <w:pPr>
              <w:spacing w:beforeLines="30" w:before="72" w:afterLines="30" w:after="72" w:line="240" w:lineRule="auto"/>
              <w:ind w:left="40" w:right="55"/>
              <w:rPr>
                <w:rFonts w:cs="Arial"/>
                <w:sz w:val="20"/>
                <w:szCs w:val="20"/>
              </w:rPr>
            </w:pPr>
            <w:r w:rsidRPr="00812C16">
              <w:rPr>
                <w:rFonts w:cs="Arial"/>
                <w:sz w:val="20"/>
                <w:szCs w:val="20"/>
              </w:rPr>
              <w:lastRenderedPageBreak/>
              <w:t>München</w:t>
            </w:r>
          </w:p>
        </w:tc>
        <w:tc>
          <w:tcPr>
            <w:tcW w:w="1559" w:type="dxa"/>
          </w:tcPr>
          <w:p w14:paraId="655FEE92"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17</w:t>
            </w:r>
          </w:p>
        </w:tc>
        <w:tc>
          <w:tcPr>
            <w:tcW w:w="1984" w:type="dxa"/>
          </w:tcPr>
          <w:p w14:paraId="2C50482F"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0</w:t>
            </w:r>
          </w:p>
        </w:tc>
        <w:tc>
          <w:tcPr>
            <w:tcW w:w="1392" w:type="dxa"/>
          </w:tcPr>
          <w:p w14:paraId="1EEDF131"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16</w:t>
            </w:r>
          </w:p>
        </w:tc>
        <w:tc>
          <w:tcPr>
            <w:tcW w:w="2010" w:type="dxa"/>
          </w:tcPr>
          <w:p w14:paraId="294AAE88"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1</w:t>
            </w:r>
          </w:p>
        </w:tc>
      </w:tr>
      <w:tr w:rsidR="00836A3F" w:rsidRPr="00812C16" w14:paraId="59BC3264" w14:textId="77777777" w:rsidTr="009D0CD3">
        <w:tc>
          <w:tcPr>
            <w:tcW w:w="2127" w:type="dxa"/>
          </w:tcPr>
          <w:p w14:paraId="437C6126" w14:textId="77777777" w:rsidR="00836A3F" w:rsidRPr="00812C16" w:rsidRDefault="00836A3F" w:rsidP="007E63A6">
            <w:pPr>
              <w:spacing w:beforeLines="30" w:before="72" w:afterLines="30" w:after="72" w:line="240" w:lineRule="auto"/>
              <w:ind w:left="40" w:right="55"/>
              <w:rPr>
                <w:rFonts w:cs="Arial"/>
                <w:sz w:val="20"/>
                <w:szCs w:val="20"/>
              </w:rPr>
            </w:pPr>
            <w:r w:rsidRPr="00812C16">
              <w:rPr>
                <w:rFonts w:cs="Arial"/>
                <w:sz w:val="20"/>
                <w:szCs w:val="20"/>
              </w:rPr>
              <w:t>Tübingen</w:t>
            </w:r>
          </w:p>
        </w:tc>
        <w:tc>
          <w:tcPr>
            <w:tcW w:w="1559" w:type="dxa"/>
          </w:tcPr>
          <w:p w14:paraId="15A7B936"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33</w:t>
            </w:r>
          </w:p>
        </w:tc>
        <w:tc>
          <w:tcPr>
            <w:tcW w:w="1984" w:type="dxa"/>
          </w:tcPr>
          <w:p w14:paraId="5E790E41"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9</w:t>
            </w:r>
          </w:p>
        </w:tc>
        <w:tc>
          <w:tcPr>
            <w:tcW w:w="1392" w:type="dxa"/>
          </w:tcPr>
          <w:p w14:paraId="6524B1F2"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19</w:t>
            </w:r>
          </w:p>
        </w:tc>
        <w:tc>
          <w:tcPr>
            <w:tcW w:w="2010" w:type="dxa"/>
          </w:tcPr>
          <w:p w14:paraId="4BCB850D"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5</w:t>
            </w:r>
          </w:p>
        </w:tc>
      </w:tr>
      <w:tr w:rsidR="00836A3F" w:rsidRPr="00812C16" w14:paraId="0B8F9640" w14:textId="77777777" w:rsidTr="009D0CD3">
        <w:tc>
          <w:tcPr>
            <w:tcW w:w="2127" w:type="dxa"/>
            <w:tcBorders>
              <w:bottom w:val="single" w:sz="4" w:space="0" w:color="000000" w:themeColor="text1"/>
            </w:tcBorders>
          </w:tcPr>
          <w:p w14:paraId="23E60B09" w14:textId="77777777" w:rsidR="00836A3F" w:rsidRPr="00812C16" w:rsidRDefault="00836A3F" w:rsidP="007E63A6">
            <w:pPr>
              <w:spacing w:beforeLines="30" w:before="72" w:afterLines="30" w:after="72" w:line="240" w:lineRule="auto"/>
              <w:ind w:left="40" w:right="55"/>
              <w:rPr>
                <w:rFonts w:cs="Arial"/>
                <w:sz w:val="20"/>
                <w:szCs w:val="20"/>
              </w:rPr>
            </w:pPr>
            <w:r w:rsidRPr="00812C16">
              <w:rPr>
                <w:rFonts w:cs="Arial"/>
                <w:sz w:val="20"/>
                <w:szCs w:val="20"/>
              </w:rPr>
              <w:t>Insgesamt</w:t>
            </w:r>
          </w:p>
        </w:tc>
        <w:tc>
          <w:tcPr>
            <w:tcW w:w="1559" w:type="dxa"/>
            <w:tcBorders>
              <w:bottom w:val="single" w:sz="4" w:space="0" w:color="000000" w:themeColor="text1"/>
            </w:tcBorders>
          </w:tcPr>
          <w:p w14:paraId="4B42108A"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221</w:t>
            </w:r>
          </w:p>
        </w:tc>
        <w:tc>
          <w:tcPr>
            <w:tcW w:w="1984" w:type="dxa"/>
            <w:tcBorders>
              <w:bottom w:val="single" w:sz="4" w:space="0" w:color="000000" w:themeColor="text1"/>
            </w:tcBorders>
          </w:tcPr>
          <w:p w14:paraId="408167C8"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60</w:t>
            </w:r>
          </w:p>
        </w:tc>
        <w:tc>
          <w:tcPr>
            <w:tcW w:w="1392" w:type="dxa"/>
            <w:tcBorders>
              <w:bottom w:val="single" w:sz="4" w:space="0" w:color="000000" w:themeColor="text1"/>
            </w:tcBorders>
          </w:tcPr>
          <w:p w14:paraId="3F7741D7"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126</w:t>
            </w:r>
          </w:p>
        </w:tc>
        <w:tc>
          <w:tcPr>
            <w:tcW w:w="2010" w:type="dxa"/>
            <w:tcBorders>
              <w:bottom w:val="single" w:sz="4" w:space="0" w:color="000000" w:themeColor="text1"/>
            </w:tcBorders>
          </w:tcPr>
          <w:p w14:paraId="5D25BB4E" w14:textId="77777777" w:rsidR="00836A3F" w:rsidRPr="00812C16" w:rsidRDefault="00836A3F" w:rsidP="007E63A6">
            <w:pPr>
              <w:spacing w:beforeLines="30" w:before="72" w:afterLines="30" w:after="72" w:line="240" w:lineRule="auto"/>
              <w:ind w:left="40" w:right="55"/>
              <w:jc w:val="center"/>
              <w:rPr>
                <w:rFonts w:cs="Arial"/>
                <w:sz w:val="20"/>
                <w:szCs w:val="20"/>
              </w:rPr>
            </w:pPr>
            <w:r w:rsidRPr="00812C16">
              <w:rPr>
                <w:rFonts w:cs="Arial"/>
                <w:sz w:val="20"/>
                <w:szCs w:val="20"/>
              </w:rPr>
              <w:t>35</w:t>
            </w:r>
          </w:p>
        </w:tc>
      </w:tr>
    </w:tbl>
    <w:p w14:paraId="48FCB875" w14:textId="77777777" w:rsidR="00F67803" w:rsidRPr="00F67803" w:rsidRDefault="002D4DC9" w:rsidP="00F67803">
      <w:pPr>
        <w:ind w:right="-2"/>
        <w:rPr>
          <w:rFonts w:cs="Arial"/>
        </w:rPr>
      </w:pPr>
      <w:r w:rsidRPr="00812C16">
        <w:rPr>
          <w:rFonts w:cs="Arial"/>
          <w:lang w:eastAsia="de-DE"/>
        </w:rPr>
        <w:t xml:space="preserve">Insgesamt handelte es sich bei </w:t>
      </w:r>
      <w:proofErr w:type="spellStart"/>
      <w:r w:rsidRPr="00812C16">
        <w:rPr>
          <w:rFonts w:cs="Arial"/>
          <w:lang w:eastAsia="de-DE"/>
        </w:rPr>
        <w:t>über</w:t>
      </w:r>
      <w:proofErr w:type="spellEnd"/>
      <w:r w:rsidRPr="00812C16">
        <w:rPr>
          <w:rFonts w:cs="Arial"/>
          <w:lang w:eastAsia="de-DE"/>
        </w:rPr>
        <w:t xml:space="preserve"> 9</w:t>
      </w:r>
      <w:r w:rsidR="006E2E86" w:rsidRPr="00812C16">
        <w:rPr>
          <w:rFonts w:cs="Arial"/>
          <w:lang w:eastAsia="de-DE"/>
        </w:rPr>
        <w:t>6</w:t>
      </w:r>
      <w:r w:rsidRPr="00812C16">
        <w:rPr>
          <w:rFonts w:cs="Arial"/>
          <w:lang w:eastAsia="de-DE"/>
        </w:rPr>
        <w:t xml:space="preserve">% der Karzinome um </w:t>
      </w:r>
      <w:r w:rsidR="00F21B00" w:rsidRPr="00812C16">
        <w:rPr>
          <w:rFonts w:cs="Arial"/>
          <w:lang w:eastAsia="de-DE"/>
        </w:rPr>
        <w:t>mäßig</w:t>
      </w:r>
      <w:r w:rsidRPr="00812C16">
        <w:rPr>
          <w:rFonts w:cs="Arial"/>
          <w:lang w:eastAsia="de-DE"/>
        </w:rPr>
        <w:t xml:space="preserve"> </w:t>
      </w:r>
      <w:r w:rsidR="00FF09EC" w:rsidRPr="00812C16">
        <w:rPr>
          <w:rFonts w:cs="Arial"/>
          <w:lang w:eastAsia="de-DE"/>
        </w:rPr>
        <w:t xml:space="preserve">(G2) </w:t>
      </w:r>
      <w:r w:rsidRPr="00812C16">
        <w:rPr>
          <w:rFonts w:cs="Arial"/>
          <w:lang w:eastAsia="de-DE"/>
        </w:rPr>
        <w:t xml:space="preserve">und </w:t>
      </w:r>
      <w:r w:rsidR="00F21B00" w:rsidRPr="00812C16">
        <w:rPr>
          <w:rFonts w:cs="Arial"/>
          <w:lang w:eastAsia="de-DE"/>
        </w:rPr>
        <w:t>schlecht</w:t>
      </w:r>
      <w:r w:rsidRPr="00812C16">
        <w:rPr>
          <w:rFonts w:cs="Arial"/>
          <w:lang w:eastAsia="de-DE"/>
        </w:rPr>
        <w:t xml:space="preserve"> differenzierte</w:t>
      </w:r>
      <w:r w:rsidR="00FF09EC" w:rsidRPr="00812C16">
        <w:rPr>
          <w:rFonts w:cs="Arial"/>
          <w:lang w:eastAsia="de-DE"/>
        </w:rPr>
        <w:t xml:space="preserve"> </w:t>
      </w:r>
      <w:r w:rsidR="006E2E86" w:rsidRPr="00812C16">
        <w:rPr>
          <w:rFonts w:cs="Arial"/>
          <w:lang w:eastAsia="de-DE"/>
        </w:rPr>
        <w:t>bzw.</w:t>
      </w:r>
      <w:r w:rsidR="00FF09EC" w:rsidRPr="00812C16">
        <w:rPr>
          <w:rFonts w:cs="Arial"/>
          <w:lang w:eastAsia="de-DE"/>
        </w:rPr>
        <w:t xml:space="preserve"> </w:t>
      </w:r>
      <w:r w:rsidR="00F21B00" w:rsidRPr="00812C16">
        <w:rPr>
          <w:rFonts w:cs="Arial"/>
          <w:lang w:eastAsia="de-DE"/>
        </w:rPr>
        <w:t>undifferenzierte</w:t>
      </w:r>
      <w:r w:rsidR="00FF09EC" w:rsidRPr="00812C16">
        <w:rPr>
          <w:rFonts w:cs="Arial"/>
          <w:lang w:eastAsia="de-DE"/>
        </w:rPr>
        <w:t xml:space="preserve"> (G3)</w:t>
      </w:r>
      <w:r w:rsidR="00F21B00" w:rsidRPr="00812C16">
        <w:rPr>
          <w:rFonts w:cs="Arial"/>
          <w:lang w:eastAsia="de-DE"/>
        </w:rPr>
        <w:t xml:space="preserve"> Primärtumoren</w:t>
      </w:r>
      <w:r w:rsidRPr="00812C16">
        <w:rPr>
          <w:rFonts w:cs="Arial"/>
          <w:lang w:eastAsia="de-DE"/>
        </w:rPr>
        <w:t xml:space="preserve"> im</w:t>
      </w:r>
      <w:r w:rsidR="00F21B00" w:rsidRPr="00812C16">
        <w:rPr>
          <w:rFonts w:cs="Arial"/>
          <w:lang w:eastAsia="de-DE"/>
        </w:rPr>
        <w:t xml:space="preserve"> </w:t>
      </w:r>
      <w:r w:rsidR="006F7AB1" w:rsidRPr="00812C16">
        <w:rPr>
          <w:rFonts w:cs="Arial"/>
          <w:lang w:eastAsia="de-DE"/>
        </w:rPr>
        <w:t>lokal fortgeschrittenen</w:t>
      </w:r>
      <w:r w:rsidRPr="00812C16">
        <w:rPr>
          <w:rFonts w:cs="Arial"/>
          <w:lang w:eastAsia="de-DE"/>
        </w:rPr>
        <w:t xml:space="preserve"> Tumor</w:t>
      </w:r>
      <w:r w:rsidR="006F7AB1" w:rsidRPr="00812C16">
        <w:rPr>
          <w:rFonts w:cs="Arial"/>
          <w:lang w:eastAsia="de-DE"/>
        </w:rPr>
        <w:t>stadium</w:t>
      </w:r>
      <w:r w:rsidR="00124288" w:rsidRPr="00812C16">
        <w:rPr>
          <w:rFonts w:cs="Arial"/>
          <w:lang w:eastAsia="de-DE"/>
        </w:rPr>
        <w:t xml:space="preserve"> pT3-T4</w:t>
      </w:r>
      <w:r w:rsidR="006F7AB1" w:rsidRPr="00812C16">
        <w:rPr>
          <w:rFonts w:cs="Arial"/>
          <w:lang w:eastAsia="de-DE"/>
        </w:rPr>
        <w:t xml:space="preserve"> </w:t>
      </w:r>
      <w:r w:rsidR="00124288" w:rsidRPr="00812C16">
        <w:rPr>
          <w:rFonts w:cs="Arial"/>
          <w:lang w:eastAsia="de-DE"/>
        </w:rPr>
        <w:t xml:space="preserve">(TNM-Stadium) </w:t>
      </w:r>
      <w:r w:rsidR="006F7AB1" w:rsidRPr="00812C16">
        <w:rPr>
          <w:rFonts w:cs="Arial"/>
          <w:lang w:eastAsia="de-DE"/>
        </w:rPr>
        <w:t>mit</w:t>
      </w:r>
      <w:r w:rsidR="00124288" w:rsidRPr="00812C16">
        <w:rPr>
          <w:rFonts w:cs="Arial"/>
          <w:lang w:eastAsia="de-DE"/>
        </w:rPr>
        <w:t xml:space="preserve"> vorwiegend</w:t>
      </w:r>
      <w:r w:rsidR="006F7AB1" w:rsidRPr="00812C16">
        <w:rPr>
          <w:rFonts w:cs="Arial"/>
          <w:lang w:eastAsia="de-DE"/>
        </w:rPr>
        <w:t xml:space="preserve"> positivem Lymphknotenstatus</w:t>
      </w:r>
      <w:r w:rsidR="002877E1" w:rsidRPr="00812C16">
        <w:rPr>
          <w:rFonts w:cs="Arial"/>
          <w:lang w:eastAsia="de-DE"/>
        </w:rPr>
        <w:t xml:space="preserve"> (90%, n=199)</w:t>
      </w:r>
      <w:r w:rsidR="006F7AB1" w:rsidRPr="00812C16">
        <w:rPr>
          <w:rFonts w:cs="Arial"/>
          <w:lang w:eastAsia="de-DE"/>
        </w:rPr>
        <w:t xml:space="preserve">. </w:t>
      </w:r>
      <w:r w:rsidR="006F6A39" w:rsidRPr="00812C16">
        <w:rPr>
          <w:rFonts w:cs="Arial"/>
          <w:lang w:eastAsia="de-DE"/>
        </w:rPr>
        <w:t xml:space="preserve">Zu Beginn der Strahlentherapie wurden bei keinem Patienten </w:t>
      </w:r>
      <w:r w:rsidR="00F21B00" w:rsidRPr="00812C16">
        <w:rPr>
          <w:rFonts w:cs="Arial"/>
          <w:lang w:eastAsia="de-DE"/>
        </w:rPr>
        <w:t xml:space="preserve">Fernmetastasen </w:t>
      </w:r>
      <w:r w:rsidR="006F6A39" w:rsidRPr="00812C16">
        <w:rPr>
          <w:rFonts w:cs="Arial"/>
          <w:lang w:eastAsia="de-DE"/>
        </w:rPr>
        <w:t>diagnostiziert. Diese traten erst im Laufe der Nachbeobachtung auf. Nach der UICC-Klassifikation befanden sich 8 (3</w:t>
      </w:r>
      <w:r w:rsidR="009D0CD3" w:rsidRPr="00812C16">
        <w:rPr>
          <w:rFonts w:cs="Arial"/>
          <w:lang w:eastAsia="de-DE"/>
        </w:rPr>
        <w:t>,</w:t>
      </w:r>
      <w:r w:rsidR="006F6A39" w:rsidRPr="00812C16">
        <w:rPr>
          <w:rFonts w:cs="Arial"/>
          <w:lang w:eastAsia="de-DE"/>
        </w:rPr>
        <w:t>6%) Patienten in Stadium II, 33</w:t>
      </w:r>
      <w:r w:rsidR="00404C6B" w:rsidRPr="00812C16">
        <w:rPr>
          <w:rFonts w:cs="Arial"/>
          <w:lang w:eastAsia="de-DE"/>
        </w:rPr>
        <w:t xml:space="preserve"> </w:t>
      </w:r>
      <w:r w:rsidR="006F6A39" w:rsidRPr="00812C16">
        <w:rPr>
          <w:rFonts w:cs="Arial"/>
          <w:lang w:eastAsia="de-DE"/>
        </w:rPr>
        <w:t>(14</w:t>
      </w:r>
      <w:r w:rsidR="009D0CD3" w:rsidRPr="00812C16">
        <w:rPr>
          <w:rFonts w:cs="Arial"/>
          <w:lang w:eastAsia="de-DE"/>
        </w:rPr>
        <w:t>,</w:t>
      </w:r>
      <w:r w:rsidR="006F6A39" w:rsidRPr="00812C16">
        <w:rPr>
          <w:rFonts w:cs="Arial"/>
          <w:lang w:eastAsia="de-DE"/>
        </w:rPr>
        <w:t>9%) in Stadium III und 180 (81</w:t>
      </w:r>
      <w:r w:rsidR="009D0CD3" w:rsidRPr="00812C16">
        <w:rPr>
          <w:rFonts w:cs="Arial"/>
          <w:lang w:eastAsia="de-DE"/>
        </w:rPr>
        <w:t>,</w:t>
      </w:r>
      <w:r w:rsidR="006F6A39" w:rsidRPr="00812C16">
        <w:rPr>
          <w:rFonts w:cs="Arial"/>
          <w:lang w:eastAsia="de-DE"/>
        </w:rPr>
        <w:t xml:space="preserve">4%) in Stadium IV. Die Stadien IV A und IV B wurden hierbei zum Stadium IV zusammengefasst. Das Stadium IV C entfällt aufgrund der </w:t>
      </w:r>
      <w:proofErr w:type="spellStart"/>
      <w:r w:rsidR="006F6A39" w:rsidRPr="00812C16">
        <w:rPr>
          <w:rFonts w:cs="Arial"/>
          <w:lang w:eastAsia="de-DE"/>
        </w:rPr>
        <w:t>Metastasenfreiheit</w:t>
      </w:r>
      <w:proofErr w:type="spellEnd"/>
      <w:r w:rsidR="006F6A39" w:rsidRPr="00812C16">
        <w:rPr>
          <w:rFonts w:cs="Arial"/>
          <w:lang w:eastAsia="de-DE"/>
        </w:rPr>
        <w:t xml:space="preserve"> aller Patienten zu Therapiebeginn.</w:t>
      </w:r>
      <w:r w:rsidR="0000516F" w:rsidRPr="00812C16">
        <w:rPr>
          <w:rFonts w:cs="Arial"/>
          <w:lang w:eastAsia="de-DE"/>
        </w:rPr>
        <w:t xml:space="preserve"> </w:t>
      </w:r>
      <w:r w:rsidR="00887A77" w:rsidRPr="00812C16">
        <w:rPr>
          <w:rFonts w:cs="Arial"/>
          <w:lang w:eastAsia="de-DE"/>
        </w:rPr>
        <w:t xml:space="preserve">In </w:t>
      </w:r>
      <w:r w:rsidR="00887A77" w:rsidRPr="00812C16">
        <w:rPr>
          <w:rFonts w:cs="Arial"/>
          <w:lang w:eastAsia="de-DE"/>
        </w:rPr>
        <w:fldChar w:fldCharType="begin"/>
      </w:r>
      <w:r w:rsidR="00887A77" w:rsidRPr="00812C16">
        <w:rPr>
          <w:rFonts w:cs="Arial"/>
          <w:lang w:eastAsia="de-DE"/>
        </w:rPr>
        <w:instrText xml:space="preserve"> REF _Ref89671480 \h </w:instrText>
      </w:r>
      <w:r w:rsidR="00404C6B" w:rsidRPr="00812C16">
        <w:rPr>
          <w:rFonts w:cs="Arial"/>
          <w:lang w:eastAsia="de-DE"/>
        </w:rPr>
        <w:instrText xml:space="preserve"> \* MERGEFORMAT </w:instrText>
      </w:r>
      <w:r w:rsidR="00887A77" w:rsidRPr="00812C16">
        <w:rPr>
          <w:rFonts w:cs="Arial"/>
          <w:lang w:eastAsia="de-DE"/>
        </w:rPr>
      </w:r>
      <w:r w:rsidR="00887A77" w:rsidRPr="00812C16">
        <w:rPr>
          <w:rFonts w:cs="Arial"/>
          <w:lang w:eastAsia="de-DE"/>
        </w:rPr>
        <w:fldChar w:fldCharType="separate"/>
      </w:r>
    </w:p>
    <w:p w14:paraId="223D2943" w14:textId="77777777" w:rsidR="00F67803" w:rsidRPr="00F67803" w:rsidRDefault="00F67803" w:rsidP="00F67803">
      <w:pPr>
        <w:ind w:right="-2"/>
        <w:rPr>
          <w:rFonts w:cs="Arial"/>
        </w:rPr>
      </w:pPr>
    </w:p>
    <w:p w14:paraId="22665028" w14:textId="74EC04E5" w:rsidR="009D0CD3" w:rsidRPr="00812C16" w:rsidRDefault="00F67803" w:rsidP="004F5445">
      <w:pPr>
        <w:spacing w:before="360"/>
        <w:ind w:right="-2"/>
        <w:rPr>
          <w:rFonts w:cs="Arial"/>
          <w:lang w:eastAsia="de-DE"/>
        </w:rPr>
      </w:pPr>
      <w:r w:rsidRPr="00F67803">
        <w:rPr>
          <w:rFonts w:cs="Arial"/>
          <w:noProof/>
        </w:rPr>
        <w:t>Tabelle</w:t>
      </w:r>
      <w:r w:rsidRPr="00812C16">
        <w:rPr>
          <w:rFonts w:cs="Arial"/>
          <w:b/>
          <w:bCs/>
          <w:sz w:val="20"/>
          <w:szCs w:val="20"/>
        </w:rPr>
        <w:t xml:space="preserve"> </w:t>
      </w:r>
      <w:r>
        <w:rPr>
          <w:rFonts w:cs="Arial"/>
          <w:b/>
          <w:bCs/>
          <w:i/>
          <w:iCs/>
          <w:noProof/>
          <w:sz w:val="20"/>
          <w:szCs w:val="20"/>
        </w:rPr>
        <w:t>4</w:t>
      </w:r>
      <w:r w:rsidRPr="00F67803">
        <w:rPr>
          <w:rFonts w:cs="Arial"/>
          <w:b/>
          <w:bCs/>
          <w:i/>
          <w:iCs/>
          <w:noProof/>
          <w:sz w:val="20"/>
          <w:szCs w:val="20"/>
        </w:rPr>
        <w:noBreakHyphen/>
      </w:r>
      <w:r>
        <w:rPr>
          <w:rFonts w:cs="Arial"/>
          <w:b/>
          <w:bCs/>
          <w:i/>
          <w:iCs/>
          <w:noProof/>
          <w:sz w:val="20"/>
          <w:szCs w:val="20"/>
        </w:rPr>
        <w:t>3</w:t>
      </w:r>
      <w:r w:rsidR="00887A77" w:rsidRPr="00812C16">
        <w:rPr>
          <w:rFonts w:cs="Arial"/>
          <w:lang w:eastAsia="de-DE"/>
        </w:rPr>
        <w:fldChar w:fldCharType="end"/>
      </w:r>
      <w:r w:rsidR="00887A77" w:rsidRPr="00812C16">
        <w:rPr>
          <w:rFonts w:cs="Arial"/>
          <w:lang w:eastAsia="de-DE"/>
        </w:rPr>
        <w:t xml:space="preserve"> sind die Tumorcharakteristika des Patientenkollektivs im Detail zusammengefasst. </w:t>
      </w:r>
    </w:p>
    <w:p w14:paraId="4A1DC29B" w14:textId="77777777" w:rsidR="00145378" w:rsidRPr="00812C16" w:rsidRDefault="00145378" w:rsidP="0000516F">
      <w:pPr>
        <w:spacing w:before="360"/>
        <w:rPr>
          <w:rFonts w:cs="Arial"/>
          <w:lang w:eastAsia="de-DE"/>
        </w:rPr>
      </w:pPr>
    </w:p>
    <w:p w14:paraId="72BF975C" w14:textId="77777777" w:rsidR="00145378" w:rsidRPr="00812C16" w:rsidRDefault="00145378" w:rsidP="0086435B">
      <w:pPr>
        <w:pStyle w:val="Beschriftung"/>
        <w:spacing w:before="360" w:after="0"/>
        <w:rPr>
          <w:rFonts w:cs="Arial"/>
          <w:b/>
          <w:bCs/>
          <w:i w:val="0"/>
          <w:iCs w:val="0"/>
          <w:color w:val="auto"/>
          <w:sz w:val="20"/>
          <w:szCs w:val="20"/>
        </w:rPr>
      </w:pPr>
      <w:bookmarkStart w:id="49" w:name="_Ref89671480"/>
    </w:p>
    <w:p w14:paraId="3B1EA992" w14:textId="77777777" w:rsidR="00145378" w:rsidRPr="00812C16" w:rsidRDefault="00145378" w:rsidP="0086435B">
      <w:pPr>
        <w:pStyle w:val="Beschriftung"/>
        <w:spacing w:before="360" w:after="0"/>
        <w:rPr>
          <w:rFonts w:cs="Arial"/>
          <w:b/>
          <w:bCs/>
          <w:i w:val="0"/>
          <w:iCs w:val="0"/>
          <w:color w:val="auto"/>
          <w:sz w:val="20"/>
          <w:szCs w:val="20"/>
        </w:rPr>
      </w:pPr>
    </w:p>
    <w:p w14:paraId="225C1757" w14:textId="64A7C928" w:rsidR="00887A77" w:rsidRPr="00812C16" w:rsidRDefault="00887A77" w:rsidP="0086435B">
      <w:pPr>
        <w:pStyle w:val="Beschriftung"/>
        <w:spacing w:before="360" w:after="0"/>
        <w:rPr>
          <w:rFonts w:cs="Arial"/>
          <w:b/>
          <w:bCs/>
          <w:i w:val="0"/>
          <w:iCs w:val="0"/>
          <w:color w:val="auto"/>
          <w:sz w:val="20"/>
          <w:szCs w:val="20"/>
          <w:lang w:eastAsia="de-DE"/>
        </w:rPr>
      </w:pPr>
      <w:bookmarkStart w:id="50" w:name="_Toc180788393"/>
      <w:r w:rsidRPr="00812C16">
        <w:rPr>
          <w:rFonts w:cs="Arial"/>
          <w:b/>
          <w:bCs/>
          <w:i w:val="0"/>
          <w:iCs w:val="0"/>
          <w:color w:val="auto"/>
          <w:sz w:val="20"/>
          <w:szCs w:val="20"/>
        </w:rPr>
        <w:t xml:space="preserve">Tabelle </w:t>
      </w:r>
      <w:r w:rsidR="00A126D9" w:rsidRPr="00812C16">
        <w:rPr>
          <w:rFonts w:cs="Arial"/>
          <w:b/>
          <w:bCs/>
          <w:i w:val="0"/>
          <w:iCs w:val="0"/>
          <w:color w:val="auto"/>
          <w:sz w:val="20"/>
          <w:szCs w:val="20"/>
        </w:rPr>
        <w:fldChar w:fldCharType="begin"/>
      </w:r>
      <w:r w:rsidR="00A126D9" w:rsidRPr="00812C16">
        <w:rPr>
          <w:rFonts w:cs="Arial"/>
          <w:b/>
          <w:bCs/>
          <w:i w:val="0"/>
          <w:iCs w:val="0"/>
          <w:color w:val="auto"/>
          <w:sz w:val="20"/>
          <w:szCs w:val="20"/>
        </w:rPr>
        <w:instrText xml:space="preserve"> STYLEREF 1 \s </w:instrText>
      </w:r>
      <w:r w:rsidR="00A126D9" w:rsidRPr="00812C16">
        <w:rPr>
          <w:rFonts w:cs="Arial"/>
          <w:b/>
          <w:bCs/>
          <w:i w:val="0"/>
          <w:iCs w:val="0"/>
          <w:color w:val="auto"/>
          <w:sz w:val="20"/>
          <w:szCs w:val="20"/>
        </w:rPr>
        <w:fldChar w:fldCharType="separate"/>
      </w:r>
      <w:r w:rsidR="00F67803">
        <w:rPr>
          <w:rFonts w:cs="Arial"/>
          <w:b/>
          <w:bCs/>
          <w:i w:val="0"/>
          <w:iCs w:val="0"/>
          <w:noProof/>
          <w:color w:val="auto"/>
          <w:sz w:val="20"/>
          <w:szCs w:val="20"/>
        </w:rPr>
        <w:t>4</w:t>
      </w:r>
      <w:r w:rsidR="00A126D9" w:rsidRPr="00812C16">
        <w:rPr>
          <w:rFonts w:cs="Arial"/>
          <w:b/>
          <w:bCs/>
          <w:i w:val="0"/>
          <w:iCs w:val="0"/>
          <w:color w:val="auto"/>
          <w:sz w:val="20"/>
          <w:szCs w:val="20"/>
        </w:rPr>
        <w:fldChar w:fldCharType="end"/>
      </w:r>
      <w:r w:rsidR="00A126D9" w:rsidRPr="00812C16">
        <w:rPr>
          <w:rFonts w:cs="Arial"/>
          <w:b/>
          <w:bCs/>
          <w:i w:val="0"/>
          <w:iCs w:val="0"/>
          <w:color w:val="auto"/>
          <w:sz w:val="20"/>
          <w:szCs w:val="20"/>
        </w:rPr>
        <w:noBreakHyphen/>
      </w:r>
      <w:r w:rsidR="00A126D9" w:rsidRPr="00812C16">
        <w:rPr>
          <w:rFonts w:cs="Arial"/>
          <w:b/>
          <w:bCs/>
          <w:i w:val="0"/>
          <w:iCs w:val="0"/>
          <w:color w:val="auto"/>
          <w:sz w:val="20"/>
          <w:szCs w:val="20"/>
        </w:rPr>
        <w:fldChar w:fldCharType="begin"/>
      </w:r>
      <w:r w:rsidR="00A126D9" w:rsidRPr="00812C16">
        <w:rPr>
          <w:rFonts w:cs="Arial"/>
          <w:b/>
          <w:bCs/>
          <w:i w:val="0"/>
          <w:iCs w:val="0"/>
          <w:color w:val="auto"/>
          <w:sz w:val="20"/>
          <w:szCs w:val="20"/>
        </w:rPr>
        <w:instrText xml:space="preserve"> SEQ Tabelle \* ARABIC \s 1 </w:instrText>
      </w:r>
      <w:r w:rsidR="00A126D9" w:rsidRPr="00812C16">
        <w:rPr>
          <w:rFonts w:cs="Arial"/>
          <w:b/>
          <w:bCs/>
          <w:i w:val="0"/>
          <w:iCs w:val="0"/>
          <w:color w:val="auto"/>
          <w:sz w:val="20"/>
          <w:szCs w:val="20"/>
        </w:rPr>
        <w:fldChar w:fldCharType="separate"/>
      </w:r>
      <w:r w:rsidR="00F67803">
        <w:rPr>
          <w:rFonts w:cs="Arial"/>
          <w:b/>
          <w:bCs/>
          <w:i w:val="0"/>
          <w:iCs w:val="0"/>
          <w:noProof/>
          <w:color w:val="auto"/>
          <w:sz w:val="20"/>
          <w:szCs w:val="20"/>
        </w:rPr>
        <w:t>3</w:t>
      </w:r>
      <w:r w:rsidR="00A126D9" w:rsidRPr="00812C16">
        <w:rPr>
          <w:rFonts w:cs="Arial"/>
          <w:b/>
          <w:bCs/>
          <w:i w:val="0"/>
          <w:iCs w:val="0"/>
          <w:color w:val="auto"/>
          <w:sz w:val="20"/>
          <w:szCs w:val="20"/>
        </w:rPr>
        <w:fldChar w:fldCharType="end"/>
      </w:r>
      <w:bookmarkEnd w:id="49"/>
      <w:r w:rsidRPr="00812C16">
        <w:rPr>
          <w:rFonts w:cs="Arial"/>
          <w:b/>
          <w:bCs/>
          <w:i w:val="0"/>
          <w:iCs w:val="0"/>
          <w:color w:val="auto"/>
          <w:sz w:val="20"/>
          <w:szCs w:val="20"/>
        </w:rPr>
        <w:t>: Tumorcharakteristik</w:t>
      </w:r>
      <w:bookmarkEnd w:id="50"/>
    </w:p>
    <w:tbl>
      <w:tblPr>
        <w:tblStyle w:val="EinfacheTabelle4"/>
        <w:tblW w:w="9072" w:type="dxa"/>
        <w:tblLayout w:type="fixed"/>
        <w:tblLook w:val="04A0" w:firstRow="1" w:lastRow="0" w:firstColumn="1" w:lastColumn="0" w:noHBand="0" w:noVBand="1"/>
      </w:tblPr>
      <w:tblGrid>
        <w:gridCol w:w="3544"/>
        <w:gridCol w:w="2835"/>
        <w:gridCol w:w="709"/>
        <w:gridCol w:w="567"/>
        <w:gridCol w:w="1417"/>
      </w:tblGrid>
      <w:tr w:rsidR="009D0CD3" w:rsidRPr="00812C16" w14:paraId="6D60639C" w14:textId="77777777" w:rsidTr="009D0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000000" w:themeColor="text1"/>
              <w:bottom w:val="single" w:sz="4" w:space="0" w:color="000000" w:themeColor="text1"/>
            </w:tcBorders>
          </w:tcPr>
          <w:p w14:paraId="41F81B27" w14:textId="77777777" w:rsidR="00887A77" w:rsidRPr="00812C16" w:rsidRDefault="00887A77" w:rsidP="007E63A6">
            <w:pPr>
              <w:spacing w:beforeLines="30" w:before="72" w:afterLines="30" w:after="72"/>
              <w:rPr>
                <w:rFonts w:cs="Arial"/>
                <w:sz w:val="20"/>
                <w:szCs w:val="20"/>
              </w:rPr>
            </w:pPr>
            <w:r w:rsidRPr="00812C16">
              <w:rPr>
                <w:rFonts w:cs="Arial"/>
                <w:sz w:val="20"/>
                <w:szCs w:val="20"/>
              </w:rPr>
              <w:t>Charakteristik</w:t>
            </w:r>
          </w:p>
        </w:tc>
        <w:tc>
          <w:tcPr>
            <w:tcW w:w="2835" w:type="dxa"/>
            <w:tcBorders>
              <w:top w:val="single" w:sz="4" w:space="0" w:color="000000" w:themeColor="text1"/>
              <w:bottom w:val="single" w:sz="4" w:space="0" w:color="000000" w:themeColor="text1"/>
            </w:tcBorders>
          </w:tcPr>
          <w:p w14:paraId="663689FF" w14:textId="77777777" w:rsidR="00887A77" w:rsidRPr="00812C16" w:rsidRDefault="00887A77" w:rsidP="007E63A6">
            <w:pPr>
              <w:spacing w:beforeLines="30" w:before="72" w:afterLines="30" w:after="72"/>
              <w:cnfStyle w:val="100000000000" w:firstRow="1" w:lastRow="0" w:firstColumn="0" w:lastColumn="0" w:oddVBand="0" w:evenVBand="0" w:oddHBand="0" w:evenHBand="0" w:firstRowFirstColumn="0" w:firstRowLastColumn="0" w:lastRowFirstColumn="0" w:lastRowLastColumn="0"/>
              <w:rPr>
                <w:rFonts w:cs="Arial"/>
                <w:sz w:val="20"/>
                <w:szCs w:val="20"/>
              </w:rPr>
            </w:pPr>
          </w:p>
        </w:tc>
        <w:tc>
          <w:tcPr>
            <w:tcW w:w="709" w:type="dxa"/>
            <w:tcBorders>
              <w:top w:val="single" w:sz="4" w:space="0" w:color="000000" w:themeColor="text1"/>
              <w:left w:val="nil"/>
              <w:bottom w:val="single" w:sz="4" w:space="0" w:color="000000" w:themeColor="text1"/>
            </w:tcBorders>
          </w:tcPr>
          <w:p w14:paraId="5558EBE1" w14:textId="77777777" w:rsidR="00887A77" w:rsidRPr="00812C16" w:rsidRDefault="00887A77" w:rsidP="007E63A6">
            <w:pPr>
              <w:spacing w:beforeLines="30" w:before="72" w:afterLines="30" w:after="72"/>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n</w:t>
            </w:r>
          </w:p>
        </w:tc>
        <w:tc>
          <w:tcPr>
            <w:tcW w:w="567" w:type="dxa"/>
            <w:tcBorders>
              <w:top w:val="single" w:sz="4" w:space="0" w:color="000000" w:themeColor="text1"/>
              <w:bottom w:val="single" w:sz="4" w:space="0" w:color="000000" w:themeColor="text1"/>
            </w:tcBorders>
          </w:tcPr>
          <w:p w14:paraId="4F5DF453" w14:textId="77777777" w:rsidR="00887A77" w:rsidRPr="00812C16" w:rsidRDefault="00887A77" w:rsidP="007E63A6">
            <w:pPr>
              <w:spacing w:beforeLines="30" w:before="72" w:afterLines="30" w:after="72"/>
              <w:jc w:val="right"/>
              <w:cnfStyle w:val="100000000000" w:firstRow="1" w:lastRow="0" w:firstColumn="0" w:lastColumn="0" w:oddVBand="0" w:evenVBand="0" w:oddHBand="0" w:evenHBand="0" w:firstRowFirstColumn="0" w:firstRowLastColumn="0" w:lastRowFirstColumn="0" w:lastRowLastColumn="0"/>
              <w:rPr>
                <w:rFonts w:cs="Arial"/>
                <w:sz w:val="20"/>
                <w:szCs w:val="20"/>
              </w:rPr>
            </w:pPr>
          </w:p>
        </w:tc>
        <w:tc>
          <w:tcPr>
            <w:tcW w:w="1417" w:type="dxa"/>
            <w:tcBorders>
              <w:top w:val="single" w:sz="4" w:space="0" w:color="000000" w:themeColor="text1"/>
              <w:bottom w:val="single" w:sz="4" w:space="0" w:color="000000" w:themeColor="text1"/>
            </w:tcBorders>
          </w:tcPr>
          <w:p w14:paraId="6272E8F8" w14:textId="77777777" w:rsidR="00887A77" w:rsidRPr="00812C16" w:rsidRDefault="00887A77" w:rsidP="009D0CD3">
            <w:pPr>
              <w:spacing w:beforeLines="30" w:before="72" w:afterLines="30" w:after="72"/>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w:t>
            </w:r>
          </w:p>
        </w:tc>
      </w:tr>
      <w:tr w:rsidR="009D0CD3" w:rsidRPr="00812C16" w14:paraId="79F68221" w14:textId="77777777" w:rsidTr="009D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000000" w:themeColor="text1"/>
            </w:tcBorders>
          </w:tcPr>
          <w:p w14:paraId="25DA38A2" w14:textId="77777777" w:rsidR="00887A77" w:rsidRPr="00812C16" w:rsidRDefault="00887A77" w:rsidP="007E63A6">
            <w:pPr>
              <w:spacing w:beforeLines="30" w:before="72" w:afterLines="30" w:after="72"/>
              <w:rPr>
                <w:rFonts w:cs="Arial"/>
                <w:b w:val="0"/>
                <w:bCs w:val="0"/>
                <w:sz w:val="20"/>
                <w:szCs w:val="20"/>
              </w:rPr>
            </w:pPr>
            <w:r w:rsidRPr="00812C16">
              <w:rPr>
                <w:rFonts w:cs="Arial"/>
                <w:b w:val="0"/>
                <w:bCs w:val="0"/>
                <w:sz w:val="20"/>
                <w:szCs w:val="20"/>
              </w:rPr>
              <w:t>Tumorlokalisation</w:t>
            </w:r>
          </w:p>
        </w:tc>
        <w:tc>
          <w:tcPr>
            <w:tcW w:w="2835" w:type="dxa"/>
            <w:tcBorders>
              <w:top w:val="single" w:sz="4" w:space="0" w:color="000000" w:themeColor="text1"/>
            </w:tcBorders>
          </w:tcPr>
          <w:p w14:paraId="3FBB5420" w14:textId="77777777" w:rsidR="00887A77" w:rsidRPr="00812C16" w:rsidRDefault="00887A77" w:rsidP="007E63A6">
            <w:pPr>
              <w:spacing w:beforeLines="30" w:before="72"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 xml:space="preserve">Mundhöhle </w:t>
            </w:r>
          </w:p>
        </w:tc>
        <w:tc>
          <w:tcPr>
            <w:tcW w:w="709" w:type="dxa"/>
            <w:tcBorders>
              <w:top w:val="single" w:sz="4" w:space="0" w:color="000000" w:themeColor="text1"/>
              <w:left w:val="nil"/>
            </w:tcBorders>
          </w:tcPr>
          <w:p w14:paraId="10972F16"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60</w:t>
            </w:r>
          </w:p>
        </w:tc>
        <w:tc>
          <w:tcPr>
            <w:tcW w:w="567" w:type="dxa"/>
            <w:tcBorders>
              <w:top w:val="single" w:sz="4" w:space="0" w:color="000000" w:themeColor="text1"/>
            </w:tcBorders>
          </w:tcPr>
          <w:p w14:paraId="12F62235"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Borders>
              <w:top w:val="single" w:sz="4" w:space="0" w:color="000000" w:themeColor="text1"/>
            </w:tcBorders>
          </w:tcPr>
          <w:p w14:paraId="078AFC1C"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27.1</w:t>
            </w:r>
          </w:p>
        </w:tc>
      </w:tr>
      <w:tr w:rsidR="009D0CD3" w:rsidRPr="00812C16" w14:paraId="5FA51B72" w14:textId="77777777" w:rsidTr="009D0CD3">
        <w:tc>
          <w:tcPr>
            <w:cnfStyle w:val="001000000000" w:firstRow="0" w:lastRow="0" w:firstColumn="1" w:lastColumn="0" w:oddVBand="0" w:evenVBand="0" w:oddHBand="0" w:evenHBand="0" w:firstRowFirstColumn="0" w:firstRowLastColumn="0" w:lastRowFirstColumn="0" w:lastRowLastColumn="0"/>
            <w:tcW w:w="3544" w:type="dxa"/>
          </w:tcPr>
          <w:p w14:paraId="00EB2287" w14:textId="77777777" w:rsidR="00887A77" w:rsidRPr="00812C16" w:rsidRDefault="00887A77" w:rsidP="007E63A6">
            <w:pPr>
              <w:spacing w:beforeLines="30" w:before="72" w:afterLines="30" w:after="72"/>
              <w:rPr>
                <w:rFonts w:cs="Arial"/>
                <w:b w:val="0"/>
                <w:bCs w:val="0"/>
                <w:sz w:val="20"/>
                <w:szCs w:val="20"/>
              </w:rPr>
            </w:pPr>
          </w:p>
        </w:tc>
        <w:tc>
          <w:tcPr>
            <w:tcW w:w="2835" w:type="dxa"/>
          </w:tcPr>
          <w:p w14:paraId="5798564E" w14:textId="77777777" w:rsidR="00887A77" w:rsidRPr="00812C16" w:rsidRDefault="00887A77" w:rsidP="007E63A6">
            <w:pPr>
              <w:spacing w:beforeLines="30" w:before="72"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 xml:space="preserve">Oropharynx </w:t>
            </w:r>
          </w:p>
        </w:tc>
        <w:tc>
          <w:tcPr>
            <w:tcW w:w="709" w:type="dxa"/>
            <w:tcBorders>
              <w:left w:val="nil"/>
            </w:tcBorders>
          </w:tcPr>
          <w:p w14:paraId="0A33D032"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126</w:t>
            </w:r>
          </w:p>
        </w:tc>
        <w:tc>
          <w:tcPr>
            <w:tcW w:w="567" w:type="dxa"/>
          </w:tcPr>
          <w:p w14:paraId="00C6D5A6"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Pr>
          <w:p w14:paraId="66FEFFB8"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57.0</w:t>
            </w:r>
          </w:p>
        </w:tc>
      </w:tr>
      <w:tr w:rsidR="009D0CD3" w:rsidRPr="00812C16" w14:paraId="7A729544" w14:textId="77777777" w:rsidTr="009D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D0CECE" w:themeColor="background2" w:themeShade="E6"/>
            </w:tcBorders>
          </w:tcPr>
          <w:p w14:paraId="5C1AD568" w14:textId="77777777" w:rsidR="00887A77" w:rsidRPr="00812C16" w:rsidRDefault="00887A77" w:rsidP="007E63A6">
            <w:pPr>
              <w:spacing w:beforeLines="30" w:before="72" w:afterLines="30" w:after="72"/>
              <w:rPr>
                <w:rFonts w:cs="Arial"/>
                <w:b w:val="0"/>
                <w:bCs w:val="0"/>
                <w:sz w:val="20"/>
                <w:szCs w:val="20"/>
              </w:rPr>
            </w:pPr>
          </w:p>
        </w:tc>
        <w:tc>
          <w:tcPr>
            <w:tcW w:w="2835" w:type="dxa"/>
            <w:tcBorders>
              <w:bottom w:val="single" w:sz="4" w:space="0" w:color="D0CECE" w:themeColor="background2" w:themeShade="E6"/>
            </w:tcBorders>
          </w:tcPr>
          <w:p w14:paraId="0C79CD54" w14:textId="77777777" w:rsidR="00887A77" w:rsidRPr="00812C16" w:rsidRDefault="00887A77" w:rsidP="007E63A6">
            <w:pPr>
              <w:spacing w:beforeLines="30" w:before="72"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Hypopharynx</w:t>
            </w:r>
          </w:p>
        </w:tc>
        <w:tc>
          <w:tcPr>
            <w:tcW w:w="709" w:type="dxa"/>
            <w:tcBorders>
              <w:left w:val="nil"/>
              <w:bottom w:val="single" w:sz="4" w:space="0" w:color="D0CECE" w:themeColor="background2" w:themeShade="E6"/>
            </w:tcBorders>
          </w:tcPr>
          <w:p w14:paraId="37C6BB20"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35</w:t>
            </w:r>
          </w:p>
        </w:tc>
        <w:tc>
          <w:tcPr>
            <w:tcW w:w="567" w:type="dxa"/>
            <w:tcBorders>
              <w:bottom w:val="single" w:sz="4" w:space="0" w:color="D0CECE" w:themeColor="background2" w:themeShade="E6"/>
            </w:tcBorders>
          </w:tcPr>
          <w:p w14:paraId="5E058986"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Borders>
              <w:bottom w:val="single" w:sz="4" w:space="0" w:color="D0CECE" w:themeColor="background2" w:themeShade="E6"/>
            </w:tcBorders>
          </w:tcPr>
          <w:p w14:paraId="1579BDC9"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15.8</w:t>
            </w:r>
          </w:p>
        </w:tc>
      </w:tr>
      <w:tr w:rsidR="009D0CD3" w:rsidRPr="00812C16" w14:paraId="73772B84" w14:textId="77777777" w:rsidTr="009D0CD3">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D0CECE" w:themeColor="background2" w:themeShade="E6"/>
            </w:tcBorders>
          </w:tcPr>
          <w:p w14:paraId="18D55C53" w14:textId="77777777" w:rsidR="00887A77" w:rsidRPr="00812C16" w:rsidRDefault="00887A77" w:rsidP="007E63A6">
            <w:pPr>
              <w:spacing w:beforeLines="30" w:before="72" w:afterLines="30" w:after="72"/>
              <w:rPr>
                <w:rFonts w:cs="Arial"/>
                <w:b w:val="0"/>
                <w:bCs w:val="0"/>
                <w:sz w:val="20"/>
                <w:szCs w:val="20"/>
              </w:rPr>
            </w:pPr>
            <w:r w:rsidRPr="00812C16">
              <w:rPr>
                <w:rFonts w:cs="Arial"/>
                <w:b w:val="0"/>
                <w:bCs w:val="0"/>
                <w:sz w:val="20"/>
                <w:szCs w:val="20"/>
              </w:rPr>
              <w:t>T-Stadium</w:t>
            </w:r>
          </w:p>
        </w:tc>
        <w:tc>
          <w:tcPr>
            <w:tcW w:w="2835" w:type="dxa"/>
            <w:tcBorders>
              <w:top w:val="single" w:sz="4" w:space="0" w:color="D0CECE" w:themeColor="background2" w:themeShade="E6"/>
            </w:tcBorders>
          </w:tcPr>
          <w:p w14:paraId="4C439120" w14:textId="77777777" w:rsidR="00887A77" w:rsidRPr="00812C16" w:rsidRDefault="00887A77" w:rsidP="007E63A6">
            <w:pPr>
              <w:spacing w:beforeLines="30" w:before="72"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pT2</w:t>
            </w:r>
          </w:p>
        </w:tc>
        <w:tc>
          <w:tcPr>
            <w:tcW w:w="709" w:type="dxa"/>
            <w:tcBorders>
              <w:top w:val="single" w:sz="4" w:space="0" w:color="D0CECE" w:themeColor="background2" w:themeShade="E6"/>
              <w:left w:val="nil"/>
            </w:tcBorders>
          </w:tcPr>
          <w:p w14:paraId="57236293"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8</w:t>
            </w:r>
          </w:p>
        </w:tc>
        <w:tc>
          <w:tcPr>
            <w:tcW w:w="567" w:type="dxa"/>
            <w:tcBorders>
              <w:top w:val="single" w:sz="4" w:space="0" w:color="D0CECE" w:themeColor="background2" w:themeShade="E6"/>
            </w:tcBorders>
          </w:tcPr>
          <w:p w14:paraId="0389751A"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Borders>
              <w:top w:val="single" w:sz="4" w:space="0" w:color="D0CECE" w:themeColor="background2" w:themeShade="E6"/>
            </w:tcBorders>
          </w:tcPr>
          <w:p w14:paraId="4B5E15CD"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3.6</w:t>
            </w:r>
          </w:p>
        </w:tc>
      </w:tr>
      <w:tr w:rsidR="009D0CD3" w:rsidRPr="00812C16" w14:paraId="418E899A" w14:textId="77777777" w:rsidTr="009D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DCD632F" w14:textId="77777777" w:rsidR="00887A77" w:rsidRPr="00812C16" w:rsidRDefault="00887A77" w:rsidP="007E63A6">
            <w:pPr>
              <w:spacing w:beforeLines="30" w:before="72" w:afterLines="30" w:after="72"/>
              <w:rPr>
                <w:rFonts w:cs="Arial"/>
                <w:b w:val="0"/>
                <w:bCs w:val="0"/>
                <w:sz w:val="20"/>
                <w:szCs w:val="20"/>
              </w:rPr>
            </w:pPr>
          </w:p>
        </w:tc>
        <w:tc>
          <w:tcPr>
            <w:tcW w:w="2835" w:type="dxa"/>
          </w:tcPr>
          <w:p w14:paraId="0B62E236" w14:textId="77777777" w:rsidR="00887A77" w:rsidRPr="00812C16" w:rsidRDefault="00887A77" w:rsidP="007E63A6">
            <w:pPr>
              <w:spacing w:beforeLines="30" w:before="72"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pT3</w:t>
            </w:r>
          </w:p>
        </w:tc>
        <w:tc>
          <w:tcPr>
            <w:tcW w:w="709" w:type="dxa"/>
            <w:tcBorders>
              <w:left w:val="nil"/>
            </w:tcBorders>
          </w:tcPr>
          <w:p w14:paraId="6B8CE6D0"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33</w:t>
            </w:r>
          </w:p>
        </w:tc>
        <w:tc>
          <w:tcPr>
            <w:tcW w:w="567" w:type="dxa"/>
          </w:tcPr>
          <w:p w14:paraId="177FB86B"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Pr>
          <w:p w14:paraId="19D2A848"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14.9</w:t>
            </w:r>
          </w:p>
        </w:tc>
      </w:tr>
      <w:tr w:rsidR="009D0CD3" w:rsidRPr="00812C16" w14:paraId="5FC77D40" w14:textId="77777777" w:rsidTr="009D0CD3">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D0CECE" w:themeColor="background2" w:themeShade="E6"/>
            </w:tcBorders>
          </w:tcPr>
          <w:p w14:paraId="1441C2AC" w14:textId="77777777" w:rsidR="00887A77" w:rsidRPr="00812C16" w:rsidRDefault="00887A77" w:rsidP="007E63A6">
            <w:pPr>
              <w:spacing w:beforeLines="30" w:before="72" w:afterLines="30" w:after="72"/>
              <w:rPr>
                <w:rFonts w:cs="Arial"/>
                <w:b w:val="0"/>
                <w:bCs w:val="0"/>
                <w:sz w:val="20"/>
                <w:szCs w:val="20"/>
              </w:rPr>
            </w:pPr>
          </w:p>
        </w:tc>
        <w:tc>
          <w:tcPr>
            <w:tcW w:w="2835" w:type="dxa"/>
            <w:tcBorders>
              <w:bottom w:val="single" w:sz="4" w:space="0" w:color="D0CECE" w:themeColor="background2" w:themeShade="E6"/>
            </w:tcBorders>
          </w:tcPr>
          <w:p w14:paraId="39D5FF46" w14:textId="77777777" w:rsidR="00887A77" w:rsidRPr="00812C16" w:rsidRDefault="00887A77" w:rsidP="007E63A6">
            <w:pPr>
              <w:spacing w:beforeLines="30" w:before="72"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pT4</w:t>
            </w:r>
          </w:p>
        </w:tc>
        <w:tc>
          <w:tcPr>
            <w:tcW w:w="709" w:type="dxa"/>
            <w:tcBorders>
              <w:left w:val="nil"/>
              <w:bottom w:val="single" w:sz="4" w:space="0" w:color="D0CECE" w:themeColor="background2" w:themeShade="E6"/>
            </w:tcBorders>
          </w:tcPr>
          <w:p w14:paraId="61AF0282"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180</w:t>
            </w:r>
          </w:p>
        </w:tc>
        <w:tc>
          <w:tcPr>
            <w:tcW w:w="567" w:type="dxa"/>
            <w:tcBorders>
              <w:bottom w:val="single" w:sz="4" w:space="0" w:color="D0CECE" w:themeColor="background2" w:themeShade="E6"/>
            </w:tcBorders>
          </w:tcPr>
          <w:p w14:paraId="12002C84"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Borders>
              <w:bottom w:val="single" w:sz="4" w:space="0" w:color="D0CECE" w:themeColor="background2" w:themeShade="E6"/>
            </w:tcBorders>
          </w:tcPr>
          <w:p w14:paraId="2BB87E06"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81.4</w:t>
            </w:r>
          </w:p>
        </w:tc>
      </w:tr>
      <w:tr w:rsidR="009D0CD3" w:rsidRPr="00812C16" w14:paraId="2FF777E9" w14:textId="77777777" w:rsidTr="009D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D0CECE" w:themeColor="background2" w:themeShade="E6"/>
            </w:tcBorders>
          </w:tcPr>
          <w:p w14:paraId="031CEEA0" w14:textId="77777777" w:rsidR="00887A77" w:rsidRPr="00812C16" w:rsidRDefault="00887A77" w:rsidP="007E63A6">
            <w:pPr>
              <w:spacing w:beforeLines="30" w:before="72" w:afterLines="30" w:after="72"/>
              <w:rPr>
                <w:rFonts w:cs="Arial"/>
                <w:b w:val="0"/>
                <w:bCs w:val="0"/>
                <w:sz w:val="20"/>
                <w:szCs w:val="20"/>
              </w:rPr>
            </w:pPr>
            <w:r w:rsidRPr="00812C16">
              <w:rPr>
                <w:rFonts w:cs="Arial"/>
                <w:b w:val="0"/>
                <w:bCs w:val="0"/>
                <w:sz w:val="20"/>
                <w:szCs w:val="20"/>
              </w:rPr>
              <w:t>N-Stadium</w:t>
            </w:r>
          </w:p>
        </w:tc>
        <w:tc>
          <w:tcPr>
            <w:tcW w:w="2835" w:type="dxa"/>
            <w:tcBorders>
              <w:top w:val="single" w:sz="4" w:space="0" w:color="D0CECE" w:themeColor="background2" w:themeShade="E6"/>
            </w:tcBorders>
          </w:tcPr>
          <w:p w14:paraId="07FB1299" w14:textId="77777777" w:rsidR="00887A77" w:rsidRPr="00812C16" w:rsidRDefault="00887A77" w:rsidP="007E63A6">
            <w:pPr>
              <w:spacing w:beforeLines="30" w:before="72"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N0</w:t>
            </w:r>
          </w:p>
        </w:tc>
        <w:tc>
          <w:tcPr>
            <w:tcW w:w="709" w:type="dxa"/>
            <w:tcBorders>
              <w:top w:val="single" w:sz="4" w:space="0" w:color="D0CECE" w:themeColor="background2" w:themeShade="E6"/>
              <w:left w:val="nil"/>
            </w:tcBorders>
          </w:tcPr>
          <w:p w14:paraId="460519FA"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22</w:t>
            </w:r>
          </w:p>
        </w:tc>
        <w:tc>
          <w:tcPr>
            <w:tcW w:w="567" w:type="dxa"/>
            <w:tcBorders>
              <w:top w:val="single" w:sz="4" w:space="0" w:color="D0CECE" w:themeColor="background2" w:themeShade="E6"/>
            </w:tcBorders>
          </w:tcPr>
          <w:p w14:paraId="4CC2649A"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Borders>
              <w:top w:val="single" w:sz="4" w:space="0" w:color="D0CECE" w:themeColor="background2" w:themeShade="E6"/>
            </w:tcBorders>
          </w:tcPr>
          <w:p w14:paraId="589A3BDD"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10.0</w:t>
            </w:r>
          </w:p>
        </w:tc>
      </w:tr>
      <w:tr w:rsidR="009D0CD3" w:rsidRPr="00812C16" w14:paraId="24911CD7" w14:textId="77777777" w:rsidTr="009D0CD3">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D0CECE" w:themeColor="background2" w:themeShade="E6"/>
            </w:tcBorders>
          </w:tcPr>
          <w:p w14:paraId="43BFEB54" w14:textId="77777777" w:rsidR="00887A77" w:rsidRPr="00812C16" w:rsidRDefault="00887A77" w:rsidP="007E63A6">
            <w:pPr>
              <w:spacing w:beforeLines="30" w:before="72" w:afterLines="30" w:after="72"/>
              <w:rPr>
                <w:rFonts w:cs="Arial"/>
                <w:b w:val="0"/>
                <w:bCs w:val="0"/>
                <w:sz w:val="20"/>
                <w:szCs w:val="20"/>
              </w:rPr>
            </w:pPr>
          </w:p>
        </w:tc>
        <w:tc>
          <w:tcPr>
            <w:tcW w:w="2835" w:type="dxa"/>
            <w:tcBorders>
              <w:bottom w:val="single" w:sz="4" w:space="0" w:color="D0CECE" w:themeColor="background2" w:themeShade="E6"/>
            </w:tcBorders>
          </w:tcPr>
          <w:p w14:paraId="34B3CC82" w14:textId="77777777" w:rsidR="00887A77" w:rsidRPr="00812C16" w:rsidRDefault="00887A77" w:rsidP="007E63A6">
            <w:pPr>
              <w:spacing w:beforeLines="30" w:before="72"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N+</w:t>
            </w:r>
          </w:p>
        </w:tc>
        <w:tc>
          <w:tcPr>
            <w:tcW w:w="709" w:type="dxa"/>
            <w:tcBorders>
              <w:bottom w:val="single" w:sz="4" w:space="0" w:color="D0CECE" w:themeColor="background2" w:themeShade="E6"/>
            </w:tcBorders>
          </w:tcPr>
          <w:p w14:paraId="70B96CA4" w14:textId="77777777" w:rsidR="00887A77" w:rsidRPr="00812C16" w:rsidRDefault="00887A77" w:rsidP="007E63A6">
            <w:pPr>
              <w:tabs>
                <w:tab w:val="right" w:pos="1304"/>
              </w:tabs>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ab/>
              <w:t>199</w:t>
            </w:r>
          </w:p>
        </w:tc>
        <w:tc>
          <w:tcPr>
            <w:tcW w:w="567" w:type="dxa"/>
            <w:tcBorders>
              <w:bottom w:val="single" w:sz="4" w:space="0" w:color="D0CECE" w:themeColor="background2" w:themeShade="E6"/>
            </w:tcBorders>
          </w:tcPr>
          <w:p w14:paraId="1489D27B" w14:textId="77777777" w:rsidR="00887A77" w:rsidRPr="00812C16" w:rsidRDefault="00887A77" w:rsidP="007E63A6">
            <w:pPr>
              <w:spacing w:beforeLines="30" w:before="72" w:afterLines="30" w:after="72"/>
              <w:ind w:left="-468"/>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Borders>
              <w:bottom w:val="single" w:sz="4" w:space="0" w:color="D0CECE" w:themeColor="background2" w:themeShade="E6"/>
            </w:tcBorders>
          </w:tcPr>
          <w:p w14:paraId="065C78C0"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90.0</w:t>
            </w:r>
          </w:p>
        </w:tc>
      </w:tr>
      <w:tr w:rsidR="009D0CD3" w:rsidRPr="00812C16" w14:paraId="4CAF2EDA" w14:textId="77777777" w:rsidTr="009D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D0CECE" w:themeColor="background2" w:themeShade="E6"/>
            </w:tcBorders>
          </w:tcPr>
          <w:p w14:paraId="6E0C3BB2" w14:textId="77777777" w:rsidR="00887A77" w:rsidRPr="00812C16" w:rsidRDefault="00887A77" w:rsidP="007E63A6">
            <w:pPr>
              <w:spacing w:beforeLines="30" w:before="72" w:afterLines="30" w:after="72"/>
              <w:rPr>
                <w:rFonts w:cs="Arial"/>
                <w:b w:val="0"/>
                <w:bCs w:val="0"/>
                <w:sz w:val="20"/>
                <w:szCs w:val="20"/>
              </w:rPr>
            </w:pPr>
            <w:proofErr w:type="spellStart"/>
            <w:r w:rsidRPr="00812C16">
              <w:rPr>
                <w:rFonts w:cs="Arial"/>
                <w:b w:val="0"/>
                <w:bCs w:val="0"/>
                <w:sz w:val="20"/>
                <w:szCs w:val="20"/>
              </w:rPr>
              <w:t>Grading</w:t>
            </w:r>
            <w:proofErr w:type="spellEnd"/>
          </w:p>
        </w:tc>
        <w:tc>
          <w:tcPr>
            <w:tcW w:w="2835" w:type="dxa"/>
            <w:tcBorders>
              <w:top w:val="single" w:sz="4" w:space="0" w:color="D0CECE" w:themeColor="background2" w:themeShade="E6"/>
            </w:tcBorders>
          </w:tcPr>
          <w:p w14:paraId="665B0277" w14:textId="77777777" w:rsidR="00887A77" w:rsidRPr="00812C16" w:rsidRDefault="00887A77" w:rsidP="007E63A6">
            <w:pPr>
              <w:spacing w:beforeLines="30" w:before="72"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1</w:t>
            </w:r>
          </w:p>
        </w:tc>
        <w:tc>
          <w:tcPr>
            <w:tcW w:w="709" w:type="dxa"/>
            <w:tcBorders>
              <w:top w:val="single" w:sz="4" w:space="0" w:color="D0CECE" w:themeColor="background2" w:themeShade="E6"/>
            </w:tcBorders>
          </w:tcPr>
          <w:p w14:paraId="4C7A7129"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5</w:t>
            </w:r>
          </w:p>
        </w:tc>
        <w:tc>
          <w:tcPr>
            <w:tcW w:w="567" w:type="dxa"/>
            <w:tcBorders>
              <w:top w:val="single" w:sz="4" w:space="0" w:color="D0CECE" w:themeColor="background2" w:themeShade="E6"/>
            </w:tcBorders>
          </w:tcPr>
          <w:p w14:paraId="10541B3F" w14:textId="77777777" w:rsidR="00887A77" w:rsidRPr="00812C16" w:rsidRDefault="00887A77" w:rsidP="007E63A6">
            <w:pPr>
              <w:spacing w:beforeLines="30" w:before="72"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Borders>
              <w:top w:val="single" w:sz="4" w:space="0" w:color="D0CECE" w:themeColor="background2" w:themeShade="E6"/>
            </w:tcBorders>
          </w:tcPr>
          <w:p w14:paraId="05A60234"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2.3</w:t>
            </w:r>
          </w:p>
        </w:tc>
      </w:tr>
      <w:tr w:rsidR="009D0CD3" w:rsidRPr="00812C16" w14:paraId="2EE4F608" w14:textId="77777777" w:rsidTr="009D0CD3">
        <w:tc>
          <w:tcPr>
            <w:cnfStyle w:val="001000000000" w:firstRow="0" w:lastRow="0" w:firstColumn="1" w:lastColumn="0" w:oddVBand="0" w:evenVBand="0" w:oddHBand="0" w:evenHBand="0" w:firstRowFirstColumn="0" w:firstRowLastColumn="0" w:lastRowFirstColumn="0" w:lastRowLastColumn="0"/>
            <w:tcW w:w="3544" w:type="dxa"/>
          </w:tcPr>
          <w:p w14:paraId="77A5303E" w14:textId="77777777" w:rsidR="00887A77" w:rsidRPr="00812C16" w:rsidRDefault="00887A77" w:rsidP="007E63A6">
            <w:pPr>
              <w:spacing w:beforeLines="30" w:before="72" w:afterLines="30" w:after="72"/>
              <w:rPr>
                <w:rFonts w:cs="Arial"/>
                <w:b w:val="0"/>
                <w:bCs w:val="0"/>
                <w:sz w:val="20"/>
                <w:szCs w:val="20"/>
              </w:rPr>
            </w:pPr>
          </w:p>
        </w:tc>
        <w:tc>
          <w:tcPr>
            <w:tcW w:w="2835" w:type="dxa"/>
          </w:tcPr>
          <w:p w14:paraId="1738AC91" w14:textId="77777777" w:rsidR="00887A77" w:rsidRPr="00812C16" w:rsidRDefault="00887A77" w:rsidP="007E63A6">
            <w:pPr>
              <w:spacing w:beforeLines="30" w:before="72"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2</w:t>
            </w:r>
          </w:p>
        </w:tc>
        <w:tc>
          <w:tcPr>
            <w:tcW w:w="709" w:type="dxa"/>
          </w:tcPr>
          <w:p w14:paraId="7440FBD5"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123</w:t>
            </w:r>
          </w:p>
        </w:tc>
        <w:tc>
          <w:tcPr>
            <w:tcW w:w="567" w:type="dxa"/>
          </w:tcPr>
          <w:p w14:paraId="7C0A0D51" w14:textId="77777777" w:rsidR="00887A77" w:rsidRPr="00812C16" w:rsidRDefault="00887A77" w:rsidP="007E63A6">
            <w:pPr>
              <w:spacing w:beforeLines="30" w:before="72"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Pr>
          <w:p w14:paraId="28ADCED8"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55.7</w:t>
            </w:r>
          </w:p>
        </w:tc>
      </w:tr>
      <w:tr w:rsidR="009D0CD3" w:rsidRPr="00812C16" w14:paraId="78996BEA" w14:textId="77777777" w:rsidTr="009D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0BF6846" w14:textId="77777777" w:rsidR="00887A77" w:rsidRPr="00812C16" w:rsidRDefault="00887A77" w:rsidP="007E63A6">
            <w:pPr>
              <w:spacing w:beforeLines="30" w:before="72" w:afterLines="30" w:after="72"/>
              <w:rPr>
                <w:rFonts w:cs="Arial"/>
                <w:b w:val="0"/>
                <w:bCs w:val="0"/>
                <w:sz w:val="20"/>
                <w:szCs w:val="20"/>
              </w:rPr>
            </w:pPr>
          </w:p>
        </w:tc>
        <w:tc>
          <w:tcPr>
            <w:tcW w:w="2835" w:type="dxa"/>
          </w:tcPr>
          <w:p w14:paraId="6A101753" w14:textId="77777777" w:rsidR="00887A77" w:rsidRPr="00812C16" w:rsidRDefault="00887A77" w:rsidP="007E63A6">
            <w:pPr>
              <w:spacing w:beforeLines="30" w:before="72"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3</w:t>
            </w:r>
          </w:p>
        </w:tc>
        <w:tc>
          <w:tcPr>
            <w:tcW w:w="709" w:type="dxa"/>
          </w:tcPr>
          <w:p w14:paraId="065BB973"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89</w:t>
            </w:r>
          </w:p>
        </w:tc>
        <w:tc>
          <w:tcPr>
            <w:tcW w:w="567" w:type="dxa"/>
          </w:tcPr>
          <w:p w14:paraId="07E632A5" w14:textId="77777777" w:rsidR="00887A77" w:rsidRPr="00812C16" w:rsidRDefault="00887A77" w:rsidP="007E63A6">
            <w:pPr>
              <w:spacing w:beforeLines="30" w:before="72"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Pr>
          <w:p w14:paraId="25318A75"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40.3</w:t>
            </w:r>
          </w:p>
        </w:tc>
      </w:tr>
      <w:tr w:rsidR="009D0CD3" w:rsidRPr="00812C16" w14:paraId="53A3C27C" w14:textId="77777777" w:rsidTr="009D0CD3">
        <w:tc>
          <w:tcPr>
            <w:cnfStyle w:val="001000000000" w:firstRow="0" w:lastRow="0" w:firstColumn="1" w:lastColumn="0" w:oddVBand="0" w:evenVBand="0" w:oddHBand="0" w:evenHBand="0" w:firstRowFirstColumn="0" w:firstRowLastColumn="0" w:lastRowFirstColumn="0" w:lastRowLastColumn="0"/>
            <w:tcW w:w="3544" w:type="dxa"/>
          </w:tcPr>
          <w:p w14:paraId="30CDDFCD" w14:textId="77777777" w:rsidR="00887A77" w:rsidRPr="00812C16" w:rsidRDefault="00887A77" w:rsidP="007E63A6">
            <w:pPr>
              <w:spacing w:beforeLines="30" w:before="72" w:afterLines="30" w:after="72"/>
              <w:rPr>
                <w:rFonts w:cs="Arial"/>
                <w:b w:val="0"/>
                <w:bCs w:val="0"/>
                <w:sz w:val="20"/>
                <w:szCs w:val="20"/>
              </w:rPr>
            </w:pPr>
          </w:p>
        </w:tc>
        <w:tc>
          <w:tcPr>
            <w:tcW w:w="2835" w:type="dxa"/>
          </w:tcPr>
          <w:p w14:paraId="650F959C" w14:textId="77777777" w:rsidR="00887A77" w:rsidRPr="00812C16" w:rsidRDefault="00887A77" w:rsidP="007E63A6">
            <w:pPr>
              <w:spacing w:beforeLines="30" w:before="72"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4</w:t>
            </w:r>
          </w:p>
        </w:tc>
        <w:tc>
          <w:tcPr>
            <w:tcW w:w="709" w:type="dxa"/>
          </w:tcPr>
          <w:p w14:paraId="21EB6F38"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0</w:t>
            </w:r>
          </w:p>
        </w:tc>
        <w:tc>
          <w:tcPr>
            <w:tcW w:w="567" w:type="dxa"/>
          </w:tcPr>
          <w:p w14:paraId="6016803F" w14:textId="77777777" w:rsidR="00887A77" w:rsidRPr="00812C16" w:rsidRDefault="00887A77" w:rsidP="007E63A6">
            <w:pPr>
              <w:spacing w:beforeLines="30" w:before="72"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Pr>
          <w:p w14:paraId="5A42E6F9"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0</w:t>
            </w:r>
          </w:p>
        </w:tc>
      </w:tr>
      <w:tr w:rsidR="009D0CD3" w:rsidRPr="00812C16" w14:paraId="0F0FDCAD" w14:textId="77777777" w:rsidTr="009D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D0CECE" w:themeColor="background2" w:themeShade="E6"/>
            </w:tcBorders>
          </w:tcPr>
          <w:p w14:paraId="4C68FBB1" w14:textId="77777777" w:rsidR="00887A77" w:rsidRPr="00812C16" w:rsidRDefault="00887A77" w:rsidP="007E63A6">
            <w:pPr>
              <w:spacing w:beforeLines="30" w:before="72" w:afterLines="30" w:after="72"/>
              <w:rPr>
                <w:rFonts w:cs="Arial"/>
                <w:b w:val="0"/>
                <w:bCs w:val="0"/>
                <w:sz w:val="20"/>
                <w:szCs w:val="20"/>
              </w:rPr>
            </w:pPr>
          </w:p>
        </w:tc>
        <w:tc>
          <w:tcPr>
            <w:tcW w:w="2835" w:type="dxa"/>
            <w:tcBorders>
              <w:bottom w:val="single" w:sz="4" w:space="0" w:color="D0CECE" w:themeColor="background2" w:themeShade="E6"/>
            </w:tcBorders>
          </w:tcPr>
          <w:p w14:paraId="728C9DAC" w14:textId="77777777" w:rsidR="00887A77" w:rsidRPr="00812C16" w:rsidRDefault="00887A77" w:rsidP="007E63A6">
            <w:pPr>
              <w:spacing w:beforeLines="30" w:before="72"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Fehlend</w:t>
            </w:r>
          </w:p>
        </w:tc>
        <w:tc>
          <w:tcPr>
            <w:tcW w:w="709" w:type="dxa"/>
            <w:tcBorders>
              <w:bottom w:val="single" w:sz="4" w:space="0" w:color="D0CECE" w:themeColor="background2" w:themeShade="E6"/>
            </w:tcBorders>
          </w:tcPr>
          <w:p w14:paraId="1789D0AA"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4</w:t>
            </w:r>
          </w:p>
        </w:tc>
        <w:tc>
          <w:tcPr>
            <w:tcW w:w="567" w:type="dxa"/>
            <w:tcBorders>
              <w:bottom w:val="single" w:sz="4" w:space="0" w:color="D0CECE" w:themeColor="background2" w:themeShade="E6"/>
            </w:tcBorders>
          </w:tcPr>
          <w:p w14:paraId="1D16C2EE" w14:textId="77777777" w:rsidR="00887A77" w:rsidRPr="00812C16" w:rsidRDefault="00887A77" w:rsidP="007E63A6">
            <w:pPr>
              <w:spacing w:beforeLines="30" w:before="72"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Borders>
              <w:bottom w:val="single" w:sz="4" w:space="0" w:color="D0CECE" w:themeColor="background2" w:themeShade="E6"/>
            </w:tcBorders>
          </w:tcPr>
          <w:p w14:paraId="0D40EEA5"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1.8</w:t>
            </w:r>
          </w:p>
        </w:tc>
      </w:tr>
      <w:tr w:rsidR="009D0CD3" w:rsidRPr="00812C16" w14:paraId="35BEEFFF" w14:textId="77777777" w:rsidTr="009D0CD3">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D0CECE" w:themeColor="background2" w:themeShade="E6"/>
            </w:tcBorders>
          </w:tcPr>
          <w:p w14:paraId="6E919D2E" w14:textId="77777777" w:rsidR="00887A77" w:rsidRPr="00812C16" w:rsidRDefault="00887A77" w:rsidP="007E63A6">
            <w:pPr>
              <w:spacing w:beforeLines="30" w:before="72" w:afterLines="30" w:after="72"/>
              <w:rPr>
                <w:rFonts w:cs="Arial"/>
                <w:b w:val="0"/>
                <w:bCs w:val="0"/>
                <w:sz w:val="20"/>
                <w:szCs w:val="20"/>
              </w:rPr>
            </w:pPr>
            <w:r w:rsidRPr="00812C16">
              <w:rPr>
                <w:rFonts w:cs="Arial"/>
                <w:b w:val="0"/>
                <w:bCs w:val="0"/>
                <w:sz w:val="20"/>
                <w:szCs w:val="20"/>
              </w:rPr>
              <w:t>UICC-Stage</w:t>
            </w:r>
          </w:p>
        </w:tc>
        <w:tc>
          <w:tcPr>
            <w:tcW w:w="2835" w:type="dxa"/>
            <w:tcBorders>
              <w:top w:val="single" w:sz="4" w:space="0" w:color="D0CECE" w:themeColor="background2" w:themeShade="E6"/>
            </w:tcBorders>
          </w:tcPr>
          <w:p w14:paraId="6347E0B9" w14:textId="77777777" w:rsidR="00887A77" w:rsidRPr="00812C16" w:rsidRDefault="00887A77" w:rsidP="007E63A6">
            <w:pPr>
              <w:spacing w:beforeLines="30" w:before="72"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II</w:t>
            </w:r>
          </w:p>
        </w:tc>
        <w:tc>
          <w:tcPr>
            <w:tcW w:w="709" w:type="dxa"/>
            <w:tcBorders>
              <w:top w:val="single" w:sz="4" w:space="0" w:color="D0CECE" w:themeColor="background2" w:themeShade="E6"/>
            </w:tcBorders>
          </w:tcPr>
          <w:p w14:paraId="57851284"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8</w:t>
            </w:r>
          </w:p>
        </w:tc>
        <w:tc>
          <w:tcPr>
            <w:tcW w:w="567" w:type="dxa"/>
            <w:tcBorders>
              <w:top w:val="single" w:sz="4" w:space="0" w:color="D0CECE" w:themeColor="background2" w:themeShade="E6"/>
            </w:tcBorders>
          </w:tcPr>
          <w:p w14:paraId="27242EB7" w14:textId="77777777" w:rsidR="00887A77" w:rsidRPr="00812C16" w:rsidRDefault="00887A77" w:rsidP="007E63A6">
            <w:pPr>
              <w:spacing w:beforeLines="30" w:before="72"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Borders>
              <w:top w:val="single" w:sz="4" w:space="0" w:color="D0CECE" w:themeColor="background2" w:themeShade="E6"/>
            </w:tcBorders>
          </w:tcPr>
          <w:p w14:paraId="3220F760"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3.6</w:t>
            </w:r>
          </w:p>
        </w:tc>
      </w:tr>
      <w:tr w:rsidR="009D0CD3" w:rsidRPr="00812C16" w14:paraId="1C10451E" w14:textId="77777777" w:rsidTr="009D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909E678" w14:textId="77777777" w:rsidR="00887A77" w:rsidRPr="00812C16" w:rsidRDefault="00887A77" w:rsidP="007E63A6">
            <w:pPr>
              <w:spacing w:beforeLines="30" w:before="72" w:afterLines="30" w:after="72"/>
              <w:rPr>
                <w:rFonts w:cs="Arial"/>
                <w:b w:val="0"/>
                <w:bCs w:val="0"/>
                <w:sz w:val="20"/>
                <w:szCs w:val="20"/>
              </w:rPr>
            </w:pPr>
          </w:p>
        </w:tc>
        <w:tc>
          <w:tcPr>
            <w:tcW w:w="2835" w:type="dxa"/>
          </w:tcPr>
          <w:p w14:paraId="0BDB8BD3" w14:textId="77777777" w:rsidR="00887A77" w:rsidRPr="00812C16" w:rsidRDefault="00887A77" w:rsidP="007E63A6">
            <w:pPr>
              <w:spacing w:beforeLines="30" w:before="72"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III</w:t>
            </w:r>
          </w:p>
        </w:tc>
        <w:tc>
          <w:tcPr>
            <w:tcW w:w="709" w:type="dxa"/>
          </w:tcPr>
          <w:p w14:paraId="008FC572"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33</w:t>
            </w:r>
          </w:p>
        </w:tc>
        <w:tc>
          <w:tcPr>
            <w:tcW w:w="567" w:type="dxa"/>
          </w:tcPr>
          <w:p w14:paraId="269644D6" w14:textId="77777777" w:rsidR="00887A77" w:rsidRPr="00812C16" w:rsidRDefault="00887A77" w:rsidP="007E63A6">
            <w:pPr>
              <w:spacing w:beforeLines="30" w:before="72"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Pr>
          <w:p w14:paraId="6DDB95D7"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14.9</w:t>
            </w:r>
          </w:p>
        </w:tc>
      </w:tr>
      <w:tr w:rsidR="009D0CD3" w:rsidRPr="00812C16" w14:paraId="1DE1C8CA" w14:textId="77777777" w:rsidTr="009D0CD3">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D0CECE" w:themeColor="background2" w:themeShade="E6"/>
            </w:tcBorders>
          </w:tcPr>
          <w:p w14:paraId="37385043" w14:textId="77777777" w:rsidR="00887A77" w:rsidRPr="00812C16" w:rsidRDefault="00887A77" w:rsidP="007E63A6">
            <w:pPr>
              <w:spacing w:beforeLines="30" w:before="72" w:afterLines="30" w:after="72"/>
              <w:rPr>
                <w:rFonts w:cs="Arial"/>
                <w:b w:val="0"/>
                <w:bCs w:val="0"/>
                <w:sz w:val="20"/>
                <w:szCs w:val="20"/>
              </w:rPr>
            </w:pPr>
          </w:p>
        </w:tc>
        <w:tc>
          <w:tcPr>
            <w:tcW w:w="2835" w:type="dxa"/>
            <w:tcBorders>
              <w:bottom w:val="single" w:sz="4" w:space="0" w:color="D0CECE" w:themeColor="background2" w:themeShade="E6"/>
            </w:tcBorders>
          </w:tcPr>
          <w:p w14:paraId="066BF54E" w14:textId="77777777" w:rsidR="00887A77" w:rsidRPr="00812C16" w:rsidRDefault="00887A77" w:rsidP="007E63A6">
            <w:pPr>
              <w:spacing w:beforeLines="30" w:before="72"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IV A, B</w:t>
            </w:r>
          </w:p>
        </w:tc>
        <w:tc>
          <w:tcPr>
            <w:tcW w:w="709" w:type="dxa"/>
            <w:tcBorders>
              <w:bottom w:val="single" w:sz="4" w:space="0" w:color="D0CECE" w:themeColor="background2" w:themeShade="E6"/>
            </w:tcBorders>
          </w:tcPr>
          <w:p w14:paraId="76AE7871"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180</w:t>
            </w:r>
          </w:p>
        </w:tc>
        <w:tc>
          <w:tcPr>
            <w:tcW w:w="567" w:type="dxa"/>
            <w:tcBorders>
              <w:bottom w:val="single" w:sz="4" w:space="0" w:color="D0CECE" w:themeColor="background2" w:themeShade="E6"/>
            </w:tcBorders>
          </w:tcPr>
          <w:p w14:paraId="1E4F6F5A" w14:textId="77777777" w:rsidR="00887A77" w:rsidRPr="00812C16" w:rsidRDefault="00887A77" w:rsidP="007E63A6">
            <w:pPr>
              <w:spacing w:beforeLines="30" w:before="72"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Borders>
              <w:bottom w:val="single" w:sz="4" w:space="0" w:color="D0CECE" w:themeColor="background2" w:themeShade="E6"/>
            </w:tcBorders>
          </w:tcPr>
          <w:p w14:paraId="686FA38A"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81.4</w:t>
            </w:r>
          </w:p>
        </w:tc>
      </w:tr>
      <w:tr w:rsidR="009D0CD3" w:rsidRPr="00812C16" w14:paraId="210452DF" w14:textId="77777777" w:rsidTr="009D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D0CECE" w:themeColor="background2" w:themeShade="E6"/>
            </w:tcBorders>
          </w:tcPr>
          <w:p w14:paraId="79E0B72F" w14:textId="77777777" w:rsidR="00887A77" w:rsidRPr="00812C16" w:rsidRDefault="00887A77" w:rsidP="007E63A6">
            <w:pPr>
              <w:spacing w:beforeLines="30" w:before="72" w:afterLines="30" w:after="72"/>
              <w:rPr>
                <w:rFonts w:cs="Arial"/>
                <w:b w:val="0"/>
                <w:bCs w:val="0"/>
                <w:sz w:val="20"/>
                <w:szCs w:val="20"/>
              </w:rPr>
            </w:pPr>
            <w:r w:rsidRPr="00812C16">
              <w:rPr>
                <w:rFonts w:cs="Arial"/>
                <w:b w:val="0"/>
                <w:bCs w:val="0"/>
                <w:sz w:val="20"/>
                <w:szCs w:val="20"/>
              </w:rPr>
              <w:t>R-Status</w:t>
            </w:r>
          </w:p>
        </w:tc>
        <w:tc>
          <w:tcPr>
            <w:tcW w:w="2835" w:type="dxa"/>
            <w:tcBorders>
              <w:top w:val="single" w:sz="4" w:space="0" w:color="D0CECE" w:themeColor="background2" w:themeShade="E6"/>
            </w:tcBorders>
          </w:tcPr>
          <w:p w14:paraId="3CE0830E" w14:textId="77777777" w:rsidR="00887A77" w:rsidRPr="00812C16" w:rsidRDefault="00887A77" w:rsidP="007E63A6">
            <w:pPr>
              <w:spacing w:beforeLines="30" w:before="72"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Negativ</w:t>
            </w:r>
          </w:p>
        </w:tc>
        <w:tc>
          <w:tcPr>
            <w:tcW w:w="709" w:type="dxa"/>
            <w:tcBorders>
              <w:top w:val="single" w:sz="4" w:space="0" w:color="D0CECE" w:themeColor="background2" w:themeShade="E6"/>
            </w:tcBorders>
          </w:tcPr>
          <w:p w14:paraId="0C108908"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125</w:t>
            </w:r>
          </w:p>
        </w:tc>
        <w:tc>
          <w:tcPr>
            <w:tcW w:w="567" w:type="dxa"/>
            <w:tcBorders>
              <w:top w:val="single" w:sz="4" w:space="0" w:color="D0CECE" w:themeColor="background2" w:themeShade="E6"/>
            </w:tcBorders>
          </w:tcPr>
          <w:p w14:paraId="71659C52"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Borders>
              <w:top w:val="single" w:sz="4" w:space="0" w:color="D0CECE" w:themeColor="background2" w:themeShade="E6"/>
            </w:tcBorders>
          </w:tcPr>
          <w:p w14:paraId="622ADA44"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56,6</w:t>
            </w:r>
          </w:p>
        </w:tc>
      </w:tr>
      <w:tr w:rsidR="009D0CD3" w:rsidRPr="00812C16" w14:paraId="54CC8FD9" w14:textId="77777777" w:rsidTr="009D0CD3">
        <w:tc>
          <w:tcPr>
            <w:cnfStyle w:val="001000000000" w:firstRow="0" w:lastRow="0" w:firstColumn="1" w:lastColumn="0" w:oddVBand="0" w:evenVBand="0" w:oddHBand="0" w:evenHBand="0" w:firstRowFirstColumn="0" w:firstRowLastColumn="0" w:lastRowFirstColumn="0" w:lastRowLastColumn="0"/>
            <w:tcW w:w="3544" w:type="dxa"/>
          </w:tcPr>
          <w:p w14:paraId="3DEC0BA1" w14:textId="77777777" w:rsidR="00887A77" w:rsidRPr="00812C16" w:rsidRDefault="00887A77" w:rsidP="007E63A6">
            <w:pPr>
              <w:spacing w:beforeLines="30" w:before="72" w:afterLines="30" w:after="72"/>
              <w:rPr>
                <w:rFonts w:cs="Arial"/>
                <w:b w:val="0"/>
                <w:bCs w:val="0"/>
                <w:sz w:val="20"/>
                <w:szCs w:val="20"/>
              </w:rPr>
            </w:pPr>
          </w:p>
        </w:tc>
        <w:tc>
          <w:tcPr>
            <w:tcW w:w="2835" w:type="dxa"/>
          </w:tcPr>
          <w:p w14:paraId="2386F86E" w14:textId="77777777" w:rsidR="00887A77" w:rsidRPr="00812C16" w:rsidRDefault="00887A77" w:rsidP="007E63A6">
            <w:pPr>
              <w:spacing w:beforeLines="30" w:before="72"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Positiv</w:t>
            </w:r>
          </w:p>
        </w:tc>
        <w:tc>
          <w:tcPr>
            <w:tcW w:w="709" w:type="dxa"/>
          </w:tcPr>
          <w:p w14:paraId="0BF55EBE"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94</w:t>
            </w:r>
          </w:p>
        </w:tc>
        <w:tc>
          <w:tcPr>
            <w:tcW w:w="567" w:type="dxa"/>
          </w:tcPr>
          <w:p w14:paraId="5F405D23"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Pr>
          <w:p w14:paraId="4341F7CF"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42.5</w:t>
            </w:r>
          </w:p>
        </w:tc>
      </w:tr>
      <w:tr w:rsidR="009D0CD3" w:rsidRPr="00812C16" w14:paraId="50943A80" w14:textId="77777777" w:rsidTr="009D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D0CECE" w:themeColor="background2" w:themeShade="E6"/>
            </w:tcBorders>
          </w:tcPr>
          <w:p w14:paraId="46B754E5" w14:textId="77777777" w:rsidR="00887A77" w:rsidRPr="00812C16" w:rsidRDefault="00887A77" w:rsidP="007E63A6">
            <w:pPr>
              <w:spacing w:beforeLines="30" w:before="72" w:afterLines="30" w:after="72"/>
              <w:rPr>
                <w:rFonts w:cs="Arial"/>
                <w:b w:val="0"/>
                <w:bCs w:val="0"/>
                <w:sz w:val="20"/>
                <w:szCs w:val="20"/>
              </w:rPr>
            </w:pPr>
          </w:p>
        </w:tc>
        <w:tc>
          <w:tcPr>
            <w:tcW w:w="2835" w:type="dxa"/>
            <w:tcBorders>
              <w:bottom w:val="single" w:sz="4" w:space="0" w:color="D0CECE" w:themeColor="background2" w:themeShade="E6"/>
            </w:tcBorders>
          </w:tcPr>
          <w:p w14:paraId="02409F99" w14:textId="77777777" w:rsidR="00887A77" w:rsidRPr="00812C16" w:rsidRDefault="00887A77" w:rsidP="007E63A6">
            <w:pPr>
              <w:spacing w:beforeLines="30" w:before="72"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Fehlend</w:t>
            </w:r>
          </w:p>
        </w:tc>
        <w:tc>
          <w:tcPr>
            <w:tcW w:w="709" w:type="dxa"/>
            <w:tcBorders>
              <w:bottom w:val="single" w:sz="4" w:space="0" w:color="D0CECE" w:themeColor="background2" w:themeShade="E6"/>
            </w:tcBorders>
          </w:tcPr>
          <w:p w14:paraId="04377239"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2</w:t>
            </w:r>
          </w:p>
        </w:tc>
        <w:tc>
          <w:tcPr>
            <w:tcW w:w="567" w:type="dxa"/>
            <w:tcBorders>
              <w:bottom w:val="single" w:sz="4" w:space="0" w:color="D0CECE" w:themeColor="background2" w:themeShade="E6"/>
            </w:tcBorders>
          </w:tcPr>
          <w:p w14:paraId="5E25ACAE"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Borders>
              <w:bottom w:val="single" w:sz="4" w:space="0" w:color="D0CECE" w:themeColor="background2" w:themeShade="E6"/>
            </w:tcBorders>
          </w:tcPr>
          <w:p w14:paraId="665E73FA"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0.9</w:t>
            </w:r>
          </w:p>
        </w:tc>
      </w:tr>
      <w:tr w:rsidR="009D0CD3" w:rsidRPr="00812C16" w14:paraId="6500AF92" w14:textId="77777777" w:rsidTr="009D0CD3">
        <w:trPr>
          <w:trHeight w:val="205"/>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D0CECE" w:themeColor="background2" w:themeShade="E6"/>
            </w:tcBorders>
          </w:tcPr>
          <w:p w14:paraId="619523EE" w14:textId="77777777" w:rsidR="00887A77" w:rsidRPr="00812C16" w:rsidRDefault="00887A77" w:rsidP="007E63A6">
            <w:pPr>
              <w:spacing w:beforeLines="30" w:before="72" w:afterLines="30" w:after="72"/>
              <w:rPr>
                <w:rFonts w:cs="Arial"/>
                <w:b w:val="0"/>
                <w:bCs w:val="0"/>
                <w:sz w:val="20"/>
                <w:szCs w:val="20"/>
              </w:rPr>
            </w:pPr>
            <w:r w:rsidRPr="00812C16">
              <w:rPr>
                <w:rFonts w:cs="Arial"/>
                <w:b w:val="0"/>
                <w:bCs w:val="0"/>
                <w:sz w:val="20"/>
                <w:szCs w:val="20"/>
              </w:rPr>
              <w:t>ECE-Status</w:t>
            </w:r>
          </w:p>
        </w:tc>
        <w:tc>
          <w:tcPr>
            <w:tcW w:w="2835" w:type="dxa"/>
            <w:tcBorders>
              <w:top w:val="single" w:sz="4" w:space="0" w:color="D0CECE" w:themeColor="background2" w:themeShade="E6"/>
            </w:tcBorders>
          </w:tcPr>
          <w:p w14:paraId="31903CBA" w14:textId="77777777" w:rsidR="00887A77" w:rsidRPr="00812C16" w:rsidRDefault="00887A77" w:rsidP="007E63A6">
            <w:pPr>
              <w:spacing w:beforeLines="30" w:before="72"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Negativ</w:t>
            </w:r>
          </w:p>
        </w:tc>
        <w:tc>
          <w:tcPr>
            <w:tcW w:w="709" w:type="dxa"/>
            <w:tcBorders>
              <w:top w:val="single" w:sz="4" w:space="0" w:color="D0CECE" w:themeColor="background2" w:themeShade="E6"/>
            </w:tcBorders>
          </w:tcPr>
          <w:p w14:paraId="05766831"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103</w:t>
            </w:r>
          </w:p>
        </w:tc>
        <w:tc>
          <w:tcPr>
            <w:tcW w:w="567" w:type="dxa"/>
            <w:tcBorders>
              <w:top w:val="single" w:sz="4" w:space="0" w:color="D0CECE" w:themeColor="background2" w:themeShade="E6"/>
            </w:tcBorders>
          </w:tcPr>
          <w:p w14:paraId="2A87D141"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Borders>
              <w:top w:val="single" w:sz="4" w:space="0" w:color="D0CECE" w:themeColor="background2" w:themeShade="E6"/>
            </w:tcBorders>
          </w:tcPr>
          <w:p w14:paraId="37737FF5"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46.6</w:t>
            </w:r>
          </w:p>
        </w:tc>
      </w:tr>
      <w:tr w:rsidR="009D0CD3" w:rsidRPr="00812C16" w14:paraId="4457FB9E" w14:textId="77777777" w:rsidTr="009D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D0CECE" w:themeColor="background2" w:themeShade="E6"/>
            </w:tcBorders>
          </w:tcPr>
          <w:p w14:paraId="665C5E83" w14:textId="77777777" w:rsidR="00887A77" w:rsidRPr="00812C16" w:rsidRDefault="00887A77" w:rsidP="007E63A6">
            <w:pPr>
              <w:spacing w:beforeLines="30" w:before="72" w:afterLines="30" w:after="72"/>
              <w:rPr>
                <w:rFonts w:cs="Arial"/>
                <w:b w:val="0"/>
                <w:bCs w:val="0"/>
                <w:sz w:val="20"/>
                <w:szCs w:val="20"/>
              </w:rPr>
            </w:pPr>
          </w:p>
        </w:tc>
        <w:tc>
          <w:tcPr>
            <w:tcW w:w="2835" w:type="dxa"/>
            <w:tcBorders>
              <w:bottom w:val="single" w:sz="4" w:space="0" w:color="D0CECE" w:themeColor="background2" w:themeShade="E6"/>
            </w:tcBorders>
          </w:tcPr>
          <w:p w14:paraId="00A2A5B4" w14:textId="77777777" w:rsidR="00887A77" w:rsidRPr="00812C16" w:rsidRDefault="00887A77" w:rsidP="007E63A6">
            <w:pPr>
              <w:spacing w:beforeLines="30" w:before="72"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Positiv</w:t>
            </w:r>
          </w:p>
        </w:tc>
        <w:tc>
          <w:tcPr>
            <w:tcW w:w="709" w:type="dxa"/>
            <w:tcBorders>
              <w:bottom w:val="single" w:sz="4" w:space="0" w:color="D0CECE" w:themeColor="background2" w:themeShade="E6"/>
            </w:tcBorders>
          </w:tcPr>
          <w:p w14:paraId="7ABBA342"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118</w:t>
            </w:r>
          </w:p>
        </w:tc>
        <w:tc>
          <w:tcPr>
            <w:tcW w:w="567" w:type="dxa"/>
            <w:tcBorders>
              <w:bottom w:val="single" w:sz="4" w:space="0" w:color="D0CECE" w:themeColor="background2" w:themeShade="E6"/>
            </w:tcBorders>
          </w:tcPr>
          <w:p w14:paraId="0B731603"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Borders>
              <w:bottom w:val="single" w:sz="4" w:space="0" w:color="D0CECE" w:themeColor="background2" w:themeShade="E6"/>
            </w:tcBorders>
          </w:tcPr>
          <w:p w14:paraId="592039D8"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53.4</w:t>
            </w:r>
          </w:p>
        </w:tc>
      </w:tr>
      <w:tr w:rsidR="009D0CD3" w:rsidRPr="00812C16" w14:paraId="5BBFC289" w14:textId="77777777" w:rsidTr="009D0CD3">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D0CECE" w:themeColor="background2" w:themeShade="E6"/>
            </w:tcBorders>
          </w:tcPr>
          <w:p w14:paraId="7E5CC8AB" w14:textId="77777777" w:rsidR="00887A77" w:rsidRPr="00812C16" w:rsidRDefault="00887A77" w:rsidP="007E63A6">
            <w:pPr>
              <w:spacing w:beforeLines="30" w:before="72" w:afterLines="30" w:after="72"/>
              <w:rPr>
                <w:rFonts w:cs="Arial"/>
                <w:b w:val="0"/>
                <w:bCs w:val="0"/>
                <w:sz w:val="20"/>
                <w:szCs w:val="20"/>
              </w:rPr>
            </w:pPr>
            <w:r w:rsidRPr="00812C16">
              <w:rPr>
                <w:rFonts w:cs="Arial"/>
                <w:b w:val="0"/>
                <w:bCs w:val="0"/>
                <w:sz w:val="20"/>
                <w:szCs w:val="20"/>
              </w:rPr>
              <w:t>HPV16 D</w:t>
            </w:r>
            <w:r w:rsidR="00454942" w:rsidRPr="00812C16">
              <w:rPr>
                <w:rFonts w:cs="Arial"/>
                <w:b w:val="0"/>
                <w:bCs w:val="0"/>
                <w:sz w:val="20"/>
                <w:szCs w:val="20"/>
              </w:rPr>
              <w:t>NA</w:t>
            </w:r>
            <w:r w:rsidRPr="00812C16">
              <w:rPr>
                <w:rFonts w:cs="Arial"/>
                <w:b w:val="0"/>
                <w:bCs w:val="0"/>
                <w:sz w:val="20"/>
                <w:szCs w:val="20"/>
              </w:rPr>
              <w:t xml:space="preserve"> (PCR)</w:t>
            </w:r>
          </w:p>
        </w:tc>
        <w:tc>
          <w:tcPr>
            <w:tcW w:w="2835" w:type="dxa"/>
            <w:tcBorders>
              <w:top w:val="single" w:sz="4" w:space="0" w:color="D0CECE" w:themeColor="background2" w:themeShade="E6"/>
            </w:tcBorders>
          </w:tcPr>
          <w:p w14:paraId="488B3405" w14:textId="77777777" w:rsidR="00887A77" w:rsidRPr="00812C16" w:rsidRDefault="00887A77" w:rsidP="007E63A6">
            <w:pPr>
              <w:spacing w:beforeLines="30" w:before="72"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Negativ</w:t>
            </w:r>
          </w:p>
        </w:tc>
        <w:tc>
          <w:tcPr>
            <w:tcW w:w="709" w:type="dxa"/>
            <w:tcBorders>
              <w:top w:val="single" w:sz="4" w:space="0" w:color="D0CECE" w:themeColor="background2" w:themeShade="E6"/>
            </w:tcBorders>
          </w:tcPr>
          <w:p w14:paraId="1F576CE0"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143</w:t>
            </w:r>
          </w:p>
        </w:tc>
        <w:tc>
          <w:tcPr>
            <w:tcW w:w="567" w:type="dxa"/>
            <w:tcBorders>
              <w:top w:val="single" w:sz="4" w:space="0" w:color="D0CECE" w:themeColor="background2" w:themeShade="E6"/>
            </w:tcBorders>
          </w:tcPr>
          <w:p w14:paraId="77F884AB"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Borders>
              <w:top w:val="single" w:sz="4" w:space="0" w:color="D0CECE" w:themeColor="background2" w:themeShade="E6"/>
            </w:tcBorders>
          </w:tcPr>
          <w:p w14:paraId="14069646"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64.7</w:t>
            </w:r>
          </w:p>
        </w:tc>
      </w:tr>
      <w:tr w:rsidR="009D0CD3" w:rsidRPr="00812C16" w14:paraId="156C4560" w14:textId="77777777" w:rsidTr="009D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696EA11" w14:textId="77777777" w:rsidR="00887A77" w:rsidRPr="00812C16" w:rsidRDefault="00887A77" w:rsidP="007E63A6">
            <w:pPr>
              <w:spacing w:beforeLines="30" w:before="72" w:afterLines="30" w:after="72"/>
              <w:rPr>
                <w:rFonts w:cs="Arial"/>
                <w:b w:val="0"/>
                <w:bCs w:val="0"/>
                <w:sz w:val="20"/>
                <w:szCs w:val="20"/>
              </w:rPr>
            </w:pPr>
          </w:p>
        </w:tc>
        <w:tc>
          <w:tcPr>
            <w:tcW w:w="2835" w:type="dxa"/>
          </w:tcPr>
          <w:p w14:paraId="469E8862" w14:textId="77777777" w:rsidR="00887A77" w:rsidRPr="00812C16" w:rsidRDefault="00887A77" w:rsidP="007E63A6">
            <w:pPr>
              <w:spacing w:beforeLines="30" w:before="72"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Positiv</w:t>
            </w:r>
          </w:p>
        </w:tc>
        <w:tc>
          <w:tcPr>
            <w:tcW w:w="709" w:type="dxa"/>
          </w:tcPr>
          <w:p w14:paraId="4AE2FB41"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72</w:t>
            </w:r>
          </w:p>
        </w:tc>
        <w:tc>
          <w:tcPr>
            <w:tcW w:w="567" w:type="dxa"/>
          </w:tcPr>
          <w:p w14:paraId="00CDDCC9"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Pr>
          <w:p w14:paraId="749BBB45"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32.6</w:t>
            </w:r>
          </w:p>
        </w:tc>
      </w:tr>
      <w:tr w:rsidR="009D0CD3" w:rsidRPr="00812C16" w14:paraId="4B4875A1" w14:textId="77777777" w:rsidTr="009D0CD3">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D0CECE" w:themeColor="background2" w:themeShade="E6"/>
            </w:tcBorders>
          </w:tcPr>
          <w:p w14:paraId="75AE23E7" w14:textId="77777777" w:rsidR="00887A77" w:rsidRPr="00812C16" w:rsidRDefault="00887A77" w:rsidP="007E63A6">
            <w:pPr>
              <w:spacing w:beforeLines="30" w:before="72" w:afterLines="30" w:after="72"/>
              <w:rPr>
                <w:rFonts w:cs="Arial"/>
                <w:b w:val="0"/>
                <w:bCs w:val="0"/>
                <w:sz w:val="20"/>
                <w:szCs w:val="20"/>
              </w:rPr>
            </w:pPr>
          </w:p>
        </w:tc>
        <w:tc>
          <w:tcPr>
            <w:tcW w:w="2835" w:type="dxa"/>
            <w:tcBorders>
              <w:bottom w:val="single" w:sz="4" w:space="0" w:color="D0CECE" w:themeColor="background2" w:themeShade="E6"/>
            </w:tcBorders>
          </w:tcPr>
          <w:p w14:paraId="34A43F51" w14:textId="77777777" w:rsidR="00887A77" w:rsidRPr="00812C16" w:rsidRDefault="00887A77" w:rsidP="007E63A6">
            <w:pPr>
              <w:spacing w:beforeLines="30" w:before="72"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Fehlend</w:t>
            </w:r>
          </w:p>
        </w:tc>
        <w:tc>
          <w:tcPr>
            <w:tcW w:w="709" w:type="dxa"/>
            <w:tcBorders>
              <w:bottom w:val="single" w:sz="4" w:space="0" w:color="D0CECE" w:themeColor="background2" w:themeShade="E6"/>
            </w:tcBorders>
          </w:tcPr>
          <w:p w14:paraId="1C1DDD92"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6</w:t>
            </w:r>
          </w:p>
        </w:tc>
        <w:tc>
          <w:tcPr>
            <w:tcW w:w="567" w:type="dxa"/>
            <w:tcBorders>
              <w:bottom w:val="single" w:sz="4" w:space="0" w:color="D0CECE" w:themeColor="background2" w:themeShade="E6"/>
            </w:tcBorders>
          </w:tcPr>
          <w:p w14:paraId="40C9E708"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Borders>
              <w:bottom w:val="single" w:sz="4" w:space="0" w:color="D0CECE" w:themeColor="background2" w:themeShade="E6"/>
            </w:tcBorders>
          </w:tcPr>
          <w:p w14:paraId="1CB0F234"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2.7</w:t>
            </w:r>
          </w:p>
        </w:tc>
      </w:tr>
      <w:tr w:rsidR="009D0CD3" w:rsidRPr="00812C16" w14:paraId="14E074C4" w14:textId="77777777" w:rsidTr="009D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D0CECE" w:themeColor="background2" w:themeShade="E6"/>
            </w:tcBorders>
          </w:tcPr>
          <w:p w14:paraId="35D578EE" w14:textId="77777777" w:rsidR="00887A77" w:rsidRPr="00812C16" w:rsidRDefault="00887A77" w:rsidP="007E63A6">
            <w:pPr>
              <w:spacing w:beforeLines="30" w:before="72" w:afterLines="30" w:after="72"/>
              <w:rPr>
                <w:rFonts w:cs="Arial"/>
                <w:b w:val="0"/>
                <w:bCs w:val="0"/>
                <w:sz w:val="20"/>
                <w:szCs w:val="20"/>
              </w:rPr>
            </w:pPr>
            <w:r w:rsidRPr="00812C16">
              <w:rPr>
                <w:rFonts w:cs="Arial"/>
                <w:b w:val="0"/>
                <w:bCs w:val="0"/>
                <w:sz w:val="20"/>
                <w:szCs w:val="20"/>
              </w:rPr>
              <w:t>CD44-Expression (IHC)</w:t>
            </w:r>
          </w:p>
        </w:tc>
        <w:tc>
          <w:tcPr>
            <w:tcW w:w="2835" w:type="dxa"/>
            <w:tcBorders>
              <w:top w:val="single" w:sz="4" w:space="0" w:color="D0CECE" w:themeColor="background2" w:themeShade="E6"/>
            </w:tcBorders>
          </w:tcPr>
          <w:p w14:paraId="598D1B53" w14:textId="77777777" w:rsidR="00887A77" w:rsidRPr="00812C16" w:rsidRDefault="00887A77" w:rsidP="007E63A6">
            <w:pPr>
              <w:spacing w:beforeLines="30" w:before="72"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Negativ</w:t>
            </w:r>
          </w:p>
        </w:tc>
        <w:tc>
          <w:tcPr>
            <w:tcW w:w="709" w:type="dxa"/>
            <w:tcBorders>
              <w:top w:val="single" w:sz="4" w:space="0" w:color="D0CECE" w:themeColor="background2" w:themeShade="E6"/>
            </w:tcBorders>
          </w:tcPr>
          <w:p w14:paraId="155E2954"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44</w:t>
            </w:r>
          </w:p>
        </w:tc>
        <w:tc>
          <w:tcPr>
            <w:tcW w:w="567" w:type="dxa"/>
            <w:tcBorders>
              <w:top w:val="single" w:sz="4" w:space="0" w:color="D0CECE" w:themeColor="background2" w:themeShade="E6"/>
            </w:tcBorders>
          </w:tcPr>
          <w:p w14:paraId="58643DC0"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Borders>
              <w:top w:val="single" w:sz="4" w:space="0" w:color="D0CECE" w:themeColor="background2" w:themeShade="E6"/>
            </w:tcBorders>
          </w:tcPr>
          <w:p w14:paraId="18A1DE79"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19.9</w:t>
            </w:r>
          </w:p>
        </w:tc>
      </w:tr>
      <w:tr w:rsidR="009D0CD3" w:rsidRPr="00812C16" w14:paraId="22EE74C6" w14:textId="77777777" w:rsidTr="009D0CD3">
        <w:tc>
          <w:tcPr>
            <w:cnfStyle w:val="001000000000" w:firstRow="0" w:lastRow="0" w:firstColumn="1" w:lastColumn="0" w:oddVBand="0" w:evenVBand="0" w:oddHBand="0" w:evenHBand="0" w:firstRowFirstColumn="0" w:firstRowLastColumn="0" w:lastRowFirstColumn="0" w:lastRowLastColumn="0"/>
            <w:tcW w:w="3544" w:type="dxa"/>
          </w:tcPr>
          <w:p w14:paraId="01EC4E83" w14:textId="77777777" w:rsidR="00887A77" w:rsidRPr="00812C16" w:rsidRDefault="00887A77" w:rsidP="007E63A6">
            <w:pPr>
              <w:spacing w:beforeLines="30" w:before="72" w:afterLines="30" w:after="72"/>
              <w:rPr>
                <w:rFonts w:cs="Arial"/>
                <w:b w:val="0"/>
                <w:bCs w:val="0"/>
                <w:sz w:val="20"/>
                <w:szCs w:val="20"/>
              </w:rPr>
            </w:pPr>
          </w:p>
        </w:tc>
        <w:tc>
          <w:tcPr>
            <w:tcW w:w="2835" w:type="dxa"/>
          </w:tcPr>
          <w:p w14:paraId="618C99C1" w14:textId="77777777" w:rsidR="00887A77" w:rsidRPr="00812C16" w:rsidRDefault="00887A77" w:rsidP="007E63A6">
            <w:pPr>
              <w:spacing w:beforeLines="30" w:before="72" w:afterLines="30" w:after="72"/>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Positiv</w:t>
            </w:r>
          </w:p>
        </w:tc>
        <w:tc>
          <w:tcPr>
            <w:tcW w:w="709" w:type="dxa"/>
          </w:tcPr>
          <w:p w14:paraId="69F37AB9"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151</w:t>
            </w:r>
          </w:p>
        </w:tc>
        <w:tc>
          <w:tcPr>
            <w:tcW w:w="567" w:type="dxa"/>
          </w:tcPr>
          <w:p w14:paraId="3CB7F47B"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Pr>
          <w:p w14:paraId="782AF463" w14:textId="77777777" w:rsidR="00887A77" w:rsidRPr="00812C16" w:rsidRDefault="00887A77" w:rsidP="007E63A6">
            <w:pPr>
              <w:spacing w:beforeLines="30" w:before="72" w:afterLines="30" w:after="72"/>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12C16">
              <w:rPr>
                <w:rFonts w:cs="Arial"/>
                <w:sz w:val="20"/>
                <w:szCs w:val="20"/>
              </w:rPr>
              <w:t>68.3</w:t>
            </w:r>
          </w:p>
        </w:tc>
      </w:tr>
      <w:tr w:rsidR="009D0CD3" w:rsidRPr="00812C16" w14:paraId="3F471E3B" w14:textId="77777777" w:rsidTr="009D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000000" w:themeColor="text1"/>
            </w:tcBorders>
          </w:tcPr>
          <w:p w14:paraId="31029EAE" w14:textId="77777777" w:rsidR="00887A77" w:rsidRPr="00812C16" w:rsidRDefault="00887A77" w:rsidP="007E63A6">
            <w:pPr>
              <w:spacing w:beforeLines="30" w:before="72" w:afterLines="30" w:after="72"/>
              <w:rPr>
                <w:rFonts w:cs="Arial"/>
                <w:b w:val="0"/>
                <w:bCs w:val="0"/>
                <w:sz w:val="20"/>
                <w:szCs w:val="20"/>
              </w:rPr>
            </w:pPr>
          </w:p>
        </w:tc>
        <w:tc>
          <w:tcPr>
            <w:tcW w:w="2835" w:type="dxa"/>
            <w:tcBorders>
              <w:bottom w:val="single" w:sz="4" w:space="0" w:color="000000" w:themeColor="text1"/>
            </w:tcBorders>
          </w:tcPr>
          <w:p w14:paraId="4C8E4F61" w14:textId="77777777" w:rsidR="00887A77" w:rsidRPr="00812C16" w:rsidRDefault="00887A77" w:rsidP="007E63A6">
            <w:pPr>
              <w:spacing w:beforeLines="30" w:before="72" w:afterLines="30" w:after="72"/>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Fehlend</w:t>
            </w:r>
          </w:p>
        </w:tc>
        <w:tc>
          <w:tcPr>
            <w:tcW w:w="709" w:type="dxa"/>
            <w:tcBorders>
              <w:bottom w:val="single" w:sz="4" w:space="0" w:color="000000" w:themeColor="text1"/>
            </w:tcBorders>
          </w:tcPr>
          <w:p w14:paraId="0A8811BC"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26</w:t>
            </w:r>
          </w:p>
        </w:tc>
        <w:tc>
          <w:tcPr>
            <w:tcW w:w="567" w:type="dxa"/>
            <w:tcBorders>
              <w:bottom w:val="single" w:sz="4" w:space="0" w:color="000000" w:themeColor="text1"/>
            </w:tcBorders>
          </w:tcPr>
          <w:p w14:paraId="211D1671"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Borders>
              <w:bottom w:val="single" w:sz="4" w:space="0" w:color="000000" w:themeColor="text1"/>
            </w:tcBorders>
          </w:tcPr>
          <w:p w14:paraId="73F2A8EA" w14:textId="77777777" w:rsidR="00887A77" w:rsidRPr="00812C16" w:rsidRDefault="00887A77" w:rsidP="007E63A6">
            <w:pPr>
              <w:spacing w:beforeLines="30" w:before="72" w:afterLines="30" w:after="72"/>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12C16">
              <w:rPr>
                <w:rFonts w:cs="Arial"/>
                <w:sz w:val="20"/>
                <w:szCs w:val="20"/>
              </w:rPr>
              <w:t>11.8</w:t>
            </w:r>
          </w:p>
        </w:tc>
      </w:tr>
    </w:tbl>
    <w:p w14:paraId="265F95C7" w14:textId="64677008" w:rsidR="00F30A3B" w:rsidRPr="00812C16" w:rsidRDefault="008C5A89" w:rsidP="00454942">
      <w:pPr>
        <w:spacing w:before="360"/>
        <w:rPr>
          <w:rFonts w:cs="Arial"/>
          <w:lang w:eastAsia="de-DE"/>
        </w:rPr>
      </w:pPr>
      <w:r w:rsidRPr="00812C16">
        <w:rPr>
          <w:rFonts w:cs="Arial"/>
          <w:lang w:eastAsia="de-DE"/>
        </w:rPr>
        <w:t xml:space="preserve">Die Untersuchung auf eine Infektion mit HPV wurde </w:t>
      </w:r>
      <w:r w:rsidR="00585D94" w:rsidRPr="00812C16">
        <w:rPr>
          <w:rFonts w:cs="Arial"/>
          <w:lang w:eastAsia="de-DE"/>
        </w:rPr>
        <w:t xml:space="preserve">in einer vorrangegangenen </w:t>
      </w:r>
      <w:r w:rsidR="004F4D11" w:rsidRPr="00812C16">
        <w:rPr>
          <w:rFonts w:cs="Arial"/>
          <w:lang w:eastAsia="de-DE"/>
        </w:rPr>
        <w:t>Arbeit</w:t>
      </w:r>
      <w:r w:rsidR="00585D94" w:rsidRPr="00812C16">
        <w:rPr>
          <w:rFonts w:cs="Arial"/>
          <w:lang w:eastAsia="de-DE"/>
        </w:rPr>
        <w:t xml:space="preserve"> </w:t>
      </w:r>
      <w:r w:rsidR="004F4D11" w:rsidRPr="00812C16">
        <w:rPr>
          <w:rFonts w:cs="Arial"/>
          <w:lang w:eastAsia="de-DE"/>
        </w:rPr>
        <w:t>am gleichen Patientenkollektiv</w:t>
      </w:r>
      <w:r w:rsidR="00466E50" w:rsidRPr="00812C16">
        <w:rPr>
          <w:rFonts w:cs="Arial"/>
          <w:lang w:eastAsia="de-DE"/>
        </w:rPr>
        <w:t xml:space="preserve"> durchgeführt</w:t>
      </w:r>
      <w:r w:rsidR="00D209A4" w:rsidRPr="00812C16">
        <w:rPr>
          <w:rFonts w:cs="Arial"/>
          <w:lang w:eastAsia="de-DE"/>
        </w:rPr>
        <w:t xml:space="preserve"> und ausführlich beschreiben</w:t>
      </w:r>
      <w:r w:rsidR="000112D9">
        <w:rPr>
          <w:rFonts w:cs="Arial"/>
          <w:lang w:eastAsia="de-DE"/>
        </w:rPr>
        <w:fldChar w:fldCharType="begin">
          <w:fldData xml:space="preserve">PEVuZE5vdGU+PENpdGU+PEF1dGhvcj5Mb2hhdXM8L0F1dGhvcj48WWVhcj4yMDE0PC9ZZWFyPjxS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</w:fldData>
        </w:fldChar>
      </w:r>
      <w:r w:rsidR="000112D9">
        <w:rPr>
          <w:rFonts w:cs="Arial"/>
          <w:lang w:eastAsia="de-DE"/>
        </w:rPr>
        <w:instrText xml:space="preserve"> ADDIN EN.JS.CITE </w:instrText>
      </w:r>
      <w:r w:rsidR="000112D9">
        <w:rPr>
          <w:rFonts w:cs="Arial"/>
          <w:lang w:eastAsia="de-DE"/>
        </w:rPr>
      </w:r>
      <w:r w:rsidR="000112D9">
        <w:rPr>
          <w:rFonts w:cs="Arial"/>
          <w:lang w:eastAsia="de-DE"/>
        </w:rPr>
        <w:fldChar w:fldCharType="separate"/>
      </w:r>
      <w:r w:rsidR="000112D9">
        <w:rPr>
          <w:rFonts w:cs="Arial"/>
          <w:noProof/>
          <w:lang w:eastAsia="de-DE"/>
        </w:rPr>
        <w:t>(</w:t>
      </w:r>
      <w:hyperlink w:anchor="_ENREF_51" w:tooltip="Lohaus, 2014 #623" w:history="1">
        <w:r w:rsidR="009D0F7A" w:rsidRPr="009D0F7A">
          <w:rPr>
            <w:rStyle w:val="Hyperlink"/>
          </w:rPr>
          <w:t>Lohaus et al., 2014</w:t>
        </w:r>
      </w:hyperlink>
      <w:r w:rsidR="000112D9">
        <w:rPr>
          <w:rFonts w:cs="Arial"/>
          <w:noProof/>
          <w:lang w:eastAsia="de-DE"/>
        </w:rPr>
        <w:t>)</w:t>
      </w:r>
      <w:r w:rsidR="000112D9">
        <w:rPr>
          <w:rFonts w:cs="Arial"/>
          <w:lang w:eastAsia="de-DE"/>
        </w:rPr>
        <w:fldChar w:fldCharType="end"/>
      </w:r>
      <w:r w:rsidR="00466E50" w:rsidRPr="00812C16">
        <w:rPr>
          <w:rFonts w:cs="Arial"/>
          <w:lang w:eastAsia="de-DE"/>
        </w:rPr>
        <w:t>.</w:t>
      </w:r>
      <w:r w:rsidR="00162D57" w:rsidRPr="00812C16">
        <w:rPr>
          <w:rFonts w:cs="Arial"/>
          <w:lang w:eastAsia="de-DE"/>
        </w:rPr>
        <w:t xml:space="preserve"> Alle Tumorproben wurden dafür auf die Prävalenz von HPV16-DNA analysiert.</w:t>
      </w:r>
      <w:r w:rsidR="00466E50" w:rsidRPr="00812C16">
        <w:rPr>
          <w:rFonts w:cs="Arial"/>
          <w:lang w:eastAsia="de-DE"/>
        </w:rPr>
        <w:t xml:space="preserve"> </w:t>
      </w:r>
      <w:r w:rsidR="00362F6D" w:rsidRPr="00812C16">
        <w:rPr>
          <w:rFonts w:cs="Arial"/>
          <w:lang w:eastAsia="de-DE"/>
        </w:rPr>
        <w:t xml:space="preserve">Insgesamt litten 72 Patienten </w:t>
      </w:r>
      <w:r w:rsidR="00F317B0" w:rsidRPr="00812C16">
        <w:rPr>
          <w:rFonts w:cs="Arial"/>
          <w:lang w:eastAsia="de-DE"/>
        </w:rPr>
        <w:t>(3</w:t>
      </w:r>
      <w:r w:rsidR="008D3AE7" w:rsidRPr="00812C16">
        <w:rPr>
          <w:rFonts w:cs="Arial"/>
          <w:lang w:eastAsia="de-DE"/>
        </w:rPr>
        <w:t>3</w:t>
      </w:r>
      <w:r w:rsidR="00F317B0" w:rsidRPr="00812C16">
        <w:rPr>
          <w:rFonts w:cs="Arial"/>
          <w:lang w:eastAsia="de-DE"/>
        </w:rPr>
        <w:t>,</w:t>
      </w:r>
      <w:r w:rsidR="008D3AE7" w:rsidRPr="00812C16">
        <w:rPr>
          <w:rFonts w:cs="Arial"/>
          <w:lang w:eastAsia="de-DE"/>
        </w:rPr>
        <w:t>5</w:t>
      </w:r>
      <w:r w:rsidR="00F317B0" w:rsidRPr="00812C16">
        <w:rPr>
          <w:rFonts w:cs="Arial"/>
          <w:lang w:eastAsia="de-DE"/>
        </w:rPr>
        <w:t xml:space="preserve">%) </w:t>
      </w:r>
      <w:r w:rsidR="00362F6D" w:rsidRPr="00812C16">
        <w:rPr>
          <w:rFonts w:cs="Arial"/>
          <w:lang w:eastAsia="de-DE"/>
        </w:rPr>
        <w:t>an einen HPV16</w:t>
      </w:r>
      <w:r w:rsidR="00454942" w:rsidRPr="00812C16">
        <w:rPr>
          <w:rFonts w:cs="Arial"/>
          <w:lang w:eastAsia="de-DE"/>
        </w:rPr>
        <w:t xml:space="preserve"> </w:t>
      </w:r>
      <w:r w:rsidR="00362F6D" w:rsidRPr="00812C16">
        <w:rPr>
          <w:rFonts w:cs="Arial"/>
          <w:lang w:eastAsia="de-DE"/>
        </w:rPr>
        <w:t>DNA positiven Tumor</w:t>
      </w:r>
      <w:r w:rsidR="00F317B0" w:rsidRPr="00812C16">
        <w:rPr>
          <w:rFonts w:cs="Arial"/>
          <w:lang w:eastAsia="de-DE"/>
        </w:rPr>
        <w:t>,</w:t>
      </w:r>
      <w:r w:rsidR="00362F6D" w:rsidRPr="00812C16">
        <w:rPr>
          <w:rFonts w:cs="Arial"/>
          <w:lang w:eastAsia="de-DE"/>
        </w:rPr>
        <w:t xml:space="preserve"> während 143 Patienten (64,7%) HPV16 DNA-negative Tumoren aufwiesen.</w:t>
      </w:r>
      <w:r w:rsidR="000F7CB9" w:rsidRPr="00812C16">
        <w:rPr>
          <w:rFonts w:cs="Arial"/>
          <w:lang w:eastAsia="de-DE"/>
        </w:rPr>
        <w:t xml:space="preserve"> </w:t>
      </w:r>
      <w:r w:rsidR="00454942" w:rsidRPr="00812C16">
        <w:rPr>
          <w:rFonts w:cs="Arial"/>
          <w:lang w:eastAsia="de-DE"/>
        </w:rPr>
        <w:t xml:space="preserve"> </w:t>
      </w:r>
      <w:r w:rsidR="00362F6D" w:rsidRPr="00812C16">
        <w:rPr>
          <w:rFonts w:cs="Arial"/>
          <w:lang w:eastAsia="de-DE"/>
        </w:rPr>
        <w:t xml:space="preserve">Es waren </w:t>
      </w:r>
      <w:r w:rsidR="00F317B0" w:rsidRPr="00812C16">
        <w:rPr>
          <w:rFonts w:cs="Arial"/>
          <w:lang w:eastAsia="de-DE"/>
        </w:rPr>
        <w:t xml:space="preserve">6 </w:t>
      </w:r>
      <w:r w:rsidR="00362F6D" w:rsidRPr="00812C16">
        <w:rPr>
          <w:rFonts w:cs="Arial"/>
          <w:lang w:eastAsia="de-DE"/>
        </w:rPr>
        <w:t xml:space="preserve">Tumorpatienten </w:t>
      </w:r>
      <w:r w:rsidR="00F317B0" w:rsidRPr="00812C16">
        <w:rPr>
          <w:rFonts w:cs="Arial"/>
          <w:lang w:eastAsia="de-DE"/>
        </w:rPr>
        <w:t xml:space="preserve">(2,7%) </w:t>
      </w:r>
      <w:r w:rsidR="00362F6D" w:rsidRPr="00812C16">
        <w:rPr>
          <w:rFonts w:cs="Arial"/>
          <w:lang w:eastAsia="de-DE"/>
        </w:rPr>
        <w:t xml:space="preserve">mit unbekanntem HPV-Status im Kollektiv eingeschlossen. </w:t>
      </w:r>
      <w:r w:rsidR="00181EC0" w:rsidRPr="00812C16">
        <w:rPr>
          <w:rFonts w:cs="Arial"/>
          <w:lang w:eastAsia="de-DE"/>
        </w:rPr>
        <w:t>Gemäß der internationalen Agentur für Krebsforschung (IARC) werden HPV16 DNA-positive Kopf-Hals-Plattenepithelkarzinome derzeit als HPV-assoziiert angesehen. Das bedeutet, dass eine persistierende HPV-Infektion als wahrscheinlichste Ursache der Tumorerkrankung anzunehmen ist</w:t>
      </w:r>
      <w:r w:rsidR="000112D9">
        <w:rPr>
          <w:rFonts w:cs="Arial"/>
          <w:lang w:eastAsia="de-DE"/>
        </w:rPr>
        <w:fldChar w:fldCharType="begin">
          <w:fldData xml:space="preserve">PEVuZE5vdGU+PENpdGU+PEF1dGhvcj5Cb3V2YXJkPC9BdXRob3I+PFllYXI+MjAwOTwvWWVhcj48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</w:fldData>
        </w:fldChar>
      </w:r>
      <w:r w:rsidR="000112D9">
        <w:rPr>
          <w:rFonts w:cs="Arial"/>
          <w:lang w:eastAsia="de-DE"/>
        </w:rPr>
        <w:instrText xml:space="preserve"> ADDIN EN.JS.CITE </w:instrText>
      </w:r>
      <w:r w:rsidR="000112D9">
        <w:rPr>
          <w:rFonts w:cs="Arial"/>
          <w:lang w:eastAsia="de-DE"/>
        </w:rPr>
      </w:r>
      <w:r w:rsidR="000112D9">
        <w:rPr>
          <w:rFonts w:cs="Arial"/>
          <w:lang w:eastAsia="de-DE"/>
        </w:rPr>
        <w:fldChar w:fldCharType="separate"/>
      </w:r>
      <w:r w:rsidR="000112D9">
        <w:rPr>
          <w:rFonts w:cs="Arial"/>
          <w:noProof/>
          <w:lang w:eastAsia="de-DE"/>
        </w:rPr>
        <w:t>(</w:t>
      </w:r>
      <w:hyperlink w:anchor="_ENREF_14" w:tooltip="Bouvard, 2009 #474" w:history="1">
        <w:r w:rsidR="009D0F7A" w:rsidRPr="009D0F7A">
          <w:rPr>
            <w:rStyle w:val="Hyperlink"/>
          </w:rPr>
          <w:t>Bouvard et al., 2009</w:t>
        </w:r>
      </w:hyperlink>
      <w:r w:rsidR="000112D9">
        <w:rPr>
          <w:rFonts w:cs="Arial"/>
          <w:noProof/>
          <w:lang w:eastAsia="de-DE"/>
        </w:rPr>
        <w:t>)</w:t>
      </w:r>
      <w:r w:rsidR="000112D9">
        <w:rPr>
          <w:rFonts w:cs="Arial"/>
          <w:lang w:eastAsia="de-DE"/>
        </w:rPr>
        <w:fldChar w:fldCharType="end"/>
      </w:r>
      <w:r w:rsidR="00181EC0" w:rsidRPr="00812C16">
        <w:rPr>
          <w:rFonts w:cs="Arial"/>
          <w:lang w:eastAsia="de-DE"/>
        </w:rPr>
        <w:t xml:space="preserve">. Aus diesem Grund wurde der HPV-Status ausschließlich über den Nachweis von HPV16-DNA mittels PCR aus den vorhanden Tumormaterial ermittelt und für die weiteren Analysen verwendet. </w:t>
      </w:r>
      <w:r w:rsidR="00362F6D" w:rsidRPr="00812C16">
        <w:rPr>
          <w:rFonts w:cs="Arial"/>
          <w:lang w:eastAsia="de-DE"/>
        </w:rPr>
        <w:t xml:space="preserve"> </w:t>
      </w:r>
    </w:p>
    <w:p w14:paraId="3C01ACB0" w14:textId="484966A3" w:rsidR="00AB1440" w:rsidRPr="00812C16" w:rsidRDefault="00585D94" w:rsidP="00AB1440">
      <w:pPr>
        <w:spacing w:before="120" w:after="360"/>
        <w:rPr>
          <w:rFonts w:cs="Arial"/>
          <w:lang w:eastAsia="de-DE"/>
        </w:rPr>
      </w:pPr>
      <w:r w:rsidRPr="00812C16">
        <w:rPr>
          <w:rFonts w:cs="Arial"/>
          <w:lang w:eastAsia="de-DE"/>
        </w:rPr>
        <w:t>Für die Immunhistochemische Analyse der CD44-Expression</w:t>
      </w:r>
      <w:r w:rsidR="00A538C6" w:rsidRPr="00812C16">
        <w:rPr>
          <w:rFonts w:cs="Arial"/>
          <w:lang w:eastAsia="de-DE"/>
        </w:rPr>
        <w:t xml:space="preserve"> </w:t>
      </w:r>
      <w:r w:rsidRPr="00812C16">
        <w:rPr>
          <w:rFonts w:cs="Arial"/>
          <w:lang w:eastAsia="de-DE"/>
        </w:rPr>
        <w:t>waren von den 221 eingeschlossenen Patienten Insgesamt 195 in Paraffin eingebettete Operationspräparate (FFPE) verfügbar</w:t>
      </w:r>
      <w:r w:rsidR="00CA241B" w:rsidRPr="00812C16">
        <w:rPr>
          <w:rFonts w:cs="Arial"/>
          <w:lang w:eastAsia="de-DE"/>
        </w:rPr>
        <w:t>.</w:t>
      </w:r>
      <w:r w:rsidR="00930407" w:rsidRPr="00812C16">
        <w:rPr>
          <w:rFonts w:cs="Arial"/>
          <w:lang w:eastAsia="de-DE"/>
        </w:rPr>
        <w:t xml:space="preserve"> </w:t>
      </w:r>
      <w:r w:rsidR="008D3AE7" w:rsidRPr="00812C16">
        <w:rPr>
          <w:rFonts w:cs="Arial"/>
          <w:lang w:eastAsia="de-DE"/>
        </w:rPr>
        <w:t>Von den analysierbaren Gewebeproben lag d</w:t>
      </w:r>
      <w:r w:rsidR="00D865C2" w:rsidRPr="00812C16">
        <w:rPr>
          <w:rFonts w:cs="Arial"/>
          <w:lang w:eastAsia="de-DE"/>
        </w:rPr>
        <w:t xml:space="preserve">er Anteil </w:t>
      </w:r>
      <w:r w:rsidR="008C6A11" w:rsidRPr="00812C16">
        <w:rPr>
          <w:rFonts w:cs="Arial"/>
          <w:lang w:eastAsia="de-DE"/>
        </w:rPr>
        <w:t xml:space="preserve">der </w:t>
      </w:r>
      <w:r w:rsidR="00D865C2" w:rsidRPr="00812C16">
        <w:rPr>
          <w:rFonts w:cs="Arial"/>
          <w:lang w:eastAsia="de-DE"/>
        </w:rPr>
        <w:t>CD44-positive</w:t>
      </w:r>
      <w:r w:rsidR="008C6A11" w:rsidRPr="00812C16">
        <w:rPr>
          <w:rFonts w:cs="Arial"/>
          <w:lang w:eastAsia="de-DE"/>
        </w:rPr>
        <w:t>n</w:t>
      </w:r>
      <w:r w:rsidR="00D865C2" w:rsidRPr="00812C16">
        <w:rPr>
          <w:rFonts w:cs="Arial"/>
          <w:lang w:eastAsia="de-DE"/>
        </w:rPr>
        <w:t xml:space="preserve"> T</w:t>
      </w:r>
      <w:r w:rsidR="00FF09EC" w:rsidRPr="00812C16">
        <w:rPr>
          <w:rFonts w:cs="Arial"/>
          <w:lang w:eastAsia="de-DE"/>
        </w:rPr>
        <w:t>u</w:t>
      </w:r>
      <w:r w:rsidR="00D865C2" w:rsidRPr="00812C16">
        <w:rPr>
          <w:rFonts w:cs="Arial"/>
          <w:lang w:eastAsia="de-DE"/>
        </w:rPr>
        <w:t>moren</w:t>
      </w:r>
      <w:r w:rsidR="008C6A11" w:rsidRPr="00812C16">
        <w:rPr>
          <w:rFonts w:cs="Arial"/>
          <w:lang w:eastAsia="de-DE"/>
        </w:rPr>
        <w:t xml:space="preserve"> </w:t>
      </w:r>
      <w:r w:rsidR="00D865C2" w:rsidRPr="00812C16">
        <w:rPr>
          <w:rFonts w:cs="Arial"/>
          <w:lang w:eastAsia="de-DE"/>
        </w:rPr>
        <w:t>bei</w:t>
      </w:r>
      <w:r w:rsidR="00B2554E" w:rsidRPr="00812C16">
        <w:rPr>
          <w:rFonts w:cs="Arial"/>
          <w:lang w:eastAsia="de-DE"/>
        </w:rPr>
        <w:t xml:space="preserve"> </w:t>
      </w:r>
      <w:r w:rsidR="000D2065" w:rsidRPr="00812C16">
        <w:rPr>
          <w:rFonts w:cs="Arial"/>
          <w:lang w:eastAsia="de-DE"/>
        </w:rPr>
        <w:t>77,4</w:t>
      </w:r>
      <w:r w:rsidR="00D865C2" w:rsidRPr="00812C16">
        <w:rPr>
          <w:rFonts w:cs="Arial"/>
          <w:lang w:eastAsia="de-DE"/>
        </w:rPr>
        <w:t xml:space="preserve">% </w:t>
      </w:r>
      <w:r w:rsidR="00CA241B" w:rsidRPr="00812C16">
        <w:rPr>
          <w:rFonts w:cs="Arial"/>
          <w:lang w:eastAsia="de-DE"/>
        </w:rPr>
        <w:t>(n=</w:t>
      </w:r>
      <w:r w:rsidR="00B2554E" w:rsidRPr="00812C16">
        <w:rPr>
          <w:rFonts w:cs="Arial"/>
          <w:lang w:eastAsia="de-DE"/>
        </w:rPr>
        <w:t>151</w:t>
      </w:r>
      <w:r w:rsidR="00CA241B" w:rsidRPr="00812C16">
        <w:rPr>
          <w:rFonts w:cs="Arial"/>
          <w:lang w:eastAsia="de-DE"/>
        </w:rPr>
        <w:t xml:space="preserve">) </w:t>
      </w:r>
      <w:r w:rsidR="00D865C2" w:rsidRPr="00812C16">
        <w:rPr>
          <w:rFonts w:cs="Arial"/>
          <w:lang w:eastAsia="de-DE"/>
        </w:rPr>
        <w:t>und</w:t>
      </w:r>
      <w:r w:rsidR="00FF09EC" w:rsidRPr="00812C16">
        <w:rPr>
          <w:rFonts w:cs="Arial"/>
          <w:lang w:eastAsia="de-DE"/>
        </w:rPr>
        <w:t xml:space="preserve"> der Anteil CD44-negativer Tumoren </w:t>
      </w:r>
      <w:r w:rsidR="000D2065" w:rsidRPr="00812C16">
        <w:rPr>
          <w:rFonts w:cs="Arial"/>
          <w:lang w:eastAsia="de-DE"/>
        </w:rPr>
        <w:t>22,6</w:t>
      </w:r>
      <w:r w:rsidR="00FF09EC" w:rsidRPr="00812C16">
        <w:rPr>
          <w:rFonts w:cs="Arial"/>
          <w:lang w:eastAsia="de-DE"/>
        </w:rPr>
        <w:t>%</w:t>
      </w:r>
      <w:r w:rsidR="00CA241B" w:rsidRPr="00812C16">
        <w:rPr>
          <w:rFonts w:cs="Arial"/>
          <w:lang w:eastAsia="de-DE"/>
        </w:rPr>
        <w:t xml:space="preserve"> (n=</w:t>
      </w:r>
      <w:r w:rsidR="00B2554E" w:rsidRPr="00812C16">
        <w:rPr>
          <w:rFonts w:cs="Arial"/>
          <w:lang w:eastAsia="de-DE"/>
        </w:rPr>
        <w:t>44)</w:t>
      </w:r>
      <w:r w:rsidR="00FF09EC" w:rsidRPr="00812C16">
        <w:rPr>
          <w:rFonts w:cs="Arial"/>
          <w:lang w:eastAsia="de-DE"/>
        </w:rPr>
        <w:t xml:space="preserve">. </w:t>
      </w:r>
      <w:r w:rsidR="00D865C2" w:rsidRPr="00812C16">
        <w:rPr>
          <w:rFonts w:cs="Arial"/>
          <w:lang w:eastAsia="de-DE"/>
        </w:rPr>
        <w:t xml:space="preserve">Bei </w:t>
      </w:r>
      <w:r w:rsidR="00A538C6" w:rsidRPr="00812C16">
        <w:rPr>
          <w:rFonts w:cs="Arial"/>
          <w:lang w:eastAsia="de-DE"/>
        </w:rPr>
        <w:t>26</w:t>
      </w:r>
      <w:r w:rsidR="00FF09EC" w:rsidRPr="00812C16">
        <w:rPr>
          <w:rFonts w:cs="Arial"/>
          <w:lang w:eastAsia="de-DE"/>
        </w:rPr>
        <w:t xml:space="preserve"> der 221</w:t>
      </w:r>
      <w:r w:rsidR="00A538C6" w:rsidRPr="00812C16">
        <w:rPr>
          <w:rFonts w:cs="Arial"/>
          <w:lang w:eastAsia="de-DE"/>
        </w:rPr>
        <w:t xml:space="preserve"> Patienten</w:t>
      </w:r>
      <w:r w:rsidR="008C6A11" w:rsidRPr="00812C16">
        <w:rPr>
          <w:rFonts w:cs="Arial"/>
          <w:lang w:eastAsia="de-DE"/>
        </w:rPr>
        <w:t xml:space="preserve"> </w:t>
      </w:r>
      <w:r w:rsidR="00A538C6" w:rsidRPr="00812C16">
        <w:rPr>
          <w:rFonts w:cs="Arial"/>
          <w:lang w:eastAsia="de-DE"/>
        </w:rPr>
        <w:t>konnte</w:t>
      </w:r>
      <w:r w:rsidR="00FF09EC" w:rsidRPr="00812C16">
        <w:rPr>
          <w:rFonts w:cs="Arial"/>
          <w:lang w:eastAsia="de-DE"/>
        </w:rPr>
        <w:t xml:space="preserve"> der CD44-Status </w:t>
      </w:r>
      <w:r w:rsidR="00A538C6" w:rsidRPr="00812C16">
        <w:rPr>
          <w:rFonts w:cs="Arial"/>
          <w:lang w:eastAsia="de-DE"/>
        </w:rPr>
        <w:lastRenderedPageBreak/>
        <w:t xml:space="preserve">aufgrund des </w:t>
      </w:r>
      <w:r w:rsidR="00FF09EC" w:rsidRPr="00812C16">
        <w:rPr>
          <w:rFonts w:cs="Arial"/>
          <w:lang w:eastAsia="de-DE"/>
        </w:rPr>
        <w:t>fehlenden</w:t>
      </w:r>
      <w:r w:rsidR="008C6A11" w:rsidRPr="00812C16">
        <w:rPr>
          <w:rFonts w:cs="Arial"/>
          <w:lang w:eastAsia="de-DE"/>
        </w:rPr>
        <w:t xml:space="preserve"> bzw. </w:t>
      </w:r>
      <w:r w:rsidR="00B946C5" w:rsidRPr="00812C16">
        <w:rPr>
          <w:rFonts w:cs="Arial"/>
          <w:lang w:eastAsia="de-DE"/>
        </w:rPr>
        <w:t xml:space="preserve">ungenügenden </w:t>
      </w:r>
      <w:r w:rsidR="008C6A11" w:rsidRPr="00812C16">
        <w:rPr>
          <w:rFonts w:cs="Arial"/>
          <w:lang w:eastAsia="de-DE"/>
        </w:rPr>
        <w:t>Biomaterials</w:t>
      </w:r>
      <w:r w:rsidR="00A538C6" w:rsidRPr="00812C16">
        <w:rPr>
          <w:rFonts w:cs="Arial"/>
          <w:lang w:eastAsia="de-DE"/>
        </w:rPr>
        <w:t xml:space="preserve"> nicht ermittelt werden. </w:t>
      </w:r>
      <w:r w:rsidR="00CA241B" w:rsidRPr="00812C16">
        <w:rPr>
          <w:rFonts w:cs="Arial"/>
          <w:lang w:eastAsia="de-DE"/>
        </w:rPr>
        <w:t xml:space="preserve">Die Ergebnisse der </w:t>
      </w:r>
      <w:proofErr w:type="spellStart"/>
      <w:r w:rsidR="00887A77" w:rsidRPr="00812C16">
        <w:rPr>
          <w:rFonts w:cs="Arial"/>
          <w:lang w:eastAsia="de-DE"/>
        </w:rPr>
        <w:t>Biomarkeranalysen</w:t>
      </w:r>
      <w:proofErr w:type="spellEnd"/>
      <w:r w:rsidR="00CA241B" w:rsidRPr="00812C16">
        <w:rPr>
          <w:rFonts w:cs="Arial"/>
          <w:lang w:eastAsia="de-DE"/>
        </w:rPr>
        <w:t xml:space="preserve"> von HPV</w:t>
      </w:r>
      <w:r w:rsidR="008D3AE7" w:rsidRPr="00812C16">
        <w:rPr>
          <w:rFonts w:cs="Arial"/>
          <w:lang w:eastAsia="de-DE"/>
        </w:rPr>
        <w:t>16</w:t>
      </w:r>
      <w:r w:rsidR="00CA241B" w:rsidRPr="00812C16">
        <w:rPr>
          <w:rFonts w:cs="Arial"/>
          <w:lang w:eastAsia="de-DE"/>
        </w:rPr>
        <w:t>-D</w:t>
      </w:r>
      <w:r w:rsidR="008D3AE7" w:rsidRPr="00812C16">
        <w:rPr>
          <w:rFonts w:cs="Arial"/>
          <w:lang w:eastAsia="de-DE"/>
        </w:rPr>
        <w:t>NA</w:t>
      </w:r>
      <w:r w:rsidR="00CA241B" w:rsidRPr="00812C16">
        <w:rPr>
          <w:rFonts w:cs="Arial"/>
          <w:lang w:eastAsia="de-DE"/>
        </w:rPr>
        <w:t xml:space="preserve"> und CD44</w:t>
      </w:r>
      <w:r w:rsidR="008D3AE7" w:rsidRPr="00812C16">
        <w:rPr>
          <w:rFonts w:cs="Arial"/>
          <w:lang w:eastAsia="de-DE"/>
        </w:rPr>
        <w:t xml:space="preserve"> </w:t>
      </w:r>
      <w:r w:rsidR="00A1534B" w:rsidRPr="00812C16">
        <w:rPr>
          <w:rFonts w:cs="Arial"/>
          <w:lang w:eastAsia="de-DE"/>
        </w:rPr>
        <w:t xml:space="preserve">hinsichtlich </w:t>
      </w:r>
      <w:r w:rsidR="00CA241B" w:rsidRPr="00812C16">
        <w:rPr>
          <w:rFonts w:cs="Arial"/>
          <w:lang w:eastAsia="de-DE"/>
        </w:rPr>
        <w:t xml:space="preserve">deren Auftreten an den verschiedenen Tumorstellen sind in </w:t>
      </w:r>
      <w:r w:rsidR="002753E3" w:rsidRPr="00812C16">
        <w:rPr>
          <w:rFonts w:cs="Arial"/>
          <w:lang w:eastAsia="de-DE"/>
        </w:rPr>
        <w:fldChar w:fldCharType="begin"/>
      </w:r>
      <w:r w:rsidR="002753E3" w:rsidRPr="00812C16">
        <w:rPr>
          <w:rFonts w:cs="Arial"/>
          <w:lang w:eastAsia="de-DE"/>
        </w:rPr>
        <w:instrText xml:space="preserve"> REF _Ref91418338 \h </w:instrText>
      </w:r>
      <w:r w:rsidR="00620E7E" w:rsidRPr="00812C16">
        <w:rPr>
          <w:rFonts w:cs="Arial"/>
          <w:lang w:eastAsia="de-DE"/>
        </w:rPr>
        <w:instrText xml:space="preserve"> \* MERGEFORMAT </w:instrText>
      </w:r>
      <w:r w:rsidR="002753E3" w:rsidRPr="00812C16">
        <w:rPr>
          <w:rFonts w:cs="Arial"/>
          <w:lang w:eastAsia="de-DE"/>
        </w:rPr>
      </w:r>
      <w:r w:rsidR="002753E3" w:rsidRPr="00812C16">
        <w:rPr>
          <w:rFonts w:cs="Arial"/>
          <w:lang w:eastAsia="de-DE"/>
        </w:rPr>
        <w:fldChar w:fldCharType="separate"/>
      </w:r>
      <w:r w:rsidR="00F67803" w:rsidRPr="00F67803">
        <w:rPr>
          <w:rFonts w:cs="Arial"/>
        </w:rPr>
        <w:t xml:space="preserve">Tabelle </w:t>
      </w:r>
      <w:r w:rsidR="00F67803" w:rsidRPr="00F67803">
        <w:rPr>
          <w:rFonts w:cs="Arial"/>
          <w:noProof/>
        </w:rPr>
        <w:t>4</w:t>
      </w:r>
      <w:r w:rsidR="00F67803" w:rsidRPr="00F67803">
        <w:rPr>
          <w:rFonts w:cs="Arial"/>
          <w:noProof/>
        </w:rPr>
        <w:noBreakHyphen/>
        <w:t>4</w:t>
      </w:r>
      <w:r w:rsidR="002753E3" w:rsidRPr="00812C16">
        <w:rPr>
          <w:rFonts w:cs="Arial"/>
          <w:lang w:eastAsia="de-DE"/>
        </w:rPr>
        <w:fldChar w:fldCharType="end"/>
      </w:r>
      <w:r w:rsidR="00CA241B" w:rsidRPr="00812C16">
        <w:rPr>
          <w:rFonts w:cs="Arial"/>
          <w:lang w:eastAsia="de-DE"/>
        </w:rPr>
        <w:t xml:space="preserve"> dargestellt.</w:t>
      </w:r>
    </w:p>
    <w:p w14:paraId="274ABB06" w14:textId="5DA20BDD" w:rsidR="00AB1440" w:rsidRPr="00812C16" w:rsidRDefault="00AB1440" w:rsidP="00A01F4B">
      <w:pPr>
        <w:spacing w:line="240" w:lineRule="auto"/>
        <w:rPr>
          <w:sz w:val="20"/>
          <w:szCs w:val="20"/>
        </w:rPr>
      </w:pPr>
      <w:bookmarkStart w:id="51" w:name="_Ref91418338"/>
      <w:bookmarkStart w:id="52" w:name="_Toc180788394"/>
      <w:r w:rsidRPr="00812C16">
        <w:rPr>
          <w:rFonts w:cs="Arial"/>
          <w:b/>
          <w:bCs/>
          <w:sz w:val="20"/>
          <w:szCs w:val="20"/>
        </w:rPr>
        <w:t xml:space="preserve">Tabelle </w:t>
      </w:r>
      <w:r w:rsidR="00A126D9" w:rsidRPr="00812C16">
        <w:rPr>
          <w:rFonts w:cs="Arial"/>
          <w:b/>
          <w:bCs/>
          <w:sz w:val="20"/>
          <w:szCs w:val="20"/>
        </w:rPr>
        <w:fldChar w:fldCharType="begin"/>
      </w:r>
      <w:r w:rsidR="00A126D9" w:rsidRPr="00812C16">
        <w:rPr>
          <w:rFonts w:cs="Arial"/>
          <w:b/>
          <w:bCs/>
          <w:sz w:val="20"/>
          <w:szCs w:val="20"/>
        </w:rPr>
        <w:instrText xml:space="preserve"> STYLEREF 1 \s </w:instrText>
      </w:r>
      <w:r w:rsidR="00A126D9" w:rsidRPr="00812C16">
        <w:rPr>
          <w:rFonts w:cs="Arial"/>
          <w:b/>
          <w:bCs/>
          <w:sz w:val="20"/>
          <w:szCs w:val="20"/>
        </w:rPr>
        <w:fldChar w:fldCharType="separate"/>
      </w:r>
      <w:r w:rsidR="00F67803">
        <w:rPr>
          <w:rFonts w:cs="Arial"/>
          <w:b/>
          <w:bCs/>
          <w:noProof/>
          <w:sz w:val="20"/>
          <w:szCs w:val="20"/>
        </w:rPr>
        <w:t>4</w:t>
      </w:r>
      <w:r w:rsidR="00A126D9" w:rsidRPr="00812C16">
        <w:rPr>
          <w:rFonts w:cs="Arial"/>
          <w:b/>
          <w:bCs/>
          <w:sz w:val="20"/>
          <w:szCs w:val="20"/>
        </w:rPr>
        <w:fldChar w:fldCharType="end"/>
      </w:r>
      <w:r w:rsidR="00A126D9" w:rsidRPr="00812C16">
        <w:rPr>
          <w:rFonts w:cs="Arial"/>
          <w:b/>
          <w:bCs/>
          <w:sz w:val="20"/>
          <w:szCs w:val="20"/>
        </w:rPr>
        <w:noBreakHyphen/>
      </w:r>
      <w:r w:rsidR="00A126D9" w:rsidRPr="00812C16">
        <w:rPr>
          <w:rFonts w:cs="Arial"/>
          <w:b/>
          <w:bCs/>
          <w:sz w:val="20"/>
          <w:szCs w:val="20"/>
        </w:rPr>
        <w:fldChar w:fldCharType="begin"/>
      </w:r>
      <w:r w:rsidR="00A126D9" w:rsidRPr="00812C16">
        <w:rPr>
          <w:rFonts w:cs="Arial"/>
          <w:b/>
          <w:bCs/>
          <w:sz w:val="20"/>
          <w:szCs w:val="20"/>
        </w:rPr>
        <w:instrText xml:space="preserve"> SEQ Tabelle \* ARABIC \s 1 </w:instrText>
      </w:r>
      <w:r w:rsidR="00A126D9" w:rsidRPr="00812C16">
        <w:rPr>
          <w:rFonts w:cs="Arial"/>
          <w:b/>
          <w:bCs/>
          <w:sz w:val="20"/>
          <w:szCs w:val="20"/>
        </w:rPr>
        <w:fldChar w:fldCharType="separate"/>
      </w:r>
      <w:r w:rsidR="00F67803">
        <w:rPr>
          <w:rFonts w:cs="Arial"/>
          <w:b/>
          <w:bCs/>
          <w:noProof/>
          <w:sz w:val="20"/>
          <w:szCs w:val="20"/>
        </w:rPr>
        <w:t>4</w:t>
      </w:r>
      <w:r w:rsidR="00A126D9" w:rsidRPr="00812C16">
        <w:rPr>
          <w:rFonts w:cs="Arial"/>
          <w:b/>
          <w:bCs/>
          <w:sz w:val="20"/>
          <w:szCs w:val="20"/>
        </w:rPr>
        <w:fldChar w:fldCharType="end"/>
      </w:r>
      <w:bookmarkEnd w:id="51"/>
      <w:r w:rsidRPr="00812C16">
        <w:rPr>
          <w:rFonts w:cs="Arial"/>
          <w:b/>
          <w:bCs/>
          <w:sz w:val="20"/>
          <w:szCs w:val="20"/>
        </w:rPr>
        <w:t>: Anzahl der Tumoren mit positiven</w:t>
      </w:r>
      <w:r w:rsidR="00742A08" w:rsidRPr="00812C16">
        <w:rPr>
          <w:rFonts w:cs="Arial"/>
          <w:b/>
          <w:bCs/>
          <w:sz w:val="20"/>
          <w:szCs w:val="20"/>
        </w:rPr>
        <w:t xml:space="preserve"> oder negativen</w:t>
      </w:r>
      <w:r w:rsidRPr="00812C16">
        <w:rPr>
          <w:rFonts w:cs="Arial"/>
          <w:b/>
          <w:bCs/>
          <w:sz w:val="20"/>
          <w:szCs w:val="20"/>
        </w:rPr>
        <w:t xml:space="preserve"> Biomarkern </w:t>
      </w:r>
      <w:r w:rsidR="00200699" w:rsidRPr="00812C16">
        <w:rPr>
          <w:rFonts w:cs="Arial"/>
          <w:b/>
          <w:bCs/>
          <w:sz w:val="20"/>
          <w:szCs w:val="20"/>
        </w:rPr>
        <w:t xml:space="preserve">Insgesamt und </w:t>
      </w:r>
      <w:r w:rsidRPr="00812C16">
        <w:rPr>
          <w:rFonts w:cs="Arial"/>
          <w:b/>
          <w:bCs/>
          <w:sz w:val="20"/>
          <w:szCs w:val="20"/>
        </w:rPr>
        <w:t>pro Tumorlokalisierung</w:t>
      </w:r>
      <w:r w:rsidR="005A6AB1" w:rsidRPr="00812C16">
        <w:rPr>
          <w:rFonts w:cs="Arial"/>
          <w:b/>
          <w:bCs/>
          <w:sz w:val="20"/>
          <w:szCs w:val="20"/>
        </w:rPr>
        <w:t xml:space="preserve">. </w:t>
      </w:r>
      <w:r w:rsidR="005A6AB1" w:rsidRPr="00812C16">
        <w:rPr>
          <w:sz w:val="20"/>
          <w:szCs w:val="20"/>
        </w:rPr>
        <w:t>N=Anzahl der auswertbaren Fälle, F=Anzahl der nicht auswertbaren Fälle</w:t>
      </w:r>
      <w:bookmarkEnd w:id="52"/>
      <w:r w:rsidR="005A6AB1" w:rsidRPr="00812C16">
        <w:rPr>
          <w:sz w:val="20"/>
          <w:szCs w:val="20"/>
        </w:rPr>
        <w:t xml:space="preserve"> </w:t>
      </w:r>
    </w:p>
    <w:tbl>
      <w:tblPr>
        <w:tblW w:w="8856" w:type="dxa"/>
        <w:tblBorders>
          <w:top w:val="single" w:sz="6" w:space="0" w:color="EBEBEB"/>
          <w:bottom w:val="single" w:sz="6" w:space="0" w:color="EBEBEB"/>
        </w:tblBorders>
        <w:tblCellMar>
          <w:left w:w="0" w:type="dxa"/>
          <w:right w:w="0" w:type="dxa"/>
        </w:tblCellMar>
        <w:tblLook w:val="04A0" w:firstRow="1" w:lastRow="0" w:firstColumn="1" w:lastColumn="0" w:noHBand="0" w:noVBand="1"/>
      </w:tblPr>
      <w:tblGrid>
        <w:gridCol w:w="2268"/>
        <w:gridCol w:w="1485"/>
        <w:gridCol w:w="1701"/>
        <w:gridCol w:w="1701"/>
        <w:gridCol w:w="1701"/>
      </w:tblGrid>
      <w:tr w:rsidR="00A01F4B" w:rsidRPr="00812C16" w14:paraId="66E561DF" w14:textId="77777777" w:rsidTr="00A01F4B">
        <w:trPr>
          <w:tblHeader/>
        </w:trPr>
        <w:tc>
          <w:tcPr>
            <w:tcW w:w="2268" w:type="dxa"/>
            <w:tcBorders>
              <w:top w:val="single" w:sz="4" w:space="0" w:color="000000" w:themeColor="text1"/>
              <w:bottom w:val="single" w:sz="4" w:space="0" w:color="000000" w:themeColor="text1"/>
              <w:right w:val="nil"/>
            </w:tcBorders>
            <w:tcMar>
              <w:top w:w="75" w:type="dxa"/>
              <w:left w:w="75" w:type="dxa"/>
              <w:bottom w:w="75" w:type="dxa"/>
              <w:right w:w="75" w:type="dxa"/>
            </w:tcMar>
            <w:hideMark/>
          </w:tcPr>
          <w:p w14:paraId="78F59BE9" w14:textId="77777777" w:rsidR="00B15C20" w:rsidRPr="00812C16" w:rsidRDefault="00B15C20" w:rsidP="00742A08">
            <w:pPr>
              <w:spacing w:beforeLines="30" w:before="72" w:afterLines="30" w:after="72" w:line="240" w:lineRule="auto"/>
              <w:jc w:val="left"/>
              <w:rPr>
                <w:rFonts w:cs="Arial"/>
                <w:b/>
                <w:bCs/>
                <w:sz w:val="20"/>
                <w:szCs w:val="20"/>
                <w:lang w:eastAsia="de-DE"/>
              </w:rPr>
            </w:pPr>
            <w:r w:rsidRPr="00812C16">
              <w:rPr>
                <w:rFonts w:cs="Arial"/>
                <w:b/>
                <w:bCs/>
                <w:sz w:val="20"/>
                <w:szCs w:val="20"/>
                <w:lang w:eastAsia="de-DE"/>
              </w:rPr>
              <w:t>Biomarker</w:t>
            </w:r>
          </w:p>
        </w:tc>
        <w:tc>
          <w:tcPr>
            <w:tcW w:w="1485" w:type="dxa"/>
            <w:tcBorders>
              <w:top w:val="single" w:sz="4" w:space="0" w:color="000000" w:themeColor="text1"/>
              <w:bottom w:val="single" w:sz="4" w:space="0" w:color="000000" w:themeColor="text1"/>
              <w:right w:val="nil"/>
            </w:tcBorders>
            <w:tcMar>
              <w:top w:w="75" w:type="dxa"/>
              <w:left w:w="75" w:type="dxa"/>
              <w:bottom w:w="75" w:type="dxa"/>
              <w:right w:w="75" w:type="dxa"/>
            </w:tcMar>
            <w:hideMark/>
          </w:tcPr>
          <w:p w14:paraId="016B2578" w14:textId="77777777" w:rsidR="00B15C20" w:rsidRPr="00812C16" w:rsidRDefault="00B15C20" w:rsidP="00742A08">
            <w:pPr>
              <w:spacing w:beforeLines="30" w:before="72" w:afterLines="30" w:after="72" w:line="240" w:lineRule="auto"/>
              <w:jc w:val="right"/>
              <w:rPr>
                <w:rFonts w:cs="Arial"/>
                <w:b/>
                <w:bCs/>
                <w:sz w:val="20"/>
                <w:szCs w:val="20"/>
                <w:lang w:eastAsia="de-DE"/>
              </w:rPr>
            </w:pPr>
            <w:r w:rsidRPr="00812C16">
              <w:rPr>
                <w:rFonts w:cs="Arial"/>
                <w:b/>
                <w:bCs/>
                <w:sz w:val="20"/>
                <w:szCs w:val="20"/>
                <w:lang w:eastAsia="de-DE"/>
              </w:rPr>
              <w:t>Insgesamt</w:t>
            </w:r>
          </w:p>
        </w:tc>
        <w:tc>
          <w:tcPr>
            <w:tcW w:w="1701" w:type="dxa"/>
            <w:tcBorders>
              <w:top w:val="single" w:sz="4" w:space="0" w:color="000000" w:themeColor="text1"/>
              <w:bottom w:val="single" w:sz="4" w:space="0" w:color="000000" w:themeColor="text1"/>
              <w:right w:val="nil"/>
            </w:tcBorders>
            <w:tcMar>
              <w:top w:w="75" w:type="dxa"/>
              <w:left w:w="75" w:type="dxa"/>
              <w:bottom w:w="75" w:type="dxa"/>
              <w:right w:w="75" w:type="dxa"/>
            </w:tcMar>
            <w:hideMark/>
          </w:tcPr>
          <w:p w14:paraId="06892EC2" w14:textId="77777777" w:rsidR="00B15C20" w:rsidRPr="00812C16" w:rsidRDefault="00B15C20" w:rsidP="00742A08">
            <w:pPr>
              <w:spacing w:beforeLines="30" w:before="72" w:afterLines="30" w:after="72" w:line="240" w:lineRule="auto"/>
              <w:jc w:val="right"/>
              <w:rPr>
                <w:rFonts w:cs="Arial"/>
                <w:b/>
                <w:bCs/>
                <w:sz w:val="20"/>
                <w:szCs w:val="20"/>
                <w:lang w:eastAsia="de-DE"/>
              </w:rPr>
            </w:pPr>
            <w:r w:rsidRPr="00812C16">
              <w:rPr>
                <w:rFonts w:cs="Arial"/>
                <w:b/>
                <w:bCs/>
                <w:sz w:val="20"/>
                <w:szCs w:val="20"/>
                <w:lang w:eastAsia="de-DE"/>
              </w:rPr>
              <w:t>Mundhöhle</w:t>
            </w:r>
          </w:p>
        </w:tc>
        <w:tc>
          <w:tcPr>
            <w:tcW w:w="1701" w:type="dxa"/>
            <w:tcBorders>
              <w:top w:val="single" w:sz="4" w:space="0" w:color="000000" w:themeColor="text1"/>
              <w:bottom w:val="single" w:sz="4" w:space="0" w:color="000000" w:themeColor="text1"/>
              <w:right w:val="nil"/>
            </w:tcBorders>
            <w:tcMar>
              <w:top w:w="75" w:type="dxa"/>
              <w:left w:w="75" w:type="dxa"/>
              <w:bottom w:w="75" w:type="dxa"/>
              <w:right w:w="75" w:type="dxa"/>
            </w:tcMar>
            <w:hideMark/>
          </w:tcPr>
          <w:p w14:paraId="57D38ADD" w14:textId="77777777" w:rsidR="00B15C20" w:rsidRPr="00812C16" w:rsidRDefault="00B15C20" w:rsidP="00742A08">
            <w:pPr>
              <w:spacing w:beforeLines="30" w:before="72" w:afterLines="30" w:after="72" w:line="240" w:lineRule="auto"/>
              <w:jc w:val="right"/>
              <w:rPr>
                <w:rFonts w:cs="Arial"/>
                <w:b/>
                <w:bCs/>
                <w:sz w:val="20"/>
                <w:szCs w:val="20"/>
                <w:lang w:eastAsia="de-DE"/>
              </w:rPr>
            </w:pPr>
            <w:r w:rsidRPr="00812C16">
              <w:rPr>
                <w:rFonts w:cs="Arial"/>
                <w:b/>
                <w:bCs/>
                <w:sz w:val="20"/>
                <w:szCs w:val="20"/>
                <w:lang w:eastAsia="de-DE"/>
              </w:rPr>
              <w:t>Oropharynx</w:t>
            </w:r>
          </w:p>
        </w:tc>
        <w:tc>
          <w:tcPr>
            <w:tcW w:w="1701" w:type="dxa"/>
            <w:tcBorders>
              <w:top w:val="single" w:sz="4" w:space="0" w:color="000000" w:themeColor="text1"/>
              <w:bottom w:val="single" w:sz="4" w:space="0" w:color="000000" w:themeColor="text1"/>
              <w:right w:val="nil"/>
            </w:tcBorders>
            <w:tcMar>
              <w:top w:w="75" w:type="dxa"/>
              <w:left w:w="75" w:type="dxa"/>
              <w:bottom w:w="75" w:type="dxa"/>
              <w:right w:w="75" w:type="dxa"/>
            </w:tcMar>
            <w:hideMark/>
          </w:tcPr>
          <w:p w14:paraId="69832312" w14:textId="77777777" w:rsidR="00B15C20" w:rsidRPr="00812C16" w:rsidRDefault="00B15C20" w:rsidP="00742A08">
            <w:pPr>
              <w:spacing w:beforeLines="30" w:before="72" w:afterLines="30" w:after="72" w:line="240" w:lineRule="auto"/>
              <w:jc w:val="right"/>
              <w:rPr>
                <w:rFonts w:cs="Arial"/>
                <w:b/>
                <w:bCs/>
                <w:sz w:val="20"/>
                <w:szCs w:val="20"/>
                <w:lang w:eastAsia="de-DE"/>
              </w:rPr>
            </w:pPr>
            <w:r w:rsidRPr="00812C16">
              <w:rPr>
                <w:rFonts w:cs="Arial"/>
                <w:b/>
                <w:bCs/>
                <w:sz w:val="20"/>
                <w:szCs w:val="20"/>
                <w:lang w:eastAsia="de-DE"/>
              </w:rPr>
              <w:t>Hypopharynx</w:t>
            </w:r>
          </w:p>
        </w:tc>
      </w:tr>
      <w:tr w:rsidR="00A01F4B" w:rsidRPr="00812C16" w14:paraId="7A57EB94" w14:textId="77777777" w:rsidTr="00A01F4B">
        <w:tc>
          <w:tcPr>
            <w:tcW w:w="2268" w:type="dxa"/>
            <w:tcBorders>
              <w:top w:val="single" w:sz="4" w:space="0" w:color="000000" w:themeColor="text1"/>
              <w:bottom w:val="nil"/>
              <w:right w:val="nil"/>
            </w:tcBorders>
            <w:tcMar>
              <w:top w:w="75" w:type="dxa"/>
              <w:left w:w="75" w:type="dxa"/>
              <w:bottom w:w="75" w:type="dxa"/>
              <w:right w:w="75" w:type="dxa"/>
            </w:tcMar>
          </w:tcPr>
          <w:p w14:paraId="08E89D47" w14:textId="77777777" w:rsidR="0039742C" w:rsidRPr="00812C16" w:rsidRDefault="0039742C" w:rsidP="00742A08">
            <w:pPr>
              <w:spacing w:beforeLines="30" w:before="72" w:afterLines="30" w:after="72" w:line="240" w:lineRule="auto"/>
              <w:jc w:val="left"/>
              <w:rPr>
                <w:rFonts w:cs="Arial"/>
                <w:b/>
                <w:bCs/>
                <w:sz w:val="20"/>
                <w:szCs w:val="20"/>
                <w:lang w:eastAsia="de-DE"/>
              </w:rPr>
            </w:pPr>
            <w:r w:rsidRPr="00812C16">
              <w:rPr>
                <w:rFonts w:cs="Arial"/>
                <w:b/>
                <w:bCs/>
                <w:sz w:val="20"/>
                <w:szCs w:val="20"/>
                <w:lang w:eastAsia="de-DE"/>
              </w:rPr>
              <w:t>HPV16 DNA</w:t>
            </w:r>
          </w:p>
        </w:tc>
        <w:tc>
          <w:tcPr>
            <w:tcW w:w="1485" w:type="dxa"/>
            <w:tcBorders>
              <w:top w:val="single" w:sz="4" w:space="0" w:color="000000" w:themeColor="text1"/>
              <w:bottom w:val="nil"/>
              <w:right w:val="nil"/>
            </w:tcBorders>
            <w:tcMar>
              <w:top w:w="75" w:type="dxa"/>
              <w:left w:w="75" w:type="dxa"/>
              <w:bottom w:w="75" w:type="dxa"/>
              <w:right w:w="75" w:type="dxa"/>
            </w:tcMar>
          </w:tcPr>
          <w:p w14:paraId="5EE66A88" w14:textId="77777777" w:rsidR="0039742C" w:rsidRPr="00812C16" w:rsidRDefault="005A6AB1" w:rsidP="005A6AB1">
            <w:pPr>
              <w:spacing w:beforeLines="30" w:before="72" w:afterLines="30" w:after="72" w:line="240" w:lineRule="auto"/>
              <w:jc w:val="center"/>
              <w:rPr>
                <w:rFonts w:cs="Arial"/>
                <w:sz w:val="20"/>
                <w:szCs w:val="20"/>
                <w:lang w:eastAsia="de-DE"/>
              </w:rPr>
            </w:pPr>
            <w:r w:rsidRPr="00812C16">
              <w:rPr>
                <w:rFonts w:cs="Arial"/>
                <w:sz w:val="20"/>
                <w:szCs w:val="20"/>
                <w:lang w:eastAsia="de-DE"/>
              </w:rPr>
              <w:t>N</w:t>
            </w:r>
            <w:r w:rsidR="0039742C" w:rsidRPr="00812C16">
              <w:rPr>
                <w:rFonts w:cs="Arial"/>
                <w:sz w:val="20"/>
                <w:szCs w:val="20"/>
                <w:lang w:eastAsia="de-DE"/>
              </w:rPr>
              <w:t>=215</w:t>
            </w:r>
            <w:r w:rsidRPr="00812C16">
              <w:rPr>
                <w:rFonts w:cs="Arial"/>
                <w:sz w:val="20"/>
                <w:szCs w:val="20"/>
                <w:lang w:eastAsia="de-DE"/>
              </w:rPr>
              <w:t xml:space="preserve">, </w:t>
            </w:r>
            <w:r w:rsidR="007D38DA" w:rsidRPr="00812C16">
              <w:rPr>
                <w:rFonts w:cs="Arial"/>
                <w:sz w:val="20"/>
                <w:szCs w:val="20"/>
                <w:lang w:eastAsia="de-DE"/>
              </w:rPr>
              <w:t>F</w:t>
            </w:r>
            <w:r w:rsidRPr="00812C16">
              <w:rPr>
                <w:rFonts w:cs="Arial"/>
                <w:sz w:val="20"/>
                <w:szCs w:val="20"/>
                <w:lang w:eastAsia="de-DE"/>
              </w:rPr>
              <w:t>=</w:t>
            </w:r>
            <w:r w:rsidR="00E312EB" w:rsidRPr="00812C16">
              <w:rPr>
                <w:rFonts w:cs="Arial"/>
                <w:sz w:val="20"/>
                <w:szCs w:val="20"/>
                <w:lang w:eastAsia="de-DE"/>
              </w:rPr>
              <w:t>6</w:t>
            </w:r>
          </w:p>
        </w:tc>
        <w:tc>
          <w:tcPr>
            <w:tcW w:w="1701" w:type="dxa"/>
            <w:tcBorders>
              <w:top w:val="single" w:sz="4" w:space="0" w:color="000000" w:themeColor="text1"/>
              <w:bottom w:val="nil"/>
              <w:right w:val="nil"/>
            </w:tcBorders>
            <w:tcMar>
              <w:top w:w="75" w:type="dxa"/>
              <w:left w:w="75" w:type="dxa"/>
              <w:bottom w:w="75" w:type="dxa"/>
              <w:right w:w="75" w:type="dxa"/>
            </w:tcMar>
          </w:tcPr>
          <w:p w14:paraId="4891D705" w14:textId="77777777" w:rsidR="0039742C" w:rsidRPr="00812C16" w:rsidRDefault="005A6AB1" w:rsidP="00E312EB">
            <w:pPr>
              <w:spacing w:beforeLines="30" w:before="72" w:afterLines="30" w:after="72" w:line="240" w:lineRule="auto"/>
              <w:jc w:val="right"/>
              <w:rPr>
                <w:rFonts w:cs="Arial"/>
                <w:sz w:val="20"/>
                <w:szCs w:val="20"/>
                <w:lang w:eastAsia="de-DE"/>
              </w:rPr>
            </w:pPr>
            <w:r w:rsidRPr="00812C16">
              <w:rPr>
                <w:rFonts w:cs="Arial"/>
                <w:sz w:val="20"/>
                <w:szCs w:val="20"/>
                <w:lang w:eastAsia="de-DE"/>
              </w:rPr>
              <w:t>N</w:t>
            </w:r>
            <w:r w:rsidR="0039742C" w:rsidRPr="00812C16">
              <w:rPr>
                <w:rFonts w:cs="Arial"/>
                <w:sz w:val="20"/>
                <w:szCs w:val="20"/>
                <w:lang w:eastAsia="de-DE"/>
              </w:rPr>
              <w:t>=58</w:t>
            </w:r>
            <w:r w:rsidRPr="00812C16">
              <w:rPr>
                <w:rFonts w:cs="Arial"/>
                <w:sz w:val="20"/>
                <w:szCs w:val="20"/>
                <w:lang w:eastAsia="de-DE"/>
              </w:rPr>
              <w:t>, F=</w:t>
            </w:r>
            <w:r w:rsidR="00E312EB" w:rsidRPr="00812C16">
              <w:rPr>
                <w:rFonts w:cs="Arial"/>
                <w:sz w:val="20"/>
                <w:szCs w:val="20"/>
                <w:lang w:eastAsia="de-DE"/>
              </w:rPr>
              <w:t>2</w:t>
            </w:r>
          </w:p>
        </w:tc>
        <w:tc>
          <w:tcPr>
            <w:tcW w:w="1701" w:type="dxa"/>
            <w:tcBorders>
              <w:top w:val="single" w:sz="4" w:space="0" w:color="000000" w:themeColor="text1"/>
              <w:bottom w:val="nil"/>
              <w:right w:val="nil"/>
            </w:tcBorders>
            <w:tcMar>
              <w:top w:w="75" w:type="dxa"/>
              <w:left w:w="75" w:type="dxa"/>
              <w:bottom w:w="75" w:type="dxa"/>
              <w:right w:w="75" w:type="dxa"/>
            </w:tcMar>
          </w:tcPr>
          <w:p w14:paraId="1DF2BF13" w14:textId="77777777" w:rsidR="0039742C" w:rsidRPr="00812C16" w:rsidRDefault="005A6AB1"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N</w:t>
            </w:r>
            <w:r w:rsidR="0039742C" w:rsidRPr="00812C16">
              <w:rPr>
                <w:rFonts w:cs="Arial"/>
                <w:sz w:val="20"/>
                <w:szCs w:val="20"/>
                <w:lang w:eastAsia="de-DE"/>
              </w:rPr>
              <w:t>=123</w:t>
            </w:r>
            <w:r w:rsidRPr="00812C16">
              <w:rPr>
                <w:rFonts w:cs="Arial"/>
                <w:sz w:val="20"/>
                <w:szCs w:val="20"/>
                <w:lang w:eastAsia="de-DE"/>
              </w:rPr>
              <w:t>, F=</w:t>
            </w:r>
            <w:r w:rsidR="00E312EB" w:rsidRPr="00812C16">
              <w:rPr>
                <w:rFonts w:cs="Arial"/>
                <w:sz w:val="20"/>
                <w:szCs w:val="20"/>
                <w:lang w:eastAsia="de-DE"/>
              </w:rPr>
              <w:t>3</w:t>
            </w:r>
          </w:p>
        </w:tc>
        <w:tc>
          <w:tcPr>
            <w:tcW w:w="1701" w:type="dxa"/>
            <w:tcBorders>
              <w:top w:val="single" w:sz="4" w:space="0" w:color="000000" w:themeColor="text1"/>
              <w:bottom w:val="nil"/>
              <w:right w:val="nil"/>
            </w:tcBorders>
            <w:tcMar>
              <w:top w:w="75" w:type="dxa"/>
              <w:left w:w="75" w:type="dxa"/>
              <w:bottom w:w="75" w:type="dxa"/>
              <w:right w:w="75" w:type="dxa"/>
            </w:tcMar>
          </w:tcPr>
          <w:p w14:paraId="0498F0BB" w14:textId="77777777" w:rsidR="0039742C" w:rsidRPr="00812C16" w:rsidRDefault="005A6AB1"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N</w:t>
            </w:r>
            <w:r w:rsidR="0039742C" w:rsidRPr="00812C16">
              <w:rPr>
                <w:rFonts w:cs="Arial"/>
                <w:sz w:val="20"/>
                <w:szCs w:val="20"/>
                <w:lang w:eastAsia="de-DE"/>
              </w:rPr>
              <w:t>=34</w:t>
            </w:r>
            <w:r w:rsidR="00E312EB" w:rsidRPr="00812C16">
              <w:rPr>
                <w:rFonts w:cs="Arial"/>
                <w:sz w:val="20"/>
                <w:szCs w:val="20"/>
                <w:lang w:eastAsia="de-DE"/>
              </w:rPr>
              <w:t>, F=1</w:t>
            </w:r>
          </w:p>
        </w:tc>
      </w:tr>
      <w:tr w:rsidR="00A01F4B" w:rsidRPr="00812C16" w14:paraId="50229321" w14:textId="77777777" w:rsidTr="00A01F4B">
        <w:tc>
          <w:tcPr>
            <w:tcW w:w="2268" w:type="dxa"/>
            <w:tcBorders>
              <w:top w:val="single" w:sz="4" w:space="0" w:color="000000" w:themeColor="text1"/>
              <w:bottom w:val="nil"/>
              <w:right w:val="nil"/>
            </w:tcBorders>
            <w:tcMar>
              <w:top w:w="75" w:type="dxa"/>
              <w:left w:w="75" w:type="dxa"/>
              <w:bottom w:w="75" w:type="dxa"/>
              <w:right w:w="75" w:type="dxa"/>
            </w:tcMar>
            <w:hideMark/>
          </w:tcPr>
          <w:p w14:paraId="19F58F12" w14:textId="77777777" w:rsidR="00B15C20" w:rsidRPr="00812C16" w:rsidRDefault="00B15C20" w:rsidP="00A01F4B">
            <w:pPr>
              <w:spacing w:beforeLines="30" w:before="72" w:afterLines="30" w:after="72" w:line="240" w:lineRule="auto"/>
              <w:jc w:val="left"/>
              <w:rPr>
                <w:rFonts w:cs="Arial"/>
                <w:sz w:val="20"/>
                <w:szCs w:val="20"/>
                <w:lang w:eastAsia="de-DE"/>
              </w:rPr>
            </w:pPr>
            <w:r w:rsidRPr="00812C16">
              <w:rPr>
                <w:rFonts w:cs="Arial"/>
                <w:sz w:val="20"/>
                <w:szCs w:val="20"/>
                <w:lang w:eastAsia="de-DE"/>
              </w:rPr>
              <w:t>HPV16 DNA+</w:t>
            </w:r>
          </w:p>
        </w:tc>
        <w:tc>
          <w:tcPr>
            <w:tcW w:w="1485" w:type="dxa"/>
            <w:tcBorders>
              <w:top w:val="single" w:sz="4" w:space="0" w:color="000000" w:themeColor="text1"/>
              <w:bottom w:val="nil"/>
              <w:right w:val="nil"/>
            </w:tcBorders>
            <w:tcMar>
              <w:top w:w="75" w:type="dxa"/>
              <w:left w:w="75" w:type="dxa"/>
              <w:bottom w:w="75" w:type="dxa"/>
              <w:right w:w="75" w:type="dxa"/>
            </w:tcMar>
            <w:hideMark/>
          </w:tcPr>
          <w:p w14:paraId="7C7E5437" w14:textId="77777777" w:rsidR="00B15C20" w:rsidRPr="00812C16" w:rsidRDefault="00B15C20"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7</w:t>
            </w:r>
            <w:r w:rsidR="001A48BF" w:rsidRPr="00812C16">
              <w:rPr>
                <w:rFonts w:cs="Arial"/>
                <w:sz w:val="20"/>
                <w:szCs w:val="20"/>
                <w:lang w:eastAsia="de-DE"/>
              </w:rPr>
              <w:t>2</w:t>
            </w:r>
            <w:r w:rsidRPr="00812C16">
              <w:rPr>
                <w:rFonts w:cs="Arial"/>
                <w:sz w:val="20"/>
                <w:szCs w:val="20"/>
                <w:lang w:eastAsia="de-DE"/>
              </w:rPr>
              <w:t xml:space="preserve"> (3</w:t>
            </w:r>
            <w:r w:rsidR="001A48BF" w:rsidRPr="00812C16">
              <w:rPr>
                <w:rFonts w:cs="Arial"/>
                <w:sz w:val="20"/>
                <w:szCs w:val="20"/>
                <w:lang w:eastAsia="de-DE"/>
              </w:rPr>
              <w:t>3</w:t>
            </w:r>
            <w:r w:rsidRPr="00812C16">
              <w:rPr>
                <w:rFonts w:cs="Arial"/>
                <w:sz w:val="20"/>
                <w:szCs w:val="20"/>
                <w:lang w:eastAsia="de-DE"/>
              </w:rPr>
              <w:t>,</w:t>
            </w:r>
            <w:r w:rsidR="001A48BF" w:rsidRPr="00812C16">
              <w:rPr>
                <w:rFonts w:cs="Arial"/>
                <w:sz w:val="20"/>
                <w:szCs w:val="20"/>
                <w:lang w:eastAsia="de-DE"/>
              </w:rPr>
              <w:t>5</w:t>
            </w:r>
            <w:r w:rsidRPr="00812C16">
              <w:rPr>
                <w:rFonts w:cs="Arial"/>
                <w:sz w:val="20"/>
                <w:szCs w:val="20"/>
                <w:lang w:eastAsia="de-DE"/>
              </w:rPr>
              <w:t>%)</w:t>
            </w:r>
          </w:p>
        </w:tc>
        <w:tc>
          <w:tcPr>
            <w:tcW w:w="1701" w:type="dxa"/>
            <w:tcBorders>
              <w:top w:val="single" w:sz="4" w:space="0" w:color="000000" w:themeColor="text1"/>
              <w:bottom w:val="nil"/>
              <w:right w:val="nil"/>
            </w:tcBorders>
            <w:tcMar>
              <w:top w:w="75" w:type="dxa"/>
              <w:left w:w="75" w:type="dxa"/>
              <w:bottom w:w="75" w:type="dxa"/>
              <w:right w:w="75" w:type="dxa"/>
            </w:tcMar>
            <w:hideMark/>
          </w:tcPr>
          <w:p w14:paraId="1571C868" w14:textId="77777777" w:rsidR="00B15C20" w:rsidRPr="00812C16" w:rsidRDefault="00B15C20"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7 (12,1%)</w:t>
            </w:r>
          </w:p>
        </w:tc>
        <w:tc>
          <w:tcPr>
            <w:tcW w:w="1701" w:type="dxa"/>
            <w:tcBorders>
              <w:top w:val="single" w:sz="4" w:space="0" w:color="000000" w:themeColor="text1"/>
              <w:bottom w:val="nil"/>
              <w:right w:val="nil"/>
            </w:tcBorders>
            <w:tcMar>
              <w:top w:w="75" w:type="dxa"/>
              <w:left w:w="75" w:type="dxa"/>
              <w:bottom w:w="75" w:type="dxa"/>
              <w:right w:w="75" w:type="dxa"/>
            </w:tcMar>
            <w:hideMark/>
          </w:tcPr>
          <w:p w14:paraId="4921EC29" w14:textId="77777777" w:rsidR="00B15C20" w:rsidRPr="00812C16" w:rsidRDefault="005F19F1"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60</w:t>
            </w:r>
            <w:r w:rsidR="00B15C20" w:rsidRPr="00812C16">
              <w:rPr>
                <w:rFonts w:cs="Arial"/>
                <w:sz w:val="20"/>
                <w:szCs w:val="20"/>
                <w:lang w:eastAsia="de-DE"/>
              </w:rPr>
              <w:t xml:space="preserve"> (48,0%)</w:t>
            </w:r>
          </w:p>
        </w:tc>
        <w:tc>
          <w:tcPr>
            <w:tcW w:w="1701" w:type="dxa"/>
            <w:tcBorders>
              <w:top w:val="single" w:sz="4" w:space="0" w:color="000000" w:themeColor="text1"/>
              <w:bottom w:val="nil"/>
              <w:right w:val="nil"/>
            </w:tcBorders>
            <w:tcMar>
              <w:top w:w="75" w:type="dxa"/>
              <w:left w:w="75" w:type="dxa"/>
              <w:bottom w:w="75" w:type="dxa"/>
              <w:right w:w="75" w:type="dxa"/>
            </w:tcMar>
            <w:hideMark/>
          </w:tcPr>
          <w:p w14:paraId="356DCB72" w14:textId="77777777" w:rsidR="00B15C20" w:rsidRPr="00812C16" w:rsidRDefault="00B15C20"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5 (14,7%)</w:t>
            </w:r>
          </w:p>
        </w:tc>
      </w:tr>
      <w:tr w:rsidR="00A01F4B" w:rsidRPr="00812C16" w14:paraId="7538302E" w14:textId="77777777" w:rsidTr="00A01F4B">
        <w:tc>
          <w:tcPr>
            <w:tcW w:w="2268" w:type="dxa"/>
            <w:tcBorders>
              <w:bottom w:val="nil"/>
              <w:right w:val="nil"/>
            </w:tcBorders>
            <w:tcMar>
              <w:top w:w="75" w:type="dxa"/>
              <w:left w:w="75" w:type="dxa"/>
              <w:bottom w:w="75" w:type="dxa"/>
              <w:right w:w="75" w:type="dxa"/>
            </w:tcMar>
          </w:tcPr>
          <w:p w14:paraId="5973341A" w14:textId="77777777" w:rsidR="00B15C20" w:rsidRPr="00812C16" w:rsidRDefault="00B15C20" w:rsidP="00A01F4B">
            <w:pPr>
              <w:spacing w:beforeLines="30" w:before="72" w:afterLines="30" w:after="72" w:line="240" w:lineRule="auto"/>
              <w:jc w:val="left"/>
              <w:rPr>
                <w:rFonts w:cs="Arial"/>
                <w:sz w:val="20"/>
                <w:szCs w:val="20"/>
                <w:lang w:eastAsia="de-DE"/>
              </w:rPr>
            </w:pPr>
            <w:r w:rsidRPr="00812C16">
              <w:rPr>
                <w:rFonts w:cs="Arial"/>
                <w:sz w:val="20"/>
                <w:szCs w:val="20"/>
                <w:lang w:eastAsia="de-DE"/>
              </w:rPr>
              <w:t>HPV16 DNA-</w:t>
            </w:r>
          </w:p>
        </w:tc>
        <w:tc>
          <w:tcPr>
            <w:tcW w:w="1485" w:type="dxa"/>
            <w:tcBorders>
              <w:bottom w:val="nil"/>
              <w:right w:val="nil"/>
            </w:tcBorders>
            <w:tcMar>
              <w:top w:w="75" w:type="dxa"/>
              <w:left w:w="75" w:type="dxa"/>
              <w:bottom w:w="75" w:type="dxa"/>
              <w:right w:w="75" w:type="dxa"/>
            </w:tcMar>
          </w:tcPr>
          <w:p w14:paraId="33A29E7D" w14:textId="77777777" w:rsidR="00B15C20" w:rsidRPr="00812C16" w:rsidRDefault="001A48BF"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143 (66,5%</w:t>
            </w:r>
            <w:r w:rsidR="00B138F3" w:rsidRPr="00812C16">
              <w:rPr>
                <w:rFonts w:cs="Arial"/>
                <w:sz w:val="20"/>
                <w:szCs w:val="20"/>
                <w:lang w:eastAsia="de-DE"/>
              </w:rPr>
              <w:t>)</w:t>
            </w:r>
          </w:p>
        </w:tc>
        <w:tc>
          <w:tcPr>
            <w:tcW w:w="1701" w:type="dxa"/>
            <w:tcBorders>
              <w:bottom w:val="nil"/>
              <w:right w:val="nil"/>
            </w:tcBorders>
            <w:tcMar>
              <w:top w:w="75" w:type="dxa"/>
              <w:left w:w="75" w:type="dxa"/>
              <w:bottom w:w="75" w:type="dxa"/>
              <w:right w:w="75" w:type="dxa"/>
            </w:tcMar>
          </w:tcPr>
          <w:p w14:paraId="00A70179" w14:textId="77777777" w:rsidR="00B15C20" w:rsidRPr="00812C16" w:rsidRDefault="005F19F1"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51 (87,9%)</w:t>
            </w:r>
          </w:p>
        </w:tc>
        <w:tc>
          <w:tcPr>
            <w:tcW w:w="1701" w:type="dxa"/>
            <w:tcBorders>
              <w:bottom w:val="nil"/>
              <w:right w:val="nil"/>
            </w:tcBorders>
            <w:tcMar>
              <w:top w:w="75" w:type="dxa"/>
              <w:left w:w="75" w:type="dxa"/>
              <w:bottom w:w="75" w:type="dxa"/>
              <w:right w:w="75" w:type="dxa"/>
            </w:tcMar>
          </w:tcPr>
          <w:p w14:paraId="21F02D31" w14:textId="77777777" w:rsidR="00B15C20" w:rsidRPr="00812C16" w:rsidRDefault="005F19F1"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63 (51,2%)</w:t>
            </w:r>
          </w:p>
        </w:tc>
        <w:tc>
          <w:tcPr>
            <w:tcW w:w="1701" w:type="dxa"/>
            <w:tcBorders>
              <w:bottom w:val="nil"/>
              <w:right w:val="nil"/>
            </w:tcBorders>
            <w:tcMar>
              <w:top w:w="75" w:type="dxa"/>
              <w:left w:w="75" w:type="dxa"/>
              <w:bottom w:w="75" w:type="dxa"/>
              <w:right w:w="75" w:type="dxa"/>
            </w:tcMar>
          </w:tcPr>
          <w:p w14:paraId="1602670E" w14:textId="77777777" w:rsidR="00B15C20" w:rsidRPr="00812C16" w:rsidRDefault="005F19F1"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29 (85,3%)</w:t>
            </w:r>
          </w:p>
        </w:tc>
      </w:tr>
      <w:tr w:rsidR="00A01F4B" w:rsidRPr="00812C16" w14:paraId="1119F1C8" w14:textId="77777777" w:rsidTr="00A01F4B">
        <w:tc>
          <w:tcPr>
            <w:tcW w:w="2268" w:type="dxa"/>
            <w:tcBorders>
              <w:top w:val="single" w:sz="4" w:space="0" w:color="000000" w:themeColor="text1"/>
              <w:bottom w:val="single" w:sz="4" w:space="0" w:color="000000" w:themeColor="text1"/>
              <w:right w:val="nil"/>
            </w:tcBorders>
            <w:tcMar>
              <w:top w:w="75" w:type="dxa"/>
              <w:left w:w="75" w:type="dxa"/>
              <w:bottom w:w="75" w:type="dxa"/>
              <w:right w:w="75" w:type="dxa"/>
            </w:tcMar>
          </w:tcPr>
          <w:p w14:paraId="079D3DBA" w14:textId="77777777" w:rsidR="0039742C" w:rsidRPr="00812C16" w:rsidRDefault="0039742C" w:rsidP="00742A08">
            <w:pPr>
              <w:spacing w:beforeLines="30" w:before="72" w:afterLines="30" w:after="72" w:line="240" w:lineRule="auto"/>
              <w:jc w:val="left"/>
              <w:rPr>
                <w:rFonts w:cs="Arial"/>
                <w:b/>
                <w:bCs/>
                <w:sz w:val="20"/>
                <w:szCs w:val="20"/>
                <w:lang w:eastAsia="de-DE"/>
              </w:rPr>
            </w:pPr>
            <w:r w:rsidRPr="00812C16">
              <w:rPr>
                <w:rFonts w:cs="Arial"/>
                <w:b/>
                <w:bCs/>
                <w:sz w:val="20"/>
                <w:szCs w:val="20"/>
                <w:lang w:eastAsia="de-DE"/>
              </w:rPr>
              <w:t>CD44</w:t>
            </w:r>
          </w:p>
        </w:tc>
        <w:tc>
          <w:tcPr>
            <w:tcW w:w="1485" w:type="dxa"/>
            <w:tcBorders>
              <w:top w:val="single" w:sz="4" w:space="0" w:color="000000" w:themeColor="text1"/>
              <w:bottom w:val="single" w:sz="4" w:space="0" w:color="000000" w:themeColor="text1"/>
              <w:right w:val="nil"/>
            </w:tcBorders>
            <w:tcMar>
              <w:top w:w="75" w:type="dxa"/>
              <w:left w:w="75" w:type="dxa"/>
              <w:bottom w:w="75" w:type="dxa"/>
              <w:right w:w="75" w:type="dxa"/>
            </w:tcMar>
          </w:tcPr>
          <w:p w14:paraId="3655BEBF" w14:textId="77777777" w:rsidR="0039742C" w:rsidRPr="00812C16" w:rsidRDefault="007D38DA"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N=195</w:t>
            </w:r>
            <w:r w:rsidR="00DB49D4" w:rsidRPr="00812C16">
              <w:rPr>
                <w:rFonts w:cs="Arial"/>
                <w:sz w:val="20"/>
                <w:szCs w:val="20"/>
                <w:lang w:eastAsia="de-DE"/>
              </w:rPr>
              <w:t>, F=26</w:t>
            </w:r>
          </w:p>
        </w:tc>
        <w:tc>
          <w:tcPr>
            <w:tcW w:w="1701" w:type="dxa"/>
            <w:tcBorders>
              <w:top w:val="single" w:sz="4" w:space="0" w:color="000000" w:themeColor="text1"/>
              <w:bottom w:val="single" w:sz="4" w:space="0" w:color="000000" w:themeColor="text1"/>
              <w:right w:val="nil"/>
            </w:tcBorders>
            <w:tcMar>
              <w:top w:w="75" w:type="dxa"/>
              <w:left w:w="75" w:type="dxa"/>
              <w:bottom w:w="75" w:type="dxa"/>
              <w:right w:w="75" w:type="dxa"/>
            </w:tcMar>
          </w:tcPr>
          <w:p w14:paraId="12836561" w14:textId="77777777" w:rsidR="0039742C" w:rsidRPr="00812C16" w:rsidRDefault="007D38DA"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N=54</w:t>
            </w:r>
            <w:r w:rsidR="00DB49D4" w:rsidRPr="00812C16">
              <w:rPr>
                <w:rFonts w:cs="Arial"/>
                <w:sz w:val="20"/>
                <w:szCs w:val="20"/>
                <w:lang w:eastAsia="de-DE"/>
              </w:rPr>
              <w:t>, F=6</w:t>
            </w:r>
          </w:p>
        </w:tc>
        <w:tc>
          <w:tcPr>
            <w:tcW w:w="1701" w:type="dxa"/>
            <w:tcBorders>
              <w:top w:val="single" w:sz="4" w:space="0" w:color="000000" w:themeColor="text1"/>
              <w:bottom w:val="single" w:sz="4" w:space="0" w:color="000000" w:themeColor="text1"/>
              <w:right w:val="nil"/>
            </w:tcBorders>
            <w:tcMar>
              <w:top w:w="75" w:type="dxa"/>
              <w:left w:w="75" w:type="dxa"/>
              <w:bottom w:w="75" w:type="dxa"/>
              <w:right w:w="75" w:type="dxa"/>
            </w:tcMar>
          </w:tcPr>
          <w:p w14:paraId="55D4F25C" w14:textId="77777777" w:rsidR="0039742C" w:rsidRPr="00812C16" w:rsidRDefault="007D38DA"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N=113</w:t>
            </w:r>
            <w:r w:rsidR="00DB49D4" w:rsidRPr="00812C16">
              <w:rPr>
                <w:rFonts w:cs="Arial"/>
                <w:sz w:val="20"/>
                <w:szCs w:val="20"/>
                <w:lang w:eastAsia="de-DE"/>
              </w:rPr>
              <w:t>, F= 13</w:t>
            </w:r>
          </w:p>
        </w:tc>
        <w:tc>
          <w:tcPr>
            <w:tcW w:w="1701" w:type="dxa"/>
            <w:tcBorders>
              <w:top w:val="single" w:sz="4" w:space="0" w:color="000000" w:themeColor="text1"/>
              <w:bottom w:val="single" w:sz="4" w:space="0" w:color="000000" w:themeColor="text1"/>
              <w:right w:val="nil"/>
            </w:tcBorders>
            <w:tcMar>
              <w:top w:w="75" w:type="dxa"/>
              <w:left w:w="75" w:type="dxa"/>
              <w:bottom w:w="75" w:type="dxa"/>
              <w:right w:w="75" w:type="dxa"/>
            </w:tcMar>
          </w:tcPr>
          <w:p w14:paraId="65628F22" w14:textId="77777777" w:rsidR="0039742C" w:rsidRPr="00812C16" w:rsidRDefault="007D38DA"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N=28</w:t>
            </w:r>
            <w:r w:rsidR="00DB49D4" w:rsidRPr="00812C16">
              <w:rPr>
                <w:rFonts w:cs="Arial"/>
                <w:sz w:val="20"/>
                <w:szCs w:val="20"/>
                <w:lang w:eastAsia="de-DE"/>
              </w:rPr>
              <w:t>, F=</w:t>
            </w:r>
            <w:r w:rsidR="00A01F4B" w:rsidRPr="00812C16">
              <w:rPr>
                <w:rFonts w:cs="Arial"/>
                <w:sz w:val="20"/>
                <w:szCs w:val="20"/>
                <w:lang w:eastAsia="de-DE"/>
              </w:rPr>
              <w:t>7</w:t>
            </w:r>
          </w:p>
        </w:tc>
      </w:tr>
      <w:tr w:rsidR="00A01F4B" w:rsidRPr="00812C16" w14:paraId="45A553FB" w14:textId="77777777" w:rsidTr="00A01F4B">
        <w:tc>
          <w:tcPr>
            <w:tcW w:w="2268" w:type="dxa"/>
            <w:tcBorders>
              <w:top w:val="single" w:sz="4" w:space="0" w:color="000000" w:themeColor="text1"/>
              <w:bottom w:val="nil"/>
              <w:right w:val="nil"/>
            </w:tcBorders>
            <w:tcMar>
              <w:top w:w="75" w:type="dxa"/>
              <w:left w:w="75" w:type="dxa"/>
              <w:bottom w:w="75" w:type="dxa"/>
              <w:right w:w="75" w:type="dxa"/>
            </w:tcMar>
            <w:hideMark/>
          </w:tcPr>
          <w:p w14:paraId="2B5D44BF" w14:textId="77777777" w:rsidR="00B15C20" w:rsidRPr="00812C16" w:rsidRDefault="00B15C20" w:rsidP="00742A08">
            <w:pPr>
              <w:spacing w:beforeLines="30" w:before="72" w:afterLines="30" w:after="72" w:line="240" w:lineRule="auto"/>
              <w:jc w:val="left"/>
              <w:rPr>
                <w:rFonts w:cs="Arial"/>
                <w:sz w:val="20"/>
                <w:szCs w:val="20"/>
                <w:lang w:eastAsia="de-DE"/>
              </w:rPr>
            </w:pPr>
            <w:r w:rsidRPr="00812C16">
              <w:rPr>
                <w:rFonts w:cs="Arial"/>
                <w:sz w:val="20"/>
                <w:szCs w:val="20"/>
                <w:lang w:eastAsia="de-DE"/>
              </w:rPr>
              <w:t>CD44+</w:t>
            </w:r>
          </w:p>
        </w:tc>
        <w:tc>
          <w:tcPr>
            <w:tcW w:w="1485" w:type="dxa"/>
            <w:tcBorders>
              <w:top w:val="single" w:sz="4" w:space="0" w:color="000000" w:themeColor="text1"/>
              <w:bottom w:val="nil"/>
              <w:right w:val="nil"/>
            </w:tcBorders>
            <w:tcMar>
              <w:top w:w="75" w:type="dxa"/>
              <w:left w:w="75" w:type="dxa"/>
              <w:bottom w:w="75" w:type="dxa"/>
              <w:right w:w="75" w:type="dxa"/>
            </w:tcMar>
            <w:hideMark/>
          </w:tcPr>
          <w:p w14:paraId="34232AFB" w14:textId="77777777" w:rsidR="00B15C20" w:rsidRPr="00812C16" w:rsidRDefault="0086435B"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 xml:space="preserve">151 </w:t>
            </w:r>
            <w:r w:rsidR="00B15C20" w:rsidRPr="00812C16">
              <w:rPr>
                <w:rFonts w:cs="Arial"/>
                <w:sz w:val="20"/>
                <w:szCs w:val="20"/>
                <w:lang w:eastAsia="de-DE"/>
              </w:rPr>
              <w:t>(</w:t>
            </w:r>
            <w:r w:rsidR="001A48BF" w:rsidRPr="00812C16">
              <w:rPr>
                <w:rFonts w:cs="Arial"/>
                <w:sz w:val="20"/>
                <w:szCs w:val="20"/>
                <w:lang w:eastAsia="de-DE"/>
              </w:rPr>
              <w:t>77</w:t>
            </w:r>
            <w:r w:rsidRPr="00812C16">
              <w:rPr>
                <w:rFonts w:cs="Arial"/>
                <w:sz w:val="20"/>
                <w:szCs w:val="20"/>
                <w:lang w:eastAsia="de-DE"/>
              </w:rPr>
              <w:t>,</w:t>
            </w:r>
            <w:r w:rsidR="001A48BF" w:rsidRPr="00812C16">
              <w:rPr>
                <w:rFonts w:cs="Arial"/>
                <w:sz w:val="20"/>
                <w:szCs w:val="20"/>
                <w:lang w:eastAsia="de-DE"/>
              </w:rPr>
              <w:t>4</w:t>
            </w:r>
            <w:r w:rsidRPr="00812C16">
              <w:rPr>
                <w:rFonts w:cs="Arial"/>
                <w:sz w:val="20"/>
                <w:szCs w:val="20"/>
                <w:lang w:eastAsia="de-DE"/>
              </w:rPr>
              <w:t>%)</w:t>
            </w:r>
          </w:p>
        </w:tc>
        <w:tc>
          <w:tcPr>
            <w:tcW w:w="1701" w:type="dxa"/>
            <w:tcBorders>
              <w:top w:val="single" w:sz="4" w:space="0" w:color="000000" w:themeColor="text1"/>
              <w:bottom w:val="nil"/>
              <w:right w:val="nil"/>
            </w:tcBorders>
            <w:tcMar>
              <w:top w:w="75" w:type="dxa"/>
              <w:left w:w="75" w:type="dxa"/>
              <w:bottom w:w="75" w:type="dxa"/>
              <w:right w:w="75" w:type="dxa"/>
            </w:tcMar>
            <w:hideMark/>
          </w:tcPr>
          <w:p w14:paraId="44349F9F" w14:textId="77777777" w:rsidR="00B15C20" w:rsidRPr="00812C16" w:rsidRDefault="001A48BF"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51 (94,4%)</w:t>
            </w:r>
          </w:p>
        </w:tc>
        <w:tc>
          <w:tcPr>
            <w:tcW w:w="1701" w:type="dxa"/>
            <w:tcBorders>
              <w:top w:val="single" w:sz="4" w:space="0" w:color="000000" w:themeColor="text1"/>
              <w:bottom w:val="nil"/>
              <w:right w:val="nil"/>
            </w:tcBorders>
            <w:tcMar>
              <w:top w:w="75" w:type="dxa"/>
              <w:left w:w="75" w:type="dxa"/>
              <w:bottom w:w="75" w:type="dxa"/>
              <w:right w:w="75" w:type="dxa"/>
            </w:tcMar>
            <w:hideMark/>
          </w:tcPr>
          <w:p w14:paraId="31DC78B2" w14:textId="77777777" w:rsidR="00B15C20" w:rsidRPr="00812C16" w:rsidRDefault="001A48BF"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78 (69,0%)</w:t>
            </w:r>
          </w:p>
        </w:tc>
        <w:tc>
          <w:tcPr>
            <w:tcW w:w="1701" w:type="dxa"/>
            <w:tcBorders>
              <w:top w:val="single" w:sz="4" w:space="0" w:color="000000" w:themeColor="text1"/>
              <w:bottom w:val="nil"/>
              <w:right w:val="nil"/>
            </w:tcBorders>
            <w:tcMar>
              <w:top w:w="75" w:type="dxa"/>
              <w:left w:w="75" w:type="dxa"/>
              <w:bottom w:w="75" w:type="dxa"/>
              <w:right w:w="75" w:type="dxa"/>
            </w:tcMar>
            <w:hideMark/>
          </w:tcPr>
          <w:p w14:paraId="720F07A6" w14:textId="77777777" w:rsidR="00B15C20" w:rsidRPr="00812C16" w:rsidRDefault="001A48BF"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22 (78,6%)</w:t>
            </w:r>
          </w:p>
        </w:tc>
      </w:tr>
      <w:tr w:rsidR="00A01F4B" w:rsidRPr="00812C16" w14:paraId="23D0BA5A" w14:textId="77777777" w:rsidTr="00A01F4B">
        <w:tc>
          <w:tcPr>
            <w:tcW w:w="2268" w:type="dxa"/>
            <w:tcBorders>
              <w:top w:val="nil"/>
              <w:bottom w:val="single" w:sz="4" w:space="0" w:color="000000" w:themeColor="text1"/>
              <w:right w:val="nil"/>
            </w:tcBorders>
            <w:tcMar>
              <w:top w:w="75" w:type="dxa"/>
              <w:left w:w="75" w:type="dxa"/>
              <w:bottom w:w="75" w:type="dxa"/>
              <w:right w:w="75" w:type="dxa"/>
            </w:tcMar>
          </w:tcPr>
          <w:p w14:paraId="72939494" w14:textId="77777777" w:rsidR="00B15C20" w:rsidRPr="00812C16" w:rsidRDefault="00B15C20" w:rsidP="00742A08">
            <w:pPr>
              <w:spacing w:beforeLines="30" w:before="72" w:afterLines="30" w:after="72" w:line="240" w:lineRule="auto"/>
              <w:jc w:val="left"/>
              <w:rPr>
                <w:rFonts w:cs="Arial"/>
                <w:sz w:val="20"/>
                <w:szCs w:val="20"/>
                <w:lang w:eastAsia="de-DE"/>
              </w:rPr>
            </w:pPr>
            <w:r w:rsidRPr="00812C16">
              <w:rPr>
                <w:rFonts w:cs="Arial"/>
                <w:sz w:val="20"/>
                <w:szCs w:val="20"/>
                <w:lang w:eastAsia="de-DE"/>
              </w:rPr>
              <w:t>CD44 -</w:t>
            </w:r>
          </w:p>
        </w:tc>
        <w:tc>
          <w:tcPr>
            <w:tcW w:w="1485" w:type="dxa"/>
            <w:tcBorders>
              <w:top w:val="nil"/>
              <w:bottom w:val="single" w:sz="4" w:space="0" w:color="000000" w:themeColor="text1"/>
              <w:right w:val="nil"/>
            </w:tcBorders>
            <w:tcMar>
              <w:top w:w="75" w:type="dxa"/>
              <w:left w:w="75" w:type="dxa"/>
              <w:bottom w:w="75" w:type="dxa"/>
              <w:right w:w="75" w:type="dxa"/>
            </w:tcMar>
          </w:tcPr>
          <w:p w14:paraId="22B7EE26" w14:textId="77777777" w:rsidR="00B15C20" w:rsidRPr="00812C16" w:rsidRDefault="0086435B"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44 (</w:t>
            </w:r>
            <w:r w:rsidR="001A48BF" w:rsidRPr="00812C16">
              <w:rPr>
                <w:rFonts w:cs="Arial"/>
                <w:sz w:val="20"/>
                <w:szCs w:val="20"/>
                <w:lang w:eastAsia="de-DE"/>
              </w:rPr>
              <w:t>22</w:t>
            </w:r>
            <w:r w:rsidRPr="00812C16">
              <w:rPr>
                <w:rFonts w:cs="Arial"/>
                <w:sz w:val="20"/>
                <w:szCs w:val="20"/>
                <w:lang w:eastAsia="de-DE"/>
              </w:rPr>
              <w:t>,</w:t>
            </w:r>
            <w:r w:rsidR="001A48BF" w:rsidRPr="00812C16">
              <w:rPr>
                <w:rFonts w:cs="Arial"/>
                <w:sz w:val="20"/>
                <w:szCs w:val="20"/>
                <w:lang w:eastAsia="de-DE"/>
              </w:rPr>
              <w:t>6</w:t>
            </w:r>
            <w:r w:rsidRPr="00812C16">
              <w:rPr>
                <w:rFonts w:cs="Arial"/>
                <w:sz w:val="20"/>
                <w:szCs w:val="20"/>
                <w:lang w:eastAsia="de-DE"/>
              </w:rPr>
              <w:t>%)</w:t>
            </w:r>
          </w:p>
        </w:tc>
        <w:tc>
          <w:tcPr>
            <w:tcW w:w="1701" w:type="dxa"/>
            <w:tcBorders>
              <w:top w:val="nil"/>
              <w:bottom w:val="single" w:sz="4" w:space="0" w:color="000000" w:themeColor="text1"/>
              <w:right w:val="nil"/>
            </w:tcBorders>
            <w:tcMar>
              <w:top w:w="75" w:type="dxa"/>
              <w:left w:w="75" w:type="dxa"/>
              <w:bottom w:w="75" w:type="dxa"/>
              <w:right w:w="75" w:type="dxa"/>
            </w:tcMar>
          </w:tcPr>
          <w:p w14:paraId="0537EF5D" w14:textId="77777777" w:rsidR="00B15C20" w:rsidRPr="00812C16" w:rsidRDefault="001A48BF"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3 (5,6%)</w:t>
            </w:r>
          </w:p>
        </w:tc>
        <w:tc>
          <w:tcPr>
            <w:tcW w:w="1701" w:type="dxa"/>
            <w:tcBorders>
              <w:top w:val="nil"/>
              <w:bottom w:val="single" w:sz="4" w:space="0" w:color="000000" w:themeColor="text1"/>
              <w:right w:val="nil"/>
            </w:tcBorders>
            <w:tcMar>
              <w:top w:w="75" w:type="dxa"/>
              <w:left w:w="75" w:type="dxa"/>
              <w:bottom w:w="75" w:type="dxa"/>
              <w:right w:w="75" w:type="dxa"/>
            </w:tcMar>
          </w:tcPr>
          <w:p w14:paraId="4DE6882B" w14:textId="77777777" w:rsidR="00B15C20" w:rsidRPr="00812C16" w:rsidRDefault="001A48BF"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35 (30,1%)</w:t>
            </w:r>
          </w:p>
        </w:tc>
        <w:tc>
          <w:tcPr>
            <w:tcW w:w="1701" w:type="dxa"/>
            <w:tcBorders>
              <w:top w:val="nil"/>
              <w:bottom w:val="single" w:sz="4" w:space="0" w:color="000000" w:themeColor="text1"/>
              <w:right w:val="nil"/>
            </w:tcBorders>
            <w:tcMar>
              <w:top w:w="75" w:type="dxa"/>
              <w:left w:w="75" w:type="dxa"/>
              <w:bottom w:w="75" w:type="dxa"/>
              <w:right w:w="75" w:type="dxa"/>
            </w:tcMar>
          </w:tcPr>
          <w:p w14:paraId="2002BB1B" w14:textId="77777777" w:rsidR="00B15C20" w:rsidRPr="00812C16" w:rsidRDefault="001A48BF" w:rsidP="00742A08">
            <w:pPr>
              <w:spacing w:beforeLines="30" w:before="72" w:afterLines="30" w:after="72" w:line="240" w:lineRule="auto"/>
              <w:jc w:val="right"/>
              <w:rPr>
                <w:rFonts w:cs="Arial"/>
                <w:sz w:val="20"/>
                <w:szCs w:val="20"/>
                <w:lang w:eastAsia="de-DE"/>
              </w:rPr>
            </w:pPr>
            <w:r w:rsidRPr="00812C16">
              <w:rPr>
                <w:rFonts w:cs="Arial"/>
                <w:sz w:val="20"/>
                <w:szCs w:val="20"/>
                <w:lang w:eastAsia="de-DE"/>
              </w:rPr>
              <w:t>6 (21,4%)</w:t>
            </w:r>
          </w:p>
        </w:tc>
      </w:tr>
    </w:tbl>
    <w:p w14:paraId="1989C35F" w14:textId="77777777" w:rsidR="00693D77" w:rsidRPr="00812C16" w:rsidRDefault="00A01F4B" w:rsidP="00311489">
      <w:pPr>
        <w:spacing w:before="360"/>
      </w:pPr>
      <w:r w:rsidRPr="00812C16">
        <w:t xml:space="preserve">Bei den </w:t>
      </w:r>
      <w:r w:rsidR="00311489" w:rsidRPr="00812C16">
        <w:t>Patienten der Subgruppe mit HPV16 DNA-negativen Kopf-Hals-Plattenepithel-karzinomen</w:t>
      </w:r>
      <w:r w:rsidRPr="00812C16">
        <w:t>,</w:t>
      </w:r>
      <w:r w:rsidR="00311489" w:rsidRPr="00812C16">
        <w:t xml:space="preserve"> lag der Anteil CD44-positiver Karzinome mit 116 Fälle </w:t>
      </w:r>
      <w:proofErr w:type="gramStart"/>
      <w:r w:rsidR="00311489" w:rsidRPr="00812C16">
        <w:t xml:space="preserve">bei </w:t>
      </w:r>
      <w:r w:rsidRPr="00812C16">
        <w:t>.</w:t>
      </w:r>
      <w:r w:rsidR="00311489" w:rsidRPr="00812C16">
        <w:t>der</w:t>
      </w:r>
      <w:proofErr w:type="gramEnd"/>
      <w:r w:rsidR="00311489" w:rsidRPr="00812C16">
        <w:t xml:space="preserve"> Subgruppe hatten ein CD44-negativen Tumor.</w:t>
      </w:r>
    </w:p>
    <w:p w14:paraId="5518E196" w14:textId="77777777" w:rsidR="00311489" w:rsidRPr="00812C16" w:rsidRDefault="00693D77" w:rsidP="00693D77">
      <w:pPr>
        <w:spacing w:after="0"/>
        <w:jc w:val="left"/>
      </w:pPr>
      <w:r w:rsidRPr="00812C16">
        <w:br w:type="page"/>
      </w:r>
    </w:p>
    <w:p w14:paraId="36931BAC" w14:textId="77777777" w:rsidR="00620E7E" w:rsidRPr="00812C16" w:rsidRDefault="00620E7E" w:rsidP="005547D3">
      <w:pPr>
        <w:pStyle w:val="berschrift3"/>
      </w:pPr>
      <w:bookmarkStart w:id="53" w:name="_Toc158006537"/>
      <w:r w:rsidRPr="00812C16">
        <w:lastRenderedPageBreak/>
        <w:t>Behandlungsmerkmale</w:t>
      </w:r>
      <w:bookmarkEnd w:id="53"/>
    </w:p>
    <w:p w14:paraId="449969B4" w14:textId="77777777" w:rsidR="00A47415" w:rsidRPr="00812C16" w:rsidRDefault="00A47415" w:rsidP="00A47415">
      <w:pPr>
        <w:spacing w:after="0"/>
        <w:rPr>
          <w:rFonts w:cs="Arial"/>
          <w:i/>
          <w:iCs/>
          <w:lang w:eastAsia="de-DE"/>
        </w:rPr>
      </w:pPr>
      <w:r w:rsidRPr="00812C16">
        <w:rPr>
          <w:rFonts w:cs="Arial"/>
          <w:i/>
          <w:iCs/>
          <w:lang w:eastAsia="de-DE"/>
        </w:rPr>
        <w:t>Chirurgie</w:t>
      </w:r>
    </w:p>
    <w:p w14:paraId="4C78FE86" w14:textId="5DDE6B21" w:rsidR="00DD4D7F" w:rsidRPr="00812C16" w:rsidRDefault="00935FC5" w:rsidP="00A47415">
      <w:pPr>
        <w:rPr>
          <w:rFonts w:cs="Arial"/>
          <w:lang w:eastAsia="de-DE"/>
        </w:rPr>
      </w:pPr>
      <w:r w:rsidRPr="00812C16">
        <w:rPr>
          <w:rFonts w:cs="Arial"/>
          <w:lang w:eastAsia="de-DE"/>
        </w:rPr>
        <w:t>Präoperativ erhielten alle Patienten gemäß der S3-Leitlinie</w:t>
      </w:r>
      <w:r w:rsidR="00502183" w:rsidRPr="00812C16">
        <w:rPr>
          <w:rFonts w:cs="Arial"/>
          <w:lang w:eastAsia="de-DE"/>
        </w:rPr>
        <w:t xml:space="preserve"> </w:t>
      </w:r>
      <w:r w:rsidR="000112D9">
        <w:rPr>
          <w:rFonts w:cs="Arial"/>
          <w:lang w:eastAsia="de-DE"/>
        </w:rPr>
        <w:fldChar w:fldCharType="begin">
          <w:fldData xml:space="preserve">PEVuZE5vdGU+PENpdGU+PEF1dGhvcj5Cb290ejwvQXV0aG9yPjxZZWFyPjIwMjA8L1llYXI+PFJl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</w:fldData>
        </w:fldChar>
      </w:r>
      <w:r w:rsidR="000112D9">
        <w:rPr>
          <w:rFonts w:cs="Arial"/>
          <w:lang w:eastAsia="de-DE"/>
        </w:rPr>
        <w:instrText xml:space="preserve"> ADDIN EN.JS.CITE </w:instrText>
      </w:r>
      <w:r w:rsidR="000112D9">
        <w:rPr>
          <w:rFonts w:cs="Arial"/>
          <w:lang w:eastAsia="de-DE"/>
        </w:rPr>
      </w:r>
      <w:r w:rsidR="000112D9">
        <w:rPr>
          <w:rFonts w:cs="Arial"/>
          <w:lang w:eastAsia="de-DE"/>
        </w:rPr>
        <w:fldChar w:fldCharType="separate"/>
      </w:r>
      <w:r w:rsidR="000112D9">
        <w:rPr>
          <w:rFonts w:cs="Arial"/>
          <w:noProof/>
          <w:lang w:eastAsia="de-DE"/>
        </w:rPr>
        <w:t>(</w:t>
      </w:r>
      <w:hyperlink w:anchor="_ENREF_13" w:tooltip="Bootz, 2020 #475" w:history="1">
        <w:r w:rsidR="009D0F7A" w:rsidRPr="009D0F7A">
          <w:rPr>
            <w:rStyle w:val="Hyperlink"/>
          </w:rPr>
          <w:t>Bootz, 2020</w:t>
        </w:r>
      </w:hyperlink>
      <w:r w:rsidR="000112D9">
        <w:rPr>
          <w:rFonts w:cs="Arial"/>
          <w:noProof/>
          <w:lang w:eastAsia="de-DE"/>
        </w:rPr>
        <w:t>)</w:t>
      </w:r>
      <w:r w:rsidR="000112D9">
        <w:rPr>
          <w:rFonts w:cs="Arial"/>
          <w:lang w:eastAsia="de-DE"/>
        </w:rPr>
        <w:fldChar w:fldCharType="end"/>
      </w:r>
      <w:r w:rsidRPr="00812C16">
        <w:rPr>
          <w:rFonts w:cs="Arial"/>
          <w:lang w:eastAsia="de-DE"/>
        </w:rPr>
        <w:t xml:space="preserve"> die benötigten </w:t>
      </w:r>
      <w:proofErr w:type="spellStart"/>
      <w:r w:rsidRPr="00812C16">
        <w:rPr>
          <w:rFonts w:cs="Arial"/>
          <w:lang w:eastAsia="de-DE"/>
        </w:rPr>
        <w:t>Staginguntersuchungen</w:t>
      </w:r>
      <w:proofErr w:type="spellEnd"/>
      <w:r w:rsidRPr="00812C16">
        <w:rPr>
          <w:rFonts w:cs="Arial"/>
          <w:lang w:eastAsia="de-DE"/>
        </w:rPr>
        <w:t xml:space="preserve">. </w:t>
      </w:r>
      <w:r w:rsidR="00B82B60" w:rsidRPr="00812C16">
        <w:rPr>
          <w:rFonts w:cs="Arial"/>
          <w:lang w:eastAsia="de-DE"/>
        </w:rPr>
        <w:t xml:space="preserve">Aufgrund des lokal fortgeschrittenen Krankheitsgeschehens war bei allen Patienten noch vor Beginn der adjuvanten Radiochemotherapie die operative Entfernung des Tumors indiziert. </w:t>
      </w:r>
      <w:r w:rsidR="00530246" w:rsidRPr="00812C16">
        <w:rPr>
          <w:rFonts w:cs="Arial"/>
          <w:lang w:eastAsia="de-DE"/>
        </w:rPr>
        <w:t>Dabei kamen klassische chirurgische Therapieoptionen als auch transoral-endoskopische Laserchirurgie zur Anwendung. Die radikale Entfernung des Tumors (En-bloc-Resektion) sowie der ableitenden Lymphbahnen erhie</w:t>
      </w:r>
      <w:r w:rsidR="001F6429" w:rsidRPr="00812C16">
        <w:rPr>
          <w:rFonts w:cs="Arial"/>
          <w:lang w:eastAsia="de-DE"/>
        </w:rPr>
        <w:t>lten</w:t>
      </w:r>
      <w:r w:rsidR="00530246" w:rsidRPr="00812C16">
        <w:rPr>
          <w:rFonts w:cs="Arial"/>
          <w:lang w:eastAsia="de-DE"/>
        </w:rPr>
        <w:t xml:space="preserve"> dabei die höchste Priorität. Dafür kamen in den DKTK-Partner-Kliniken die unterschiedlichen Varianten der Neck </w:t>
      </w:r>
      <w:proofErr w:type="spellStart"/>
      <w:r w:rsidR="00530246" w:rsidRPr="00812C16">
        <w:rPr>
          <w:rFonts w:cs="Arial"/>
          <w:lang w:eastAsia="de-DE"/>
        </w:rPr>
        <w:t>Dissection</w:t>
      </w:r>
      <w:proofErr w:type="spellEnd"/>
      <w:r w:rsidR="00530246" w:rsidRPr="00812C16">
        <w:rPr>
          <w:rFonts w:cs="Arial"/>
          <w:lang w:eastAsia="de-DE"/>
        </w:rPr>
        <w:t xml:space="preserve"> und, </w:t>
      </w:r>
      <w:r w:rsidR="00DF03DC" w:rsidRPr="00812C16">
        <w:rPr>
          <w:rFonts w:cs="Arial"/>
          <w:lang w:eastAsia="de-DE"/>
        </w:rPr>
        <w:t>bei ausgedehnten Hart- und Weichteildefekten, plastischen Rekonstruktionen</w:t>
      </w:r>
      <w:r w:rsidR="00530246" w:rsidRPr="00812C16">
        <w:rPr>
          <w:rFonts w:cs="Arial"/>
          <w:lang w:eastAsia="de-DE"/>
        </w:rPr>
        <w:t xml:space="preserve"> zum Einsatz. </w:t>
      </w:r>
      <w:r w:rsidR="00DF03DC" w:rsidRPr="00812C16">
        <w:rPr>
          <w:rFonts w:cs="Arial"/>
          <w:lang w:eastAsia="de-DE"/>
        </w:rPr>
        <w:t xml:space="preserve">Ein </w:t>
      </w:r>
      <w:r w:rsidR="009868EE" w:rsidRPr="00812C16">
        <w:rPr>
          <w:rFonts w:cs="Arial"/>
          <w:lang w:eastAsia="de-DE"/>
        </w:rPr>
        <w:t>extrakapsuläres</w:t>
      </w:r>
      <w:r w:rsidR="00DF03DC" w:rsidRPr="00812C16">
        <w:rPr>
          <w:rFonts w:cs="Arial"/>
          <w:lang w:eastAsia="de-DE"/>
        </w:rPr>
        <w:t xml:space="preserve"> Tumorwachstum war bei rund die </w:t>
      </w:r>
      <w:r w:rsidR="009868EE" w:rsidRPr="00812C16">
        <w:rPr>
          <w:rFonts w:cs="Arial"/>
          <w:lang w:eastAsia="de-DE"/>
        </w:rPr>
        <w:t>Hälfte</w:t>
      </w:r>
      <w:r w:rsidR="00DF03DC" w:rsidRPr="00812C16">
        <w:rPr>
          <w:rFonts w:cs="Arial"/>
          <w:lang w:eastAsia="de-DE"/>
        </w:rPr>
        <w:t xml:space="preserve"> </w:t>
      </w:r>
      <w:r w:rsidR="00502183" w:rsidRPr="00812C16">
        <w:rPr>
          <w:rFonts w:cs="Arial"/>
          <w:lang w:eastAsia="de-DE"/>
        </w:rPr>
        <w:t xml:space="preserve">(53,4%, n=118) </w:t>
      </w:r>
      <w:r w:rsidR="00DF03DC" w:rsidRPr="00812C16">
        <w:rPr>
          <w:rFonts w:cs="Arial"/>
          <w:lang w:eastAsia="de-DE"/>
        </w:rPr>
        <w:t>der Tumorpatienten festgestellt worden.</w:t>
      </w:r>
      <w:r w:rsidR="009868EE" w:rsidRPr="00812C16">
        <w:rPr>
          <w:rFonts w:cs="Arial"/>
          <w:lang w:eastAsia="de-DE"/>
        </w:rPr>
        <w:t xml:space="preserve"> </w:t>
      </w:r>
      <w:r w:rsidR="00A47415" w:rsidRPr="00812C16">
        <w:rPr>
          <w:rFonts w:cs="Arial"/>
          <w:lang w:eastAsia="de-DE"/>
        </w:rPr>
        <w:t>Eine</w:t>
      </w:r>
      <w:r w:rsidR="00B82B60" w:rsidRPr="00812C16">
        <w:rPr>
          <w:rFonts w:cs="Arial"/>
          <w:lang w:eastAsia="de-DE"/>
        </w:rPr>
        <w:t xml:space="preserve"> tumorfreier Resektionsrand (</w:t>
      </w:r>
      <w:r w:rsidR="00A47415" w:rsidRPr="00812C16">
        <w:rPr>
          <w:rFonts w:cs="Arial"/>
          <w:lang w:eastAsia="de-DE"/>
        </w:rPr>
        <w:t>R0- Resektion</w:t>
      </w:r>
      <w:r w:rsidR="00B82B60" w:rsidRPr="00812C16">
        <w:rPr>
          <w:rFonts w:cs="Arial"/>
          <w:lang w:eastAsia="de-DE"/>
        </w:rPr>
        <w:t>)</w:t>
      </w:r>
      <w:r w:rsidR="00A47415" w:rsidRPr="00812C16">
        <w:rPr>
          <w:rFonts w:cs="Arial"/>
          <w:lang w:eastAsia="de-DE"/>
        </w:rPr>
        <w:t xml:space="preserve"> konnte in </w:t>
      </w:r>
      <w:r w:rsidR="00B82B60" w:rsidRPr="00812C16">
        <w:rPr>
          <w:rFonts w:cs="Arial"/>
          <w:lang w:eastAsia="de-DE"/>
        </w:rPr>
        <w:t>56,6</w:t>
      </w:r>
      <w:r w:rsidR="00A47415" w:rsidRPr="00812C16">
        <w:rPr>
          <w:rFonts w:cs="Arial"/>
          <w:lang w:eastAsia="de-DE"/>
        </w:rPr>
        <w:t>% (n=</w:t>
      </w:r>
      <w:r w:rsidR="00B82B60" w:rsidRPr="00812C16">
        <w:rPr>
          <w:rFonts w:cs="Arial"/>
          <w:lang w:eastAsia="de-DE"/>
        </w:rPr>
        <w:t>125</w:t>
      </w:r>
      <w:r w:rsidR="00A47415" w:rsidRPr="00812C16">
        <w:rPr>
          <w:rFonts w:cs="Arial"/>
          <w:lang w:eastAsia="de-DE"/>
        </w:rPr>
        <w:t xml:space="preserve">) der Fälle erzielt werden. </w:t>
      </w:r>
      <w:r w:rsidR="00B82B60" w:rsidRPr="00812C16">
        <w:rPr>
          <w:rFonts w:cs="Arial"/>
          <w:lang w:eastAsia="de-DE"/>
        </w:rPr>
        <w:t xml:space="preserve">Bei 42,5% (n=94) der Fälle zeigte sich mindestens ein mikroskopischer Resektionsrand (R1/R2). </w:t>
      </w:r>
      <w:r w:rsidR="00A47415" w:rsidRPr="00812C16">
        <w:rPr>
          <w:rFonts w:cs="Arial"/>
          <w:lang w:eastAsia="de-DE"/>
        </w:rPr>
        <w:t>Bei zwei Patienten (</w:t>
      </w:r>
      <w:r w:rsidR="00B82B60" w:rsidRPr="00812C16">
        <w:rPr>
          <w:rFonts w:cs="Arial"/>
          <w:lang w:eastAsia="de-DE"/>
        </w:rPr>
        <w:t>0,9</w:t>
      </w:r>
      <w:r w:rsidR="00A47415" w:rsidRPr="00812C16">
        <w:rPr>
          <w:rFonts w:cs="Arial"/>
          <w:lang w:eastAsia="de-DE"/>
        </w:rPr>
        <w:t>%) konnte das Vorhandensein eines Residualtumors nicht eindeutig beurteilt werden (</w:t>
      </w:r>
      <w:proofErr w:type="spellStart"/>
      <w:r w:rsidR="00A47415" w:rsidRPr="00812C16">
        <w:rPr>
          <w:rFonts w:cs="Arial"/>
          <w:lang w:eastAsia="de-DE"/>
        </w:rPr>
        <w:t>Rx</w:t>
      </w:r>
      <w:proofErr w:type="spellEnd"/>
      <w:r w:rsidR="00A47415" w:rsidRPr="00812C16">
        <w:rPr>
          <w:rFonts w:cs="Arial"/>
          <w:lang w:eastAsia="de-DE"/>
        </w:rPr>
        <w:t>).</w:t>
      </w:r>
      <w:r w:rsidRPr="00812C16">
        <w:rPr>
          <w:rFonts w:cs="Arial"/>
          <w:lang w:eastAsia="de-DE"/>
        </w:rPr>
        <w:t xml:space="preserve"> </w:t>
      </w:r>
      <w:r w:rsidR="00CE4BF6" w:rsidRPr="00812C16">
        <w:rPr>
          <w:rFonts w:cs="Arial"/>
          <w:lang w:eastAsia="de-DE"/>
        </w:rPr>
        <w:t>Die histologischen Präparate wurden an den DKTK-Partnerstandorten standardisiert aufgearbeitet und gemäß der TMN-Klassifikation eingeordnet.</w:t>
      </w:r>
    </w:p>
    <w:p w14:paraId="58C9363E" w14:textId="77777777" w:rsidR="00A47415" w:rsidRPr="00812C16" w:rsidRDefault="00A47415" w:rsidP="00A47415">
      <w:pPr>
        <w:spacing w:after="0"/>
        <w:rPr>
          <w:rFonts w:cs="Arial"/>
          <w:i/>
          <w:iCs/>
          <w:lang w:eastAsia="de-DE"/>
        </w:rPr>
      </w:pPr>
      <w:r w:rsidRPr="00812C16">
        <w:rPr>
          <w:rFonts w:cs="Arial"/>
          <w:i/>
          <w:iCs/>
          <w:lang w:eastAsia="de-DE"/>
        </w:rPr>
        <w:t>Bestrahlung</w:t>
      </w:r>
      <w:r w:rsidR="00DF03DC" w:rsidRPr="00812C16">
        <w:rPr>
          <w:rFonts w:cs="Arial"/>
          <w:i/>
          <w:iCs/>
          <w:lang w:eastAsia="de-DE"/>
        </w:rPr>
        <w:t xml:space="preserve"> und Chemotherapie</w:t>
      </w:r>
    </w:p>
    <w:p w14:paraId="3A32C104" w14:textId="7C253130" w:rsidR="008D3AE7" w:rsidRPr="00812C16" w:rsidRDefault="00733A6C" w:rsidP="008C6A11">
      <w:pPr>
        <w:spacing w:after="360"/>
        <w:rPr>
          <w:rFonts w:cs="Arial"/>
          <w:lang w:eastAsia="de-DE"/>
        </w:rPr>
      </w:pPr>
      <w:r w:rsidRPr="00812C16">
        <w:rPr>
          <w:rFonts w:cs="Arial"/>
          <w:lang w:eastAsia="de-DE"/>
        </w:rPr>
        <w:t>Die Behandlungsparameter</w:t>
      </w:r>
      <w:r w:rsidR="001A12F8" w:rsidRPr="00812C16">
        <w:rPr>
          <w:rFonts w:cs="Arial"/>
          <w:lang w:eastAsia="de-DE"/>
        </w:rPr>
        <w:t xml:space="preserve"> bezüglich der Chemo- und Strahlentherapie</w:t>
      </w:r>
      <w:r w:rsidRPr="00812C16">
        <w:rPr>
          <w:rFonts w:cs="Arial"/>
          <w:lang w:eastAsia="de-DE"/>
        </w:rPr>
        <w:t xml:space="preserve"> sind in</w:t>
      </w:r>
      <w:r w:rsidR="001A12F8" w:rsidRPr="00812C16">
        <w:rPr>
          <w:rFonts w:cs="Arial"/>
          <w:lang w:eastAsia="de-DE"/>
        </w:rPr>
        <w:t xml:space="preserve"> </w:t>
      </w:r>
      <w:r w:rsidR="001A12F8" w:rsidRPr="00812C16">
        <w:rPr>
          <w:rFonts w:cs="Arial"/>
          <w:lang w:eastAsia="de-DE"/>
        </w:rPr>
        <w:fldChar w:fldCharType="begin"/>
      </w:r>
      <w:r w:rsidR="001A12F8" w:rsidRPr="00812C16">
        <w:rPr>
          <w:rFonts w:cs="Arial"/>
          <w:lang w:eastAsia="de-DE"/>
        </w:rPr>
        <w:instrText xml:space="preserve"> REF _Ref89626578 \h </w:instrText>
      </w:r>
      <w:r w:rsidR="008768B2" w:rsidRPr="00812C16">
        <w:rPr>
          <w:rFonts w:cs="Arial"/>
          <w:lang w:eastAsia="de-DE"/>
        </w:rPr>
        <w:instrText xml:space="preserve"> \* MERGEFORMAT </w:instrText>
      </w:r>
      <w:r w:rsidR="001A12F8" w:rsidRPr="00812C16">
        <w:rPr>
          <w:rFonts w:cs="Arial"/>
          <w:lang w:eastAsia="de-DE"/>
        </w:rPr>
      </w:r>
      <w:r w:rsidR="001A12F8" w:rsidRPr="00812C16">
        <w:rPr>
          <w:rFonts w:cs="Arial"/>
          <w:lang w:eastAsia="de-DE"/>
        </w:rPr>
        <w:fldChar w:fldCharType="separate"/>
      </w:r>
      <w:r w:rsidR="00F67803" w:rsidRPr="00F67803">
        <w:rPr>
          <w:rFonts w:cs="Arial"/>
        </w:rPr>
        <w:t xml:space="preserve">Tabelle </w:t>
      </w:r>
      <w:r w:rsidR="00F67803" w:rsidRPr="00F67803">
        <w:rPr>
          <w:rFonts w:cs="Arial"/>
          <w:noProof/>
        </w:rPr>
        <w:t>4</w:t>
      </w:r>
      <w:r w:rsidR="00F67803" w:rsidRPr="00F67803">
        <w:rPr>
          <w:rFonts w:cs="Arial"/>
          <w:noProof/>
        </w:rPr>
        <w:noBreakHyphen/>
        <w:t>5</w:t>
      </w:r>
      <w:r w:rsidR="001A12F8" w:rsidRPr="00812C16">
        <w:rPr>
          <w:rFonts w:cs="Arial"/>
          <w:lang w:eastAsia="de-DE"/>
        </w:rPr>
        <w:fldChar w:fldCharType="end"/>
      </w:r>
      <w:r w:rsidRPr="00812C16">
        <w:rPr>
          <w:rFonts w:cs="Arial"/>
          <w:lang w:eastAsia="de-DE"/>
        </w:rPr>
        <w:t xml:space="preserve"> übersichtlich zusammengefasst. </w:t>
      </w:r>
      <w:r w:rsidR="008C6A11" w:rsidRPr="00812C16">
        <w:rPr>
          <w:rFonts w:cs="Arial"/>
          <w:lang w:eastAsia="de-DE"/>
        </w:rPr>
        <w:t xml:space="preserve"> Zwischen der Operation und dem Beginn der Strahlentherapie verging eine mediane Zeit von 6 Wochen mit einer Spannweite von 1 bis 23 Wochen. Bei 166 Patienten (75,1%) vergingen nach der Operation bis zu 49 Tage bis zum Beginn der Strahlentherapie, bei 40 Patienten (18,1%) vergingen mehr als 49 Tage. Bei 15 Patienten (6,8%) war diesbezüglich keine Daten vorhanden. Die mediane Dauer der strahlentherapeutischen Behandlungszeit betrug 44 Tage und reichte von 32 bis zu 57 Tagen. Die konventionelle Technik der CT-gestützten dreidimensionalen Bestrahlungsplanung (3D-RT) wurde bei allen Patienten angewendet. Die Behandlung wurde in der üblichen </w:t>
      </w:r>
      <w:proofErr w:type="spellStart"/>
      <w:r w:rsidR="008C6A11" w:rsidRPr="00812C16">
        <w:rPr>
          <w:rFonts w:cs="Arial"/>
          <w:lang w:eastAsia="de-DE"/>
        </w:rPr>
        <w:t>Shrinkingfield</w:t>
      </w:r>
      <w:proofErr w:type="spellEnd"/>
      <w:r w:rsidR="008C6A11" w:rsidRPr="00812C16">
        <w:rPr>
          <w:rFonts w:cs="Arial"/>
          <w:lang w:eastAsia="de-DE"/>
        </w:rPr>
        <w:t xml:space="preserve">-Technik durchgeführt, wobei zunächst die Tumorregionen, die befallenen Lymphknotenstationen und die elektiven, regionären Lymphabflussgebiete mit Einzeldosen von 1,8 – 2,1 Gy für fünf- bis sechsmal wöchentlich, bis zu einer medianen </w:t>
      </w:r>
      <w:r w:rsidR="008C6A11" w:rsidRPr="00812C16">
        <w:rPr>
          <w:rFonts w:cs="Arial"/>
          <w:lang w:eastAsia="de-DE"/>
        </w:rPr>
        <w:lastRenderedPageBreak/>
        <w:t xml:space="preserve">Gesamtdosis von 50,4 Gy (Range: 46,8 Gy – 66,0 Gy) behandelt wurden. Anschließend erfolgte eine simultane integrierte </w:t>
      </w:r>
      <w:proofErr w:type="spellStart"/>
      <w:r w:rsidR="008C6A11" w:rsidRPr="00812C16">
        <w:rPr>
          <w:rFonts w:cs="Arial"/>
          <w:lang w:eastAsia="de-DE"/>
        </w:rPr>
        <w:t>Boostbestrahlung</w:t>
      </w:r>
      <w:proofErr w:type="spellEnd"/>
      <w:r w:rsidR="008C6A11" w:rsidRPr="00812C16">
        <w:rPr>
          <w:rFonts w:cs="Arial"/>
          <w:lang w:eastAsia="de-DE"/>
        </w:rPr>
        <w:t xml:space="preserve"> der primären Tumorregion sowie der befallenen Lymphknoten Stationen entsprechend dem Risikoprofil bis zu einer medianen kumulativen Gesamtdosis von 64,0 Gy mit einer Spannweite zwischen 56,0 Gy und 68,4 Gy. </w:t>
      </w:r>
    </w:p>
    <w:p w14:paraId="48237DC9" w14:textId="0AF0E92E" w:rsidR="001A12F8" w:rsidRPr="00812C16" w:rsidRDefault="001A12F8" w:rsidP="008C6A11">
      <w:pPr>
        <w:spacing w:after="0"/>
        <w:jc w:val="left"/>
        <w:rPr>
          <w:rFonts w:cs="Arial"/>
          <w:b/>
          <w:bCs/>
          <w:lang w:eastAsia="de-DE"/>
        </w:rPr>
      </w:pPr>
      <w:bookmarkStart w:id="54" w:name="_Ref89626578"/>
      <w:bookmarkStart w:id="55" w:name="_Toc180788395"/>
      <w:r w:rsidRPr="00812C16">
        <w:rPr>
          <w:rFonts w:cs="Arial"/>
          <w:b/>
          <w:bCs/>
          <w:sz w:val="20"/>
          <w:szCs w:val="20"/>
        </w:rPr>
        <w:t xml:space="preserve">Tabelle </w:t>
      </w:r>
      <w:r w:rsidR="00A126D9" w:rsidRPr="00812C16">
        <w:rPr>
          <w:rFonts w:cs="Arial"/>
          <w:b/>
          <w:bCs/>
          <w:sz w:val="20"/>
          <w:szCs w:val="20"/>
        </w:rPr>
        <w:fldChar w:fldCharType="begin"/>
      </w:r>
      <w:r w:rsidR="00A126D9" w:rsidRPr="00812C16">
        <w:rPr>
          <w:rFonts w:cs="Arial"/>
          <w:b/>
          <w:bCs/>
          <w:sz w:val="20"/>
          <w:szCs w:val="20"/>
        </w:rPr>
        <w:instrText xml:space="preserve"> STYLEREF 1 \s </w:instrText>
      </w:r>
      <w:r w:rsidR="00A126D9" w:rsidRPr="00812C16">
        <w:rPr>
          <w:rFonts w:cs="Arial"/>
          <w:b/>
          <w:bCs/>
          <w:sz w:val="20"/>
          <w:szCs w:val="20"/>
        </w:rPr>
        <w:fldChar w:fldCharType="separate"/>
      </w:r>
      <w:r w:rsidR="00F67803">
        <w:rPr>
          <w:rFonts w:cs="Arial"/>
          <w:b/>
          <w:bCs/>
          <w:noProof/>
          <w:sz w:val="20"/>
          <w:szCs w:val="20"/>
        </w:rPr>
        <w:t>4</w:t>
      </w:r>
      <w:r w:rsidR="00A126D9" w:rsidRPr="00812C16">
        <w:rPr>
          <w:rFonts w:cs="Arial"/>
          <w:b/>
          <w:bCs/>
          <w:sz w:val="20"/>
          <w:szCs w:val="20"/>
        </w:rPr>
        <w:fldChar w:fldCharType="end"/>
      </w:r>
      <w:r w:rsidR="00A126D9" w:rsidRPr="00812C16">
        <w:rPr>
          <w:rFonts w:cs="Arial"/>
          <w:b/>
          <w:bCs/>
          <w:sz w:val="20"/>
          <w:szCs w:val="20"/>
        </w:rPr>
        <w:noBreakHyphen/>
      </w:r>
      <w:r w:rsidR="00A126D9" w:rsidRPr="00812C16">
        <w:rPr>
          <w:rFonts w:cs="Arial"/>
          <w:b/>
          <w:bCs/>
          <w:sz w:val="20"/>
          <w:szCs w:val="20"/>
        </w:rPr>
        <w:fldChar w:fldCharType="begin"/>
      </w:r>
      <w:r w:rsidR="00A126D9" w:rsidRPr="00812C16">
        <w:rPr>
          <w:rFonts w:cs="Arial"/>
          <w:b/>
          <w:bCs/>
          <w:sz w:val="20"/>
          <w:szCs w:val="20"/>
        </w:rPr>
        <w:instrText xml:space="preserve"> SEQ Tabelle \* ARABIC \s 1 </w:instrText>
      </w:r>
      <w:r w:rsidR="00A126D9" w:rsidRPr="00812C16">
        <w:rPr>
          <w:rFonts w:cs="Arial"/>
          <w:b/>
          <w:bCs/>
          <w:sz w:val="20"/>
          <w:szCs w:val="20"/>
        </w:rPr>
        <w:fldChar w:fldCharType="separate"/>
      </w:r>
      <w:r w:rsidR="00F67803">
        <w:rPr>
          <w:rFonts w:cs="Arial"/>
          <w:b/>
          <w:bCs/>
          <w:noProof/>
          <w:sz w:val="20"/>
          <w:szCs w:val="20"/>
        </w:rPr>
        <w:t>5</w:t>
      </w:r>
      <w:r w:rsidR="00A126D9" w:rsidRPr="00812C16">
        <w:rPr>
          <w:rFonts w:cs="Arial"/>
          <w:b/>
          <w:bCs/>
          <w:sz w:val="20"/>
          <w:szCs w:val="20"/>
        </w:rPr>
        <w:fldChar w:fldCharType="end"/>
      </w:r>
      <w:bookmarkEnd w:id="54"/>
      <w:r w:rsidRPr="00812C16">
        <w:rPr>
          <w:rFonts w:cs="Arial"/>
          <w:b/>
          <w:bCs/>
          <w:sz w:val="20"/>
          <w:szCs w:val="20"/>
        </w:rPr>
        <w:t>: Behandlungsparameter</w:t>
      </w:r>
      <w:bookmarkEnd w:id="55"/>
    </w:p>
    <w:tbl>
      <w:tblPr>
        <w:tblStyle w:val="EinfacheTabelle4"/>
        <w:tblW w:w="9072" w:type="dxa"/>
        <w:tblLayout w:type="fixed"/>
        <w:tblLook w:val="04A0" w:firstRow="1" w:lastRow="0" w:firstColumn="1" w:lastColumn="0" w:noHBand="0" w:noVBand="1"/>
      </w:tblPr>
      <w:tblGrid>
        <w:gridCol w:w="4253"/>
        <w:gridCol w:w="850"/>
        <w:gridCol w:w="1017"/>
        <w:gridCol w:w="577"/>
        <w:gridCol w:w="577"/>
        <w:gridCol w:w="577"/>
        <w:gridCol w:w="1221"/>
      </w:tblGrid>
      <w:tr w:rsidR="002336E1" w:rsidRPr="00812C16" w14:paraId="0791F06C" w14:textId="77777777" w:rsidTr="002336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5A5A5" w:themeColor="accent3"/>
            </w:tcBorders>
          </w:tcPr>
          <w:p w14:paraId="149D5EDD" w14:textId="77777777" w:rsidR="00733A6C" w:rsidRPr="00812C16" w:rsidRDefault="00733A6C" w:rsidP="00B86E38">
            <w:pPr>
              <w:spacing w:before="60" w:after="60" w:line="360" w:lineRule="auto"/>
              <w:rPr>
                <w:rFonts w:cs="Arial"/>
                <w:sz w:val="18"/>
                <w:szCs w:val="18"/>
              </w:rPr>
            </w:pPr>
            <w:r w:rsidRPr="00812C16">
              <w:rPr>
                <w:rFonts w:cs="Arial"/>
                <w:sz w:val="18"/>
                <w:szCs w:val="18"/>
              </w:rPr>
              <w:t>Behandlungsparameter</w:t>
            </w:r>
          </w:p>
        </w:tc>
        <w:tc>
          <w:tcPr>
            <w:tcW w:w="850" w:type="dxa"/>
            <w:tcBorders>
              <w:top w:val="single" w:sz="4" w:space="0" w:color="A5A5A5" w:themeColor="accent3"/>
            </w:tcBorders>
          </w:tcPr>
          <w:p w14:paraId="744D0BC4" w14:textId="77777777" w:rsidR="00733A6C" w:rsidRPr="00812C16" w:rsidRDefault="00733A6C" w:rsidP="00B86E38">
            <w:pPr>
              <w:spacing w:before="60" w:after="60" w:line="36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Median</w:t>
            </w:r>
          </w:p>
        </w:tc>
        <w:tc>
          <w:tcPr>
            <w:tcW w:w="2748" w:type="dxa"/>
            <w:gridSpan w:val="4"/>
            <w:tcBorders>
              <w:top w:val="single" w:sz="4" w:space="0" w:color="A5A5A5" w:themeColor="accent3"/>
              <w:bottom w:val="single" w:sz="4" w:space="0" w:color="A5A5A5" w:themeColor="accent3"/>
            </w:tcBorders>
          </w:tcPr>
          <w:p w14:paraId="4AC942FB" w14:textId="77777777" w:rsidR="00733A6C" w:rsidRPr="00812C16" w:rsidRDefault="00733A6C" w:rsidP="00B86E38">
            <w:pPr>
              <w:spacing w:before="60" w:after="60" w:line="36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Perzentile</w:t>
            </w:r>
          </w:p>
        </w:tc>
        <w:tc>
          <w:tcPr>
            <w:tcW w:w="1221" w:type="dxa"/>
            <w:tcBorders>
              <w:top w:val="single" w:sz="4" w:space="0" w:color="A5A5A5" w:themeColor="accent3"/>
            </w:tcBorders>
          </w:tcPr>
          <w:p w14:paraId="261B7CDD" w14:textId="77777777" w:rsidR="00733A6C" w:rsidRPr="00812C16" w:rsidRDefault="00733A6C" w:rsidP="00B86E38">
            <w:pPr>
              <w:spacing w:before="60" w:after="60" w:line="36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Rang</w:t>
            </w:r>
          </w:p>
        </w:tc>
      </w:tr>
      <w:tr w:rsidR="002336E1" w:rsidRPr="00812C16" w14:paraId="32AB1F17" w14:textId="77777777" w:rsidTr="00233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bottom w:val="single" w:sz="4" w:space="0" w:color="A5A5A5" w:themeColor="accent3"/>
            </w:tcBorders>
          </w:tcPr>
          <w:p w14:paraId="04C11350" w14:textId="77777777" w:rsidR="00733A6C" w:rsidRPr="00812C16" w:rsidRDefault="00733A6C" w:rsidP="00B86E38">
            <w:pPr>
              <w:spacing w:before="60" w:after="60" w:line="360" w:lineRule="auto"/>
              <w:rPr>
                <w:rFonts w:cs="Arial"/>
                <w:b w:val="0"/>
                <w:bCs w:val="0"/>
                <w:sz w:val="18"/>
                <w:szCs w:val="18"/>
              </w:rPr>
            </w:pPr>
          </w:p>
        </w:tc>
        <w:tc>
          <w:tcPr>
            <w:tcW w:w="850" w:type="dxa"/>
            <w:tcBorders>
              <w:bottom w:val="single" w:sz="4" w:space="0" w:color="A5A5A5" w:themeColor="accent3"/>
            </w:tcBorders>
          </w:tcPr>
          <w:p w14:paraId="7E0EA0C0" w14:textId="77777777" w:rsidR="00733A6C" w:rsidRPr="00812C16" w:rsidRDefault="00733A6C" w:rsidP="00B86E38">
            <w:pPr>
              <w:spacing w:before="60" w:after="60"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017" w:type="dxa"/>
            <w:tcBorders>
              <w:top w:val="single" w:sz="4" w:space="0" w:color="A5A5A5" w:themeColor="accent3"/>
              <w:bottom w:val="single" w:sz="4" w:space="0" w:color="A5A5A5" w:themeColor="accent3"/>
            </w:tcBorders>
          </w:tcPr>
          <w:p w14:paraId="1239EAE7"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10%</w:t>
            </w:r>
          </w:p>
        </w:tc>
        <w:tc>
          <w:tcPr>
            <w:tcW w:w="577" w:type="dxa"/>
            <w:tcBorders>
              <w:top w:val="single" w:sz="4" w:space="0" w:color="A5A5A5" w:themeColor="accent3"/>
              <w:bottom w:val="single" w:sz="4" w:space="0" w:color="A5A5A5" w:themeColor="accent3"/>
            </w:tcBorders>
          </w:tcPr>
          <w:p w14:paraId="52F54ADA"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25%</w:t>
            </w:r>
          </w:p>
        </w:tc>
        <w:tc>
          <w:tcPr>
            <w:tcW w:w="577" w:type="dxa"/>
            <w:tcBorders>
              <w:top w:val="single" w:sz="4" w:space="0" w:color="A5A5A5" w:themeColor="accent3"/>
              <w:bottom w:val="single" w:sz="4" w:space="0" w:color="A5A5A5" w:themeColor="accent3"/>
            </w:tcBorders>
          </w:tcPr>
          <w:p w14:paraId="27456A1C"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75%</w:t>
            </w:r>
          </w:p>
        </w:tc>
        <w:tc>
          <w:tcPr>
            <w:tcW w:w="577" w:type="dxa"/>
            <w:tcBorders>
              <w:top w:val="single" w:sz="4" w:space="0" w:color="A5A5A5" w:themeColor="accent3"/>
              <w:bottom w:val="single" w:sz="4" w:space="0" w:color="A5A5A5" w:themeColor="accent3"/>
            </w:tcBorders>
          </w:tcPr>
          <w:p w14:paraId="2D0470A4"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90%</w:t>
            </w:r>
          </w:p>
        </w:tc>
        <w:tc>
          <w:tcPr>
            <w:tcW w:w="1221" w:type="dxa"/>
            <w:tcBorders>
              <w:bottom w:val="single" w:sz="4" w:space="0" w:color="A5A5A5" w:themeColor="accent3"/>
            </w:tcBorders>
          </w:tcPr>
          <w:p w14:paraId="1E620D76"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2336E1" w:rsidRPr="00812C16" w14:paraId="1678F888" w14:textId="77777777" w:rsidTr="002336E1">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5A5A5" w:themeColor="accent3"/>
            </w:tcBorders>
          </w:tcPr>
          <w:p w14:paraId="69D48A2C" w14:textId="77777777" w:rsidR="00733A6C" w:rsidRPr="00812C16" w:rsidRDefault="00733A6C" w:rsidP="00B86E38">
            <w:pPr>
              <w:spacing w:before="60" w:after="60" w:line="360" w:lineRule="auto"/>
              <w:rPr>
                <w:rFonts w:cs="Arial"/>
                <w:b w:val="0"/>
                <w:bCs w:val="0"/>
                <w:sz w:val="18"/>
                <w:szCs w:val="18"/>
              </w:rPr>
            </w:pPr>
            <w:r w:rsidRPr="00812C16">
              <w:rPr>
                <w:rFonts w:cs="Arial"/>
                <w:b w:val="0"/>
                <w:bCs w:val="0"/>
                <w:sz w:val="18"/>
                <w:szCs w:val="18"/>
              </w:rPr>
              <w:t>Cisplatin-Dosis (mg/m2 KOF)</w:t>
            </w:r>
          </w:p>
        </w:tc>
        <w:tc>
          <w:tcPr>
            <w:tcW w:w="850" w:type="dxa"/>
            <w:tcBorders>
              <w:top w:val="single" w:sz="4" w:space="0" w:color="A5A5A5" w:themeColor="accent3"/>
            </w:tcBorders>
          </w:tcPr>
          <w:p w14:paraId="19C5AB81"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200</w:t>
            </w:r>
          </w:p>
        </w:tc>
        <w:tc>
          <w:tcPr>
            <w:tcW w:w="1017" w:type="dxa"/>
            <w:tcBorders>
              <w:top w:val="single" w:sz="4" w:space="0" w:color="A5A5A5" w:themeColor="accent3"/>
            </w:tcBorders>
          </w:tcPr>
          <w:p w14:paraId="4F512E75"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100</w:t>
            </w:r>
          </w:p>
        </w:tc>
        <w:tc>
          <w:tcPr>
            <w:tcW w:w="577" w:type="dxa"/>
            <w:tcBorders>
              <w:top w:val="single" w:sz="4" w:space="0" w:color="A5A5A5" w:themeColor="accent3"/>
            </w:tcBorders>
          </w:tcPr>
          <w:p w14:paraId="787019FD"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200</w:t>
            </w:r>
          </w:p>
        </w:tc>
        <w:tc>
          <w:tcPr>
            <w:tcW w:w="577" w:type="dxa"/>
            <w:tcBorders>
              <w:top w:val="single" w:sz="4" w:space="0" w:color="A5A5A5" w:themeColor="accent3"/>
            </w:tcBorders>
          </w:tcPr>
          <w:p w14:paraId="7FA1F6CB"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200</w:t>
            </w:r>
          </w:p>
        </w:tc>
        <w:tc>
          <w:tcPr>
            <w:tcW w:w="577" w:type="dxa"/>
            <w:tcBorders>
              <w:top w:val="single" w:sz="4" w:space="0" w:color="A5A5A5" w:themeColor="accent3"/>
            </w:tcBorders>
          </w:tcPr>
          <w:p w14:paraId="0385BB91"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240</w:t>
            </w:r>
          </w:p>
        </w:tc>
        <w:tc>
          <w:tcPr>
            <w:tcW w:w="1221" w:type="dxa"/>
            <w:tcBorders>
              <w:top w:val="single" w:sz="4" w:space="0" w:color="A5A5A5" w:themeColor="accent3"/>
            </w:tcBorders>
          </w:tcPr>
          <w:p w14:paraId="3C7959DB"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100-300</w:t>
            </w:r>
          </w:p>
        </w:tc>
      </w:tr>
      <w:tr w:rsidR="002336E1" w:rsidRPr="00812C16" w14:paraId="27D5DF4E" w14:textId="77777777" w:rsidTr="00233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9E3484E" w14:textId="77777777" w:rsidR="00733A6C" w:rsidRPr="00812C16" w:rsidRDefault="00733A6C" w:rsidP="00B86E38">
            <w:pPr>
              <w:spacing w:before="60" w:after="60" w:line="360" w:lineRule="auto"/>
              <w:rPr>
                <w:rFonts w:cs="Arial"/>
                <w:sz w:val="18"/>
                <w:szCs w:val="18"/>
              </w:rPr>
            </w:pPr>
            <w:r w:rsidRPr="00812C16">
              <w:rPr>
                <w:rFonts w:cs="Arial"/>
                <w:b w:val="0"/>
                <w:bCs w:val="0"/>
                <w:sz w:val="18"/>
                <w:szCs w:val="18"/>
              </w:rPr>
              <w:t>RT-Dosis (Gy)</w:t>
            </w:r>
          </w:p>
        </w:tc>
        <w:tc>
          <w:tcPr>
            <w:tcW w:w="850" w:type="dxa"/>
          </w:tcPr>
          <w:p w14:paraId="5F59BC70"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017" w:type="dxa"/>
          </w:tcPr>
          <w:p w14:paraId="109F084E"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577" w:type="dxa"/>
          </w:tcPr>
          <w:p w14:paraId="400E563A"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577" w:type="dxa"/>
          </w:tcPr>
          <w:p w14:paraId="010ECA43"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577" w:type="dxa"/>
          </w:tcPr>
          <w:p w14:paraId="2F7221FD"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21" w:type="dxa"/>
          </w:tcPr>
          <w:p w14:paraId="488EC2D9"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2336E1" w:rsidRPr="00812C16" w14:paraId="00D00C85" w14:textId="77777777" w:rsidTr="002336E1">
        <w:tc>
          <w:tcPr>
            <w:cnfStyle w:val="001000000000" w:firstRow="0" w:lastRow="0" w:firstColumn="1" w:lastColumn="0" w:oddVBand="0" w:evenVBand="0" w:oddHBand="0" w:evenHBand="0" w:firstRowFirstColumn="0" w:firstRowLastColumn="0" w:lastRowFirstColumn="0" w:lastRowLastColumn="0"/>
            <w:tcW w:w="4253" w:type="dxa"/>
          </w:tcPr>
          <w:p w14:paraId="52E474AC" w14:textId="77777777" w:rsidR="00733A6C" w:rsidRPr="00812C16" w:rsidRDefault="00733A6C" w:rsidP="00B86E38">
            <w:pPr>
              <w:spacing w:before="60" w:after="60" w:line="360" w:lineRule="auto"/>
              <w:ind w:left="467"/>
              <w:jc w:val="left"/>
              <w:rPr>
                <w:rFonts w:cs="Arial"/>
                <w:b w:val="0"/>
                <w:bCs w:val="0"/>
                <w:sz w:val="18"/>
                <w:szCs w:val="18"/>
              </w:rPr>
            </w:pPr>
            <w:r w:rsidRPr="00812C16">
              <w:rPr>
                <w:rFonts w:cs="Arial"/>
                <w:b w:val="0"/>
                <w:bCs w:val="0"/>
                <w:sz w:val="18"/>
                <w:szCs w:val="18"/>
              </w:rPr>
              <w:t>Boost-Volumen</w:t>
            </w:r>
          </w:p>
        </w:tc>
        <w:tc>
          <w:tcPr>
            <w:tcW w:w="850" w:type="dxa"/>
          </w:tcPr>
          <w:p w14:paraId="215CD350"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64.0</w:t>
            </w:r>
          </w:p>
        </w:tc>
        <w:tc>
          <w:tcPr>
            <w:tcW w:w="1017" w:type="dxa"/>
          </w:tcPr>
          <w:p w14:paraId="01235BF7"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60.0</w:t>
            </w:r>
          </w:p>
        </w:tc>
        <w:tc>
          <w:tcPr>
            <w:tcW w:w="577" w:type="dxa"/>
          </w:tcPr>
          <w:p w14:paraId="448BB32D"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63.9</w:t>
            </w:r>
          </w:p>
        </w:tc>
        <w:tc>
          <w:tcPr>
            <w:tcW w:w="577" w:type="dxa"/>
          </w:tcPr>
          <w:p w14:paraId="3E6591C7"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66.0</w:t>
            </w:r>
          </w:p>
        </w:tc>
        <w:tc>
          <w:tcPr>
            <w:tcW w:w="577" w:type="dxa"/>
          </w:tcPr>
          <w:p w14:paraId="599648B9"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66.0</w:t>
            </w:r>
          </w:p>
        </w:tc>
        <w:tc>
          <w:tcPr>
            <w:tcW w:w="1221" w:type="dxa"/>
          </w:tcPr>
          <w:p w14:paraId="7570BB58"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56.0 - 68.4</w:t>
            </w:r>
          </w:p>
        </w:tc>
      </w:tr>
      <w:tr w:rsidR="002336E1" w:rsidRPr="00812C16" w14:paraId="6BAB00B4" w14:textId="77777777" w:rsidTr="00233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87CED02" w14:textId="77777777" w:rsidR="00733A6C" w:rsidRPr="00812C16" w:rsidRDefault="00733A6C" w:rsidP="00B86E38">
            <w:pPr>
              <w:spacing w:before="60" w:after="60" w:line="360" w:lineRule="auto"/>
              <w:ind w:left="751"/>
              <w:jc w:val="left"/>
              <w:rPr>
                <w:rFonts w:cs="Arial"/>
                <w:b w:val="0"/>
                <w:bCs w:val="0"/>
                <w:sz w:val="18"/>
                <w:szCs w:val="18"/>
              </w:rPr>
            </w:pPr>
            <w:r w:rsidRPr="00812C16">
              <w:rPr>
                <w:rFonts w:cs="Arial"/>
                <w:b w:val="0"/>
                <w:bCs w:val="0"/>
                <w:sz w:val="18"/>
                <w:szCs w:val="18"/>
              </w:rPr>
              <w:t>Pro Fraktion</w:t>
            </w:r>
          </w:p>
        </w:tc>
        <w:tc>
          <w:tcPr>
            <w:tcW w:w="850" w:type="dxa"/>
          </w:tcPr>
          <w:p w14:paraId="7B9D4363"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2.0</w:t>
            </w:r>
          </w:p>
        </w:tc>
        <w:tc>
          <w:tcPr>
            <w:tcW w:w="1017" w:type="dxa"/>
          </w:tcPr>
          <w:p w14:paraId="5B2F1437"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1.8</w:t>
            </w:r>
          </w:p>
        </w:tc>
        <w:tc>
          <w:tcPr>
            <w:tcW w:w="577" w:type="dxa"/>
          </w:tcPr>
          <w:p w14:paraId="38276782"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1.8</w:t>
            </w:r>
          </w:p>
        </w:tc>
        <w:tc>
          <w:tcPr>
            <w:tcW w:w="577" w:type="dxa"/>
          </w:tcPr>
          <w:p w14:paraId="5ABAC4C9"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2.0</w:t>
            </w:r>
          </w:p>
        </w:tc>
        <w:tc>
          <w:tcPr>
            <w:tcW w:w="577" w:type="dxa"/>
          </w:tcPr>
          <w:p w14:paraId="4A1C35B3"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2.0</w:t>
            </w:r>
          </w:p>
        </w:tc>
        <w:tc>
          <w:tcPr>
            <w:tcW w:w="1221" w:type="dxa"/>
          </w:tcPr>
          <w:p w14:paraId="3744F656"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 xml:space="preserve">1.8 - 2.1 </w:t>
            </w:r>
          </w:p>
        </w:tc>
      </w:tr>
      <w:tr w:rsidR="002336E1" w:rsidRPr="00812C16" w14:paraId="6F3B0C1A" w14:textId="77777777" w:rsidTr="002336E1">
        <w:tc>
          <w:tcPr>
            <w:cnfStyle w:val="001000000000" w:firstRow="0" w:lastRow="0" w:firstColumn="1" w:lastColumn="0" w:oddVBand="0" w:evenVBand="0" w:oddHBand="0" w:evenHBand="0" w:firstRowFirstColumn="0" w:firstRowLastColumn="0" w:lastRowFirstColumn="0" w:lastRowLastColumn="0"/>
            <w:tcW w:w="4253" w:type="dxa"/>
          </w:tcPr>
          <w:p w14:paraId="1A46F3D3" w14:textId="77777777" w:rsidR="00733A6C" w:rsidRPr="00812C16" w:rsidRDefault="00733A6C" w:rsidP="00B86E38">
            <w:pPr>
              <w:spacing w:before="60" w:after="60" w:line="360" w:lineRule="auto"/>
              <w:ind w:left="467"/>
              <w:jc w:val="left"/>
              <w:rPr>
                <w:rFonts w:cs="Arial"/>
                <w:b w:val="0"/>
                <w:bCs w:val="0"/>
                <w:sz w:val="18"/>
                <w:szCs w:val="18"/>
              </w:rPr>
            </w:pPr>
            <w:r w:rsidRPr="00812C16">
              <w:rPr>
                <w:rFonts w:cs="Arial"/>
                <w:b w:val="0"/>
                <w:bCs w:val="0"/>
                <w:sz w:val="18"/>
                <w:szCs w:val="18"/>
              </w:rPr>
              <w:t>Adjuvantes Volumen</w:t>
            </w:r>
          </w:p>
        </w:tc>
        <w:tc>
          <w:tcPr>
            <w:tcW w:w="850" w:type="dxa"/>
          </w:tcPr>
          <w:p w14:paraId="2F04B800"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50.4</w:t>
            </w:r>
          </w:p>
        </w:tc>
        <w:tc>
          <w:tcPr>
            <w:tcW w:w="1017" w:type="dxa"/>
          </w:tcPr>
          <w:p w14:paraId="6313A360"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50.0</w:t>
            </w:r>
          </w:p>
        </w:tc>
        <w:tc>
          <w:tcPr>
            <w:tcW w:w="577" w:type="dxa"/>
          </w:tcPr>
          <w:p w14:paraId="036F8FBE"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50.0</w:t>
            </w:r>
          </w:p>
        </w:tc>
        <w:tc>
          <w:tcPr>
            <w:tcW w:w="577" w:type="dxa"/>
          </w:tcPr>
          <w:p w14:paraId="69EA14C8"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55.9</w:t>
            </w:r>
          </w:p>
        </w:tc>
        <w:tc>
          <w:tcPr>
            <w:tcW w:w="577" w:type="dxa"/>
          </w:tcPr>
          <w:p w14:paraId="542C35AA"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60.0</w:t>
            </w:r>
          </w:p>
        </w:tc>
        <w:tc>
          <w:tcPr>
            <w:tcW w:w="1221" w:type="dxa"/>
          </w:tcPr>
          <w:p w14:paraId="3F13A202"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46.8 – 66.0</w:t>
            </w:r>
          </w:p>
        </w:tc>
      </w:tr>
      <w:tr w:rsidR="002336E1" w:rsidRPr="00812C16" w14:paraId="13EE945B" w14:textId="77777777" w:rsidTr="00233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74C386E" w14:textId="77777777" w:rsidR="00733A6C" w:rsidRPr="00812C16" w:rsidRDefault="00733A6C" w:rsidP="00B86E38">
            <w:pPr>
              <w:spacing w:before="60" w:after="60" w:line="360" w:lineRule="auto"/>
              <w:ind w:left="751"/>
              <w:jc w:val="left"/>
              <w:rPr>
                <w:rFonts w:cs="Arial"/>
                <w:b w:val="0"/>
                <w:bCs w:val="0"/>
                <w:sz w:val="18"/>
                <w:szCs w:val="18"/>
              </w:rPr>
            </w:pPr>
            <w:r w:rsidRPr="00812C16">
              <w:rPr>
                <w:rFonts w:cs="Arial"/>
                <w:b w:val="0"/>
                <w:bCs w:val="0"/>
                <w:sz w:val="18"/>
                <w:szCs w:val="18"/>
              </w:rPr>
              <w:t>Pro Fraktion</w:t>
            </w:r>
          </w:p>
        </w:tc>
        <w:tc>
          <w:tcPr>
            <w:tcW w:w="850" w:type="dxa"/>
          </w:tcPr>
          <w:p w14:paraId="521DBEE2"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2.0</w:t>
            </w:r>
          </w:p>
        </w:tc>
        <w:tc>
          <w:tcPr>
            <w:tcW w:w="1017" w:type="dxa"/>
          </w:tcPr>
          <w:p w14:paraId="5A30C5A8"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1.8</w:t>
            </w:r>
          </w:p>
        </w:tc>
        <w:tc>
          <w:tcPr>
            <w:tcW w:w="577" w:type="dxa"/>
          </w:tcPr>
          <w:p w14:paraId="1C1BAAE8"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2.0</w:t>
            </w:r>
          </w:p>
        </w:tc>
        <w:tc>
          <w:tcPr>
            <w:tcW w:w="577" w:type="dxa"/>
          </w:tcPr>
          <w:p w14:paraId="6C7836D5"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2.0</w:t>
            </w:r>
          </w:p>
        </w:tc>
        <w:tc>
          <w:tcPr>
            <w:tcW w:w="577" w:type="dxa"/>
          </w:tcPr>
          <w:p w14:paraId="5ADC7E31"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2.1</w:t>
            </w:r>
          </w:p>
        </w:tc>
        <w:tc>
          <w:tcPr>
            <w:tcW w:w="1221" w:type="dxa"/>
          </w:tcPr>
          <w:p w14:paraId="57E1FE88"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1.8 – 2.2</w:t>
            </w:r>
          </w:p>
        </w:tc>
      </w:tr>
      <w:tr w:rsidR="002336E1" w:rsidRPr="00812C16" w14:paraId="08871B7F" w14:textId="77777777" w:rsidTr="002336E1">
        <w:tc>
          <w:tcPr>
            <w:cnfStyle w:val="001000000000" w:firstRow="0" w:lastRow="0" w:firstColumn="1" w:lastColumn="0" w:oddVBand="0" w:evenVBand="0" w:oddHBand="0" w:evenHBand="0" w:firstRowFirstColumn="0" w:firstRowLastColumn="0" w:lastRowFirstColumn="0" w:lastRowLastColumn="0"/>
            <w:tcW w:w="4253" w:type="dxa"/>
          </w:tcPr>
          <w:p w14:paraId="42BE1E95" w14:textId="77777777" w:rsidR="00733A6C" w:rsidRPr="00812C16" w:rsidRDefault="002336E1" w:rsidP="00B86E38">
            <w:pPr>
              <w:spacing w:before="60" w:after="60" w:line="360" w:lineRule="auto"/>
              <w:ind w:left="42"/>
              <w:jc w:val="left"/>
              <w:rPr>
                <w:rFonts w:cs="Arial"/>
                <w:b w:val="0"/>
                <w:bCs w:val="0"/>
                <w:sz w:val="18"/>
                <w:szCs w:val="18"/>
              </w:rPr>
            </w:pPr>
            <w:r w:rsidRPr="00812C16">
              <w:rPr>
                <w:rFonts w:cs="Arial"/>
                <w:b w:val="0"/>
                <w:bCs w:val="0"/>
                <w:sz w:val="18"/>
                <w:szCs w:val="18"/>
              </w:rPr>
              <w:t>Zeit zwischen OP und Bestrahlung</w:t>
            </w:r>
            <w:r w:rsidR="00733A6C" w:rsidRPr="00812C16">
              <w:rPr>
                <w:rFonts w:cs="Arial"/>
                <w:b w:val="0"/>
                <w:bCs w:val="0"/>
                <w:sz w:val="18"/>
                <w:szCs w:val="18"/>
              </w:rPr>
              <w:t xml:space="preserve"> (</w:t>
            </w:r>
            <w:r w:rsidRPr="00812C16">
              <w:rPr>
                <w:rFonts w:cs="Arial"/>
                <w:b w:val="0"/>
                <w:bCs w:val="0"/>
                <w:sz w:val="18"/>
                <w:szCs w:val="18"/>
              </w:rPr>
              <w:t>Wochen</w:t>
            </w:r>
            <w:r w:rsidR="00733A6C" w:rsidRPr="00812C16">
              <w:rPr>
                <w:rFonts w:cs="Arial"/>
                <w:b w:val="0"/>
                <w:bCs w:val="0"/>
                <w:sz w:val="18"/>
                <w:szCs w:val="18"/>
              </w:rPr>
              <w:t>)</w:t>
            </w:r>
          </w:p>
        </w:tc>
        <w:tc>
          <w:tcPr>
            <w:tcW w:w="850" w:type="dxa"/>
          </w:tcPr>
          <w:p w14:paraId="12A80476"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6.0</w:t>
            </w:r>
          </w:p>
        </w:tc>
        <w:tc>
          <w:tcPr>
            <w:tcW w:w="1017" w:type="dxa"/>
          </w:tcPr>
          <w:p w14:paraId="52BFDD89"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4.0</w:t>
            </w:r>
          </w:p>
        </w:tc>
        <w:tc>
          <w:tcPr>
            <w:tcW w:w="577" w:type="dxa"/>
          </w:tcPr>
          <w:p w14:paraId="25A2B33A"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5.0</w:t>
            </w:r>
          </w:p>
        </w:tc>
        <w:tc>
          <w:tcPr>
            <w:tcW w:w="577" w:type="dxa"/>
          </w:tcPr>
          <w:p w14:paraId="6DC28578"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8.0</w:t>
            </w:r>
          </w:p>
        </w:tc>
        <w:tc>
          <w:tcPr>
            <w:tcW w:w="577" w:type="dxa"/>
          </w:tcPr>
          <w:p w14:paraId="5A873EC8"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10.0</w:t>
            </w:r>
          </w:p>
        </w:tc>
        <w:tc>
          <w:tcPr>
            <w:tcW w:w="1221" w:type="dxa"/>
          </w:tcPr>
          <w:p w14:paraId="118077F8"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1.0 – 23.0</w:t>
            </w:r>
          </w:p>
        </w:tc>
      </w:tr>
      <w:tr w:rsidR="002336E1" w:rsidRPr="00812C16" w14:paraId="24EBD441" w14:textId="77777777" w:rsidTr="00233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23685AB" w14:textId="77777777" w:rsidR="00733A6C" w:rsidRPr="00812C16" w:rsidRDefault="00771F15" w:rsidP="00B86E38">
            <w:pPr>
              <w:spacing w:before="60" w:after="60" w:line="360" w:lineRule="auto"/>
              <w:ind w:left="42"/>
              <w:jc w:val="left"/>
              <w:rPr>
                <w:rFonts w:cs="Arial"/>
                <w:b w:val="0"/>
                <w:bCs w:val="0"/>
                <w:sz w:val="18"/>
                <w:szCs w:val="18"/>
              </w:rPr>
            </w:pPr>
            <w:r w:rsidRPr="00812C16">
              <w:rPr>
                <w:rFonts w:cs="Arial"/>
                <w:b w:val="0"/>
                <w:bCs w:val="0"/>
                <w:sz w:val="18"/>
                <w:szCs w:val="18"/>
              </w:rPr>
              <w:t>Gesamtbehandlungszeit der</w:t>
            </w:r>
            <w:r w:rsidR="00733A6C" w:rsidRPr="00812C16">
              <w:rPr>
                <w:rFonts w:cs="Arial"/>
                <w:b w:val="0"/>
                <w:bCs w:val="0"/>
                <w:sz w:val="18"/>
                <w:szCs w:val="18"/>
              </w:rPr>
              <w:t xml:space="preserve"> PORT-C (</w:t>
            </w:r>
            <w:r w:rsidRPr="00812C16">
              <w:rPr>
                <w:rFonts w:cs="Arial"/>
                <w:b w:val="0"/>
                <w:bCs w:val="0"/>
                <w:sz w:val="18"/>
                <w:szCs w:val="18"/>
              </w:rPr>
              <w:t>Tage</w:t>
            </w:r>
            <w:r w:rsidR="00733A6C" w:rsidRPr="00812C16">
              <w:rPr>
                <w:rFonts w:cs="Arial"/>
                <w:b w:val="0"/>
                <w:bCs w:val="0"/>
                <w:sz w:val="18"/>
                <w:szCs w:val="18"/>
              </w:rPr>
              <w:t>)</w:t>
            </w:r>
          </w:p>
        </w:tc>
        <w:tc>
          <w:tcPr>
            <w:tcW w:w="850" w:type="dxa"/>
          </w:tcPr>
          <w:p w14:paraId="40B2C33E"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44.0</w:t>
            </w:r>
          </w:p>
        </w:tc>
        <w:tc>
          <w:tcPr>
            <w:tcW w:w="1017" w:type="dxa"/>
          </w:tcPr>
          <w:p w14:paraId="24F8FE5D"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41.0</w:t>
            </w:r>
          </w:p>
        </w:tc>
        <w:tc>
          <w:tcPr>
            <w:tcW w:w="577" w:type="dxa"/>
          </w:tcPr>
          <w:p w14:paraId="7F42EB48"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43.0</w:t>
            </w:r>
          </w:p>
        </w:tc>
        <w:tc>
          <w:tcPr>
            <w:tcW w:w="577" w:type="dxa"/>
          </w:tcPr>
          <w:p w14:paraId="45491D85"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47.0</w:t>
            </w:r>
          </w:p>
        </w:tc>
        <w:tc>
          <w:tcPr>
            <w:tcW w:w="577" w:type="dxa"/>
          </w:tcPr>
          <w:p w14:paraId="20FE549B"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50.8</w:t>
            </w:r>
          </w:p>
        </w:tc>
        <w:tc>
          <w:tcPr>
            <w:tcW w:w="1221" w:type="dxa"/>
          </w:tcPr>
          <w:p w14:paraId="58007741" w14:textId="77777777" w:rsidR="00733A6C" w:rsidRPr="00812C16" w:rsidRDefault="00733A6C" w:rsidP="00B86E38">
            <w:pPr>
              <w:spacing w:before="60" w:after="60" w:line="36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12C16">
              <w:rPr>
                <w:rFonts w:cs="Arial"/>
                <w:sz w:val="18"/>
                <w:szCs w:val="18"/>
              </w:rPr>
              <w:t>32.0 – 57.0</w:t>
            </w:r>
          </w:p>
        </w:tc>
      </w:tr>
      <w:tr w:rsidR="002336E1" w:rsidRPr="00812C16" w14:paraId="2241F1BC" w14:textId="77777777" w:rsidTr="002336E1">
        <w:trPr>
          <w:trHeight w:val="357"/>
        </w:trPr>
        <w:tc>
          <w:tcPr>
            <w:cnfStyle w:val="001000000000" w:firstRow="0" w:lastRow="0" w:firstColumn="1" w:lastColumn="0" w:oddVBand="0" w:evenVBand="0" w:oddHBand="0" w:evenHBand="0" w:firstRowFirstColumn="0" w:firstRowLastColumn="0" w:lastRowFirstColumn="0" w:lastRowLastColumn="0"/>
            <w:tcW w:w="4253" w:type="dxa"/>
            <w:tcBorders>
              <w:bottom w:val="single" w:sz="4" w:space="0" w:color="A5A5A5" w:themeColor="accent3"/>
            </w:tcBorders>
          </w:tcPr>
          <w:p w14:paraId="063A7AB6" w14:textId="77777777" w:rsidR="00733A6C" w:rsidRPr="00812C16" w:rsidRDefault="00733A6C" w:rsidP="00B86E38">
            <w:pPr>
              <w:spacing w:before="60" w:after="60" w:line="360" w:lineRule="auto"/>
              <w:ind w:left="42"/>
              <w:jc w:val="left"/>
              <w:rPr>
                <w:rFonts w:cs="Arial"/>
                <w:b w:val="0"/>
                <w:bCs w:val="0"/>
                <w:sz w:val="18"/>
                <w:szCs w:val="18"/>
                <w:lang w:val="en-US"/>
              </w:rPr>
            </w:pPr>
            <w:r w:rsidRPr="00812C16">
              <w:rPr>
                <w:rFonts w:cs="Arial"/>
                <w:b w:val="0"/>
                <w:bCs w:val="0"/>
                <w:sz w:val="18"/>
                <w:szCs w:val="18"/>
                <w:lang w:val="en-US"/>
              </w:rPr>
              <w:t xml:space="preserve">Follow-up </w:t>
            </w:r>
            <w:r w:rsidR="007A796F" w:rsidRPr="00812C16">
              <w:rPr>
                <w:rFonts w:cs="Arial"/>
                <w:b w:val="0"/>
                <w:bCs w:val="0"/>
                <w:sz w:val="18"/>
                <w:szCs w:val="18"/>
                <w:lang w:val="en-US"/>
              </w:rPr>
              <w:t>/</w:t>
            </w:r>
            <w:r w:rsidR="002336E1" w:rsidRPr="00812C16">
              <w:rPr>
                <w:rFonts w:cs="Arial"/>
                <w:b w:val="0"/>
                <w:bCs w:val="0"/>
                <w:sz w:val="18"/>
                <w:szCs w:val="18"/>
                <w:lang w:val="en-US"/>
              </w:rPr>
              <w:t xml:space="preserve"> </w:t>
            </w:r>
            <w:proofErr w:type="spellStart"/>
            <w:r w:rsidR="007A796F" w:rsidRPr="00812C16">
              <w:rPr>
                <w:rFonts w:cs="Arial"/>
                <w:b w:val="0"/>
                <w:bCs w:val="0"/>
                <w:sz w:val="18"/>
                <w:szCs w:val="18"/>
                <w:lang w:val="en-US"/>
              </w:rPr>
              <w:t>Nachbeobachtung</w:t>
            </w:r>
            <w:proofErr w:type="spellEnd"/>
            <w:r w:rsidRPr="00812C16">
              <w:rPr>
                <w:rFonts w:cs="Arial"/>
                <w:b w:val="0"/>
                <w:bCs w:val="0"/>
                <w:sz w:val="18"/>
                <w:szCs w:val="18"/>
                <w:lang w:val="en-US"/>
              </w:rPr>
              <w:t xml:space="preserve"> </w:t>
            </w:r>
            <w:r w:rsidR="00771F15" w:rsidRPr="00812C16">
              <w:rPr>
                <w:rFonts w:cs="Arial"/>
                <w:b w:val="0"/>
                <w:bCs w:val="0"/>
                <w:sz w:val="18"/>
                <w:szCs w:val="18"/>
                <w:lang w:val="en-US"/>
              </w:rPr>
              <w:t>(</w:t>
            </w:r>
            <w:proofErr w:type="spellStart"/>
            <w:r w:rsidR="00771F15" w:rsidRPr="00812C16">
              <w:rPr>
                <w:rFonts w:cs="Arial"/>
                <w:b w:val="0"/>
                <w:bCs w:val="0"/>
                <w:sz w:val="18"/>
                <w:szCs w:val="18"/>
                <w:lang w:val="en-US"/>
              </w:rPr>
              <w:t>Monate</w:t>
            </w:r>
            <w:proofErr w:type="spellEnd"/>
            <w:r w:rsidRPr="00812C16">
              <w:rPr>
                <w:rFonts w:cs="Arial"/>
                <w:b w:val="0"/>
                <w:bCs w:val="0"/>
                <w:sz w:val="18"/>
                <w:szCs w:val="18"/>
                <w:lang w:val="en-US"/>
              </w:rPr>
              <w:t>)</w:t>
            </w:r>
          </w:p>
        </w:tc>
        <w:tc>
          <w:tcPr>
            <w:tcW w:w="850" w:type="dxa"/>
            <w:tcBorders>
              <w:bottom w:val="single" w:sz="4" w:space="0" w:color="A5A5A5" w:themeColor="accent3"/>
            </w:tcBorders>
          </w:tcPr>
          <w:p w14:paraId="0C825B55"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47.3</w:t>
            </w:r>
          </w:p>
        </w:tc>
        <w:tc>
          <w:tcPr>
            <w:tcW w:w="1017" w:type="dxa"/>
            <w:tcBorders>
              <w:bottom w:val="single" w:sz="4" w:space="0" w:color="A5A5A5" w:themeColor="accent3"/>
            </w:tcBorders>
          </w:tcPr>
          <w:p w14:paraId="7FF67CBB"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0.8</w:t>
            </w:r>
          </w:p>
        </w:tc>
        <w:tc>
          <w:tcPr>
            <w:tcW w:w="577" w:type="dxa"/>
            <w:tcBorders>
              <w:bottom w:val="single" w:sz="4" w:space="0" w:color="A5A5A5" w:themeColor="accent3"/>
            </w:tcBorders>
          </w:tcPr>
          <w:p w14:paraId="2E1BFC42"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2.6</w:t>
            </w:r>
          </w:p>
        </w:tc>
        <w:tc>
          <w:tcPr>
            <w:tcW w:w="577" w:type="dxa"/>
            <w:tcBorders>
              <w:bottom w:val="single" w:sz="4" w:space="0" w:color="A5A5A5" w:themeColor="accent3"/>
            </w:tcBorders>
          </w:tcPr>
          <w:p w14:paraId="02A9403B"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5.2</w:t>
            </w:r>
          </w:p>
        </w:tc>
        <w:tc>
          <w:tcPr>
            <w:tcW w:w="577" w:type="dxa"/>
            <w:tcBorders>
              <w:bottom w:val="single" w:sz="4" w:space="0" w:color="A5A5A5" w:themeColor="accent3"/>
            </w:tcBorders>
          </w:tcPr>
          <w:p w14:paraId="3211B927"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6.1</w:t>
            </w:r>
          </w:p>
        </w:tc>
        <w:tc>
          <w:tcPr>
            <w:tcW w:w="1221" w:type="dxa"/>
            <w:tcBorders>
              <w:bottom w:val="single" w:sz="4" w:space="0" w:color="A5A5A5" w:themeColor="accent3"/>
            </w:tcBorders>
          </w:tcPr>
          <w:p w14:paraId="6CF8DCF7" w14:textId="77777777" w:rsidR="00733A6C" w:rsidRPr="00812C16" w:rsidRDefault="00733A6C" w:rsidP="00B86E38">
            <w:pPr>
              <w:spacing w:before="60" w:after="60" w:line="36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812C16">
              <w:rPr>
                <w:rFonts w:cs="Arial"/>
                <w:sz w:val="18"/>
                <w:szCs w:val="18"/>
              </w:rPr>
              <w:t>0.2 – 8.3</w:t>
            </w:r>
          </w:p>
        </w:tc>
      </w:tr>
    </w:tbl>
    <w:p w14:paraId="56E37277" w14:textId="77777777" w:rsidR="00931FA9" w:rsidRPr="00812C16" w:rsidRDefault="00931FA9" w:rsidP="008C6A11">
      <w:pPr>
        <w:spacing w:before="360" w:after="0"/>
        <w:rPr>
          <w:rFonts w:cs="Arial"/>
          <w:lang w:eastAsia="de-DE"/>
        </w:rPr>
      </w:pPr>
      <w:r w:rsidRPr="00812C16">
        <w:rPr>
          <w:rFonts w:cs="Arial"/>
          <w:i/>
          <w:iCs/>
          <w:lang w:eastAsia="de-DE"/>
        </w:rPr>
        <w:t>Simultane Chemotherapie</w:t>
      </w:r>
    </w:p>
    <w:p w14:paraId="6EAB2FC5" w14:textId="77777777" w:rsidR="00DE0E04" w:rsidRPr="00812C16" w:rsidRDefault="00502183" w:rsidP="002336E1">
      <w:pPr>
        <w:spacing w:after="0"/>
        <w:rPr>
          <w:rFonts w:cs="Arial"/>
          <w:lang w:eastAsia="de-DE"/>
        </w:rPr>
      </w:pPr>
      <w:r w:rsidRPr="00812C16">
        <w:rPr>
          <w:rFonts w:cs="Arial"/>
          <w:lang w:eastAsia="de-DE"/>
        </w:rPr>
        <w:t xml:space="preserve">Eine zur Radiotherapie simultane Chemotherapie wurde </w:t>
      </w:r>
      <w:r w:rsidR="00BC3714" w:rsidRPr="00812C16">
        <w:rPr>
          <w:rFonts w:cs="Arial"/>
          <w:lang w:eastAsia="de-DE"/>
        </w:rPr>
        <w:t xml:space="preserve">bei allen Patienten </w:t>
      </w:r>
      <w:proofErr w:type="spellStart"/>
      <w:r w:rsidRPr="00812C16">
        <w:rPr>
          <w:rFonts w:cs="Arial"/>
          <w:lang w:eastAsia="de-DE"/>
        </w:rPr>
        <w:t>durchgeführt</w:t>
      </w:r>
      <w:proofErr w:type="spellEnd"/>
      <w:r w:rsidRPr="00812C16">
        <w:rPr>
          <w:rFonts w:cs="Arial"/>
          <w:lang w:eastAsia="de-DE"/>
        </w:rPr>
        <w:t xml:space="preserve">. Die Kombination aus Cisplatin und 5-Fluoruracil wurde 70,8% (n=75) der Patienten und somit bevorzugt verabreicht. 10,4% (n=11) erhielten eine Monotherapie mit </w:t>
      </w:r>
      <w:proofErr w:type="spellStart"/>
      <w:r w:rsidRPr="00812C16">
        <w:rPr>
          <w:rFonts w:cs="Arial"/>
          <w:lang w:eastAsia="de-DE"/>
        </w:rPr>
        <w:t>Mitomycin</w:t>
      </w:r>
      <w:proofErr w:type="spellEnd"/>
      <w:r w:rsidRPr="00812C16">
        <w:rPr>
          <w:rFonts w:cs="Arial"/>
          <w:lang w:eastAsia="de-DE"/>
        </w:rPr>
        <w:t xml:space="preserve"> C, jeweils 6,6% (n=7) die Kombination aus </w:t>
      </w:r>
      <w:proofErr w:type="spellStart"/>
      <w:r w:rsidRPr="00812C16">
        <w:rPr>
          <w:rFonts w:cs="Arial"/>
          <w:lang w:eastAsia="de-DE"/>
        </w:rPr>
        <w:t>Mitomycin</w:t>
      </w:r>
      <w:proofErr w:type="spellEnd"/>
      <w:r w:rsidRPr="00812C16">
        <w:rPr>
          <w:rFonts w:cs="Arial"/>
          <w:lang w:eastAsia="de-DE"/>
        </w:rPr>
        <w:t xml:space="preserve"> und 5-Fluoruracil oder die Dreifachkombination aus Cisplatin, </w:t>
      </w:r>
      <w:proofErr w:type="spellStart"/>
      <w:r w:rsidRPr="00812C16">
        <w:rPr>
          <w:rFonts w:cs="Arial"/>
          <w:lang w:eastAsia="de-DE"/>
        </w:rPr>
        <w:t>Cetuximab</w:t>
      </w:r>
      <w:proofErr w:type="spellEnd"/>
      <w:r w:rsidRPr="00812C16">
        <w:rPr>
          <w:rFonts w:cs="Arial"/>
          <w:lang w:eastAsia="de-DE"/>
        </w:rPr>
        <w:t xml:space="preserve"> und 5-Fluoruracil, letztere </w:t>
      </w:r>
      <w:proofErr w:type="spellStart"/>
      <w:r w:rsidRPr="00812C16">
        <w:rPr>
          <w:rFonts w:cs="Arial"/>
          <w:lang w:eastAsia="de-DE"/>
        </w:rPr>
        <w:t>gemäß</w:t>
      </w:r>
      <w:proofErr w:type="spellEnd"/>
      <w:r w:rsidRPr="00812C16">
        <w:rPr>
          <w:rFonts w:cs="Arial"/>
          <w:lang w:eastAsia="de-DE"/>
        </w:rPr>
        <w:t xml:space="preserve"> der ACCRA-Studie, und schließlich erhielten jeweils 2,8 % (n=3) Patienten die Monotherapie bestehend aus Cisplatin (40mg/m2 </w:t>
      </w:r>
      <w:proofErr w:type="spellStart"/>
      <w:r w:rsidRPr="00812C16">
        <w:rPr>
          <w:rFonts w:cs="Arial"/>
          <w:lang w:eastAsia="de-DE"/>
        </w:rPr>
        <w:t>Körperoberfläche</w:t>
      </w:r>
      <w:proofErr w:type="spellEnd"/>
      <w:r w:rsidRPr="00812C16">
        <w:rPr>
          <w:rFonts w:cs="Arial"/>
          <w:lang w:eastAsia="de-DE"/>
        </w:rPr>
        <w:t xml:space="preserve"> </w:t>
      </w:r>
      <w:proofErr w:type="spellStart"/>
      <w:r w:rsidRPr="00812C16">
        <w:rPr>
          <w:rFonts w:cs="Arial"/>
          <w:lang w:eastAsia="de-DE"/>
        </w:rPr>
        <w:t>wöchentlich</w:t>
      </w:r>
      <w:proofErr w:type="spellEnd"/>
      <w:r w:rsidRPr="00812C16">
        <w:rPr>
          <w:rFonts w:cs="Arial"/>
          <w:lang w:eastAsia="de-DE"/>
        </w:rPr>
        <w:t xml:space="preserve">) oder aus </w:t>
      </w:r>
      <w:proofErr w:type="spellStart"/>
      <w:r w:rsidRPr="00812C16">
        <w:rPr>
          <w:rFonts w:cs="Arial"/>
          <w:lang w:eastAsia="de-DE"/>
        </w:rPr>
        <w:t>Cetuximab</w:t>
      </w:r>
      <w:proofErr w:type="spellEnd"/>
      <w:r w:rsidRPr="00812C16">
        <w:rPr>
          <w:rFonts w:cs="Arial"/>
          <w:lang w:eastAsia="de-DE"/>
        </w:rPr>
        <w:t xml:space="preserve">. </w:t>
      </w:r>
    </w:p>
    <w:p w14:paraId="38549207" w14:textId="77777777" w:rsidR="00A1534B" w:rsidRPr="00812C16" w:rsidRDefault="00A1534B">
      <w:pPr>
        <w:spacing w:after="0"/>
        <w:jc w:val="left"/>
        <w:rPr>
          <w:rFonts w:cs="Arial"/>
          <w:b/>
          <w:bCs/>
          <w:sz w:val="28"/>
          <w:szCs w:val="28"/>
          <w:lang w:eastAsia="de-DE"/>
        </w:rPr>
      </w:pPr>
      <w:r w:rsidRPr="00812C16">
        <w:rPr>
          <w:rFonts w:cs="Arial"/>
          <w:b/>
          <w:bCs/>
          <w:sz w:val="28"/>
          <w:szCs w:val="28"/>
          <w:lang w:eastAsia="de-DE"/>
        </w:rPr>
        <w:br w:type="page"/>
      </w:r>
    </w:p>
    <w:p w14:paraId="1F72DAF4" w14:textId="77777777" w:rsidR="00C65F6D" w:rsidRPr="00812C16" w:rsidRDefault="00C65F6D" w:rsidP="00C65F6D">
      <w:pPr>
        <w:spacing w:before="100" w:beforeAutospacing="1" w:after="100" w:afterAutospacing="1" w:line="240" w:lineRule="auto"/>
        <w:jc w:val="left"/>
        <w:rPr>
          <w:rFonts w:cs="Arial"/>
          <w:b/>
          <w:bCs/>
          <w:sz w:val="28"/>
          <w:szCs w:val="28"/>
          <w:lang w:eastAsia="de-DE"/>
        </w:rPr>
      </w:pPr>
      <w:r w:rsidRPr="00812C16">
        <w:rPr>
          <w:rFonts w:cs="Arial"/>
          <w:b/>
          <w:bCs/>
          <w:sz w:val="28"/>
          <w:szCs w:val="28"/>
          <w:lang w:eastAsia="de-DE"/>
        </w:rPr>
        <w:lastRenderedPageBreak/>
        <w:t xml:space="preserve">Patienten- und Tumorcharakteristika in </w:t>
      </w:r>
      <w:proofErr w:type="spellStart"/>
      <w:r w:rsidRPr="00812C16">
        <w:rPr>
          <w:rFonts w:cs="Arial"/>
          <w:b/>
          <w:bCs/>
          <w:sz w:val="28"/>
          <w:szCs w:val="28"/>
          <w:lang w:eastAsia="de-DE"/>
        </w:rPr>
        <w:t>Abhängigkeit</w:t>
      </w:r>
      <w:proofErr w:type="spellEnd"/>
      <w:r w:rsidRPr="00812C16">
        <w:rPr>
          <w:rFonts w:cs="Arial"/>
          <w:b/>
          <w:bCs/>
          <w:sz w:val="28"/>
          <w:szCs w:val="28"/>
          <w:lang w:eastAsia="de-DE"/>
        </w:rPr>
        <w:t xml:space="preserve"> des HPV16 DNA- und CD44 Status </w:t>
      </w:r>
    </w:p>
    <w:p w14:paraId="14469643" w14:textId="77777777" w:rsidR="00C65F6D" w:rsidRPr="00812C16" w:rsidRDefault="00C65F6D" w:rsidP="00C65F6D">
      <w:pPr>
        <w:spacing w:before="100" w:beforeAutospacing="1" w:after="100" w:afterAutospacing="1" w:line="240" w:lineRule="auto"/>
        <w:jc w:val="left"/>
        <w:rPr>
          <w:rFonts w:cs="Arial"/>
          <w:lang w:eastAsia="de-DE"/>
        </w:rPr>
      </w:pPr>
      <w:r w:rsidRPr="00812C16">
        <w:rPr>
          <w:rFonts w:cs="Arial"/>
          <w:b/>
          <w:bCs/>
          <w:sz w:val="28"/>
          <w:szCs w:val="28"/>
          <w:lang w:eastAsia="de-DE"/>
        </w:rPr>
        <w:t xml:space="preserve"> </w:t>
      </w:r>
    </w:p>
    <w:p w14:paraId="72FF5716" w14:textId="77777777" w:rsidR="002544B9" w:rsidRPr="00812C16" w:rsidRDefault="002544B9" w:rsidP="002544B9">
      <w:pPr>
        <w:spacing w:after="360"/>
        <w:contextualSpacing/>
        <w:rPr>
          <w:rFonts w:cs="Arial"/>
        </w:rPr>
      </w:pPr>
      <w:r w:rsidRPr="00812C16">
        <w:rPr>
          <w:rFonts w:cs="Arial"/>
        </w:rPr>
        <w:t xml:space="preserve">Lediglich 17 Patienten (7,7%) hatten zu Beginn der Strahlentherapie niemals geraucht. 20 (9,0%) waren ehemals Raucher und knapp die Hälfte (48,4%; n=107) rauchte während der Behandlungszeit. Somit konnte bei einem Großteil der Patienten (57,4%) regelmäßiger Tabakgebrauch gegenwärtig der Behandlung oder in der Vergangenheit verzeichnet werden. Niemals Alkohol getrunken zu haben gaben lediglich 30 Patienten (13,6%) an. 27 Patienten (12,2%) haben in der Vergangenheit regelmäßig Alkohol getrunken und waren zu Beginn des Beobachtungszeitraums mindestens 1 Jahr Alkoholabstinent.  Aussagen zum regelmäßigen Alkoholkonsum vor und während des Beobachtungszeitraum konnten nicht erhoben werden. </w:t>
      </w:r>
    </w:p>
    <w:p w14:paraId="48BCE386" w14:textId="77777777" w:rsidR="00B22AA5" w:rsidRPr="00812C16" w:rsidRDefault="00B22AA5" w:rsidP="008072B4">
      <w:pPr>
        <w:spacing w:after="0"/>
        <w:jc w:val="left"/>
        <w:rPr>
          <w:rFonts w:cs="Arial"/>
          <w:lang w:eastAsia="de-DE"/>
        </w:rPr>
      </w:pPr>
    </w:p>
    <w:tbl>
      <w:tblPr>
        <w:tblW w:w="8451" w:type="dxa"/>
        <w:tblBorders>
          <w:top w:val="single" w:sz="6" w:space="0" w:color="EBEBEB"/>
          <w:bottom w:val="single" w:sz="6" w:space="0" w:color="EBEBEB"/>
        </w:tblBorders>
        <w:tblCellMar>
          <w:left w:w="0" w:type="dxa"/>
          <w:right w:w="0" w:type="dxa"/>
        </w:tblCellMar>
        <w:tblLook w:val="04A0" w:firstRow="1" w:lastRow="0" w:firstColumn="1" w:lastColumn="0" w:noHBand="0" w:noVBand="1"/>
      </w:tblPr>
      <w:tblGrid>
        <w:gridCol w:w="1931"/>
        <w:gridCol w:w="1241"/>
        <w:gridCol w:w="1260"/>
        <w:gridCol w:w="1284"/>
        <w:gridCol w:w="1574"/>
        <w:gridCol w:w="1161"/>
      </w:tblGrid>
      <w:tr w:rsidR="00B22AA5" w:rsidRPr="00812C16" w14:paraId="4FF3D987" w14:textId="77777777" w:rsidTr="006678A2">
        <w:trPr>
          <w:tblHeader/>
        </w:trPr>
        <w:tc>
          <w:tcPr>
            <w:tcW w:w="1931" w:type="dxa"/>
            <w:tcBorders>
              <w:top w:val="single" w:sz="4" w:space="0" w:color="000000" w:themeColor="text1"/>
              <w:bottom w:val="single" w:sz="4" w:space="0" w:color="000000" w:themeColor="text1"/>
              <w:right w:val="nil"/>
            </w:tcBorders>
            <w:tcMar>
              <w:top w:w="75" w:type="dxa"/>
              <w:left w:w="75" w:type="dxa"/>
              <w:bottom w:w="75" w:type="dxa"/>
              <w:right w:w="75" w:type="dxa"/>
            </w:tcMar>
            <w:hideMark/>
          </w:tcPr>
          <w:p w14:paraId="11716153" w14:textId="77777777" w:rsidR="00B22AA5" w:rsidRPr="00812C16" w:rsidRDefault="00B22AA5" w:rsidP="006678A2">
            <w:pPr>
              <w:spacing w:before="30" w:after="30" w:line="240" w:lineRule="auto"/>
              <w:jc w:val="left"/>
              <w:rPr>
                <w:rFonts w:cs="Arial"/>
                <w:b/>
                <w:bCs/>
                <w:sz w:val="20"/>
                <w:szCs w:val="20"/>
                <w:lang w:eastAsia="de-DE"/>
              </w:rPr>
            </w:pPr>
          </w:p>
        </w:tc>
        <w:tc>
          <w:tcPr>
            <w:tcW w:w="1241" w:type="dxa"/>
            <w:tcBorders>
              <w:top w:val="single" w:sz="4" w:space="0" w:color="000000" w:themeColor="text1"/>
              <w:bottom w:val="single" w:sz="4" w:space="0" w:color="000000" w:themeColor="text1"/>
              <w:right w:val="nil"/>
            </w:tcBorders>
            <w:tcMar>
              <w:top w:w="75" w:type="dxa"/>
              <w:left w:w="75" w:type="dxa"/>
              <w:bottom w:w="75" w:type="dxa"/>
              <w:right w:w="75" w:type="dxa"/>
            </w:tcMar>
            <w:hideMark/>
          </w:tcPr>
          <w:p w14:paraId="45AF783B" w14:textId="77777777" w:rsidR="00B22AA5" w:rsidRPr="00812C16" w:rsidRDefault="00B22AA5" w:rsidP="006678A2">
            <w:pPr>
              <w:spacing w:before="30" w:after="30" w:line="240" w:lineRule="auto"/>
              <w:jc w:val="right"/>
              <w:rPr>
                <w:rFonts w:cs="Arial"/>
                <w:b/>
                <w:bCs/>
                <w:sz w:val="20"/>
                <w:szCs w:val="20"/>
                <w:lang w:eastAsia="de-DE"/>
              </w:rPr>
            </w:pPr>
            <w:r w:rsidRPr="00812C16">
              <w:rPr>
                <w:rFonts w:cs="Arial"/>
                <w:b/>
                <w:bCs/>
                <w:sz w:val="20"/>
                <w:szCs w:val="20"/>
                <w:lang w:eastAsia="de-DE"/>
              </w:rPr>
              <w:t>Insgesamt</w:t>
            </w:r>
          </w:p>
        </w:tc>
        <w:tc>
          <w:tcPr>
            <w:tcW w:w="1260" w:type="dxa"/>
            <w:tcBorders>
              <w:top w:val="single" w:sz="4" w:space="0" w:color="000000" w:themeColor="text1"/>
              <w:bottom w:val="single" w:sz="4" w:space="0" w:color="000000" w:themeColor="text1"/>
              <w:right w:val="nil"/>
            </w:tcBorders>
            <w:tcMar>
              <w:top w:w="75" w:type="dxa"/>
              <w:left w:w="75" w:type="dxa"/>
              <w:bottom w:w="75" w:type="dxa"/>
              <w:right w:w="75" w:type="dxa"/>
            </w:tcMar>
            <w:hideMark/>
          </w:tcPr>
          <w:p w14:paraId="77A4496B" w14:textId="77777777" w:rsidR="00B22AA5" w:rsidRPr="00812C16" w:rsidRDefault="00B22AA5" w:rsidP="006678A2">
            <w:pPr>
              <w:spacing w:before="30" w:after="30" w:line="240" w:lineRule="auto"/>
              <w:jc w:val="right"/>
              <w:rPr>
                <w:rFonts w:cs="Arial"/>
                <w:b/>
                <w:bCs/>
                <w:sz w:val="20"/>
                <w:szCs w:val="20"/>
                <w:lang w:eastAsia="de-DE"/>
              </w:rPr>
            </w:pPr>
            <w:r w:rsidRPr="00812C16">
              <w:rPr>
                <w:rFonts w:cs="Arial"/>
                <w:b/>
                <w:bCs/>
                <w:sz w:val="20"/>
                <w:szCs w:val="20"/>
                <w:lang w:eastAsia="de-DE"/>
              </w:rPr>
              <w:t>LRC</w:t>
            </w:r>
          </w:p>
        </w:tc>
        <w:tc>
          <w:tcPr>
            <w:tcW w:w="0" w:type="auto"/>
            <w:tcBorders>
              <w:top w:val="single" w:sz="4" w:space="0" w:color="000000" w:themeColor="text1"/>
              <w:bottom w:val="single" w:sz="4" w:space="0" w:color="000000" w:themeColor="text1"/>
              <w:right w:val="nil"/>
            </w:tcBorders>
            <w:tcMar>
              <w:top w:w="75" w:type="dxa"/>
              <w:left w:w="75" w:type="dxa"/>
              <w:bottom w:w="75" w:type="dxa"/>
              <w:right w:w="75" w:type="dxa"/>
            </w:tcMar>
            <w:hideMark/>
          </w:tcPr>
          <w:p w14:paraId="74A193D7" w14:textId="77777777" w:rsidR="00B22AA5" w:rsidRPr="00812C16" w:rsidRDefault="00B22AA5" w:rsidP="006678A2">
            <w:pPr>
              <w:spacing w:before="30" w:after="30" w:line="240" w:lineRule="auto"/>
              <w:jc w:val="right"/>
              <w:rPr>
                <w:rFonts w:cs="Arial"/>
                <w:b/>
                <w:bCs/>
                <w:sz w:val="20"/>
                <w:szCs w:val="20"/>
                <w:lang w:eastAsia="de-DE"/>
              </w:rPr>
            </w:pPr>
            <w:r w:rsidRPr="00812C16">
              <w:rPr>
                <w:rFonts w:cs="Arial"/>
                <w:b/>
                <w:bCs/>
                <w:sz w:val="20"/>
                <w:szCs w:val="20"/>
                <w:lang w:eastAsia="de-DE"/>
              </w:rPr>
              <w:t>DM</w:t>
            </w:r>
          </w:p>
        </w:tc>
        <w:tc>
          <w:tcPr>
            <w:tcW w:w="1574" w:type="dxa"/>
            <w:tcBorders>
              <w:top w:val="single" w:sz="4" w:space="0" w:color="000000" w:themeColor="text1"/>
              <w:bottom w:val="single" w:sz="4" w:space="0" w:color="000000" w:themeColor="text1"/>
              <w:right w:val="nil"/>
            </w:tcBorders>
            <w:tcMar>
              <w:top w:w="75" w:type="dxa"/>
              <w:left w:w="75" w:type="dxa"/>
              <w:bottom w:w="75" w:type="dxa"/>
              <w:right w:w="75" w:type="dxa"/>
            </w:tcMar>
            <w:hideMark/>
          </w:tcPr>
          <w:p w14:paraId="75B1969D" w14:textId="77777777" w:rsidR="00B22AA5" w:rsidRPr="00812C16" w:rsidRDefault="00B22AA5" w:rsidP="006678A2">
            <w:pPr>
              <w:spacing w:before="30" w:after="30" w:line="240" w:lineRule="auto"/>
              <w:jc w:val="right"/>
              <w:rPr>
                <w:rFonts w:cs="Arial"/>
                <w:b/>
                <w:bCs/>
                <w:sz w:val="20"/>
                <w:szCs w:val="20"/>
                <w:lang w:eastAsia="de-DE"/>
              </w:rPr>
            </w:pPr>
            <w:r w:rsidRPr="00812C16">
              <w:rPr>
                <w:rFonts w:cs="Arial"/>
                <w:b/>
                <w:bCs/>
                <w:sz w:val="20"/>
                <w:szCs w:val="20"/>
                <w:lang w:eastAsia="de-DE"/>
              </w:rPr>
              <w:t>OS</w:t>
            </w:r>
          </w:p>
        </w:tc>
        <w:tc>
          <w:tcPr>
            <w:tcW w:w="1161" w:type="dxa"/>
            <w:tcBorders>
              <w:top w:val="single" w:sz="4" w:space="0" w:color="000000" w:themeColor="text1"/>
              <w:bottom w:val="single" w:sz="4" w:space="0" w:color="000000" w:themeColor="text1"/>
              <w:right w:val="nil"/>
            </w:tcBorders>
          </w:tcPr>
          <w:p w14:paraId="38EBFA73" w14:textId="77777777" w:rsidR="00B22AA5" w:rsidRPr="00812C16" w:rsidRDefault="00B22AA5" w:rsidP="006678A2">
            <w:pPr>
              <w:spacing w:before="30" w:after="30" w:line="240" w:lineRule="auto"/>
              <w:jc w:val="right"/>
              <w:rPr>
                <w:rFonts w:cs="Arial"/>
                <w:b/>
                <w:bCs/>
                <w:sz w:val="20"/>
                <w:szCs w:val="20"/>
                <w:lang w:eastAsia="de-DE"/>
              </w:rPr>
            </w:pPr>
            <w:r w:rsidRPr="00812C16">
              <w:rPr>
                <w:rFonts w:cs="Arial"/>
                <w:b/>
                <w:bCs/>
                <w:sz w:val="20"/>
                <w:szCs w:val="20"/>
                <w:lang w:eastAsia="de-DE"/>
              </w:rPr>
              <w:t>Zensiert</w:t>
            </w:r>
          </w:p>
        </w:tc>
      </w:tr>
      <w:tr w:rsidR="00B22AA5" w:rsidRPr="00812C16" w14:paraId="2AE8F1D3" w14:textId="77777777" w:rsidTr="006678A2">
        <w:tc>
          <w:tcPr>
            <w:tcW w:w="1931" w:type="dxa"/>
            <w:tcBorders>
              <w:top w:val="single" w:sz="4" w:space="0" w:color="000000" w:themeColor="text1"/>
              <w:bottom w:val="single" w:sz="4" w:space="0" w:color="000000" w:themeColor="text1"/>
              <w:right w:val="nil"/>
            </w:tcBorders>
            <w:tcMar>
              <w:top w:w="75" w:type="dxa"/>
              <w:left w:w="75" w:type="dxa"/>
              <w:bottom w:w="75" w:type="dxa"/>
              <w:right w:w="75" w:type="dxa"/>
            </w:tcMar>
          </w:tcPr>
          <w:p w14:paraId="58ED0262" w14:textId="77777777" w:rsidR="00B22AA5" w:rsidRPr="00812C16" w:rsidRDefault="00B22AA5" w:rsidP="006678A2">
            <w:pPr>
              <w:spacing w:before="30" w:after="30" w:line="240" w:lineRule="auto"/>
              <w:jc w:val="left"/>
              <w:rPr>
                <w:rFonts w:cs="Arial"/>
                <w:b/>
                <w:bCs/>
                <w:i/>
                <w:iCs/>
                <w:sz w:val="20"/>
                <w:szCs w:val="20"/>
                <w:lang w:eastAsia="de-DE"/>
              </w:rPr>
            </w:pPr>
            <w:r w:rsidRPr="00812C16">
              <w:rPr>
                <w:rFonts w:cs="Arial"/>
                <w:b/>
                <w:bCs/>
                <w:i/>
                <w:iCs/>
                <w:sz w:val="20"/>
                <w:szCs w:val="20"/>
                <w:lang w:eastAsia="de-DE"/>
              </w:rPr>
              <w:t>Alle Patienten</w:t>
            </w:r>
          </w:p>
        </w:tc>
        <w:tc>
          <w:tcPr>
            <w:tcW w:w="1241" w:type="dxa"/>
            <w:tcBorders>
              <w:top w:val="single" w:sz="4" w:space="0" w:color="000000" w:themeColor="text1"/>
              <w:bottom w:val="single" w:sz="4" w:space="0" w:color="000000" w:themeColor="text1"/>
              <w:right w:val="nil"/>
            </w:tcBorders>
            <w:tcMar>
              <w:top w:w="75" w:type="dxa"/>
              <w:left w:w="75" w:type="dxa"/>
              <w:bottom w:w="75" w:type="dxa"/>
              <w:right w:w="75" w:type="dxa"/>
            </w:tcMar>
          </w:tcPr>
          <w:p w14:paraId="17814A7D"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N= 221</w:t>
            </w:r>
          </w:p>
        </w:tc>
        <w:tc>
          <w:tcPr>
            <w:tcW w:w="1260" w:type="dxa"/>
            <w:tcBorders>
              <w:top w:val="single" w:sz="4" w:space="0" w:color="000000" w:themeColor="text1"/>
              <w:bottom w:val="single" w:sz="4" w:space="0" w:color="000000" w:themeColor="text1"/>
              <w:right w:val="nil"/>
            </w:tcBorders>
            <w:tcMar>
              <w:top w:w="75" w:type="dxa"/>
              <w:left w:w="75" w:type="dxa"/>
              <w:bottom w:w="75" w:type="dxa"/>
              <w:right w:w="75" w:type="dxa"/>
            </w:tcMar>
          </w:tcPr>
          <w:p w14:paraId="56134B91"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N=29</w:t>
            </w:r>
          </w:p>
        </w:tc>
        <w:tc>
          <w:tcPr>
            <w:tcW w:w="0" w:type="auto"/>
            <w:tcBorders>
              <w:top w:val="single" w:sz="4" w:space="0" w:color="000000" w:themeColor="text1"/>
              <w:bottom w:val="single" w:sz="4" w:space="0" w:color="000000" w:themeColor="text1"/>
              <w:right w:val="nil"/>
            </w:tcBorders>
            <w:tcMar>
              <w:top w:w="75" w:type="dxa"/>
              <w:left w:w="75" w:type="dxa"/>
              <w:bottom w:w="75" w:type="dxa"/>
              <w:right w:w="75" w:type="dxa"/>
            </w:tcMar>
          </w:tcPr>
          <w:p w14:paraId="3D46CF52"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N=42</w:t>
            </w:r>
          </w:p>
        </w:tc>
        <w:tc>
          <w:tcPr>
            <w:tcW w:w="1574" w:type="dxa"/>
            <w:tcBorders>
              <w:top w:val="single" w:sz="4" w:space="0" w:color="000000" w:themeColor="text1"/>
              <w:bottom w:val="single" w:sz="4" w:space="0" w:color="000000" w:themeColor="text1"/>
              <w:right w:val="nil"/>
            </w:tcBorders>
            <w:tcMar>
              <w:top w:w="75" w:type="dxa"/>
              <w:left w:w="75" w:type="dxa"/>
              <w:bottom w:w="75" w:type="dxa"/>
              <w:right w:w="75" w:type="dxa"/>
            </w:tcMar>
          </w:tcPr>
          <w:p w14:paraId="608C47DE"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N=70</w:t>
            </w:r>
          </w:p>
        </w:tc>
        <w:tc>
          <w:tcPr>
            <w:tcW w:w="1161" w:type="dxa"/>
            <w:tcBorders>
              <w:top w:val="single" w:sz="4" w:space="0" w:color="000000" w:themeColor="text1"/>
              <w:bottom w:val="single" w:sz="4" w:space="0" w:color="000000" w:themeColor="text1"/>
              <w:right w:val="nil"/>
            </w:tcBorders>
          </w:tcPr>
          <w:p w14:paraId="00ADE9A4"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N=80</w:t>
            </w:r>
          </w:p>
        </w:tc>
      </w:tr>
      <w:tr w:rsidR="00B22AA5" w:rsidRPr="00812C16" w14:paraId="7E9B9229" w14:textId="77777777" w:rsidTr="006678A2">
        <w:tc>
          <w:tcPr>
            <w:tcW w:w="1931" w:type="dxa"/>
            <w:tcBorders>
              <w:top w:val="single" w:sz="4" w:space="0" w:color="000000" w:themeColor="text1"/>
              <w:bottom w:val="nil"/>
              <w:right w:val="nil"/>
            </w:tcBorders>
            <w:tcMar>
              <w:top w:w="75" w:type="dxa"/>
              <w:left w:w="75" w:type="dxa"/>
              <w:bottom w:w="75" w:type="dxa"/>
              <w:right w:w="75" w:type="dxa"/>
            </w:tcMar>
            <w:hideMark/>
          </w:tcPr>
          <w:p w14:paraId="4591FCCD" w14:textId="77777777" w:rsidR="00B22AA5" w:rsidRPr="00812C16" w:rsidRDefault="00B22AA5" w:rsidP="006678A2">
            <w:pPr>
              <w:spacing w:before="30" w:after="30" w:line="240" w:lineRule="auto"/>
              <w:jc w:val="left"/>
              <w:rPr>
                <w:rFonts w:cs="Arial"/>
                <w:sz w:val="20"/>
                <w:szCs w:val="20"/>
                <w:lang w:eastAsia="de-DE"/>
              </w:rPr>
            </w:pPr>
            <w:r w:rsidRPr="00812C16">
              <w:rPr>
                <w:rFonts w:cs="Arial"/>
                <w:sz w:val="20"/>
                <w:szCs w:val="20"/>
                <w:lang w:eastAsia="de-DE"/>
              </w:rPr>
              <w:t xml:space="preserve">Mundhöhle </w:t>
            </w:r>
          </w:p>
        </w:tc>
        <w:tc>
          <w:tcPr>
            <w:tcW w:w="1241" w:type="dxa"/>
            <w:tcBorders>
              <w:top w:val="single" w:sz="4" w:space="0" w:color="000000" w:themeColor="text1"/>
              <w:bottom w:val="nil"/>
              <w:right w:val="nil"/>
            </w:tcBorders>
            <w:tcMar>
              <w:top w:w="75" w:type="dxa"/>
              <w:left w:w="75" w:type="dxa"/>
              <w:bottom w:w="75" w:type="dxa"/>
              <w:right w:w="75" w:type="dxa"/>
            </w:tcMar>
          </w:tcPr>
          <w:p w14:paraId="0C9C1EF4"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60</w:t>
            </w:r>
          </w:p>
        </w:tc>
        <w:tc>
          <w:tcPr>
            <w:tcW w:w="1260" w:type="dxa"/>
            <w:tcBorders>
              <w:top w:val="single" w:sz="4" w:space="0" w:color="000000" w:themeColor="text1"/>
              <w:bottom w:val="nil"/>
              <w:right w:val="nil"/>
            </w:tcBorders>
            <w:tcMar>
              <w:top w:w="75" w:type="dxa"/>
              <w:left w:w="75" w:type="dxa"/>
              <w:bottom w:w="75" w:type="dxa"/>
              <w:right w:w="75" w:type="dxa"/>
            </w:tcMar>
          </w:tcPr>
          <w:p w14:paraId="5C5C2399"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15</w:t>
            </w:r>
          </w:p>
        </w:tc>
        <w:tc>
          <w:tcPr>
            <w:tcW w:w="0" w:type="auto"/>
            <w:tcBorders>
              <w:top w:val="single" w:sz="4" w:space="0" w:color="000000" w:themeColor="text1"/>
              <w:bottom w:val="nil"/>
              <w:right w:val="nil"/>
            </w:tcBorders>
            <w:tcMar>
              <w:top w:w="75" w:type="dxa"/>
              <w:left w:w="75" w:type="dxa"/>
              <w:bottom w:w="75" w:type="dxa"/>
              <w:right w:w="75" w:type="dxa"/>
            </w:tcMar>
          </w:tcPr>
          <w:p w14:paraId="55CE7DD2"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18</w:t>
            </w:r>
          </w:p>
        </w:tc>
        <w:tc>
          <w:tcPr>
            <w:tcW w:w="1574" w:type="dxa"/>
            <w:tcBorders>
              <w:top w:val="single" w:sz="4" w:space="0" w:color="000000" w:themeColor="text1"/>
              <w:bottom w:val="nil"/>
              <w:right w:val="nil"/>
            </w:tcBorders>
            <w:tcMar>
              <w:top w:w="75" w:type="dxa"/>
              <w:left w:w="75" w:type="dxa"/>
              <w:bottom w:w="75" w:type="dxa"/>
              <w:right w:w="75" w:type="dxa"/>
            </w:tcMar>
          </w:tcPr>
          <w:p w14:paraId="6DBDC7F0"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28</w:t>
            </w:r>
          </w:p>
        </w:tc>
        <w:tc>
          <w:tcPr>
            <w:tcW w:w="1161" w:type="dxa"/>
            <w:tcBorders>
              <w:top w:val="single" w:sz="4" w:space="0" w:color="000000" w:themeColor="text1"/>
              <w:bottom w:val="nil"/>
              <w:right w:val="nil"/>
            </w:tcBorders>
          </w:tcPr>
          <w:p w14:paraId="24AC3C8C"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-1</w:t>
            </w:r>
          </w:p>
        </w:tc>
      </w:tr>
      <w:tr w:rsidR="00B22AA5" w:rsidRPr="00812C16" w14:paraId="6C832E69" w14:textId="77777777" w:rsidTr="006678A2">
        <w:tc>
          <w:tcPr>
            <w:tcW w:w="1931" w:type="dxa"/>
            <w:tcBorders>
              <w:top w:val="nil"/>
              <w:bottom w:val="nil"/>
              <w:right w:val="nil"/>
            </w:tcBorders>
            <w:tcMar>
              <w:top w:w="75" w:type="dxa"/>
              <w:left w:w="75" w:type="dxa"/>
              <w:bottom w:w="75" w:type="dxa"/>
              <w:right w:w="75" w:type="dxa"/>
            </w:tcMar>
          </w:tcPr>
          <w:p w14:paraId="31431DCA" w14:textId="77777777" w:rsidR="00B22AA5" w:rsidRPr="00812C16" w:rsidRDefault="00B22AA5" w:rsidP="006678A2">
            <w:pPr>
              <w:spacing w:before="30" w:after="30" w:line="240" w:lineRule="auto"/>
              <w:jc w:val="left"/>
              <w:rPr>
                <w:rFonts w:cs="Arial"/>
                <w:sz w:val="20"/>
                <w:szCs w:val="20"/>
                <w:lang w:eastAsia="de-DE"/>
              </w:rPr>
            </w:pPr>
            <w:r w:rsidRPr="00812C16">
              <w:rPr>
                <w:rFonts w:cs="Arial"/>
                <w:sz w:val="20"/>
                <w:szCs w:val="20"/>
                <w:lang w:eastAsia="de-DE"/>
              </w:rPr>
              <w:t>Oropharynx</w:t>
            </w:r>
          </w:p>
        </w:tc>
        <w:tc>
          <w:tcPr>
            <w:tcW w:w="1241" w:type="dxa"/>
            <w:tcBorders>
              <w:top w:val="nil"/>
              <w:bottom w:val="nil"/>
              <w:right w:val="nil"/>
            </w:tcBorders>
            <w:tcMar>
              <w:top w:w="75" w:type="dxa"/>
              <w:left w:w="75" w:type="dxa"/>
              <w:bottom w:w="75" w:type="dxa"/>
              <w:right w:w="75" w:type="dxa"/>
            </w:tcMar>
          </w:tcPr>
          <w:p w14:paraId="76DAA1A0"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126</w:t>
            </w:r>
          </w:p>
        </w:tc>
        <w:tc>
          <w:tcPr>
            <w:tcW w:w="1260" w:type="dxa"/>
            <w:tcBorders>
              <w:top w:val="nil"/>
              <w:bottom w:val="nil"/>
              <w:right w:val="nil"/>
            </w:tcBorders>
            <w:tcMar>
              <w:top w:w="75" w:type="dxa"/>
              <w:left w:w="75" w:type="dxa"/>
              <w:bottom w:w="75" w:type="dxa"/>
              <w:right w:w="75" w:type="dxa"/>
            </w:tcMar>
          </w:tcPr>
          <w:p w14:paraId="3C776FC3"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11</w:t>
            </w:r>
          </w:p>
        </w:tc>
        <w:tc>
          <w:tcPr>
            <w:tcW w:w="0" w:type="auto"/>
            <w:tcBorders>
              <w:top w:val="nil"/>
              <w:bottom w:val="nil"/>
              <w:right w:val="nil"/>
            </w:tcBorders>
            <w:tcMar>
              <w:top w:w="75" w:type="dxa"/>
              <w:left w:w="75" w:type="dxa"/>
              <w:bottom w:w="75" w:type="dxa"/>
              <w:right w:w="75" w:type="dxa"/>
            </w:tcMar>
          </w:tcPr>
          <w:p w14:paraId="4D075066"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14</w:t>
            </w:r>
          </w:p>
        </w:tc>
        <w:tc>
          <w:tcPr>
            <w:tcW w:w="1574" w:type="dxa"/>
            <w:tcBorders>
              <w:top w:val="nil"/>
              <w:bottom w:val="nil"/>
              <w:right w:val="nil"/>
            </w:tcBorders>
            <w:tcMar>
              <w:top w:w="75" w:type="dxa"/>
              <w:left w:w="75" w:type="dxa"/>
              <w:bottom w:w="75" w:type="dxa"/>
              <w:right w:w="75" w:type="dxa"/>
            </w:tcMar>
          </w:tcPr>
          <w:p w14:paraId="2CA43A9D"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34</w:t>
            </w:r>
          </w:p>
        </w:tc>
        <w:tc>
          <w:tcPr>
            <w:tcW w:w="1161" w:type="dxa"/>
            <w:tcBorders>
              <w:top w:val="nil"/>
              <w:bottom w:val="nil"/>
              <w:right w:val="nil"/>
            </w:tcBorders>
          </w:tcPr>
          <w:p w14:paraId="33695F8B"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67</w:t>
            </w:r>
          </w:p>
        </w:tc>
      </w:tr>
      <w:tr w:rsidR="00B22AA5" w:rsidRPr="00812C16" w14:paraId="0D9085BD" w14:textId="77777777" w:rsidTr="006678A2">
        <w:trPr>
          <w:trHeight w:val="14"/>
        </w:trPr>
        <w:tc>
          <w:tcPr>
            <w:tcW w:w="1931" w:type="dxa"/>
            <w:tcBorders>
              <w:top w:val="nil"/>
              <w:bottom w:val="nil"/>
              <w:right w:val="nil"/>
            </w:tcBorders>
            <w:tcMar>
              <w:top w:w="75" w:type="dxa"/>
              <w:left w:w="75" w:type="dxa"/>
              <w:bottom w:w="75" w:type="dxa"/>
              <w:right w:w="75" w:type="dxa"/>
            </w:tcMar>
          </w:tcPr>
          <w:p w14:paraId="7F9866F4" w14:textId="77777777" w:rsidR="00B22AA5" w:rsidRPr="00812C16" w:rsidRDefault="00B22AA5" w:rsidP="006678A2">
            <w:pPr>
              <w:spacing w:before="30" w:after="30" w:line="240" w:lineRule="auto"/>
              <w:jc w:val="left"/>
              <w:rPr>
                <w:rFonts w:cs="Arial"/>
                <w:sz w:val="20"/>
                <w:szCs w:val="20"/>
                <w:lang w:eastAsia="de-DE"/>
              </w:rPr>
            </w:pPr>
            <w:r w:rsidRPr="00812C16">
              <w:rPr>
                <w:rFonts w:cs="Arial"/>
                <w:sz w:val="20"/>
                <w:szCs w:val="20"/>
                <w:lang w:eastAsia="de-DE"/>
              </w:rPr>
              <w:t>Hypopharynx</w:t>
            </w:r>
          </w:p>
        </w:tc>
        <w:tc>
          <w:tcPr>
            <w:tcW w:w="1241" w:type="dxa"/>
            <w:tcBorders>
              <w:top w:val="nil"/>
              <w:bottom w:val="nil"/>
              <w:right w:val="nil"/>
            </w:tcBorders>
            <w:tcMar>
              <w:top w:w="75" w:type="dxa"/>
              <w:left w:w="75" w:type="dxa"/>
              <w:bottom w:w="75" w:type="dxa"/>
              <w:right w:w="75" w:type="dxa"/>
            </w:tcMar>
          </w:tcPr>
          <w:p w14:paraId="14B2A5BD"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35</w:t>
            </w:r>
          </w:p>
        </w:tc>
        <w:tc>
          <w:tcPr>
            <w:tcW w:w="1260" w:type="dxa"/>
            <w:tcBorders>
              <w:top w:val="nil"/>
              <w:bottom w:val="nil"/>
              <w:right w:val="nil"/>
            </w:tcBorders>
            <w:tcMar>
              <w:top w:w="75" w:type="dxa"/>
              <w:left w:w="75" w:type="dxa"/>
              <w:bottom w:w="75" w:type="dxa"/>
              <w:right w:w="75" w:type="dxa"/>
            </w:tcMar>
          </w:tcPr>
          <w:p w14:paraId="248D0A52"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3</w:t>
            </w:r>
          </w:p>
        </w:tc>
        <w:tc>
          <w:tcPr>
            <w:tcW w:w="0" w:type="auto"/>
            <w:tcBorders>
              <w:top w:val="nil"/>
              <w:bottom w:val="nil"/>
              <w:right w:val="nil"/>
            </w:tcBorders>
            <w:tcMar>
              <w:top w:w="75" w:type="dxa"/>
              <w:left w:w="75" w:type="dxa"/>
              <w:bottom w:w="75" w:type="dxa"/>
              <w:right w:w="75" w:type="dxa"/>
            </w:tcMar>
          </w:tcPr>
          <w:p w14:paraId="51D1AA47"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10</w:t>
            </w:r>
          </w:p>
        </w:tc>
        <w:tc>
          <w:tcPr>
            <w:tcW w:w="1574" w:type="dxa"/>
            <w:tcBorders>
              <w:top w:val="nil"/>
              <w:bottom w:val="nil"/>
              <w:right w:val="nil"/>
            </w:tcBorders>
            <w:tcMar>
              <w:top w:w="75" w:type="dxa"/>
              <w:left w:w="75" w:type="dxa"/>
              <w:bottom w:w="75" w:type="dxa"/>
              <w:right w:w="75" w:type="dxa"/>
            </w:tcMar>
          </w:tcPr>
          <w:p w14:paraId="737E525C"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8</w:t>
            </w:r>
          </w:p>
        </w:tc>
        <w:tc>
          <w:tcPr>
            <w:tcW w:w="1161" w:type="dxa"/>
            <w:tcBorders>
              <w:top w:val="nil"/>
              <w:bottom w:val="nil"/>
              <w:right w:val="nil"/>
            </w:tcBorders>
          </w:tcPr>
          <w:p w14:paraId="502A9B31" w14:textId="77777777" w:rsidR="00B22AA5" w:rsidRPr="00812C16" w:rsidRDefault="00B22AA5" w:rsidP="006678A2">
            <w:pPr>
              <w:spacing w:before="30" w:after="30" w:line="240" w:lineRule="auto"/>
              <w:jc w:val="right"/>
              <w:rPr>
                <w:rFonts w:cs="Arial"/>
                <w:sz w:val="20"/>
                <w:szCs w:val="20"/>
                <w:lang w:eastAsia="de-DE"/>
              </w:rPr>
            </w:pPr>
            <w:r w:rsidRPr="00812C16">
              <w:rPr>
                <w:rFonts w:cs="Arial"/>
                <w:sz w:val="20"/>
                <w:szCs w:val="20"/>
                <w:lang w:eastAsia="de-DE"/>
              </w:rPr>
              <w:t>14</w:t>
            </w:r>
          </w:p>
        </w:tc>
      </w:tr>
    </w:tbl>
    <w:p w14:paraId="7C675C74" w14:textId="77777777" w:rsidR="00B22AA5" w:rsidRPr="00812C16" w:rsidRDefault="00913EB8" w:rsidP="008072B4">
      <w:pPr>
        <w:spacing w:after="0"/>
        <w:jc w:val="left"/>
        <w:rPr>
          <w:rFonts w:cs="Arial"/>
          <w:lang w:eastAsia="de-DE"/>
        </w:rPr>
      </w:pPr>
      <w:r w:rsidRPr="00812C16">
        <w:rPr>
          <w:rFonts w:cs="Arial"/>
          <w:lang w:eastAsia="de-DE"/>
        </w:rPr>
        <w:br w:type="page"/>
      </w:r>
    </w:p>
    <w:p w14:paraId="2452C235" w14:textId="77777777" w:rsidR="008072B4" w:rsidRPr="00812C16" w:rsidRDefault="008D076E" w:rsidP="008C6A11">
      <w:pPr>
        <w:pStyle w:val="berschrift2"/>
        <w:rPr>
          <w:rFonts w:cs="Arial"/>
        </w:rPr>
      </w:pPr>
      <w:bookmarkStart w:id="56" w:name="_Toc158006538"/>
      <w:r w:rsidRPr="00812C16">
        <w:rPr>
          <w:rFonts w:cs="Arial"/>
        </w:rPr>
        <w:lastRenderedPageBreak/>
        <w:t>Ereigniszeit</w:t>
      </w:r>
      <w:r w:rsidR="0024248C" w:rsidRPr="00812C16">
        <w:rPr>
          <w:rFonts w:cs="Arial"/>
        </w:rPr>
        <w:t>analyse</w:t>
      </w:r>
      <w:r w:rsidR="00485A5F" w:rsidRPr="00812C16">
        <w:rPr>
          <w:rFonts w:cs="Arial"/>
        </w:rPr>
        <w:t>n</w:t>
      </w:r>
      <w:bookmarkEnd w:id="56"/>
      <w:r w:rsidR="00436497" w:rsidRPr="00812C16">
        <w:rPr>
          <w:rFonts w:cs="Arial"/>
        </w:rPr>
        <w:t xml:space="preserve"> </w:t>
      </w:r>
    </w:p>
    <w:p w14:paraId="15F12CAB" w14:textId="77777777" w:rsidR="009943EC" w:rsidRPr="00812C16" w:rsidRDefault="008072B4" w:rsidP="00E163C3">
      <w:pPr>
        <w:rPr>
          <w:rFonts w:cs="Arial"/>
          <w:lang w:eastAsia="de-DE"/>
        </w:rPr>
      </w:pPr>
      <w:r w:rsidRPr="00812C16">
        <w:rPr>
          <w:rFonts w:cs="Arial"/>
        </w:rPr>
        <w:t xml:space="preserve">Um die prognostische Relevanz </w:t>
      </w:r>
      <w:r w:rsidR="005C27A1" w:rsidRPr="00812C16">
        <w:rPr>
          <w:rFonts w:cs="Arial"/>
        </w:rPr>
        <w:t xml:space="preserve">von </w:t>
      </w:r>
      <w:r w:rsidRPr="00812C16">
        <w:rPr>
          <w:rFonts w:cs="Arial"/>
        </w:rPr>
        <w:t xml:space="preserve">CD44 </w:t>
      </w:r>
      <w:r w:rsidR="005C27A1" w:rsidRPr="00812C16">
        <w:rPr>
          <w:rFonts w:cs="Arial"/>
        </w:rPr>
        <w:t xml:space="preserve">als Tumorstammzellmarker </w:t>
      </w:r>
      <w:proofErr w:type="spellStart"/>
      <w:r w:rsidRPr="00812C16">
        <w:rPr>
          <w:rFonts w:cs="Arial"/>
        </w:rPr>
        <w:t>für</w:t>
      </w:r>
      <w:proofErr w:type="spellEnd"/>
      <w:r w:rsidRPr="00812C16">
        <w:rPr>
          <w:rFonts w:cs="Arial"/>
        </w:rPr>
        <w:t xml:space="preserve"> lokal fortgeschrittene Kopf-Hals</w:t>
      </w:r>
      <w:r w:rsidR="005C27A1" w:rsidRPr="00812C16">
        <w:rPr>
          <w:rFonts w:cs="Arial"/>
        </w:rPr>
        <w:t xml:space="preserve"> </w:t>
      </w:r>
      <w:r w:rsidRPr="00812C16">
        <w:rPr>
          <w:rFonts w:cs="Arial"/>
        </w:rPr>
        <w:t xml:space="preserve">Plattenepithelkarzinome bei postoperativer Radiochemotherapie zu </w:t>
      </w:r>
      <w:r w:rsidR="00463781" w:rsidRPr="00812C16">
        <w:rPr>
          <w:rFonts w:cs="Arial"/>
        </w:rPr>
        <w:t>überprüfen</w:t>
      </w:r>
      <w:r w:rsidRPr="00812C16">
        <w:rPr>
          <w:rFonts w:cs="Arial"/>
        </w:rPr>
        <w:t xml:space="preserve">, wurde in dieser Arbeit die CD44-Proteinexpression im </w:t>
      </w:r>
      <w:proofErr w:type="spellStart"/>
      <w:r w:rsidRPr="00812C16">
        <w:rPr>
          <w:rFonts w:cs="Arial"/>
        </w:rPr>
        <w:t>prätherapeutischen</w:t>
      </w:r>
      <w:proofErr w:type="spellEnd"/>
      <w:r w:rsidRPr="00812C16">
        <w:rPr>
          <w:rFonts w:cs="Arial"/>
        </w:rPr>
        <w:t xml:space="preserve"> Tumorgewebematerial mit verschiedenen klinischen Endpunkten korreliert. </w:t>
      </w:r>
      <w:r w:rsidR="00485A5F" w:rsidRPr="00812C16">
        <w:rPr>
          <w:rFonts w:cs="Arial"/>
        </w:rPr>
        <w:t xml:space="preserve">Darüber hinaus </w:t>
      </w:r>
      <w:r w:rsidR="00463781" w:rsidRPr="00812C16">
        <w:rPr>
          <w:rFonts w:cs="Arial"/>
        </w:rPr>
        <w:t>wurde das klinische Outcome unter Einbeziehung</w:t>
      </w:r>
      <w:r w:rsidR="00BA5EE0" w:rsidRPr="00812C16">
        <w:rPr>
          <w:rFonts w:cs="Arial"/>
        </w:rPr>
        <w:t xml:space="preserve"> weiterer</w:t>
      </w:r>
      <w:r w:rsidR="00463781" w:rsidRPr="00812C16">
        <w:rPr>
          <w:rFonts w:cs="Arial"/>
        </w:rPr>
        <w:t xml:space="preserve"> klinisch-pathologischer Parameter mittels uni- und multivariater Analysen berechnet. </w:t>
      </w:r>
      <w:r w:rsidR="00BA5EE0" w:rsidRPr="00812C16">
        <w:rPr>
          <w:rFonts w:cs="Arial"/>
        </w:rPr>
        <w:t xml:space="preserve">Primärer Endpunkt war die </w:t>
      </w:r>
      <w:proofErr w:type="spellStart"/>
      <w:r w:rsidR="00BA5EE0" w:rsidRPr="00812C16">
        <w:rPr>
          <w:rFonts w:cs="Arial"/>
        </w:rPr>
        <w:t>lokoregionäre</w:t>
      </w:r>
      <w:proofErr w:type="spellEnd"/>
      <w:r w:rsidR="00BA5EE0" w:rsidRPr="00812C16">
        <w:rPr>
          <w:rFonts w:cs="Arial"/>
        </w:rPr>
        <w:t xml:space="preserve"> Tumorkontrolle (LR</w:t>
      </w:r>
      <w:r w:rsidR="00545BAD" w:rsidRPr="00812C16">
        <w:rPr>
          <w:rFonts w:cs="Arial"/>
        </w:rPr>
        <w:t>C</w:t>
      </w:r>
      <w:r w:rsidR="00BA5EE0" w:rsidRPr="00812C16">
        <w:rPr>
          <w:rFonts w:cs="Arial"/>
        </w:rPr>
        <w:t>), sekundäre Endpunkte waren Fernmetastasen-freie</w:t>
      </w:r>
      <w:r w:rsidR="00870573" w:rsidRPr="00812C16">
        <w:rPr>
          <w:rFonts w:cs="Arial"/>
        </w:rPr>
        <w:t xml:space="preserve"> </w:t>
      </w:r>
      <w:r w:rsidR="00BA5EE0" w:rsidRPr="00812C16">
        <w:rPr>
          <w:rFonts w:cs="Arial"/>
        </w:rPr>
        <w:t xml:space="preserve">Überleben </w:t>
      </w:r>
      <w:r w:rsidR="00870573" w:rsidRPr="00812C16">
        <w:rPr>
          <w:rFonts w:cs="Arial"/>
        </w:rPr>
        <w:t xml:space="preserve">(DMS) </w:t>
      </w:r>
      <w:r w:rsidR="00BA5EE0" w:rsidRPr="00812C16">
        <w:rPr>
          <w:rFonts w:cs="Arial"/>
        </w:rPr>
        <w:t>und Gesamtüberleben</w:t>
      </w:r>
      <w:r w:rsidR="00891DD3" w:rsidRPr="00812C16">
        <w:rPr>
          <w:rFonts w:cs="Arial"/>
        </w:rPr>
        <w:t xml:space="preserve"> (OS)</w:t>
      </w:r>
      <w:r w:rsidR="00545BAD" w:rsidRPr="00812C16">
        <w:rPr>
          <w:rFonts w:cs="Arial"/>
          <w:lang w:eastAsia="de-DE"/>
        </w:rPr>
        <w:t>. </w:t>
      </w:r>
    </w:p>
    <w:p w14:paraId="604B658D" w14:textId="77777777" w:rsidR="00066AE4" w:rsidRPr="00812C16" w:rsidRDefault="00C34358" w:rsidP="005547D3">
      <w:pPr>
        <w:pStyle w:val="berschrift3"/>
        <w:rPr>
          <w:rFonts w:eastAsia="Times New Roman"/>
        </w:rPr>
      </w:pPr>
      <w:bookmarkStart w:id="57" w:name="_Toc158006539"/>
      <w:r w:rsidRPr="00812C16">
        <w:rPr>
          <w:rFonts w:eastAsia="Times New Roman"/>
        </w:rPr>
        <w:t xml:space="preserve">Deskription der </w:t>
      </w:r>
      <w:r w:rsidR="00596C8D" w:rsidRPr="00812C16">
        <w:rPr>
          <w:rFonts w:eastAsia="Times New Roman"/>
        </w:rPr>
        <w:t>Ereignis</w:t>
      </w:r>
      <w:r w:rsidR="00D96409" w:rsidRPr="00812C16">
        <w:rPr>
          <w:rFonts w:eastAsia="Times New Roman"/>
        </w:rPr>
        <w:t>zeit</w:t>
      </w:r>
      <w:r w:rsidR="00596C8D" w:rsidRPr="00812C16">
        <w:rPr>
          <w:rFonts w:eastAsia="Times New Roman"/>
        </w:rPr>
        <w:t>daten im Beobachtungszeitraum</w:t>
      </w:r>
      <w:bookmarkEnd w:id="57"/>
    </w:p>
    <w:p w14:paraId="4783AC5C" w14:textId="370150A0" w:rsidR="00F2646B" w:rsidRPr="00812C16" w:rsidRDefault="003B27A7" w:rsidP="003B27A7">
      <w:pPr>
        <w:spacing w:after="360"/>
        <w:rPr>
          <w:rFonts w:cs="Arial"/>
          <w:lang w:eastAsia="de-DE"/>
        </w:rPr>
      </w:pPr>
      <w:r w:rsidRPr="00812C16">
        <w:rPr>
          <w:rFonts w:cs="Arial"/>
          <w:lang w:eastAsia="de-DE"/>
        </w:rPr>
        <w:t>Die Anzahl aller Ereigniss</w:t>
      </w:r>
      <w:r w:rsidR="00850477" w:rsidRPr="00812C16">
        <w:rPr>
          <w:rFonts w:cs="Arial"/>
          <w:lang w:eastAsia="de-DE"/>
        </w:rPr>
        <w:t xml:space="preserve">e für die </w:t>
      </w:r>
      <w:r w:rsidR="00FA1B9A" w:rsidRPr="00812C16">
        <w:rPr>
          <w:rFonts w:cs="Arial"/>
          <w:lang w:eastAsia="de-DE"/>
        </w:rPr>
        <w:t>l</w:t>
      </w:r>
      <w:r w:rsidR="00850477" w:rsidRPr="00812C16">
        <w:rPr>
          <w:rFonts w:cs="Arial"/>
          <w:lang w:eastAsia="de-DE"/>
        </w:rPr>
        <w:t>oko-regionäre Tumorkontrolle</w:t>
      </w:r>
      <w:r w:rsidR="00FA1B9A" w:rsidRPr="00812C16">
        <w:rPr>
          <w:rFonts w:cs="Arial"/>
          <w:lang w:eastAsia="de-DE"/>
        </w:rPr>
        <w:t xml:space="preserve"> (lokales Versagen)</w:t>
      </w:r>
      <w:r w:rsidR="00850477" w:rsidRPr="00812C16">
        <w:rPr>
          <w:rFonts w:cs="Arial"/>
          <w:lang w:eastAsia="de-DE"/>
        </w:rPr>
        <w:t xml:space="preserve">, </w:t>
      </w:r>
      <w:r w:rsidR="00076ED9" w:rsidRPr="00812C16">
        <w:rPr>
          <w:rFonts w:cs="Arial"/>
          <w:lang w:eastAsia="de-DE"/>
        </w:rPr>
        <w:t xml:space="preserve">das </w:t>
      </w:r>
      <w:r w:rsidR="00850477" w:rsidRPr="00812C16">
        <w:rPr>
          <w:rFonts w:cs="Arial"/>
          <w:lang w:eastAsia="de-DE"/>
        </w:rPr>
        <w:t>Fernmetastasen</w:t>
      </w:r>
      <w:r w:rsidR="00FA1B9A" w:rsidRPr="00812C16">
        <w:rPr>
          <w:rFonts w:cs="Arial"/>
          <w:lang w:eastAsia="de-DE"/>
        </w:rPr>
        <w:t>-</w:t>
      </w:r>
      <w:r w:rsidR="00850477" w:rsidRPr="00812C16">
        <w:rPr>
          <w:rFonts w:cs="Arial"/>
          <w:lang w:eastAsia="de-DE"/>
        </w:rPr>
        <w:t>freie</w:t>
      </w:r>
      <w:r w:rsidR="00892815" w:rsidRPr="00812C16">
        <w:rPr>
          <w:rFonts w:cs="Arial"/>
          <w:lang w:eastAsia="de-DE"/>
        </w:rPr>
        <w:t xml:space="preserve">s Überleben </w:t>
      </w:r>
      <w:r w:rsidR="00FA1B9A" w:rsidRPr="00812C16">
        <w:rPr>
          <w:rFonts w:cs="Arial"/>
          <w:lang w:eastAsia="de-DE"/>
        </w:rPr>
        <w:t>(</w:t>
      </w:r>
      <w:r w:rsidR="00F2646B" w:rsidRPr="00812C16">
        <w:rPr>
          <w:rFonts w:cs="Arial"/>
          <w:lang w:eastAsia="de-DE"/>
        </w:rPr>
        <w:t>e</w:t>
      </w:r>
      <w:r w:rsidR="00FA1B9A" w:rsidRPr="00812C16">
        <w:rPr>
          <w:rFonts w:cs="Arial"/>
          <w:lang w:eastAsia="de-DE"/>
        </w:rPr>
        <w:t xml:space="preserve">ntferntes Versagen) </w:t>
      </w:r>
      <w:r w:rsidR="00076ED9" w:rsidRPr="00812C16">
        <w:rPr>
          <w:rFonts w:cs="Arial"/>
          <w:lang w:eastAsia="de-DE"/>
        </w:rPr>
        <w:t>und</w:t>
      </w:r>
      <w:r w:rsidR="00850477" w:rsidRPr="00812C16">
        <w:rPr>
          <w:rFonts w:cs="Arial"/>
          <w:lang w:eastAsia="de-DE"/>
        </w:rPr>
        <w:t xml:space="preserve"> für das </w:t>
      </w:r>
      <w:r w:rsidR="00892815" w:rsidRPr="00812C16">
        <w:rPr>
          <w:rFonts w:cs="Arial"/>
          <w:lang w:eastAsia="de-DE"/>
        </w:rPr>
        <w:t>Gesamtüberleben</w:t>
      </w:r>
      <w:r w:rsidR="00FA1B9A" w:rsidRPr="00812C16">
        <w:rPr>
          <w:rFonts w:cs="Arial"/>
          <w:lang w:eastAsia="de-DE"/>
        </w:rPr>
        <w:t xml:space="preserve"> (Tod)</w:t>
      </w:r>
      <w:r w:rsidR="00892815" w:rsidRPr="00812C16">
        <w:rPr>
          <w:rFonts w:cs="Arial"/>
          <w:lang w:eastAsia="de-DE"/>
        </w:rPr>
        <w:t>,</w:t>
      </w:r>
      <w:r w:rsidR="00850477" w:rsidRPr="00812C16">
        <w:rPr>
          <w:rFonts w:cs="Arial"/>
          <w:lang w:eastAsia="de-DE"/>
        </w:rPr>
        <w:t xml:space="preserve"> </w:t>
      </w:r>
      <w:r w:rsidRPr="00812C16">
        <w:rPr>
          <w:rFonts w:cs="Arial"/>
          <w:lang w:eastAsia="de-DE"/>
        </w:rPr>
        <w:t>die im Beobachtungszeitraum</w:t>
      </w:r>
      <w:r w:rsidR="00FA1B9A" w:rsidRPr="00812C16">
        <w:rPr>
          <w:rFonts w:cs="Arial"/>
          <w:lang w:eastAsia="de-DE"/>
        </w:rPr>
        <w:t xml:space="preserve"> sowohl</w:t>
      </w:r>
      <w:r w:rsidR="0077430B" w:rsidRPr="00812C16">
        <w:rPr>
          <w:rFonts w:cs="Arial"/>
          <w:lang w:eastAsia="de-DE"/>
        </w:rPr>
        <w:t xml:space="preserve"> im </w:t>
      </w:r>
      <w:r w:rsidR="00FA1B9A" w:rsidRPr="00812C16">
        <w:rPr>
          <w:rFonts w:cs="Arial"/>
          <w:lang w:eastAsia="de-DE"/>
        </w:rPr>
        <w:t xml:space="preserve">gesamten </w:t>
      </w:r>
      <w:r w:rsidR="0077430B" w:rsidRPr="00812C16">
        <w:rPr>
          <w:rFonts w:cs="Arial"/>
          <w:lang w:eastAsia="de-DE"/>
        </w:rPr>
        <w:t>Patientenkollektiv</w:t>
      </w:r>
      <w:r w:rsidR="00FA1B9A" w:rsidRPr="00812C16">
        <w:rPr>
          <w:rFonts w:cs="Arial"/>
          <w:lang w:eastAsia="de-DE"/>
        </w:rPr>
        <w:t xml:space="preserve"> als auch in der Subgruppe der HPV16 D</w:t>
      </w:r>
      <w:r w:rsidR="00F2646B" w:rsidRPr="00812C16">
        <w:rPr>
          <w:rFonts w:cs="Arial"/>
          <w:lang w:eastAsia="de-DE"/>
        </w:rPr>
        <w:t>NA-</w:t>
      </w:r>
      <w:r w:rsidR="00FA1B9A" w:rsidRPr="00812C16">
        <w:rPr>
          <w:rFonts w:cs="Arial"/>
          <w:lang w:eastAsia="de-DE"/>
        </w:rPr>
        <w:t xml:space="preserve">positiven und </w:t>
      </w:r>
      <w:r w:rsidR="00F2646B" w:rsidRPr="00812C16">
        <w:rPr>
          <w:rFonts w:cs="Arial"/>
          <w:lang w:eastAsia="de-DE"/>
        </w:rPr>
        <w:t>-</w:t>
      </w:r>
      <w:r w:rsidR="00FA1B9A" w:rsidRPr="00812C16">
        <w:rPr>
          <w:rFonts w:cs="Arial"/>
          <w:lang w:eastAsia="de-DE"/>
        </w:rPr>
        <w:t>negativen Kohorte</w:t>
      </w:r>
      <w:r w:rsidR="00F2646B" w:rsidRPr="00812C16">
        <w:rPr>
          <w:rFonts w:cs="Arial"/>
          <w:lang w:eastAsia="de-DE"/>
        </w:rPr>
        <w:t xml:space="preserve"> </w:t>
      </w:r>
      <w:r w:rsidR="00892815" w:rsidRPr="00812C16">
        <w:rPr>
          <w:rFonts w:cs="Arial"/>
          <w:lang w:eastAsia="de-DE"/>
        </w:rPr>
        <w:t>erfasst wurden</w:t>
      </w:r>
      <w:r w:rsidR="0077430B" w:rsidRPr="00812C16">
        <w:rPr>
          <w:rFonts w:cs="Arial"/>
          <w:lang w:eastAsia="de-DE"/>
        </w:rPr>
        <w:t>,</w:t>
      </w:r>
      <w:r w:rsidRPr="00812C16">
        <w:rPr>
          <w:rFonts w:cs="Arial"/>
          <w:lang w:eastAsia="de-DE"/>
        </w:rPr>
        <w:t xml:space="preserve"> sind </w:t>
      </w:r>
      <w:r w:rsidR="00892815" w:rsidRPr="00812C16">
        <w:rPr>
          <w:rFonts w:cs="Arial"/>
          <w:color w:val="000000" w:themeColor="text1"/>
          <w:lang w:eastAsia="de-DE"/>
        </w:rPr>
        <w:t xml:space="preserve">in </w:t>
      </w:r>
      <w:r w:rsidR="00892815" w:rsidRPr="00812C16">
        <w:rPr>
          <w:rFonts w:cs="Arial"/>
          <w:color w:val="000000" w:themeColor="text1"/>
          <w:lang w:eastAsia="de-DE"/>
        </w:rPr>
        <w:fldChar w:fldCharType="begin"/>
      </w:r>
      <w:r w:rsidR="00892815" w:rsidRPr="00812C16">
        <w:rPr>
          <w:rFonts w:cs="Arial"/>
          <w:color w:val="000000" w:themeColor="text1"/>
          <w:lang w:eastAsia="de-DE"/>
        </w:rPr>
        <w:instrText xml:space="preserve"> REF _Ref90727684 \h  \* MERGEFORMAT </w:instrText>
      </w:r>
      <w:r w:rsidR="00892815" w:rsidRPr="00812C16">
        <w:rPr>
          <w:rFonts w:cs="Arial"/>
          <w:color w:val="000000" w:themeColor="text1"/>
          <w:lang w:eastAsia="de-DE"/>
        </w:rPr>
      </w:r>
      <w:r w:rsidR="00892815" w:rsidRPr="00812C16">
        <w:rPr>
          <w:rFonts w:cs="Arial"/>
          <w:color w:val="000000" w:themeColor="text1"/>
          <w:lang w:eastAsia="de-DE"/>
        </w:rPr>
        <w:fldChar w:fldCharType="separate"/>
      </w:r>
      <w:r w:rsidR="00F67803" w:rsidRPr="00F67803">
        <w:rPr>
          <w:rFonts w:cs="Arial"/>
          <w:color w:val="000000" w:themeColor="text1"/>
        </w:rPr>
        <w:t xml:space="preserve">Tabelle </w:t>
      </w:r>
      <w:r w:rsidR="00F67803" w:rsidRPr="00F67803">
        <w:rPr>
          <w:rFonts w:cs="Arial"/>
          <w:noProof/>
          <w:color w:val="000000" w:themeColor="text1"/>
        </w:rPr>
        <w:t>4</w:t>
      </w:r>
      <w:r w:rsidR="00F67803" w:rsidRPr="00F67803">
        <w:rPr>
          <w:rFonts w:cs="Arial"/>
          <w:noProof/>
          <w:color w:val="000000" w:themeColor="text1"/>
        </w:rPr>
        <w:noBreakHyphen/>
        <w:t>6</w:t>
      </w:r>
      <w:r w:rsidR="00892815" w:rsidRPr="00812C16">
        <w:rPr>
          <w:rFonts w:cs="Arial"/>
          <w:color w:val="000000" w:themeColor="text1"/>
          <w:lang w:eastAsia="de-DE"/>
        </w:rPr>
        <w:fldChar w:fldCharType="end"/>
      </w:r>
      <w:r w:rsidR="004A55E3" w:rsidRPr="00812C16">
        <w:rPr>
          <w:rFonts w:cs="Arial"/>
          <w:color w:val="000000" w:themeColor="text1"/>
          <w:lang w:eastAsia="de-DE"/>
        </w:rPr>
        <w:t xml:space="preserve"> und in </w:t>
      </w:r>
      <w:proofErr w:type="gramStart"/>
      <w:r w:rsidR="004A55E3" w:rsidRPr="00812C16">
        <w:rPr>
          <w:rFonts w:cs="Arial"/>
          <w:color w:val="000000" w:themeColor="text1"/>
          <w:lang w:eastAsia="de-DE"/>
        </w:rPr>
        <w:t xml:space="preserve">Anlage </w:t>
      </w:r>
      <w:r w:rsidR="00892815" w:rsidRPr="00812C16">
        <w:rPr>
          <w:rFonts w:cs="Arial"/>
          <w:color w:val="000000" w:themeColor="text1"/>
          <w:lang w:eastAsia="de-DE"/>
        </w:rPr>
        <w:t>,</w:t>
      </w:r>
      <w:proofErr w:type="gramEnd"/>
      <w:r w:rsidR="00892815" w:rsidRPr="00812C16">
        <w:rPr>
          <w:rFonts w:cs="Arial"/>
          <w:color w:val="000000" w:themeColor="text1"/>
          <w:lang w:eastAsia="de-DE"/>
        </w:rPr>
        <w:t xml:space="preserve"> </w:t>
      </w:r>
      <w:r w:rsidR="00BB48AC" w:rsidRPr="00812C16">
        <w:rPr>
          <w:rFonts w:cs="Arial"/>
          <w:color w:val="000000" w:themeColor="text1"/>
          <w:lang w:eastAsia="de-DE"/>
        </w:rPr>
        <w:t xml:space="preserve">entsprechend </w:t>
      </w:r>
      <w:r w:rsidR="00FC771B" w:rsidRPr="00812C16">
        <w:rPr>
          <w:rFonts w:cs="Arial"/>
          <w:color w:val="000000" w:themeColor="text1"/>
          <w:lang w:eastAsia="de-DE"/>
        </w:rPr>
        <w:t xml:space="preserve">der </w:t>
      </w:r>
      <w:r w:rsidR="00BB48AC" w:rsidRPr="00812C16">
        <w:rPr>
          <w:rFonts w:cs="Arial"/>
          <w:color w:val="000000" w:themeColor="text1"/>
          <w:lang w:eastAsia="de-DE"/>
        </w:rPr>
        <w:t xml:space="preserve">Tumorlokalisation </w:t>
      </w:r>
      <w:r w:rsidRPr="00812C16">
        <w:rPr>
          <w:rFonts w:cs="Arial"/>
          <w:lang w:eastAsia="de-DE"/>
        </w:rPr>
        <w:t xml:space="preserve">dargestellt. </w:t>
      </w:r>
    </w:p>
    <w:p w14:paraId="217832F8" w14:textId="28D14867" w:rsidR="001C2E99" w:rsidRPr="00812C16" w:rsidRDefault="003B27A7" w:rsidP="00C808A2">
      <w:pPr>
        <w:pStyle w:val="Beschriftung"/>
        <w:keepNext/>
        <w:spacing w:after="120" w:line="240" w:lineRule="auto"/>
        <w:rPr>
          <w:rFonts w:cs="Arial"/>
          <w:b/>
          <w:bCs/>
          <w:i w:val="0"/>
          <w:iCs w:val="0"/>
          <w:sz w:val="20"/>
          <w:szCs w:val="20"/>
        </w:rPr>
      </w:pPr>
      <w:bookmarkStart w:id="58" w:name="_Ref90727684"/>
      <w:bookmarkStart w:id="59" w:name="_Ref90727678"/>
      <w:bookmarkStart w:id="60" w:name="_Toc180788396"/>
      <w:r w:rsidRPr="00812C16">
        <w:rPr>
          <w:rFonts w:cs="Arial"/>
          <w:b/>
          <w:bCs/>
          <w:i w:val="0"/>
          <w:iCs w:val="0"/>
          <w:color w:val="000000" w:themeColor="text1"/>
          <w:sz w:val="20"/>
          <w:szCs w:val="20"/>
        </w:rPr>
        <w:t xml:space="preserve">Tabelle </w:t>
      </w:r>
      <w:r w:rsidR="00A126D9" w:rsidRPr="00812C16">
        <w:rPr>
          <w:rFonts w:cs="Arial"/>
          <w:b/>
          <w:bCs/>
          <w:i w:val="0"/>
          <w:iCs w:val="0"/>
          <w:color w:val="000000" w:themeColor="text1"/>
          <w:sz w:val="20"/>
          <w:szCs w:val="20"/>
        </w:rPr>
        <w:fldChar w:fldCharType="begin"/>
      </w:r>
      <w:r w:rsidR="00A126D9" w:rsidRPr="00812C16">
        <w:rPr>
          <w:rFonts w:cs="Arial"/>
          <w:b/>
          <w:bCs/>
          <w:i w:val="0"/>
          <w:iCs w:val="0"/>
          <w:color w:val="000000" w:themeColor="text1"/>
          <w:sz w:val="20"/>
          <w:szCs w:val="20"/>
        </w:rPr>
        <w:instrText xml:space="preserve"> STYLEREF 1 \s </w:instrText>
      </w:r>
      <w:r w:rsidR="00A126D9" w:rsidRPr="00812C16">
        <w:rPr>
          <w:rFonts w:cs="Arial"/>
          <w:b/>
          <w:bCs/>
          <w:i w:val="0"/>
          <w:iCs w:val="0"/>
          <w:color w:val="000000" w:themeColor="text1"/>
          <w:sz w:val="20"/>
          <w:szCs w:val="20"/>
        </w:rPr>
        <w:fldChar w:fldCharType="separate"/>
      </w:r>
      <w:r w:rsidR="00F67803">
        <w:rPr>
          <w:rFonts w:cs="Arial"/>
          <w:b/>
          <w:bCs/>
          <w:i w:val="0"/>
          <w:iCs w:val="0"/>
          <w:noProof/>
          <w:color w:val="000000" w:themeColor="text1"/>
          <w:sz w:val="20"/>
          <w:szCs w:val="20"/>
        </w:rPr>
        <w:t>4</w:t>
      </w:r>
      <w:r w:rsidR="00A126D9" w:rsidRPr="00812C16">
        <w:rPr>
          <w:rFonts w:cs="Arial"/>
          <w:b/>
          <w:bCs/>
          <w:i w:val="0"/>
          <w:iCs w:val="0"/>
          <w:color w:val="000000" w:themeColor="text1"/>
          <w:sz w:val="20"/>
          <w:szCs w:val="20"/>
        </w:rPr>
        <w:fldChar w:fldCharType="end"/>
      </w:r>
      <w:r w:rsidR="00A126D9" w:rsidRPr="00812C16">
        <w:rPr>
          <w:rFonts w:cs="Arial"/>
          <w:b/>
          <w:bCs/>
          <w:i w:val="0"/>
          <w:iCs w:val="0"/>
          <w:color w:val="000000" w:themeColor="text1"/>
          <w:sz w:val="20"/>
          <w:szCs w:val="20"/>
        </w:rPr>
        <w:noBreakHyphen/>
      </w:r>
      <w:r w:rsidR="00A126D9" w:rsidRPr="00812C16">
        <w:rPr>
          <w:rFonts w:cs="Arial"/>
          <w:b/>
          <w:bCs/>
          <w:i w:val="0"/>
          <w:iCs w:val="0"/>
          <w:color w:val="000000" w:themeColor="text1"/>
          <w:sz w:val="20"/>
          <w:szCs w:val="20"/>
        </w:rPr>
        <w:fldChar w:fldCharType="begin"/>
      </w:r>
      <w:r w:rsidR="00A126D9" w:rsidRPr="00812C16">
        <w:rPr>
          <w:rFonts w:cs="Arial"/>
          <w:b/>
          <w:bCs/>
          <w:i w:val="0"/>
          <w:iCs w:val="0"/>
          <w:color w:val="000000" w:themeColor="text1"/>
          <w:sz w:val="20"/>
          <w:szCs w:val="20"/>
        </w:rPr>
        <w:instrText xml:space="preserve"> SEQ Tabelle \* ARABIC \s 1 </w:instrText>
      </w:r>
      <w:r w:rsidR="00A126D9" w:rsidRPr="00812C16">
        <w:rPr>
          <w:rFonts w:cs="Arial"/>
          <w:b/>
          <w:bCs/>
          <w:i w:val="0"/>
          <w:iCs w:val="0"/>
          <w:color w:val="000000" w:themeColor="text1"/>
          <w:sz w:val="20"/>
          <w:szCs w:val="20"/>
        </w:rPr>
        <w:fldChar w:fldCharType="separate"/>
      </w:r>
      <w:r w:rsidR="00F67803">
        <w:rPr>
          <w:rFonts w:cs="Arial"/>
          <w:b/>
          <w:bCs/>
          <w:i w:val="0"/>
          <w:iCs w:val="0"/>
          <w:noProof/>
          <w:color w:val="000000" w:themeColor="text1"/>
          <w:sz w:val="20"/>
          <w:szCs w:val="20"/>
        </w:rPr>
        <w:t>6</w:t>
      </w:r>
      <w:r w:rsidR="00A126D9" w:rsidRPr="00812C16">
        <w:rPr>
          <w:rFonts w:cs="Arial"/>
          <w:b/>
          <w:bCs/>
          <w:i w:val="0"/>
          <w:iCs w:val="0"/>
          <w:color w:val="000000" w:themeColor="text1"/>
          <w:sz w:val="20"/>
          <w:szCs w:val="20"/>
        </w:rPr>
        <w:fldChar w:fldCharType="end"/>
      </w:r>
      <w:bookmarkEnd w:id="58"/>
      <w:r w:rsidRPr="00812C16">
        <w:rPr>
          <w:rFonts w:cs="Arial"/>
          <w:b/>
          <w:bCs/>
          <w:i w:val="0"/>
          <w:iCs w:val="0"/>
          <w:color w:val="000000" w:themeColor="text1"/>
          <w:sz w:val="20"/>
          <w:szCs w:val="20"/>
        </w:rPr>
        <w:t>:  Anzahl der Ereignisse</w:t>
      </w:r>
      <w:r w:rsidR="000A27AE" w:rsidRPr="00812C16">
        <w:rPr>
          <w:rFonts w:cs="Arial"/>
          <w:b/>
          <w:bCs/>
          <w:i w:val="0"/>
          <w:iCs w:val="0"/>
          <w:color w:val="000000" w:themeColor="text1"/>
          <w:sz w:val="20"/>
          <w:szCs w:val="20"/>
        </w:rPr>
        <w:t xml:space="preserve"> für die klinischen Endpunkte</w:t>
      </w:r>
      <w:r w:rsidRPr="00812C16">
        <w:rPr>
          <w:rFonts w:cs="Arial"/>
          <w:b/>
          <w:bCs/>
          <w:i w:val="0"/>
          <w:iCs w:val="0"/>
          <w:color w:val="000000" w:themeColor="text1"/>
          <w:sz w:val="20"/>
          <w:szCs w:val="20"/>
        </w:rPr>
        <w:t xml:space="preserve"> im Beobachtungszeitraum pro Tumorlokalisation</w:t>
      </w:r>
      <w:bookmarkEnd w:id="59"/>
      <w:r w:rsidR="000A27AE" w:rsidRPr="00812C16">
        <w:rPr>
          <w:rFonts w:cs="Arial"/>
          <w:b/>
          <w:bCs/>
          <w:i w:val="0"/>
          <w:iCs w:val="0"/>
          <w:color w:val="000000" w:themeColor="text1"/>
          <w:sz w:val="20"/>
          <w:szCs w:val="20"/>
        </w:rPr>
        <w:t xml:space="preserve"> vom gesamten Patientenkollektiv</w:t>
      </w:r>
      <w:r w:rsidR="00260E9C" w:rsidRPr="00812C16">
        <w:rPr>
          <w:rFonts w:cs="Arial"/>
          <w:b/>
          <w:bCs/>
          <w:i w:val="0"/>
          <w:iCs w:val="0"/>
          <w:color w:val="000000" w:themeColor="text1"/>
          <w:sz w:val="20"/>
          <w:szCs w:val="20"/>
        </w:rPr>
        <w:t xml:space="preserve">. </w:t>
      </w:r>
      <w:r w:rsidR="00260E9C" w:rsidRPr="00812C16">
        <w:rPr>
          <w:rFonts w:cs="Arial"/>
          <w:i w:val="0"/>
          <w:iCs w:val="0"/>
          <w:color w:val="000000" w:themeColor="text1"/>
          <w:sz w:val="20"/>
          <w:szCs w:val="20"/>
        </w:rPr>
        <w:t>N=Anzahl der auswertbaren Fälle</w:t>
      </w:r>
      <w:bookmarkEnd w:id="60"/>
      <w:r w:rsidR="00260E9C" w:rsidRPr="00812C16">
        <w:rPr>
          <w:rFonts w:cs="Arial"/>
          <w:b/>
          <w:bCs/>
          <w:i w:val="0"/>
          <w:iCs w:val="0"/>
          <w:color w:val="000000" w:themeColor="text1"/>
          <w:sz w:val="20"/>
          <w:szCs w:val="20"/>
        </w:rPr>
        <w:t xml:space="preserve"> </w:t>
      </w:r>
    </w:p>
    <w:tbl>
      <w:tblPr>
        <w:tblW w:w="9057" w:type="dxa"/>
        <w:tblBorders>
          <w:top w:val="single" w:sz="6" w:space="0" w:color="EBEBEB"/>
          <w:bottom w:val="single" w:sz="6" w:space="0" w:color="EBEBEB"/>
        </w:tblBorders>
        <w:tblCellMar>
          <w:left w:w="0" w:type="dxa"/>
          <w:right w:w="0" w:type="dxa"/>
        </w:tblCellMar>
        <w:tblLook w:val="04A0" w:firstRow="1" w:lastRow="0" w:firstColumn="1" w:lastColumn="0" w:noHBand="0" w:noVBand="1"/>
      </w:tblPr>
      <w:tblGrid>
        <w:gridCol w:w="2835"/>
        <w:gridCol w:w="1559"/>
        <w:gridCol w:w="1428"/>
        <w:gridCol w:w="1602"/>
        <w:gridCol w:w="1633"/>
      </w:tblGrid>
      <w:tr w:rsidR="003F66A6" w:rsidRPr="00812C16" w14:paraId="1E14EE6A" w14:textId="77777777" w:rsidTr="00E10DBC">
        <w:trPr>
          <w:tblHeader/>
        </w:trPr>
        <w:tc>
          <w:tcPr>
            <w:tcW w:w="2835" w:type="dxa"/>
            <w:tcBorders>
              <w:top w:val="single" w:sz="4" w:space="0" w:color="000000" w:themeColor="text1"/>
              <w:bottom w:val="single" w:sz="4" w:space="0" w:color="000000" w:themeColor="text1"/>
              <w:right w:val="nil"/>
            </w:tcBorders>
            <w:shd w:val="clear" w:color="auto" w:fill="4472C4" w:themeFill="accent1"/>
            <w:tcMar>
              <w:top w:w="75" w:type="dxa"/>
              <w:left w:w="75" w:type="dxa"/>
              <w:bottom w:w="75" w:type="dxa"/>
              <w:right w:w="75" w:type="dxa"/>
            </w:tcMar>
            <w:hideMark/>
          </w:tcPr>
          <w:p w14:paraId="1B481D00" w14:textId="77777777" w:rsidR="003F66A6" w:rsidRPr="00812C16" w:rsidRDefault="003F66A6" w:rsidP="006678A2">
            <w:pPr>
              <w:spacing w:before="30" w:after="30" w:line="240" w:lineRule="auto"/>
              <w:jc w:val="left"/>
              <w:rPr>
                <w:rFonts w:cs="Arial"/>
                <w:b/>
                <w:bCs/>
                <w:color w:val="FFFFFF" w:themeColor="background1"/>
                <w:sz w:val="18"/>
                <w:szCs w:val="18"/>
                <w:lang w:eastAsia="de-DE"/>
              </w:rPr>
            </w:pPr>
            <w:r w:rsidRPr="00812C16">
              <w:rPr>
                <w:rFonts w:cs="Arial"/>
                <w:b/>
                <w:bCs/>
                <w:color w:val="FFFFFF" w:themeColor="background1"/>
                <w:sz w:val="18"/>
                <w:szCs w:val="18"/>
                <w:lang w:eastAsia="de-DE"/>
              </w:rPr>
              <w:t>Endpunkte</w:t>
            </w:r>
          </w:p>
        </w:tc>
        <w:tc>
          <w:tcPr>
            <w:tcW w:w="1559" w:type="dxa"/>
            <w:tcBorders>
              <w:top w:val="single" w:sz="4" w:space="0" w:color="000000" w:themeColor="text1"/>
              <w:bottom w:val="single" w:sz="4" w:space="0" w:color="000000" w:themeColor="text1"/>
              <w:right w:val="nil"/>
            </w:tcBorders>
            <w:shd w:val="clear" w:color="auto" w:fill="4472C4" w:themeFill="accent1"/>
            <w:tcMar>
              <w:top w:w="75" w:type="dxa"/>
              <w:left w:w="75" w:type="dxa"/>
              <w:bottom w:w="75" w:type="dxa"/>
              <w:right w:w="75" w:type="dxa"/>
            </w:tcMar>
            <w:hideMark/>
          </w:tcPr>
          <w:p w14:paraId="388D58B9" w14:textId="77777777" w:rsidR="003F66A6" w:rsidRPr="00812C16" w:rsidRDefault="003F66A6" w:rsidP="006678A2">
            <w:pPr>
              <w:spacing w:before="30" w:after="30" w:line="240" w:lineRule="auto"/>
              <w:jc w:val="right"/>
              <w:rPr>
                <w:rFonts w:cs="Arial"/>
                <w:b/>
                <w:bCs/>
                <w:color w:val="FFFFFF" w:themeColor="background1"/>
                <w:sz w:val="18"/>
                <w:szCs w:val="18"/>
                <w:lang w:eastAsia="de-DE"/>
              </w:rPr>
            </w:pPr>
            <w:r w:rsidRPr="00812C16">
              <w:rPr>
                <w:rFonts w:cs="Arial"/>
                <w:b/>
                <w:bCs/>
                <w:color w:val="FFFFFF" w:themeColor="background1"/>
                <w:sz w:val="18"/>
                <w:szCs w:val="18"/>
                <w:lang w:eastAsia="de-DE"/>
              </w:rPr>
              <w:t>Insgesamt</w:t>
            </w:r>
          </w:p>
        </w:tc>
        <w:tc>
          <w:tcPr>
            <w:tcW w:w="1428" w:type="dxa"/>
            <w:tcBorders>
              <w:top w:val="single" w:sz="4" w:space="0" w:color="000000" w:themeColor="text1"/>
              <w:bottom w:val="single" w:sz="4" w:space="0" w:color="000000" w:themeColor="text1"/>
              <w:right w:val="nil"/>
            </w:tcBorders>
            <w:shd w:val="clear" w:color="auto" w:fill="4472C4" w:themeFill="accent1"/>
            <w:tcMar>
              <w:top w:w="75" w:type="dxa"/>
              <w:left w:w="75" w:type="dxa"/>
              <w:bottom w:w="75" w:type="dxa"/>
              <w:right w:w="75" w:type="dxa"/>
            </w:tcMar>
            <w:hideMark/>
          </w:tcPr>
          <w:p w14:paraId="2191953D" w14:textId="77777777" w:rsidR="003F66A6" w:rsidRPr="00812C16" w:rsidRDefault="003F66A6" w:rsidP="006678A2">
            <w:pPr>
              <w:spacing w:before="30" w:after="30" w:line="240" w:lineRule="auto"/>
              <w:jc w:val="right"/>
              <w:rPr>
                <w:rFonts w:cs="Arial"/>
                <w:b/>
                <w:bCs/>
                <w:color w:val="FFFFFF" w:themeColor="background1"/>
                <w:sz w:val="18"/>
                <w:szCs w:val="18"/>
                <w:lang w:eastAsia="de-DE"/>
              </w:rPr>
            </w:pPr>
            <w:r w:rsidRPr="00812C16">
              <w:rPr>
                <w:rFonts w:cs="Arial"/>
                <w:b/>
                <w:bCs/>
                <w:color w:val="FFFFFF" w:themeColor="background1"/>
                <w:sz w:val="18"/>
                <w:szCs w:val="18"/>
                <w:lang w:eastAsia="de-DE"/>
              </w:rPr>
              <w:t>Mundhöhle</w:t>
            </w:r>
          </w:p>
        </w:tc>
        <w:tc>
          <w:tcPr>
            <w:tcW w:w="0" w:type="auto"/>
            <w:tcBorders>
              <w:top w:val="single" w:sz="4" w:space="0" w:color="000000" w:themeColor="text1"/>
              <w:bottom w:val="single" w:sz="4" w:space="0" w:color="000000" w:themeColor="text1"/>
              <w:right w:val="nil"/>
            </w:tcBorders>
            <w:shd w:val="clear" w:color="auto" w:fill="4472C4" w:themeFill="accent1"/>
            <w:tcMar>
              <w:top w:w="75" w:type="dxa"/>
              <w:left w:w="75" w:type="dxa"/>
              <w:bottom w:w="75" w:type="dxa"/>
              <w:right w:w="75" w:type="dxa"/>
            </w:tcMar>
            <w:hideMark/>
          </w:tcPr>
          <w:p w14:paraId="69170B71" w14:textId="77777777" w:rsidR="003F66A6" w:rsidRPr="00812C16" w:rsidRDefault="003F66A6" w:rsidP="006678A2">
            <w:pPr>
              <w:spacing w:before="30" w:after="30" w:line="240" w:lineRule="auto"/>
              <w:jc w:val="right"/>
              <w:rPr>
                <w:rFonts w:cs="Arial"/>
                <w:b/>
                <w:bCs/>
                <w:color w:val="FFFFFF" w:themeColor="background1"/>
                <w:sz w:val="18"/>
                <w:szCs w:val="18"/>
                <w:lang w:eastAsia="de-DE"/>
              </w:rPr>
            </w:pPr>
            <w:r w:rsidRPr="00812C16">
              <w:rPr>
                <w:rFonts w:cs="Arial"/>
                <w:b/>
                <w:bCs/>
                <w:color w:val="FFFFFF" w:themeColor="background1"/>
                <w:sz w:val="18"/>
                <w:szCs w:val="18"/>
                <w:lang w:eastAsia="de-DE"/>
              </w:rPr>
              <w:t>Oropharynx</w:t>
            </w:r>
          </w:p>
        </w:tc>
        <w:tc>
          <w:tcPr>
            <w:tcW w:w="1633" w:type="dxa"/>
            <w:tcBorders>
              <w:top w:val="single" w:sz="4" w:space="0" w:color="000000" w:themeColor="text1"/>
              <w:bottom w:val="single" w:sz="4" w:space="0" w:color="000000" w:themeColor="text1"/>
              <w:right w:val="nil"/>
            </w:tcBorders>
            <w:shd w:val="clear" w:color="auto" w:fill="4472C4" w:themeFill="accent1"/>
            <w:tcMar>
              <w:top w:w="75" w:type="dxa"/>
              <w:left w:w="75" w:type="dxa"/>
              <w:bottom w:w="75" w:type="dxa"/>
              <w:right w:w="75" w:type="dxa"/>
            </w:tcMar>
            <w:hideMark/>
          </w:tcPr>
          <w:p w14:paraId="341ED66D" w14:textId="77777777" w:rsidR="003F66A6" w:rsidRPr="00812C16" w:rsidRDefault="003F66A6" w:rsidP="006678A2">
            <w:pPr>
              <w:spacing w:before="30" w:after="30" w:line="240" w:lineRule="auto"/>
              <w:jc w:val="right"/>
              <w:rPr>
                <w:rFonts w:cs="Arial"/>
                <w:b/>
                <w:bCs/>
                <w:color w:val="FFFFFF" w:themeColor="background1"/>
                <w:sz w:val="18"/>
                <w:szCs w:val="18"/>
                <w:lang w:eastAsia="de-DE"/>
              </w:rPr>
            </w:pPr>
            <w:r w:rsidRPr="00812C16">
              <w:rPr>
                <w:rFonts w:cs="Arial"/>
                <w:b/>
                <w:bCs/>
                <w:color w:val="FFFFFF" w:themeColor="background1"/>
                <w:sz w:val="18"/>
                <w:szCs w:val="18"/>
                <w:lang w:eastAsia="de-DE"/>
              </w:rPr>
              <w:t>Hypopharynx</w:t>
            </w:r>
          </w:p>
        </w:tc>
      </w:tr>
      <w:tr w:rsidR="003F66A6" w:rsidRPr="00812C16" w14:paraId="7806FA30" w14:textId="77777777" w:rsidTr="00E10DBC">
        <w:tc>
          <w:tcPr>
            <w:tcW w:w="2835" w:type="dxa"/>
            <w:tcBorders>
              <w:top w:val="single" w:sz="4" w:space="0" w:color="000000" w:themeColor="text1"/>
              <w:bottom w:val="single" w:sz="4" w:space="0" w:color="000000" w:themeColor="text1"/>
              <w:right w:val="nil"/>
            </w:tcBorders>
            <w:shd w:val="clear" w:color="auto" w:fill="D9E2F3" w:themeFill="accent1" w:themeFillTint="33"/>
            <w:tcMar>
              <w:top w:w="75" w:type="dxa"/>
              <w:left w:w="75" w:type="dxa"/>
              <w:bottom w:w="75" w:type="dxa"/>
              <w:right w:w="75" w:type="dxa"/>
            </w:tcMar>
          </w:tcPr>
          <w:p w14:paraId="240B11AE" w14:textId="77777777" w:rsidR="003F66A6" w:rsidRPr="00812C16" w:rsidRDefault="003F66A6" w:rsidP="006678A2">
            <w:pPr>
              <w:spacing w:before="30" w:after="30" w:line="240" w:lineRule="auto"/>
              <w:jc w:val="left"/>
              <w:rPr>
                <w:rFonts w:cs="Arial"/>
                <w:b/>
                <w:bCs/>
                <w:i/>
                <w:iCs/>
                <w:sz w:val="18"/>
                <w:szCs w:val="18"/>
                <w:lang w:eastAsia="de-DE"/>
              </w:rPr>
            </w:pPr>
            <w:r w:rsidRPr="00812C16">
              <w:rPr>
                <w:rFonts w:cs="Arial"/>
                <w:b/>
                <w:bCs/>
                <w:i/>
                <w:iCs/>
                <w:sz w:val="18"/>
                <w:szCs w:val="18"/>
                <w:lang w:eastAsia="de-DE"/>
              </w:rPr>
              <w:t>Alle Patienten</w:t>
            </w:r>
          </w:p>
        </w:tc>
        <w:tc>
          <w:tcPr>
            <w:tcW w:w="1559" w:type="dxa"/>
            <w:tcBorders>
              <w:top w:val="single" w:sz="4" w:space="0" w:color="000000" w:themeColor="text1"/>
              <w:bottom w:val="single" w:sz="4" w:space="0" w:color="000000" w:themeColor="text1"/>
              <w:right w:val="nil"/>
            </w:tcBorders>
            <w:shd w:val="clear" w:color="auto" w:fill="D9E2F3" w:themeFill="accent1" w:themeFillTint="33"/>
            <w:tcMar>
              <w:top w:w="75" w:type="dxa"/>
              <w:left w:w="75" w:type="dxa"/>
              <w:bottom w:w="75" w:type="dxa"/>
              <w:right w:w="75" w:type="dxa"/>
            </w:tcMar>
          </w:tcPr>
          <w:p w14:paraId="57B20A64" w14:textId="77777777" w:rsidR="003F66A6" w:rsidRPr="00812C16" w:rsidRDefault="003F66A6" w:rsidP="0029765C">
            <w:pPr>
              <w:spacing w:before="30" w:after="30" w:line="240" w:lineRule="auto"/>
              <w:jc w:val="right"/>
              <w:rPr>
                <w:rFonts w:cs="Arial"/>
                <w:sz w:val="18"/>
                <w:szCs w:val="18"/>
                <w:lang w:eastAsia="de-DE"/>
              </w:rPr>
            </w:pPr>
            <w:r w:rsidRPr="00812C16">
              <w:rPr>
                <w:rFonts w:cs="Arial"/>
                <w:sz w:val="18"/>
                <w:szCs w:val="18"/>
                <w:lang w:eastAsia="de-DE"/>
              </w:rPr>
              <w:t>N= 221</w:t>
            </w:r>
          </w:p>
        </w:tc>
        <w:tc>
          <w:tcPr>
            <w:tcW w:w="1428" w:type="dxa"/>
            <w:tcBorders>
              <w:top w:val="single" w:sz="4" w:space="0" w:color="000000" w:themeColor="text1"/>
              <w:bottom w:val="single" w:sz="4" w:space="0" w:color="000000" w:themeColor="text1"/>
              <w:right w:val="nil"/>
            </w:tcBorders>
            <w:shd w:val="clear" w:color="auto" w:fill="D9E2F3" w:themeFill="accent1" w:themeFillTint="33"/>
            <w:tcMar>
              <w:top w:w="75" w:type="dxa"/>
              <w:left w:w="75" w:type="dxa"/>
              <w:bottom w:w="75" w:type="dxa"/>
              <w:right w:w="75" w:type="dxa"/>
            </w:tcMar>
          </w:tcPr>
          <w:p w14:paraId="6445716C" w14:textId="77777777" w:rsidR="003F66A6" w:rsidRPr="00812C16" w:rsidRDefault="003F66A6" w:rsidP="006678A2">
            <w:pPr>
              <w:spacing w:before="30" w:after="30" w:line="240" w:lineRule="auto"/>
              <w:jc w:val="right"/>
              <w:rPr>
                <w:rFonts w:cs="Arial"/>
                <w:sz w:val="18"/>
                <w:szCs w:val="18"/>
                <w:lang w:eastAsia="de-DE"/>
              </w:rPr>
            </w:pPr>
            <w:r w:rsidRPr="00812C16">
              <w:rPr>
                <w:rFonts w:cs="Arial"/>
                <w:sz w:val="18"/>
                <w:szCs w:val="18"/>
                <w:lang w:eastAsia="de-DE"/>
              </w:rPr>
              <w:t>N=60</w:t>
            </w:r>
          </w:p>
        </w:tc>
        <w:tc>
          <w:tcPr>
            <w:tcW w:w="0" w:type="auto"/>
            <w:tcBorders>
              <w:top w:val="single" w:sz="4" w:space="0" w:color="000000" w:themeColor="text1"/>
              <w:bottom w:val="single" w:sz="4" w:space="0" w:color="000000" w:themeColor="text1"/>
              <w:right w:val="nil"/>
            </w:tcBorders>
            <w:shd w:val="clear" w:color="auto" w:fill="D9E2F3" w:themeFill="accent1" w:themeFillTint="33"/>
            <w:tcMar>
              <w:top w:w="75" w:type="dxa"/>
              <w:left w:w="75" w:type="dxa"/>
              <w:bottom w:w="75" w:type="dxa"/>
              <w:right w:w="75" w:type="dxa"/>
            </w:tcMar>
          </w:tcPr>
          <w:p w14:paraId="571D26EE" w14:textId="77777777" w:rsidR="003F66A6" w:rsidRPr="00812C16" w:rsidRDefault="003F66A6" w:rsidP="006678A2">
            <w:pPr>
              <w:spacing w:before="30" w:after="30" w:line="240" w:lineRule="auto"/>
              <w:jc w:val="right"/>
              <w:rPr>
                <w:rFonts w:cs="Arial"/>
                <w:sz w:val="18"/>
                <w:szCs w:val="18"/>
                <w:lang w:eastAsia="de-DE"/>
              </w:rPr>
            </w:pPr>
            <w:r w:rsidRPr="00812C16">
              <w:rPr>
                <w:rFonts w:cs="Arial"/>
                <w:sz w:val="18"/>
                <w:szCs w:val="18"/>
                <w:lang w:eastAsia="de-DE"/>
              </w:rPr>
              <w:t>N=126</w:t>
            </w:r>
          </w:p>
        </w:tc>
        <w:tc>
          <w:tcPr>
            <w:tcW w:w="1633" w:type="dxa"/>
            <w:tcBorders>
              <w:top w:val="single" w:sz="4" w:space="0" w:color="000000" w:themeColor="text1"/>
              <w:bottom w:val="single" w:sz="4" w:space="0" w:color="000000" w:themeColor="text1"/>
              <w:right w:val="nil"/>
            </w:tcBorders>
            <w:shd w:val="clear" w:color="auto" w:fill="D9E2F3" w:themeFill="accent1" w:themeFillTint="33"/>
            <w:tcMar>
              <w:top w:w="75" w:type="dxa"/>
              <w:left w:w="75" w:type="dxa"/>
              <w:bottom w:w="75" w:type="dxa"/>
              <w:right w:w="75" w:type="dxa"/>
            </w:tcMar>
          </w:tcPr>
          <w:p w14:paraId="146B6B7B" w14:textId="77777777" w:rsidR="003F66A6" w:rsidRPr="00812C16" w:rsidRDefault="003F66A6" w:rsidP="006678A2">
            <w:pPr>
              <w:spacing w:before="30" w:after="30" w:line="240" w:lineRule="auto"/>
              <w:jc w:val="right"/>
              <w:rPr>
                <w:rFonts w:cs="Arial"/>
                <w:sz w:val="18"/>
                <w:szCs w:val="18"/>
                <w:lang w:eastAsia="de-DE"/>
              </w:rPr>
            </w:pPr>
            <w:r w:rsidRPr="00812C16">
              <w:rPr>
                <w:rFonts w:cs="Arial"/>
                <w:sz w:val="18"/>
                <w:szCs w:val="18"/>
                <w:lang w:eastAsia="de-DE"/>
              </w:rPr>
              <w:t>N=35</w:t>
            </w:r>
          </w:p>
        </w:tc>
      </w:tr>
      <w:tr w:rsidR="003F66A6" w:rsidRPr="00812C16" w14:paraId="2BD77E41" w14:textId="77777777" w:rsidTr="003F66A6">
        <w:tc>
          <w:tcPr>
            <w:tcW w:w="2835" w:type="dxa"/>
            <w:tcBorders>
              <w:top w:val="single" w:sz="4" w:space="0" w:color="000000" w:themeColor="text1"/>
              <w:bottom w:val="nil"/>
              <w:right w:val="nil"/>
            </w:tcBorders>
            <w:tcMar>
              <w:top w:w="75" w:type="dxa"/>
              <w:left w:w="75" w:type="dxa"/>
              <w:bottom w:w="75" w:type="dxa"/>
              <w:right w:w="75" w:type="dxa"/>
            </w:tcMar>
            <w:hideMark/>
          </w:tcPr>
          <w:p w14:paraId="3EB8FF98" w14:textId="77777777" w:rsidR="003F66A6" w:rsidRPr="00812C16" w:rsidRDefault="0008123C" w:rsidP="006678A2">
            <w:pPr>
              <w:spacing w:before="30" w:after="30" w:line="240" w:lineRule="auto"/>
              <w:jc w:val="left"/>
              <w:rPr>
                <w:rFonts w:cs="Arial"/>
                <w:sz w:val="18"/>
                <w:szCs w:val="18"/>
                <w:lang w:eastAsia="de-DE"/>
              </w:rPr>
            </w:pPr>
            <w:r w:rsidRPr="00812C16">
              <w:rPr>
                <w:rFonts w:cs="Arial"/>
                <w:sz w:val="18"/>
                <w:szCs w:val="18"/>
                <w:lang w:eastAsia="de-DE"/>
              </w:rPr>
              <w:t>Lokales Versagen</w:t>
            </w:r>
          </w:p>
        </w:tc>
        <w:tc>
          <w:tcPr>
            <w:tcW w:w="1559" w:type="dxa"/>
            <w:tcBorders>
              <w:top w:val="single" w:sz="4" w:space="0" w:color="000000" w:themeColor="text1"/>
              <w:bottom w:val="nil"/>
              <w:right w:val="nil"/>
            </w:tcBorders>
            <w:tcMar>
              <w:top w:w="75" w:type="dxa"/>
              <w:left w:w="75" w:type="dxa"/>
              <w:bottom w:w="75" w:type="dxa"/>
              <w:right w:w="75" w:type="dxa"/>
            </w:tcMar>
            <w:hideMark/>
          </w:tcPr>
          <w:p w14:paraId="5A32434F" w14:textId="77777777" w:rsidR="003F66A6" w:rsidRPr="00812C16" w:rsidRDefault="003F66A6" w:rsidP="00DD653C">
            <w:pPr>
              <w:spacing w:before="30" w:after="30" w:line="240" w:lineRule="auto"/>
              <w:jc w:val="right"/>
              <w:rPr>
                <w:rFonts w:cs="Arial"/>
                <w:sz w:val="18"/>
                <w:szCs w:val="18"/>
                <w:lang w:eastAsia="de-DE"/>
              </w:rPr>
            </w:pPr>
            <w:r w:rsidRPr="00812C16">
              <w:rPr>
                <w:rFonts w:cs="Arial"/>
                <w:sz w:val="18"/>
                <w:szCs w:val="18"/>
                <w:lang w:eastAsia="de-DE"/>
              </w:rPr>
              <w:t>29 (13,1%)</w:t>
            </w:r>
          </w:p>
        </w:tc>
        <w:tc>
          <w:tcPr>
            <w:tcW w:w="1428" w:type="dxa"/>
            <w:tcBorders>
              <w:top w:val="single" w:sz="4" w:space="0" w:color="000000" w:themeColor="text1"/>
              <w:bottom w:val="nil"/>
              <w:right w:val="nil"/>
            </w:tcBorders>
            <w:tcMar>
              <w:top w:w="75" w:type="dxa"/>
              <w:left w:w="75" w:type="dxa"/>
              <w:bottom w:w="75" w:type="dxa"/>
              <w:right w:w="75" w:type="dxa"/>
            </w:tcMar>
            <w:hideMark/>
          </w:tcPr>
          <w:p w14:paraId="554D066A" w14:textId="77777777" w:rsidR="003F66A6" w:rsidRPr="00812C16" w:rsidRDefault="003F66A6" w:rsidP="006678A2">
            <w:pPr>
              <w:spacing w:before="30" w:after="30" w:line="240" w:lineRule="auto"/>
              <w:jc w:val="right"/>
              <w:rPr>
                <w:rFonts w:cs="Arial"/>
                <w:sz w:val="18"/>
                <w:szCs w:val="18"/>
                <w:lang w:eastAsia="de-DE"/>
              </w:rPr>
            </w:pPr>
            <w:r w:rsidRPr="00812C16">
              <w:rPr>
                <w:rFonts w:cs="Arial"/>
                <w:sz w:val="18"/>
                <w:szCs w:val="18"/>
                <w:lang w:eastAsia="de-DE"/>
              </w:rPr>
              <w:t>15</w:t>
            </w:r>
            <w:r w:rsidR="00DD653C" w:rsidRPr="00812C16">
              <w:rPr>
                <w:rFonts w:cs="Arial"/>
                <w:sz w:val="18"/>
                <w:szCs w:val="18"/>
                <w:lang w:eastAsia="de-DE"/>
              </w:rPr>
              <w:t xml:space="preserve"> </w:t>
            </w:r>
            <w:r w:rsidRPr="00812C16">
              <w:rPr>
                <w:rFonts w:cs="Arial"/>
                <w:sz w:val="18"/>
                <w:szCs w:val="18"/>
                <w:lang w:eastAsia="de-DE"/>
              </w:rPr>
              <w:t>(25,0%)</w:t>
            </w:r>
          </w:p>
        </w:tc>
        <w:tc>
          <w:tcPr>
            <w:tcW w:w="0" w:type="auto"/>
            <w:tcBorders>
              <w:top w:val="single" w:sz="4" w:space="0" w:color="000000" w:themeColor="text1"/>
              <w:bottom w:val="nil"/>
              <w:right w:val="nil"/>
            </w:tcBorders>
            <w:tcMar>
              <w:top w:w="75" w:type="dxa"/>
              <w:left w:w="75" w:type="dxa"/>
              <w:bottom w:w="75" w:type="dxa"/>
              <w:right w:w="75" w:type="dxa"/>
            </w:tcMar>
            <w:hideMark/>
          </w:tcPr>
          <w:p w14:paraId="06FBECC0" w14:textId="77777777" w:rsidR="003F66A6" w:rsidRPr="00812C16" w:rsidRDefault="003F66A6" w:rsidP="006678A2">
            <w:pPr>
              <w:spacing w:before="30" w:after="30" w:line="240" w:lineRule="auto"/>
              <w:jc w:val="right"/>
              <w:rPr>
                <w:rFonts w:cs="Arial"/>
                <w:sz w:val="18"/>
                <w:szCs w:val="18"/>
                <w:lang w:eastAsia="de-DE"/>
              </w:rPr>
            </w:pPr>
            <w:r w:rsidRPr="00812C16">
              <w:rPr>
                <w:rFonts w:cs="Arial"/>
                <w:sz w:val="18"/>
                <w:szCs w:val="18"/>
                <w:lang w:eastAsia="de-DE"/>
              </w:rPr>
              <w:t>11</w:t>
            </w:r>
            <w:r w:rsidR="00DD653C" w:rsidRPr="00812C16">
              <w:rPr>
                <w:rFonts w:cs="Arial"/>
                <w:sz w:val="18"/>
                <w:szCs w:val="18"/>
                <w:lang w:eastAsia="de-DE"/>
              </w:rPr>
              <w:t xml:space="preserve"> </w:t>
            </w:r>
            <w:r w:rsidRPr="00812C16">
              <w:rPr>
                <w:rFonts w:cs="Arial"/>
                <w:sz w:val="18"/>
                <w:szCs w:val="18"/>
                <w:lang w:eastAsia="de-DE"/>
              </w:rPr>
              <w:t>(8,7%)</w:t>
            </w:r>
          </w:p>
        </w:tc>
        <w:tc>
          <w:tcPr>
            <w:tcW w:w="1633" w:type="dxa"/>
            <w:tcBorders>
              <w:top w:val="single" w:sz="4" w:space="0" w:color="000000" w:themeColor="text1"/>
              <w:bottom w:val="nil"/>
              <w:right w:val="nil"/>
            </w:tcBorders>
            <w:tcMar>
              <w:top w:w="75" w:type="dxa"/>
              <w:left w:w="75" w:type="dxa"/>
              <w:bottom w:w="75" w:type="dxa"/>
              <w:right w:w="75" w:type="dxa"/>
            </w:tcMar>
            <w:hideMark/>
          </w:tcPr>
          <w:p w14:paraId="09B625DE" w14:textId="77777777" w:rsidR="003F66A6" w:rsidRPr="00812C16" w:rsidRDefault="003F66A6" w:rsidP="006678A2">
            <w:pPr>
              <w:spacing w:before="30" w:after="30" w:line="240" w:lineRule="auto"/>
              <w:jc w:val="right"/>
              <w:rPr>
                <w:rFonts w:cs="Arial"/>
                <w:sz w:val="18"/>
                <w:szCs w:val="18"/>
                <w:lang w:eastAsia="de-DE"/>
              </w:rPr>
            </w:pPr>
            <w:r w:rsidRPr="00812C16">
              <w:rPr>
                <w:rFonts w:cs="Arial"/>
                <w:sz w:val="18"/>
                <w:szCs w:val="18"/>
                <w:lang w:eastAsia="de-DE"/>
              </w:rPr>
              <w:t>3</w:t>
            </w:r>
            <w:r w:rsidR="00DD653C" w:rsidRPr="00812C16">
              <w:rPr>
                <w:rFonts w:cs="Arial"/>
                <w:sz w:val="18"/>
                <w:szCs w:val="18"/>
                <w:lang w:eastAsia="de-DE"/>
              </w:rPr>
              <w:t xml:space="preserve"> </w:t>
            </w:r>
            <w:r w:rsidRPr="00812C16">
              <w:rPr>
                <w:rFonts w:cs="Arial"/>
                <w:sz w:val="18"/>
                <w:szCs w:val="18"/>
                <w:lang w:eastAsia="de-DE"/>
              </w:rPr>
              <w:t>(8,6%)</w:t>
            </w:r>
          </w:p>
        </w:tc>
      </w:tr>
      <w:tr w:rsidR="003F66A6" w:rsidRPr="00812C16" w14:paraId="2BC1F7EE" w14:textId="77777777" w:rsidTr="003F66A6">
        <w:tc>
          <w:tcPr>
            <w:tcW w:w="2835" w:type="dxa"/>
            <w:tcBorders>
              <w:top w:val="nil"/>
              <w:bottom w:val="nil"/>
              <w:right w:val="nil"/>
            </w:tcBorders>
            <w:tcMar>
              <w:top w:w="75" w:type="dxa"/>
              <w:left w:w="75" w:type="dxa"/>
              <w:bottom w:w="75" w:type="dxa"/>
              <w:right w:w="75" w:type="dxa"/>
            </w:tcMar>
          </w:tcPr>
          <w:p w14:paraId="05135DD5" w14:textId="77777777" w:rsidR="003F66A6" w:rsidRPr="00812C16" w:rsidRDefault="0008123C" w:rsidP="006678A2">
            <w:pPr>
              <w:spacing w:before="30" w:after="30" w:line="240" w:lineRule="auto"/>
              <w:jc w:val="left"/>
              <w:rPr>
                <w:rFonts w:cs="Arial"/>
                <w:sz w:val="18"/>
                <w:szCs w:val="18"/>
                <w:lang w:eastAsia="de-DE"/>
              </w:rPr>
            </w:pPr>
            <w:r w:rsidRPr="00812C16">
              <w:rPr>
                <w:rFonts w:cs="Arial"/>
                <w:sz w:val="18"/>
                <w:szCs w:val="18"/>
                <w:lang w:eastAsia="de-DE"/>
              </w:rPr>
              <w:t>Entferntes Versagen</w:t>
            </w:r>
          </w:p>
        </w:tc>
        <w:tc>
          <w:tcPr>
            <w:tcW w:w="1559" w:type="dxa"/>
            <w:tcBorders>
              <w:top w:val="nil"/>
              <w:bottom w:val="nil"/>
              <w:right w:val="nil"/>
            </w:tcBorders>
            <w:tcMar>
              <w:top w:w="75" w:type="dxa"/>
              <w:left w:w="75" w:type="dxa"/>
              <w:bottom w:w="75" w:type="dxa"/>
              <w:right w:w="75" w:type="dxa"/>
            </w:tcMar>
          </w:tcPr>
          <w:p w14:paraId="53035C2A" w14:textId="77777777" w:rsidR="003F66A6" w:rsidRPr="00812C16" w:rsidRDefault="003F66A6" w:rsidP="006678A2">
            <w:pPr>
              <w:spacing w:before="30" w:after="30" w:line="240" w:lineRule="auto"/>
              <w:jc w:val="right"/>
              <w:rPr>
                <w:rFonts w:cs="Arial"/>
                <w:sz w:val="18"/>
                <w:szCs w:val="18"/>
                <w:lang w:eastAsia="de-DE"/>
              </w:rPr>
            </w:pPr>
            <w:r w:rsidRPr="00812C16">
              <w:rPr>
                <w:rFonts w:cs="Arial"/>
                <w:sz w:val="18"/>
                <w:szCs w:val="18"/>
                <w:lang w:eastAsia="de-DE"/>
              </w:rPr>
              <w:t>42 (19,0%)</w:t>
            </w:r>
          </w:p>
        </w:tc>
        <w:tc>
          <w:tcPr>
            <w:tcW w:w="1428" w:type="dxa"/>
            <w:tcBorders>
              <w:top w:val="nil"/>
              <w:bottom w:val="nil"/>
              <w:right w:val="nil"/>
            </w:tcBorders>
            <w:tcMar>
              <w:top w:w="75" w:type="dxa"/>
              <w:left w:w="75" w:type="dxa"/>
              <w:bottom w:w="75" w:type="dxa"/>
              <w:right w:w="75" w:type="dxa"/>
            </w:tcMar>
          </w:tcPr>
          <w:p w14:paraId="42F3A268" w14:textId="77777777" w:rsidR="003F66A6" w:rsidRPr="00812C16" w:rsidRDefault="003F66A6" w:rsidP="006678A2">
            <w:pPr>
              <w:spacing w:before="30" w:after="30" w:line="240" w:lineRule="auto"/>
              <w:jc w:val="right"/>
              <w:rPr>
                <w:rFonts w:cs="Arial"/>
                <w:sz w:val="18"/>
                <w:szCs w:val="18"/>
                <w:lang w:eastAsia="de-DE"/>
              </w:rPr>
            </w:pPr>
            <w:r w:rsidRPr="00812C16">
              <w:rPr>
                <w:rFonts w:cs="Arial"/>
                <w:sz w:val="18"/>
                <w:szCs w:val="18"/>
                <w:lang w:eastAsia="de-DE"/>
              </w:rPr>
              <w:t>18 (30,0%)</w:t>
            </w:r>
          </w:p>
        </w:tc>
        <w:tc>
          <w:tcPr>
            <w:tcW w:w="0" w:type="auto"/>
            <w:tcBorders>
              <w:top w:val="nil"/>
              <w:bottom w:val="nil"/>
              <w:right w:val="nil"/>
            </w:tcBorders>
            <w:tcMar>
              <w:top w:w="75" w:type="dxa"/>
              <w:left w:w="75" w:type="dxa"/>
              <w:bottom w:w="75" w:type="dxa"/>
              <w:right w:w="75" w:type="dxa"/>
            </w:tcMar>
          </w:tcPr>
          <w:p w14:paraId="17AA3FE2" w14:textId="77777777" w:rsidR="003F66A6" w:rsidRPr="00812C16" w:rsidRDefault="003F66A6" w:rsidP="006678A2">
            <w:pPr>
              <w:spacing w:before="30" w:after="30" w:line="240" w:lineRule="auto"/>
              <w:jc w:val="right"/>
              <w:rPr>
                <w:rFonts w:cs="Arial"/>
                <w:sz w:val="18"/>
                <w:szCs w:val="18"/>
                <w:lang w:eastAsia="de-DE"/>
              </w:rPr>
            </w:pPr>
            <w:r w:rsidRPr="00812C16">
              <w:rPr>
                <w:rFonts w:cs="Arial"/>
                <w:sz w:val="18"/>
                <w:szCs w:val="18"/>
                <w:lang w:eastAsia="de-DE"/>
              </w:rPr>
              <w:t>14</w:t>
            </w:r>
            <w:r w:rsidR="00DD653C" w:rsidRPr="00812C16">
              <w:rPr>
                <w:rFonts w:cs="Arial"/>
                <w:sz w:val="18"/>
                <w:szCs w:val="18"/>
                <w:lang w:eastAsia="de-DE"/>
              </w:rPr>
              <w:t xml:space="preserve"> </w:t>
            </w:r>
            <w:r w:rsidRPr="00812C16">
              <w:rPr>
                <w:rFonts w:cs="Arial"/>
                <w:sz w:val="18"/>
                <w:szCs w:val="18"/>
                <w:lang w:eastAsia="de-DE"/>
              </w:rPr>
              <w:t>(11,1%)</w:t>
            </w:r>
          </w:p>
        </w:tc>
        <w:tc>
          <w:tcPr>
            <w:tcW w:w="1633" w:type="dxa"/>
            <w:tcBorders>
              <w:top w:val="nil"/>
              <w:bottom w:val="nil"/>
              <w:right w:val="nil"/>
            </w:tcBorders>
            <w:tcMar>
              <w:top w:w="75" w:type="dxa"/>
              <w:left w:w="75" w:type="dxa"/>
              <w:bottom w:w="75" w:type="dxa"/>
              <w:right w:w="75" w:type="dxa"/>
            </w:tcMar>
          </w:tcPr>
          <w:p w14:paraId="79617B3E" w14:textId="77777777" w:rsidR="003F66A6" w:rsidRPr="00812C16" w:rsidRDefault="003F66A6" w:rsidP="006678A2">
            <w:pPr>
              <w:spacing w:before="30" w:after="30" w:line="240" w:lineRule="auto"/>
              <w:jc w:val="right"/>
              <w:rPr>
                <w:rFonts w:cs="Arial"/>
                <w:sz w:val="18"/>
                <w:szCs w:val="18"/>
                <w:lang w:eastAsia="de-DE"/>
              </w:rPr>
            </w:pPr>
            <w:r w:rsidRPr="00812C16">
              <w:rPr>
                <w:rFonts w:cs="Arial"/>
                <w:sz w:val="18"/>
                <w:szCs w:val="18"/>
                <w:lang w:eastAsia="de-DE"/>
              </w:rPr>
              <w:t>10 (28,6%)</w:t>
            </w:r>
          </w:p>
        </w:tc>
      </w:tr>
      <w:tr w:rsidR="003F66A6" w:rsidRPr="00812C16" w14:paraId="40C1CA9C" w14:textId="77777777" w:rsidTr="00596B3B">
        <w:trPr>
          <w:trHeight w:val="14"/>
        </w:trPr>
        <w:tc>
          <w:tcPr>
            <w:tcW w:w="2835" w:type="dxa"/>
            <w:tcBorders>
              <w:top w:val="nil"/>
              <w:bottom w:val="nil"/>
              <w:right w:val="nil"/>
            </w:tcBorders>
            <w:tcMar>
              <w:top w:w="75" w:type="dxa"/>
              <w:left w:w="75" w:type="dxa"/>
              <w:bottom w:w="75" w:type="dxa"/>
              <w:right w:w="75" w:type="dxa"/>
            </w:tcMar>
          </w:tcPr>
          <w:p w14:paraId="4B51296C" w14:textId="77777777" w:rsidR="003F66A6" w:rsidRPr="00812C16" w:rsidRDefault="003F66A6" w:rsidP="006678A2">
            <w:pPr>
              <w:spacing w:before="30" w:after="30" w:line="240" w:lineRule="auto"/>
              <w:jc w:val="left"/>
              <w:rPr>
                <w:rFonts w:cs="Arial"/>
                <w:sz w:val="18"/>
                <w:szCs w:val="18"/>
                <w:lang w:eastAsia="de-DE"/>
              </w:rPr>
            </w:pPr>
            <w:r w:rsidRPr="00812C16">
              <w:rPr>
                <w:rFonts w:cs="Arial"/>
                <w:sz w:val="18"/>
                <w:szCs w:val="18"/>
                <w:lang w:eastAsia="de-DE"/>
              </w:rPr>
              <w:t>Tod</w:t>
            </w:r>
          </w:p>
        </w:tc>
        <w:tc>
          <w:tcPr>
            <w:tcW w:w="1559" w:type="dxa"/>
            <w:tcBorders>
              <w:top w:val="nil"/>
              <w:bottom w:val="nil"/>
              <w:right w:val="nil"/>
            </w:tcBorders>
            <w:tcMar>
              <w:top w:w="75" w:type="dxa"/>
              <w:left w:w="75" w:type="dxa"/>
              <w:bottom w:w="75" w:type="dxa"/>
              <w:right w:w="75" w:type="dxa"/>
            </w:tcMar>
          </w:tcPr>
          <w:p w14:paraId="03AEE469" w14:textId="77777777" w:rsidR="003F66A6" w:rsidRPr="00812C16" w:rsidRDefault="003F66A6" w:rsidP="006678A2">
            <w:pPr>
              <w:spacing w:before="30" w:after="30" w:line="240" w:lineRule="auto"/>
              <w:jc w:val="right"/>
              <w:rPr>
                <w:rFonts w:cs="Arial"/>
                <w:sz w:val="18"/>
                <w:szCs w:val="18"/>
                <w:lang w:eastAsia="de-DE"/>
              </w:rPr>
            </w:pPr>
            <w:r w:rsidRPr="00812C16">
              <w:rPr>
                <w:rFonts w:cs="Arial"/>
                <w:sz w:val="18"/>
                <w:szCs w:val="18"/>
                <w:lang w:eastAsia="de-DE"/>
              </w:rPr>
              <w:t>70</w:t>
            </w:r>
            <w:r w:rsidR="00DD653C" w:rsidRPr="00812C16">
              <w:rPr>
                <w:rFonts w:cs="Arial"/>
                <w:sz w:val="18"/>
                <w:szCs w:val="18"/>
                <w:lang w:eastAsia="de-DE"/>
              </w:rPr>
              <w:t xml:space="preserve"> </w:t>
            </w:r>
            <w:r w:rsidRPr="00812C16">
              <w:rPr>
                <w:rFonts w:cs="Arial"/>
                <w:sz w:val="18"/>
                <w:szCs w:val="18"/>
                <w:lang w:eastAsia="de-DE"/>
              </w:rPr>
              <w:t>(31,7%)</w:t>
            </w:r>
          </w:p>
        </w:tc>
        <w:tc>
          <w:tcPr>
            <w:tcW w:w="1428" w:type="dxa"/>
            <w:tcBorders>
              <w:top w:val="nil"/>
              <w:bottom w:val="nil"/>
              <w:right w:val="nil"/>
            </w:tcBorders>
            <w:tcMar>
              <w:top w:w="75" w:type="dxa"/>
              <w:left w:w="75" w:type="dxa"/>
              <w:bottom w:w="75" w:type="dxa"/>
              <w:right w:w="75" w:type="dxa"/>
            </w:tcMar>
          </w:tcPr>
          <w:p w14:paraId="677D5141" w14:textId="77777777" w:rsidR="003F66A6" w:rsidRPr="00812C16" w:rsidRDefault="003F66A6" w:rsidP="006678A2">
            <w:pPr>
              <w:spacing w:before="30" w:after="30" w:line="240" w:lineRule="auto"/>
              <w:jc w:val="right"/>
              <w:rPr>
                <w:rFonts w:cs="Arial"/>
                <w:sz w:val="18"/>
                <w:szCs w:val="18"/>
                <w:lang w:eastAsia="de-DE"/>
              </w:rPr>
            </w:pPr>
            <w:r w:rsidRPr="00812C16">
              <w:rPr>
                <w:rFonts w:cs="Arial"/>
                <w:sz w:val="18"/>
                <w:szCs w:val="18"/>
                <w:lang w:eastAsia="de-DE"/>
              </w:rPr>
              <w:t>28</w:t>
            </w:r>
            <w:r w:rsidR="00DD653C" w:rsidRPr="00812C16">
              <w:rPr>
                <w:rFonts w:cs="Arial"/>
                <w:sz w:val="18"/>
                <w:szCs w:val="18"/>
                <w:lang w:eastAsia="de-DE"/>
              </w:rPr>
              <w:t xml:space="preserve"> </w:t>
            </w:r>
            <w:r w:rsidRPr="00812C16">
              <w:rPr>
                <w:rFonts w:cs="Arial"/>
                <w:sz w:val="18"/>
                <w:szCs w:val="18"/>
                <w:lang w:eastAsia="de-DE"/>
              </w:rPr>
              <w:t>(46,7%)</w:t>
            </w:r>
          </w:p>
        </w:tc>
        <w:tc>
          <w:tcPr>
            <w:tcW w:w="0" w:type="auto"/>
            <w:tcBorders>
              <w:top w:val="nil"/>
              <w:bottom w:val="nil"/>
              <w:right w:val="nil"/>
            </w:tcBorders>
            <w:tcMar>
              <w:top w:w="75" w:type="dxa"/>
              <w:left w:w="75" w:type="dxa"/>
              <w:bottom w:w="75" w:type="dxa"/>
              <w:right w:w="75" w:type="dxa"/>
            </w:tcMar>
          </w:tcPr>
          <w:p w14:paraId="4DA324E5" w14:textId="77777777" w:rsidR="003F66A6" w:rsidRPr="00812C16" w:rsidRDefault="003F66A6" w:rsidP="006678A2">
            <w:pPr>
              <w:spacing w:before="30" w:after="30" w:line="240" w:lineRule="auto"/>
              <w:jc w:val="right"/>
              <w:rPr>
                <w:rFonts w:cs="Arial"/>
                <w:sz w:val="18"/>
                <w:szCs w:val="18"/>
                <w:lang w:eastAsia="de-DE"/>
              </w:rPr>
            </w:pPr>
            <w:r w:rsidRPr="00812C16">
              <w:rPr>
                <w:rFonts w:cs="Arial"/>
                <w:sz w:val="18"/>
                <w:szCs w:val="18"/>
                <w:lang w:eastAsia="de-DE"/>
              </w:rPr>
              <w:t>34</w:t>
            </w:r>
            <w:r w:rsidR="00DD653C" w:rsidRPr="00812C16">
              <w:rPr>
                <w:rFonts w:cs="Arial"/>
                <w:sz w:val="18"/>
                <w:szCs w:val="18"/>
                <w:lang w:eastAsia="de-DE"/>
              </w:rPr>
              <w:t xml:space="preserve"> </w:t>
            </w:r>
            <w:r w:rsidRPr="00812C16">
              <w:rPr>
                <w:rFonts w:cs="Arial"/>
                <w:sz w:val="18"/>
                <w:szCs w:val="18"/>
                <w:lang w:eastAsia="de-DE"/>
              </w:rPr>
              <w:t>(27,0%)</w:t>
            </w:r>
          </w:p>
        </w:tc>
        <w:tc>
          <w:tcPr>
            <w:tcW w:w="1633" w:type="dxa"/>
            <w:tcBorders>
              <w:top w:val="nil"/>
              <w:bottom w:val="nil"/>
              <w:right w:val="nil"/>
            </w:tcBorders>
            <w:tcMar>
              <w:top w:w="75" w:type="dxa"/>
              <w:left w:w="75" w:type="dxa"/>
              <w:bottom w:w="75" w:type="dxa"/>
              <w:right w:w="75" w:type="dxa"/>
            </w:tcMar>
          </w:tcPr>
          <w:p w14:paraId="06CB4FD1" w14:textId="77777777" w:rsidR="003F66A6" w:rsidRPr="00812C16" w:rsidRDefault="003F66A6" w:rsidP="006678A2">
            <w:pPr>
              <w:spacing w:before="30" w:after="30" w:line="240" w:lineRule="auto"/>
              <w:jc w:val="right"/>
              <w:rPr>
                <w:rFonts w:cs="Arial"/>
                <w:sz w:val="18"/>
                <w:szCs w:val="18"/>
                <w:lang w:eastAsia="de-DE"/>
              </w:rPr>
            </w:pPr>
            <w:r w:rsidRPr="00812C16">
              <w:rPr>
                <w:rFonts w:cs="Arial"/>
                <w:sz w:val="18"/>
                <w:szCs w:val="18"/>
                <w:lang w:eastAsia="de-DE"/>
              </w:rPr>
              <w:t>8</w:t>
            </w:r>
            <w:r w:rsidR="00DD653C" w:rsidRPr="00812C16">
              <w:rPr>
                <w:rFonts w:cs="Arial"/>
                <w:sz w:val="18"/>
                <w:szCs w:val="18"/>
                <w:lang w:eastAsia="de-DE"/>
              </w:rPr>
              <w:t xml:space="preserve"> </w:t>
            </w:r>
            <w:r w:rsidRPr="00812C16">
              <w:rPr>
                <w:rFonts w:cs="Arial"/>
                <w:sz w:val="18"/>
                <w:szCs w:val="18"/>
                <w:lang w:eastAsia="de-DE"/>
              </w:rPr>
              <w:t>(22,9%)</w:t>
            </w:r>
          </w:p>
        </w:tc>
      </w:tr>
      <w:tr w:rsidR="00842855" w:rsidRPr="00812C16" w14:paraId="090D89BB" w14:textId="77777777" w:rsidTr="003F66A6">
        <w:trPr>
          <w:trHeight w:val="14"/>
        </w:trPr>
        <w:tc>
          <w:tcPr>
            <w:tcW w:w="2835" w:type="dxa"/>
            <w:tcBorders>
              <w:top w:val="nil"/>
              <w:bottom w:val="single" w:sz="4" w:space="0" w:color="000000" w:themeColor="text1"/>
              <w:right w:val="nil"/>
            </w:tcBorders>
            <w:tcMar>
              <w:top w:w="75" w:type="dxa"/>
              <w:left w:w="75" w:type="dxa"/>
              <w:bottom w:w="75" w:type="dxa"/>
              <w:right w:w="75" w:type="dxa"/>
            </w:tcMar>
          </w:tcPr>
          <w:p w14:paraId="658699A9" w14:textId="77777777" w:rsidR="00842855" w:rsidRPr="00812C16" w:rsidRDefault="00842855" w:rsidP="006678A2">
            <w:pPr>
              <w:spacing w:before="30" w:after="30" w:line="240" w:lineRule="auto"/>
              <w:jc w:val="left"/>
              <w:rPr>
                <w:rFonts w:cs="Arial"/>
                <w:sz w:val="18"/>
                <w:szCs w:val="18"/>
                <w:lang w:eastAsia="de-DE"/>
              </w:rPr>
            </w:pPr>
            <w:r w:rsidRPr="00812C16">
              <w:rPr>
                <w:rFonts w:cs="Arial"/>
                <w:sz w:val="18"/>
                <w:szCs w:val="18"/>
                <w:lang w:eastAsia="de-DE"/>
              </w:rPr>
              <w:t>Zensiert</w:t>
            </w:r>
          </w:p>
        </w:tc>
        <w:tc>
          <w:tcPr>
            <w:tcW w:w="1559" w:type="dxa"/>
            <w:tcBorders>
              <w:top w:val="nil"/>
              <w:bottom w:val="single" w:sz="4" w:space="0" w:color="000000" w:themeColor="text1"/>
              <w:right w:val="nil"/>
            </w:tcBorders>
            <w:tcMar>
              <w:top w:w="75" w:type="dxa"/>
              <w:left w:w="75" w:type="dxa"/>
              <w:bottom w:w="75" w:type="dxa"/>
              <w:right w:w="75" w:type="dxa"/>
            </w:tcMar>
          </w:tcPr>
          <w:p w14:paraId="77C1E42C" w14:textId="77777777" w:rsidR="00842855" w:rsidRPr="00812C16" w:rsidRDefault="0039568E" w:rsidP="006678A2">
            <w:pPr>
              <w:spacing w:before="30" w:after="30" w:line="240" w:lineRule="auto"/>
              <w:jc w:val="right"/>
              <w:rPr>
                <w:rFonts w:cs="Arial"/>
                <w:sz w:val="18"/>
                <w:szCs w:val="18"/>
                <w:lang w:eastAsia="de-DE"/>
              </w:rPr>
            </w:pPr>
            <w:r w:rsidRPr="00812C16">
              <w:rPr>
                <w:rFonts w:cs="Arial"/>
                <w:sz w:val="18"/>
                <w:szCs w:val="18"/>
                <w:lang w:eastAsia="de-DE"/>
              </w:rPr>
              <w:t>80 (36,2%)</w:t>
            </w:r>
          </w:p>
        </w:tc>
        <w:tc>
          <w:tcPr>
            <w:tcW w:w="1428" w:type="dxa"/>
            <w:tcBorders>
              <w:top w:val="nil"/>
              <w:bottom w:val="single" w:sz="4" w:space="0" w:color="000000" w:themeColor="text1"/>
              <w:right w:val="nil"/>
            </w:tcBorders>
            <w:tcMar>
              <w:top w:w="75" w:type="dxa"/>
              <w:left w:w="75" w:type="dxa"/>
              <w:bottom w:w="75" w:type="dxa"/>
              <w:right w:w="75" w:type="dxa"/>
            </w:tcMar>
          </w:tcPr>
          <w:p w14:paraId="645B6EE2" w14:textId="77777777" w:rsidR="00842855" w:rsidRPr="00812C16" w:rsidRDefault="0024223E" w:rsidP="006678A2">
            <w:pPr>
              <w:spacing w:before="30" w:after="30" w:line="240" w:lineRule="auto"/>
              <w:jc w:val="right"/>
              <w:rPr>
                <w:rFonts w:cs="Arial"/>
                <w:sz w:val="18"/>
                <w:szCs w:val="18"/>
                <w:lang w:eastAsia="de-DE"/>
              </w:rPr>
            </w:pPr>
            <w:r w:rsidRPr="00812C16">
              <w:rPr>
                <w:rFonts w:cs="Arial"/>
                <w:sz w:val="18"/>
                <w:szCs w:val="18"/>
                <w:lang w:eastAsia="de-DE"/>
              </w:rPr>
              <w:t>0</w:t>
            </w:r>
            <w:r w:rsidR="00383A2A" w:rsidRPr="00812C16">
              <w:rPr>
                <w:rFonts w:cs="Arial"/>
                <w:sz w:val="18"/>
                <w:szCs w:val="18"/>
                <w:lang w:eastAsia="de-DE"/>
              </w:rPr>
              <w:t xml:space="preserve"> (0,0%)</w:t>
            </w:r>
          </w:p>
        </w:tc>
        <w:tc>
          <w:tcPr>
            <w:tcW w:w="0" w:type="auto"/>
            <w:tcBorders>
              <w:top w:val="nil"/>
              <w:bottom w:val="single" w:sz="4" w:space="0" w:color="000000" w:themeColor="text1"/>
              <w:right w:val="nil"/>
            </w:tcBorders>
            <w:tcMar>
              <w:top w:w="75" w:type="dxa"/>
              <w:left w:w="75" w:type="dxa"/>
              <w:bottom w:w="75" w:type="dxa"/>
              <w:right w:w="75" w:type="dxa"/>
            </w:tcMar>
          </w:tcPr>
          <w:p w14:paraId="22B9BA88" w14:textId="77777777" w:rsidR="00842855" w:rsidRPr="00812C16" w:rsidRDefault="000D5932" w:rsidP="006678A2">
            <w:pPr>
              <w:spacing w:before="30" w:after="30" w:line="240" w:lineRule="auto"/>
              <w:jc w:val="right"/>
              <w:rPr>
                <w:rFonts w:cs="Arial"/>
                <w:sz w:val="18"/>
                <w:szCs w:val="18"/>
                <w:lang w:eastAsia="de-DE"/>
              </w:rPr>
            </w:pPr>
            <w:r w:rsidRPr="00812C16">
              <w:rPr>
                <w:rFonts w:cs="Arial"/>
                <w:sz w:val="18"/>
                <w:szCs w:val="18"/>
                <w:lang w:eastAsia="de-DE"/>
              </w:rPr>
              <w:t>6</w:t>
            </w:r>
            <w:r w:rsidR="0024223E" w:rsidRPr="00812C16">
              <w:rPr>
                <w:rFonts w:cs="Arial"/>
                <w:sz w:val="18"/>
                <w:szCs w:val="18"/>
                <w:lang w:eastAsia="de-DE"/>
              </w:rPr>
              <w:t>6</w:t>
            </w:r>
            <w:r w:rsidR="00383A2A" w:rsidRPr="00812C16">
              <w:rPr>
                <w:rFonts w:cs="Arial"/>
                <w:sz w:val="18"/>
                <w:szCs w:val="18"/>
                <w:lang w:eastAsia="de-DE"/>
              </w:rPr>
              <w:t xml:space="preserve"> (52,4%)</w:t>
            </w:r>
          </w:p>
        </w:tc>
        <w:tc>
          <w:tcPr>
            <w:tcW w:w="1633" w:type="dxa"/>
            <w:tcBorders>
              <w:top w:val="nil"/>
              <w:bottom w:val="single" w:sz="4" w:space="0" w:color="000000" w:themeColor="text1"/>
              <w:right w:val="nil"/>
            </w:tcBorders>
            <w:tcMar>
              <w:top w:w="75" w:type="dxa"/>
              <w:left w:w="75" w:type="dxa"/>
              <w:bottom w:w="75" w:type="dxa"/>
              <w:right w:w="75" w:type="dxa"/>
            </w:tcMar>
          </w:tcPr>
          <w:p w14:paraId="4A35B27F" w14:textId="77777777" w:rsidR="00842855" w:rsidRPr="00812C16" w:rsidRDefault="000D5932" w:rsidP="006678A2">
            <w:pPr>
              <w:spacing w:before="30" w:after="30" w:line="240" w:lineRule="auto"/>
              <w:jc w:val="right"/>
              <w:rPr>
                <w:rFonts w:cs="Arial"/>
                <w:sz w:val="18"/>
                <w:szCs w:val="18"/>
                <w:lang w:eastAsia="de-DE"/>
              </w:rPr>
            </w:pPr>
            <w:r w:rsidRPr="00812C16">
              <w:rPr>
                <w:rFonts w:cs="Arial"/>
                <w:sz w:val="18"/>
                <w:szCs w:val="18"/>
                <w:lang w:eastAsia="de-DE"/>
              </w:rPr>
              <w:t>14</w:t>
            </w:r>
            <w:r w:rsidR="00383A2A" w:rsidRPr="00812C16">
              <w:rPr>
                <w:rFonts w:cs="Arial"/>
                <w:sz w:val="18"/>
                <w:szCs w:val="18"/>
                <w:lang w:eastAsia="de-DE"/>
              </w:rPr>
              <w:t xml:space="preserve"> (40%)</w:t>
            </w:r>
          </w:p>
        </w:tc>
      </w:tr>
    </w:tbl>
    <w:p w14:paraId="67698B5F" w14:textId="0E60539D" w:rsidR="00F74A18" w:rsidRPr="00812C16" w:rsidRDefault="009943EC" w:rsidP="00B76E7A">
      <w:pPr>
        <w:tabs>
          <w:tab w:val="left" w:pos="7088"/>
          <w:tab w:val="left" w:pos="7371"/>
          <w:tab w:val="left" w:pos="7513"/>
        </w:tabs>
        <w:spacing w:before="360"/>
        <w:rPr>
          <w:rFonts w:cs="Arial"/>
          <w:lang w:eastAsia="de-DE"/>
        </w:rPr>
      </w:pPr>
      <w:r w:rsidRPr="00812C16">
        <w:rPr>
          <w:rFonts w:cs="Arial"/>
          <w:lang w:eastAsia="de-DE"/>
        </w:rPr>
        <w:t>Die mediane</w:t>
      </w:r>
      <w:r w:rsidR="00AD3966" w:rsidRPr="00812C16">
        <w:rPr>
          <w:rFonts w:cs="Arial"/>
          <w:lang w:eastAsia="de-DE"/>
        </w:rPr>
        <w:t>n</w:t>
      </w:r>
      <w:r w:rsidRPr="00812C16">
        <w:rPr>
          <w:rFonts w:cs="Arial"/>
          <w:lang w:eastAsia="de-DE"/>
        </w:rPr>
        <w:t xml:space="preserve"> </w:t>
      </w:r>
      <w:r w:rsidR="00FA78F9" w:rsidRPr="00812C16">
        <w:rPr>
          <w:rFonts w:cs="Arial"/>
          <w:lang w:eastAsia="de-DE"/>
        </w:rPr>
        <w:t>Nachbeobach</w:t>
      </w:r>
      <w:r w:rsidR="00930B1A" w:rsidRPr="00812C16">
        <w:rPr>
          <w:rFonts w:cs="Arial"/>
          <w:lang w:eastAsia="de-DE"/>
        </w:rPr>
        <w:t>tu</w:t>
      </w:r>
      <w:r w:rsidR="00FA78F9" w:rsidRPr="00812C16">
        <w:rPr>
          <w:rFonts w:cs="Arial"/>
          <w:lang w:eastAsia="de-DE"/>
        </w:rPr>
        <w:t>ngszeit</w:t>
      </w:r>
      <w:r w:rsidR="00AD3966" w:rsidRPr="00812C16">
        <w:rPr>
          <w:rFonts w:cs="Arial"/>
          <w:lang w:eastAsia="de-DE"/>
        </w:rPr>
        <w:t>en</w:t>
      </w:r>
      <w:r w:rsidR="00FA78F9" w:rsidRPr="00812C16">
        <w:rPr>
          <w:rFonts w:cs="Arial"/>
          <w:lang w:eastAsia="de-DE"/>
        </w:rPr>
        <w:t xml:space="preserve"> </w:t>
      </w:r>
      <w:r w:rsidR="00B1662B" w:rsidRPr="00812C16">
        <w:rPr>
          <w:rFonts w:cs="Arial"/>
          <w:lang w:eastAsia="de-DE"/>
        </w:rPr>
        <w:t>des Patienten</w:t>
      </w:r>
      <w:r w:rsidR="00B77E4B" w:rsidRPr="00812C16">
        <w:rPr>
          <w:rFonts w:cs="Arial"/>
          <w:lang w:eastAsia="de-DE"/>
        </w:rPr>
        <w:t>kollektivs</w:t>
      </w:r>
      <w:r w:rsidR="00341452" w:rsidRPr="00812C16">
        <w:rPr>
          <w:rFonts w:cs="Arial"/>
          <w:lang w:eastAsia="de-DE"/>
        </w:rPr>
        <w:t xml:space="preserve"> ab Beginn der </w:t>
      </w:r>
      <w:r w:rsidR="001A688B" w:rsidRPr="00812C16">
        <w:rPr>
          <w:rFonts w:cs="Arial"/>
          <w:lang w:eastAsia="de-DE"/>
        </w:rPr>
        <w:t xml:space="preserve">Strahlentherapie </w:t>
      </w:r>
      <w:r w:rsidR="00D86F9A" w:rsidRPr="00812C16">
        <w:rPr>
          <w:rFonts w:cs="Arial"/>
          <w:lang w:eastAsia="de-DE"/>
        </w:rPr>
        <w:t>bis zum Erreichen der</w:t>
      </w:r>
      <w:r w:rsidR="00AD3966" w:rsidRPr="00812C16">
        <w:rPr>
          <w:rFonts w:cs="Arial"/>
          <w:lang w:eastAsia="de-DE"/>
        </w:rPr>
        <w:t xml:space="preserve"> jeweiligen </w:t>
      </w:r>
      <w:r w:rsidR="001A1CEB" w:rsidRPr="00812C16">
        <w:rPr>
          <w:rFonts w:cs="Arial"/>
          <w:lang w:eastAsia="de-DE"/>
        </w:rPr>
        <w:t>Endpunkte</w:t>
      </w:r>
      <w:r w:rsidR="00341452" w:rsidRPr="00812C16">
        <w:rPr>
          <w:rFonts w:cs="Arial"/>
          <w:lang w:eastAsia="de-DE"/>
        </w:rPr>
        <w:t xml:space="preserve"> oder Zensierungen betrug</w:t>
      </w:r>
      <w:r w:rsidR="00AD3966" w:rsidRPr="00812C16">
        <w:rPr>
          <w:rFonts w:cs="Arial"/>
          <w:lang w:eastAsia="de-DE"/>
        </w:rPr>
        <w:t>en</w:t>
      </w:r>
      <w:r w:rsidR="00341452" w:rsidRPr="00812C16">
        <w:rPr>
          <w:rFonts w:cs="Arial"/>
          <w:lang w:eastAsia="de-DE"/>
        </w:rPr>
        <w:t xml:space="preserve"> </w:t>
      </w:r>
      <w:r w:rsidR="00AD3966" w:rsidRPr="00812C16">
        <w:rPr>
          <w:rFonts w:cs="Arial"/>
          <w:lang w:eastAsia="de-DE"/>
        </w:rPr>
        <w:t xml:space="preserve">im durschnitt </w:t>
      </w:r>
      <w:r w:rsidR="00341452" w:rsidRPr="00812C16">
        <w:rPr>
          <w:rFonts w:cs="Arial"/>
          <w:lang w:eastAsia="de-DE"/>
        </w:rPr>
        <w:t>47,</w:t>
      </w:r>
      <w:r w:rsidR="00AD3966" w:rsidRPr="00812C16">
        <w:rPr>
          <w:rFonts w:cs="Arial"/>
          <w:lang w:eastAsia="de-DE"/>
        </w:rPr>
        <w:t>1</w:t>
      </w:r>
      <w:r w:rsidR="00341452" w:rsidRPr="00812C16">
        <w:rPr>
          <w:rFonts w:cs="Arial"/>
          <w:lang w:eastAsia="de-DE"/>
        </w:rPr>
        <w:t xml:space="preserve"> Monate (3,9 Jahre) mit einer </w:t>
      </w:r>
      <w:r w:rsidR="00AD3966" w:rsidRPr="00812C16">
        <w:rPr>
          <w:rFonts w:cs="Arial"/>
          <w:lang w:eastAsia="de-DE"/>
        </w:rPr>
        <w:t xml:space="preserve">mittleren </w:t>
      </w:r>
      <w:r w:rsidR="00341452" w:rsidRPr="00812C16">
        <w:rPr>
          <w:rFonts w:cs="Arial"/>
          <w:lang w:eastAsia="de-DE"/>
        </w:rPr>
        <w:t>Spannweite von 2,</w:t>
      </w:r>
      <w:r w:rsidR="00AD3966" w:rsidRPr="00812C16">
        <w:rPr>
          <w:rFonts w:cs="Arial"/>
          <w:lang w:eastAsia="de-DE"/>
        </w:rPr>
        <w:t>2</w:t>
      </w:r>
      <w:r w:rsidR="00341452" w:rsidRPr="00812C16">
        <w:rPr>
          <w:rFonts w:cs="Arial"/>
          <w:lang w:eastAsia="de-DE"/>
        </w:rPr>
        <w:t xml:space="preserve"> bis 100,1 Monaten. </w:t>
      </w:r>
      <w:r w:rsidR="00E72CB2" w:rsidRPr="00812C16">
        <w:rPr>
          <w:rFonts w:cs="Arial"/>
          <w:lang w:eastAsia="de-DE"/>
        </w:rPr>
        <w:t xml:space="preserve"> </w:t>
      </w:r>
      <w:r w:rsidR="00AF7108" w:rsidRPr="00812C16">
        <w:rPr>
          <w:rFonts w:cs="Arial"/>
          <w:lang w:eastAsia="de-DE"/>
        </w:rPr>
        <w:t>I</w:t>
      </w:r>
      <w:r w:rsidR="00C31BB6" w:rsidRPr="00812C16">
        <w:rPr>
          <w:rFonts w:cs="Arial"/>
          <w:lang w:eastAsia="de-DE"/>
        </w:rPr>
        <w:t xml:space="preserve">n diesem Zeitraum </w:t>
      </w:r>
      <w:r w:rsidR="00516CAB" w:rsidRPr="00812C16">
        <w:rPr>
          <w:rFonts w:cs="Arial"/>
          <w:lang w:eastAsia="de-DE"/>
        </w:rPr>
        <w:t>kam es</w:t>
      </w:r>
      <w:r w:rsidR="00C4158F" w:rsidRPr="00812C16">
        <w:rPr>
          <w:rFonts w:cs="Arial"/>
          <w:lang w:eastAsia="de-DE"/>
        </w:rPr>
        <w:t xml:space="preserve"> bei 29</w:t>
      </w:r>
      <w:r w:rsidR="00516CAB" w:rsidRPr="00812C16">
        <w:rPr>
          <w:rFonts w:cs="Arial"/>
          <w:lang w:eastAsia="de-DE"/>
        </w:rPr>
        <w:t xml:space="preserve"> </w:t>
      </w:r>
      <w:r w:rsidR="001A688B" w:rsidRPr="00812C16">
        <w:rPr>
          <w:rFonts w:cs="Arial"/>
          <w:lang w:eastAsia="de-DE"/>
        </w:rPr>
        <w:t>der</w:t>
      </w:r>
      <w:r w:rsidR="00516CAB" w:rsidRPr="00812C16">
        <w:rPr>
          <w:rFonts w:cs="Arial"/>
          <w:lang w:eastAsia="de-DE"/>
        </w:rPr>
        <w:t xml:space="preserve"> 221</w:t>
      </w:r>
      <w:r w:rsidR="00C4158F" w:rsidRPr="00812C16">
        <w:rPr>
          <w:rFonts w:cs="Arial"/>
          <w:lang w:eastAsia="de-DE"/>
        </w:rPr>
        <w:t xml:space="preserve"> </w:t>
      </w:r>
      <w:r w:rsidR="001A688B" w:rsidRPr="00812C16">
        <w:rPr>
          <w:rFonts w:cs="Arial"/>
          <w:lang w:eastAsia="de-DE"/>
        </w:rPr>
        <w:t xml:space="preserve">(13,1%) </w:t>
      </w:r>
      <w:r w:rsidR="00516CAB" w:rsidRPr="00812C16">
        <w:rPr>
          <w:rFonts w:cs="Arial"/>
          <w:lang w:eastAsia="de-DE"/>
        </w:rPr>
        <w:t xml:space="preserve">beobachteten </w:t>
      </w:r>
      <w:r w:rsidR="00C4158F" w:rsidRPr="00812C16">
        <w:rPr>
          <w:rFonts w:cs="Arial"/>
          <w:lang w:eastAsia="de-DE"/>
        </w:rPr>
        <w:t xml:space="preserve">Patienten </w:t>
      </w:r>
      <w:r w:rsidR="00516CAB" w:rsidRPr="00812C16">
        <w:rPr>
          <w:rFonts w:cs="Arial"/>
          <w:lang w:eastAsia="de-DE"/>
        </w:rPr>
        <w:t xml:space="preserve">zu </w:t>
      </w:r>
      <w:r w:rsidR="00C4158F" w:rsidRPr="00812C16">
        <w:rPr>
          <w:rFonts w:cs="Arial"/>
          <w:lang w:eastAsia="de-DE"/>
        </w:rPr>
        <w:t>ein</w:t>
      </w:r>
      <w:r w:rsidR="00116575" w:rsidRPr="00812C16">
        <w:rPr>
          <w:rFonts w:cs="Arial"/>
          <w:lang w:eastAsia="de-DE"/>
        </w:rPr>
        <w:t xml:space="preserve">em </w:t>
      </w:r>
      <w:r w:rsidR="00516CAB" w:rsidRPr="00812C16">
        <w:rPr>
          <w:rFonts w:cs="Arial"/>
          <w:lang w:eastAsia="de-DE"/>
        </w:rPr>
        <w:t>loko</w:t>
      </w:r>
      <w:r w:rsidR="00D86F9A" w:rsidRPr="00812C16">
        <w:rPr>
          <w:rFonts w:cs="Arial"/>
          <w:lang w:eastAsia="de-DE"/>
        </w:rPr>
        <w:t>-</w:t>
      </w:r>
      <w:r w:rsidR="00516CAB" w:rsidRPr="00812C16">
        <w:rPr>
          <w:rFonts w:cs="Arial"/>
          <w:lang w:eastAsia="de-DE"/>
        </w:rPr>
        <w:t>regionären</w:t>
      </w:r>
      <w:r w:rsidR="00116575" w:rsidRPr="00812C16">
        <w:rPr>
          <w:rFonts w:cs="Arial"/>
          <w:lang w:eastAsia="de-DE"/>
        </w:rPr>
        <w:t xml:space="preserve"> Rezidiv</w:t>
      </w:r>
      <w:r w:rsidR="00622C8B" w:rsidRPr="00812C16">
        <w:rPr>
          <w:rFonts w:cs="Arial"/>
          <w:lang w:eastAsia="de-DE"/>
        </w:rPr>
        <w:t xml:space="preserve"> im Bereich des Bestrahlungsvolumens</w:t>
      </w:r>
      <w:r w:rsidR="00516CAB" w:rsidRPr="00812C16">
        <w:rPr>
          <w:rFonts w:cs="Arial"/>
          <w:lang w:eastAsia="de-DE"/>
        </w:rPr>
        <w:t xml:space="preserve">. </w:t>
      </w:r>
      <w:r w:rsidR="00C4158F" w:rsidRPr="00812C16">
        <w:rPr>
          <w:rFonts w:cs="Arial"/>
          <w:lang w:eastAsia="de-DE"/>
        </w:rPr>
        <w:t xml:space="preserve">Das erste Rezidiv wurde nach 2,1 Monaten im Bereich der Mundhöhle diagnostiziert. </w:t>
      </w:r>
      <w:r w:rsidR="00800A2F" w:rsidRPr="00812C16">
        <w:rPr>
          <w:rFonts w:cs="Arial"/>
          <w:lang w:eastAsia="de-DE"/>
        </w:rPr>
        <w:lastRenderedPageBreak/>
        <w:t>Das längste Intervall bis zum Auftreten eines loko</w:t>
      </w:r>
      <w:r w:rsidR="00D86F9A" w:rsidRPr="00812C16">
        <w:rPr>
          <w:rFonts w:cs="Arial"/>
          <w:lang w:eastAsia="de-DE"/>
        </w:rPr>
        <w:t>-</w:t>
      </w:r>
      <w:r w:rsidR="00800A2F" w:rsidRPr="00812C16">
        <w:rPr>
          <w:rFonts w:cs="Arial"/>
          <w:lang w:eastAsia="de-DE"/>
        </w:rPr>
        <w:t>regionären Rezidivs betrug 68</w:t>
      </w:r>
      <w:r w:rsidR="00927DD2" w:rsidRPr="00812C16">
        <w:rPr>
          <w:rFonts w:cs="Arial"/>
          <w:lang w:eastAsia="de-DE"/>
        </w:rPr>
        <w:t xml:space="preserve">,2 </w:t>
      </w:r>
      <w:r w:rsidR="00800A2F" w:rsidRPr="00812C16">
        <w:rPr>
          <w:rFonts w:cs="Arial"/>
          <w:lang w:eastAsia="de-DE"/>
        </w:rPr>
        <w:t xml:space="preserve">Monate und trat im Bereich des Hypopharynx auf. </w:t>
      </w:r>
      <w:r w:rsidR="00302CC0" w:rsidRPr="00812C16">
        <w:rPr>
          <w:rFonts w:cs="Arial"/>
          <w:lang w:eastAsia="de-DE"/>
        </w:rPr>
        <w:t xml:space="preserve">Anteilsmäßig traten die meisten Rezidive mit </w:t>
      </w:r>
      <w:r w:rsidR="00927DD2" w:rsidRPr="00812C16">
        <w:rPr>
          <w:rFonts w:cs="Arial"/>
          <w:lang w:eastAsia="de-DE"/>
        </w:rPr>
        <w:t>25</w:t>
      </w:r>
      <w:r w:rsidR="00302CC0" w:rsidRPr="00812C16">
        <w:rPr>
          <w:rFonts w:cs="Arial"/>
          <w:lang w:eastAsia="de-DE"/>
        </w:rPr>
        <w:t xml:space="preserve">% im Bereich der Mundhöhle auf. </w:t>
      </w:r>
      <w:r w:rsidR="002E3D98" w:rsidRPr="00812C16">
        <w:rPr>
          <w:rFonts w:cs="Arial"/>
          <w:lang w:eastAsia="de-DE"/>
        </w:rPr>
        <w:t>Lediglich b</w:t>
      </w:r>
      <w:r w:rsidR="00503D6F" w:rsidRPr="00812C16">
        <w:rPr>
          <w:rFonts w:cs="Arial"/>
          <w:lang w:eastAsia="de-DE"/>
        </w:rPr>
        <w:t xml:space="preserve">ei </w:t>
      </w:r>
      <w:r w:rsidR="002E3D98" w:rsidRPr="00812C16">
        <w:rPr>
          <w:rFonts w:cs="Arial"/>
          <w:lang w:eastAsia="de-DE"/>
        </w:rPr>
        <w:t>8,7</w:t>
      </w:r>
      <w:r w:rsidR="00503D6F" w:rsidRPr="00812C16">
        <w:rPr>
          <w:rFonts w:cs="Arial"/>
          <w:lang w:eastAsia="de-DE"/>
        </w:rPr>
        <w:t>%</w:t>
      </w:r>
      <w:r w:rsidR="00E72CB2" w:rsidRPr="00812C16">
        <w:rPr>
          <w:rFonts w:cs="Arial"/>
          <w:lang w:eastAsia="de-DE"/>
        </w:rPr>
        <w:t xml:space="preserve"> </w:t>
      </w:r>
      <w:r w:rsidR="00503D6F" w:rsidRPr="00812C16">
        <w:rPr>
          <w:rFonts w:cs="Arial"/>
          <w:lang w:eastAsia="de-DE"/>
        </w:rPr>
        <w:t xml:space="preserve">der </w:t>
      </w:r>
      <w:r w:rsidR="00593D28" w:rsidRPr="00812C16">
        <w:rPr>
          <w:rFonts w:cs="Arial"/>
          <w:lang w:eastAsia="de-DE"/>
        </w:rPr>
        <w:t xml:space="preserve">Patienten mit </w:t>
      </w:r>
      <w:r w:rsidR="00503D6F" w:rsidRPr="00812C16">
        <w:rPr>
          <w:rFonts w:cs="Arial"/>
          <w:lang w:eastAsia="de-DE"/>
        </w:rPr>
        <w:t>Oropharynx</w:t>
      </w:r>
      <w:r w:rsidR="002E3D98" w:rsidRPr="00812C16">
        <w:rPr>
          <w:rFonts w:cs="Arial"/>
          <w:lang w:eastAsia="de-DE"/>
        </w:rPr>
        <w:t>karzinom</w:t>
      </w:r>
      <w:r w:rsidR="00503D6F" w:rsidRPr="00812C16">
        <w:rPr>
          <w:rFonts w:cs="Arial"/>
          <w:lang w:eastAsia="de-DE"/>
        </w:rPr>
        <w:t xml:space="preserve"> und bei </w:t>
      </w:r>
      <w:r w:rsidR="002E3D98" w:rsidRPr="00812C16">
        <w:rPr>
          <w:rFonts w:cs="Arial"/>
          <w:lang w:eastAsia="de-DE"/>
        </w:rPr>
        <w:t>8,6</w:t>
      </w:r>
      <w:r w:rsidR="00503D6F" w:rsidRPr="00812C16">
        <w:rPr>
          <w:rFonts w:cs="Arial"/>
          <w:lang w:eastAsia="de-DE"/>
        </w:rPr>
        <w:t>%</w:t>
      </w:r>
      <w:r w:rsidR="00E72CB2" w:rsidRPr="00812C16">
        <w:rPr>
          <w:rFonts w:cs="Arial"/>
          <w:lang w:eastAsia="de-DE"/>
        </w:rPr>
        <w:t xml:space="preserve"> </w:t>
      </w:r>
      <w:r w:rsidR="00503D6F" w:rsidRPr="00812C16">
        <w:rPr>
          <w:rFonts w:cs="Arial"/>
          <w:lang w:eastAsia="de-DE"/>
        </w:rPr>
        <w:t>der</w:t>
      </w:r>
      <w:r w:rsidR="00593D28" w:rsidRPr="00812C16">
        <w:rPr>
          <w:rFonts w:cs="Arial"/>
          <w:lang w:eastAsia="de-DE"/>
        </w:rPr>
        <w:t xml:space="preserve"> Patienten mit </w:t>
      </w:r>
      <w:proofErr w:type="spellStart"/>
      <w:r w:rsidR="00593D28" w:rsidRPr="00812C16">
        <w:rPr>
          <w:rFonts w:cs="Arial"/>
          <w:lang w:eastAsia="de-DE"/>
        </w:rPr>
        <w:t>Hypopharynxkarzinom</w:t>
      </w:r>
      <w:proofErr w:type="spellEnd"/>
      <w:r w:rsidR="00503D6F" w:rsidRPr="00812C16">
        <w:rPr>
          <w:rFonts w:cs="Arial"/>
          <w:lang w:eastAsia="de-DE"/>
        </w:rPr>
        <w:t xml:space="preserve"> wurde im Beobachtungszeitraum ein </w:t>
      </w:r>
      <w:r w:rsidR="002E3D98" w:rsidRPr="00812C16">
        <w:rPr>
          <w:rFonts w:cs="Arial"/>
          <w:lang w:eastAsia="de-DE"/>
        </w:rPr>
        <w:t>loko</w:t>
      </w:r>
      <w:r w:rsidR="00D86F9A" w:rsidRPr="00812C16">
        <w:rPr>
          <w:rFonts w:cs="Arial"/>
          <w:lang w:eastAsia="de-DE"/>
        </w:rPr>
        <w:t>-</w:t>
      </w:r>
      <w:r w:rsidR="002E3D98" w:rsidRPr="00812C16">
        <w:rPr>
          <w:rFonts w:cs="Arial"/>
          <w:lang w:eastAsia="de-DE"/>
        </w:rPr>
        <w:t xml:space="preserve">regionäres </w:t>
      </w:r>
      <w:r w:rsidR="00503D6F" w:rsidRPr="00812C16">
        <w:rPr>
          <w:rFonts w:cs="Arial"/>
          <w:lang w:eastAsia="de-DE"/>
        </w:rPr>
        <w:t xml:space="preserve">Rezidiv diagnostiziert. </w:t>
      </w:r>
      <w:r w:rsidR="002E3D98" w:rsidRPr="00812C16">
        <w:rPr>
          <w:rFonts w:cs="Arial"/>
          <w:lang w:eastAsia="de-DE"/>
        </w:rPr>
        <w:t xml:space="preserve">Die </w:t>
      </w:r>
      <w:r w:rsidR="00E94ED6" w:rsidRPr="00812C16">
        <w:rPr>
          <w:rFonts w:cs="Arial"/>
          <w:lang w:eastAsia="de-DE"/>
        </w:rPr>
        <w:t xml:space="preserve">nach Kaplan-Meier </w:t>
      </w:r>
      <w:r w:rsidR="002E3D98" w:rsidRPr="00812C16">
        <w:rPr>
          <w:rFonts w:cs="Arial"/>
          <w:lang w:eastAsia="de-DE"/>
        </w:rPr>
        <w:t>geschätzten Ereignisraten der loko</w:t>
      </w:r>
      <w:r w:rsidR="00D86F9A" w:rsidRPr="00812C16">
        <w:rPr>
          <w:rFonts w:cs="Arial"/>
          <w:lang w:eastAsia="de-DE"/>
        </w:rPr>
        <w:t>-</w:t>
      </w:r>
      <w:r w:rsidR="002E3D98" w:rsidRPr="00812C16">
        <w:rPr>
          <w:rFonts w:cs="Arial"/>
          <w:lang w:eastAsia="de-DE"/>
        </w:rPr>
        <w:t>regionären Tumorkontrolle</w:t>
      </w:r>
      <w:r w:rsidR="00076ED9" w:rsidRPr="00812C16">
        <w:rPr>
          <w:rFonts w:cs="Arial"/>
          <w:lang w:eastAsia="de-DE"/>
        </w:rPr>
        <w:t xml:space="preserve"> sind in </w:t>
      </w:r>
      <w:r w:rsidR="00076ED9" w:rsidRPr="00812C16">
        <w:rPr>
          <w:rFonts w:cs="Arial"/>
          <w:lang w:eastAsia="de-DE"/>
        </w:rPr>
        <w:fldChar w:fldCharType="begin"/>
      </w:r>
      <w:r w:rsidR="00076ED9" w:rsidRPr="00812C16">
        <w:rPr>
          <w:rFonts w:cs="Arial"/>
          <w:lang w:eastAsia="de-DE"/>
        </w:rPr>
        <w:instrText xml:space="preserve"> REF _Ref90728223 \h </w:instrText>
      </w:r>
      <w:r w:rsidR="00241DC8" w:rsidRPr="00812C16">
        <w:rPr>
          <w:rFonts w:cs="Arial"/>
          <w:lang w:eastAsia="de-DE"/>
        </w:rPr>
        <w:instrText xml:space="preserve"> \* MERGEFORMAT </w:instrText>
      </w:r>
      <w:r w:rsidR="00076ED9" w:rsidRPr="00812C16">
        <w:rPr>
          <w:rFonts w:cs="Arial"/>
          <w:lang w:eastAsia="de-DE"/>
        </w:rPr>
      </w:r>
      <w:r w:rsidR="00076ED9" w:rsidRPr="00812C16">
        <w:rPr>
          <w:rFonts w:cs="Arial"/>
          <w:lang w:eastAsia="de-DE"/>
        </w:rPr>
        <w:fldChar w:fldCharType="separate"/>
      </w:r>
      <w:r w:rsidR="00F67803" w:rsidRPr="00F67803">
        <w:rPr>
          <w:rFonts w:cs="Arial"/>
          <w:color w:val="000000" w:themeColor="text1"/>
        </w:rPr>
        <w:t xml:space="preserve">Abbildung </w:t>
      </w:r>
      <w:r w:rsidR="00F67803" w:rsidRPr="00F67803">
        <w:rPr>
          <w:rFonts w:cs="Arial"/>
          <w:noProof/>
          <w:color w:val="000000" w:themeColor="text1"/>
        </w:rPr>
        <w:t>4</w:t>
      </w:r>
      <w:r w:rsidR="00F67803" w:rsidRPr="00F67803">
        <w:rPr>
          <w:rFonts w:cs="Arial"/>
          <w:noProof/>
          <w:color w:val="000000" w:themeColor="text1"/>
        </w:rPr>
        <w:noBreakHyphen/>
        <w:t>1</w:t>
      </w:r>
      <w:r w:rsidR="00076ED9" w:rsidRPr="00812C16">
        <w:rPr>
          <w:rFonts w:cs="Arial"/>
          <w:lang w:eastAsia="de-DE"/>
        </w:rPr>
        <w:fldChar w:fldCharType="end"/>
      </w:r>
      <w:r w:rsidR="00076ED9" w:rsidRPr="00812C16">
        <w:rPr>
          <w:rFonts w:cs="Arial"/>
          <w:lang w:eastAsia="de-DE"/>
        </w:rPr>
        <w:t xml:space="preserve"> dargestellt</w:t>
      </w:r>
      <w:r w:rsidR="00EE6C76" w:rsidRPr="00812C16">
        <w:rPr>
          <w:rFonts w:cs="Arial"/>
          <w:lang w:eastAsia="de-DE"/>
        </w:rPr>
        <w:t>. Postoperativ waren nach 2 Jahren 89,6 % (Standardfehler 2,1%) der Patienten lokal und regional Rezidiv-frei und nach 5 Jahren 85,7% (Standardfehler 2,6%</w:t>
      </w:r>
      <w:proofErr w:type="gramStart"/>
      <w:r w:rsidR="00EE6C76" w:rsidRPr="00812C16">
        <w:rPr>
          <w:rFonts w:cs="Arial"/>
          <w:lang w:eastAsia="de-DE"/>
        </w:rPr>
        <w:t>).</w:t>
      </w:r>
      <w:r w:rsidR="00206CEA" w:rsidRPr="00812C16">
        <w:rPr>
          <w:rFonts w:cs="Arial"/>
          <w:lang w:eastAsia="de-DE"/>
        </w:rPr>
        <w:t>Da</w:t>
      </w:r>
      <w:proofErr w:type="gramEnd"/>
      <w:r w:rsidR="00206CEA" w:rsidRPr="00812C16">
        <w:rPr>
          <w:rFonts w:cs="Arial"/>
          <w:lang w:eastAsia="de-DE"/>
        </w:rPr>
        <w:t xml:space="preserve"> im Beobachtungszeitraum </w:t>
      </w:r>
      <w:r w:rsidR="009321D4" w:rsidRPr="00812C16">
        <w:rPr>
          <w:rFonts w:cs="Arial"/>
          <w:lang w:eastAsia="de-DE"/>
        </w:rPr>
        <w:t xml:space="preserve">in allen untersuchten Endpunkten </w:t>
      </w:r>
      <w:r w:rsidR="00206CEA" w:rsidRPr="00812C16">
        <w:rPr>
          <w:rFonts w:cs="Arial"/>
          <w:lang w:eastAsia="de-DE"/>
        </w:rPr>
        <w:t xml:space="preserve">bei weniger als 50% der Klienten ein Ereignis eingetreten war, konnten die medianen Überlebenszeiten </w:t>
      </w:r>
      <w:r w:rsidR="009321D4" w:rsidRPr="00812C16">
        <w:rPr>
          <w:rFonts w:cs="Arial"/>
          <w:lang w:eastAsia="de-DE"/>
        </w:rPr>
        <w:t xml:space="preserve">nicht berechnet werden. Die mediane Ereignisfreie Zeit beträgt </w:t>
      </w:r>
      <w:r w:rsidR="000D5932" w:rsidRPr="00812C16">
        <w:rPr>
          <w:rFonts w:cs="Arial"/>
          <w:lang w:eastAsia="de-DE"/>
        </w:rPr>
        <w:t>daher</w:t>
      </w:r>
      <w:r w:rsidR="009321D4" w:rsidRPr="00812C16">
        <w:rPr>
          <w:rFonts w:cs="Arial"/>
          <w:lang w:eastAsia="de-DE"/>
        </w:rPr>
        <w:t xml:space="preserve"> mindestens 60 Monate.</w:t>
      </w:r>
      <w:r w:rsidR="002B29E1" w:rsidRPr="00812C16">
        <w:rPr>
          <w:rFonts w:cs="Arial"/>
          <w:lang w:eastAsia="de-DE"/>
        </w:rPr>
        <w:t xml:space="preserve">  </w:t>
      </w:r>
      <w:r w:rsidR="00E72CB2" w:rsidRPr="00812C16">
        <w:rPr>
          <w:rFonts w:cs="Arial"/>
          <w:lang w:eastAsia="de-DE"/>
        </w:rPr>
        <w:t xml:space="preserve">Die Ereignis-freie Zeit bezogen auf die </w:t>
      </w:r>
      <w:r w:rsidR="000D5932" w:rsidRPr="00812C16">
        <w:rPr>
          <w:rFonts w:cs="Arial"/>
          <w:lang w:eastAsia="de-DE"/>
        </w:rPr>
        <w:t>l</w:t>
      </w:r>
      <w:r w:rsidR="00E72CB2" w:rsidRPr="00812C16">
        <w:rPr>
          <w:rFonts w:cs="Arial"/>
          <w:lang w:eastAsia="de-DE"/>
        </w:rPr>
        <w:t xml:space="preserve">oko-regionäre Tumorkontrolle </w:t>
      </w:r>
      <w:r w:rsidR="007B1FA9" w:rsidRPr="00812C16">
        <w:rPr>
          <w:rFonts w:cs="Arial"/>
          <w:lang w:eastAsia="de-DE"/>
        </w:rPr>
        <w:t xml:space="preserve">betrug </w:t>
      </w:r>
      <w:r w:rsidR="00337351" w:rsidRPr="00812C16">
        <w:rPr>
          <w:rFonts w:cs="Arial"/>
          <w:lang w:eastAsia="de-DE"/>
        </w:rPr>
        <w:t>durchschnittlich 87,3</w:t>
      </w:r>
      <w:r w:rsidR="007B1FA9" w:rsidRPr="00812C16">
        <w:rPr>
          <w:rFonts w:cs="Arial"/>
          <w:lang w:eastAsia="de-DE"/>
        </w:rPr>
        <w:t xml:space="preserve"> Monate</w:t>
      </w:r>
      <w:r w:rsidR="00337351" w:rsidRPr="00812C16">
        <w:rPr>
          <w:rFonts w:cs="Arial"/>
          <w:lang w:eastAsia="de-DE"/>
        </w:rPr>
        <w:t xml:space="preserve"> (95%-KI</w:t>
      </w:r>
      <w:r w:rsidR="00465294" w:rsidRPr="00812C16">
        <w:rPr>
          <w:rFonts w:cs="Arial"/>
          <w:lang w:eastAsia="de-DE"/>
        </w:rPr>
        <w:t>,</w:t>
      </w:r>
      <w:r w:rsidR="00337351" w:rsidRPr="00812C16">
        <w:rPr>
          <w:rFonts w:cs="Arial"/>
          <w:lang w:eastAsia="de-DE"/>
        </w:rPr>
        <w:t xml:space="preserve"> 82,8</w:t>
      </w:r>
      <w:r w:rsidR="00465294" w:rsidRPr="00812C16">
        <w:rPr>
          <w:rFonts w:cs="Arial"/>
          <w:lang w:eastAsia="de-DE"/>
        </w:rPr>
        <w:t xml:space="preserve"> bis </w:t>
      </w:r>
      <w:r w:rsidR="00337351" w:rsidRPr="00812C16">
        <w:rPr>
          <w:rFonts w:cs="Arial"/>
          <w:lang w:eastAsia="de-DE"/>
        </w:rPr>
        <w:t>91,7</w:t>
      </w:r>
      <w:r w:rsidR="005559EF" w:rsidRPr="00812C16">
        <w:rPr>
          <w:rFonts w:cs="Arial"/>
          <w:lang w:eastAsia="de-DE"/>
        </w:rPr>
        <w:t xml:space="preserve"> </w:t>
      </w:r>
      <w:r w:rsidR="00337351" w:rsidRPr="00812C16">
        <w:rPr>
          <w:rFonts w:cs="Arial"/>
          <w:lang w:eastAsia="de-DE"/>
        </w:rPr>
        <w:t>Monate)</w:t>
      </w:r>
      <w:r w:rsidR="007B1FA9" w:rsidRPr="00812C16">
        <w:rPr>
          <w:rFonts w:cs="Arial"/>
          <w:lang w:eastAsia="de-DE"/>
        </w:rPr>
        <w:t>.</w:t>
      </w:r>
      <w:r w:rsidR="007B1FA9" w:rsidRPr="00B0587C">
        <w:rPr>
          <w:rStyle w:val="Funotenzeichen"/>
        </w:rPr>
        <w:footnoteReference w:id="2"/>
      </w:r>
      <w:r w:rsidR="007B1FA9" w:rsidRPr="00812C16">
        <w:rPr>
          <w:rFonts w:cs="Arial"/>
          <w:lang w:eastAsia="de-DE"/>
        </w:rPr>
        <w:t xml:space="preserve"> </w:t>
      </w:r>
    </w:p>
    <w:p w14:paraId="57149D71" w14:textId="77777777" w:rsidR="009C2074" w:rsidRPr="00812C16" w:rsidRDefault="00B71E93" w:rsidP="00513B9C">
      <w:pPr>
        <w:tabs>
          <w:tab w:val="left" w:pos="7088"/>
        </w:tabs>
        <w:spacing w:before="120"/>
        <w:jc w:val="center"/>
        <w:rPr>
          <w:rFonts w:cs="Arial"/>
          <w:b/>
          <w:bCs/>
          <w:i/>
          <w:iCs/>
          <w:color w:val="000000" w:themeColor="text1"/>
          <w:sz w:val="20"/>
          <w:szCs w:val="20"/>
        </w:rPr>
      </w:pPr>
      <w:r w:rsidRPr="00812C16">
        <w:rPr>
          <w:rFonts w:cs="Arial"/>
          <w:b/>
          <w:i/>
          <w:noProof/>
          <w:color w:val="000000" w:themeColor="text1"/>
          <w:sz w:val="20"/>
          <w:szCs w:val="20"/>
        </w:rPr>
        <w:drawing>
          <wp:inline distT="0" distB="0" distL="0" distR="0" wp14:anchorId="0BE75B62" wp14:editId="45A98017">
            <wp:extent cx="4681855" cy="3558540"/>
            <wp:effectExtent l="0" t="0" r="0" b="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1">
                      <a:extLst>
                        <a:ext uri="{28A0092B-C50C-407E-A947-70E740481C1C}">
                          <a14:useLocalDpi xmlns:a14="http://schemas.microsoft.com/office/drawing/2010/main" val="0"/>
                        </a:ext>
                      </a:extLst>
                    </a:blip>
                    <a:srcRect l="1802" t="-2777" r="29776" b="22632"/>
                    <a:stretch>
                      <a:fillRect/>
                    </a:stretch>
                  </pic:blipFill>
                  <pic:spPr bwMode="auto">
                    <a:xfrm>
                      <a:off x="0" y="0"/>
                      <a:ext cx="4681855" cy="3558540"/>
                    </a:xfrm>
                    <a:prstGeom prst="rect">
                      <a:avLst/>
                    </a:prstGeom>
                    <a:noFill/>
                    <a:ln>
                      <a:noFill/>
                    </a:ln>
                  </pic:spPr>
                </pic:pic>
              </a:graphicData>
            </a:graphic>
          </wp:inline>
        </w:drawing>
      </w:r>
    </w:p>
    <w:p w14:paraId="4CE8E166" w14:textId="7878B6A6" w:rsidR="00B86B18" w:rsidRPr="00812C16" w:rsidRDefault="006C6822" w:rsidP="003D2BD6">
      <w:pPr>
        <w:spacing w:before="120" w:after="360" w:line="240" w:lineRule="auto"/>
        <w:rPr>
          <w:rFonts w:cs="Arial"/>
          <w:lang w:eastAsia="de-DE"/>
        </w:rPr>
      </w:pPr>
      <w:bookmarkStart w:id="61" w:name="_Ref90728223"/>
      <w:bookmarkStart w:id="62" w:name="_Ref90728217"/>
      <w:bookmarkStart w:id="63" w:name="_Toc180788381"/>
      <w:r w:rsidRPr="00812C16">
        <w:rPr>
          <w:rFonts w:cs="Arial"/>
          <w:b/>
          <w:bCs/>
          <w:color w:val="000000" w:themeColor="text1"/>
          <w:sz w:val="20"/>
          <w:szCs w:val="20"/>
        </w:rPr>
        <w:t xml:space="preserve">Abbildung </w:t>
      </w:r>
      <w:r w:rsidR="00BF08D6" w:rsidRPr="00812C16">
        <w:rPr>
          <w:rFonts w:cs="Arial"/>
          <w:b/>
          <w:bCs/>
          <w:color w:val="000000" w:themeColor="text1"/>
          <w:sz w:val="20"/>
          <w:szCs w:val="20"/>
        </w:rPr>
        <w:fldChar w:fldCharType="begin"/>
      </w:r>
      <w:r w:rsidR="00BF08D6" w:rsidRPr="00812C16">
        <w:rPr>
          <w:rFonts w:cs="Arial"/>
          <w:b/>
          <w:bCs/>
          <w:color w:val="000000" w:themeColor="text1"/>
          <w:sz w:val="20"/>
          <w:szCs w:val="20"/>
        </w:rPr>
        <w:instrText xml:space="preserve"> STYLEREF 1 \s </w:instrText>
      </w:r>
      <w:r w:rsidR="00BF08D6" w:rsidRPr="00812C16">
        <w:rPr>
          <w:rFonts w:cs="Arial"/>
          <w:b/>
          <w:bCs/>
          <w:color w:val="000000" w:themeColor="text1"/>
          <w:sz w:val="20"/>
          <w:szCs w:val="20"/>
        </w:rPr>
        <w:fldChar w:fldCharType="separate"/>
      </w:r>
      <w:r w:rsidR="00F67803">
        <w:rPr>
          <w:rFonts w:cs="Arial"/>
          <w:b/>
          <w:bCs/>
          <w:noProof/>
          <w:color w:val="000000" w:themeColor="text1"/>
          <w:sz w:val="20"/>
          <w:szCs w:val="20"/>
        </w:rPr>
        <w:t>4</w:t>
      </w:r>
      <w:r w:rsidR="00BF08D6" w:rsidRPr="00812C16">
        <w:rPr>
          <w:rFonts w:cs="Arial"/>
          <w:b/>
          <w:bCs/>
          <w:color w:val="000000" w:themeColor="text1"/>
          <w:sz w:val="20"/>
          <w:szCs w:val="20"/>
        </w:rPr>
        <w:fldChar w:fldCharType="end"/>
      </w:r>
      <w:r w:rsidR="00BF08D6" w:rsidRPr="00812C16">
        <w:rPr>
          <w:rFonts w:cs="Arial"/>
          <w:b/>
          <w:bCs/>
          <w:color w:val="000000" w:themeColor="text1"/>
          <w:sz w:val="20"/>
          <w:szCs w:val="20"/>
        </w:rPr>
        <w:noBreakHyphen/>
      </w:r>
      <w:r w:rsidR="00BF08D6" w:rsidRPr="00812C16">
        <w:rPr>
          <w:rFonts w:cs="Arial"/>
          <w:b/>
          <w:bCs/>
          <w:color w:val="000000" w:themeColor="text1"/>
          <w:sz w:val="20"/>
          <w:szCs w:val="20"/>
        </w:rPr>
        <w:fldChar w:fldCharType="begin"/>
      </w:r>
      <w:r w:rsidR="00BF08D6" w:rsidRPr="00812C16">
        <w:rPr>
          <w:rFonts w:cs="Arial"/>
          <w:b/>
          <w:bCs/>
          <w:color w:val="000000" w:themeColor="text1"/>
          <w:sz w:val="20"/>
          <w:szCs w:val="20"/>
        </w:rPr>
        <w:instrText xml:space="preserve"> SEQ Abbildung \* ARABIC \s 1 </w:instrText>
      </w:r>
      <w:r w:rsidR="00BF08D6" w:rsidRPr="00812C16">
        <w:rPr>
          <w:rFonts w:cs="Arial"/>
          <w:b/>
          <w:bCs/>
          <w:color w:val="000000" w:themeColor="text1"/>
          <w:sz w:val="20"/>
          <w:szCs w:val="20"/>
        </w:rPr>
        <w:fldChar w:fldCharType="separate"/>
      </w:r>
      <w:r w:rsidR="00F67803">
        <w:rPr>
          <w:rFonts w:cs="Arial"/>
          <w:b/>
          <w:bCs/>
          <w:noProof/>
          <w:color w:val="000000" w:themeColor="text1"/>
          <w:sz w:val="20"/>
          <w:szCs w:val="20"/>
        </w:rPr>
        <w:t>1</w:t>
      </w:r>
      <w:r w:rsidR="00BF08D6" w:rsidRPr="00812C16">
        <w:rPr>
          <w:rFonts w:cs="Arial"/>
          <w:b/>
          <w:bCs/>
          <w:color w:val="000000" w:themeColor="text1"/>
          <w:sz w:val="20"/>
          <w:szCs w:val="20"/>
        </w:rPr>
        <w:fldChar w:fldCharType="end"/>
      </w:r>
      <w:bookmarkEnd w:id="61"/>
      <w:r w:rsidRPr="00812C16">
        <w:rPr>
          <w:rFonts w:cs="Arial"/>
          <w:b/>
          <w:bCs/>
          <w:color w:val="000000" w:themeColor="text1"/>
          <w:sz w:val="20"/>
          <w:szCs w:val="20"/>
        </w:rPr>
        <w:t xml:space="preserve">: </w:t>
      </w:r>
      <w:proofErr w:type="spellStart"/>
      <w:r w:rsidRPr="00812C16">
        <w:rPr>
          <w:rFonts w:cs="Arial"/>
          <w:b/>
          <w:bCs/>
          <w:color w:val="000000" w:themeColor="text1"/>
          <w:sz w:val="20"/>
          <w:szCs w:val="20"/>
        </w:rPr>
        <w:t>Lokoregionäre</w:t>
      </w:r>
      <w:proofErr w:type="spellEnd"/>
      <w:r w:rsidRPr="00812C16">
        <w:rPr>
          <w:rFonts w:cs="Arial"/>
          <w:b/>
          <w:bCs/>
          <w:color w:val="000000" w:themeColor="text1"/>
          <w:sz w:val="20"/>
          <w:szCs w:val="20"/>
        </w:rPr>
        <w:t xml:space="preserve"> Kontrollrate nach Kaplan-Meier für das</w:t>
      </w:r>
      <w:r w:rsidR="003D2BD6" w:rsidRPr="00812C16">
        <w:rPr>
          <w:rFonts w:cs="Arial"/>
          <w:b/>
          <w:bCs/>
          <w:color w:val="000000" w:themeColor="text1"/>
          <w:sz w:val="20"/>
          <w:szCs w:val="20"/>
        </w:rPr>
        <w:t xml:space="preserve"> </w:t>
      </w:r>
      <w:r w:rsidRPr="00812C16">
        <w:rPr>
          <w:rFonts w:cs="Arial"/>
          <w:b/>
          <w:bCs/>
          <w:color w:val="000000" w:themeColor="text1"/>
          <w:sz w:val="20"/>
          <w:szCs w:val="20"/>
        </w:rPr>
        <w:t>Gesamtkollektiv</w:t>
      </w:r>
      <w:bookmarkEnd w:id="62"/>
      <w:bookmarkEnd w:id="63"/>
      <w:r w:rsidR="00F9120C" w:rsidRPr="00812C16">
        <w:rPr>
          <w:rFonts w:cs="Arial"/>
          <w:b/>
          <w:bCs/>
          <w:color w:val="000000" w:themeColor="text1"/>
          <w:sz w:val="20"/>
          <w:szCs w:val="20"/>
        </w:rPr>
        <w:t xml:space="preserve"> </w:t>
      </w:r>
    </w:p>
    <w:p w14:paraId="1D1BEEBB" w14:textId="01932003" w:rsidR="00A03005" w:rsidRPr="00812C16" w:rsidRDefault="00A03005" w:rsidP="003419D8">
      <w:pPr>
        <w:tabs>
          <w:tab w:val="left" w:pos="567"/>
        </w:tabs>
        <w:spacing w:before="360" w:after="100" w:afterAutospacing="1"/>
        <w:rPr>
          <w:rFonts w:cs="Arial"/>
        </w:rPr>
      </w:pPr>
      <w:r w:rsidRPr="00812C16">
        <w:rPr>
          <w:rFonts w:cs="Arial"/>
          <w:lang w:eastAsia="de-DE"/>
        </w:rPr>
        <w:t>Fernmetastasen traten bei 42 Patienten (19,0%</w:t>
      </w:r>
      <w:r w:rsidR="00F523DC" w:rsidRPr="00812C16">
        <w:rPr>
          <w:rFonts w:cs="Arial"/>
          <w:lang w:eastAsia="de-DE"/>
        </w:rPr>
        <w:t xml:space="preserve"> der Fälle</w:t>
      </w:r>
      <w:r w:rsidRPr="00812C16">
        <w:rPr>
          <w:rFonts w:cs="Arial"/>
          <w:lang w:eastAsia="de-DE"/>
        </w:rPr>
        <w:t xml:space="preserve">) auf. Die </w:t>
      </w:r>
      <w:r w:rsidR="000C557A" w:rsidRPr="00812C16">
        <w:rPr>
          <w:rFonts w:cs="Arial"/>
          <w:lang w:eastAsia="de-DE"/>
        </w:rPr>
        <w:fldChar w:fldCharType="begin"/>
      </w:r>
      <w:r w:rsidR="000C557A" w:rsidRPr="00812C16">
        <w:rPr>
          <w:rFonts w:cs="Arial"/>
          <w:lang w:eastAsia="de-DE"/>
        </w:rPr>
        <w:instrText xml:space="preserve"> REF _Ref90720946 \h  \* MERGEFORMAT </w:instrText>
      </w:r>
      <w:r w:rsidR="000C557A" w:rsidRPr="00812C16">
        <w:rPr>
          <w:rFonts w:cs="Arial"/>
          <w:lang w:eastAsia="de-DE"/>
        </w:rPr>
      </w:r>
      <w:r w:rsidR="000C557A" w:rsidRPr="00812C16">
        <w:rPr>
          <w:rFonts w:cs="Arial"/>
          <w:lang w:eastAsia="de-DE"/>
        </w:rPr>
        <w:fldChar w:fldCharType="separate"/>
      </w:r>
      <w:r w:rsidR="00F67803" w:rsidRPr="00F67803">
        <w:rPr>
          <w:color w:val="000000" w:themeColor="text1"/>
        </w:rPr>
        <w:t xml:space="preserve">Abbildung </w:t>
      </w:r>
      <w:r w:rsidR="00F67803" w:rsidRPr="00F67803">
        <w:rPr>
          <w:noProof/>
          <w:color w:val="000000" w:themeColor="text1"/>
        </w:rPr>
        <w:t>4</w:t>
      </w:r>
      <w:r w:rsidR="00F67803" w:rsidRPr="00F67803">
        <w:rPr>
          <w:noProof/>
          <w:color w:val="000000" w:themeColor="text1"/>
        </w:rPr>
        <w:noBreakHyphen/>
        <w:t>2</w:t>
      </w:r>
      <w:r w:rsidR="000C557A" w:rsidRPr="00812C16">
        <w:rPr>
          <w:rFonts w:cs="Arial"/>
          <w:lang w:eastAsia="de-DE"/>
        </w:rPr>
        <w:fldChar w:fldCharType="end"/>
      </w:r>
      <w:r w:rsidRPr="00812C16">
        <w:rPr>
          <w:rFonts w:cs="Arial"/>
          <w:lang w:eastAsia="de-DE"/>
        </w:rPr>
        <w:t xml:space="preserve"> zeigt die Kaplan-Meier Ereigniskurve für das Fernmetastasen-freie Überleben des gesamten </w:t>
      </w:r>
      <w:proofErr w:type="spellStart"/>
      <w:r w:rsidR="003419D8" w:rsidRPr="00812C16">
        <w:rPr>
          <w:rFonts w:cs="Arial"/>
          <w:lang w:eastAsia="de-DE"/>
        </w:rPr>
        <w:t>Patientkollektivs</w:t>
      </w:r>
      <w:proofErr w:type="spellEnd"/>
      <w:r w:rsidRPr="00812C16">
        <w:rPr>
          <w:rFonts w:cs="Arial"/>
          <w:lang w:eastAsia="de-DE"/>
        </w:rPr>
        <w:t xml:space="preserve">. Die </w:t>
      </w:r>
      <w:proofErr w:type="spellStart"/>
      <w:r w:rsidRPr="00812C16">
        <w:rPr>
          <w:rFonts w:cs="Arial"/>
          <w:lang w:eastAsia="de-DE"/>
        </w:rPr>
        <w:t>fernmetastasenfreie</w:t>
      </w:r>
      <w:proofErr w:type="spellEnd"/>
      <w:r w:rsidRPr="00812C16">
        <w:rPr>
          <w:rFonts w:cs="Arial"/>
          <w:lang w:eastAsia="de-DE"/>
        </w:rPr>
        <w:t xml:space="preserve"> Ereignisrate nach 2 und 5 Jahren </w:t>
      </w:r>
      <w:r w:rsidRPr="00812C16">
        <w:rPr>
          <w:rFonts w:cs="Arial"/>
          <w:lang w:eastAsia="de-DE"/>
        </w:rPr>
        <w:lastRenderedPageBreak/>
        <w:t xml:space="preserve">betrug 85,1% </w:t>
      </w:r>
      <w:r w:rsidR="000C557A" w:rsidRPr="00812C16">
        <w:rPr>
          <w:rFonts w:cs="Arial"/>
          <w:lang w:eastAsia="de-DE"/>
        </w:rPr>
        <w:t xml:space="preserve">(Standardfehler 2,4%) </w:t>
      </w:r>
      <w:r w:rsidRPr="00812C16">
        <w:rPr>
          <w:rFonts w:cs="Arial"/>
          <w:lang w:eastAsia="de-DE"/>
        </w:rPr>
        <w:t>sowie 79,1% (</w:t>
      </w:r>
      <w:r w:rsidR="000C557A" w:rsidRPr="00812C16">
        <w:rPr>
          <w:rFonts w:cs="Arial"/>
          <w:lang w:eastAsia="de-DE"/>
        </w:rPr>
        <w:t>Standardfehler 2,9%)</w:t>
      </w:r>
      <w:r w:rsidRPr="00812C16">
        <w:rPr>
          <w:rFonts w:cs="Arial"/>
          <w:lang w:eastAsia="de-DE"/>
        </w:rPr>
        <w:t>. Die mittlere ereignisfreie Zeit lag bei 82,8 Monaten</w:t>
      </w:r>
      <w:r w:rsidRPr="00812C16">
        <w:rPr>
          <w:rFonts w:cs="Arial"/>
        </w:rPr>
        <w:t xml:space="preserve"> (95%-KI, 78,1 bis 87,5 Monate).</w:t>
      </w:r>
    </w:p>
    <w:p w14:paraId="53A24C41" w14:textId="77777777" w:rsidR="00A03005" w:rsidRPr="00812C16" w:rsidRDefault="00B71E93" w:rsidP="001B1F9F">
      <w:pPr>
        <w:tabs>
          <w:tab w:val="left" w:pos="2410"/>
          <w:tab w:val="left" w:pos="6096"/>
          <w:tab w:val="left" w:pos="7230"/>
          <w:tab w:val="left" w:pos="7371"/>
          <w:tab w:val="left" w:pos="7513"/>
          <w:tab w:val="left" w:pos="7655"/>
          <w:tab w:val="right" w:pos="7938"/>
        </w:tabs>
        <w:spacing w:after="0"/>
        <w:ind w:left="1418"/>
        <w:jc w:val="left"/>
        <w:rPr>
          <w:rFonts w:cs="Arial"/>
          <w:lang w:eastAsia="de-DE"/>
        </w:rPr>
      </w:pPr>
      <w:r w:rsidRPr="00812C16">
        <w:rPr>
          <w:noProof/>
        </w:rPr>
        <w:drawing>
          <wp:inline distT="0" distB="0" distL="0" distR="0" wp14:anchorId="12A3C2C2" wp14:editId="2F733C22">
            <wp:extent cx="4054475" cy="2974340"/>
            <wp:effectExtent l="0" t="0" r="0" b="0"/>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22">
                      <a:extLst>
                        <a:ext uri="{28A0092B-C50C-407E-A947-70E740481C1C}">
                          <a14:useLocalDpi xmlns:a14="http://schemas.microsoft.com/office/drawing/2010/main" val="0"/>
                        </a:ext>
                      </a:extLst>
                    </a:blip>
                    <a:srcRect l="1909" r="30424" b="24030"/>
                    <a:stretch>
                      <a:fillRect/>
                    </a:stretch>
                  </pic:blipFill>
                  <pic:spPr bwMode="auto">
                    <a:xfrm>
                      <a:off x="0" y="0"/>
                      <a:ext cx="4054475" cy="2974340"/>
                    </a:xfrm>
                    <a:prstGeom prst="rect">
                      <a:avLst/>
                    </a:prstGeom>
                    <a:noFill/>
                    <a:ln>
                      <a:noFill/>
                    </a:ln>
                  </pic:spPr>
                </pic:pic>
              </a:graphicData>
            </a:graphic>
          </wp:inline>
        </w:drawing>
      </w:r>
    </w:p>
    <w:p w14:paraId="14544F07" w14:textId="47FA40AE" w:rsidR="00A03005" w:rsidRPr="00812C16" w:rsidRDefault="00A03005" w:rsidP="00A03005">
      <w:pPr>
        <w:pStyle w:val="Beschriftung"/>
        <w:spacing w:after="360" w:line="240" w:lineRule="auto"/>
        <w:rPr>
          <w:rFonts w:cs="Arial"/>
          <w:b/>
          <w:bCs/>
          <w:i w:val="0"/>
          <w:iCs w:val="0"/>
          <w:color w:val="000000" w:themeColor="text1"/>
          <w:sz w:val="20"/>
          <w:szCs w:val="20"/>
          <w:lang w:eastAsia="de-DE"/>
        </w:rPr>
      </w:pPr>
      <w:bookmarkStart w:id="64" w:name="_Ref90720946"/>
      <w:bookmarkStart w:id="65" w:name="_Toc180788382"/>
      <w:r w:rsidRPr="00812C16">
        <w:rPr>
          <w:b/>
          <w:bCs/>
          <w:i w:val="0"/>
          <w:iCs w:val="0"/>
          <w:color w:val="000000" w:themeColor="text1"/>
          <w:sz w:val="20"/>
          <w:szCs w:val="20"/>
        </w:rPr>
        <w:t xml:space="preserve">Abbildung </w:t>
      </w:r>
      <w:r w:rsidR="00BF08D6" w:rsidRPr="00812C16">
        <w:rPr>
          <w:b/>
          <w:bCs/>
          <w:i w:val="0"/>
          <w:iCs w:val="0"/>
          <w:color w:val="000000" w:themeColor="text1"/>
          <w:sz w:val="20"/>
          <w:szCs w:val="20"/>
        </w:rPr>
        <w:fldChar w:fldCharType="begin"/>
      </w:r>
      <w:r w:rsidR="00BF08D6" w:rsidRPr="00812C16">
        <w:rPr>
          <w:b/>
          <w:bCs/>
          <w:i w:val="0"/>
          <w:iCs w:val="0"/>
          <w:color w:val="000000" w:themeColor="text1"/>
          <w:sz w:val="20"/>
          <w:szCs w:val="20"/>
        </w:rPr>
        <w:instrText xml:space="preserve"> STYLEREF 1 \s </w:instrText>
      </w:r>
      <w:r w:rsidR="00BF08D6" w:rsidRPr="00812C16">
        <w:rPr>
          <w:b/>
          <w:bCs/>
          <w:i w:val="0"/>
          <w:iCs w:val="0"/>
          <w:color w:val="000000" w:themeColor="text1"/>
          <w:sz w:val="20"/>
          <w:szCs w:val="20"/>
        </w:rPr>
        <w:fldChar w:fldCharType="separate"/>
      </w:r>
      <w:r w:rsidR="00F67803">
        <w:rPr>
          <w:b/>
          <w:bCs/>
          <w:i w:val="0"/>
          <w:iCs w:val="0"/>
          <w:noProof/>
          <w:color w:val="000000" w:themeColor="text1"/>
          <w:sz w:val="20"/>
          <w:szCs w:val="20"/>
        </w:rPr>
        <w:t>4</w:t>
      </w:r>
      <w:r w:rsidR="00BF08D6" w:rsidRPr="00812C16">
        <w:rPr>
          <w:b/>
          <w:bCs/>
          <w:i w:val="0"/>
          <w:iCs w:val="0"/>
          <w:color w:val="000000" w:themeColor="text1"/>
          <w:sz w:val="20"/>
          <w:szCs w:val="20"/>
        </w:rPr>
        <w:fldChar w:fldCharType="end"/>
      </w:r>
      <w:r w:rsidR="00BF08D6" w:rsidRPr="00812C16">
        <w:rPr>
          <w:b/>
          <w:bCs/>
          <w:i w:val="0"/>
          <w:iCs w:val="0"/>
          <w:color w:val="000000" w:themeColor="text1"/>
          <w:sz w:val="20"/>
          <w:szCs w:val="20"/>
        </w:rPr>
        <w:noBreakHyphen/>
      </w:r>
      <w:r w:rsidR="00BF08D6" w:rsidRPr="00812C16">
        <w:rPr>
          <w:b/>
          <w:bCs/>
          <w:i w:val="0"/>
          <w:iCs w:val="0"/>
          <w:color w:val="000000" w:themeColor="text1"/>
          <w:sz w:val="20"/>
          <w:szCs w:val="20"/>
        </w:rPr>
        <w:fldChar w:fldCharType="begin"/>
      </w:r>
      <w:r w:rsidR="00BF08D6" w:rsidRPr="00812C16">
        <w:rPr>
          <w:b/>
          <w:bCs/>
          <w:i w:val="0"/>
          <w:iCs w:val="0"/>
          <w:color w:val="000000" w:themeColor="text1"/>
          <w:sz w:val="20"/>
          <w:szCs w:val="20"/>
        </w:rPr>
        <w:instrText xml:space="preserve"> SEQ Abbildung \* ARABIC \s 1 </w:instrText>
      </w:r>
      <w:r w:rsidR="00BF08D6" w:rsidRPr="00812C16">
        <w:rPr>
          <w:b/>
          <w:bCs/>
          <w:i w:val="0"/>
          <w:iCs w:val="0"/>
          <w:color w:val="000000" w:themeColor="text1"/>
          <w:sz w:val="20"/>
          <w:szCs w:val="20"/>
        </w:rPr>
        <w:fldChar w:fldCharType="separate"/>
      </w:r>
      <w:r w:rsidR="00F67803">
        <w:rPr>
          <w:b/>
          <w:bCs/>
          <w:i w:val="0"/>
          <w:iCs w:val="0"/>
          <w:noProof/>
          <w:color w:val="000000" w:themeColor="text1"/>
          <w:sz w:val="20"/>
          <w:szCs w:val="20"/>
        </w:rPr>
        <w:t>2</w:t>
      </w:r>
      <w:r w:rsidR="00BF08D6" w:rsidRPr="00812C16">
        <w:rPr>
          <w:b/>
          <w:bCs/>
          <w:i w:val="0"/>
          <w:iCs w:val="0"/>
          <w:color w:val="000000" w:themeColor="text1"/>
          <w:sz w:val="20"/>
          <w:szCs w:val="20"/>
        </w:rPr>
        <w:fldChar w:fldCharType="end"/>
      </w:r>
      <w:bookmarkEnd w:id="64"/>
      <w:r w:rsidRPr="00812C16">
        <w:rPr>
          <w:b/>
          <w:bCs/>
          <w:i w:val="0"/>
          <w:iCs w:val="0"/>
          <w:color w:val="000000" w:themeColor="text1"/>
          <w:sz w:val="20"/>
          <w:szCs w:val="20"/>
        </w:rPr>
        <w:t xml:space="preserve">: </w:t>
      </w:r>
      <w:proofErr w:type="spellStart"/>
      <w:r w:rsidRPr="00812C16">
        <w:rPr>
          <w:b/>
          <w:bCs/>
          <w:i w:val="0"/>
          <w:iCs w:val="0"/>
          <w:color w:val="000000" w:themeColor="text1"/>
          <w:sz w:val="20"/>
          <w:szCs w:val="20"/>
        </w:rPr>
        <w:t>Fernmetastasenfreies</w:t>
      </w:r>
      <w:proofErr w:type="spellEnd"/>
      <w:r w:rsidRPr="00812C16">
        <w:rPr>
          <w:b/>
          <w:bCs/>
          <w:i w:val="0"/>
          <w:iCs w:val="0"/>
          <w:color w:val="000000" w:themeColor="text1"/>
          <w:sz w:val="20"/>
          <w:szCs w:val="20"/>
        </w:rPr>
        <w:t xml:space="preserve"> Überleben nach Kaplan-Meier für das Gesamtkollektiv</w:t>
      </w:r>
      <w:bookmarkEnd w:id="65"/>
      <w:r w:rsidRPr="00812C16">
        <w:rPr>
          <w:b/>
          <w:bCs/>
          <w:i w:val="0"/>
          <w:iCs w:val="0"/>
          <w:color w:val="000000" w:themeColor="text1"/>
          <w:sz w:val="20"/>
          <w:szCs w:val="20"/>
        </w:rPr>
        <w:t xml:space="preserve"> </w:t>
      </w:r>
    </w:p>
    <w:p w14:paraId="01688B3A" w14:textId="01B96383" w:rsidR="002E360C" w:rsidRPr="00812C16" w:rsidRDefault="00622C8B" w:rsidP="00513B9C">
      <w:pPr>
        <w:tabs>
          <w:tab w:val="left" w:pos="2694"/>
          <w:tab w:val="left" w:pos="7797"/>
          <w:tab w:val="left" w:pos="8080"/>
        </w:tabs>
        <w:spacing w:before="120" w:after="360"/>
        <w:rPr>
          <w:rFonts w:cs="Arial"/>
        </w:rPr>
      </w:pPr>
      <w:r w:rsidRPr="00812C16">
        <w:rPr>
          <w:rFonts w:cs="Arial"/>
          <w:lang w:eastAsia="de-DE"/>
        </w:rPr>
        <w:t xml:space="preserve">Zum Ende der Beobachtungszeit waren 70 Patienten (31,7 %) verstorben. </w:t>
      </w:r>
      <w:r w:rsidR="00D472BB" w:rsidRPr="00812C16">
        <w:rPr>
          <w:rFonts w:cs="Arial"/>
          <w:lang w:eastAsia="de-DE"/>
        </w:rPr>
        <w:t>Die</w:t>
      </w:r>
      <w:r w:rsidR="00382956" w:rsidRPr="00812C16">
        <w:rPr>
          <w:rFonts w:cs="Arial"/>
          <w:lang w:eastAsia="de-DE"/>
        </w:rPr>
        <w:t xml:space="preserve"> 2- bzw. 5-Jahresüberlebensrate betrug</w:t>
      </w:r>
      <w:r w:rsidR="00465294" w:rsidRPr="00812C16">
        <w:rPr>
          <w:rFonts w:cs="Arial"/>
          <w:lang w:eastAsia="de-DE"/>
        </w:rPr>
        <w:t xml:space="preserve"> schätzungsweise 83,9% </w:t>
      </w:r>
      <w:r w:rsidR="000C557A" w:rsidRPr="00812C16">
        <w:rPr>
          <w:rFonts w:cs="Arial"/>
          <w:lang w:eastAsia="de-DE"/>
        </w:rPr>
        <w:t xml:space="preserve">(Standardfehler </w:t>
      </w:r>
      <w:r w:rsidR="00513B9C" w:rsidRPr="00812C16">
        <w:rPr>
          <w:rFonts w:cs="Arial"/>
          <w:lang w:eastAsia="de-DE"/>
        </w:rPr>
        <w:t>2,5</w:t>
      </w:r>
      <w:r w:rsidR="000C557A" w:rsidRPr="00812C16">
        <w:rPr>
          <w:rFonts w:cs="Arial"/>
          <w:lang w:eastAsia="de-DE"/>
        </w:rPr>
        <w:t xml:space="preserve">%) </w:t>
      </w:r>
      <w:r w:rsidR="00465294" w:rsidRPr="00812C16">
        <w:rPr>
          <w:rFonts w:cs="Arial"/>
          <w:lang w:eastAsia="de-DE"/>
        </w:rPr>
        <w:t>bzw. 67,8%</w:t>
      </w:r>
      <w:r w:rsidR="000C557A" w:rsidRPr="00812C16">
        <w:rPr>
          <w:rFonts w:cs="Arial"/>
          <w:lang w:eastAsia="de-DE"/>
        </w:rPr>
        <w:t xml:space="preserve"> (Standardfehler </w:t>
      </w:r>
      <w:r w:rsidR="00513B9C" w:rsidRPr="00812C16">
        <w:rPr>
          <w:rFonts w:cs="Arial"/>
          <w:lang w:eastAsia="de-DE"/>
        </w:rPr>
        <w:t>3,4</w:t>
      </w:r>
      <w:r w:rsidR="000C557A" w:rsidRPr="00812C16">
        <w:rPr>
          <w:rFonts w:cs="Arial"/>
          <w:lang w:eastAsia="de-DE"/>
        </w:rPr>
        <w:t>%). Die entsprechende Kaplan-Meier Kurve zeigt</w:t>
      </w:r>
      <w:r w:rsidR="00FF1DDA" w:rsidRPr="00812C16">
        <w:rPr>
          <w:rFonts w:cs="Arial"/>
          <w:lang w:eastAsia="de-DE"/>
        </w:rPr>
        <w:t xml:space="preserve"> </w:t>
      </w:r>
      <w:r w:rsidR="00FF1DDA" w:rsidRPr="00812C16">
        <w:rPr>
          <w:rFonts w:cs="Arial"/>
          <w:lang w:eastAsia="de-DE"/>
        </w:rPr>
        <w:fldChar w:fldCharType="begin"/>
      </w:r>
      <w:r w:rsidR="00FF1DDA" w:rsidRPr="00812C16">
        <w:rPr>
          <w:rFonts w:cs="Arial"/>
          <w:lang w:eastAsia="de-DE"/>
        </w:rPr>
        <w:instrText xml:space="preserve"> REF _Ref90720910 \h  \* MERGEFORMAT </w:instrText>
      </w:r>
      <w:r w:rsidR="00FF1DDA" w:rsidRPr="00812C16">
        <w:rPr>
          <w:rFonts w:cs="Arial"/>
          <w:lang w:eastAsia="de-DE"/>
        </w:rPr>
      </w:r>
      <w:r w:rsidR="00FF1DDA" w:rsidRPr="00812C16">
        <w:rPr>
          <w:rFonts w:cs="Arial"/>
          <w:lang w:eastAsia="de-DE"/>
        </w:rPr>
        <w:fldChar w:fldCharType="separate"/>
      </w:r>
      <w:r w:rsidR="00F67803" w:rsidRPr="00F67803">
        <w:rPr>
          <w:color w:val="000000" w:themeColor="text1"/>
        </w:rPr>
        <w:t xml:space="preserve">Abbildung </w:t>
      </w:r>
      <w:r w:rsidR="00F67803" w:rsidRPr="00F67803">
        <w:rPr>
          <w:noProof/>
          <w:color w:val="000000" w:themeColor="text1"/>
        </w:rPr>
        <w:t>4</w:t>
      </w:r>
      <w:r w:rsidR="00F67803" w:rsidRPr="00F67803">
        <w:rPr>
          <w:noProof/>
          <w:color w:val="000000" w:themeColor="text1"/>
        </w:rPr>
        <w:noBreakHyphen/>
        <w:t>3</w:t>
      </w:r>
      <w:r w:rsidR="00FF1DDA" w:rsidRPr="00812C16">
        <w:rPr>
          <w:rFonts w:cs="Arial"/>
          <w:lang w:eastAsia="de-DE"/>
        </w:rPr>
        <w:fldChar w:fldCharType="end"/>
      </w:r>
      <w:r w:rsidR="000C557A" w:rsidRPr="00812C16">
        <w:rPr>
          <w:rFonts w:cs="Arial"/>
          <w:lang w:eastAsia="de-DE"/>
        </w:rPr>
        <w:t xml:space="preserve">. </w:t>
      </w:r>
      <w:r w:rsidR="00465294" w:rsidRPr="00812C16">
        <w:rPr>
          <w:rFonts w:cs="Arial"/>
          <w:lang w:eastAsia="de-DE"/>
        </w:rPr>
        <w:t xml:space="preserve"> </w:t>
      </w:r>
      <w:r w:rsidR="00382956" w:rsidRPr="00812C16">
        <w:rPr>
          <w:rFonts w:cs="Arial"/>
          <w:lang w:eastAsia="de-DE"/>
        </w:rPr>
        <w:t>Die mittlere Überlebenszeit lag bei 71,6 Monaten</w:t>
      </w:r>
      <w:r w:rsidR="00382956" w:rsidRPr="00812C16">
        <w:rPr>
          <w:rFonts w:cs="Arial"/>
        </w:rPr>
        <w:t xml:space="preserve"> (95%-KI, 65,8</w:t>
      </w:r>
      <w:r w:rsidR="00465294" w:rsidRPr="00812C16">
        <w:rPr>
          <w:rFonts w:cs="Arial"/>
        </w:rPr>
        <w:t xml:space="preserve"> bis </w:t>
      </w:r>
      <w:r w:rsidR="00382956" w:rsidRPr="00812C16">
        <w:rPr>
          <w:rFonts w:cs="Arial"/>
        </w:rPr>
        <w:t>72,3 Monate)</w:t>
      </w:r>
      <w:r w:rsidR="002E360C" w:rsidRPr="00812C16">
        <w:rPr>
          <w:rFonts w:cs="Arial"/>
        </w:rPr>
        <w:t>.</w:t>
      </w:r>
    </w:p>
    <w:p w14:paraId="22B1CEB8" w14:textId="77777777" w:rsidR="00B86B18" w:rsidRPr="00812C16" w:rsidRDefault="005D0971" w:rsidP="001B1F9F">
      <w:pPr>
        <w:keepNext/>
        <w:tabs>
          <w:tab w:val="left" w:pos="284"/>
          <w:tab w:val="left" w:pos="709"/>
          <w:tab w:val="left" w:pos="2268"/>
          <w:tab w:val="right" w:pos="2552"/>
          <w:tab w:val="left" w:pos="2694"/>
          <w:tab w:val="left" w:pos="6804"/>
          <w:tab w:val="left" w:pos="6946"/>
          <w:tab w:val="left" w:pos="7230"/>
          <w:tab w:val="right" w:pos="7371"/>
          <w:tab w:val="left" w:pos="7797"/>
          <w:tab w:val="right" w:pos="7938"/>
        </w:tabs>
        <w:spacing w:after="0"/>
        <w:ind w:left="1418"/>
        <w:jc w:val="left"/>
      </w:pPr>
      <w:r w:rsidRPr="00812C16">
        <w:rPr>
          <w:noProof/>
        </w:rPr>
        <mc:AlternateContent>
          <mc:Choice Requires="wps">
            <w:drawing>
              <wp:anchor distT="0" distB="0" distL="114300" distR="114300" simplePos="0" relativeHeight="251663360" behindDoc="0" locked="0" layoutInCell="1" allowOverlap="1" wp14:anchorId="72D6ABE8" wp14:editId="308DCF08">
                <wp:simplePos x="0" y="0"/>
                <wp:positionH relativeFrom="column">
                  <wp:posOffset>615950</wp:posOffset>
                </wp:positionH>
                <wp:positionV relativeFrom="paragraph">
                  <wp:posOffset>2040255</wp:posOffset>
                </wp:positionV>
                <wp:extent cx="147320" cy="137160"/>
                <wp:effectExtent l="0" t="0" r="0" b="0"/>
                <wp:wrapNone/>
                <wp:docPr id="21"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7320" cy="137160"/>
                        </a:xfrm>
                        <a:prstGeom prst="rect">
                          <a:avLst/>
                        </a:prstGeom>
                        <a:solidFill>
                          <a:schemeClr val="bg1"/>
                        </a:solidFill>
                        <a:ln cmpd="thickThi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4772E" id="Rechteck 21" o:spid="_x0000_s1026" style="position:absolute;margin-left:48.5pt;margin-top:160.65pt;width:11.6pt;height:10.8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" fillcolor="white [3212]" stroked="f" strokeweight="1pt">
                <v:stroke linestyle="thickThin"/>
              </v:rect>
            </w:pict>
          </mc:Fallback>
        </mc:AlternateContent>
      </w:r>
      <w:r w:rsidR="002A2753" w:rsidRPr="00812C16">
        <w:rPr>
          <w:noProof/>
        </w:rPr>
        <w:t xml:space="preserve"> </w:t>
      </w:r>
      <w:r w:rsidR="00B71E93" w:rsidRPr="00812C16">
        <w:rPr>
          <w:noProof/>
        </w:rPr>
        <w:drawing>
          <wp:inline distT="0" distB="0" distL="0" distR="0" wp14:anchorId="4B4C212D" wp14:editId="42A188D3">
            <wp:extent cx="3999230" cy="2930525"/>
            <wp:effectExtent l="0" t="0" r="0" b="0"/>
            <wp:docPr id="1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3">
                      <a:extLst>
                        <a:ext uri="{28A0092B-C50C-407E-A947-70E740481C1C}">
                          <a14:useLocalDpi xmlns:a14="http://schemas.microsoft.com/office/drawing/2010/main" val="0"/>
                        </a:ext>
                      </a:extLst>
                    </a:blip>
                    <a:srcRect l="2144" t="218" r="30482" b="23593"/>
                    <a:stretch>
                      <a:fillRect/>
                    </a:stretch>
                  </pic:blipFill>
                  <pic:spPr bwMode="auto">
                    <a:xfrm>
                      <a:off x="0" y="0"/>
                      <a:ext cx="3999230" cy="2930525"/>
                    </a:xfrm>
                    <a:prstGeom prst="rect">
                      <a:avLst/>
                    </a:prstGeom>
                    <a:noFill/>
                    <a:ln>
                      <a:noFill/>
                    </a:ln>
                  </pic:spPr>
                </pic:pic>
              </a:graphicData>
            </a:graphic>
          </wp:inline>
        </w:drawing>
      </w:r>
      <w:r w:rsidR="00581845" w:rsidRPr="00812C16">
        <w:rPr>
          <w:noProof/>
        </w:rPr>
        <w:t xml:space="preserve">   </w:t>
      </w:r>
    </w:p>
    <w:p w14:paraId="1A54277D" w14:textId="72605C6D" w:rsidR="00860D6D" w:rsidRPr="00812C16" w:rsidRDefault="00B86B18" w:rsidP="00365664">
      <w:pPr>
        <w:pStyle w:val="Beschriftung"/>
        <w:spacing w:after="360" w:line="240" w:lineRule="auto"/>
        <w:jc w:val="left"/>
        <w:rPr>
          <w:rFonts w:cs="Arial"/>
          <w:i w:val="0"/>
          <w:iCs w:val="0"/>
          <w:color w:val="000000" w:themeColor="text1"/>
          <w:sz w:val="20"/>
          <w:szCs w:val="20"/>
          <w:lang w:eastAsia="de-DE"/>
        </w:rPr>
      </w:pPr>
      <w:bookmarkStart w:id="66" w:name="_Ref90720910"/>
      <w:bookmarkStart w:id="67" w:name="_Toc180788383"/>
      <w:r w:rsidRPr="00812C16">
        <w:rPr>
          <w:b/>
          <w:bCs/>
          <w:i w:val="0"/>
          <w:iCs w:val="0"/>
          <w:color w:val="000000" w:themeColor="text1"/>
          <w:sz w:val="20"/>
          <w:szCs w:val="20"/>
        </w:rPr>
        <w:t xml:space="preserve">Abbildung </w:t>
      </w:r>
      <w:r w:rsidR="00BF08D6" w:rsidRPr="00812C16">
        <w:rPr>
          <w:b/>
          <w:bCs/>
          <w:i w:val="0"/>
          <w:iCs w:val="0"/>
          <w:color w:val="000000" w:themeColor="text1"/>
          <w:sz w:val="20"/>
          <w:szCs w:val="20"/>
        </w:rPr>
        <w:fldChar w:fldCharType="begin"/>
      </w:r>
      <w:r w:rsidR="00BF08D6" w:rsidRPr="00812C16">
        <w:rPr>
          <w:b/>
          <w:bCs/>
          <w:i w:val="0"/>
          <w:iCs w:val="0"/>
          <w:color w:val="000000" w:themeColor="text1"/>
          <w:sz w:val="20"/>
          <w:szCs w:val="20"/>
        </w:rPr>
        <w:instrText xml:space="preserve"> STYLEREF 1 \s </w:instrText>
      </w:r>
      <w:r w:rsidR="00BF08D6" w:rsidRPr="00812C16">
        <w:rPr>
          <w:b/>
          <w:bCs/>
          <w:i w:val="0"/>
          <w:iCs w:val="0"/>
          <w:color w:val="000000" w:themeColor="text1"/>
          <w:sz w:val="20"/>
          <w:szCs w:val="20"/>
        </w:rPr>
        <w:fldChar w:fldCharType="separate"/>
      </w:r>
      <w:r w:rsidR="00F67803">
        <w:rPr>
          <w:b/>
          <w:bCs/>
          <w:i w:val="0"/>
          <w:iCs w:val="0"/>
          <w:noProof/>
          <w:color w:val="000000" w:themeColor="text1"/>
          <w:sz w:val="20"/>
          <w:szCs w:val="20"/>
        </w:rPr>
        <w:t>4</w:t>
      </w:r>
      <w:r w:rsidR="00BF08D6" w:rsidRPr="00812C16">
        <w:rPr>
          <w:b/>
          <w:bCs/>
          <w:i w:val="0"/>
          <w:iCs w:val="0"/>
          <w:color w:val="000000" w:themeColor="text1"/>
          <w:sz w:val="20"/>
          <w:szCs w:val="20"/>
        </w:rPr>
        <w:fldChar w:fldCharType="end"/>
      </w:r>
      <w:r w:rsidR="00BF08D6" w:rsidRPr="00812C16">
        <w:rPr>
          <w:b/>
          <w:bCs/>
          <w:i w:val="0"/>
          <w:iCs w:val="0"/>
          <w:color w:val="000000" w:themeColor="text1"/>
          <w:sz w:val="20"/>
          <w:szCs w:val="20"/>
        </w:rPr>
        <w:noBreakHyphen/>
      </w:r>
      <w:r w:rsidR="00BF08D6" w:rsidRPr="00812C16">
        <w:rPr>
          <w:b/>
          <w:bCs/>
          <w:i w:val="0"/>
          <w:iCs w:val="0"/>
          <w:color w:val="000000" w:themeColor="text1"/>
          <w:sz w:val="20"/>
          <w:szCs w:val="20"/>
        </w:rPr>
        <w:fldChar w:fldCharType="begin"/>
      </w:r>
      <w:r w:rsidR="00BF08D6" w:rsidRPr="00812C16">
        <w:rPr>
          <w:b/>
          <w:bCs/>
          <w:i w:val="0"/>
          <w:iCs w:val="0"/>
          <w:color w:val="000000" w:themeColor="text1"/>
          <w:sz w:val="20"/>
          <w:szCs w:val="20"/>
        </w:rPr>
        <w:instrText xml:space="preserve"> SEQ Abbildung \* ARABIC \s 1 </w:instrText>
      </w:r>
      <w:r w:rsidR="00BF08D6" w:rsidRPr="00812C16">
        <w:rPr>
          <w:b/>
          <w:bCs/>
          <w:i w:val="0"/>
          <w:iCs w:val="0"/>
          <w:color w:val="000000" w:themeColor="text1"/>
          <w:sz w:val="20"/>
          <w:szCs w:val="20"/>
        </w:rPr>
        <w:fldChar w:fldCharType="separate"/>
      </w:r>
      <w:r w:rsidR="00F67803">
        <w:rPr>
          <w:b/>
          <w:bCs/>
          <w:i w:val="0"/>
          <w:iCs w:val="0"/>
          <w:noProof/>
          <w:color w:val="000000" w:themeColor="text1"/>
          <w:sz w:val="20"/>
          <w:szCs w:val="20"/>
        </w:rPr>
        <w:t>3</w:t>
      </w:r>
      <w:r w:rsidR="00BF08D6" w:rsidRPr="00812C16">
        <w:rPr>
          <w:b/>
          <w:bCs/>
          <w:i w:val="0"/>
          <w:iCs w:val="0"/>
          <w:color w:val="000000" w:themeColor="text1"/>
          <w:sz w:val="20"/>
          <w:szCs w:val="20"/>
        </w:rPr>
        <w:fldChar w:fldCharType="end"/>
      </w:r>
      <w:bookmarkEnd w:id="66"/>
      <w:r w:rsidRPr="00812C16">
        <w:rPr>
          <w:b/>
          <w:bCs/>
          <w:i w:val="0"/>
          <w:iCs w:val="0"/>
          <w:color w:val="000000" w:themeColor="text1"/>
          <w:sz w:val="20"/>
          <w:szCs w:val="20"/>
        </w:rPr>
        <w:t>: Gesamtüberleben nach Kaplan-Meier für das Gesamtkollektiv</w:t>
      </w:r>
      <w:r w:rsidR="00ED14C9" w:rsidRPr="00812C16">
        <w:rPr>
          <w:b/>
          <w:bCs/>
          <w:i w:val="0"/>
          <w:iCs w:val="0"/>
          <w:color w:val="000000" w:themeColor="text1"/>
          <w:sz w:val="20"/>
          <w:szCs w:val="20"/>
        </w:rPr>
        <w:t>.</w:t>
      </w:r>
      <w:bookmarkEnd w:id="67"/>
      <w:r w:rsidR="00ED14C9" w:rsidRPr="00812C16">
        <w:rPr>
          <w:b/>
          <w:bCs/>
          <w:i w:val="0"/>
          <w:iCs w:val="0"/>
          <w:color w:val="000000" w:themeColor="text1"/>
          <w:sz w:val="20"/>
          <w:szCs w:val="20"/>
        </w:rPr>
        <w:t xml:space="preserve"> </w:t>
      </w:r>
    </w:p>
    <w:p w14:paraId="297B9FB2" w14:textId="77777777" w:rsidR="0008123C" w:rsidRPr="00812C16" w:rsidRDefault="00C64E3B" w:rsidP="00A03005">
      <w:pPr>
        <w:spacing w:before="120" w:after="360"/>
        <w:rPr>
          <w:rFonts w:cs="Arial"/>
          <w:lang w:eastAsia="de-DE"/>
        </w:rPr>
      </w:pPr>
      <w:r w:rsidRPr="00812C16">
        <w:rPr>
          <w:rFonts w:cs="Arial"/>
          <w:lang w:eastAsia="de-DE"/>
        </w:rPr>
        <w:lastRenderedPageBreak/>
        <w:t xml:space="preserve">Im Untersuchungszeitraum </w:t>
      </w:r>
      <w:r w:rsidR="00CF777B" w:rsidRPr="00812C16">
        <w:rPr>
          <w:rFonts w:cs="Arial"/>
          <w:lang w:eastAsia="de-DE"/>
        </w:rPr>
        <w:t>verstarben</w:t>
      </w:r>
      <w:r w:rsidR="00AD58D6" w:rsidRPr="00812C16">
        <w:rPr>
          <w:rFonts w:cs="Arial"/>
          <w:lang w:eastAsia="de-DE"/>
        </w:rPr>
        <w:t xml:space="preserve"> 70 </w:t>
      </w:r>
      <w:r w:rsidR="00CF777B" w:rsidRPr="00812C16">
        <w:rPr>
          <w:rFonts w:cs="Arial"/>
          <w:lang w:eastAsia="de-DE"/>
        </w:rPr>
        <w:t>Patienten,</w:t>
      </w:r>
      <w:r w:rsidR="00AD58D6" w:rsidRPr="00812C16">
        <w:rPr>
          <w:rFonts w:cs="Arial"/>
          <w:lang w:eastAsia="de-DE"/>
        </w:rPr>
        <w:t xml:space="preserve"> bei 29 wurde ein </w:t>
      </w:r>
      <w:proofErr w:type="spellStart"/>
      <w:r w:rsidR="009B7869" w:rsidRPr="00812C16">
        <w:rPr>
          <w:rFonts w:cs="Arial"/>
          <w:lang w:eastAsia="de-DE"/>
        </w:rPr>
        <w:t>l</w:t>
      </w:r>
      <w:r w:rsidR="00AD58D6" w:rsidRPr="00812C16">
        <w:rPr>
          <w:rFonts w:cs="Arial"/>
          <w:lang w:eastAsia="de-DE"/>
        </w:rPr>
        <w:t>okoregionäres</w:t>
      </w:r>
      <w:proofErr w:type="spellEnd"/>
      <w:r w:rsidR="00AD58D6" w:rsidRPr="00812C16">
        <w:rPr>
          <w:rFonts w:cs="Arial"/>
          <w:lang w:eastAsia="de-DE"/>
        </w:rPr>
        <w:t xml:space="preserve"> Rezidiv diag</w:t>
      </w:r>
      <w:r w:rsidR="009B7869" w:rsidRPr="00812C16">
        <w:rPr>
          <w:rFonts w:cs="Arial"/>
          <w:lang w:eastAsia="de-DE"/>
        </w:rPr>
        <w:t xml:space="preserve">nostiziert </w:t>
      </w:r>
      <w:r w:rsidR="00AD58D6" w:rsidRPr="00812C16">
        <w:rPr>
          <w:rFonts w:cs="Arial"/>
          <w:lang w:eastAsia="de-DE"/>
        </w:rPr>
        <w:t>und 42 Patienten bekamen Fernmetastasen</w:t>
      </w:r>
      <w:r w:rsidR="009B7869" w:rsidRPr="00812C16">
        <w:rPr>
          <w:rFonts w:cs="Arial"/>
          <w:lang w:eastAsia="de-DE"/>
        </w:rPr>
        <w:t>.</w:t>
      </w:r>
      <w:r w:rsidR="00AD58D6" w:rsidRPr="00812C16">
        <w:rPr>
          <w:rFonts w:cs="Arial"/>
          <w:lang w:eastAsia="de-DE"/>
        </w:rPr>
        <w:t xml:space="preserve"> I</w:t>
      </w:r>
      <w:r w:rsidRPr="00812C16">
        <w:rPr>
          <w:rFonts w:cs="Arial"/>
          <w:lang w:eastAsia="de-DE"/>
        </w:rPr>
        <w:t>nsgesamt</w:t>
      </w:r>
      <w:r w:rsidR="00AD58D6" w:rsidRPr="00812C16">
        <w:rPr>
          <w:rFonts w:cs="Arial"/>
          <w:lang w:eastAsia="de-DE"/>
        </w:rPr>
        <w:t xml:space="preserve"> wurden also</w:t>
      </w:r>
      <w:r w:rsidRPr="00812C16">
        <w:rPr>
          <w:rFonts w:cs="Arial"/>
          <w:lang w:eastAsia="de-DE"/>
        </w:rPr>
        <w:t xml:space="preserve"> </w:t>
      </w:r>
      <w:r w:rsidR="00AD58D6" w:rsidRPr="00812C16">
        <w:rPr>
          <w:rFonts w:cs="Arial"/>
          <w:lang w:eastAsia="de-DE"/>
        </w:rPr>
        <w:t xml:space="preserve">141 </w:t>
      </w:r>
      <w:r w:rsidRPr="00812C16">
        <w:rPr>
          <w:rFonts w:cs="Arial"/>
          <w:lang w:eastAsia="de-DE"/>
        </w:rPr>
        <w:t xml:space="preserve">Ereignisse </w:t>
      </w:r>
      <w:r w:rsidR="009B7869" w:rsidRPr="00812C16">
        <w:rPr>
          <w:rFonts w:cs="Arial"/>
          <w:lang w:eastAsia="de-DE"/>
        </w:rPr>
        <w:t>registriert</w:t>
      </w:r>
      <w:r w:rsidRPr="00812C16">
        <w:rPr>
          <w:rFonts w:cs="Arial"/>
          <w:lang w:eastAsia="de-DE"/>
        </w:rPr>
        <w:t xml:space="preserve">. Somit war für </w:t>
      </w:r>
      <w:r w:rsidR="00AD58D6" w:rsidRPr="00812C16">
        <w:rPr>
          <w:rFonts w:cs="Arial"/>
          <w:lang w:eastAsia="de-DE"/>
        </w:rPr>
        <w:t>80</w:t>
      </w:r>
      <w:r w:rsidRPr="00812C16">
        <w:rPr>
          <w:rFonts w:cs="Arial"/>
          <w:lang w:eastAsia="de-DE"/>
        </w:rPr>
        <w:t xml:space="preserve"> (</w:t>
      </w:r>
      <w:r w:rsidR="003419D8" w:rsidRPr="00812C16">
        <w:rPr>
          <w:rFonts w:cs="Arial"/>
          <w:lang w:eastAsia="de-DE"/>
        </w:rPr>
        <w:t>36,2</w:t>
      </w:r>
      <w:r w:rsidRPr="00812C16">
        <w:rPr>
          <w:rFonts w:cs="Arial"/>
          <w:lang w:eastAsia="de-DE"/>
        </w:rPr>
        <w:t>%) Patienten das Follow-</w:t>
      </w:r>
      <w:proofErr w:type="spellStart"/>
      <w:r w:rsidRPr="00812C16">
        <w:rPr>
          <w:rFonts w:cs="Arial"/>
          <w:lang w:eastAsia="de-DE"/>
        </w:rPr>
        <w:t>up</w:t>
      </w:r>
      <w:proofErr w:type="spellEnd"/>
      <w:r w:rsidRPr="00812C16">
        <w:rPr>
          <w:rFonts w:cs="Arial"/>
          <w:lang w:eastAsia="de-DE"/>
        </w:rPr>
        <w:t xml:space="preserve"> zum Zeitpunkt der letzten Datenerfassung der vorliegenden Arbeit noch nicht abgeschlossen.</w:t>
      </w:r>
      <w:r w:rsidR="00AD58D6" w:rsidRPr="00812C16">
        <w:rPr>
          <w:rFonts w:cs="Arial"/>
          <w:lang w:eastAsia="de-DE"/>
        </w:rPr>
        <w:t xml:space="preserve"> Diese wurden als </w:t>
      </w:r>
      <w:r w:rsidR="00127FDE" w:rsidRPr="00812C16">
        <w:rPr>
          <w:rFonts w:cs="Arial"/>
          <w:lang w:eastAsia="de-DE"/>
        </w:rPr>
        <w:t xml:space="preserve">zensierte Ereignisse in der Datenauswertung berücksichtigt. </w:t>
      </w:r>
      <w:r w:rsidR="0008123C" w:rsidRPr="00812C16">
        <w:rPr>
          <w:rFonts w:cs="Arial"/>
          <w:lang w:eastAsia="de-DE"/>
        </w:rPr>
        <w:t>Die Kaplan-Meier Ereigniskurven</w:t>
      </w:r>
      <w:r w:rsidR="0024223E" w:rsidRPr="00812C16">
        <w:rPr>
          <w:rFonts w:cs="Arial"/>
          <w:lang w:eastAsia="de-DE"/>
        </w:rPr>
        <w:t xml:space="preserve"> </w:t>
      </w:r>
      <w:r w:rsidR="0008123C" w:rsidRPr="00812C16">
        <w:rPr>
          <w:rFonts w:cs="Arial"/>
          <w:lang w:eastAsia="de-DE"/>
        </w:rPr>
        <w:t xml:space="preserve">für das Patientenkollektiv der Subgruppen mit HPV16 DNA-negativen </w:t>
      </w:r>
      <w:r w:rsidR="00B57DDF" w:rsidRPr="00812C16">
        <w:rPr>
          <w:rFonts w:cs="Arial"/>
          <w:lang w:eastAsia="de-DE"/>
        </w:rPr>
        <w:t>und</w:t>
      </w:r>
      <w:r w:rsidR="0008123C" w:rsidRPr="00812C16">
        <w:rPr>
          <w:rFonts w:cs="Arial"/>
          <w:lang w:eastAsia="de-DE"/>
        </w:rPr>
        <w:t xml:space="preserve"> -positiven Tumoren</w:t>
      </w:r>
      <w:r w:rsidR="00B57DDF" w:rsidRPr="00812C16">
        <w:rPr>
          <w:rFonts w:cs="Arial"/>
          <w:lang w:eastAsia="de-DE"/>
        </w:rPr>
        <w:t>, können der Anlage entnommen werden.</w:t>
      </w:r>
    </w:p>
    <w:p w14:paraId="06AA311E" w14:textId="77777777" w:rsidR="0083406B" w:rsidRPr="00812C16" w:rsidRDefault="0030348F" w:rsidP="005547D3">
      <w:pPr>
        <w:pStyle w:val="berschrift3"/>
        <w:rPr>
          <w:rFonts w:eastAsia="Times New Roman" w:cs="Arial"/>
          <w:i/>
          <w:iCs/>
          <w:sz w:val="18"/>
        </w:rPr>
      </w:pPr>
      <w:bookmarkStart w:id="68" w:name="_Toc158006540"/>
      <w:r w:rsidRPr="00812C16">
        <w:t xml:space="preserve">Univariate Analysen </w:t>
      </w:r>
      <w:proofErr w:type="gramStart"/>
      <w:r w:rsidRPr="00812C16">
        <w:t xml:space="preserve">zur </w:t>
      </w:r>
      <w:r w:rsidR="00DA09A9" w:rsidRPr="00812C16">
        <w:t>p</w:t>
      </w:r>
      <w:r w:rsidR="0083406B" w:rsidRPr="00812C16">
        <w:t>rognostische Relevanz</w:t>
      </w:r>
      <w:proofErr w:type="gramEnd"/>
      <w:r w:rsidR="0083406B" w:rsidRPr="00812C16">
        <w:t xml:space="preserve"> von CD44</w:t>
      </w:r>
      <w:bookmarkEnd w:id="68"/>
      <w:r w:rsidR="00C5290B" w:rsidRPr="00812C16">
        <w:t xml:space="preserve"> </w:t>
      </w:r>
    </w:p>
    <w:p w14:paraId="4A2B05A1" w14:textId="4021D6FC" w:rsidR="006451FD" w:rsidRPr="00812C16" w:rsidRDefault="0035487A" w:rsidP="00FF0C10">
      <w:pPr>
        <w:spacing w:after="360"/>
        <w:rPr>
          <w:rFonts w:cs="Arial"/>
          <w:lang w:eastAsia="de-DE"/>
        </w:rPr>
      </w:pPr>
      <w:r w:rsidRPr="00812C16">
        <w:rPr>
          <w:rFonts w:cs="Arial"/>
          <w:lang w:eastAsia="de-DE"/>
        </w:rPr>
        <w:t>D</w:t>
      </w:r>
      <w:r w:rsidR="00A91231" w:rsidRPr="00812C16">
        <w:rPr>
          <w:rFonts w:cs="Arial"/>
          <w:lang w:eastAsia="de-DE"/>
        </w:rPr>
        <w:t>er</w:t>
      </w:r>
      <w:r w:rsidRPr="00812C16">
        <w:rPr>
          <w:rFonts w:cs="Arial"/>
          <w:lang w:eastAsia="de-DE"/>
        </w:rPr>
        <w:t xml:space="preserve"> potenzielle </w:t>
      </w:r>
      <w:r w:rsidR="00A805DC" w:rsidRPr="00812C16">
        <w:rPr>
          <w:rFonts w:cs="Arial"/>
          <w:lang w:eastAsia="de-DE"/>
        </w:rPr>
        <w:t>Tumorstammzellmarker</w:t>
      </w:r>
      <w:r w:rsidR="007649AF" w:rsidRPr="00812C16">
        <w:rPr>
          <w:rFonts w:cs="Arial"/>
          <w:lang w:eastAsia="de-DE"/>
        </w:rPr>
        <w:t xml:space="preserve"> (CSC-Marker)</w:t>
      </w:r>
      <w:r w:rsidR="007A0C35" w:rsidRPr="00812C16">
        <w:rPr>
          <w:rFonts w:cs="Arial"/>
          <w:lang w:eastAsia="de-DE"/>
        </w:rPr>
        <w:t xml:space="preserve"> </w:t>
      </w:r>
      <w:r w:rsidR="00A91231" w:rsidRPr="00812C16">
        <w:rPr>
          <w:rFonts w:cs="Arial"/>
          <w:lang w:eastAsia="de-DE"/>
        </w:rPr>
        <w:t xml:space="preserve">CD44 wurde </w:t>
      </w:r>
      <w:r w:rsidR="007649AF" w:rsidRPr="00812C16">
        <w:rPr>
          <w:rFonts w:cs="Arial"/>
          <w:lang w:eastAsia="de-DE"/>
        </w:rPr>
        <w:t>anhand</w:t>
      </w:r>
      <w:r w:rsidR="00A91231" w:rsidRPr="00812C16">
        <w:rPr>
          <w:rFonts w:cs="Arial"/>
          <w:lang w:eastAsia="de-DE"/>
        </w:rPr>
        <w:t xml:space="preserve"> seine</w:t>
      </w:r>
      <w:r w:rsidR="007649AF" w:rsidRPr="00812C16">
        <w:rPr>
          <w:rFonts w:cs="Arial"/>
          <w:lang w:eastAsia="de-DE"/>
        </w:rPr>
        <w:t>r</w:t>
      </w:r>
      <w:r w:rsidR="00A91231" w:rsidRPr="00812C16">
        <w:rPr>
          <w:rFonts w:cs="Arial"/>
          <w:lang w:eastAsia="de-DE"/>
        </w:rPr>
        <w:t xml:space="preserve"> immunhistochemische Proteinexpression </w:t>
      </w:r>
      <w:r w:rsidR="00365664" w:rsidRPr="00812C16">
        <w:rPr>
          <w:rFonts w:cs="Arial"/>
          <w:lang w:eastAsia="de-DE"/>
        </w:rPr>
        <w:t xml:space="preserve">im Tumormaterial des </w:t>
      </w:r>
      <w:proofErr w:type="spellStart"/>
      <w:r w:rsidR="00365664" w:rsidRPr="00812C16">
        <w:rPr>
          <w:rFonts w:cs="Arial"/>
          <w:lang w:eastAsia="de-DE"/>
        </w:rPr>
        <w:t>Patientkollektivs</w:t>
      </w:r>
      <w:proofErr w:type="spellEnd"/>
      <w:r w:rsidR="00365664" w:rsidRPr="00812C16">
        <w:rPr>
          <w:rFonts w:cs="Arial"/>
          <w:lang w:eastAsia="de-DE"/>
        </w:rPr>
        <w:t xml:space="preserve">, </w:t>
      </w:r>
      <w:r w:rsidR="00A91231" w:rsidRPr="00812C16">
        <w:rPr>
          <w:rFonts w:cs="Arial"/>
          <w:lang w:eastAsia="de-DE"/>
        </w:rPr>
        <w:t xml:space="preserve">wie oben beschreiben bewertet. </w:t>
      </w:r>
      <w:r w:rsidR="007649AF" w:rsidRPr="00812C16">
        <w:rPr>
          <w:rFonts w:cs="Arial"/>
          <w:lang w:eastAsia="de-DE"/>
        </w:rPr>
        <w:t>Je nach Expressionsverhalten, konnte das Gesamtkollektiv dadurch in CD44-positive und -negative Gruppen stratifiziert werden.</w:t>
      </w:r>
      <w:r w:rsidR="00FC5E2B" w:rsidRPr="00812C16">
        <w:rPr>
          <w:rFonts w:cs="Arial"/>
          <w:lang w:eastAsia="de-DE"/>
        </w:rPr>
        <w:t xml:space="preserve"> </w:t>
      </w:r>
      <w:r w:rsidR="0009256A" w:rsidRPr="00812C16">
        <w:rPr>
          <w:rFonts w:cs="Arial"/>
        </w:rPr>
        <w:t>151 Patienten wiesen Tumore mit CD44</w:t>
      </w:r>
      <w:r w:rsidR="00365664" w:rsidRPr="00812C16">
        <w:rPr>
          <w:rFonts w:cs="Arial"/>
        </w:rPr>
        <w:t>-</w:t>
      </w:r>
      <w:r w:rsidR="0009256A" w:rsidRPr="00812C16">
        <w:rPr>
          <w:rFonts w:cs="Arial"/>
        </w:rPr>
        <w:t xml:space="preserve">positiver Proteinexpression auf, während </w:t>
      </w:r>
      <w:r w:rsidR="00DE3DEF" w:rsidRPr="00812C16">
        <w:rPr>
          <w:rFonts w:cs="Arial"/>
        </w:rPr>
        <w:t xml:space="preserve">44 </w:t>
      </w:r>
      <w:r w:rsidR="0009256A" w:rsidRPr="00812C16">
        <w:rPr>
          <w:rFonts w:cs="Arial"/>
        </w:rPr>
        <w:t>Patienten keine Färbeaktivität auf den A</w:t>
      </w:r>
      <w:r w:rsidR="00DE3DEF" w:rsidRPr="00812C16">
        <w:rPr>
          <w:rFonts w:cs="Arial"/>
        </w:rPr>
        <w:t>n</w:t>
      </w:r>
      <w:r w:rsidR="0009256A" w:rsidRPr="00812C16">
        <w:rPr>
          <w:rFonts w:cs="Arial"/>
        </w:rPr>
        <w:t>tikörper gegen CD44 zeigten und als CD44</w:t>
      </w:r>
      <w:r w:rsidR="00365664" w:rsidRPr="00812C16">
        <w:rPr>
          <w:rFonts w:cs="Arial"/>
        </w:rPr>
        <w:t>-</w:t>
      </w:r>
      <w:r w:rsidR="0009256A" w:rsidRPr="00812C16">
        <w:rPr>
          <w:rFonts w:cs="Arial"/>
        </w:rPr>
        <w:t>negativ definiert wurden.</w:t>
      </w:r>
      <w:r w:rsidR="0009256A" w:rsidRPr="00812C16">
        <w:rPr>
          <w:rFonts w:cs="Arial"/>
          <w:lang w:eastAsia="de-DE"/>
        </w:rPr>
        <w:t xml:space="preserve"> </w:t>
      </w:r>
      <w:r w:rsidR="00DE3DEF" w:rsidRPr="00812C16">
        <w:rPr>
          <w:rFonts w:cs="Arial"/>
          <w:lang w:eastAsia="de-DE"/>
        </w:rPr>
        <w:fldChar w:fldCharType="begin"/>
      </w:r>
      <w:r w:rsidR="00DE3DEF" w:rsidRPr="00812C16">
        <w:rPr>
          <w:rFonts w:cs="Arial"/>
          <w:lang w:eastAsia="de-DE"/>
        </w:rPr>
        <w:instrText xml:space="preserve"> REF _Ref90825960 \h  \* MERGEFORMAT </w:instrText>
      </w:r>
      <w:r w:rsidR="00DE3DEF" w:rsidRPr="00812C16">
        <w:rPr>
          <w:rFonts w:cs="Arial"/>
          <w:lang w:eastAsia="de-DE"/>
        </w:rPr>
      </w:r>
      <w:r w:rsidR="00DE3DEF" w:rsidRPr="00812C16">
        <w:rPr>
          <w:rFonts w:cs="Arial"/>
          <w:lang w:eastAsia="de-DE"/>
        </w:rPr>
        <w:fldChar w:fldCharType="separate"/>
      </w:r>
      <w:r w:rsidR="00F67803" w:rsidRPr="00F67803">
        <w:rPr>
          <w:color w:val="000000" w:themeColor="text1"/>
        </w:rPr>
        <w:t xml:space="preserve">Tabelle </w:t>
      </w:r>
      <w:r w:rsidR="00F67803" w:rsidRPr="00F67803">
        <w:rPr>
          <w:noProof/>
          <w:color w:val="000000" w:themeColor="text1"/>
        </w:rPr>
        <w:t>4</w:t>
      </w:r>
      <w:r w:rsidR="00F67803" w:rsidRPr="00F67803">
        <w:rPr>
          <w:noProof/>
          <w:color w:val="000000" w:themeColor="text1"/>
        </w:rPr>
        <w:noBreakHyphen/>
        <w:t>7</w:t>
      </w:r>
      <w:r w:rsidR="00DE3DEF" w:rsidRPr="00812C16">
        <w:rPr>
          <w:rFonts w:cs="Arial"/>
          <w:lang w:eastAsia="de-DE"/>
        </w:rPr>
        <w:fldChar w:fldCharType="end"/>
      </w:r>
      <w:r w:rsidR="00DE3DEF" w:rsidRPr="00812C16">
        <w:rPr>
          <w:rFonts w:cs="Arial"/>
          <w:lang w:eastAsia="de-DE"/>
        </w:rPr>
        <w:t xml:space="preserve"> zeigt die Verteilung der CD44</w:t>
      </w:r>
      <w:r w:rsidR="00365664" w:rsidRPr="00812C16">
        <w:rPr>
          <w:rFonts w:cs="Arial"/>
          <w:lang w:eastAsia="de-DE"/>
        </w:rPr>
        <w:t xml:space="preserve"> </w:t>
      </w:r>
      <w:r w:rsidR="00B57DDF" w:rsidRPr="00812C16">
        <w:rPr>
          <w:rFonts w:cs="Arial"/>
          <w:lang w:eastAsia="de-DE"/>
        </w:rPr>
        <w:t xml:space="preserve">positiven und negativen Tumoren </w:t>
      </w:r>
      <w:r w:rsidR="00DE3DEF" w:rsidRPr="00812C16">
        <w:rPr>
          <w:rFonts w:cs="Arial"/>
          <w:lang w:eastAsia="de-DE"/>
        </w:rPr>
        <w:t xml:space="preserve">auf die klinischen Ereignisse </w:t>
      </w:r>
      <w:r w:rsidR="009C200D" w:rsidRPr="00812C16">
        <w:rPr>
          <w:rFonts w:cs="Arial"/>
          <w:lang w:eastAsia="de-DE"/>
        </w:rPr>
        <w:t xml:space="preserve">bzw. Zensierungen </w:t>
      </w:r>
      <w:r w:rsidR="00DE3DEF" w:rsidRPr="00812C16">
        <w:rPr>
          <w:rFonts w:cs="Arial"/>
          <w:lang w:eastAsia="de-DE"/>
        </w:rPr>
        <w:t>im Beobachtungszeitraum</w:t>
      </w:r>
      <w:r w:rsidR="00F636BB" w:rsidRPr="00812C16">
        <w:rPr>
          <w:rFonts w:cs="Arial"/>
          <w:lang w:eastAsia="de-DE"/>
        </w:rPr>
        <w:t xml:space="preserve"> </w:t>
      </w:r>
      <w:r w:rsidR="00B57DDF" w:rsidRPr="00812C16">
        <w:rPr>
          <w:rFonts w:cs="Arial"/>
          <w:lang w:eastAsia="de-DE"/>
        </w:rPr>
        <w:t>sowohl</w:t>
      </w:r>
      <w:r w:rsidR="00F636BB" w:rsidRPr="00812C16">
        <w:rPr>
          <w:rFonts w:cs="Arial"/>
          <w:lang w:eastAsia="de-DE"/>
        </w:rPr>
        <w:t xml:space="preserve"> vom gesamten Patientenkollektiv als auch von den beiden Subgruppen mit HPV</w:t>
      </w:r>
      <w:r w:rsidR="00C90943" w:rsidRPr="00812C16">
        <w:rPr>
          <w:rFonts w:cs="Arial"/>
          <w:lang w:eastAsia="de-DE"/>
        </w:rPr>
        <w:t>16 DNA-</w:t>
      </w:r>
      <w:r w:rsidR="00B57DDF" w:rsidRPr="00812C16">
        <w:rPr>
          <w:rFonts w:cs="Arial"/>
          <w:lang w:eastAsia="de-DE"/>
        </w:rPr>
        <w:t>positiven</w:t>
      </w:r>
      <w:r w:rsidR="00F636BB" w:rsidRPr="00812C16">
        <w:rPr>
          <w:rFonts w:cs="Arial"/>
          <w:lang w:eastAsia="de-DE"/>
        </w:rPr>
        <w:t xml:space="preserve"> un</w:t>
      </w:r>
      <w:r w:rsidR="00CB1679" w:rsidRPr="00812C16">
        <w:rPr>
          <w:rFonts w:cs="Arial"/>
          <w:lang w:eastAsia="de-DE"/>
        </w:rPr>
        <w:t>d</w:t>
      </w:r>
      <w:r w:rsidR="00F636BB" w:rsidRPr="00812C16">
        <w:rPr>
          <w:rFonts w:cs="Arial"/>
          <w:lang w:eastAsia="de-DE"/>
        </w:rPr>
        <w:t xml:space="preserve"> negativen Tumoren</w:t>
      </w:r>
      <w:r w:rsidR="006451FD" w:rsidRPr="00812C16">
        <w:rPr>
          <w:rFonts w:cs="Arial"/>
          <w:lang w:eastAsia="de-DE"/>
        </w:rPr>
        <w:t>.</w:t>
      </w:r>
    </w:p>
    <w:p w14:paraId="6F83DCBF" w14:textId="1A70AE39" w:rsidR="00316BE4" w:rsidRPr="00812C16" w:rsidRDefault="00316BE4" w:rsidP="001F6054">
      <w:pPr>
        <w:pStyle w:val="Beschriftung"/>
        <w:keepNext/>
        <w:spacing w:after="120" w:line="240" w:lineRule="auto"/>
        <w:contextualSpacing/>
        <w:rPr>
          <w:b/>
          <w:bCs/>
          <w:i w:val="0"/>
          <w:iCs w:val="0"/>
          <w:color w:val="000000" w:themeColor="text1"/>
          <w:sz w:val="20"/>
          <w:szCs w:val="20"/>
        </w:rPr>
      </w:pPr>
      <w:bookmarkStart w:id="69" w:name="_Ref90825960"/>
      <w:bookmarkStart w:id="70" w:name="_Toc180788397"/>
      <w:r w:rsidRPr="00812C16">
        <w:rPr>
          <w:b/>
          <w:bCs/>
          <w:i w:val="0"/>
          <w:iCs w:val="0"/>
          <w:color w:val="000000" w:themeColor="text1"/>
          <w:sz w:val="20"/>
          <w:szCs w:val="20"/>
        </w:rPr>
        <w:t xml:space="preserve">Tabelle </w:t>
      </w:r>
      <w:r w:rsidR="00A126D9" w:rsidRPr="00812C16">
        <w:rPr>
          <w:b/>
          <w:bCs/>
          <w:i w:val="0"/>
          <w:iCs w:val="0"/>
          <w:color w:val="000000" w:themeColor="text1"/>
          <w:sz w:val="20"/>
          <w:szCs w:val="20"/>
        </w:rPr>
        <w:fldChar w:fldCharType="begin"/>
      </w:r>
      <w:r w:rsidR="00A126D9" w:rsidRPr="00812C16">
        <w:rPr>
          <w:b/>
          <w:bCs/>
          <w:i w:val="0"/>
          <w:iCs w:val="0"/>
          <w:color w:val="000000" w:themeColor="text1"/>
          <w:sz w:val="20"/>
          <w:szCs w:val="20"/>
        </w:rPr>
        <w:instrText xml:space="preserve"> STYLEREF 1 \s </w:instrText>
      </w:r>
      <w:r w:rsidR="00A126D9" w:rsidRPr="00812C16">
        <w:rPr>
          <w:b/>
          <w:bCs/>
          <w:i w:val="0"/>
          <w:iCs w:val="0"/>
          <w:color w:val="000000" w:themeColor="text1"/>
          <w:sz w:val="20"/>
          <w:szCs w:val="20"/>
        </w:rPr>
        <w:fldChar w:fldCharType="separate"/>
      </w:r>
      <w:r w:rsidR="00F67803">
        <w:rPr>
          <w:b/>
          <w:bCs/>
          <w:i w:val="0"/>
          <w:iCs w:val="0"/>
          <w:noProof/>
          <w:color w:val="000000" w:themeColor="text1"/>
          <w:sz w:val="20"/>
          <w:szCs w:val="20"/>
        </w:rPr>
        <w:t>4</w:t>
      </w:r>
      <w:r w:rsidR="00A126D9" w:rsidRPr="00812C16">
        <w:rPr>
          <w:b/>
          <w:bCs/>
          <w:i w:val="0"/>
          <w:iCs w:val="0"/>
          <w:color w:val="000000" w:themeColor="text1"/>
          <w:sz w:val="20"/>
          <w:szCs w:val="20"/>
        </w:rPr>
        <w:fldChar w:fldCharType="end"/>
      </w:r>
      <w:r w:rsidR="00A126D9" w:rsidRPr="00812C16">
        <w:rPr>
          <w:b/>
          <w:bCs/>
          <w:i w:val="0"/>
          <w:iCs w:val="0"/>
          <w:color w:val="000000" w:themeColor="text1"/>
          <w:sz w:val="20"/>
          <w:szCs w:val="20"/>
        </w:rPr>
        <w:noBreakHyphen/>
      </w:r>
      <w:r w:rsidR="00A126D9" w:rsidRPr="00812C16">
        <w:rPr>
          <w:b/>
          <w:bCs/>
          <w:i w:val="0"/>
          <w:iCs w:val="0"/>
          <w:color w:val="000000" w:themeColor="text1"/>
          <w:sz w:val="20"/>
          <w:szCs w:val="20"/>
        </w:rPr>
        <w:fldChar w:fldCharType="begin"/>
      </w:r>
      <w:r w:rsidR="00A126D9" w:rsidRPr="00812C16">
        <w:rPr>
          <w:b/>
          <w:bCs/>
          <w:i w:val="0"/>
          <w:iCs w:val="0"/>
          <w:color w:val="000000" w:themeColor="text1"/>
          <w:sz w:val="20"/>
          <w:szCs w:val="20"/>
        </w:rPr>
        <w:instrText xml:space="preserve"> SEQ Tabelle \* ARABIC \s 1 </w:instrText>
      </w:r>
      <w:r w:rsidR="00A126D9" w:rsidRPr="00812C16">
        <w:rPr>
          <w:b/>
          <w:bCs/>
          <w:i w:val="0"/>
          <w:iCs w:val="0"/>
          <w:color w:val="000000" w:themeColor="text1"/>
          <w:sz w:val="20"/>
          <w:szCs w:val="20"/>
        </w:rPr>
        <w:fldChar w:fldCharType="separate"/>
      </w:r>
      <w:r w:rsidR="00F67803">
        <w:rPr>
          <w:b/>
          <w:bCs/>
          <w:i w:val="0"/>
          <w:iCs w:val="0"/>
          <w:noProof/>
          <w:color w:val="000000" w:themeColor="text1"/>
          <w:sz w:val="20"/>
          <w:szCs w:val="20"/>
        </w:rPr>
        <w:t>7</w:t>
      </w:r>
      <w:r w:rsidR="00A126D9" w:rsidRPr="00812C16">
        <w:rPr>
          <w:b/>
          <w:bCs/>
          <w:i w:val="0"/>
          <w:iCs w:val="0"/>
          <w:color w:val="000000" w:themeColor="text1"/>
          <w:sz w:val="20"/>
          <w:szCs w:val="20"/>
        </w:rPr>
        <w:fldChar w:fldCharType="end"/>
      </w:r>
      <w:bookmarkEnd w:id="69"/>
      <w:r w:rsidRPr="00812C16">
        <w:rPr>
          <w:b/>
          <w:bCs/>
          <w:i w:val="0"/>
          <w:iCs w:val="0"/>
          <w:color w:val="000000" w:themeColor="text1"/>
          <w:sz w:val="20"/>
          <w:szCs w:val="20"/>
        </w:rPr>
        <w:t xml:space="preserve">: </w:t>
      </w:r>
      <w:r w:rsidR="00383A2A" w:rsidRPr="00812C16">
        <w:rPr>
          <w:b/>
          <w:bCs/>
          <w:i w:val="0"/>
          <w:iCs w:val="0"/>
          <w:color w:val="000000" w:themeColor="text1"/>
          <w:sz w:val="20"/>
          <w:szCs w:val="20"/>
        </w:rPr>
        <w:t xml:space="preserve">Anzahl der Tumoren mit positiver oder negativer CD44 Proteinexpression pro Ereignis bzw. Zensierung. </w:t>
      </w:r>
      <w:r w:rsidR="00E35393" w:rsidRPr="00812C16">
        <w:rPr>
          <w:i w:val="0"/>
          <w:iCs w:val="0"/>
          <w:color w:val="000000" w:themeColor="text1"/>
          <w:sz w:val="20"/>
          <w:szCs w:val="20"/>
        </w:rPr>
        <w:t>N=Anzahl der auswertbaren Fälle in der Kohorte</w:t>
      </w:r>
      <w:bookmarkEnd w:id="70"/>
    </w:p>
    <w:tbl>
      <w:tblPr>
        <w:tblW w:w="9072" w:type="dxa"/>
        <w:tblBorders>
          <w:top w:val="single" w:sz="6" w:space="0" w:color="EBEBEB"/>
          <w:bottom w:val="single" w:sz="6" w:space="0" w:color="EBEBEB"/>
        </w:tblBorders>
        <w:tblCellMar>
          <w:left w:w="0" w:type="dxa"/>
          <w:right w:w="0" w:type="dxa"/>
        </w:tblCellMar>
        <w:tblLook w:val="04A0" w:firstRow="1" w:lastRow="0" w:firstColumn="1" w:lastColumn="0" w:noHBand="0" w:noVBand="1"/>
      </w:tblPr>
      <w:tblGrid>
        <w:gridCol w:w="1701"/>
        <w:gridCol w:w="1560"/>
        <w:gridCol w:w="1417"/>
        <w:gridCol w:w="1559"/>
        <w:gridCol w:w="1418"/>
        <w:gridCol w:w="1417"/>
      </w:tblGrid>
      <w:tr w:rsidR="00E10DBC" w:rsidRPr="00812C16" w14:paraId="77B0F3D6" w14:textId="77777777" w:rsidTr="00E10DBC">
        <w:trPr>
          <w:trHeight w:val="230"/>
          <w:tblHeader/>
        </w:trPr>
        <w:tc>
          <w:tcPr>
            <w:tcW w:w="1701" w:type="dxa"/>
            <w:tcBorders>
              <w:top w:val="single" w:sz="4" w:space="0" w:color="000000" w:themeColor="text1"/>
              <w:bottom w:val="single" w:sz="4" w:space="0" w:color="000000" w:themeColor="text1"/>
              <w:right w:val="nil"/>
            </w:tcBorders>
            <w:shd w:val="clear" w:color="auto" w:fill="4472C4" w:themeFill="accent1"/>
            <w:tcMar>
              <w:top w:w="75" w:type="dxa"/>
              <w:left w:w="75" w:type="dxa"/>
              <w:bottom w:w="75" w:type="dxa"/>
              <w:right w:w="75" w:type="dxa"/>
            </w:tcMar>
            <w:vAlign w:val="center"/>
            <w:hideMark/>
          </w:tcPr>
          <w:p w14:paraId="30B87915" w14:textId="77777777" w:rsidR="009401C2" w:rsidRPr="00812C16" w:rsidRDefault="009401C2" w:rsidP="00316BE4">
            <w:pPr>
              <w:spacing w:before="30" w:after="30" w:line="240" w:lineRule="auto"/>
              <w:jc w:val="center"/>
              <w:rPr>
                <w:rFonts w:cs="Arial"/>
                <w:b/>
                <w:bCs/>
                <w:color w:val="FFFFFF" w:themeColor="background1"/>
                <w:sz w:val="18"/>
                <w:szCs w:val="18"/>
                <w:lang w:eastAsia="de-DE"/>
              </w:rPr>
            </w:pPr>
          </w:p>
        </w:tc>
        <w:tc>
          <w:tcPr>
            <w:tcW w:w="1560" w:type="dxa"/>
            <w:tcBorders>
              <w:top w:val="single" w:sz="4" w:space="0" w:color="000000" w:themeColor="text1"/>
              <w:bottom w:val="single" w:sz="4" w:space="0" w:color="000000" w:themeColor="text1"/>
              <w:right w:val="nil"/>
            </w:tcBorders>
            <w:shd w:val="clear" w:color="auto" w:fill="4472C4" w:themeFill="accent1"/>
            <w:tcMar>
              <w:top w:w="75" w:type="dxa"/>
              <w:left w:w="75" w:type="dxa"/>
              <w:bottom w:w="75" w:type="dxa"/>
              <w:right w:w="75" w:type="dxa"/>
            </w:tcMar>
            <w:vAlign w:val="center"/>
            <w:hideMark/>
          </w:tcPr>
          <w:p w14:paraId="3009F179" w14:textId="77777777" w:rsidR="009401C2" w:rsidRPr="00812C16" w:rsidRDefault="0063114A" w:rsidP="00F964D0">
            <w:pPr>
              <w:tabs>
                <w:tab w:val="left" w:pos="1215"/>
              </w:tabs>
              <w:spacing w:before="30" w:after="30" w:line="240" w:lineRule="auto"/>
              <w:jc w:val="right"/>
              <w:rPr>
                <w:rFonts w:cs="Arial"/>
                <w:b/>
                <w:bCs/>
                <w:color w:val="FFFFFF" w:themeColor="background1"/>
                <w:sz w:val="18"/>
                <w:szCs w:val="18"/>
                <w:lang w:eastAsia="de-DE"/>
              </w:rPr>
            </w:pPr>
            <w:r w:rsidRPr="00812C16">
              <w:rPr>
                <w:rFonts w:cs="Arial"/>
                <w:b/>
                <w:bCs/>
                <w:color w:val="FFFFFF" w:themeColor="background1"/>
                <w:sz w:val="18"/>
                <w:szCs w:val="18"/>
                <w:lang w:eastAsia="de-DE"/>
              </w:rPr>
              <w:t>G</w:t>
            </w:r>
            <w:r w:rsidR="009401C2" w:rsidRPr="00812C16">
              <w:rPr>
                <w:rFonts w:cs="Arial"/>
                <w:b/>
                <w:bCs/>
                <w:color w:val="FFFFFF" w:themeColor="background1"/>
                <w:sz w:val="18"/>
                <w:szCs w:val="18"/>
                <w:lang w:eastAsia="de-DE"/>
              </w:rPr>
              <w:t>esamt</w:t>
            </w:r>
          </w:p>
        </w:tc>
        <w:tc>
          <w:tcPr>
            <w:tcW w:w="1417" w:type="dxa"/>
            <w:tcBorders>
              <w:top w:val="single" w:sz="4" w:space="0" w:color="000000" w:themeColor="text1"/>
              <w:bottom w:val="single" w:sz="4" w:space="0" w:color="000000" w:themeColor="text1"/>
              <w:right w:val="nil"/>
            </w:tcBorders>
            <w:shd w:val="clear" w:color="auto" w:fill="4472C4" w:themeFill="accent1"/>
            <w:tcMar>
              <w:top w:w="75" w:type="dxa"/>
              <w:left w:w="75" w:type="dxa"/>
              <w:bottom w:w="75" w:type="dxa"/>
              <w:right w:w="75" w:type="dxa"/>
            </w:tcMar>
            <w:vAlign w:val="center"/>
            <w:hideMark/>
          </w:tcPr>
          <w:p w14:paraId="08817671" w14:textId="77777777" w:rsidR="009401C2" w:rsidRPr="00812C16" w:rsidRDefault="00333B57" w:rsidP="00F964D0">
            <w:pPr>
              <w:spacing w:before="30" w:after="30" w:line="240" w:lineRule="auto"/>
              <w:jc w:val="right"/>
              <w:rPr>
                <w:rFonts w:cs="Arial"/>
                <w:b/>
                <w:bCs/>
                <w:color w:val="FFFFFF" w:themeColor="background1"/>
                <w:sz w:val="18"/>
                <w:szCs w:val="18"/>
                <w:lang w:eastAsia="de-DE"/>
              </w:rPr>
            </w:pPr>
            <w:r w:rsidRPr="00812C16">
              <w:rPr>
                <w:rFonts w:cs="Arial"/>
                <w:b/>
                <w:bCs/>
                <w:color w:val="FFFFFF" w:themeColor="background1"/>
                <w:sz w:val="18"/>
                <w:szCs w:val="18"/>
                <w:lang w:eastAsia="de-DE"/>
              </w:rPr>
              <w:t>Rezidiv</w:t>
            </w:r>
          </w:p>
        </w:tc>
        <w:tc>
          <w:tcPr>
            <w:tcW w:w="1559" w:type="dxa"/>
            <w:tcBorders>
              <w:top w:val="single" w:sz="4" w:space="0" w:color="000000" w:themeColor="text1"/>
              <w:bottom w:val="single" w:sz="4" w:space="0" w:color="000000" w:themeColor="text1"/>
              <w:right w:val="nil"/>
            </w:tcBorders>
            <w:shd w:val="clear" w:color="auto" w:fill="4472C4" w:themeFill="accent1"/>
            <w:tcMar>
              <w:top w:w="75" w:type="dxa"/>
              <w:left w:w="75" w:type="dxa"/>
              <w:bottom w:w="75" w:type="dxa"/>
              <w:right w:w="75" w:type="dxa"/>
            </w:tcMar>
            <w:vAlign w:val="center"/>
            <w:hideMark/>
          </w:tcPr>
          <w:p w14:paraId="69A98B77" w14:textId="77777777" w:rsidR="009401C2" w:rsidRPr="00812C16" w:rsidRDefault="00333B57" w:rsidP="00F964D0">
            <w:pPr>
              <w:spacing w:before="30" w:after="30" w:line="240" w:lineRule="auto"/>
              <w:jc w:val="right"/>
              <w:rPr>
                <w:rFonts w:cs="Arial"/>
                <w:b/>
                <w:bCs/>
                <w:color w:val="FFFFFF" w:themeColor="background1"/>
                <w:sz w:val="18"/>
                <w:szCs w:val="18"/>
                <w:lang w:eastAsia="de-DE"/>
              </w:rPr>
            </w:pPr>
            <w:r w:rsidRPr="00812C16">
              <w:rPr>
                <w:rFonts w:cs="Arial"/>
                <w:b/>
                <w:bCs/>
                <w:color w:val="FFFFFF" w:themeColor="background1"/>
                <w:sz w:val="18"/>
                <w:szCs w:val="18"/>
                <w:lang w:eastAsia="de-DE"/>
              </w:rPr>
              <w:t>Fernmetastasen</w:t>
            </w:r>
            <w:r w:rsidR="00BB7511" w:rsidRPr="00812C16">
              <w:rPr>
                <w:rFonts w:cs="Arial"/>
                <w:b/>
                <w:bCs/>
                <w:color w:val="FFFFFF" w:themeColor="background1"/>
                <w:sz w:val="18"/>
                <w:szCs w:val="18"/>
                <w:lang w:eastAsia="de-DE"/>
              </w:rPr>
              <w:t xml:space="preserve"> </w:t>
            </w:r>
          </w:p>
        </w:tc>
        <w:tc>
          <w:tcPr>
            <w:tcW w:w="1418" w:type="dxa"/>
            <w:tcBorders>
              <w:top w:val="single" w:sz="4" w:space="0" w:color="000000" w:themeColor="text1"/>
              <w:bottom w:val="single" w:sz="4" w:space="0" w:color="000000" w:themeColor="text1"/>
              <w:right w:val="nil"/>
            </w:tcBorders>
            <w:shd w:val="clear" w:color="auto" w:fill="4472C4" w:themeFill="accent1"/>
            <w:tcMar>
              <w:top w:w="75" w:type="dxa"/>
              <w:left w:w="75" w:type="dxa"/>
              <w:bottom w:w="75" w:type="dxa"/>
              <w:right w:w="75" w:type="dxa"/>
            </w:tcMar>
            <w:vAlign w:val="center"/>
            <w:hideMark/>
          </w:tcPr>
          <w:p w14:paraId="285839D6" w14:textId="77777777" w:rsidR="009401C2" w:rsidRPr="00812C16" w:rsidRDefault="009401C2" w:rsidP="00F964D0">
            <w:pPr>
              <w:spacing w:before="30" w:after="30" w:line="240" w:lineRule="auto"/>
              <w:jc w:val="right"/>
              <w:rPr>
                <w:rFonts w:cs="Arial"/>
                <w:b/>
                <w:bCs/>
                <w:color w:val="FFFFFF" w:themeColor="background1"/>
                <w:sz w:val="18"/>
                <w:szCs w:val="18"/>
                <w:lang w:eastAsia="de-DE"/>
              </w:rPr>
            </w:pPr>
            <w:r w:rsidRPr="00812C16">
              <w:rPr>
                <w:rFonts w:cs="Arial"/>
                <w:b/>
                <w:bCs/>
                <w:color w:val="FFFFFF" w:themeColor="background1"/>
                <w:sz w:val="18"/>
                <w:szCs w:val="18"/>
                <w:lang w:eastAsia="de-DE"/>
              </w:rPr>
              <w:t>Tod</w:t>
            </w:r>
            <w:r w:rsidR="00BB7511" w:rsidRPr="00812C16">
              <w:rPr>
                <w:rFonts w:cs="Arial"/>
                <w:b/>
                <w:bCs/>
                <w:color w:val="FFFFFF" w:themeColor="background1"/>
                <w:sz w:val="18"/>
                <w:szCs w:val="18"/>
                <w:lang w:eastAsia="de-DE"/>
              </w:rPr>
              <w:t xml:space="preserve"> </w:t>
            </w:r>
          </w:p>
        </w:tc>
        <w:tc>
          <w:tcPr>
            <w:tcW w:w="1417" w:type="dxa"/>
            <w:tcBorders>
              <w:top w:val="single" w:sz="4" w:space="0" w:color="000000" w:themeColor="text1"/>
              <w:bottom w:val="single" w:sz="4" w:space="0" w:color="000000" w:themeColor="text1"/>
              <w:right w:val="nil"/>
            </w:tcBorders>
            <w:shd w:val="clear" w:color="auto" w:fill="4472C4" w:themeFill="accent1"/>
            <w:vAlign w:val="center"/>
          </w:tcPr>
          <w:p w14:paraId="5BAF85E8" w14:textId="77777777" w:rsidR="009401C2" w:rsidRPr="00812C16" w:rsidRDefault="009401C2" w:rsidP="00E10DBC">
            <w:pPr>
              <w:spacing w:before="30" w:after="30" w:line="240" w:lineRule="auto"/>
              <w:jc w:val="right"/>
              <w:rPr>
                <w:rFonts w:cs="Arial"/>
                <w:b/>
                <w:bCs/>
                <w:color w:val="FFFFFF" w:themeColor="background1"/>
                <w:sz w:val="18"/>
                <w:szCs w:val="18"/>
                <w:lang w:eastAsia="de-DE"/>
              </w:rPr>
            </w:pPr>
            <w:r w:rsidRPr="00812C16">
              <w:rPr>
                <w:rFonts w:cs="Arial"/>
                <w:b/>
                <w:bCs/>
                <w:color w:val="FFFFFF" w:themeColor="background1"/>
                <w:sz w:val="18"/>
                <w:szCs w:val="18"/>
                <w:lang w:eastAsia="de-DE"/>
              </w:rPr>
              <w:t>Zensiert</w:t>
            </w:r>
          </w:p>
        </w:tc>
      </w:tr>
      <w:tr w:rsidR="00E10DBC" w:rsidRPr="00812C16" w14:paraId="0D05ECC1" w14:textId="77777777" w:rsidTr="00E10DBC">
        <w:tc>
          <w:tcPr>
            <w:tcW w:w="1701" w:type="dxa"/>
            <w:tcBorders>
              <w:top w:val="single" w:sz="4" w:space="0" w:color="000000" w:themeColor="text1"/>
              <w:bottom w:val="single" w:sz="4" w:space="0" w:color="000000" w:themeColor="text1"/>
              <w:right w:val="nil"/>
            </w:tcBorders>
            <w:shd w:val="clear" w:color="auto" w:fill="D9E2F3" w:themeFill="accent1" w:themeFillTint="33"/>
            <w:tcMar>
              <w:top w:w="75" w:type="dxa"/>
              <w:left w:w="75" w:type="dxa"/>
              <w:bottom w:w="75" w:type="dxa"/>
              <w:right w:w="75" w:type="dxa"/>
            </w:tcMar>
          </w:tcPr>
          <w:p w14:paraId="5A8761C9" w14:textId="77777777" w:rsidR="00FE7BB4" w:rsidRPr="00812C16" w:rsidRDefault="00FC58B3" w:rsidP="00D40CB7">
            <w:pPr>
              <w:spacing w:before="30" w:after="30" w:line="240" w:lineRule="auto"/>
              <w:jc w:val="left"/>
              <w:rPr>
                <w:rFonts w:cs="Arial"/>
                <w:b/>
                <w:bCs/>
                <w:color w:val="000000" w:themeColor="text1"/>
                <w:sz w:val="18"/>
                <w:szCs w:val="18"/>
                <w:lang w:eastAsia="de-DE"/>
              </w:rPr>
            </w:pPr>
            <w:r w:rsidRPr="00812C16">
              <w:rPr>
                <w:rFonts w:cs="Arial"/>
                <w:b/>
                <w:bCs/>
                <w:color w:val="000000" w:themeColor="text1"/>
                <w:sz w:val="18"/>
                <w:szCs w:val="18"/>
                <w:lang w:eastAsia="de-DE"/>
              </w:rPr>
              <w:t>Alle Patienten</w:t>
            </w:r>
          </w:p>
        </w:tc>
        <w:tc>
          <w:tcPr>
            <w:tcW w:w="1560" w:type="dxa"/>
            <w:tcBorders>
              <w:top w:val="single" w:sz="4" w:space="0" w:color="000000" w:themeColor="text1"/>
              <w:bottom w:val="single" w:sz="4" w:space="0" w:color="000000" w:themeColor="text1"/>
              <w:right w:val="nil"/>
            </w:tcBorders>
            <w:shd w:val="clear" w:color="auto" w:fill="D9E2F3" w:themeFill="accent1" w:themeFillTint="33"/>
          </w:tcPr>
          <w:p w14:paraId="16BF3E67" w14:textId="77777777" w:rsidR="00FE7BB4" w:rsidRPr="00812C16" w:rsidRDefault="00FE7BB4" w:rsidP="00C957B2">
            <w:pPr>
              <w:spacing w:before="30" w:after="30" w:line="240" w:lineRule="auto"/>
              <w:jc w:val="right"/>
              <w:rPr>
                <w:rFonts w:cs="Arial"/>
                <w:color w:val="000000" w:themeColor="text1"/>
                <w:sz w:val="18"/>
                <w:szCs w:val="18"/>
                <w:lang w:eastAsia="de-DE"/>
              </w:rPr>
            </w:pPr>
            <w:r w:rsidRPr="00812C16">
              <w:rPr>
                <w:rFonts w:cs="Arial"/>
                <w:color w:val="000000" w:themeColor="text1"/>
                <w:sz w:val="18"/>
                <w:szCs w:val="18"/>
                <w:lang w:eastAsia="de-DE"/>
              </w:rPr>
              <w:t>N=221</w:t>
            </w:r>
          </w:p>
        </w:tc>
        <w:tc>
          <w:tcPr>
            <w:tcW w:w="1417" w:type="dxa"/>
            <w:tcBorders>
              <w:top w:val="single" w:sz="4" w:space="0" w:color="000000" w:themeColor="text1"/>
              <w:bottom w:val="single" w:sz="4" w:space="0" w:color="000000" w:themeColor="text1"/>
              <w:right w:val="nil"/>
            </w:tcBorders>
            <w:shd w:val="clear" w:color="auto" w:fill="D9E2F3" w:themeFill="accent1" w:themeFillTint="33"/>
            <w:tcMar>
              <w:top w:w="75" w:type="dxa"/>
              <w:left w:w="75" w:type="dxa"/>
              <w:bottom w:w="75" w:type="dxa"/>
              <w:right w:w="75" w:type="dxa"/>
            </w:tcMar>
          </w:tcPr>
          <w:p w14:paraId="41C9BBDA" w14:textId="77777777" w:rsidR="00FE7BB4" w:rsidRPr="00812C16" w:rsidRDefault="00FE7BB4" w:rsidP="00C957B2">
            <w:pPr>
              <w:spacing w:before="30" w:after="30" w:line="240" w:lineRule="auto"/>
              <w:jc w:val="right"/>
              <w:rPr>
                <w:rFonts w:cs="Arial"/>
                <w:color w:val="000000" w:themeColor="text1"/>
                <w:sz w:val="18"/>
                <w:szCs w:val="18"/>
                <w:lang w:eastAsia="de-DE"/>
              </w:rPr>
            </w:pPr>
            <w:r w:rsidRPr="00812C16">
              <w:rPr>
                <w:rFonts w:cs="Arial"/>
                <w:color w:val="000000" w:themeColor="text1"/>
                <w:sz w:val="18"/>
                <w:szCs w:val="18"/>
                <w:lang w:eastAsia="de-DE"/>
              </w:rPr>
              <w:t>N=29</w:t>
            </w:r>
          </w:p>
        </w:tc>
        <w:tc>
          <w:tcPr>
            <w:tcW w:w="1559" w:type="dxa"/>
            <w:tcBorders>
              <w:top w:val="single" w:sz="4" w:space="0" w:color="000000" w:themeColor="text1"/>
              <w:bottom w:val="single" w:sz="4" w:space="0" w:color="000000" w:themeColor="text1"/>
              <w:right w:val="nil"/>
            </w:tcBorders>
            <w:shd w:val="clear" w:color="auto" w:fill="D9E2F3" w:themeFill="accent1" w:themeFillTint="33"/>
            <w:tcMar>
              <w:top w:w="75" w:type="dxa"/>
              <w:left w:w="75" w:type="dxa"/>
              <w:bottom w:w="75" w:type="dxa"/>
              <w:right w:w="75" w:type="dxa"/>
            </w:tcMar>
          </w:tcPr>
          <w:p w14:paraId="73386A24" w14:textId="77777777" w:rsidR="00FE7BB4" w:rsidRPr="00812C16" w:rsidRDefault="00FE7BB4" w:rsidP="00C957B2">
            <w:pPr>
              <w:spacing w:before="30" w:after="30" w:line="240" w:lineRule="auto"/>
              <w:jc w:val="right"/>
              <w:rPr>
                <w:rFonts w:cs="Arial"/>
                <w:color w:val="000000" w:themeColor="text1"/>
                <w:sz w:val="18"/>
                <w:szCs w:val="18"/>
                <w:lang w:eastAsia="de-DE"/>
              </w:rPr>
            </w:pPr>
            <w:r w:rsidRPr="00812C16">
              <w:rPr>
                <w:rFonts w:cs="Arial"/>
                <w:color w:val="000000" w:themeColor="text1"/>
                <w:sz w:val="18"/>
                <w:szCs w:val="18"/>
                <w:lang w:eastAsia="de-DE"/>
              </w:rPr>
              <w:t>N=42</w:t>
            </w:r>
          </w:p>
        </w:tc>
        <w:tc>
          <w:tcPr>
            <w:tcW w:w="1418" w:type="dxa"/>
            <w:tcBorders>
              <w:top w:val="single" w:sz="4" w:space="0" w:color="000000" w:themeColor="text1"/>
              <w:bottom w:val="single" w:sz="4" w:space="0" w:color="000000" w:themeColor="text1"/>
              <w:right w:val="nil"/>
            </w:tcBorders>
            <w:shd w:val="clear" w:color="auto" w:fill="D9E2F3" w:themeFill="accent1" w:themeFillTint="33"/>
            <w:tcMar>
              <w:top w:w="75" w:type="dxa"/>
              <w:left w:w="75" w:type="dxa"/>
              <w:bottom w:w="75" w:type="dxa"/>
              <w:right w:w="75" w:type="dxa"/>
            </w:tcMar>
          </w:tcPr>
          <w:p w14:paraId="564CE003" w14:textId="77777777" w:rsidR="00FE7BB4" w:rsidRPr="00812C16" w:rsidRDefault="00FE7BB4" w:rsidP="00C957B2">
            <w:pPr>
              <w:spacing w:before="30" w:after="30" w:line="240" w:lineRule="auto"/>
              <w:jc w:val="right"/>
              <w:rPr>
                <w:rFonts w:cs="Arial"/>
                <w:color w:val="000000" w:themeColor="text1"/>
                <w:sz w:val="18"/>
                <w:szCs w:val="18"/>
                <w:lang w:eastAsia="de-DE"/>
              </w:rPr>
            </w:pPr>
            <w:r w:rsidRPr="00812C16">
              <w:rPr>
                <w:rFonts w:cs="Arial"/>
                <w:color w:val="000000" w:themeColor="text1"/>
                <w:sz w:val="18"/>
                <w:szCs w:val="18"/>
                <w:lang w:eastAsia="de-DE"/>
              </w:rPr>
              <w:t>N=70</w:t>
            </w:r>
          </w:p>
        </w:tc>
        <w:tc>
          <w:tcPr>
            <w:tcW w:w="1417" w:type="dxa"/>
            <w:tcBorders>
              <w:top w:val="single" w:sz="4" w:space="0" w:color="000000" w:themeColor="text1"/>
              <w:bottom w:val="single" w:sz="4" w:space="0" w:color="000000" w:themeColor="text1"/>
              <w:right w:val="nil"/>
            </w:tcBorders>
            <w:shd w:val="clear" w:color="auto" w:fill="D9E2F3" w:themeFill="accent1" w:themeFillTint="33"/>
          </w:tcPr>
          <w:p w14:paraId="5E3AB385" w14:textId="77777777" w:rsidR="00FE7BB4" w:rsidRPr="00812C16" w:rsidRDefault="00FE7BB4" w:rsidP="00C957B2">
            <w:pPr>
              <w:spacing w:before="30" w:after="30" w:line="240" w:lineRule="auto"/>
              <w:jc w:val="right"/>
              <w:rPr>
                <w:rFonts w:cs="Arial"/>
                <w:color w:val="000000" w:themeColor="text1"/>
                <w:sz w:val="18"/>
                <w:szCs w:val="18"/>
                <w:lang w:eastAsia="de-DE"/>
              </w:rPr>
            </w:pPr>
            <w:r w:rsidRPr="00812C16">
              <w:rPr>
                <w:rFonts w:cs="Arial"/>
                <w:color w:val="000000" w:themeColor="text1"/>
                <w:sz w:val="18"/>
                <w:szCs w:val="18"/>
                <w:lang w:eastAsia="de-DE"/>
              </w:rPr>
              <w:t>N=80</w:t>
            </w:r>
          </w:p>
        </w:tc>
      </w:tr>
      <w:tr w:rsidR="0024223E" w:rsidRPr="00812C16" w14:paraId="03875451" w14:textId="77777777" w:rsidTr="0024223E">
        <w:tc>
          <w:tcPr>
            <w:tcW w:w="1701" w:type="dxa"/>
            <w:tcBorders>
              <w:top w:val="single" w:sz="4" w:space="0" w:color="000000" w:themeColor="text1"/>
              <w:bottom w:val="nil"/>
              <w:right w:val="nil"/>
            </w:tcBorders>
            <w:tcMar>
              <w:top w:w="75" w:type="dxa"/>
              <w:left w:w="75" w:type="dxa"/>
              <w:bottom w:w="75" w:type="dxa"/>
              <w:right w:w="75" w:type="dxa"/>
            </w:tcMar>
          </w:tcPr>
          <w:p w14:paraId="3758701F" w14:textId="77777777" w:rsidR="009401C2" w:rsidRPr="00812C16" w:rsidRDefault="009401C2" w:rsidP="00C957B2">
            <w:pPr>
              <w:spacing w:before="30" w:after="30" w:line="240" w:lineRule="auto"/>
              <w:jc w:val="left"/>
              <w:rPr>
                <w:rFonts w:cs="Arial"/>
                <w:sz w:val="18"/>
                <w:szCs w:val="18"/>
                <w:lang w:eastAsia="de-DE"/>
              </w:rPr>
            </w:pPr>
            <w:r w:rsidRPr="00812C16">
              <w:rPr>
                <w:rFonts w:cs="Arial"/>
                <w:sz w:val="18"/>
                <w:szCs w:val="18"/>
                <w:lang w:eastAsia="de-DE"/>
              </w:rPr>
              <w:t>CD44 +</w:t>
            </w:r>
          </w:p>
        </w:tc>
        <w:tc>
          <w:tcPr>
            <w:tcW w:w="1560" w:type="dxa"/>
            <w:tcBorders>
              <w:top w:val="single" w:sz="4" w:space="0" w:color="000000" w:themeColor="text1"/>
              <w:bottom w:val="nil"/>
              <w:right w:val="nil"/>
            </w:tcBorders>
            <w:tcMar>
              <w:top w:w="75" w:type="dxa"/>
              <w:left w:w="75" w:type="dxa"/>
              <w:bottom w:w="75" w:type="dxa"/>
              <w:right w:w="75" w:type="dxa"/>
            </w:tcMar>
          </w:tcPr>
          <w:p w14:paraId="56D21E17" w14:textId="77777777" w:rsidR="009401C2" w:rsidRPr="00812C16" w:rsidRDefault="009401C2" w:rsidP="00C957B2">
            <w:pPr>
              <w:spacing w:before="30" w:after="30" w:line="240" w:lineRule="auto"/>
              <w:ind w:left="-82" w:right="-41"/>
              <w:jc w:val="right"/>
              <w:rPr>
                <w:rFonts w:cs="Arial"/>
                <w:sz w:val="18"/>
                <w:szCs w:val="18"/>
                <w:lang w:eastAsia="de-DE"/>
              </w:rPr>
            </w:pPr>
            <w:r w:rsidRPr="00812C16">
              <w:rPr>
                <w:rFonts w:cs="Arial"/>
                <w:sz w:val="18"/>
                <w:szCs w:val="18"/>
                <w:lang w:eastAsia="de-DE"/>
              </w:rPr>
              <w:t>151</w:t>
            </w:r>
            <w:r w:rsidR="00C957B2" w:rsidRPr="00812C16">
              <w:rPr>
                <w:rFonts w:cs="Arial"/>
                <w:sz w:val="18"/>
                <w:szCs w:val="18"/>
                <w:lang w:eastAsia="de-DE"/>
              </w:rPr>
              <w:t xml:space="preserve"> (68,3%)</w:t>
            </w:r>
          </w:p>
        </w:tc>
        <w:tc>
          <w:tcPr>
            <w:tcW w:w="1417" w:type="dxa"/>
            <w:tcBorders>
              <w:top w:val="single" w:sz="4" w:space="0" w:color="000000" w:themeColor="text1"/>
              <w:bottom w:val="nil"/>
              <w:right w:val="nil"/>
            </w:tcBorders>
            <w:tcMar>
              <w:top w:w="75" w:type="dxa"/>
              <w:left w:w="75" w:type="dxa"/>
              <w:bottom w:w="75" w:type="dxa"/>
              <w:right w:w="75" w:type="dxa"/>
            </w:tcMar>
          </w:tcPr>
          <w:p w14:paraId="55D94779" w14:textId="77777777" w:rsidR="009401C2" w:rsidRPr="00812C16" w:rsidRDefault="009401C2" w:rsidP="0024223E">
            <w:pPr>
              <w:spacing w:before="30" w:after="30" w:line="240" w:lineRule="auto"/>
              <w:jc w:val="right"/>
              <w:rPr>
                <w:rFonts w:cs="Arial"/>
                <w:sz w:val="18"/>
                <w:szCs w:val="18"/>
                <w:lang w:eastAsia="de-DE"/>
              </w:rPr>
            </w:pPr>
            <w:r w:rsidRPr="00812C16">
              <w:rPr>
                <w:rFonts w:cs="Arial"/>
                <w:sz w:val="18"/>
                <w:szCs w:val="18"/>
                <w:lang w:eastAsia="de-DE"/>
              </w:rPr>
              <w:t>28 (</w:t>
            </w:r>
            <w:r w:rsidR="005E29C3" w:rsidRPr="00812C16">
              <w:rPr>
                <w:rFonts w:cs="Arial"/>
                <w:sz w:val="18"/>
                <w:szCs w:val="18"/>
                <w:lang w:eastAsia="de-DE"/>
              </w:rPr>
              <w:t>96,6</w:t>
            </w:r>
            <w:r w:rsidRPr="00812C16">
              <w:rPr>
                <w:rFonts w:cs="Arial"/>
                <w:sz w:val="18"/>
                <w:szCs w:val="18"/>
                <w:lang w:eastAsia="de-DE"/>
              </w:rPr>
              <w:t>%)</w:t>
            </w:r>
          </w:p>
        </w:tc>
        <w:tc>
          <w:tcPr>
            <w:tcW w:w="1559" w:type="dxa"/>
            <w:tcBorders>
              <w:top w:val="single" w:sz="4" w:space="0" w:color="000000" w:themeColor="text1"/>
              <w:bottom w:val="nil"/>
              <w:right w:val="nil"/>
            </w:tcBorders>
            <w:tcMar>
              <w:top w:w="75" w:type="dxa"/>
              <w:left w:w="75" w:type="dxa"/>
              <w:bottom w:w="75" w:type="dxa"/>
              <w:right w:w="75" w:type="dxa"/>
            </w:tcMar>
          </w:tcPr>
          <w:p w14:paraId="0B97D51C" w14:textId="77777777" w:rsidR="009401C2" w:rsidRPr="00812C16" w:rsidRDefault="009401C2" w:rsidP="00C957B2">
            <w:pPr>
              <w:spacing w:before="30" w:after="30" w:line="240" w:lineRule="auto"/>
              <w:jc w:val="right"/>
              <w:rPr>
                <w:rFonts w:cs="Arial"/>
                <w:sz w:val="18"/>
                <w:szCs w:val="18"/>
                <w:lang w:eastAsia="de-DE"/>
              </w:rPr>
            </w:pPr>
            <w:r w:rsidRPr="00812C16">
              <w:rPr>
                <w:rFonts w:cs="Arial"/>
                <w:sz w:val="18"/>
                <w:szCs w:val="18"/>
                <w:lang w:eastAsia="de-DE"/>
              </w:rPr>
              <w:t>34</w:t>
            </w:r>
            <w:r w:rsidR="00DF1E74" w:rsidRPr="00812C16">
              <w:rPr>
                <w:rFonts w:cs="Arial"/>
                <w:sz w:val="18"/>
                <w:szCs w:val="18"/>
                <w:lang w:eastAsia="de-DE"/>
              </w:rPr>
              <w:t xml:space="preserve"> </w:t>
            </w:r>
            <w:r w:rsidRPr="00812C16">
              <w:rPr>
                <w:rFonts w:cs="Arial"/>
                <w:sz w:val="18"/>
                <w:szCs w:val="18"/>
                <w:lang w:eastAsia="de-DE"/>
              </w:rPr>
              <w:t>(</w:t>
            </w:r>
            <w:r w:rsidR="005E29C3" w:rsidRPr="00812C16">
              <w:rPr>
                <w:rFonts w:cs="Arial"/>
                <w:sz w:val="18"/>
                <w:szCs w:val="18"/>
                <w:lang w:eastAsia="de-DE"/>
              </w:rPr>
              <w:t>81,0</w:t>
            </w:r>
            <w:r w:rsidRPr="00812C16">
              <w:rPr>
                <w:rFonts w:cs="Arial"/>
                <w:sz w:val="18"/>
                <w:szCs w:val="18"/>
                <w:lang w:eastAsia="de-DE"/>
              </w:rPr>
              <w:t>%)</w:t>
            </w:r>
          </w:p>
        </w:tc>
        <w:tc>
          <w:tcPr>
            <w:tcW w:w="1418" w:type="dxa"/>
            <w:tcBorders>
              <w:top w:val="single" w:sz="4" w:space="0" w:color="000000" w:themeColor="text1"/>
              <w:bottom w:val="nil"/>
              <w:right w:val="nil"/>
            </w:tcBorders>
            <w:tcMar>
              <w:top w:w="75" w:type="dxa"/>
              <w:left w:w="75" w:type="dxa"/>
              <w:bottom w:w="75" w:type="dxa"/>
              <w:right w:w="75" w:type="dxa"/>
            </w:tcMar>
          </w:tcPr>
          <w:p w14:paraId="5AD75914" w14:textId="77777777" w:rsidR="009401C2" w:rsidRPr="00812C16" w:rsidRDefault="009401C2" w:rsidP="00C957B2">
            <w:pPr>
              <w:spacing w:before="30" w:after="30" w:line="240" w:lineRule="auto"/>
              <w:jc w:val="right"/>
              <w:rPr>
                <w:rFonts w:cs="Arial"/>
                <w:sz w:val="18"/>
                <w:szCs w:val="18"/>
                <w:lang w:eastAsia="de-DE"/>
              </w:rPr>
            </w:pPr>
            <w:r w:rsidRPr="00812C16">
              <w:rPr>
                <w:rFonts w:cs="Arial"/>
                <w:sz w:val="18"/>
                <w:szCs w:val="18"/>
                <w:lang w:eastAsia="de-DE"/>
              </w:rPr>
              <w:t>56</w:t>
            </w:r>
            <w:r w:rsidR="00DF1E74" w:rsidRPr="00812C16">
              <w:rPr>
                <w:rFonts w:cs="Arial"/>
                <w:sz w:val="18"/>
                <w:szCs w:val="18"/>
                <w:lang w:eastAsia="de-DE"/>
              </w:rPr>
              <w:t xml:space="preserve"> </w:t>
            </w:r>
            <w:r w:rsidRPr="00812C16">
              <w:rPr>
                <w:rFonts w:cs="Arial"/>
                <w:sz w:val="18"/>
                <w:szCs w:val="18"/>
                <w:lang w:eastAsia="de-DE"/>
              </w:rPr>
              <w:t>(</w:t>
            </w:r>
            <w:r w:rsidR="005E29C3" w:rsidRPr="00812C16">
              <w:rPr>
                <w:rFonts w:cs="Arial"/>
                <w:sz w:val="18"/>
                <w:szCs w:val="18"/>
                <w:lang w:eastAsia="de-DE"/>
              </w:rPr>
              <w:t>80,0</w:t>
            </w:r>
            <w:r w:rsidRPr="00812C16">
              <w:rPr>
                <w:rFonts w:cs="Arial"/>
                <w:sz w:val="18"/>
                <w:szCs w:val="18"/>
                <w:lang w:eastAsia="de-DE"/>
              </w:rPr>
              <w:t>%)</w:t>
            </w:r>
          </w:p>
        </w:tc>
        <w:tc>
          <w:tcPr>
            <w:tcW w:w="1417" w:type="dxa"/>
            <w:tcBorders>
              <w:top w:val="single" w:sz="4" w:space="0" w:color="000000" w:themeColor="text1"/>
              <w:bottom w:val="nil"/>
              <w:right w:val="nil"/>
            </w:tcBorders>
          </w:tcPr>
          <w:p w14:paraId="1281402A" w14:textId="77777777" w:rsidR="009401C2" w:rsidRPr="00812C16" w:rsidRDefault="00185BFC" w:rsidP="00C957B2">
            <w:pPr>
              <w:spacing w:before="30" w:after="30" w:line="240" w:lineRule="auto"/>
              <w:jc w:val="right"/>
              <w:rPr>
                <w:rFonts w:cs="Arial"/>
                <w:sz w:val="18"/>
                <w:szCs w:val="18"/>
                <w:lang w:eastAsia="de-DE"/>
              </w:rPr>
            </w:pPr>
            <w:r w:rsidRPr="00812C16">
              <w:rPr>
                <w:rFonts w:cs="Arial"/>
                <w:sz w:val="18"/>
                <w:szCs w:val="18"/>
                <w:lang w:eastAsia="de-DE"/>
              </w:rPr>
              <w:t>33</w:t>
            </w:r>
            <w:r w:rsidR="00DF1E74" w:rsidRPr="00812C16">
              <w:rPr>
                <w:rFonts w:cs="Arial"/>
                <w:sz w:val="18"/>
                <w:szCs w:val="18"/>
                <w:lang w:eastAsia="de-DE"/>
              </w:rPr>
              <w:t xml:space="preserve"> </w:t>
            </w:r>
            <w:r w:rsidR="0063114A" w:rsidRPr="00812C16">
              <w:rPr>
                <w:rFonts w:cs="Arial"/>
                <w:sz w:val="18"/>
                <w:szCs w:val="18"/>
                <w:lang w:eastAsia="de-DE"/>
              </w:rPr>
              <w:t>(41,3%)</w:t>
            </w:r>
          </w:p>
        </w:tc>
      </w:tr>
      <w:tr w:rsidR="005940FC" w:rsidRPr="00812C16" w14:paraId="55F40841" w14:textId="77777777" w:rsidTr="0024223E">
        <w:tc>
          <w:tcPr>
            <w:tcW w:w="1701" w:type="dxa"/>
            <w:tcBorders>
              <w:top w:val="nil"/>
              <w:bottom w:val="nil"/>
              <w:right w:val="nil"/>
            </w:tcBorders>
            <w:tcMar>
              <w:top w:w="75" w:type="dxa"/>
              <w:left w:w="75" w:type="dxa"/>
              <w:bottom w:w="75" w:type="dxa"/>
              <w:right w:w="75" w:type="dxa"/>
            </w:tcMar>
          </w:tcPr>
          <w:p w14:paraId="79BA5EB8" w14:textId="77777777" w:rsidR="009401C2" w:rsidRPr="00812C16" w:rsidRDefault="009401C2" w:rsidP="00C957B2">
            <w:pPr>
              <w:spacing w:before="30" w:after="30" w:line="240" w:lineRule="auto"/>
              <w:jc w:val="left"/>
              <w:rPr>
                <w:rFonts w:cs="Arial"/>
                <w:sz w:val="18"/>
                <w:szCs w:val="18"/>
                <w:lang w:eastAsia="de-DE"/>
              </w:rPr>
            </w:pPr>
            <w:r w:rsidRPr="00812C16">
              <w:rPr>
                <w:rFonts w:cs="Arial"/>
                <w:sz w:val="18"/>
                <w:szCs w:val="18"/>
                <w:lang w:eastAsia="de-DE"/>
              </w:rPr>
              <w:t>CD44 -</w:t>
            </w:r>
          </w:p>
        </w:tc>
        <w:tc>
          <w:tcPr>
            <w:tcW w:w="1560" w:type="dxa"/>
            <w:tcBorders>
              <w:top w:val="nil"/>
              <w:bottom w:val="nil"/>
              <w:right w:val="nil"/>
            </w:tcBorders>
            <w:tcMar>
              <w:top w:w="75" w:type="dxa"/>
              <w:left w:w="75" w:type="dxa"/>
              <w:bottom w:w="75" w:type="dxa"/>
              <w:right w:w="75" w:type="dxa"/>
            </w:tcMar>
          </w:tcPr>
          <w:p w14:paraId="7DD0BAFE" w14:textId="77777777" w:rsidR="009401C2" w:rsidRPr="00812C16" w:rsidRDefault="009401C2" w:rsidP="00C957B2">
            <w:pPr>
              <w:spacing w:before="30" w:after="30" w:line="240" w:lineRule="auto"/>
              <w:jc w:val="right"/>
              <w:rPr>
                <w:rFonts w:cs="Arial"/>
                <w:sz w:val="18"/>
                <w:szCs w:val="18"/>
                <w:lang w:eastAsia="de-DE"/>
              </w:rPr>
            </w:pPr>
            <w:r w:rsidRPr="00812C16">
              <w:rPr>
                <w:rFonts w:cs="Arial"/>
                <w:sz w:val="18"/>
                <w:szCs w:val="18"/>
                <w:lang w:eastAsia="de-DE"/>
              </w:rPr>
              <w:t>44</w:t>
            </w:r>
            <w:r w:rsidR="00F964D0" w:rsidRPr="00812C16">
              <w:rPr>
                <w:rFonts w:cs="Arial"/>
                <w:sz w:val="18"/>
                <w:szCs w:val="18"/>
                <w:lang w:eastAsia="de-DE"/>
              </w:rPr>
              <w:t xml:space="preserve"> (19,9%)</w:t>
            </w:r>
          </w:p>
        </w:tc>
        <w:tc>
          <w:tcPr>
            <w:tcW w:w="1417" w:type="dxa"/>
            <w:tcBorders>
              <w:top w:val="nil"/>
              <w:bottom w:val="nil"/>
              <w:right w:val="nil"/>
            </w:tcBorders>
            <w:tcMar>
              <w:top w:w="75" w:type="dxa"/>
              <w:left w:w="75" w:type="dxa"/>
              <w:bottom w:w="75" w:type="dxa"/>
              <w:right w:w="75" w:type="dxa"/>
            </w:tcMar>
          </w:tcPr>
          <w:p w14:paraId="4BA28FBE" w14:textId="77777777" w:rsidR="009401C2" w:rsidRPr="00812C16" w:rsidRDefault="009401C2" w:rsidP="00C957B2">
            <w:pPr>
              <w:spacing w:before="30" w:after="30" w:line="240" w:lineRule="auto"/>
              <w:jc w:val="right"/>
              <w:rPr>
                <w:rFonts w:cs="Arial"/>
                <w:sz w:val="18"/>
                <w:szCs w:val="18"/>
                <w:lang w:eastAsia="de-DE"/>
              </w:rPr>
            </w:pPr>
            <w:r w:rsidRPr="00812C16">
              <w:rPr>
                <w:rFonts w:cs="Arial"/>
                <w:sz w:val="18"/>
                <w:szCs w:val="18"/>
                <w:lang w:eastAsia="de-DE"/>
              </w:rPr>
              <w:t>1</w:t>
            </w:r>
            <w:r w:rsidR="00DF1E74" w:rsidRPr="00812C16">
              <w:rPr>
                <w:rFonts w:cs="Arial"/>
                <w:sz w:val="18"/>
                <w:szCs w:val="18"/>
                <w:lang w:eastAsia="de-DE"/>
              </w:rPr>
              <w:t xml:space="preserve"> </w:t>
            </w:r>
            <w:r w:rsidRPr="00812C16">
              <w:rPr>
                <w:rFonts w:cs="Arial"/>
                <w:sz w:val="18"/>
                <w:szCs w:val="18"/>
                <w:lang w:eastAsia="de-DE"/>
              </w:rPr>
              <w:t>(</w:t>
            </w:r>
            <w:r w:rsidR="005E29C3" w:rsidRPr="00812C16">
              <w:rPr>
                <w:rFonts w:cs="Arial"/>
                <w:sz w:val="18"/>
                <w:szCs w:val="18"/>
                <w:lang w:eastAsia="de-DE"/>
              </w:rPr>
              <w:t>3,4</w:t>
            </w:r>
            <w:r w:rsidRPr="00812C16">
              <w:rPr>
                <w:rFonts w:cs="Arial"/>
                <w:sz w:val="18"/>
                <w:szCs w:val="18"/>
                <w:lang w:eastAsia="de-DE"/>
              </w:rPr>
              <w:t>%)</w:t>
            </w:r>
          </w:p>
        </w:tc>
        <w:tc>
          <w:tcPr>
            <w:tcW w:w="1559" w:type="dxa"/>
            <w:tcBorders>
              <w:top w:val="nil"/>
              <w:bottom w:val="nil"/>
              <w:right w:val="nil"/>
            </w:tcBorders>
            <w:tcMar>
              <w:top w:w="75" w:type="dxa"/>
              <w:left w:w="75" w:type="dxa"/>
              <w:bottom w:w="75" w:type="dxa"/>
              <w:right w:w="75" w:type="dxa"/>
            </w:tcMar>
          </w:tcPr>
          <w:p w14:paraId="36715466" w14:textId="77777777" w:rsidR="009401C2" w:rsidRPr="00812C16" w:rsidRDefault="009401C2" w:rsidP="00C957B2">
            <w:pPr>
              <w:spacing w:before="30" w:after="30" w:line="240" w:lineRule="auto"/>
              <w:jc w:val="right"/>
              <w:rPr>
                <w:rFonts w:cs="Arial"/>
                <w:sz w:val="18"/>
                <w:szCs w:val="18"/>
                <w:lang w:eastAsia="de-DE"/>
              </w:rPr>
            </w:pPr>
            <w:r w:rsidRPr="00812C16">
              <w:rPr>
                <w:rFonts w:cs="Arial"/>
                <w:sz w:val="18"/>
                <w:szCs w:val="18"/>
                <w:lang w:eastAsia="de-DE"/>
              </w:rPr>
              <w:t>5</w:t>
            </w:r>
            <w:r w:rsidR="00DF1E74" w:rsidRPr="00812C16">
              <w:rPr>
                <w:rFonts w:cs="Arial"/>
                <w:sz w:val="18"/>
                <w:szCs w:val="18"/>
                <w:lang w:eastAsia="de-DE"/>
              </w:rPr>
              <w:t xml:space="preserve"> </w:t>
            </w:r>
            <w:r w:rsidRPr="00812C16">
              <w:rPr>
                <w:rFonts w:cs="Arial"/>
                <w:sz w:val="18"/>
                <w:szCs w:val="18"/>
                <w:lang w:eastAsia="de-DE"/>
              </w:rPr>
              <w:t>(</w:t>
            </w:r>
            <w:r w:rsidR="005E29C3" w:rsidRPr="00812C16">
              <w:rPr>
                <w:rFonts w:cs="Arial"/>
                <w:sz w:val="18"/>
                <w:szCs w:val="18"/>
                <w:lang w:eastAsia="de-DE"/>
              </w:rPr>
              <w:t>11,9</w:t>
            </w:r>
            <w:r w:rsidRPr="00812C16">
              <w:rPr>
                <w:rFonts w:cs="Arial"/>
                <w:sz w:val="18"/>
                <w:szCs w:val="18"/>
                <w:lang w:eastAsia="de-DE"/>
              </w:rPr>
              <w:t>%)</w:t>
            </w:r>
          </w:p>
        </w:tc>
        <w:tc>
          <w:tcPr>
            <w:tcW w:w="1418" w:type="dxa"/>
            <w:tcBorders>
              <w:top w:val="nil"/>
              <w:bottom w:val="nil"/>
              <w:right w:val="nil"/>
            </w:tcBorders>
            <w:tcMar>
              <w:top w:w="75" w:type="dxa"/>
              <w:left w:w="75" w:type="dxa"/>
              <w:bottom w:w="75" w:type="dxa"/>
              <w:right w:w="75" w:type="dxa"/>
            </w:tcMar>
          </w:tcPr>
          <w:p w14:paraId="34BFA7DE" w14:textId="77777777" w:rsidR="009401C2" w:rsidRPr="00812C16" w:rsidRDefault="009401C2" w:rsidP="00C957B2">
            <w:pPr>
              <w:spacing w:before="30" w:after="30" w:line="240" w:lineRule="auto"/>
              <w:jc w:val="right"/>
              <w:rPr>
                <w:rFonts w:cs="Arial"/>
                <w:sz w:val="18"/>
                <w:szCs w:val="18"/>
                <w:lang w:eastAsia="de-DE"/>
              </w:rPr>
            </w:pPr>
            <w:r w:rsidRPr="00812C16">
              <w:rPr>
                <w:rFonts w:cs="Arial"/>
                <w:sz w:val="18"/>
                <w:szCs w:val="18"/>
                <w:lang w:eastAsia="de-DE"/>
              </w:rPr>
              <w:t>10</w:t>
            </w:r>
            <w:r w:rsidR="00DF1E74" w:rsidRPr="00812C16">
              <w:rPr>
                <w:rFonts w:cs="Arial"/>
                <w:sz w:val="18"/>
                <w:szCs w:val="18"/>
                <w:lang w:eastAsia="de-DE"/>
              </w:rPr>
              <w:t xml:space="preserve"> </w:t>
            </w:r>
            <w:r w:rsidRPr="00812C16">
              <w:rPr>
                <w:rFonts w:cs="Arial"/>
                <w:sz w:val="18"/>
                <w:szCs w:val="18"/>
                <w:lang w:eastAsia="de-DE"/>
              </w:rPr>
              <w:t>(</w:t>
            </w:r>
            <w:r w:rsidR="005E29C3" w:rsidRPr="00812C16">
              <w:rPr>
                <w:rFonts w:cs="Arial"/>
                <w:sz w:val="18"/>
                <w:szCs w:val="18"/>
                <w:lang w:eastAsia="de-DE"/>
              </w:rPr>
              <w:t>14,3</w:t>
            </w:r>
            <w:r w:rsidRPr="00812C16">
              <w:rPr>
                <w:rFonts w:cs="Arial"/>
                <w:sz w:val="18"/>
                <w:szCs w:val="18"/>
                <w:lang w:eastAsia="de-DE"/>
              </w:rPr>
              <w:t>%)</w:t>
            </w:r>
          </w:p>
        </w:tc>
        <w:tc>
          <w:tcPr>
            <w:tcW w:w="1417" w:type="dxa"/>
            <w:tcBorders>
              <w:top w:val="nil"/>
              <w:bottom w:val="nil"/>
              <w:right w:val="nil"/>
            </w:tcBorders>
          </w:tcPr>
          <w:p w14:paraId="3797CF2F" w14:textId="77777777" w:rsidR="009401C2" w:rsidRPr="00812C16" w:rsidRDefault="00185BFC" w:rsidP="00C957B2">
            <w:pPr>
              <w:spacing w:before="30" w:after="30" w:line="240" w:lineRule="auto"/>
              <w:jc w:val="right"/>
              <w:rPr>
                <w:rFonts w:cs="Arial"/>
                <w:sz w:val="18"/>
                <w:szCs w:val="18"/>
                <w:lang w:eastAsia="de-DE"/>
              </w:rPr>
            </w:pPr>
            <w:r w:rsidRPr="00812C16">
              <w:rPr>
                <w:rFonts w:cs="Arial"/>
                <w:sz w:val="18"/>
                <w:szCs w:val="18"/>
                <w:lang w:eastAsia="de-DE"/>
              </w:rPr>
              <w:t>28</w:t>
            </w:r>
            <w:r w:rsidR="00C957B2" w:rsidRPr="00812C16">
              <w:rPr>
                <w:rFonts w:cs="Arial"/>
                <w:sz w:val="18"/>
                <w:szCs w:val="18"/>
                <w:lang w:eastAsia="de-DE"/>
              </w:rPr>
              <w:t xml:space="preserve"> </w:t>
            </w:r>
            <w:r w:rsidR="0063114A" w:rsidRPr="00812C16">
              <w:rPr>
                <w:rFonts w:cs="Arial"/>
                <w:sz w:val="18"/>
                <w:szCs w:val="18"/>
                <w:lang w:eastAsia="de-DE"/>
              </w:rPr>
              <w:t>(35,0%)</w:t>
            </w:r>
          </w:p>
        </w:tc>
      </w:tr>
      <w:tr w:rsidR="0024223E" w:rsidRPr="00812C16" w14:paraId="618E0C8B" w14:textId="77777777" w:rsidTr="0024223E">
        <w:tc>
          <w:tcPr>
            <w:tcW w:w="1701" w:type="dxa"/>
            <w:tcBorders>
              <w:top w:val="nil"/>
              <w:bottom w:val="single" w:sz="4" w:space="0" w:color="000000" w:themeColor="text1"/>
              <w:right w:val="nil"/>
            </w:tcBorders>
            <w:tcMar>
              <w:top w:w="75" w:type="dxa"/>
              <w:left w:w="75" w:type="dxa"/>
              <w:bottom w:w="75" w:type="dxa"/>
              <w:right w:w="75" w:type="dxa"/>
            </w:tcMar>
          </w:tcPr>
          <w:p w14:paraId="0DED78B6" w14:textId="77777777" w:rsidR="00185BFC" w:rsidRPr="00812C16" w:rsidRDefault="00185BFC" w:rsidP="00C957B2">
            <w:pPr>
              <w:spacing w:before="30" w:after="30" w:line="240" w:lineRule="auto"/>
              <w:jc w:val="left"/>
              <w:rPr>
                <w:rFonts w:cs="Arial"/>
                <w:sz w:val="18"/>
                <w:szCs w:val="18"/>
                <w:lang w:eastAsia="de-DE"/>
              </w:rPr>
            </w:pPr>
            <w:r w:rsidRPr="00812C16">
              <w:rPr>
                <w:rFonts w:cs="Arial"/>
                <w:sz w:val="18"/>
                <w:szCs w:val="18"/>
                <w:lang w:eastAsia="de-DE"/>
              </w:rPr>
              <w:t>Fehlend</w:t>
            </w:r>
          </w:p>
        </w:tc>
        <w:tc>
          <w:tcPr>
            <w:tcW w:w="1560" w:type="dxa"/>
            <w:tcBorders>
              <w:top w:val="nil"/>
              <w:bottom w:val="single" w:sz="4" w:space="0" w:color="000000" w:themeColor="text1"/>
              <w:right w:val="nil"/>
            </w:tcBorders>
            <w:tcMar>
              <w:top w:w="75" w:type="dxa"/>
              <w:left w:w="75" w:type="dxa"/>
              <w:bottom w:w="75" w:type="dxa"/>
              <w:right w:w="75" w:type="dxa"/>
            </w:tcMar>
          </w:tcPr>
          <w:p w14:paraId="6A3CA273" w14:textId="77777777" w:rsidR="00185BFC" w:rsidRPr="00812C16" w:rsidRDefault="0007796A" w:rsidP="00C957B2">
            <w:pPr>
              <w:spacing w:before="30" w:after="30" w:line="240" w:lineRule="auto"/>
              <w:jc w:val="right"/>
              <w:rPr>
                <w:rFonts w:cs="Arial"/>
                <w:sz w:val="18"/>
                <w:szCs w:val="18"/>
                <w:lang w:eastAsia="de-DE"/>
              </w:rPr>
            </w:pPr>
            <w:r w:rsidRPr="00812C16">
              <w:rPr>
                <w:rFonts w:cs="Arial"/>
                <w:sz w:val="18"/>
                <w:szCs w:val="18"/>
                <w:lang w:eastAsia="de-DE"/>
              </w:rPr>
              <w:t>26</w:t>
            </w:r>
            <w:r w:rsidR="00F964D0" w:rsidRPr="00812C16">
              <w:rPr>
                <w:rFonts w:cs="Arial"/>
                <w:sz w:val="18"/>
                <w:szCs w:val="18"/>
                <w:lang w:eastAsia="de-DE"/>
              </w:rPr>
              <w:t xml:space="preserve"> (11,8%)</w:t>
            </w:r>
          </w:p>
        </w:tc>
        <w:tc>
          <w:tcPr>
            <w:tcW w:w="1417" w:type="dxa"/>
            <w:tcBorders>
              <w:top w:val="nil"/>
              <w:bottom w:val="single" w:sz="4" w:space="0" w:color="000000" w:themeColor="text1"/>
              <w:right w:val="nil"/>
            </w:tcBorders>
            <w:tcMar>
              <w:top w:w="75" w:type="dxa"/>
              <w:left w:w="75" w:type="dxa"/>
              <w:bottom w:w="75" w:type="dxa"/>
              <w:right w:w="75" w:type="dxa"/>
            </w:tcMar>
          </w:tcPr>
          <w:p w14:paraId="333108CB" w14:textId="77777777" w:rsidR="00185BFC" w:rsidRPr="00812C16" w:rsidRDefault="0007796A" w:rsidP="00C957B2">
            <w:pPr>
              <w:spacing w:before="30" w:after="30" w:line="240" w:lineRule="auto"/>
              <w:jc w:val="right"/>
              <w:rPr>
                <w:rFonts w:cs="Arial"/>
                <w:sz w:val="18"/>
                <w:szCs w:val="18"/>
                <w:lang w:eastAsia="de-DE"/>
              </w:rPr>
            </w:pPr>
            <w:r w:rsidRPr="00812C16">
              <w:rPr>
                <w:rFonts w:cs="Arial"/>
                <w:sz w:val="18"/>
                <w:szCs w:val="18"/>
                <w:lang w:eastAsia="de-DE"/>
              </w:rPr>
              <w:t>0</w:t>
            </w:r>
            <w:r w:rsidR="00DF1E74" w:rsidRPr="00812C16">
              <w:rPr>
                <w:rFonts w:cs="Arial"/>
                <w:sz w:val="18"/>
                <w:szCs w:val="18"/>
                <w:lang w:eastAsia="de-DE"/>
              </w:rPr>
              <w:t xml:space="preserve"> </w:t>
            </w:r>
            <w:r w:rsidR="005E29C3" w:rsidRPr="00812C16">
              <w:rPr>
                <w:rFonts w:cs="Arial"/>
                <w:sz w:val="18"/>
                <w:szCs w:val="18"/>
                <w:lang w:eastAsia="de-DE"/>
              </w:rPr>
              <w:t>(0,0%)</w:t>
            </w:r>
          </w:p>
        </w:tc>
        <w:tc>
          <w:tcPr>
            <w:tcW w:w="1559" w:type="dxa"/>
            <w:tcBorders>
              <w:top w:val="nil"/>
              <w:bottom w:val="single" w:sz="4" w:space="0" w:color="000000" w:themeColor="text1"/>
              <w:right w:val="nil"/>
            </w:tcBorders>
            <w:tcMar>
              <w:top w:w="75" w:type="dxa"/>
              <w:left w:w="75" w:type="dxa"/>
              <w:bottom w:w="75" w:type="dxa"/>
              <w:right w:w="75" w:type="dxa"/>
            </w:tcMar>
          </w:tcPr>
          <w:p w14:paraId="7B2B269D" w14:textId="77777777" w:rsidR="00185BFC" w:rsidRPr="00812C16" w:rsidRDefault="0007796A" w:rsidP="00C957B2">
            <w:pPr>
              <w:spacing w:before="30" w:after="30" w:line="240" w:lineRule="auto"/>
              <w:jc w:val="right"/>
              <w:rPr>
                <w:rFonts w:cs="Arial"/>
                <w:sz w:val="18"/>
                <w:szCs w:val="18"/>
                <w:lang w:eastAsia="de-DE"/>
              </w:rPr>
            </w:pPr>
            <w:r w:rsidRPr="00812C16">
              <w:rPr>
                <w:rFonts w:cs="Arial"/>
                <w:sz w:val="18"/>
                <w:szCs w:val="18"/>
                <w:lang w:eastAsia="de-DE"/>
              </w:rPr>
              <w:t>3</w:t>
            </w:r>
            <w:r w:rsidR="005E29C3" w:rsidRPr="00812C16">
              <w:rPr>
                <w:rFonts w:cs="Arial"/>
                <w:sz w:val="18"/>
                <w:szCs w:val="18"/>
                <w:lang w:eastAsia="de-DE"/>
              </w:rPr>
              <w:t xml:space="preserve"> (7,1%)</w:t>
            </w:r>
          </w:p>
        </w:tc>
        <w:tc>
          <w:tcPr>
            <w:tcW w:w="1418" w:type="dxa"/>
            <w:tcBorders>
              <w:top w:val="nil"/>
              <w:bottom w:val="single" w:sz="4" w:space="0" w:color="000000" w:themeColor="text1"/>
              <w:right w:val="nil"/>
            </w:tcBorders>
            <w:tcMar>
              <w:top w:w="75" w:type="dxa"/>
              <w:left w:w="75" w:type="dxa"/>
              <w:bottom w:w="75" w:type="dxa"/>
              <w:right w:w="75" w:type="dxa"/>
            </w:tcMar>
          </w:tcPr>
          <w:p w14:paraId="41755131" w14:textId="77777777" w:rsidR="00185BFC" w:rsidRPr="00812C16" w:rsidRDefault="0007796A" w:rsidP="00C957B2">
            <w:pPr>
              <w:spacing w:before="30" w:after="30" w:line="240" w:lineRule="auto"/>
              <w:jc w:val="right"/>
              <w:rPr>
                <w:rFonts w:cs="Arial"/>
                <w:sz w:val="18"/>
                <w:szCs w:val="18"/>
                <w:lang w:eastAsia="de-DE"/>
              </w:rPr>
            </w:pPr>
            <w:r w:rsidRPr="00812C16">
              <w:rPr>
                <w:rFonts w:cs="Arial"/>
                <w:sz w:val="18"/>
                <w:szCs w:val="18"/>
                <w:lang w:eastAsia="de-DE"/>
              </w:rPr>
              <w:t>4</w:t>
            </w:r>
            <w:r w:rsidR="00DF1E74" w:rsidRPr="00812C16">
              <w:rPr>
                <w:rFonts w:cs="Arial"/>
                <w:sz w:val="18"/>
                <w:szCs w:val="18"/>
                <w:lang w:eastAsia="de-DE"/>
              </w:rPr>
              <w:t xml:space="preserve"> </w:t>
            </w:r>
            <w:r w:rsidR="005E29C3" w:rsidRPr="00812C16">
              <w:rPr>
                <w:rFonts w:cs="Arial"/>
                <w:sz w:val="18"/>
                <w:szCs w:val="18"/>
                <w:lang w:eastAsia="de-DE"/>
              </w:rPr>
              <w:t>(</w:t>
            </w:r>
            <w:r w:rsidR="0063114A" w:rsidRPr="00812C16">
              <w:rPr>
                <w:rFonts w:cs="Arial"/>
                <w:sz w:val="18"/>
                <w:szCs w:val="18"/>
                <w:lang w:eastAsia="de-DE"/>
              </w:rPr>
              <w:t>5,7%)</w:t>
            </w:r>
          </w:p>
        </w:tc>
        <w:tc>
          <w:tcPr>
            <w:tcW w:w="1417" w:type="dxa"/>
            <w:tcBorders>
              <w:top w:val="nil"/>
              <w:bottom w:val="single" w:sz="4" w:space="0" w:color="000000" w:themeColor="text1"/>
              <w:right w:val="nil"/>
            </w:tcBorders>
          </w:tcPr>
          <w:p w14:paraId="4CB89DE4" w14:textId="77777777" w:rsidR="00185BFC" w:rsidRPr="00812C16" w:rsidRDefault="0007796A" w:rsidP="00C957B2">
            <w:pPr>
              <w:spacing w:before="30" w:after="30" w:line="240" w:lineRule="auto"/>
              <w:jc w:val="right"/>
              <w:rPr>
                <w:rFonts w:cs="Arial"/>
                <w:sz w:val="18"/>
                <w:szCs w:val="18"/>
                <w:lang w:eastAsia="de-DE"/>
              </w:rPr>
            </w:pPr>
            <w:r w:rsidRPr="00812C16">
              <w:rPr>
                <w:rFonts w:cs="Arial"/>
                <w:sz w:val="18"/>
                <w:szCs w:val="18"/>
                <w:lang w:eastAsia="de-DE"/>
              </w:rPr>
              <w:t>19</w:t>
            </w:r>
            <w:r w:rsidR="00316BE4" w:rsidRPr="00812C16">
              <w:rPr>
                <w:rFonts w:cs="Arial"/>
                <w:sz w:val="18"/>
                <w:szCs w:val="18"/>
                <w:lang w:eastAsia="de-DE"/>
              </w:rPr>
              <w:t xml:space="preserve"> (23,7%)</w:t>
            </w:r>
          </w:p>
        </w:tc>
      </w:tr>
      <w:tr w:rsidR="005940FC" w:rsidRPr="00812C16" w14:paraId="0363EFBE" w14:textId="77777777" w:rsidTr="00E10DBC">
        <w:tc>
          <w:tcPr>
            <w:tcW w:w="1701" w:type="dxa"/>
            <w:tcBorders>
              <w:top w:val="single" w:sz="4" w:space="0" w:color="000000" w:themeColor="text1"/>
              <w:bottom w:val="single" w:sz="4" w:space="0" w:color="000000" w:themeColor="text1"/>
              <w:right w:val="nil"/>
            </w:tcBorders>
            <w:shd w:val="clear" w:color="auto" w:fill="D9E2F3" w:themeFill="accent1" w:themeFillTint="33"/>
            <w:tcMar>
              <w:top w:w="75" w:type="dxa"/>
              <w:left w:w="75" w:type="dxa"/>
              <w:bottom w:w="75" w:type="dxa"/>
              <w:right w:w="75" w:type="dxa"/>
            </w:tcMar>
          </w:tcPr>
          <w:p w14:paraId="21840CBC" w14:textId="77777777" w:rsidR="0065291C" w:rsidRPr="00812C16" w:rsidRDefault="0065291C" w:rsidP="00C957B2">
            <w:pPr>
              <w:spacing w:before="30" w:after="30" w:line="240" w:lineRule="auto"/>
              <w:jc w:val="left"/>
              <w:rPr>
                <w:rFonts w:cs="Arial"/>
                <w:b/>
                <w:bCs/>
                <w:sz w:val="18"/>
                <w:szCs w:val="18"/>
                <w:lang w:eastAsia="de-DE"/>
              </w:rPr>
            </w:pPr>
            <w:r w:rsidRPr="00812C16">
              <w:rPr>
                <w:rFonts w:cs="Arial"/>
                <w:b/>
                <w:bCs/>
                <w:sz w:val="18"/>
                <w:szCs w:val="18"/>
                <w:lang w:eastAsia="de-DE"/>
              </w:rPr>
              <w:t>HPV16 DNA-</w:t>
            </w:r>
          </w:p>
        </w:tc>
        <w:tc>
          <w:tcPr>
            <w:tcW w:w="1560" w:type="dxa"/>
            <w:tcBorders>
              <w:top w:val="single" w:sz="4" w:space="0" w:color="000000" w:themeColor="text1"/>
              <w:bottom w:val="single" w:sz="4" w:space="0" w:color="000000" w:themeColor="text1"/>
              <w:right w:val="nil"/>
            </w:tcBorders>
            <w:shd w:val="clear" w:color="auto" w:fill="D9E2F3" w:themeFill="accent1" w:themeFillTint="33"/>
          </w:tcPr>
          <w:p w14:paraId="61E952C6" w14:textId="77777777" w:rsidR="0065291C" w:rsidRPr="00812C16" w:rsidRDefault="0065291C" w:rsidP="00C957B2">
            <w:pPr>
              <w:spacing w:before="30" w:after="30" w:line="240" w:lineRule="auto"/>
              <w:jc w:val="right"/>
              <w:rPr>
                <w:rFonts w:cs="Arial"/>
                <w:sz w:val="18"/>
                <w:szCs w:val="18"/>
                <w:lang w:eastAsia="de-DE"/>
              </w:rPr>
            </w:pPr>
            <w:r w:rsidRPr="00812C16">
              <w:rPr>
                <w:rFonts w:cs="Arial"/>
                <w:sz w:val="18"/>
                <w:szCs w:val="18"/>
                <w:lang w:eastAsia="de-DE"/>
              </w:rPr>
              <w:t>N=143</w:t>
            </w:r>
          </w:p>
        </w:tc>
        <w:tc>
          <w:tcPr>
            <w:tcW w:w="1417" w:type="dxa"/>
            <w:tcBorders>
              <w:top w:val="single" w:sz="4" w:space="0" w:color="000000" w:themeColor="text1"/>
              <w:bottom w:val="single" w:sz="4" w:space="0" w:color="000000" w:themeColor="text1"/>
              <w:right w:val="nil"/>
            </w:tcBorders>
            <w:shd w:val="clear" w:color="auto" w:fill="D9E2F3" w:themeFill="accent1" w:themeFillTint="33"/>
            <w:tcMar>
              <w:top w:w="75" w:type="dxa"/>
              <w:left w:w="75" w:type="dxa"/>
              <w:bottom w:w="75" w:type="dxa"/>
              <w:right w:w="75" w:type="dxa"/>
            </w:tcMar>
          </w:tcPr>
          <w:p w14:paraId="4F1964E6" w14:textId="77777777" w:rsidR="0065291C" w:rsidRPr="00812C16" w:rsidRDefault="0065291C" w:rsidP="00C957B2">
            <w:pPr>
              <w:spacing w:before="30" w:after="30" w:line="240" w:lineRule="auto"/>
              <w:jc w:val="right"/>
              <w:rPr>
                <w:rFonts w:cs="Arial"/>
                <w:sz w:val="18"/>
                <w:szCs w:val="18"/>
                <w:lang w:eastAsia="de-DE"/>
              </w:rPr>
            </w:pPr>
            <w:r w:rsidRPr="00812C16">
              <w:rPr>
                <w:rFonts w:cs="Arial"/>
                <w:sz w:val="18"/>
                <w:szCs w:val="18"/>
                <w:lang w:eastAsia="de-DE"/>
              </w:rPr>
              <w:t>N=27</w:t>
            </w:r>
          </w:p>
        </w:tc>
        <w:tc>
          <w:tcPr>
            <w:tcW w:w="1559" w:type="dxa"/>
            <w:tcBorders>
              <w:top w:val="single" w:sz="4" w:space="0" w:color="000000" w:themeColor="text1"/>
              <w:bottom w:val="single" w:sz="4" w:space="0" w:color="000000" w:themeColor="text1"/>
              <w:right w:val="nil"/>
            </w:tcBorders>
            <w:shd w:val="clear" w:color="auto" w:fill="D9E2F3" w:themeFill="accent1" w:themeFillTint="33"/>
            <w:tcMar>
              <w:top w:w="75" w:type="dxa"/>
              <w:left w:w="75" w:type="dxa"/>
              <w:bottom w:w="75" w:type="dxa"/>
              <w:right w:w="75" w:type="dxa"/>
            </w:tcMar>
          </w:tcPr>
          <w:p w14:paraId="1C40A5C5" w14:textId="77777777" w:rsidR="0065291C" w:rsidRPr="00812C16" w:rsidRDefault="0065291C" w:rsidP="00C957B2">
            <w:pPr>
              <w:spacing w:before="30" w:after="30" w:line="240" w:lineRule="auto"/>
              <w:jc w:val="right"/>
              <w:rPr>
                <w:rFonts w:cs="Arial"/>
                <w:sz w:val="18"/>
                <w:szCs w:val="18"/>
                <w:lang w:eastAsia="de-DE"/>
              </w:rPr>
            </w:pPr>
            <w:r w:rsidRPr="00812C16">
              <w:rPr>
                <w:rFonts w:cs="Arial"/>
                <w:sz w:val="18"/>
                <w:szCs w:val="18"/>
                <w:lang w:eastAsia="de-DE"/>
              </w:rPr>
              <w:t>N=34</w:t>
            </w:r>
          </w:p>
        </w:tc>
        <w:tc>
          <w:tcPr>
            <w:tcW w:w="1418" w:type="dxa"/>
            <w:tcBorders>
              <w:top w:val="single" w:sz="4" w:space="0" w:color="000000" w:themeColor="text1"/>
              <w:bottom w:val="single" w:sz="4" w:space="0" w:color="000000" w:themeColor="text1"/>
              <w:right w:val="nil"/>
            </w:tcBorders>
            <w:shd w:val="clear" w:color="auto" w:fill="D9E2F3" w:themeFill="accent1" w:themeFillTint="33"/>
            <w:tcMar>
              <w:top w:w="75" w:type="dxa"/>
              <w:left w:w="75" w:type="dxa"/>
              <w:bottom w:w="75" w:type="dxa"/>
              <w:right w:w="75" w:type="dxa"/>
            </w:tcMar>
          </w:tcPr>
          <w:p w14:paraId="772444B7" w14:textId="77777777" w:rsidR="0065291C" w:rsidRPr="00812C16" w:rsidRDefault="0065291C" w:rsidP="00C957B2">
            <w:pPr>
              <w:spacing w:before="30" w:after="30" w:line="240" w:lineRule="auto"/>
              <w:jc w:val="right"/>
              <w:rPr>
                <w:rFonts w:cs="Arial"/>
                <w:sz w:val="18"/>
                <w:szCs w:val="18"/>
                <w:lang w:eastAsia="de-DE"/>
              </w:rPr>
            </w:pPr>
            <w:r w:rsidRPr="00812C16">
              <w:rPr>
                <w:rFonts w:cs="Arial"/>
                <w:sz w:val="18"/>
                <w:szCs w:val="18"/>
                <w:lang w:eastAsia="de-DE"/>
              </w:rPr>
              <w:t>N=57</w:t>
            </w:r>
          </w:p>
        </w:tc>
        <w:tc>
          <w:tcPr>
            <w:tcW w:w="1417" w:type="dxa"/>
            <w:tcBorders>
              <w:top w:val="single" w:sz="4" w:space="0" w:color="000000" w:themeColor="text1"/>
              <w:bottom w:val="single" w:sz="4" w:space="0" w:color="000000" w:themeColor="text1"/>
              <w:right w:val="nil"/>
            </w:tcBorders>
            <w:shd w:val="clear" w:color="auto" w:fill="D9E2F3" w:themeFill="accent1" w:themeFillTint="33"/>
          </w:tcPr>
          <w:p w14:paraId="456D0BA1" w14:textId="77777777" w:rsidR="0065291C" w:rsidRPr="00812C16" w:rsidRDefault="0065291C" w:rsidP="00C957B2">
            <w:pPr>
              <w:spacing w:before="30" w:after="30" w:line="240" w:lineRule="auto"/>
              <w:jc w:val="right"/>
              <w:rPr>
                <w:rFonts w:cs="Arial"/>
                <w:sz w:val="18"/>
                <w:szCs w:val="18"/>
                <w:lang w:eastAsia="de-DE"/>
              </w:rPr>
            </w:pPr>
            <w:r w:rsidRPr="00812C16">
              <w:rPr>
                <w:rFonts w:cs="Arial"/>
                <w:sz w:val="18"/>
                <w:szCs w:val="18"/>
                <w:lang w:eastAsia="de-DE"/>
              </w:rPr>
              <w:t>N=25</w:t>
            </w:r>
          </w:p>
        </w:tc>
      </w:tr>
      <w:tr w:rsidR="0024223E" w:rsidRPr="00812C16" w14:paraId="113E2E23" w14:textId="77777777" w:rsidTr="0024223E">
        <w:tc>
          <w:tcPr>
            <w:tcW w:w="1701" w:type="dxa"/>
            <w:tcBorders>
              <w:top w:val="single" w:sz="4" w:space="0" w:color="000000" w:themeColor="text1"/>
              <w:bottom w:val="nil"/>
              <w:right w:val="nil"/>
            </w:tcBorders>
            <w:tcMar>
              <w:top w:w="75" w:type="dxa"/>
              <w:left w:w="75" w:type="dxa"/>
              <w:bottom w:w="75" w:type="dxa"/>
              <w:right w:w="75" w:type="dxa"/>
            </w:tcMar>
          </w:tcPr>
          <w:p w14:paraId="2BF0EDBE" w14:textId="77777777" w:rsidR="00FE7BB4" w:rsidRPr="00812C16" w:rsidRDefault="00FE7BB4" w:rsidP="00C957B2">
            <w:pPr>
              <w:spacing w:before="30" w:after="30" w:line="240" w:lineRule="auto"/>
              <w:jc w:val="left"/>
              <w:rPr>
                <w:rFonts w:cs="Arial"/>
                <w:sz w:val="18"/>
                <w:szCs w:val="18"/>
                <w:lang w:eastAsia="de-DE"/>
              </w:rPr>
            </w:pPr>
            <w:r w:rsidRPr="00812C16">
              <w:rPr>
                <w:rFonts w:cs="Arial"/>
                <w:sz w:val="18"/>
                <w:szCs w:val="18"/>
                <w:lang w:eastAsia="de-DE"/>
              </w:rPr>
              <w:t>CD44 +</w:t>
            </w:r>
          </w:p>
        </w:tc>
        <w:tc>
          <w:tcPr>
            <w:tcW w:w="1560" w:type="dxa"/>
            <w:tcBorders>
              <w:top w:val="single" w:sz="4" w:space="0" w:color="000000" w:themeColor="text1"/>
              <w:bottom w:val="nil"/>
              <w:right w:val="nil"/>
            </w:tcBorders>
            <w:tcMar>
              <w:top w:w="75" w:type="dxa"/>
              <w:left w:w="75" w:type="dxa"/>
              <w:bottom w:w="75" w:type="dxa"/>
              <w:right w:w="75" w:type="dxa"/>
            </w:tcMar>
          </w:tcPr>
          <w:p w14:paraId="54DD61D2" w14:textId="77777777" w:rsidR="00FE7BB4" w:rsidRPr="00812C16" w:rsidRDefault="000E4D4C" w:rsidP="00C957B2">
            <w:pPr>
              <w:spacing w:before="30" w:after="30" w:line="240" w:lineRule="auto"/>
              <w:jc w:val="right"/>
              <w:rPr>
                <w:rFonts w:cs="Arial"/>
                <w:sz w:val="18"/>
                <w:szCs w:val="18"/>
                <w:lang w:eastAsia="de-DE"/>
              </w:rPr>
            </w:pPr>
            <w:r w:rsidRPr="00812C16">
              <w:rPr>
                <w:rFonts w:cs="Arial"/>
                <w:sz w:val="18"/>
                <w:szCs w:val="18"/>
                <w:lang w:eastAsia="de-DE"/>
              </w:rPr>
              <w:t>116</w:t>
            </w:r>
            <w:r w:rsidR="00F964D0" w:rsidRPr="00812C16">
              <w:rPr>
                <w:rFonts w:cs="Arial"/>
                <w:sz w:val="18"/>
                <w:szCs w:val="18"/>
                <w:lang w:eastAsia="de-DE"/>
              </w:rPr>
              <w:t xml:space="preserve"> (81,1%)</w:t>
            </w:r>
          </w:p>
        </w:tc>
        <w:tc>
          <w:tcPr>
            <w:tcW w:w="1417" w:type="dxa"/>
            <w:tcBorders>
              <w:top w:val="single" w:sz="4" w:space="0" w:color="000000" w:themeColor="text1"/>
              <w:bottom w:val="nil"/>
              <w:right w:val="nil"/>
            </w:tcBorders>
            <w:tcMar>
              <w:top w:w="75" w:type="dxa"/>
              <w:left w:w="75" w:type="dxa"/>
              <w:bottom w:w="75" w:type="dxa"/>
              <w:right w:w="75" w:type="dxa"/>
            </w:tcMar>
          </w:tcPr>
          <w:p w14:paraId="4BFEA049" w14:textId="77777777" w:rsidR="00FE7BB4" w:rsidRPr="00812C16" w:rsidRDefault="00FE7BB4" w:rsidP="00C957B2">
            <w:pPr>
              <w:spacing w:before="30" w:after="30" w:line="240" w:lineRule="auto"/>
              <w:jc w:val="right"/>
              <w:rPr>
                <w:rFonts w:cs="Arial"/>
                <w:sz w:val="18"/>
                <w:szCs w:val="18"/>
                <w:lang w:eastAsia="de-DE"/>
              </w:rPr>
            </w:pPr>
            <w:r w:rsidRPr="00812C16">
              <w:rPr>
                <w:rFonts w:cs="Arial"/>
                <w:sz w:val="18"/>
                <w:szCs w:val="18"/>
                <w:lang w:eastAsia="de-DE"/>
              </w:rPr>
              <w:t>27</w:t>
            </w:r>
            <w:r w:rsidR="00A805BA" w:rsidRPr="00812C16">
              <w:rPr>
                <w:rFonts w:cs="Arial"/>
                <w:sz w:val="18"/>
                <w:szCs w:val="18"/>
                <w:lang w:eastAsia="de-DE"/>
              </w:rPr>
              <w:t xml:space="preserve"> (100,0%)</w:t>
            </w:r>
          </w:p>
        </w:tc>
        <w:tc>
          <w:tcPr>
            <w:tcW w:w="1559" w:type="dxa"/>
            <w:tcBorders>
              <w:top w:val="single" w:sz="4" w:space="0" w:color="000000" w:themeColor="text1"/>
              <w:bottom w:val="nil"/>
              <w:right w:val="nil"/>
            </w:tcBorders>
            <w:tcMar>
              <w:top w:w="75" w:type="dxa"/>
              <w:left w:w="75" w:type="dxa"/>
              <w:bottom w:w="75" w:type="dxa"/>
              <w:right w:w="75" w:type="dxa"/>
            </w:tcMar>
          </w:tcPr>
          <w:p w14:paraId="0257F90C" w14:textId="77777777" w:rsidR="00FE7BB4" w:rsidRPr="00812C16" w:rsidRDefault="00E35393" w:rsidP="00C957B2">
            <w:pPr>
              <w:spacing w:before="30" w:after="30" w:line="240" w:lineRule="auto"/>
              <w:jc w:val="right"/>
              <w:rPr>
                <w:rFonts w:cs="Arial"/>
                <w:sz w:val="18"/>
                <w:szCs w:val="18"/>
                <w:lang w:eastAsia="de-DE"/>
              </w:rPr>
            </w:pPr>
            <w:r w:rsidRPr="00812C16">
              <w:rPr>
                <w:rFonts w:cs="Arial"/>
                <w:sz w:val="18"/>
                <w:szCs w:val="18"/>
                <w:lang w:eastAsia="de-DE"/>
              </w:rPr>
              <w:t>31</w:t>
            </w:r>
            <w:r w:rsidR="00A805BA" w:rsidRPr="00812C16">
              <w:rPr>
                <w:rFonts w:cs="Arial"/>
                <w:sz w:val="18"/>
                <w:szCs w:val="18"/>
                <w:lang w:eastAsia="de-DE"/>
              </w:rPr>
              <w:t xml:space="preserve"> (91,2%)</w:t>
            </w:r>
          </w:p>
        </w:tc>
        <w:tc>
          <w:tcPr>
            <w:tcW w:w="1418" w:type="dxa"/>
            <w:tcBorders>
              <w:top w:val="single" w:sz="4" w:space="0" w:color="000000" w:themeColor="text1"/>
              <w:bottom w:val="nil"/>
              <w:right w:val="nil"/>
            </w:tcBorders>
            <w:tcMar>
              <w:top w:w="75" w:type="dxa"/>
              <w:left w:w="75" w:type="dxa"/>
              <w:bottom w:w="75" w:type="dxa"/>
              <w:right w:w="75" w:type="dxa"/>
            </w:tcMar>
          </w:tcPr>
          <w:p w14:paraId="03FA03C0" w14:textId="77777777" w:rsidR="00FE7BB4" w:rsidRPr="00812C16" w:rsidRDefault="00E35393" w:rsidP="00C957B2">
            <w:pPr>
              <w:spacing w:before="30" w:after="30" w:line="240" w:lineRule="auto"/>
              <w:jc w:val="right"/>
              <w:rPr>
                <w:rFonts w:cs="Arial"/>
                <w:sz w:val="18"/>
                <w:szCs w:val="18"/>
                <w:lang w:eastAsia="de-DE"/>
              </w:rPr>
            </w:pPr>
            <w:r w:rsidRPr="00812C16">
              <w:rPr>
                <w:rFonts w:cs="Arial"/>
                <w:sz w:val="18"/>
                <w:szCs w:val="18"/>
                <w:lang w:eastAsia="de-DE"/>
              </w:rPr>
              <w:t>51</w:t>
            </w:r>
            <w:r w:rsidR="00A805BA" w:rsidRPr="00812C16">
              <w:rPr>
                <w:rFonts w:cs="Arial"/>
                <w:sz w:val="18"/>
                <w:szCs w:val="18"/>
                <w:lang w:eastAsia="de-DE"/>
              </w:rPr>
              <w:t xml:space="preserve"> (89,5%)</w:t>
            </w:r>
          </w:p>
        </w:tc>
        <w:tc>
          <w:tcPr>
            <w:tcW w:w="1417" w:type="dxa"/>
            <w:tcBorders>
              <w:top w:val="single" w:sz="4" w:space="0" w:color="000000" w:themeColor="text1"/>
              <w:bottom w:val="nil"/>
              <w:right w:val="nil"/>
            </w:tcBorders>
          </w:tcPr>
          <w:p w14:paraId="296E8DAF" w14:textId="77777777" w:rsidR="00FE7BB4" w:rsidRPr="00812C16" w:rsidRDefault="00BE248B" w:rsidP="00C957B2">
            <w:pPr>
              <w:spacing w:before="30" w:after="30" w:line="240" w:lineRule="auto"/>
              <w:jc w:val="right"/>
              <w:rPr>
                <w:rFonts w:cs="Arial"/>
                <w:sz w:val="18"/>
                <w:szCs w:val="18"/>
                <w:lang w:eastAsia="de-DE"/>
              </w:rPr>
            </w:pPr>
            <w:r w:rsidRPr="00812C16">
              <w:rPr>
                <w:rFonts w:cs="Arial"/>
                <w:sz w:val="18"/>
                <w:szCs w:val="18"/>
                <w:lang w:eastAsia="de-DE"/>
              </w:rPr>
              <w:t>7</w:t>
            </w:r>
            <w:r w:rsidR="00A805BA" w:rsidRPr="00812C16">
              <w:rPr>
                <w:rFonts w:cs="Arial"/>
                <w:sz w:val="18"/>
                <w:szCs w:val="18"/>
                <w:lang w:eastAsia="de-DE"/>
              </w:rPr>
              <w:t xml:space="preserve"> (</w:t>
            </w:r>
            <w:r w:rsidR="00E84D30" w:rsidRPr="00812C16">
              <w:rPr>
                <w:rFonts w:cs="Arial"/>
                <w:sz w:val="18"/>
                <w:szCs w:val="18"/>
                <w:lang w:eastAsia="de-DE"/>
              </w:rPr>
              <w:t>28,0%)</w:t>
            </w:r>
          </w:p>
        </w:tc>
      </w:tr>
      <w:tr w:rsidR="0024223E" w:rsidRPr="00812C16" w14:paraId="4F8DED8B" w14:textId="77777777" w:rsidTr="0024223E">
        <w:tc>
          <w:tcPr>
            <w:tcW w:w="1701" w:type="dxa"/>
            <w:tcBorders>
              <w:top w:val="nil"/>
              <w:bottom w:val="nil"/>
              <w:right w:val="nil"/>
            </w:tcBorders>
            <w:tcMar>
              <w:top w:w="75" w:type="dxa"/>
              <w:left w:w="75" w:type="dxa"/>
              <w:bottom w:w="75" w:type="dxa"/>
              <w:right w:w="75" w:type="dxa"/>
            </w:tcMar>
          </w:tcPr>
          <w:p w14:paraId="197CA875" w14:textId="77777777" w:rsidR="00FE7BB4" w:rsidRPr="00812C16" w:rsidRDefault="00FE7BB4" w:rsidP="00C957B2">
            <w:pPr>
              <w:spacing w:before="30" w:after="30" w:line="240" w:lineRule="auto"/>
              <w:jc w:val="left"/>
              <w:rPr>
                <w:rFonts w:cs="Arial"/>
                <w:sz w:val="18"/>
                <w:szCs w:val="18"/>
                <w:lang w:eastAsia="de-DE"/>
              </w:rPr>
            </w:pPr>
            <w:r w:rsidRPr="00812C16">
              <w:rPr>
                <w:rFonts w:cs="Arial"/>
                <w:sz w:val="18"/>
                <w:szCs w:val="18"/>
                <w:lang w:eastAsia="de-DE"/>
              </w:rPr>
              <w:t>CD44 -</w:t>
            </w:r>
          </w:p>
        </w:tc>
        <w:tc>
          <w:tcPr>
            <w:tcW w:w="1560" w:type="dxa"/>
            <w:tcBorders>
              <w:top w:val="nil"/>
              <w:bottom w:val="nil"/>
              <w:right w:val="nil"/>
            </w:tcBorders>
            <w:tcMar>
              <w:top w:w="75" w:type="dxa"/>
              <w:left w:w="75" w:type="dxa"/>
              <w:bottom w:w="75" w:type="dxa"/>
              <w:right w:w="75" w:type="dxa"/>
            </w:tcMar>
          </w:tcPr>
          <w:p w14:paraId="5E574105" w14:textId="77777777" w:rsidR="00FE7BB4" w:rsidRPr="00812C16" w:rsidRDefault="000E4D4C" w:rsidP="00C957B2">
            <w:pPr>
              <w:spacing w:before="30" w:after="30" w:line="240" w:lineRule="auto"/>
              <w:jc w:val="right"/>
              <w:rPr>
                <w:rFonts w:cs="Arial"/>
                <w:sz w:val="18"/>
                <w:szCs w:val="18"/>
                <w:lang w:eastAsia="de-DE"/>
              </w:rPr>
            </w:pPr>
            <w:r w:rsidRPr="00812C16">
              <w:rPr>
                <w:rFonts w:cs="Arial"/>
                <w:sz w:val="18"/>
                <w:szCs w:val="18"/>
                <w:lang w:eastAsia="de-DE"/>
              </w:rPr>
              <w:t>14</w:t>
            </w:r>
            <w:r w:rsidR="00F964D0" w:rsidRPr="00812C16">
              <w:rPr>
                <w:rFonts w:cs="Arial"/>
                <w:sz w:val="18"/>
                <w:szCs w:val="18"/>
                <w:lang w:eastAsia="de-DE"/>
              </w:rPr>
              <w:t xml:space="preserve"> (9,8%)</w:t>
            </w:r>
          </w:p>
        </w:tc>
        <w:tc>
          <w:tcPr>
            <w:tcW w:w="1417" w:type="dxa"/>
            <w:tcBorders>
              <w:top w:val="nil"/>
              <w:bottom w:val="nil"/>
              <w:right w:val="nil"/>
            </w:tcBorders>
            <w:tcMar>
              <w:top w:w="75" w:type="dxa"/>
              <w:left w:w="75" w:type="dxa"/>
              <w:bottom w:w="75" w:type="dxa"/>
              <w:right w:w="75" w:type="dxa"/>
            </w:tcMar>
          </w:tcPr>
          <w:p w14:paraId="54663AF6" w14:textId="77777777" w:rsidR="00FE7BB4" w:rsidRPr="00812C16" w:rsidRDefault="00FE7BB4" w:rsidP="00C957B2">
            <w:pPr>
              <w:spacing w:before="30" w:after="30" w:line="240" w:lineRule="auto"/>
              <w:jc w:val="right"/>
              <w:rPr>
                <w:rFonts w:cs="Arial"/>
                <w:sz w:val="18"/>
                <w:szCs w:val="18"/>
                <w:lang w:eastAsia="de-DE"/>
              </w:rPr>
            </w:pPr>
            <w:r w:rsidRPr="00812C16">
              <w:rPr>
                <w:rFonts w:cs="Arial"/>
                <w:sz w:val="18"/>
                <w:szCs w:val="18"/>
                <w:lang w:eastAsia="de-DE"/>
              </w:rPr>
              <w:t>0</w:t>
            </w:r>
            <w:r w:rsidR="00A805BA" w:rsidRPr="00812C16">
              <w:rPr>
                <w:rFonts w:cs="Arial"/>
                <w:sz w:val="18"/>
                <w:szCs w:val="18"/>
                <w:lang w:eastAsia="de-DE"/>
              </w:rPr>
              <w:t xml:space="preserve"> (0,0%)</w:t>
            </w:r>
          </w:p>
        </w:tc>
        <w:tc>
          <w:tcPr>
            <w:tcW w:w="1559" w:type="dxa"/>
            <w:tcBorders>
              <w:top w:val="nil"/>
              <w:bottom w:val="nil"/>
              <w:right w:val="nil"/>
            </w:tcBorders>
            <w:tcMar>
              <w:top w:w="75" w:type="dxa"/>
              <w:left w:w="75" w:type="dxa"/>
              <w:bottom w:w="75" w:type="dxa"/>
              <w:right w:w="75" w:type="dxa"/>
            </w:tcMar>
          </w:tcPr>
          <w:p w14:paraId="70F0E54D" w14:textId="77777777" w:rsidR="00FE7BB4" w:rsidRPr="00812C16" w:rsidRDefault="00E35393" w:rsidP="00C957B2">
            <w:pPr>
              <w:spacing w:before="30" w:after="30" w:line="240" w:lineRule="auto"/>
              <w:jc w:val="right"/>
              <w:rPr>
                <w:rFonts w:cs="Arial"/>
                <w:sz w:val="18"/>
                <w:szCs w:val="18"/>
                <w:lang w:eastAsia="de-DE"/>
              </w:rPr>
            </w:pPr>
            <w:r w:rsidRPr="00812C16">
              <w:rPr>
                <w:rFonts w:cs="Arial"/>
                <w:sz w:val="18"/>
                <w:szCs w:val="18"/>
                <w:lang w:eastAsia="de-DE"/>
              </w:rPr>
              <w:t>2</w:t>
            </w:r>
            <w:r w:rsidR="00A805BA" w:rsidRPr="00812C16">
              <w:rPr>
                <w:rFonts w:cs="Arial"/>
                <w:sz w:val="18"/>
                <w:szCs w:val="18"/>
                <w:lang w:eastAsia="de-DE"/>
              </w:rPr>
              <w:t xml:space="preserve"> (5,9%)</w:t>
            </w:r>
          </w:p>
        </w:tc>
        <w:tc>
          <w:tcPr>
            <w:tcW w:w="1418" w:type="dxa"/>
            <w:tcBorders>
              <w:top w:val="nil"/>
              <w:bottom w:val="nil"/>
              <w:right w:val="nil"/>
            </w:tcBorders>
            <w:tcMar>
              <w:top w:w="75" w:type="dxa"/>
              <w:left w:w="75" w:type="dxa"/>
              <w:bottom w:w="75" w:type="dxa"/>
              <w:right w:w="75" w:type="dxa"/>
            </w:tcMar>
          </w:tcPr>
          <w:p w14:paraId="6499B76D" w14:textId="77777777" w:rsidR="00FE7BB4" w:rsidRPr="00812C16" w:rsidRDefault="00E35393" w:rsidP="00C957B2">
            <w:pPr>
              <w:spacing w:before="30" w:after="30" w:line="240" w:lineRule="auto"/>
              <w:jc w:val="right"/>
              <w:rPr>
                <w:rFonts w:cs="Arial"/>
                <w:sz w:val="18"/>
                <w:szCs w:val="18"/>
                <w:lang w:eastAsia="de-DE"/>
              </w:rPr>
            </w:pPr>
            <w:r w:rsidRPr="00812C16">
              <w:rPr>
                <w:rFonts w:cs="Arial"/>
                <w:sz w:val="18"/>
                <w:szCs w:val="18"/>
                <w:lang w:eastAsia="de-DE"/>
              </w:rPr>
              <w:t>5</w:t>
            </w:r>
            <w:r w:rsidR="00A805BA" w:rsidRPr="00812C16">
              <w:rPr>
                <w:rFonts w:cs="Arial"/>
                <w:sz w:val="18"/>
                <w:szCs w:val="18"/>
                <w:lang w:eastAsia="de-DE"/>
              </w:rPr>
              <w:t xml:space="preserve"> (8.8%)</w:t>
            </w:r>
          </w:p>
        </w:tc>
        <w:tc>
          <w:tcPr>
            <w:tcW w:w="1417" w:type="dxa"/>
            <w:tcBorders>
              <w:top w:val="nil"/>
              <w:bottom w:val="nil"/>
              <w:right w:val="nil"/>
            </w:tcBorders>
          </w:tcPr>
          <w:p w14:paraId="781EC58F" w14:textId="77777777" w:rsidR="00FE7BB4" w:rsidRPr="00812C16" w:rsidRDefault="00BE248B" w:rsidP="00C957B2">
            <w:pPr>
              <w:spacing w:before="30" w:after="30" w:line="240" w:lineRule="auto"/>
              <w:jc w:val="right"/>
              <w:rPr>
                <w:rFonts w:cs="Arial"/>
                <w:sz w:val="18"/>
                <w:szCs w:val="18"/>
                <w:lang w:eastAsia="de-DE"/>
              </w:rPr>
            </w:pPr>
            <w:r w:rsidRPr="00812C16">
              <w:rPr>
                <w:rFonts w:cs="Arial"/>
                <w:sz w:val="18"/>
                <w:szCs w:val="18"/>
                <w:lang w:eastAsia="de-DE"/>
              </w:rPr>
              <w:t>7</w:t>
            </w:r>
            <w:r w:rsidR="00E84D30" w:rsidRPr="00812C16">
              <w:rPr>
                <w:rFonts w:cs="Arial"/>
                <w:sz w:val="18"/>
                <w:szCs w:val="18"/>
                <w:lang w:eastAsia="de-DE"/>
              </w:rPr>
              <w:t xml:space="preserve"> (28,0%)</w:t>
            </w:r>
          </w:p>
        </w:tc>
      </w:tr>
      <w:tr w:rsidR="006451FD" w:rsidRPr="00812C16" w14:paraId="1D6F67AE" w14:textId="77777777" w:rsidTr="0024223E">
        <w:tc>
          <w:tcPr>
            <w:tcW w:w="1701" w:type="dxa"/>
            <w:tcBorders>
              <w:top w:val="nil"/>
              <w:bottom w:val="single" w:sz="4" w:space="0" w:color="000000" w:themeColor="text1"/>
              <w:right w:val="nil"/>
            </w:tcBorders>
            <w:tcMar>
              <w:top w:w="75" w:type="dxa"/>
              <w:left w:w="75" w:type="dxa"/>
              <w:bottom w:w="75" w:type="dxa"/>
              <w:right w:w="75" w:type="dxa"/>
            </w:tcMar>
          </w:tcPr>
          <w:p w14:paraId="12DECB3C" w14:textId="77777777" w:rsidR="00FE7BB4" w:rsidRPr="00812C16" w:rsidRDefault="00FE7BB4" w:rsidP="00C957B2">
            <w:pPr>
              <w:spacing w:before="30" w:after="30" w:line="240" w:lineRule="auto"/>
              <w:jc w:val="left"/>
              <w:rPr>
                <w:rFonts w:cs="Arial"/>
                <w:sz w:val="18"/>
                <w:szCs w:val="18"/>
                <w:lang w:eastAsia="de-DE"/>
              </w:rPr>
            </w:pPr>
            <w:r w:rsidRPr="00812C16">
              <w:rPr>
                <w:rFonts w:cs="Arial"/>
                <w:sz w:val="18"/>
                <w:szCs w:val="18"/>
                <w:lang w:eastAsia="de-DE"/>
              </w:rPr>
              <w:t>Fehlend</w:t>
            </w:r>
          </w:p>
        </w:tc>
        <w:tc>
          <w:tcPr>
            <w:tcW w:w="1560" w:type="dxa"/>
            <w:tcBorders>
              <w:top w:val="nil"/>
              <w:bottom w:val="single" w:sz="4" w:space="0" w:color="000000" w:themeColor="text1"/>
              <w:right w:val="nil"/>
            </w:tcBorders>
            <w:tcMar>
              <w:top w:w="75" w:type="dxa"/>
              <w:left w:w="75" w:type="dxa"/>
              <w:bottom w:w="75" w:type="dxa"/>
              <w:right w:w="75" w:type="dxa"/>
            </w:tcMar>
          </w:tcPr>
          <w:p w14:paraId="08277931" w14:textId="77777777" w:rsidR="00FE7BB4" w:rsidRPr="00812C16" w:rsidRDefault="000E4D4C" w:rsidP="00C957B2">
            <w:pPr>
              <w:spacing w:before="30" w:after="30" w:line="240" w:lineRule="auto"/>
              <w:jc w:val="right"/>
              <w:rPr>
                <w:rFonts w:cs="Arial"/>
                <w:sz w:val="18"/>
                <w:szCs w:val="18"/>
                <w:lang w:eastAsia="de-DE"/>
              </w:rPr>
            </w:pPr>
            <w:r w:rsidRPr="00812C16">
              <w:rPr>
                <w:rFonts w:cs="Arial"/>
                <w:sz w:val="18"/>
                <w:szCs w:val="18"/>
                <w:lang w:eastAsia="de-DE"/>
              </w:rPr>
              <w:t>13</w:t>
            </w:r>
            <w:r w:rsidR="00A805BA" w:rsidRPr="00812C16">
              <w:rPr>
                <w:rFonts w:cs="Arial"/>
                <w:sz w:val="18"/>
                <w:szCs w:val="18"/>
                <w:lang w:eastAsia="de-DE"/>
              </w:rPr>
              <w:t xml:space="preserve"> (9,1%)</w:t>
            </w:r>
          </w:p>
        </w:tc>
        <w:tc>
          <w:tcPr>
            <w:tcW w:w="1417" w:type="dxa"/>
            <w:tcBorders>
              <w:top w:val="nil"/>
              <w:bottom w:val="single" w:sz="4" w:space="0" w:color="000000" w:themeColor="text1"/>
              <w:right w:val="nil"/>
            </w:tcBorders>
            <w:tcMar>
              <w:top w:w="75" w:type="dxa"/>
              <w:left w:w="75" w:type="dxa"/>
              <w:bottom w:w="75" w:type="dxa"/>
              <w:right w:w="75" w:type="dxa"/>
            </w:tcMar>
          </w:tcPr>
          <w:p w14:paraId="6D610FB6" w14:textId="77777777" w:rsidR="00FE7BB4" w:rsidRPr="00812C16" w:rsidRDefault="00E35393" w:rsidP="00C957B2">
            <w:pPr>
              <w:spacing w:before="30" w:after="30" w:line="240" w:lineRule="auto"/>
              <w:jc w:val="right"/>
              <w:rPr>
                <w:rFonts w:cs="Arial"/>
                <w:sz w:val="18"/>
                <w:szCs w:val="18"/>
                <w:lang w:eastAsia="de-DE"/>
              </w:rPr>
            </w:pPr>
            <w:r w:rsidRPr="00812C16">
              <w:rPr>
                <w:rFonts w:cs="Arial"/>
                <w:sz w:val="18"/>
                <w:szCs w:val="18"/>
                <w:lang w:eastAsia="de-DE"/>
              </w:rPr>
              <w:t>0</w:t>
            </w:r>
            <w:r w:rsidR="00A805BA" w:rsidRPr="00812C16">
              <w:rPr>
                <w:rFonts w:cs="Arial"/>
                <w:sz w:val="18"/>
                <w:szCs w:val="18"/>
                <w:lang w:eastAsia="de-DE"/>
              </w:rPr>
              <w:t xml:space="preserve"> (0,0%)</w:t>
            </w:r>
          </w:p>
        </w:tc>
        <w:tc>
          <w:tcPr>
            <w:tcW w:w="1559" w:type="dxa"/>
            <w:tcBorders>
              <w:top w:val="nil"/>
              <w:bottom w:val="single" w:sz="4" w:space="0" w:color="000000" w:themeColor="text1"/>
              <w:right w:val="nil"/>
            </w:tcBorders>
            <w:tcMar>
              <w:top w:w="75" w:type="dxa"/>
              <w:left w:w="75" w:type="dxa"/>
              <w:bottom w:w="75" w:type="dxa"/>
              <w:right w:w="75" w:type="dxa"/>
            </w:tcMar>
          </w:tcPr>
          <w:p w14:paraId="3FA49AD3" w14:textId="77777777" w:rsidR="00FE7BB4" w:rsidRPr="00812C16" w:rsidRDefault="00E35393" w:rsidP="00C957B2">
            <w:pPr>
              <w:spacing w:before="30" w:after="30" w:line="240" w:lineRule="auto"/>
              <w:jc w:val="right"/>
              <w:rPr>
                <w:rFonts w:cs="Arial"/>
                <w:sz w:val="18"/>
                <w:szCs w:val="18"/>
                <w:lang w:eastAsia="de-DE"/>
              </w:rPr>
            </w:pPr>
            <w:r w:rsidRPr="00812C16">
              <w:rPr>
                <w:rFonts w:cs="Arial"/>
                <w:sz w:val="18"/>
                <w:szCs w:val="18"/>
                <w:lang w:eastAsia="de-DE"/>
              </w:rPr>
              <w:t>1</w:t>
            </w:r>
            <w:r w:rsidR="00A805BA" w:rsidRPr="00812C16">
              <w:rPr>
                <w:rFonts w:cs="Arial"/>
                <w:sz w:val="18"/>
                <w:szCs w:val="18"/>
                <w:lang w:eastAsia="de-DE"/>
              </w:rPr>
              <w:t xml:space="preserve"> (2,9%)</w:t>
            </w:r>
          </w:p>
        </w:tc>
        <w:tc>
          <w:tcPr>
            <w:tcW w:w="1418" w:type="dxa"/>
            <w:tcBorders>
              <w:top w:val="nil"/>
              <w:bottom w:val="single" w:sz="4" w:space="0" w:color="000000" w:themeColor="text1"/>
              <w:right w:val="nil"/>
            </w:tcBorders>
            <w:tcMar>
              <w:top w:w="75" w:type="dxa"/>
              <w:left w:w="75" w:type="dxa"/>
              <w:bottom w:w="75" w:type="dxa"/>
              <w:right w:w="75" w:type="dxa"/>
            </w:tcMar>
          </w:tcPr>
          <w:p w14:paraId="28D46519" w14:textId="77777777" w:rsidR="00FE7BB4" w:rsidRPr="00812C16" w:rsidRDefault="00E35393" w:rsidP="00C957B2">
            <w:pPr>
              <w:spacing w:before="30" w:after="30" w:line="240" w:lineRule="auto"/>
              <w:ind w:hanging="24"/>
              <w:jc w:val="right"/>
              <w:rPr>
                <w:rFonts w:cs="Arial"/>
                <w:sz w:val="18"/>
                <w:szCs w:val="18"/>
                <w:lang w:eastAsia="de-DE"/>
              </w:rPr>
            </w:pPr>
            <w:r w:rsidRPr="00812C16">
              <w:rPr>
                <w:rFonts w:cs="Arial"/>
                <w:sz w:val="18"/>
                <w:szCs w:val="18"/>
                <w:lang w:eastAsia="de-DE"/>
              </w:rPr>
              <w:t>1</w:t>
            </w:r>
            <w:r w:rsidR="00A805BA" w:rsidRPr="00812C16">
              <w:rPr>
                <w:rFonts w:cs="Arial"/>
                <w:sz w:val="18"/>
                <w:szCs w:val="18"/>
                <w:lang w:eastAsia="de-DE"/>
              </w:rPr>
              <w:t xml:space="preserve"> (1,7%)</w:t>
            </w:r>
          </w:p>
        </w:tc>
        <w:tc>
          <w:tcPr>
            <w:tcW w:w="1417" w:type="dxa"/>
            <w:tcBorders>
              <w:top w:val="nil"/>
              <w:bottom w:val="single" w:sz="4" w:space="0" w:color="000000" w:themeColor="text1"/>
              <w:right w:val="nil"/>
            </w:tcBorders>
          </w:tcPr>
          <w:p w14:paraId="77373EC1" w14:textId="77777777" w:rsidR="00FE7BB4" w:rsidRPr="00812C16" w:rsidRDefault="00BE248B" w:rsidP="00C957B2">
            <w:pPr>
              <w:spacing w:before="30" w:after="30" w:line="240" w:lineRule="auto"/>
              <w:jc w:val="right"/>
              <w:rPr>
                <w:rFonts w:cs="Arial"/>
                <w:sz w:val="18"/>
                <w:szCs w:val="18"/>
                <w:lang w:eastAsia="de-DE"/>
              </w:rPr>
            </w:pPr>
            <w:r w:rsidRPr="00812C16">
              <w:rPr>
                <w:rFonts w:cs="Arial"/>
                <w:sz w:val="18"/>
                <w:szCs w:val="18"/>
                <w:lang w:eastAsia="de-DE"/>
              </w:rPr>
              <w:t>11</w:t>
            </w:r>
            <w:r w:rsidR="00E84D30" w:rsidRPr="00812C16">
              <w:rPr>
                <w:rFonts w:cs="Arial"/>
                <w:sz w:val="18"/>
                <w:szCs w:val="18"/>
                <w:lang w:eastAsia="de-DE"/>
              </w:rPr>
              <w:t xml:space="preserve"> (4,0%)</w:t>
            </w:r>
          </w:p>
        </w:tc>
      </w:tr>
      <w:tr w:rsidR="0024223E" w:rsidRPr="00812C16" w14:paraId="258AB254" w14:textId="77777777" w:rsidTr="00E10DBC">
        <w:trPr>
          <w:trHeight w:val="25"/>
        </w:trPr>
        <w:tc>
          <w:tcPr>
            <w:tcW w:w="1701" w:type="dxa"/>
            <w:tcBorders>
              <w:top w:val="nil"/>
              <w:bottom w:val="single" w:sz="4" w:space="0" w:color="000000" w:themeColor="text1"/>
              <w:right w:val="nil"/>
            </w:tcBorders>
            <w:shd w:val="clear" w:color="auto" w:fill="D9E2F3" w:themeFill="accent1" w:themeFillTint="33"/>
            <w:tcMar>
              <w:top w:w="75" w:type="dxa"/>
              <w:left w:w="75" w:type="dxa"/>
              <w:bottom w:w="75" w:type="dxa"/>
              <w:right w:w="75" w:type="dxa"/>
            </w:tcMar>
          </w:tcPr>
          <w:p w14:paraId="55E93189" w14:textId="77777777" w:rsidR="0065291C" w:rsidRPr="00812C16" w:rsidRDefault="0065291C" w:rsidP="00C957B2">
            <w:pPr>
              <w:spacing w:before="30" w:after="30" w:line="240" w:lineRule="auto"/>
              <w:jc w:val="left"/>
              <w:rPr>
                <w:rFonts w:cs="Arial"/>
                <w:b/>
                <w:bCs/>
                <w:sz w:val="18"/>
                <w:szCs w:val="18"/>
                <w:lang w:eastAsia="de-DE"/>
              </w:rPr>
            </w:pPr>
            <w:r w:rsidRPr="00812C16">
              <w:rPr>
                <w:rFonts w:cs="Arial"/>
                <w:b/>
                <w:bCs/>
                <w:sz w:val="18"/>
                <w:szCs w:val="18"/>
                <w:lang w:eastAsia="de-DE"/>
              </w:rPr>
              <w:t>HPV16 DNA+</w:t>
            </w:r>
          </w:p>
        </w:tc>
        <w:tc>
          <w:tcPr>
            <w:tcW w:w="1560" w:type="dxa"/>
            <w:tcBorders>
              <w:top w:val="nil"/>
              <w:bottom w:val="single" w:sz="4" w:space="0" w:color="000000" w:themeColor="text1"/>
              <w:right w:val="nil"/>
            </w:tcBorders>
            <w:shd w:val="clear" w:color="auto" w:fill="D9E2F3" w:themeFill="accent1" w:themeFillTint="33"/>
            <w:tcMar>
              <w:top w:w="75" w:type="dxa"/>
              <w:left w:w="75" w:type="dxa"/>
              <w:bottom w:w="75" w:type="dxa"/>
              <w:right w:w="75" w:type="dxa"/>
            </w:tcMar>
          </w:tcPr>
          <w:p w14:paraId="6E1E3EDE" w14:textId="77777777" w:rsidR="0065291C" w:rsidRPr="00812C16" w:rsidRDefault="0065291C" w:rsidP="00C957B2">
            <w:pPr>
              <w:spacing w:before="30" w:after="30" w:line="240" w:lineRule="auto"/>
              <w:jc w:val="right"/>
              <w:rPr>
                <w:rFonts w:cs="Arial"/>
                <w:sz w:val="18"/>
                <w:szCs w:val="18"/>
                <w:lang w:eastAsia="de-DE"/>
              </w:rPr>
            </w:pPr>
            <w:r w:rsidRPr="00812C16">
              <w:rPr>
                <w:rFonts w:cs="Arial"/>
                <w:sz w:val="18"/>
                <w:szCs w:val="18"/>
                <w:lang w:eastAsia="de-DE"/>
              </w:rPr>
              <w:t>N=72</w:t>
            </w:r>
          </w:p>
        </w:tc>
        <w:tc>
          <w:tcPr>
            <w:tcW w:w="1417" w:type="dxa"/>
            <w:tcBorders>
              <w:top w:val="nil"/>
              <w:bottom w:val="single" w:sz="4" w:space="0" w:color="000000" w:themeColor="text1"/>
              <w:right w:val="nil"/>
            </w:tcBorders>
            <w:shd w:val="clear" w:color="auto" w:fill="D9E2F3" w:themeFill="accent1" w:themeFillTint="33"/>
            <w:tcMar>
              <w:top w:w="75" w:type="dxa"/>
              <w:left w:w="75" w:type="dxa"/>
              <w:bottom w:w="75" w:type="dxa"/>
              <w:right w:w="75" w:type="dxa"/>
            </w:tcMar>
          </w:tcPr>
          <w:p w14:paraId="195EAC48" w14:textId="77777777" w:rsidR="0065291C" w:rsidRPr="00812C16" w:rsidRDefault="0065291C" w:rsidP="00C957B2">
            <w:pPr>
              <w:spacing w:before="30" w:after="30" w:line="240" w:lineRule="auto"/>
              <w:jc w:val="right"/>
              <w:rPr>
                <w:rFonts w:cs="Arial"/>
                <w:sz w:val="18"/>
                <w:szCs w:val="18"/>
                <w:lang w:eastAsia="de-DE"/>
              </w:rPr>
            </w:pPr>
            <w:r w:rsidRPr="00812C16">
              <w:rPr>
                <w:rFonts w:cs="Arial"/>
                <w:sz w:val="18"/>
                <w:szCs w:val="18"/>
                <w:lang w:eastAsia="de-DE"/>
              </w:rPr>
              <w:t>N=2</w:t>
            </w:r>
          </w:p>
        </w:tc>
        <w:tc>
          <w:tcPr>
            <w:tcW w:w="1559" w:type="dxa"/>
            <w:tcBorders>
              <w:top w:val="nil"/>
              <w:bottom w:val="single" w:sz="4" w:space="0" w:color="000000" w:themeColor="text1"/>
              <w:right w:val="nil"/>
            </w:tcBorders>
            <w:shd w:val="clear" w:color="auto" w:fill="D9E2F3" w:themeFill="accent1" w:themeFillTint="33"/>
            <w:tcMar>
              <w:top w:w="75" w:type="dxa"/>
              <w:left w:w="75" w:type="dxa"/>
              <w:bottom w:w="75" w:type="dxa"/>
              <w:right w:w="75" w:type="dxa"/>
            </w:tcMar>
          </w:tcPr>
          <w:p w14:paraId="600413B5" w14:textId="77777777" w:rsidR="0065291C" w:rsidRPr="00812C16" w:rsidRDefault="0065291C" w:rsidP="00C957B2">
            <w:pPr>
              <w:spacing w:before="30" w:after="30" w:line="240" w:lineRule="auto"/>
              <w:jc w:val="right"/>
              <w:rPr>
                <w:rFonts w:cs="Arial"/>
                <w:sz w:val="18"/>
                <w:szCs w:val="18"/>
                <w:lang w:eastAsia="de-DE"/>
              </w:rPr>
            </w:pPr>
            <w:r w:rsidRPr="00812C16">
              <w:rPr>
                <w:rFonts w:cs="Arial"/>
                <w:sz w:val="18"/>
                <w:szCs w:val="18"/>
                <w:lang w:eastAsia="de-DE"/>
              </w:rPr>
              <w:t>N=7</w:t>
            </w:r>
          </w:p>
        </w:tc>
        <w:tc>
          <w:tcPr>
            <w:tcW w:w="1418" w:type="dxa"/>
            <w:tcBorders>
              <w:top w:val="nil"/>
              <w:bottom w:val="single" w:sz="4" w:space="0" w:color="000000" w:themeColor="text1"/>
              <w:right w:val="nil"/>
            </w:tcBorders>
            <w:shd w:val="clear" w:color="auto" w:fill="D9E2F3" w:themeFill="accent1" w:themeFillTint="33"/>
            <w:tcMar>
              <w:top w:w="75" w:type="dxa"/>
              <w:left w:w="75" w:type="dxa"/>
              <w:bottom w:w="75" w:type="dxa"/>
              <w:right w:w="75" w:type="dxa"/>
            </w:tcMar>
          </w:tcPr>
          <w:p w14:paraId="1774E085" w14:textId="77777777" w:rsidR="0065291C" w:rsidRPr="00812C16" w:rsidRDefault="0065291C" w:rsidP="00C957B2">
            <w:pPr>
              <w:spacing w:before="30" w:after="30" w:line="240" w:lineRule="auto"/>
              <w:ind w:hanging="24"/>
              <w:jc w:val="right"/>
              <w:rPr>
                <w:rFonts w:cs="Arial"/>
                <w:sz w:val="18"/>
                <w:szCs w:val="18"/>
                <w:lang w:eastAsia="de-DE"/>
              </w:rPr>
            </w:pPr>
            <w:r w:rsidRPr="00812C16">
              <w:rPr>
                <w:rFonts w:cs="Arial"/>
                <w:sz w:val="18"/>
                <w:szCs w:val="18"/>
                <w:lang w:eastAsia="de-DE"/>
              </w:rPr>
              <w:t>N=11</w:t>
            </w:r>
          </w:p>
        </w:tc>
        <w:tc>
          <w:tcPr>
            <w:tcW w:w="1417" w:type="dxa"/>
            <w:tcBorders>
              <w:top w:val="nil"/>
              <w:bottom w:val="single" w:sz="4" w:space="0" w:color="000000" w:themeColor="text1"/>
              <w:right w:val="nil"/>
            </w:tcBorders>
            <w:shd w:val="clear" w:color="auto" w:fill="D9E2F3" w:themeFill="accent1" w:themeFillTint="33"/>
          </w:tcPr>
          <w:p w14:paraId="79D61904" w14:textId="77777777" w:rsidR="0065291C" w:rsidRPr="00812C16" w:rsidRDefault="0065291C" w:rsidP="00C957B2">
            <w:pPr>
              <w:spacing w:before="30" w:after="30" w:line="240" w:lineRule="auto"/>
              <w:jc w:val="right"/>
              <w:rPr>
                <w:rFonts w:cs="Arial"/>
                <w:sz w:val="18"/>
                <w:szCs w:val="18"/>
                <w:lang w:eastAsia="de-DE"/>
              </w:rPr>
            </w:pPr>
            <w:r w:rsidRPr="00812C16">
              <w:rPr>
                <w:rFonts w:cs="Arial"/>
                <w:sz w:val="18"/>
                <w:szCs w:val="18"/>
                <w:lang w:eastAsia="de-DE"/>
              </w:rPr>
              <w:t>N=52</w:t>
            </w:r>
          </w:p>
        </w:tc>
      </w:tr>
      <w:tr w:rsidR="006451FD" w:rsidRPr="00812C16" w14:paraId="5436726B" w14:textId="77777777" w:rsidTr="0024223E">
        <w:tc>
          <w:tcPr>
            <w:tcW w:w="1701" w:type="dxa"/>
            <w:tcBorders>
              <w:top w:val="single" w:sz="4" w:space="0" w:color="000000" w:themeColor="text1"/>
              <w:bottom w:val="nil"/>
              <w:right w:val="nil"/>
            </w:tcBorders>
            <w:tcMar>
              <w:top w:w="75" w:type="dxa"/>
              <w:left w:w="75" w:type="dxa"/>
              <w:bottom w:w="75" w:type="dxa"/>
              <w:right w:w="75" w:type="dxa"/>
            </w:tcMar>
          </w:tcPr>
          <w:p w14:paraId="54E80E5D" w14:textId="77777777" w:rsidR="00BE248B" w:rsidRPr="00812C16" w:rsidRDefault="00BE248B" w:rsidP="00C957B2">
            <w:pPr>
              <w:spacing w:before="30" w:after="30" w:line="240" w:lineRule="auto"/>
              <w:jc w:val="left"/>
              <w:rPr>
                <w:rFonts w:cs="Arial"/>
                <w:sz w:val="18"/>
                <w:szCs w:val="18"/>
                <w:lang w:eastAsia="de-DE"/>
              </w:rPr>
            </w:pPr>
            <w:r w:rsidRPr="00812C16">
              <w:rPr>
                <w:rFonts w:cs="Arial"/>
                <w:sz w:val="18"/>
                <w:szCs w:val="18"/>
                <w:lang w:eastAsia="de-DE"/>
              </w:rPr>
              <w:t>CD44 +</w:t>
            </w:r>
          </w:p>
        </w:tc>
        <w:tc>
          <w:tcPr>
            <w:tcW w:w="1560" w:type="dxa"/>
            <w:tcBorders>
              <w:top w:val="single" w:sz="4" w:space="0" w:color="000000" w:themeColor="text1"/>
              <w:bottom w:val="nil"/>
              <w:right w:val="nil"/>
            </w:tcBorders>
            <w:tcMar>
              <w:top w:w="75" w:type="dxa"/>
              <w:left w:w="75" w:type="dxa"/>
              <w:bottom w:w="75" w:type="dxa"/>
              <w:right w:w="75" w:type="dxa"/>
            </w:tcMar>
          </w:tcPr>
          <w:p w14:paraId="657BFB6C" w14:textId="77777777" w:rsidR="00BE248B" w:rsidRPr="00812C16" w:rsidRDefault="00D5755D" w:rsidP="00C957B2">
            <w:pPr>
              <w:spacing w:before="30" w:after="30" w:line="240" w:lineRule="auto"/>
              <w:jc w:val="right"/>
              <w:rPr>
                <w:rFonts w:cs="Arial"/>
                <w:sz w:val="18"/>
                <w:szCs w:val="18"/>
                <w:lang w:eastAsia="de-DE"/>
              </w:rPr>
            </w:pPr>
            <w:r w:rsidRPr="00812C16">
              <w:rPr>
                <w:rFonts w:cs="Arial"/>
                <w:sz w:val="18"/>
                <w:szCs w:val="18"/>
                <w:lang w:eastAsia="de-DE"/>
              </w:rPr>
              <w:t>35</w:t>
            </w:r>
            <w:r w:rsidR="00B50AD1" w:rsidRPr="00812C16">
              <w:rPr>
                <w:rFonts w:cs="Arial"/>
                <w:sz w:val="18"/>
                <w:szCs w:val="18"/>
                <w:lang w:eastAsia="de-DE"/>
              </w:rPr>
              <w:t xml:space="preserve"> (48,6%)</w:t>
            </w:r>
          </w:p>
        </w:tc>
        <w:tc>
          <w:tcPr>
            <w:tcW w:w="1417" w:type="dxa"/>
            <w:tcBorders>
              <w:top w:val="single" w:sz="4" w:space="0" w:color="000000" w:themeColor="text1"/>
              <w:bottom w:val="nil"/>
              <w:right w:val="nil"/>
            </w:tcBorders>
            <w:tcMar>
              <w:top w:w="75" w:type="dxa"/>
              <w:left w:w="75" w:type="dxa"/>
              <w:bottom w:w="75" w:type="dxa"/>
              <w:right w:w="75" w:type="dxa"/>
            </w:tcMar>
          </w:tcPr>
          <w:p w14:paraId="60693ED1" w14:textId="77777777" w:rsidR="00BE248B" w:rsidRPr="00812C16" w:rsidRDefault="00D5755D" w:rsidP="00C957B2">
            <w:pPr>
              <w:spacing w:before="30" w:after="30" w:line="240" w:lineRule="auto"/>
              <w:jc w:val="right"/>
              <w:rPr>
                <w:rFonts w:cs="Arial"/>
                <w:sz w:val="18"/>
                <w:szCs w:val="18"/>
                <w:lang w:eastAsia="de-DE"/>
              </w:rPr>
            </w:pPr>
            <w:r w:rsidRPr="00812C16">
              <w:rPr>
                <w:rFonts w:cs="Arial"/>
                <w:sz w:val="18"/>
                <w:szCs w:val="18"/>
                <w:lang w:eastAsia="de-DE"/>
              </w:rPr>
              <w:t>1</w:t>
            </w:r>
            <w:r w:rsidR="00B50AD1" w:rsidRPr="00812C16">
              <w:rPr>
                <w:rFonts w:cs="Arial"/>
                <w:sz w:val="18"/>
                <w:szCs w:val="18"/>
                <w:lang w:eastAsia="de-DE"/>
              </w:rPr>
              <w:t xml:space="preserve"> (50,0%)</w:t>
            </w:r>
          </w:p>
        </w:tc>
        <w:tc>
          <w:tcPr>
            <w:tcW w:w="1559" w:type="dxa"/>
            <w:tcBorders>
              <w:top w:val="single" w:sz="4" w:space="0" w:color="000000" w:themeColor="text1"/>
              <w:bottom w:val="nil"/>
              <w:right w:val="nil"/>
            </w:tcBorders>
            <w:tcMar>
              <w:top w:w="75" w:type="dxa"/>
              <w:left w:w="75" w:type="dxa"/>
              <w:bottom w:w="75" w:type="dxa"/>
              <w:right w:w="75" w:type="dxa"/>
            </w:tcMar>
          </w:tcPr>
          <w:p w14:paraId="409BB6EF" w14:textId="77777777" w:rsidR="00BE248B" w:rsidRPr="00812C16" w:rsidRDefault="00D5755D" w:rsidP="00C957B2">
            <w:pPr>
              <w:spacing w:before="30" w:after="30" w:line="240" w:lineRule="auto"/>
              <w:jc w:val="right"/>
              <w:rPr>
                <w:rFonts w:cs="Arial"/>
                <w:sz w:val="18"/>
                <w:szCs w:val="18"/>
                <w:lang w:eastAsia="de-DE"/>
              </w:rPr>
            </w:pPr>
            <w:r w:rsidRPr="00812C16">
              <w:rPr>
                <w:rFonts w:cs="Arial"/>
                <w:sz w:val="18"/>
                <w:szCs w:val="18"/>
                <w:lang w:eastAsia="de-DE"/>
              </w:rPr>
              <w:t>3</w:t>
            </w:r>
            <w:r w:rsidR="00B50AD1" w:rsidRPr="00812C16">
              <w:rPr>
                <w:rFonts w:cs="Arial"/>
                <w:sz w:val="18"/>
                <w:szCs w:val="18"/>
                <w:lang w:eastAsia="de-DE"/>
              </w:rPr>
              <w:t xml:space="preserve"> (42,9%)</w:t>
            </w:r>
          </w:p>
        </w:tc>
        <w:tc>
          <w:tcPr>
            <w:tcW w:w="1418" w:type="dxa"/>
            <w:tcBorders>
              <w:top w:val="single" w:sz="4" w:space="0" w:color="000000" w:themeColor="text1"/>
              <w:bottom w:val="nil"/>
              <w:right w:val="nil"/>
            </w:tcBorders>
            <w:tcMar>
              <w:top w:w="75" w:type="dxa"/>
              <w:left w:w="75" w:type="dxa"/>
              <w:bottom w:w="75" w:type="dxa"/>
              <w:right w:w="75" w:type="dxa"/>
            </w:tcMar>
          </w:tcPr>
          <w:p w14:paraId="30C5D4F4" w14:textId="77777777" w:rsidR="00BE248B" w:rsidRPr="00812C16" w:rsidRDefault="00D5755D" w:rsidP="00C957B2">
            <w:pPr>
              <w:spacing w:before="30" w:after="30" w:line="240" w:lineRule="auto"/>
              <w:ind w:hanging="24"/>
              <w:jc w:val="right"/>
              <w:rPr>
                <w:rFonts w:cs="Arial"/>
                <w:sz w:val="18"/>
                <w:szCs w:val="18"/>
                <w:lang w:eastAsia="de-DE"/>
              </w:rPr>
            </w:pPr>
            <w:r w:rsidRPr="00812C16">
              <w:rPr>
                <w:rFonts w:cs="Arial"/>
                <w:sz w:val="18"/>
                <w:szCs w:val="18"/>
                <w:lang w:eastAsia="de-DE"/>
              </w:rPr>
              <w:t>5</w:t>
            </w:r>
            <w:r w:rsidR="00B50AD1" w:rsidRPr="00812C16">
              <w:rPr>
                <w:rFonts w:cs="Arial"/>
                <w:sz w:val="18"/>
                <w:szCs w:val="18"/>
                <w:lang w:eastAsia="de-DE"/>
              </w:rPr>
              <w:t xml:space="preserve"> (45,5%)</w:t>
            </w:r>
          </w:p>
        </w:tc>
        <w:tc>
          <w:tcPr>
            <w:tcW w:w="1417" w:type="dxa"/>
            <w:tcBorders>
              <w:top w:val="single" w:sz="4" w:space="0" w:color="000000" w:themeColor="text1"/>
              <w:bottom w:val="nil"/>
              <w:right w:val="nil"/>
            </w:tcBorders>
          </w:tcPr>
          <w:p w14:paraId="30875E39" w14:textId="77777777" w:rsidR="00BE248B" w:rsidRPr="00812C16" w:rsidRDefault="00D5755D" w:rsidP="00C957B2">
            <w:pPr>
              <w:spacing w:before="30" w:after="30" w:line="240" w:lineRule="auto"/>
              <w:jc w:val="right"/>
              <w:rPr>
                <w:rFonts w:cs="Arial"/>
                <w:sz w:val="18"/>
                <w:szCs w:val="18"/>
                <w:lang w:eastAsia="de-DE"/>
              </w:rPr>
            </w:pPr>
            <w:r w:rsidRPr="00812C16">
              <w:rPr>
                <w:rFonts w:cs="Arial"/>
                <w:sz w:val="18"/>
                <w:szCs w:val="18"/>
                <w:lang w:eastAsia="de-DE"/>
              </w:rPr>
              <w:t>26</w:t>
            </w:r>
            <w:r w:rsidR="00B50AD1" w:rsidRPr="00812C16">
              <w:rPr>
                <w:rFonts w:cs="Arial"/>
                <w:sz w:val="18"/>
                <w:szCs w:val="18"/>
                <w:lang w:eastAsia="de-DE"/>
              </w:rPr>
              <w:t xml:space="preserve"> (50,0%)</w:t>
            </w:r>
          </w:p>
        </w:tc>
      </w:tr>
      <w:tr w:rsidR="0024223E" w:rsidRPr="00812C16" w14:paraId="5F733DA6" w14:textId="77777777" w:rsidTr="0024223E">
        <w:tc>
          <w:tcPr>
            <w:tcW w:w="1701" w:type="dxa"/>
            <w:tcBorders>
              <w:top w:val="nil"/>
              <w:bottom w:val="nil"/>
              <w:right w:val="nil"/>
            </w:tcBorders>
            <w:tcMar>
              <w:top w:w="75" w:type="dxa"/>
              <w:left w:w="75" w:type="dxa"/>
              <w:bottom w:w="75" w:type="dxa"/>
              <w:right w:w="75" w:type="dxa"/>
            </w:tcMar>
          </w:tcPr>
          <w:p w14:paraId="47D0582D" w14:textId="77777777" w:rsidR="00BE248B" w:rsidRPr="00812C16" w:rsidRDefault="00BE248B" w:rsidP="00C957B2">
            <w:pPr>
              <w:spacing w:before="30" w:after="30" w:line="240" w:lineRule="auto"/>
              <w:jc w:val="left"/>
              <w:rPr>
                <w:rFonts w:cs="Arial"/>
                <w:sz w:val="18"/>
                <w:szCs w:val="18"/>
                <w:lang w:eastAsia="de-DE"/>
              </w:rPr>
            </w:pPr>
            <w:r w:rsidRPr="00812C16">
              <w:rPr>
                <w:rFonts w:cs="Arial"/>
                <w:sz w:val="18"/>
                <w:szCs w:val="18"/>
                <w:lang w:eastAsia="de-DE"/>
              </w:rPr>
              <w:lastRenderedPageBreak/>
              <w:t>CD44 -</w:t>
            </w:r>
          </w:p>
        </w:tc>
        <w:tc>
          <w:tcPr>
            <w:tcW w:w="1560" w:type="dxa"/>
            <w:tcBorders>
              <w:top w:val="nil"/>
              <w:bottom w:val="nil"/>
              <w:right w:val="nil"/>
            </w:tcBorders>
            <w:tcMar>
              <w:top w:w="75" w:type="dxa"/>
              <w:left w:w="75" w:type="dxa"/>
              <w:bottom w:w="75" w:type="dxa"/>
              <w:right w:w="75" w:type="dxa"/>
            </w:tcMar>
          </w:tcPr>
          <w:p w14:paraId="1ED38001" w14:textId="77777777" w:rsidR="00BE248B" w:rsidRPr="00812C16" w:rsidRDefault="00D5755D" w:rsidP="00C957B2">
            <w:pPr>
              <w:spacing w:before="30" w:after="30" w:line="240" w:lineRule="auto"/>
              <w:jc w:val="right"/>
              <w:rPr>
                <w:rFonts w:cs="Arial"/>
                <w:sz w:val="18"/>
                <w:szCs w:val="18"/>
                <w:lang w:eastAsia="de-DE"/>
              </w:rPr>
            </w:pPr>
            <w:r w:rsidRPr="00812C16">
              <w:rPr>
                <w:rFonts w:cs="Arial"/>
                <w:sz w:val="18"/>
                <w:szCs w:val="18"/>
                <w:lang w:eastAsia="de-DE"/>
              </w:rPr>
              <w:t>30</w:t>
            </w:r>
            <w:r w:rsidR="00B50AD1" w:rsidRPr="00812C16">
              <w:rPr>
                <w:rFonts w:cs="Arial"/>
                <w:sz w:val="18"/>
                <w:szCs w:val="18"/>
                <w:lang w:eastAsia="de-DE"/>
              </w:rPr>
              <w:t xml:space="preserve"> (41,7%)</w:t>
            </w:r>
          </w:p>
        </w:tc>
        <w:tc>
          <w:tcPr>
            <w:tcW w:w="1417" w:type="dxa"/>
            <w:tcBorders>
              <w:top w:val="nil"/>
              <w:bottom w:val="nil"/>
              <w:right w:val="nil"/>
            </w:tcBorders>
            <w:tcMar>
              <w:top w:w="75" w:type="dxa"/>
              <w:left w:w="75" w:type="dxa"/>
              <w:bottom w:w="75" w:type="dxa"/>
              <w:right w:w="75" w:type="dxa"/>
            </w:tcMar>
          </w:tcPr>
          <w:p w14:paraId="32E26F0B" w14:textId="77777777" w:rsidR="00BE248B" w:rsidRPr="00812C16" w:rsidRDefault="00D5755D" w:rsidP="00C957B2">
            <w:pPr>
              <w:spacing w:before="30" w:after="30" w:line="240" w:lineRule="auto"/>
              <w:jc w:val="right"/>
              <w:rPr>
                <w:rFonts w:cs="Arial"/>
                <w:sz w:val="18"/>
                <w:szCs w:val="18"/>
                <w:lang w:eastAsia="de-DE"/>
              </w:rPr>
            </w:pPr>
            <w:r w:rsidRPr="00812C16">
              <w:rPr>
                <w:rFonts w:cs="Arial"/>
                <w:sz w:val="18"/>
                <w:szCs w:val="18"/>
                <w:lang w:eastAsia="de-DE"/>
              </w:rPr>
              <w:t>1</w:t>
            </w:r>
            <w:r w:rsidR="00B50AD1" w:rsidRPr="00812C16">
              <w:rPr>
                <w:rFonts w:cs="Arial"/>
                <w:sz w:val="18"/>
                <w:szCs w:val="18"/>
                <w:lang w:eastAsia="de-DE"/>
              </w:rPr>
              <w:t xml:space="preserve"> (50,0%)</w:t>
            </w:r>
          </w:p>
        </w:tc>
        <w:tc>
          <w:tcPr>
            <w:tcW w:w="1559" w:type="dxa"/>
            <w:tcBorders>
              <w:top w:val="nil"/>
              <w:bottom w:val="nil"/>
              <w:right w:val="nil"/>
            </w:tcBorders>
            <w:tcMar>
              <w:top w:w="75" w:type="dxa"/>
              <w:left w:w="75" w:type="dxa"/>
              <w:bottom w:w="75" w:type="dxa"/>
              <w:right w:w="75" w:type="dxa"/>
            </w:tcMar>
          </w:tcPr>
          <w:p w14:paraId="33CADA2E" w14:textId="77777777" w:rsidR="00BE248B" w:rsidRPr="00812C16" w:rsidRDefault="00D5755D" w:rsidP="00C957B2">
            <w:pPr>
              <w:spacing w:before="30" w:after="30" w:line="240" w:lineRule="auto"/>
              <w:jc w:val="right"/>
              <w:rPr>
                <w:rFonts w:cs="Arial"/>
                <w:sz w:val="18"/>
                <w:szCs w:val="18"/>
                <w:lang w:eastAsia="de-DE"/>
              </w:rPr>
            </w:pPr>
            <w:r w:rsidRPr="00812C16">
              <w:rPr>
                <w:rFonts w:cs="Arial"/>
                <w:sz w:val="18"/>
                <w:szCs w:val="18"/>
                <w:lang w:eastAsia="de-DE"/>
              </w:rPr>
              <w:t>3</w:t>
            </w:r>
            <w:r w:rsidR="00B50AD1" w:rsidRPr="00812C16">
              <w:rPr>
                <w:rFonts w:cs="Arial"/>
                <w:sz w:val="18"/>
                <w:szCs w:val="18"/>
                <w:lang w:eastAsia="de-DE"/>
              </w:rPr>
              <w:t xml:space="preserve"> (43,9%)</w:t>
            </w:r>
          </w:p>
        </w:tc>
        <w:tc>
          <w:tcPr>
            <w:tcW w:w="1418" w:type="dxa"/>
            <w:tcBorders>
              <w:top w:val="nil"/>
              <w:bottom w:val="nil"/>
              <w:right w:val="nil"/>
            </w:tcBorders>
            <w:tcMar>
              <w:top w:w="75" w:type="dxa"/>
              <w:left w:w="75" w:type="dxa"/>
              <w:bottom w:w="75" w:type="dxa"/>
              <w:right w:w="75" w:type="dxa"/>
            </w:tcMar>
          </w:tcPr>
          <w:p w14:paraId="0820E0BE" w14:textId="77777777" w:rsidR="00BE248B" w:rsidRPr="00812C16" w:rsidRDefault="00D5755D" w:rsidP="00C957B2">
            <w:pPr>
              <w:spacing w:before="30" w:after="30" w:line="240" w:lineRule="auto"/>
              <w:ind w:hanging="24"/>
              <w:jc w:val="right"/>
              <w:rPr>
                <w:rFonts w:cs="Arial"/>
                <w:sz w:val="18"/>
                <w:szCs w:val="18"/>
                <w:lang w:eastAsia="de-DE"/>
              </w:rPr>
            </w:pPr>
            <w:r w:rsidRPr="00812C16">
              <w:rPr>
                <w:rFonts w:cs="Arial"/>
                <w:sz w:val="18"/>
                <w:szCs w:val="18"/>
                <w:lang w:eastAsia="de-DE"/>
              </w:rPr>
              <w:t>5</w:t>
            </w:r>
            <w:r w:rsidR="00B50AD1" w:rsidRPr="00812C16">
              <w:rPr>
                <w:rFonts w:cs="Arial"/>
                <w:sz w:val="18"/>
                <w:szCs w:val="18"/>
                <w:lang w:eastAsia="de-DE"/>
              </w:rPr>
              <w:t xml:space="preserve"> (45,5%)</w:t>
            </w:r>
          </w:p>
        </w:tc>
        <w:tc>
          <w:tcPr>
            <w:tcW w:w="1417" w:type="dxa"/>
            <w:tcBorders>
              <w:top w:val="nil"/>
              <w:bottom w:val="nil"/>
              <w:right w:val="nil"/>
            </w:tcBorders>
          </w:tcPr>
          <w:p w14:paraId="705A9E2E" w14:textId="77777777" w:rsidR="00BE248B" w:rsidRPr="00812C16" w:rsidRDefault="00D5755D" w:rsidP="00C957B2">
            <w:pPr>
              <w:spacing w:before="30" w:after="30" w:line="240" w:lineRule="auto"/>
              <w:jc w:val="right"/>
              <w:rPr>
                <w:rFonts w:cs="Arial"/>
                <w:sz w:val="18"/>
                <w:szCs w:val="18"/>
                <w:lang w:eastAsia="de-DE"/>
              </w:rPr>
            </w:pPr>
            <w:r w:rsidRPr="00812C16">
              <w:rPr>
                <w:rFonts w:cs="Arial"/>
                <w:sz w:val="18"/>
                <w:szCs w:val="18"/>
                <w:lang w:eastAsia="de-DE"/>
              </w:rPr>
              <w:t>21</w:t>
            </w:r>
            <w:r w:rsidR="00B50AD1" w:rsidRPr="00812C16">
              <w:rPr>
                <w:rFonts w:cs="Arial"/>
                <w:sz w:val="18"/>
                <w:szCs w:val="18"/>
                <w:lang w:eastAsia="de-DE"/>
              </w:rPr>
              <w:t xml:space="preserve"> (40.4%)</w:t>
            </w:r>
          </w:p>
        </w:tc>
      </w:tr>
      <w:tr w:rsidR="006451FD" w:rsidRPr="00812C16" w14:paraId="41D67985" w14:textId="77777777" w:rsidTr="0024223E">
        <w:tc>
          <w:tcPr>
            <w:tcW w:w="1701" w:type="dxa"/>
            <w:tcBorders>
              <w:top w:val="nil"/>
              <w:bottom w:val="single" w:sz="4" w:space="0" w:color="000000" w:themeColor="text1"/>
              <w:right w:val="nil"/>
            </w:tcBorders>
            <w:tcMar>
              <w:top w:w="75" w:type="dxa"/>
              <w:left w:w="75" w:type="dxa"/>
              <w:bottom w:w="75" w:type="dxa"/>
              <w:right w:w="75" w:type="dxa"/>
            </w:tcMar>
          </w:tcPr>
          <w:p w14:paraId="6310FBB8" w14:textId="77777777" w:rsidR="00BE248B" w:rsidRPr="00812C16" w:rsidRDefault="00BE248B" w:rsidP="00C957B2">
            <w:pPr>
              <w:spacing w:before="30" w:after="30" w:line="240" w:lineRule="auto"/>
              <w:jc w:val="left"/>
              <w:rPr>
                <w:rFonts w:cs="Arial"/>
                <w:sz w:val="18"/>
                <w:szCs w:val="18"/>
                <w:lang w:eastAsia="de-DE"/>
              </w:rPr>
            </w:pPr>
            <w:r w:rsidRPr="00812C16">
              <w:rPr>
                <w:rFonts w:cs="Arial"/>
                <w:sz w:val="18"/>
                <w:szCs w:val="18"/>
                <w:lang w:eastAsia="de-DE"/>
              </w:rPr>
              <w:t>Fehlend</w:t>
            </w:r>
          </w:p>
        </w:tc>
        <w:tc>
          <w:tcPr>
            <w:tcW w:w="1560" w:type="dxa"/>
            <w:tcBorders>
              <w:top w:val="nil"/>
              <w:bottom w:val="single" w:sz="4" w:space="0" w:color="000000" w:themeColor="text1"/>
              <w:right w:val="nil"/>
            </w:tcBorders>
            <w:tcMar>
              <w:top w:w="75" w:type="dxa"/>
              <w:left w:w="75" w:type="dxa"/>
              <w:bottom w:w="75" w:type="dxa"/>
              <w:right w:w="75" w:type="dxa"/>
            </w:tcMar>
          </w:tcPr>
          <w:p w14:paraId="1D95A9B2" w14:textId="77777777" w:rsidR="00BE248B" w:rsidRPr="00812C16" w:rsidRDefault="00D5755D" w:rsidP="00C957B2">
            <w:pPr>
              <w:spacing w:before="30" w:after="30" w:line="240" w:lineRule="auto"/>
              <w:jc w:val="right"/>
              <w:rPr>
                <w:rFonts w:cs="Arial"/>
                <w:sz w:val="18"/>
                <w:szCs w:val="18"/>
                <w:lang w:eastAsia="de-DE"/>
              </w:rPr>
            </w:pPr>
            <w:r w:rsidRPr="00812C16">
              <w:rPr>
                <w:rFonts w:cs="Arial"/>
                <w:sz w:val="18"/>
                <w:szCs w:val="18"/>
                <w:lang w:eastAsia="de-DE"/>
              </w:rPr>
              <w:t>7</w:t>
            </w:r>
            <w:r w:rsidR="00B50AD1" w:rsidRPr="00812C16">
              <w:rPr>
                <w:rFonts w:cs="Arial"/>
                <w:sz w:val="18"/>
                <w:szCs w:val="18"/>
                <w:lang w:eastAsia="de-DE"/>
              </w:rPr>
              <w:t xml:space="preserve"> (9,7%)</w:t>
            </w:r>
          </w:p>
        </w:tc>
        <w:tc>
          <w:tcPr>
            <w:tcW w:w="1417" w:type="dxa"/>
            <w:tcBorders>
              <w:top w:val="nil"/>
              <w:bottom w:val="single" w:sz="4" w:space="0" w:color="000000" w:themeColor="text1"/>
              <w:right w:val="nil"/>
            </w:tcBorders>
            <w:tcMar>
              <w:top w:w="75" w:type="dxa"/>
              <w:left w:w="75" w:type="dxa"/>
              <w:bottom w:w="75" w:type="dxa"/>
              <w:right w:w="75" w:type="dxa"/>
            </w:tcMar>
          </w:tcPr>
          <w:p w14:paraId="119BE211" w14:textId="77777777" w:rsidR="00BE248B" w:rsidRPr="00812C16" w:rsidRDefault="000E4D4C" w:rsidP="00C957B2">
            <w:pPr>
              <w:spacing w:before="30" w:after="30" w:line="240" w:lineRule="auto"/>
              <w:jc w:val="right"/>
              <w:rPr>
                <w:rFonts w:cs="Arial"/>
                <w:sz w:val="18"/>
                <w:szCs w:val="18"/>
                <w:lang w:eastAsia="de-DE"/>
              </w:rPr>
            </w:pPr>
            <w:r w:rsidRPr="00812C16">
              <w:rPr>
                <w:rFonts w:cs="Arial"/>
                <w:sz w:val="18"/>
                <w:szCs w:val="18"/>
                <w:lang w:eastAsia="de-DE"/>
              </w:rPr>
              <w:t>0</w:t>
            </w:r>
            <w:r w:rsidR="00B50AD1" w:rsidRPr="00812C16">
              <w:rPr>
                <w:rFonts w:cs="Arial"/>
                <w:sz w:val="18"/>
                <w:szCs w:val="18"/>
                <w:lang w:eastAsia="de-DE"/>
              </w:rPr>
              <w:t xml:space="preserve"> (0,0%)</w:t>
            </w:r>
          </w:p>
        </w:tc>
        <w:tc>
          <w:tcPr>
            <w:tcW w:w="1559" w:type="dxa"/>
            <w:tcBorders>
              <w:top w:val="nil"/>
              <w:bottom w:val="single" w:sz="4" w:space="0" w:color="000000" w:themeColor="text1"/>
              <w:right w:val="nil"/>
            </w:tcBorders>
            <w:tcMar>
              <w:top w:w="75" w:type="dxa"/>
              <w:left w:w="75" w:type="dxa"/>
              <w:bottom w:w="75" w:type="dxa"/>
              <w:right w:w="75" w:type="dxa"/>
            </w:tcMar>
          </w:tcPr>
          <w:p w14:paraId="243C55D5" w14:textId="77777777" w:rsidR="00BE248B" w:rsidRPr="00812C16" w:rsidRDefault="000E4D4C" w:rsidP="00C957B2">
            <w:pPr>
              <w:spacing w:before="30" w:after="30" w:line="240" w:lineRule="auto"/>
              <w:jc w:val="right"/>
              <w:rPr>
                <w:rFonts w:cs="Arial"/>
                <w:sz w:val="18"/>
                <w:szCs w:val="18"/>
                <w:lang w:eastAsia="de-DE"/>
              </w:rPr>
            </w:pPr>
            <w:r w:rsidRPr="00812C16">
              <w:rPr>
                <w:rFonts w:cs="Arial"/>
                <w:sz w:val="18"/>
                <w:szCs w:val="18"/>
                <w:lang w:eastAsia="de-DE"/>
              </w:rPr>
              <w:t>1</w:t>
            </w:r>
            <w:r w:rsidR="00B50AD1" w:rsidRPr="00812C16">
              <w:rPr>
                <w:rFonts w:cs="Arial"/>
                <w:sz w:val="18"/>
                <w:szCs w:val="18"/>
                <w:lang w:eastAsia="de-DE"/>
              </w:rPr>
              <w:t xml:space="preserve"> (14,2%)</w:t>
            </w:r>
          </w:p>
        </w:tc>
        <w:tc>
          <w:tcPr>
            <w:tcW w:w="1418" w:type="dxa"/>
            <w:tcBorders>
              <w:top w:val="nil"/>
              <w:bottom w:val="single" w:sz="4" w:space="0" w:color="000000" w:themeColor="text1"/>
              <w:right w:val="nil"/>
            </w:tcBorders>
            <w:tcMar>
              <w:top w:w="75" w:type="dxa"/>
              <w:left w:w="75" w:type="dxa"/>
              <w:bottom w:w="75" w:type="dxa"/>
              <w:right w:w="75" w:type="dxa"/>
            </w:tcMar>
          </w:tcPr>
          <w:p w14:paraId="39B593F0" w14:textId="77777777" w:rsidR="00BE248B" w:rsidRPr="00812C16" w:rsidRDefault="000E4D4C" w:rsidP="00C957B2">
            <w:pPr>
              <w:spacing w:before="30" w:after="30" w:line="240" w:lineRule="auto"/>
              <w:ind w:hanging="24"/>
              <w:jc w:val="right"/>
              <w:rPr>
                <w:rFonts w:cs="Arial"/>
                <w:sz w:val="18"/>
                <w:szCs w:val="18"/>
                <w:lang w:eastAsia="de-DE"/>
              </w:rPr>
            </w:pPr>
            <w:r w:rsidRPr="00812C16">
              <w:rPr>
                <w:rFonts w:cs="Arial"/>
                <w:sz w:val="18"/>
                <w:szCs w:val="18"/>
                <w:lang w:eastAsia="de-DE"/>
              </w:rPr>
              <w:t>1</w:t>
            </w:r>
            <w:r w:rsidR="00B50AD1" w:rsidRPr="00812C16">
              <w:rPr>
                <w:rFonts w:cs="Arial"/>
                <w:sz w:val="18"/>
                <w:szCs w:val="18"/>
                <w:lang w:eastAsia="de-DE"/>
              </w:rPr>
              <w:t xml:space="preserve"> (9,1%)</w:t>
            </w:r>
          </w:p>
        </w:tc>
        <w:tc>
          <w:tcPr>
            <w:tcW w:w="1417" w:type="dxa"/>
            <w:tcBorders>
              <w:top w:val="nil"/>
              <w:bottom w:val="single" w:sz="4" w:space="0" w:color="000000" w:themeColor="text1"/>
              <w:right w:val="nil"/>
            </w:tcBorders>
          </w:tcPr>
          <w:p w14:paraId="05F92393" w14:textId="77777777" w:rsidR="00BE248B" w:rsidRPr="00812C16" w:rsidRDefault="000E4D4C" w:rsidP="00C957B2">
            <w:pPr>
              <w:spacing w:before="30" w:after="30" w:line="240" w:lineRule="auto"/>
              <w:jc w:val="right"/>
              <w:rPr>
                <w:rFonts w:cs="Arial"/>
                <w:sz w:val="18"/>
                <w:szCs w:val="18"/>
                <w:lang w:eastAsia="de-DE"/>
              </w:rPr>
            </w:pPr>
            <w:r w:rsidRPr="00812C16">
              <w:rPr>
                <w:rFonts w:cs="Arial"/>
                <w:sz w:val="18"/>
                <w:szCs w:val="18"/>
                <w:lang w:eastAsia="de-DE"/>
              </w:rPr>
              <w:t>5</w:t>
            </w:r>
            <w:r w:rsidR="00B50AD1" w:rsidRPr="00812C16">
              <w:rPr>
                <w:rFonts w:cs="Arial"/>
                <w:sz w:val="18"/>
                <w:szCs w:val="18"/>
                <w:lang w:eastAsia="de-DE"/>
              </w:rPr>
              <w:t xml:space="preserve"> (9.6%)</w:t>
            </w:r>
          </w:p>
        </w:tc>
      </w:tr>
    </w:tbl>
    <w:p w14:paraId="5C00C938" w14:textId="5E75D6E5" w:rsidR="00B501EB" w:rsidRPr="00812C16" w:rsidRDefault="005B691E" w:rsidP="00362B75">
      <w:pPr>
        <w:tabs>
          <w:tab w:val="left" w:pos="1560"/>
          <w:tab w:val="left" w:pos="1701"/>
          <w:tab w:val="left" w:pos="7230"/>
          <w:tab w:val="left" w:pos="7938"/>
        </w:tabs>
        <w:spacing w:before="360" w:after="360"/>
        <w:rPr>
          <w:rFonts w:cs="Arial"/>
        </w:rPr>
      </w:pPr>
      <w:r w:rsidRPr="00812C16">
        <w:rPr>
          <w:rFonts w:cs="Arial"/>
        </w:rPr>
        <w:t xml:space="preserve">Um herauszufinden, ob </w:t>
      </w:r>
      <w:r w:rsidR="006772C4" w:rsidRPr="00812C16">
        <w:rPr>
          <w:rFonts w:cs="Arial"/>
        </w:rPr>
        <w:t>das Vorhandensein einer CD44</w:t>
      </w:r>
      <w:r w:rsidR="00365664" w:rsidRPr="00812C16">
        <w:rPr>
          <w:rFonts w:cs="Arial"/>
        </w:rPr>
        <w:t>-</w:t>
      </w:r>
      <w:r w:rsidR="006772C4" w:rsidRPr="00812C16">
        <w:rPr>
          <w:rFonts w:cs="Arial"/>
        </w:rPr>
        <w:t>Proteinexpression im Tumorgewebe mit dem klinischen Outcome</w:t>
      </w:r>
      <w:r w:rsidR="003520CE" w:rsidRPr="00812C16">
        <w:rPr>
          <w:rFonts w:cs="Arial"/>
        </w:rPr>
        <w:t xml:space="preserve"> </w:t>
      </w:r>
      <w:r w:rsidR="009C200D" w:rsidRPr="00812C16">
        <w:rPr>
          <w:rFonts w:cs="Arial"/>
        </w:rPr>
        <w:t>korreliert,</w:t>
      </w:r>
      <w:r w:rsidR="006772C4" w:rsidRPr="00812C16">
        <w:rPr>
          <w:rFonts w:cs="Arial"/>
        </w:rPr>
        <w:t xml:space="preserve"> wurde</w:t>
      </w:r>
      <w:r w:rsidR="005A2900" w:rsidRPr="00812C16">
        <w:rPr>
          <w:rFonts w:cs="Arial"/>
        </w:rPr>
        <w:t>n</w:t>
      </w:r>
      <w:r w:rsidR="006772C4" w:rsidRPr="00812C16">
        <w:rPr>
          <w:rFonts w:cs="Arial"/>
        </w:rPr>
        <w:t xml:space="preserve"> in</w:t>
      </w:r>
      <w:r w:rsidR="00384FB4" w:rsidRPr="00812C16">
        <w:rPr>
          <w:rFonts w:cs="Arial"/>
        </w:rPr>
        <w:t xml:space="preserve"> </w:t>
      </w:r>
      <w:r w:rsidR="000C3CA0" w:rsidRPr="00812C16">
        <w:rPr>
          <w:rFonts w:cs="Arial"/>
        </w:rPr>
        <w:fldChar w:fldCharType="begin"/>
      </w:r>
      <w:r w:rsidR="000C3CA0" w:rsidRPr="00812C16">
        <w:rPr>
          <w:rFonts w:cs="Arial"/>
        </w:rPr>
        <w:instrText xml:space="preserve"> REF _Ref90890577 \h  \* MERGEFORMAT </w:instrText>
      </w:r>
      <w:r w:rsidR="000C3CA0" w:rsidRPr="00812C16">
        <w:rPr>
          <w:rFonts w:cs="Arial"/>
        </w:rPr>
      </w:r>
      <w:r w:rsidR="000C3CA0" w:rsidRPr="00812C16">
        <w:rPr>
          <w:rFonts w:cs="Arial"/>
        </w:rPr>
        <w:fldChar w:fldCharType="separate"/>
      </w:r>
      <w:r w:rsidR="00F67803" w:rsidRPr="00F67803">
        <w:rPr>
          <w:color w:val="000000" w:themeColor="text1"/>
        </w:rPr>
        <w:t xml:space="preserve">Abbildung </w:t>
      </w:r>
      <w:r w:rsidR="00F67803" w:rsidRPr="00F67803">
        <w:rPr>
          <w:noProof/>
          <w:color w:val="000000" w:themeColor="text1"/>
        </w:rPr>
        <w:t>4</w:t>
      </w:r>
      <w:r w:rsidR="00F67803" w:rsidRPr="00F67803">
        <w:rPr>
          <w:noProof/>
          <w:color w:val="000000" w:themeColor="text1"/>
        </w:rPr>
        <w:noBreakHyphen/>
        <w:t>4</w:t>
      </w:r>
      <w:r w:rsidR="000C3CA0" w:rsidRPr="00812C16">
        <w:rPr>
          <w:rFonts w:cs="Arial"/>
        </w:rPr>
        <w:fldChar w:fldCharType="end"/>
      </w:r>
      <w:r w:rsidR="000C3CA0" w:rsidRPr="00812C16">
        <w:rPr>
          <w:rFonts w:cs="Arial"/>
        </w:rPr>
        <w:t xml:space="preserve"> </w:t>
      </w:r>
      <w:r w:rsidR="005A2900" w:rsidRPr="00812C16">
        <w:rPr>
          <w:rFonts w:cs="Arial"/>
        </w:rPr>
        <w:t xml:space="preserve">die </w:t>
      </w:r>
      <w:r w:rsidR="001A6798" w:rsidRPr="00812C16">
        <w:rPr>
          <w:rFonts w:cs="Arial"/>
        </w:rPr>
        <w:t>Ereigniskurven</w:t>
      </w:r>
      <w:r w:rsidR="005A2900" w:rsidRPr="00812C16">
        <w:rPr>
          <w:rFonts w:cs="Arial"/>
        </w:rPr>
        <w:t xml:space="preserve"> der CD44</w:t>
      </w:r>
      <w:r w:rsidR="00CB1679" w:rsidRPr="00812C16">
        <w:rPr>
          <w:rFonts w:cs="Arial"/>
        </w:rPr>
        <w:t>-positiven</w:t>
      </w:r>
      <w:r w:rsidR="005A2900" w:rsidRPr="00812C16">
        <w:rPr>
          <w:rFonts w:cs="Arial"/>
        </w:rPr>
        <w:t xml:space="preserve"> und </w:t>
      </w:r>
      <w:r w:rsidR="00CB1679" w:rsidRPr="00812C16">
        <w:rPr>
          <w:rFonts w:cs="Arial"/>
        </w:rPr>
        <w:t>-</w:t>
      </w:r>
      <w:r w:rsidR="005A2900" w:rsidRPr="00812C16">
        <w:rPr>
          <w:rFonts w:cs="Arial"/>
        </w:rPr>
        <w:t xml:space="preserve">negativen </w:t>
      </w:r>
      <w:r w:rsidR="00CB1679" w:rsidRPr="00812C16">
        <w:rPr>
          <w:rFonts w:cs="Arial"/>
        </w:rPr>
        <w:t xml:space="preserve">Patientenkollektive für die loko-regionäre Tumorkontrolle skizziert. </w:t>
      </w:r>
      <w:r w:rsidR="003A08D0" w:rsidRPr="00812C16">
        <w:rPr>
          <w:rFonts w:cs="Arial"/>
        </w:rPr>
        <w:t xml:space="preserve">Die </w:t>
      </w:r>
      <w:r w:rsidR="001A6798" w:rsidRPr="00812C16">
        <w:rPr>
          <w:rFonts w:cs="Arial"/>
        </w:rPr>
        <w:t xml:space="preserve">entsprechenden </w:t>
      </w:r>
      <w:proofErr w:type="spellStart"/>
      <w:r w:rsidR="001A6798" w:rsidRPr="00812C16">
        <w:rPr>
          <w:rFonts w:cs="Arial"/>
        </w:rPr>
        <w:t>Überlebenskurven</w:t>
      </w:r>
      <w:proofErr w:type="spellEnd"/>
      <w:r w:rsidR="003A08D0" w:rsidRPr="00812C16">
        <w:rPr>
          <w:rFonts w:cs="Arial"/>
        </w:rPr>
        <w:t xml:space="preserve"> für die sekundären Endpunkte sind in </w:t>
      </w:r>
      <w:r w:rsidR="001A6798" w:rsidRPr="00812C16">
        <w:rPr>
          <w:rFonts w:cs="Arial"/>
        </w:rPr>
        <w:fldChar w:fldCharType="begin"/>
      </w:r>
      <w:r w:rsidR="001A6798" w:rsidRPr="00812C16">
        <w:rPr>
          <w:rFonts w:cs="Arial"/>
        </w:rPr>
        <w:instrText xml:space="preserve"> REF _Ref91624246 \h  \* MERGEFORMAT </w:instrText>
      </w:r>
      <w:r w:rsidR="001A6798" w:rsidRPr="00812C16">
        <w:rPr>
          <w:rFonts w:cs="Arial"/>
        </w:rPr>
      </w:r>
      <w:r w:rsidR="001A6798" w:rsidRPr="00812C16">
        <w:rPr>
          <w:rFonts w:cs="Arial"/>
        </w:rPr>
        <w:fldChar w:fldCharType="separate"/>
      </w:r>
      <w:r w:rsidR="00F67803" w:rsidRPr="00F67803">
        <w:rPr>
          <w:color w:val="000000" w:themeColor="text1"/>
        </w:rPr>
        <w:t xml:space="preserve">Abbildung </w:t>
      </w:r>
      <w:r w:rsidR="00F67803" w:rsidRPr="00F67803">
        <w:rPr>
          <w:noProof/>
          <w:color w:val="000000" w:themeColor="text1"/>
        </w:rPr>
        <w:t>4</w:t>
      </w:r>
      <w:r w:rsidR="00F67803" w:rsidRPr="00F67803">
        <w:rPr>
          <w:noProof/>
          <w:color w:val="000000" w:themeColor="text1"/>
        </w:rPr>
        <w:noBreakHyphen/>
        <w:t>6</w:t>
      </w:r>
      <w:r w:rsidR="001A6798" w:rsidRPr="00812C16">
        <w:rPr>
          <w:rFonts w:cs="Arial"/>
        </w:rPr>
        <w:fldChar w:fldCharType="end"/>
      </w:r>
      <w:r w:rsidR="001A6798" w:rsidRPr="00812C16">
        <w:rPr>
          <w:rFonts w:cs="Arial"/>
        </w:rPr>
        <w:t xml:space="preserve"> dargestellt</w:t>
      </w:r>
      <w:r w:rsidR="003A08D0" w:rsidRPr="00812C16">
        <w:rPr>
          <w:rFonts w:cs="Arial"/>
        </w:rPr>
        <w:t xml:space="preserve">. Mit Hilfe des Log-Rank Test wurde anschließend jeweils </w:t>
      </w:r>
      <w:r w:rsidR="001A6798" w:rsidRPr="00812C16">
        <w:rPr>
          <w:rFonts w:cs="Arial"/>
        </w:rPr>
        <w:t xml:space="preserve">überprüft, ob zwischen den CD44+ und CD44- </w:t>
      </w:r>
      <w:r w:rsidR="005940FC" w:rsidRPr="00812C16">
        <w:rPr>
          <w:rFonts w:cs="Arial"/>
        </w:rPr>
        <w:t>Ereignis</w:t>
      </w:r>
      <w:r w:rsidR="001A6798" w:rsidRPr="00812C16">
        <w:rPr>
          <w:rFonts w:cs="Arial"/>
        </w:rPr>
        <w:t>kurven ein signifikanter Unterscheid auf einem Signifikanzniveau von 5% besteht.</w:t>
      </w:r>
      <w:r w:rsidR="005940FC" w:rsidRPr="00812C16">
        <w:rPr>
          <w:rFonts w:cs="Arial"/>
        </w:rPr>
        <w:t xml:space="preserve"> </w:t>
      </w:r>
      <w:r w:rsidR="00C16ADE" w:rsidRPr="00812C16">
        <w:rPr>
          <w:rFonts w:cs="Arial"/>
          <w:lang w:eastAsia="de-DE"/>
        </w:rPr>
        <w:t xml:space="preserve">Die </w:t>
      </w:r>
      <w:r w:rsidR="00384FB4" w:rsidRPr="00812C16">
        <w:rPr>
          <w:rFonts w:cs="Arial"/>
          <w:lang w:eastAsia="de-DE"/>
        </w:rPr>
        <w:t>univariaten Analyse</w:t>
      </w:r>
      <w:r w:rsidR="00C16ADE" w:rsidRPr="00812C16">
        <w:rPr>
          <w:rFonts w:cs="Arial"/>
          <w:lang w:eastAsia="de-DE"/>
        </w:rPr>
        <w:t>n</w:t>
      </w:r>
      <w:r w:rsidR="00384FB4" w:rsidRPr="00812C16">
        <w:rPr>
          <w:rFonts w:cs="Arial"/>
          <w:lang w:eastAsia="de-DE"/>
        </w:rPr>
        <w:t xml:space="preserve"> </w:t>
      </w:r>
      <w:r w:rsidR="00384FB4" w:rsidRPr="00812C16">
        <w:rPr>
          <w:rFonts w:cs="Arial"/>
        </w:rPr>
        <w:t xml:space="preserve">zeigen eine signifikante Assoziation der CD44-Proteinexpression mit der </w:t>
      </w:r>
      <w:proofErr w:type="spellStart"/>
      <w:r w:rsidR="006A1067" w:rsidRPr="00812C16">
        <w:rPr>
          <w:rFonts w:cs="Arial"/>
        </w:rPr>
        <w:t>l</w:t>
      </w:r>
      <w:r w:rsidR="00384FB4" w:rsidRPr="00812C16">
        <w:rPr>
          <w:rFonts w:cs="Arial"/>
        </w:rPr>
        <w:t>oko-regionären</w:t>
      </w:r>
      <w:proofErr w:type="spellEnd"/>
      <w:r w:rsidR="00384FB4" w:rsidRPr="00812C16">
        <w:rPr>
          <w:rFonts w:cs="Arial"/>
        </w:rPr>
        <w:t xml:space="preserve"> Tumorkontrolle (</w:t>
      </w:r>
      <w:r w:rsidR="00481C8C" w:rsidRPr="00812C16">
        <w:rPr>
          <w:rFonts w:cs="Arial"/>
        </w:rPr>
        <w:t xml:space="preserve">HR </w:t>
      </w:r>
      <w:r w:rsidR="00245798" w:rsidRPr="00812C16">
        <w:rPr>
          <w:rFonts w:cs="Arial"/>
        </w:rPr>
        <w:t xml:space="preserve">9,09, </w:t>
      </w:r>
      <w:r w:rsidR="00384FB4" w:rsidRPr="00812C16">
        <w:rPr>
          <w:rFonts w:cs="Arial"/>
        </w:rPr>
        <w:t>p = 0,008; siehe</w:t>
      </w:r>
      <w:r w:rsidR="00882767" w:rsidRPr="00812C16">
        <w:rPr>
          <w:rFonts w:cs="Arial"/>
        </w:rPr>
        <w:t xml:space="preserve"> </w:t>
      </w:r>
      <w:r w:rsidR="00882767" w:rsidRPr="00812C16">
        <w:rPr>
          <w:rFonts w:cs="Arial"/>
        </w:rPr>
        <w:fldChar w:fldCharType="begin"/>
      </w:r>
      <w:r w:rsidR="00882767" w:rsidRPr="00812C16">
        <w:rPr>
          <w:rFonts w:cs="Arial"/>
        </w:rPr>
        <w:instrText xml:space="preserve"> REF _Ref90890577 \h  \* MERGEFORMAT </w:instrText>
      </w:r>
      <w:r w:rsidR="00882767" w:rsidRPr="00812C16">
        <w:rPr>
          <w:rFonts w:cs="Arial"/>
        </w:rPr>
      </w:r>
      <w:r w:rsidR="00882767" w:rsidRPr="00812C16">
        <w:rPr>
          <w:rFonts w:cs="Arial"/>
        </w:rPr>
        <w:fldChar w:fldCharType="separate"/>
      </w:r>
      <w:r w:rsidR="00F67803" w:rsidRPr="00F67803">
        <w:rPr>
          <w:color w:val="000000" w:themeColor="text1"/>
        </w:rPr>
        <w:t xml:space="preserve">Abbildung </w:t>
      </w:r>
      <w:r w:rsidR="00F67803" w:rsidRPr="00F67803">
        <w:rPr>
          <w:noProof/>
          <w:color w:val="000000" w:themeColor="text1"/>
        </w:rPr>
        <w:t>4</w:t>
      </w:r>
      <w:r w:rsidR="00F67803" w:rsidRPr="00F67803">
        <w:rPr>
          <w:noProof/>
          <w:color w:val="000000" w:themeColor="text1"/>
        </w:rPr>
        <w:noBreakHyphen/>
        <w:t>4</w:t>
      </w:r>
      <w:r w:rsidR="00882767" w:rsidRPr="00812C16">
        <w:rPr>
          <w:rFonts w:cs="Arial"/>
        </w:rPr>
        <w:fldChar w:fldCharType="end"/>
      </w:r>
      <w:r w:rsidR="006A1067" w:rsidRPr="00812C16">
        <w:rPr>
          <w:rFonts w:cs="Arial"/>
        </w:rPr>
        <w:t xml:space="preserve">) </w:t>
      </w:r>
      <w:r w:rsidR="00384FB4" w:rsidRPr="00812C16">
        <w:rPr>
          <w:rFonts w:cs="Arial"/>
        </w:rPr>
        <w:t xml:space="preserve">aber nicht mit den </w:t>
      </w:r>
      <w:r w:rsidR="002B5580" w:rsidRPr="00812C16">
        <w:rPr>
          <w:rFonts w:cs="Arial"/>
        </w:rPr>
        <w:t>sekundären</w:t>
      </w:r>
      <w:r w:rsidR="00384FB4" w:rsidRPr="00812C16">
        <w:rPr>
          <w:rFonts w:cs="Arial"/>
        </w:rPr>
        <w:t xml:space="preserve"> Endpunkten </w:t>
      </w:r>
      <w:r w:rsidR="00870573" w:rsidRPr="00812C16">
        <w:rPr>
          <w:rFonts w:cs="Arial"/>
        </w:rPr>
        <w:t>F</w:t>
      </w:r>
      <w:r w:rsidR="00384FB4" w:rsidRPr="00812C16">
        <w:rPr>
          <w:rFonts w:cs="Arial"/>
        </w:rPr>
        <w:t>ernmetasten</w:t>
      </w:r>
      <w:r w:rsidR="00870573" w:rsidRPr="00812C16">
        <w:rPr>
          <w:rFonts w:cs="Arial"/>
        </w:rPr>
        <w:t>-</w:t>
      </w:r>
      <w:r w:rsidR="00384FB4" w:rsidRPr="00812C16">
        <w:rPr>
          <w:rFonts w:cs="Arial"/>
        </w:rPr>
        <w:t xml:space="preserve">freies </w:t>
      </w:r>
      <w:r w:rsidR="002B5580" w:rsidRPr="00812C16">
        <w:rPr>
          <w:rFonts w:cs="Arial"/>
        </w:rPr>
        <w:t>Überleben</w:t>
      </w:r>
      <w:r w:rsidR="00384FB4" w:rsidRPr="00812C16">
        <w:rPr>
          <w:rFonts w:cs="Arial"/>
        </w:rPr>
        <w:t xml:space="preserve"> (</w:t>
      </w:r>
      <w:r w:rsidR="00245798" w:rsidRPr="00812C16">
        <w:rPr>
          <w:rFonts w:cs="Arial"/>
        </w:rPr>
        <w:t xml:space="preserve">HR 2,29, </w:t>
      </w:r>
      <w:r w:rsidR="00384FB4" w:rsidRPr="00812C16">
        <w:rPr>
          <w:rFonts w:cs="Arial"/>
        </w:rPr>
        <w:t xml:space="preserve">p = 0,075) oder </w:t>
      </w:r>
      <w:proofErr w:type="spellStart"/>
      <w:r w:rsidR="00384FB4" w:rsidRPr="00812C16">
        <w:rPr>
          <w:rFonts w:cs="Arial"/>
        </w:rPr>
        <w:t>Gesamtüberleben</w:t>
      </w:r>
      <w:proofErr w:type="spellEnd"/>
      <w:r w:rsidR="00384FB4" w:rsidRPr="00812C16">
        <w:rPr>
          <w:rFonts w:cs="Arial"/>
        </w:rPr>
        <w:t xml:space="preserve"> (</w:t>
      </w:r>
      <w:r w:rsidR="00245798" w:rsidRPr="00812C16">
        <w:rPr>
          <w:rFonts w:cs="Arial"/>
        </w:rPr>
        <w:t xml:space="preserve">HR 1,78, </w:t>
      </w:r>
      <w:r w:rsidR="00384FB4" w:rsidRPr="00812C16">
        <w:rPr>
          <w:rFonts w:cs="Arial"/>
        </w:rPr>
        <w:t>p = 0,089).</w:t>
      </w:r>
      <w:r w:rsidR="00CF0682" w:rsidRPr="00812C16">
        <w:rPr>
          <w:rFonts w:cs="Arial"/>
        </w:rPr>
        <w:t xml:space="preserve"> </w:t>
      </w:r>
      <w:r w:rsidR="00063FF5" w:rsidRPr="00812C16">
        <w:rPr>
          <w:rFonts w:cs="Arial"/>
        </w:rPr>
        <w:t xml:space="preserve">Die </w:t>
      </w:r>
      <w:r w:rsidR="00605BF2" w:rsidRPr="00812C16">
        <w:rPr>
          <w:rFonts w:cs="Arial"/>
        </w:rPr>
        <w:t xml:space="preserve">dazugehörigen </w:t>
      </w:r>
      <w:r w:rsidR="00063FF5" w:rsidRPr="00812C16">
        <w:rPr>
          <w:rFonts w:cs="Arial"/>
        </w:rPr>
        <w:t xml:space="preserve">Kaplan-Meier Ereigniskurven für die sekundären Endpunkte </w:t>
      </w:r>
      <w:r w:rsidR="007D5F5C" w:rsidRPr="00812C16">
        <w:rPr>
          <w:rFonts w:cs="Arial"/>
        </w:rPr>
        <w:t>F</w:t>
      </w:r>
      <w:r w:rsidR="00063FF5" w:rsidRPr="00812C16">
        <w:rPr>
          <w:rFonts w:cs="Arial"/>
        </w:rPr>
        <w:t>ernmetastasen</w:t>
      </w:r>
      <w:r w:rsidR="007D5F5C" w:rsidRPr="00812C16">
        <w:rPr>
          <w:rFonts w:cs="Arial"/>
        </w:rPr>
        <w:t>-</w:t>
      </w:r>
      <w:r w:rsidR="00063FF5" w:rsidRPr="00812C16">
        <w:rPr>
          <w:rFonts w:cs="Arial"/>
        </w:rPr>
        <w:t>freies Überleben und Gesamtüberleben sind</w:t>
      </w:r>
      <w:r w:rsidR="007D5F5C" w:rsidRPr="00812C16">
        <w:rPr>
          <w:rFonts w:cs="Arial"/>
        </w:rPr>
        <w:t xml:space="preserve"> weiter unten</w:t>
      </w:r>
      <w:r w:rsidR="00063FF5" w:rsidRPr="00812C16">
        <w:rPr>
          <w:rFonts w:cs="Arial"/>
        </w:rPr>
        <w:t xml:space="preserve"> in </w:t>
      </w:r>
      <w:r w:rsidR="007D5F5C" w:rsidRPr="00812C16">
        <w:rPr>
          <w:rFonts w:cs="Arial"/>
        </w:rPr>
        <w:fldChar w:fldCharType="begin"/>
      </w:r>
      <w:r w:rsidR="007D5F5C" w:rsidRPr="00812C16">
        <w:rPr>
          <w:rFonts w:cs="Arial"/>
        </w:rPr>
        <w:instrText xml:space="preserve"> REF _Ref91092650 \h  \* MERGEFORMAT </w:instrText>
      </w:r>
      <w:r w:rsidR="007D5F5C" w:rsidRPr="00812C16">
        <w:rPr>
          <w:rFonts w:cs="Arial"/>
        </w:rPr>
      </w:r>
      <w:r w:rsidR="007D5F5C" w:rsidRPr="00812C16">
        <w:rPr>
          <w:rFonts w:cs="Arial"/>
        </w:rPr>
        <w:fldChar w:fldCharType="separate"/>
      </w:r>
      <w:r w:rsidR="00F67803" w:rsidRPr="00F67803">
        <w:rPr>
          <w:color w:val="000000" w:themeColor="text1"/>
        </w:rPr>
        <w:t xml:space="preserve">Abbildung </w:t>
      </w:r>
      <w:r w:rsidR="00F67803" w:rsidRPr="00F67803">
        <w:rPr>
          <w:noProof/>
          <w:color w:val="000000" w:themeColor="text1"/>
        </w:rPr>
        <w:t>4</w:t>
      </w:r>
      <w:r w:rsidR="00F67803" w:rsidRPr="00F67803">
        <w:rPr>
          <w:noProof/>
          <w:color w:val="000000" w:themeColor="text1"/>
        </w:rPr>
        <w:noBreakHyphen/>
        <w:t>6</w:t>
      </w:r>
      <w:r w:rsidR="007D5F5C" w:rsidRPr="00812C16">
        <w:rPr>
          <w:rFonts w:cs="Arial"/>
        </w:rPr>
        <w:fldChar w:fldCharType="end"/>
      </w:r>
      <w:r w:rsidR="007D5F5C" w:rsidRPr="00812C16">
        <w:rPr>
          <w:rFonts w:cs="Arial"/>
        </w:rPr>
        <w:t xml:space="preserve"> </w:t>
      </w:r>
      <w:r w:rsidR="00063FF5" w:rsidRPr="00812C16">
        <w:rPr>
          <w:rFonts w:cs="Arial"/>
        </w:rPr>
        <w:t xml:space="preserve">dargestellt. </w:t>
      </w:r>
    </w:p>
    <w:p w14:paraId="25344462" w14:textId="77777777" w:rsidR="00B501EB" w:rsidRPr="00812C16" w:rsidRDefault="00B71E93" w:rsidP="00333B57">
      <w:pPr>
        <w:tabs>
          <w:tab w:val="left" w:pos="1985"/>
          <w:tab w:val="left" w:pos="7655"/>
          <w:tab w:val="left" w:pos="7797"/>
        </w:tabs>
        <w:spacing w:before="360" w:after="0"/>
        <w:ind w:left="993"/>
        <w:rPr>
          <w:rFonts w:cs="Arial"/>
        </w:rPr>
      </w:pPr>
      <w:r w:rsidRPr="00812C16">
        <w:rPr>
          <w:rFonts w:cs="Arial"/>
          <w:noProof/>
          <w:lang w:eastAsia="de-DE"/>
        </w:rPr>
        <w:drawing>
          <wp:inline distT="0" distB="0" distL="0" distR="0" wp14:anchorId="4A0AD973" wp14:editId="1D44DF9B">
            <wp:extent cx="4406900" cy="3315970"/>
            <wp:effectExtent l="0" t="0" r="0" b="0"/>
            <wp:docPr id="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4">
                      <a:extLst>
                        <a:ext uri="{28A0092B-C50C-407E-A947-70E740481C1C}">
                          <a14:useLocalDpi xmlns:a14="http://schemas.microsoft.com/office/drawing/2010/main" val="0"/>
                        </a:ext>
                      </a:extLst>
                    </a:blip>
                    <a:srcRect l="1331" r="29929" b="20436"/>
                    <a:stretch>
                      <a:fillRect/>
                    </a:stretch>
                  </pic:blipFill>
                  <pic:spPr bwMode="auto">
                    <a:xfrm>
                      <a:off x="0" y="0"/>
                      <a:ext cx="4406900" cy="3315970"/>
                    </a:xfrm>
                    <a:prstGeom prst="rect">
                      <a:avLst/>
                    </a:prstGeom>
                    <a:noFill/>
                    <a:ln>
                      <a:noFill/>
                    </a:ln>
                  </pic:spPr>
                </pic:pic>
              </a:graphicData>
            </a:graphic>
          </wp:inline>
        </w:drawing>
      </w:r>
    </w:p>
    <w:p w14:paraId="613031AD" w14:textId="3ECECE11" w:rsidR="00B501EB" w:rsidRPr="00812C16" w:rsidRDefault="00B501EB" w:rsidP="00B501EB">
      <w:pPr>
        <w:pStyle w:val="Beschriftung"/>
        <w:spacing w:after="360" w:line="240" w:lineRule="auto"/>
        <w:rPr>
          <w:i w:val="0"/>
          <w:iCs w:val="0"/>
          <w:color w:val="000000" w:themeColor="text1"/>
          <w:sz w:val="20"/>
          <w:szCs w:val="20"/>
        </w:rPr>
      </w:pPr>
      <w:bookmarkStart w:id="71" w:name="_Ref90890577"/>
      <w:bookmarkStart w:id="72" w:name="_Ref90890573"/>
      <w:bookmarkStart w:id="73" w:name="_Toc180788384"/>
      <w:r w:rsidRPr="00812C16">
        <w:rPr>
          <w:b/>
          <w:bCs/>
          <w:i w:val="0"/>
          <w:iCs w:val="0"/>
          <w:color w:val="000000" w:themeColor="text1"/>
          <w:sz w:val="20"/>
          <w:szCs w:val="20"/>
        </w:rPr>
        <w:t xml:space="preserve">Abbildung </w:t>
      </w:r>
      <w:r w:rsidR="00BF08D6" w:rsidRPr="00812C16">
        <w:rPr>
          <w:b/>
          <w:bCs/>
          <w:i w:val="0"/>
          <w:iCs w:val="0"/>
          <w:color w:val="000000" w:themeColor="text1"/>
          <w:sz w:val="20"/>
          <w:szCs w:val="20"/>
        </w:rPr>
        <w:fldChar w:fldCharType="begin"/>
      </w:r>
      <w:r w:rsidR="00BF08D6" w:rsidRPr="00812C16">
        <w:rPr>
          <w:b/>
          <w:bCs/>
          <w:i w:val="0"/>
          <w:iCs w:val="0"/>
          <w:color w:val="000000" w:themeColor="text1"/>
          <w:sz w:val="20"/>
          <w:szCs w:val="20"/>
        </w:rPr>
        <w:instrText xml:space="preserve"> STYLEREF 1 \s </w:instrText>
      </w:r>
      <w:r w:rsidR="00BF08D6" w:rsidRPr="00812C16">
        <w:rPr>
          <w:b/>
          <w:bCs/>
          <w:i w:val="0"/>
          <w:iCs w:val="0"/>
          <w:color w:val="000000" w:themeColor="text1"/>
          <w:sz w:val="20"/>
          <w:szCs w:val="20"/>
        </w:rPr>
        <w:fldChar w:fldCharType="separate"/>
      </w:r>
      <w:r w:rsidR="00F67803">
        <w:rPr>
          <w:b/>
          <w:bCs/>
          <w:i w:val="0"/>
          <w:iCs w:val="0"/>
          <w:noProof/>
          <w:color w:val="000000" w:themeColor="text1"/>
          <w:sz w:val="20"/>
          <w:szCs w:val="20"/>
        </w:rPr>
        <w:t>4</w:t>
      </w:r>
      <w:r w:rsidR="00BF08D6" w:rsidRPr="00812C16">
        <w:rPr>
          <w:b/>
          <w:bCs/>
          <w:i w:val="0"/>
          <w:iCs w:val="0"/>
          <w:color w:val="000000" w:themeColor="text1"/>
          <w:sz w:val="20"/>
          <w:szCs w:val="20"/>
        </w:rPr>
        <w:fldChar w:fldCharType="end"/>
      </w:r>
      <w:r w:rsidR="00BF08D6" w:rsidRPr="00812C16">
        <w:rPr>
          <w:b/>
          <w:bCs/>
          <w:i w:val="0"/>
          <w:iCs w:val="0"/>
          <w:color w:val="000000" w:themeColor="text1"/>
          <w:sz w:val="20"/>
          <w:szCs w:val="20"/>
        </w:rPr>
        <w:noBreakHyphen/>
      </w:r>
      <w:r w:rsidR="00BF08D6" w:rsidRPr="00812C16">
        <w:rPr>
          <w:b/>
          <w:bCs/>
          <w:i w:val="0"/>
          <w:iCs w:val="0"/>
          <w:color w:val="000000" w:themeColor="text1"/>
          <w:sz w:val="20"/>
          <w:szCs w:val="20"/>
        </w:rPr>
        <w:fldChar w:fldCharType="begin"/>
      </w:r>
      <w:r w:rsidR="00BF08D6" w:rsidRPr="00812C16">
        <w:rPr>
          <w:b/>
          <w:bCs/>
          <w:i w:val="0"/>
          <w:iCs w:val="0"/>
          <w:color w:val="000000" w:themeColor="text1"/>
          <w:sz w:val="20"/>
          <w:szCs w:val="20"/>
        </w:rPr>
        <w:instrText xml:space="preserve"> SEQ Abbildung \* ARABIC \s 1 </w:instrText>
      </w:r>
      <w:r w:rsidR="00BF08D6" w:rsidRPr="00812C16">
        <w:rPr>
          <w:b/>
          <w:bCs/>
          <w:i w:val="0"/>
          <w:iCs w:val="0"/>
          <w:color w:val="000000" w:themeColor="text1"/>
          <w:sz w:val="20"/>
          <w:szCs w:val="20"/>
        </w:rPr>
        <w:fldChar w:fldCharType="separate"/>
      </w:r>
      <w:r w:rsidR="00F67803">
        <w:rPr>
          <w:b/>
          <w:bCs/>
          <w:i w:val="0"/>
          <w:iCs w:val="0"/>
          <w:noProof/>
          <w:color w:val="000000" w:themeColor="text1"/>
          <w:sz w:val="20"/>
          <w:szCs w:val="20"/>
        </w:rPr>
        <w:t>4</w:t>
      </w:r>
      <w:r w:rsidR="00BF08D6" w:rsidRPr="00812C16">
        <w:rPr>
          <w:b/>
          <w:bCs/>
          <w:i w:val="0"/>
          <w:iCs w:val="0"/>
          <w:color w:val="000000" w:themeColor="text1"/>
          <w:sz w:val="20"/>
          <w:szCs w:val="20"/>
        </w:rPr>
        <w:fldChar w:fldCharType="end"/>
      </w:r>
      <w:bookmarkEnd w:id="71"/>
      <w:r w:rsidRPr="00812C16">
        <w:rPr>
          <w:b/>
          <w:bCs/>
          <w:i w:val="0"/>
          <w:iCs w:val="0"/>
          <w:color w:val="000000" w:themeColor="text1"/>
          <w:sz w:val="20"/>
          <w:szCs w:val="20"/>
        </w:rPr>
        <w:t xml:space="preserve">: Kaplan-Meier Analyse zum Einfluss der CD44 Proteinexpression auf die loko-regionäre Tumorkontrolle aller Patienten. </w:t>
      </w:r>
      <w:r w:rsidRPr="00812C16">
        <w:rPr>
          <w:i w:val="0"/>
          <w:iCs w:val="0"/>
          <w:color w:val="000000" w:themeColor="text1"/>
          <w:sz w:val="20"/>
          <w:szCs w:val="20"/>
        </w:rPr>
        <w:t>Patienten mit CD44 positiven Kopf-Hals-</w:t>
      </w:r>
      <w:r w:rsidRPr="00812C16">
        <w:rPr>
          <w:i w:val="0"/>
          <w:iCs w:val="0"/>
          <w:color w:val="000000" w:themeColor="text1"/>
          <w:sz w:val="20"/>
          <w:szCs w:val="20"/>
        </w:rPr>
        <w:lastRenderedPageBreak/>
        <w:t>Plattenepithelkarzinomen haben eine signifikant schlechtere loko-regionäre Tumorkontrolle als Patienten mit CD44 negativen Tumoren (p=0,008)</w:t>
      </w:r>
      <w:bookmarkEnd w:id="72"/>
      <w:bookmarkEnd w:id="73"/>
    </w:p>
    <w:p w14:paraId="10EE9E08" w14:textId="01B39EDD" w:rsidR="002903EB" w:rsidRPr="00812C16" w:rsidRDefault="00605BF2" w:rsidP="00EF3572">
      <w:pPr>
        <w:spacing w:before="360" w:after="360"/>
        <w:rPr>
          <w:rFonts w:cs="Arial"/>
          <w:lang w:eastAsia="de-DE"/>
        </w:rPr>
      </w:pPr>
      <w:r w:rsidRPr="00812C16">
        <w:rPr>
          <w:rFonts w:cs="Arial"/>
          <w:lang w:eastAsia="de-DE"/>
        </w:rPr>
        <w:t xml:space="preserve">Ähnliche Effekte für die loko-regionäre Kontrolle wurden in der Untergruppe der HPV16 DNA-negativen </w:t>
      </w:r>
      <w:r w:rsidR="003116DA" w:rsidRPr="00812C16">
        <w:rPr>
          <w:rFonts w:cs="Arial"/>
        </w:rPr>
        <w:t>Kopf-Hals-Plattenepithelkarzinomen</w:t>
      </w:r>
      <w:r w:rsidRPr="00812C16">
        <w:rPr>
          <w:rFonts w:cs="Arial"/>
          <w:lang w:eastAsia="de-DE"/>
        </w:rPr>
        <w:t xml:space="preserve"> beobachtet</w:t>
      </w:r>
      <w:r w:rsidR="003116DA" w:rsidRPr="00812C16">
        <w:rPr>
          <w:rFonts w:cs="Arial"/>
          <w:lang w:eastAsia="de-DE"/>
        </w:rPr>
        <w:t xml:space="preserve">. Hier zeigten </w:t>
      </w:r>
      <w:r w:rsidR="003116DA" w:rsidRPr="00812C16">
        <w:rPr>
          <w:rFonts w:cs="Arial"/>
        </w:rPr>
        <w:t xml:space="preserve">univariate Analysen einen statistischen Trend </w:t>
      </w:r>
      <w:proofErr w:type="spellStart"/>
      <w:r w:rsidR="003116DA" w:rsidRPr="00812C16">
        <w:rPr>
          <w:rFonts w:cs="Arial"/>
        </w:rPr>
        <w:t>für</w:t>
      </w:r>
      <w:proofErr w:type="spellEnd"/>
      <w:r w:rsidR="003116DA" w:rsidRPr="00812C16">
        <w:rPr>
          <w:rFonts w:cs="Arial"/>
        </w:rPr>
        <w:t xml:space="preserve"> eine Korrelation von CD44 mit der </w:t>
      </w:r>
      <w:proofErr w:type="spellStart"/>
      <w:r w:rsidR="003116DA" w:rsidRPr="00812C16">
        <w:rPr>
          <w:rFonts w:cs="Arial"/>
        </w:rPr>
        <w:t>loko-regionären</w:t>
      </w:r>
      <w:proofErr w:type="spellEnd"/>
      <w:r w:rsidR="003116DA" w:rsidRPr="00812C16">
        <w:rPr>
          <w:rFonts w:cs="Arial"/>
        </w:rPr>
        <w:t xml:space="preserve"> Tumorkontrolle (p = 0,05; </w:t>
      </w:r>
      <w:r w:rsidR="003116DA" w:rsidRPr="00812C16">
        <w:rPr>
          <w:rFonts w:cs="Arial"/>
        </w:rPr>
        <w:fldChar w:fldCharType="begin"/>
      </w:r>
      <w:r w:rsidR="003116DA" w:rsidRPr="00812C16">
        <w:rPr>
          <w:rFonts w:cs="Arial"/>
        </w:rPr>
        <w:instrText xml:space="preserve"> REF _Ref91007954 \h  \* MERGEFORMAT </w:instrText>
      </w:r>
      <w:r w:rsidR="003116DA" w:rsidRPr="00812C16">
        <w:rPr>
          <w:rFonts w:cs="Arial"/>
        </w:rPr>
      </w:r>
      <w:r w:rsidR="003116DA" w:rsidRPr="00812C16">
        <w:rPr>
          <w:rFonts w:cs="Arial"/>
        </w:rPr>
        <w:fldChar w:fldCharType="separate"/>
      </w:r>
      <w:r w:rsidR="00F67803" w:rsidRPr="00F67803">
        <w:t xml:space="preserve">Abbildung </w:t>
      </w:r>
      <w:r w:rsidR="00F67803" w:rsidRPr="00F67803">
        <w:rPr>
          <w:noProof/>
        </w:rPr>
        <w:t>4</w:t>
      </w:r>
      <w:r w:rsidR="00F67803" w:rsidRPr="00F67803">
        <w:rPr>
          <w:noProof/>
        </w:rPr>
        <w:noBreakHyphen/>
        <w:t>5</w:t>
      </w:r>
      <w:r w:rsidR="003116DA" w:rsidRPr="00812C16">
        <w:rPr>
          <w:rFonts w:cs="Arial"/>
        </w:rPr>
        <w:fldChar w:fldCharType="end"/>
      </w:r>
      <w:r w:rsidR="003116DA" w:rsidRPr="00812C16">
        <w:rPr>
          <w:rFonts w:cs="Arial"/>
        </w:rPr>
        <w:t xml:space="preserve">). </w:t>
      </w:r>
    </w:p>
    <w:p w14:paraId="2D3146C4" w14:textId="77777777" w:rsidR="0036057F" w:rsidRPr="00812C16" w:rsidRDefault="00B71E93" w:rsidP="00333B57">
      <w:pPr>
        <w:keepNext/>
        <w:tabs>
          <w:tab w:val="left" w:pos="1985"/>
          <w:tab w:val="left" w:pos="6946"/>
          <w:tab w:val="left" w:pos="7371"/>
          <w:tab w:val="left" w:pos="7655"/>
          <w:tab w:val="left" w:pos="7938"/>
        </w:tabs>
        <w:spacing w:before="360" w:after="0"/>
        <w:ind w:left="993"/>
        <w:jc w:val="left"/>
      </w:pPr>
      <w:r w:rsidRPr="00812C16">
        <w:rPr>
          <w:rFonts w:cs="Arial"/>
          <w:noProof/>
          <w:lang w:eastAsia="de-DE"/>
        </w:rPr>
        <w:drawing>
          <wp:inline distT="0" distB="0" distL="0" distR="0" wp14:anchorId="7642F414" wp14:editId="019A9B01">
            <wp:extent cx="4462145" cy="3315970"/>
            <wp:effectExtent l="0" t="0" r="0" b="0"/>
            <wp:docPr id="12"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25">
                      <a:extLst>
                        <a:ext uri="{28A0092B-C50C-407E-A947-70E740481C1C}">
                          <a14:useLocalDpi xmlns:a14="http://schemas.microsoft.com/office/drawing/2010/main" val="0"/>
                        </a:ext>
                      </a:extLst>
                    </a:blip>
                    <a:srcRect l="919" r="29623" b="20436"/>
                    <a:stretch>
                      <a:fillRect/>
                    </a:stretch>
                  </pic:blipFill>
                  <pic:spPr bwMode="auto">
                    <a:xfrm>
                      <a:off x="0" y="0"/>
                      <a:ext cx="4462145" cy="3315970"/>
                    </a:xfrm>
                    <a:prstGeom prst="rect">
                      <a:avLst/>
                    </a:prstGeom>
                    <a:noFill/>
                    <a:ln>
                      <a:noFill/>
                    </a:ln>
                  </pic:spPr>
                </pic:pic>
              </a:graphicData>
            </a:graphic>
          </wp:inline>
        </w:drawing>
      </w:r>
    </w:p>
    <w:p w14:paraId="567486F9" w14:textId="112BE221" w:rsidR="0036057F" w:rsidRPr="00812C16" w:rsidRDefault="0036057F" w:rsidP="00960B48">
      <w:pPr>
        <w:pStyle w:val="Beschriftung"/>
        <w:spacing w:after="360" w:line="240" w:lineRule="auto"/>
        <w:rPr>
          <w:rFonts w:cs="Arial"/>
          <w:i w:val="0"/>
          <w:iCs w:val="0"/>
          <w:color w:val="auto"/>
          <w:sz w:val="20"/>
          <w:szCs w:val="20"/>
        </w:rPr>
      </w:pPr>
      <w:bookmarkStart w:id="74" w:name="_Ref91007954"/>
      <w:bookmarkStart w:id="75" w:name="_Toc180788385"/>
      <w:r w:rsidRPr="00812C16">
        <w:rPr>
          <w:b/>
          <w:bCs/>
          <w:i w:val="0"/>
          <w:iCs w:val="0"/>
          <w:color w:val="auto"/>
          <w:sz w:val="20"/>
          <w:szCs w:val="20"/>
        </w:rPr>
        <w:t xml:space="preserve">Abbildung </w:t>
      </w:r>
      <w:r w:rsidR="00BF08D6" w:rsidRPr="00812C16">
        <w:rPr>
          <w:b/>
          <w:bCs/>
          <w:i w:val="0"/>
          <w:iCs w:val="0"/>
          <w:color w:val="auto"/>
          <w:sz w:val="20"/>
          <w:szCs w:val="20"/>
        </w:rPr>
        <w:fldChar w:fldCharType="begin"/>
      </w:r>
      <w:r w:rsidR="00BF08D6" w:rsidRPr="00812C16">
        <w:rPr>
          <w:b/>
          <w:bCs/>
          <w:i w:val="0"/>
          <w:iCs w:val="0"/>
          <w:color w:val="auto"/>
          <w:sz w:val="20"/>
          <w:szCs w:val="20"/>
        </w:rPr>
        <w:instrText xml:space="preserve"> STYLEREF 1 \s </w:instrText>
      </w:r>
      <w:r w:rsidR="00BF08D6" w:rsidRPr="00812C16">
        <w:rPr>
          <w:b/>
          <w:bCs/>
          <w:i w:val="0"/>
          <w:iCs w:val="0"/>
          <w:color w:val="auto"/>
          <w:sz w:val="20"/>
          <w:szCs w:val="20"/>
        </w:rPr>
        <w:fldChar w:fldCharType="separate"/>
      </w:r>
      <w:r w:rsidR="00F67803">
        <w:rPr>
          <w:b/>
          <w:bCs/>
          <w:i w:val="0"/>
          <w:iCs w:val="0"/>
          <w:noProof/>
          <w:color w:val="auto"/>
          <w:sz w:val="20"/>
          <w:szCs w:val="20"/>
        </w:rPr>
        <w:t>4</w:t>
      </w:r>
      <w:r w:rsidR="00BF08D6" w:rsidRPr="00812C16">
        <w:rPr>
          <w:b/>
          <w:bCs/>
          <w:i w:val="0"/>
          <w:iCs w:val="0"/>
          <w:color w:val="auto"/>
          <w:sz w:val="20"/>
          <w:szCs w:val="20"/>
        </w:rPr>
        <w:fldChar w:fldCharType="end"/>
      </w:r>
      <w:r w:rsidR="00BF08D6" w:rsidRPr="00812C16">
        <w:rPr>
          <w:b/>
          <w:bCs/>
          <w:i w:val="0"/>
          <w:iCs w:val="0"/>
          <w:color w:val="auto"/>
          <w:sz w:val="20"/>
          <w:szCs w:val="20"/>
        </w:rPr>
        <w:noBreakHyphen/>
      </w:r>
      <w:r w:rsidR="00BF08D6" w:rsidRPr="00812C16">
        <w:rPr>
          <w:b/>
          <w:bCs/>
          <w:i w:val="0"/>
          <w:iCs w:val="0"/>
          <w:color w:val="auto"/>
          <w:sz w:val="20"/>
          <w:szCs w:val="20"/>
        </w:rPr>
        <w:fldChar w:fldCharType="begin"/>
      </w:r>
      <w:r w:rsidR="00BF08D6" w:rsidRPr="00812C16">
        <w:rPr>
          <w:b/>
          <w:bCs/>
          <w:i w:val="0"/>
          <w:iCs w:val="0"/>
          <w:color w:val="auto"/>
          <w:sz w:val="20"/>
          <w:szCs w:val="20"/>
        </w:rPr>
        <w:instrText xml:space="preserve"> SEQ Abbildung \* ARABIC \s 1 </w:instrText>
      </w:r>
      <w:r w:rsidR="00BF08D6" w:rsidRPr="00812C16">
        <w:rPr>
          <w:b/>
          <w:bCs/>
          <w:i w:val="0"/>
          <w:iCs w:val="0"/>
          <w:color w:val="auto"/>
          <w:sz w:val="20"/>
          <w:szCs w:val="20"/>
        </w:rPr>
        <w:fldChar w:fldCharType="separate"/>
      </w:r>
      <w:r w:rsidR="00F67803">
        <w:rPr>
          <w:b/>
          <w:bCs/>
          <w:i w:val="0"/>
          <w:iCs w:val="0"/>
          <w:noProof/>
          <w:color w:val="auto"/>
          <w:sz w:val="20"/>
          <w:szCs w:val="20"/>
        </w:rPr>
        <w:t>5</w:t>
      </w:r>
      <w:r w:rsidR="00BF08D6" w:rsidRPr="00812C16">
        <w:rPr>
          <w:b/>
          <w:bCs/>
          <w:i w:val="0"/>
          <w:iCs w:val="0"/>
          <w:color w:val="auto"/>
          <w:sz w:val="20"/>
          <w:szCs w:val="20"/>
        </w:rPr>
        <w:fldChar w:fldCharType="end"/>
      </w:r>
      <w:bookmarkEnd w:id="74"/>
      <w:r w:rsidRPr="00812C16">
        <w:rPr>
          <w:b/>
          <w:bCs/>
          <w:i w:val="0"/>
          <w:iCs w:val="0"/>
          <w:color w:val="auto"/>
          <w:sz w:val="20"/>
          <w:szCs w:val="20"/>
        </w:rPr>
        <w:t>: Kaplan-Meier Analyse zum Einfluss der CD44 Proteinexpression auf die loko-regionäre Tumorkontrolle von Patienten mit HPV16 DNA-negativen Tumoren.</w:t>
      </w:r>
      <w:r w:rsidR="00960B48" w:rsidRPr="00812C16">
        <w:rPr>
          <w:b/>
          <w:bCs/>
          <w:i w:val="0"/>
          <w:iCs w:val="0"/>
          <w:color w:val="auto"/>
          <w:sz w:val="20"/>
          <w:szCs w:val="20"/>
        </w:rPr>
        <w:t xml:space="preserve"> </w:t>
      </w:r>
      <w:r w:rsidR="00BF23BF" w:rsidRPr="00812C16">
        <w:rPr>
          <w:i w:val="0"/>
          <w:iCs w:val="0"/>
          <w:color w:val="auto"/>
          <w:sz w:val="20"/>
          <w:szCs w:val="20"/>
        </w:rPr>
        <w:t xml:space="preserve">Patienten der Subgruppe mit HPV16 </w:t>
      </w:r>
      <w:r w:rsidR="00E967BC" w:rsidRPr="00812C16">
        <w:rPr>
          <w:i w:val="0"/>
          <w:iCs w:val="0"/>
          <w:color w:val="auto"/>
          <w:sz w:val="20"/>
          <w:szCs w:val="20"/>
        </w:rPr>
        <w:t>DNA-</w:t>
      </w:r>
      <w:r w:rsidR="00BF23BF" w:rsidRPr="00812C16">
        <w:rPr>
          <w:i w:val="0"/>
          <w:iCs w:val="0"/>
          <w:color w:val="auto"/>
          <w:sz w:val="20"/>
          <w:szCs w:val="20"/>
        </w:rPr>
        <w:t>negativen und CD44 negativen Kopf-Hals-Plattenepithelkarzinomen zeigen einen statistischen Trend für eine bessere loko-regionäre Tumorkontrolle im Vergleich zu Patienten mit HPV16 DNA negativen und CD</w:t>
      </w:r>
      <w:r w:rsidR="00960B48" w:rsidRPr="00812C16">
        <w:rPr>
          <w:i w:val="0"/>
          <w:iCs w:val="0"/>
          <w:color w:val="auto"/>
          <w:sz w:val="20"/>
          <w:szCs w:val="20"/>
        </w:rPr>
        <w:t>44-positiven Tumoren (p=0,05).</w:t>
      </w:r>
      <w:bookmarkEnd w:id="75"/>
    </w:p>
    <w:p w14:paraId="4F6ADA05" w14:textId="580673C5" w:rsidR="003479B2" w:rsidRPr="00812C16" w:rsidRDefault="003116DA" w:rsidP="003479B2">
      <w:pPr>
        <w:spacing w:before="360" w:after="360"/>
        <w:rPr>
          <w:rFonts w:cs="Arial"/>
        </w:rPr>
      </w:pPr>
      <w:r w:rsidRPr="00812C16">
        <w:rPr>
          <w:rFonts w:cs="Arial"/>
        </w:rPr>
        <w:t xml:space="preserve">Ähnlich wie bei dem gesamten Patientenkollektiv, hatte CD44 jedoch keinen Einfluss auf die sekundären Endpunkte von Patienten der Subgruppe mit HPV16 DNA-negativen Tumoren. </w:t>
      </w:r>
      <w:r w:rsidR="000D743D" w:rsidRPr="00812C16">
        <w:rPr>
          <w:rFonts w:cs="Arial"/>
        </w:rPr>
        <w:fldChar w:fldCharType="begin"/>
      </w:r>
      <w:r w:rsidR="000D743D" w:rsidRPr="00812C16">
        <w:rPr>
          <w:rFonts w:cs="Arial"/>
        </w:rPr>
        <w:instrText xml:space="preserve"> REF _Ref91092650 \h  \* MERGEFORMAT </w:instrText>
      </w:r>
      <w:r w:rsidR="000D743D" w:rsidRPr="00812C16">
        <w:rPr>
          <w:rFonts w:cs="Arial"/>
        </w:rPr>
      </w:r>
      <w:r w:rsidR="000D743D" w:rsidRPr="00812C16">
        <w:rPr>
          <w:rFonts w:cs="Arial"/>
        </w:rPr>
        <w:fldChar w:fldCharType="separate"/>
      </w:r>
      <w:r w:rsidR="00F67803" w:rsidRPr="00F67803">
        <w:rPr>
          <w:color w:val="000000" w:themeColor="text1"/>
        </w:rPr>
        <w:t xml:space="preserve">Abbildung </w:t>
      </w:r>
      <w:r w:rsidR="00F67803" w:rsidRPr="00F67803">
        <w:rPr>
          <w:noProof/>
          <w:color w:val="000000" w:themeColor="text1"/>
        </w:rPr>
        <w:t>4</w:t>
      </w:r>
      <w:r w:rsidR="00F67803" w:rsidRPr="00F67803">
        <w:rPr>
          <w:noProof/>
          <w:color w:val="000000" w:themeColor="text1"/>
        </w:rPr>
        <w:noBreakHyphen/>
        <w:t>6</w:t>
      </w:r>
      <w:r w:rsidR="000D743D" w:rsidRPr="00812C16">
        <w:rPr>
          <w:rFonts w:cs="Arial"/>
        </w:rPr>
        <w:fldChar w:fldCharType="end"/>
      </w:r>
      <w:r w:rsidR="000D743D" w:rsidRPr="00812C16">
        <w:rPr>
          <w:rFonts w:cs="Arial"/>
        </w:rPr>
        <w:t xml:space="preserve"> zeigt die </w:t>
      </w:r>
      <w:r w:rsidRPr="00812C16">
        <w:rPr>
          <w:rFonts w:cs="Arial"/>
        </w:rPr>
        <w:t>dazugehörigen Überlebensfunktion</w:t>
      </w:r>
      <w:r w:rsidR="00DC3C95" w:rsidRPr="00812C16">
        <w:rPr>
          <w:rFonts w:cs="Arial"/>
        </w:rPr>
        <w:t xml:space="preserve"> dieser Subgruppe</w:t>
      </w:r>
      <w:r w:rsidR="000D743D" w:rsidRPr="00812C16">
        <w:rPr>
          <w:rFonts w:cs="Arial"/>
        </w:rPr>
        <w:t xml:space="preserve">. </w:t>
      </w:r>
      <w:r w:rsidR="003479B2" w:rsidRPr="00812C16">
        <w:rPr>
          <w:rFonts w:cs="Arial"/>
        </w:rPr>
        <w:t>Alle Ergebnisse der univariaten Analyse (Log-Rank Test) zum Einfluss von CD44 auf die loko-regionäre Kontrolle, Fernmetastasen-freies Überleben und Gesamtüberleben der gesamten Patientenkohorte sowie der Subgruppe der HPV16 D</w:t>
      </w:r>
      <w:r w:rsidR="00767E11" w:rsidRPr="00812C16">
        <w:rPr>
          <w:rFonts w:cs="Arial"/>
        </w:rPr>
        <w:t>NA</w:t>
      </w:r>
      <w:r w:rsidR="003479B2" w:rsidRPr="00812C16">
        <w:rPr>
          <w:rFonts w:cs="Arial"/>
        </w:rPr>
        <w:t xml:space="preserve">-negativen Kohorte sind in </w:t>
      </w:r>
      <w:r w:rsidR="000D743D" w:rsidRPr="00812C16">
        <w:rPr>
          <w:rFonts w:cs="Arial"/>
        </w:rPr>
        <w:fldChar w:fldCharType="begin"/>
      </w:r>
      <w:r w:rsidR="000D743D" w:rsidRPr="00812C16">
        <w:rPr>
          <w:rFonts w:cs="Arial"/>
        </w:rPr>
        <w:instrText xml:space="preserve"> REF _Ref91322653 \h  \* MERGEFORMAT </w:instrText>
      </w:r>
      <w:r w:rsidR="000D743D" w:rsidRPr="00812C16">
        <w:rPr>
          <w:rFonts w:cs="Arial"/>
        </w:rPr>
      </w:r>
      <w:r w:rsidR="000D743D" w:rsidRPr="00812C16">
        <w:rPr>
          <w:rFonts w:cs="Arial"/>
        </w:rPr>
        <w:fldChar w:fldCharType="separate"/>
      </w:r>
      <w:r w:rsidR="00F67803" w:rsidRPr="00F67803">
        <w:rPr>
          <w:color w:val="000000" w:themeColor="text1"/>
        </w:rPr>
        <w:t xml:space="preserve">Tabelle </w:t>
      </w:r>
      <w:r w:rsidR="00F67803" w:rsidRPr="00F67803">
        <w:rPr>
          <w:noProof/>
          <w:color w:val="000000" w:themeColor="text1"/>
        </w:rPr>
        <w:t>4</w:t>
      </w:r>
      <w:r w:rsidR="00F67803" w:rsidRPr="00F67803">
        <w:rPr>
          <w:noProof/>
          <w:color w:val="000000" w:themeColor="text1"/>
        </w:rPr>
        <w:noBreakHyphen/>
        <w:t>8</w:t>
      </w:r>
      <w:r w:rsidR="000D743D" w:rsidRPr="00812C16">
        <w:rPr>
          <w:rFonts w:cs="Arial"/>
        </w:rPr>
        <w:fldChar w:fldCharType="end"/>
      </w:r>
      <w:r w:rsidR="000D743D" w:rsidRPr="00812C16">
        <w:rPr>
          <w:rFonts w:cs="Arial"/>
        </w:rPr>
        <w:t xml:space="preserve"> </w:t>
      </w:r>
      <w:r w:rsidR="003479B2" w:rsidRPr="00812C16">
        <w:rPr>
          <w:rFonts w:cs="Arial"/>
        </w:rPr>
        <w:t xml:space="preserve"> </w:t>
      </w:r>
      <w:r w:rsidR="00DC3C95" w:rsidRPr="00812C16">
        <w:rPr>
          <w:rFonts w:cs="Arial"/>
        </w:rPr>
        <w:t xml:space="preserve">nochmal </w:t>
      </w:r>
      <w:r w:rsidR="003479B2" w:rsidRPr="00812C16">
        <w:rPr>
          <w:rFonts w:cs="Arial"/>
        </w:rPr>
        <w:t xml:space="preserve">zusammengefasst. </w:t>
      </w:r>
    </w:p>
    <w:p w14:paraId="513ACA4E" w14:textId="427C5AE2" w:rsidR="003479B2" w:rsidRPr="00812C16" w:rsidRDefault="003479B2" w:rsidP="00B76E7A">
      <w:pPr>
        <w:pStyle w:val="Beschriftung"/>
        <w:keepNext/>
        <w:tabs>
          <w:tab w:val="left" w:pos="2552"/>
          <w:tab w:val="left" w:pos="2977"/>
          <w:tab w:val="left" w:pos="3402"/>
          <w:tab w:val="left" w:pos="3828"/>
          <w:tab w:val="left" w:pos="4111"/>
          <w:tab w:val="left" w:pos="4395"/>
          <w:tab w:val="left" w:pos="5529"/>
          <w:tab w:val="left" w:pos="6237"/>
          <w:tab w:val="left" w:pos="6379"/>
          <w:tab w:val="left" w:pos="7513"/>
          <w:tab w:val="left" w:pos="7797"/>
          <w:tab w:val="left" w:pos="8080"/>
          <w:tab w:val="left" w:pos="8364"/>
        </w:tabs>
        <w:spacing w:after="120" w:line="240" w:lineRule="auto"/>
        <w:rPr>
          <w:color w:val="000000" w:themeColor="text1"/>
        </w:rPr>
      </w:pPr>
      <w:bookmarkStart w:id="76" w:name="_Ref91322653"/>
      <w:bookmarkStart w:id="77" w:name="_Toc180788398"/>
      <w:r w:rsidRPr="00812C16">
        <w:rPr>
          <w:b/>
          <w:bCs/>
          <w:i w:val="0"/>
          <w:iCs w:val="0"/>
          <w:color w:val="000000" w:themeColor="text1"/>
          <w:sz w:val="20"/>
          <w:szCs w:val="20"/>
        </w:rPr>
        <w:lastRenderedPageBreak/>
        <w:t xml:space="preserve">Tabelle </w:t>
      </w:r>
      <w:r w:rsidR="00A126D9" w:rsidRPr="00812C16">
        <w:rPr>
          <w:b/>
          <w:bCs/>
          <w:i w:val="0"/>
          <w:iCs w:val="0"/>
          <w:color w:val="000000" w:themeColor="text1"/>
          <w:sz w:val="20"/>
          <w:szCs w:val="20"/>
        </w:rPr>
        <w:fldChar w:fldCharType="begin"/>
      </w:r>
      <w:r w:rsidR="00A126D9" w:rsidRPr="00812C16">
        <w:rPr>
          <w:b/>
          <w:bCs/>
          <w:i w:val="0"/>
          <w:iCs w:val="0"/>
          <w:color w:val="000000" w:themeColor="text1"/>
          <w:sz w:val="20"/>
          <w:szCs w:val="20"/>
        </w:rPr>
        <w:instrText xml:space="preserve"> STYLEREF 1 \s </w:instrText>
      </w:r>
      <w:r w:rsidR="00A126D9" w:rsidRPr="00812C16">
        <w:rPr>
          <w:b/>
          <w:bCs/>
          <w:i w:val="0"/>
          <w:iCs w:val="0"/>
          <w:color w:val="000000" w:themeColor="text1"/>
          <w:sz w:val="20"/>
          <w:szCs w:val="20"/>
        </w:rPr>
        <w:fldChar w:fldCharType="separate"/>
      </w:r>
      <w:r w:rsidR="00F67803">
        <w:rPr>
          <w:b/>
          <w:bCs/>
          <w:i w:val="0"/>
          <w:iCs w:val="0"/>
          <w:noProof/>
          <w:color w:val="000000" w:themeColor="text1"/>
          <w:sz w:val="20"/>
          <w:szCs w:val="20"/>
        </w:rPr>
        <w:t>4</w:t>
      </w:r>
      <w:r w:rsidR="00A126D9" w:rsidRPr="00812C16">
        <w:rPr>
          <w:b/>
          <w:bCs/>
          <w:i w:val="0"/>
          <w:iCs w:val="0"/>
          <w:color w:val="000000" w:themeColor="text1"/>
          <w:sz w:val="20"/>
          <w:szCs w:val="20"/>
        </w:rPr>
        <w:fldChar w:fldCharType="end"/>
      </w:r>
      <w:r w:rsidR="00A126D9" w:rsidRPr="00812C16">
        <w:rPr>
          <w:b/>
          <w:bCs/>
          <w:i w:val="0"/>
          <w:iCs w:val="0"/>
          <w:color w:val="000000" w:themeColor="text1"/>
          <w:sz w:val="20"/>
          <w:szCs w:val="20"/>
        </w:rPr>
        <w:noBreakHyphen/>
      </w:r>
      <w:r w:rsidR="00A126D9" w:rsidRPr="00812C16">
        <w:rPr>
          <w:b/>
          <w:bCs/>
          <w:i w:val="0"/>
          <w:iCs w:val="0"/>
          <w:color w:val="000000" w:themeColor="text1"/>
          <w:sz w:val="20"/>
          <w:szCs w:val="20"/>
        </w:rPr>
        <w:fldChar w:fldCharType="begin"/>
      </w:r>
      <w:r w:rsidR="00A126D9" w:rsidRPr="00812C16">
        <w:rPr>
          <w:b/>
          <w:bCs/>
          <w:i w:val="0"/>
          <w:iCs w:val="0"/>
          <w:color w:val="000000" w:themeColor="text1"/>
          <w:sz w:val="20"/>
          <w:szCs w:val="20"/>
        </w:rPr>
        <w:instrText xml:space="preserve"> SEQ Tabelle \* ARABIC \s 1 </w:instrText>
      </w:r>
      <w:r w:rsidR="00A126D9" w:rsidRPr="00812C16">
        <w:rPr>
          <w:b/>
          <w:bCs/>
          <w:i w:val="0"/>
          <w:iCs w:val="0"/>
          <w:color w:val="000000" w:themeColor="text1"/>
          <w:sz w:val="20"/>
          <w:szCs w:val="20"/>
        </w:rPr>
        <w:fldChar w:fldCharType="separate"/>
      </w:r>
      <w:r w:rsidR="00F67803">
        <w:rPr>
          <w:b/>
          <w:bCs/>
          <w:i w:val="0"/>
          <w:iCs w:val="0"/>
          <w:noProof/>
          <w:color w:val="000000" w:themeColor="text1"/>
          <w:sz w:val="20"/>
          <w:szCs w:val="20"/>
        </w:rPr>
        <w:t>8</w:t>
      </w:r>
      <w:r w:rsidR="00A126D9" w:rsidRPr="00812C16">
        <w:rPr>
          <w:b/>
          <w:bCs/>
          <w:i w:val="0"/>
          <w:iCs w:val="0"/>
          <w:color w:val="000000" w:themeColor="text1"/>
          <w:sz w:val="20"/>
          <w:szCs w:val="20"/>
        </w:rPr>
        <w:fldChar w:fldCharType="end"/>
      </w:r>
      <w:bookmarkEnd w:id="76"/>
      <w:r w:rsidRPr="00812C16">
        <w:rPr>
          <w:b/>
          <w:bCs/>
          <w:i w:val="0"/>
          <w:iCs w:val="0"/>
          <w:color w:val="000000" w:themeColor="text1"/>
          <w:sz w:val="20"/>
          <w:szCs w:val="20"/>
        </w:rPr>
        <w:t xml:space="preserve">: Univariate Analysen zum Einfluss von CD44 als Tumorstammzellmarker auf die loko-regionären Kontrolle, Fernmetastasen-freies Überleben und Gesamtüberleben.  </w:t>
      </w:r>
      <w:r w:rsidRPr="00812C16">
        <w:rPr>
          <w:i w:val="0"/>
          <w:iCs w:val="0"/>
          <w:color w:val="000000" w:themeColor="text1"/>
          <w:sz w:val="20"/>
          <w:szCs w:val="20"/>
        </w:rPr>
        <w:t xml:space="preserve">HR = </w:t>
      </w:r>
      <w:r w:rsidR="00922319" w:rsidRPr="00812C16">
        <w:rPr>
          <w:i w:val="0"/>
          <w:iCs w:val="0"/>
          <w:color w:val="000000" w:themeColor="text1"/>
          <w:sz w:val="20"/>
          <w:szCs w:val="20"/>
        </w:rPr>
        <w:t>Hazard</w:t>
      </w:r>
      <w:r w:rsidRPr="00812C16">
        <w:rPr>
          <w:i w:val="0"/>
          <w:iCs w:val="0"/>
          <w:color w:val="000000" w:themeColor="text1"/>
          <w:sz w:val="20"/>
          <w:szCs w:val="20"/>
        </w:rPr>
        <w:t xml:space="preserve"> </w:t>
      </w:r>
      <w:r w:rsidR="00922319" w:rsidRPr="00812C16">
        <w:rPr>
          <w:i w:val="0"/>
          <w:iCs w:val="0"/>
          <w:color w:val="000000" w:themeColor="text1"/>
          <w:sz w:val="20"/>
          <w:szCs w:val="20"/>
        </w:rPr>
        <w:t>Ratio</w:t>
      </w:r>
      <w:r w:rsidRPr="00812C16">
        <w:rPr>
          <w:i w:val="0"/>
          <w:iCs w:val="0"/>
          <w:color w:val="000000" w:themeColor="text1"/>
          <w:sz w:val="20"/>
          <w:szCs w:val="20"/>
        </w:rPr>
        <w:t>; 95% KI = 95% -Konfidenzintervall</w:t>
      </w:r>
      <w:bookmarkEnd w:id="77"/>
      <w:r w:rsidRPr="00812C16">
        <w:rPr>
          <w:b/>
          <w:bCs/>
          <w:i w:val="0"/>
          <w:iCs w:val="0"/>
          <w:color w:val="000000" w:themeColor="text1"/>
          <w:sz w:val="20"/>
          <w:szCs w:val="20"/>
        </w:rPr>
        <w:t xml:space="preserve"> </w:t>
      </w:r>
    </w:p>
    <w:tbl>
      <w:tblPr>
        <w:tblW w:w="9072" w:type="dxa"/>
        <w:tblLayout w:type="fixed"/>
        <w:tblCellMar>
          <w:left w:w="0" w:type="dxa"/>
          <w:right w:w="0" w:type="dxa"/>
        </w:tblCellMar>
        <w:tblLook w:val="04A0" w:firstRow="1" w:lastRow="0" w:firstColumn="1" w:lastColumn="0" w:noHBand="0" w:noVBand="1"/>
      </w:tblPr>
      <w:tblGrid>
        <w:gridCol w:w="569"/>
        <w:gridCol w:w="991"/>
        <w:gridCol w:w="1701"/>
        <w:gridCol w:w="852"/>
        <w:gridCol w:w="1700"/>
        <w:gridCol w:w="850"/>
        <w:gridCol w:w="1704"/>
        <w:gridCol w:w="705"/>
      </w:tblGrid>
      <w:tr w:rsidR="00E10DBC" w:rsidRPr="00812C16" w14:paraId="3B5EEAF6" w14:textId="77777777" w:rsidTr="005B22BE">
        <w:trPr>
          <w:trHeight w:val="20"/>
          <w:tblHeader/>
        </w:trPr>
        <w:tc>
          <w:tcPr>
            <w:tcW w:w="1560" w:type="dxa"/>
            <w:gridSpan w:val="2"/>
            <w:tcBorders>
              <w:top w:val="single" w:sz="4" w:space="0" w:color="000000" w:themeColor="text1"/>
            </w:tcBorders>
            <w:tcMar>
              <w:top w:w="75" w:type="dxa"/>
              <w:left w:w="75" w:type="dxa"/>
              <w:bottom w:w="75" w:type="dxa"/>
              <w:right w:w="75" w:type="dxa"/>
            </w:tcMar>
            <w:vAlign w:val="center"/>
          </w:tcPr>
          <w:p w14:paraId="57700008" w14:textId="77777777" w:rsidR="003479B2" w:rsidRPr="00812C16" w:rsidRDefault="003479B2" w:rsidP="006678A2">
            <w:pPr>
              <w:spacing w:after="0" w:line="240" w:lineRule="auto"/>
              <w:jc w:val="center"/>
              <w:rPr>
                <w:rFonts w:cs="Arial"/>
                <w:b/>
                <w:bCs/>
                <w:sz w:val="18"/>
                <w:szCs w:val="18"/>
                <w:lang w:eastAsia="de-DE"/>
              </w:rPr>
            </w:pPr>
            <w:r w:rsidRPr="00812C16">
              <w:rPr>
                <w:rFonts w:cs="Arial"/>
                <w:b/>
                <w:bCs/>
                <w:sz w:val="18"/>
                <w:szCs w:val="18"/>
                <w:lang w:eastAsia="de-DE"/>
              </w:rPr>
              <w:t>Kohorte</w:t>
            </w:r>
          </w:p>
        </w:tc>
        <w:tc>
          <w:tcPr>
            <w:tcW w:w="2553" w:type="dxa"/>
            <w:gridSpan w:val="2"/>
            <w:tcBorders>
              <w:top w:val="single" w:sz="4" w:space="0" w:color="000000" w:themeColor="text1"/>
            </w:tcBorders>
            <w:tcMar>
              <w:top w:w="75" w:type="dxa"/>
              <w:left w:w="75" w:type="dxa"/>
              <w:bottom w:w="75" w:type="dxa"/>
              <w:right w:w="75" w:type="dxa"/>
            </w:tcMar>
            <w:vAlign w:val="center"/>
          </w:tcPr>
          <w:p w14:paraId="7EBE09BF" w14:textId="77777777" w:rsidR="003479B2" w:rsidRPr="00812C16" w:rsidRDefault="003479B2" w:rsidP="006678A2">
            <w:pPr>
              <w:spacing w:after="0" w:line="240" w:lineRule="auto"/>
              <w:jc w:val="center"/>
              <w:rPr>
                <w:rFonts w:cs="Arial"/>
                <w:b/>
                <w:bCs/>
                <w:sz w:val="18"/>
                <w:szCs w:val="18"/>
                <w:lang w:eastAsia="de-DE"/>
              </w:rPr>
            </w:pPr>
            <w:r w:rsidRPr="00812C16">
              <w:rPr>
                <w:rFonts w:cs="Arial"/>
                <w:b/>
                <w:bCs/>
                <w:sz w:val="18"/>
                <w:szCs w:val="18"/>
                <w:lang w:eastAsia="de-DE"/>
              </w:rPr>
              <w:t>Loko-regionäre Kontrolle</w:t>
            </w:r>
          </w:p>
        </w:tc>
        <w:tc>
          <w:tcPr>
            <w:tcW w:w="2550" w:type="dxa"/>
            <w:gridSpan w:val="2"/>
            <w:tcBorders>
              <w:top w:val="single" w:sz="4" w:space="0" w:color="000000" w:themeColor="text1"/>
            </w:tcBorders>
            <w:tcMar>
              <w:top w:w="75" w:type="dxa"/>
              <w:left w:w="75" w:type="dxa"/>
              <w:bottom w:w="75" w:type="dxa"/>
              <w:right w:w="75" w:type="dxa"/>
            </w:tcMar>
            <w:vAlign w:val="center"/>
          </w:tcPr>
          <w:p w14:paraId="5B88D23B" w14:textId="77777777" w:rsidR="003479B2" w:rsidRPr="00812C16" w:rsidRDefault="003479B2" w:rsidP="006678A2">
            <w:pPr>
              <w:spacing w:after="0" w:line="240" w:lineRule="auto"/>
              <w:jc w:val="center"/>
              <w:rPr>
                <w:rFonts w:cs="Arial"/>
                <w:b/>
                <w:bCs/>
                <w:sz w:val="18"/>
                <w:szCs w:val="18"/>
                <w:lang w:eastAsia="de-DE"/>
              </w:rPr>
            </w:pPr>
            <w:r w:rsidRPr="00812C16">
              <w:rPr>
                <w:rFonts w:cs="Arial"/>
                <w:b/>
                <w:bCs/>
                <w:sz w:val="18"/>
                <w:szCs w:val="18"/>
                <w:lang w:eastAsia="de-DE"/>
              </w:rPr>
              <w:t>Fernmetastasen-freies Überleben</w:t>
            </w:r>
          </w:p>
        </w:tc>
        <w:tc>
          <w:tcPr>
            <w:tcW w:w="2409" w:type="dxa"/>
            <w:gridSpan w:val="2"/>
            <w:tcBorders>
              <w:top w:val="single" w:sz="4" w:space="0" w:color="000000" w:themeColor="text1"/>
            </w:tcBorders>
            <w:vAlign w:val="center"/>
          </w:tcPr>
          <w:p w14:paraId="2AF6065D" w14:textId="77777777" w:rsidR="003479B2" w:rsidRPr="00812C16" w:rsidRDefault="003479B2" w:rsidP="006678A2">
            <w:pPr>
              <w:spacing w:after="0" w:line="240" w:lineRule="auto"/>
              <w:jc w:val="center"/>
              <w:rPr>
                <w:rFonts w:cs="Arial"/>
                <w:b/>
                <w:bCs/>
                <w:sz w:val="18"/>
                <w:szCs w:val="18"/>
                <w:lang w:eastAsia="de-DE"/>
              </w:rPr>
            </w:pPr>
            <w:r w:rsidRPr="00812C16">
              <w:rPr>
                <w:rFonts w:cs="Arial"/>
                <w:b/>
                <w:bCs/>
                <w:sz w:val="18"/>
                <w:szCs w:val="18"/>
                <w:lang w:eastAsia="de-DE"/>
              </w:rPr>
              <w:t>Gesamtüberleben</w:t>
            </w:r>
          </w:p>
        </w:tc>
      </w:tr>
      <w:tr w:rsidR="00E10DBC" w:rsidRPr="00812C16" w14:paraId="5E4A4174" w14:textId="77777777" w:rsidTr="005B22BE">
        <w:trPr>
          <w:trHeight w:val="13"/>
        </w:trPr>
        <w:tc>
          <w:tcPr>
            <w:tcW w:w="569" w:type="dxa"/>
            <w:tcBorders>
              <w:bottom w:val="single" w:sz="4" w:space="0" w:color="000000" w:themeColor="text1"/>
            </w:tcBorders>
            <w:tcMar>
              <w:top w:w="75" w:type="dxa"/>
              <w:left w:w="75" w:type="dxa"/>
              <w:bottom w:w="75" w:type="dxa"/>
              <w:right w:w="75" w:type="dxa"/>
            </w:tcMar>
          </w:tcPr>
          <w:p w14:paraId="4368BCA7" w14:textId="77777777" w:rsidR="003479B2" w:rsidRPr="00812C16" w:rsidRDefault="003479B2" w:rsidP="006678A2">
            <w:pPr>
              <w:spacing w:after="0" w:line="240" w:lineRule="auto"/>
              <w:jc w:val="center"/>
              <w:rPr>
                <w:rFonts w:cs="Arial"/>
                <w:sz w:val="18"/>
                <w:szCs w:val="18"/>
                <w:lang w:eastAsia="de-DE"/>
              </w:rPr>
            </w:pPr>
          </w:p>
        </w:tc>
        <w:tc>
          <w:tcPr>
            <w:tcW w:w="991" w:type="dxa"/>
            <w:tcBorders>
              <w:bottom w:val="single" w:sz="4" w:space="0" w:color="000000" w:themeColor="text1"/>
            </w:tcBorders>
          </w:tcPr>
          <w:p w14:paraId="241A31FB" w14:textId="77777777" w:rsidR="003479B2" w:rsidRPr="00812C16" w:rsidRDefault="003479B2" w:rsidP="006678A2">
            <w:pPr>
              <w:spacing w:after="0" w:line="240" w:lineRule="auto"/>
              <w:jc w:val="center"/>
              <w:rPr>
                <w:rFonts w:cs="Arial"/>
                <w:sz w:val="18"/>
                <w:szCs w:val="18"/>
                <w:lang w:eastAsia="de-DE"/>
              </w:rPr>
            </w:pPr>
          </w:p>
        </w:tc>
        <w:tc>
          <w:tcPr>
            <w:tcW w:w="1701" w:type="dxa"/>
            <w:tcBorders>
              <w:bottom w:val="single" w:sz="4" w:space="0" w:color="000000" w:themeColor="text1"/>
            </w:tcBorders>
            <w:tcMar>
              <w:top w:w="75" w:type="dxa"/>
              <w:left w:w="75" w:type="dxa"/>
              <w:bottom w:w="75" w:type="dxa"/>
              <w:right w:w="75" w:type="dxa"/>
            </w:tcMar>
          </w:tcPr>
          <w:p w14:paraId="1BFC1F76" w14:textId="77777777" w:rsidR="003479B2" w:rsidRPr="00812C16" w:rsidRDefault="003479B2" w:rsidP="006678A2">
            <w:pPr>
              <w:spacing w:after="0" w:line="240" w:lineRule="auto"/>
              <w:jc w:val="center"/>
              <w:rPr>
                <w:rFonts w:cs="Arial"/>
                <w:sz w:val="18"/>
                <w:szCs w:val="18"/>
                <w:lang w:eastAsia="de-DE"/>
              </w:rPr>
            </w:pPr>
            <w:r w:rsidRPr="00812C16">
              <w:rPr>
                <w:rFonts w:cs="Arial"/>
                <w:sz w:val="18"/>
                <w:szCs w:val="18"/>
                <w:lang w:eastAsia="de-DE"/>
              </w:rPr>
              <w:t>HR (95% KI)</w:t>
            </w:r>
          </w:p>
        </w:tc>
        <w:tc>
          <w:tcPr>
            <w:tcW w:w="852" w:type="dxa"/>
            <w:tcBorders>
              <w:bottom w:val="single" w:sz="4" w:space="0" w:color="000000" w:themeColor="text1"/>
            </w:tcBorders>
            <w:tcMar>
              <w:top w:w="75" w:type="dxa"/>
              <w:left w:w="75" w:type="dxa"/>
              <w:bottom w:w="75" w:type="dxa"/>
              <w:right w:w="75" w:type="dxa"/>
            </w:tcMar>
          </w:tcPr>
          <w:p w14:paraId="324FAAF7" w14:textId="77777777" w:rsidR="003479B2" w:rsidRPr="00812C16" w:rsidRDefault="003479B2" w:rsidP="006678A2">
            <w:pPr>
              <w:spacing w:after="0" w:line="240" w:lineRule="auto"/>
              <w:jc w:val="center"/>
              <w:rPr>
                <w:rFonts w:cs="Arial"/>
                <w:sz w:val="18"/>
                <w:szCs w:val="18"/>
                <w:lang w:eastAsia="de-DE"/>
              </w:rPr>
            </w:pPr>
            <w:r w:rsidRPr="00812C16">
              <w:rPr>
                <w:rFonts w:cs="Arial"/>
                <w:sz w:val="18"/>
                <w:szCs w:val="18"/>
                <w:lang w:eastAsia="de-DE"/>
              </w:rPr>
              <w:t>p-Wert</w:t>
            </w:r>
          </w:p>
        </w:tc>
        <w:tc>
          <w:tcPr>
            <w:tcW w:w="1700" w:type="dxa"/>
            <w:tcBorders>
              <w:bottom w:val="single" w:sz="4" w:space="0" w:color="000000" w:themeColor="text1"/>
            </w:tcBorders>
            <w:tcMar>
              <w:top w:w="75" w:type="dxa"/>
              <w:left w:w="75" w:type="dxa"/>
              <w:bottom w:w="75" w:type="dxa"/>
              <w:right w:w="75" w:type="dxa"/>
            </w:tcMar>
          </w:tcPr>
          <w:p w14:paraId="355E88F1" w14:textId="77777777" w:rsidR="003479B2" w:rsidRPr="00812C16" w:rsidRDefault="003479B2" w:rsidP="006678A2">
            <w:pPr>
              <w:spacing w:after="0" w:line="240" w:lineRule="auto"/>
              <w:jc w:val="center"/>
              <w:rPr>
                <w:rFonts w:cs="Arial"/>
                <w:sz w:val="18"/>
                <w:szCs w:val="18"/>
                <w:lang w:eastAsia="de-DE"/>
              </w:rPr>
            </w:pPr>
            <w:r w:rsidRPr="00812C16">
              <w:rPr>
                <w:rFonts w:cs="Arial"/>
                <w:sz w:val="18"/>
                <w:szCs w:val="18"/>
                <w:lang w:eastAsia="de-DE"/>
              </w:rPr>
              <w:t>HR (95% KI)</w:t>
            </w:r>
          </w:p>
        </w:tc>
        <w:tc>
          <w:tcPr>
            <w:tcW w:w="850" w:type="dxa"/>
            <w:tcBorders>
              <w:bottom w:val="single" w:sz="4" w:space="0" w:color="000000" w:themeColor="text1"/>
            </w:tcBorders>
            <w:tcMar>
              <w:top w:w="75" w:type="dxa"/>
              <w:left w:w="75" w:type="dxa"/>
              <w:bottom w:w="75" w:type="dxa"/>
              <w:right w:w="75" w:type="dxa"/>
            </w:tcMar>
          </w:tcPr>
          <w:p w14:paraId="06B85CC5" w14:textId="77777777" w:rsidR="003479B2" w:rsidRPr="00812C16" w:rsidRDefault="003479B2" w:rsidP="006678A2">
            <w:pPr>
              <w:spacing w:after="0" w:line="240" w:lineRule="auto"/>
              <w:jc w:val="center"/>
              <w:rPr>
                <w:rFonts w:cs="Arial"/>
                <w:sz w:val="18"/>
                <w:szCs w:val="18"/>
                <w:lang w:eastAsia="de-DE"/>
              </w:rPr>
            </w:pPr>
            <w:r w:rsidRPr="00812C16">
              <w:rPr>
                <w:rFonts w:cs="Arial"/>
                <w:sz w:val="18"/>
                <w:szCs w:val="18"/>
                <w:lang w:eastAsia="de-DE"/>
              </w:rPr>
              <w:t>p-Wert</w:t>
            </w:r>
          </w:p>
        </w:tc>
        <w:tc>
          <w:tcPr>
            <w:tcW w:w="1704" w:type="dxa"/>
            <w:tcBorders>
              <w:bottom w:val="single" w:sz="4" w:space="0" w:color="000000" w:themeColor="text1"/>
            </w:tcBorders>
          </w:tcPr>
          <w:p w14:paraId="69CBB586" w14:textId="77777777" w:rsidR="003479B2" w:rsidRPr="00812C16" w:rsidRDefault="003479B2" w:rsidP="006678A2">
            <w:pPr>
              <w:spacing w:after="0" w:line="240" w:lineRule="auto"/>
              <w:ind w:right="139"/>
              <w:jc w:val="center"/>
              <w:rPr>
                <w:rFonts w:cs="Arial"/>
                <w:sz w:val="18"/>
                <w:szCs w:val="18"/>
                <w:lang w:eastAsia="de-DE"/>
              </w:rPr>
            </w:pPr>
            <w:r w:rsidRPr="00812C16">
              <w:rPr>
                <w:rFonts w:cs="Arial"/>
                <w:sz w:val="18"/>
                <w:szCs w:val="18"/>
                <w:lang w:eastAsia="de-DE"/>
              </w:rPr>
              <w:t>HR (95% KI)</w:t>
            </w:r>
          </w:p>
        </w:tc>
        <w:tc>
          <w:tcPr>
            <w:tcW w:w="705" w:type="dxa"/>
            <w:tcBorders>
              <w:bottom w:val="single" w:sz="4" w:space="0" w:color="000000" w:themeColor="text1"/>
            </w:tcBorders>
          </w:tcPr>
          <w:p w14:paraId="46FFCC37" w14:textId="77777777" w:rsidR="003479B2" w:rsidRPr="00812C16" w:rsidRDefault="003479B2" w:rsidP="006678A2">
            <w:pPr>
              <w:spacing w:after="0" w:line="240" w:lineRule="auto"/>
              <w:ind w:left="-258" w:firstLine="283"/>
              <w:jc w:val="center"/>
              <w:rPr>
                <w:rFonts w:cs="Arial"/>
                <w:sz w:val="18"/>
                <w:szCs w:val="18"/>
                <w:lang w:eastAsia="de-DE"/>
              </w:rPr>
            </w:pPr>
            <w:r w:rsidRPr="00812C16">
              <w:rPr>
                <w:rFonts w:cs="Arial"/>
                <w:sz w:val="18"/>
                <w:szCs w:val="18"/>
                <w:lang w:eastAsia="de-DE"/>
              </w:rPr>
              <w:t>p-Wert</w:t>
            </w:r>
          </w:p>
        </w:tc>
      </w:tr>
      <w:tr w:rsidR="00E10DBC" w:rsidRPr="00812C16" w14:paraId="1A7BEADA" w14:textId="77777777" w:rsidTr="005B22BE">
        <w:trPr>
          <w:cantSplit/>
          <w:trHeight w:val="69"/>
        </w:trPr>
        <w:tc>
          <w:tcPr>
            <w:tcW w:w="1560" w:type="dxa"/>
            <w:gridSpan w:val="2"/>
            <w:tcBorders>
              <w:top w:val="single" w:sz="4" w:space="0" w:color="000000" w:themeColor="text1"/>
              <w:bottom w:val="single" w:sz="4" w:space="0" w:color="D0CECE" w:themeColor="background2" w:themeShade="E6"/>
            </w:tcBorders>
            <w:tcMar>
              <w:top w:w="75" w:type="dxa"/>
              <w:left w:w="75" w:type="dxa"/>
              <w:bottom w:w="75" w:type="dxa"/>
              <w:right w:w="75" w:type="dxa"/>
            </w:tcMar>
          </w:tcPr>
          <w:p w14:paraId="61BDF96C" w14:textId="77777777" w:rsidR="003479B2" w:rsidRPr="00812C16" w:rsidRDefault="003479B2" w:rsidP="006678A2">
            <w:pPr>
              <w:spacing w:before="30" w:after="30" w:line="240" w:lineRule="auto"/>
              <w:jc w:val="center"/>
              <w:rPr>
                <w:rFonts w:cs="Arial"/>
                <w:color w:val="000000" w:themeColor="text1"/>
                <w:sz w:val="18"/>
                <w:szCs w:val="18"/>
                <w:lang w:eastAsia="de-DE"/>
              </w:rPr>
            </w:pPr>
            <w:r w:rsidRPr="00812C16">
              <w:rPr>
                <w:rFonts w:cs="Arial"/>
                <w:color w:val="000000" w:themeColor="text1"/>
                <w:sz w:val="18"/>
                <w:szCs w:val="18"/>
                <w:lang w:eastAsia="de-DE"/>
              </w:rPr>
              <w:t>Alle Patienten</w:t>
            </w:r>
          </w:p>
        </w:tc>
        <w:tc>
          <w:tcPr>
            <w:tcW w:w="1701" w:type="dxa"/>
            <w:tcBorders>
              <w:top w:val="single" w:sz="4" w:space="0" w:color="000000" w:themeColor="text1"/>
              <w:bottom w:val="single" w:sz="4" w:space="0" w:color="D0CECE" w:themeColor="background2" w:themeShade="E6"/>
            </w:tcBorders>
            <w:tcMar>
              <w:top w:w="75" w:type="dxa"/>
              <w:left w:w="75" w:type="dxa"/>
              <w:bottom w:w="75" w:type="dxa"/>
              <w:right w:w="75" w:type="dxa"/>
            </w:tcMar>
            <w:vAlign w:val="center"/>
          </w:tcPr>
          <w:p w14:paraId="50168EDB" w14:textId="77777777" w:rsidR="003479B2" w:rsidRPr="00812C16" w:rsidRDefault="003479B2" w:rsidP="006678A2">
            <w:pPr>
              <w:spacing w:before="30" w:after="30" w:line="240" w:lineRule="auto"/>
              <w:jc w:val="center"/>
              <w:rPr>
                <w:rFonts w:cs="Arial"/>
                <w:color w:val="000000" w:themeColor="text1"/>
                <w:sz w:val="18"/>
                <w:szCs w:val="18"/>
                <w:lang w:eastAsia="de-DE"/>
              </w:rPr>
            </w:pPr>
            <w:r w:rsidRPr="00812C16">
              <w:rPr>
                <w:rFonts w:cs="Arial"/>
                <w:color w:val="000000" w:themeColor="text1"/>
                <w:sz w:val="18"/>
                <w:szCs w:val="18"/>
                <w:lang w:eastAsia="de-DE"/>
              </w:rPr>
              <w:t>9,09 (1,24-66,8)</w:t>
            </w:r>
          </w:p>
        </w:tc>
        <w:tc>
          <w:tcPr>
            <w:tcW w:w="852" w:type="dxa"/>
            <w:tcBorders>
              <w:top w:val="single" w:sz="4" w:space="0" w:color="000000" w:themeColor="text1"/>
              <w:bottom w:val="single" w:sz="4" w:space="0" w:color="D0CECE" w:themeColor="background2" w:themeShade="E6"/>
            </w:tcBorders>
            <w:tcMar>
              <w:top w:w="75" w:type="dxa"/>
              <w:left w:w="75" w:type="dxa"/>
              <w:bottom w:w="75" w:type="dxa"/>
              <w:right w:w="75" w:type="dxa"/>
            </w:tcMar>
            <w:vAlign w:val="center"/>
          </w:tcPr>
          <w:p w14:paraId="0C73539C" w14:textId="77777777" w:rsidR="003479B2" w:rsidRPr="00812C16" w:rsidRDefault="003479B2" w:rsidP="006678A2">
            <w:pPr>
              <w:spacing w:before="30" w:after="30" w:line="240" w:lineRule="auto"/>
              <w:jc w:val="center"/>
              <w:rPr>
                <w:rFonts w:cs="Arial"/>
                <w:b/>
                <w:bCs/>
                <w:color w:val="000000" w:themeColor="text1"/>
                <w:sz w:val="18"/>
                <w:szCs w:val="18"/>
                <w:lang w:eastAsia="de-DE"/>
              </w:rPr>
            </w:pPr>
            <w:r w:rsidRPr="00812C16">
              <w:rPr>
                <w:rFonts w:cs="Arial"/>
                <w:b/>
                <w:bCs/>
                <w:color w:val="000000" w:themeColor="text1"/>
                <w:sz w:val="18"/>
                <w:szCs w:val="18"/>
                <w:lang w:eastAsia="de-DE"/>
              </w:rPr>
              <w:t>0,008</w:t>
            </w:r>
          </w:p>
        </w:tc>
        <w:tc>
          <w:tcPr>
            <w:tcW w:w="1700" w:type="dxa"/>
            <w:tcBorders>
              <w:top w:val="single" w:sz="4" w:space="0" w:color="000000" w:themeColor="text1"/>
              <w:bottom w:val="single" w:sz="4" w:space="0" w:color="D0CECE" w:themeColor="background2" w:themeShade="E6"/>
            </w:tcBorders>
            <w:tcMar>
              <w:top w:w="75" w:type="dxa"/>
              <w:left w:w="75" w:type="dxa"/>
              <w:bottom w:w="75" w:type="dxa"/>
              <w:right w:w="75" w:type="dxa"/>
            </w:tcMar>
            <w:vAlign w:val="center"/>
          </w:tcPr>
          <w:p w14:paraId="3F5B384D" w14:textId="77777777" w:rsidR="003479B2" w:rsidRPr="00812C16" w:rsidRDefault="003479B2" w:rsidP="006678A2">
            <w:pPr>
              <w:spacing w:before="30" w:after="30" w:line="240" w:lineRule="auto"/>
              <w:jc w:val="center"/>
              <w:rPr>
                <w:rFonts w:cs="Arial"/>
                <w:color w:val="000000" w:themeColor="text1"/>
                <w:sz w:val="18"/>
                <w:szCs w:val="18"/>
                <w:lang w:eastAsia="de-DE"/>
              </w:rPr>
            </w:pPr>
            <w:r w:rsidRPr="00812C16">
              <w:rPr>
                <w:rFonts w:cs="Arial"/>
                <w:color w:val="000000" w:themeColor="text1"/>
                <w:sz w:val="18"/>
                <w:szCs w:val="18"/>
                <w:lang w:eastAsia="de-DE"/>
              </w:rPr>
              <w:t>2,29 (0,90-5,86)</w:t>
            </w:r>
          </w:p>
        </w:tc>
        <w:tc>
          <w:tcPr>
            <w:tcW w:w="850" w:type="dxa"/>
            <w:tcBorders>
              <w:top w:val="single" w:sz="4" w:space="0" w:color="000000" w:themeColor="text1"/>
              <w:bottom w:val="single" w:sz="4" w:space="0" w:color="D0CECE" w:themeColor="background2" w:themeShade="E6"/>
            </w:tcBorders>
            <w:tcMar>
              <w:top w:w="75" w:type="dxa"/>
              <w:left w:w="75" w:type="dxa"/>
              <w:bottom w:w="75" w:type="dxa"/>
              <w:right w:w="75" w:type="dxa"/>
            </w:tcMar>
            <w:vAlign w:val="center"/>
          </w:tcPr>
          <w:p w14:paraId="298BB765" w14:textId="77777777" w:rsidR="003479B2" w:rsidRPr="00812C16" w:rsidRDefault="003479B2" w:rsidP="006678A2">
            <w:pPr>
              <w:spacing w:before="30" w:after="30" w:line="240" w:lineRule="auto"/>
              <w:jc w:val="center"/>
              <w:rPr>
                <w:rFonts w:cs="Arial"/>
                <w:color w:val="000000" w:themeColor="text1"/>
                <w:sz w:val="18"/>
                <w:szCs w:val="18"/>
                <w:lang w:eastAsia="de-DE"/>
              </w:rPr>
            </w:pPr>
            <w:r w:rsidRPr="00812C16">
              <w:rPr>
                <w:rFonts w:cs="Arial"/>
                <w:color w:val="000000" w:themeColor="text1"/>
                <w:sz w:val="18"/>
                <w:szCs w:val="18"/>
                <w:lang w:eastAsia="de-DE"/>
              </w:rPr>
              <w:t>0,075</w:t>
            </w:r>
          </w:p>
        </w:tc>
        <w:tc>
          <w:tcPr>
            <w:tcW w:w="1704" w:type="dxa"/>
            <w:tcBorders>
              <w:top w:val="single" w:sz="4" w:space="0" w:color="000000" w:themeColor="text1"/>
              <w:bottom w:val="single" w:sz="4" w:space="0" w:color="D0CECE" w:themeColor="background2" w:themeShade="E6"/>
            </w:tcBorders>
            <w:vAlign w:val="center"/>
          </w:tcPr>
          <w:p w14:paraId="700753DD" w14:textId="77777777" w:rsidR="003479B2" w:rsidRPr="00812C16" w:rsidRDefault="003479B2" w:rsidP="005B22BE">
            <w:pPr>
              <w:spacing w:before="30" w:after="30" w:line="240" w:lineRule="auto"/>
              <w:ind w:left="19"/>
              <w:jc w:val="center"/>
              <w:rPr>
                <w:rFonts w:cs="Arial"/>
                <w:color w:val="000000" w:themeColor="text1"/>
                <w:sz w:val="18"/>
                <w:szCs w:val="18"/>
                <w:lang w:eastAsia="de-DE"/>
              </w:rPr>
            </w:pPr>
            <w:r w:rsidRPr="00812C16">
              <w:rPr>
                <w:rFonts w:cs="Arial"/>
                <w:color w:val="000000" w:themeColor="text1"/>
                <w:sz w:val="18"/>
                <w:szCs w:val="18"/>
                <w:lang w:eastAsia="de-DE"/>
              </w:rPr>
              <w:t>1,78 (0,91-3,50)</w:t>
            </w:r>
          </w:p>
        </w:tc>
        <w:tc>
          <w:tcPr>
            <w:tcW w:w="705" w:type="dxa"/>
            <w:tcBorders>
              <w:top w:val="single" w:sz="4" w:space="0" w:color="000000" w:themeColor="text1"/>
              <w:bottom w:val="single" w:sz="4" w:space="0" w:color="D0CECE" w:themeColor="background2" w:themeShade="E6"/>
            </w:tcBorders>
            <w:vAlign w:val="center"/>
          </w:tcPr>
          <w:p w14:paraId="64292BA3" w14:textId="77777777" w:rsidR="003479B2" w:rsidRPr="00812C16" w:rsidRDefault="003479B2" w:rsidP="006678A2">
            <w:pPr>
              <w:spacing w:before="30" w:after="30" w:line="240" w:lineRule="auto"/>
              <w:ind w:left="3"/>
              <w:jc w:val="center"/>
              <w:rPr>
                <w:rFonts w:cs="Arial"/>
                <w:color w:val="000000" w:themeColor="text1"/>
                <w:sz w:val="18"/>
                <w:szCs w:val="18"/>
                <w:lang w:eastAsia="de-DE"/>
              </w:rPr>
            </w:pPr>
            <w:r w:rsidRPr="00812C16">
              <w:rPr>
                <w:rFonts w:cs="Arial"/>
                <w:color w:val="000000" w:themeColor="text1"/>
                <w:sz w:val="18"/>
                <w:szCs w:val="18"/>
                <w:lang w:eastAsia="de-DE"/>
              </w:rPr>
              <w:t>0,089</w:t>
            </w:r>
          </w:p>
        </w:tc>
      </w:tr>
      <w:tr w:rsidR="005B22BE" w:rsidRPr="00812C16" w14:paraId="6429B64A" w14:textId="77777777" w:rsidTr="005B22BE">
        <w:trPr>
          <w:cantSplit/>
          <w:trHeight w:val="37"/>
        </w:trPr>
        <w:tc>
          <w:tcPr>
            <w:tcW w:w="1560" w:type="dxa"/>
            <w:gridSpan w:val="2"/>
            <w:tcBorders>
              <w:top w:val="single" w:sz="4" w:space="0" w:color="D0CECE" w:themeColor="background2" w:themeShade="E6"/>
              <w:bottom w:val="single" w:sz="4" w:space="0" w:color="000000" w:themeColor="text1"/>
            </w:tcBorders>
            <w:tcMar>
              <w:top w:w="75" w:type="dxa"/>
              <w:left w:w="75" w:type="dxa"/>
              <w:bottom w:w="75" w:type="dxa"/>
              <w:right w:w="75" w:type="dxa"/>
            </w:tcMar>
          </w:tcPr>
          <w:p w14:paraId="1EED707C" w14:textId="77777777" w:rsidR="003479B2" w:rsidRPr="00812C16" w:rsidRDefault="003479B2" w:rsidP="006678A2">
            <w:pPr>
              <w:spacing w:before="30" w:after="30" w:line="240" w:lineRule="auto"/>
              <w:jc w:val="center"/>
              <w:rPr>
                <w:rFonts w:cs="Arial"/>
                <w:color w:val="000000" w:themeColor="text1"/>
                <w:sz w:val="18"/>
                <w:szCs w:val="18"/>
                <w:lang w:eastAsia="de-DE"/>
              </w:rPr>
            </w:pPr>
            <w:r w:rsidRPr="00812C16">
              <w:rPr>
                <w:rFonts w:cs="Arial"/>
                <w:color w:val="000000" w:themeColor="text1"/>
                <w:sz w:val="18"/>
                <w:szCs w:val="18"/>
                <w:lang w:eastAsia="de-DE"/>
              </w:rPr>
              <w:t xml:space="preserve">HPV16 </w:t>
            </w:r>
            <w:r w:rsidR="005B22BE" w:rsidRPr="00812C16">
              <w:rPr>
                <w:rFonts w:cs="Arial"/>
                <w:color w:val="000000" w:themeColor="text1"/>
                <w:sz w:val="18"/>
                <w:szCs w:val="18"/>
                <w:lang w:eastAsia="de-DE"/>
              </w:rPr>
              <w:t xml:space="preserve">DNA </w:t>
            </w:r>
            <w:proofErr w:type="spellStart"/>
            <w:r w:rsidR="005B22BE" w:rsidRPr="00812C16">
              <w:rPr>
                <w:rFonts w:cs="Arial"/>
                <w:color w:val="000000" w:themeColor="text1"/>
                <w:sz w:val="18"/>
                <w:szCs w:val="18"/>
                <w:lang w:eastAsia="de-DE"/>
              </w:rPr>
              <w:t>neg</w:t>
            </w:r>
            <w:proofErr w:type="spellEnd"/>
          </w:p>
        </w:tc>
        <w:tc>
          <w:tcPr>
            <w:tcW w:w="1701" w:type="dxa"/>
            <w:tcBorders>
              <w:top w:val="single" w:sz="4" w:space="0" w:color="D0CECE" w:themeColor="background2" w:themeShade="E6"/>
              <w:bottom w:val="single" w:sz="4" w:space="0" w:color="000000" w:themeColor="text1"/>
            </w:tcBorders>
            <w:tcMar>
              <w:top w:w="75" w:type="dxa"/>
              <w:left w:w="75" w:type="dxa"/>
              <w:bottom w:w="75" w:type="dxa"/>
              <w:right w:w="75" w:type="dxa"/>
            </w:tcMar>
            <w:vAlign w:val="center"/>
          </w:tcPr>
          <w:p w14:paraId="1600FCDF" w14:textId="77777777" w:rsidR="003479B2" w:rsidRPr="00812C16" w:rsidRDefault="003479B2" w:rsidP="006678A2">
            <w:pPr>
              <w:spacing w:before="30" w:after="30" w:line="240" w:lineRule="auto"/>
              <w:jc w:val="center"/>
              <w:rPr>
                <w:rFonts w:cs="Arial"/>
                <w:color w:val="000000" w:themeColor="text1"/>
                <w:sz w:val="18"/>
                <w:szCs w:val="18"/>
                <w:lang w:eastAsia="de-DE"/>
              </w:rPr>
            </w:pPr>
            <w:r w:rsidRPr="00812C16">
              <w:rPr>
                <w:rFonts w:cs="Arial"/>
                <w:color w:val="000000" w:themeColor="text1"/>
                <w:sz w:val="18"/>
                <w:szCs w:val="18"/>
                <w:lang w:eastAsia="de-DE"/>
              </w:rPr>
              <w:t>5,21 (0,69-39,45)</w:t>
            </w:r>
          </w:p>
        </w:tc>
        <w:tc>
          <w:tcPr>
            <w:tcW w:w="852" w:type="dxa"/>
            <w:tcBorders>
              <w:top w:val="single" w:sz="4" w:space="0" w:color="D0CECE" w:themeColor="background2" w:themeShade="E6"/>
              <w:bottom w:val="single" w:sz="4" w:space="0" w:color="000000" w:themeColor="text1"/>
            </w:tcBorders>
            <w:tcMar>
              <w:top w:w="75" w:type="dxa"/>
              <w:left w:w="75" w:type="dxa"/>
              <w:bottom w:w="75" w:type="dxa"/>
              <w:right w:w="75" w:type="dxa"/>
            </w:tcMar>
            <w:vAlign w:val="center"/>
          </w:tcPr>
          <w:p w14:paraId="3EF1B6DA" w14:textId="77777777" w:rsidR="003479B2" w:rsidRPr="00812C16" w:rsidRDefault="003479B2" w:rsidP="006678A2">
            <w:pPr>
              <w:spacing w:before="30" w:after="30" w:line="240" w:lineRule="auto"/>
              <w:jc w:val="center"/>
              <w:rPr>
                <w:rFonts w:cs="Arial"/>
                <w:b/>
                <w:bCs/>
                <w:color w:val="000000" w:themeColor="text1"/>
                <w:sz w:val="18"/>
                <w:szCs w:val="18"/>
                <w:lang w:eastAsia="de-DE"/>
              </w:rPr>
            </w:pPr>
            <w:r w:rsidRPr="00812C16">
              <w:rPr>
                <w:rFonts w:cs="Arial"/>
                <w:b/>
                <w:bCs/>
                <w:color w:val="000000" w:themeColor="text1"/>
                <w:sz w:val="18"/>
                <w:szCs w:val="18"/>
                <w:lang w:eastAsia="de-DE"/>
              </w:rPr>
              <w:t>0,053</w:t>
            </w:r>
          </w:p>
        </w:tc>
        <w:tc>
          <w:tcPr>
            <w:tcW w:w="1700" w:type="dxa"/>
            <w:tcBorders>
              <w:top w:val="single" w:sz="4" w:space="0" w:color="D0CECE" w:themeColor="background2" w:themeShade="E6"/>
              <w:bottom w:val="single" w:sz="4" w:space="0" w:color="000000" w:themeColor="text1"/>
            </w:tcBorders>
            <w:tcMar>
              <w:top w:w="75" w:type="dxa"/>
              <w:left w:w="75" w:type="dxa"/>
              <w:bottom w:w="75" w:type="dxa"/>
              <w:right w:w="75" w:type="dxa"/>
            </w:tcMar>
            <w:vAlign w:val="center"/>
          </w:tcPr>
          <w:p w14:paraId="5A0099BE" w14:textId="77777777" w:rsidR="003479B2" w:rsidRPr="00812C16" w:rsidRDefault="003479B2" w:rsidP="006678A2">
            <w:pPr>
              <w:spacing w:before="30" w:after="30" w:line="240" w:lineRule="auto"/>
              <w:jc w:val="center"/>
              <w:rPr>
                <w:rFonts w:cs="Arial"/>
                <w:color w:val="000000" w:themeColor="text1"/>
                <w:sz w:val="18"/>
                <w:szCs w:val="18"/>
                <w:lang w:eastAsia="de-DE"/>
              </w:rPr>
            </w:pPr>
            <w:r w:rsidRPr="00812C16">
              <w:rPr>
                <w:rFonts w:cs="Arial"/>
                <w:color w:val="000000" w:themeColor="text1"/>
                <w:sz w:val="18"/>
                <w:szCs w:val="18"/>
                <w:lang w:eastAsia="de-DE"/>
              </w:rPr>
              <w:t>1,49 (0,56-3,99)</w:t>
            </w:r>
          </w:p>
        </w:tc>
        <w:tc>
          <w:tcPr>
            <w:tcW w:w="850" w:type="dxa"/>
            <w:tcBorders>
              <w:top w:val="single" w:sz="4" w:space="0" w:color="D0CECE" w:themeColor="background2" w:themeShade="E6"/>
              <w:bottom w:val="single" w:sz="4" w:space="0" w:color="000000" w:themeColor="text1"/>
            </w:tcBorders>
            <w:tcMar>
              <w:top w:w="75" w:type="dxa"/>
              <w:left w:w="75" w:type="dxa"/>
              <w:bottom w:w="75" w:type="dxa"/>
              <w:right w:w="75" w:type="dxa"/>
            </w:tcMar>
            <w:vAlign w:val="center"/>
          </w:tcPr>
          <w:p w14:paraId="6416F1FA" w14:textId="77777777" w:rsidR="003479B2" w:rsidRPr="00812C16" w:rsidRDefault="003479B2" w:rsidP="006678A2">
            <w:pPr>
              <w:spacing w:before="30" w:after="30" w:line="240" w:lineRule="auto"/>
              <w:jc w:val="center"/>
              <w:rPr>
                <w:rFonts w:cs="Arial"/>
                <w:color w:val="000000" w:themeColor="text1"/>
                <w:sz w:val="18"/>
                <w:szCs w:val="18"/>
                <w:lang w:eastAsia="de-DE"/>
              </w:rPr>
            </w:pPr>
            <w:r w:rsidRPr="00812C16">
              <w:rPr>
                <w:rFonts w:cs="Arial"/>
                <w:color w:val="000000" w:themeColor="text1"/>
                <w:sz w:val="18"/>
                <w:szCs w:val="18"/>
                <w:lang w:eastAsia="de-DE"/>
              </w:rPr>
              <w:t>0,421</w:t>
            </w:r>
          </w:p>
        </w:tc>
        <w:tc>
          <w:tcPr>
            <w:tcW w:w="1704" w:type="dxa"/>
            <w:tcBorders>
              <w:top w:val="single" w:sz="4" w:space="0" w:color="D0CECE" w:themeColor="background2" w:themeShade="E6"/>
              <w:bottom w:val="single" w:sz="4" w:space="0" w:color="000000" w:themeColor="text1"/>
            </w:tcBorders>
            <w:vAlign w:val="center"/>
          </w:tcPr>
          <w:p w14:paraId="5F4DE97F" w14:textId="77777777" w:rsidR="003479B2" w:rsidRPr="00812C16" w:rsidRDefault="003479B2" w:rsidP="005B22BE">
            <w:pPr>
              <w:spacing w:before="30" w:after="30" w:line="240" w:lineRule="auto"/>
              <w:jc w:val="center"/>
              <w:rPr>
                <w:rFonts w:cs="Arial"/>
                <w:color w:val="000000" w:themeColor="text1"/>
                <w:sz w:val="18"/>
                <w:szCs w:val="18"/>
                <w:lang w:eastAsia="de-DE"/>
              </w:rPr>
            </w:pPr>
            <w:r w:rsidRPr="00812C16">
              <w:rPr>
                <w:rFonts w:cs="Arial"/>
                <w:color w:val="000000" w:themeColor="text1"/>
                <w:sz w:val="18"/>
                <w:szCs w:val="18"/>
                <w:lang w:eastAsia="de-DE"/>
              </w:rPr>
              <w:t>1,16 (0,57-2,34)</w:t>
            </w:r>
          </w:p>
        </w:tc>
        <w:tc>
          <w:tcPr>
            <w:tcW w:w="705" w:type="dxa"/>
            <w:tcBorders>
              <w:top w:val="single" w:sz="4" w:space="0" w:color="D0CECE" w:themeColor="background2" w:themeShade="E6"/>
              <w:bottom w:val="single" w:sz="4" w:space="0" w:color="000000" w:themeColor="text1"/>
            </w:tcBorders>
            <w:vAlign w:val="center"/>
          </w:tcPr>
          <w:p w14:paraId="4B0399A2" w14:textId="77777777" w:rsidR="003479B2" w:rsidRPr="00812C16" w:rsidRDefault="003479B2" w:rsidP="006678A2">
            <w:pPr>
              <w:spacing w:before="30" w:after="30" w:line="240" w:lineRule="auto"/>
              <w:ind w:left="10"/>
              <w:jc w:val="center"/>
              <w:rPr>
                <w:rFonts w:cs="Arial"/>
                <w:color w:val="000000" w:themeColor="text1"/>
                <w:sz w:val="18"/>
                <w:szCs w:val="18"/>
                <w:lang w:eastAsia="de-DE"/>
              </w:rPr>
            </w:pPr>
            <w:r w:rsidRPr="00812C16">
              <w:rPr>
                <w:rFonts w:cs="Arial"/>
                <w:color w:val="000000" w:themeColor="text1"/>
                <w:sz w:val="18"/>
                <w:szCs w:val="18"/>
                <w:lang w:eastAsia="de-DE"/>
              </w:rPr>
              <w:t>0,680</w:t>
            </w:r>
          </w:p>
        </w:tc>
      </w:tr>
    </w:tbl>
    <w:tbl>
      <w:tblPr>
        <w:tblStyle w:val="Tabellenraster"/>
        <w:tblpPr w:leftFromText="141" w:rightFromText="141" w:vertAnchor="text" w:horzAnchor="margin" w:tblpY="-357"/>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826"/>
      </w:tblGrid>
      <w:tr w:rsidR="003479B2" w:rsidRPr="00812C16" w14:paraId="083591AF" w14:textId="77777777" w:rsidTr="003479B2">
        <w:tc>
          <w:tcPr>
            <w:tcW w:w="4530" w:type="dxa"/>
          </w:tcPr>
          <w:p w14:paraId="2F4317F0" w14:textId="77777777" w:rsidR="003479B2" w:rsidRPr="00812C16" w:rsidRDefault="003479B2" w:rsidP="003479B2">
            <w:pPr>
              <w:tabs>
                <w:tab w:val="left" w:pos="4820"/>
              </w:tabs>
              <w:ind w:right="-2"/>
              <w:jc w:val="center"/>
              <w:rPr>
                <w:rFonts w:cs="Arial"/>
                <w:b/>
                <w:bCs/>
                <w:sz w:val="20"/>
                <w:szCs w:val="20"/>
                <w:lang w:eastAsia="de-DE"/>
              </w:rPr>
            </w:pPr>
            <w:r w:rsidRPr="00812C16">
              <w:rPr>
                <w:rFonts w:cs="Arial"/>
                <w:b/>
                <w:bCs/>
                <w:sz w:val="20"/>
                <w:szCs w:val="20"/>
                <w:lang w:eastAsia="de-DE"/>
              </w:rPr>
              <w:t>Alle Patienten</w:t>
            </w:r>
          </w:p>
        </w:tc>
        <w:tc>
          <w:tcPr>
            <w:tcW w:w="4826" w:type="dxa"/>
          </w:tcPr>
          <w:p w14:paraId="3BFA30F9" w14:textId="77777777" w:rsidR="00402210" w:rsidRPr="00812C16" w:rsidRDefault="003479B2" w:rsidP="00402210">
            <w:pPr>
              <w:tabs>
                <w:tab w:val="left" w:pos="4820"/>
              </w:tabs>
              <w:ind w:right="-2"/>
              <w:jc w:val="center"/>
              <w:rPr>
                <w:rFonts w:cs="Arial"/>
                <w:b/>
                <w:bCs/>
                <w:sz w:val="20"/>
                <w:szCs w:val="20"/>
                <w:lang w:eastAsia="de-DE"/>
              </w:rPr>
            </w:pPr>
            <w:r w:rsidRPr="00812C16">
              <w:rPr>
                <w:rFonts w:cs="Arial"/>
                <w:b/>
                <w:bCs/>
                <w:sz w:val="20"/>
                <w:szCs w:val="20"/>
                <w:lang w:eastAsia="de-DE"/>
              </w:rPr>
              <w:t xml:space="preserve">        Patienten mit HPV16 DNA-negativen                           </w:t>
            </w:r>
            <w:proofErr w:type="spellStart"/>
            <w:r w:rsidRPr="00812C16">
              <w:rPr>
                <w:rFonts w:cs="Arial"/>
                <w:b/>
                <w:bCs/>
                <w:color w:val="FFFFFF" w:themeColor="background1"/>
                <w:sz w:val="20"/>
                <w:szCs w:val="20"/>
                <w:lang w:eastAsia="de-DE"/>
              </w:rPr>
              <w:t>jjjjjjjjj</w:t>
            </w:r>
            <w:r w:rsidRPr="00812C16">
              <w:rPr>
                <w:rFonts w:cs="Arial"/>
                <w:b/>
                <w:bCs/>
                <w:sz w:val="20"/>
                <w:szCs w:val="20"/>
                <w:lang w:eastAsia="de-DE"/>
              </w:rPr>
              <w:t>Tumoren</w:t>
            </w:r>
            <w:proofErr w:type="spellEnd"/>
          </w:p>
        </w:tc>
      </w:tr>
      <w:tr w:rsidR="003479B2" w:rsidRPr="00812C16" w14:paraId="212097C5" w14:textId="77777777" w:rsidTr="003479B2">
        <w:tc>
          <w:tcPr>
            <w:tcW w:w="4530" w:type="dxa"/>
          </w:tcPr>
          <w:p w14:paraId="0A229628" w14:textId="77777777" w:rsidR="003479B2" w:rsidRPr="00812C16" w:rsidRDefault="003479B2" w:rsidP="003479B2">
            <w:pPr>
              <w:tabs>
                <w:tab w:val="left" w:pos="4820"/>
              </w:tabs>
              <w:ind w:right="-2"/>
              <w:jc w:val="center"/>
              <w:rPr>
                <w:rFonts w:cs="Arial"/>
                <w:b/>
                <w:bCs/>
                <w:sz w:val="20"/>
                <w:szCs w:val="20"/>
                <w:lang w:eastAsia="de-DE"/>
              </w:rPr>
            </w:pPr>
          </w:p>
        </w:tc>
        <w:tc>
          <w:tcPr>
            <w:tcW w:w="4826" w:type="dxa"/>
          </w:tcPr>
          <w:p w14:paraId="6BE73D1E" w14:textId="77777777" w:rsidR="003479B2" w:rsidRPr="00812C16" w:rsidRDefault="003479B2" w:rsidP="003479B2">
            <w:pPr>
              <w:tabs>
                <w:tab w:val="left" w:pos="4820"/>
              </w:tabs>
              <w:ind w:right="-2"/>
              <w:jc w:val="center"/>
              <w:rPr>
                <w:rFonts w:cs="Arial"/>
                <w:b/>
                <w:bCs/>
                <w:sz w:val="20"/>
                <w:szCs w:val="20"/>
                <w:lang w:eastAsia="de-DE"/>
              </w:rPr>
            </w:pPr>
          </w:p>
        </w:tc>
      </w:tr>
    </w:tbl>
    <w:p w14:paraId="7A6B1B62" w14:textId="77777777" w:rsidR="003479B2" w:rsidRPr="00812C16" w:rsidRDefault="006D55C7" w:rsidP="00FF3474">
      <w:pPr>
        <w:spacing w:before="360" w:after="360"/>
        <w:rPr>
          <w:rFonts w:cs="Arial"/>
        </w:rPr>
      </w:pPr>
      <w:r w:rsidRPr="00812C16">
        <w:rPr>
          <w:noProof/>
        </w:rPr>
        <w:drawing>
          <wp:anchor distT="0" distB="0" distL="114300" distR="114300" simplePos="0" relativeHeight="251675648" behindDoc="1" locked="0" layoutInCell="1" allowOverlap="1" wp14:anchorId="23393308" wp14:editId="64678030">
            <wp:simplePos x="0" y="0"/>
            <wp:positionH relativeFrom="column">
              <wp:posOffset>3128645</wp:posOffset>
            </wp:positionH>
            <wp:positionV relativeFrom="page">
              <wp:posOffset>1276985</wp:posOffset>
            </wp:positionV>
            <wp:extent cx="2795905" cy="2188845"/>
            <wp:effectExtent l="0" t="0" r="0" b="0"/>
            <wp:wrapNone/>
            <wp:docPr id="2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26">
                      <a:extLst>
                        <a:ext uri="{28A0092B-C50C-407E-A947-70E740481C1C}">
                          <a14:useLocalDpi xmlns:a14="http://schemas.microsoft.com/office/drawing/2010/main" val="0"/>
                        </a:ext>
                      </a:extLst>
                    </a:blip>
                    <a:srcRect l="1245" t="2" r="35625" b="20586"/>
                    <a:stretch>
                      <a:fillRect/>
                    </a:stretch>
                  </pic:blipFill>
                  <pic:spPr bwMode="auto">
                    <a:xfrm>
                      <a:off x="0" y="0"/>
                      <a:ext cx="2795905"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C16">
        <w:rPr>
          <w:noProof/>
        </w:rPr>
        <w:drawing>
          <wp:anchor distT="0" distB="0" distL="114300" distR="114300" simplePos="0" relativeHeight="251671552" behindDoc="1" locked="0" layoutInCell="1" allowOverlap="1" wp14:anchorId="71ADA550" wp14:editId="2DABD790">
            <wp:simplePos x="0" y="0"/>
            <wp:positionH relativeFrom="column">
              <wp:posOffset>79375</wp:posOffset>
            </wp:positionH>
            <wp:positionV relativeFrom="page">
              <wp:posOffset>1361440</wp:posOffset>
            </wp:positionV>
            <wp:extent cx="2917190" cy="2195830"/>
            <wp:effectExtent l="0" t="0" r="0" b="0"/>
            <wp:wrapNone/>
            <wp:docPr id="19"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7">
                      <a:extLst>
                        <a:ext uri="{28A0092B-C50C-407E-A947-70E740481C1C}">
                          <a14:useLocalDpi xmlns:a14="http://schemas.microsoft.com/office/drawing/2010/main" val="0"/>
                        </a:ext>
                      </a:extLst>
                    </a:blip>
                    <a:srcRect l="1332" t="-34" r="29932" b="20761"/>
                    <a:stretch>
                      <a:fillRect/>
                    </a:stretch>
                  </pic:blipFill>
                  <pic:spPr bwMode="auto">
                    <a:xfrm>
                      <a:off x="0" y="0"/>
                      <a:ext cx="2917190" cy="2195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66EFE" w14:textId="77777777" w:rsidR="003479B2" w:rsidRPr="00812C16" w:rsidRDefault="003479B2" w:rsidP="00FF3474">
      <w:pPr>
        <w:spacing w:before="360" w:after="360"/>
        <w:rPr>
          <w:rFonts w:cs="Arial"/>
        </w:rPr>
      </w:pPr>
    </w:p>
    <w:p w14:paraId="63DCF1CB" w14:textId="77777777" w:rsidR="003479B2" w:rsidRPr="00812C16" w:rsidRDefault="003479B2" w:rsidP="00FF3474">
      <w:pPr>
        <w:spacing w:before="360" w:after="360"/>
        <w:rPr>
          <w:rFonts w:cs="Arial"/>
        </w:rPr>
      </w:pPr>
    </w:p>
    <w:p w14:paraId="2E34EBC3" w14:textId="77777777" w:rsidR="003479B2" w:rsidRPr="00812C16" w:rsidRDefault="003479B2" w:rsidP="00FF3474">
      <w:pPr>
        <w:spacing w:before="360" w:after="360"/>
        <w:rPr>
          <w:rFonts w:cs="Arial"/>
        </w:rPr>
      </w:pPr>
    </w:p>
    <w:p w14:paraId="3F456AB6" w14:textId="77777777" w:rsidR="003479B2" w:rsidRPr="00812C16" w:rsidRDefault="006D55C7" w:rsidP="00FF3474">
      <w:pPr>
        <w:spacing w:before="360" w:after="360"/>
        <w:rPr>
          <w:rFonts w:cs="Arial"/>
        </w:rPr>
      </w:pPr>
      <w:r w:rsidRPr="00812C16">
        <w:rPr>
          <w:noProof/>
        </w:rPr>
        <w:drawing>
          <wp:anchor distT="0" distB="0" distL="114300" distR="114300" simplePos="0" relativeHeight="251676672" behindDoc="1" locked="0" layoutInCell="1" allowOverlap="1" wp14:anchorId="34797F90" wp14:editId="341F7F65">
            <wp:simplePos x="0" y="0"/>
            <wp:positionH relativeFrom="column">
              <wp:posOffset>3128645</wp:posOffset>
            </wp:positionH>
            <wp:positionV relativeFrom="page">
              <wp:posOffset>3863975</wp:posOffset>
            </wp:positionV>
            <wp:extent cx="2795905" cy="2208530"/>
            <wp:effectExtent l="0" t="0" r="0" b="0"/>
            <wp:wrapNone/>
            <wp:docPr id="18"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28">
                      <a:extLst>
                        <a:ext uri="{28A0092B-C50C-407E-A947-70E740481C1C}">
                          <a14:useLocalDpi xmlns:a14="http://schemas.microsoft.com/office/drawing/2010/main" val="0"/>
                        </a:ext>
                      </a:extLst>
                    </a:blip>
                    <a:srcRect l="2007" t="-2" r="30116" b="21004"/>
                    <a:stretch>
                      <a:fillRect/>
                    </a:stretch>
                  </pic:blipFill>
                  <pic:spPr bwMode="auto">
                    <a:xfrm>
                      <a:off x="0" y="0"/>
                      <a:ext cx="279590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C16">
        <w:rPr>
          <w:noProof/>
        </w:rPr>
        <w:drawing>
          <wp:anchor distT="0" distB="0" distL="114300" distR="114300" simplePos="0" relativeHeight="251673600" behindDoc="1" locked="0" layoutInCell="1" allowOverlap="1" wp14:anchorId="3767157E" wp14:editId="08B04769">
            <wp:simplePos x="0" y="0"/>
            <wp:positionH relativeFrom="column">
              <wp:posOffset>77470</wp:posOffset>
            </wp:positionH>
            <wp:positionV relativeFrom="page">
              <wp:posOffset>3856355</wp:posOffset>
            </wp:positionV>
            <wp:extent cx="3023870" cy="2338070"/>
            <wp:effectExtent l="0" t="0" r="0" b="0"/>
            <wp:wrapNone/>
            <wp:docPr id="17"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pic:cNvPicPr>
                      <a:picLocks noChangeAspect="1" noChangeArrowheads="1"/>
                    </pic:cNvPicPr>
                  </pic:nvPicPr>
                  <pic:blipFill>
                    <a:blip r:embed="rId29">
                      <a:extLst>
                        <a:ext uri="{28A0092B-C50C-407E-A947-70E740481C1C}">
                          <a14:useLocalDpi xmlns:a14="http://schemas.microsoft.com/office/drawing/2010/main" val="0"/>
                        </a:ext>
                      </a:extLst>
                    </a:blip>
                    <a:srcRect l="-1756" t="-2850" r="30443" b="18355"/>
                    <a:stretch>
                      <a:fillRect/>
                    </a:stretch>
                  </pic:blipFill>
                  <pic:spPr bwMode="auto">
                    <a:xfrm>
                      <a:off x="0" y="0"/>
                      <a:ext cx="3023870" cy="2338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B9DE8" w14:textId="77777777" w:rsidR="003479B2" w:rsidRPr="00812C16" w:rsidRDefault="003479B2" w:rsidP="00FF3474">
      <w:pPr>
        <w:spacing w:before="360" w:after="360"/>
        <w:rPr>
          <w:rFonts w:cs="Arial"/>
        </w:rPr>
      </w:pPr>
    </w:p>
    <w:p w14:paraId="6F85CCA8" w14:textId="77777777" w:rsidR="003479B2" w:rsidRPr="00812C16" w:rsidRDefault="003479B2" w:rsidP="00FF3474">
      <w:pPr>
        <w:spacing w:before="360" w:after="360"/>
        <w:rPr>
          <w:rFonts w:cs="Arial"/>
        </w:rPr>
      </w:pPr>
    </w:p>
    <w:p w14:paraId="7B094123" w14:textId="77777777" w:rsidR="003479B2" w:rsidRPr="00812C16" w:rsidRDefault="003479B2" w:rsidP="00FF3474">
      <w:pPr>
        <w:spacing w:before="360" w:after="360"/>
        <w:rPr>
          <w:rFonts w:cs="Arial"/>
        </w:rPr>
      </w:pPr>
    </w:p>
    <w:p w14:paraId="2D14E283" w14:textId="77777777" w:rsidR="003479B2" w:rsidRPr="00812C16" w:rsidRDefault="003479B2" w:rsidP="00FF3474">
      <w:pPr>
        <w:spacing w:before="360" w:after="360"/>
        <w:rPr>
          <w:rFonts w:cs="Arial"/>
        </w:rPr>
      </w:pPr>
    </w:p>
    <w:p w14:paraId="15428CBD" w14:textId="77777777" w:rsidR="00066AE4" w:rsidRPr="00812C16" w:rsidRDefault="00066AE4" w:rsidP="00066AE4">
      <w:pPr>
        <w:tabs>
          <w:tab w:val="left" w:pos="4820"/>
          <w:tab w:val="left" w:pos="5103"/>
        </w:tabs>
        <w:ind w:right="-2"/>
        <w:rPr>
          <w:rFonts w:cs="Arial"/>
          <w:lang w:eastAsia="de-DE"/>
        </w:rPr>
      </w:pPr>
    </w:p>
    <w:p w14:paraId="351DFDA3" w14:textId="7798C50A" w:rsidR="000E413B" w:rsidRPr="00812C16" w:rsidRDefault="000E413B" w:rsidP="000E413B">
      <w:pPr>
        <w:pStyle w:val="Beschriftung"/>
        <w:spacing w:before="120" w:after="360" w:line="240" w:lineRule="auto"/>
        <w:rPr>
          <w:rFonts w:cs="Arial"/>
          <w:b/>
          <w:bCs/>
          <w:i w:val="0"/>
          <w:iCs w:val="0"/>
          <w:color w:val="000000" w:themeColor="text1"/>
          <w:sz w:val="20"/>
          <w:szCs w:val="20"/>
          <w:lang w:eastAsia="de-DE"/>
        </w:rPr>
      </w:pPr>
      <w:bookmarkStart w:id="78" w:name="_Ref91092650"/>
      <w:bookmarkStart w:id="79" w:name="_Ref91624246"/>
      <w:bookmarkStart w:id="80" w:name="_Toc180788386"/>
      <w:r w:rsidRPr="00812C16">
        <w:rPr>
          <w:b/>
          <w:bCs/>
          <w:i w:val="0"/>
          <w:iCs w:val="0"/>
          <w:color w:val="000000" w:themeColor="text1"/>
          <w:sz w:val="20"/>
          <w:szCs w:val="20"/>
        </w:rPr>
        <w:t xml:space="preserve">Abbildung </w:t>
      </w:r>
      <w:r w:rsidR="00BF08D6" w:rsidRPr="00812C16">
        <w:rPr>
          <w:b/>
          <w:bCs/>
          <w:i w:val="0"/>
          <w:iCs w:val="0"/>
          <w:color w:val="000000" w:themeColor="text1"/>
          <w:sz w:val="20"/>
          <w:szCs w:val="20"/>
        </w:rPr>
        <w:fldChar w:fldCharType="begin"/>
      </w:r>
      <w:r w:rsidR="00BF08D6" w:rsidRPr="00812C16">
        <w:rPr>
          <w:b/>
          <w:bCs/>
          <w:i w:val="0"/>
          <w:iCs w:val="0"/>
          <w:color w:val="000000" w:themeColor="text1"/>
          <w:sz w:val="20"/>
          <w:szCs w:val="20"/>
        </w:rPr>
        <w:instrText xml:space="preserve"> STYLEREF 1 \s </w:instrText>
      </w:r>
      <w:r w:rsidR="00BF08D6" w:rsidRPr="00812C16">
        <w:rPr>
          <w:b/>
          <w:bCs/>
          <w:i w:val="0"/>
          <w:iCs w:val="0"/>
          <w:color w:val="000000" w:themeColor="text1"/>
          <w:sz w:val="20"/>
          <w:szCs w:val="20"/>
        </w:rPr>
        <w:fldChar w:fldCharType="separate"/>
      </w:r>
      <w:r w:rsidR="00F67803">
        <w:rPr>
          <w:b/>
          <w:bCs/>
          <w:i w:val="0"/>
          <w:iCs w:val="0"/>
          <w:noProof/>
          <w:color w:val="000000" w:themeColor="text1"/>
          <w:sz w:val="20"/>
          <w:szCs w:val="20"/>
        </w:rPr>
        <w:t>4</w:t>
      </w:r>
      <w:r w:rsidR="00BF08D6" w:rsidRPr="00812C16">
        <w:rPr>
          <w:b/>
          <w:bCs/>
          <w:i w:val="0"/>
          <w:iCs w:val="0"/>
          <w:color w:val="000000" w:themeColor="text1"/>
          <w:sz w:val="20"/>
          <w:szCs w:val="20"/>
        </w:rPr>
        <w:fldChar w:fldCharType="end"/>
      </w:r>
      <w:r w:rsidR="00BF08D6" w:rsidRPr="00812C16">
        <w:rPr>
          <w:b/>
          <w:bCs/>
          <w:i w:val="0"/>
          <w:iCs w:val="0"/>
          <w:color w:val="000000" w:themeColor="text1"/>
          <w:sz w:val="20"/>
          <w:szCs w:val="20"/>
        </w:rPr>
        <w:noBreakHyphen/>
      </w:r>
      <w:r w:rsidR="00BF08D6" w:rsidRPr="00812C16">
        <w:rPr>
          <w:b/>
          <w:bCs/>
          <w:i w:val="0"/>
          <w:iCs w:val="0"/>
          <w:color w:val="000000" w:themeColor="text1"/>
          <w:sz w:val="20"/>
          <w:szCs w:val="20"/>
        </w:rPr>
        <w:fldChar w:fldCharType="begin"/>
      </w:r>
      <w:r w:rsidR="00BF08D6" w:rsidRPr="00812C16">
        <w:rPr>
          <w:b/>
          <w:bCs/>
          <w:i w:val="0"/>
          <w:iCs w:val="0"/>
          <w:color w:val="000000" w:themeColor="text1"/>
          <w:sz w:val="20"/>
          <w:szCs w:val="20"/>
        </w:rPr>
        <w:instrText xml:space="preserve"> SEQ Abbildung \* ARABIC \s 1 </w:instrText>
      </w:r>
      <w:r w:rsidR="00BF08D6" w:rsidRPr="00812C16">
        <w:rPr>
          <w:b/>
          <w:bCs/>
          <w:i w:val="0"/>
          <w:iCs w:val="0"/>
          <w:color w:val="000000" w:themeColor="text1"/>
          <w:sz w:val="20"/>
          <w:szCs w:val="20"/>
        </w:rPr>
        <w:fldChar w:fldCharType="separate"/>
      </w:r>
      <w:r w:rsidR="00F67803">
        <w:rPr>
          <w:b/>
          <w:bCs/>
          <w:i w:val="0"/>
          <w:iCs w:val="0"/>
          <w:noProof/>
          <w:color w:val="000000" w:themeColor="text1"/>
          <w:sz w:val="20"/>
          <w:szCs w:val="20"/>
        </w:rPr>
        <w:t>6</w:t>
      </w:r>
      <w:r w:rsidR="00BF08D6" w:rsidRPr="00812C16">
        <w:rPr>
          <w:b/>
          <w:bCs/>
          <w:i w:val="0"/>
          <w:iCs w:val="0"/>
          <w:color w:val="000000" w:themeColor="text1"/>
          <w:sz w:val="20"/>
          <w:szCs w:val="20"/>
        </w:rPr>
        <w:fldChar w:fldCharType="end"/>
      </w:r>
      <w:bookmarkEnd w:id="78"/>
      <w:bookmarkEnd w:id="79"/>
      <w:r w:rsidRPr="00812C16">
        <w:rPr>
          <w:b/>
          <w:bCs/>
          <w:i w:val="0"/>
          <w:iCs w:val="0"/>
          <w:color w:val="000000" w:themeColor="text1"/>
          <w:sz w:val="20"/>
          <w:szCs w:val="20"/>
        </w:rPr>
        <w:t>: Kaplan-Meier Schätzungen der sekundären Endpunkte von CD44-Protein (bewertet durch IHC) allen Patienten oder (C, E, G, I) Patienten mit HPV16 DNA-negativem HNSCC.</w:t>
      </w:r>
      <w:r w:rsidRPr="00812C16">
        <w:rPr>
          <w:i w:val="0"/>
          <w:iCs w:val="0"/>
          <w:color w:val="000000" w:themeColor="text1"/>
          <w:sz w:val="20"/>
          <w:szCs w:val="20"/>
        </w:rPr>
        <w:t xml:space="preserve"> Patienten mit geringer oder keiner CSC-</w:t>
      </w:r>
      <w:proofErr w:type="spellStart"/>
      <w:r w:rsidRPr="00812C16">
        <w:rPr>
          <w:i w:val="0"/>
          <w:iCs w:val="0"/>
          <w:color w:val="000000" w:themeColor="text1"/>
          <w:sz w:val="20"/>
          <w:szCs w:val="20"/>
        </w:rPr>
        <w:t>Markerexpression</w:t>
      </w:r>
      <w:proofErr w:type="spellEnd"/>
      <w:r w:rsidRPr="00812C16">
        <w:rPr>
          <w:i w:val="0"/>
          <w:iCs w:val="0"/>
          <w:color w:val="000000" w:themeColor="text1"/>
          <w:sz w:val="20"/>
          <w:szCs w:val="20"/>
        </w:rPr>
        <w:t xml:space="preserve"> zeigten eine bessere loko</w:t>
      </w:r>
      <w:r w:rsidR="00922319" w:rsidRPr="00812C16">
        <w:rPr>
          <w:i w:val="0"/>
          <w:iCs w:val="0"/>
          <w:color w:val="000000" w:themeColor="text1"/>
          <w:sz w:val="20"/>
          <w:szCs w:val="20"/>
        </w:rPr>
        <w:t>-</w:t>
      </w:r>
      <w:r w:rsidRPr="00812C16">
        <w:rPr>
          <w:i w:val="0"/>
          <w:iCs w:val="0"/>
          <w:color w:val="000000" w:themeColor="text1"/>
          <w:sz w:val="20"/>
          <w:szCs w:val="20"/>
        </w:rPr>
        <w:t>regionale Tumorkontrolle im Vergleich zu Patienten mit stärkerer CSC-</w:t>
      </w:r>
      <w:proofErr w:type="spellStart"/>
      <w:r w:rsidRPr="00812C16">
        <w:rPr>
          <w:i w:val="0"/>
          <w:iCs w:val="0"/>
          <w:color w:val="000000" w:themeColor="text1"/>
          <w:sz w:val="20"/>
          <w:szCs w:val="20"/>
        </w:rPr>
        <w:t>Markerexpression</w:t>
      </w:r>
      <w:proofErr w:type="spellEnd"/>
      <w:r w:rsidRPr="00812C16">
        <w:rPr>
          <w:i w:val="0"/>
          <w:iCs w:val="0"/>
          <w:color w:val="000000" w:themeColor="text1"/>
          <w:sz w:val="20"/>
          <w:szCs w:val="20"/>
        </w:rPr>
        <w:t>.</w:t>
      </w:r>
      <w:bookmarkEnd w:id="80"/>
    </w:p>
    <w:p w14:paraId="5A981AEC" w14:textId="77777777" w:rsidR="0037468D" w:rsidRPr="00812C16" w:rsidRDefault="00B71E93" w:rsidP="00402210">
      <w:pPr>
        <w:spacing w:after="0"/>
        <w:jc w:val="center"/>
        <w:rPr>
          <w:rFonts w:cs="Arial"/>
        </w:rPr>
      </w:pPr>
      <w:r w:rsidRPr="00812C16">
        <w:rPr>
          <w:rFonts w:cs="Arial"/>
          <w:b/>
          <w:noProof/>
        </w:rPr>
        <w:lastRenderedPageBreak/>
        <w:drawing>
          <wp:inline distT="0" distB="0" distL="0" distR="0" wp14:anchorId="6DB0494E" wp14:editId="1EF91E17">
            <wp:extent cx="5078730" cy="24345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8730" cy="2434590"/>
                    </a:xfrm>
                    <a:prstGeom prst="rect">
                      <a:avLst/>
                    </a:prstGeom>
                    <a:noFill/>
                    <a:ln>
                      <a:noFill/>
                    </a:ln>
                  </pic:spPr>
                </pic:pic>
              </a:graphicData>
            </a:graphic>
          </wp:inline>
        </w:drawing>
      </w:r>
    </w:p>
    <w:p w14:paraId="184DBF3B" w14:textId="77777777" w:rsidR="00767E11" w:rsidRPr="00812C16" w:rsidRDefault="00767E11">
      <w:pPr>
        <w:spacing w:after="0"/>
        <w:jc w:val="left"/>
        <w:rPr>
          <w:rFonts w:cs="Arial"/>
        </w:rPr>
      </w:pPr>
      <w:r w:rsidRPr="00812C16">
        <w:rPr>
          <w:rFonts w:cs="Arial"/>
        </w:rPr>
        <w:br w:type="page"/>
      </w:r>
    </w:p>
    <w:p w14:paraId="79ADF8B2" w14:textId="77777777" w:rsidR="00330A47" w:rsidRPr="00812C16" w:rsidRDefault="000E413B" w:rsidP="000E1E65">
      <w:pPr>
        <w:shd w:val="clear" w:color="auto" w:fill="FFFF00"/>
        <w:rPr>
          <w:rFonts w:cs="Arial"/>
          <w:lang w:eastAsia="de-DE"/>
        </w:rPr>
      </w:pPr>
      <w:r w:rsidRPr="00812C16">
        <w:rPr>
          <w:rFonts w:cs="Arial"/>
          <w:lang w:eastAsia="de-DE"/>
        </w:rPr>
        <w:lastRenderedPageBreak/>
        <w:t xml:space="preserve">In univariate Analysen wurden das Patientenkollektiv </w:t>
      </w:r>
      <w:proofErr w:type="gramStart"/>
      <w:r w:rsidRPr="00812C16">
        <w:rPr>
          <w:rFonts w:cs="Arial"/>
          <w:lang w:eastAsia="de-DE"/>
        </w:rPr>
        <w:t>stratifiziert  in</w:t>
      </w:r>
      <w:proofErr w:type="gramEnd"/>
      <w:r w:rsidRPr="00812C16">
        <w:rPr>
          <w:rFonts w:cs="Arial"/>
          <w:lang w:eastAsia="de-DE"/>
        </w:rPr>
        <w:t xml:space="preserve"> CD44 positive und negative und die Überlebensdaten der beider Gruppen mit Hilfe des Kaplane-Meier Verfahrens untersucht. Die geschätzten Überlebenszeiten beide Gruppen wurden </w:t>
      </w:r>
      <w:proofErr w:type="spellStart"/>
      <w:r w:rsidRPr="00812C16">
        <w:rPr>
          <w:rFonts w:cs="Arial"/>
          <w:lang w:eastAsia="de-DE"/>
        </w:rPr>
        <w:t>m.H</w:t>
      </w:r>
      <w:proofErr w:type="spellEnd"/>
      <w:r w:rsidRPr="00812C16">
        <w:rPr>
          <w:rFonts w:cs="Arial"/>
          <w:lang w:eastAsia="de-DE"/>
        </w:rPr>
        <w:t xml:space="preserve">. des Log-rank Test miteinander verglichen.  Die Untersuchung ergab eine ein signifikant besseres klinisches </w:t>
      </w:r>
      <w:proofErr w:type="spellStart"/>
      <w:r w:rsidRPr="00812C16">
        <w:rPr>
          <w:rFonts w:cs="Arial"/>
          <w:lang w:eastAsia="de-DE"/>
        </w:rPr>
        <w:t>outcome</w:t>
      </w:r>
      <w:proofErr w:type="spellEnd"/>
      <w:r w:rsidRPr="00812C16">
        <w:rPr>
          <w:rFonts w:cs="Arial"/>
          <w:lang w:eastAsia="de-DE"/>
        </w:rPr>
        <w:t xml:space="preserve"> einen hochsignifikanten </w:t>
      </w:r>
      <w:proofErr w:type="spellStart"/>
      <w:r w:rsidRPr="00812C16">
        <w:rPr>
          <w:rFonts w:cs="Arial"/>
          <w:lang w:eastAsia="de-DE"/>
        </w:rPr>
        <w:t>Überlebensvorteil</w:t>
      </w:r>
      <w:proofErr w:type="spellEnd"/>
      <w:r w:rsidRPr="00812C16">
        <w:rPr>
          <w:rFonts w:cs="Arial"/>
          <w:lang w:eastAsia="de-DE"/>
        </w:rPr>
        <w:t xml:space="preserve"> </w:t>
      </w:r>
      <w:proofErr w:type="spellStart"/>
      <w:r w:rsidRPr="00812C16">
        <w:rPr>
          <w:rFonts w:cs="Arial"/>
          <w:lang w:eastAsia="de-DE"/>
        </w:rPr>
        <w:t>für</w:t>
      </w:r>
      <w:proofErr w:type="spellEnd"/>
      <w:r w:rsidRPr="00812C16">
        <w:rPr>
          <w:rFonts w:cs="Arial"/>
          <w:lang w:eastAsia="de-DE"/>
        </w:rPr>
        <w:t xml:space="preserve"> Patienten mit p16INK4A- positiven Karzinomen (p &lt; 0,001) (Abb.16A) </w:t>
      </w:r>
    </w:p>
    <w:p w14:paraId="222AC2B2" w14:textId="77777777" w:rsidR="00330A47" w:rsidRPr="00812C16" w:rsidRDefault="00330A47" w:rsidP="00481C8C">
      <w:pPr>
        <w:spacing w:before="360" w:after="360"/>
        <w:contextualSpacing/>
        <w:rPr>
          <w:rFonts w:cs="Arial"/>
        </w:rPr>
      </w:pPr>
    </w:p>
    <w:p w14:paraId="5D7BEE38" w14:textId="77777777" w:rsidR="00330A47" w:rsidRPr="00812C16" w:rsidRDefault="00330A47" w:rsidP="00481C8C">
      <w:pPr>
        <w:spacing w:before="360" w:after="360"/>
        <w:contextualSpacing/>
        <w:rPr>
          <w:rFonts w:cs="Arial"/>
        </w:rPr>
      </w:pPr>
    </w:p>
    <w:p w14:paraId="766EC616" w14:textId="77777777" w:rsidR="00330A47" w:rsidRPr="00812C16" w:rsidRDefault="00330A47" w:rsidP="00481C8C">
      <w:pPr>
        <w:spacing w:before="360" w:after="360"/>
        <w:contextualSpacing/>
        <w:rPr>
          <w:rFonts w:cs="Arial"/>
        </w:rPr>
      </w:pPr>
    </w:p>
    <w:p w14:paraId="12B241D7" w14:textId="77777777" w:rsidR="00330A47" w:rsidRPr="00812C16" w:rsidRDefault="00330A47" w:rsidP="00481C8C">
      <w:pPr>
        <w:spacing w:before="360" w:after="360"/>
        <w:contextualSpacing/>
        <w:rPr>
          <w:rFonts w:cs="Arial"/>
        </w:rPr>
      </w:pPr>
    </w:p>
    <w:p w14:paraId="5B9494B8" w14:textId="77777777" w:rsidR="00481C8C" w:rsidRPr="00812C16" w:rsidRDefault="00481C8C">
      <w:pPr>
        <w:spacing w:after="0"/>
        <w:jc w:val="left"/>
        <w:rPr>
          <w:rFonts w:cs="Arial"/>
          <w:lang w:eastAsia="de-DE"/>
        </w:rPr>
      </w:pPr>
    </w:p>
    <w:p w14:paraId="6E1A38D9" w14:textId="77777777" w:rsidR="002D2423" w:rsidRPr="00812C16" w:rsidRDefault="00A44292" w:rsidP="000E413B">
      <w:pPr>
        <w:spacing w:after="0"/>
        <w:jc w:val="left"/>
        <w:rPr>
          <w:rFonts w:cs="Arial"/>
          <w:lang w:eastAsia="de-DE"/>
        </w:rPr>
      </w:pPr>
      <w:r w:rsidRPr="00812C16">
        <w:rPr>
          <w:rFonts w:cs="Arial"/>
          <w:lang w:eastAsia="de-DE"/>
        </w:rPr>
        <w:br w:type="page"/>
      </w:r>
    </w:p>
    <w:p w14:paraId="7F03CD25" w14:textId="77777777" w:rsidR="00D2406A" w:rsidRPr="00812C16" w:rsidRDefault="0030348F" w:rsidP="005547D3">
      <w:pPr>
        <w:pStyle w:val="berschrift3"/>
      </w:pPr>
      <w:bookmarkStart w:id="81" w:name="_Toc158006541"/>
      <w:r w:rsidRPr="00812C16">
        <w:lastRenderedPageBreak/>
        <w:t xml:space="preserve">Univariate Analysen zur </w:t>
      </w:r>
      <w:r w:rsidR="00506755" w:rsidRPr="00812C16">
        <w:t>Identifizierung</w:t>
      </w:r>
      <w:r w:rsidRPr="00812C16">
        <w:t xml:space="preserve"> weitere </w:t>
      </w:r>
      <w:r w:rsidR="00506755" w:rsidRPr="00812C16">
        <w:t>prognostische Parameter</w:t>
      </w:r>
      <w:bookmarkEnd w:id="81"/>
      <w:r w:rsidR="00506755" w:rsidRPr="00812C16">
        <w:t xml:space="preserve"> </w:t>
      </w:r>
    </w:p>
    <w:p w14:paraId="4FE20F6F" w14:textId="60B1420F" w:rsidR="000E5E8B" w:rsidRPr="00812C16" w:rsidRDefault="008B785E" w:rsidP="008B785E">
      <w:pPr>
        <w:spacing w:after="360"/>
        <w:rPr>
          <w:rFonts w:cs="Arial"/>
        </w:rPr>
      </w:pPr>
      <w:r w:rsidRPr="00812C16">
        <w:rPr>
          <w:lang w:eastAsia="de-DE"/>
        </w:rPr>
        <w:t>Zur</w:t>
      </w:r>
      <w:r w:rsidR="000E5E8B" w:rsidRPr="00812C16">
        <w:rPr>
          <w:lang w:eastAsia="de-DE"/>
        </w:rPr>
        <w:t xml:space="preserve"> </w:t>
      </w:r>
      <w:r w:rsidR="0019262D" w:rsidRPr="00812C16">
        <w:rPr>
          <w:lang w:eastAsia="de-DE"/>
        </w:rPr>
        <w:t>Identifizierung</w:t>
      </w:r>
      <w:r w:rsidR="000E5E8B" w:rsidRPr="00812C16">
        <w:rPr>
          <w:lang w:eastAsia="de-DE"/>
        </w:rPr>
        <w:t xml:space="preserve"> </w:t>
      </w:r>
      <w:r w:rsidR="00581878" w:rsidRPr="00812C16">
        <w:rPr>
          <w:lang w:eastAsia="de-DE"/>
        </w:rPr>
        <w:t>potenzielle</w:t>
      </w:r>
      <w:r w:rsidRPr="00812C16">
        <w:rPr>
          <w:lang w:eastAsia="de-DE"/>
        </w:rPr>
        <w:t xml:space="preserve"> Prognosefaktoren</w:t>
      </w:r>
      <w:r w:rsidR="000E5E8B" w:rsidRPr="00812C16">
        <w:rPr>
          <w:lang w:eastAsia="de-DE"/>
        </w:rPr>
        <w:t xml:space="preserve"> </w:t>
      </w:r>
      <w:r w:rsidRPr="00812C16">
        <w:rPr>
          <w:lang w:eastAsia="de-DE"/>
        </w:rPr>
        <w:t xml:space="preserve">für </w:t>
      </w:r>
      <w:r w:rsidR="000E5E8B" w:rsidRPr="00812C16">
        <w:rPr>
          <w:lang w:eastAsia="de-DE"/>
        </w:rPr>
        <w:t>Patienten mit lokal fortgeschritten Kopf-Hals</w:t>
      </w:r>
      <w:r w:rsidR="0019262D" w:rsidRPr="00812C16">
        <w:rPr>
          <w:lang w:eastAsia="de-DE"/>
        </w:rPr>
        <w:t xml:space="preserve">-Plattenepithelkarzinomen </w:t>
      </w:r>
      <w:r w:rsidR="000E5E8B" w:rsidRPr="00812C16">
        <w:rPr>
          <w:lang w:eastAsia="de-DE"/>
        </w:rPr>
        <w:t xml:space="preserve">nach postoperativer Radiochemotherapie wurden </w:t>
      </w:r>
      <w:r w:rsidRPr="00812C16">
        <w:rPr>
          <w:lang w:eastAsia="de-DE"/>
        </w:rPr>
        <w:t xml:space="preserve">im Rahmen </w:t>
      </w:r>
      <w:r w:rsidR="000E5E8B" w:rsidRPr="00812C16">
        <w:rPr>
          <w:lang w:eastAsia="de-DE"/>
        </w:rPr>
        <w:t>uni</w:t>
      </w:r>
      <w:r w:rsidRPr="00812C16">
        <w:rPr>
          <w:lang w:eastAsia="de-DE"/>
        </w:rPr>
        <w:t>variater</w:t>
      </w:r>
      <w:r w:rsidR="000E5E8B" w:rsidRPr="00812C16">
        <w:rPr>
          <w:lang w:eastAsia="de-DE"/>
        </w:rPr>
        <w:t xml:space="preserve"> A</w:t>
      </w:r>
      <w:r w:rsidRPr="00812C16">
        <w:rPr>
          <w:lang w:eastAsia="de-DE"/>
        </w:rPr>
        <w:t>nalysen verschiedene klinisc</w:t>
      </w:r>
      <w:r w:rsidR="000E1E65" w:rsidRPr="00812C16">
        <w:rPr>
          <w:lang w:eastAsia="de-DE"/>
        </w:rPr>
        <w:t xml:space="preserve">h-pathologische </w:t>
      </w:r>
      <w:r w:rsidRPr="00812C16">
        <w:rPr>
          <w:lang w:eastAsia="de-DE"/>
        </w:rPr>
        <w:t>Parameter</w:t>
      </w:r>
      <w:r w:rsidR="000E5E8B" w:rsidRPr="00812C16">
        <w:rPr>
          <w:lang w:eastAsia="de-DE"/>
        </w:rPr>
        <w:t xml:space="preserve"> </w:t>
      </w:r>
      <w:r w:rsidRPr="00812C16">
        <w:rPr>
          <w:lang w:eastAsia="de-DE"/>
        </w:rPr>
        <w:t xml:space="preserve">mit dem klinischen Outcome korreliert. </w:t>
      </w:r>
      <w:r w:rsidR="000E5E8B" w:rsidRPr="00812C16">
        <w:rPr>
          <w:lang w:eastAsia="de-DE"/>
        </w:rPr>
        <w:t xml:space="preserve">Die Ergebnisse sind in </w:t>
      </w:r>
      <w:r w:rsidR="006E0F59" w:rsidRPr="00812C16">
        <w:rPr>
          <w:lang w:eastAsia="de-DE"/>
        </w:rPr>
        <w:fldChar w:fldCharType="begin"/>
      </w:r>
      <w:r w:rsidR="006E0F59" w:rsidRPr="00812C16">
        <w:rPr>
          <w:lang w:eastAsia="de-DE"/>
        </w:rPr>
        <w:instrText xml:space="preserve"> REF _Ref91322692 \h  \* MERGEFORMAT </w:instrText>
      </w:r>
      <w:r w:rsidR="006E0F59" w:rsidRPr="00812C16">
        <w:rPr>
          <w:lang w:eastAsia="de-DE"/>
        </w:rPr>
      </w:r>
      <w:r w:rsidR="006E0F59" w:rsidRPr="00812C16">
        <w:rPr>
          <w:lang w:eastAsia="de-DE"/>
        </w:rPr>
        <w:fldChar w:fldCharType="separate"/>
      </w:r>
      <w:r w:rsidR="00F67803" w:rsidRPr="00F67803">
        <w:rPr>
          <w:color w:val="000000" w:themeColor="text1"/>
        </w:rPr>
        <w:t xml:space="preserve">Tabelle </w:t>
      </w:r>
      <w:r w:rsidR="00F67803" w:rsidRPr="00F67803">
        <w:rPr>
          <w:noProof/>
          <w:color w:val="000000" w:themeColor="text1"/>
        </w:rPr>
        <w:t>4</w:t>
      </w:r>
      <w:r w:rsidR="00F67803" w:rsidRPr="00F67803">
        <w:rPr>
          <w:noProof/>
          <w:color w:val="000000" w:themeColor="text1"/>
        </w:rPr>
        <w:noBreakHyphen/>
        <w:t>9</w:t>
      </w:r>
      <w:r w:rsidR="006E0F59" w:rsidRPr="00812C16">
        <w:rPr>
          <w:lang w:eastAsia="de-DE"/>
        </w:rPr>
        <w:fldChar w:fldCharType="end"/>
      </w:r>
      <w:r w:rsidR="000E5E8B" w:rsidRPr="00812C16">
        <w:rPr>
          <w:lang w:eastAsia="de-DE"/>
        </w:rPr>
        <w:t xml:space="preserve"> zusammengefasst. </w:t>
      </w:r>
    </w:p>
    <w:p w14:paraId="2E76ED11" w14:textId="78DAD8AF" w:rsidR="00781D2C" w:rsidRPr="00812C16" w:rsidRDefault="00894022" w:rsidP="00F65CBF">
      <w:pPr>
        <w:pStyle w:val="Beschriftung"/>
        <w:spacing w:after="120" w:line="240" w:lineRule="auto"/>
        <w:rPr>
          <w:i w:val="0"/>
          <w:iCs w:val="0"/>
          <w:color w:val="000000" w:themeColor="text1"/>
          <w:sz w:val="20"/>
          <w:szCs w:val="20"/>
          <w:lang w:eastAsia="de-DE"/>
        </w:rPr>
      </w:pPr>
      <w:bookmarkStart w:id="82" w:name="_Ref91322692"/>
      <w:bookmarkStart w:id="83" w:name="_Toc180788399"/>
      <w:r w:rsidRPr="00812C16">
        <w:rPr>
          <w:b/>
          <w:bCs/>
          <w:i w:val="0"/>
          <w:iCs w:val="0"/>
          <w:color w:val="000000" w:themeColor="text1"/>
          <w:sz w:val="20"/>
          <w:szCs w:val="20"/>
        </w:rPr>
        <w:t xml:space="preserve">Tabelle </w:t>
      </w:r>
      <w:r w:rsidR="00A126D9" w:rsidRPr="00812C16">
        <w:rPr>
          <w:b/>
          <w:bCs/>
          <w:i w:val="0"/>
          <w:iCs w:val="0"/>
          <w:color w:val="000000" w:themeColor="text1"/>
          <w:sz w:val="20"/>
          <w:szCs w:val="20"/>
        </w:rPr>
        <w:fldChar w:fldCharType="begin"/>
      </w:r>
      <w:r w:rsidR="00A126D9" w:rsidRPr="00812C16">
        <w:rPr>
          <w:b/>
          <w:bCs/>
          <w:i w:val="0"/>
          <w:iCs w:val="0"/>
          <w:color w:val="000000" w:themeColor="text1"/>
          <w:sz w:val="20"/>
          <w:szCs w:val="20"/>
        </w:rPr>
        <w:instrText xml:space="preserve"> STYLEREF 1 \s </w:instrText>
      </w:r>
      <w:r w:rsidR="00A126D9" w:rsidRPr="00812C16">
        <w:rPr>
          <w:b/>
          <w:bCs/>
          <w:i w:val="0"/>
          <w:iCs w:val="0"/>
          <w:color w:val="000000" w:themeColor="text1"/>
          <w:sz w:val="20"/>
          <w:szCs w:val="20"/>
        </w:rPr>
        <w:fldChar w:fldCharType="separate"/>
      </w:r>
      <w:r w:rsidR="00F67803">
        <w:rPr>
          <w:b/>
          <w:bCs/>
          <w:i w:val="0"/>
          <w:iCs w:val="0"/>
          <w:noProof/>
          <w:color w:val="000000" w:themeColor="text1"/>
          <w:sz w:val="20"/>
          <w:szCs w:val="20"/>
        </w:rPr>
        <w:t>4</w:t>
      </w:r>
      <w:r w:rsidR="00A126D9" w:rsidRPr="00812C16">
        <w:rPr>
          <w:b/>
          <w:bCs/>
          <w:i w:val="0"/>
          <w:iCs w:val="0"/>
          <w:color w:val="000000" w:themeColor="text1"/>
          <w:sz w:val="20"/>
          <w:szCs w:val="20"/>
        </w:rPr>
        <w:fldChar w:fldCharType="end"/>
      </w:r>
      <w:r w:rsidR="00A126D9" w:rsidRPr="00812C16">
        <w:rPr>
          <w:b/>
          <w:bCs/>
          <w:i w:val="0"/>
          <w:iCs w:val="0"/>
          <w:color w:val="000000" w:themeColor="text1"/>
          <w:sz w:val="20"/>
          <w:szCs w:val="20"/>
        </w:rPr>
        <w:noBreakHyphen/>
      </w:r>
      <w:r w:rsidR="00A126D9" w:rsidRPr="00812C16">
        <w:rPr>
          <w:b/>
          <w:bCs/>
          <w:i w:val="0"/>
          <w:iCs w:val="0"/>
          <w:color w:val="000000" w:themeColor="text1"/>
          <w:sz w:val="20"/>
          <w:szCs w:val="20"/>
        </w:rPr>
        <w:fldChar w:fldCharType="begin"/>
      </w:r>
      <w:r w:rsidR="00A126D9" w:rsidRPr="00812C16">
        <w:rPr>
          <w:b/>
          <w:bCs/>
          <w:i w:val="0"/>
          <w:iCs w:val="0"/>
          <w:color w:val="000000" w:themeColor="text1"/>
          <w:sz w:val="20"/>
          <w:szCs w:val="20"/>
        </w:rPr>
        <w:instrText xml:space="preserve"> SEQ Tabelle \* ARABIC \s 1 </w:instrText>
      </w:r>
      <w:r w:rsidR="00A126D9" w:rsidRPr="00812C16">
        <w:rPr>
          <w:b/>
          <w:bCs/>
          <w:i w:val="0"/>
          <w:iCs w:val="0"/>
          <w:color w:val="000000" w:themeColor="text1"/>
          <w:sz w:val="20"/>
          <w:szCs w:val="20"/>
        </w:rPr>
        <w:fldChar w:fldCharType="separate"/>
      </w:r>
      <w:r w:rsidR="00F67803">
        <w:rPr>
          <w:b/>
          <w:bCs/>
          <w:i w:val="0"/>
          <w:iCs w:val="0"/>
          <w:noProof/>
          <w:color w:val="000000" w:themeColor="text1"/>
          <w:sz w:val="20"/>
          <w:szCs w:val="20"/>
        </w:rPr>
        <w:t>9</w:t>
      </w:r>
      <w:r w:rsidR="00A126D9" w:rsidRPr="00812C16">
        <w:rPr>
          <w:b/>
          <w:bCs/>
          <w:i w:val="0"/>
          <w:iCs w:val="0"/>
          <w:color w:val="000000" w:themeColor="text1"/>
          <w:sz w:val="20"/>
          <w:szCs w:val="20"/>
        </w:rPr>
        <w:fldChar w:fldCharType="end"/>
      </w:r>
      <w:bookmarkEnd w:id="82"/>
      <w:r w:rsidRPr="00812C16">
        <w:rPr>
          <w:b/>
          <w:bCs/>
          <w:i w:val="0"/>
          <w:iCs w:val="0"/>
          <w:color w:val="000000" w:themeColor="text1"/>
          <w:sz w:val="20"/>
          <w:szCs w:val="20"/>
        </w:rPr>
        <w:t xml:space="preserve">: Univariate Analyse </w:t>
      </w:r>
      <w:r w:rsidR="00F65CBF" w:rsidRPr="00812C16">
        <w:rPr>
          <w:b/>
          <w:bCs/>
          <w:i w:val="0"/>
          <w:iCs w:val="0"/>
          <w:color w:val="000000" w:themeColor="text1"/>
          <w:sz w:val="20"/>
          <w:szCs w:val="20"/>
        </w:rPr>
        <w:t>potenzieller</w:t>
      </w:r>
      <w:r w:rsidRPr="00812C16">
        <w:rPr>
          <w:b/>
          <w:bCs/>
          <w:i w:val="0"/>
          <w:iCs w:val="0"/>
          <w:color w:val="000000" w:themeColor="text1"/>
          <w:sz w:val="20"/>
          <w:szCs w:val="20"/>
        </w:rPr>
        <w:t xml:space="preserve"> prognostische Parameter für die loko-regionäre Tumorkontrolle, Fernmetastasen-freies Überleben und Gesamtüberleben</w:t>
      </w:r>
      <w:r w:rsidR="00F65CBF" w:rsidRPr="00812C16">
        <w:rPr>
          <w:b/>
          <w:bCs/>
          <w:i w:val="0"/>
          <w:iCs w:val="0"/>
          <w:color w:val="000000" w:themeColor="text1"/>
          <w:sz w:val="20"/>
          <w:szCs w:val="20"/>
        </w:rPr>
        <w:t xml:space="preserve">. </w:t>
      </w:r>
      <w:r w:rsidR="00F65CBF" w:rsidRPr="00812C16">
        <w:rPr>
          <w:i w:val="0"/>
          <w:iCs w:val="0"/>
          <w:color w:val="000000" w:themeColor="text1"/>
          <w:sz w:val="20"/>
          <w:szCs w:val="20"/>
        </w:rPr>
        <w:t xml:space="preserve">HR = </w:t>
      </w:r>
      <w:r w:rsidR="00704ECF" w:rsidRPr="00812C16">
        <w:rPr>
          <w:i w:val="0"/>
          <w:iCs w:val="0"/>
          <w:color w:val="000000" w:themeColor="text1"/>
          <w:sz w:val="20"/>
          <w:szCs w:val="20"/>
        </w:rPr>
        <w:t>H</w:t>
      </w:r>
      <w:r w:rsidR="00F65CBF" w:rsidRPr="00812C16">
        <w:rPr>
          <w:i w:val="0"/>
          <w:iCs w:val="0"/>
          <w:color w:val="000000" w:themeColor="text1"/>
          <w:sz w:val="20"/>
          <w:szCs w:val="20"/>
        </w:rPr>
        <w:t xml:space="preserve">azard </w:t>
      </w:r>
      <w:r w:rsidR="00704ECF" w:rsidRPr="00812C16">
        <w:rPr>
          <w:i w:val="0"/>
          <w:iCs w:val="0"/>
          <w:color w:val="000000" w:themeColor="text1"/>
          <w:sz w:val="20"/>
          <w:szCs w:val="20"/>
        </w:rPr>
        <w:t>R</w:t>
      </w:r>
      <w:r w:rsidR="00F65CBF" w:rsidRPr="00812C16">
        <w:rPr>
          <w:i w:val="0"/>
          <w:iCs w:val="0"/>
          <w:color w:val="000000" w:themeColor="text1"/>
          <w:sz w:val="20"/>
          <w:szCs w:val="20"/>
        </w:rPr>
        <w:t>atio; 95% KI = 95% Konfidenzintervall</w:t>
      </w:r>
      <w:bookmarkEnd w:id="83"/>
      <w:r w:rsidR="00F65CBF" w:rsidRPr="00812C16">
        <w:rPr>
          <w:i w:val="0"/>
          <w:iCs w:val="0"/>
          <w:color w:val="000000" w:themeColor="text1"/>
          <w:sz w:val="20"/>
          <w:szCs w:val="20"/>
        </w:rPr>
        <w:t xml:space="preserve">  </w:t>
      </w:r>
    </w:p>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560"/>
        <w:gridCol w:w="850"/>
        <w:gridCol w:w="1559"/>
        <w:gridCol w:w="851"/>
        <w:gridCol w:w="1701"/>
        <w:gridCol w:w="850"/>
      </w:tblGrid>
      <w:tr w:rsidR="00F3332F" w:rsidRPr="00812C16" w14:paraId="0676E583" w14:textId="77777777" w:rsidTr="00F3332F">
        <w:tc>
          <w:tcPr>
            <w:tcW w:w="1696" w:type="dxa"/>
            <w:tcBorders>
              <w:top w:val="single" w:sz="4" w:space="0" w:color="000000" w:themeColor="text1"/>
            </w:tcBorders>
          </w:tcPr>
          <w:p w14:paraId="2371738E" w14:textId="77777777" w:rsidR="00F3332F" w:rsidRPr="00812C16" w:rsidRDefault="00F3332F" w:rsidP="00F3332F">
            <w:pPr>
              <w:spacing w:beforeLines="30" w:before="72" w:afterLines="30" w:after="72"/>
              <w:jc w:val="center"/>
              <w:rPr>
                <w:rFonts w:cs="Arial"/>
                <w:b/>
                <w:bCs/>
                <w:sz w:val="18"/>
                <w:szCs w:val="18"/>
              </w:rPr>
            </w:pPr>
            <w:r w:rsidRPr="00812C16">
              <w:rPr>
                <w:rFonts w:cs="Arial"/>
                <w:b/>
                <w:bCs/>
                <w:sz w:val="18"/>
                <w:szCs w:val="18"/>
              </w:rPr>
              <w:t>Parameter</w:t>
            </w:r>
          </w:p>
        </w:tc>
        <w:tc>
          <w:tcPr>
            <w:tcW w:w="2410" w:type="dxa"/>
            <w:gridSpan w:val="2"/>
            <w:tcBorders>
              <w:top w:val="single" w:sz="4" w:space="0" w:color="000000" w:themeColor="text1"/>
            </w:tcBorders>
          </w:tcPr>
          <w:p w14:paraId="526AC1E9" w14:textId="77777777" w:rsidR="00F3332F" w:rsidRPr="00812C16" w:rsidRDefault="00F3332F" w:rsidP="00F3332F">
            <w:pPr>
              <w:spacing w:beforeLines="30" w:before="72" w:afterLines="30" w:after="72"/>
              <w:jc w:val="center"/>
              <w:rPr>
                <w:rFonts w:cs="Arial"/>
                <w:b/>
                <w:bCs/>
                <w:sz w:val="18"/>
                <w:szCs w:val="18"/>
              </w:rPr>
            </w:pPr>
            <w:r w:rsidRPr="00812C16">
              <w:rPr>
                <w:rFonts w:cs="Arial"/>
                <w:b/>
                <w:bCs/>
                <w:sz w:val="18"/>
                <w:szCs w:val="18"/>
              </w:rPr>
              <w:t>Loko-regionäre Kontrolle</w:t>
            </w:r>
          </w:p>
        </w:tc>
        <w:tc>
          <w:tcPr>
            <w:tcW w:w="2410" w:type="dxa"/>
            <w:gridSpan w:val="2"/>
            <w:tcBorders>
              <w:top w:val="single" w:sz="4" w:space="0" w:color="000000" w:themeColor="text1"/>
            </w:tcBorders>
          </w:tcPr>
          <w:p w14:paraId="649DF1BE" w14:textId="77777777" w:rsidR="00F3332F" w:rsidRPr="00812C16" w:rsidRDefault="00F3332F" w:rsidP="00F3332F">
            <w:pPr>
              <w:spacing w:beforeLines="30" w:before="72" w:afterLines="30" w:after="72"/>
              <w:jc w:val="center"/>
              <w:rPr>
                <w:rFonts w:cs="Arial"/>
                <w:b/>
                <w:bCs/>
                <w:sz w:val="18"/>
                <w:szCs w:val="18"/>
              </w:rPr>
            </w:pPr>
            <w:r w:rsidRPr="00812C16">
              <w:rPr>
                <w:rFonts w:cs="Arial"/>
                <w:b/>
                <w:bCs/>
                <w:sz w:val="18"/>
                <w:szCs w:val="18"/>
              </w:rPr>
              <w:t>Fernmetastasen-freies Überleben</w:t>
            </w:r>
          </w:p>
        </w:tc>
        <w:tc>
          <w:tcPr>
            <w:tcW w:w="2551" w:type="dxa"/>
            <w:gridSpan w:val="2"/>
            <w:tcBorders>
              <w:top w:val="single" w:sz="4" w:space="0" w:color="000000" w:themeColor="text1"/>
            </w:tcBorders>
          </w:tcPr>
          <w:p w14:paraId="1A4FE7A8" w14:textId="77777777" w:rsidR="00F3332F" w:rsidRPr="00812C16" w:rsidRDefault="00F3332F" w:rsidP="00F3332F">
            <w:pPr>
              <w:spacing w:beforeLines="30" w:before="72" w:afterLines="30" w:after="72"/>
              <w:jc w:val="center"/>
              <w:rPr>
                <w:rFonts w:cs="Arial"/>
                <w:b/>
                <w:bCs/>
                <w:sz w:val="18"/>
                <w:szCs w:val="18"/>
              </w:rPr>
            </w:pPr>
            <w:r w:rsidRPr="00812C16">
              <w:rPr>
                <w:rFonts w:cs="Arial"/>
                <w:b/>
                <w:bCs/>
                <w:sz w:val="18"/>
                <w:szCs w:val="18"/>
              </w:rPr>
              <w:t>Gesamtüberleben</w:t>
            </w:r>
          </w:p>
        </w:tc>
      </w:tr>
      <w:tr w:rsidR="00F3332F" w:rsidRPr="00812C16" w14:paraId="4534C466" w14:textId="77777777" w:rsidTr="00F3332F">
        <w:tc>
          <w:tcPr>
            <w:tcW w:w="1696" w:type="dxa"/>
            <w:tcBorders>
              <w:bottom w:val="single" w:sz="4" w:space="0" w:color="000000" w:themeColor="text1"/>
            </w:tcBorders>
          </w:tcPr>
          <w:p w14:paraId="1A4F7F06" w14:textId="77777777" w:rsidR="00F3332F" w:rsidRPr="00812C16" w:rsidRDefault="00F3332F" w:rsidP="00F3332F">
            <w:pPr>
              <w:spacing w:beforeLines="30" w:before="72" w:afterLines="30" w:after="72"/>
              <w:rPr>
                <w:rFonts w:cs="Arial"/>
                <w:sz w:val="18"/>
                <w:szCs w:val="18"/>
              </w:rPr>
            </w:pPr>
          </w:p>
        </w:tc>
        <w:tc>
          <w:tcPr>
            <w:tcW w:w="1560" w:type="dxa"/>
            <w:tcBorders>
              <w:bottom w:val="single" w:sz="4" w:space="0" w:color="000000" w:themeColor="text1"/>
            </w:tcBorders>
          </w:tcPr>
          <w:p w14:paraId="76C8D800"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HR (95% KI)</w:t>
            </w:r>
          </w:p>
        </w:tc>
        <w:tc>
          <w:tcPr>
            <w:tcW w:w="850" w:type="dxa"/>
            <w:tcBorders>
              <w:bottom w:val="single" w:sz="4" w:space="0" w:color="000000" w:themeColor="text1"/>
            </w:tcBorders>
          </w:tcPr>
          <w:p w14:paraId="12137B81"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p-Wert</w:t>
            </w:r>
          </w:p>
        </w:tc>
        <w:tc>
          <w:tcPr>
            <w:tcW w:w="1559" w:type="dxa"/>
            <w:tcBorders>
              <w:bottom w:val="single" w:sz="4" w:space="0" w:color="000000" w:themeColor="text1"/>
            </w:tcBorders>
          </w:tcPr>
          <w:p w14:paraId="1075AEF3"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HR (95% KI)</w:t>
            </w:r>
          </w:p>
        </w:tc>
        <w:tc>
          <w:tcPr>
            <w:tcW w:w="851" w:type="dxa"/>
            <w:tcBorders>
              <w:bottom w:val="single" w:sz="4" w:space="0" w:color="000000" w:themeColor="text1"/>
            </w:tcBorders>
          </w:tcPr>
          <w:p w14:paraId="0DC564C4"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p-Wert</w:t>
            </w:r>
          </w:p>
        </w:tc>
        <w:tc>
          <w:tcPr>
            <w:tcW w:w="1701" w:type="dxa"/>
            <w:tcBorders>
              <w:bottom w:val="single" w:sz="4" w:space="0" w:color="000000" w:themeColor="text1"/>
            </w:tcBorders>
          </w:tcPr>
          <w:p w14:paraId="68B7676D"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HR (95% KI)</w:t>
            </w:r>
          </w:p>
        </w:tc>
        <w:tc>
          <w:tcPr>
            <w:tcW w:w="850" w:type="dxa"/>
            <w:tcBorders>
              <w:bottom w:val="single" w:sz="4" w:space="0" w:color="000000" w:themeColor="text1"/>
            </w:tcBorders>
          </w:tcPr>
          <w:p w14:paraId="5F07B197"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p-Wert</w:t>
            </w:r>
          </w:p>
        </w:tc>
      </w:tr>
      <w:tr w:rsidR="00F3332F" w:rsidRPr="00812C16" w14:paraId="47A50C44" w14:textId="77777777" w:rsidTr="00F3332F">
        <w:tc>
          <w:tcPr>
            <w:tcW w:w="1696" w:type="dxa"/>
            <w:tcBorders>
              <w:top w:val="single" w:sz="4" w:space="0" w:color="000000" w:themeColor="text1"/>
            </w:tcBorders>
          </w:tcPr>
          <w:p w14:paraId="145F4F07" w14:textId="77777777" w:rsidR="00F3332F" w:rsidRPr="00812C16" w:rsidRDefault="00F3332F" w:rsidP="00894022">
            <w:pPr>
              <w:spacing w:beforeLines="30" w:before="72" w:afterLines="30" w:after="72"/>
              <w:jc w:val="left"/>
              <w:rPr>
                <w:rFonts w:cs="Arial"/>
                <w:sz w:val="18"/>
                <w:szCs w:val="18"/>
              </w:rPr>
            </w:pPr>
            <w:r w:rsidRPr="00812C16">
              <w:rPr>
                <w:rFonts w:cs="Arial"/>
                <w:sz w:val="18"/>
                <w:szCs w:val="18"/>
              </w:rPr>
              <w:t>Tumorlokalisation</w:t>
            </w:r>
          </w:p>
        </w:tc>
        <w:tc>
          <w:tcPr>
            <w:tcW w:w="1560" w:type="dxa"/>
            <w:tcBorders>
              <w:top w:val="single" w:sz="4" w:space="0" w:color="000000" w:themeColor="text1"/>
            </w:tcBorders>
          </w:tcPr>
          <w:p w14:paraId="27678E72" w14:textId="77777777" w:rsidR="00F3332F" w:rsidRPr="00812C16" w:rsidRDefault="00F3332F" w:rsidP="00F3332F">
            <w:pPr>
              <w:spacing w:beforeLines="30" w:before="72" w:afterLines="30" w:after="72"/>
              <w:jc w:val="center"/>
              <w:rPr>
                <w:rFonts w:cs="Arial"/>
                <w:sz w:val="18"/>
                <w:szCs w:val="18"/>
              </w:rPr>
            </w:pPr>
          </w:p>
        </w:tc>
        <w:tc>
          <w:tcPr>
            <w:tcW w:w="850" w:type="dxa"/>
            <w:tcBorders>
              <w:top w:val="single" w:sz="4" w:space="0" w:color="000000" w:themeColor="text1"/>
            </w:tcBorders>
          </w:tcPr>
          <w:p w14:paraId="4AD06928" w14:textId="77777777" w:rsidR="00F3332F" w:rsidRPr="00812C16" w:rsidRDefault="00F3332F" w:rsidP="00F3332F">
            <w:pPr>
              <w:spacing w:beforeLines="30" w:before="72" w:afterLines="30" w:after="72"/>
              <w:jc w:val="center"/>
              <w:rPr>
                <w:rFonts w:cs="Arial"/>
                <w:sz w:val="18"/>
                <w:szCs w:val="18"/>
              </w:rPr>
            </w:pPr>
          </w:p>
        </w:tc>
        <w:tc>
          <w:tcPr>
            <w:tcW w:w="1559" w:type="dxa"/>
            <w:tcBorders>
              <w:top w:val="single" w:sz="4" w:space="0" w:color="000000" w:themeColor="text1"/>
            </w:tcBorders>
          </w:tcPr>
          <w:p w14:paraId="385EF0C8" w14:textId="77777777" w:rsidR="00F3332F" w:rsidRPr="00812C16" w:rsidRDefault="00F3332F" w:rsidP="00F3332F">
            <w:pPr>
              <w:spacing w:beforeLines="30" w:before="72" w:afterLines="30" w:after="72"/>
              <w:jc w:val="center"/>
              <w:rPr>
                <w:rFonts w:cs="Arial"/>
                <w:sz w:val="18"/>
                <w:szCs w:val="18"/>
              </w:rPr>
            </w:pPr>
          </w:p>
        </w:tc>
        <w:tc>
          <w:tcPr>
            <w:tcW w:w="851" w:type="dxa"/>
            <w:tcBorders>
              <w:top w:val="single" w:sz="4" w:space="0" w:color="000000" w:themeColor="text1"/>
            </w:tcBorders>
          </w:tcPr>
          <w:p w14:paraId="2D480CE9" w14:textId="77777777" w:rsidR="00F3332F" w:rsidRPr="00812C16" w:rsidRDefault="00F3332F" w:rsidP="00F3332F">
            <w:pPr>
              <w:spacing w:beforeLines="30" w:before="72" w:afterLines="30" w:after="72"/>
              <w:jc w:val="center"/>
              <w:rPr>
                <w:rFonts w:cs="Arial"/>
                <w:b/>
                <w:bCs/>
                <w:sz w:val="18"/>
                <w:szCs w:val="18"/>
              </w:rPr>
            </w:pPr>
          </w:p>
        </w:tc>
        <w:tc>
          <w:tcPr>
            <w:tcW w:w="1701" w:type="dxa"/>
            <w:tcBorders>
              <w:top w:val="single" w:sz="4" w:space="0" w:color="000000" w:themeColor="text1"/>
            </w:tcBorders>
          </w:tcPr>
          <w:p w14:paraId="402421D5" w14:textId="77777777" w:rsidR="00F3332F" w:rsidRPr="00812C16" w:rsidRDefault="00F3332F" w:rsidP="00F3332F">
            <w:pPr>
              <w:spacing w:beforeLines="30" w:before="72" w:afterLines="30" w:after="72"/>
              <w:jc w:val="center"/>
              <w:rPr>
                <w:rFonts w:cs="Arial"/>
                <w:sz w:val="18"/>
                <w:szCs w:val="18"/>
              </w:rPr>
            </w:pPr>
          </w:p>
        </w:tc>
        <w:tc>
          <w:tcPr>
            <w:tcW w:w="850" w:type="dxa"/>
            <w:tcBorders>
              <w:top w:val="single" w:sz="4" w:space="0" w:color="000000" w:themeColor="text1"/>
            </w:tcBorders>
          </w:tcPr>
          <w:p w14:paraId="4532C464" w14:textId="77777777" w:rsidR="00F3332F" w:rsidRPr="00812C16" w:rsidRDefault="00F3332F" w:rsidP="00F3332F">
            <w:pPr>
              <w:spacing w:beforeLines="30" w:before="72" w:afterLines="30" w:after="72"/>
              <w:jc w:val="center"/>
              <w:rPr>
                <w:rFonts w:cs="Arial"/>
                <w:sz w:val="18"/>
                <w:szCs w:val="18"/>
              </w:rPr>
            </w:pPr>
          </w:p>
        </w:tc>
      </w:tr>
      <w:tr w:rsidR="00F3332F" w:rsidRPr="00812C16" w14:paraId="28D2E403" w14:textId="77777777" w:rsidTr="00F3332F">
        <w:tc>
          <w:tcPr>
            <w:tcW w:w="1696" w:type="dxa"/>
          </w:tcPr>
          <w:p w14:paraId="21D461AD" w14:textId="77777777" w:rsidR="00F3332F" w:rsidRPr="00812C16" w:rsidRDefault="00F3332F" w:rsidP="00894022">
            <w:pPr>
              <w:spacing w:beforeLines="30" w:before="72" w:afterLines="30" w:after="72"/>
              <w:jc w:val="center"/>
              <w:rPr>
                <w:rFonts w:cs="Arial"/>
                <w:b/>
                <w:bCs/>
                <w:i/>
                <w:iCs/>
                <w:sz w:val="18"/>
                <w:szCs w:val="18"/>
              </w:rPr>
            </w:pPr>
            <w:r w:rsidRPr="00812C16">
              <w:rPr>
                <w:rFonts w:cs="Arial"/>
                <w:b/>
                <w:bCs/>
                <w:i/>
                <w:iCs/>
                <w:sz w:val="18"/>
                <w:szCs w:val="18"/>
              </w:rPr>
              <w:t>Mundhöhle*</w:t>
            </w:r>
          </w:p>
        </w:tc>
        <w:tc>
          <w:tcPr>
            <w:tcW w:w="1560" w:type="dxa"/>
          </w:tcPr>
          <w:p w14:paraId="6BB3DC92"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3,86 (1,85-8,04)</w:t>
            </w:r>
          </w:p>
        </w:tc>
        <w:tc>
          <w:tcPr>
            <w:tcW w:w="850" w:type="dxa"/>
          </w:tcPr>
          <w:p w14:paraId="6E21CC1D" w14:textId="77777777" w:rsidR="00F3332F" w:rsidRPr="00812C16" w:rsidRDefault="00F3332F" w:rsidP="00F3332F">
            <w:pPr>
              <w:spacing w:beforeLines="30" w:before="72" w:afterLines="30" w:after="72"/>
              <w:jc w:val="center"/>
              <w:rPr>
                <w:rFonts w:cs="Arial"/>
                <w:sz w:val="18"/>
                <w:szCs w:val="18"/>
              </w:rPr>
            </w:pPr>
            <w:r w:rsidRPr="00812C16">
              <w:rPr>
                <w:rFonts w:cs="Arial"/>
                <w:b/>
                <w:bCs/>
                <w:sz w:val="18"/>
                <w:szCs w:val="18"/>
              </w:rPr>
              <w:t>&lt;0,01</w:t>
            </w:r>
          </w:p>
        </w:tc>
        <w:tc>
          <w:tcPr>
            <w:tcW w:w="1559" w:type="dxa"/>
          </w:tcPr>
          <w:p w14:paraId="21A07723"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2,58 (1,39-4,76)</w:t>
            </w:r>
          </w:p>
        </w:tc>
        <w:tc>
          <w:tcPr>
            <w:tcW w:w="851" w:type="dxa"/>
          </w:tcPr>
          <w:p w14:paraId="24074445" w14:textId="77777777" w:rsidR="00F3332F" w:rsidRPr="00812C16" w:rsidRDefault="00F3332F" w:rsidP="00F3332F">
            <w:pPr>
              <w:spacing w:beforeLines="30" w:before="72" w:afterLines="30" w:after="72"/>
              <w:jc w:val="center"/>
              <w:rPr>
                <w:rFonts w:cs="Arial"/>
                <w:b/>
                <w:bCs/>
                <w:sz w:val="18"/>
                <w:szCs w:val="18"/>
              </w:rPr>
            </w:pPr>
            <w:r w:rsidRPr="00812C16">
              <w:rPr>
                <w:rFonts w:cs="Arial"/>
                <w:b/>
                <w:bCs/>
                <w:sz w:val="18"/>
                <w:szCs w:val="18"/>
              </w:rPr>
              <w:t>&lt;0,01</w:t>
            </w:r>
          </w:p>
        </w:tc>
        <w:tc>
          <w:tcPr>
            <w:tcW w:w="1701" w:type="dxa"/>
          </w:tcPr>
          <w:p w14:paraId="45D2DAA4"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2,59 (1,60-4,19)</w:t>
            </w:r>
          </w:p>
        </w:tc>
        <w:tc>
          <w:tcPr>
            <w:tcW w:w="850" w:type="dxa"/>
          </w:tcPr>
          <w:p w14:paraId="451A9BAC" w14:textId="77777777" w:rsidR="00F3332F" w:rsidRPr="00812C16" w:rsidRDefault="00F3332F" w:rsidP="00F3332F">
            <w:pPr>
              <w:spacing w:beforeLines="30" w:before="72" w:afterLines="30" w:after="72"/>
              <w:jc w:val="center"/>
              <w:rPr>
                <w:rFonts w:cs="Arial"/>
                <w:b/>
                <w:bCs/>
                <w:sz w:val="18"/>
                <w:szCs w:val="18"/>
              </w:rPr>
            </w:pPr>
            <w:r w:rsidRPr="00812C16">
              <w:rPr>
                <w:rFonts w:cs="Arial"/>
                <w:b/>
                <w:bCs/>
                <w:sz w:val="18"/>
                <w:szCs w:val="18"/>
              </w:rPr>
              <w:t>&lt;0,01</w:t>
            </w:r>
          </w:p>
        </w:tc>
      </w:tr>
      <w:tr w:rsidR="00F3332F" w:rsidRPr="00812C16" w14:paraId="76B0C439" w14:textId="77777777" w:rsidTr="00F3332F">
        <w:tc>
          <w:tcPr>
            <w:tcW w:w="1696" w:type="dxa"/>
          </w:tcPr>
          <w:p w14:paraId="3D82085A" w14:textId="77777777" w:rsidR="00F3332F" w:rsidRPr="00812C16" w:rsidRDefault="00F3332F" w:rsidP="00894022">
            <w:pPr>
              <w:spacing w:beforeLines="30" w:before="72" w:afterLines="30" w:after="72"/>
              <w:jc w:val="center"/>
              <w:rPr>
                <w:rFonts w:cs="Arial"/>
                <w:b/>
                <w:bCs/>
                <w:i/>
                <w:iCs/>
                <w:sz w:val="18"/>
                <w:szCs w:val="18"/>
              </w:rPr>
            </w:pPr>
            <w:r w:rsidRPr="00812C16">
              <w:rPr>
                <w:rFonts w:cs="Arial"/>
                <w:b/>
                <w:bCs/>
                <w:i/>
                <w:iCs/>
                <w:sz w:val="18"/>
                <w:szCs w:val="18"/>
              </w:rPr>
              <w:t>Oropharynx*</w:t>
            </w:r>
          </w:p>
        </w:tc>
        <w:tc>
          <w:tcPr>
            <w:tcW w:w="1560" w:type="dxa"/>
          </w:tcPr>
          <w:p w14:paraId="4087468D"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0,38 (0,18-0,82)</w:t>
            </w:r>
          </w:p>
        </w:tc>
        <w:tc>
          <w:tcPr>
            <w:tcW w:w="850" w:type="dxa"/>
          </w:tcPr>
          <w:p w14:paraId="20AA719B" w14:textId="77777777" w:rsidR="00F3332F" w:rsidRPr="00812C16" w:rsidRDefault="00F3332F" w:rsidP="00F3332F">
            <w:pPr>
              <w:spacing w:beforeLines="30" w:before="72" w:afterLines="30" w:after="72"/>
              <w:ind w:left="-193" w:right="-255"/>
              <w:jc w:val="center"/>
              <w:rPr>
                <w:rFonts w:cs="Arial"/>
                <w:sz w:val="18"/>
                <w:szCs w:val="18"/>
              </w:rPr>
            </w:pPr>
            <w:r w:rsidRPr="00812C16">
              <w:rPr>
                <w:rFonts w:cs="Arial"/>
                <w:b/>
                <w:bCs/>
                <w:sz w:val="18"/>
                <w:szCs w:val="18"/>
              </w:rPr>
              <w:t>0,01</w:t>
            </w:r>
          </w:p>
        </w:tc>
        <w:tc>
          <w:tcPr>
            <w:tcW w:w="1559" w:type="dxa"/>
          </w:tcPr>
          <w:p w14:paraId="45D50DBE"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0,30 (0,16-0,58)</w:t>
            </w:r>
          </w:p>
        </w:tc>
        <w:tc>
          <w:tcPr>
            <w:tcW w:w="851" w:type="dxa"/>
          </w:tcPr>
          <w:p w14:paraId="197D01F9" w14:textId="77777777" w:rsidR="00F3332F" w:rsidRPr="00812C16" w:rsidRDefault="00F3332F" w:rsidP="00F3332F">
            <w:pPr>
              <w:spacing w:beforeLines="30" w:before="72" w:afterLines="30" w:after="72"/>
              <w:jc w:val="center"/>
              <w:rPr>
                <w:rFonts w:cs="Arial"/>
                <w:sz w:val="18"/>
                <w:szCs w:val="18"/>
              </w:rPr>
            </w:pPr>
            <w:r w:rsidRPr="00812C16">
              <w:rPr>
                <w:rFonts w:cs="Arial"/>
                <w:b/>
                <w:bCs/>
                <w:sz w:val="18"/>
                <w:szCs w:val="18"/>
              </w:rPr>
              <w:t>&lt;0,01</w:t>
            </w:r>
          </w:p>
        </w:tc>
        <w:tc>
          <w:tcPr>
            <w:tcW w:w="1701" w:type="dxa"/>
          </w:tcPr>
          <w:p w14:paraId="6BC18007"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0,58 (0,36-0,93)</w:t>
            </w:r>
          </w:p>
        </w:tc>
        <w:tc>
          <w:tcPr>
            <w:tcW w:w="850" w:type="dxa"/>
          </w:tcPr>
          <w:p w14:paraId="79596CD3" w14:textId="77777777" w:rsidR="00F3332F" w:rsidRPr="00812C16" w:rsidRDefault="00F3332F" w:rsidP="00F3332F">
            <w:pPr>
              <w:spacing w:beforeLines="30" w:before="72" w:afterLines="30" w:after="72"/>
              <w:ind w:left="-113" w:right="-193"/>
              <w:jc w:val="center"/>
              <w:rPr>
                <w:rFonts w:cs="Arial"/>
                <w:b/>
                <w:bCs/>
                <w:sz w:val="18"/>
                <w:szCs w:val="18"/>
              </w:rPr>
            </w:pPr>
            <w:r w:rsidRPr="00812C16">
              <w:rPr>
                <w:rFonts w:cs="Arial"/>
                <w:b/>
                <w:bCs/>
                <w:sz w:val="18"/>
                <w:szCs w:val="18"/>
              </w:rPr>
              <w:t>0,01</w:t>
            </w:r>
          </w:p>
        </w:tc>
      </w:tr>
      <w:tr w:rsidR="00F3332F" w:rsidRPr="00812C16" w14:paraId="3803C932" w14:textId="77777777" w:rsidTr="00F3332F">
        <w:tc>
          <w:tcPr>
            <w:tcW w:w="1696" w:type="dxa"/>
            <w:tcBorders>
              <w:bottom w:val="single" w:sz="4" w:space="0" w:color="D0CECE" w:themeColor="background2" w:themeShade="E6"/>
            </w:tcBorders>
          </w:tcPr>
          <w:p w14:paraId="7664BC5C" w14:textId="77777777" w:rsidR="00F3332F" w:rsidRPr="00812C16" w:rsidRDefault="00F3332F" w:rsidP="00894022">
            <w:pPr>
              <w:spacing w:beforeLines="30" w:before="72" w:afterLines="30" w:after="72"/>
              <w:jc w:val="center"/>
              <w:rPr>
                <w:rFonts w:cs="Arial"/>
                <w:i/>
                <w:iCs/>
                <w:sz w:val="18"/>
                <w:szCs w:val="18"/>
              </w:rPr>
            </w:pPr>
            <w:r w:rsidRPr="00812C16">
              <w:rPr>
                <w:rFonts w:cs="Arial"/>
                <w:i/>
                <w:iCs/>
                <w:sz w:val="18"/>
                <w:szCs w:val="18"/>
              </w:rPr>
              <w:t>Hypopharynx*</w:t>
            </w:r>
          </w:p>
        </w:tc>
        <w:tc>
          <w:tcPr>
            <w:tcW w:w="1560" w:type="dxa"/>
            <w:tcBorders>
              <w:bottom w:val="single" w:sz="4" w:space="0" w:color="D0CECE" w:themeColor="background2" w:themeShade="E6"/>
            </w:tcBorders>
          </w:tcPr>
          <w:p w14:paraId="119B06CB"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0,57 (0,17-1,90)</w:t>
            </w:r>
          </w:p>
        </w:tc>
        <w:tc>
          <w:tcPr>
            <w:tcW w:w="850" w:type="dxa"/>
            <w:tcBorders>
              <w:bottom w:val="single" w:sz="4" w:space="0" w:color="D0CECE" w:themeColor="background2" w:themeShade="E6"/>
            </w:tcBorders>
          </w:tcPr>
          <w:p w14:paraId="0360467B" w14:textId="77777777" w:rsidR="00F3332F" w:rsidRPr="00812C16" w:rsidRDefault="00F3332F" w:rsidP="00F3332F">
            <w:pPr>
              <w:spacing w:beforeLines="30" w:before="72" w:afterLines="30" w:after="72"/>
              <w:ind w:left="-193" w:right="-255"/>
              <w:jc w:val="center"/>
              <w:rPr>
                <w:rFonts w:cs="Arial"/>
                <w:sz w:val="18"/>
                <w:szCs w:val="18"/>
              </w:rPr>
            </w:pPr>
            <w:r w:rsidRPr="00812C16">
              <w:rPr>
                <w:rFonts w:cs="Arial"/>
                <w:sz w:val="18"/>
                <w:szCs w:val="18"/>
              </w:rPr>
              <w:t>0,36</w:t>
            </w:r>
          </w:p>
        </w:tc>
        <w:tc>
          <w:tcPr>
            <w:tcW w:w="1559" w:type="dxa"/>
            <w:tcBorders>
              <w:bottom w:val="single" w:sz="4" w:space="0" w:color="D0CECE" w:themeColor="background2" w:themeShade="E6"/>
            </w:tcBorders>
          </w:tcPr>
          <w:p w14:paraId="1F7CA105"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1,75 (0,86-3,55)</w:t>
            </w:r>
          </w:p>
        </w:tc>
        <w:tc>
          <w:tcPr>
            <w:tcW w:w="851" w:type="dxa"/>
            <w:tcBorders>
              <w:bottom w:val="single" w:sz="4" w:space="0" w:color="D0CECE" w:themeColor="background2" w:themeShade="E6"/>
            </w:tcBorders>
          </w:tcPr>
          <w:p w14:paraId="0B3A0979"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0,12</w:t>
            </w:r>
          </w:p>
        </w:tc>
        <w:tc>
          <w:tcPr>
            <w:tcW w:w="1701" w:type="dxa"/>
            <w:tcBorders>
              <w:bottom w:val="single" w:sz="4" w:space="0" w:color="D0CECE" w:themeColor="background2" w:themeShade="E6"/>
            </w:tcBorders>
          </w:tcPr>
          <w:p w14:paraId="4C8A1377"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0,60 (0,29-1,26)</w:t>
            </w:r>
          </w:p>
        </w:tc>
        <w:tc>
          <w:tcPr>
            <w:tcW w:w="850" w:type="dxa"/>
            <w:tcBorders>
              <w:bottom w:val="single" w:sz="4" w:space="0" w:color="D0CECE" w:themeColor="background2" w:themeShade="E6"/>
            </w:tcBorders>
          </w:tcPr>
          <w:p w14:paraId="68199205" w14:textId="77777777" w:rsidR="00F3332F" w:rsidRPr="00812C16" w:rsidRDefault="00F3332F" w:rsidP="00F3332F">
            <w:pPr>
              <w:spacing w:beforeLines="30" w:before="72" w:afterLines="30" w:after="72"/>
              <w:ind w:left="-193" w:right="-252"/>
              <w:jc w:val="center"/>
              <w:rPr>
                <w:rFonts w:cs="Arial"/>
                <w:sz w:val="18"/>
                <w:szCs w:val="18"/>
              </w:rPr>
            </w:pPr>
            <w:r w:rsidRPr="00812C16">
              <w:rPr>
                <w:rFonts w:cs="Arial"/>
                <w:sz w:val="18"/>
                <w:szCs w:val="18"/>
              </w:rPr>
              <w:t>0,21</w:t>
            </w:r>
          </w:p>
        </w:tc>
      </w:tr>
      <w:tr w:rsidR="00F3332F" w:rsidRPr="00812C16" w14:paraId="25A5E989" w14:textId="77777777" w:rsidTr="00F3332F">
        <w:tc>
          <w:tcPr>
            <w:tcW w:w="1696" w:type="dxa"/>
            <w:tcBorders>
              <w:top w:val="single" w:sz="4" w:space="0" w:color="D0CECE" w:themeColor="background2" w:themeShade="E6"/>
            </w:tcBorders>
          </w:tcPr>
          <w:p w14:paraId="044A54EA" w14:textId="77777777" w:rsidR="00F3332F" w:rsidRPr="00812C16" w:rsidRDefault="00F3332F" w:rsidP="00894022">
            <w:pPr>
              <w:spacing w:beforeLines="30" w:before="72" w:afterLines="30" w:after="72"/>
              <w:jc w:val="left"/>
              <w:rPr>
                <w:rFonts w:cs="Arial"/>
                <w:sz w:val="18"/>
                <w:szCs w:val="18"/>
              </w:rPr>
            </w:pPr>
            <w:r w:rsidRPr="00812C16">
              <w:rPr>
                <w:rFonts w:cs="Arial"/>
                <w:sz w:val="18"/>
                <w:szCs w:val="18"/>
              </w:rPr>
              <w:t>Geschlecht</w:t>
            </w:r>
          </w:p>
        </w:tc>
        <w:tc>
          <w:tcPr>
            <w:tcW w:w="1560" w:type="dxa"/>
            <w:tcBorders>
              <w:top w:val="single" w:sz="4" w:space="0" w:color="D0CECE" w:themeColor="background2" w:themeShade="E6"/>
            </w:tcBorders>
          </w:tcPr>
          <w:p w14:paraId="32A84F01" w14:textId="77777777" w:rsidR="00F3332F" w:rsidRPr="00812C16" w:rsidRDefault="00F3332F" w:rsidP="00F3332F">
            <w:pPr>
              <w:spacing w:beforeLines="30" w:before="72" w:afterLines="30" w:after="72"/>
              <w:jc w:val="center"/>
              <w:rPr>
                <w:rFonts w:cs="Arial"/>
                <w:sz w:val="18"/>
                <w:szCs w:val="18"/>
              </w:rPr>
            </w:pPr>
          </w:p>
        </w:tc>
        <w:tc>
          <w:tcPr>
            <w:tcW w:w="850" w:type="dxa"/>
            <w:tcBorders>
              <w:top w:val="single" w:sz="4" w:space="0" w:color="D0CECE" w:themeColor="background2" w:themeShade="E6"/>
            </w:tcBorders>
          </w:tcPr>
          <w:p w14:paraId="7DEBA377" w14:textId="77777777" w:rsidR="00F3332F" w:rsidRPr="00812C16" w:rsidRDefault="00F3332F" w:rsidP="00F3332F">
            <w:pPr>
              <w:spacing w:beforeLines="30" w:before="72" w:afterLines="30" w:after="72"/>
              <w:jc w:val="center"/>
              <w:rPr>
                <w:rFonts w:cs="Arial"/>
                <w:sz w:val="18"/>
                <w:szCs w:val="18"/>
              </w:rPr>
            </w:pPr>
          </w:p>
        </w:tc>
        <w:tc>
          <w:tcPr>
            <w:tcW w:w="1559" w:type="dxa"/>
            <w:tcBorders>
              <w:top w:val="single" w:sz="4" w:space="0" w:color="D0CECE" w:themeColor="background2" w:themeShade="E6"/>
            </w:tcBorders>
          </w:tcPr>
          <w:p w14:paraId="53EAFEB8" w14:textId="77777777" w:rsidR="00F3332F" w:rsidRPr="00812C16" w:rsidRDefault="00F3332F" w:rsidP="00F3332F">
            <w:pPr>
              <w:spacing w:beforeLines="30" w:before="72" w:afterLines="30" w:after="72"/>
              <w:jc w:val="center"/>
              <w:rPr>
                <w:rFonts w:cs="Arial"/>
                <w:sz w:val="18"/>
                <w:szCs w:val="18"/>
              </w:rPr>
            </w:pPr>
          </w:p>
        </w:tc>
        <w:tc>
          <w:tcPr>
            <w:tcW w:w="851" w:type="dxa"/>
            <w:tcBorders>
              <w:top w:val="single" w:sz="4" w:space="0" w:color="D0CECE" w:themeColor="background2" w:themeShade="E6"/>
            </w:tcBorders>
          </w:tcPr>
          <w:p w14:paraId="793AC7A9" w14:textId="77777777" w:rsidR="00F3332F" w:rsidRPr="00812C16" w:rsidRDefault="00F3332F" w:rsidP="00F3332F">
            <w:pPr>
              <w:spacing w:beforeLines="30" w:before="72" w:afterLines="30" w:after="72"/>
              <w:jc w:val="center"/>
              <w:rPr>
                <w:rFonts w:cs="Arial"/>
                <w:sz w:val="18"/>
                <w:szCs w:val="18"/>
              </w:rPr>
            </w:pPr>
          </w:p>
        </w:tc>
        <w:tc>
          <w:tcPr>
            <w:tcW w:w="1701" w:type="dxa"/>
            <w:tcBorders>
              <w:top w:val="single" w:sz="4" w:space="0" w:color="D0CECE" w:themeColor="background2" w:themeShade="E6"/>
            </w:tcBorders>
          </w:tcPr>
          <w:p w14:paraId="5F0A9109" w14:textId="77777777" w:rsidR="00F3332F" w:rsidRPr="00812C16" w:rsidRDefault="00F3332F" w:rsidP="00F3332F">
            <w:pPr>
              <w:spacing w:beforeLines="30" w:before="72" w:afterLines="30" w:after="72"/>
              <w:jc w:val="center"/>
              <w:rPr>
                <w:rFonts w:cs="Arial"/>
                <w:sz w:val="18"/>
                <w:szCs w:val="18"/>
              </w:rPr>
            </w:pPr>
          </w:p>
        </w:tc>
        <w:tc>
          <w:tcPr>
            <w:tcW w:w="850" w:type="dxa"/>
            <w:tcBorders>
              <w:top w:val="single" w:sz="4" w:space="0" w:color="D0CECE" w:themeColor="background2" w:themeShade="E6"/>
            </w:tcBorders>
          </w:tcPr>
          <w:p w14:paraId="336ADCD0" w14:textId="77777777" w:rsidR="00F3332F" w:rsidRPr="00812C16" w:rsidRDefault="00F3332F" w:rsidP="00F3332F">
            <w:pPr>
              <w:spacing w:beforeLines="30" w:before="72" w:afterLines="30" w:after="72"/>
              <w:jc w:val="center"/>
              <w:rPr>
                <w:rFonts w:cs="Arial"/>
                <w:sz w:val="18"/>
                <w:szCs w:val="18"/>
              </w:rPr>
            </w:pPr>
          </w:p>
        </w:tc>
      </w:tr>
      <w:tr w:rsidR="00F3332F" w:rsidRPr="00812C16" w14:paraId="7511A751" w14:textId="77777777" w:rsidTr="00F3332F">
        <w:tc>
          <w:tcPr>
            <w:tcW w:w="1696" w:type="dxa"/>
            <w:tcBorders>
              <w:bottom w:val="single" w:sz="4" w:space="0" w:color="D0CECE" w:themeColor="background2" w:themeShade="E6"/>
            </w:tcBorders>
          </w:tcPr>
          <w:p w14:paraId="68FCFBAB" w14:textId="77777777" w:rsidR="00F3332F" w:rsidRPr="00812C16" w:rsidRDefault="00F3332F" w:rsidP="00894022">
            <w:pPr>
              <w:spacing w:beforeLines="30" w:before="72" w:afterLines="30" w:after="72"/>
              <w:jc w:val="center"/>
              <w:rPr>
                <w:rFonts w:cs="Arial"/>
                <w:i/>
                <w:iCs/>
                <w:sz w:val="18"/>
                <w:szCs w:val="18"/>
              </w:rPr>
            </w:pPr>
            <w:r w:rsidRPr="00812C16">
              <w:rPr>
                <w:rFonts w:cs="Arial"/>
                <w:i/>
                <w:iCs/>
                <w:sz w:val="18"/>
                <w:szCs w:val="18"/>
              </w:rPr>
              <w:t>Mann vs. Frau</w:t>
            </w:r>
          </w:p>
        </w:tc>
        <w:tc>
          <w:tcPr>
            <w:tcW w:w="1560" w:type="dxa"/>
            <w:tcBorders>
              <w:bottom w:val="single" w:sz="4" w:space="0" w:color="D0CECE" w:themeColor="background2" w:themeShade="E6"/>
            </w:tcBorders>
          </w:tcPr>
          <w:p w14:paraId="4C4FB33A"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1,79 (0,79-4,05)</w:t>
            </w:r>
          </w:p>
        </w:tc>
        <w:tc>
          <w:tcPr>
            <w:tcW w:w="850" w:type="dxa"/>
            <w:tcBorders>
              <w:bottom w:val="single" w:sz="4" w:space="0" w:color="D0CECE" w:themeColor="background2" w:themeShade="E6"/>
            </w:tcBorders>
          </w:tcPr>
          <w:p w14:paraId="289B8553" w14:textId="77777777" w:rsidR="00F3332F" w:rsidRPr="00812C16" w:rsidRDefault="00F3332F" w:rsidP="00F3332F">
            <w:pPr>
              <w:spacing w:beforeLines="30" w:before="72" w:afterLines="30" w:after="72"/>
              <w:ind w:left="-110" w:right="-193"/>
              <w:jc w:val="center"/>
              <w:rPr>
                <w:rFonts w:cs="Arial"/>
                <w:sz w:val="18"/>
                <w:szCs w:val="18"/>
              </w:rPr>
            </w:pPr>
            <w:r w:rsidRPr="00812C16">
              <w:rPr>
                <w:rFonts w:cs="Arial"/>
                <w:sz w:val="18"/>
                <w:szCs w:val="18"/>
              </w:rPr>
              <w:t>0,16</w:t>
            </w:r>
          </w:p>
        </w:tc>
        <w:tc>
          <w:tcPr>
            <w:tcW w:w="1559" w:type="dxa"/>
            <w:tcBorders>
              <w:bottom w:val="single" w:sz="4" w:space="0" w:color="D0CECE" w:themeColor="background2" w:themeShade="E6"/>
            </w:tcBorders>
          </w:tcPr>
          <w:p w14:paraId="71567F0A"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0,59 (0,23-1,50)</w:t>
            </w:r>
          </w:p>
        </w:tc>
        <w:tc>
          <w:tcPr>
            <w:tcW w:w="851" w:type="dxa"/>
            <w:tcBorders>
              <w:bottom w:val="single" w:sz="4" w:space="0" w:color="D0CECE" w:themeColor="background2" w:themeShade="E6"/>
            </w:tcBorders>
          </w:tcPr>
          <w:p w14:paraId="1E54A430"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0,27</w:t>
            </w:r>
          </w:p>
        </w:tc>
        <w:tc>
          <w:tcPr>
            <w:tcW w:w="1701" w:type="dxa"/>
            <w:tcBorders>
              <w:bottom w:val="single" w:sz="4" w:space="0" w:color="D0CECE" w:themeColor="background2" w:themeShade="E6"/>
            </w:tcBorders>
          </w:tcPr>
          <w:p w14:paraId="302B7B2A"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1,24 (0,70-2,20)</w:t>
            </w:r>
          </w:p>
        </w:tc>
        <w:tc>
          <w:tcPr>
            <w:tcW w:w="850" w:type="dxa"/>
            <w:tcBorders>
              <w:bottom w:val="single" w:sz="4" w:space="0" w:color="D0CECE" w:themeColor="background2" w:themeShade="E6"/>
            </w:tcBorders>
          </w:tcPr>
          <w:p w14:paraId="0F20B6CE"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0,45</w:t>
            </w:r>
          </w:p>
        </w:tc>
      </w:tr>
      <w:tr w:rsidR="00F3332F" w:rsidRPr="00812C16" w14:paraId="04A83F83" w14:textId="77777777" w:rsidTr="00F3332F">
        <w:tc>
          <w:tcPr>
            <w:tcW w:w="1696" w:type="dxa"/>
            <w:tcBorders>
              <w:top w:val="single" w:sz="4" w:space="0" w:color="D0CECE" w:themeColor="background2" w:themeShade="E6"/>
            </w:tcBorders>
          </w:tcPr>
          <w:p w14:paraId="414CCE41" w14:textId="77777777" w:rsidR="00F3332F" w:rsidRPr="00812C16" w:rsidRDefault="00F3332F" w:rsidP="00894022">
            <w:pPr>
              <w:spacing w:beforeLines="30" w:before="72" w:afterLines="30" w:after="72"/>
              <w:jc w:val="left"/>
              <w:rPr>
                <w:rFonts w:cs="Arial"/>
                <w:sz w:val="18"/>
                <w:szCs w:val="18"/>
              </w:rPr>
            </w:pPr>
            <w:r w:rsidRPr="00812C16">
              <w:rPr>
                <w:rFonts w:cs="Arial"/>
                <w:sz w:val="18"/>
                <w:szCs w:val="18"/>
              </w:rPr>
              <w:t>UICC-Status</w:t>
            </w:r>
          </w:p>
        </w:tc>
        <w:tc>
          <w:tcPr>
            <w:tcW w:w="1560" w:type="dxa"/>
            <w:tcBorders>
              <w:top w:val="single" w:sz="4" w:space="0" w:color="D0CECE" w:themeColor="background2" w:themeShade="E6"/>
            </w:tcBorders>
          </w:tcPr>
          <w:p w14:paraId="3A9168F5" w14:textId="77777777" w:rsidR="00F3332F" w:rsidRPr="00812C16" w:rsidRDefault="00F3332F" w:rsidP="00F3332F">
            <w:pPr>
              <w:spacing w:beforeLines="30" w:before="72" w:afterLines="30" w:after="72"/>
              <w:rPr>
                <w:rFonts w:cs="Arial"/>
                <w:sz w:val="18"/>
                <w:szCs w:val="18"/>
              </w:rPr>
            </w:pPr>
          </w:p>
        </w:tc>
        <w:tc>
          <w:tcPr>
            <w:tcW w:w="850" w:type="dxa"/>
            <w:tcBorders>
              <w:top w:val="single" w:sz="4" w:space="0" w:color="D0CECE" w:themeColor="background2" w:themeShade="E6"/>
            </w:tcBorders>
          </w:tcPr>
          <w:p w14:paraId="77745492" w14:textId="77777777" w:rsidR="00F3332F" w:rsidRPr="00812C16" w:rsidRDefault="00F3332F" w:rsidP="00F3332F">
            <w:pPr>
              <w:spacing w:beforeLines="30" w:before="72" w:afterLines="30" w:after="72"/>
              <w:jc w:val="center"/>
              <w:rPr>
                <w:rFonts w:cs="Arial"/>
                <w:sz w:val="18"/>
                <w:szCs w:val="18"/>
              </w:rPr>
            </w:pPr>
          </w:p>
        </w:tc>
        <w:tc>
          <w:tcPr>
            <w:tcW w:w="1559" w:type="dxa"/>
            <w:tcBorders>
              <w:top w:val="single" w:sz="4" w:space="0" w:color="D0CECE" w:themeColor="background2" w:themeShade="E6"/>
            </w:tcBorders>
          </w:tcPr>
          <w:p w14:paraId="44DD4F83" w14:textId="77777777" w:rsidR="00F3332F" w:rsidRPr="00812C16" w:rsidRDefault="00F3332F" w:rsidP="00F3332F">
            <w:pPr>
              <w:spacing w:beforeLines="30" w:before="72" w:afterLines="30" w:after="72"/>
              <w:rPr>
                <w:rFonts w:cs="Arial"/>
                <w:sz w:val="18"/>
                <w:szCs w:val="18"/>
              </w:rPr>
            </w:pPr>
          </w:p>
        </w:tc>
        <w:tc>
          <w:tcPr>
            <w:tcW w:w="851" w:type="dxa"/>
            <w:tcBorders>
              <w:top w:val="single" w:sz="4" w:space="0" w:color="D0CECE" w:themeColor="background2" w:themeShade="E6"/>
            </w:tcBorders>
          </w:tcPr>
          <w:p w14:paraId="794032C6" w14:textId="77777777" w:rsidR="00F3332F" w:rsidRPr="00812C16" w:rsidRDefault="00F3332F" w:rsidP="00F3332F">
            <w:pPr>
              <w:spacing w:beforeLines="30" w:before="72" w:afterLines="30" w:after="72"/>
              <w:rPr>
                <w:rFonts w:cs="Arial"/>
                <w:sz w:val="18"/>
                <w:szCs w:val="18"/>
              </w:rPr>
            </w:pPr>
          </w:p>
        </w:tc>
        <w:tc>
          <w:tcPr>
            <w:tcW w:w="1701" w:type="dxa"/>
            <w:tcBorders>
              <w:top w:val="single" w:sz="4" w:space="0" w:color="D0CECE" w:themeColor="background2" w:themeShade="E6"/>
            </w:tcBorders>
          </w:tcPr>
          <w:p w14:paraId="2EE8BC22" w14:textId="77777777" w:rsidR="00F3332F" w:rsidRPr="00812C16" w:rsidRDefault="00F3332F" w:rsidP="00F3332F">
            <w:pPr>
              <w:spacing w:beforeLines="30" w:before="72" w:afterLines="30" w:after="72"/>
              <w:rPr>
                <w:rFonts w:cs="Arial"/>
                <w:sz w:val="18"/>
                <w:szCs w:val="18"/>
              </w:rPr>
            </w:pPr>
          </w:p>
        </w:tc>
        <w:tc>
          <w:tcPr>
            <w:tcW w:w="850" w:type="dxa"/>
            <w:tcBorders>
              <w:top w:val="single" w:sz="4" w:space="0" w:color="D0CECE" w:themeColor="background2" w:themeShade="E6"/>
            </w:tcBorders>
          </w:tcPr>
          <w:p w14:paraId="318634E7" w14:textId="77777777" w:rsidR="00F3332F" w:rsidRPr="00812C16" w:rsidRDefault="00F3332F" w:rsidP="00F3332F">
            <w:pPr>
              <w:spacing w:beforeLines="30" w:before="72" w:afterLines="30" w:after="72"/>
              <w:jc w:val="center"/>
              <w:rPr>
                <w:rFonts w:cs="Arial"/>
                <w:sz w:val="18"/>
                <w:szCs w:val="18"/>
              </w:rPr>
            </w:pPr>
          </w:p>
        </w:tc>
      </w:tr>
      <w:tr w:rsidR="00F3332F" w:rsidRPr="00812C16" w14:paraId="5B42298A" w14:textId="77777777" w:rsidTr="00F3332F">
        <w:tc>
          <w:tcPr>
            <w:tcW w:w="1696" w:type="dxa"/>
          </w:tcPr>
          <w:p w14:paraId="459943E7" w14:textId="77777777" w:rsidR="00F3332F" w:rsidRPr="00812C16" w:rsidRDefault="00F3332F" w:rsidP="00894022">
            <w:pPr>
              <w:spacing w:beforeLines="30" w:before="72" w:afterLines="30" w:after="72"/>
              <w:jc w:val="center"/>
              <w:rPr>
                <w:rFonts w:cs="Arial"/>
                <w:i/>
                <w:iCs/>
                <w:sz w:val="18"/>
                <w:szCs w:val="18"/>
              </w:rPr>
            </w:pPr>
            <w:r w:rsidRPr="00812C16">
              <w:rPr>
                <w:rFonts w:cs="Arial"/>
                <w:i/>
                <w:iCs/>
                <w:sz w:val="18"/>
                <w:szCs w:val="18"/>
              </w:rPr>
              <w:t>II*</w:t>
            </w:r>
          </w:p>
        </w:tc>
        <w:tc>
          <w:tcPr>
            <w:tcW w:w="1560" w:type="dxa"/>
          </w:tcPr>
          <w:p w14:paraId="23CEE16B" w14:textId="77777777" w:rsidR="00F3332F" w:rsidRPr="00812C16" w:rsidRDefault="00F3332F" w:rsidP="00F3332F">
            <w:pPr>
              <w:spacing w:beforeLines="30" w:before="72" w:afterLines="30" w:after="72"/>
              <w:rPr>
                <w:rFonts w:cs="Arial"/>
                <w:sz w:val="18"/>
                <w:szCs w:val="18"/>
              </w:rPr>
            </w:pPr>
            <w:r w:rsidRPr="00812C16">
              <w:rPr>
                <w:rFonts w:cs="Arial"/>
                <w:sz w:val="18"/>
                <w:szCs w:val="18"/>
              </w:rPr>
              <w:t>0,96 (0,13-7,04)</w:t>
            </w:r>
          </w:p>
        </w:tc>
        <w:tc>
          <w:tcPr>
            <w:tcW w:w="850" w:type="dxa"/>
          </w:tcPr>
          <w:p w14:paraId="52AA79F2" w14:textId="77777777" w:rsidR="00F3332F" w:rsidRPr="00812C16" w:rsidRDefault="00F3332F" w:rsidP="00F3332F">
            <w:pPr>
              <w:tabs>
                <w:tab w:val="left" w:pos="315"/>
              </w:tabs>
              <w:spacing w:beforeLines="30" w:before="72" w:afterLines="30" w:after="72"/>
              <w:ind w:left="-110" w:right="-193"/>
              <w:jc w:val="center"/>
              <w:rPr>
                <w:rFonts w:cs="Arial"/>
                <w:sz w:val="18"/>
                <w:szCs w:val="18"/>
              </w:rPr>
            </w:pPr>
            <w:r w:rsidRPr="00812C16">
              <w:rPr>
                <w:rFonts w:cs="Arial"/>
                <w:sz w:val="18"/>
                <w:szCs w:val="18"/>
              </w:rPr>
              <w:t>0,97</w:t>
            </w:r>
          </w:p>
        </w:tc>
        <w:tc>
          <w:tcPr>
            <w:tcW w:w="1559" w:type="dxa"/>
          </w:tcPr>
          <w:p w14:paraId="71151BF7" w14:textId="77777777" w:rsidR="00F3332F" w:rsidRPr="00812C16" w:rsidRDefault="00F3332F" w:rsidP="00F3332F">
            <w:pPr>
              <w:spacing w:beforeLines="30" w:before="72" w:afterLines="30" w:after="72"/>
              <w:rPr>
                <w:rFonts w:cs="Arial"/>
                <w:sz w:val="18"/>
                <w:szCs w:val="18"/>
              </w:rPr>
            </w:pPr>
            <w:r w:rsidRPr="00812C16">
              <w:rPr>
                <w:rFonts w:cs="Arial"/>
                <w:sz w:val="18"/>
                <w:szCs w:val="18"/>
              </w:rPr>
              <w:t>0,67 (0,09-4,87)</w:t>
            </w:r>
          </w:p>
        </w:tc>
        <w:tc>
          <w:tcPr>
            <w:tcW w:w="851" w:type="dxa"/>
          </w:tcPr>
          <w:p w14:paraId="51DED7E1"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0,69</w:t>
            </w:r>
          </w:p>
        </w:tc>
        <w:tc>
          <w:tcPr>
            <w:tcW w:w="1701" w:type="dxa"/>
          </w:tcPr>
          <w:p w14:paraId="6D0CA408" w14:textId="77777777" w:rsidR="00F3332F" w:rsidRPr="00812C16" w:rsidRDefault="00F3332F" w:rsidP="00F3332F">
            <w:pPr>
              <w:spacing w:beforeLines="30" w:before="72" w:afterLines="30" w:after="72"/>
              <w:rPr>
                <w:rFonts w:cs="Arial"/>
                <w:sz w:val="18"/>
                <w:szCs w:val="18"/>
              </w:rPr>
            </w:pPr>
            <w:r w:rsidRPr="00812C16">
              <w:rPr>
                <w:rFonts w:cs="Arial"/>
                <w:sz w:val="18"/>
                <w:szCs w:val="18"/>
              </w:rPr>
              <w:t>1,06 (0,33-3,39)</w:t>
            </w:r>
          </w:p>
        </w:tc>
        <w:tc>
          <w:tcPr>
            <w:tcW w:w="850" w:type="dxa"/>
          </w:tcPr>
          <w:p w14:paraId="18FDCA2F"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0,92</w:t>
            </w:r>
          </w:p>
        </w:tc>
      </w:tr>
      <w:tr w:rsidR="00F3332F" w:rsidRPr="00812C16" w14:paraId="6DA8ECD6" w14:textId="77777777" w:rsidTr="00F3332F">
        <w:tc>
          <w:tcPr>
            <w:tcW w:w="1696" w:type="dxa"/>
          </w:tcPr>
          <w:p w14:paraId="14408361" w14:textId="77777777" w:rsidR="00F3332F" w:rsidRPr="00812C16" w:rsidRDefault="00F3332F" w:rsidP="00894022">
            <w:pPr>
              <w:spacing w:beforeLines="30" w:before="72" w:afterLines="30" w:after="72"/>
              <w:jc w:val="center"/>
              <w:rPr>
                <w:rFonts w:cs="Arial"/>
                <w:i/>
                <w:iCs/>
                <w:sz w:val="18"/>
                <w:szCs w:val="18"/>
              </w:rPr>
            </w:pPr>
            <w:r w:rsidRPr="00812C16">
              <w:rPr>
                <w:rFonts w:cs="Arial"/>
                <w:i/>
                <w:iCs/>
                <w:sz w:val="18"/>
                <w:szCs w:val="18"/>
              </w:rPr>
              <w:t>III*</w:t>
            </w:r>
          </w:p>
        </w:tc>
        <w:tc>
          <w:tcPr>
            <w:tcW w:w="1560" w:type="dxa"/>
          </w:tcPr>
          <w:p w14:paraId="09FCD777" w14:textId="77777777" w:rsidR="00F3332F" w:rsidRPr="00812C16" w:rsidRDefault="00F3332F" w:rsidP="00F3332F">
            <w:pPr>
              <w:spacing w:beforeLines="30" w:before="72" w:afterLines="30" w:after="72"/>
              <w:rPr>
                <w:rFonts w:cs="Arial"/>
                <w:sz w:val="18"/>
                <w:szCs w:val="18"/>
              </w:rPr>
            </w:pPr>
            <w:r w:rsidRPr="00812C16">
              <w:rPr>
                <w:rFonts w:cs="Arial"/>
                <w:sz w:val="18"/>
                <w:szCs w:val="18"/>
              </w:rPr>
              <w:t>0,91 (0,32-2,61)</w:t>
            </w:r>
          </w:p>
        </w:tc>
        <w:tc>
          <w:tcPr>
            <w:tcW w:w="850" w:type="dxa"/>
          </w:tcPr>
          <w:p w14:paraId="43E29EB0" w14:textId="77777777" w:rsidR="00F3332F" w:rsidRPr="00812C16" w:rsidRDefault="00F3332F" w:rsidP="00F3332F">
            <w:pPr>
              <w:spacing w:beforeLines="30" w:before="72" w:afterLines="30" w:after="72"/>
              <w:ind w:left="-110" w:right="-193"/>
              <w:jc w:val="center"/>
              <w:rPr>
                <w:rFonts w:cs="Arial"/>
                <w:sz w:val="18"/>
                <w:szCs w:val="18"/>
              </w:rPr>
            </w:pPr>
            <w:r w:rsidRPr="00812C16">
              <w:rPr>
                <w:rFonts w:cs="Arial"/>
                <w:sz w:val="18"/>
                <w:szCs w:val="18"/>
              </w:rPr>
              <w:t>0,86</w:t>
            </w:r>
          </w:p>
        </w:tc>
        <w:tc>
          <w:tcPr>
            <w:tcW w:w="1559" w:type="dxa"/>
          </w:tcPr>
          <w:p w14:paraId="67EE9117" w14:textId="77777777" w:rsidR="00F3332F" w:rsidRPr="00812C16" w:rsidRDefault="00F3332F" w:rsidP="00F3332F">
            <w:pPr>
              <w:spacing w:beforeLines="30" w:before="72" w:afterLines="30" w:after="72"/>
              <w:rPr>
                <w:rFonts w:cs="Arial"/>
                <w:sz w:val="18"/>
                <w:szCs w:val="18"/>
              </w:rPr>
            </w:pPr>
            <w:r w:rsidRPr="00812C16">
              <w:rPr>
                <w:rFonts w:cs="Arial"/>
                <w:sz w:val="18"/>
                <w:szCs w:val="18"/>
              </w:rPr>
              <w:t>0,75 (0,30-1,91)</w:t>
            </w:r>
          </w:p>
        </w:tc>
        <w:tc>
          <w:tcPr>
            <w:tcW w:w="851" w:type="dxa"/>
          </w:tcPr>
          <w:p w14:paraId="46410050"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0,55</w:t>
            </w:r>
          </w:p>
        </w:tc>
        <w:tc>
          <w:tcPr>
            <w:tcW w:w="1701" w:type="dxa"/>
          </w:tcPr>
          <w:p w14:paraId="46B5D88D" w14:textId="77777777" w:rsidR="00F3332F" w:rsidRPr="00812C16" w:rsidRDefault="00F3332F" w:rsidP="00F3332F">
            <w:pPr>
              <w:spacing w:beforeLines="30" w:before="72" w:afterLines="30" w:after="72"/>
              <w:rPr>
                <w:rFonts w:cs="Arial"/>
                <w:sz w:val="18"/>
                <w:szCs w:val="18"/>
              </w:rPr>
            </w:pPr>
            <w:r w:rsidRPr="00812C16">
              <w:rPr>
                <w:rFonts w:cs="Arial"/>
                <w:sz w:val="18"/>
                <w:szCs w:val="18"/>
              </w:rPr>
              <w:t>1,15 (0,62-2,14)</w:t>
            </w:r>
          </w:p>
        </w:tc>
        <w:tc>
          <w:tcPr>
            <w:tcW w:w="850" w:type="dxa"/>
          </w:tcPr>
          <w:p w14:paraId="49416ABF"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0,66</w:t>
            </w:r>
          </w:p>
        </w:tc>
      </w:tr>
      <w:tr w:rsidR="00F3332F" w:rsidRPr="00812C16" w14:paraId="06F0DB08" w14:textId="77777777" w:rsidTr="00F3332F">
        <w:tc>
          <w:tcPr>
            <w:tcW w:w="1696" w:type="dxa"/>
            <w:tcBorders>
              <w:bottom w:val="single" w:sz="4" w:space="0" w:color="D0CECE" w:themeColor="background2" w:themeShade="E6"/>
            </w:tcBorders>
          </w:tcPr>
          <w:p w14:paraId="0492CA94" w14:textId="77777777" w:rsidR="00F3332F" w:rsidRPr="00812C16" w:rsidRDefault="00F3332F" w:rsidP="00894022">
            <w:pPr>
              <w:spacing w:beforeLines="30" w:before="72" w:afterLines="30" w:after="72"/>
              <w:jc w:val="center"/>
              <w:rPr>
                <w:rFonts w:cs="Arial"/>
                <w:i/>
                <w:iCs/>
                <w:sz w:val="18"/>
                <w:szCs w:val="18"/>
              </w:rPr>
            </w:pPr>
            <w:r w:rsidRPr="00812C16">
              <w:rPr>
                <w:rFonts w:cs="Arial"/>
                <w:i/>
                <w:iCs/>
                <w:sz w:val="18"/>
                <w:szCs w:val="18"/>
              </w:rPr>
              <w:t>IV*</w:t>
            </w:r>
          </w:p>
        </w:tc>
        <w:tc>
          <w:tcPr>
            <w:tcW w:w="1560" w:type="dxa"/>
            <w:tcBorders>
              <w:bottom w:val="single" w:sz="4" w:space="0" w:color="D0CECE" w:themeColor="background2" w:themeShade="E6"/>
            </w:tcBorders>
          </w:tcPr>
          <w:p w14:paraId="0E72348F" w14:textId="77777777" w:rsidR="00F3332F" w:rsidRPr="00812C16" w:rsidRDefault="00F3332F" w:rsidP="00F3332F">
            <w:pPr>
              <w:spacing w:beforeLines="30" w:before="72" w:afterLines="30" w:after="72"/>
              <w:rPr>
                <w:rFonts w:cs="Arial"/>
                <w:sz w:val="18"/>
                <w:szCs w:val="18"/>
              </w:rPr>
            </w:pPr>
            <w:r w:rsidRPr="00812C16">
              <w:rPr>
                <w:rFonts w:cs="Arial"/>
                <w:sz w:val="18"/>
                <w:szCs w:val="18"/>
              </w:rPr>
              <w:t>1,10 (0,42-2,88)</w:t>
            </w:r>
          </w:p>
        </w:tc>
        <w:tc>
          <w:tcPr>
            <w:tcW w:w="850" w:type="dxa"/>
            <w:tcBorders>
              <w:bottom w:val="single" w:sz="4" w:space="0" w:color="D0CECE" w:themeColor="background2" w:themeShade="E6"/>
            </w:tcBorders>
          </w:tcPr>
          <w:p w14:paraId="4E570C8B" w14:textId="77777777" w:rsidR="00F3332F" w:rsidRPr="00812C16" w:rsidRDefault="00F3332F" w:rsidP="00F3332F">
            <w:pPr>
              <w:spacing w:beforeLines="30" w:before="72" w:afterLines="30" w:after="72"/>
              <w:ind w:left="-110" w:right="-193"/>
              <w:jc w:val="center"/>
              <w:rPr>
                <w:rFonts w:cs="Arial"/>
                <w:sz w:val="18"/>
                <w:szCs w:val="18"/>
              </w:rPr>
            </w:pPr>
            <w:r w:rsidRPr="00812C16">
              <w:rPr>
                <w:rFonts w:cs="Arial"/>
                <w:sz w:val="18"/>
                <w:szCs w:val="18"/>
              </w:rPr>
              <w:t>0,85</w:t>
            </w:r>
          </w:p>
        </w:tc>
        <w:tc>
          <w:tcPr>
            <w:tcW w:w="1559" w:type="dxa"/>
            <w:tcBorders>
              <w:bottom w:val="single" w:sz="4" w:space="0" w:color="D0CECE" w:themeColor="background2" w:themeShade="E6"/>
            </w:tcBorders>
          </w:tcPr>
          <w:p w14:paraId="7C890BFB" w14:textId="77777777" w:rsidR="00F3332F" w:rsidRPr="00812C16" w:rsidRDefault="00F3332F" w:rsidP="00F3332F">
            <w:pPr>
              <w:spacing w:beforeLines="30" w:before="72" w:afterLines="30" w:after="72"/>
              <w:rPr>
                <w:rFonts w:cs="Arial"/>
                <w:sz w:val="18"/>
                <w:szCs w:val="18"/>
              </w:rPr>
            </w:pPr>
            <w:r w:rsidRPr="00812C16">
              <w:rPr>
                <w:rFonts w:cs="Arial"/>
                <w:sz w:val="18"/>
                <w:szCs w:val="18"/>
              </w:rPr>
              <w:t>1,39 (0,59-3,29)</w:t>
            </w:r>
          </w:p>
        </w:tc>
        <w:tc>
          <w:tcPr>
            <w:tcW w:w="851" w:type="dxa"/>
            <w:tcBorders>
              <w:bottom w:val="single" w:sz="4" w:space="0" w:color="D0CECE" w:themeColor="background2" w:themeShade="E6"/>
            </w:tcBorders>
          </w:tcPr>
          <w:p w14:paraId="309D9412"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0,46</w:t>
            </w:r>
          </w:p>
        </w:tc>
        <w:tc>
          <w:tcPr>
            <w:tcW w:w="1701" w:type="dxa"/>
            <w:tcBorders>
              <w:bottom w:val="single" w:sz="4" w:space="0" w:color="D0CECE" w:themeColor="background2" w:themeShade="E6"/>
            </w:tcBorders>
          </w:tcPr>
          <w:p w14:paraId="284641FE" w14:textId="77777777" w:rsidR="00F3332F" w:rsidRPr="00812C16" w:rsidRDefault="00F3332F" w:rsidP="00F3332F">
            <w:pPr>
              <w:spacing w:beforeLines="30" w:before="72" w:afterLines="30" w:after="72"/>
              <w:rPr>
                <w:rFonts w:cs="Arial"/>
                <w:sz w:val="18"/>
                <w:szCs w:val="18"/>
              </w:rPr>
            </w:pPr>
            <w:r w:rsidRPr="00812C16">
              <w:rPr>
                <w:rFonts w:cs="Arial"/>
                <w:sz w:val="18"/>
                <w:szCs w:val="18"/>
              </w:rPr>
              <w:t>0,88 (0,50-1,56)</w:t>
            </w:r>
          </w:p>
        </w:tc>
        <w:tc>
          <w:tcPr>
            <w:tcW w:w="850" w:type="dxa"/>
            <w:tcBorders>
              <w:bottom w:val="single" w:sz="4" w:space="0" w:color="D0CECE" w:themeColor="background2" w:themeShade="E6"/>
            </w:tcBorders>
          </w:tcPr>
          <w:p w14:paraId="2A5E83BE"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0,65</w:t>
            </w:r>
          </w:p>
        </w:tc>
      </w:tr>
      <w:tr w:rsidR="00F3332F" w:rsidRPr="00812C16" w14:paraId="49DB9472" w14:textId="77777777" w:rsidTr="000E1E65">
        <w:tc>
          <w:tcPr>
            <w:tcW w:w="1696" w:type="dxa"/>
            <w:tcBorders>
              <w:top w:val="single" w:sz="4" w:space="0" w:color="D0CECE" w:themeColor="background2" w:themeShade="E6"/>
              <w:bottom w:val="single" w:sz="4" w:space="0" w:color="D0CECE" w:themeColor="background2" w:themeShade="E6"/>
            </w:tcBorders>
          </w:tcPr>
          <w:p w14:paraId="610F6E90" w14:textId="77777777" w:rsidR="00F3332F" w:rsidRPr="00812C16" w:rsidRDefault="00F3332F" w:rsidP="00894022">
            <w:pPr>
              <w:spacing w:beforeLines="30" w:before="72" w:afterLines="30" w:after="72"/>
              <w:jc w:val="left"/>
              <w:rPr>
                <w:rFonts w:cs="Arial"/>
                <w:sz w:val="18"/>
                <w:szCs w:val="18"/>
              </w:rPr>
            </w:pPr>
            <w:r w:rsidRPr="00812C16">
              <w:rPr>
                <w:rFonts w:cs="Arial"/>
                <w:sz w:val="18"/>
                <w:szCs w:val="18"/>
              </w:rPr>
              <w:t>R Status</w:t>
            </w:r>
          </w:p>
        </w:tc>
        <w:tc>
          <w:tcPr>
            <w:tcW w:w="1560" w:type="dxa"/>
            <w:tcBorders>
              <w:top w:val="single" w:sz="4" w:space="0" w:color="D0CECE" w:themeColor="background2" w:themeShade="E6"/>
              <w:bottom w:val="single" w:sz="4" w:space="0" w:color="D0CECE" w:themeColor="background2" w:themeShade="E6"/>
            </w:tcBorders>
          </w:tcPr>
          <w:p w14:paraId="28116E0B" w14:textId="77777777" w:rsidR="00F3332F" w:rsidRPr="00812C16" w:rsidRDefault="00F3332F" w:rsidP="00F3332F">
            <w:pPr>
              <w:spacing w:beforeLines="30" w:before="72" w:afterLines="30" w:after="72"/>
              <w:rPr>
                <w:rFonts w:cs="Arial"/>
                <w:sz w:val="18"/>
                <w:szCs w:val="18"/>
              </w:rPr>
            </w:pPr>
            <w:r w:rsidRPr="00812C16">
              <w:rPr>
                <w:rFonts w:cs="Arial"/>
                <w:sz w:val="18"/>
                <w:szCs w:val="18"/>
              </w:rPr>
              <w:t>1,08 (0,52-2,26)</w:t>
            </w:r>
          </w:p>
        </w:tc>
        <w:tc>
          <w:tcPr>
            <w:tcW w:w="850" w:type="dxa"/>
            <w:tcBorders>
              <w:top w:val="single" w:sz="4" w:space="0" w:color="D0CECE" w:themeColor="background2" w:themeShade="E6"/>
              <w:bottom w:val="single" w:sz="4" w:space="0" w:color="D0CECE" w:themeColor="background2" w:themeShade="E6"/>
            </w:tcBorders>
          </w:tcPr>
          <w:p w14:paraId="3FB76CC5" w14:textId="77777777" w:rsidR="00F3332F" w:rsidRPr="00812C16" w:rsidRDefault="00F3332F" w:rsidP="00F3332F">
            <w:pPr>
              <w:spacing w:beforeLines="30" w:before="72" w:afterLines="30" w:after="72"/>
              <w:ind w:left="-110" w:right="-193"/>
              <w:jc w:val="center"/>
              <w:rPr>
                <w:rFonts w:cs="Arial"/>
                <w:sz w:val="18"/>
                <w:szCs w:val="18"/>
              </w:rPr>
            </w:pPr>
            <w:r w:rsidRPr="00812C16">
              <w:rPr>
                <w:rFonts w:cs="Arial"/>
                <w:sz w:val="18"/>
                <w:szCs w:val="18"/>
              </w:rPr>
              <w:t>0,83</w:t>
            </w:r>
          </w:p>
        </w:tc>
        <w:tc>
          <w:tcPr>
            <w:tcW w:w="1559" w:type="dxa"/>
            <w:tcBorders>
              <w:top w:val="single" w:sz="4" w:space="0" w:color="D0CECE" w:themeColor="background2" w:themeShade="E6"/>
              <w:bottom w:val="single" w:sz="4" w:space="0" w:color="D0CECE" w:themeColor="background2" w:themeShade="E6"/>
            </w:tcBorders>
          </w:tcPr>
          <w:p w14:paraId="7AD4940F" w14:textId="77777777" w:rsidR="00F3332F" w:rsidRPr="00812C16" w:rsidRDefault="00F3332F" w:rsidP="00F3332F">
            <w:pPr>
              <w:spacing w:beforeLines="30" w:before="72" w:afterLines="30" w:after="72"/>
              <w:rPr>
                <w:rFonts w:cs="Arial"/>
                <w:sz w:val="18"/>
                <w:szCs w:val="18"/>
              </w:rPr>
            </w:pPr>
            <w:r w:rsidRPr="00812C16">
              <w:rPr>
                <w:rFonts w:cs="Arial"/>
                <w:sz w:val="18"/>
                <w:szCs w:val="18"/>
              </w:rPr>
              <w:t>0,98 (0,53-1,82)</w:t>
            </w:r>
          </w:p>
        </w:tc>
        <w:tc>
          <w:tcPr>
            <w:tcW w:w="851" w:type="dxa"/>
            <w:tcBorders>
              <w:top w:val="single" w:sz="4" w:space="0" w:color="D0CECE" w:themeColor="background2" w:themeShade="E6"/>
              <w:bottom w:val="single" w:sz="4" w:space="0" w:color="D0CECE" w:themeColor="background2" w:themeShade="E6"/>
            </w:tcBorders>
          </w:tcPr>
          <w:p w14:paraId="48410320"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0,95</w:t>
            </w:r>
          </w:p>
        </w:tc>
        <w:tc>
          <w:tcPr>
            <w:tcW w:w="1701" w:type="dxa"/>
            <w:tcBorders>
              <w:top w:val="single" w:sz="4" w:space="0" w:color="D0CECE" w:themeColor="background2" w:themeShade="E6"/>
              <w:bottom w:val="single" w:sz="4" w:space="0" w:color="D0CECE" w:themeColor="background2" w:themeShade="E6"/>
            </w:tcBorders>
          </w:tcPr>
          <w:p w14:paraId="0121D040" w14:textId="77777777" w:rsidR="00F3332F" w:rsidRPr="00812C16" w:rsidRDefault="00F3332F" w:rsidP="00F3332F">
            <w:pPr>
              <w:spacing w:beforeLines="30" w:before="72" w:afterLines="30" w:after="72"/>
              <w:rPr>
                <w:rFonts w:cs="Arial"/>
                <w:sz w:val="18"/>
                <w:szCs w:val="18"/>
              </w:rPr>
            </w:pPr>
            <w:r w:rsidRPr="00812C16">
              <w:rPr>
                <w:rFonts w:cs="Arial"/>
                <w:sz w:val="18"/>
                <w:szCs w:val="18"/>
              </w:rPr>
              <w:t>1,10 (0,69-1,76)</w:t>
            </w:r>
          </w:p>
        </w:tc>
        <w:tc>
          <w:tcPr>
            <w:tcW w:w="850" w:type="dxa"/>
            <w:tcBorders>
              <w:top w:val="single" w:sz="4" w:space="0" w:color="D0CECE" w:themeColor="background2" w:themeShade="E6"/>
              <w:bottom w:val="single" w:sz="4" w:space="0" w:color="D0CECE" w:themeColor="background2" w:themeShade="E6"/>
            </w:tcBorders>
          </w:tcPr>
          <w:p w14:paraId="093ED0C4" w14:textId="77777777" w:rsidR="00F3332F" w:rsidRPr="00812C16" w:rsidRDefault="00F3332F" w:rsidP="00F3332F">
            <w:pPr>
              <w:spacing w:beforeLines="30" w:before="72" w:afterLines="30" w:after="72"/>
              <w:jc w:val="center"/>
              <w:rPr>
                <w:rFonts w:cs="Arial"/>
                <w:sz w:val="18"/>
                <w:szCs w:val="18"/>
              </w:rPr>
            </w:pPr>
            <w:r w:rsidRPr="00812C16">
              <w:rPr>
                <w:rFonts w:cs="Arial"/>
                <w:sz w:val="18"/>
                <w:szCs w:val="18"/>
              </w:rPr>
              <w:t>0,69</w:t>
            </w:r>
          </w:p>
        </w:tc>
      </w:tr>
      <w:tr w:rsidR="00F3332F" w:rsidRPr="00812C16" w14:paraId="425625E3" w14:textId="77777777" w:rsidTr="000E1E65">
        <w:tc>
          <w:tcPr>
            <w:tcW w:w="1696" w:type="dxa"/>
            <w:tcBorders>
              <w:top w:val="single" w:sz="4" w:space="0" w:color="D0CECE" w:themeColor="background2" w:themeShade="E6"/>
              <w:bottom w:val="single" w:sz="4" w:space="0" w:color="D0CECE" w:themeColor="background2" w:themeShade="E6"/>
            </w:tcBorders>
          </w:tcPr>
          <w:p w14:paraId="07DAA2F6" w14:textId="77777777" w:rsidR="00F3332F" w:rsidRPr="00812C16" w:rsidRDefault="00F3332F" w:rsidP="00894022">
            <w:pPr>
              <w:spacing w:beforeLines="30" w:before="72" w:afterLines="30" w:after="72"/>
              <w:jc w:val="left"/>
              <w:rPr>
                <w:rFonts w:cs="Arial"/>
                <w:b/>
                <w:bCs/>
                <w:sz w:val="18"/>
                <w:szCs w:val="18"/>
              </w:rPr>
            </w:pPr>
            <w:proofErr w:type="gramStart"/>
            <w:r w:rsidRPr="00812C16">
              <w:rPr>
                <w:rFonts w:cs="Arial"/>
                <w:b/>
                <w:bCs/>
                <w:sz w:val="18"/>
                <w:szCs w:val="18"/>
              </w:rPr>
              <w:t>ECE Status</w:t>
            </w:r>
            <w:proofErr w:type="gramEnd"/>
          </w:p>
        </w:tc>
        <w:tc>
          <w:tcPr>
            <w:tcW w:w="1560" w:type="dxa"/>
            <w:tcBorders>
              <w:top w:val="single" w:sz="4" w:space="0" w:color="D0CECE" w:themeColor="background2" w:themeShade="E6"/>
              <w:bottom w:val="single" w:sz="4" w:space="0" w:color="D0CECE" w:themeColor="background2" w:themeShade="E6"/>
            </w:tcBorders>
          </w:tcPr>
          <w:p w14:paraId="69AA6260" w14:textId="77777777" w:rsidR="00F3332F" w:rsidRPr="00812C16" w:rsidRDefault="00F3332F" w:rsidP="00F3332F">
            <w:pPr>
              <w:spacing w:beforeLines="30" w:before="72" w:afterLines="30" w:after="72"/>
              <w:rPr>
                <w:rFonts w:cs="Arial"/>
                <w:sz w:val="18"/>
                <w:szCs w:val="18"/>
              </w:rPr>
            </w:pPr>
            <w:r w:rsidRPr="00812C16">
              <w:rPr>
                <w:rFonts w:cs="Arial"/>
                <w:sz w:val="18"/>
                <w:szCs w:val="18"/>
              </w:rPr>
              <w:t>1,57 (0,74-3,34)</w:t>
            </w:r>
          </w:p>
        </w:tc>
        <w:tc>
          <w:tcPr>
            <w:tcW w:w="850" w:type="dxa"/>
            <w:tcBorders>
              <w:top w:val="single" w:sz="4" w:space="0" w:color="D0CECE" w:themeColor="background2" w:themeShade="E6"/>
              <w:bottom w:val="single" w:sz="4" w:space="0" w:color="D0CECE" w:themeColor="background2" w:themeShade="E6"/>
            </w:tcBorders>
          </w:tcPr>
          <w:p w14:paraId="488CE0C1" w14:textId="77777777" w:rsidR="00F3332F" w:rsidRPr="00812C16" w:rsidRDefault="00F3332F" w:rsidP="00F3332F">
            <w:pPr>
              <w:spacing w:beforeLines="30" w:before="72" w:afterLines="30" w:after="72"/>
              <w:ind w:left="-110" w:right="-193"/>
              <w:jc w:val="center"/>
              <w:rPr>
                <w:rFonts w:cs="Arial"/>
                <w:sz w:val="18"/>
                <w:szCs w:val="18"/>
              </w:rPr>
            </w:pPr>
            <w:r w:rsidRPr="00812C16">
              <w:rPr>
                <w:rFonts w:cs="Arial"/>
                <w:sz w:val="18"/>
                <w:szCs w:val="18"/>
              </w:rPr>
              <w:t>0,24</w:t>
            </w:r>
          </w:p>
        </w:tc>
        <w:tc>
          <w:tcPr>
            <w:tcW w:w="1559" w:type="dxa"/>
            <w:tcBorders>
              <w:top w:val="single" w:sz="4" w:space="0" w:color="D0CECE" w:themeColor="background2" w:themeShade="E6"/>
              <w:bottom w:val="single" w:sz="4" w:space="0" w:color="D0CECE" w:themeColor="background2" w:themeShade="E6"/>
            </w:tcBorders>
          </w:tcPr>
          <w:p w14:paraId="5F972AD2" w14:textId="77777777" w:rsidR="00F3332F" w:rsidRPr="00812C16" w:rsidRDefault="00F3332F" w:rsidP="00F3332F">
            <w:pPr>
              <w:spacing w:beforeLines="30" w:before="72" w:afterLines="30" w:after="72"/>
              <w:rPr>
                <w:rFonts w:cs="Arial"/>
                <w:sz w:val="18"/>
                <w:szCs w:val="18"/>
              </w:rPr>
            </w:pPr>
            <w:r w:rsidRPr="00812C16">
              <w:rPr>
                <w:rFonts w:cs="Arial"/>
                <w:sz w:val="18"/>
                <w:szCs w:val="18"/>
              </w:rPr>
              <w:t>2,68 (1,35-5.33)</w:t>
            </w:r>
          </w:p>
        </w:tc>
        <w:tc>
          <w:tcPr>
            <w:tcW w:w="851" w:type="dxa"/>
            <w:tcBorders>
              <w:top w:val="single" w:sz="4" w:space="0" w:color="D0CECE" w:themeColor="background2" w:themeShade="E6"/>
              <w:bottom w:val="single" w:sz="4" w:space="0" w:color="D0CECE" w:themeColor="background2" w:themeShade="E6"/>
            </w:tcBorders>
          </w:tcPr>
          <w:p w14:paraId="4552AAE8" w14:textId="77777777" w:rsidR="00F3332F" w:rsidRPr="00812C16" w:rsidRDefault="00F3332F" w:rsidP="0083213A">
            <w:pPr>
              <w:tabs>
                <w:tab w:val="right" w:pos="459"/>
              </w:tabs>
              <w:spacing w:beforeLines="30" w:before="72" w:afterLines="30" w:after="72"/>
              <w:ind w:left="-182" w:right="-105"/>
              <w:jc w:val="center"/>
              <w:rPr>
                <w:rFonts w:cs="Arial"/>
                <w:b/>
                <w:bCs/>
                <w:sz w:val="18"/>
                <w:szCs w:val="18"/>
              </w:rPr>
            </w:pPr>
            <w:r w:rsidRPr="00812C16">
              <w:rPr>
                <w:rFonts w:cs="Arial"/>
                <w:b/>
                <w:bCs/>
                <w:sz w:val="18"/>
                <w:szCs w:val="18"/>
              </w:rPr>
              <w:t>&lt;0,01</w:t>
            </w:r>
          </w:p>
        </w:tc>
        <w:tc>
          <w:tcPr>
            <w:tcW w:w="1701" w:type="dxa"/>
            <w:tcBorders>
              <w:top w:val="single" w:sz="4" w:space="0" w:color="D0CECE" w:themeColor="background2" w:themeShade="E6"/>
              <w:bottom w:val="single" w:sz="4" w:space="0" w:color="D0CECE" w:themeColor="background2" w:themeShade="E6"/>
            </w:tcBorders>
          </w:tcPr>
          <w:p w14:paraId="0F736059" w14:textId="77777777" w:rsidR="00F3332F" w:rsidRPr="00812C16" w:rsidRDefault="00F3332F" w:rsidP="00F3332F">
            <w:pPr>
              <w:spacing w:beforeLines="30" w:before="72" w:afterLines="30" w:after="72"/>
              <w:rPr>
                <w:rFonts w:cs="Arial"/>
                <w:sz w:val="18"/>
                <w:szCs w:val="18"/>
              </w:rPr>
            </w:pPr>
            <w:r w:rsidRPr="00812C16">
              <w:rPr>
                <w:rFonts w:cs="Arial"/>
                <w:sz w:val="18"/>
                <w:szCs w:val="18"/>
              </w:rPr>
              <w:t>1,72 (1,06-2,80)</w:t>
            </w:r>
          </w:p>
        </w:tc>
        <w:tc>
          <w:tcPr>
            <w:tcW w:w="850" w:type="dxa"/>
            <w:tcBorders>
              <w:top w:val="single" w:sz="4" w:space="0" w:color="D0CECE" w:themeColor="background2" w:themeShade="E6"/>
              <w:bottom w:val="single" w:sz="4" w:space="0" w:color="D0CECE" w:themeColor="background2" w:themeShade="E6"/>
            </w:tcBorders>
          </w:tcPr>
          <w:p w14:paraId="5843F68B" w14:textId="77777777" w:rsidR="00F3332F" w:rsidRPr="00812C16" w:rsidRDefault="00F3332F" w:rsidP="00F3332F">
            <w:pPr>
              <w:spacing w:beforeLines="30" w:before="72" w:afterLines="30" w:after="72"/>
              <w:jc w:val="center"/>
              <w:rPr>
                <w:rFonts w:cs="Arial"/>
                <w:b/>
                <w:bCs/>
                <w:sz w:val="18"/>
                <w:szCs w:val="18"/>
              </w:rPr>
            </w:pPr>
            <w:r w:rsidRPr="00812C16">
              <w:rPr>
                <w:rFonts w:cs="Arial"/>
                <w:b/>
                <w:bCs/>
                <w:sz w:val="18"/>
                <w:szCs w:val="18"/>
              </w:rPr>
              <w:t>0,03</w:t>
            </w:r>
          </w:p>
        </w:tc>
      </w:tr>
      <w:tr w:rsidR="000E1E65" w:rsidRPr="00812C16" w14:paraId="015501F3" w14:textId="77777777" w:rsidTr="000E1E65">
        <w:tc>
          <w:tcPr>
            <w:tcW w:w="1696" w:type="dxa"/>
            <w:tcBorders>
              <w:top w:val="single" w:sz="4" w:space="0" w:color="D0CECE" w:themeColor="background2" w:themeShade="E6"/>
              <w:bottom w:val="single" w:sz="4" w:space="0" w:color="000000" w:themeColor="text1"/>
            </w:tcBorders>
          </w:tcPr>
          <w:p w14:paraId="7DF844CF" w14:textId="77777777" w:rsidR="000E1E65" w:rsidRPr="00812C16" w:rsidRDefault="000E1E65" w:rsidP="00894022">
            <w:pPr>
              <w:spacing w:beforeLines="30" w:before="72" w:afterLines="30" w:after="72"/>
              <w:jc w:val="left"/>
              <w:rPr>
                <w:rFonts w:cs="Arial"/>
                <w:b/>
                <w:bCs/>
                <w:sz w:val="18"/>
                <w:szCs w:val="18"/>
              </w:rPr>
            </w:pPr>
            <w:r w:rsidRPr="00812C16">
              <w:rPr>
                <w:rFonts w:cs="Arial"/>
                <w:b/>
                <w:bCs/>
                <w:sz w:val="18"/>
                <w:szCs w:val="18"/>
              </w:rPr>
              <w:t>HPV16 DNA</w:t>
            </w:r>
          </w:p>
        </w:tc>
        <w:tc>
          <w:tcPr>
            <w:tcW w:w="1560" w:type="dxa"/>
            <w:tcBorders>
              <w:top w:val="single" w:sz="4" w:space="0" w:color="D0CECE" w:themeColor="background2" w:themeShade="E6"/>
              <w:bottom w:val="single" w:sz="4" w:space="0" w:color="000000" w:themeColor="text1"/>
            </w:tcBorders>
          </w:tcPr>
          <w:p w14:paraId="3874C71D" w14:textId="77777777" w:rsidR="000E1E65" w:rsidRPr="00812C16" w:rsidRDefault="00C31BB4" w:rsidP="00F3332F">
            <w:pPr>
              <w:spacing w:beforeLines="30" w:before="72" w:afterLines="30" w:after="72"/>
              <w:rPr>
                <w:rFonts w:cs="Arial"/>
                <w:sz w:val="18"/>
                <w:szCs w:val="18"/>
              </w:rPr>
            </w:pPr>
            <w:r w:rsidRPr="00812C16">
              <w:rPr>
                <w:rFonts w:cs="Arial"/>
                <w:sz w:val="18"/>
                <w:szCs w:val="18"/>
              </w:rPr>
              <w:t>0,13 (0,03-0,54)</w:t>
            </w:r>
          </w:p>
        </w:tc>
        <w:tc>
          <w:tcPr>
            <w:tcW w:w="850" w:type="dxa"/>
            <w:tcBorders>
              <w:top w:val="single" w:sz="4" w:space="0" w:color="D0CECE" w:themeColor="background2" w:themeShade="E6"/>
              <w:bottom w:val="single" w:sz="4" w:space="0" w:color="000000" w:themeColor="text1"/>
            </w:tcBorders>
          </w:tcPr>
          <w:p w14:paraId="73077E92" w14:textId="77777777" w:rsidR="000E1E65" w:rsidRPr="00812C16" w:rsidRDefault="00C31BB4" w:rsidP="0083213A">
            <w:pPr>
              <w:spacing w:beforeLines="30" w:before="72" w:afterLines="30" w:after="72"/>
              <w:ind w:left="-110" w:right="-119"/>
              <w:jc w:val="center"/>
              <w:rPr>
                <w:rFonts w:cs="Arial"/>
                <w:b/>
                <w:bCs/>
                <w:sz w:val="18"/>
                <w:szCs w:val="18"/>
              </w:rPr>
            </w:pPr>
            <w:r w:rsidRPr="00812C16">
              <w:rPr>
                <w:rFonts w:cs="Arial"/>
                <w:b/>
                <w:bCs/>
                <w:sz w:val="18"/>
                <w:szCs w:val="18"/>
              </w:rPr>
              <w:t>&lt;0,01</w:t>
            </w:r>
          </w:p>
        </w:tc>
        <w:tc>
          <w:tcPr>
            <w:tcW w:w="1559" w:type="dxa"/>
            <w:tcBorders>
              <w:top w:val="single" w:sz="4" w:space="0" w:color="D0CECE" w:themeColor="background2" w:themeShade="E6"/>
              <w:bottom w:val="single" w:sz="4" w:space="0" w:color="000000" w:themeColor="text1"/>
            </w:tcBorders>
          </w:tcPr>
          <w:p w14:paraId="018F9B7B" w14:textId="77777777" w:rsidR="000E1E65" w:rsidRPr="00812C16" w:rsidRDefault="0083213A" w:rsidP="00F3332F">
            <w:pPr>
              <w:spacing w:beforeLines="30" w:before="72" w:afterLines="30" w:after="72"/>
              <w:rPr>
                <w:rFonts w:cs="Arial"/>
                <w:sz w:val="18"/>
                <w:szCs w:val="18"/>
              </w:rPr>
            </w:pPr>
            <w:r w:rsidRPr="00812C16">
              <w:rPr>
                <w:rFonts w:cs="Arial"/>
                <w:sz w:val="18"/>
                <w:szCs w:val="18"/>
              </w:rPr>
              <w:t>0,35 (0,15-0,79)</w:t>
            </w:r>
          </w:p>
        </w:tc>
        <w:tc>
          <w:tcPr>
            <w:tcW w:w="851" w:type="dxa"/>
            <w:tcBorders>
              <w:top w:val="single" w:sz="4" w:space="0" w:color="D0CECE" w:themeColor="background2" w:themeShade="E6"/>
              <w:bottom w:val="single" w:sz="4" w:space="0" w:color="000000" w:themeColor="text1"/>
            </w:tcBorders>
          </w:tcPr>
          <w:p w14:paraId="7D4C7BA5" w14:textId="77777777" w:rsidR="000E1E65" w:rsidRPr="00812C16" w:rsidRDefault="0083213A" w:rsidP="00F3332F">
            <w:pPr>
              <w:spacing w:beforeLines="30" w:before="72" w:afterLines="30" w:after="72"/>
              <w:jc w:val="center"/>
              <w:rPr>
                <w:rFonts w:cs="Arial"/>
                <w:b/>
                <w:bCs/>
                <w:sz w:val="18"/>
                <w:szCs w:val="18"/>
              </w:rPr>
            </w:pPr>
            <w:r w:rsidRPr="00812C16">
              <w:rPr>
                <w:rFonts w:cs="Arial"/>
                <w:b/>
                <w:bCs/>
                <w:sz w:val="18"/>
                <w:szCs w:val="18"/>
              </w:rPr>
              <w:t>0,01</w:t>
            </w:r>
          </w:p>
        </w:tc>
        <w:tc>
          <w:tcPr>
            <w:tcW w:w="1701" w:type="dxa"/>
            <w:tcBorders>
              <w:top w:val="single" w:sz="4" w:space="0" w:color="D0CECE" w:themeColor="background2" w:themeShade="E6"/>
              <w:bottom w:val="single" w:sz="4" w:space="0" w:color="000000" w:themeColor="text1"/>
            </w:tcBorders>
          </w:tcPr>
          <w:p w14:paraId="7A307175" w14:textId="77777777" w:rsidR="000E1E65" w:rsidRPr="00812C16" w:rsidRDefault="0083213A" w:rsidP="00F3332F">
            <w:pPr>
              <w:spacing w:beforeLines="30" w:before="72" w:afterLines="30" w:after="72"/>
              <w:rPr>
                <w:rFonts w:cs="Arial"/>
                <w:sz w:val="18"/>
                <w:szCs w:val="18"/>
              </w:rPr>
            </w:pPr>
            <w:r w:rsidRPr="00812C16">
              <w:rPr>
                <w:rFonts w:cs="Arial"/>
                <w:sz w:val="18"/>
                <w:szCs w:val="18"/>
              </w:rPr>
              <w:t>0,33 (0,17-0,62)</w:t>
            </w:r>
          </w:p>
        </w:tc>
        <w:tc>
          <w:tcPr>
            <w:tcW w:w="850" w:type="dxa"/>
            <w:tcBorders>
              <w:top w:val="single" w:sz="4" w:space="0" w:color="D0CECE" w:themeColor="background2" w:themeShade="E6"/>
              <w:bottom w:val="single" w:sz="4" w:space="0" w:color="000000" w:themeColor="text1"/>
            </w:tcBorders>
          </w:tcPr>
          <w:p w14:paraId="2F7D9F4C" w14:textId="77777777" w:rsidR="000E1E65" w:rsidRPr="00812C16" w:rsidRDefault="0083213A" w:rsidP="0083213A">
            <w:pPr>
              <w:tabs>
                <w:tab w:val="right" w:pos="601"/>
              </w:tabs>
              <w:spacing w:beforeLines="30" w:before="72" w:afterLines="30" w:after="72"/>
              <w:ind w:left="-250" w:right="-104"/>
              <w:jc w:val="center"/>
              <w:rPr>
                <w:rFonts w:cs="Arial"/>
                <w:b/>
                <w:bCs/>
                <w:sz w:val="18"/>
                <w:szCs w:val="18"/>
              </w:rPr>
            </w:pPr>
            <w:r w:rsidRPr="00812C16">
              <w:rPr>
                <w:rFonts w:cs="Arial"/>
                <w:b/>
                <w:bCs/>
                <w:sz w:val="18"/>
                <w:szCs w:val="18"/>
              </w:rPr>
              <w:t xml:space="preserve"> &lt;0,01</w:t>
            </w:r>
          </w:p>
        </w:tc>
      </w:tr>
      <w:tr w:rsidR="00F3332F" w:rsidRPr="00812C16" w14:paraId="6129E39F" w14:textId="77777777" w:rsidTr="00F3332F">
        <w:tc>
          <w:tcPr>
            <w:tcW w:w="1696" w:type="dxa"/>
            <w:tcBorders>
              <w:top w:val="single" w:sz="4" w:space="0" w:color="000000" w:themeColor="text1"/>
            </w:tcBorders>
          </w:tcPr>
          <w:p w14:paraId="35388ADD" w14:textId="77777777" w:rsidR="00F3332F" w:rsidRPr="00812C16" w:rsidRDefault="00F65CBF" w:rsidP="00F65CBF">
            <w:pPr>
              <w:spacing w:beforeLines="30" w:before="72" w:afterLines="30" w:after="72"/>
              <w:rPr>
                <w:rFonts w:cs="Arial"/>
                <w:sz w:val="18"/>
                <w:szCs w:val="18"/>
              </w:rPr>
            </w:pPr>
            <w:r w:rsidRPr="00812C16">
              <w:rPr>
                <w:rFonts w:cs="Arial"/>
                <w:sz w:val="18"/>
                <w:szCs w:val="18"/>
              </w:rPr>
              <w:t xml:space="preserve">* vs. </w:t>
            </w:r>
            <w:proofErr w:type="spellStart"/>
            <w:r w:rsidRPr="00812C16">
              <w:rPr>
                <w:rFonts w:cs="Arial"/>
                <w:sz w:val="18"/>
                <w:szCs w:val="18"/>
              </w:rPr>
              <w:t>others</w:t>
            </w:r>
            <w:proofErr w:type="spellEnd"/>
          </w:p>
        </w:tc>
        <w:tc>
          <w:tcPr>
            <w:tcW w:w="1560" w:type="dxa"/>
            <w:tcBorders>
              <w:top w:val="single" w:sz="4" w:space="0" w:color="000000" w:themeColor="text1"/>
            </w:tcBorders>
          </w:tcPr>
          <w:p w14:paraId="553413FB" w14:textId="77777777" w:rsidR="00F3332F" w:rsidRPr="00812C16" w:rsidRDefault="00F3332F" w:rsidP="00F3332F">
            <w:pPr>
              <w:spacing w:beforeLines="30" w:before="72" w:afterLines="30" w:after="72"/>
              <w:rPr>
                <w:rFonts w:cs="Arial"/>
                <w:sz w:val="18"/>
                <w:szCs w:val="18"/>
              </w:rPr>
            </w:pPr>
          </w:p>
        </w:tc>
        <w:tc>
          <w:tcPr>
            <w:tcW w:w="850" w:type="dxa"/>
            <w:tcBorders>
              <w:top w:val="single" w:sz="4" w:space="0" w:color="000000" w:themeColor="text1"/>
            </w:tcBorders>
          </w:tcPr>
          <w:p w14:paraId="49EF6567" w14:textId="77777777" w:rsidR="00F3332F" w:rsidRPr="00812C16" w:rsidRDefault="00F3332F" w:rsidP="00F3332F">
            <w:pPr>
              <w:spacing w:beforeLines="30" w:before="72" w:afterLines="30" w:after="72"/>
              <w:rPr>
                <w:rFonts w:cs="Arial"/>
                <w:sz w:val="18"/>
                <w:szCs w:val="18"/>
              </w:rPr>
            </w:pPr>
          </w:p>
        </w:tc>
        <w:tc>
          <w:tcPr>
            <w:tcW w:w="1559" w:type="dxa"/>
            <w:tcBorders>
              <w:top w:val="single" w:sz="4" w:space="0" w:color="000000" w:themeColor="text1"/>
            </w:tcBorders>
          </w:tcPr>
          <w:p w14:paraId="00120114" w14:textId="77777777" w:rsidR="00F3332F" w:rsidRPr="00812C16" w:rsidRDefault="00F3332F" w:rsidP="00F3332F">
            <w:pPr>
              <w:spacing w:beforeLines="30" w:before="72" w:afterLines="30" w:after="72"/>
              <w:rPr>
                <w:rFonts w:cs="Arial"/>
                <w:sz w:val="18"/>
                <w:szCs w:val="18"/>
              </w:rPr>
            </w:pPr>
          </w:p>
        </w:tc>
        <w:tc>
          <w:tcPr>
            <w:tcW w:w="851" w:type="dxa"/>
            <w:tcBorders>
              <w:top w:val="single" w:sz="4" w:space="0" w:color="000000" w:themeColor="text1"/>
            </w:tcBorders>
          </w:tcPr>
          <w:p w14:paraId="4DC01BE1" w14:textId="77777777" w:rsidR="00F3332F" w:rsidRPr="00812C16" w:rsidRDefault="00F3332F" w:rsidP="00F3332F">
            <w:pPr>
              <w:spacing w:beforeLines="30" w:before="72" w:afterLines="30" w:after="72"/>
              <w:rPr>
                <w:rFonts w:cs="Arial"/>
                <w:sz w:val="18"/>
                <w:szCs w:val="18"/>
              </w:rPr>
            </w:pPr>
          </w:p>
        </w:tc>
        <w:tc>
          <w:tcPr>
            <w:tcW w:w="1701" w:type="dxa"/>
            <w:tcBorders>
              <w:top w:val="single" w:sz="4" w:space="0" w:color="000000" w:themeColor="text1"/>
            </w:tcBorders>
          </w:tcPr>
          <w:p w14:paraId="5DFA68BF" w14:textId="77777777" w:rsidR="00F3332F" w:rsidRPr="00812C16" w:rsidRDefault="00F3332F" w:rsidP="00F3332F">
            <w:pPr>
              <w:spacing w:beforeLines="30" w:before="72" w:afterLines="30" w:after="72"/>
              <w:rPr>
                <w:rFonts w:cs="Arial"/>
                <w:sz w:val="18"/>
                <w:szCs w:val="18"/>
              </w:rPr>
            </w:pPr>
          </w:p>
        </w:tc>
        <w:tc>
          <w:tcPr>
            <w:tcW w:w="850" w:type="dxa"/>
            <w:tcBorders>
              <w:top w:val="single" w:sz="4" w:space="0" w:color="000000" w:themeColor="text1"/>
            </w:tcBorders>
          </w:tcPr>
          <w:p w14:paraId="6A913EFA" w14:textId="77777777" w:rsidR="00F3332F" w:rsidRPr="00812C16" w:rsidRDefault="00F3332F" w:rsidP="00F3332F">
            <w:pPr>
              <w:spacing w:beforeLines="30" w:before="72" w:afterLines="30" w:after="72"/>
              <w:jc w:val="center"/>
              <w:rPr>
                <w:rFonts w:cs="Arial"/>
                <w:sz w:val="18"/>
                <w:szCs w:val="18"/>
              </w:rPr>
            </w:pPr>
          </w:p>
        </w:tc>
      </w:tr>
    </w:tbl>
    <w:p w14:paraId="1F0E2CB2" w14:textId="77777777" w:rsidR="000E5E8B" w:rsidRPr="00812C16" w:rsidRDefault="00F537C6" w:rsidP="008366C4">
      <w:pPr>
        <w:spacing w:before="360" w:after="0"/>
        <w:rPr>
          <w:lang w:eastAsia="de-DE"/>
        </w:rPr>
      </w:pPr>
      <w:r w:rsidRPr="00812C16">
        <w:rPr>
          <w:lang w:eastAsia="de-DE"/>
        </w:rPr>
        <w:t>Die univariate Analyse ermittelte in Bezug auf die Tumorlokalisation in der Mundhöhle (</w:t>
      </w:r>
      <w:r w:rsidR="006B3213" w:rsidRPr="00812C16">
        <w:rPr>
          <w:lang w:eastAsia="de-DE"/>
        </w:rPr>
        <w:t xml:space="preserve">LRC: </w:t>
      </w:r>
      <w:r w:rsidR="00BF1A4F" w:rsidRPr="00812C16">
        <w:rPr>
          <w:lang w:eastAsia="de-DE"/>
        </w:rPr>
        <w:t xml:space="preserve">HR 3,68, </w:t>
      </w:r>
      <w:r w:rsidRPr="00812C16">
        <w:rPr>
          <w:lang w:eastAsia="de-DE"/>
        </w:rPr>
        <w:t>p&lt;0,01) und Oropharynx (</w:t>
      </w:r>
      <w:r w:rsidR="006B3213" w:rsidRPr="00812C16">
        <w:rPr>
          <w:lang w:eastAsia="de-DE"/>
        </w:rPr>
        <w:t xml:space="preserve">LRC: </w:t>
      </w:r>
      <w:r w:rsidR="00BF1A4F" w:rsidRPr="00812C16">
        <w:rPr>
          <w:lang w:eastAsia="de-DE"/>
        </w:rPr>
        <w:t xml:space="preserve">HR 0,38, </w:t>
      </w:r>
      <w:r w:rsidRPr="00812C16">
        <w:rPr>
          <w:lang w:eastAsia="de-DE"/>
        </w:rPr>
        <w:t>p&lt;0,01)</w:t>
      </w:r>
      <w:r w:rsidR="00604501" w:rsidRPr="00812C16">
        <w:rPr>
          <w:lang w:eastAsia="de-DE"/>
        </w:rPr>
        <w:t xml:space="preserve"> signifikante Unterschiede in allen drei Endpunkten. Wohingegen der ECE-Status lediglich erhebliche Auswirkungen auf die sekundären Endpunkte </w:t>
      </w:r>
      <w:r w:rsidR="00BF1A4F" w:rsidRPr="00812C16">
        <w:rPr>
          <w:lang w:eastAsia="de-DE"/>
        </w:rPr>
        <w:t>(</w:t>
      </w:r>
      <w:r w:rsidR="0083213A" w:rsidRPr="00812C16">
        <w:rPr>
          <w:lang w:eastAsia="de-DE"/>
        </w:rPr>
        <w:t xml:space="preserve">DMS: HR 2,68, p&lt;0,01; OS: HR 1,72, p=0,03) </w:t>
      </w:r>
      <w:r w:rsidR="00604501" w:rsidRPr="00812C16">
        <w:rPr>
          <w:lang w:eastAsia="de-DE"/>
        </w:rPr>
        <w:t xml:space="preserve">gezeigt hatte. </w:t>
      </w:r>
      <w:r w:rsidR="0083213A" w:rsidRPr="00812C16">
        <w:rPr>
          <w:lang w:eastAsia="de-DE"/>
        </w:rPr>
        <w:t xml:space="preserve">Für das </w:t>
      </w:r>
      <w:r w:rsidR="00D60F69" w:rsidRPr="00812C16">
        <w:rPr>
          <w:lang w:eastAsia="de-DE"/>
        </w:rPr>
        <w:t>Geschlecht,</w:t>
      </w:r>
      <w:r w:rsidR="0083213A" w:rsidRPr="00812C16">
        <w:rPr>
          <w:lang w:eastAsia="de-DE"/>
        </w:rPr>
        <w:t xml:space="preserve"> </w:t>
      </w:r>
      <w:r w:rsidR="006B3213" w:rsidRPr="00812C16">
        <w:rPr>
          <w:lang w:eastAsia="de-DE"/>
        </w:rPr>
        <w:t>dem</w:t>
      </w:r>
      <w:r w:rsidR="00D60F69" w:rsidRPr="00812C16">
        <w:rPr>
          <w:lang w:eastAsia="de-DE"/>
        </w:rPr>
        <w:t xml:space="preserve"> UICC-Stadium und </w:t>
      </w:r>
      <w:r w:rsidR="006B3213" w:rsidRPr="00812C16">
        <w:rPr>
          <w:lang w:eastAsia="de-DE"/>
        </w:rPr>
        <w:t xml:space="preserve">dem </w:t>
      </w:r>
      <w:r w:rsidR="00D60F69" w:rsidRPr="00812C16">
        <w:rPr>
          <w:lang w:eastAsia="de-DE"/>
        </w:rPr>
        <w:t xml:space="preserve">R-Status </w:t>
      </w:r>
      <w:r w:rsidR="006B3213" w:rsidRPr="00812C16">
        <w:rPr>
          <w:lang w:eastAsia="de-DE"/>
        </w:rPr>
        <w:t>konnten</w:t>
      </w:r>
      <w:r w:rsidR="00D60F69" w:rsidRPr="00812C16">
        <w:rPr>
          <w:lang w:eastAsia="de-DE"/>
        </w:rPr>
        <w:t xml:space="preserve"> </w:t>
      </w:r>
      <w:r w:rsidR="00BF1A4F" w:rsidRPr="00812C16">
        <w:rPr>
          <w:lang w:eastAsia="de-DE"/>
        </w:rPr>
        <w:t xml:space="preserve">keine signifikanten Auswirkungen </w:t>
      </w:r>
      <w:r w:rsidR="006B3213" w:rsidRPr="00812C16">
        <w:rPr>
          <w:lang w:eastAsia="de-DE"/>
        </w:rPr>
        <w:t>auf das klinische Outcome</w:t>
      </w:r>
      <w:r w:rsidR="004406DB" w:rsidRPr="00812C16">
        <w:rPr>
          <w:lang w:eastAsia="de-DE"/>
        </w:rPr>
        <w:t xml:space="preserve"> festgestellt werden. </w:t>
      </w:r>
      <w:r w:rsidR="006B3213" w:rsidRPr="00812C16">
        <w:rPr>
          <w:lang w:eastAsia="de-DE"/>
        </w:rPr>
        <w:t xml:space="preserve">HPV16 DNA-positive Tumoren zeigten </w:t>
      </w:r>
      <w:r w:rsidR="004406DB" w:rsidRPr="00812C16">
        <w:rPr>
          <w:lang w:eastAsia="de-DE"/>
        </w:rPr>
        <w:t>über alle Endpunkte</w:t>
      </w:r>
      <w:r w:rsidR="006B3213" w:rsidRPr="00812C16">
        <w:rPr>
          <w:lang w:eastAsia="de-DE"/>
        </w:rPr>
        <w:t xml:space="preserve"> </w:t>
      </w:r>
      <w:proofErr w:type="gramStart"/>
      <w:r w:rsidR="004406DB" w:rsidRPr="00812C16">
        <w:rPr>
          <w:lang w:eastAsia="de-DE"/>
        </w:rPr>
        <w:t>ein</w:t>
      </w:r>
      <w:r w:rsidR="006B3213" w:rsidRPr="00812C16">
        <w:rPr>
          <w:lang w:eastAsia="de-DE"/>
        </w:rPr>
        <w:t xml:space="preserve"> signifikant besser</w:t>
      </w:r>
      <w:r w:rsidR="004406DB" w:rsidRPr="00812C16">
        <w:rPr>
          <w:lang w:eastAsia="de-DE"/>
        </w:rPr>
        <w:t>es</w:t>
      </w:r>
      <w:r w:rsidR="006B3213" w:rsidRPr="00812C16">
        <w:rPr>
          <w:lang w:eastAsia="de-DE"/>
        </w:rPr>
        <w:t xml:space="preserve"> klinische</w:t>
      </w:r>
      <w:r w:rsidR="004406DB" w:rsidRPr="00812C16">
        <w:rPr>
          <w:lang w:eastAsia="de-DE"/>
        </w:rPr>
        <w:t>s</w:t>
      </w:r>
      <w:r w:rsidR="006B3213" w:rsidRPr="00812C16">
        <w:rPr>
          <w:lang w:eastAsia="de-DE"/>
        </w:rPr>
        <w:t xml:space="preserve"> Outcome</w:t>
      </w:r>
      <w:proofErr w:type="gramEnd"/>
      <w:r w:rsidR="006B3213" w:rsidRPr="00812C16">
        <w:rPr>
          <w:lang w:eastAsia="de-DE"/>
        </w:rPr>
        <w:t xml:space="preserve"> als HPV16 D</w:t>
      </w:r>
      <w:r w:rsidR="004406DB" w:rsidRPr="00812C16">
        <w:rPr>
          <w:lang w:eastAsia="de-DE"/>
        </w:rPr>
        <w:t>NA-</w:t>
      </w:r>
      <w:r w:rsidR="006B3213" w:rsidRPr="00812C16">
        <w:rPr>
          <w:lang w:eastAsia="de-DE"/>
        </w:rPr>
        <w:t xml:space="preserve">negative Tumore. </w:t>
      </w:r>
      <w:r w:rsidR="006B3213" w:rsidRPr="00812C16">
        <w:rPr>
          <w:lang w:eastAsia="de-DE"/>
        </w:rPr>
        <w:br w:type="page"/>
      </w:r>
    </w:p>
    <w:p w14:paraId="7DD56BA6" w14:textId="77777777" w:rsidR="008A2BCC" w:rsidRPr="00812C16" w:rsidRDefault="00506755" w:rsidP="005547D3">
      <w:pPr>
        <w:pStyle w:val="berschrift3"/>
      </w:pPr>
      <w:bookmarkStart w:id="84" w:name="_Toc158006542"/>
      <w:r w:rsidRPr="00812C16">
        <w:lastRenderedPageBreak/>
        <w:t>Multivariate Analysen</w:t>
      </w:r>
      <w:bookmarkEnd w:id="84"/>
      <w:r w:rsidRPr="00812C16">
        <w:t xml:space="preserve"> </w:t>
      </w:r>
    </w:p>
    <w:p w14:paraId="7F8FA7FA" w14:textId="77777777" w:rsidR="00BA4F1C" w:rsidRPr="00812C16" w:rsidRDefault="00F2639C" w:rsidP="00EF35C7">
      <w:pPr>
        <w:spacing w:after="360"/>
        <w:rPr>
          <w:rFonts w:cs="Arial"/>
          <w:lang w:eastAsia="de-DE"/>
        </w:rPr>
      </w:pPr>
      <w:r w:rsidRPr="00812C16">
        <w:rPr>
          <w:rFonts w:cs="Arial"/>
          <w:lang w:eastAsia="de-DE"/>
        </w:rPr>
        <w:t xml:space="preserve">Um zu untersuchen, ob die </w:t>
      </w:r>
      <w:r w:rsidR="008110F2" w:rsidRPr="00812C16">
        <w:rPr>
          <w:rFonts w:cs="Arial"/>
          <w:lang w:eastAsia="de-DE"/>
        </w:rPr>
        <w:t>Proteine</w:t>
      </w:r>
      <w:r w:rsidRPr="00812C16">
        <w:rPr>
          <w:rFonts w:cs="Arial"/>
          <w:lang w:eastAsia="de-DE"/>
        </w:rPr>
        <w:t xml:space="preserve">xpression von CD44 einen prognostischen </w:t>
      </w:r>
      <w:r w:rsidR="008110F2" w:rsidRPr="00812C16">
        <w:rPr>
          <w:rFonts w:cs="Arial"/>
          <w:lang w:eastAsia="de-DE"/>
        </w:rPr>
        <w:t xml:space="preserve">Tumorstammzellmarker </w:t>
      </w:r>
      <w:r w:rsidRPr="00812C16">
        <w:rPr>
          <w:rFonts w:cs="Arial"/>
          <w:lang w:eastAsia="de-DE"/>
        </w:rPr>
        <w:t xml:space="preserve">unabhängig von anderen klinischen Parametern darstellt, wurde eine multivariate Analyse unter </w:t>
      </w:r>
      <w:r w:rsidR="001C6A24" w:rsidRPr="00812C16">
        <w:rPr>
          <w:rFonts w:cs="Arial"/>
          <w:lang w:eastAsia="de-DE"/>
        </w:rPr>
        <w:t xml:space="preserve">Berücksichtigung andere Einflussgrößen </w:t>
      </w:r>
      <w:r w:rsidR="005D1754" w:rsidRPr="00812C16">
        <w:rPr>
          <w:rFonts w:cs="Arial"/>
          <w:lang w:eastAsia="de-DE"/>
        </w:rPr>
        <w:t xml:space="preserve">durchgeführt. Parameter, die in der univariaten Analyse als signifikant befunden wurden, wurden als Einflussgrößen in </w:t>
      </w:r>
      <w:r w:rsidR="007E7E7F" w:rsidRPr="00812C16">
        <w:rPr>
          <w:rFonts w:cs="Arial"/>
          <w:lang w:eastAsia="de-DE"/>
        </w:rPr>
        <w:t>ein</w:t>
      </w:r>
      <w:r w:rsidR="005D1754" w:rsidRPr="00812C16">
        <w:rPr>
          <w:rFonts w:cs="Arial"/>
          <w:lang w:eastAsia="de-DE"/>
        </w:rPr>
        <w:t xml:space="preserve"> multivariates Cox- (Proportional-Hazard) Regressionsmodel aufgenommen.</w:t>
      </w:r>
      <w:r w:rsidR="002F3BCF" w:rsidRPr="00812C16">
        <w:rPr>
          <w:rFonts w:cs="Arial"/>
          <w:lang w:eastAsia="de-DE"/>
        </w:rPr>
        <w:t xml:space="preserve"> Als </w:t>
      </w:r>
      <w:proofErr w:type="spellStart"/>
      <w:r w:rsidR="002F3BCF" w:rsidRPr="00812C16">
        <w:rPr>
          <w:rFonts w:cs="Arial"/>
          <w:lang w:eastAsia="de-DE"/>
        </w:rPr>
        <w:t>Kovariaten</w:t>
      </w:r>
      <w:proofErr w:type="spellEnd"/>
      <w:r w:rsidR="002F3BCF" w:rsidRPr="00812C16">
        <w:rPr>
          <w:rFonts w:cs="Arial"/>
          <w:lang w:eastAsia="de-DE"/>
        </w:rPr>
        <w:t xml:space="preserve"> für dies</w:t>
      </w:r>
      <w:r w:rsidR="007E7E7F" w:rsidRPr="00812C16">
        <w:rPr>
          <w:rFonts w:cs="Arial"/>
          <w:lang w:eastAsia="de-DE"/>
        </w:rPr>
        <w:t>es</w:t>
      </w:r>
      <w:r w:rsidR="002F3BCF" w:rsidRPr="00812C16">
        <w:rPr>
          <w:rFonts w:cs="Arial"/>
          <w:lang w:eastAsia="de-DE"/>
        </w:rPr>
        <w:t xml:space="preserve"> Cox-Modell wurden </w:t>
      </w:r>
      <w:r w:rsidR="0006627A" w:rsidRPr="00812C16">
        <w:rPr>
          <w:rFonts w:cs="Arial"/>
          <w:lang w:eastAsia="de-DE"/>
        </w:rPr>
        <w:t>demnach</w:t>
      </w:r>
      <w:r w:rsidR="007E7E7F" w:rsidRPr="00812C16">
        <w:rPr>
          <w:rFonts w:cs="Arial"/>
          <w:lang w:eastAsia="de-DE"/>
        </w:rPr>
        <w:t xml:space="preserve"> neben dem CD44-Status</w:t>
      </w:r>
      <w:r w:rsidR="0006627A" w:rsidRPr="00812C16">
        <w:rPr>
          <w:rFonts w:cs="Arial"/>
          <w:lang w:eastAsia="de-DE"/>
        </w:rPr>
        <w:t xml:space="preserve"> der</w:t>
      </w:r>
      <w:r w:rsidR="002F3BCF" w:rsidRPr="00812C16">
        <w:rPr>
          <w:rFonts w:cs="Arial"/>
          <w:lang w:eastAsia="de-DE"/>
        </w:rPr>
        <w:t xml:space="preserve"> ECE-Status, die Tumorlokalisation in Mundhöhle und Oropharynx sowie der HPV16 D</w:t>
      </w:r>
      <w:r w:rsidR="00CE440F" w:rsidRPr="00812C16">
        <w:rPr>
          <w:rFonts w:cs="Arial"/>
          <w:lang w:eastAsia="de-DE"/>
        </w:rPr>
        <w:t>NA</w:t>
      </w:r>
      <w:r w:rsidR="002F3BCF" w:rsidRPr="00812C16">
        <w:rPr>
          <w:rFonts w:cs="Arial"/>
          <w:lang w:eastAsia="de-DE"/>
        </w:rPr>
        <w:t xml:space="preserve">-Status als gemeinsame </w:t>
      </w:r>
      <w:r w:rsidR="008C0F33" w:rsidRPr="00812C16">
        <w:rPr>
          <w:rFonts w:cs="Arial"/>
          <w:lang w:eastAsia="de-DE"/>
        </w:rPr>
        <w:t xml:space="preserve">gleichzeitige </w:t>
      </w:r>
      <w:r w:rsidR="002F3BCF" w:rsidRPr="00812C16">
        <w:rPr>
          <w:rFonts w:cs="Arial"/>
          <w:lang w:eastAsia="de-DE"/>
        </w:rPr>
        <w:t xml:space="preserve">Einflussvariablen </w:t>
      </w:r>
      <w:r w:rsidR="008C0F33" w:rsidRPr="00812C16">
        <w:rPr>
          <w:rFonts w:cs="Arial"/>
          <w:lang w:eastAsia="de-DE"/>
        </w:rPr>
        <w:t xml:space="preserve">auf die Überlebenszeit, Ereigniszeit </w:t>
      </w:r>
      <w:r w:rsidR="00CE440F" w:rsidRPr="00812C16">
        <w:rPr>
          <w:rFonts w:cs="Arial"/>
          <w:lang w:eastAsia="de-DE"/>
        </w:rPr>
        <w:t>berücksichtigt</w:t>
      </w:r>
      <w:r w:rsidR="002F3BCF" w:rsidRPr="00812C16">
        <w:rPr>
          <w:rFonts w:cs="Arial"/>
          <w:lang w:eastAsia="de-DE"/>
        </w:rPr>
        <w:t xml:space="preserve">. </w:t>
      </w:r>
      <w:r w:rsidR="00FC70C8" w:rsidRPr="00812C16">
        <w:rPr>
          <w:rFonts w:cs="Arial"/>
          <w:lang w:eastAsia="de-DE"/>
        </w:rPr>
        <w:t>Ein signifikanter P</w:t>
      </w:r>
      <w:r w:rsidR="00556D7E" w:rsidRPr="00812C16">
        <w:rPr>
          <w:rFonts w:cs="Arial"/>
          <w:lang w:eastAsia="de-DE"/>
        </w:rPr>
        <w:t xml:space="preserve">-Wert </w:t>
      </w:r>
      <w:r w:rsidR="00FC70C8" w:rsidRPr="00812C16">
        <w:rPr>
          <w:rFonts w:cs="Arial"/>
          <w:lang w:eastAsia="de-DE"/>
        </w:rPr>
        <w:t xml:space="preserve">in der Cox-Regression bedeutet, dass die </w:t>
      </w:r>
      <w:proofErr w:type="spellStart"/>
      <w:r w:rsidR="00FC70C8" w:rsidRPr="00812C16">
        <w:rPr>
          <w:rFonts w:cs="Arial"/>
          <w:lang w:eastAsia="de-DE"/>
        </w:rPr>
        <w:t>Kovariate</w:t>
      </w:r>
      <w:proofErr w:type="spellEnd"/>
      <w:r w:rsidR="00FC70C8" w:rsidRPr="00812C16">
        <w:rPr>
          <w:rFonts w:cs="Arial"/>
          <w:lang w:eastAsia="de-DE"/>
        </w:rPr>
        <w:t xml:space="preserve"> Einfluss auf das Überleben, die Ereigniszeit hat.</w:t>
      </w:r>
      <w:r w:rsidR="008C0F33" w:rsidRPr="00812C16">
        <w:rPr>
          <w:rFonts w:cs="Arial"/>
          <w:lang w:eastAsia="de-DE"/>
        </w:rPr>
        <w:t xml:space="preserve"> </w:t>
      </w:r>
      <w:r w:rsidR="00B96A17" w:rsidRPr="00812C16">
        <w:rPr>
          <w:rFonts w:cs="Arial"/>
          <w:lang w:eastAsia="de-DE"/>
        </w:rPr>
        <w:t>Die Cox-Regression bietet außerdem die Möglichkeit, einen Schätzer für die Größe des Einflusses</w:t>
      </w:r>
      <w:r w:rsidR="00BA4F1C" w:rsidRPr="00812C16">
        <w:rPr>
          <w:rFonts w:cs="Arial"/>
          <w:lang w:eastAsia="de-DE"/>
        </w:rPr>
        <w:t xml:space="preserve"> </w:t>
      </w:r>
      <w:r w:rsidR="00B96A17" w:rsidRPr="00812C16">
        <w:rPr>
          <w:rFonts w:cs="Arial"/>
          <w:lang w:eastAsia="de-DE"/>
        </w:rPr>
        <w:t xml:space="preserve">zu erhalten. Dieser Schätzer ist durch das Hazard Ratio </w:t>
      </w:r>
      <w:r w:rsidR="00BA4F1C" w:rsidRPr="00812C16">
        <w:rPr>
          <w:rFonts w:cs="Arial"/>
          <w:lang w:eastAsia="de-DE"/>
        </w:rPr>
        <w:t xml:space="preserve">(HR) </w:t>
      </w:r>
      <w:r w:rsidR="00B96A17" w:rsidRPr="00812C16">
        <w:rPr>
          <w:rFonts w:cs="Arial"/>
          <w:lang w:eastAsia="de-DE"/>
        </w:rPr>
        <w:t>gegeben</w:t>
      </w:r>
      <w:r w:rsidR="00BA4F1C" w:rsidRPr="00812C16">
        <w:rPr>
          <w:rFonts w:cs="Arial"/>
          <w:lang w:eastAsia="de-DE"/>
        </w:rPr>
        <w:t xml:space="preserve"> und wurde für jede </w:t>
      </w:r>
      <w:proofErr w:type="spellStart"/>
      <w:r w:rsidR="00BA4F1C" w:rsidRPr="00812C16">
        <w:rPr>
          <w:rFonts w:cs="Arial"/>
          <w:lang w:eastAsia="de-DE"/>
        </w:rPr>
        <w:t>Kovariate</w:t>
      </w:r>
      <w:proofErr w:type="spellEnd"/>
      <w:r w:rsidR="00BA4F1C" w:rsidRPr="00812C16">
        <w:rPr>
          <w:rFonts w:cs="Arial"/>
          <w:lang w:eastAsia="de-DE"/>
        </w:rPr>
        <w:t xml:space="preserve"> b</w:t>
      </w:r>
      <w:r w:rsidR="00167F07" w:rsidRPr="00812C16">
        <w:rPr>
          <w:rFonts w:cs="Arial"/>
          <w:lang w:eastAsia="de-DE"/>
        </w:rPr>
        <w:t>e</w:t>
      </w:r>
      <w:r w:rsidR="00BA4F1C" w:rsidRPr="00812C16">
        <w:rPr>
          <w:rFonts w:cs="Arial"/>
          <w:lang w:eastAsia="de-DE"/>
        </w:rPr>
        <w:t>rech</w:t>
      </w:r>
      <w:r w:rsidR="00167F07" w:rsidRPr="00812C16">
        <w:rPr>
          <w:rFonts w:cs="Arial"/>
          <w:lang w:eastAsia="de-DE"/>
        </w:rPr>
        <w:t>ne</w:t>
      </w:r>
      <w:r w:rsidR="00BA4F1C" w:rsidRPr="00812C16">
        <w:rPr>
          <w:rFonts w:cs="Arial"/>
          <w:lang w:eastAsia="de-DE"/>
        </w:rPr>
        <w:t>t</w:t>
      </w:r>
      <w:r w:rsidR="00B96A17" w:rsidRPr="00812C16">
        <w:rPr>
          <w:rFonts w:cs="Arial"/>
          <w:lang w:eastAsia="de-DE"/>
        </w:rPr>
        <w:t>.</w:t>
      </w:r>
      <w:r w:rsidR="00BA4F1C" w:rsidRPr="00812C16">
        <w:rPr>
          <w:rFonts w:cs="Arial"/>
          <w:lang w:eastAsia="de-DE"/>
        </w:rPr>
        <w:t xml:space="preserve"> = Ris</w:t>
      </w:r>
      <w:r w:rsidR="00EF35C7" w:rsidRPr="00812C16">
        <w:rPr>
          <w:rFonts w:cs="Arial"/>
          <w:lang w:eastAsia="de-DE"/>
        </w:rPr>
        <w:t>i</w:t>
      </w:r>
      <w:r w:rsidR="00BA4F1C" w:rsidRPr="00812C16">
        <w:rPr>
          <w:rFonts w:cs="Arial"/>
          <w:lang w:eastAsia="de-DE"/>
        </w:rPr>
        <w:t xml:space="preserve">ko für das </w:t>
      </w:r>
      <w:r w:rsidR="00EF35C7" w:rsidRPr="00812C16">
        <w:rPr>
          <w:rFonts w:cs="Arial"/>
          <w:lang w:eastAsia="de-DE"/>
        </w:rPr>
        <w:t>Eintreten</w:t>
      </w:r>
      <w:r w:rsidR="00BA4F1C" w:rsidRPr="00812C16">
        <w:rPr>
          <w:rFonts w:cs="Arial"/>
          <w:lang w:eastAsia="de-DE"/>
        </w:rPr>
        <w:t xml:space="preserve"> eines Ereignisses bei dieser </w:t>
      </w:r>
      <w:proofErr w:type="spellStart"/>
      <w:r w:rsidR="00BA4F1C" w:rsidRPr="00812C16">
        <w:rPr>
          <w:rFonts w:cs="Arial"/>
          <w:lang w:eastAsia="de-DE"/>
        </w:rPr>
        <w:t>Kovariate</w:t>
      </w:r>
      <w:proofErr w:type="spellEnd"/>
      <w:r w:rsidR="00BA4F1C" w:rsidRPr="00812C16">
        <w:rPr>
          <w:rFonts w:cs="Arial"/>
          <w:lang w:eastAsia="de-DE"/>
        </w:rPr>
        <w:t xml:space="preserve">. Die </w:t>
      </w:r>
      <w:r w:rsidR="00167F07" w:rsidRPr="00812C16">
        <w:rPr>
          <w:rFonts w:cs="Arial"/>
          <w:lang w:eastAsia="de-DE"/>
        </w:rPr>
        <w:t>verschiedenen</w:t>
      </w:r>
      <w:r w:rsidR="00BA4F1C" w:rsidRPr="00812C16">
        <w:rPr>
          <w:rFonts w:cs="Arial"/>
          <w:lang w:eastAsia="de-DE"/>
        </w:rPr>
        <w:t xml:space="preserve"> Interpretationsmöglichkeiten des HR sind in Tabelle angegeben.</w:t>
      </w:r>
    </w:p>
    <w:p w14:paraId="452C1895" w14:textId="7B99D947" w:rsidR="00EF35C7" w:rsidRPr="00812C16" w:rsidRDefault="00EF35C7" w:rsidP="00EF35C7">
      <w:pPr>
        <w:pStyle w:val="Beschriftung"/>
        <w:keepNext/>
        <w:spacing w:after="120" w:line="240" w:lineRule="auto"/>
        <w:rPr>
          <w:b/>
          <w:bCs/>
          <w:i w:val="0"/>
          <w:iCs w:val="0"/>
          <w:color w:val="000000" w:themeColor="text1"/>
          <w:sz w:val="20"/>
          <w:szCs w:val="20"/>
        </w:rPr>
      </w:pPr>
      <w:bookmarkStart w:id="85" w:name="_Toc180788400"/>
      <w:r w:rsidRPr="00812C16">
        <w:rPr>
          <w:b/>
          <w:bCs/>
          <w:i w:val="0"/>
          <w:iCs w:val="0"/>
          <w:color w:val="000000" w:themeColor="text1"/>
          <w:sz w:val="20"/>
          <w:szCs w:val="20"/>
        </w:rPr>
        <w:t xml:space="preserve">Tabelle </w:t>
      </w:r>
      <w:r w:rsidR="00A126D9" w:rsidRPr="00812C16">
        <w:rPr>
          <w:b/>
          <w:bCs/>
          <w:i w:val="0"/>
          <w:iCs w:val="0"/>
          <w:color w:val="000000" w:themeColor="text1"/>
          <w:sz w:val="20"/>
          <w:szCs w:val="20"/>
        </w:rPr>
        <w:fldChar w:fldCharType="begin"/>
      </w:r>
      <w:r w:rsidR="00A126D9" w:rsidRPr="00812C16">
        <w:rPr>
          <w:b/>
          <w:bCs/>
          <w:i w:val="0"/>
          <w:iCs w:val="0"/>
          <w:color w:val="000000" w:themeColor="text1"/>
          <w:sz w:val="20"/>
          <w:szCs w:val="20"/>
        </w:rPr>
        <w:instrText xml:space="preserve"> STYLEREF 1 \s </w:instrText>
      </w:r>
      <w:r w:rsidR="00A126D9" w:rsidRPr="00812C16">
        <w:rPr>
          <w:b/>
          <w:bCs/>
          <w:i w:val="0"/>
          <w:iCs w:val="0"/>
          <w:color w:val="000000" w:themeColor="text1"/>
          <w:sz w:val="20"/>
          <w:szCs w:val="20"/>
        </w:rPr>
        <w:fldChar w:fldCharType="separate"/>
      </w:r>
      <w:r w:rsidR="00F67803">
        <w:rPr>
          <w:b/>
          <w:bCs/>
          <w:i w:val="0"/>
          <w:iCs w:val="0"/>
          <w:noProof/>
          <w:color w:val="000000" w:themeColor="text1"/>
          <w:sz w:val="20"/>
          <w:szCs w:val="20"/>
        </w:rPr>
        <w:t>4</w:t>
      </w:r>
      <w:r w:rsidR="00A126D9" w:rsidRPr="00812C16">
        <w:rPr>
          <w:b/>
          <w:bCs/>
          <w:i w:val="0"/>
          <w:iCs w:val="0"/>
          <w:color w:val="000000" w:themeColor="text1"/>
          <w:sz w:val="20"/>
          <w:szCs w:val="20"/>
        </w:rPr>
        <w:fldChar w:fldCharType="end"/>
      </w:r>
      <w:r w:rsidR="00A126D9" w:rsidRPr="00812C16">
        <w:rPr>
          <w:b/>
          <w:bCs/>
          <w:i w:val="0"/>
          <w:iCs w:val="0"/>
          <w:color w:val="000000" w:themeColor="text1"/>
          <w:sz w:val="20"/>
          <w:szCs w:val="20"/>
        </w:rPr>
        <w:noBreakHyphen/>
      </w:r>
      <w:r w:rsidR="00A126D9" w:rsidRPr="00812C16">
        <w:rPr>
          <w:b/>
          <w:bCs/>
          <w:i w:val="0"/>
          <w:iCs w:val="0"/>
          <w:color w:val="000000" w:themeColor="text1"/>
          <w:sz w:val="20"/>
          <w:szCs w:val="20"/>
        </w:rPr>
        <w:fldChar w:fldCharType="begin"/>
      </w:r>
      <w:r w:rsidR="00A126D9" w:rsidRPr="00812C16">
        <w:rPr>
          <w:b/>
          <w:bCs/>
          <w:i w:val="0"/>
          <w:iCs w:val="0"/>
          <w:color w:val="000000" w:themeColor="text1"/>
          <w:sz w:val="20"/>
          <w:szCs w:val="20"/>
        </w:rPr>
        <w:instrText xml:space="preserve"> SEQ Tabelle \* ARABIC \s 1 </w:instrText>
      </w:r>
      <w:r w:rsidR="00A126D9" w:rsidRPr="00812C16">
        <w:rPr>
          <w:b/>
          <w:bCs/>
          <w:i w:val="0"/>
          <w:iCs w:val="0"/>
          <w:color w:val="000000" w:themeColor="text1"/>
          <w:sz w:val="20"/>
          <w:szCs w:val="20"/>
        </w:rPr>
        <w:fldChar w:fldCharType="separate"/>
      </w:r>
      <w:r w:rsidR="00F67803">
        <w:rPr>
          <w:b/>
          <w:bCs/>
          <w:i w:val="0"/>
          <w:iCs w:val="0"/>
          <w:noProof/>
          <w:color w:val="000000" w:themeColor="text1"/>
          <w:sz w:val="20"/>
          <w:szCs w:val="20"/>
        </w:rPr>
        <w:t>10</w:t>
      </w:r>
      <w:r w:rsidR="00A126D9" w:rsidRPr="00812C16">
        <w:rPr>
          <w:b/>
          <w:bCs/>
          <w:i w:val="0"/>
          <w:iCs w:val="0"/>
          <w:color w:val="000000" w:themeColor="text1"/>
          <w:sz w:val="20"/>
          <w:szCs w:val="20"/>
        </w:rPr>
        <w:fldChar w:fldCharType="end"/>
      </w:r>
      <w:r w:rsidRPr="00812C16">
        <w:rPr>
          <w:b/>
          <w:bCs/>
          <w:i w:val="0"/>
          <w:iCs w:val="0"/>
          <w:color w:val="000000" w:themeColor="text1"/>
          <w:sz w:val="20"/>
          <w:szCs w:val="20"/>
        </w:rPr>
        <w:t>: Hazard Ratio ist ein deskriptives Maß für das Einflussrisiko im Verhältnis zur Referenzgruppe</w:t>
      </w:r>
      <w:bookmarkEnd w:id="85"/>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7"/>
      </w:tblGrid>
      <w:tr w:rsidR="00BA4F1C" w:rsidRPr="00812C16" w14:paraId="4C47860F" w14:textId="77777777" w:rsidTr="00EF35C7">
        <w:tc>
          <w:tcPr>
            <w:tcW w:w="1555" w:type="dxa"/>
            <w:tcBorders>
              <w:top w:val="single" w:sz="4" w:space="0" w:color="000000" w:themeColor="text1"/>
            </w:tcBorders>
          </w:tcPr>
          <w:p w14:paraId="47B7E239" w14:textId="77777777" w:rsidR="00BA4F1C" w:rsidRPr="00812C16" w:rsidRDefault="00BA4F1C" w:rsidP="00EF35C7">
            <w:pPr>
              <w:spacing w:before="60" w:after="60" w:line="360" w:lineRule="auto"/>
              <w:jc w:val="center"/>
              <w:rPr>
                <w:rFonts w:cs="Arial"/>
                <w:sz w:val="20"/>
                <w:szCs w:val="20"/>
                <w:lang w:eastAsia="de-DE"/>
              </w:rPr>
            </w:pPr>
            <w:r w:rsidRPr="00812C16">
              <w:rPr>
                <w:rFonts w:cs="Arial"/>
                <w:sz w:val="20"/>
                <w:szCs w:val="20"/>
                <w:lang w:eastAsia="de-DE"/>
              </w:rPr>
              <w:t>HR = 0</w:t>
            </w:r>
          </w:p>
        </w:tc>
        <w:tc>
          <w:tcPr>
            <w:tcW w:w="7507" w:type="dxa"/>
            <w:tcBorders>
              <w:top w:val="single" w:sz="4" w:space="0" w:color="000000" w:themeColor="text1"/>
            </w:tcBorders>
          </w:tcPr>
          <w:p w14:paraId="746E733B" w14:textId="77777777" w:rsidR="00BA4F1C" w:rsidRPr="00812C16" w:rsidRDefault="009A7997" w:rsidP="00EF35C7">
            <w:pPr>
              <w:spacing w:before="60" w:after="60" w:line="360" w:lineRule="auto"/>
              <w:jc w:val="left"/>
              <w:rPr>
                <w:rFonts w:cs="Arial"/>
                <w:sz w:val="20"/>
                <w:szCs w:val="20"/>
                <w:lang w:eastAsia="de-DE"/>
              </w:rPr>
            </w:pPr>
            <w:r w:rsidRPr="00812C16">
              <w:rPr>
                <w:rFonts w:cs="Arial"/>
                <w:sz w:val="20"/>
                <w:szCs w:val="20"/>
                <w:lang w:eastAsia="de-DE"/>
              </w:rPr>
              <w:t>Ereignisrisiko in beiden Gruppen ungefähr gleich</w:t>
            </w:r>
          </w:p>
        </w:tc>
      </w:tr>
      <w:tr w:rsidR="00BA4F1C" w:rsidRPr="00812C16" w14:paraId="605B5451" w14:textId="77777777" w:rsidTr="00EF35C7">
        <w:tc>
          <w:tcPr>
            <w:tcW w:w="1555" w:type="dxa"/>
          </w:tcPr>
          <w:p w14:paraId="6EEECF61" w14:textId="77777777" w:rsidR="00BA4F1C" w:rsidRPr="00812C16" w:rsidRDefault="00BA4F1C" w:rsidP="00EF35C7">
            <w:pPr>
              <w:spacing w:before="60" w:after="60" w:line="360" w:lineRule="auto"/>
              <w:jc w:val="center"/>
              <w:rPr>
                <w:rFonts w:cs="Arial"/>
                <w:sz w:val="20"/>
                <w:szCs w:val="20"/>
                <w:lang w:eastAsia="de-DE"/>
              </w:rPr>
            </w:pPr>
            <w:r w:rsidRPr="00812C16">
              <w:rPr>
                <w:rFonts w:cs="Arial"/>
                <w:sz w:val="20"/>
                <w:szCs w:val="20"/>
                <w:lang w:eastAsia="de-DE"/>
              </w:rPr>
              <w:t>HR &gt; 0</w:t>
            </w:r>
          </w:p>
        </w:tc>
        <w:tc>
          <w:tcPr>
            <w:tcW w:w="7507" w:type="dxa"/>
          </w:tcPr>
          <w:p w14:paraId="5A96A596" w14:textId="77777777" w:rsidR="00BA4F1C" w:rsidRPr="00812C16" w:rsidRDefault="009A7997" w:rsidP="00EF35C7">
            <w:pPr>
              <w:spacing w:before="60" w:after="60"/>
              <w:jc w:val="left"/>
              <w:rPr>
                <w:rFonts w:cs="Arial"/>
                <w:sz w:val="20"/>
                <w:szCs w:val="20"/>
                <w:lang w:eastAsia="de-DE"/>
              </w:rPr>
            </w:pPr>
            <w:r w:rsidRPr="00812C16">
              <w:rPr>
                <w:rFonts w:cs="Arial"/>
                <w:sz w:val="20"/>
                <w:szCs w:val="20"/>
                <w:lang w:eastAsia="de-DE"/>
              </w:rPr>
              <w:t>Ereignisrisiko ist im Vergleich zur Referenzgruppe erhöht</w:t>
            </w:r>
            <w:r w:rsidR="00EF35C7" w:rsidRPr="00812C16">
              <w:rPr>
                <w:rFonts w:cs="Arial"/>
                <w:sz w:val="20"/>
                <w:szCs w:val="20"/>
                <w:lang w:eastAsia="de-DE"/>
              </w:rPr>
              <w:t xml:space="preserve"> </w:t>
            </w:r>
            <w:r w:rsidRPr="00812C16">
              <w:rPr>
                <w:rFonts w:cs="Arial"/>
                <w:sz w:val="20"/>
                <w:szCs w:val="20"/>
                <w:lang w:eastAsia="de-DE"/>
              </w:rPr>
              <w:sym w:font="Wingdings" w:char="003F"/>
            </w:r>
            <w:r w:rsidRPr="00812C16">
              <w:rPr>
                <w:rFonts w:cs="Arial"/>
                <w:sz w:val="20"/>
                <w:szCs w:val="20"/>
                <w:lang w:eastAsia="de-DE"/>
              </w:rPr>
              <w:t xml:space="preserve"> schlechteres Überleben (Risikoerhöhung)</w:t>
            </w:r>
          </w:p>
        </w:tc>
      </w:tr>
      <w:tr w:rsidR="00167F07" w:rsidRPr="00812C16" w14:paraId="3ACDA6D0" w14:textId="77777777" w:rsidTr="00EF35C7">
        <w:tc>
          <w:tcPr>
            <w:tcW w:w="1555" w:type="dxa"/>
            <w:tcBorders>
              <w:bottom w:val="single" w:sz="4" w:space="0" w:color="000000" w:themeColor="text1"/>
            </w:tcBorders>
          </w:tcPr>
          <w:p w14:paraId="2ABE85B0" w14:textId="77777777" w:rsidR="00167F07" w:rsidRPr="00812C16" w:rsidRDefault="00167F07" w:rsidP="00EF35C7">
            <w:pPr>
              <w:spacing w:before="60" w:after="60" w:line="360" w:lineRule="auto"/>
              <w:jc w:val="center"/>
              <w:rPr>
                <w:rFonts w:cs="Arial"/>
                <w:sz w:val="20"/>
                <w:szCs w:val="20"/>
                <w:lang w:eastAsia="de-DE"/>
              </w:rPr>
            </w:pPr>
            <w:r w:rsidRPr="00812C16">
              <w:rPr>
                <w:rFonts w:cs="Arial"/>
                <w:sz w:val="20"/>
                <w:szCs w:val="20"/>
                <w:lang w:eastAsia="de-DE"/>
              </w:rPr>
              <w:t>HR &lt; 0</w:t>
            </w:r>
          </w:p>
        </w:tc>
        <w:tc>
          <w:tcPr>
            <w:tcW w:w="7507" w:type="dxa"/>
            <w:tcBorders>
              <w:bottom w:val="single" w:sz="4" w:space="0" w:color="000000" w:themeColor="text1"/>
            </w:tcBorders>
          </w:tcPr>
          <w:p w14:paraId="6A1B77BE" w14:textId="77777777" w:rsidR="00EF35C7" w:rsidRPr="00812C16" w:rsidRDefault="009A7997" w:rsidP="00EF35C7">
            <w:pPr>
              <w:spacing w:before="60" w:after="60"/>
              <w:jc w:val="left"/>
              <w:rPr>
                <w:rFonts w:cs="Arial"/>
                <w:sz w:val="20"/>
                <w:szCs w:val="20"/>
                <w:lang w:eastAsia="de-DE"/>
              </w:rPr>
            </w:pPr>
            <w:r w:rsidRPr="00812C16">
              <w:rPr>
                <w:rFonts w:cs="Arial"/>
                <w:sz w:val="20"/>
                <w:szCs w:val="20"/>
                <w:lang w:eastAsia="de-DE"/>
              </w:rPr>
              <w:t>Ereignisrisiko ist im Vergleich zur Referenzgruppe reduziert</w:t>
            </w:r>
            <w:r w:rsidR="00EF35C7" w:rsidRPr="00812C16">
              <w:rPr>
                <w:rFonts w:cs="Arial"/>
                <w:sz w:val="20"/>
                <w:szCs w:val="20"/>
                <w:lang w:eastAsia="de-DE"/>
              </w:rPr>
              <w:t xml:space="preserve"> </w:t>
            </w:r>
            <w:r w:rsidRPr="00812C16">
              <w:rPr>
                <w:rFonts w:cs="Arial"/>
                <w:sz w:val="20"/>
                <w:szCs w:val="20"/>
                <w:lang w:eastAsia="de-DE"/>
              </w:rPr>
              <w:sym w:font="Wingdings" w:char="003F"/>
            </w:r>
            <w:r w:rsidRPr="00812C16">
              <w:rPr>
                <w:rFonts w:cs="Arial"/>
                <w:sz w:val="20"/>
                <w:szCs w:val="20"/>
                <w:lang w:eastAsia="de-DE"/>
              </w:rPr>
              <w:t xml:space="preserve"> besseres Überleben</w:t>
            </w:r>
            <w:r w:rsidR="00EF35C7" w:rsidRPr="00812C16">
              <w:rPr>
                <w:rFonts w:cs="Arial"/>
                <w:sz w:val="20"/>
                <w:szCs w:val="20"/>
                <w:lang w:eastAsia="de-DE"/>
              </w:rPr>
              <w:t xml:space="preserve"> (Risikoreduktion)</w:t>
            </w:r>
          </w:p>
        </w:tc>
      </w:tr>
    </w:tbl>
    <w:p w14:paraId="7E855DE3" w14:textId="77777777" w:rsidR="00167F07" w:rsidRPr="00812C16" w:rsidRDefault="00C32C20" w:rsidP="00EF35C7">
      <w:pPr>
        <w:spacing w:before="360"/>
        <w:rPr>
          <w:rFonts w:cs="Arial"/>
          <w:lang w:eastAsia="de-DE"/>
        </w:rPr>
      </w:pPr>
      <w:r w:rsidRPr="00812C16">
        <w:rPr>
          <w:rFonts w:cs="Arial"/>
          <w:lang w:eastAsia="de-DE"/>
        </w:rPr>
        <w:t>Cox-Modelle wurden sowohl für die gesa</w:t>
      </w:r>
      <w:r w:rsidR="005F3ACA" w:rsidRPr="00812C16">
        <w:rPr>
          <w:rFonts w:cs="Arial"/>
          <w:lang w:eastAsia="de-DE"/>
        </w:rPr>
        <w:t>m</w:t>
      </w:r>
      <w:r w:rsidRPr="00812C16">
        <w:rPr>
          <w:rFonts w:cs="Arial"/>
          <w:lang w:eastAsia="de-DE"/>
        </w:rPr>
        <w:t>te Patientenkohort</w:t>
      </w:r>
      <w:r w:rsidR="005F3ACA" w:rsidRPr="00812C16">
        <w:rPr>
          <w:rFonts w:cs="Arial"/>
          <w:lang w:eastAsia="de-DE"/>
        </w:rPr>
        <w:t>e</w:t>
      </w:r>
      <w:r w:rsidRPr="00812C16">
        <w:rPr>
          <w:rFonts w:cs="Arial"/>
          <w:lang w:eastAsia="de-DE"/>
        </w:rPr>
        <w:t xml:space="preserve"> als auch für d</w:t>
      </w:r>
      <w:r w:rsidR="005F3ACA" w:rsidRPr="00812C16">
        <w:rPr>
          <w:rFonts w:cs="Arial"/>
          <w:lang w:eastAsia="de-DE"/>
        </w:rPr>
        <w:t>ie</w:t>
      </w:r>
      <w:r w:rsidRPr="00812C16">
        <w:rPr>
          <w:rFonts w:cs="Arial"/>
          <w:lang w:eastAsia="de-DE"/>
        </w:rPr>
        <w:t xml:space="preserve"> Subgruppe mit HPV16 D</w:t>
      </w:r>
      <w:r w:rsidR="00A63D4E" w:rsidRPr="00812C16">
        <w:rPr>
          <w:rFonts w:cs="Arial"/>
          <w:lang w:eastAsia="de-DE"/>
        </w:rPr>
        <w:t>NA-</w:t>
      </w:r>
      <w:r w:rsidRPr="00812C16">
        <w:rPr>
          <w:rFonts w:cs="Arial"/>
          <w:lang w:eastAsia="de-DE"/>
        </w:rPr>
        <w:t>negativen Tumoren</w:t>
      </w:r>
      <w:r w:rsidR="005F3ACA" w:rsidRPr="00812C16">
        <w:rPr>
          <w:rFonts w:cs="Arial"/>
          <w:lang w:eastAsia="de-DE"/>
        </w:rPr>
        <w:t xml:space="preserve"> durchgeführt</w:t>
      </w:r>
      <w:r w:rsidR="00167F07" w:rsidRPr="00812C16">
        <w:rPr>
          <w:rFonts w:cs="Arial"/>
          <w:lang w:eastAsia="de-DE"/>
        </w:rPr>
        <w:t>. Die Ergebnisse sind in zusammengefasst</w:t>
      </w:r>
      <w:r w:rsidR="001D7EF2" w:rsidRPr="00812C16">
        <w:rPr>
          <w:rFonts w:cs="Arial"/>
          <w:lang w:eastAsia="de-DE"/>
        </w:rPr>
        <w:t>.</w:t>
      </w:r>
      <w:r w:rsidR="003C313B" w:rsidRPr="00812C16">
        <w:rPr>
          <w:rFonts w:cs="Arial"/>
          <w:lang w:eastAsia="de-DE"/>
        </w:rPr>
        <w:t xml:space="preserve"> Da bei den Patienten mit HPV16 DNA-negativen Tumoren kein lokales oder regionales Rezidiv eingetreten war, konnten für</w:t>
      </w:r>
      <w:r w:rsidR="00E429BA" w:rsidRPr="00812C16">
        <w:rPr>
          <w:rFonts w:cs="Arial"/>
          <w:lang w:eastAsia="de-DE"/>
        </w:rPr>
        <w:t xml:space="preserve"> den primären Endpunkt in dieser Population </w:t>
      </w:r>
      <w:r w:rsidR="003C313B" w:rsidRPr="00812C16">
        <w:rPr>
          <w:rFonts w:cs="Arial"/>
          <w:lang w:eastAsia="de-DE"/>
        </w:rPr>
        <w:t>keine Ergebnisse für die Cox-Regression ermittelt werden.</w:t>
      </w:r>
    </w:p>
    <w:p w14:paraId="5D6FD5FC" w14:textId="77777777" w:rsidR="003E3174" w:rsidRPr="00812C16" w:rsidRDefault="003E3174" w:rsidP="00CE18DC">
      <w:pPr>
        <w:rPr>
          <w:rFonts w:cs="Arial"/>
          <w:lang w:eastAsia="de-DE"/>
        </w:rPr>
      </w:pPr>
    </w:p>
    <w:p w14:paraId="2670FC97" w14:textId="77777777" w:rsidR="003E3174" w:rsidRPr="00812C16" w:rsidRDefault="003E3174" w:rsidP="00CE18DC">
      <w:pPr>
        <w:rPr>
          <w:rFonts w:cs="Arial"/>
          <w:lang w:eastAsia="de-DE"/>
        </w:rPr>
      </w:pPr>
    </w:p>
    <w:p w14:paraId="5796F0BD" w14:textId="77777777" w:rsidR="003E3174" w:rsidRPr="00812C16" w:rsidRDefault="003E3174" w:rsidP="00CE18DC">
      <w:pPr>
        <w:rPr>
          <w:rFonts w:cs="Arial"/>
          <w:lang w:eastAsia="de-DE"/>
        </w:rPr>
      </w:pPr>
    </w:p>
    <w:p w14:paraId="549E723A" w14:textId="77777777" w:rsidR="003E3174" w:rsidRPr="00812C16" w:rsidRDefault="003E3174" w:rsidP="00CE18DC">
      <w:pPr>
        <w:rPr>
          <w:rFonts w:cs="Arial"/>
          <w:lang w:eastAsia="de-DE"/>
        </w:rPr>
      </w:pPr>
    </w:p>
    <w:p w14:paraId="5D9106AA" w14:textId="16225401" w:rsidR="00167F07" w:rsidRPr="00812C16" w:rsidRDefault="00167F07" w:rsidP="00167F07">
      <w:pPr>
        <w:pStyle w:val="Beschriftung"/>
        <w:spacing w:after="120" w:line="240" w:lineRule="auto"/>
        <w:rPr>
          <w:i w:val="0"/>
          <w:iCs w:val="0"/>
          <w:color w:val="000000" w:themeColor="text1"/>
          <w:sz w:val="20"/>
          <w:szCs w:val="20"/>
          <w:lang w:eastAsia="de-DE"/>
        </w:rPr>
      </w:pPr>
      <w:bookmarkStart w:id="86" w:name="_Toc180788401"/>
      <w:r w:rsidRPr="00812C16">
        <w:rPr>
          <w:b/>
          <w:bCs/>
          <w:i w:val="0"/>
          <w:iCs w:val="0"/>
          <w:color w:val="000000" w:themeColor="text1"/>
          <w:sz w:val="20"/>
          <w:szCs w:val="20"/>
        </w:rPr>
        <w:lastRenderedPageBreak/>
        <w:t xml:space="preserve">Tabelle </w:t>
      </w:r>
      <w:r w:rsidR="00A126D9" w:rsidRPr="00812C16">
        <w:rPr>
          <w:b/>
          <w:bCs/>
          <w:i w:val="0"/>
          <w:iCs w:val="0"/>
          <w:color w:val="000000" w:themeColor="text1"/>
          <w:sz w:val="20"/>
          <w:szCs w:val="20"/>
        </w:rPr>
        <w:fldChar w:fldCharType="begin"/>
      </w:r>
      <w:r w:rsidR="00A126D9" w:rsidRPr="00812C16">
        <w:rPr>
          <w:b/>
          <w:bCs/>
          <w:i w:val="0"/>
          <w:iCs w:val="0"/>
          <w:color w:val="000000" w:themeColor="text1"/>
          <w:sz w:val="20"/>
          <w:szCs w:val="20"/>
        </w:rPr>
        <w:instrText xml:space="preserve"> STYLEREF 1 \s </w:instrText>
      </w:r>
      <w:r w:rsidR="00A126D9" w:rsidRPr="00812C16">
        <w:rPr>
          <w:b/>
          <w:bCs/>
          <w:i w:val="0"/>
          <w:iCs w:val="0"/>
          <w:color w:val="000000" w:themeColor="text1"/>
          <w:sz w:val="20"/>
          <w:szCs w:val="20"/>
        </w:rPr>
        <w:fldChar w:fldCharType="separate"/>
      </w:r>
      <w:r w:rsidR="00F67803">
        <w:rPr>
          <w:b/>
          <w:bCs/>
          <w:i w:val="0"/>
          <w:iCs w:val="0"/>
          <w:noProof/>
          <w:color w:val="000000" w:themeColor="text1"/>
          <w:sz w:val="20"/>
          <w:szCs w:val="20"/>
        </w:rPr>
        <w:t>4</w:t>
      </w:r>
      <w:r w:rsidR="00A126D9" w:rsidRPr="00812C16">
        <w:rPr>
          <w:b/>
          <w:bCs/>
          <w:i w:val="0"/>
          <w:iCs w:val="0"/>
          <w:color w:val="000000" w:themeColor="text1"/>
          <w:sz w:val="20"/>
          <w:szCs w:val="20"/>
        </w:rPr>
        <w:fldChar w:fldCharType="end"/>
      </w:r>
      <w:r w:rsidR="00A126D9" w:rsidRPr="00812C16">
        <w:rPr>
          <w:b/>
          <w:bCs/>
          <w:i w:val="0"/>
          <w:iCs w:val="0"/>
          <w:color w:val="000000" w:themeColor="text1"/>
          <w:sz w:val="20"/>
          <w:szCs w:val="20"/>
        </w:rPr>
        <w:noBreakHyphen/>
      </w:r>
      <w:r w:rsidR="00A126D9" w:rsidRPr="00812C16">
        <w:rPr>
          <w:b/>
          <w:bCs/>
          <w:i w:val="0"/>
          <w:iCs w:val="0"/>
          <w:color w:val="000000" w:themeColor="text1"/>
          <w:sz w:val="20"/>
          <w:szCs w:val="20"/>
        </w:rPr>
        <w:fldChar w:fldCharType="begin"/>
      </w:r>
      <w:r w:rsidR="00A126D9" w:rsidRPr="00812C16">
        <w:rPr>
          <w:b/>
          <w:bCs/>
          <w:i w:val="0"/>
          <w:iCs w:val="0"/>
          <w:color w:val="000000" w:themeColor="text1"/>
          <w:sz w:val="20"/>
          <w:szCs w:val="20"/>
        </w:rPr>
        <w:instrText xml:space="preserve"> SEQ Tabelle \* ARABIC \s 1 </w:instrText>
      </w:r>
      <w:r w:rsidR="00A126D9" w:rsidRPr="00812C16">
        <w:rPr>
          <w:b/>
          <w:bCs/>
          <w:i w:val="0"/>
          <w:iCs w:val="0"/>
          <w:color w:val="000000" w:themeColor="text1"/>
          <w:sz w:val="20"/>
          <w:szCs w:val="20"/>
        </w:rPr>
        <w:fldChar w:fldCharType="separate"/>
      </w:r>
      <w:r w:rsidR="00F67803">
        <w:rPr>
          <w:b/>
          <w:bCs/>
          <w:i w:val="0"/>
          <w:iCs w:val="0"/>
          <w:noProof/>
          <w:color w:val="000000" w:themeColor="text1"/>
          <w:sz w:val="20"/>
          <w:szCs w:val="20"/>
        </w:rPr>
        <w:t>11</w:t>
      </w:r>
      <w:r w:rsidR="00A126D9" w:rsidRPr="00812C16">
        <w:rPr>
          <w:b/>
          <w:bCs/>
          <w:i w:val="0"/>
          <w:iCs w:val="0"/>
          <w:color w:val="000000" w:themeColor="text1"/>
          <w:sz w:val="20"/>
          <w:szCs w:val="20"/>
        </w:rPr>
        <w:fldChar w:fldCharType="end"/>
      </w:r>
      <w:r w:rsidRPr="00812C16">
        <w:rPr>
          <w:b/>
          <w:bCs/>
          <w:i w:val="0"/>
          <w:iCs w:val="0"/>
          <w:color w:val="000000" w:themeColor="text1"/>
          <w:sz w:val="20"/>
          <w:szCs w:val="20"/>
        </w:rPr>
        <w:t xml:space="preserve">: Ergebnisse der multivariaten Analyse von CSC-Marker und zusätzliche klinisch-pathologische Prognosefaktoren aller Patienten und für die Subgruppe mit HPV16 DNA-negativen Tumoren. </w:t>
      </w:r>
      <w:r w:rsidRPr="00812C16">
        <w:rPr>
          <w:i w:val="0"/>
          <w:iCs w:val="0"/>
          <w:color w:val="000000" w:themeColor="text1"/>
          <w:sz w:val="20"/>
          <w:szCs w:val="20"/>
        </w:rPr>
        <w:t>HR = Hazard Ratio; 95% KI = 95% Konfidenzintervall.</w:t>
      </w:r>
      <w:bookmarkEnd w:id="86"/>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560"/>
        <w:gridCol w:w="850"/>
        <w:gridCol w:w="1559"/>
        <w:gridCol w:w="851"/>
        <w:gridCol w:w="1701"/>
        <w:gridCol w:w="855"/>
      </w:tblGrid>
      <w:tr w:rsidR="00167F07" w:rsidRPr="00812C16" w14:paraId="1673BD8A" w14:textId="77777777" w:rsidTr="006678A2">
        <w:tc>
          <w:tcPr>
            <w:tcW w:w="1696" w:type="dxa"/>
            <w:tcBorders>
              <w:top w:val="single" w:sz="4" w:space="0" w:color="000000" w:themeColor="text1"/>
            </w:tcBorders>
          </w:tcPr>
          <w:p w14:paraId="1FB9A1AB" w14:textId="77777777" w:rsidR="00167F07" w:rsidRPr="00812C16" w:rsidRDefault="00167F07" w:rsidP="006678A2">
            <w:pPr>
              <w:spacing w:beforeLines="30" w:before="72" w:afterLines="30" w:after="72"/>
              <w:jc w:val="center"/>
              <w:rPr>
                <w:rFonts w:cs="Arial"/>
                <w:b/>
                <w:bCs/>
                <w:sz w:val="18"/>
                <w:szCs w:val="18"/>
              </w:rPr>
            </w:pPr>
            <w:r w:rsidRPr="00812C16">
              <w:rPr>
                <w:rFonts w:cs="Arial"/>
                <w:b/>
                <w:bCs/>
                <w:sz w:val="18"/>
                <w:szCs w:val="18"/>
              </w:rPr>
              <w:t>Parameter</w:t>
            </w:r>
          </w:p>
        </w:tc>
        <w:tc>
          <w:tcPr>
            <w:tcW w:w="2410" w:type="dxa"/>
            <w:gridSpan w:val="2"/>
            <w:tcBorders>
              <w:top w:val="single" w:sz="4" w:space="0" w:color="000000" w:themeColor="text1"/>
            </w:tcBorders>
          </w:tcPr>
          <w:p w14:paraId="2F7BE4E7" w14:textId="77777777" w:rsidR="00167F07" w:rsidRPr="00812C16" w:rsidRDefault="00167F07" w:rsidP="006678A2">
            <w:pPr>
              <w:spacing w:beforeLines="30" w:before="72" w:afterLines="30" w:after="72"/>
              <w:jc w:val="center"/>
              <w:rPr>
                <w:rFonts w:cs="Arial"/>
                <w:b/>
                <w:bCs/>
                <w:sz w:val="18"/>
                <w:szCs w:val="18"/>
              </w:rPr>
            </w:pPr>
            <w:r w:rsidRPr="00812C16">
              <w:rPr>
                <w:rFonts w:cs="Arial"/>
                <w:b/>
                <w:bCs/>
                <w:sz w:val="18"/>
                <w:szCs w:val="18"/>
              </w:rPr>
              <w:t>Loko-regionäre Kontrolle</w:t>
            </w:r>
          </w:p>
        </w:tc>
        <w:tc>
          <w:tcPr>
            <w:tcW w:w="2410" w:type="dxa"/>
            <w:gridSpan w:val="2"/>
            <w:tcBorders>
              <w:top w:val="single" w:sz="4" w:space="0" w:color="000000" w:themeColor="text1"/>
            </w:tcBorders>
          </w:tcPr>
          <w:p w14:paraId="3F094C35" w14:textId="77777777" w:rsidR="00167F07" w:rsidRPr="00812C16" w:rsidRDefault="00167F07" w:rsidP="006678A2">
            <w:pPr>
              <w:spacing w:beforeLines="30" w:before="72" w:afterLines="30" w:after="72"/>
              <w:jc w:val="center"/>
              <w:rPr>
                <w:rFonts w:cs="Arial"/>
                <w:b/>
                <w:bCs/>
                <w:sz w:val="18"/>
                <w:szCs w:val="18"/>
              </w:rPr>
            </w:pPr>
            <w:r w:rsidRPr="00812C16">
              <w:rPr>
                <w:rFonts w:cs="Arial"/>
                <w:b/>
                <w:bCs/>
                <w:sz w:val="18"/>
                <w:szCs w:val="18"/>
              </w:rPr>
              <w:t>Fernmetastasen-freies Überleben</w:t>
            </w:r>
          </w:p>
        </w:tc>
        <w:tc>
          <w:tcPr>
            <w:tcW w:w="2556" w:type="dxa"/>
            <w:gridSpan w:val="2"/>
            <w:tcBorders>
              <w:top w:val="single" w:sz="4" w:space="0" w:color="000000" w:themeColor="text1"/>
            </w:tcBorders>
          </w:tcPr>
          <w:p w14:paraId="62BD625F" w14:textId="77777777" w:rsidR="00167F07" w:rsidRPr="00812C16" w:rsidRDefault="00167F07" w:rsidP="006678A2">
            <w:pPr>
              <w:spacing w:beforeLines="30" w:before="72" w:afterLines="30" w:after="72"/>
              <w:jc w:val="center"/>
              <w:rPr>
                <w:rFonts w:cs="Arial"/>
                <w:b/>
                <w:bCs/>
                <w:sz w:val="18"/>
                <w:szCs w:val="18"/>
              </w:rPr>
            </w:pPr>
            <w:r w:rsidRPr="00812C16">
              <w:rPr>
                <w:rFonts w:cs="Arial"/>
                <w:b/>
                <w:bCs/>
                <w:sz w:val="18"/>
                <w:szCs w:val="18"/>
              </w:rPr>
              <w:t>Gesamtüberleben</w:t>
            </w:r>
          </w:p>
        </w:tc>
      </w:tr>
      <w:tr w:rsidR="00167F07" w:rsidRPr="00812C16" w14:paraId="6726DC59" w14:textId="77777777" w:rsidTr="006678A2">
        <w:tc>
          <w:tcPr>
            <w:tcW w:w="1696" w:type="dxa"/>
            <w:tcBorders>
              <w:bottom w:val="single" w:sz="4" w:space="0" w:color="000000" w:themeColor="text1"/>
            </w:tcBorders>
          </w:tcPr>
          <w:p w14:paraId="713B279A" w14:textId="77777777" w:rsidR="00167F07" w:rsidRPr="00812C16" w:rsidRDefault="00167F07" w:rsidP="006678A2">
            <w:pPr>
              <w:spacing w:beforeLines="30" w:before="72" w:afterLines="30" w:after="72"/>
              <w:rPr>
                <w:rFonts w:cs="Arial"/>
                <w:sz w:val="18"/>
                <w:szCs w:val="18"/>
              </w:rPr>
            </w:pPr>
          </w:p>
        </w:tc>
        <w:tc>
          <w:tcPr>
            <w:tcW w:w="1560" w:type="dxa"/>
            <w:tcBorders>
              <w:bottom w:val="single" w:sz="4" w:space="0" w:color="000000" w:themeColor="text1"/>
            </w:tcBorders>
          </w:tcPr>
          <w:p w14:paraId="056B424C" w14:textId="77777777" w:rsidR="00167F07" w:rsidRPr="00812C16" w:rsidRDefault="00167F07" w:rsidP="006678A2">
            <w:pPr>
              <w:spacing w:beforeLines="30" w:before="72" w:afterLines="30" w:after="72"/>
              <w:jc w:val="center"/>
              <w:rPr>
                <w:rFonts w:cs="Arial"/>
                <w:sz w:val="18"/>
                <w:szCs w:val="18"/>
              </w:rPr>
            </w:pPr>
            <w:r w:rsidRPr="00812C16">
              <w:rPr>
                <w:rFonts w:cs="Arial"/>
                <w:sz w:val="18"/>
                <w:szCs w:val="18"/>
              </w:rPr>
              <w:t>HR (95% KI)</w:t>
            </w:r>
          </w:p>
        </w:tc>
        <w:tc>
          <w:tcPr>
            <w:tcW w:w="850" w:type="dxa"/>
            <w:tcBorders>
              <w:bottom w:val="single" w:sz="4" w:space="0" w:color="000000" w:themeColor="text1"/>
            </w:tcBorders>
          </w:tcPr>
          <w:p w14:paraId="7EDB211E" w14:textId="77777777" w:rsidR="00167F07" w:rsidRPr="00812C16" w:rsidRDefault="00167F07" w:rsidP="006678A2">
            <w:pPr>
              <w:spacing w:beforeLines="30" w:before="72" w:afterLines="30" w:after="72"/>
              <w:jc w:val="center"/>
              <w:rPr>
                <w:rFonts w:cs="Arial"/>
                <w:sz w:val="18"/>
                <w:szCs w:val="18"/>
              </w:rPr>
            </w:pPr>
            <w:r w:rsidRPr="00812C16">
              <w:rPr>
                <w:rFonts w:cs="Arial"/>
                <w:sz w:val="18"/>
                <w:szCs w:val="18"/>
              </w:rPr>
              <w:t>p-Wert</w:t>
            </w:r>
          </w:p>
        </w:tc>
        <w:tc>
          <w:tcPr>
            <w:tcW w:w="1559" w:type="dxa"/>
            <w:tcBorders>
              <w:bottom w:val="single" w:sz="4" w:space="0" w:color="000000" w:themeColor="text1"/>
            </w:tcBorders>
          </w:tcPr>
          <w:p w14:paraId="37926EFD" w14:textId="77777777" w:rsidR="00167F07" w:rsidRPr="00812C16" w:rsidRDefault="00167F07" w:rsidP="006678A2">
            <w:pPr>
              <w:spacing w:beforeLines="30" w:before="72" w:afterLines="30" w:after="72"/>
              <w:jc w:val="center"/>
              <w:rPr>
                <w:rFonts w:cs="Arial"/>
                <w:sz w:val="18"/>
                <w:szCs w:val="18"/>
              </w:rPr>
            </w:pPr>
            <w:r w:rsidRPr="00812C16">
              <w:rPr>
                <w:rFonts w:cs="Arial"/>
                <w:sz w:val="18"/>
                <w:szCs w:val="18"/>
              </w:rPr>
              <w:t>HR (95% KI)</w:t>
            </w:r>
          </w:p>
        </w:tc>
        <w:tc>
          <w:tcPr>
            <w:tcW w:w="851" w:type="dxa"/>
            <w:tcBorders>
              <w:bottom w:val="single" w:sz="4" w:space="0" w:color="000000" w:themeColor="text1"/>
            </w:tcBorders>
          </w:tcPr>
          <w:p w14:paraId="07B8B9C1" w14:textId="77777777" w:rsidR="00167F07" w:rsidRPr="00812C16" w:rsidRDefault="00167F07" w:rsidP="006678A2">
            <w:pPr>
              <w:spacing w:beforeLines="30" w:before="72" w:afterLines="30" w:after="72"/>
              <w:jc w:val="center"/>
              <w:rPr>
                <w:rFonts w:cs="Arial"/>
                <w:sz w:val="18"/>
                <w:szCs w:val="18"/>
              </w:rPr>
            </w:pPr>
            <w:r w:rsidRPr="00812C16">
              <w:rPr>
                <w:rFonts w:cs="Arial"/>
                <w:sz w:val="18"/>
                <w:szCs w:val="18"/>
              </w:rPr>
              <w:t>p-Wert</w:t>
            </w:r>
          </w:p>
        </w:tc>
        <w:tc>
          <w:tcPr>
            <w:tcW w:w="1701" w:type="dxa"/>
            <w:tcBorders>
              <w:bottom w:val="single" w:sz="4" w:space="0" w:color="000000" w:themeColor="text1"/>
            </w:tcBorders>
          </w:tcPr>
          <w:p w14:paraId="54BACC6C" w14:textId="77777777" w:rsidR="00167F07" w:rsidRPr="00812C16" w:rsidRDefault="00167F07" w:rsidP="006678A2">
            <w:pPr>
              <w:spacing w:beforeLines="30" w:before="72" w:afterLines="30" w:after="72"/>
              <w:jc w:val="center"/>
              <w:rPr>
                <w:rFonts w:cs="Arial"/>
                <w:sz w:val="18"/>
                <w:szCs w:val="18"/>
              </w:rPr>
            </w:pPr>
            <w:r w:rsidRPr="00812C16">
              <w:rPr>
                <w:rFonts w:cs="Arial"/>
                <w:sz w:val="18"/>
                <w:szCs w:val="18"/>
              </w:rPr>
              <w:t>HR (95% KI)</w:t>
            </w:r>
          </w:p>
        </w:tc>
        <w:tc>
          <w:tcPr>
            <w:tcW w:w="855" w:type="dxa"/>
            <w:tcBorders>
              <w:bottom w:val="single" w:sz="4" w:space="0" w:color="000000" w:themeColor="text1"/>
            </w:tcBorders>
          </w:tcPr>
          <w:p w14:paraId="1D4124A0" w14:textId="77777777" w:rsidR="00167F07" w:rsidRPr="00812C16" w:rsidRDefault="00167F07" w:rsidP="006678A2">
            <w:pPr>
              <w:spacing w:beforeLines="30" w:before="72" w:afterLines="30" w:after="72"/>
              <w:jc w:val="center"/>
              <w:rPr>
                <w:rFonts w:cs="Arial"/>
                <w:sz w:val="18"/>
                <w:szCs w:val="18"/>
              </w:rPr>
            </w:pPr>
            <w:r w:rsidRPr="00812C16">
              <w:rPr>
                <w:rFonts w:cs="Arial"/>
                <w:sz w:val="18"/>
                <w:szCs w:val="18"/>
              </w:rPr>
              <w:t>p-Wert</w:t>
            </w:r>
          </w:p>
        </w:tc>
      </w:tr>
      <w:tr w:rsidR="00167F07" w:rsidRPr="00812C16" w14:paraId="2C48EBC2" w14:textId="77777777" w:rsidTr="006678A2">
        <w:tc>
          <w:tcPr>
            <w:tcW w:w="9072" w:type="dxa"/>
            <w:gridSpan w:val="7"/>
            <w:tcBorders>
              <w:top w:val="single" w:sz="4" w:space="0" w:color="000000" w:themeColor="text1"/>
              <w:bottom w:val="single" w:sz="4" w:space="0" w:color="000000" w:themeColor="text1"/>
            </w:tcBorders>
          </w:tcPr>
          <w:p w14:paraId="58E03472" w14:textId="77777777" w:rsidR="00167F07" w:rsidRPr="00812C16" w:rsidRDefault="00167F07" w:rsidP="006678A2">
            <w:pPr>
              <w:spacing w:beforeLines="30" w:before="72" w:afterLines="30" w:after="72"/>
              <w:jc w:val="left"/>
              <w:rPr>
                <w:rFonts w:cs="Arial"/>
                <w:b/>
                <w:bCs/>
                <w:sz w:val="18"/>
                <w:szCs w:val="18"/>
              </w:rPr>
            </w:pPr>
            <w:r w:rsidRPr="00812C16">
              <w:rPr>
                <w:rFonts w:cs="Arial"/>
                <w:b/>
                <w:bCs/>
                <w:sz w:val="18"/>
                <w:szCs w:val="18"/>
              </w:rPr>
              <w:t>Alle Patienten</w:t>
            </w:r>
          </w:p>
        </w:tc>
      </w:tr>
      <w:tr w:rsidR="00167F07" w:rsidRPr="00812C16" w14:paraId="2FF1A0AD" w14:textId="77777777" w:rsidTr="006678A2">
        <w:tc>
          <w:tcPr>
            <w:tcW w:w="1696" w:type="dxa"/>
            <w:tcBorders>
              <w:top w:val="single" w:sz="4" w:space="0" w:color="000000" w:themeColor="text1"/>
            </w:tcBorders>
          </w:tcPr>
          <w:p w14:paraId="04892C00" w14:textId="77777777" w:rsidR="00167F07" w:rsidRPr="00812C16" w:rsidRDefault="00167F07" w:rsidP="006678A2">
            <w:pPr>
              <w:spacing w:beforeLines="30" w:before="72" w:afterLines="30" w:after="72"/>
              <w:jc w:val="left"/>
              <w:rPr>
                <w:rFonts w:cs="Arial"/>
                <w:sz w:val="18"/>
                <w:szCs w:val="18"/>
              </w:rPr>
            </w:pPr>
            <w:r w:rsidRPr="00812C16">
              <w:rPr>
                <w:rFonts w:cs="Arial"/>
                <w:sz w:val="18"/>
                <w:szCs w:val="18"/>
              </w:rPr>
              <w:t>CD44+*</w:t>
            </w:r>
          </w:p>
        </w:tc>
        <w:tc>
          <w:tcPr>
            <w:tcW w:w="1560" w:type="dxa"/>
            <w:tcBorders>
              <w:top w:val="single" w:sz="4" w:space="0" w:color="000000" w:themeColor="text1"/>
            </w:tcBorders>
            <w:vAlign w:val="bottom"/>
          </w:tcPr>
          <w:p w14:paraId="1D69AA29" w14:textId="77777777" w:rsidR="00167F07" w:rsidRPr="00812C16" w:rsidRDefault="00167F07" w:rsidP="006678A2">
            <w:pPr>
              <w:spacing w:beforeLines="30" w:before="72" w:afterLines="30" w:after="72"/>
              <w:jc w:val="center"/>
              <w:rPr>
                <w:rFonts w:cs="Arial"/>
                <w:sz w:val="18"/>
                <w:szCs w:val="18"/>
              </w:rPr>
            </w:pPr>
            <w:r w:rsidRPr="00812C16">
              <w:rPr>
                <w:color w:val="000000"/>
                <w:sz w:val="18"/>
                <w:szCs w:val="18"/>
                <w:lang w:eastAsia="en-GB"/>
              </w:rPr>
              <w:t>4,37 (0,57-33,5)</w:t>
            </w:r>
          </w:p>
        </w:tc>
        <w:tc>
          <w:tcPr>
            <w:tcW w:w="850" w:type="dxa"/>
            <w:tcBorders>
              <w:top w:val="single" w:sz="4" w:space="0" w:color="000000" w:themeColor="text1"/>
            </w:tcBorders>
            <w:vAlign w:val="bottom"/>
          </w:tcPr>
          <w:p w14:paraId="79B1962C" w14:textId="77777777" w:rsidR="00167F07" w:rsidRPr="00812C16" w:rsidRDefault="00167F07" w:rsidP="006678A2">
            <w:pPr>
              <w:spacing w:beforeLines="30" w:before="72" w:afterLines="30" w:after="72"/>
              <w:jc w:val="center"/>
              <w:rPr>
                <w:rFonts w:cs="Arial"/>
                <w:sz w:val="18"/>
                <w:szCs w:val="18"/>
              </w:rPr>
            </w:pPr>
            <w:r w:rsidRPr="00812C16">
              <w:rPr>
                <w:sz w:val="18"/>
                <w:szCs w:val="18"/>
                <w:lang w:eastAsia="en-GB"/>
              </w:rPr>
              <w:t>0,155</w:t>
            </w:r>
          </w:p>
        </w:tc>
        <w:tc>
          <w:tcPr>
            <w:tcW w:w="1559" w:type="dxa"/>
            <w:tcBorders>
              <w:top w:val="single" w:sz="4" w:space="0" w:color="000000" w:themeColor="text1"/>
            </w:tcBorders>
            <w:vAlign w:val="bottom"/>
          </w:tcPr>
          <w:p w14:paraId="2CDB076D" w14:textId="77777777" w:rsidR="00167F07" w:rsidRPr="00812C16" w:rsidRDefault="00167F07" w:rsidP="006678A2">
            <w:pPr>
              <w:spacing w:beforeLines="30" w:before="72" w:afterLines="30" w:after="72"/>
              <w:jc w:val="center"/>
              <w:rPr>
                <w:rFonts w:cs="Arial"/>
                <w:sz w:val="18"/>
                <w:szCs w:val="18"/>
              </w:rPr>
            </w:pPr>
            <w:r w:rsidRPr="00812C16">
              <w:rPr>
                <w:sz w:val="18"/>
                <w:szCs w:val="18"/>
                <w:lang w:eastAsia="en-GB"/>
              </w:rPr>
              <w:t>1.68 (0,61-4,63)</w:t>
            </w:r>
          </w:p>
        </w:tc>
        <w:tc>
          <w:tcPr>
            <w:tcW w:w="851" w:type="dxa"/>
            <w:tcBorders>
              <w:top w:val="single" w:sz="4" w:space="0" w:color="000000" w:themeColor="text1"/>
            </w:tcBorders>
            <w:vAlign w:val="bottom"/>
          </w:tcPr>
          <w:p w14:paraId="69B8BABC" w14:textId="77777777" w:rsidR="00167F07" w:rsidRPr="00812C16" w:rsidRDefault="00167F07" w:rsidP="006678A2">
            <w:pPr>
              <w:spacing w:beforeLines="30" w:before="72" w:afterLines="30" w:after="72"/>
              <w:jc w:val="center"/>
              <w:rPr>
                <w:rFonts w:cs="Arial"/>
                <w:b/>
                <w:bCs/>
                <w:sz w:val="18"/>
                <w:szCs w:val="18"/>
              </w:rPr>
            </w:pPr>
            <w:r w:rsidRPr="00812C16">
              <w:rPr>
                <w:sz w:val="18"/>
                <w:szCs w:val="18"/>
                <w:lang w:eastAsia="en-GB"/>
              </w:rPr>
              <w:t>0,318</w:t>
            </w:r>
          </w:p>
        </w:tc>
        <w:tc>
          <w:tcPr>
            <w:tcW w:w="1701" w:type="dxa"/>
            <w:tcBorders>
              <w:top w:val="single" w:sz="4" w:space="0" w:color="000000" w:themeColor="text1"/>
            </w:tcBorders>
            <w:vAlign w:val="bottom"/>
          </w:tcPr>
          <w:p w14:paraId="6EE0ABD7" w14:textId="77777777" w:rsidR="00167F07" w:rsidRPr="00812C16" w:rsidRDefault="00167F07" w:rsidP="006678A2">
            <w:pPr>
              <w:spacing w:beforeLines="30" w:before="72" w:afterLines="30" w:after="72"/>
              <w:jc w:val="center"/>
              <w:rPr>
                <w:rFonts w:cs="Arial"/>
                <w:sz w:val="18"/>
                <w:szCs w:val="18"/>
              </w:rPr>
            </w:pPr>
            <w:r w:rsidRPr="00812C16">
              <w:rPr>
                <w:sz w:val="18"/>
                <w:szCs w:val="18"/>
                <w:lang w:eastAsia="en-GB"/>
              </w:rPr>
              <w:t>1,07 (0,52-2,20)</w:t>
            </w:r>
          </w:p>
        </w:tc>
        <w:tc>
          <w:tcPr>
            <w:tcW w:w="855" w:type="dxa"/>
            <w:tcBorders>
              <w:top w:val="single" w:sz="4" w:space="0" w:color="000000" w:themeColor="text1"/>
            </w:tcBorders>
            <w:vAlign w:val="bottom"/>
          </w:tcPr>
          <w:p w14:paraId="3C2D4660" w14:textId="77777777" w:rsidR="00167F07" w:rsidRPr="00812C16" w:rsidRDefault="00167F07" w:rsidP="006678A2">
            <w:pPr>
              <w:tabs>
                <w:tab w:val="right" w:pos="601"/>
              </w:tabs>
              <w:spacing w:beforeLines="30" w:before="72" w:afterLines="30" w:after="72"/>
              <w:ind w:left="-108" w:right="-104"/>
              <w:jc w:val="center"/>
              <w:rPr>
                <w:rFonts w:cs="Arial"/>
                <w:b/>
                <w:bCs/>
                <w:sz w:val="18"/>
                <w:szCs w:val="18"/>
              </w:rPr>
            </w:pPr>
            <w:r w:rsidRPr="00812C16">
              <w:rPr>
                <w:sz w:val="18"/>
                <w:szCs w:val="18"/>
                <w:lang w:eastAsia="en-GB"/>
              </w:rPr>
              <w:t>0,866</w:t>
            </w:r>
          </w:p>
        </w:tc>
      </w:tr>
      <w:tr w:rsidR="00167F07" w:rsidRPr="00812C16" w14:paraId="3F10409B" w14:textId="77777777" w:rsidTr="006678A2">
        <w:tc>
          <w:tcPr>
            <w:tcW w:w="1696" w:type="dxa"/>
          </w:tcPr>
          <w:p w14:paraId="63ADD17B" w14:textId="77777777" w:rsidR="00167F07" w:rsidRPr="00812C16" w:rsidRDefault="00167F07" w:rsidP="006678A2">
            <w:pPr>
              <w:spacing w:beforeLines="30" w:before="72" w:afterLines="30" w:after="72"/>
              <w:jc w:val="left"/>
              <w:rPr>
                <w:rFonts w:cs="Arial"/>
                <w:sz w:val="18"/>
                <w:szCs w:val="18"/>
              </w:rPr>
            </w:pPr>
            <w:r w:rsidRPr="00812C16">
              <w:rPr>
                <w:rFonts w:cs="Arial"/>
                <w:sz w:val="18"/>
                <w:szCs w:val="18"/>
              </w:rPr>
              <w:t>HPV16 DNA+**</w:t>
            </w:r>
          </w:p>
        </w:tc>
        <w:tc>
          <w:tcPr>
            <w:tcW w:w="1560" w:type="dxa"/>
            <w:vAlign w:val="bottom"/>
          </w:tcPr>
          <w:p w14:paraId="1E4A4436" w14:textId="77777777" w:rsidR="00167F07" w:rsidRPr="00812C16" w:rsidRDefault="00167F07" w:rsidP="006678A2">
            <w:pPr>
              <w:spacing w:beforeLines="30" w:before="72" w:afterLines="30" w:after="72"/>
              <w:jc w:val="center"/>
              <w:rPr>
                <w:rFonts w:cs="Arial"/>
                <w:sz w:val="18"/>
                <w:szCs w:val="18"/>
              </w:rPr>
            </w:pPr>
            <w:r w:rsidRPr="00812C16">
              <w:rPr>
                <w:color w:val="000000"/>
                <w:sz w:val="18"/>
                <w:szCs w:val="18"/>
                <w:lang w:eastAsia="en-GB"/>
              </w:rPr>
              <w:t>0,20 (0,05-0,91)</w:t>
            </w:r>
          </w:p>
        </w:tc>
        <w:tc>
          <w:tcPr>
            <w:tcW w:w="850" w:type="dxa"/>
            <w:vAlign w:val="bottom"/>
          </w:tcPr>
          <w:p w14:paraId="22278E01" w14:textId="77777777" w:rsidR="00167F07" w:rsidRPr="00812C16" w:rsidRDefault="00167F07" w:rsidP="006678A2">
            <w:pPr>
              <w:spacing w:beforeLines="30" w:before="72" w:afterLines="30" w:after="72"/>
              <w:ind w:left="-111" w:right="-119"/>
              <w:jc w:val="center"/>
              <w:rPr>
                <w:rFonts w:cs="Arial"/>
                <w:sz w:val="18"/>
                <w:szCs w:val="18"/>
              </w:rPr>
            </w:pPr>
            <w:r w:rsidRPr="00812C16">
              <w:rPr>
                <w:b/>
                <w:sz w:val="18"/>
                <w:szCs w:val="18"/>
                <w:lang w:eastAsia="en-GB"/>
              </w:rPr>
              <w:t>0,038</w:t>
            </w:r>
          </w:p>
        </w:tc>
        <w:tc>
          <w:tcPr>
            <w:tcW w:w="1559" w:type="dxa"/>
            <w:vAlign w:val="bottom"/>
          </w:tcPr>
          <w:p w14:paraId="627F93A7" w14:textId="77777777" w:rsidR="00167F07" w:rsidRPr="00812C16" w:rsidRDefault="00167F07" w:rsidP="006678A2">
            <w:pPr>
              <w:spacing w:beforeLines="30" w:before="72" w:afterLines="30" w:after="72"/>
              <w:jc w:val="center"/>
              <w:rPr>
                <w:rFonts w:cs="Arial"/>
                <w:sz w:val="18"/>
                <w:szCs w:val="18"/>
              </w:rPr>
            </w:pPr>
            <w:r w:rsidRPr="00812C16">
              <w:rPr>
                <w:sz w:val="18"/>
                <w:szCs w:val="18"/>
                <w:lang w:eastAsia="en-GB"/>
              </w:rPr>
              <w:t>0.49 (0,18-1,32)</w:t>
            </w:r>
          </w:p>
        </w:tc>
        <w:tc>
          <w:tcPr>
            <w:tcW w:w="851" w:type="dxa"/>
            <w:vAlign w:val="bottom"/>
          </w:tcPr>
          <w:p w14:paraId="53505EF5" w14:textId="77777777" w:rsidR="00167F07" w:rsidRPr="00812C16" w:rsidRDefault="00167F07" w:rsidP="006678A2">
            <w:pPr>
              <w:spacing w:beforeLines="30" w:before="72" w:afterLines="30" w:after="72"/>
              <w:jc w:val="center"/>
              <w:rPr>
                <w:rFonts w:cs="Arial"/>
                <w:sz w:val="18"/>
                <w:szCs w:val="18"/>
              </w:rPr>
            </w:pPr>
            <w:r w:rsidRPr="00812C16">
              <w:rPr>
                <w:sz w:val="18"/>
                <w:szCs w:val="18"/>
                <w:lang w:eastAsia="en-GB"/>
              </w:rPr>
              <w:t>0,158</w:t>
            </w:r>
          </w:p>
        </w:tc>
        <w:tc>
          <w:tcPr>
            <w:tcW w:w="1701" w:type="dxa"/>
            <w:vAlign w:val="bottom"/>
          </w:tcPr>
          <w:p w14:paraId="4D57CF6B" w14:textId="77777777" w:rsidR="00167F07" w:rsidRPr="00812C16" w:rsidRDefault="00167F07" w:rsidP="006678A2">
            <w:pPr>
              <w:spacing w:beforeLines="30" w:before="72" w:afterLines="30" w:after="72"/>
              <w:jc w:val="center"/>
              <w:rPr>
                <w:rFonts w:cs="Arial"/>
                <w:sz w:val="18"/>
                <w:szCs w:val="18"/>
              </w:rPr>
            </w:pPr>
            <w:r w:rsidRPr="00812C16">
              <w:rPr>
                <w:sz w:val="18"/>
                <w:szCs w:val="18"/>
                <w:lang w:eastAsia="en-GB"/>
              </w:rPr>
              <w:t>0,32 (0,15-0,67)</w:t>
            </w:r>
          </w:p>
        </w:tc>
        <w:tc>
          <w:tcPr>
            <w:tcW w:w="855" w:type="dxa"/>
            <w:vAlign w:val="bottom"/>
          </w:tcPr>
          <w:p w14:paraId="3CBD23B9" w14:textId="77777777" w:rsidR="00167F07" w:rsidRPr="00812C16" w:rsidRDefault="00167F07" w:rsidP="006678A2">
            <w:pPr>
              <w:spacing w:beforeLines="30" w:before="72" w:afterLines="30" w:after="72"/>
              <w:ind w:left="-113" w:right="-104"/>
              <w:jc w:val="center"/>
              <w:rPr>
                <w:rFonts w:cs="Arial"/>
                <w:b/>
                <w:bCs/>
                <w:sz w:val="18"/>
                <w:szCs w:val="18"/>
              </w:rPr>
            </w:pPr>
            <w:r w:rsidRPr="00812C16">
              <w:rPr>
                <w:b/>
                <w:sz w:val="18"/>
                <w:szCs w:val="18"/>
                <w:lang w:eastAsia="en-GB"/>
              </w:rPr>
              <w:t>0,003</w:t>
            </w:r>
          </w:p>
        </w:tc>
      </w:tr>
      <w:tr w:rsidR="00167F07" w:rsidRPr="00812C16" w14:paraId="529C9E5A" w14:textId="77777777" w:rsidTr="006678A2">
        <w:tc>
          <w:tcPr>
            <w:tcW w:w="1696" w:type="dxa"/>
          </w:tcPr>
          <w:p w14:paraId="6D8B5053" w14:textId="77777777" w:rsidR="00167F07" w:rsidRPr="00812C16" w:rsidRDefault="00167F07" w:rsidP="006678A2">
            <w:pPr>
              <w:spacing w:beforeLines="30" w:before="72" w:afterLines="30" w:after="72"/>
              <w:jc w:val="left"/>
              <w:rPr>
                <w:rFonts w:cs="Arial"/>
                <w:sz w:val="18"/>
                <w:szCs w:val="18"/>
              </w:rPr>
            </w:pPr>
            <w:r w:rsidRPr="00812C16">
              <w:rPr>
                <w:rFonts w:cs="Arial"/>
                <w:sz w:val="18"/>
                <w:szCs w:val="18"/>
              </w:rPr>
              <w:t>ECE-Status*</w:t>
            </w:r>
          </w:p>
        </w:tc>
        <w:tc>
          <w:tcPr>
            <w:tcW w:w="1560" w:type="dxa"/>
            <w:vAlign w:val="bottom"/>
          </w:tcPr>
          <w:p w14:paraId="14956E13" w14:textId="77777777" w:rsidR="00167F07" w:rsidRPr="00812C16" w:rsidRDefault="00167F07" w:rsidP="006678A2">
            <w:pPr>
              <w:spacing w:beforeLines="30" w:before="72" w:afterLines="30" w:after="72"/>
              <w:jc w:val="center"/>
              <w:rPr>
                <w:rFonts w:cs="Arial"/>
                <w:sz w:val="18"/>
                <w:szCs w:val="18"/>
              </w:rPr>
            </w:pPr>
            <w:r w:rsidRPr="00812C16">
              <w:rPr>
                <w:color w:val="000000"/>
                <w:sz w:val="18"/>
                <w:szCs w:val="18"/>
                <w:lang w:eastAsia="en-GB"/>
              </w:rPr>
              <w:t>1,56 (0,72-3,38)</w:t>
            </w:r>
          </w:p>
        </w:tc>
        <w:tc>
          <w:tcPr>
            <w:tcW w:w="850" w:type="dxa"/>
            <w:vAlign w:val="bottom"/>
          </w:tcPr>
          <w:p w14:paraId="43AC945C" w14:textId="77777777" w:rsidR="00167F07" w:rsidRPr="00812C16" w:rsidRDefault="00167F07" w:rsidP="006678A2">
            <w:pPr>
              <w:spacing w:beforeLines="30" w:before="72" w:afterLines="30" w:after="72"/>
              <w:ind w:left="-111" w:right="-119"/>
              <w:jc w:val="center"/>
              <w:rPr>
                <w:rFonts w:cs="Arial"/>
                <w:sz w:val="18"/>
                <w:szCs w:val="18"/>
              </w:rPr>
            </w:pPr>
            <w:r w:rsidRPr="00812C16">
              <w:rPr>
                <w:sz w:val="18"/>
                <w:szCs w:val="18"/>
                <w:lang w:eastAsia="en-GB"/>
              </w:rPr>
              <w:t>0,256</w:t>
            </w:r>
          </w:p>
        </w:tc>
        <w:tc>
          <w:tcPr>
            <w:tcW w:w="1559" w:type="dxa"/>
            <w:vAlign w:val="bottom"/>
          </w:tcPr>
          <w:p w14:paraId="4EC475DF" w14:textId="77777777" w:rsidR="00167F07" w:rsidRPr="00812C16" w:rsidRDefault="00167F07" w:rsidP="006678A2">
            <w:pPr>
              <w:spacing w:beforeLines="30" w:before="72" w:afterLines="30" w:after="72"/>
              <w:jc w:val="center"/>
              <w:rPr>
                <w:rFonts w:cs="Arial"/>
                <w:sz w:val="18"/>
                <w:szCs w:val="18"/>
              </w:rPr>
            </w:pPr>
            <w:r w:rsidRPr="00812C16">
              <w:rPr>
                <w:sz w:val="18"/>
                <w:szCs w:val="18"/>
                <w:lang w:eastAsia="en-GB"/>
              </w:rPr>
              <w:t>3.16 (1,50-6,64)</w:t>
            </w:r>
          </w:p>
        </w:tc>
        <w:tc>
          <w:tcPr>
            <w:tcW w:w="851" w:type="dxa"/>
            <w:vAlign w:val="bottom"/>
          </w:tcPr>
          <w:p w14:paraId="61EACDCB" w14:textId="77777777" w:rsidR="00167F07" w:rsidRPr="00812C16" w:rsidRDefault="00167F07" w:rsidP="006678A2">
            <w:pPr>
              <w:spacing w:beforeLines="30" w:before="72" w:afterLines="30" w:after="72"/>
              <w:jc w:val="center"/>
              <w:rPr>
                <w:rFonts w:cs="Arial"/>
                <w:sz w:val="18"/>
                <w:szCs w:val="18"/>
              </w:rPr>
            </w:pPr>
            <w:r w:rsidRPr="00812C16">
              <w:rPr>
                <w:b/>
                <w:sz w:val="18"/>
                <w:szCs w:val="18"/>
                <w:lang w:eastAsia="en-GB"/>
              </w:rPr>
              <w:t>0,002</w:t>
            </w:r>
          </w:p>
        </w:tc>
        <w:tc>
          <w:tcPr>
            <w:tcW w:w="1701" w:type="dxa"/>
            <w:vAlign w:val="bottom"/>
          </w:tcPr>
          <w:p w14:paraId="07E5C02A" w14:textId="77777777" w:rsidR="00167F07" w:rsidRPr="00812C16" w:rsidRDefault="00167F07" w:rsidP="006678A2">
            <w:pPr>
              <w:spacing w:beforeLines="30" w:before="72" w:afterLines="30" w:after="72"/>
              <w:jc w:val="center"/>
              <w:rPr>
                <w:rFonts w:cs="Arial"/>
                <w:sz w:val="18"/>
                <w:szCs w:val="18"/>
              </w:rPr>
            </w:pPr>
            <w:r w:rsidRPr="00812C16">
              <w:rPr>
                <w:sz w:val="18"/>
                <w:szCs w:val="18"/>
                <w:lang w:eastAsia="en-GB"/>
              </w:rPr>
              <w:t>1,71 (1,03-2,85)</w:t>
            </w:r>
          </w:p>
        </w:tc>
        <w:tc>
          <w:tcPr>
            <w:tcW w:w="855" w:type="dxa"/>
            <w:vAlign w:val="bottom"/>
          </w:tcPr>
          <w:p w14:paraId="1409AF74" w14:textId="77777777" w:rsidR="00167F07" w:rsidRPr="00812C16" w:rsidRDefault="00167F07" w:rsidP="006678A2">
            <w:pPr>
              <w:spacing w:beforeLines="30" w:before="72" w:afterLines="30" w:after="72"/>
              <w:ind w:left="-108" w:right="-104"/>
              <w:jc w:val="center"/>
              <w:rPr>
                <w:rFonts w:cs="Arial"/>
                <w:sz w:val="18"/>
                <w:szCs w:val="18"/>
              </w:rPr>
            </w:pPr>
            <w:r w:rsidRPr="00812C16">
              <w:rPr>
                <w:b/>
                <w:sz w:val="18"/>
                <w:szCs w:val="18"/>
                <w:lang w:eastAsia="en-GB"/>
              </w:rPr>
              <w:t>0,039</w:t>
            </w:r>
          </w:p>
        </w:tc>
      </w:tr>
      <w:tr w:rsidR="00167F07" w:rsidRPr="00812C16" w14:paraId="4EA5C5E5" w14:textId="77777777" w:rsidTr="006678A2">
        <w:tc>
          <w:tcPr>
            <w:tcW w:w="1696" w:type="dxa"/>
          </w:tcPr>
          <w:p w14:paraId="5D73B8C9" w14:textId="77777777" w:rsidR="00167F07" w:rsidRPr="00812C16" w:rsidRDefault="00167F07" w:rsidP="006678A2">
            <w:pPr>
              <w:spacing w:beforeLines="30" w:before="72" w:afterLines="30" w:after="72"/>
              <w:jc w:val="left"/>
              <w:rPr>
                <w:rFonts w:cs="Arial"/>
                <w:sz w:val="18"/>
                <w:szCs w:val="18"/>
              </w:rPr>
            </w:pPr>
            <w:r w:rsidRPr="00812C16">
              <w:rPr>
                <w:rFonts w:cs="Arial"/>
                <w:sz w:val="18"/>
                <w:szCs w:val="18"/>
              </w:rPr>
              <w:t>Mundhöhlen CA</w:t>
            </w:r>
          </w:p>
        </w:tc>
        <w:tc>
          <w:tcPr>
            <w:tcW w:w="1560" w:type="dxa"/>
            <w:vAlign w:val="bottom"/>
          </w:tcPr>
          <w:p w14:paraId="3B84EBE9" w14:textId="77777777" w:rsidR="00167F07" w:rsidRPr="00812C16" w:rsidRDefault="00167F07" w:rsidP="006678A2">
            <w:pPr>
              <w:spacing w:beforeLines="30" w:before="72" w:afterLines="30" w:after="72"/>
              <w:jc w:val="center"/>
              <w:rPr>
                <w:rFonts w:cs="Arial"/>
                <w:sz w:val="18"/>
                <w:szCs w:val="18"/>
              </w:rPr>
            </w:pPr>
            <w:r w:rsidRPr="00812C16">
              <w:rPr>
                <w:color w:val="000000"/>
                <w:sz w:val="18"/>
                <w:szCs w:val="18"/>
                <w:lang w:eastAsia="en-GB"/>
              </w:rPr>
              <w:t>2,11 (0,93-4,75)</w:t>
            </w:r>
          </w:p>
        </w:tc>
        <w:tc>
          <w:tcPr>
            <w:tcW w:w="850" w:type="dxa"/>
            <w:vAlign w:val="bottom"/>
          </w:tcPr>
          <w:p w14:paraId="755B0AE7" w14:textId="77777777" w:rsidR="00167F07" w:rsidRPr="00812C16" w:rsidRDefault="00167F07" w:rsidP="006678A2">
            <w:pPr>
              <w:spacing w:beforeLines="30" w:before="72" w:afterLines="30" w:after="72"/>
              <w:ind w:left="-111" w:right="-119"/>
              <w:jc w:val="center"/>
              <w:rPr>
                <w:rFonts w:cs="Arial"/>
                <w:sz w:val="18"/>
                <w:szCs w:val="18"/>
              </w:rPr>
            </w:pPr>
            <w:r w:rsidRPr="00812C16">
              <w:rPr>
                <w:sz w:val="18"/>
                <w:szCs w:val="18"/>
                <w:lang w:eastAsia="en-GB"/>
              </w:rPr>
              <w:t>0,073</w:t>
            </w:r>
          </w:p>
        </w:tc>
        <w:tc>
          <w:tcPr>
            <w:tcW w:w="1559" w:type="dxa"/>
            <w:vAlign w:val="bottom"/>
          </w:tcPr>
          <w:p w14:paraId="40BE4823" w14:textId="77777777" w:rsidR="00167F07" w:rsidRPr="00812C16" w:rsidRDefault="00167F07" w:rsidP="006678A2">
            <w:pPr>
              <w:spacing w:beforeLines="30" w:before="72" w:afterLines="30" w:after="72"/>
              <w:jc w:val="center"/>
              <w:rPr>
                <w:rFonts w:cs="Arial"/>
                <w:sz w:val="18"/>
                <w:szCs w:val="18"/>
              </w:rPr>
            </w:pPr>
            <w:r w:rsidRPr="00812C16">
              <w:rPr>
                <w:sz w:val="18"/>
                <w:szCs w:val="18"/>
                <w:lang w:eastAsia="en-GB"/>
              </w:rPr>
              <w:t>2.12 (0,96-4,70)</w:t>
            </w:r>
          </w:p>
        </w:tc>
        <w:tc>
          <w:tcPr>
            <w:tcW w:w="851" w:type="dxa"/>
            <w:vAlign w:val="bottom"/>
          </w:tcPr>
          <w:p w14:paraId="5EE2493E" w14:textId="77777777" w:rsidR="00167F07" w:rsidRPr="00812C16" w:rsidRDefault="00167F07" w:rsidP="006678A2">
            <w:pPr>
              <w:spacing w:beforeLines="30" w:before="72" w:afterLines="30" w:after="72"/>
              <w:jc w:val="center"/>
              <w:rPr>
                <w:rFonts w:cs="Arial"/>
                <w:sz w:val="18"/>
                <w:szCs w:val="18"/>
              </w:rPr>
            </w:pPr>
            <w:r w:rsidRPr="00812C16">
              <w:rPr>
                <w:sz w:val="18"/>
                <w:szCs w:val="18"/>
                <w:lang w:eastAsia="en-GB"/>
              </w:rPr>
              <w:t>0,064</w:t>
            </w:r>
          </w:p>
        </w:tc>
        <w:tc>
          <w:tcPr>
            <w:tcW w:w="1701" w:type="dxa"/>
            <w:vAlign w:val="bottom"/>
          </w:tcPr>
          <w:p w14:paraId="2A20CA42" w14:textId="77777777" w:rsidR="00167F07" w:rsidRPr="00812C16" w:rsidRDefault="00167F07" w:rsidP="006678A2">
            <w:pPr>
              <w:spacing w:beforeLines="30" w:before="72" w:afterLines="30" w:after="72"/>
              <w:jc w:val="center"/>
              <w:rPr>
                <w:rFonts w:cs="Arial"/>
                <w:sz w:val="18"/>
                <w:szCs w:val="18"/>
              </w:rPr>
            </w:pPr>
            <w:r w:rsidRPr="00812C16">
              <w:rPr>
                <w:sz w:val="18"/>
                <w:szCs w:val="18"/>
                <w:lang w:eastAsia="en-GB"/>
              </w:rPr>
              <w:t>1,68 (0,96-2,94)</w:t>
            </w:r>
          </w:p>
        </w:tc>
        <w:tc>
          <w:tcPr>
            <w:tcW w:w="855" w:type="dxa"/>
            <w:vAlign w:val="bottom"/>
          </w:tcPr>
          <w:p w14:paraId="46FC0DAF" w14:textId="77777777" w:rsidR="00167F07" w:rsidRPr="00812C16" w:rsidRDefault="00167F07" w:rsidP="006678A2">
            <w:pPr>
              <w:spacing w:beforeLines="30" w:before="72" w:afterLines="30" w:after="72"/>
              <w:ind w:left="-108" w:right="-104"/>
              <w:jc w:val="center"/>
              <w:rPr>
                <w:rFonts w:cs="Arial"/>
                <w:sz w:val="18"/>
                <w:szCs w:val="18"/>
              </w:rPr>
            </w:pPr>
            <w:r w:rsidRPr="00812C16">
              <w:rPr>
                <w:sz w:val="18"/>
                <w:szCs w:val="18"/>
                <w:lang w:eastAsia="en-GB"/>
              </w:rPr>
              <w:t>0,072</w:t>
            </w:r>
          </w:p>
        </w:tc>
      </w:tr>
      <w:tr w:rsidR="00167F07" w:rsidRPr="00812C16" w14:paraId="56581491" w14:textId="77777777" w:rsidTr="006678A2">
        <w:tc>
          <w:tcPr>
            <w:tcW w:w="1696" w:type="dxa"/>
            <w:tcBorders>
              <w:bottom w:val="single" w:sz="4" w:space="0" w:color="000000" w:themeColor="text1"/>
            </w:tcBorders>
          </w:tcPr>
          <w:p w14:paraId="48A5BB6E" w14:textId="77777777" w:rsidR="00167F07" w:rsidRPr="00812C16" w:rsidRDefault="00167F07" w:rsidP="006678A2">
            <w:pPr>
              <w:spacing w:beforeLines="30" w:before="72" w:afterLines="30" w:after="72"/>
              <w:jc w:val="left"/>
              <w:rPr>
                <w:rFonts w:cs="Arial"/>
                <w:sz w:val="18"/>
                <w:szCs w:val="18"/>
              </w:rPr>
            </w:pPr>
            <w:r w:rsidRPr="00812C16">
              <w:rPr>
                <w:rFonts w:cs="Arial"/>
                <w:sz w:val="18"/>
                <w:szCs w:val="18"/>
              </w:rPr>
              <w:t>Oropharynx CA</w:t>
            </w:r>
          </w:p>
        </w:tc>
        <w:tc>
          <w:tcPr>
            <w:tcW w:w="1560" w:type="dxa"/>
            <w:tcBorders>
              <w:bottom w:val="single" w:sz="4" w:space="0" w:color="000000" w:themeColor="text1"/>
            </w:tcBorders>
            <w:vAlign w:val="bottom"/>
          </w:tcPr>
          <w:p w14:paraId="1914519E" w14:textId="77777777" w:rsidR="00167F07" w:rsidRPr="00812C16" w:rsidRDefault="00167F07" w:rsidP="006678A2">
            <w:pPr>
              <w:spacing w:beforeLines="30" w:before="72" w:afterLines="30" w:after="72"/>
              <w:jc w:val="center"/>
              <w:rPr>
                <w:rFonts w:cs="Arial"/>
                <w:sz w:val="18"/>
                <w:szCs w:val="18"/>
              </w:rPr>
            </w:pPr>
            <w:r w:rsidRPr="00812C16">
              <w:rPr>
                <w:color w:val="000000"/>
                <w:sz w:val="18"/>
                <w:szCs w:val="18"/>
                <w:lang w:eastAsia="en-GB"/>
              </w:rPr>
              <w:t>0,73 (0,20-2,66)</w:t>
            </w:r>
          </w:p>
        </w:tc>
        <w:tc>
          <w:tcPr>
            <w:tcW w:w="850" w:type="dxa"/>
            <w:tcBorders>
              <w:bottom w:val="single" w:sz="4" w:space="0" w:color="000000" w:themeColor="text1"/>
            </w:tcBorders>
            <w:vAlign w:val="bottom"/>
          </w:tcPr>
          <w:p w14:paraId="3B8BC808" w14:textId="77777777" w:rsidR="00167F07" w:rsidRPr="00812C16" w:rsidRDefault="00167F07" w:rsidP="006678A2">
            <w:pPr>
              <w:spacing w:beforeLines="30" w:before="72" w:afterLines="30" w:after="72"/>
              <w:ind w:left="-110" w:right="-119"/>
              <w:jc w:val="center"/>
              <w:rPr>
                <w:rFonts w:cs="Arial"/>
                <w:sz w:val="18"/>
                <w:szCs w:val="18"/>
              </w:rPr>
            </w:pPr>
            <w:r w:rsidRPr="00812C16">
              <w:rPr>
                <w:sz w:val="18"/>
                <w:szCs w:val="18"/>
                <w:lang w:eastAsia="en-GB"/>
              </w:rPr>
              <w:t>0,628</w:t>
            </w:r>
          </w:p>
        </w:tc>
        <w:tc>
          <w:tcPr>
            <w:tcW w:w="1559" w:type="dxa"/>
            <w:tcBorders>
              <w:bottom w:val="single" w:sz="4" w:space="0" w:color="000000" w:themeColor="text1"/>
            </w:tcBorders>
            <w:vAlign w:val="bottom"/>
          </w:tcPr>
          <w:p w14:paraId="7C85A622" w14:textId="77777777" w:rsidR="00167F07" w:rsidRPr="00812C16" w:rsidRDefault="00167F07" w:rsidP="006678A2">
            <w:pPr>
              <w:spacing w:beforeLines="30" w:before="72" w:afterLines="30" w:after="72"/>
              <w:jc w:val="center"/>
              <w:rPr>
                <w:rFonts w:cs="Arial"/>
                <w:sz w:val="18"/>
                <w:szCs w:val="18"/>
              </w:rPr>
            </w:pPr>
            <w:r w:rsidRPr="00812C16">
              <w:rPr>
                <w:sz w:val="18"/>
                <w:szCs w:val="18"/>
                <w:lang w:eastAsia="en-GB"/>
              </w:rPr>
              <w:t>3.47 (1,44-8,36)</w:t>
            </w:r>
          </w:p>
        </w:tc>
        <w:tc>
          <w:tcPr>
            <w:tcW w:w="851" w:type="dxa"/>
            <w:tcBorders>
              <w:bottom w:val="single" w:sz="4" w:space="0" w:color="000000" w:themeColor="text1"/>
            </w:tcBorders>
            <w:vAlign w:val="bottom"/>
          </w:tcPr>
          <w:p w14:paraId="2E434E47" w14:textId="77777777" w:rsidR="00167F07" w:rsidRPr="00812C16" w:rsidRDefault="00167F07" w:rsidP="006678A2">
            <w:pPr>
              <w:spacing w:beforeLines="30" w:before="72" w:afterLines="30" w:after="72"/>
              <w:jc w:val="center"/>
              <w:rPr>
                <w:rFonts w:cs="Arial"/>
                <w:sz w:val="18"/>
                <w:szCs w:val="18"/>
              </w:rPr>
            </w:pPr>
            <w:r w:rsidRPr="00812C16">
              <w:rPr>
                <w:b/>
                <w:sz w:val="18"/>
                <w:szCs w:val="18"/>
                <w:lang w:eastAsia="en-GB"/>
              </w:rPr>
              <w:t>0,005</w:t>
            </w:r>
          </w:p>
        </w:tc>
        <w:tc>
          <w:tcPr>
            <w:tcW w:w="1701" w:type="dxa"/>
            <w:tcBorders>
              <w:bottom w:val="single" w:sz="4" w:space="0" w:color="000000" w:themeColor="text1"/>
            </w:tcBorders>
            <w:vAlign w:val="bottom"/>
          </w:tcPr>
          <w:p w14:paraId="671ED13B" w14:textId="77777777" w:rsidR="00167F07" w:rsidRPr="00812C16" w:rsidRDefault="00167F07" w:rsidP="006678A2">
            <w:pPr>
              <w:spacing w:beforeLines="30" w:before="72" w:afterLines="30" w:after="72"/>
              <w:jc w:val="center"/>
              <w:rPr>
                <w:rFonts w:cs="Arial"/>
                <w:sz w:val="18"/>
                <w:szCs w:val="18"/>
              </w:rPr>
            </w:pPr>
            <w:r w:rsidRPr="00812C16">
              <w:rPr>
                <w:sz w:val="18"/>
                <w:szCs w:val="18"/>
                <w:lang w:eastAsia="en-GB"/>
              </w:rPr>
              <w:t>0,74 (0,33-1,63)</w:t>
            </w:r>
          </w:p>
        </w:tc>
        <w:tc>
          <w:tcPr>
            <w:tcW w:w="855" w:type="dxa"/>
            <w:tcBorders>
              <w:bottom w:val="single" w:sz="4" w:space="0" w:color="000000" w:themeColor="text1"/>
            </w:tcBorders>
            <w:vAlign w:val="bottom"/>
          </w:tcPr>
          <w:p w14:paraId="244DC3AA" w14:textId="77777777" w:rsidR="00167F07" w:rsidRPr="00812C16" w:rsidRDefault="00167F07" w:rsidP="006678A2">
            <w:pPr>
              <w:spacing w:beforeLines="30" w:before="72" w:afterLines="30" w:after="72"/>
              <w:ind w:left="-108" w:right="-104"/>
              <w:jc w:val="center"/>
              <w:rPr>
                <w:rFonts w:cs="Arial"/>
                <w:sz w:val="18"/>
                <w:szCs w:val="18"/>
              </w:rPr>
            </w:pPr>
            <w:r w:rsidRPr="00812C16">
              <w:rPr>
                <w:sz w:val="18"/>
                <w:szCs w:val="18"/>
                <w:lang w:eastAsia="en-GB"/>
              </w:rPr>
              <w:t>0,449</w:t>
            </w:r>
          </w:p>
        </w:tc>
      </w:tr>
      <w:tr w:rsidR="00167F07" w:rsidRPr="00812C16" w14:paraId="58CA5826" w14:textId="77777777" w:rsidTr="006678A2">
        <w:tc>
          <w:tcPr>
            <w:tcW w:w="9072" w:type="dxa"/>
            <w:gridSpan w:val="7"/>
            <w:tcBorders>
              <w:top w:val="single" w:sz="4" w:space="0" w:color="000000" w:themeColor="text1"/>
              <w:bottom w:val="single" w:sz="4" w:space="0" w:color="000000" w:themeColor="text1"/>
            </w:tcBorders>
          </w:tcPr>
          <w:p w14:paraId="0C19E747" w14:textId="77777777" w:rsidR="00167F07" w:rsidRPr="00812C16" w:rsidRDefault="00167F07" w:rsidP="006678A2">
            <w:pPr>
              <w:spacing w:beforeLines="30" w:before="72" w:afterLines="30" w:after="72"/>
              <w:jc w:val="left"/>
              <w:rPr>
                <w:rFonts w:cs="Arial"/>
                <w:b/>
                <w:bCs/>
                <w:sz w:val="18"/>
                <w:szCs w:val="18"/>
              </w:rPr>
            </w:pPr>
            <w:r w:rsidRPr="00812C16">
              <w:rPr>
                <w:rFonts w:cs="Arial"/>
                <w:b/>
                <w:bCs/>
                <w:sz w:val="18"/>
                <w:szCs w:val="18"/>
              </w:rPr>
              <w:t>Subgruppe mit HPV16 DNA-negativen Tumoren</w:t>
            </w:r>
          </w:p>
        </w:tc>
      </w:tr>
      <w:tr w:rsidR="00167F07" w:rsidRPr="00812C16" w14:paraId="78A89AB6" w14:textId="77777777" w:rsidTr="006678A2">
        <w:tc>
          <w:tcPr>
            <w:tcW w:w="1696" w:type="dxa"/>
            <w:tcBorders>
              <w:top w:val="single" w:sz="4" w:space="0" w:color="000000" w:themeColor="text1"/>
            </w:tcBorders>
          </w:tcPr>
          <w:p w14:paraId="65A47CF9" w14:textId="77777777" w:rsidR="00167F07" w:rsidRPr="00812C16" w:rsidRDefault="00167F07" w:rsidP="006678A2">
            <w:pPr>
              <w:spacing w:beforeLines="30" w:before="72" w:afterLines="30" w:after="72"/>
              <w:jc w:val="left"/>
              <w:rPr>
                <w:rFonts w:cs="Arial"/>
                <w:sz w:val="18"/>
                <w:szCs w:val="18"/>
              </w:rPr>
            </w:pPr>
            <w:r w:rsidRPr="00812C16">
              <w:rPr>
                <w:rFonts w:cs="Arial"/>
                <w:sz w:val="18"/>
                <w:szCs w:val="18"/>
              </w:rPr>
              <w:t>CD44</w:t>
            </w:r>
          </w:p>
        </w:tc>
        <w:tc>
          <w:tcPr>
            <w:tcW w:w="1560" w:type="dxa"/>
            <w:tcBorders>
              <w:top w:val="single" w:sz="4" w:space="0" w:color="000000" w:themeColor="text1"/>
            </w:tcBorders>
          </w:tcPr>
          <w:p w14:paraId="725B4E1F" w14:textId="77777777" w:rsidR="00167F07" w:rsidRPr="00812C16" w:rsidRDefault="00167F07" w:rsidP="006678A2">
            <w:pPr>
              <w:spacing w:beforeLines="30" w:before="72" w:afterLines="30" w:after="72"/>
              <w:jc w:val="center"/>
              <w:rPr>
                <w:rFonts w:cs="Arial"/>
                <w:sz w:val="18"/>
                <w:szCs w:val="18"/>
              </w:rPr>
            </w:pPr>
            <w:r w:rsidRPr="00812C16">
              <w:rPr>
                <w:rFonts w:cs="Arial"/>
                <w:sz w:val="18"/>
                <w:szCs w:val="18"/>
              </w:rPr>
              <w:t>--</w:t>
            </w:r>
          </w:p>
        </w:tc>
        <w:tc>
          <w:tcPr>
            <w:tcW w:w="850" w:type="dxa"/>
            <w:tcBorders>
              <w:top w:val="single" w:sz="4" w:space="0" w:color="000000" w:themeColor="text1"/>
            </w:tcBorders>
          </w:tcPr>
          <w:p w14:paraId="33D0EA28" w14:textId="77777777" w:rsidR="00167F07" w:rsidRPr="00812C16" w:rsidRDefault="00167F07" w:rsidP="006678A2">
            <w:pPr>
              <w:tabs>
                <w:tab w:val="left" w:pos="315"/>
              </w:tabs>
              <w:spacing w:beforeLines="30" w:before="72" w:afterLines="30" w:after="72"/>
              <w:ind w:left="-110" w:right="-193"/>
              <w:jc w:val="center"/>
              <w:rPr>
                <w:rFonts w:cs="Arial"/>
                <w:sz w:val="18"/>
                <w:szCs w:val="18"/>
              </w:rPr>
            </w:pPr>
            <w:r w:rsidRPr="00812C16">
              <w:rPr>
                <w:rFonts w:cs="Arial"/>
                <w:sz w:val="18"/>
                <w:szCs w:val="18"/>
              </w:rPr>
              <w:t>--*</w:t>
            </w:r>
          </w:p>
        </w:tc>
        <w:tc>
          <w:tcPr>
            <w:tcW w:w="1559" w:type="dxa"/>
            <w:tcBorders>
              <w:top w:val="single" w:sz="4" w:space="0" w:color="000000" w:themeColor="text1"/>
            </w:tcBorders>
          </w:tcPr>
          <w:p w14:paraId="70B3D3C6" w14:textId="77777777" w:rsidR="00167F07" w:rsidRPr="00812C16" w:rsidRDefault="00167F07" w:rsidP="006678A2">
            <w:pPr>
              <w:spacing w:beforeLines="30" w:before="72" w:afterLines="30" w:after="72"/>
              <w:rPr>
                <w:rFonts w:cs="Arial"/>
                <w:sz w:val="18"/>
                <w:szCs w:val="18"/>
              </w:rPr>
            </w:pPr>
            <w:r w:rsidRPr="00812C16">
              <w:rPr>
                <w:rFonts w:cs="Arial"/>
                <w:sz w:val="18"/>
                <w:szCs w:val="18"/>
              </w:rPr>
              <w:t>1,64 (0,60-4,52)</w:t>
            </w:r>
          </w:p>
        </w:tc>
        <w:tc>
          <w:tcPr>
            <w:tcW w:w="851" w:type="dxa"/>
            <w:tcBorders>
              <w:top w:val="single" w:sz="4" w:space="0" w:color="000000" w:themeColor="text1"/>
            </w:tcBorders>
          </w:tcPr>
          <w:p w14:paraId="3DD04B91" w14:textId="77777777" w:rsidR="00167F07" w:rsidRPr="00812C16" w:rsidRDefault="00167F07" w:rsidP="006678A2">
            <w:pPr>
              <w:spacing w:beforeLines="30" w:before="72" w:afterLines="30" w:after="72"/>
              <w:jc w:val="center"/>
              <w:rPr>
                <w:rFonts w:cs="Arial"/>
                <w:sz w:val="18"/>
                <w:szCs w:val="18"/>
              </w:rPr>
            </w:pPr>
            <w:r w:rsidRPr="00812C16">
              <w:rPr>
                <w:rFonts w:cs="Arial"/>
                <w:sz w:val="18"/>
                <w:szCs w:val="18"/>
              </w:rPr>
              <w:t>0,339</w:t>
            </w:r>
          </w:p>
        </w:tc>
        <w:tc>
          <w:tcPr>
            <w:tcW w:w="1701" w:type="dxa"/>
            <w:tcBorders>
              <w:top w:val="single" w:sz="4" w:space="0" w:color="000000" w:themeColor="text1"/>
            </w:tcBorders>
          </w:tcPr>
          <w:p w14:paraId="7AEFBE3B" w14:textId="77777777" w:rsidR="00167F07" w:rsidRPr="00812C16" w:rsidRDefault="00167F07" w:rsidP="006678A2">
            <w:pPr>
              <w:tabs>
                <w:tab w:val="right" w:pos="330"/>
                <w:tab w:val="right" w:pos="1181"/>
                <w:tab w:val="right" w:pos="1322"/>
              </w:tabs>
              <w:spacing w:beforeLines="30" w:before="72" w:afterLines="30" w:after="72"/>
              <w:jc w:val="center"/>
              <w:rPr>
                <w:rFonts w:cs="Arial"/>
                <w:sz w:val="18"/>
                <w:szCs w:val="18"/>
              </w:rPr>
            </w:pPr>
            <w:r w:rsidRPr="00812C16">
              <w:rPr>
                <w:rFonts w:cs="Arial"/>
                <w:sz w:val="18"/>
                <w:szCs w:val="18"/>
              </w:rPr>
              <w:t>1,06 (0,51-2,19)</w:t>
            </w:r>
          </w:p>
        </w:tc>
        <w:tc>
          <w:tcPr>
            <w:tcW w:w="855" w:type="dxa"/>
            <w:tcBorders>
              <w:top w:val="single" w:sz="4" w:space="0" w:color="000000" w:themeColor="text1"/>
            </w:tcBorders>
          </w:tcPr>
          <w:p w14:paraId="5A61E55A" w14:textId="77777777" w:rsidR="00167F07" w:rsidRPr="00812C16" w:rsidRDefault="00167F07" w:rsidP="006678A2">
            <w:pPr>
              <w:spacing w:beforeLines="30" w:before="72" w:afterLines="30" w:after="72"/>
              <w:ind w:left="-108" w:right="-104"/>
              <w:jc w:val="center"/>
              <w:rPr>
                <w:rFonts w:cs="Arial"/>
                <w:sz w:val="18"/>
                <w:szCs w:val="18"/>
              </w:rPr>
            </w:pPr>
            <w:r w:rsidRPr="00812C16">
              <w:rPr>
                <w:rFonts w:cs="Arial"/>
                <w:sz w:val="18"/>
                <w:szCs w:val="18"/>
              </w:rPr>
              <w:t>0,872</w:t>
            </w:r>
          </w:p>
        </w:tc>
      </w:tr>
      <w:tr w:rsidR="00566B51" w:rsidRPr="00812C16" w14:paraId="41C092EF" w14:textId="77777777" w:rsidTr="006678A2">
        <w:tc>
          <w:tcPr>
            <w:tcW w:w="1696" w:type="dxa"/>
          </w:tcPr>
          <w:p w14:paraId="77444355" w14:textId="77777777" w:rsidR="00167F07" w:rsidRPr="00812C16" w:rsidRDefault="00167F07" w:rsidP="006678A2">
            <w:pPr>
              <w:spacing w:beforeLines="30" w:before="72" w:afterLines="30" w:after="72"/>
              <w:jc w:val="left"/>
              <w:rPr>
                <w:rFonts w:cs="Arial"/>
                <w:strike/>
                <w:sz w:val="18"/>
                <w:szCs w:val="18"/>
              </w:rPr>
            </w:pPr>
            <w:r w:rsidRPr="00812C16">
              <w:rPr>
                <w:rFonts w:cs="Arial"/>
                <w:strike/>
                <w:sz w:val="18"/>
                <w:szCs w:val="18"/>
              </w:rPr>
              <w:t xml:space="preserve">HPV16 DNA </w:t>
            </w:r>
          </w:p>
        </w:tc>
        <w:tc>
          <w:tcPr>
            <w:tcW w:w="1560" w:type="dxa"/>
          </w:tcPr>
          <w:p w14:paraId="10D8009A" w14:textId="77777777" w:rsidR="00167F07" w:rsidRPr="00812C16" w:rsidRDefault="00167F07" w:rsidP="006678A2">
            <w:pPr>
              <w:pStyle w:val="Listenabsatz"/>
              <w:spacing w:beforeLines="30" w:before="72" w:afterLines="30" w:after="72"/>
              <w:jc w:val="center"/>
              <w:rPr>
                <w:rFonts w:cs="Arial"/>
                <w:strike/>
                <w:sz w:val="18"/>
                <w:szCs w:val="18"/>
              </w:rPr>
            </w:pPr>
          </w:p>
        </w:tc>
        <w:tc>
          <w:tcPr>
            <w:tcW w:w="850" w:type="dxa"/>
          </w:tcPr>
          <w:p w14:paraId="499BDD00" w14:textId="77777777" w:rsidR="00167F07" w:rsidRPr="00812C16" w:rsidRDefault="00167F07" w:rsidP="006678A2">
            <w:pPr>
              <w:spacing w:beforeLines="30" w:before="72" w:afterLines="30" w:after="72"/>
              <w:ind w:left="-110" w:right="-193"/>
              <w:jc w:val="center"/>
              <w:rPr>
                <w:rFonts w:cs="Arial"/>
                <w:strike/>
                <w:sz w:val="18"/>
                <w:szCs w:val="18"/>
              </w:rPr>
            </w:pPr>
          </w:p>
        </w:tc>
        <w:tc>
          <w:tcPr>
            <w:tcW w:w="1559" w:type="dxa"/>
          </w:tcPr>
          <w:p w14:paraId="7B7A26A8" w14:textId="77777777" w:rsidR="00167F07" w:rsidRPr="00812C16" w:rsidRDefault="00167F07" w:rsidP="006678A2">
            <w:pPr>
              <w:pStyle w:val="Listenabsatz"/>
              <w:spacing w:beforeLines="30" w:before="72" w:afterLines="30" w:after="72"/>
              <w:rPr>
                <w:rFonts w:cs="Arial"/>
                <w:strike/>
                <w:sz w:val="18"/>
                <w:szCs w:val="18"/>
              </w:rPr>
            </w:pPr>
          </w:p>
        </w:tc>
        <w:tc>
          <w:tcPr>
            <w:tcW w:w="851" w:type="dxa"/>
          </w:tcPr>
          <w:p w14:paraId="1829FD2F" w14:textId="77777777" w:rsidR="00167F07" w:rsidRPr="00812C16" w:rsidRDefault="00167F07" w:rsidP="006678A2">
            <w:pPr>
              <w:pStyle w:val="Listenabsatz"/>
              <w:spacing w:beforeLines="30" w:before="72" w:afterLines="30" w:after="72"/>
              <w:rPr>
                <w:rFonts w:cs="Arial"/>
                <w:strike/>
                <w:sz w:val="18"/>
                <w:szCs w:val="18"/>
              </w:rPr>
            </w:pPr>
          </w:p>
        </w:tc>
        <w:tc>
          <w:tcPr>
            <w:tcW w:w="1701" w:type="dxa"/>
          </w:tcPr>
          <w:p w14:paraId="1DE2BB2F" w14:textId="77777777" w:rsidR="00167F07" w:rsidRPr="00812C16" w:rsidRDefault="00167F07" w:rsidP="006678A2">
            <w:pPr>
              <w:pStyle w:val="Listenabsatz"/>
              <w:tabs>
                <w:tab w:val="right" w:pos="330"/>
                <w:tab w:val="right" w:pos="1181"/>
                <w:tab w:val="right" w:pos="1322"/>
              </w:tabs>
              <w:spacing w:beforeLines="30" w:before="72" w:afterLines="30" w:after="72"/>
              <w:jc w:val="center"/>
              <w:rPr>
                <w:rFonts w:cs="Arial"/>
                <w:strike/>
                <w:sz w:val="18"/>
                <w:szCs w:val="18"/>
              </w:rPr>
            </w:pPr>
          </w:p>
        </w:tc>
        <w:tc>
          <w:tcPr>
            <w:tcW w:w="855" w:type="dxa"/>
          </w:tcPr>
          <w:p w14:paraId="1E33BC03" w14:textId="77777777" w:rsidR="00167F07" w:rsidRPr="00812C16" w:rsidRDefault="00167F07" w:rsidP="006678A2">
            <w:pPr>
              <w:pStyle w:val="Listenabsatz"/>
              <w:spacing w:beforeLines="30" w:before="72" w:afterLines="30" w:after="72"/>
              <w:rPr>
                <w:rFonts w:cs="Arial"/>
                <w:strike/>
                <w:sz w:val="18"/>
                <w:szCs w:val="18"/>
              </w:rPr>
            </w:pPr>
          </w:p>
        </w:tc>
      </w:tr>
      <w:tr w:rsidR="00167F07" w:rsidRPr="00812C16" w14:paraId="28ECD226" w14:textId="77777777" w:rsidTr="006678A2">
        <w:tc>
          <w:tcPr>
            <w:tcW w:w="1696" w:type="dxa"/>
          </w:tcPr>
          <w:p w14:paraId="13D1BE7B" w14:textId="77777777" w:rsidR="00167F07" w:rsidRPr="00812C16" w:rsidRDefault="00167F07" w:rsidP="006678A2">
            <w:pPr>
              <w:spacing w:beforeLines="30" w:before="72" w:afterLines="30" w:after="72"/>
              <w:jc w:val="left"/>
              <w:rPr>
                <w:rFonts w:cs="Arial"/>
                <w:sz w:val="18"/>
                <w:szCs w:val="18"/>
              </w:rPr>
            </w:pPr>
            <w:r w:rsidRPr="00812C16">
              <w:rPr>
                <w:rFonts w:cs="Arial"/>
                <w:sz w:val="18"/>
                <w:szCs w:val="18"/>
              </w:rPr>
              <w:t>ECE-Status</w:t>
            </w:r>
          </w:p>
        </w:tc>
        <w:tc>
          <w:tcPr>
            <w:tcW w:w="1560" w:type="dxa"/>
          </w:tcPr>
          <w:p w14:paraId="70853E7C" w14:textId="77777777" w:rsidR="00167F07" w:rsidRPr="00812C16" w:rsidRDefault="00167F07" w:rsidP="006678A2">
            <w:pPr>
              <w:spacing w:beforeLines="30" w:before="72" w:afterLines="30" w:after="72"/>
              <w:jc w:val="center"/>
              <w:rPr>
                <w:rFonts w:cs="Arial"/>
                <w:sz w:val="18"/>
                <w:szCs w:val="18"/>
              </w:rPr>
            </w:pPr>
            <w:r w:rsidRPr="00812C16">
              <w:rPr>
                <w:rFonts w:cs="Arial"/>
                <w:sz w:val="18"/>
                <w:szCs w:val="18"/>
              </w:rPr>
              <w:t>--</w:t>
            </w:r>
          </w:p>
        </w:tc>
        <w:tc>
          <w:tcPr>
            <w:tcW w:w="850" w:type="dxa"/>
          </w:tcPr>
          <w:p w14:paraId="42BB1807" w14:textId="77777777" w:rsidR="00167F07" w:rsidRPr="00812C16" w:rsidRDefault="00167F07" w:rsidP="006678A2">
            <w:pPr>
              <w:spacing w:beforeLines="30" w:before="72" w:afterLines="30" w:after="72"/>
              <w:ind w:left="-110" w:right="-193"/>
              <w:jc w:val="center"/>
              <w:rPr>
                <w:rFonts w:cs="Arial"/>
                <w:sz w:val="18"/>
                <w:szCs w:val="18"/>
              </w:rPr>
            </w:pPr>
            <w:r w:rsidRPr="00812C16">
              <w:rPr>
                <w:rFonts w:cs="Arial"/>
                <w:sz w:val="18"/>
                <w:szCs w:val="18"/>
              </w:rPr>
              <w:t>--</w:t>
            </w:r>
          </w:p>
        </w:tc>
        <w:tc>
          <w:tcPr>
            <w:tcW w:w="1559" w:type="dxa"/>
          </w:tcPr>
          <w:p w14:paraId="1E959D7C" w14:textId="77777777" w:rsidR="00167F07" w:rsidRPr="00812C16" w:rsidRDefault="00167F07" w:rsidP="006678A2">
            <w:pPr>
              <w:spacing w:beforeLines="30" w:before="72" w:afterLines="30" w:after="72"/>
              <w:rPr>
                <w:rFonts w:cs="Arial"/>
                <w:sz w:val="18"/>
                <w:szCs w:val="18"/>
              </w:rPr>
            </w:pPr>
            <w:r w:rsidRPr="00812C16">
              <w:rPr>
                <w:rFonts w:cs="Arial"/>
                <w:sz w:val="18"/>
                <w:szCs w:val="18"/>
              </w:rPr>
              <w:t>3,12 (1,49-6,55)</w:t>
            </w:r>
          </w:p>
        </w:tc>
        <w:tc>
          <w:tcPr>
            <w:tcW w:w="851" w:type="dxa"/>
          </w:tcPr>
          <w:p w14:paraId="6CC768D3" w14:textId="77777777" w:rsidR="00167F07" w:rsidRPr="00812C16" w:rsidRDefault="00167F07" w:rsidP="006678A2">
            <w:pPr>
              <w:spacing w:beforeLines="30" w:before="72" w:afterLines="30" w:after="72"/>
              <w:jc w:val="center"/>
              <w:rPr>
                <w:rFonts w:cs="Arial"/>
                <w:b/>
                <w:bCs/>
                <w:sz w:val="18"/>
                <w:szCs w:val="18"/>
              </w:rPr>
            </w:pPr>
            <w:r w:rsidRPr="00812C16">
              <w:rPr>
                <w:rFonts w:cs="Arial"/>
                <w:b/>
                <w:bCs/>
                <w:sz w:val="18"/>
                <w:szCs w:val="18"/>
              </w:rPr>
              <w:t>0,003</w:t>
            </w:r>
          </w:p>
        </w:tc>
        <w:tc>
          <w:tcPr>
            <w:tcW w:w="1701" w:type="dxa"/>
          </w:tcPr>
          <w:p w14:paraId="390D4B22" w14:textId="77777777" w:rsidR="00167F07" w:rsidRPr="00812C16" w:rsidRDefault="00167F07" w:rsidP="006678A2">
            <w:pPr>
              <w:tabs>
                <w:tab w:val="right" w:pos="330"/>
                <w:tab w:val="right" w:pos="1181"/>
                <w:tab w:val="right" w:pos="1322"/>
              </w:tabs>
              <w:spacing w:beforeLines="30" w:before="72" w:afterLines="30" w:after="72"/>
              <w:jc w:val="center"/>
              <w:rPr>
                <w:rFonts w:cs="Arial"/>
                <w:sz w:val="18"/>
                <w:szCs w:val="18"/>
              </w:rPr>
            </w:pPr>
            <w:r w:rsidRPr="00812C16">
              <w:rPr>
                <w:rFonts w:cs="Arial"/>
                <w:sz w:val="18"/>
                <w:szCs w:val="18"/>
              </w:rPr>
              <w:t>1,72 (1,03-2,88)</w:t>
            </w:r>
          </w:p>
        </w:tc>
        <w:tc>
          <w:tcPr>
            <w:tcW w:w="855" w:type="dxa"/>
          </w:tcPr>
          <w:p w14:paraId="4E082128" w14:textId="77777777" w:rsidR="00167F07" w:rsidRPr="00812C16" w:rsidRDefault="00167F07" w:rsidP="006678A2">
            <w:pPr>
              <w:spacing w:beforeLines="30" w:before="72" w:afterLines="30" w:after="72"/>
              <w:ind w:left="-108" w:right="-104"/>
              <w:jc w:val="center"/>
              <w:rPr>
                <w:rFonts w:cs="Arial"/>
                <w:b/>
                <w:bCs/>
                <w:sz w:val="18"/>
                <w:szCs w:val="18"/>
              </w:rPr>
            </w:pPr>
            <w:r w:rsidRPr="00812C16">
              <w:rPr>
                <w:rFonts w:cs="Arial"/>
                <w:b/>
                <w:bCs/>
                <w:sz w:val="18"/>
                <w:szCs w:val="18"/>
              </w:rPr>
              <w:t>0,037</w:t>
            </w:r>
          </w:p>
        </w:tc>
      </w:tr>
      <w:tr w:rsidR="00167F07" w:rsidRPr="00812C16" w14:paraId="04B7EDE9" w14:textId="77777777" w:rsidTr="00DD0091">
        <w:tc>
          <w:tcPr>
            <w:tcW w:w="1696" w:type="dxa"/>
          </w:tcPr>
          <w:p w14:paraId="2046D4BF" w14:textId="77777777" w:rsidR="00167F07" w:rsidRPr="00812C16" w:rsidRDefault="00167F07" w:rsidP="006678A2">
            <w:pPr>
              <w:spacing w:beforeLines="30" w:before="72" w:afterLines="30" w:after="72"/>
              <w:jc w:val="left"/>
              <w:rPr>
                <w:rFonts w:cs="Arial"/>
                <w:sz w:val="18"/>
                <w:szCs w:val="18"/>
              </w:rPr>
            </w:pPr>
            <w:r w:rsidRPr="00812C16">
              <w:rPr>
                <w:rFonts w:cs="Arial"/>
                <w:sz w:val="18"/>
                <w:szCs w:val="18"/>
              </w:rPr>
              <w:t>Mundhöhlen CA</w:t>
            </w:r>
          </w:p>
        </w:tc>
        <w:tc>
          <w:tcPr>
            <w:tcW w:w="1560" w:type="dxa"/>
          </w:tcPr>
          <w:p w14:paraId="585C6E2A" w14:textId="77777777" w:rsidR="00167F07" w:rsidRPr="00812C16" w:rsidRDefault="00167F07" w:rsidP="006678A2">
            <w:pPr>
              <w:spacing w:beforeLines="30" w:before="72" w:afterLines="30" w:after="72"/>
              <w:jc w:val="center"/>
              <w:rPr>
                <w:rFonts w:cs="Arial"/>
                <w:sz w:val="18"/>
                <w:szCs w:val="18"/>
              </w:rPr>
            </w:pPr>
            <w:r w:rsidRPr="00812C16">
              <w:rPr>
                <w:rFonts w:cs="Arial"/>
                <w:sz w:val="18"/>
                <w:szCs w:val="18"/>
              </w:rPr>
              <w:t>--</w:t>
            </w:r>
          </w:p>
        </w:tc>
        <w:tc>
          <w:tcPr>
            <w:tcW w:w="850" w:type="dxa"/>
          </w:tcPr>
          <w:p w14:paraId="6CFB25BC" w14:textId="77777777" w:rsidR="00167F07" w:rsidRPr="00812C16" w:rsidRDefault="00167F07" w:rsidP="006678A2">
            <w:pPr>
              <w:spacing w:beforeLines="30" w:before="72" w:afterLines="30" w:after="72"/>
              <w:ind w:left="-110" w:right="-193"/>
              <w:jc w:val="center"/>
              <w:rPr>
                <w:rFonts w:cs="Arial"/>
                <w:sz w:val="18"/>
                <w:szCs w:val="18"/>
              </w:rPr>
            </w:pPr>
            <w:r w:rsidRPr="00812C16">
              <w:rPr>
                <w:rFonts w:cs="Arial"/>
                <w:sz w:val="18"/>
                <w:szCs w:val="18"/>
              </w:rPr>
              <w:t>--</w:t>
            </w:r>
          </w:p>
        </w:tc>
        <w:tc>
          <w:tcPr>
            <w:tcW w:w="1559" w:type="dxa"/>
          </w:tcPr>
          <w:p w14:paraId="79E38D63" w14:textId="77777777" w:rsidR="00167F07" w:rsidRPr="00812C16" w:rsidRDefault="00167F07" w:rsidP="006678A2">
            <w:pPr>
              <w:spacing w:beforeLines="30" w:before="72" w:afterLines="30" w:after="72"/>
              <w:rPr>
                <w:rFonts w:cs="Arial"/>
                <w:sz w:val="18"/>
                <w:szCs w:val="18"/>
              </w:rPr>
            </w:pPr>
            <w:r w:rsidRPr="00812C16">
              <w:rPr>
                <w:rFonts w:cs="Arial"/>
                <w:sz w:val="18"/>
                <w:szCs w:val="18"/>
              </w:rPr>
              <w:t>0,62 (0,27-1,42)</w:t>
            </w:r>
          </w:p>
        </w:tc>
        <w:tc>
          <w:tcPr>
            <w:tcW w:w="851" w:type="dxa"/>
          </w:tcPr>
          <w:p w14:paraId="29B404FB" w14:textId="77777777" w:rsidR="00167F07" w:rsidRPr="00812C16" w:rsidRDefault="00167F07" w:rsidP="006678A2">
            <w:pPr>
              <w:spacing w:beforeLines="30" w:before="72" w:afterLines="30" w:after="72"/>
              <w:jc w:val="center"/>
              <w:rPr>
                <w:rFonts w:cs="Arial"/>
                <w:sz w:val="18"/>
                <w:szCs w:val="18"/>
              </w:rPr>
            </w:pPr>
            <w:r w:rsidRPr="00812C16">
              <w:rPr>
                <w:rFonts w:cs="Arial"/>
                <w:sz w:val="18"/>
                <w:szCs w:val="18"/>
              </w:rPr>
              <w:t>0,257</w:t>
            </w:r>
          </w:p>
        </w:tc>
        <w:tc>
          <w:tcPr>
            <w:tcW w:w="1701" w:type="dxa"/>
          </w:tcPr>
          <w:p w14:paraId="7A2FC7F4" w14:textId="77777777" w:rsidR="00167F07" w:rsidRPr="00812C16" w:rsidRDefault="00167F07" w:rsidP="006678A2">
            <w:pPr>
              <w:tabs>
                <w:tab w:val="right" w:pos="330"/>
                <w:tab w:val="right" w:pos="1181"/>
                <w:tab w:val="right" w:pos="1322"/>
              </w:tabs>
              <w:spacing w:beforeLines="30" w:before="72" w:afterLines="30" w:after="72"/>
              <w:jc w:val="center"/>
              <w:rPr>
                <w:rFonts w:cs="Arial"/>
                <w:sz w:val="18"/>
                <w:szCs w:val="18"/>
              </w:rPr>
            </w:pPr>
            <w:r w:rsidRPr="00812C16">
              <w:rPr>
                <w:rFonts w:cs="Arial"/>
                <w:sz w:val="18"/>
                <w:szCs w:val="18"/>
              </w:rPr>
              <w:t>2,27 (1,01-5,12)</w:t>
            </w:r>
          </w:p>
        </w:tc>
        <w:tc>
          <w:tcPr>
            <w:tcW w:w="855" w:type="dxa"/>
          </w:tcPr>
          <w:p w14:paraId="1616D361" w14:textId="77777777" w:rsidR="00167F07" w:rsidRPr="00812C16" w:rsidRDefault="00167F07" w:rsidP="006678A2">
            <w:pPr>
              <w:spacing w:beforeLines="30" w:before="72" w:afterLines="30" w:after="72"/>
              <w:jc w:val="center"/>
              <w:rPr>
                <w:rFonts w:cs="Arial"/>
                <w:b/>
                <w:bCs/>
                <w:sz w:val="18"/>
                <w:szCs w:val="18"/>
              </w:rPr>
            </w:pPr>
            <w:r w:rsidRPr="00812C16">
              <w:rPr>
                <w:rFonts w:cs="Arial"/>
                <w:b/>
                <w:bCs/>
                <w:sz w:val="18"/>
                <w:szCs w:val="18"/>
              </w:rPr>
              <w:t>0,048</w:t>
            </w:r>
          </w:p>
        </w:tc>
      </w:tr>
      <w:tr w:rsidR="00167F07" w:rsidRPr="00812C16" w14:paraId="2F5C2AAC" w14:textId="77777777" w:rsidTr="00DD0091">
        <w:tc>
          <w:tcPr>
            <w:tcW w:w="1696" w:type="dxa"/>
            <w:tcBorders>
              <w:bottom w:val="single" w:sz="4" w:space="0" w:color="000000" w:themeColor="text1"/>
            </w:tcBorders>
          </w:tcPr>
          <w:p w14:paraId="1F2EA391" w14:textId="77777777" w:rsidR="00167F07" w:rsidRPr="00812C16" w:rsidRDefault="00167F07" w:rsidP="006678A2">
            <w:pPr>
              <w:spacing w:beforeLines="30" w:before="72" w:afterLines="30" w:after="72"/>
              <w:jc w:val="left"/>
              <w:rPr>
                <w:rFonts w:cs="Arial"/>
                <w:sz w:val="18"/>
                <w:szCs w:val="18"/>
              </w:rPr>
            </w:pPr>
            <w:r w:rsidRPr="00812C16">
              <w:rPr>
                <w:rFonts w:cs="Arial"/>
                <w:sz w:val="18"/>
                <w:szCs w:val="18"/>
              </w:rPr>
              <w:t>Oropharynx CA</w:t>
            </w:r>
          </w:p>
        </w:tc>
        <w:tc>
          <w:tcPr>
            <w:tcW w:w="1560" w:type="dxa"/>
            <w:tcBorders>
              <w:bottom w:val="single" w:sz="4" w:space="0" w:color="000000" w:themeColor="text1"/>
            </w:tcBorders>
          </w:tcPr>
          <w:p w14:paraId="5B45B3B0" w14:textId="77777777" w:rsidR="00167F07" w:rsidRPr="00812C16" w:rsidRDefault="00167F07" w:rsidP="006678A2">
            <w:pPr>
              <w:spacing w:beforeLines="30" w:before="72" w:afterLines="30" w:after="72"/>
              <w:jc w:val="center"/>
              <w:rPr>
                <w:rFonts w:cs="Arial"/>
                <w:sz w:val="18"/>
                <w:szCs w:val="18"/>
              </w:rPr>
            </w:pPr>
            <w:r w:rsidRPr="00812C16">
              <w:rPr>
                <w:rFonts w:cs="Arial"/>
                <w:sz w:val="18"/>
                <w:szCs w:val="18"/>
              </w:rPr>
              <w:t>--</w:t>
            </w:r>
          </w:p>
        </w:tc>
        <w:tc>
          <w:tcPr>
            <w:tcW w:w="850" w:type="dxa"/>
            <w:tcBorders>
              <w:bottom w:val="single" w:sz="4" w:space="0" w:color="000000" w:themeColor="text1"/>
            </w:tcBorders>
          </w:tcPr>
          <w:p w14:paraId="1C0B41C1" w14:textId="77777777" w:rsidR="00167F07" w:rsidRPr="00812C16" w:rsidRDefault="00167F07" w:rsidP="006678A2">
            <w:pPr>
              <w:spacing w:beforeLines="30" w:before="72" w:afterLines="30" w:after="72"/>
              <w:ind w:left="-110" w:right="-193"/>
              <w:jc w:val="center"/>
              <w:rPr>
                <w:rFonts w:cs="Arial"/>
                <w:sz w:val="18"/>
                <w:szCs w:val="18"/>
              </w:rPr>
            </w:pPr>
            <w:r w:rsidRPr="00812C16">
              <w:rPr>
                <w:rFonts w:cs="Arial"/>
                <w:sz w:val="18"/>
                <w:szCs w:val="18"/>
              </w:rPr>
              <w:t>--</w:t>
            </w:r>
          </w:p>
        </w:tc>
        <w:tc>
          <w:tcPr>
            <w:tcW w:w="1559" w:type="dxa"/>
            <w:tcBorders>
              <w:bottom w:val="single" w:sz="4" w:space="0" w:color="000000" w:themeColor="text1"/>
            </w:tcBorders>
          </w:tcPr>
          <w:p w14:paraId="76E64248" w14:textId="77777777" w:rsidR="00167F07" w:rsidRPr="00812C16" w:rsidRDefault="00167F07" w:rsidP="006678A2">
            <w:pPr>
              <w:spacing w:beforeLines="30" w:before="72" w:afterLines="30" w:after="72"/>
              <w:rPr>
                <w:rFonts w:cs="Arial"/>
                <w:sz w:val="18"/>
                <w:szCs w:val="18"/>
              </w:rPr>
            </w:pPr>
            <w:r w:rsidRPr="00812C16">
              <w:rPr>
                <w:rFonts w:cs="Arial"/>
                <w:sz w:val="18"/>
                <w:szCs w:val="18"/>
              </w:rPr>
              <w:t>0,30 (0,12-0,71)</w:t>
            </w:r>
          </w:p>
        </w:tc>
        <w:tc>
          <w:tcPr>
            <w:tcW w:w="851" w:type="dxa"/>
            <w:tcBorders>
              <w:bottom w:val="single" w:sz="4" w:space="0" w:color="000000" w:themeColor="text1"/>
            </w:tcBorders>
          </w:tcPr>
          <w:p w14:paraId="7A89B4B2" w14:textId="77777777" w:rsidR="00167F07" w:rsidRPr="00812C16" w:rsidRDefault="00167F07" w:rsidP="006678A2">
            <w:pPr>
              <w:spacing w:beforeLines="30" w:before="72" w:afterLines="30" w:after="72"/>
              <w:jc w:val="center"/>
              <w:rPr>
                <w:rFonts w:cs="Arial"/>
                <w:b/>
                <w:bCs/>
                <w:sz w:val="18"/>
                <w:szCs w:val="18"/>
              </w:rPr>
            </w:pPr>
            <w:r w:rsidRPr="00812C16">
              <w:rPr>
                <w:rFonts w:cs="Arial"/>
                <w:b/>
                <w:bCs/>
                <w:sz w:val="18"/>
                <w:szCs w:val="18"/>
              </w:rPr>
              <w:t>0,006</w:t>
            </w:r>
          </w:p>
        </w:tc>
        <w:tc>
          <w:tcPr>
            <w:tcW w:w="1701" w:type="dxa"/>
            <w:tcBorders>
              <w:bottom w:val="single" w:sz="4" w:space="0" w:color="000000" w:themeColor="text1"/>
            </w:tcBorders>
          </w:tcPr>
          <w:p w14:paraId="0FE60A47" w14:textId="77777777" w:rsidR="00167F07" w:rsidRPr="00812C16" w:rsidRDefault="00167F07" w:rsidP="006678A2">
            <w:pPr>
              <w:tabs>
                <w:tab w:val="right" w:pos="330"/>
                <w:tab w:val="right" w:pos="1181"/>
                <w:tab w:val="right" w:pos="1322"/>
              </w:tabs>
              <w:spacing w:beforeLines="30" w:before="72" w:afterLines="30" w:after="72"/>
              <w:jc w:val="center"/>
              <w:rPr>
                <w:rFonts w:cs="Arial"/>
                <w:sz w:val="18"/>
                <w:szCs w:val="18"/>
              </w:rPr>
            </w:pPr>
            <w:r w:rsidRPr="00812C16">
              <w:rPr>
                <w:rFonts w:cs="Arial"/>
                <w:sz w:val="18"/>
                <w:szCs w:val="18"/>
              </w:rPr>
              <w:t>1,37 (0,62-3,05)</w:t>
            </w:r>
          </w:p>
        </w:tc>
        <w:tc>
          <w:tcPr>
            <w:tcW w:w="855" w:type="dxa"/>
            <w:tcBorders>
              <w:bottom w:val="single" w:sz="4" w:space="0" w:color="000000" w:themeColor="text1"/>
            </w:tcBorders>
          </w:tcPr>
          <w:p w14:paraId="0724F1C8" w14:textId="77777777" w:rsidR="00167F07" w:rsidRPr="00812C16" w:rsidRDefault="00167F07" w:rsidP="006678A2">
            <w:pPr>
              <w:spacing w:beforeLines="30" w:before="72" w:afterLines="30" w:after="72"/>
              <w:jc w:val="center"/>
              <w:rPr>
                <w:rFonts w:cs="Arial"/>
                <w:sz w:val="18"/>
                <w:szCs w:val="18"/>
              </w:rPr>
            </w:pPr>
            <w:r w:rsidRPr="00812C16">
              <w:rPr>
                <w:rFonts w:cs="Arial"/>
                <w:sz w:val="18"/>
                <w:szCs w:val="18"/>
              </w:rPr>
              <w:t>0,435</w:t>
            </w:r>
          </w:p>
        </w:tc>
      </w:tr>
      <w:tr w:rsidR="00167F07" w:rsidRPr="00812C16" w14:paraId="42B3ADAC" w14:textId="77777777" w:rsidTr="00DD0091">
        <w:tc>
          <w:tcPr>
            <w:tcW w:w="9072" w:type="dxa"/>
            <w:gridSpan w:val="7"/>
            <w:tcBorders>
              <w:top w:val="single" w:sz="4" w:space="0" w:color="000000" w:themeColor="text1"/>
            </w:tcBorders>
          </w:tcPr>
          <w:p w14:paraId="7DDDD7FB" w14:textId="3BC5AFD0" w:rsidR="00167F07" w:rsidRPr="00812C16" w:rsidRDefault="00167F07" w:rsidP="006678A2">
            <w:pPr>
              <w:spacing w:beforeLines="30" w:before="72" w:afterLines="30" w:after="72"/>
              <w:jc w:val="left"/>
              <w:rPr>
                <w:rFonts w:cs="Arial"/>
                <w:sz w:val="18"/>
                <w:szCs w:val="18"/>
              </w:rPr>
            </w:pPr>
            <w:r w:rsidRPr="00812C16">
              <w:rPr>
                <w:rFonts w:cs="Arial"/>
                <w:sz w:val="18"/>
                <w:szCs w:val="18"/>
              </w:rPr>
              <w:t xml:space="preserve">*  Da es kein Ereignis in der CD44 negativen Gruppe gab (siehe </w:t>
            </w:r>
            <w:r w:rsidRPr="00812C16">
              <w:rPr>
                <w:rFonts w:cs="Arial"/>
                <w:sz w:val="18"/>
                <w:szCs w:val="18"/>
              </w:rPr>
              <w:fldChar w:fldCharType="begin"/>
            </w:r>
            <w:r w:rsidRPr="00812C16">
              <w:rPr>
                <w:rFonts w:cs="Arial"/>
                <w:sz w:val="18"/>
                <w:szCs w:val="18"/>
              </w:rPr>
              <w:instrText xml:space="preserve"> REF _Ref90825960 \h  \* MERGEFORMAT </w:instrText>
            </w:r>
            <w:r w:rsidRPr="00812C16">
              <w:rPr>
                <w:rFonts w:cs="Arial"/>
                <w:sz w:val="18"/>
                <w:szCs w:val="18"/>
              </w:rPr>
            </w:r>
            <w:r w:rsidRPr="00812C16">
              <w:rPr>
                <w:rFonts w:cs="Arial"/>
                <w:sz w:val="18"/>
                <w:szCs w:val="18"/>
              </w:rPr>
              <w:fldChar w:fldCharType="separate"/>
            </w:r>
            <w:r w:rsidR="00F67803" w:rsidRPr="00F67803">
              <w:rPr>
                <w:color w:val="000000" w:themeColor="text1"/>
                <w:sz w:val="18"/>
                <w:szCs w:val="18"/>
              </w:rPr>
              <w:t xml:space="preserve">Tabelle </w:t>
            </w:r>
            <w:r w:rsidR="00F67803" w:rsidRPr="00F67803">
              <w:rPr>
                <w:noProof/>
                <w:color w:val="000000" w:themeColor="text1"/>
                <w:sz w:val="18"/>
                <w:szCs w:val="18"/>
              </w:rPr>
              <w:t>4</w:t>
            </w:r>
            <w:r w:rsidR="00F67803" w:rsidRPr="00F67803">
              <w:rPr>
                <w:noProof/>
                <w:color w:val="000000" w:themeColor="text1"/>
                <w:sz w:val="18"/>
                <w:szCs w:val="18"/>
              </w:rPr>
              <w:noBreakHyphen/>
              <w:t>7</w:t>
            </w:r>
            <w:r w:rsidRPr="00812C16">
              <w:rPr>
                <w:rFonts w:cs="Arial"/>
                <w:sz w:val="18"/>
                <w:szCs w:val="18"/>
              </w:rPr>
              <w:fldChar w:fldCharType="end"/>
            </w:r>
            <w:r w:rsidRPr="00812C16">
              <w:rPr>
                <w:rFonts w:cs="Arial"/>
                <w:sz w:val="18"/>
                <w:szCs w:val="18"/>
              </w:rPr>
              <w:t>)</w:t>
            </w:r>
          </w:p>
        </w:tc>
      </w:tr>
      <w:tr w:rsidR="00566B51" w:rsidRPr="000729F8" w14:paraId="4B99433D" w14:textId="77777777" w:rsidTr="00DD0091">
        <w:tc>
          <w:tcPr>
            <w:tcW w:w="9072" w:type="dxa"/>
            <w:gridSpan w:val="7"/>
          </w:tcPr>
          <w:p w14:paraId="021A7222" w14:textId="77777777" w:rsidR="00566B51" w:rsidRPr="00812C16" w:rsidRDefault="00566B51" w:rsidP="00566B51">
            <w:pPr>
              <w:rPr>
                <w:sz w:val="18"/>
                <w:szCs w:val="18"/>
                <w:lang w:val="en-US" w:eastAsia="de-DE"/>
              </w:rPr>
            </w:pPr>
            <w:r w:rsidRPr="00812C16">
              <w:rPr>
                <w:sz w:val="18"/>
                <w:szCs w:val="18"/>
                <w:lang w:val="en-US" w:eastAsia="de-DE"/>
              </w:rPr>
              <w:t xml:space="preserve">** vs. Other HPV- </w:t>
            </w:r>
            <w:proofErr w:type="spellStart"/>
            <w:r w:rsidRPr="00812C16">
              <w:rPr>
                <w:sz w:val="18"/>
                <w:szCs w:val="18"/>
                <w:lang w:val="en-US" w:eastAsia="de-DE"/>
              </w:rPr>
              <w:t>bzw</w:t>
            </w:r>
            <w:proofErr w:type="spellEnd"/>
            <w:r w:rsidRPr="00812C16">
              <w:rPr>
                <w:sz w:val="18"/>
                <w:szCs w:val="18"/>
                <w:lang w:val="en-US" w:eastAsia="de-DE"/>
              </w:rPr>
              <w:t>. *CD44 -</w:t>
            </w:r>
          </w:p>
        </w:tc>
      </w:tr>
    </w:tbl>
    <w:p w14:paraId="51B5608A" w14:textId="77777777" w:rsidR="00AB3A29" w:rsidRPr="00812C16" w:rsidRDefault="005F3ACA" w:rsidP="00402210">
      <w:pPr>
        <w:spacing w:before="360"/>
        <w:rPr>
          <w:rFonts w:cs="Arial"/>
          <w:lang w:eastAsia="de-DE"/>
        </w:rPr>
      </w:pPr>
      <w:r w:rsidRPr="00812C16">
        <w:rPr>
          <w:rFonts w:cs="Arial"/>
          <w:lang w:eastAsia="de-DE"/>
        </w:rPr>
        <w:t xml:space="preserve">In beiden </w:t>
      </w:r>
      <w:r w:rsidR="00E429BA" w:rsidRPr="00812C16">
        <w:rPr>
          <w:rFonts w:cs="Arial"/>
          <w:lang w:eastAsia="de-DE"/>
        </w:rPr>
        <w:t>Kohorten</w:t>
      </w:r>
      <w:r w:rsidRPr="00812C16">
        <w:rPr>
          <w:rFonts w:cs="Arial"/>
          <w:lang w:eastAsia="de-DE"/>
        </w:rPr>
        <w:t xml:space="preserve"> zeigten </w:t>
      </w:r>
      <w:r w:rsidR="001D7EF2" w:rsidRPr="00812C16">
        <w:rPr>
          <w:rFonts w:cs="Arial"/>
          <w:lang w:eastAsia="de-DE"/>
        </w:rPr>
        <w:t>multivariaten Analyse</w:t>
      </w:r>
      <w:r w:rsidR="00566B51" w:rsidRPr="00812C16">
        <w:rPr>
          <w:rFonts w:cs="Arial"/>
          <w:lang w:eastAsia="de-DE"/>
        </w:rPr>
        <w:t>n</w:t>
      </w:r>
      <w:r w:rsidR="001D7EF2" w:rsidRPr="00812C16">
        <w:rPr>
          <w:rFonts w:cs="Arial"/>
          <w:lang w:eastAsia="de-DE"/>
        </w:rPr>
        <w:t xml:space="preserve"> </w:t>
      </w:r>
      <w:r w:rsidRPr="00812C16">
        <w:rPr>
          <w:rFonts w:cs="Arial"/>
          <w:lang w:eastAsia="de-DE"/>
        </w:rPr>
        <w:t>für</w:t>
      </w:r>
      <w:r w:rsidR="001D7EF2" w:rsidRPr="00812C16">
        <w:rPr>
          <w:rFonts w:cs="Arial"/>
          <w:lang w:eastAsia="de-DE"/>
        </w:rPr>
        <w:t xml:space="preserve"> </w:t>
      </w:r>
      <w:r w:rsidR="001D7EF2" w:rsidRPr="00812C16">
        <w:rPr>
          <w:rFonts w:cs="Arial"/>
          <w:b/>
          <w:bCs/>
          <w:lang w:eastAsia="de-DE"/>
        </w:rPr>
        <w:t>CD44-Protein</w:t>
      </w:r>
      <w:r w:rsidR="001D7EF2" w:rsidRPr="00812C16">
        <w:rPr>
          <w:rFonts w:cs="Arial"/>
          <w:lang w:eastAsia="de-DE"/>
        </w:rPr>
        <w:t xml:space="preserve"> keinen signifikanten Zusammenhang mit einem der drei Endpunkte</w:t>
      </w:r>
      <w:r w:rsidR="0017505B" w:rsidRPr="00812C16">
        <w:rPr>
          <w:rFonts w:cs="Arial"/>
          <w:lang w:eastAsia="de-DE"/>
        </w:rPr>
        <w:t>.</w:t>
      </w:r>
      <w:r w:rsidRPr="00812C16">
        <w:rPr>
          <w:rFonts w:cs="Arial"/>
          <w:lang w:eastAsia="de-DE"/>
        </w:rPr>
        <w:t xml:space="preserve"> </w:t>
      </w:r>
      <w:r w:rsidR="007A1228" w:rsidRPr="00812C16">
        <w:rPr>
          <w:rFonts w:cs="Arial"/>
          <w:lang w:eastAsia="de-DE"/>
        </w:rPr>
        <w:t xml:space="preserve">Patienten mit einem </w:t>
      </w:r>
      <w:r w:rsidR="000E4A4F" w:rsidRPr="00812C16">
        <w:rPr>
          <w:rFonts w:cs="Arial"/>
          <w:b/>
          <w:bCs/>
          <w:lang w:eastAsia="de-DE"/>
        </w:rPr>
        <w:t>HPV16</w:t>
      </w:r>
      <w:r w:rsidR="000E4A4F" w:rsidRPr="00812C16">
        <w:rPr>
          <w:rFonts w:cs="Arial"/>
          <w:lang w:eastAsia="de-DE"/>
        </w:rPr>
        <w:t xml:space="preserve"> </w:t>
      </w:r>
      <w:r w:rsidR="00566B51" w:rsidRPr="00812C16">
        <w:rPr>
          <w:rFonts w:cs="Arial"/>
          <w:lang w:eastAsia="de-DE"/>
        </w:rPr>
        <w:t>DNA</w:t>
      </w:r>
      <w:r w:rsidR="002C105F" w:rsidRPr="00812C16">
        <w:rPr>
          <w:rFonts w:cs="Arial"/>
          <w:lang w:eastAsia="de-DE"/>
        </w:rPr>
        <w:t>-</w:t>
      </w:r>
      <w:r w:rsidR="000E4A4F" w:rsidRPr="00812C16">
        <w:rPr>
          <w:rFonts w:cs="Arial"/>
          <w:lang w:eastAsia="de-DE"/>
        </w:rPr>
        <w:t>positiven Tumor</w:t>
      </w:r>
      <w:r w:rsidR="007A1228" w:rsidRPr="00812C16">
        <w:rPr>
          <w:rFonts w:cs="Arial"/>
          <w:lang w:eastAsia="de-DE"/>
        </w:rPr>
        <w:t xml:space="preserve"> hatten</w:t>
      </w:r>
      <w:r w:rsidR="002C105F" w:rsidRPr="00812C16">
        <w:rPr>
          <w:rFonts w:cs="Arial"/>
          <w:lang w:eastAsia="de-DE"/>
        </w:rPr>
        <w:t xml:space="preserve"> schätzungsweise</w:t>
      </w:r>
      <w:r w:rsidR="007A1228" w:rsidRPr="00812C16">
        <w:rPr>
          <w:rFonts w:cs="Arial"/>
          <w:lang w:eastAsia="de-DE"/>
        </w:rPr>
        <w:t xml:space="preserve"> ein um </w:t>
      </w:r>
      <w:r w:rsidR="000E4A4F" w:rsidRPr="00812C16">
        <w:rPr>
          <w:rFonts w:cs="Arial"/>
          <w:lang w:eastAsia="de-DE"/>
        </w:rPr>
        <w:t>80</w:t>
      </w:r>
      <w:r w:rsidR="007A1228" w:rsidRPr="00812C16">
        <w:rPr>
          <w:rFonts w:cs="Arial"/>
          <w:lang w:eastAsia="de-DE"/>
        </w:rPr>
        <w:t>%</w:t>
      </w:r>
      <w:r w:rsidR="000E4A4F" w:rsidRPr="00812C16">
        <w:rPr>
          <w:rFonts w:cs="Arial"/>
          <w:lang w:eastAsia="de-DE"/>
        </w:rPr>
        <w:t xml:space="preserve"> reduziertes Ris</w:t>
      </w:r>
      <w:r w:rsidR="00205C9B" w:rsidRPr="00812C16">
        <w:rPr>
          <w:rFonts w:cs="Arial"/>
          <w:lang w:eastAsia="de-DE"/>
        </w:rPr>
        <w:t>i</w:t>
      </w:r>
      <w:r w:rsidR="000E4A4F" w:rsidRPr="00812C16">
        <w:rPr>
          <w:rFonts w:cs="Arial"/>
          <w:lang w:eastAsia="de-DE"/>
        </w:rPr>
        <w:t>ko für ein lokales oder region</w:t>
      </w:r>
      <w:r w:rsidR="002C105F" w:rsidRPr="00812C16">
        <w:rPr>
          <w:rFonts w:cs="Arial"/>
          <w:lang w:eastAsia="de-DE"/>
        </w:rPr>
        <w:t>ales</w:t>
      </w:r>
      <w:r w:rsidR="000E4A4F" w:rsidRPr="00812C16">
        <w:rPr>
          <w:rFonts w:cs="Arial"/>
          <w:lang w:eastAsia="de-DE"/>
        </w:rPr>
        <w:t xml:space="preserve"> Rezidiv (HR 0,2; p=0,038)</w:t>
      </w:r>
      <w:r w:rsidR="003C313B" w:rsidRPr="00812C16">
        <w:rPr>
          <w:rFonts w:cs="Arial"/>
          <w:lang w:eastAsia="de-DE"/>
        </w:rPr>
        <w:t xml:space="preserve"> sowie ein um 68% </w:t>
      </w:r>
      <w:r w:rsidR="00205C9B" w:rsidRPr="00812C16">
        <w:rPr>
          <w:rFonts w:cs="Arial"/>
          <w:lang w:eastAsia="de-DE"/>
        </w:rPr>
        <w:t>bessere Überlebe</w:t>
      </w:r>
      <w:r w:rsidR="00ED55A8" w:rsidRPr="00812C16">
        <w:rPr>
          <w:rFonts w:cs="Arial"/>
          <w:lang w:eastAsia="de-DE"/>
        </w:rPr>
        <w:t>nschance</w:t>
      </w:r>
      <w:r w:rsidR="00205C9B" w:rsidRPr="00812C16">
        <w:rPr>
          <w:rFonts w:cs="Arial"/>
          <w:lang w:eastAsia="de-DE"/>
        </w:rPr>
        <w:t xml:space="preserve"> </w:t>
      </w:r>
      <w:r w:rsidR="0014334D" w:rsidRPr="00812C16">
        <w:rPr>
          <w:rFonts w:cs="Arial"/>
          <w:lang w:eastAsia="de-DE"/>
        </w:rPr>
        <w:t xml:space="preserve">(HR 0,32; p=0,003) </w:t>
      </w:r>
      <w:r w:rsidR="003C313B" w:rsidRPr="00812C16">
        <w:rPr>
          <w:rFonts w:cs="Arial"/>
          <w:lang w:eastAsia="de-DE"/>
        </w:rPr>
        <w:t xml:space="preserve">gegenüber Patienten mit einem HPV16 </w:t>
      </w:r>
      <w:r w:rsidR="00A55BC7" w:rsidRPr="00812C16">
        <w:rPr>
          <w:rFonts w:cs="Arial"/>
          <w:lang w:eastAsia="de-DE"/>
        </w:rPr>
        <w:t>DNA-</w:t>
      </w:r>
      <w:r w:rsidR="003C313B" w:rsidRPr="00812C16">
        <w:rPr>
          <w:rFonts w:cs="Arial"/>
          <w:lang w:eastAsia="de-DE"/>
        </w:rPr>
        <w:t xml:space="preserve">negativen Tumor (Referenzgruppe). </w:t>
      </w:r>
      <w:r w:rsidR="007F2655" w:rsidRPr="00812C16">
        <w:rPr>
          <w:rFonts w:cs="Arial"/>
          <w:lang w:eastAsia="de-DE"/>
        </w:rPr>
        <w:t>Die multivariate Bewertung der sekundären Endpunkte</w:t>
      </w:r>
      <w:r w:rsidR="00A86363" w:rsidRPr="00812C16">
        <w:rPr>
          <w:rFonts w:cs="Arial"/>
          <w:lang w:eastAsia="de-DE"/>
        </w:rPr>
        <w:t xml:space="preserve"> </w:t>
      </w:r>
      <w:r w:rsidR="007F2655" w:rsidRPr="00812C16">
        <w:rPr>
          <w:rFonts w:cs="Arial"/>
          <w:lang w:eastAsia="de-DE"/>
        </w:rPr>
        <w:t xml:space="preserve">ergab einen signifikanten Zusammenhang zwischen </w:t>
      </w:r>
      <w:r w:rsidR="00A86363" w:rsidRPr="00812C16">
        <w:rPr>
          <w:rFonts w:cs="Arial"/>
          <w:lang w:eastAsia="de-DE"/>
        </w:rPr>
        <w:t xml:space="preserve">positiven </w:t>
      </w:r>
      <w:r w:rsidR="00A86363" w:rsidRPr="00812C16">
        <w:rPr>
          <w:rFonts w:cs="Arial"/>
          <w:b/>
          <w:bCs/>
          <w:lang w:eastAsia="de-DE"/>
        </w:rPr>
        <w:t>ECE-Status</w:t>
      </w:r>
      <w:r w:rsidR="007F2655" w:rsidRPr="00812C16">
        <w:rPr>
          <w:rFonts w:cs="Arial"/>
          <w:lang w:eastAsia="de-DE"/>
        </w:rPr>
        <w:t xml:space="preserve"> mit dem Gesamtüberleben</w:t>
      </w:r>
      <w:r w:rsidR="00E429BA" w:rsidRPr="00812C16">
        <w:rPr>
          <w:rFonts w:cs="Arial"/>
          <w:lang w:eastAsia="de-DE"/>
        </w:rPr>
        <w:t xml:space="preserve"> (OS)</w:t>
      </w:r>
      <w:r w:rsidR="00A86363" w:rsidRPr="00812C16">
        <w:rPr>
          <w:rFonts w:cs="Arial"/>
          <w:lang w:eastAsia="de-DE"/>
        </w:rPr>
        <w:t xml:space="preserve"> und </w:t>
      </w:r>
      <w:r w:rsidR="007F2655" w:rsidRPr="00812C16">
        <w:rPr>
          <w:rFonts w:cs="Arial"/>
          <w:lang w:eastAsia="de-DE"/>
        </w:rPr>
        <w:t xml:space="preserve">mit </w:t>
      </w:r>
      <w:r w:rsidR="00E429BA" w:rsidRPr="00812C16">
        <w:rPr>
          <w:rFonts w:cs="Arial"/>
          <w:lang w:eastAsia="de-DE"/>
        </w:rPr>
        <w:t xml:space="preserve">Fernmetastasen-freies Überleben (DMS) sowohl in der </w:t>
      </w:r>
      <w:r w:rsidR="00A86363" w:rsidRPr="00812C16">
        <w:rPr>
          <w:rFonts w:cs="Arial"/>
          <w:lang w:eastAsia="de-DE"/>
        </w:rPr>
        <w:t>Gesamtpopulation (DMS: HR 3,16, p=0,002; OS: HR 1,71, p=0,039) als auch in der Gruppe der HPV</w:t>
      </w:r>
      <w:r w:rsidR="00E429BA" w:rsidRPr="00812C16">
        <w:rPr>
          <w:rFonts w:cs="Arial"/>
          <w:lang w:eastAsia="de-DE"/>
        </w:rPr>
        <w:t>16 DNA</w:t>
      </w:r>
      <w:r w:rsidR="00A86363" w:rsidRPr="00812C16">
        <w:rPr>
          <w:rFonts w:cs="Arial"/>
          <w:lang w:eastAsia="de-DE"/>
        </w:rPr>
        <w:t>-</w:t>
      </w:r>
      <w:r w:rsidR="00E429BA" w:rsidRPr="00812C16">
        <w:rPr>
          <w:rFonts w:cs="Arial"/>
          <w:lang w:eastAsia="de-DE"/>
        </w:rPr>
        <w:t>negativen</w:t>
      </w:r>
      <w:r w:rsidR="00A86363" w:rsidRPr="00812C16">
        <w:rPr>
          <w:rFonts w:cs="Arial"/>
          <w:lang w:eastAsia="de-DE"/>
        </w:rPr>
        <w:t xml:space="preserve"> Tumorkohorte</w:t>
      </w:r>
      <w:r w:rsidR="00E429BA" w:rsidRPr="00812C16">
        <w:rPr>
          <w:rFonts w:cs="Arial"/>
          <w:lang w:eastAsia="de-DE"/>
        </w:rPr>
        <w:t xml:space="preserve"> (DMS: HR 3,12, p=0,003; OS: HR 1,72, p=0,037)</w:t>
      </w:r>
      <w:r w:rsidR="007F2655" w:rsidRPr="00812C16">
        <w:rPr>
          <w:rFonts w:cs="Arial"/>
          <w:lang w:eastAsia="de-DE"/>
        </w:rPr>
        <w:t>.</w:t>
      </w:r>
      <w:r w:rsidR="007F2655" w:rsidRPr="00812C16">
        <w:t xml:space="preserve"> </w:t>
      </w:r>
      <w:proofErr w:type="spellStart"/>
      <w:r w:rsidR="00196612" w:rsidRPr="00812C16">
        <w:rPr>
          <w:b/>
          <w:bCs/>
        </w:rPr>
        <w:t>Oropharyngealkarzinome</w:t>
      </w:r>
      <w:proofErr w:type="spellEnd"/>
      <w:r w:rsidR="00762B2E" w:rsidRPr="00812C16">
        <w:t xml:space="preserve"> hatten ein signifikant 3,47-fach erhöhtes </w:t>
      </w:r>
      <w:r w:rsidR="00196612" w:rsidRPr="00812C16">
        <w:t>Risiko</w:t>
      </w:r>
      <w:r w:rsidR="00762B2E" w:rsidRPr="00812C16">
        <w:t xml:space="preserve"> für entfernte Metastasen</w:t>
      </w:r>
      <w:r w:rsidR="00720273" w:rsidRPr="00812C16">
        <w:t xml:space="preserve"> in der Gesamtpopulation</w:t>
      </w:r>
      <w:r w:rsidR="00196612" w:rsidRPr="00812C16">
        <w:t xml:space="preserve"> (HR 3,47, p=0,005)</w:t>
      </w:r>
      <w:r w:rsidR="00720273" w:rsidRPr="00812C16">
        <w:t xml:space="preserve">. </w:t>
      </w:r>
      <w:r w:rsidR="00ED55A8" w:rsidRPr="00812C16">
        <w:t>Wohingegen</w:t>
      </w:r>
      <w:r w:rsidR="00720273" w:rsidRPr="00812C16">
        <w:t xml:space="preserve"> in der HPV</w:t>
      </w:r>
      <w:r w:rsidR="00ED55A8" w:rsidRPr="00812C16">
        <w:t>16 DNA-</w:t>
      </w:r>
      <w:r w:rsidR="00720273" w:rsidRPr="00812C16">
        <w:t xml:space="preserve">negativen Kohorte das </w:t>
      </w:r>
      <w:r w:rsidR="00ED55A8" w:rsidRPr="00812C16">
        <w:t>Risiko</w:t>
      </w:r>
      <w:r w:rsidR="00720273" w:rsidRPr="00812C16">
        <w:t xml:space="preserve"> für Fernmetast</w:t>
      </w:r>
      <w:r w:rsidR="00ED55A8" w:rsidRPr="00812C16">
        <w:t>a</w:t>
      </w:r>
      <w:r w:rsidR="00720273" w:rsidRPr="00812C16">
        <w:t xml:space="preserve">sen bei </w:t>
      </w:r>
      <w:proofErr w:type="spellStart"/>
      <w:r w:rsidR="00ED55A8" w:rsidRPr="00812C16">
        <w:t>Oropharyngealtumoren</w:t>
      </w:r>
      <w:proofErr w:type="spellEnd"/>
      <w:r w:rsidR="00ED55A8" w:rsidRPr="00812C16">
        <w:t xml:space="preserve"> </w:t>
      </w:r>
      <w:r w:rsidR="00720273" w:rsidRPr="00812C16">
        <w:t xml:space="preserve">um 70% reduziert </w:t>
      </w:r>
      <w:r w:rsidR="00BA6AD4" w:rsidRPr="00812C16">
        <w:t>war (HR 0,30, p=0,006)</w:t>
      </w:r>
      <w:r w:rsidR="00720273" w:rsidRPr="00812C16">
        <w:t xml:space="preserve">. </w:t>
      </w:r>
      <w:r w:rsidR="00762B2E" w:rsidRPr="00812C16">
        <w:t xml:space="preserve"> </w:t>
      </w:r>
      <w:r w:rsidR="00720273" w:rsidRPr="00812C16">
        <w:t>Die Tumorlokalisa</w:t>
      </w:r>
      <w:r w:rsidR="00BA6AD4" w:rsidRPr="00812C16">
        <w:t>t</w:t>
      </w:r>
      <w:r w:rsidR="00720273" w:rsidRPr="00812C16">
        <w:t xml:space="preserve">ion in der </w:t>
      </w:r>
      <w:r w:rsidR="00720273" w:rsidRPr="00812C16">
        <w:rPr>
          <w:b/>
          <w:bCs/>
        </w:rPr>
        <w:t>Mundhöhle</w:t>
      </w:r>
      <w:r w:rsidR="00720273" w:rsidRPr="00812C16">
        <w:t xml:space="preserve"> war ein grenzwertig </w:t>
      </w:r>
      <w:r w:rsidR="00BA6AD4" w:rsidRPr="00812C16">
        <w:t>signifikanter</w:t>
      </w:r>
      <w:r w:rsidR="00720273" w:rsidRPr="00812C16">
        <w:t xml:space="preserve"> Einfluss</w:t>
      </w:r>
      <w:r w:rsidR="00BA6AD4" w:rsidRPr="00812C16">
        <w:t>f</w:t>
      </w:r>
      <w:r w:rsidR="00720273" w:rsidRPr="00812C16">
        <w:t>aktor in Bezug auf das Gesamtüberleben in der HPV</w:t>
      </w:r>
      <w:r w:rsidR="00BA6AD4" w:rsidRPr="00812C16">
        <w:t>16 DNA-</w:t>
      </w:r>
      <w:r w:rsidR="00720273" w:rsidRPr="00812C16">
        <w:t xml:space="preserve">negativen </w:t>
      </w:r>
      <w:r w:rsidR="00BA6AD4" w:rsidRPr="00812C16">
        <w:t>Kohorte (HR 2,27, p=0,048)</w:t>
      </w:r>
      <w:r w:rsidR="00720273" w:rsidRPr="00812C16">
        <w:t>, nicht aber</w:t>
      </w:r>
      <w:r w:rsidR="00BA6AD4" w:rsidRPr="00812C16">
        <w:t xml:space="preserve"> in der</w:t>
      </w:r>
      <w:r w:rsidR="00720273" w:rsidRPr="00812C16">
        <w:t xml:space="preserve"> gesamten Patientenpopulation.</w:t>
      </w:r>
      <w:r w:rsidR="00E070C4" w:rsidRPr="00812C16">
        <w:t xml:space="preserve"> </w:t>
      </w:r>
    </w:p>
    <w:p w14:paraId="364575C2" w14:textId="77777777" w:rsidR="00BF51BB" w:rsidRPr="00812C16" w:rsidRDefault="00A45D65" w:rsidP="003A6C99">
      <w:pPr>
        <w:pStyle w:val="berschrift1"/>
        <w:ind w:left="426" w:hanging="426"/>
        <w:rPr>
          <w:rFonts w:cs="Arial"/>
        </w:rPr>
      </w:pPr>
      <w:bookmarkStart w:id="87" w:name="_Toc158006543"/>
      <w:r w:rsidRPr="00812C16">
        <w:rPr>
          <w:rFonts w:cs="Arial"/>
        </w:rPr>
        <w:lastRenderedPageBreak/>
        <w:t>Diskussio</w:t>
      </w:r>
      <w:r w:rsidR="00BF51BB" w:rsidRPr="00812C16">
        <w:rPr>
          <w:rFonts w:cs="Arial"/>
        </w:rPr>
        <w:t>n</w:t>
      </w:r>
      <w:bookmarkEnd w:id="87"/>
    </w:p>
    <w:p w14:paraId="21C37556" w14:textId="77777777" w:rsidR="003A6C99" w:rsidRPr="00812C16" w:rsidRDefault="003A6C99" w:rsidP="003A6C99">
      <w:pPr>
        <w:pStyle w:val="berschrift2"/>
      </w:pPr>
      <w:bookmarkStart w:id="88" w:name="_Toc158006544"/>
      <w:r w:rsidRPr="00812C16">
        <w:t>Diskussion der Methoden</w:t>
      </w:r>
      <w:bookmarkEnd w:id="88"/>
    </w:p>
    <w:p w14:paraId="62792042" w14:textId="77777777" w:rsidR="0086247B" w:rsidRPr="00812C16" w:rsidRDefault="0086247B" w:rsidP="005547D3">
      <w:pPr>
        <w:pStyle w:val="berschrift3"/>
      </w:pPr>
      <w:bookmarkStart w:id="89" w:name="_Toc158006545"/>
      <w:r w:rsidRPr="00812C16">
        <w:t>Diskussion des Studiendesigns</w:t>
      </w:r>
      <w:bookmarkEnd w:id="89"/>
    </w:p>
    <w:p w14:paraId="5BD770C5" w14:textId="77777777" w:rsidR="0086247B" w:rsidRPr="00812C16" w:rsidRDefault="0086247B" w:rsidP="0086247B">
      <w:pPr>
        <w:rPr>
          <w:rFonts w:cs="Arial"/>
          <w:lang w:eastAsia="de-DE"/>
        </w:rPr>
      </w:pPr>
      <w:r w:rsidRPr="00812C16">
        <w:rPr>
          <w:rFonts w:cs="Arial"/>
          <w:lang w:eastAsia="de-DE"/>
        </w:rPr>
        <w:t xml:space="preserve">Für die Erfolgreiche Durchführung von Biomarker-Studien werden ausreichend große Patientenkohorten benötigt, die mit aktuellen Therapiestrategien </w:t>
      </w:r>
      <w:proofErr w:type="spellStart"/>
      <w:r w:rsidRPr="00812C16">
        <w:rPr>
          <w:rFonts w:cs="Arial"/>
          <w:lang w:eastAsia="de-DE"/>
        </w:rPr>
        <w:t>beahndelt</w:t>
      </w:r>
      <w:proofErr w:type="spellEnd"/>
      <w:r w:rsidRPr="00812C16">
        <w:rPr>
          <w:rFonts w:cs="Arial"/>
          <w:lang w:eastAsia="de-DE"/>
        </w:rPr>
        <w:t xml:space="preserve"> werden. Durch eine multizentrische nationale oder internationale Ausrichtung von Studien können eine höhere Rekrutierungszahl erreicht und die Zeiträume </w:t>
      </w:r>
      <w:proofErr w:type="spellStart"/>
      <w:r w:rsidRPr="00812C16">
        <w:rPr>
          <w:rFonts w:cs="Arial"/>
          <w:lang w:eastAsia="de-DE"/>
        </w:rPr>
        <w:t>vo</w:t>
      </w:r>
      <w:proofErr w:type="spellEnd"/>
      <w:r w:rsidRPr="00812C16">
        <w:rPr>
          <w:rFonts w:cs="Arial"/>
          <w:lang w:eastAsia="de-DE"/>
        </w:rPr>
        <w:t xml:space="preserve"> Studien verkürzt werden, sodass im Falle der retrospektiv durchgeführten Studien die Therapie der aktuellen Standardtherapie entspricht. Die multizentrisch generierten Studienergebnisse sind dabei besonders robust, weil Einzelzentrumseffekte und anderer Sektionsbias damit reduziert werden. </w:t>
      </w:r>
    </w:p>
    <w:p w14:paraId="730E2BE0" w14:textId="77777777" w:rsidR="0086247B" w:rsidRPr="00812C16" w:rsidRDefault="0086247B" w:rsidP="003A6C99">
      <w:pPr>
        <w:rPr>
          <w:rFonts w:cs="Arial"/>
          <w:i/>
          <w:iCs/>
        </w:rPr>
      </w:pPr>
    </w:p>
    <w:p w14:paraId="01B62950" w14:textId="77777777" w:rsidR="003A6C99" w:rsidRPr="00812C16" w:rsidRDefault="003A6C99" w:rsidP="005547D3">
      <w:pPr>
        <w:pStyle w:val="berschrift3"/>
      </w:pPr>
      <w:bookmarkStart w:id="90" w:name="_Toc158006546"/>
      <w:r w:rsidRPr="00812C16">
        <w:t>Tissue Microarrays</w:t>
      </w:r>
      <w:bookmarkEnd w:id="90"/>
    </w:p>
    <w:p w14:paraId="445B9C22" w14:textId="54EF3F73" w:rsidR="003A6C99" w:rsidRPr="00812C16" w:rsidRDefault="003A6C99" w:rsidP="003A6C99">
      <w:pPr>
        <w:rPr>
          <w:rFonts w:cs="Arial"/>
        </w:rPr>
      </w:pPr>
      <w:r w:rsidRPr="00812C16">
        <w:rPr>
          <w:rFonts w:cs="Arial"/>
        </w:rPr>
        <w:t xml:space="preserve">Die TMA ist eine geeignete Methode, um ein großes Gewebekollektiv zeitgleich und unter gleichen Bedingungen untersuchen zu können </w:t>
      </w:r>
      <w:r w:rsidR="000112D9">
        <w:rPr>
          <w:rFonts w:cs="Arial"/>
        </w:rPr>
        <w:fldChar w:fldCharType="begin">
          <w:fldData xml:space="preserve">PEVuZE5vdGU+PENpdGU+PEF1dGhvcj5Lb25vbmVuPC9BdXRob3I+PFllYXI+MTk5ODwvWWVhcj48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35" w:tooltip="Giltnane, 2004 #747" w:history="1">
        <w:r w:rsidR="009D0F7A" w:rsidRPr="009D0F7A">
          <w:rPr>
            <w:rStyle w:val="Hyperlink"/>
          </w:rPr>
          <w:t>Giltnane &amp; Rimm, 2004</w:t>
        </w:r>
      </w:hyperlink>
      <w:r w:rsidR="000112D9">
        <w:rPr>
          <w:rFonts w:cs="Arial"/>
          <w:noProof/>
        </w:rPr>
        <w:t xml:space="preserve">; </w:t>
      </w:r>
      <w:hyperlink w:anchor="_ENREF_45" w:tooltip="Kononen, 1998 #742" w:history="1">
        <w:r w:rsidR="009D0F7A" w:rsidRPr="009D0F7A">
          <w:rPr>
            <w:rStyle w:val="Hyperlink"/>
          </w:rPr>
          <w:t>Kononen et al., 1998</w:t>
        </w:r>
      </w:hyperlink>
      <w:r w:rsidR="000112D9">
        <w:rPr>
          <w:rFonts w:cs="Arial"/>
          <w:noProof/>
        </w:rPr>
        <w:t>)</w:t>
      </w:r>
      <w:r w:rsidR="000112D9">
        <w:rPr>
          <w:rFonts w:cs="Arial"/>
        </w:rPr>
        <w:fldChar w:fldCharType="end"/>
      </w:r>
      <w:r w:rsidRPr="00812C16">
        <w:rPr>
          <w:rFonts w:cs="Arial"/>
        </w:rPr>
        <w:t>.</w:t>
      </w:r>
      <w:r w:rsidR="00BD6F91" w:rsidRPr="00812C16">
        <w:rPr>
          <w:rFonts w:cs="Arial"/>
        </w:rPr>
        <w:t xml:space="preserve"> </w:t>
      </w:r>
      <w:r w:rsidRPr="00812C16">
        <w:rPr>
          <w:rFonts w:cs="Arial"/>
        </w:rPr>
        <w:t>Es handelt sich um ein kostengünstiges und gewebesparendes Verfahren, das verschiedene biomolekulare Marker am gleichen Gewebekollektiv auf ihre Validität prüft. Die Identifizierung der einzelnen Gewebeproben in einem TMA-Block erfordert höchste Präzision und wird mittels einer Konstruktionsplanung erreicht, die die Lokalisation der einzelnen Fälle im TMA-Block erfasst. Auch die Auswertung der TMA-Präparate muss mit höchster Genauigkeit erfolgen, da jede Stanze die gleiche Form besitzt und es zu Fehlauswertungen kommen kann, z. B. durch Verrutschen des Präparats beim Mikroskopieren. Ein Defizit der TMA-Technik ist, dass nur ein geringer Teil des entnommenen Gewebes untersucht und erfasst wird. Dies könnte z. B. bei heterogenen Tumoren das Ergebnis verfälschen</w:t>
      </w:r>
      <w:r w:rsidR="00BD6F91" w:rsidRPr="00812C16">
        <w:rPr>
          <w:rFonts w:cs="Arial"/>
        </w:rPr>
        <w:t xml:space="preserve"> </w:t>
      </w:r>
      <w:r w:rsidR="000112D9">
        <w:rPr>
          <w:rFonts w:cs="Arial"/>
        </w:rPr>
        <w:fldChar w:fldCharType="begin">
          <w:fldData xml:space="preserve">PEVuZE5vdGU+PENpdGU+PEF1dGhvcj5Ob2NpdG88L0F1dGhvcj48WWVhcj4yMDAxPC9ZZWFyPjxS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55" w:tooltip="Nocito, 2001 #761" w:history="1">
        <w:r w:rsidR="009D0F7A" w:rsidRPr="009D0F7A">
          <w:rPr>
            <w:rStyle w:val="Hyperlink"/>
          </w:rPr>
          <w:t>Nocito et al., 2001</w:t>
        </w:r>
      </w:hyperlink>
      <w:r w:rsidR="000112D9">
        <w:rPr>
          <w:rFonts w:cs="Arial"/>
          <w:noProof/>
        </w:rPr>
        <w:t>)</w:t>
      </w:r>
      <w:r w:rsidR="000112D9">
        <w:rPr>
          <w:rFonts w:cs="Arial"/>
        </w:rPr>
        <w:fldChar w:fldCharType="end"/>
      </w:r>
      <w:r w:rsidR="00BD6F91" w:rsidRPr="00812C16">
        <w:rPr>
          <w:rFonts w:cs="Arial"/>
        </w:rPr>
        <w:t>.</w:t>
      </w:r>
      <w:r w:rsidRPr="00812C16">
        <w:rPr>
          <w:rFonts w:cs="Arial"/>
        </w:rPr>
        <w:t xml:space="preserve"> Diese Fehlerquelle kann jedoch durch die Erhöhung der Stanzzahl pro Fall weitgehend minimiert werden.</w:t>
      </w:r>
      <w:r w:rsidR="00BD6F91" w:rsidRPr="00812C16">
        <w:rPr>
          <w:rFonts w:cs="Arial"/>
        </w:rPr>
        <w:t xml:space="preserve"> </w:t>
      </w:r>
      <w:r w:rsidRPr="00812C16">
        <w:rPr>
          <w:rFonts w:cs="Arial"/>
        </w:rPr>
        <w:t>Da die Gewebeproben hinsichtlich Größe und Form vergleichbar sind, wird im Gegensatz zu konventionellen Schnittpräparaten eine subjektive Fehlbewertung durch die Betrachtung von unterschiedlich großen Gewebeproben vermieden.</w:t>
      </w:r>
    </w:p>
    <w:p w14:paraId="0981956E" w14:textId="77777777" w:rsidR="003A6C99" w:rsidRPr="00812C16" w:rsidRDefault="003A6C99" w:rsidP="005547D3">
      <w:pPr>
        <w:pStyle w:val="berschrift3"/>
      </w:pPr>
      <w:bookmarkStart w:id="91" w:name="_Toc158006547"/>
      <w:r w:rsidRPr="00812C16">
        <w:lastRenderedPageBreak/>
        <w:t>Immunhistochemie</w:t>
      </w:r>
      <w:bookmarkEnd w:id="91"/>
      <w:r w:rsidRPr="00812C16">
        <w:t xml:space="preserve"> </w:t>
      </w:r>
    </w:p>
    <w:p w14:paraId="4B4E559B" w14:textId="58A73A51" w:rsidR="003A6C99" w:rsidRPr="00812C16" w:rsidRDefault="003A6C99" w:rsidP="003A6C99">
      <w:pPr>
        <w:rPr>
          <w:rFonts w:cs="Arial"/>
        </w:rPr>
      </w:pPr>
      <w:r w:rsidRPr="00812C16">
        <w:rPr>
          <w:rFonts w:cs="Arial"/>
        </w:rPr>
        <w:t>Die immunhistochemische Färbemethode ist standardisiertes Verfahren, welches in der histopathologischen Routinediagnostik verwendet wird.</w:t>
      </w:r>
      <w:r w:rsidR="000112D9">
        <w:rPr>
          <w:rFonts w:cs="Arial"/>
        </w:rPr>
        <w:fldChar w:fldCharType="begin">
          <w:fldData xml:space="preserve">PEVuZE5vdGU+PENpdGU+PEF1dGhvcj5EZUxlbGxpczwvQXV0aG9yPjxZZWFyPjE5Nzk8L1llYXI+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</w:fldData>
        </w:fldChar>
      </w:r>
      <w:r w:rsidR="000112D9">
        <w:rPr>
          <w:rFonts w:cs="Arial"/>
        </w:rPr>
        <w:instrText xml:space="preserve"> ADDIN EN.JS.CITE </w:instrText>
      </w:r>
      <w:r w:rsidR="000112D9">
        <w:rPr>
          <w:rFonts w:cs="Arial"/>
        </w:rPr>
      </w:r>
      <w:r w:rsidR="000112D9">
        <w:rPr>
          <w:rFonts w:cs="Arial"/>
        </w:rPr>
        <w:fldChar w:fldCharType="separate"/>
      </w:r>
      <w:r w:rsidR="000112D9">
        <w:rPr>
          <w:rFonts w:cs="Arial"/>
          <w:noProof/>
        </w:rPr>
        <w:t>(</w:t>
      </w:r>
      <w:hyperlink w:anchor="_ENREF_28" w:tooltip="DeLellis, 1979 #749" w:history="1">
        <w:r w:rsidR="009D0F7A" w:rsidRPr="009D0F7A">
          <w:rPr>
            <w:rStyle w:val="Hyperlink"/>
          </w:rPr>
          <w:t>DeLellis et al., 1979</w:t>
        </w:r>
      </w:hyperlink>
      <w:r w:rsidR="000112D9">
        <w:rPr>
          <w:rFonts w:cs="Arial"/>
          <w:noProof/>
        </w:rPr>
        <w:t>)</w:t>
      </w:r>
      <w:r w:rsidR="000112D9">
        <w:rPr>
          <w:rFonts w:cs="Arial"/>
        </w:rPr>
        <w:fldChar w:fldCharType="end"/>
      </w:r>
      <w:r w:rsidR="004931B6" w:rsidRPr="00812C16">
        <w:rPr>
          <w:rFonts w:cs="Arial"/>
        </w:rPr>
        <w:t xml:space="preserve">. </w:t>
      </w:r>
      <w:r w:rsidRPr="00812C16">
        <w:rPr>
          <w:rFonts w:cs="Arial"/>
        </w:rPr>
        <w:t xml:space="preserve">Die Fehlerquote ist gering, da die Färbeautomaten optimal gewartet sind und positive und negative Kontrollpräparate pro Färbereihe mitgeführt werden.90,89 Vielmehr sind die Ergebnisse vom Zustand des Gewebes, dem verwendeten Antikörper und den IHC-Bewertungskriterien abhängig.91 Nachteilig wirkt sich aus, dass das Gewebe durch die </w:t>
      </w:r>
      <w:proofErr w:type="spellStart"/>
      <w:r w:rsidRPr="00812C16">
        <w:rPr>
          <w:rFonts w:cs="Arial"/>
        </w:rPr>
        <w:t>Parafineinbettung</w:t>
      </w:r>
      <w:proofErr w:type="spellEnd"/>
      <w:r w:rsidRPr="00812C16">
        <w:rPr>
          <w:rFonts w:cs="Arial"/>
        </w:rPr>
        <w:t xml:space="preserve">, die </w:t>
      </w:r>
      <w:proofErr w:type="spellStart"/>
      <w:r w:rsidRPr="00812C16">
        <w:rPr>
          <w:rFonts w:cs="Arial"/>
        </w:rPr>
        <w:t>Formalinfixierung</w:t>
      </w:r>
      <w:proofErr w:type="spellEnd"/>
      <w:r w:rsidRPr="00812C16">
        <w:rPr>
          <w:rFonts w:cs="Arial"/>
        </w:rPr>
        <w:t xml:space="preserve"> und auch durch eine ungeeignete Lagerung der Gewebeblöcke möglicherweise unzureichend erhalten bleibt und somit nicht untersucht werden kann bzw. zu falsch negativen Ergebnissen führt.70,91 Des </w:t>
      </w:r>
      <w:proofErr w:type="spellStart"/>
      <w:r w:rsidRPr="00812C16">
        <w:rPr>
          <w:rFonts w:cs="Arial"/>
        </w:rPr>
        <w:t>Weiteren</w:t>
      </w:r>
      <w:proofErr w:type="spellEnd"/>
      <w:r w:rsidRPr="00812C16">
        <w:rPr>
          <w:rFonts w:cs="Arial"/>
        </w:rPr>
        <w:t xml:space="preserve"> kann die Sensitivität der Antikörperklone von verschiedenen Firmen zu unterschiedlichen Ergebnissen führen und somit den retrospektiven</w:t>
      </w:r>
      <w:r w:rsidR="00AC5E8E" w:rsidRPr="00812C16">
        <w:rPr>
          <w:rFonts w:cs="Arial"/>
        </w:rPr>
        <w:t xml:space="preserve"> </w:t>
      </w:r>
      <w:r w:rsidRPr="00812C16">
        <w:rPr>
          <w:rFonts w:cs="Arial"/>
        </w:rPr>
        <w:t>Vergleich von Studien erschweren.89 Ein weiteres Problem liegt in der Auswertung und dem Vergleich von Färbeergebnissen anderer Studien, da jeder Pathologe subjektiv beurteilt und zum Teil andere Bewertungskriterien verwendet.89,66</w:t>
      </w:r>
    </w:p>
    <w:p w14:paraId="17370170" w14:textId="77777777" w:rsidR="00620E7E" w:rsidRPr="00812C16" w:rsidRDefault="003A6C99" w:rsidP="000C51F3">
      <w:pPr>
        <w:rPr>
          <w:rFonts w:cs="Arial"/>
        </w:rPr>
      </w:pPr>
      <w:r w:rsidRPr="00812C16">
        <w:rPr>
          <w:rFonts w:cs="Arial"/>
        </w:rPr>
        <w:t>Die Detektion der HPV-DNA mittels Polymerasekettenreaktion (PCR) ist eine häufig angewandte Methode, um eine HPV-Infektion zu diagnostizieren, sie ist jedoch nicht standardisiert.22,31 Die verschiedenen PCR- und Hybridisierungsverfahren weisen eine unterschiedliche Sensitivität und Spezifität auf, dies erschwert einen Vergleich der Ergebnisse von einzelnen Studien mit unterschiedlichen Verfahren.22 Durch die hohe Sensitivität der PCR muss bei der Durchführung der HPV-Analyse darauf geachtet werden, dass die Reaktionsgefäße und Pipetten steril sind, um einer möglichen Kontamination und damit falsch positiven Ergebnissen vorzubeugen.92 Als Vorteil dieser Methode gilt, dass sich damit unterschiedliche HPV-Subtypen ermitteln lassen.31 Nachteilig ist, dass eine bestimmte HPV-DNA- Basenlänge in einer Gewebeprobe vorhanden sein muss, um diese amplifizieren zu können.93 Jedoch ist die Qualität der Virus-DNA in den Gewebeproben durch die Vorbehandlung und die Langzeitarchivierung häufig unzureichend und eine Amplifizierung nur bedingt möglich.4,94</w:t>
      </w:r>
    </w:p>
    <w:p w14:paraId="343EEF45" w14:textId="77777777" w:rsidR="00620E7E" w:rsidRPr="00812C16" w:rsidRDefault="00620E7E" w:rsidP="00620E7E">
      <w:pPr>
        <w:pStyle w:val="berschrift2"/>
      </w:pPr>
      <w:bookmarkStart w:id="92" w:name="_Toc158006548"/>
      <w:r w:rsidRPr="00812C16">
        <w:lastRenderedPageBreak/>
        <w:t>Diskussion der Ergebnisse</w:t>
      </w:r>
      <w:bookmarkEnd w:id="92"/>
    </w:p>
    <w:p w14:paraId="6D6DEBC7" w14:textId="77777777" w:rsidR="00DA09A9" w:rsidRPr="00812C16" w:rsidRDefault="00DA09A9" w:rsidP="00DA09A9">
      <w:pPr>
        <w:pStyle w:val="berschrift3"/>
      </w:pPr>
      <w:bookmarkStart w:id="93" w:name="_Toc158006549"/>
      <w:r w:rsidRPr="00812C16">
        <w:t xml:space="preserve">Einfluss von CD44 </w:t>
      </w:r>
      <w:proofErr w:type="gramStart"/>
      <w:r w:rsidRPr="00812C16">
        <w:t>auf das klinische Outcome</w:t>
      </w:r>
      <w:proofErr w:type="gramEnd"/>
      <w:r w:rsidRPr="00812C16">
        <w:t xml:space="preserve"> von lokal</w:t>
      </w:r>
      <w:bookmarkEnd w:id="93"/>
      <w:r w:rsidRPr="00812C16">
        <w:t xml:space="preserve"> </w:t>
      </w:r>
    </w:p>
    <w:p w14:paraId="2CFB1699" w14:textId="77777777" w:rsidR="000E3B77" w:rsidRPr="00812C16" w:rsidRDefault="000E3B77" w:rsidP="000C51F3">
      <w:pPr>
        <w:rPr>
          <w:rFonts w:cs="Arial"/>
        </w:rPr>
      </w:pPr>
      <w:r w:rsidRPr="00812C16">
        <w:rPr>
          <w:rFonts w:cs="Arial"/>
        </w:rPr>
        <w:t xml:space="preserve">Wir konnten zeigen, dass eine </w:t>
      </w:r>
      <w:proofErr w:type="spellStart"/>
      <w:r w:rsidRPr="00812C16">
        <w:rPr>
          <w:rFonts w:cs="Arial"/>
        </w:rPr>
        <w:t>Überexpression</w:t>
      </w:r>
      <w:proofErr w:type="spellEnd"/>
      <w:r w:rsidRPr="00812C16">
        <w:rPr>
          <w:rFonts w:cs="Arial"/>
        </w:rPr>
        <w:t xml:space="preserve"> von CD44 in lokal fortgeschrittenen Kopf- Hals-Plattenepithelkarzinomen mit einer schlechten </w:t>
      </w:r>
      <w:proofErr w:type="spellStart"/>
      <w:r w:rsidRPr="00812C16">
        <w:rPr>
          <w:rFonts w:cs="Arial"/>
        </w:rPr>
        <w:t>loko-regionären</w:t>
      </w:r>
      <w:proofErr w:type="spellEnd"/>
      <w:r w:rsidRPr="00812C16">
        <w:rPr>
          <w:rFonts w:cs="Arial"/>
        </w:rPr>
        <w:t xml:space="preserve"> Kontrolle nach postoperativer Radiochemotherapie assoziiert ist. Zudem stellt CD44 neben dem HPV- Status der Tumoren </w:t>
      </w:r>
      <w:proofErr w:type="spellStart"/>
      <w:r w:rsidRPr="00812C16">
        <w:rPr>
          <w:rFonts w:cs="Arial"/>
        </w:rPr>
        <w:t>möglicherweise</w:t>
      </w:r>
      <w:proofErr w:type="spellEnd"/>
      <w:r w:rsidRPr="00812C16">
        <w:rPr>
          <w:rFonts w:cs="Arial"/>
        </w:rPr>
        <w:t xml:space="preserve"> einen weiteren Stratifizierungsparameter zur Individualisierung der postoperativen Radiochemotherapie in Patienten mit Kopf-Hals- Plattenepithelkarzinomen dar. </w:t>
      </w:r>
    </w:p>
    <w:p w14:paraId="379EB53D" w14:textId="77777777" w:rsidR="00980CFA" w:rsidRPr="00812C16" w:rsidRDefault="000E3B77" w:rsidP="000C51F3">
      <w:pPr>
        <w:rPr>
          <w:rFonts w:cs="Arial"/>
        </w:rPr>
      </w:pPr>
      <w:r w:rsidRPr="00812C16">
        <w:rPr>
          <w:rFonts w:cs="Arial"/>
        </w:rPr>
        <w:t xml:space="preserve">Zur weiteren Evaluierung der klinischen Anwendbarkeit sollten die gewonnen Ergebnisse in prospektiven Validierungsstudien unter standardisierten Bedingungen weiter </w:t>
      </w:r>
      <w:proofErr w:type="spellStart"/>
      <w:r w:rsidRPr="00812C16">
        <w:rPr>
          <w:rFonts w:cs="Arial"/>
        </w:rPr>
        <w:t>geprüft</w:t>
      </w:r>
      <w:proofErr w:type="spellEnd"/>
      <w:r w:rsidRPr="00812C16">
        <w:rPr>
          <w:rFonts w:cs="Arial"/>
        </w:rPr>
        <w:t xml:space="preserve"> werden. </w:t>
      </w:r>
    </w:p>
    <w:p w14:paraId="5E9BADD7" w14:textId="77777777" w:rsidR="000C51F3" w:rsidRPr="00812C16" w:rsidRDefault="000C51F3" w:rsidP="000C51F3">
      <w:pPr>
        <w:rPr>
          <w:rFonts w:cs="Arial"/>
        </w:rPr>
      </w:pPr>
    </w:p>
    <w:p w14:paraId="1568F24A" w14:textId="77777777" w:rsidR="000C51F3" w:rsidRPr="00812C16" w:rsidRDefault="000C51F3" w:rsidP="000C51F3">
      <w:pPr>
        <w:spacing w:after="0"/>
        <w:rPr>
          <w:rFonts w:cs="Arial"/>
          <w:color w:val="000000"/>
          <w:shd w:val="clear" w:color="auto" w:fill="FFFFFF"/>
        </w:rPr>
      </w:pPr>
      <w:r w:rsidRPr="00812C16">
        <w:rPr>
          <w:rFonts w:cs="Arial"/>
          <w:color w:val="000000"/>
          <w:shd w:val="clear" w:color="auto" w:fill="FFFFFF"/>
        </w:rPr>
        <w:t xml:space="preserve">Zuvor haben wir und andere gezeigt, dass der HPV-Infektionsstatus ein starker Prognostiker für die </w:t>
      </w:r>
      <w:proofErr w:type="spellStart"/>
      <w:r w:rsidRPr="00812C16">
        <w:rPr>
          <w:rFonts w:cs="Arial"/>
          <w:color w:val="000000"/>
          <w:shd w:val="clear" w:color="auto" w:fill="FFFFFF"/>
        </w:rPr>
        <w:t>lokoregionale</w:t>
      </w:r>
      <w:proofErr w:type="spellEnd"/>
      <w:r w:rsidRPr="00812C16">
        <w:rPr>
          <w:rFonts w:cs="Arial"/>
          <w:color w:val="000000"/>
          <w:shd w:val="clear" w:color="auto" w:fill="FFFFFF"/>
        </w:rPr>
        <w:t xml:space="preserve"> Kontrolle bei Patienten mit lokal fortgeschrittenem HNSCC ist, die eine postoperative Radio(Chemotherapie (6, 28,</w:t>
      </w:r>
      <w:r w:rsidRPr="00812C16">
        <w:rPr>
          <w:rStyle w:val="apple-converted-space"/>
          <w:rFonts w:cs="Arial"/>
          <w:color w:val="000000"/>
          <w:shd w:val="clear" w:color="auto" w:fill="FFFFFF"/>
        </w:rPr>
        <w:t> </w:t>
      </w:r>
      <w:hyperlink r:id="rId31" w:anchor="ref-29" w:history="1">
        <w:r w:rsidRPr="00812C16">
          <w:rPr>
            <w:rStyle w:val="Hyperlink"/>
            <w:rFonts w:cs="Arial"/>
            <w:b/>
            <w:bCs/>
            <w:color w:val="97233F"/>
            <w:bdr w:val="none" w:sz="0" w:space="0" w:color="auto" w:frame="1"/>
          </w:rPr>
          <w:t>29</w:t>
        </w:r>
      </w:hyperlink>
      <w:r w:rsidRPr="00812C16">
        <w:rPr>
          <w:rFonts w:cs="Arial"/>
          <w:color w:val="000000"/>
          <w:shd w:val="clear" w:color="auto" w:fill="FFFFFF"/>
        </w:rPr>
        <w:t xml:space="preserve">) mit einer verbesserten </w:t>
      </w:r>
      <w:proofErr w:type="spellStart"/>
      <w:r w:rsidRPr="00812C16">
        <w:rPr>
          <w:rFonts w:cs="Arial"/>
          <w:color w:val="000000"/>
          <w:shd w:val="clear" w:color="auto" w:fill="FFFFFF"/>
        </w:rPr>
        <w:t>lokoregionalen</w:t>
      </w:r>
      <w:proofErr w:type="spellEnd"/>
      <w:r w:rsidRPr="00812C16">
        <w:rPr>
          <w:rFonts w:cs="Arial"/>
          <w:color w:val="000000"/>
          <w:shd w:val="clear" w:color="auto" w:fill="FFFFFF"/>
        </w:rPr>
        <w:t xml:space="preserve"> Kontrolle und Radioempfindlichkeit von HPV16 DNA-positiv im Vergleich zu HPV16 DNA-negativen Tumoren</w:t>
      </w:r>
      <w:r w:rsidRPr="00812C16">
        <w:rPr>
          <w:rStyle w:val="apple-converted-space"/>
          <w:rFonts w:cs="Arial"/>
          <w:color w:val="000000"/>
          <w:shd w:val="clear" w:color="auto" w:fill="FFFFFF"/>
        </w:rPr>
        <w:t> </w:t>
      </w:r>
      <w:r w:rsidRPr="00812C16">
        <w:rPr>
          <w:rFonts w:cs="Arial"/>
          <w:color w:val="000000"/>
          <w:shd w:val="clear" w:color="auto" w:fill="FFFFFF"/>
        </w:rPr>
        <w:t xml:space="preserve">erhielten. In unserer vorherigen multizentrischen Bewertung fanden wir praktisch keine Rezidiven in der HPV16-DNA-positiven Gruppe bei Hochrisiko-HNSCC-Patienten, die PORT-C (6) erhielten. Patienten in dieser sehr vorteilhaften Gruppe können daher Kandidaten für potenzielle Strahlentherapie-Deeskalationsstudien sein. Für die weitere Schichtung von Patienten mit HPV-negativem HNSCC sind jedoch zusätzliche Biomarker erforderlich, um eine </w:t>
      </w:r>
      <w:proofErr w:type="spellStart"/>
      <w:r w:rsidRPr="00812C16">
        <w:rPr>
          <w:rFonts w:cs="Arial"/>
          <w:color w:val="000000"/>
          <w:shd w:val="clear" w:color="auto" w:fill="FFFFFF"/>
        </w:rPr>
        <w:t>lokoregionale</w:t>
      </w:r>
      <w:proofErr w:type="spellEnd"/>
      <w:r w:rsidRPr="00812C16">
        <w:rPr>
          <w:rFonts w:cs="Arial"/>
          <w:color w:val="000000"/>
          <w:shd w:val="clear" w:color="auto" w:fill="FFFFFF"/>
        </w:rPr>
        <w:t xml:space="preserve"> Kontrolle vorherzusagen, um zusätzliche Patienten zu identifizieren, die der sehr guten Prognosegruppe zugeordnet werden könnten, und um eine Patientengruppe mit sehr ungünstigem Ergebnis zu definieren, die ein Kandidat für Behandlungsverstärkungsstrategien sein</w:t>
      </w:r>
    </w:p>
    <w:p w14:paraId="7623CAE9" w14:textId="77777777" w:rsidR="000C51F3" w:rsidRPr="00812C16" w:rsidRDefault="000C51F3" w:rsidP="000C51F3">
      <w:pPr>
        <w:spacing w:after="0"/>
        <w:rPr>
          <w:rFonts w:cs="Arial"/>
        </w:rPr>
      </w:pPr>
    </w:p>
    <w:p w14:paraId="562C382A" w14:textId="77777777" w:rsidR="000C51F3" w:rsidRPr="00812C16" w:rsidRDefault="000C51F3" w:rsidP="000C51F3">
      <w:pPr>
        <w:pStyle w:val="StandardWeb"/>
        <w:spacing w:before="0" w:beforeAutospacing="0" w:after="0" w:afterAutospacing="0"/>
        <w:textAlignment w:val="baseline"/>
        <w:rPr>
          <w:rFonts w:ascii="Arial" w:hAnsi="Arial" w:cs="Arial"/>
          <w:color w:val="000000"/>
        </w:rPr>
      </w:pPr>
      <w:r w:rsidRPr="00812C16">
        <w:rPr>
          <w:rFonts w:ascii="Arial" w:hAnsi="Arial" w:cs="Arial"/>
          <w:color w:val="000000"/>
        </w:rPr>
        <w:t>CD44 ist ein weithin erforschter CSC-Marker in HNSCC (</w:t>
      </w:r>
      <w:hyperlink r:id="rId32" w:anchor="ref-30" w:history="1">
        <w:r w:rsidRPr="00812C16">
          <w:rPr>
            <w:rStyle w:val="Hyperlink"/>
            <w:rFonts w:ascii="Arial" w:hAnsi="Arial" w:cs="Arial"/>
            <w:b/>
            <w:bCs/>
            <w:color w:val="97233F"/>
            <w:bdr w:val="none" w:sz="0" w:space="0" w:color="auto" w:frame="1"/>
          </w:rPr>
          <w:t>30</w:t>
        </w:r>
      </w:hyperlink>
      <w:r w:rsidRPr="00812C16">
        <w:rPr>
          <w:rFonts w:ascii="Arial" w:hAnsi="Arial" w:cs="Arial"/>
          <w:color w:val="000000"/>
        </w:rPr>
        <w:t>,</w:t>
      </w:r>
      <w:r w:rsidRPr="00812C16">
        <w:rPr>
          <w:rStyle w:val="apple-converted-space"/>
          <w:rFonts w:ascii="Arial" w:hAnsi="Arial" w:cs="Arial"/>
          <w:color w:val="000000"/>
        </w:rPr>
        <w:t> </w:t>
      </w:r>
      <w:hyperlink r:id="rId33" w:anchor="ref-36" w:history="1">
        <w:r w:rsidRPr="00812C16">
          <w:rPr>
            <w:rStyle w:val="Hyperlink"/>
            <w:rFonts w:ascii="Arial" w:hAnsi="Arial" w:cs="Arial"/>
            <w:b/>
            <w:bCs/>
            <w:color w:val="97233F"/>
            <w:bdr w:val="none" w:sz="0" w:space="0" w:color="auto" w:frame="1"/>
          </w:rPr>
          <w:t>36</w:t>
        </w:r>
      </w:hyperlink>
      <w:r w:rsidRPr="00812C16">
        <w:rPr>
          <w:rFonts w:ascii="Arial" w:hAnsi="Arial" w:cs="Arial"/>
          <w:color w:val="000000"/>
        </w:rPr>
        <w:t>,</w:t>
      </w:r>
      <w:r w:rsidRPr="00812C16">
        <w:rPr>
          <w:rStyle w:val="apple-converted-space"/>
          <w:rFonts w:ascii="Arial" w:hAnsi="Arial" w:cs="Arial"/>
          <w:color w:val="000000"/>
        </w:rPr>
        <w:t> </w:t>
      </w:r>
      <w:hyperlink r:id="rId34" w:anchor="ref-37" w:history="1">
        <w:r w:rsidRPr="00812C16">
          <w:rPr>
            <w:rStyle w:val="Hyperlink"/>
            <w:rFonts w:ascii="Arial" w:hAnsi="Arial" w:cs="Arial"/>
            <w:b/>
            <w:bCs/>
            <w:color w:val="97233F"/>
            <w:bdr w:val="none" w:sz="0" w:space="0" w:color="auto" w:frame="1"/>
          </w:rPr>
          <w:t>37</w:t>
        </w:r>
      </w:hyperlink>
      <w:r w:rsidRPr="00812C16">
        <w:rPr>
          <w:rFonts w:ascii="Arial" w:hAnsi="Arial" w:cs="Arial"/>
          <w:color w:val="000000"/>
        </w:rPr>
        <w:t>). Eine Studie von de Jong und Kollegen zeigte, dass</w:t>
      </w:r>
      <w:r w:rsidRPr="00812C16">
        <w:rPr>
          <w:rStyle w:val="apple-converted-space"/>
          <w:rFonts w:ascii="Arial" w:hAnsi="Arial" w:cs="Arial"/>
          <w:color w:val="000000"/>
        </w:rPr>
        <w:t> </w:t>
      </w:r>
      <w:r w:rsidRPr="00812C16">
        <w:rPr>
          <w:rStyle w:val="Hervorhebung"/>
          <w:rFonts w:ascii="Arial" w:hAnsi="Arial" w:cs="Arial"/>
          <w:color w:val="000000"/>
          <w:bdr w:val="none" w:sz="0" w:space="0" w:color="auto" w:frame="1"/>
        </w:rPr>
        <w:t>CD44-</w:t>
      </w:r>
      <w:r w:rsidRPr="00812C16">
        <w:rPr>
          <w:rStyle w:val="apple-converted-space"/>
          <w:rFonts w:ascii="Arial" w:hAnsi="Arial" w:cs="Arial"/>
          <w:i/>
          <w:iCs/>
          <w:color w:val="000000"/>
          <w:bdr w:val="none" w:sz="0" w:space="0" w:color="auto" w:frame="1"/>
        </w:rPr>
        <w:t> </w:t>
      </w:r>
      <w:r w:rsidRPr="00812C16">
        <w:rPr>
          <w:rFonts w:ascii="Arial" w:hAnsi="Arial" w:cs="Arial"/>
          <w:color w:val="000000"/>
        </w:rPr>
        <w:t>und CD44-Proteinspiegel ein lokales Wiederauftreten nach Strahlentherapie bei Patienten mit Kehlkopfkrebs im Frühstadium signifikant vorhersagen (</w:t>
      </w:r>
      <w:hyperlink r:id="rId35" w:anchor="ref-38" w:history="1">
        <w:r w:rsidRPr="00812C16">
          <w:rPr>
            <w:rStyle w:val="Hyperlink"/>
            <w:rFonts w:ascii="Arial" w:hAnsi="Arial" w:cs="Arial"/>
            <w:b/>
            <w:bCs/>
            <w:color w:val="97233F"/>
            <w:bdr w:val="none" w:sz="0" w:space="0" w:color="auto" w:frame="1"/>
          </w:rPr>
          <w:t>38</w:t>
        </w:r>
      </w:hyperlink>
      <w:r w:rsidRPr="00812C16">
        <w:rPr>
          <w:rFonts w:ascii="Arial" w:hAnsi="Arial" w:cs="Arial"/>
          <w:color w:val="000000"/>
        </w:rPr>
        <w:t xml:space="preserve">). Hier haben wir gezeigt, dass Patienten mit chirurgisch resezierten Tumoren ohne nachweisbare CD44-Proteinexpression die </w:t>
      </w:r>
      <w:proofErr w:type="spellStart"/>
      <w:r w:rsidRPr="00812C16">
        <w:rPr>
          <w:rFonts w:ascii="Arial" w:hAnsi="Arial" w:cs="Arial"/>
          <w:color w:val="000000"/>
        </w:rPr>
        <w:lastRenderedPageBreak/>
        <w:t>lokoregionalen</w:t>
      </w:r>
      <w:proofErr w:type="spellEnd"/>
      <w:r w:rsidRPr="00812C16">
        <w:rPr>
          <w:rFonts w:ascii="Arial" w:hAnsi="Arial" w:cs="Arial"/>
          <w:color w:val="000000"/>
        </w:rPr>
        <w:t xml:space="preserve"> Tumorkontrollraten im Vergleich zu Patienten mit CD44-Proteinexprimierenden Tumoren erhöht haben.</w:t>
      </w:r>
    </w:p>
    <w:p w14:paraId="79739645" w14:textId="77777777" w:rsidR="000C51F3" w:rsidRPr="00812C16" w:rsidRDefault="000C51F3" w:rsidP="000C51F3">
      <w:pPr>
        <w:pStyle w:val="StandardWeb"/>
        <w:spacing w:before="0" w:beforeAutospacing="0" w:after="0" w:afterAutospacing="0"/>
        <w:textAlignment w:val="baseline"/>
        <w:rPr>
          <w:rFonts w:ascii="Arial" w:hAnsi="Arial" w:cs="Arial"/>
          <w:color w:val="000000"/>
        </w:rPr>
      </w:pPr>
    </w:p>
    <w:p w14:paraId="6258CE4C" w14:textId="77777777" w:rsidR="000C51F3" w:rsidRPr="00812C16" w:rsidRDefault="000C51F3" w:rsidP="000C51F3">
      <w:pPr>
        <w:pStyle w:val="StandardWeb"/>
        <w:spacing w:before="0" w:beforeAutospacing="0" w:after="0" w:afterAutospacing="0"/>
        <w:textAlignment w:val="baseline"/>
        <w:rPr>
          <w:rFonts w:ascii="Arial" w:hAnsi="Arial" w:cs="Arial"/>
          <w:color w:val="000000"/>
        </w:rPr>
      </w:pPr>
      <w:r w:rsidRPr="00812C16">
        <w:rPr>
          <w:rFonts w:ascii="Arial" w:hAnsi="Arial" w:cs="Arial"/>
          <w:color w:val="000000"/>
        </w:rPr>
        <w:t>Vor kurzem wurde CD98 experimentell als mutmaßlicher CSC-Marker (</w:t>
      </w:r>
      <w:hyperlink r:id="rId36" w:anchor="ref-39" w:history="1">
        <w:r w:rsidRPr="00812C16">
          <w:rPr>
            <w:rStyle w:val="Hyperlink"/>
            <w:rFonts w:ascii="Arial" w:hAnsi="Arial" w:cs="Arial"/>
            <w:b/>
            <w:bCs/>
            <w:color w:val="97233F"/>
            <w:bdr w:val="none" w:sz="0" w:space="0" w:color="auto" w:frame="1"/>
          </w:rPr>
          <w:t>39</w:t>
        </w:r>
      </w:hyperlink>
      <w:r w:rsidRPr="00812C16">
        <w:rPr>
          <w:rFonts w:ascii="Arial" w:hAnsi="Arial" w:cs="Arial"/>
          <w:color w:val="000000"/>
        </w:rPr>
        <w:t>)</w:t>
      </w:r>
      <w:r w:rsidRPr="00812C16">
        <w:rPr>
          <w:rStyle w:val="apple-converted-space"/>
          <w:rFonts w:ascii="Arial" w:hAnsi="Arial" w:cs="Arial"/>
          <w:color w:val="000000"/>
        </w:rPr>
        <w:t> </w:t>
      </w:r>
      <w:r w:rsidRPr="00812C16">
        <w:rPr>
          <w:rFonts w:ascii="Arial" w:hAnsi="Arial" w:cs="Arial"/>
          <w:color w:val="000000"/>
        </w:rPr>
        <w:t xml:space="preserve">etabliert. In einer Studie mit 711 Patienten mit </w:t>
      </w:r>
      <w:proofErr w:type="spellStart"/>
      <w:r w:rsidRPr="00812C16">
        <w:rPr>
          <w:rFonts w:ascii="Arial" w:hAnsi="Arial" w:cs="Arial"/>
          <w:color w:val="000000"/>
        </w:rPr>
        <w:t>oropharyngealem</w:t>
      </w:r>
      <w:proofErr w:type="spellEnd"/>
      <w:r w:rsidRPr="00812C16">
        <w:rPr>
          <w:rFonts w:ascii="Arial" w:hAnsi="Arial" w:cs="Arial"/>
          <w:color w:val="000000"/>
        </w:rPr>
        <w:t xml:space="preserve"> Plattenepithelkarzinom wurde gezeigt, dass HPV-positive Tumore weniger CSC-Marker wie CD44 und CD98 exprimieren, während CD44- und CD98-Positivität mit signifikant geringerem progressionsfreien und OS (</w:t>
      </w:r>
      <w:hyperlink r:id="rId37" w:anchor="ref-40" w:history="1">
        <w:r w:rsidRPr="00812C16">
          <w:rPr>
            <w:rStyle w:val="Hyperlink"/>
            <w:rFonts w:ascii="Arial" w:hAnsi="Arial" w:cs="Arial"/>
            <w:b/>
            <w:bCs/>
            <w:color w:val="97233F"/>
            <w:bdr w:val="none" w:sz="0" w:space="0" w:color="auto" w:frame="1"/>
          </w:rPr>
          <w:t>40</w:t>
        </w:r>
      </w:hyperlink>
      <w:r w:rsidRPr="00812C16">
        <w:rPr>
          <w:rFonts w:ascii="Arial" w:hAnsi="Arial" w:cs="Arial"/>
          <w:color w:val="000000"/>
        </w:rPr>
        <w:t>)</w:t>
      </w:r>
      <w:r w:rsidRPr="00812C16">
        <w:rPr>
          <w:rStyle w:val="apple-converted-space"/>
          <w:rFonts w:ascii="Arial" w:hAnsi="Arial" w:cs="Arial"/>
          <w:color w:val="000000"/>
        </w:rPr>
        <w:t> </w:t>
      </w:r>
      <w:r w:rsidRPr="00812C16">
        <w:rPr>
          <w:rFonts w:ascii="Arial" w:hAnsi="Arial" w:cs="Arial"/>
          <w:color w:val="000000"/>
        </w:rPr>
        <w:t>verbunden war. In unserer Patientenkohorte fanden wir heraus, dass Patienten mit hoher Expression von</w:t>
      </w:r>
      <w:r w:rsidRPr="00812C16">
        <w:rPr>
          <w:rStyle w:val="apple-converted-space"/>
          <w:rFonts w:ascii="Arial" w:hAnsi="Arial" w:cs="Arial"/>
          <w:color w:val="000000"/>
        </w:rPr>
        <w:t> </w:t>
      </w:r>
      <w:r w:rsidRPr="00812C16">
        <w:rPr>
          <w:rStyle w:val="Hervorhebung"/>
          <w:rFonts w:ascii="Arial" w:hAnsi="Arial" w:cs="Arial"/>
          <w:color w:val="000000"/>
          <w:bdr w:val="none" w:sz="0" w:space="0" w:color="auto" w:frame="1"/>
        </w:rPr>
        <w:t>SLC3A2</w:t>
      </w:r>
      <w:r w:rsidRPr="00812C16">
        <w:rPr>
          <w:rFonts w:ascii="Arial" w:hAnsi="Arial" w:cs="Arial"/>
          <w:color w:val="000000"/>
        </w:rPr>
        <w:t xml:space="preserve">, das für eines der CD98-Hetodimere kodiert, auch nach PORT-C eine schlechte </w:t>
      </w:r>
      <w:proofErr w:type="spellStart"/>
      <w:r w:rsidRPr="00812C16">
        <w:rPr>
          <w:rFonts w:ascii="Arial" w:hAnsi="Arial" w:cs="Arial"/>
          <w:color w:val="000000"/>
        </w:rPr>
        <w:t>lokoregionale</w:t>
      </w:r>
      <w:proofErr w:type="spellEnd"/>
      <w:r w:rsidRPr="00812C16">
        <w:rPr>
          <w:rFonts w:ascii="Arial" w:hAnsi="Arial" w:cs="Arial"/>
          <w:color w:val="000000"/>
        </w:rPr>
        <w:t xml:space="preserve"> Tumorkontrolle und ein erhöhtes Risiko für entfernte Metastasen aufweisen.</w:t>
      </w:r>
    </w:p>
    <w:p w14:paraId="03EF35EB" w14:textId="77777777" w:rsidR="00DA09A9" w:rsidRPr="00812C16" w:rsidRDefault="00DA09A9" w:rsidP="000C51F3">
      <w:pPr>
        <w:pStyle w:val="StandardWeb"/>
        <w:spacing w:before="0" w:beforeAutospacing="0" w:after="0" w:afterAutospacing="0"/>
        <w:textAlignment w:val="baseline"/>
        <w:rPr>
          <w:rFonts w:ascii="Arial" w:hAnsi="Arial" w:cs="Arial"/>
          <w:color w:val="000000"/>
        </w:rPr>
      </w:pPr>
    </w:p>
    <w:p w14:paraId="0AF438F6" w14:textId="77777777" w:rsidR="00DA09A9" w:rsidRPr="00812C16" w:rsidRDefault="00DA09A9" w:rsidP="00DA09A9">
      <w:pPr>
        <w:pStyle w:val="berschrift3"/>
      </w:pPr>
      <w:bookmarkStart w:id="94" w:name="_Toc158006550"/>
      <w:r w:rsidRPr="00812C16">
        <w:t>HPV-Status als weiteren Stratifizierungsparameter</w:t>
      </w:r>
      <w:bookmarkEnd w:id="94"/>
    </w:p>
    <w:p w14:paraId="5639FEDF" w14:textId="77777777" w:rsidR="000C51F3" w:rsidRPr="00812C16" w:rsidRDefault="000C51F3" w:rsidP="000C51F3">
      <w:pPr>
        <w:rPr>
          <w:rFonts w:cs="Arial"/>
        </w:rPr>
      </w:pPr>
    </w:p>
    <w:p w14:paraId="09F3921F" w14:textId="77777777" w:rsidR="00980CFA" w:rsidRPr="00812C16" w:rsidRDefault="00980CFA" w:rsidP="00402210">
      <w:pPr>
        <w:spacing w:after="0"/>
        <w:jc w:val="left"/>
        <w:rPr>
          <w:rFonts w:cs="Arial"/>
        </w:rPr>
      </w:pPr>
      <w:r w:rsidRPr="00812C16">
        <w:rPr>
          <w:rFonts w:cs="Arial"/>
        </w:rPr>
        <w:br w:type="page"/>
      </w:r>
      <w:r w:rsidRPr="00812C16">
        <w:rPr>
          <w:rFonts w:cs="Arial"/>
        </w:rPr>
        <w:lastRenderedPageBreak/>
        <w:br w:type="page"/>
      </w:r>
      <w:r w:rsidRPr="00812C16">
        <w:rPr>
          <w:rFonts w:cs="Arial"/>
        </w:rPr>
        <w:lastRenderedPageBreak/>
        <w:t xml:space="preserve">Während mehrere frühere Studien starke Beweise dafür lieferten, dass der HPV-Status ein signifikanter prognostischer Marker für die </w:t>
      </w:r>
      <w:proofErr w:type="spellStart"/>
      <w:r w:rsidRPr="00812C16">
        <w:rPr>
          <w:rFonts w:cs="Arial"/>
        </w:rPr>
        <w:t>lokoregionale</w:t>
      </w:r>
      <w:proofErr w:type="spellEnd"/>
      <w:r w:rsidRPr="00812C16">
        <w:rPr>
          <w:rFonts w:cs="Arial"/>
        </w:rPr>
        <w:t xml:space="preserve"> Tumorkontrolle und/oder das Überleben bei Patienten ist, die mit primärer Strahlentherapie oder Radiochemotherapie für lokal fortgeschrittenes HNSCC [14], [16], [18], [19] behandelt werden, sind die Auswirkungen des HPV-Status auf das Ergebnis einer postoperativen </w:t>
      </w:r>
      <w:proofErr w:type="gramStart"/>
      <w:r w:rsidRPr="00812C16">
        <w:rPr>
          <w:rFonts w:cs="Arial"/>
        </w:rPr>
        <w:t>Radio(</w:t>
      </w:r>
      <w:proofErr w:type="gramEnd"/>
      <w:r w:rsidRPr="00812C16">
        <w:rPr>
          <w:rFonts w:cs="Arial"/>
        </w:rPr>
        <w:t xml:space="preserve">Chemotherapie weniger gut untersucht. Die Ergebnisse der vorliegenden multizentrischen retrospektiven Studie des DKTK-ROG zeigen, dass die HPV16-DNA-Positivität ein signifikanter Prognostiker der </w:t>
      </w:r>
      <w:proofErr w:type="spellStart"/>
      <w:r w:rsidRPr="00812C16">
        <w:rPr>
          <w:rFonts w:cs="Arial"/>
        </w:rPr>
        <w:t>lokoregionalen</w:t>
      </w:r>
      <w:proofErr w:type="spellEnd"/>
      <w:r w:rsidRPr="00812C16">
        <w:rPr>
          <w:rFonts w:cs="Arial"/>
        </w:rPr>
        <w:t xml:space="preserve"> Tumorkontrolle und des Überlebens von Patienten ist, die nach einer chirurgischen Resektion von lokal fortgeschrittenem HNSCC mit einer postoperativer Radiochemotherapie auf Die Wirkung scheint in allen Behandlungszentren robust zu sein und wird durch die Ergebnisse von </w:t>
      </w:r>
      <w:proofErr w:type="spellStart"/>
      <w:r w:rsidRPr="00812C16">
        <w:rPr>
          <w:rFonts w:cs="Arial"/>
        </w:rPr>
        <w:t>Oropharyngealkrebs</w:t>
      </w:r>
      <w:proofErr w:type="spellEnd"/>
      <w:r w:rsidRPr="00812C16">
        <w:rPr>
          <w:rFonts w:cs="Arial"/>
        </w:rPr>
        <w:t xml:space="preserve"> angetrieben. Unsere Ergebnisse stehen im Einklang mit einer Studie von </w:t>
      </w:r>
      <w:proofErr w:type="spellStart"/>
      <w:r w:rsidRPr="00812C16">
        <w:rPr>
          <w:rFonts w:cs="Arial"/>
        </w:rPr>
        <w:t>Snietura</w:t>
      </w:r>
      <w:proofErr w:type="spellEnd"/>
      <w:r w:rsidRPr="00812C16">
        <w:rPr>
          <w:rFonts w:cs="Arial"/>
        </w:rPr>
        <w:t xml:space="preserve"> et al., die den Einfluss einer HPV-Infektion auf das klinische Ergebnis in einer Post-hoc-Analyse einer randomisierten klinischen Studie mit zwei verschiedenen PORT-Schemas ohne Chemotherapie bei 279 HNSCC-Patienten untersuchte. Die HPV-Analyse wurde bei Tumoren von 131 Patienten durchgeführt. Von den 66 Patienten mit oraler Kavität oder </w:t>
      </w:r>
      <w:proofErr w:type="spellStart"/>
      <w:r w:rsidRPr="00812C16">
        <w:rPr>
          <w:rFonts w:cs="Arial"/>
        </w:rPr>
        <w:t>oropharyngealem</w:t>
      </w:r>
      <w:proofErr w:type="spellEnd"/>
      <w:r w:rsidRPr="00812C16">
        <w:rPr>
          <w:rFonts w:cs="Arial"/>
        </w:rPr>
        <w:t xml:space="preserve"> Karzinom erwiesen sich 9 als positiv für HPV16-DNA und wurden nach 5 Jahren lokal kontrolliert, während die </w:t>
      </w:r>
      <w:proofErr w:type="spellStart"/>
      <w:r w:rsidRPr="00812C16">
        <w:rPr>
          <w:rFonts w:cs="Arial"/>
        </w:rPr>
        <w:t>lokoregionale</w:t>
      </w:r>
      <w:proofErr w:type="spellEnd"/>
      <w:r w:rsidRPr="00812C16">
        <w:rPr>
          <w:rFonts w:cs="Arial"/>
        </w:rPr>
        <w:t xml:space="preserve"> Tumorkontrollrate in der gesamten HPV-DNA-Negativgruppe nur 58 % betrug [24]. Zusammengenommen scheint die HPV16-DNA ein potenziell vielversprechender Biomarker für die Schichtung und individuelle Verschreibung der postoperativen Strahlentherapie zu sein. Die HPV-Positivität scheint ausreichen, um eine Patientenkohorte zu definieren, die nach PORT-C höchst unwahrscheinlich </w:t>
      </w:r>
      <w:proofErr w:type="spellStart"/>
      <w:r w:rsidRPr="00812C16">
        <w:rPr>
          <w:rFonts w:cs="Arial"/>
        </w:rPr>
        <w:t>lokoregionale</w:t>
      </w:r>
      <w:proofErr w:type="spellEnd"/>
      <w:r w:rsidRPr="00812C16">
        <w:rPr>
          <w:rFonts w:cs="Arial"/>
        </w:rPr>
        <w:t xml:space="preserve"> </w:t>
      </w:r>
      <w:proofErr w:type="spellStart"/>
      <w:r w:rsidRPr="00812C16">
        <w:rPr>
          <w:rFonts w:cs="Arial"/>
        </w:rPr>
        <w:t>Rezidivenzen</w:t>
      </w:r>
      <w:proofErr w:type="spellEnd"/>
      <w:r w:rsidRPr="00812C16">
        <w:rPr>
          <w:rFonts w:cs="Arial"/>
        </w:rPr>
        <w:t xml:space="preserve"> entwickelt, was im Gegensatz zur primären Strahlenchemotherapie steht, bei der mehr Schichtungsparameter erforderlich sind [25]. Dieser Unterschied zwischen den beiden Behandlungsansätzen kann dadurch verursacht werden, dass solche zusätzlichen Faktoren, am offensichtlichsten Tumorvolumen, bei der Reseziert des Tumors eine geringere Rolle spielen. Andere patientenbezogene Risikofaktoren wie der Raucherstatus konnten in unserem Datensatz nicht ausgewertet werden, könnten aber auch relevant sein. Wir führen derzeit ähnliche Analysen in einer Patientenkohorte durch, die von denselben Zentren und innerhalb desselben Zeitraums mit der primären Radiochemotherapie behandelt wurde, um solche Differentialprognosen mit einem mehrdimensionalen </w:t>
      </w:r>
      <w:r w:rsidRPr="00812C16">
        <w:rPr>
          <w:rFonts w:cs="Arial"/>
        </w:rPr>
        <w:lastRenderedPageBreak/>
        <w:t>statistischen Ansatz einschließlich radiobiologischer Schätzungen, z.B. zur Tumorzellzahl, weiter zu bewerten. Für die Gruppe der HPV-negativen Patienten ist die Situation weitgehend anders. Hier kann HPV nicht als einziger Biomarker verwendet werden, um Tumorrezidiven vorherzusagen, wie die geringe Empfindlichkeit von 38 % oder 41 % für HPV16-DNA oder p16-Positivität zeigt. Daher benötigt die HPV-negative Gruppe weitere Untersuchungen potenzieller Biomarker, die für Patienten, die möglicherweise eine Intensivierung der Behandlung benötigen, und für Patienten, für die kein lokales Wiederauftreten zu erwarten ist, schichten.</w:t>
      </w:r>
    </w:p>
    <w:p w14:paraId="60397252" w14:textId="77777777" w:rsidR="00980CFA" w:rsidRPr="00812C16" w:rsidRDefault="00980CFA" w:rsidP="00980CFA">
      <w:pPr>
        <w:spacing w:after="0"/>
        <w:rPr>
          <w:rFonts w:cs="Arial"/>
        </w:rPr>
      </w:pPr>
    </w:p>
    <w:p w14:paraId="16E3A36F" w14:textId="77777777" w:rsidR="00980CFA" w:rsidRPr="00812C16" w:rsidRDefault="00980CFA" w:rsidP="00980CFA">
      <w:pPr>
        <w:spacing w:after="0"/>
        <w:rPr>
          <w:rFonts w:cs="Arial"/>
        </w:rPr>
      </w:pPr>
      <w:r w:rsidRPr="00812C16">
        <w:rPr>
          <w:rFonts w:cs="Arial"/>
        </w:rPr>
        <w:t xml:space="preserve">Derzeit läuft eine prospektive multizentrische Studie des DKTK-ROG, um den prognostischen Wert der HPV16-DNA-Positivität für die </w:t>
      </w:r>
      <w:proofErr w:type="spellStart"/>
      <w:r w:rsidRPr="00812C16">
        <w:rPr>
          <w:rFonts w:cs="Arial"/>
        </w:rPr>
        <w:t>lokoregionale</w:t>
      </w:r>
      <w:proofErr w:type="spellEnd"/>
      <w:r w:rsidRPr="00812C16">
        <w:rPr>
          <w:rFonts w:cs="Arial"/>
        </w:rPr>
        <w:t xml:space="preserve"> Tumorkontrolle nach PORT-C bei 240 HNSCC-Patienten zu validieren. Wenn die Ergebnisse dieser retrospektiven Kohorte bestätigt werden, wird eine interventionelle Studie zur Deeskalation der PORT-C-Strahlungsdosen bei HPV16-DNA-positiven, klinisch geeigneten </w:t>
      </w:r>
      <w:proofErr w:type="spellStart"/>
      <w:r w:rsidRPr="00812C16">
        <w:rPr>
          <w:rFonts w:cs="Arial"/>
        </w:rPr>
        <w:t>Oropharyngealkrebspatienten</w:t>
      </w:r>
      <w:proofErr w:type="spellEnd"/>
      <w:r w:rsidRPr="00812C16">
        <w:rPr>
          <w:rFonts w:cs="Arial"/>
        </w:rPr>
        <w:t xml:space="preserve"> eingeleitet. Die Spezifitätsbewertung der HPV16-DNA-Positivität für die </w:t>
      </w:r>
      <w:proofErr w:type="spellStart"/>
      <w:r w:rsidRPr="00812C16">
        <w:rPr>
          <w:rFonts w:cs="Arial"/>
        </w:rPr>
        <w:t>lokoregionale</w:t>
      </w:r>
      <w:proofErr w:type="spellEnd"/>
      <w:r w:rsidRPr="00812C16">
        <w:rPr>
          <w:rFonts w:cs="Arial"/>
        </w:rPr>
        <w:t xml:space="preserve"> Tumorkontrolle aus dieser Untersuchung legt nahe, dass bei einer moderaten Abnahme der Strahlendosis bei diesen Patienten nur sehr wenige, wenn überhaupt, Wiederauftreten zu erwarten sind, daher können in einer solchen Studie strenge Stoppregeln für die Patientensicherheit gegen das Risiko einer minderwertigen Behandlung angewendet werden, z.B. mit einem </w:t>
      </w:r>
      <w:proofErr w:type="spellStart"/>
      <w:r w:rsidRPr="00812C16">
        <w:rPr>
          <w:rFonts w:cs="Arial"/>
        </w:rPr>
        <w:t>Pocock</w:t>
      </w:r>
      <w:proofErr w:type="spellEnd"/>
      <w:r w:rsidRPr="00812C16">
        <w:rPr>
          <w:rFonts w:cs="Arial"/>
        </w:rPr>
        <w:t>-Grenzansatz [26]. Eine weitere Verfeinerung der Risikoschichtung speziell für die HPV-negative Gruppe kann sich aus einer prospektiven Bewertung klinischer Parameter [27] in der Validierungsstudie und aus den laufenden Bemühungen ergeben, weitere Biomarker in der aktuellen Retrospektive und in der Validierungspatientenkohorte zu identifizieren.</w:t>
      </w:r>
    </w:p>
    <w:p w14:paraId="3601A587" w14:textId="77777777" w:rsidR="00980CFA" w:rsidRPr="00812C16" w:rsidRDefault="00980CFA" w:rsidP="00980CFA">
      <w:pPr>
        <w:spacing w:after="0"/>
        <w:rPr>
          <w:rFonts w:cs="Arial"/>
        </w:rPr>
      </w:pPr>
    </w:p>
    <w:p w14:paraId="7837FB77" w14:textId="77777777" w:rsidR="00980CFA" w:rsidRPr="00812C16" w:rsidRDefault="00980CFA" w:rsidP="00980CFA">
      <w:pPr>
        <w:spacing w:after="0"/>
        <w:rPr>
          <w:rFonts w:cs="Arial"/>
        </w:rPr>
      </w:pPr>
      <w:r w:rsidRPr="00812C16">
        <w:rPr>
          <w:rFonts w:cs="Arial"/>
        </w:rPr>
        <w:t xml:space="preserve">Das geringe Risiko eines </w:t>
      </w:r>
      <w:proofErr w:type="spellStart"/>
      <w:r w:rsidRPr="00812C16">
        <w:rPr>
          <w:rFonts w:cs="Arial"/>
        </w:rPr>
        <w:t>lokoregionalen</w:t>
      </w:r>
      <w:proofErr w:type="spellEnd"/>
      <w:r w:rsidRPr="00812C16">
        <w:rPr>
          <w:rFonts w:cs="Arial"/>
        </w:rPr>
        <w:t xml:space="preserve"> Wiederauftretens bei HPV16-DNA-positiven </w:t>
      </w:r>
      <w:proofErr w:type="spellStart"/>
      <w:r w:rsidRPr="00812C16">
        <w:rPr>
          <w:rFonts w:cs="Arial"/>
        </w:rPr>
        <w:t>Oropharyngealkarzinomen</w:t>
      </w:r>
      <w:proofErr w:type="spellEnd"/>
      <w:r w:rsidRPr="00812C16">
        <w:rPr>
          <w:rFonts w:cs="Arial"/>
        </w:rPr>
        <w:t xml:space="preserve"> nach kurativ beabsichtigter Resektion und PORT-C deutet darauf hin, dass entweder zu Beginn von PORT-C weniger Tumorstammzellen vorhanden sind, dass die verbleibenden HPV-positiven Tumorzellen radio-(</w:t>
      </w:r>
      <w:proofErr w:type="spellStart"/>
      <w:r w:rsidRPr="00812C16">
        <w:rPr>
          <w:rFonts w:cs="Arial"/>
        </w:rPr>
        <w:t>chemo</w:t>
      </w:r>
      <w:proofErr w:type="spellEnd"/>
      <w:r w:rsidRPr="00812C16">
        <w:rPr>
          <w:rFonts w:cs="Arial"/>
        </w:rPr>
        <w:t xml:space="preserve">-)empfindlicher sind oder eine Kombination aus beidem. Kürzlich wurde berichtet, dass HPV-positive </w:t>
      </w:r>
      <w:proofErr w:type="spellStart"/>
      <w:r w:rsidRPr="00812C16">
        <w:rPr>
          <w:rFonts w:cs="Arial"/>
        </w:rPr>
        <w:t>Oropharyngealkrebs</w:t>
      </w:r>
      <w:proofErr w:type="spellEnd"/>
      <w:r w:rsidRPr="00812C16">
        <w:rPr>
          <w:rFonts w:cs="Arial"/>
        </w:rPr>
        <w:t xml:space="preserve"> eine geringe Expression von Stammzellmarkern wie CD44 und CD98 im Vergleich zu HPV-negativen </w:t>
      </w:r>
      <w:proofErr w:type="spellStart"/>
      <w:r w:rsidRPr="00812C16">
        <w:rPr>
          <w:rFonts w:cs="Arial"/>
        </w:rPr>
        <w:t>Oropharyngealkarzinomen</w:t>
      </w:r>
      <w:proofErr w:type="spellEnd"/>
      <w:r w:rsidRPr="00812C16">
        <w:rPr>
          <w:rFonts w:cs="Arial"/>
        </w:rPr>
        <w:t xml:space="preserve"> zeigt </w:t>
      </w:r>
      <w:r w:rsidRPr="00812C16">
        <w:rPr>
          <w:rFonts w:cs="Arial"/>
        </w:rPr>
        <w:lastRenderedPageBreak/>
        <w:t>[28]. Darüber hinaus zeigten Patienten mit HPV-positiven und niedrigen CD98-exprimierenden Tumoren ein besseres Gesamtüberleben und ein progressionsfreies Überleben im Vergleich zu Patienten mit hohen CD98-exprimierenden HPV-positiven Tumoren. Die erhöhte Radioempfindlichkeit von HPV-positiven Tumorzellen wird durch eine Reihe von Untersuchungen unterstützt. HPV-positive HNSCC-Zelllinien (alle positiv für HPV-DNA, HPV-RNA und p16), die durch einen Koloniebildungstest in vitro bewertet wurden, zeigten aufgrund der beeinträchtigten DNA-Reparaturkapazität eine höhere zelluläre Radioempfindlichkeit im Vergleich zu HPV-negativen Zelllinien [29]. Ähnliche Beobachtungen wurden von anderen berichtet [30],[31]. Weitere Beobachtungen, die sowohl In-vitro- als auch in In-vivo-Ansätze verwenden, deuten darauf hin, dass überexprimiertes p16 die Rekrutierung von RAD51 an die DNA-</w:t>
      </w:r>
      <w:proofErr w:type="spellStart"/>
      <w:r w:rsidRPr="00812C16">
        <w:rPr>
          <w:rFonts w:cs="Arial"/>
        </w:rPr>
        <w:t>Schädensstelle</w:t>
      </w:r>
      <w:proofErr w:type="spellEnd"/>
      <w:r w:rsidRPr="00812C16">
        <w:rPr>
          <w:rFonts w:cs="Arial"/>
        </w:rPr>
        <w:t xml:space="preserve"> in HPV-positivem HNSCC durch </w:t>
      </w:r>
      <w:proofErr w:type="spellStart"/>
      <w:r w:rsidRPr="00812C16">
        <w:rPr>
          <w:rFonts w:cs="Arial"/>
        </w:rPr>
        <w:t>Downregulation</w:t>
      </w:r>
      <w:proofErr w:type="spellEnd"/>
      <w:r w:rsidRPr="00812C16">
        <w:rPr>
          <w:rFonts w:cs="Arial"/>
        </w:rPr>
        <w:t xml:space="preserve"> von </w:t>
      </w:r>
      <w:proofErr w:type="spellStart"/>
      <w:r w:rsidRPr="00812C16">
        <w:rPr>
          <w:rFonts w:cs="Arial"/>
        </w:rPr>
        <w:t>Cyclin</w:t>
      </w:r>
      <w:proofErr w:type="spellEnd"/>
      <w:r w:rsidRPr="00812C16">
        <w:rPr>
          <w:rFonts w:cs="Arial"/>
        </w:rPr>
        <w:t xml:space="preserve"> D1 beeinträchtigt und damit den Zellzyklus und die homologe </w:t>
      </w:r>
      <w:proofErr w:type="spellStart"/>
      <w:r w:rsidRPr="00812C16">
        <w:rPr>
          <w:rFonts w:cs="Arial"/>
        </w:rPr>
        <w:t>rekombinations</w:t>
      </w:r>
      <w:proofErr w:type="spellEnd"/>
    </w:p>
    <w:p w14:paraId="16B6F2C1" w14:textId="77777777" w:rsidR="00980CFA" w:rsidRPr="00812C16" w:rsidRDefault="00980CFA" w:rsidP="00980CFA">
      <w:pPr>
        <w:spacing w:after="0"/>
        <w:rPr>
          <w:rFonts w:cs="Arial"/>
        </w:rPr>
      </w:pPr>
    </w:p>
    <w:p w14:paraId="038B8699" w14:textId="77777777" w:rsidR="00980CFA" w:rsidRPr="00812C16" w:rsidRDefault="00980CFA" w:rsidP="00980CFA">
      <w:pPr>
        <w:spacing w:after="0"/>
        <w:rPr>
          <w:rFonts w:cs="Arial"/>
        </w:rPr>
      </w:pPr>
      <w:r w:rsidRPr="00812C16">
        <w:rPr>
          <w:rFonts w:cs="Arial"/>
        </w:rPr>
        <w:t xml:space="preserve">Es gibt derzeit keinen allgemein vereinbarten Konsens für die Bewertung des HPV-Infektionsstatus als potenzieller Biomarker; allgemeine Methoden zur Bewertung der HPV-Infektion umfassen HPV-DNA, HPV-RNA und p16-Überexpression [33], [34], [35]. Die überwiegende Mehrheit des HPV-positiven HNSCC hat sich als positiv für HPV16-DNA [21], [36] erwiesen, was den hier berichteten Ergebnissen entspricht. HPV16-DNA zeigte stärkere Korrelationen mit den Ergebnisparametern im Vergleich zur p16-Immunhistochemie in einer Kohorte von 50 Patienten mit </w:t>
      </w:r>
      <w:proofErr w:type="spellStart"/>
      <w:r w:rsidRPr="00812C16">
        <w:rPr>
          <w:rFonts w:cs="Arial"/>
        </w:rPr>
        <w:t>oropharyngealen</w:t>
      </w:r>
      <w:proofErr w:type="spellEnd"/>
      <w:r w:rsidRPr="00812C16">
        <w:rPr>
          <w:rFonts w:cs="Arial"/>
        </w:rPr>
        <w:t xml:space="preserve"> Tumoren, die eine primäre Radiochemotherapie erhielten [37]. Auch in unserer Studie erscheint HPV16 DNA als stärkerer Prognostiker für die </w:t>
      </w:r>
      <w:proofErr w:type="spellStart"/>
      <w:r w:rsidRPr="00812C16">
        <w:rPr>
          <w:rFonts w:cs="Arial"/>
        </w:rPr>
        <w:t>lokoregionale</w:t>
      </w:r>
      <w:proofErr w:type="spellEnd"/>
      <w:r w:rsidRPr="00812C16">
        <w:rPr>
          <w:rFonts w:cs="Arial"/>
        </w:rPr>
        <w:t xml:space="preserve"> Tumorkontrolle im Vergleich zur p16-Expression (Tabelle 4 vs. Ergänzende Tabelle S2), dies muss jedoch in einer größeren Kohorte validiert werden.</w:t>
      </w:r>
    </w:p>
    <w:p w14:paraId="1AB73CB4" w14:textId="77777777" w:rsidR="00980CFA" w:rsidRPr="00812C16" w:rsidRDefault="00980CFA" w:rsidP="00980CFA">
      <w:pPr>
        <w:spacing w:after="0"/>
        <w:rPr>
          <w:rFonts w:cs="Arial"/>
        </w:rPr>
      </w:pPr>
    </w:p>
    <w:p w14:paraId="02A083CF" w14:textId="77777777" w:rsidR="00980CFA" w:rsidRPr="00812C16" w:rsidRDefault="00980CFA" w:rsidP="00980CFA">
      <w:pPr>
        <w:spacing w:after="0"/>
        <w:rPr>
          <w:rFonts w:cs="Arial"/>
        </w:rPr>
      </w:pPr>
      <w:r w:rsidRPr="00812C16">
        <w:rPr>
          <w:rFonts w:cs="Arial"/>
        </w:rPr>
        <w:t xml:space="preserve">In der vorliegenden Studie war HPV16 DNA-Positivität ein starker unabhängiger Prognostiker für die </w:t>
      </w:r>
      <w:proofErr w:type="spellStart"/>
      <w:r w:rsidRPr="00812C16">
        <w:rPr>
          <w:rFonts w:cs="Arial"/>
        </w:rPr>
        <w:t>lokoregionale</w:t>
      </w:r>
      <w:proofErr w:type="spellEnd"/>
      <w:r w:rsidRPr="00812C16">
        <w:rPr>
          <w:rFonts w:cs="Arial"/>
        </w:rPr>
        <w:t xml:space="preserve"> Tumorkontrolle bei </w:t>
      </w:r>
      <w:proofErr w:type="spellStart"/>
      <w:r w:rsidRPr="00812C16">
        <w:rPr>
          <w:rFonts w:cs="Arial"/>
        </w:rPr>
        <w:t>Oropharyngeal</w:t>
      </w:r>
      <w:proofErr w:type="spellEnd"/>
      <w:r w:rsidRPr="00812C16">
        <w:rPr>
          <w:rFonts w:cs="Arial"/>
        </w:rPr>
        <w:t xml:space="preserve">-, aber nicht bei Mundhöhlentumoren. Im Gegensatz dazu wurde bei Mundhöhlentumoren eine erhöhte p53-Positivität beobachtet, was auf einen alternativen Weg für die Tumorentwicklung hindeutet, z.B. Lebensstilfaktoren. Es ist bekannt, dass das Tumorsuppressorgen TP53 an der Karzinogenese von HNSCC beteiligt ist [38], und seine Überexpression wird bei starken Rauchern und schweren Trinkern berichtet [39], [40]. Erhöhte Positivität wurde mit TP53-Genmutationen in Verbindung gebracht, die zur </w:t>
      </w:r>
      <w:r w:rsidRPr="00812C16">
        <w:rPr>
          <w:rFonts w:cs="Arial"/>
        </w:rPr>
        <w:lastRenderedPageBreak/>
        <w:t xml:space="preserve">Stabilisierung und nuklearen Akkumulation von p53-Proteinen führen </w:t>
      </w:r>
      <w:proofErr w:type="gramStart"/>
      <w:r w:rsidRPr="00812C16">
        <w:rPr>
          <w:rFonts w:cs="Arial"/>
        </w:rPr>
        <w:t>können[</w:t>
      </w:r>
      <w:proofErr w:type="gramEnd"/>
      <w:r w:rsidRPr="00812C16">
        <w:rPr>
          <w:rFonts w:cs="Arial"/>
        </w:rPr>
        <w:t>41]. Es wurde gezeigt, dass das HPV-</w:t>
      </w:r>
      <w:proofErr w:type="spellStart"/>
      <w:r w:rsidRPr="00812C16">
        <w:rPr>
          <w:rFonts w:cs="Arial"/>
        </w:rPr>
        <w:t>Onkoprotein</w:t>
      </w:r>
      <w:proofErr w:type="spellEnd"/>
      <w:r w:rsidRPr="00812C16">
        <w:rPr>
          <w:rFonts w:cs="Arial"/>
        </w:rPr>
        <w:t xml:space="preserve"> E6 p53 [42], [43] inaktiviert und hemmt, was der Tatsache entspricht, dass der Großteil unserer HPV-positiven Studienkohorte für p53 negativ war.</w:t>
      </w:r>
    </w:p>
    <w:p w14:paraId="62ED5B70" w14:textId="77777777" w:rsidR="00980CFA" w:rsidRPr="00812C16" w:rsidRDefault="00980CFA" w:rsidP="00980CFA">
      <w:pPr>
        <w:spacing w:after="0"/>
        <w:rPr>
          <w:rFonts w:cs="Arial"/>
        </w:rPr>
      </w:pPr>
    </w:p>
    <w:p w14:paraId="46D9BD38" w14:textId="77777777" w:rsidR="00980CFA" w:rsidRPr="00812C16" w:rsidRDefault="00980CFA" w:rsidP="00980CFA">
      <w:pPr>
        <w:spacing w:after="0"/>
        <w:rPr>
          <w:rFonts w:cs="Arial"/>
        </w:rPr>
      </w:pPr>
      <w:r w:rsidRPr="00812C16">
        <w:rPr>
          <w:rFonts w:cs="Arial"/>
        </w:rPr>
        <w:t xml:space="preserve">In unserer Studie ist die </w:t>
      </w:r>
      <w:proofErr w:type="spellStart"/>
      <w:r w:rsidRPr="00812C16">
        <w:rPr>
          <w:rFonts w:cs="Arial"/>
        </w:rPr>
        <w:t>extrakapseuläre</w:t>
      </w:r>
      <w:proofErr w:type="spellEnd"/>
      <w:r w:rsidRPr="00812C16">
        <w:rPr>
          <w:rFonts w:cs="Arial"/>
        </w:rPr>
        <w:t xml:space="preserve"> Verlängerung der Lymphknoten ein prognostischer Faktor für das Gesamtüberleben bei Patienten mit oralen Hohlraumkarzinomen, aber nicht in der gesamten Patientenpopulation. Dies scheint im Gegensatz zu den Ergebnissen der Metaanalyse von </w:t>
      </w:r>
      <w:proofErr w:type="spellStart"/>
      <w:r w:rsidRPr="00812C16">
        <w:rPr>
          <w:rFonts w:cs="Arial"/>
        </w:rPr>
        <w:t>Bernier</w:t>
      </w:r>
      <w:proofErr w:type="spellEnd"/>
      <w:r w:rsidRPr="00812C16">
        <w:rPr>
          <w:rFonts w:cs="Arial"/>
        </w:rPr>
        <w:t xml:space="preserve"> et al. zu stehen, die zeigt, dass positive Margen und/oder </w:t>
      </w:r>
      <w:proofErr w:type="spellStart"/>
      <w:r w:rsidRPr="00812C16">
        <w:rPr>
          <w:rFonts w:cs="Arial"/>
        </w:rPr>
        <w:t>extrakapseuläre</w:t>
      </w:r>
      <w:proofErr w:type="spellEnd"/>
      <w:r w:rsidRPr="00812C16">
        <w:rPr>
          <w:rFonts w:cs="Arial"/>
        </w:rPr>
        <w:t xml:space="preserve"> Verlängerung die wichtigsten Prognosen für ein schlechtes Ergebnis/Gesamtüberleben sind [9]. Diese Metaanalyse schichtet jedoch nicht zwischen Mundhöhle und </w:t>
      </w:r>
      <w:proofErr w:type="spellStart"/>
      <w:r w:rsidRPr="00812C16">
        <w:rPr>
          <w:rFonts w:cs="Arial"/>
        </w:rPr>
        <w:t>Oropharyngealkrebs</w:t>
      </w:r>
      <w:proofErr w:type="spellEnd"/>
      <w:r w:rsidRPr="00812C16">
        <w:rPr>
          <w:rFonts w:cs="Arial"/>
        </w:rPr>
        <w:t xml:space="preserve">, und molekulare Biomarker wurden in den Studien, die in der Metaanalyse enthalten waren, nicht als verwirrende Faktoren untersucht (EORTC- und RTOG-Studien). Darüber hinaus könnten Patienten, die in die EORTC- und RTOG-Studien einbezogen werden, eine andere Population widerspiegeln als die in dieser Studie analysierte Patientenkohorte, was die Notwendigkeit einer konstanten </w:t>
      </w:r>
      <w:proofErr w:type="spellStart"/>
      <w:r w:rsidRPr="00812C16">
        <w:rPr>
          <w:rFonts w:cs="Arial"/>
        </w:rPr>
        <w:t>Markeranpassung</w:t>
      </w:r>
      <w:proofErr w:type="spellEnd"/>
      <w:r w:rsidRPr="00812C16">
        <w:rPr>
          <w:rFonts w:cs="Arial"/>
        </w:rPr>
        <w:t xml:space="preserve"> für die Patientenschichtung unterstreicht. Weitere Bemühungen zur Untersuchung verschiedener Biomarker speziell für die HPV-negative Gruppe, die eine postoperative Radiochemotherapie erhält, sowie für die primäre Radiochemotherapie sind derzeit im DKTK-ROG unter Verwendung von Material der hier berichteten Kohorte und der Validierungsstudie im Gange.</w:t>
      </w:r>
    </w:p>
    <w:p w14:paraId="2A3CDC8B" w14:textId="77777777" w:rsidR="00980CFA" w:rsidRPr="00812C16" w:rsidRDefault="00980CFA" w:rsidP="00980CFA">
      <w:pPr>
        <w:spacing w:after="0"/>
        <w:rPr>
          <w:rFonts w:cs="Arial"/>
        </w:rPr>
      </w:pPr>
    </w:p>
    <w:p w14:paraId="7BE59A1B" w14:textId="77777777" w:rsidR="00980CFA" w:rsidRPr="00812C16" w:rsidRDefault="00980CFA" w:rsidP="00980CFA">
      <w:pPr>
        <w:spacing w:after="0"/>
        <w:rPr>
          <w:rFonts w:cs="Arial"/>
        </w:rPr>
      </w:pPr>
      <w:r w:rsidRPr="00812C16">
        <w:rPr>
          <w:rFonts w:cs="Arial"/>
        </w:rPr>
        <w:t xml:space="preserve">Abschließend zeigen unsere Ergebnisse dieser retrospektiven explorativen multizentrischen Studie, dass die HPV16-DNA nach postoperativer Cisplatin-basierter Radiochemotherapie des lokal fortgeschrittenen </w:t>
      </w:r>
      <w:proofErr w:type="spellStart"/>
      <w:r w:rsidRPr="00812C16">
        <w:rPr>
          <w:rFonts w:cs="Arial"/>
        </w:rPr>
        <w:t>Oropharyngealkarzinoms</w:t>
      </w:r>
      <w:proofErr w:type="spellEnd"/>
      <w:r w:rsidRPr="00812C16">
        <w:rPr>
          <w:rFonts w:cs="Arial"/>
        </w:rPr>
        <w:t xml:space="preserve"> ein starker Prognostiker der </w:t>
      </w:r>
      <w:proofErr w:type="spellStart"/>
      <w:r w:rsidRPr="00812C16">
        <w:rPr>
          <w:rFonts w:cs="Arial"/>
        </w:rPr>
        <w:t>lokoregionalen</w:t>
      </w:r>
      <w:proofErr w:type="spellEnd"/>
      <w:r w:rsidRPr="00812C16">
        <w:rPr>
          <w:rFonts w:cs="Arial"/>
        </w:rPr>
        <w:t xml:space="preserve"> Tumorkontrolle zu sein scheint und daher ein vielversprechender Biomarker für die Patientenschicht Die Wirkung schien über die 8 Behandlungszentren robust zu sein. Bei Patienten mit HPV16 DNA-positivem </w:t>
      </w:r>
      <w:proofErr w:type="spellStart"/>
      <w:r w:rsidRPr="00812C16">
        <w:rPr>
          <w:rFonts w:cs="Arial"/>
        </w:rPr>
        <w:t>oropharyngealem</w:t>
      </w:r>
      <w:proofErr w:type="spellEnd"/>
      <w:r w:rsidRPr="00812C16">
        <w:rPr>
          <w:rFonts w:cs="Arial"/>
        </w:rPr>
        <w:t xml:space="preserve"> Karzinom kann die </w:t>
      </w:r>
      <w:proofErr w:type="spellStart"/>
      <w:r w:rsidRPr="00812C16">
        <w:rPr>
          <w:rFonts w:cs="Arial"/>
        </w:rPr>
        <w:t>Deintensifikation</w:t>
      </w:r>
      <w:proofErr w:type="spellEnd"/>
      <w:r w:rsidRPr="00812C16">
        <w:rPr>
          <w:rFonts w:cs="Arial"/>
        </w:rPr>
        <w:t xml:space="preserve"> eine gültige interventionelle Option für eine derzeit vorbereitete prospektive Studie sein.</w:t>
      </w:r>
    </w:p>
    <w:p w14:paraId="3256074E" w14:textId="77777777" w:rsidR="00980CFA" w:rsidRPr="00812C16" w:rsidRDefault="00980CFA">
      <w:pPr>
        <w:spacing w:after="0"/>
        <w:jc w:val="left"/>
        <w:rPr>
          <w:rFonts w:cs="Arial"/>
        </w:rPr>
      </w:pPr>
      <w:r w:rsidRPr="00812C16">
        <w:rPr>
          <w:rFonts w:cs="Arial"/>
        </w:rPr>
        <w:br w:type="page"/>
      </w:r>
    </w:p>
    <w:p w14:paraId="2962FACD" w14:textId="77777777" w:rsidR="00980CFA" w:rsidRPr="00812C16" w:rsidRDefault="00980CFA">
      <w:pPr>
        <w:spacing w:after="0"/>
        <w:jc w:val="left"/>
        <w:rPr>
          <w:rFonts w:cs="Arial"/>
        </w:rPr>
      </w:pPr>
      <w:r w:rsidRPr="00812C16">
        <w:rPr>
          <w:rFonts w:cs="Arial"/>
        </w:rPr>
        <w:lastRenderedPageBreak/>
        <w:br w:type="page"/>
      </w:r>
    </w:p>
    <w:p w14:paraId="553C5E8B" w14:textId="77777777" w:rsidR="00980CFA" w:rsidRPr="00812C16" w:rsidRDefault="00980CFA" w:rsidP="00980CFA">
      <w:pPr>
        <w:spacing w:after="0"/>
        <w:rPr>
          <w:rFonts w:cs="Arial"/>
        </w:rPr>
      </w:pPr>
      <w:r w:rsidRPr="00812C16">
        <w:rPr>
          <w:rFonts w:cs="Arial"/>
        </w:rPr>
        <w:lastRenderedPageBreak/>
        <w:t xml:space="preserve">Zuvor haben wir und andere gezeigt, dass der HPV-Infektionsstatus ein starker Prognostiker für die </w:t>
      </w:r>
      <w:proofErr w:type="spellStart"/>
      <w:r w:rsidRPr="00812C16">
        <w:rPr>
          <w:rFonts w:cs="Arial"/>
        </w:rPr>
        <w:t>lokoregionale</w:t>
      </w:r>
      <w:proofErr w:type="spellEnd"/>
      <w:r w:rsidRPr="00812C16">
        <w:rPr>
          <w:rFonts w:cs="Arial"/>
        </w:rPr>
        <w:t xml:space="preserve"> Kontrolle bei Patienten mit lokal fortgeschrittenem HNSCC ist, die eine postoperative Radio(Chemotherapie (6, 28, 29) mit einer verbesserten </w:t>
      </w:r>
      <w:proofErr w:type="spellStart"/>
      <w:r w:rsidRPr="00812C16">
        <w:rPr>
          <w:rFonts w:cs="Arial"/>
        </w:rPr>
        <w:t>lokoregionalen</w:t>
      </w:r>
      <w:proofErr w:type="spellEnd"/>
      <w:r w:rsidRPr="00812C16">
        <w:rPr>
          <w:rFonts w:cs="Arial"/>
        </w:rPr>
        <w:t xml:space="preserve"> Kontrolle und Radioempfindlichkeit von HPV16 DNA-positiv im Vergleich zu HPV In unserer vorherigen multizentrischen Bewertung fanden wir praktisch keine Rezidiven in der HPV16-DNA-positiven Gruppe bei Hochrisiko-HNSCC-Patienten, die PORT-C (6) erhielten. Patienten in dieser sehr vorteilhaften Gruppe können daher Kandidaten für potenzielle Strahlentherapie-Deeskalationsstudien sein. Für die weitere Schichtung von Patienten mit HPV-negativem HNSCC sind jedoch zusätzliche Biomarker erforderlich, um eine </w:t>
      </w:r>
      <w:proofErr w:type="spellStart"/>
      <w:r w:rsidRPr="00812C16">
        <w:rPr>
          <w:rFonts w:cs="Arial"/>
        </w:rPr>
        <w:t>lokoregionale</w:t>
      </w:r>
      <w:proofErr w:type="spellEnd"/>
      <w:r w:rsidRPr="00812C16">
        <w:rPr>
          <w:rFonts w:cs="Arial"/>
        </w:rPr>
        <w:t xml:space="preserve"> Kontrolle vorherzusagen, um zusätzliche Patienten zu identifizieren, die der sehr guten Prognosegruppe zugeordnet werden könnten, und um eine Patientengruppe mit sehr ungünstigem Ergebnis zu definieren, die ein Kandidat für Behandlungsverstärkungsstrategien sein könnte.</w:t>
      </w:r>
    </w:p>
    <w:p w14:paraId="0803CCB2" w14:textId="77777777" w:rsidR="00980CFA" w:rsidRPr="00812C16" w:rsidRDefault="00980CFA" w:rsidP="00980CFA">
      <w:pPr>
        <w:spacing w:after="0"/>
        <w:rPr>
          <w:rFonts w:cs="Arial"/>
        </w:rPr>
      </w:pPr>
    </w:p>
    <w:p w14:paraId="14D0861C" w14:textId="77777777" w:rsidR="00980CFA" w:rsidRPr="00812C16" w:rsidRDefault="00980CFA" w:rsidP="00980CFA">
      <w:pPr>
        <w:spacing w:after="0"/>
        <w:rPr>
          <w:rFonts w:cs="Arial"/>
        </w:rPr>
      </w:pPr>
      <w:r w:rsidRPr="00812C16">
        <w:rPr>
          <w:rFonts w:cs="Arial"/>
        </w:rPr>
        <w:t xml:space="preserve">Der Sauerstoffversorgungsstatus der Tumore ist einer der bekannten Biomarker für das Ergebnis der primären Strahlentherapie in HNSCC, d.h. von makroskopischen Tumoren, die keiner chirurgischen Entfernung unterzogen wurden. Hier wollten wir die Relevanz des </w:t>
      </w:r>
      <w:proofErr w:type="spellStart"/>
      <w:r w:rsidRPr="00812C16">
        <w:rPr>
          <w:rFonts w:cs="Arial"/>
        </w:rPr>
        <w:t>Hypoxiestatus</w:t>
      </w:r>
      <w:proofErr w:type="spellEnd"/>
      <w:r w:rsidRPr="00812C16">
        <w:rPr>
          <w:rFonts w:cs="Arial"/>
        </w:rPr>
        <w:t xml:space="preserve"> anhand der Hypoxie-Gensignaturen von </w:t>
      </w:r>
      <w:proofErr w:type="spellStart"/>
      <w:r w:rsidRPr="00812C16">
        <w:rPr>
          <w:rFonts w:cs="Arial"/>
        </w:rPr>
        <w:t>Toustrup</w:t>
      </w:r>
      <w:proofErr w:type="spellEnd"/>
      <w:r w:rsidRPr="00812C16">
        <w:rPr>
          <w:rFonts w:cs="Arial"/>
        </w:rPr>
        <w:t xml:space="preserve"> und Kollegen (15) und Eustace und Kollegen (16) in der Tumorprobe bestimmen, die durch chirurgische Resektion vor PORT-C erhalten wurde. Wir fanden heraus, dass der </w:t>
      </w:r>
      <w:proofErr w:type="spellStart"/>
      <w:r w:rsidRPr="00812C16">
        <w:rPr>
          <w:rFonts w:cs="Arial"/>
        </w:rPr>
        <w:t>Hypoxiestatus</w:t>
      </w:r>
      <w:proofErr w:type="spellEnd"/>
      <w:r w:rsidRPr="00812C16">
        <w:rPr>
          <w:rFonts w:cs="Arial"/>
        </w:rPr>
        <w:t xml:space="preserve"> vor der Behandlung bei Patienten mit PORT-C prognostisch war. Patienten mit hohen </w:t>
      </w:r>
      <w:proofErr w:type="spellStart"/>
      <w:r w:rsidRPr="00812C16">
        <w:rPr>
          <w:rFonts w:cs="Arial"/>
        </w:rPr>
        <w:t>Hypoxiespiegeln</w:t>
      </w:r>
      <w:proofErr w:type="spellEnd"/>
      <w:r w:rsidRPr="00812C16">
        <w:rPr>
          <w:rFonts w:cs="Arial"/>
        </w:rPr>
        <w:t xml:space="preserve"> in der vor PORT-C erhaltenen chirurgischen Probe hatten im Vergleich zu Patienten mit niedrigen hypoxischen Tumoren eine schlechte </w:t>
      </w:r>
      <w:proofErr w:type="spellStart"/>
      <w:r w:rsidRPr="00812C16">
        <w:rPr>
          <w:rFonts w:cs="Arial"/>
        </w:rPr>
        <w:t>lokoregionale</w:t>
      </w:r>
      <w:proofErr w:type="spellEnd"/>
      <w:r w:rsidRPr="00812C16">
        <w:rPr>
          <w:rFonts w:cs="Arial"/>
        </w:rPr>
        <w:t xml:space="preserve"> Tumorkontrolle. Dieser Effekt führt hauptsächlich zu der Untergruppe von HPV-negativem HNSCC. Unter Berücksichtigung der Tatsache, dass Hypoxie in der chirurgischen Probe untersucht und die Radiochemotherapie nach der Operation auf die potenziellen Resttumorzellen angewendet wurde, ist die Feststellung eines signifikanten Zusammenhangs von Hypoxie innerhalb des resezierten Primärtumors mit dem Ergebnis von PORT-C auf den ersten Blick überraschend. Da es unwahrscheinlich ist, dass sich die geringe Anzahl von Resttumorzellen nach der Operation auch in der Hypoxie unterscheidet, deutet diese Erkenntnis darauf hin, dass Hypoxie das Ergebnis der Strahlentherapie nicht nur durch eine direkte biochemische oder radiobiologische Wirkung auf die zelluläre Radioresistenz des Tumors, sondern </w:t>
      </w:r>
      <w:r w:rsidRPr="00812C16">
        <w:rPr>
          <w:rFonts w:cs="Arial"/>
        </w:rPr>
        <w:lastRenderedPageBreak/>
        <w:t xml:space="preserve">auch durch andere radiobiologische Mechanismen beeinflusst. Dies würde mit früheren experimentellen Daten aus unserem Labor übereinstimmen, die zeigen, dass die Hypoxie vor der Behandlung die lokale Tumorkontrolle nach der Strahlentherapie auch dann beeinflusst, wenn die Strahlentherapie unter homogenen anoxischen Bedingungen angewendet wurde (20). Da jüngste Studien darauf hindeuteten, dass Tumorhypoxie auch Stamm- und invasives Wachstum als externen Faktor begünstigt (überprüft in </w:t>
      </w:r>
      <w:proofErr w:type="spellStart"/>
      <w:r w:rsidRPr="00812C16">
        <w:rPr>
          <w:rFonts w:cs="Arial"/>
        </w:rPr>
        <w:t>Ref</w:t>
      </w:r>
      <w:proofErr w:type="spellEnd"/>
      <w:r w:rsidRPr="00812C16">
        <w:rPr>
          <w:rFonts w:cs="Arial"/>
        </w:rPr>
        <w:t xml:space="preserve">. 30–33), untersuchten wir die Rolle potenzieller CSC-Marker in unserer Kohorte. Es ist bekannt, dass CSCs eine wichtige Rolle bei der Radioresistenz spielen (überprüft in </w:t>
      </w:r>
      <w:proofErr w:type="spellStart"/>
      <w:r w:rsidRPr="00812C16">
        <w:rPr>
          <w:rFonts w:cs="Arial"/>
        </w:rPr>
        <w:t>Ref</w:t>
      </w:r>
      <w:proofErr w:type="spellEnd"/>
      <w:r w:rsidRPr="00812C16">
        <w:rPr>
          <w:rFonts w:cs="Arial"/>
        </w:rPr>
        <w:t xml:space="preserve">. 34), und eine </w:t>
      </w:r>
      <w:proofErr w:type="spellStart"/>
      <w:r w:rsidRPr="00812C16">
        <w:rPr>
          <w:rFonts w:cs="Arial"/>
        </w:rPr>
        <w:t>hochhypoxische</w:t>
      </w:r>
      <w:proofErr w:type="spellEnd"/>
      <w:r w:rsidRPr="00812C16">
        <w:rPr>
          <w:rFonts w:cs="Arial"/>
        </w:rPr>
        <w:t xml:space="preserve"> Tumormikroumgebung trägt zu einem erhöhten </w:t>
      </w:r>
      <w:proofErr w:type="spellStart"/>
      <w:r w:rsidRPr="00812C16">
        <w:rPr>
          <w:rFonts w:cs="Arial"/>
        </w:rPr>
        <w:t>clonogenen</w:t>
      </w:r>
      <w:proofErr w:type="spellEnd"/>
      <w:r w:rsidRPr="00812C16">
        <w:rPr>
          <w:rFonts w:cs="Arial"/>
        </w:rPr>
        <w:t xml:space="preserve"> Potenzial bei (20, 35).</w:t>
      </w:r>
    </w:p>
    <w:p w14:paraId="1EB5918D" w14:textId="77777777" w:rsidR="00980CFA" w:rsidRPr="00812C16" w:rsidRDefault="00980CFA" w:rsidP="00980CFA">
      <w:pPr>
        <w:spacing w:after="0"/>
        <w:rPr>
          <w:rFonts w:cs="Arial"/>
        </w:rPr>
      </w:pPr>
    </w:p>
    <w:p w14:paraId="369D9C99" w14:textId="77777777" w:rsidR="00980CFA" w:rsidRPr="00812C16" w:rsidRDefault="00980CFA" w:rsidP="00980CFA">
      <w:pPr>
        <w:spacing w:after="0"/>
        <w:rPr>
          <w:rFonts w:cs="Arial"/>
        </w:rPr>
      </w:pPr>
      <w:r w:rsidRPr="00812C16">
        <w:rPr>
          <w:rFonts w:cs="Arial"/>
        </w:rPr>
        <w:t xml:space="preserve">CD44 ist ein weithin erforschter CSC-Marker in HNSCC (30, 36, 37). Eine Studie von de Jong und Kollegen zeigte, dass CD44- und CD44-Proteinspiegel ein lokales Wiederauftreten nach Strahlentherapie bei Patienten mit Kehlkopfkrebs im Frühstadium signifikant vorhersagen (38). Hier haben wir gezeigt, dass Patienten mit chirurgisch resezierten Tumoren ohne nachweisbare CD44-Proteinexpression die </w:t>
      </w:r>
      <w:proofErr w:type="spellStart"/>
      <w:r w:rsidRPr="00812C16">
        <w:rPr>
          <w:rFonts w:cs="Arial"/>
        </w:rPr>
        <w:t>lokoregionalen</w:t>
      </w:r>
      <w:proofErr w:type="spellEnd"/>
      <w:r w:rsidRPr="00812C16">
        <w:rPr>
          <w:rFonts w:cs="Arial"/>
        </w:rPr>
        <w:t xml:space="preserve"> Tumorkontrollraten im Vergleich zu Patienten mit CD44-Proteinexprimierenden Tumoren erhöht haben.</w:t>
      </w:r>
    </w:p>
    <w:p w14:paraId="578D7345" w14:textId="77777777" w:rsidR="00980CFA" w:rsidRPr="00812C16" w:rsidRDefault="00980CFA" w:rsidP="00980CFA">
      <w:pPr>
        <w:spacing w:after="0"/>
        <w:rPr>
          <w:rFonts w:cs="Arial"/>
        </w:rPr>
      </w:pPr>
    </w:p>
    <w:p w14:paraId="688C082A" w14:textId="77777777" w:rsidR="00980CFA" w:rsidRPr="00812C16" w:rsidRDefault="00980CFA" w:rsidP="00980CFA">
      <w:pPr>
        <w:spacing w:after="0"/>
        <w:rPr>
          <w:rFonts w:cs="Arial"/>
        </w:rPr>
      </w:pPr>
      <w:r w:rsidRPr="00812C16">
        <w:rPr>
          <w:rFonts w:cs="Arial"/>
        </w:rPr>
        <w:t xml:space="preserve">Vor kurzem wurde CD98 experimentell als mutmaßlicher CSC-Marker (39) etabliert. In einer Studie mit 711 Patienten mit </w:t>
      </w:r>
      <w:proofErr w:type="spellStart"/>
      <w:r w:rsidRPr="00812C16">
        <w:rPr>
          <w:rFonts w:cs="Arial"/>
        </w:rPr>
        <w:t>oropharyngealem</w:t>
      </w:r>
      <w:proofErr w:type="spellEnd"/>
      <w:r w:rsidRPr="00812C16">
        <w:rPr>
          <w:rFonts w:cs="Arial"/>
        </w:rPr>
        <w:t xml:space="preserve"> Plattenepithelkarzinom wurde gezeigt, dass HPV-positive Tumore weniger CSC-Marker wie CD44 und CD98 exprimieren, während CD44- und CD98-Positivität mit signifikant geringerem progressionsfreien und OS (40) verbunden war. In unserer Patientenkohorte fanden wir heraus, dass Patienten mit hoher Expression von SLC3A2, das für eines der CD98-Hetodimere kodiert, auch nach PORT-C eine schlechte </w:t>
      </w:r>
      <w:proofErr w:type="spellStart"/>
      <w:r w:rsidRPr="00812C16">
        <w:rPr>
          <w:rFonts w:cs="Arial"/>
        </w:rPr>
        <w:t>lokoregionale</w:t>
      </w:r>
      <w:proofErr w:type="spellEnd"/>
      <w:r w:rsidRPr="00812C16">
        <w:rPr>
          <w:rFonts w:cs="Arial"/>
        </w:rPr>
        <w:t xml:space="preserve"> Tumorkontrolle und ein erhöhtes Risiko für entfernte Metastasen aufweisen.</w:t>
      </w:r>
    </w:p>
    <w:p w14:paraId="5F2214E3" w14:textId="77777777" w:rsidR="00980CFA" w:rsidRPr="00812C16" w:rsidRDefault="00980CFA" w:rsidP="00980CFA">
      <w:pPr>
        <w:spacing w:after="0"/>
        <w:rPr>
          <w:rFonts w:cs="Arial"/>
        </w:rPr>
      </w:pPr>
    </w:p>
    <w:p w14:paraId="39883C4E" w14:textId="77777777" w:rsidR="00980CFA" w:rsidRPr="00812C16" w:rsidRDefault="00980CFA" w:rsidP="00980CFA">
      <w:pPr>
        <w:spacing w:after="0"/>
        <w:rPr>
          <w:rFonts w:cs="Arial"/>
        </w:rPr>
      </w:pPr>
      <w:r w:rsidRPr="00812C16">
        <w:rPr>
          <w:rFonts w:cs="Arial"/>
        </w:rPr>
        <w:t xml:space="preserve">Es wurde gezeigt, dass der MET-Weg die Selbsterneuerung und </w:t>
      </w:r>
      <w:proofErr w:type="spellStart"/>
      <w:r w:rsidRPr="00812C16">
        <w:rPr>
          <w:rFonts w:cs="Arial"/>
        </w:rPr>
        <w:t>Tumorgenität</w:t>
      </w:r>
      <w:proofErr w:type="spellEnd"/>
      <w:r w:rsidRPr="00812C16">
        <w:rPr>
          <w:rFonts w:cs="Arial"/>
        </w:rPr>
        <w:t xml:space="preserve"> in stammähnlichen HNSCC-ähnlichen Zellen fördert (41), und es wurde gezeigt, dass die pharmakologische selektive Hemmung der MET zur Elimination von CSCs führt (42). Darüber hinaus wurde festgestellt, dass MET mit einer schlechten Prognose bei Patienten mit lokal fortgeschrittenem p16-negativem HNSCC verbunden ist, die mit einer primären Radiochemotherapie behandelt wurden (43). In der aktuellen Studie </w:t>
      </w:r>
      <w:r w:rsidRPr="00812C16">
        <w:rPr>
          <w:rFonts w:cs="Arial"/>
        </w:rPr>
        <w:lastRenderedPageBreak/>
        <w:t>haben wir gezeigt, dass MET-</w:t>
      </w:r>
      <w:proofErr w:type="spellStart"/>
      <w:r w:rsidRPr="00812C16">
        <w:rPr>
          <w:rFonts w:cs="Arial"/>
        </w:rPr>
        <w:t>überexprimierende</w:t>
      </w:r>
      <w:proofErr w:type="spellEnd"/>
      <w:r w:rsidRPr="00812C16">
        <w:rPr>
          <w:rFonts w:cs="Arial"/>
        </w:rPr>
        <w:t xml:space="preserve"> HPV16-DNA-negative HNSCC mit einer schlechten </w:t>
      </w:r>
      <w:proofErr w:type="spellStart"/>
      <w:r w:rsidRPr="00812C16">
        <w:rPr>
          <w:rFonts w:cs="Arial"/>
        </w:rPr>
        <w:t>lokoregionalen</w:t>
      </w:r>
      <w:proofErr w:type="spellEnd"/>
      <w:r w:rsidRPr="00812C16">
        <w:rPr>
          <w:rFonts w:cs="Arial"/>
        </w:rPr>
        <w:t xml:space="preserve"> Tumorkontrolle und erhöhten entfernten Metastasen nach PORT-C verbunden sind. Interessanterweise zeigten </w:t>
      </w:r>
      <w:proofErr w:type="spellStart"/>
      <w:r w:rsidRPr="00812C16">
        <w:rPr>
          <w:rFonts w:cs="Arial"/>
        </w:rPr>
        <w:t>Pennacchietti</w:t>
      </w:r>
      <w:proofErr w:type="spellEnd"/>
      <w:r w:rsidRPr="00812C16">
        <w:rPr>
          <w:rFonts w:cs="Arial"/>
        </w:rPr>
        <w:t xml:space="preserve"> und Kollegen, dass Hypoxie die Transkription des MET-</w:t>
      </w:r>
      <w:proofErr w:type="spellStart"/>
      <w:r w:rsidRPr="00812C16">
        <w:rPr>
          <w:rFonts w:cs="Arial"/>
        </w:rPr>
        <w:t>Protoonkogens</w:t>
      </w:r>
      <w:proofErr w:type="spellEnd"/>
      <w:r w:rsidRPr="00812C16">
        <w:rPr>
          <w:rFonts w:cs="Arial"/>
        </w:rPr>
        <w:t xml:space="preserve"> aktiviert, dass die MET-Überexpression mit hypoxischen Tumorbereichen verbunden ist und dass die MET-Hemmung ein </w:t>
      </w:r>
      <w:proofErr w:type="spellStart"/>
      <w:r w:rsidRPr="00812C16">
        <w:rPr>
          <w:rFonts w:cs="Arial"/>
        </w:rPr>
        <w:t>hypoxiebedingtes</w:t>
      </w:r>
      <w:proofErr w:type="spellEnd"/>
      <w:r w:rsidRPr="00812C16">
        <w:rPr>
          <w:rFonts w:cs="Arial"/>
        </w:rPr>
        <w:t xml:space="preserve"> Zellwachstum verhindert (44). Unsere Daten, die eine positive Korrelation der MET mit Tumorhypoxie zeigen, unterstützen diesen Zusammenhang beider Faktoren. Dennoch zeigte die relativ geringe Anzahl niedriger hypoxischer Tumoren in der HPV16 DNA-negativ/MET-positiven Gruppe eine signifikant höhere </w:t>
      </w:r>
      <w:proofErr w:type="spellStart"/>
      <w:r w:rsidRPr="00812C16">
        <w:rPr>
          <w:rFonts w:cs="Arial"/>
        </w:rPr>
        <w:t>lokoregionale</w:t>
      </w:r>
      <w:proofErr w:type="spellEnd"/>
      <w:r w:rsidRPr="00812C16">
        <w:rPr>
          <w:rFonts w:cs="Arial"/>
        </w:rPr>
        <w:t xml:space="preserve"> Kontrollrate im Vergleich zu den </w:t>
      </w:r>
      <w:proofErr w:type="spellStart"/>
      <w:r w:rsidRPr="00812C16">
        <w:rPr>
          <w:rFonts w:cs="Arial"/>
        </w:rPr>
        <w:t>hochhypoxischen</w:t>
      </w:r>
      <w:proofErr w:type="spellEnd"/>
      <w:r w:rsidRPr="00812C16">
        <w:rPr>
          <w:rFonts w:cs="Arial"/>
        </w:rPr>
        <w:t xml:space="preserve"> MET-positiven Tumoren. Darüber hinaus deuten unsere Daten darauf hin, dass SLC3A2 und MET bei Patienten mit HPV16 DNA-negativen Tumoren geeignete Marker sein können, um eine Gruppe von Patienten zu bestimmen, die eine sehr schlechte Prognose haben und daher von der Intensivierung der Behandlung profitieren können.</w:t>
      </w:r>
    </w:p>
    <w:p w14:paraId="3A7E4F22" w14:textId="77777777" w:rsidR="00980CFA" w:rsidRPr="00812C16" w:rsidRDefault="00980CFA" w:rsidP="00980CFA">
      <w:pPr>
        <w:spacing w:after="0"/>
        <w:rPr>
          <w:rFonts w:cs="Arial"/>
        </w:rPr>
      </w:pPr>
    </w:p>
    <w:p w14:paraId="1AAE9A2E" w14:textId="77777777" w:rsidR="00980CFA" w:rsidRPr="00812C16" w:rsidRDefault="00980CFA" w:rsidP="00980CFA">
      <w:pPr>
        <w:spacing w:after="0"/>
        <w:rPr>
          <w:rFonts w:cs="Arial"/>
        </w:rPr>
      </w:pPr>
      <w:r w:rsidRPr="00812C16">
        <w:rPr>
          <w:rFonts w:cs="Arial"/>
        </w:rPr>
        <w:t xml:space="preserve">Obwohl die in dieser Studie verwendeten </w:t>
      </w:r>
      <w:proofErr w:type="spellStart"/>
      <w:r w:rsidRPr="00812C16">
        <w:rPr>
          <w:rFonts w:cs="Arial"/>
        </w:rPr>
        <w:t>Hypoxieprofile</w:t>
      </w:r>
      <w:proofErr w:type="spellEnd"/>
      <w:r w:rsidRPr="00812C16">
        <w:rPr>
          <w:rFonts w:cs="Arial"/>
        </w:rPr>
        <w:t xml:space="preserve"> für die </w:t>
      </w:r>
      <w:proofErr w:type="spellStart"/>
      <w:r w:rsidRPr="00812C16">
        <w:rPr>
          <w:rFonts w:cs="Arial"/>
        </w:rPr>
        <w:t>lokoregionale</w:t>
      </w:r>
      <w:proofErr w:type="spellEnd"/>
      <w:r w:rsidRPr="00812C16">
        <w:rPr>
          <w:rFonts w:cs="Arial"/>
        </w:rPr>
        <w:t xml:space="preserve"> Tumorkontrolle prognostisch waren, waren sie kein Hinweis auf ein erhöhtes Risiko entfernter Metastasen (Tabelle 1). Dies erscheint angesichts experimenteller und klinischer Daten, die zeigen, dass Hypoxie entfernte Metastasen antreiben kann (31, 45–47), kontraintuitiv. Nach unserem besten Wissen wurde dies jedoch bisher im HNSCC im postoperativen Umfeld nicht untersucht. Einige der Gene in den </w:t>
      </w:r>
      <w:proofErr w:type="spellStart"/>
      <w:r w:rsidRPr="00812C16">
        <w:rPr>
          <w:rFonts w:cs="Arial"/>
        </w:rPr>
        <w:t>Hypoxieprofilen</w:t>
      </w:r>
      <w:proofErr w:type="spellEnd"/>
      <w:r w:rsidRPr="00812C16">
        <w:rPr>
          <w:rFonts w:cs="Arial"/>
        </w:rPr>
        <w:t xml:space="preserve">, die in unserer Studie verwendet werden, könnten auch mit anderen biologischen Phänomenen in Verbindung gebracht werden, einschließlich der </w:t>
      </w:r>
      <w:proofErr w:type="spellStart"/>
      <w:r w:rsidRPr="00812C16">
        <w:rPr>
          <w:rFonts w:cs="Arial"/>
        </w:rPr>
        <w:t>Stammheit</w:t>
      </w:r>
      <w:proofErr w:type="spellEnd"/>
      <w:r w:rsidRPr="00812C16">
        <w:rPr>
          <w:rFonts w:cs="Arial"/>
        </w:rPr>
        <w:t xml:space="preserve"> von Krebszellen. Die Korrelationskoeffizienten zwischen den verschiedenen CSC-Markern und </w:t>
      </w:r>
      <w:proofErr w:type="spellStart"/>
      <w:r w:rsidRPr="00812C16">
        <w:rPr>
          <w:rFonts w:cs="Arial"/>
        </w:rPr>
        <w:t>Hypoxieprofilen</w:t>
      </w:r>
      <w:proofErr w:type="spellEnd"/>
      <w:r w:rsidRPr="00812C16">
        <w:rPr>
          <w:rFonts w:cs="Arial"/>
        </w:rPr>
        <w:t xml:space="preserve"> (Tabelle 3) deuten darauf hin, dass, obwohl eine signifikante Korrelation vorliegt, beide Parameter weitgehend unabhängig voneinander ausgedrückt werden. Im Gegensatz zu den </w:t>
      </w:r>
      <w:proofErr w:type="spellStart"/>
      <w:r w:rsidRPr="00812C16">
        <w:rPr>
          <w:rFonts w:cs="Arial"/>
        </w:rPr>
        <w:t>Hypoxieprofilen</w:t>
      </w:r>
      <w:proofErr w:type="spellEnd"/>
      <w:r w:rsidRPr="00812C16">
        <w:rPr>
          <w:rFonts w:cs="Arial"/>
        </w:rPr>
        <w:t xml:space="preserve"> korrelierte die CSC-</w:t>
      </w:r>
      <w:proofErr w:type="spellStart"/>
      <w:r w:rsidRPr="00812C16">
        <w:rPr>
          <w:rFonts w:cs="Arial"/>
        </w:rPr>
        <w:t>Markerexpression</w:t>
      </w:r>
      <w:proofErr w:type="spellEnd"/>
      <w:r w:rsidRPr="00812C16">
        <w:rPr>
          <w:rFonts w:cs="Arial"/>
        </w:rPr>
        <w:t xml:space="preserve"> in unserer Studie nicht nur mit der </w:t>
      </w:r>
      <w:proofErr w:type="spellStart"/>
      <w:r w:rsidRPr="00812C16">
        <w:rPr>
          <w:rFonts w:cs="Arial"/>
        </w:rPr>
        <w:t>lokoregionalen</w:t>
      </w:r>
      <w:proofErr w:type="spellEnd"/>
      <w:r w:rsidRPr="00812C16">
        <w:rPr>
          <w:rFonts w:cs="Arial"/>
        </w:rPr>
        <w:t xml:space="preserve"> Kontrolle, sondern auch mit entfernten Metastasen. Die Expression von CSC-Markern wurde als potenzielles Surrogat der CSC-Dichte vorgeschlagen, d.h. der Anzahl der Zellen, die pro gegebenem Tumorgewebevolumen metastasieren können (30, 34, 36, 46, 48, 49). Weitere mechanistische Untersuchungen des Zusammenhangs von Hypoxie, </w:t>
      </w:r>
      <w:proofErr w:type="spellStart"/>
      <w:r w:rsidRPr="00812C16">
        <w:rPr>
          <w:rFonts w:cs="Arial"/>
        </w:rPr>
        <w:t>Stammheit</w:t>
      </w:r>
      <w:proofErr w:type="spellEnd"/>
      <w:r w:rsidRPr="00812C16">
        <w:rPr>
          <w:rFonts w:cs="Arial"/>
        </w:rPr>
        <w:t xml:space="preserve"> und metastasierendem Risiko in HNSCC in Korrelation mit klinischen </w:t>
      </w:r>
      <w:r w:rsidRPr="00812C16">
        <w:rPr>
          <w:rFonts w:cs="Arial"/>
        </w:rPr>
        <w:lastRenderedPageBreak/>
        <w:t xml:space="preserve">Daten scheinen daher ein interessanter Weg für eine bessere Schichtung der Patienten für systemische Therapien und für die Entdeckung neuer Ziele zu sein. Eine wichtige Besonderheit unserer Studie ist, dass Biomarker in einer Kohorte von Patienten untersucht wurden, die postoperativ per Strahlenchemotherapie behandelt wurden, mit insgesamt höheren </w:t>
      </w:r>
      <w:proofErr w:type="spellStart"/>
      <w:r w:rsidRPr="00812C16">
        <w:rPr>
          <w:rFonts w:cs="Arial"/>
        </w:rPr>
        <w:t>lokoregionalen</w:t>
      </w:r>
      <w:proofErr w:type="spellEnd"/>
      <w:r w:rsidRPr="00812C16">
        <w:rPr>
          <w:rFonts w:cs="Arial"/>
        </w:rPr>
        <w:t xml:space="preserve"> Kontrollraten im Vergleich zu Studien zur Bewertung der primären Strahlenchemotherapie bei HPV-negativem oder -positivem HNSCC (50). Derzeit ist nicht bekannt, ob sich das prädiktive Potenzial von Biomarkern für die verschiedenen klinischen Risikogruppen unterscheidet, die eine postoperative oder primäre Radiochemotherapie erhalten. Um diese Frage anzugehen, wird die letztere Risikogruppe von Patienten derzeit mit den gleichen Biomarkern bewertet, die hier vom DKTK-ROG untersucht wurden.</w:t>
      </w:r>
    </w:p>
    <w:p w14:paraId="375D8D7C" w14:textId="77777777" w:rsidR="00980CFA" w:rsidRPr="00812C16" w:rsidRDefault="00980CFA" w:rsidP="00980CFA">
      <w:pPr>
        <w:spacing w:after="0"/>
        <w:rPr>
          <w:rFonts w:cs="Arial"/>
        </w:rPr>
      </w:pPr>
    </w:p>
    <w:p w14:paraId="1B099F6C" w14:textId="77777777" w:rsidR="00B627F8" w:rsidRPr="00812C16" w:rsidRDefault="00980CFA" w:rsidP="00980CFA">
      <w:pPr>
        <w:spacing w:after="0"/>
        <w:rPr>
          <w:rFonts w:cs="Arial"/>
        </w:rPr>
        <w:sectPr w:rsidR="00B627F8" w:rsidRPr="00812C16" w:rsidSect="00AB18EC">
          <w:headerReference w:type="default" r:id="rId38"/>
          <w:type w:val="continuous"/>
          <w:pgSz w:w="11906" w:h="16838"/>
          <w:pgMar w:top="1418" w:right="1416" w:bottom="1134" w:left="1418" w:header="709" w:footer="709" w:gutter="0"/>
          <w:pgNumType w:fmt="numberInDash"/>
          <w:cols w:space="708"/>
          <w:docGrid w:linePitch="360"/>
        </w:sectPr>
      </w:pPr>
      <w:r w:rsidRPr="00812C16">
        <w:rPr>
          <w:rFonts w:cs="Arial"/>
        </w:rPr>
        <w:t>Zusammengenommen ist dies die erste systematische multizentrische Analyse, die einen Zusammenhang zwischen hohen Konzentrationen von Tumorhypoxie und CSC-</w:t>
      </w:r>
      <w:proofErr w:type="spellStart"/>
      <w:r w:rsidRPr="00812C16">
        <w:rPr>
          <w:rFonts w:cs="Arial"/>
        </w:rPr>
        <w:t>Markerexpression</w:t>
      </w:r>
      <w:proofErr w:type="spellEnd"/>
      <w:r w:rsidRPr="00812C16">
        <w:rPr>
          <w:rFonts w:cs="Arial"/>
        </w:rPr>
        <w:t xml:space="preserve"> innerhalb des chirurgisch entfernten Primärtumors mit beeinträchtigter </w:t>
      </w:r>
      <w:proofErr w:type="spellStart"/>
      <w:r w:rsidRPr="00812C16">
        <w:rPr>
          <w:rFonts w:cs="Arial"/>
        </w:rPr>
        <w:t>lokoregionaler</w:t>
      </w:r>
      <w:proofErr w:type="spellEnd"/>
      <w:r w:rsidRPr="00812C16">
        <w:rPr>
          <w:rFonts w:cs="Arial"/>
        </w:rPr>
        <w:t xml:space="preserve"> Tumorkontrolle nach PORT-C in HNSCC zeigt. In HPV16 DNA-negativem HNSCC kann die Negativität für diese Parameter helfen, eine Untergruppe von Patienten mit </w:t>
      </w:r>
      <w:proofErr w:type="spellStart"/>
      <w:r w:rsidRPr="00812C16">
        <w:rPr>
          <w:rFonts w:cs="Arial"/>
        </w:rPr>
        <w:t>lokoregionalen</w:t>
      </w:r>
      <w:proofErr w:type="spellEnd"/>
      <w:r w:rsidRPr="00812C16">
        <w:rPr>
          <w:rFonts w:cs="Arial"/>
        </w:rPr>
        <w:t xml:space="preserve"> Kontrollraten zu identifizieren, die so hoch sind wie bei HPV16 DNA-positiven Tumoren beobachtet. Darüber hinaus scheinen Hypoxie- und CSC-Marker-positive Tumoren eine Untergruppe von Patienten darzustellen, die mit dem aktuellen Standard-PORT-C unterbehandelt ist. Nach der Validierung in einer derzeit laufenden prospektiven Studie können diese Parameter dazu beitragen, Patienten für individualisierte Behandlungsdeeskalations- oder Intensivierungsstrategien weiter zu schichten.</w:t>
      </w:r>
    </w:p>
    <w:p w14:paraId="5B35AFC0" w14:textId="77777777" w:rsidR="00306314" w:rsidRPr="00812C16" w:rsidRDefault="00306314" w:rsidP="001830EA">
      <w:pPr>
        <w:pStyle w:val="berschrift1"/>
        <w:rPr>
          <w:rFonts w:cs="Arial"/>
        </w:rPr>
      </w:pPr>
      <w:bookmarkStart w:id="95" w:name="_Toc158006551"/>
      <w:proofErr w:type="spellStart"/>
      <w:r w:rsidRPr="00812C16">
        <w:rPr>
          <w:rFonts w:cs="Arial"/>
        </w:rPr>
        <w:t>Erklärungen</w:t>
      </w:r>
      <w:proofErr w:type="spellEnd"/>
      <w:r w:rsidRPr="00812C16">
        <w:rPr>
          <w:rFonts w:cs="Arial"/>
        </w:rPr>
        <w:t xml:space="preserve"> zur </w:t>
      </w:r>
      <w:proofErr w:type="spellStart"/>
      <w:r w:rsidRPr="00812C16">
        <w:rPr>
          <w:rFonts w:cs="Arial"/>
        </w:rPr>
        <w:t>Eröffnung</w:t>
      </w:r>
      <w:proofErr w:type="spellEnd"/>
      <w:r w:rsidRPr="00812C16">
        <w:rPr>
          <w:rFonts w:cs="Arial"/>
        </w:rPr>
        <w:t xml:space="preserve"> des Promotionsverfahrens</w:t>
      </w:r>
      <w:bookmarkEnd w:id="95"/>
    </w:p>
    <w:p w14:paraId="35A43776" w14:textId="77777777" w:rsidR="00306314" w:rsidRPr="00812C16" w:rsidRDefault="00306314" w:rsidP="00306314">
      <w:pPr>
        <w:rPr>
          <w:rFonts w:cs="Arial"/>
          <w:lang w:eastAsia="de-DE"/>
        </w:rPr>
      </w:pPr>
      <w:r w:rsidRPr="00812C16">
        <w:rPr>
          <w:rFonts w:cs="Arial"/>
          <w:lang w:eastAsia="de-DE"/>
        </w:rPr>
        <w:t xml:space="preserve">Technische </w:t>
      </w:r>
      <w:proofErr w:type="spellStart"/>
      <w:r w:rsidRPr="00812C16">
        <w:rPr>
          <w:rFonts w:cs="Arial"/>
          <w:lang w:eastAsia="de-DE"/>
        </w:rPr>
        <w:t>Universität</w:t>
      </w:r>
      <w:proofErr w:type="spellEnd"/>
      <w:r w:rsidRPr="00812C16">
        <w:rPr>
          <w:rFonts w:cs="Arial"/>
          <w:lang w:eastAsia="de-DE"/>
        </w:rPr>
        <w:t xml:space="preserve"> Dresden </w:t>
      </w:r>
    </w:p>
    <w:p w14:paraId="77F0741E" w14:textId="77777777" w:rsidR="00306314" w:rsidRPr="00812C16" w:rsidRDefault="00306314" w:rsidP="00306314">
      <w:pPr>
        <w:rPr>
          <w:rFonts w:cs="Arial"/>
          <w:lang w:eastAsia="de-DE"/>
        </w:rPr>
      </w:pPr>
      <w:r w:rsidRPr="00812C16">
        <w:rPr>
          <w:rFonts w:cs="Arial"/>
          <w:lang w:eastAsia="de-DE"/>
        </w:rPr>
        <w:t xml:space="preserve">Medizinische </w:t>
      </w:r>
      <w:proofErr w:type="spellStart"/>
      <w:r w:rsidRPr="00812C16">
        <w:rPr>
          <w:rFonts w:cs="Arial"/>
          <w:lang w:eastAsia="de-DE"/>
        </w:rPr>
        <w:t>Fakultät</w:t>
      </w:r>
      <w:proofErr w:type="spellEnd"/>
      <w:r w:rsidRPr="00812C16">
        <w:rPr>
          <w:rFonts w:cs="Arial"/>
          <w:lang w:eastAsia="de-DE"/>
        </w:rPr>
        <w:t xml:space="preserve"> Carl Gustav Carus </w:t>
      </w:r>
    </w:p>
    <w:p w14:paraId="5EA3A353" w14:textId="77777777" w:rsidR="00306314" w:rsidRPr="00812C16" w:rsidRDefault="00306314" w:rsidP="00306314">
      <w:pPr>
        <w:rPr>
          <w:rFonts w:cs="Arial"/>
          <w:lang w:eastAsia="de-DE"/>
        </w:rPr>
      </w:pPr>
      <w:r w:rsidRPr="00812C16">
        <w:rPr>
          <w:rFonts w:cs="Arial"/>
          <w:lang w:eastAsia="de-DE"/>
        </w:rPr>
        <w:t xml:space="preserve">Promotionsordnung vom </w:t>
      </w:r>
      <w:r w:rsidR="00120278" w:rsidRPr="00812C16">
        <w:rPr>
          <w:rFonts w:cs="Arial"/>
          <w:lang w:eastAsia="de-DE"/>
        </w:rPr>
        <w:t>24</w:t>
      </w:r>
      <w:r w:rsidRPr="00812C16">
        <w:rPr>
          <w:rFonts w:cs="Arial"/>
          <w:lang w:eastAsia="de-DE"/>
        </w:rPr>
        <w:t xml:space="preserve">. </w:t>
      </w:r>
      <w:r w:rsidR="00120278" w:rsidRPr="00812C16">
        <w:rPr>
          <w:rFonts w:cs="Arial"/>
          <w:lang w:eastAsia="de-DE"/>
        </w:rPr>
        <w:t>Juli</w:t>
      </w:r>
      <w:r w:rsidRPr="00812C16">
        <w:rPr>
          <w:rFonts w:cs="Arial"/>
          <w:lang w:eastAsia="de-DE"/>
        </w:rPr>
        <w:t xml:space="preserve"> </w:t>
      </w:r>
      <w:r w:rsidR="00120278" w:rsidRPr="00812C16">
        <w:rPr>
          <w:rFonts w:cs="Arial"/>
          <w:lang w:eastAsia="de-DE"/>
        </w:rPr>
        <w:t>20</w:t>
      </w:r>
      <w:r w:rsidR="0013236F" w:rsidRPr="00812C16">
        <w:rPr>
          <w:rFonts w:cs="Arial"/>
          <w:lang w:eastAsia="de-DE"/>
        </w:rPr>
        <w:t>11</w:t>
      </w:r>
    </w:p>
    <w:p w14:paraId="46BD8DE1" w14:textId="77777777" w:rsidR="0013236F" w:rsidRPr="00812C16" w:rsidRDefault="00306314" w:rsidP="00246EB5">
      <w:pPr>
        <w:pStyle w:val="Listenabsatz"/>
        <w:numPr>
          <w:ilvl w:val="0"/>
          <w:numId w:val="3"/>
        </w:numPr>
        <w:ind w:left="425" w:hanging="425"/>
        <w:contextualSpacing w:val="0"/>
        <w:rPr>
          <w:rFonts w:cs="Arial"/>
          <w:lang w:eastAsia="de-DE"/>
        </w:rPr>
      </w:pPr>
      <w:r w:rsidRPr="00812C16">
        <w:rPr>
          <w:rFonts w:cs="Arial"/>
          <w:lang w:eastAsia="de-DE"/>
        </w:rPr>
        <w:t xml:space="preserve">Hiermit versichere ich, dass ich die vorliegende Arbeit ohne </w:t>
      </w:r>
      <w:proofErr w:type="spellStart"/>
      <w:r w:rsidRPr="00812C16">
        <w:rPr>
          <w:rFonts w:cs="Arial"/>
          <w:lang w:eastAsia="de-DE"/>
        </w:rPr>
        <w:t>unzulässige</w:t>
      </w:r>
      <w:proofErr w:type="spellEnd"/>
      <w:r w:rsidRPr="00812C16">
        <w:rPr>
          <w:rFonts w:cs="Arial"/>
          <w:lang w:eastAsia="de-DE"/>
        </w:rPr>
        <w:t xml:space="preserve"> Hilfe Dritter und ohne Benutzung anderer als der angegebenen Hilfsmittel angefertigt habe; die aus fremden Quellen direkt oder indirekt </w:t>
      </w:r>
      <w:proofErr w:type="spellStart"/>
      <w:r w:rsidRPr="00812C16">
        <w:rPr>
          <w:rFonts w:cs="Arial"/>
          <w:lang w:eastAsia="de-DE"/>
        </w:rPr>
        <w:t>übernommenen</w:t>
      </w:r>
      <w:proofErr w:type="spellEnd"/>
      <w:r w:rsidRPr="00812C16">
        <w:rPr>
          <w:rFonts w:cs="Arial"/>
          <w:lang w:eastAsia="de-DE"/>
        </w:rPr>
        <w:t xml:space="preserve"> Gedanken sind als solche kenntlich gemacht.</w:t>
      </w:r>
    </w:p>
    <w:p w14:paraId="70F8CBB3" w14:textId="77777777" w:rsidR="004B02EF" w:rsidRPr="00812C16" w:rsidRDefault="00306314" w:rsidP="00246EB5">
      <w:pPr>
        <w:pStyle w:val="Listenabsatz"/>
        <w:numPr>
          <w:ilvl w:val="0"/>
          <w:numId w:val="3"/>
        </w:numPr>
        <w:ind w:left="426" w:hanging="426"/>
        <w:rPr>
          <w:rFonts w:cs="Arial"/>
          <w:lang w:eastAsia="de-DE"/>
        </w:rPr>
      </w:pPr>
      <w:r w:rsidRPr="00812C16">
        <w:rPr>
          <w:rFonts w:cs="Arial"/>
          <w:lang w:eastAsia="de-DE"/>
        </w:rPr>
        <w:lastRenderedPageBreak/>
        <w:t xml:space="preserve">Bei der Auswahl und Auswertung des Materials sowie bei der Erstellung des Manuskripts habe ich </w:t>
      </w:r>
      <w:proofErr w:type="spellStart"/>
      <w:r w:rsidRPr="00812C16">
        <w:rPr>
          <w:rFonts w:cs="Arial"/>
          <w:lang w:eastAsia="de-DE"/>
        </w:rPr>
        <w:t>Unterstützungsleistungen</w:t>
      </w:r>
      <w:proofErr w:type="spellEnd"/>
      <w:r w:rsidRPr="00812C16">
        <w:rPr>
          <w:rFonts w:cs="Arial"/>
          <w:lang w:eastAsia="de-DE"/>
        </w:rPr>
        <w:t xml:space="preserve"> von folgenden Personen erhalten:</w:t>
      </w:r>
      <w:r w:rsidR="004B02EF" w:rsidRPr="00812C16">
        <w:rPr>
          <w:rFonts w:cs="Arial"/>
          <w:lang w:eastAsia="de-DE"/>
        </w:rPr>
        <w:t xml:space="preserve"> </w:t>
      </w:r>
    </w:p>
    <w:p w14:paraId="13AB7F80" w14:textId="77777777" w:rsidR="004B02EF" w:rsidRPr="00812C16" w:rsidRDefault="004B02EF" w:rsidP="00DA3E48">
      <w:pPr>
        <w:ind w:firstLine="426"/>
        <w:rPr>
          <w:rFonts w:cs="Arial"/>
          <w:lang w:eastAsia="de-DE"/>
        </w:rPr>
      </w:pPr>
      <w:r w:rsidRPr="00812C16">
        <w:rPr>
          <w:rFonts w:cs="Arial"/>
          <w:lang w:eastAsia="de-DE"/>
        </w:rPr>
        <w:t>Frau Prof. Dr. med. Mechthild Krause,</w:t>
      </w:r>
    </w:p>
    <w:p w14:paraId="35471383" w14:textId="77777777" w:rsidR="00DA3E48" w:rsidRPr="00812C16" w:rsidRDefault="004B02EF" w:rsidP="0016546B">
      <w:pPr>
        <w:ind w:firstLine="425"/>
        <w:rPr>
          <w:rFonts w:cs="Arial"/>
          <w:lang w:eastAsia="de-DE"/>
        </w:rPr>
      </w:pPr>
      <w:r w:rsidRPr="00812C16">
        <w:rPr>
          <w:rFonts w:cs="Arial"/>
          <w:lang w:eastAsia="de-DE"/>
        </w:rPr>
        <w:t xml:space="preserve">Frau PD Dr. med. Annett Linge </w:t>
      </w:r>
    </w:p>
    <w:p w14:paraId="02C46368" w14:textId="77777777" w:rsidR="0016546B" w:rsidRPr="00812C16" w:rsidRDefault="00306314" w:rsidP="00246EB5">
      <w:pPr>
        <w:pStyle w:val="Listenabsatz"/>
        <w:numPr>
          <w:ilvl w:val="0"/>
          <w:numId w:val="3"/>
        </w:numPr>
        <w:ind w:left="425" w:hanging="425"/>
        <w:contextualSpacing w:val="0"/>
        <w:rPr>
          <w:rFonts w:cs="Arial"/>
          <w:lang w:eastAsia="de-DE"/>
        </w:rPr>
      </w:pPr>
      <w:r w:rsidRPr="00812C16">
        <w:rPr>
          <w:rFonts w:cs="Arial"/>
          <w:lang w:eastAsia="de-DE"/>
        </w:rPr>
        <w:t xml:space="preserve">Weitere Personen waren an der geistigen Herstellung der vorliegenden Arbeit nicht beteiligt. Ins- besondere habe ich nicht die Hilfe eines kommerziellen Promotionsberaters bzw. einer </w:t>
      </w:r>
      <w:proofErr w:type="spellStart"/>
      <w:r w:rsidRPr="00812C16">
        <w:rPr>
          <w:rFonts w:cs="Arial"/>
          <w:lang w:eastAsia="de-DE"/>
        </w:rPr>
        <w:t>kommer</w:t>
      </w:r>
      <w:proofErr w:type="spellEnd"/>
      <w:r w:rsidRPr="00812C16">
        <w:rPr>
          <w:rFonts w:cs="Arial"/>
          <w:lang w:eastAsia="de-DE"/>
        </w:rPr>
        <w:t xml:space="preserve">- </w:t>
      </w:r>
      <w:proofErr w:type="spellStart"/>
      <w:r w:rsidRPr="00812C16">
        <w:rPr>
          <w:rFonts w:cs="Arial"/>
          <w:lang w:eastAsia="de-DE"/>
        </w:rPr>
        <w:t>ziellen</w:t>
      </w:r>
      <w:proofErr w:type="spellEnd"/>
      <w:r w:rsidRPr="00812C16">
        <w:rPr>
          <w:rFonts w:cs="Arial"/>
          <w:lang w:eastAsia="de-DE"/>
        </w:rPr>
        <w:t xml:space="preserve"> Promotionsberaterin in Anspruch genommen. Dritte haben von mir weder unmittelbar noch mittelbar geldwerte Leistungen </w:t>
      </w:r>
      <w:proofErr w:type="spellStart"/>
      <w:r w:rsidRPr="00812C16">
        <w:rPr>
          <w:rFonts w:cs="Arial"/>
          <w:lang w:eastAsia="de-DE"/>
        </w:rPr>
        <w:t>für</w:t>
      </w:r>
      <w:proofErr w:type="spellEnd"/>
      <w:r w:rsidRPr="00812C16">
        <w:rPr>
          <w:rFonts w:cs="Arial"/>
          <w:lang w:eastAsia="de-DE"/>
        </w:rPr>
        <w:t xml:space="preserve"> Arbeiten erhalten, die im Zusammenhang mit dem In- halt der vorgelegten Dissertation stehen.</w:t>
      </w:r>
    </w:p>
    <w:p w14:paraId="432645F4" w14:textId="77777777" w:rsidR="00DA3E48" w:rsidRPr="00812C16" w:rsidRDefault="00306314" w:rsidP="00246EB5">
      <w:pPr>
        <w:pStyle w:val="Listenabsatz"/>
        <w:numPr>
          <w:ilvl w:val="0"/>
          <w:numId w:val="3"/>
        </w:numPr>
        <w:ind w:left="425" w:hanging="425"/>
        <w:contextualSpacing w:val="0"/>
        <w:rPr>
          <w:rFonts w:cs="Arial"/>
          <w:lang w:eastAsia="de-DE"/>
        </w:rPr>
      </w:pPr>
      <w:r w:rsidRPr="00812C16">
        <w:rPr>
          <w:rFonts w:cs="Arial"/>
          <w:lang w:eastAsia="de-DE"/>
        </w:rPr>
        <w:t xml:space="preserve">Die Arbeit wurde bisher weder im Inland noch im Ausland in gleicher oder </w:t>
      </w:r>
      <w:proofErr w:type="spellStart"/>
      <w:r w:rsidRPr="00812C16">
        <w:rPr>
          <w:rFonts w:cs="Arial"/>
          <w:lang w:eastAsia="de-DE"/>
        </w:rPr>
        <w:t>ähnlicher</w:t>
      </w:r>
      <w:proofErr w:type="spellEnd"/>
      <w:r w:rsidRPr="00812C16">
        <w:rPr>
          <w:rFonts w:cs="Arial"/>
          <w:lang w:eastAsia="de-DE"/>
        </w:rPr>
        <w:t xml:space="preserve"> Form einer anderen </w:t>
      </w:r>
      <w:proofErr w:type="spellStart"/>
      <w:r w:rsidRPr="00812C16">
        <w:rPr>
          <w:rFonts w:cs="Arial"/>
          <w:lang w:eastAsia="de-DE"/>
        </w:rPr>
        <w:t>Prüfungsbehörde</w:t>
      </w:r>
      <w:proofErr w:type="spellEnd"/>
      <w:r w:rsidRPr="00812C16">
        <w:rPr>
          <w:rFonts w:cs="Arial"/>
          <w:lang w:eastAsia="de-DE"/>
        </w:rPr>
        <w:t xml:space="preserve"> vorgelegt.</w:t>
      </w:r>
    </w:p>
    <w:p w14:paraId="2E566BD3" w14:textId="77777777" w:rsidR="00577A06" w:rsidRPr="00812C16" w:rsidRDefault="00306314" w:rsidP="00246EB5">
      <w:pPr>
        <w:pStyle w:val="Listenabsatz"/>
        <w:numPr>
          <w:ilvl w:val="0"/>
          <w:numId w:val="3"/>
        </w:numPr>
        <w:ind w:left="426" w:hanging="426"/>
        <w:rPr>
          <w:rFonts w:cs="Arial"/>
          <w:lang w:eastAsia="de-DE"/>
        </w:rPr>
      </w:pPr>
      <w:r w:rsidRPr="00812C16">
        <w:rPr>
          <w:rFonts w:cs="Arial"/>
          <w:lang w:eastAsia="de-DE"/>
        </w:rPr>
        <w:t xml:space="preserve">Die Inhalte dieser Dissertation wurden in folgender Form </w:t>
      </w:r>
      <w:proofErr w:type="spellStart"/>
      <w:r w:rsidRPr="00812C16">
        <w:rPr>
          <w:rFonts w:cs="Arial"/>
          <w:lang w:eastAsia="de-DE"/>
        </w:rPr>
        <w:t>veröffentlicht</w:t>
      </w:r>
      <w:proofErr w:type="spellEnd"/>
      <w:r w:rsidRPr="00812C16">
        <w:rPr>
          <w:rFonts w:cs="Arial"/>
          <w:lang w:eastAsia="de-DE"/>
        </w:rPr>
        <w:t>:</w:t>
      </w:r>
      <w:r w:rsidR="00DA3E48" w:rsidRPr="00812C16">
        <w:rPr>
          <w:rFonts w:cs="Arial"/>
          <w:lang w:eastAsia="de-DE"/>
        </w:rPr>
        <w:t xml:space="preserve"> </w:t>
      </w:r>
    </w:p>
    <w:p w14:paraId="44734163" w14:textId="77777777" w:rsidR="00AA16B1" w:rsidRPr="00812C16" w:rsidRDefault="003A1B16" w:rsidP="0016546B">
      <w:pPr>
        <w:ind w:left="425"/>
        <w:contextualSpacing/>
        <w:rPr>
          <w:rFonts w:cs="Arial"/>
          <w:noProof/>
        </w:rPr>
      </w:pPr>
      <w:r w:rsidRPr="00812C16">
        <w:rPr>
          <w:rFonts w:cs="Arial"/>
          <w:noProof/>
        </w:rPr>
        <w:t xml:space="preserve">Ausführliches </w:t>
      </w:r>
      <w:r w:rsidR="00577A06" w:rsidRPr="00812C16">
        <w:rPr>
          <w:rFonts w:cs="Arial"/>
          <w:noProof/>
        </w:rPr>
        <w:t>Abstract und Poster</w:t>
      </w:r>
      <w:r w:rsidR="002152D5" w:rsidRPr="00812C16">
        <w:rPr>
          <w:rFonts w:cs="Arial"/>
          <w:noProof/>
        </w:rPr>
        <w:t xml:space="preserve">: </w:t>
      </w:r>
    </w:p>
    <w:p w14:paraId="14A05499" w14:textId="77777777" w:rsidR="00811B1A" w:rsidRPr="00812C16" w:rsidRDefault="00226531" w:rsidP="00DA3E48">
      <w:pPr>
        <w:ind w:left="426"/>
        <w:rPr>
          <w:rFonts w:cs="Arial"/>
          <w:lang w:eastAsia="de-DE"/>
        </w:rPr>
      </w:pPr>
      <w:proofErr w:type="spellStart"/>
      <w:r w:rsidRPr="00812C16">
        <w:rPr>
          <w:rFonts w:cs="Arial"/>
          <w:b/>
          <w:bCs/>
          <w:lang w:eastAsia="de-DE"/>
        </w:rPr>
        <w:t>Jütz</w:t>
      </w:r>
      <w:proofErr w:type="spellEnd"/>
      <w:r w:rsidRPr="00812C16">
        <w:rPr>
          <w:rFonts w:cs="Arial"/>
          <w:b/>
          <w:bCs/>
          <w:lang w:eastAsia="de-DE"/>
        </w:rPr>
        <w:t>, M.</w:t>
      </w:r>
      <w:r w:rsidRPr="00812C16">
        <w:rPr>
          <w:rFonts w:cs="Arial"/>
          <w:lang w:eastAsia="de-DE"/>
        </w:rPr>
        <w:t xml:space="preserve">, Linge, A., von Neubeck, C., Lohaus, F., </w:t>
      </w:r>
      <w:proofErr w:type="spellStart"/>
      <w:r w:rsidRPr="00812C16">
        <w:rPr>
          <w:rFonts w:cs="Arial"/>
          <w:lang w:eastAsia="de-DE"/>
        </w:rPr>
        <w:t>Tinhofer</w:t>
      </w:r>
      <w:proofErr w:type="spellEnd"/>
      <w:r w:rsidRPr="00812C16">
        <w:rPr>
          <w:rFonts w:cs="Arial"/>
          <w:lang w:eastAsia="de-DE"/>
        </w:rPr>
        <w:t>, I., Budach, V., . . . DKTK-ROG. (2015).</w:t>
      </w:r>
      <w:r w:rsidR="00FE1C8A" w:rsidRPr="00812C16">
        <w:rPr>
          <w:rFonts w:cs="Arial"/>
          <w:lang w:eastAsia="de-DE"/>
        </w:rPr>
        <w:t xml:space="preserve"> </w:t>
      </w:r>
      <w:r w:rsidR="00811B1A" w:rsidRPr="00812C16">
        <w:rPr>
          <w:rFonts w:cs="Arial"/>
          <w:lang w:eastAsia="de-DE"/>
        </w:rPr>
        <w:t>Prognostisches Potential von CD44 als Tumorstammzellmarker für die kombinierte Radiochemotherapie des lo</w:t>
      </w:r>
      <w:r w:rsidR="009C36EE" w:rsidRPr="00812C16">
        <w:rPr>
          <w:rFonts w:cs="Arial"/>
          <w:lang w:eastAsia="de-DE"/>
        </w:rPr>
        <w:t>k</w:t>
      </w:r>
      <w:r w:rsidR="00811B1A" w:rsidRPr="00812C16">
        <w:rPr>
          <w:rFonts w:cs="Arial"/>
          <w:lang w:eastAsia="de-DE"/>
        </w:rPr>
        <w:t xml:space="preserve">al fortgeschrittenen Kopf-Hals-Plattenepithelkarzinoms. 24. Symposium für Experimentelle Strahlentherapie und klinische Strahlenbiologie. Proceedings, Hamburg, 23-25 Feb 2015, </w:t>
      </w:r>
      <w:proofErr w:type="spellStart"/>
      <w:r w:rsidR="009C36EE" w:rsidRPr="00812C16">
        <w:rPr>
          <w:rFonts w:cs="Arial"/>
          <w:lang w:eastAsia="de-DE"/>
        </w:rPr>
        <w:t>Exp</w:t>
      </w:r>
      <w:proofErr w:type="spellEnd"/>
      <w:r w:rsidR="009C36EE" w:rsidRPr="00812C16">
        <w:rPr>
          <w:rFonts w:cs="Arial"/>
          <w:lang w:eastAsia="de-DE"/>
        </w:rPr>
        <w:t xml:space="preserve"> </w:t>
      </w:r>
      <w:proofErr w:type="spellStart"/>
      <w:r w:rsidR="009C36EE" w:rsidRPr="00812C16">
        <w:rPr>
          <w:rFonts w:cs="Arial"/>
          <w:lang w:eastAsia="de-DE"/>
        </w:rPr>
        <w:t>Strahlenther</w:t>
      </w:r>
      <w:proofErr w:type="spellEnd"/>
      <w:r w:rsidR="009C36EE" w:rsidRPr="00812C16">
        <w:rPr>
          <w:rFonts w:cs="Arial"/>
          <w:lang w:eastAsia="de-DE"/>
        </w:rPr>
        <w:t xml:space="preserve"> </w:t>
      </w:r>
      <w:proofErr w:type="spellStart"/>
      <w:r w:rsidR="009C36EE" w:rsidRPr="00812C16">
        <w:rPr>
          <w:rFonts w:cs="Arial"/>
          <w:lang w:eastAsia="de-DE"/>
        </w:rPr>
        <w:t>Klin</w:t>
      </w:r>
      <w:proofErr w:type="spellEnd"/>
      <w:r w:rsidR="009C36EE" w:rsidRPr="00812C16">
        <w:rPr>
          <w:rFonts w:cs="Arial"/>
          <w:lang w:eastAsia="de-DE"/>
        </w:rPr>
        <w:t xml:space="preserve"> </w:t>
      </w:r>
      <w:proofErr w:type="spellStart"/>
      <w:r w:rsidR="009C36EE" w:rsidRPr="00812C16">
        <w:rPr>
          <w:rFonts w:cs="Arial"/>
          <w:lang w:eastAsia="de-DE"/>
        </w:rPr>
        <w:t>Strahlenbiol</w:t>
      </w:r>
      <w:proofErr w:type="spellEnd"/>
      <w:r w:rsidR="009C36EE" w:rsidRPr="00812C16">
        <w:rPr>
          <w:rFonts w:cs="Arial"/>
          <w:lang w:eastAsia="de-DE"/>
        </w:rPr>
        <w:t xml:space="preserve"> 24: S. 150-153, </w:t>
      </w:r>
      <w:r w:rsidR="00811B1A" w:rsidRPr="00812C16">
        <w:rPr>
          <w:rFonts w:cs="Arial"/>
          <w:lang w:eastAsia="de-DE"/>
        </w:rPr>
        <w:t>ISSN 1432-864X (</w:t>
      </w:r>
      <w:proofErr w:type="spellStart"/>
      <w:r w:rsidR="00811B1A" w:rsidRPr="00812C16">
        <w:rPr>
          <w:rFonts w:cs="Arial"/>
          <w:lang w:eastAsia="de-DE"/>
        </w:rPr>
        <w:t>Posterpräsentation</w:t>
      </w:r>
      <w:proofErr w:type="spellEnd"/>
      <w:r w:rsidR="00811B1A" w:rsidRPr="00812C16">
        <w:rPr>
          <w:rFonts w:cs="Arial"/>
          <w:lang w:eastAsia="de-DE"/>
        </w:rPr>
        <w:t xml:space="preserve">) </w:t>
      </w:r>
    </w:p>
    <w:p w14:paraId="65DA3F0E" w14:textId="77777777" w:rsidR="00DA3E48" w:rsidRPr="00812C16" w:rsidRDefault="00DA3E48" w:rsidP="00DA3E48">
      <w:pPr>
        <w:ind w:firstLine="426"/>
        <w:rPr>
          <w:rFonts w:cs="Arial"/>
          <w:lang w:eastAsia="de-DE"/>
        </w:rPr>
      </w:pPr>
    </w:p>
    <w:p w14:paraId="00B1F540" w14:textId="77777777" w:rsidR="000B25FC" w:rsidRPr="00812C16" w:rsidRDefault="000B25FC" w:rsidP="00DA3E48">
      <w:pPr>
        <w:spacing w:after="0"/>
        <w:ind w:firstLine="426"/>
        <w:rPr>
          <w:rFonts w:cs="Arial"/>
          <w:bCs/>
          <w:lang w:eastAsia="de-DE"/>
        </w:rPr>
      </w:pPr>
      <w:r w:rsidRPr="00812C16">
        <w:rPr>
          <w:rFonts w:cs="Arial"/>
          <w:bCs/>
          <w:lang w:eastAsia="de-DE"/>
        </w:rPr>
        <w:t>Publikationen in referierten Fachzeitschriften</w:t>
      </w:r>
      <w:r w:rsidR="0016546B" w:rsidRPr="00812C16">
        <w:rPr>
          <w:rFonts w:cs="Arial"/>
          <w:bCs/>
          <w:lang w:eastAsia="de-DE"/>
        </w:rPr>
        <w:t>:</w:t>
      </w:r>
      <w:r w:rsidRPr="00812C16">
        <w:rPr>
          <w:rFonts w:cs="Arial"/>
          <w:bCs/>
          <w:lang w:eastAsia="de-DE"/>
        </w:rPr>
        <w:t xml:space="preserve"> </w:t>
      </w:r>
    </w:p>
    <w:p w14:paraId="461A40B6" w14:textId="77777777" w:rsidR="0016546B" w:rsidRPr="00812C16" w:rsidRDefault="000B25FC" w:rsidP="00246EB5">
      <w:pPr>
        <w:pStyle w:val="Listenabsatz"/>
        <w:numPr>
          <w:ilvl w:val="0"/>
          <w:numId w:val="4"/>
        </w:numPr>
        <w:ind w:left="850" w:hanging="425"/>
        <w:contextualSpacing w:val="0"/>
        <w:rPr>
          <w:rFonts w:cs="Arial"/>
          <w:lang w:val="en-US" w:eastAsia="de-DE"/>
        </w:rPr>
      </w:pPr>
      <w:r w:rsidRPr="00812C16">
        <w:rPr>
          <w:rFonts w:cs="Arial"/>
          <w:lang w:eastAsia="de-DE"/>
        </w:rPr>
        <w:t xml:space="preserve">Linge, A., Lock, S., </w:t>
      </w:r>
      <w:proofErr w:type="spellStart"/>
      <w:r w:rsidRPr="00812C16">
        <w:rPr>
          <w:rFonts w:cs="Arial"/>
          <w:lang w:eastAsia="de-DE"/>
        </w:rPr>
        <w:t>Gudziol</w:t>
      </w:r>
      <w:proofErr w:type="spellEnd"/>
      <w:r w:rsidRPr="00812C16">
        <w:rPr>
          <w:rFonts w:cs="Arial"/>
          <w:lang w:eastAsia="de-DE"/>
        </w:rPr>
        <w:t xml:space="preserve">, V., Nowak, A., Lohaus, F., von Neubeck, C., </w:t>
      </w:r>
      <w:proofErr w:type="spellStart"/>
      <w:proofErr w:type="gramStart"/>
      <w:r w:rsidRPr="00812C16">
        <w:rPr>
          <w:rFonts w:cs="Arial"/>
          <w:b/>
          <w:bCs/>
          <w:lang w:eastAsia="de-DE"/>
        </w:rPr>
        <w:t>Jütz,M</w:t>
      </w:r>
      <w:proofErr w:type="spellEnd"/>
      <w:r w:rsidRPr="00812C16">
        <w:rPr>
          <w:rFonts w:cs="Arial"/>
          <w:b/>
          <w:bCs/>
          <w:lang w:eastAsia="de-DE"/>
        </w:rPr>
        <w:t>.</w:t>
      </w:r>
      <w:proofErr w:type="gramEnd"/>
      <w:r w:rsidRPr="00812C16">
        <w:rPr>
          <w:rFonts w:cs="Arial"/>
          <w:b/>
          <w:bCs/>
          <w:lang w:eastAsia="de-DE"/>
        </w:rPr>
        <w:t>,</w:t>
      </w:r>
      <w:r w:rsidRPr="00812C16">
        <w:rPr>
          <w:rFonts w:cs="Arial"/>
          <w:lang w:eastAsia="de-DE"/>
        </w:rPr>
        <w:t xml:space="preserve"> . . . </w:t>
      </w:r>
      <w:proofErr w:type="spellStart"/>
      <w:r w:rsidRPr="00812C16">
        <w:rPr>
          <w:rFonts w:cs="Arial"/>
          <w:lang w:val="en-US" w:eastAsia="de-DE"/>
        </w:rPr>
        <w:t>Dktk</w:t>
      </w:r>
      <w:proofErr w:type="spellEnd"/>
      <w:r w:rsidRPr="00812C16">
        <w:rPr>
          <w:rFonts w:cs="Arial"/>
          <w:lang w:val="en-US" w:eastAsia="de-DE"/>
        </w:rPr>
        <w:t xml:space="preserve">, R. O. G. (2016). Low Cancer Stem Cell Marker Expression and Low Hypoxia Identify Good Prognosis Subgroups in </w:t>
      </w:r>
      <w:proofErr w:type="gramStart"/>
      <w:r w:rsidRPr="00812C16">
        <w:rPr>
          <w:rFonts w:cs="Arial"/>
          <w:lang w:val="en-US" w:eastAsia="de-DE"/>
        </w:rPr>
        <w:t>HPV(</w:t>
      </w:r>
      <w:proofErr w:type="gramEnd"/>
      <w:r w:rsidRPr="00812C16">
        <w:rPr>
          <w:rFonts w:cs="Arial"/>
          <w:lang w:val="en-US" w:eastAsia="de-DE"/>
        </w:rPr>
        <w:t xml:space="preserve">-) HNSCC after Postoperative </w:t>
      </w:r>
      <w:proofErr w:type="spellStart"/>
      <w:r w:rsidRPr="00812C16">
        <w:rPr>
          <w:rFonts w:cs="Arial"/>
          <w:lang w:val="en-US" w:eastAsia="de-DE"/>
        </w:rPr>
        <w:t>Radiochemotherapy</w:t>
      </w:r>
      <w:proofErr w:type="spellEnd"/>
      <w:r w:rsidRPr="00812C16">
        <w:rPr>
          <w:rFonts w:cs="Arial"/>
          <w:lang w:val="en-US" w:eastAsia="de-DE"/>
        </w:rPr>
        <w:t xml:space="preserve">: A Multicenter Study of the DKTK-ROG. Clin Cancer Res, 22(11), 2639-2649. </w:t>
      </w:r>
      <w:proofErr w:type="gramStart"/>
      <w:r w:rsidRPr="00812C16">
        <w:rPr>
          <w:rFonts w:cs="Arial"/>
          <w:lang w:val="en-US" w:eastAsia="de-DE"/>
        </w:rPr>
        <w:t>doi:10.1158/1078-0432.CCR</w:t>
      </w:r>
      <w:proofErr w:type="gramEnd"/>
      <w:r w:rsidRPr="00812C16">
        <w:rPr>
          <w:rFonts w:cs="Arial"/>
          <w:lang w:val="en-US" w:eastAsia="de-DE"/>
        </w:rPr>
        <w:t>-15-1990</w:t>
      </w:r>
    </w:p>
    <w:p w14:paraId="78316340" w14:textId="77777777" w:rsidR="00DA3E48" w:rsidRPr="00812C16" w:rsidRDefault="000B25FC" w:rsidP="00246EB5">
      <w:pPr>
        <w:pStyle w:val="Listenabsatz"/>
        <w:numPr>
          <w:ilvl w:val="0"/>
          <w:numId w:val="4"/>
        </w:numPr>
        <w:ind w:left="850" w:hanging="425"/>
        <w:contextualSpacing w:val="0"/>
        <w:rPr>
          <w:rFonts w:cs="Arial"/>
          <w:lang w:val="en-US" w:eastAsia="de-DE"/>
        </w:rPr>
      </w:pPr>
      <w:r w:rsidRPr="00812C16">
        <w:rPr>
          <w:rFonts w:cs="Arial"/>
          <w:lang w:eastAsia="de-DE"/>
        </w:rPr>
        <w:t xml:space="preserve">Linge, A., Lohaus, F., Lock, S., Nowak, A., </w:t>
      </w:r>
      <w:proofErr w:type="spellStart"/>
      <w:r w:rsidRPr="00812C16">
        <w:rPr>
          <w:rFonts w:cs="Arial"/>
          <w:lang w:eastAsia="de-DE"/>
        </w:rPr>
        <w:t>Gudziol</w:t>
      </w:r>
      <w:proofErr w:type="spellEnd"/>
      <w:r w:rsidRPr="00812C16">
        <w:rPr>
          <w:rFonts w:cs="Arial"/>
          <w:lang w:eastAsia="de-DE"/>
        </w:rPr>
        <w:t xml:space="preserve">, V., Valentini, C., von Neubeck, C., </w:t>
      </w:r>
      <w:proofErr w:type="spellStart"/>
      <w:proofErr w:type="gramStart"/>
      <w:r w:rsidRPr="00812C16">
        <w:rPr>
          <w:rFonts w:cs="Arial"/>
          <w:b/>
          <w:bCs/>
          <w:lang w:eastAsia="de-DE"/>
        </w:rPr>
        <w:t>Jütz,M</w:t>
      </w:r>
      <w:proofErr w:type="spellEnd"/>
      <w:r w:rsidRPr="00812C16">
        <w:rPr>
          <w:rFonts w:cs="Arial"/>
          <w:b/>
          <w:bCs/>
          <w:lang w:eastAsia="de-DE"/>
        </w:rPr>
        <w:t>.</w:t>
      </w:r>
      <w:proofErr w:type="gramEnd"/>
      <w:r w:rsidRPr="00812C16">
        <w:rPr>
          <w:rFonts w:cs="Arial"/>
          <w:b/>
          <w:bCs/>
          <w:lang w:eastAsia="de-DE"/>
        </w:rPr>
        <w:t>,</w:t>
      </w:r>
      <w:r w:rsidRPr="00812C16">
        <w:rPr>
          <w:rFonts w:cs="Arial"/>
          <w:lang w:eastAsia="de-DE"/>
        </w:rPr>
        <w:t xml:space="preserve"> . . . </w:t>
      </w:r>
      <w:proofErr w:type="spellStart"/>
      <w:r w:rsidRPr="00812C16">
        <w:rPr>
          <w:rFonts w:cs="Arial"/>
          <w:lang w:val="en-US" w:eastAsia="de-DE"/>
        </w:rPr>
        <w:t>Dktk</w:t>
      </w:r>
      <w:proofErr w:type="spellEnd"/>
      <w:r w:rsidRPr="00812C16">
        <w:rPr>
          <w:rFonts w:cs="Arial"/>
          <w:lang w:val="en-US" w:eastAsia="de-DE"/>
        </w:rPr>
        <w:t xml:space="preserve">, R. O. G. (2016). HPV status, cancer stem cell marker expression, hypoxia gene signatures and </w:t>
      </w:r>
      <w:proofErr w:type="spellStart"/>
      <w:r w:rsidRPr="00812C16">
        <w:rPr>
          <w:rFonts w:cs="Arial"/>
          <w:lang w:val="en-US" w:eastAsia="de-DE"/>
        </w:rPr>
        <w:t>tumour</w:t>
      </w:r>
      <w:proofErr w:type="spellEnd"/>
      <w:r w:rsidRPr="00812C16">
        <w:rPr>
          <w:rFonts w:cs="Arial"/>
          <w:lang w:val="en-US" w:eastAsia="de-DE"/>
        </w:rPr>
        <w:t xml:space="preserve"> volume identify good prognosis subgroups in patients with HNSCC after primary </w:t>
      </w:r>
      <w:proofErr w:type="spellStart"/>
      <w:r w:rsidRPr="00812C16">
        <w:rPr>
          <w:rFonts w:cs="Arial"/>
          <w:lang w:val="en-US" w:eastAsia="de-DE"/>
        </w:rPr>
        <w:t>radiochemotherapy</w:t>
      </w:r>
      <w:proofErr w:type="spellEnd"/>
      <w:r w:rsidRPr="00812C16">
        <w:rPr>
          <w:rFonts w:cs="Arial"/>
          <w:lang w:val="en-US" w:eastAsia="de-DE"/>
        </w:rPr>
        <w:t xml:space="preserve">: A </w:t>
      </w:r>
      <w:proofErr w:type="spellStart"/>
      <w:r w:rsidRPr="00812C16">
        <w:rPr>
          <w:rFonts w:cs="Arial"/>
          <w:lang w:val="en-US" w:eastAsia="de-DE"/>
        </w:rPr>
        <w:t>multicentre</w:t>
      </w:r>
      <w:proofErr w:type="spellEnd"/>
      <w:r w:rsidRPr="00812C16">
        <w:rPr>
          <w:rFonts w:cs="Arial"/>
          <w:lang w:val="en-US" w:eastAsia="de-DE"/>
        </w:rPr>
        <w:t xml:space="preserve"> retrospective study of the German Cancer Consortium Radiation Oncology Group (DKTK-ROG). </w:t>
      </w:r>
      <w:proofErr w:type="spellStart"/>
      <w:r w:rsidRPr="00812C16">
        <w:rPr>
          <w:rFonts w:cs="Arial"/>
          <w:i/>
          <w:lang w:eastAsia="de-DE"/>
        </w:rPr>
        <w:t>Radiother</w:t>
      </w:r>
      <w:proofErr w:type="spellEnd"/>
      <w:r w:rsidRPr="00812C16">
        <w:rPr>
          <w:rFonts w:cs="Arial"/>
          <w:i/>
          <w:lang w:eastAsia="de-DE"/>
        </w:rPr>
        <w:t xml:space="preserve"> </w:t>
      </w:r>
      <w:proofErr w:type="spellStart"/>
      <w:r w:rsidRPr="00812C16">
        <w:rPr>
          <w:rFonts w:cs="Arial"/>
          <w:i/>
          <w:lang w:eastAsia="de-DE"/>
        </w:rPr>
        <w:t>Oncol</w:t>
      </w:r>
      <w:proofErr w:type="spellEnd"/>
      <w:r w:rsidRPr="00812C16">
        <w:rPr>
          <w:rFonts w:cs="Arial"/>
          <w:i/>
          <w:lang w:eastAsia="de-DE"/>
        </w:rPr>
        <w:t>, 121</w:t>
      </w:r>
      <w:r w:rsidRPr="00812C16">
        <w:rPr>
          <w:rFonts w:cs="Arial"/>
          <w:lang w:eastAsia="de-DE"/>
        </w:rPr>
        <w:t xml:space="preserve">(3), 364-373. </w:t>
      </w:r>
      <w:proofErr w:type="gramStart"/>
      <w:r w:rsidRPr="00812C16">
        <w:rPr>
          <w:rFonts w:cs="Arial"/>
          <w:lang w:eastAsia="de-DE"/>
        </w:rPr>
        <w:t>doi:10.1016/j.radonc</w:t>
      </w:r>
      <w:proofErr w:type="gramEnd"/>
      <w:r w:rsidRPr="00812C16">
        <w:rPr>
          <w:rFonts w:cs="Arial"/>
          <w:lang w:eastAsia="de-DE"/>
        </w:rPr>
        <w:t>.2016.11.008</w:t>
      </w:r>
    </w:p>
    <w:p w14:paraId="19B99174" w14:textId="4AE8A148" w:rsidR="00DA3E48" w:rsidRPr="00812C16" w:rsidRDefault="00306314" w:rsidP="00246EB5">
      <w:pPr>
        <w:pStyle w:val="Listenabsatz"/>
        <w:numPr>
          <w:ilvl w:val="0"/>
          <w:numId w:val="3"/>
        </w:numPr>
        <w:ind w:left="425" w:hanging="425"/>
        <w:contextualSpacing w:val="0"/>
        <w:rPr>
          <w:rFonts w:cs="Arial"/>
          <w:lang w:eastAsia="de-DE"/>
        </w:rPr>
      </w:pPr>
      <w:r w:rsidRPr="00812C16">
        <w:rPr>
          <w:rFonts w:cs="Arial"/>
          <w:lang w:eastAsia="de-DE"/>
        </w:rPr>
        <w:lastRenderedPageBreak/>
        <w:t xml:space="preserve">Ich </w:t>
      </w:r>
      <w:proofErr w:type="spellStart"/>
      <w:r w:rsidRPr="00812C16">
        <w:rPr>
          <w:rFonts w:cs="Arial"/>
          <w:lang w:eastAsia="de-DE"/>
        </w:rPr>
        <w:t>bestätige</w:t>
      </w:r>
      <w:proofErr w:type="spellEnd"/>
      <w:r w:rsidRPr="00812C16">
        <w:rPr>
          <w:rFonts w:cs="Arial"/>
          <w:lang w:eastAsia="de-DE"/>
        </w:rPr>
        <w:t xml:space="preserve">, dass ich die Promotionsordnung der Medizinischen </w:t>
      </w:r>
      <w:proofErr w:type="spellStart"/>
      <w:r w:rsidRPr="00812C16">
        <w:rPr>
          <w:rFonts w:cs="Arial"/>
          <w:lang w:eastAsia="de-DE"/>
        </w:rPr>
        <w:t>Fakultät</w:t>
      </w:r>
      <w:proofErr w:type="spellEnd"/>
      <w:r w:rsidRPr="00812C16">
        <w:rPr>
          <w:rFonts w:cs="Arial"/>
          <w:lang w:eastAsia="de-DE"/>
        </w:rPr>
        <w:t xml:space="preserve"> der Technischen Uni- </w:t>
      </w:r>
      <w:proofErr w:type="spellStart"/>
      <w:r w:rsidRPr="00812C16">
        <w:rPr>
          <w:rFonts w:cs="Arial"/>
          <w:lang w:eastAsia="de-DE"/>
        </w:rPr>
        <w:t>versität</w:t>
      </w:r>
      <w:proofErr w:type="spellEnd"/>
      <w:r w:rsidRPr="00812C16">
        <w:rPr>
          <w:rFonts w:cs="Arial"/>
          <w:lang w:eastAsia="de-DE"/>
        </w:rPr>
        <w:t xml:space="preserve"> Dresden anerkenne.</w:t>
      </w:r>
      <w:r w:rsidR="000112D9">
        <w:rPr>
          <w:rFonts w:cs="Arial"/>
          <w:lang w:eastAsia="de-DE"/>
        </w:rPr>
        <w:fldChar w:fldCharType="begin">
          <w:fldData xml:space="preserve">PEVuZE5vdGU+PENpdGU+PEF1dGhvcj5Kw7x0ejwvQXV0aG9yPjxZZWFyPjIwMTU8L1llYXI+PFJl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</w:fldData>
        </w:fldChar>
      </w:r>
      <w:r w:rsidR="000112D9">
        <w:rPr>
          <w:rFonts w:cs="Arial"/>
          <w:lang w:eastAsia="de-DE"/>
        </w:rPr>
        <w:instrText xml:space="preserve"> ADDIN EN.JS.CITE </w:instrText>
      </w:r>
      <w:r w:rsidR="000112D9">
        <w:rPr>
          <w:rFonts w:cs="Arial"/>
          <w:lang w:eastAsia="de-DE"/>
        </w:rPr>
      </w:r>
      <w:r w:rsidR="000112D9">
        <w:rPr>
          <w:rFonts w:cs="Arial"/>
          <w:lang w:eastAsia="de-DE"/>
        </w:rPr>
        <w:fldChar w:fldCharType="separate"/>
      </w:r>
      <w:r w:rsidR="000112D9">
        <w:rPr>
          <w:rFonts w:cs="Arial"/>
          <w:noProof/>
          <w:lang w:eastAsia="de-DE"/>
        </w:rPr>
        <w:t>(</w:t>
      </w:r>
      <w:hyperlink w:anchor="_ENREF_41" w:tooltip="Jütz, 2015 #732" w:history="1">
        <w:r w:rsidR="009D0F7A" w:rsidRPr="009D0F7A">
          <w:rPr>
            <w:rStyle w:val="Hyperlink"/>
          </w:rPr>
          <w:t>Jütz et al., 2015</w:t>
        </w:r>
      </w:hyperlink>
      <w:r w:rsidR="000112D9">
        <w:rPr>
          <w:rFonts w:cs="Arial"/>
          <w:noProof/>
          <w:lang w:eastAsia="de-DE"/>
        </w:rPr>
        <w:t>)</w:t>
      </w:r>
      <w:r w:rsidR="000112D9">
        <w:rPr>
          <w:rFonts w:cs="Arial"/>
          <w:lang w:eastAsia="de-DE"/>
        </w:rPr>
        <w:fldChar w:fldCharType="end"/>
      </w:r>
    </w:p>
    <w:p w14:paraId="7F0DC4B6" w14:textId="77777777" w:rsidR="00DA3E48" w:rsidRPr="00812C16" w:rsidRDefault="00306314" w:rsidP="00246EB5">
      <w:pPr>
        <w:pStyle w:val="Listenabsatz"/>
        <w:numPr>
          <w:ilvl w:val="0"/>
          <w:numId w:val="3"/>
        </w:numPr>
        <w:ind w:left="425" w:hanging="425"/>
        <w:contextualSpacing w:val="0"/>
        <w:rPr>
          <w:rFonts w:cs="Arial"/>
          <w:lang w:eastAsia="de-DE"/>
        </w:rPr>
      </w:pPr>
      <w:r w:rsidRPr="00812C16">
        <w:rPr>
          <w:rFonts w:cs="Arial"/>
          <w:lang w:eastAsia="de-DE"/>
        </w:rPr>
        <w:t xml:space="preserve">Ich habe die Zitierrichtlinien </w:t>
      </w:r>
      <w:proofErr w:type="spellStart"/>
      <w:r w:rsidRPr="00812C16">
        <w:rPr>
          <w:rFonts w:cs="Arial"/>
          <w:lang w:eastAsia="de-DE"/>
        </w:rPr>
        <w:t>für</w:t>
      </w:r>
      <w:proofErr w:type="spellEnd"/>
      <w:r w:rsidRPr="00812C16">
        <w:rPr>
          <w:rFonts w:cs="Arial"/>
          <w:lang w:eastAsia="de-DE"/>
        </w:rPr>
        <w:t xml:space="preserve"> Dissertationen an der Medizinischen </w:t>
      </w:r>
      <w:proofErr w:type="spellStart"/>
      <w:r w:rsidRPr="00812C16">
        <w:rPr>
          <w:rFonts w:cs="Arial"/>
          <w:lang w:eastAsia="de-DE"/>
        </w:rPr>
        <w:t>Fakultät</w:t>
      </w:r>
      <w:proofErr w:type="spellEnd"/>
      <w:r w:rsidRPr="00812C16">
        <w:rPr>
          <w:rFonts w:cs="Arial"/>
          <w:lang w:eastAsia="de-DE"/>
        </w:rPr>
        <w:t xml:space="preserve"> der Technischen </w:t>
      </w:r>
      <w:proofErr w:type="spellStart"/>
      <w:r w:rsidRPr="00812C16">
        <w:rPr>
          <w:rFonts w:cs="Arial"/>
          <w:lang w:eastAsia="de-DE"/>
        </w:rPr>
        <w:t>Universität</w:t>
      </w:r>
      <w:proofErr w:type="spellEnd"/>
      <w:r w:rsidRPr="00812C16">
        <w:rPr>
          <w:rFonts w:cs="Arial"/>
          <w:lang w:eastAsia="de-DE"/>
        </w:rPr>
        <w:t xml:space="preserve"> Dresden zur Kenntnis genommen und befolgt.</w:t>
      </w:r>
    </w:p>
    <w:p w14:paraId="4E407573" w14:textId="77777777" w:rsidR="00E56E3E" w:rsidRPr="00812C16" w:rsidRDefault="00306314" w:rsidP="00246EB5">
      <w:pPr>
        <w:pStyle w:val="Listenabsatz"/>
        <w:numPr>
          <w:ilvl w:val="0"/>
          <w:numId w:val="3"/>
        </w:numPr>
        <w:ind w:left="426" w:hanging="426"/>
        <w:rPr>
          <w:rFonts w:cs="Arial"/>
          <w:lang w:eastAsia="de-DE"/>
        </w:rPr>
      </w:pPr>
      <w:r w:rsidRPr="00812C16">
        <w:rPr>
          <w:rFonts w:cs="Arial"/>
          <w:lang w:eastAsia="de-DE"/>
        </w:rPr>
        <w:t xml:space="preserve">Ich bin mit den an der Technischen </w:t>
      </w:r>
      <w:proofErr w:type="spellStart"/>
      <w:r w:rsidRPr="00812C16">
        <w:rPr>
          <w:rFonts w:cs="Arial"/>
          <w:lang w:eastAsia="de-DE"/>
        </w:rPr>
        <w:t>Universität</w:t>
      </w:r>
      <w:proofErr w:type="spellEnd"/>
      <w:r w:rsidRPr="00812C16">
        <w:rPr>
          <w:rFonts w:cs="Arial"/>
          <w:lang w:eastAsia="de-DE"/>
        </w:rPr>
        <w:t xml:space="preserve"> Dresden geltenden „Richtlinien zur Sicherung </w:t>
      </w:r>
      <w:proofErr w:type="spellStart"/>
      <w:r w:rsidRPr="00812C16">
        <w:rPr>
          <w:rFonts w:cs="Arial"/>
          <w:lang w:eastAsia="de-DE"/>
        </w:rPr>
        <w:t>gu</w:t>
      </w:r>
      <w:proofErr w:type="spellEnd"/>
      <w:r w:rsidRPr="00812C16">
        <w:rPr>
          <w:rFonts w:cs="Arial"/>
          <w:lang w:eastAsia="de-DE"/>
        </w:rPr>
        <w:t xml:space="preserve">- </w:t>
      </w:r>
      <w:proofErr w:type="spellStart"/>
      <w:r w:rsidRPr="00812C16">
        <w:rPr>
          <w:rFonts w:cs="Arial"/>
          <w:lang w:eastAsia="de-DE"/>
        </w:rPr>
        <w:t>ter</w:t>
      </w:r>
      <w:proofErr w:type="spellEnd"/>
      <w:r w:rsidRPr="00812C16">
        <w:rPr>
          <w:rFonts w:cs="Arial"/>
          <w:lang w:eastAsia="de-DE"/>
        </w:rPr>
        <w:t xml:space="preserve"> wissenschaftlicher Praxis, zur Vermeidung wissenschaftlichen Fehlverhaltens und </w:t>
      </w:r>
      <w:proofErr w:type="spellStart"/>
      <w:r w:rsidRPr="00812C16">
        <w:rPr>
          <w:rFonts w:cs="Arial"/>
          <w:lang w:eastAsia="de-DE"/>
        </w:rPr>
        <w:t>für</w:t>
      </w:r>
      <w:proofErr w:type="spellEnd"/>
      <w:r w:rsidRPr="00812C16">
        <w:rPr>
          <w:rFonts w:cs="Arial"/>
          <w:lang w:eastAsia="de-DE"/>
        </w:rPr>
        <w:t xml:space="preserve"> den Um- gang mit </w:t>
      </w:r>
      <w:proofErr w:type="spellStart"/>
      <w:r w:rsidRPr="00812C16">
        <w:rPr>
          <w:rFonts w:cs="Arial"/>
          <w:lang w:eastAsia="de-DE"/>
        </w:rPr>
        <w:t>Verstößen</w:t>
      </w:r>
      <w:proofErr w:type="spellEnd"/>
      <w:r w:rsidRPr="00812C16">
        <w:rPr>
          <w:rFonts w:cs="Arial"/>
          <w:lang w:eastAsia="de-DE"/>
        </w:rPr>
        <w:t>“ einverstanden.</w:t>
      </w:r>
    </w:p>
    <w:p w14:paraId="19E69605" w14:textId="77777777" w:rsidR="00173369" w:rsidRPr="00812C16" w:rsidRDefault="00173369" w:rsidP="00E56E3E">
      <w:pPr>
        <w:pStyle w:val="Listenabsatz"/>
        <w:rPr>
          <w:rFonts w:cs="Arial"/>
          <w:lang w:eastAsia="de-DE"/>
        </w:rPr>
      </w:pPr>
    </w:p>
    <w:p w14:paraId="3E15FE1B" w14:textId="77777777" w:rsidR="00E825D8" w:rsidRPr="00812C16" w:rsidRDefault="00E825D8" w:rsidP="00306314">
      <w:pPr>
        <w:rPr>
          <w:rFonts w:cs="Arial"/>
          <w:lang w:eastAsia="de-DE"/>
        </w:rPr>
      </w:pPr>
    </w:p>
    <w:p w14:paraId="6CC225CD" w14:textId="7661711B" w:rsidR="00306314" w:rsidRPr="00812C16" w:rsidRDefault="00DA3E48" w:rsidP="00306314">
      <w:pPr>
        <w:rPr>
          <w:rFonts w:cs="Arial"/>
          <w:lang w:eastAsia="de-DE"/>
        </w:rPr>
      </w:pPr>
      <w:r w:rsidRPr="00812C16">
        <w:rPr>
          <w:rFonts w:cs="Arial"/>
          <w:lang w:eastAsia="de-DE"/>
        </w:rPr>
        <w:t>Dresden</w:t>
      </w:r>
      <w:r w:rsidR="00306314" w:rsidRPr="00812C16">
        <w:rPr>
          <w:rFonts w:cs="Arial"/>
          <w:lang w:eastAsia="de-DE"/>
        </w:rPr>
        <w:t xml:space="preserve">, </w:t>
      </w:r>
      <w:r w:rsidRPr="00812C16">
        <w:rPr>
          <w:rFonts w:cs="Arial"/>
          <w:lang w:eastAsia="de-DE"/>
        </w:rPr>
        <w:fldChar w:fldCharType="begin"/>
      </w:r>
      <w:r w:rsidRPr="00812C16">
        <w:rPr>
          <w:rFonts w:cs="Arial"/>
          <w:lang w:eastAsia="de-DE"/>
        </w:rPr>
        <w:instrText xml:space="preserve"> TIME \@ "dd.MM.yy" </w:instrText>
      </w:r>
      <w:r w:rsidRPr="00812C16">
        <w:rPr>
          <w:rFonts w:cs="Arial"/>
          <w:lang w:eastAsia="de-DE"/>
        </w:rPr>
        <w:fldChar w:fldCharType="separate"/>
      </w:r>
      <w:r w:rsidR="000729F8">
        <w:rPr>
          <w:rFonts w:cs="Arial"/>
          <w:noProof/>
          <w:lang w:eastAsia="de-DE"/>
        </w:rPr>
        <w:t>18.02.25</w:t>
      </w:r>
      <w:r w:rsidRPr="00812C16">
        <w:rPr>
          <w:rFonts w:cs="Arial"/>
          <w:lang w:eastAsia="de-DE"/>
        </w:rPr>
        <w:fldChar w:fldCharType="end"/>
      </w:r>
    </w:p>
    <w:p w14:paraId="6F311B10" w14:textId="77777777" w:rsidR="008D1F42" w:rsidRPr="00812C16" w:rsidRDefault="008D1F42" w:rsidP="00306314">
      <w:pPr>
        <w:rPr>
          <w:rFonts w:cs="Arial"/>
          <w:lang w:eastAsia="de-DE"/>
        </w:rPr>
      </w:pPr>
    </w:p>
    <w:p w14:paraId="49E81CBD" w14:textId="77777777" w:rsidR="00173369" w:rsidRPr="00812C16" w:rsidRDefault="00173369" w:rsidP="00306314">
      <w:pPr>
        <w:rPr>
          <w:rFonts w:cs="Arial"/>
          <w:lang w:eastAsia="de-DE"/>
        </w:rPr>
      </w:pPr>
    </w:p>
    <w:p w14:paraId="68A35619" w14:textId="77777777" w:rsidR="00306314" w:rsidRPr="00812C16" w:rsidRDefault="008D1F42" w:rsidP="00306314">
      <w:pPr>
        <w:rPr>
          <w:rFonts w:cs="Arial"/>
          <w:lang w:eastAsia="de-DE"/>
        </w:rPr>
      </w:pPr>
      <w:r w:rsidRPr="00812C16">
        <w:rPr>
          <w:rFonts w:cs="Arial"/>
          <w:lang w:eastAsia="de-DE"/>
        </w:rPr>
        <w:t xml:space="preserve">_______________________ </w:t>
      </w:r>
    </w:p>
    <w:p w14:paraId="5D2AFC4F" w14:textId="77777777" w:rsidR="008D1F42" w:rsidRPr="00812C16" w:rsidRDefault="008D1F42" w:rsidP="00306314">
      <w:pPr>
        <w:rPr>
          <w:rFonts w:cs="Arial"/>
          <w:lang w:eastAsia="de-DE"/>
        </w:rPr>
      </w:pPr>
      <w:r w:rsidRPr="00812C16">
        <w:rPr>
          <w:rFonts w:cs="Arial"/>
          <w:lang w:eastAsia="de-DE"/>
        </w:rPr>
        <w:t xml:space="preserve">Martin </w:t>
      </w:r>
      <w:proofErr w:type="spellStart"/>
      <w:r w:rsidRPr="00812C16">
        <w:rPr>
          <w:rFonts w:cs="Arial"/>
          <w:lang w:eastAsia="de-DE"/>
        </w:rPr>
        <w:t>Jütz</w:t>
      </w:r>
      <w:proofErr w:type="spellEnd"/>
      <w:r w:rsidRPr="00812C16">
        <w:rPr>
          <w:rFonts w:cs="Arial"/>
          <w:lang w:eastAsia="de-DE"/>
        </w:rPr>
        <w:t xml:space="preserve"> </w:t>
      </w:r>
    </w:p>
    <w:p w14:paraId="551E4CDF" w14:textId="77777777" w:rsidR="0016546B" w:rsidRPr="00812C16" w:rsidRDefault="0016546B">
      <w:pPr>
        <w:spacing w:after="0"/>
        <w:jc w:val="left"/>
        <w:rPr>
          <w:rFonts w:cs="Arial"/>
          <w:b/>
          <w:color w:val="000000" w:themeColor="text1"/>
          <w:sz w:val="28"/>
          <w:szCs w:val="36"/>
          <w:lang w:eastAsia="de-DE"/>
        </w:rPr>
      </w:pPr>
      <w:r w:rsidRPr="00812C16">
        <w:rPr>
          <w:rFonts w:cs="Arial"/>
        </w:rPr>
        <w:br w:type="page"/>
      </w:r>
    </w:p>
    <w:p w14:paraId="0677EF9E" w14:textId="77777777" w:rsidR="00B35357" w:rsidRPr="00812C16" w:rsidRDefault="00173369" w:rsidP="001830EA">
      <w:pPr>
        <w:pStyle w:val="berschrift1"/>
        <w:rPr>
          <w:rFonts w:cs="Arial"/>
        </w:rPr>
      </w:pPr>
      <w:bookmarkStart w:id="96" w:name="_Toc158006552"/>
      <w:r w:rsidRPr="00812C16">
        <w:rPr>
          <w:rFonts w:cs="Arial"/>
        </w:rPr>
        <w:lastRenderedPageBreak/>
        <w:t>Erklärung</w:t>
      </w:r>
      <w:r w:rsidR="00B35357" w:rsidRPr="00812C16">
        <w:rPr>
          <w:rFonts w:cs="Arial"/>
        </w:rPr>
        <w:t xml:space="preserve"> </w:t>
      </w:r>
      <w:r w:rsidRPr="00812C16">
        <w:rPr>
          <w:rFonts w:cs="Arial"/>
        </w:rPr>
        <w:t xml:space="preserve">über </w:t>
      </w:r>
      <w:r w:rsidR="00B35357" w:rsidRPr="00812C16">
        <w:rPr>
          <w:rFonts w:cs="Arial"/>
        </w:rPr>
        <w:t>die Einhaltung der aktuellen gesetzlichen Vorgaben</w:t>
      </w:r>
      <w:bookmarkEnd w:id="96"/>
      <w:r w:rsidR="00B35357" w:rsidRPr="00812C16">
        <w:rPr>
          <w:rFonts w:cs="Arial"/>
        </w:rPr>
        <w:t xml:space="preserve"> </w:t>
      </w:r>
    </w:p>
    <w:p w14:paraId="42302364" w14:textId="77777777" w:rsidR="00467106" w:rsidRPr="00812C16" w:rsidRDefault="002E38ED" w:rsidP="0016546B">
      <w:pPr>
        <w:rPr>
          <w:rFonts w:cs="Arial"/>
          <w:lang w:eastAsia="de-DE"/>
        </w:rPr>
      </w:pPr>
      <w:r w:rsidRPr="00812C16">
        <w:rPr>
          <w:rFonts w:cs="Arial"/>
          <w:lang w:eastAsia="de-DE"/>
        </w:rPr>
        <w:t xml:space="preserve">Hiermit </w:t>
      </w:r>
      <w:proofErr w:type="spellStart"/>
      <w:r w:rsidRPr="00812C16">
        <w:rPr>
          <w:rFonts w:cs="Arial"/>
          <w:lang w:eastAsia="de-DE"/>
        </w:rPr>
        <w:t>bestätige</w:t>
      </w:r>
      <w:proofErr w:type="spellEnd"/>
      <w:r w:rsidRPr="00812C16">
        <w:rPr>
          <w:rFonts w:cs="Arial"/>
          <w:lang w:eastAsia="de-DE"/>
        </w:rPr>
        <w:t xml:space="preserve"> ich die Einhaltung der folgenden aktuellen gesetzlichen Vorgaben im Rahmen meiner Dissertation: </w:t>
      </w:r>
    </w:p>
    <w:p w14:paraId="4BCA8680" w14:textId="77777777" w:rsidR="001D1453" w:rsidRPr="00812C16" w:rsidRDefault="002E38ED" w:rsidP="00246EB5">
      <w:pPr>
        <w:pStyle w:val="Listenabsatz"/>
        <w:numPr>
          <w:ilvl w:val="0"/>
          <w:numId w:val="5"/>
        </w:numPr>
        <w:ind w:left="425" w:hanging="425"/>
        <w:contextualSpacing w:val="0"/>
        <w:rPr>
          <w:rFonts w:cs="Arial"/>
          <w:lang w:eastAsia="de-DE"/>
        </w:rPr>
      </w:pPr>
      <w:r w:rsidRPr="00812C16">
        <w:rPr>
          <w:rFonts w:cs="Arial"/>
          <w:lang w:eastAsia="de-DE"/>
        </w:rPr>
        <w:t>das zustimmende Votum der Ethikkommission bei Klinischen Studien,</w:t>
      </w:r>
      <w:r w:rsidR="003A2D2B" w:rsidRPr="00812C16">
        <w:rPr>
          <w:rFonts w:cs="Arial"/>
          <w:lang w:eastAsia="de-DE"/>
        </w:rPr>
        <w:t xml:space="preserve"> </w:t>
      </w:r>
      <w:r w:rsidRPr="00812C16">
        <w:rPr>
          <w:rFonts w:cs="Arial"/>
          <w:lang w:eastAsia="de-DE"/>
        </w:rPr>
        <w:t>epidemiologischen Untersuchungen mit Personenbezug oder Sachverhalten, die</w:t>
      </w:r>
      <w:r w:rsidR="003A2D2B" w:rsidRPr="00812C16">
        <w:rPr>
          <w:rFonts w:cs="Arial"/>
          <w:lang w:eastAsia="de-DE"/>
        </w:rPr>
        <w:t xml:space="preserve"> </w:t>
      </w:r>
      <w:r w:rsidRPr="00812C16">
        <w:rPr>
          <w:rFonts w:cs="Arial"/>
          <w:lang w:eastAsia="de-DE"/>
        </w:rPr>
        <w:t xml:space="preserve">das Medizinproduktegesetz betreffen </w:t>
      </w:r>
    </w:p>
    <w:p w14:paraId="3396A7CE" w14:textId="77777777" w:rsidR="002D78DB" w:rsidRPr="00812C16" w:rsidRDefault="002E38ED" w:rsidP="0016546B">
      <w:pPr>
        <w:pStyle w:val="Listenabsatz"/>
        <w:ind w:left="425"/>
        <w:contextualSpacing w:val="0"/>
        <w:rPr>
          <w:rFonts w:cs="Arial"/>
          <w:lang w:eastAsia="de-DE"/>
        </w:rPr>
      </w:pPr>
      <w:r w:rsidRPr="00812C16">
        <w:rPr>
          <w:rFonts w:cs="Arial"/>
          <w:lang w:eastAsia="de-DE"/>
        </w:rPr>
        <w:t xml:space="preserve">Aktenzeichen der </w:t>
      </w:r>
      <w:r w:rsidR="003A2D2B" w:rsidRPr="00812C16">
        <w:rPr>
          <w:rFonts w:cs="Arial"/>
          <w:lang w:eastAsia="de-DE"/>
        </w:rPr>
        <w:t>zuständigen</w:t>
      </w:r>
      <w:r w:rsidRPr="00812C16">
        <w:rPr>
          <w:rFonts w:cs="Arial"/>
          <w:lang w:eastAsia="de-DE"/>
        </w:rPr>
        <w:t xml:space="preserve"> Ethikkommission: </w:t>
      </w:r>
      <w:r w:rsidR="003E179E" w:rsidRPr="00812C16">
        <w:rPr>
          <w:rFonts w:cs="Arial"/>
        </w:rPr>
        <w:t>AZ EK299092012</w:t>
      </w:r>
    </w:p>
    <w:p w14:paraId="35B0525E" w14:textId="77777777" w:rsidR="006D7BAA" w:rsidRPr="00812C16" w:rsidRDefault="002E38ED" w:rsidP="00246EB5">
      <w:pPr>
        <w:pStyle w:val="Listenabsatz"/>
        <w:numPr>
          <w:ilvl w:val="0"/>
          <w:numId w:val="5"/>
        </w:numPr>
        <w:ind w:left="426" w:hanging="426"/>
        <w:contextualSpacing w:val="0"/>
        <w:rPr>
          <w:rFonts w:cs="Arial"/>
          <w:lang w:eastAsia="de-DE"/>
        </w:rPr>
      </w:pPr>
      <w:r w:rsidRPr="00812C16">
        <w:rPr>
          <w:rFonts w:cs="Arial"/>
          <w:lang w:eastAsia="de-DE"/>
        </w:rPr>
        <w:t xml:space="preserve">die Einhaltung der Bestimmungen des Tierschutzgesetzes </w:t>
      </w:r>
    </w:p>
    <w:p w14:paraId="4854B365" w14:textId="77777777" w:rsidR="007733A1" w:rsidRPr="00812C16" w:rsidRDefault="002E38ED" w:rsidP="0016546B">
      <w:pPr>
        <w:pStyle w:val="Listenabsatz"/>
        <w:ind w:left="425"/>
        <w:contextualSpacing w:val="0"/>
        <w:rPr>
          <w:rFonts w:cs="Arial"/>
          <w:lang w:eastAsia="de-DE"/>
        </w:rPr>
      </w:pPr>
      <w:r w:rsidRPr="00812C16">
        <w:rPr>
          <w:rFonts w:cs="Arial"/>
          <w:lang w:eastAsia="de-DE"/>
        </w:rPr>
        <w:t xml:space="preserve">Aktenzeichen der </w:t>
      </w:r>
      <w:proofErr w:type="spellStart"/>
      <w:r w:rsidRPr="00812C16">
        <w:rPr>
          <w:rFonts w:cs="Arial"/>
          <w:lang w:eastAsia="de-DE"/>
        </w:rPr>
        <w:t>Genehmigungsbehörde</w:t>
      </w:r>
      <w:proofErr w:type="spellEnd"/>
      <w:r w:rsidRPr="00812C16">
        <w:rPr>
          <w:rFonts w:cs="Arial"/>
          <w:lang w:eastAsia="de-DE"/>
        </w:rPr>
        <w:t xml:space="preserve">: </w:t>
      </w:r>
      <w:r w:rsidR="003E179E" w:rsidRPr="00812C16">
        <w:rPr>
          <w:rFonts w:cs="Arial"/>
          <w:lang w:eastAsia="de-DE"/>
        </w:rPr>
        <w:t>-entfällt-</w:t>
      </w:r>
    </w:p>
    <w:p w14:paraId="7472FBF6" w14:textId="77777777" w:rsidR="006D7BAA" w:rsidRPr="00812C16" w:rsidRDefault="002E38ED" w:rsidP="00246EB5">
      <w:pPr>
        <w:pStyle w:val="Listenabsatz"/>
        <w:numPr>
          <w:ilvl w:val="0"/>
          <w:numId w:val="5"/>
        </w:numPr>
        <w:ind w:left="426" w:hanging="426"/>
        <w:contextualSpacing w:val="0"/>
        <w:rPr>
          <w:rFonts w:cs="Arial"/>
          <w:lang w:eastAsia="de-DE"/>
        </w:rPr>
      </w:pPr>
      <w:r w:rsidRPr="00812C16">
        <w:rPr>
          <w:rFonts w:cs="Arial"/>
          <w:lang w:eastAsia="de-DE"/>
        </w:rPr>
        <w:t xml:space="preserve">die Einhaltung des Gentechnikgesetzes </w:t>
      </w:r>
    </w:p>
    <w:p w14:paraId="7A38F723" w14:textId="77777777" w:rsidR="006D7BAA" w:rsidRPr="00812C16" w:rsidRDefault="002E38ED" w:rsidP="0016546B">
      <w:pPr>
        <w:pStyle w:val="Listenabsatz"/>
        <w:ind w:left="425"/>
        <w:contextualSpacing w:val="0"/>
        <w:rPr>
          <w:rFonts w:cs="Arial"/>
          <w:lang w:eastAsia="de-DE"/>
        </w:rPr>
      </w:pPr>
      <w:r w:rsidRPr="00812C16">
        <w:rPr>
          <w:rFonts w:cs="Arial"/>
          <w:lang w:eastAsia="de-DE"/>
        </w:rPr>
        <w:t>Projektnummer:  </w:t>
      </w:r>
      <w:r w:rsidR="003E179E" w:rsidRPr="00812C16">
        <w:rPr>
          <w:rFonts w:cs="Arial"/>
          <w:lang w:eastAsia="de-DE"/>
        </w:rPr>
        <w:t>-entfällt-</w:t>
      </w:r>
    </w:p>
    <w:p w14:paraId="766DF3C5" w14:textId="77777777" w:rsidR="002E38ED" w:rsidRPr="00812C16" w:rsidRDefault="002E38ED" w:rsidP="00246EB5">
      <w:pPr>
        <w:pStyle w:val="Listenabsatz"/>
        <w:numPr>
          <w:ilvl w:val="0"/>
          <w:numId w:val="5"/>
        </w:numPr>
        <w:ind w:left="426" w:hanging="426"/>
        <w:contextualSpacing w:val="0"/>
        <w:rPr>
          <w:rFonts w:cs="Arial"/>
          <w:lang w:eastAsia="de-DE"/>
        </w:rPr>
      </w:pPr>
      <w:r w:rsidRPr="00812C16">
        <w:rPr>
          <w:rFonts w:cs="Arial"/>
          <w:lang w:eastAsia="de-DE"/>
        </w:rPr>
        <w:t>die Einhaltung von</w:t>
      </w:r>
      <w:r w:rsidR="006D7BAA" w:rsidRPr="00812C16">
        <w:rPr>
          <w:rFonts w:cs="Arial"/>
          <w:lang w:eastAsia="de-DE"/>
        </w:rPr>
        <w:t xml:space="preserve"> </w:t>
      </w:r>
      <w:r w:rsidRPr="00812C16">
        <w:rPr>
          <w:rFonts w:cs="Arial"/>
          <w:lang w:eastAsia="de-DE"/>
        </w:rPr>
        <w:t xml:space="preserve">Datenschutzbestimmungen der Medizinischen </w:t>
      </w:r>
      <w:proofErr w:type="spellStart"/>
      <w:r w:rsidRPr="00812C16">
        <w:rPr>
          <w:rFonts w:cs="Arial"/>
          <w:lang w:eastAsia="de-DE"/>
        </w:rPr>
        <w:t>Fakultät</w:t>
      </w:r>
      <w:proofErr w:type="spellEnd"/>
      <w:r w:rsidRPr="00812C16">
        <w:rPr>
          <w:rFonts w:cs="Arial"/>
          <w:lang w:eastAsia="de-DE"/>
        </w:rPr>
        <w:t xml:space="preserve"> Carl Gustav Carus und des </w:t>
      </w:r>
      <w:proofErr w:type="spellStart"/>
      <w:r w:rsidRPr="00812C16">
        <w:rPr>
          <w:rFonts w:cs="Arial"/>
          <w:lang w:eastAsia="de-DE"/>
        </w:rPr>
        <w:t>Universitätsklinikums</w:t>
      </w:r>
      <w:proofErr w:type="spellEnd"/>
      <w:r w:rsidRPr="00812C16">
        <w:rPr>
          <w:rFonts w:cs="Arial"/>
          <w:lang w:eastAsia="de-DE"/>
        </w:rPr>
        <w:t xml:space="preserve"> Carl Gustav Carus. </w:t>
      </w:r>
    </w:p>
    <w:p w14:paraId="732DC8B8" w14:textId="77777777" w:rsidR="008135FB" w:rsidRPr="00812C16" w:rsidRDefault="008135FB" w:rsidP="0016546B">
      <w:pPr>
        <w:pStyle w:val="Listenabsatz"/>
        <w:ind w:left="426"/>
        <w:contextualSpacing w:val="0"/>
        <w:rPr>
          <w:rFonts w:cs="Arial"/>
          <w:lang w:eastAsia="de-DE"/>
        </w:rPr>
      </w:pPr>
    </w:p>
    <w:p w14:paraId="3E7A3A4C" w14:textId="77777777" w:rsidR="008135FB" w:rsidRPr="00812C16" w:rsidRDefault="008135FB" w:rsidP="0016546B">
      <w:pPr>
        <w:rPr>
          <w:rFonts w:cs="Arial"/>
          <w:lang w:eastAsia="de-DE"/>
        </w:rPr>
      </w:pPr>
    </w:p>
    <w:p w14:paraId="721B4E66" w14:textId="77777777" w:rsidR="008135FB" w:rsidRPr="00812C16" w:rsidRDefault="008135FB" w:rsidP="008135FB">
      <w:pPr>
        <w:rPr>
          <w:rFonts w:cs="Arial"/>
          <w:lang w:eastAsia="de-DE"/>
        </w:rPr>
      </w:pPr>
    </w:p>
    <w:p w14:paraId="1C9B8243" w14:textId="77777777" w:rsidR="008135FB" w:rsidRPr="00812C16" w:rsidRDefault="008135FB" w:rsidP="008135FB">
      <w:pPr>
        <w:rPr>
          <w:rFonts w:cs="Arial"/>
          <w:lang w:eastAsia="de-DE"/>
        </w:rPr>
      </w:pPr>
    </w:p>
    <w:p w14:paraId="14E10AB3" w14:textId="77777777" w:rsidR="008135FB" w:rsidRPr="00812C16" w:rsidRDefault="008135FB" w:rsidP="008135FB">
      <w:pPr>
        <w:rPr>
          <w:rFonts w:cs="Arial"/>
          <w:lang w:eastAsia="de-DE"/>
        </w:rPr>
      </w:pPr>
    </w:p>
    <w:p w14:paraId="18643E03" w14:textId="77777777" w:rsidR="008135FB" w:rsidRPr="00812C16" w:rsidRDefault="008135FB" w:rsidP="008135FB">
      <w:pPr>
        <w:rPr>
          <w:rFonts w:cs="Arial"/>
          <w:lang w:eastAsia="de-DE"/>
        </w:rPr>
      </w:pPr>
    </w:p>
    <w:p w14:paraId="58ABA96B" w14:textId="77777777" w:rsidR="008135FB" w:rsidRPr="00812C16" w:rsidRDefault="008135FB" w:rsidP="008135FB">
      <w:pPr>
        <w:rPr>
          <w:rFonts w:cs="Arial"/>
          <w:lang w:eastAsia="de-DE"/>
        </w:rPr>
      </w:pPr>
    </w:p>
    <w:p w14:paraId="4C8F4DC7" w14:textId="77777777" w:rsidR="008135FB" w:rsidRPr="00812C16" w:rsidRDefault="008135FB" w:rsidP="008135FB">
      <w:pPr>
        <w:rPr>
          <w:rFonts w:cs="Arial"/>
          <w:lang w:eastAsia="de-DE"/>
        </w:rPr>
      </w:pPr>
    </w:p>
    <w:p w14:paraId="30A7B851" w14:textId="003AA881" w:rsidR="008135FB" w:rsidRPr="00812C16" w:rsidRDefault="008135FB" w:rsidP="008135FB">
      <w:pPr>
        <w:rPr>
          <w:rFonts w:cs="Arial"/>
          <w:lang w:eastAsia="de-DE"/>
        </w:rPr>
      </w:pPr>
      <w:r w:rsidRPr="00812C16">
        <w:rPr>
          <w:rFonts w:cs="Arial"/>
          <w:lang w:eastAsia="de-DE"/>
        </w:rPr>
        <w:t xml:space="preserve">Dresden, </w:t>
      </w:r>
      <w:r w:rsidRPr="00812C16">
        <w:rPr>
          <w:rFonts w:cs="Arial"/>
          <w:lang w:eastAsia="de-DE"/>
        </w:rPr>
        <w:fldChar w:fldCharType="begin"/>
      </w:r>
      <w:r w:rsidRPr="00812C16">
        <w:rPr>
          <w:rFonts w:cs="Arial"/>
          <w:lang w:eastAsia="de-DE"/>
        </w:rPr>
        <w:instrText xml:space="preserve"> TIME \@ "dd.MM.yy" </w:instrText>
      </w:r>
      <w:r w:rsidRPr="00812C16">
        <w:rPr>
          <w:rFonts w:cs="Arial"/>
          <w:lang w:eastAsia="de-DE"/>
        </w:rPr>
        <w:fldChar w:fldCharType="separate"/>
      </w:r>
      <w:r w:rsidR="000729F8">
        <w:rPr>
          <w:rFonts w:cs="Arial"/>
          <w:noProof/>
          <w:lang w:eastAsia="de-DE"/>
        </w:rPr>
        <w:t>18.02.25</w:t>
      </w:r>
      <w:r w:rsidRPr="00812C16">
        <w:rPr>
          <w:rFonts w:cs="Arial"/>
          <w:lang w:eastAsia="de-DE"/>
        </w:rPr>
        <w:fldChar w:fldCharType="end"/>
      </w:r>
    </w:p>
    <w:p w14:paraId="2D56B9EB" w14:textId="77777777" w:rsidR="008135FB" w:rsidRPr="00812C16" w:rsidRDefault="008135FB" w:rsidP="008135FB">
      <w:pPr>
        <w:rPr>
          <w:rFonts w:cs="Arial"/>
          <w:lang w:eastAsia="de-DE"/>
        </w:rPr>
      </w:pPr>
    </w:p>
    <w:p w14:paraId="73273293" w14:textId="77777777" w:rsidR="008135FB" w:rsidRPr="00812C16" w:rsidRDefault="008135FB" w:rsidP="008135FB">
      <w:pPr>
        <w:rPr>
          <w:rFonts w:cs="Arial"/>
          <w:lang w:eastAsia="de-DE"/>
        </w:rPr>
      </w:pPr>
    </w:p>
    <w:p w14:paraId="41CC392C" w14:textId="77777777" w:rsidR="008135FB" w:rsidRPr="00812C16" w:rsidRDefault="008135FB" w:rsidP="008135FB">
      <w:pPr>
        <w:rPr>
          <w:rFonts w:cs="Arial"/>
          <w:lang w:eastAsia="de-DE"/>
        </w:rPr>
      </w:pPr>
      <w:r w:rsidRPr="00812C16">
        <w:rPr>
          <w:rFonts w:cs="Arial"/>
          <w:lang w:eastAsia="de-DE"/>
        </w:rPr>
        <w:t xml:space="preserve">_______________________ </w:t>
      </w:r>
    </w:p>
    <w:p w14:paraId="52BA2BEB" w14:textId="77777777" w:rsidR="008135FB" w:rsidRPr="00812C16" w:rsidRDefault="008135FB" w:rsidP="008135FB">
      <w:pPr>
        <w:rPr>
          <w:rFonts w:cs="Arial"/>
          <w:lang w:eastAsia="de-DE"/>
        </w:rPr>
      </w:pPr>
      <w:r w:rsidRPr="00812C16">
        <w:rPr>
          <w:rFonts w:cs="Arial"/>
          <w:lang w:eastAsia="de-DE"/>
        </w:rPr>
        <w:t xml:space="preserve">Martin </w:t>
      </w:r>
      <w:proofErr w:type="spellStart"/>
      <w:r w:rsidRPr="00812C16">
        <w:rPr>
          <w:rFonts w:cs="Arial"/>
          <w:lang w:eastAsia="de-DE"/>
        </w:rPr>
        <w:t>Jütz</w:t>
      </w:r>
      <w:proofErr w:type="spellEnd"/>
      <w:r w:rsidRPr="00812C16">
        <w:rPr>
          <w:rFonts w:cs="Arial"/>
          <w:lang w:eastAsia="de-DE"/>
        </w:rPr>
        <w:t xml:space="preserve"> </w:t>
      </w:r>
      <w:r w:rsidRPr="00812C16">
        <w:rPr>
          <w:rFonts w:cs="Arial"/>
          <w:lang w:eastAsia="de-DE"/>
        </w:rPr>
        <w:br w:type="page"/>
      </w:r>
    </w:p>
    <w:p w14:paraId="1371E090" w14:textId="1228B267" w:rsidR="009D7EB8" w:rsidRPr="00E0795A" w:rsidRDefault="00080D74" w:rsidP="00E0795A">
      <w:pPr>
        <w:pStyle w:val="berschrift1"/>
        <w:ind w:left="426" w:hanging="426"/>
        <w:rPr>
          <w:rFonts w:cs="Arial"/>
        </w:rPr>
      </w:pPr>
      <w:bookmarkStart w:id="97" w:name="_Toc158006553"/>
      <w:r w:rsidRPr="00812C16">
        <w:rPr>
          <w:rFonts w:cs="Arial"/>
        </w:rPr>
        <w:lastRenderedPageBreak/>
        <w:t>Literaturverzeichnis</w:t>
      </w:r>
      <w:bookmarkEnd w:id="97"/>
    </w:p>
    <w:p w14:paraId="7D2E94AC" w14:textId="77777777" w:rsidR="00E0795A" w:rsidRPr="00D741B2" w:rsidRDefault="00E0795A" w:rsidP="009A5BAE">
      <w:pPr>
        <w:pStyle w:val="EndNoteCategoryHeading"/>
        <w:rPr>
          <w:noProof/>
        </w:rPr>
      </w:pPr>
      <w:r w:rsidRPr="00A16540">
        <w:rPr>
          <w:noProof/>
        </w:rPr>
        <w:t xml:space="preserve">Ailles, L., &amp; Prince, M. (2009). </w:t>
      </w:r>
      <w:r w:rsidRPr="00D741B2">
        <w:rPr>
          <w:noProof/>
        </w:rPr>
        <w:t>Cancer stem cells in head and neck squamous cell carcinoma. </w:t>
      </w:r>
      <w:r w:rsidRPr="009A5BAE">
        <w:rPr>
          <w:noProof/>
        </w:rPr>
        <w:t>Methods Mol Biol, 568</w:t>
      </w:r>
      <w:r w:rsidRPr="00D741B2">
        <w:rPr>
          <w:noProof/>
        </w:rPr>
        <w:t>, 175-193. doi:10.1007/978-1-59745-280-9_11</w:t>
      </w:r>
    </w:p>
    <w:p w14:paraId="7F0A7780" w14:textId="77777777" w:rsidR="00E0795A" w:rsidRPr="00D741B2" w:rsidRDefault="00E0795A" w:rsidP="009A5BAE">
      <w:pPr>
        <w:pStyle w:val="EndNoteCategoryHeading"/>
        <w:rPr>
          <w:noProof/>
        </w:rPr>
      </w:pPr>
      <w:r w:rsidRPr="00D741B2">
        <w:rPr>
          <w:noProof/>
        </w:rPr>
        <w:t>Al-Hajj, M., Wicha, M. S., Benito-Hernandez, A., Morrison, S. J., &amp; Clarke, M. F. (2003). Prospective identification of tumorigenic breast cancer cells. </w:t>
      </w:r>
      <w:r w:rsidRPr="009A5BAE">
        <w:rPr>
          <w:noProof/>
        </w:rPr>
        <w:t>Proc Natl Acad Sci U S A, 100</w:t>
      </w:r>
      <w:r w:rsidRPr="00D741B2">
        <w:rPr>
          <w:noProof/>
        </w:rPr>
        <w:t>(7), 3983-3988. doi:10.1073/pnas.0530291100</w:t>
      </w:r>
    </w:p>
    <w:p w14:paraId="4F9774CB" w14:textId="77777777" w:rsidR="00E0795A" w:rsidRPr="00D741B2" w:rsidRDefault="00E0795A" w:rsidP="009A5BAE">
      <w:pPr>
        <w:pStyle w:val="EndNoteCategoryHeading"/>
        <w:rPr>
          <w:noProof/>
        </w:rPr>
      </w:pPr>
      <w:r w:rsidRPr="00D741B2">
        <w:rPr>
          <w:noProof/>
        </w:rPr>
        <w:t>Amin, M. B., Edge, S. B., Greene, F. L., Byrd, D. R., Brookland, R. K., Washington, M. K., . . . Sullivan, D. C. (2018). </w:t>
      </w:r>
      <w:r w:rsidRPr="009A5BAE">
        <w:rPr>
          <w:noProof/>
        </w:rPr>
        <w:t>AJCC Cancer Staging Manual</w:t>
      </w:r>
      <w:r w:rsidRPr="00D741B2">
        <w:rPr>
          <w:noProof/>
        </w:rPr>
        <w:t>: Springer International Publishing.</w:t>
      </w:r>
    </w:p>
    <w:p w14:paraId="00685D00" w14:textId="77777777" w:rsidR="00E0795A" w:rsidRPr="00D741B2" w:rsidRDefault="00E0795A" w:rsidP="009A5BAE">
      <w:pPr>
        <w:pStyle w:val="EndNoteCategoryHeading"/>
        <w:rPr>
          <w:noProof/>
        </w:rPr>
      </w:pPr>
      <w:r w:rsidRPr="00736A43">
        <w:rPr>
          <w:noProof/>
          <w:lang w:val="de-DE"/>
        </w:rPr>
        <w:t>Andl, T., Kahn, T., Pfuhl, A., Nicola, T., Erber, R., Conradt, C., . . . </w:t>
      </w:r>
      <w:r w:rsidRPr="00D741B2">
        <w:rPr>
          <w:noProof/>
        </w:rPr>
        <w:t>Bosch, F. X. (1998). Etiological involvement of oncogenic human papillomavirus in tonsillar squamous cell carcinomas lacking retinoblastoma cell cycle control. </w:t>
      </w:r>
      <w:r w:rsidRPr="009A5BAE">
        <w:rPr>
          <w:noProof/>
        </w:rPr>
        <w:t>Cancer Res, 58</w:t>
      </w:r>
      <w:r w:rsidRPr="00D741B2">
        <w:rPr>
          <w:noProof/>
        </w:rPr>
        <w:t>(1), 5-13.</w:t>
      </w:r>
    </w:p>
    <w:p w14:paraId="3EC486E4" w14:textId="77777777" w:rsidR="00E0795A" w:rsidRPr="00D741B2" w:rsidRDefault="00E0795A" w:rsidP="009A5BAE">
      <w:pPr>
        <w:pStyle w:val="EndNoteCategoryHeading"/>
        <w:rPr>
          <w:noProof/>
        </w:rPr>
      </w:pPr>
      <w:r w:rsidRPr="00D741B2">
        <w:rPr>
          <w:noProof/>
        </w:rPr>
        <w:t>Ang, K. K., Harris, J., Wheeler, R., Weber, R., Rosenthal, D. I., Nguyen-Tan, P. F., . . . Gillison, M. L. (2010). Human papillomavirus and survival of patients with oropharyngeal cancer. </w:t>
      </w:r>
      <w:r w:rsidRPr="009A5BAE">
        <w:rPr>
          <w:noProof/>
        </w:rPr>
        <w:t>N Engl J Med, 363</w:t>
      </w:r>
      <w:r w:rsidRPr="00D741B2">
        <w:rPr>
          <w:noProof/>
        </w:rPr>
        <w:t>(1), 24-35. doi:10.1056/NEJMoa0912217</w:t>
      </w:r>
    </w:p>
    <w:p w14:paraId="1477B405" w14:textId="77777777" w:rsidR="00E0795A" w:rsidRPr="00D741B2" w:rsidRDefault="00E0795A" w:rsidP="009A5BAE">
      <w:pPr>
        <w:pStyle w:val="EndNoteCategoryHeading"/>
        <w:rPr>
          <w:noProof/>
        </w:rPr>
      </w:pPr>
      <w:r w:rsidRPr="00A16540">
        <w:rPr>
          <w:noProof/>
        </w:rPr>
        <w:t xml:space="preserve">Ang, K. K., Harris, J., Wheeler, R., Weber, R., Rosenthal, D. I., Nguyen-Tân, P. F., . . . Gillison, M. L. (2010). </w:t>
      </w:r>
      <w:r w:rsidRPr="00D741B2">
        <w:rPr>
          <w:noProof/>
        </w:rPr>
        <w:t>Human papillomavirus and survival of patients with oropharyngeal cancer. </w:t>
      </w:r>
      <w:r w:rsidRPr="009A5BAE">
        <w:rPr>
          <w:noProof/>
        </w:rPr>
        <w:t>N Engl J Med, 363</w:t>
      </w:r>
      <w:r w:rsidRPr="00D741B2">
        <w:rPr>
          <w:noProof/>
        </w:rPr>
        <w:t>(1), 24-35. doi:10.1056/NEJMoa0912217</w:t>
      </w:r>
    </w:p>
    <w:p w14:paraId="4F41E7DA" w14:textId="77777777" w:rsidR="00E0795A" w:rsidRPr="00D741B2" w:rsidRDefault="00E0795A" w:rsidP="009A5BAE">
      <w:pPr>
        <w:pStyle w:val="EndNoteCategoryHeading"/>
        <w:rPr>
          <w:noProof/>
        </w:rPr>
      </w:pPr>
      <w:r w:rsidRPr="00D741B2">
        <w:rPr>
          <w:noProof/>
        </w:rPr>
        <w:t>Argiris, A., Karamouzis, M. V., Raben, D., &amp; Ferris, R. L. (2008). Head and neck cancer. </w:t>
      </w:r>
      <w:r w:rsidRPr="009A5BAE">
        <w:rPr>
          <w:noProof/>
        </w:rPr>
        <w:t>Lancet, 371</w:t>
      </w:r>
      <w:r w:rsidRPr="00D741B2">
        <w:rPr>
          <w:noProof/>
        </w:rPr>
        <w:t>(9625), 1695-1709. doi:10.1016/s0140-6736(08)60728-x</w:t>
      </w:r>
    </w:p>
    <w:p w14:paraId="2E686D57" w14:textId="77777777" w:rsidR="00E0795A" w:rsidRPr="00D741B2" w:rsidRDefault="00E0795A" w:rsidP="009A5BAE">
      <w:pPr>
        <w:pStyle w:val="EndNoteCategoryHeading"/>
        <w:rPr>
          <w:noProof/>
        </w:rPr>
      </w:pPr>
      <w:r w:rsidRPr="00D741B2">
        <w:rPr>
          <w:noProof/>
        </w:rPr>
        <w:t>Barnes, L., Pathologie, U.-S. Z. D., Eveson, J. W., Pathology, I. A. o., Sidransky, D., Organization, W. H., . . . Reichart, P. (2005). </w:t>
      </w:r>
      <w:r w:rsidRPr="009A5BAE">
        <w:rPr>
          <w:noProof/>
        </w:rPr>
        <w:t>Pathology and Genetics of Head and Neck Tumours</w:t>
      </w:r>
      <w:r w:rsidRPr="00D741B2">
        <w:rPr>
          <w:noProof/>
        </w:rPr>
        <w:t>: IARC Press.</w:t>
      </w:r>
    </w:p>
    <w:p w14:paraId="77375F98" w14:textId="77777777" w:rsidR="00E0795A" w:rsidRPr="00D741B2" w:rsidRDefault="00E0795A" w:rsidP="009A5BAE">
      <w:pPr>
        <w:pStyle w:val="EndNoteCategoryHeading"/>
        <w:rPr>
          <w:noProof/>
        </w:rPr>
      </w:pPr>
      <w:r w:rsidRPr="00D741B2">
        <w:rPr>
          <w:noProof/>
        </w:rPr>
        <w:t>Baumann, M., &amp; Krause, M. (2010). CD44: a cancer stem cell-related biomarker with predictive potential for radiotherapy. </w:t>
      </w:r>
      <w:r w:rsidRPr="009A5BAE">
        <w:rPr>
          <w:noProof/>
        </w:rPr>
        <w:t>Clin Cancer Res, 16</w:t>
      </w:r>
      <w:r w:rsidRPr="00D741B2">
        <w:rPr>
          <w:noProof/>
        </w:rPr>
        <w:t>(21), 5091-5093. doi:10.1158/1078-0432.CCR-10-2244</w:t>
      </w:r>
    </w:p>
    <w:p w14:paraId="225B44E1" w14:textId="77777777" w:rsidR="00E0795A" w:rsidRPr="00D741B2" w:rsidRDefault="00E0795A" w:rsidP="009A5BAE">
      <w:pPr>
        <w:pStyle w:val="EndNoteCategoryHeading"/>
        <w:rPr>
          <w:noProof/>
        </w:rPr>
      </w:pPr>
      <w:r w:rsidRPr="00D741B2">
        <w:rPr>
          <w:noProof/>
        </w:rPr>
        <w:t>Bernier, J., Cooper, J. S., Pajak, T. F., van Glabbeke, M., Bourhis, J., Forastiere, A., . . . Lefebvre, J. L. (2005). Defining risk levels in locally advanced head and neck cancers: a comparative analysis of concurrent postoperative radiation plus chemotherapy trials of the EORTC (#22931) and RTOG (# 9501). </w:t>
      </w:r>
      <w:r w:rsidRPr="009A5BAE">
        <w:rPr>
          <w:noProof/>
        </w:rPr>
        <w:t>Head Neck, 27</w:t>
      </w:r>
      <w:r w:rsidRPr="00D741B2">
        <w:rPr>
          <w:noProof/>
        </w:rPr>
        <w:t>(10), 843-850. doi:10.1002/hed.20279</w:t>
      </w:r>
    </w:p>
    <w:p w14:paraId="226E2C8E" w14:textId="77777777" w:rsidR="00E0795A" w:rsidRPr="00736A43" w:rsidRDefault="00E0795A" w:rsidP="009A5BAE">
      <w:pPr>
        <w:pStyle w:val="EndNoteCategoryHeading"/>
        <w:rPr>
          <w:noProof/>
          <w:lang w:val="de-DE"/>
        </w:rPr>
      </w:pPr>
      <w:r w:rsidRPr="00D741B2">
        <w:rPr>
          <w:noProof/>
        </w:rPr>
        <w:lastRenderedPageBreak/>
        <w:t>Biomarkers Definitions Working, G. (2001). Biomarkers and surrogate endpoints: preferred definitions and conceptual framework. </w:t>
      </w:r>
      <w:r w:rsidRPr="00736A43">
        <w:rPr>
          <w:noProof/>
          <w:lang w:val="de-DE"/>
        </w:rPr>
        <w:t>Clin Pharmacol Ther, 69(3), 89-95. doi:10.1067/mcp.2001.113989</w:t>
      </w:r>
    </w:p>
    <w:p w14:paraId="77AFFBA1" w14:textId="77777777" w:rsidR="00E0795A" w:rsidRPr="00736A43" w:rsidRDefault="00E0795A" w:rsidP="009A5BAE">
      <w:pPr>
        <w:pStyle w:val="EndNoteCategoryHeading"/>
        <w:rPr>
          <w:noProof/>
          <w:lang w:val="de-DE"/>
        </w:rPr>
      </w:pPr>
      <w:r w:rsidRPr="00736A43">
        <w:rPr>
          <w:noProof/>
          <w:lang w:val="de-DE"/>
        </w:rPr>
        <w:t>Böcker, W. (2008). Pathologie: mit über 200 Tabellen: Elsevier, Urban &amp; Fischer.</w:t>
      </w:r>
    </w:p>
    <w:p w14:paraId="35554A99" w14:textId="77777777" w:rsidR="00E0795A" w:rsidRPr="00D741B2" w:rsidRDefault="00E0795A" w:rsidP="009A5BAE">
      <w:pPr>
        <w:pStyle w:val="EndNoteCategoryHeading"/>
        <w:rPr>
          <w:noProof/>
        </w:rPr>
      </w:pPr>
      <w:r w:rsidRPr="00736A43">
        <w:rPr>
          <w:noProof/>
          <w:lang w:val="de-DE"/>
        </w:rPr>
        <w:t>Bonnet, D., &amp; Dick, J. E. (1997). </w:t>
      </w:r>
      <w:r w:rsidRPr="00D741B2">
        <w:rPr>
          <w:noProof/>
        </w:rPr>
        <w:t>Human acute myeloid leukemia is organized as a hierarchy that originates from a primitive hematopoietic cell. </w:t>
      </w:r>
      <w:r w:rsidRPr="009A5BAE">
        <w:rPr>
          <w:noProof/>
        </w:rPr>
        <w:t>Nat Med, 3</w:t>
      </w:r>
      <w:r w:rsidRPr="00D741B2">
        <w:rPr>
          <w:noProof/>
        </w:rPr>
        <w:t>(7), 730-737. doi:10.1038/nm0797-730</w:t>
      </w:r>
    </w:p>
    <w:p w14:paraId="241B93D8" w14:textId="77777777" w:rsidR="00E0795A" w:rsidRPr="00D741B2" w:rsidRDefault="00E0795A" w:rsidP="009A5BAE">
      <w:pPr>
        <w:pStyle w:val="EndNoteCategoryHeading"/>
        <w:rPr>
          <w:noProof/>
        </w:rPr>
      </w:pPr>
      <w:r w:rsidRPr="00D741B2">
        <w:rPr>
          <w:noProof/>
        </w:rPr>
        <w:t>Bootz, F. (2020). [Guideline on diagnosis, treatment, and follow-up of laryngeal cancer]. </w:t>
      </w:r>
      <w:r w:rsidRPr="009A5BAE">
        <w:rPr>
          <w:noProof/>
        </w:rPr>
        <w:t>Radiologe, 60</w:t>
      </w:r>
      <w:r w:rsidRPr="00D741B2">
        <w:rPr>
          <w:noProof/>
        </w:rPr>
        <w:t>(11), 1052-1057. doi:10.1007/s00117-020-00760-9</w:t>
      </w:r>
    </w:p>
    <w:p w14:paraId="51038B27" w14:textId="77777777" w:rsidR="00E0795A" w:rsidRPr="00D741B2" w:rsidRDefault="00E0795A" w:rsidP="009A5BAE">
      <w:pPr>
        <w:pStyle w:val="EndNoteCategoryHeading"/>
        <w:rPr>
          <w:noProof/>
        </w:rPr>
      </w:pPr>
      <w:r w:rsidRPr="00D741B2">
        <w:rPr>
          <w:noProof/>
        </w:rPr>
        <w:t>Bouvard, V., Baan, R., Straif, K., Grosse, Y., Secretan, B., El Ghissassi, F., . . . Group, W. H. O. I. A. f. R. o. C. M. W. (2009). A review of human carcinogens--Part B: biological agents. </w:t>
      </w:r>
      <w:r w:rsidRPr="009A5BAE">
        <w:rPr>
          <w:noProof/>
        </w:rPr>
        <w:t>Lancet Oncol, 10</w:t>
      </w:r>
      <w:r w:rsidRPr="00D741B2">
        <w:rPr>
          <w:noProof/>
        </w:rPr>
        <w:t>(4), 321-322. doi:10.1016/s1470-2045(09)70096-8</w:t>
      </w:r>
    </w:p>
    <w:p w14:paraId="0FFE2E2A" w14:textId="77777777" w:rsidR="00E0795A" w:rsidRPr="00D741B2" w:rsidRDefault="00E0795A" w:rsidP="009A5BAE">
      <w:pPr>
        <w:pStyle w:val="EndNoteCategoryHeading"/>
        <w:rPr>
          <w:noProof/>
        </w:rPr>
      </w:pPr>
      <w:r w:rsidRPr="00D741B2">
        <w:rPr>
          <w:noProof/>
        </w:rPr>
        <w:t>Cabrera Rodriguez, J., Cacicedo, J., Giralt, J., Garcia Miragall, E., Lloret, M., Arias, F., . . . Contreras, J. (2018). GEORCC recommendations on target volumes in radiotherapy for Head Neck Cancer of Unkown Primary. </w:t>
      </w:r>
      <w:r w:rsidRPr="009A5BAE">
        <w:rPr>
          <w:noProof/>
        </w:rPr>
        <w:t>Crit Rev Oncol Hematol, 130</w:t>
      </w:r>
      <w:r w:rsidRPr="00D741B2">
        <w:rPr>
          <w:noProof/>
        </w:rPr>
        <w:t>, 51-59. doi:10.1016/j.critrevonc.2018.07.006</w:t>
      </w:r>
    </w:p>
    <w:p w14:paraId="253DB051" w14:textId="77777777" w:rsidR="00E0795A" w:rsidRPr="00736A43" w:rsidRDefault="00E0795A" w:rsidP="009A5BAE">
      <w:pPr>
        <w:pStyle w:val="EndNoteCategoryHeading"/>
        <w:rPr>
          <w:noProof/>
          <w:lang w:val="de-DE"/>
        </w:rPr>
      </w:pPr>
      <w:r w:rsidRPr="00D741B2">
        <w:rPr>
          <w:noProof/>
        </w:rPr>
        <w:t>Cardesa, A., Remmele, W., Klöppel, G., Mentzel, T., Kreipe, H. H., Rudolph, P., &amp; Slootweg, P. (2008). </w:t>
      </w:r>
      <w:r w:rsidRPr="00736A43">
        <w:rPr>
          <w:noProof/>
          <w:lang w:val="de-DE"/>
        </w:rPr>
        <w:t>Pathologie: Kopf-Hals-Region, Weichgewebstumoren, Haut: Springer Berlin Heidelberg.</w:t>
      </w:r>
    </w:p>
    <w:p w14:paraId="4AA1C999" w14:textId="77777777" w:rsidR="00E0795A" w:rsidRPr="00D741B2" w:rsidRDefault="00E0795A" w:rsidP="009A5BAE">
      <w:pPr>
        <w:pStyle w:val="EndNoteCategoryHeading"/>
        <w:rPr>
          <w:noProof/>
        </w:rPr>
      </w:pPr>
      <w:r w:rsidRPr="00736A43">
        <w:rPr>
          <w:noProof/>
          <w:lang w:val="de-DE"/>
        </w:rPr>
        <w:t xml:space="preserve">Carvalho, A. L., Nishimoto, I. N., Califano, J. A., &amp; Kowalski, L. P. (2005). </w:t>
      </w:r>
      <w:r w:rsidRPr="00D741B2">
        <w:rPr>
          <w:noProof/>
        </w:rPr>
        <w:t>Trends in incidence and prognosis for head and neck cancer in the United States: a site-specific analysis of the SEER database. </w:t>
      </w:r>
      <w:r w:rsidRPr="009A5BAE">
        <w:rPr>
          <w:noProof/>
        </w:rPr>
        <w:t>Int J Cancer, 114</w:t>
      </w:r>
      <w:r w:rsidRPr="00D741B2">
        <w:rPr>
          <w:noProof/>
        </w:rPr>
        <w:t>(5), 806-816. doi:10.1002/ijc.20740</w:t>
      </w:r>
    </w:p>
    <w:p w14:paraId="3BBFD8EF" w14:textId="77777777" w:rsidR="00E0795A" w:rsidRPr="00D741B2" w:rsidRDefault="00E0795A" w:rsidP="009A5BAE">
      <w:pPr>
        <w:pStyle w:val="EndNoteCategoryHeading"/>
        <w:rPr>
          <w:noProof/>
        </w:rPr>
      </w:pPr>
      <w:r w:rsidRPr="00A03861">
        <w:rPr>
          <w:noProof/>
        </w:rPr>
        <w:t>Cawson, R. A., &amp; Odell, E. W. (2008). </w:t>
      </w:r>
      <w:r w:rsidRPr="009A5BAE">
        <w:rPr>
          <w:noProof/>
        </w:rPr>
        <w:t>Cawson's Essentials of Oral Pathology and Oral Medicine E-Book</w:t>
      </w:r>
      <w:r w:rsidRPr="00D741B2">
        <w:rPr>
          <w:noProof/>
        </w:rPr>
        <w:t>: Elsevier Health Sciences.</w:t>
      </w:r>
    </w:p>
    <w:p w14:paraId="49F2274F" w14:textId="77777777" w:rsidR="00E0795A" w:rsidRPr="00D741B2" w:rsidRDefault="00E0795A" w:rsidP="009A5BAE">
      <w:pPr>
        <w:pStyle w:val="EndNoteCategoryHeading"/>
        <w:rPr>
          <w:noProof/>
        </w:rPr>
      </w:pPr>
      <w:r w:rsidRPr="00736A43">
        <w:rPr>
          <w:noProof/>
          <w:lang w:val="de-DE"/>
        </w:rPr>
        <w:t>Cawson, R. A., &amp; Odell, E. W. (2017). </w:t>
      </w:r>
      <w:r w:rsidRPr="009A5BAE">
        <w:rPr>
          <w:noProof/>
        </w:rPr>
        <w:t>Cawson's Essentials of Oral Pathology and Oral Medicine</w:t>
      </w:r>
      <w:r w:rsidRPr="00D741B2">
        <w:rPr>
          <w:noProof/>
        </w:rPr>
        <w:t>: Elsevier Health Sciences UK.</w:t>
      </w:r>
    </w:p>
    <w:p w14:paraId="69DADD69" w14:textId="77777777" w:rsidR="00E0795A" w:rsidRPr="00D741B2" w:rsidRDefault="00E0795A" w:rsidP="009A5BAE">
      <w:pPr>
        <w:pStyle w:val="EndNoteCategoryHeading"/>
        <w:rPr>
          <w:noProof/>
        </w:rPr>
      </w:pPr>
      <w:r w:rsidRPr="00D741B2">
        <w:rPr>
          <w:noProof/>
        </w:rPr>
        <w:t>Chen, Y. W., Chen, K. H., Huang, P. I., Chen, Y. C., Chiou, G. Y., Lo, W. L., . . . Chiou, S. H. (2010). Cucurbitacin I suppressed stem-like property and enhanced radiation-induced apoptosis in head and neck squamous carcinoma--derived CD44(+)ALDH1(+) cells. </w:t>
      </w:r>
      <w:r w:rsidRPr="009A5BAE">
        <w:rPr>
          <w:noProof/>
        </w:rPr>
        <w:t>Mol Cancer Ther, 9</w:t>
      </w:r>
      <w:r w:rsidRPr="00D741B2">
        <w:rPr>
          <w:noProof/>
        </w:rPr>
        <w:t>(11), 2879-2892. doi:10.1158/1535-7163.MCT-10-0504</w:t>
      </w:r>
    </w:p>
    <w:p w14:paraId="0C6CEB93" w14:textId="77777777" w:rsidR="00E0795A" w:rsidRPr="00D741B2" w:rsidRDefault="00E0795A" w:rsidP="009A5BAE">
      <w:pPr>
        <w:pStyle w:val="EndNoteCategoryHeading"/>
        <w:rPr>
          <w:noProof/>
        </w:rPr>
      </w:pPr>
      <w:r w:rsidRPr="00D741B2">
        <w:rPr>
          <w:noProof/>
        </w:rPr>
        <w:lastRenderedPageBreak/>
        <w:t>Chin, D., Boyle, G. M., Porceddu, S., Theile, D. R., Parsons, P. G., &amp; Coman, W. B. (2006). Head and neck cancer: past, present and future. </w:t>
      </w:r>
      <w:r w:rsidRPr="009A5BAE">
        <w:rPr>
          <w:noProof/>
        </w:rPr>
        <w:t>Expert Rev Anticancer Ther, 6</w:t>
      </w:r>
      <w:r w:rsidRPr="00D741B2">
        <w:rPr>
          <w:noProof/>
        </w:rPr>
        <w:t>(7), 1111-1118. doi:10.1586/14737140.6.7.1111</w:t>
      </w:r>
    </w:p>
    <w:p w14:paraId="4996257E" w14:textId="77777777" w:rsidR="00E0795A" w:rsidRPr="00D741B2" w:rsidRDefault="00E0795A" w:rsidP="009A5BAE">
      <w:pPr>
        <w:pStyle w:val="EndNoteCategoryHeading"/>
        <w:rPr>
          <w:noProof/>
        </w:rPr>
      </w:pPr>
      <w:r w:rsidRPr="009A5BAE">
        <w:rPr>
          <w:noProof/>
          <w:lang w:val="de-DE"/>
        </w:rPr>
        <w:t>Chung, C. H., &amp; Gillison, M. L. (2009). </w:t>
      </w:r>
      <w:r w:rsidRPr="00D741B2">
        <w:rPr>
          <w:noProof/>
        </w:rPr>
        <w:t>Human papillomavirus in head and neck cancer: its role in pathogenesis and clinical implications. </w:t>
      </w:r>
      <w:r w:rsidRPr="009A5BAE">
        <w:rPr>
          <w:noProof/>
        </w:rPr>
        <w:t>Clin Cancer Res, 15</w:t>
      </w:r>
      <w:r w:rsidRPr="00D741B2">
        <w:rPr>
          <w:noProof/>
        </w:rPr>
        <w:t>(22), 6758-6762. doi:10.1158/1078-0432.CCR-09-0784</w:t>
      </w:r>
    </w:p>
    <w:p w14:paraId="20292A5E" w14:textId="77777777" w:rsidR="00E0795A" w:rsidRPr="00D741B2" w:rsidRDefault="00E0795A" w:rsidP="009A5BAE">
      <w:pPr>
        <w:pStyle w:val="EndNoteCategoryHeading"/>
        <w:rPr>
          <w:noProof/>
        </w:rPr>
      </w:pPr>
      <w:r w:rsidRPr="00D741B2">
        <w:rPr>
          <w:noProof/>
        </w:rPr>
        <w:t>Clarke, A. R., &amp; Meniel, V. (2006). The intestinal stem cell niche studied through conditional transgenesis. </w:t>
      </w:r>
      <w:r w:rsidRPr="009A5BAE">
        <w:rPr>
          <w:noProof/>
        </w:rPr>
        <w:t>Ernst Schering Found Symp Proc</w:t>
      </w:r>
      <w:r w:rsidRPr="00D741B2">
        <w:rPr>
          <w:noProof/>
        </w:rPr>
        <w:t>(5), 99-108. doi:10.1007/2789_2007_046</w:t>
      </w:r>
    </w:p>
    <w:p w14:paraId="664B1896" w14:textId="77777777" w:rsidR="00E0795A" w:rsidRPr="00D741B2" w:rsidRDefault="00E0795A" w:rsidP="009A5BAE">
      <w:pPr>
        <w:pStyle w:val="EndNoteCategoryHeading"/>
        <w:rPr>
          <w:noProof/>
        </w:rPr>
      </w:pPr>
      <w:r w:rsidRPr="00D741B2">
        <w:rPr>
          <w:noProof/>
        </w:rPr>
        <w:t>Cooper, J. S., Zhang, Q., Pajak, T. F., Forastiere, A. A., Jacobs, J., Saxman, S. B., . . . Ang, K. K. (2012). Long-term follow-up of the RTOG 9501/intergroup phase III trial: postoperative concurrent radiation therapy and chemotherapy in high-risk squamous cell carcinoma of the head and neck. </w:t>
      </w:r>
      <w:r w:rsidRPr="009A5BAE">
        <w:rPr>
          <w:noProof/>
        </w:rPr>
        <w:t>Int J Radiat Oncol Biol Phys, 84</w:t>
      </w:r>
      <w:r w:rsidRPr="00D741B2">
        <w:rPr>
          <w:noProof/>
        </w:rPr>
        <w:t>(5), 1198-1205. doi:10.1016/j.ijrobp.2012.05.008</w:t>
      </w:r>
    </w:p>
    <w:p w14:paraId="69FB146C" w14:textId="77777777" w:rsidR="00E0795A" w:rsidRPr="00D741B2" w:rsidRDefault="00E0795A" w:rsidP="009A5BAE">
      <w:pPr>
        <w:pStyle w:val="EndNoteCategoryHeading"/>
        <w:rPr>
          <w:noProof/>
        </w:rPr>
      </w:pPr>
      <w:r w:rsidRPr="00D741B2">
        <w:rPr>
          <w:noProof/>
        </w:rPr>
        <w:t>Curado, M. P., &amp; Boyle, P. (2013). Epidemiology of head and neck squamous cell carcinoma not related to tobacco or alcohol. </w:t>
      </w:r>
      <w:r w:rsidRPr="009A5BAE">
        <w:rPr>
          <w:noProof/>
        </w:rPr>
        <w:t>Curr Opin Oncol, 25</w:t>
      </w:r>
      <w:r w:rsidRPr="00D741B2">
        <w:rPr>
          <w:noProof/>
        </w:rPr>
        <w:t>(3), 229-234. doi:10.1097/CCO.0b013e32835ff48c</w:t>
      </w:r>
    </w:p>
    <w:p w14:paraId="604B5C95" w14:textId="77777777" w:rsidR="00E0795A" w:rsidRPr="00D741B2" w:rsidRDefault="00E0795A" w:rsidP="009A5BAE">
      <w:pPr>
        <w:pStyle w:val="EndNoteCategoryHeading"/>
        <w:rPr>
          <w:noProof/>
        </w:rPr>
      </w:pPr>
      <w:r w:rsidRPr="00D741B2">
        <w:rPr>
          <w:noProof/>
        </w:rPr>
        <w:t>D'Souza, G., Agrawal, Y., Halpern, J., Bodison, S., &amp; Gillison, M. L. (2009). Oral sexual behaviors associated with prevalent oral human papillomavirus infection. </w:t>
      </w:r>
      <w:r w:rsidRPr="009A5BAE">
        <w:rPr>
          <w:noProof/>
        </w:rPr>
        <w:t>J Infect Dis, 199</w:t>
      </w:r>
      <w:r w:rsidRPr="00D741B2">
        <w:rPr>
          <w:noProof/>
        </w:rPr>
        <w:t>(9), 1263-1269. doi:10.1086/597755</w:t>
      </w:r>
    </w:p>
    <w:p w14:paraId="462BA8CE" w14:textId="77777777" w:rsidR="00E0795A" w:rsidRPr="00D741B2" w:rsidRDefault="00E0795A" w:rsidP="009A5BAE">
      <w:pPr>
        <w:pStyle w:val="EndNoteCategoryHeading"/>
        <w:rPr>
          <w:noProof/>
        </w:rPr>
      </w:pPr>
      <w:r w:rsidRPr="00D741B2">
        <w:rPr>
          <w:noProof/>
        </w:rPr>
        <w:t>de Jong, M. C., Pramana, J., van der Wal, J. E., Lacko, M., Peutz-Kootstra, C. J., de Jong, J. M., . . . Begg, A. C. (2010). CD44 expression predicts local recurrence after radiotherapy in larynx cancer. </w:t>
      </w:r>
      <w:r w:rsidRPr="009A5BAE">
        <w:rPr>
          <w:noProof/>
        </w:rPr>
        <w:t>Clin Cancer Res, 16</w:t>
      </w:r>
      <w:r w:rsidRPr="00D741B2">
        <w:rPr>
          <w:noProof/>
        </w:rPr>
        <w:t>(21), 5329-5338. doi:10.1158/1078-0432.CCR-10-0799</w:t>
      </w:r>
    </w:p>
    <w:p w14:paraId="13F7B729" w14:textId="77777777" w:rsidR="00E0795A" w:rsidRPr="00D741B2" w:rsidRDefault="00E0795A" w:rsidP="009A5BAE">
      <w:pPr>
        <w:pStyle w:val="EndNoteCategoryHeading"/>
        <w:rPr>
          <w:noProof/>
        </w:rPr>
      </w:pPr>
      <w:r w:rsidRPr="00D741B2">
        <w:rPr>
          <w:noProof/>
        </w:rPr>
        <w:t>DeLellis, R. A., Sternberger, L. A., Mann, R. B., Banks, P. M., &amp; Nakane, P. K. (1979). Immunoperoxidase technics in diagnostic pathology. Report of a workshop sponsored by the National Cancer Institute. </w:t>
      </w:r>
      <w:r w:rsidRPr="009A5BAE">
        <w:rPr>
          <w:noProof/>
        </w:rPr>
        <w:t>Am J Clin Pathol, 71</w:t>
      </w:r>
      <w:r w:rsidRPr="00D741B2">
        <w:rPr>
          <w:noProof/>
        </w:rPr>
        <w:t>(5), 483-488. doi:10.1093/ajcp/71.5.483</w:t>
      </w:r>
    </w:p>
    <w:p w14:paraId="213A6EF2" w14:textId="77777777" w:rsidR="00E0795A" w:rsidRPr="00D741B2" w:rsidRDefault="00E0795A" w:rsidP="009A5BAE">
      <w:pPr>
        <w:pStyle w:val="EndNoteCategoryHeading"/>
        <w:rPr>
          <w:noProof/>
        </w:rPr>
      </w:pPr>
      <w:r w:rsidRPr="00D741B2">
        <w:rPr>
          <w:noProof/>
        </w:rPr>
        <w:t>Duvvuri, U., &amp; Myers, J. N. (2009). Contemporary management of oropharyngeal cancer: anatomy and physiology of the oropharynx. </w:t>
      </w:r>
      <w:r w:rsidRPr="009A5BAE">
        <w:rPr>
          <w:noProof/>
        </w:rPr>
        <w:t>Curr Probl Surg, 46</w:t>
      </w:r>
      <w:r w:rsidRPr="00D741B2">
        <w:rPr>
          <w:noProof/>
        </w:rPr>
        <w:t>(2), 119-184. doi:10.1067/j.cpsurg.2008.10.003</w:t>
      </w:r>
    </w:p>
    <w:p w14:paraId="59BF0597" w14:textId="77777777" w:rsidR="00E0795A" w:rsidRPr="00D741B2" w:rsidRDefault="00E0795A" w:rsidP="009A5BAE">
      <w:pPr>
        <w:pStyle w:val="EndNoteCategoryHeading"/>
        <w:rPr>
          <w:noProof/>
        </w:rPr>
      </w:pPr>
      <w:r w:rsidRPr="00D741B2">
        <w:rPr>
          <w:noProof/>
        </w:rPr>
        <w:t>El-Naggar, A. K., Chan, J. K. C., Grandis, J. R., Takata, T., &amp; Slootweg, P. J. (2017). </w:t>
      </w:r>
      <w:r w:rsidRPr="009A5BAE">
        <w:rPr>
          <w:noProof/>
        </w:rPr>
        <w:t>WHO Classification of Head and Neck Tumours</w:t>
      </w:r>
      <w:r w:rsidRPr="00D741B2">
        <w:rPr>
          <w:noProof/>
        </w:rPr>
        <w:t>: International Agency for Research on Cancer.</w:t>
      </w:r>
    </w:p>
    <w:p w14:paraId="10465D3B" w14:textId="77777777" w:rsidR="00E0795A" w:rsidRPr="00D741B2" w:rsidRDefault="00E0795A" w:rsidP="009A5BAE">
      <w:pPr>
        <w:pStyle w:val="EndNoteCategoryHeading"/>
        <w:rPr>
          <w:noProof/>
        </w:rPr>
      </w:pPr>
      <w:r w:rsidRPr="00D741B2">
        <w:rPr>
          <w:noProof/>
        </w:rPr>
        <w:t xml:space="preserve">Fakhry, C., Westra, W. H., Li, S., Cmelak, A., Ridge, J. A., Pinto, H., . . . Gillison, M. L. (2008). Improved survival of patients with human papillomavirus-positive head and neck </w:t>
      </w:r>
      <w:r w:rsidRPr="00D741B2">
        <w:rPr>
          <w:noProof/>
        </w:rPr>
        <w:lastRenderedPageBreak/>
        <w:t>squamous cell carcinoma in a prospective clinical trial. </w:t>
      </w:r>
      <w:r w:rsidRPr="009A5BAE">
        <w:rPr>
          <w:noProof/>
        </w:rPr>
        <w:t>J Natl Cancer Inst, 100</w:t>
      </w:r>
      <w:r w:rsidRPr="00D741B2">
        <w:rPr>
          <w:noProof/>
        </w:rPr>
        <w:t>(4), 261-269. doi:10.1093/jnci/djn011</w:t>
      </w:r>
    </w:p>
    <w:p w14:paraId="76735F12" w14:textId="77777777" w:rsidR="00E0795A" w:rsidRPr="00D741B2" w:rsidRDefault="00E0795A" w:rsidP="009A5BAE">
      <w:pPr>
        <w:pStyle w:val="EndNoteCategoryHeading"/>
        <w:rPr>
          <w:noProof/>
        </w:rPr>
      </w:pPr>
      <w:r w:rsidRPr="00D741B2">
        <w:rPr>
          <w:noProof/>
        </w:rPr>
        <w:t>Ferlay, J., Colombet, M., Soerjomataram, I., Parkin, D. M., Pineros, M., Znaor, A., &amp; Bray, F. (2021). Cancer statistics for the year 2020: An overview. </w:t>
      </w:r>
      <w:r w:rsidRPr="009A5BAE">
        <w:rPr>
          <w:noProof/>
        </w:rPr>
        <w:t>Int J Cancer</w:t>
      </w:r>
      <w:r w:rsidRPr="00D741B2">
        <w:rPr>
          <w:noProof/>
        </w:rPr>
        <w:t>. doi:10.1002/ijc.33588</w:t>
      </w:r>
    </w:p>
    <w:p w14:paraId="4313300C" w14:textId="77777777" w:rsidR="00E0795A" w:rsidRPr="00D741B2" w:rsidRDefault="00E0795A" w:rsidP="009A5BAE">
      <w:pPr>
        <w:pStyle w:val="EndNoteCategoryHeading"/>
        <w:rPr>
          <w:noProof/>
        </w:rPr>
      </w:pPr>
      <w:r w:rsidRPr="00D741B2">
        <w:rPr>
          <w:noProof/>
        </w:rPr>
        <w:t>Gillison, M. L., D'Souza, G., Westra, W., Sugar, E., Xiao, W., Begum, S., &amp; Viscidi, R. (2008). Distinct risk factor profiles for human papillomavirus type 16-positive and human papillomavirus type 16-negative head and neck cancers. </w:t>
      </w:r>
      <w:r w:rsidRPr="009A5BAE">
        <w:rPr>
          <w:noProof/>
        </w:rPr>
        <w:t>J Natl Cancer Inst, 100</w:t>
      </w:r>
      <w:r w:rsidRPr="00D741B2">
        <w:rPr>
          <w:noProof/>
        </w:rPr>
        <w:t>(6), 407-420. doi:10.1093/jnci/djn025</w:t>
      </w:r>
    </w:p>
    <w:p w14:paraId="52271599" w14:textId="77777777" w:rsidR="00E0795A" w:rsidRPr="00D741B2" w:rsidRDefault="00E0795A" w:rsidP="009A5BAE">
      <w:pPr>
        <w:pStyle w:val="EndNoteCategoryHeading"/>
        <w:rPr>
          <w:noProof/>
        </w:rPr>
      </w:pPr>
      <w:r w:rsidRPr="00D741B2">
        <w:rPr>
          <w:noProof/>
        </w:rPr>
        <w:t>Gillison, M. L., Koch, W. M., Capone, R. B., Spafford, M., Westra, W. H., Wu, L., . . . Sidransky, D. (2000). Evidence for a causal association between human papillomavirus and a subset of head and neck cancers. </w:t>
      </w:r>
      <w:r w:rsidRPr="009A5BAE">
        <w:rPr>
          <w:noProof/>
        </w:rPr>
        <w:t>J Natl Cancer Inst, 92</w:t>
      </w:r>
      <w:r w:rsidRPr="00D741B2">
        <w:rPr>
          <w:noProof/>
        </w:rPr>
        <w:t>(9), 709-720. doi:10.1093/jnci/92.9.709</w:t>
      </w:r>
    </w:p>
    <w:p w14:paraId="4074753C" w14:textId="77777777" w:rsidR="00E0795A" w:rsidRPr="00D741B2" w:rsidRDefault="00E0795A" w:rsidP="009A5BAE">
      <w:pPr>
        <w:pStyle w:val="EndNoteCategoryHeading"/>
        <w:rPr>
          <w:noProof/>
        </w:rPr>
      </w:pPr>
      <w:r w:rsidRPr="00D741B2">
        <w:rPr>
          <w:noProof/>
        </w:rPr>
        <w:t>Giltnane, J. M., &amp; Rimm, D. L. (2004). Technology insight: Identification of biomarkers with tissue microarray technology. </w:t>
      </w:r>
      <w:r w:rsidRPr="009A5BAE">
        <w:rPr>
          <w:noProof/>
        </w:rPr>
        <w:t>Nat Clin Pract Oncol, 1</w:t>
      </w:r>
      <w:r w:rsidRPr="00D741B2">
        <w:rPr>
          <w:noProof/>
        </w:rPr>
        <w:t>(2), 104-111. doi:10.1038/ncponc0046</w:t>
      </w:r>
    </w:p>
    <w:p w14:paraId="4EC252CA" w14:textId="77777777" w:rsidR="00E0795A" w:rsidRPr="00D741B2" w:rsidRDefault="00E0795A" w:rsidP="009A5BAE">
      <w:pPr>
        <w:pStyle w:val="EndNoteCategoryHeading"/>
        <w:rPr>
          <w:noProof/>
        </w:rPr>
      </w:pPr>
      <w:r w:rsidRPr="00D741B2">
        <w:rPr>
          <w:noProof/>
        </w:rPr>
        <w:t>Ginestier, C., Hur, M. H., Charafe-Jauffret, E., Monville, F., Dutcher, J., Brown, M., . . . Dontu, G. (2007). ALDH1 is a marker of normal and malignant human mammary stem cells and a predictor of poor clinical outcome. </w:t>
      </w:r>
      <w:r w:rsidRPr="009A5BAE">
        <w:rPr>
          <w:noProof/>
        </w:rPr>
        <w:t>Cell Stem Cell, 1</w:t>
      </w:r>
      <w:r w:rsidRPr="00D741B2">
        <w:rPr>
          <w:noProof/>
        </w:rPr>
        <w:t>(5), 555-567. doi:10.1016/j.stem.2007.08.014</w:t>
      </w:r>
    </w:p>
    <w:p w14:paraId="0FEF00FA" w14:textId="77777777" w:rsidR="00E0795A" w:rsidRPr="009A5BAE" w:rsidRDefault="00E0795A" w:rsidP="009A5BAE">
      <w:pPr>
        <w:pStyle w:val="EndNoteCategoryHeading"/>
        <w:rPr>
          <w:noProof/>
          <w:lang w:val="de-DE"/>
        </w:rPr>
      </w:pPr>
      <w:r w:rsidRPr="00D741B2">
        <w:rPr>
          <w:noProof/>
        </w:rPr>
        <w:t>Hafkamp, H. C., Manni, J. J., Haesevoets, A., Voogd, A. C., Schepers, M., Bot, F. J., . . . Speel, E. J. (2008). Marked differences in survival rate between smokers and nonsmokers with HPV 16-associated tonsillar carcinomas. </w:t>
      </w:r>
      <w:r w:rsidRPr="009A5BAE">
        <w:rPr>
          <w:noProof/>
          <w:lang w:val="de-DE"/>
        </w:rPr>
        <w:t>Int J Cancer, 122(12), 2656-2664. doi:10.1002/ijc.23458</w:t>
      </w:r>
    </w:p>
    <w:p w14:paraId="5F053862" w14:textId="77777777" w:rsidR="00E0795A" w:rsidRPr="009A5BAE" w:rsidRDefault="00E0795A" w:rsidP="009A5BAE">
      <w:pPr>
        <w:pStyle w:val="EndNoteCategoryHeading"/>
        <w:rPr>
          <w:noProof/>
          <w:lang w:val="de-DE"/>
        </w:rPr>
      </w:pPr>
      <w:r w:rsidRPr="009A5BAE">
        <w:rPr>
          <w:noProof/>
          <w:lang w:val="de-DE"/>
        </w:rPr>
        <w:t>Heinrich, P. C., Müller, M., &amp; Graeve, L. (2014). Löffler/Petrides Biochemie und Pathobiochemie: Springer Berlin Heidelberg.</w:t>
      </w:r>
    </w:p>
    <w:p w14:paraId="6650DEF7" w14:textId="77777777" w:rsidR="00E0795A" w:rsidRPr="00736A43" w:rsidRDefault="00E0795A" w:rsidP="009A5BAE">
      <w:pPr>
        <w:pStyle w:val="EndNoteCategoryHeading"/>
        <w:rPr>
          <w:noProof/>
          <w:lang w:val="de-DE"/>
        </w:rPr>
      </w:pPr>
      <w:r w:rsidRPr="00D741B2">
        <w:rPr>
          <w:noProof/>
        </w:rPr>
        <w:t>Herrmann, K., &amp; Niedobitek, G. (2003). Epstein-Barr virus-associated carcinomas: facts and fiction. </w:t>
      </w:r>
      <w:r w:rsidRPr="00736A43">
        <w:rPr>
          <w:noProof/>
          <w:lang w:val="de-DE"/>
        </w:rPr>
        <w:t>J Pathol, 199(2), 140-145. doi:10.1002/path.1296</w:t>
      </w:r>
    </w:p>
    <w:p w14:paraId="4786A1FE" w14:textId="77777777" w:rsidR="00E0795A" w:rsidRPr="00736A43" w:rsidRDefault="00E0795A" w:rsidP="009A5BAE">
      <w:pPr>
        <w:pStyle w:val="EndNoteCategoryHeading"/>
        <w:rPr>
          <w:noProof/>
          <w:lang w:val="de-DE"/>
        </w:rPr>
      </w:pPr>
      <w:r w:rsidRPr="00736A43">
        <w:rPr>
          <w:noProof/>
          <w:lang w:val="de-DE"/>
        </w:rPr>
        <w:t>Joos, S., Nettelbeck, D. M., Reil-Held, A., Engelmann, K., Moosmann, A., Eggert, A., . . . Baumann, M. (2019). </w:t>
      </w:r>
      <w:r w:rsidRPr="00D741B2">
        <w:rPr>
          <w:noProof/>
        </w:rPr>
        <w:t>German Cancer Consortium (DKTK) - A national consortium for translational cancer research. </w:t>
      </w:r>
      <w:r w:rsidRPr="00736A43">
        <w:rPr>
          <w:noProof/>
          <w:lang w:val="de-DE"/>
        </w:rPr>
        <w:t>Mol Oncol, 13(3), 535-542. doi:10.1002/1878-0261.12430</w:t>
      </w:r>
    </w:p>
    <w:p w14:paraId="13015535" w14:textId="77777777" w:rsidR="00E0795A" w:rsidRPr="009A5BAE" w:rsidRDefault="00E0795A" w:rsidP="009A5BAE">
      <w:pPr>
        <w:pStyle w:val="EndNoteCategoryHeading"/>
        <w:rPr>
          <w:noProof/>
          <w:lang w:val="de-DE"/>
        </w:rPr>
      </w:pPr>
      <w:r w:rsidRPr="00736A43">
        <w:rPr>
          <w:noProof/>
          <w:lang w:val="de-DE"/>
        </w:rPr>
        <w:t xml:space="preserve">Jütz, M., Linge, A., von Neubeck, C., Lohaus, F., Tinhofer, I., Budach, V., . . . DKTK-ROG. </w:t>
      </w:r>
      <w:r w:rsidRPr="009A5BAE">
        <w:rPr>
          <w:noProof/>
          <w:lang w:val="de-DE"/>
        </w:rPr>
        <w:t xml:space="preserve">(2015). Prognostisches Potential von CD44 als Tumorstammzellmarker für die kombinierte Radiochemotherapie des lokal fortgeschrittenen Kopf-Hals-Plattenepithelkarzinoms. Paper </w:t>
      </w:r>
      <w:r w:rsidRPr="009A5BAE">
        <w:rPr>
          <w:noProof/>
          <w:lang w:val="de-DE"/>
        </w:rPr>
        <w:lastRenderedPageBreak/>
        <w:t>presented at the Symposium Experimentelle Strahlentherapie und klinische Strahlenbiologie.</w:t>
      </w:r>
    </w:p>
    <w:p w14:paraId="352E941E" w14:textId="77777777" w:rsidR="00E0795A" w:rsidRPr="00D741B2" w:rsidRDefault="00E0795A" w:rsidP="009A5BAE">
      <w:pPr>
        <w:pStyle w:val="EndNoteCategoryHeading"/>
        <w:rPr>
          <w:noProof/>
        </w:rPr>
      </w:pPr>
      <w:r w:rsidRPr="00D741B2">
        <w:rPr>
          <w:noProof/>
        </w:rPr>
        <w:t>Klijanienko, J., el-Naggar, A., Ponzio-Prion, A., Marandas, P., Micheau, C., &amp; Caillaud, J. M. (1993). Basaloid squamous carcinoma of the head and neck. Immunohistochemical comparison with adenoid cystic carcinoma and squamous cell carcinoma. </w:t>
      </w:r>
      <w:r w:rsidRPr="009A5BAE">
        <w:rPr>
          <w:noProof/>
        </w:rPr>
        <w:t>Arch Otolaryngol Head Neck Surg, 119</w:t>
      </w:r>
      <w:r w:rsidRPr="00D741B2">
        <w:rPr>
          <w:noProof/>
        </w:rPr>
        <w:t>(8), 887-890. doi:10.1001/archotol.1993.01880200093013</w:t>
      </w:r>
    </w:p>
    <w:p w14:paraId="56F50FC6" w14:textId="77777777" w:rsidR="00E0795A" w:rsidRPr="00D741B2" w:rsidRDefault="00E0795A" w:rsidP="009A5BAE">
      <w:pPr>
        <w:pStyle w:val="EndNoteCategoryHeading"/>
        <w:rPr>
          <w:noProof/>
        </w:rPr>
      </w:pPr>
      <w:r w:rsidRPr="00D741B2">
        <w:rPr>
          <w:noProof/>
        </w:rPr>
        <w:t>Klussmann, J. P., Weissenborn, S. J., Wieland, U., Dries, V., Eckel, H. E., Pfister, H. J., &amp; Fuchs, P. G. (2003). Human papillomavirus-positive tonsillar carcinomas: a different tumor entity? </w:t>
      </w:r>
      <w:r w:rsidRPr="009A5BAE">
        <w:rPr>
          <w:noProof/>
        </w:rPr>
        <w:t>Med Microbiol Immunol, 192</w:t>
      </w:r>
      <w:r w:rsidRPr="00D741B2">
        <w:rPr>
          <w:noProof/>
        </w:rPr>
        <w:t>(3), 129-132. doi:10.1007/s00430-002-0126-1</w:t>
      </w:r>
    </w:p>
    <w:p w14:paraId="126B06B5" w14:textId="77777777" w:rsidR="00E0795A" w:rsidRPr="00D741B2" w:rsidRDefault="00E0795A" w:rsidP="009A5BAE">
      <w:pPr>
        <w:pStyle w:val="EndNoteCategoryHeading"/>
        <w:rPr>
          <w:noProof/>
        </w:rPr>
      </w:pPr>
      <w:r w:rsidRPr="009A5BAE">
        <w:rPr>
          <w:noProof/>
          <w:lang w:val="de-DE"/>
        </w:rPr>
        <w:t>Klussmann, J. P., Weissenborn, S. J., Wieland, U., Dries, V., Kolligs, J., Jungehuelsing, M., . . . </w:t>
      </w:r>
      <w:r w:rsidRPr="00D741B2">
        <w:rPr>
          <w:noProof/>
        </w:rPr>
        <w:t>Fuchs, P. G. (2001). Prevalence, distribution, and viral load of human papillomavirus 16 DNA in tonsillar carcinomas. </w:t>
      </w:r>
      <w:r w:rsidRPr="009A5BAE">
        <w:rPr>
          <w:noProof/>
        </w:rPr>
        <w:t>Cancer, 92</w:t>
      </w:r>
      <w:r w:rsidRPr="00D741B2">
        <w:rPr>
          <w:noProof/>
        </w:rPr>
        <w:t>(11), 2875-2884. doi:10.1002/1097-0142(20011201)92:11&lt;2875::aid-cncr10130&gt;</w:t>
      </w:r>
      <w:hyperlink r:id="rId39" w:history="1">
        <w:r w:rsidRPr="009A5BAE">
          <w:rPr>
            <w:noProof/>
          </w:rPr>
          <w:t>3.0.co</w:t>
        </w:r>
      </w:hyperlink>
      <w:r w:rsidRPr="00D741B2">
        <w:rPr>
          <w:noProof/>
        </w:rPr>
        <w:t>;2-7</w:t>
      </w:r>
    </w:p>
    <w:p w14:paraId="2EED172F" w14:textId="77777777" w:rsidR="00E0795A" w:rsidRPr="009A5BAE" w:rsidRDefault="00E0795A" w:rsidP="009A5BAE">
      <w:pPr>
        <w:pStyle w:val="EndNoteCategoryHeading"/>
        <w:rPr>
          <w:noProof/>
          <w:lang w:val="de-DE"/>
        </w:rPr>
      </w:pPr>
      <w:r w:rsidRPr="00D741B2">
        <w:rPr>
          <w:noProof/>
        </w:rPr>
        <w:t>Kononen, J., Bubendorf, L., Kallioniemi, A., Barlund, M., Schraml, P., Leighton, S., . . . Kallioniemi, O. P. (1998). Tissue microarrays for high-throughput molecular profiling of tumor specimens. </w:t>
      </w:r>
      <w:r w:rsidRPr="009A5BAE">
        <w:rPr>
          <w:noProof/>
          <w:lang w:val="de-DE"/>
        </w:rPr>
        <w:t>Nat Med, 4(7), 844-847. doi:10.1038/nm0798-844</w:t>
      </w:r>
    </w:p>
    <w:p w14:paraId="589F4036" w14:textId="77777777" w:rsidR="00E0795A" w:rsidRPr="00D741B2" w:rsidRDefault="00E0795A" w:rsidP="009A5BAE">
      <w:pPr>
        <w:pStyle w:val="EndNoteCategoryHeading"/>
        <w:rPr>
          <w:noProof/>
        </w:rPr>
      </w:pPr>
      <w:r w:rsidRPr="009A5BAE">
        <w:rPr>
          <w:noProof/>
          <w:lang w:val="de-DE"/>
        </w:rPr>
        <w:t>Krause, M., Yaromina, A., Eicheler, W., Koch, U., &amp; Baumann, M. (2011). </w:t>
      </w:r>
      <w:r w:rsidRPr="00D741B2">
        <w:rPr>
          <w:noProof/>
        </w:rPr>
        <w:t>Cancer stem cells: targets and potential biomarkers for radiotherapy. </w:t>
      </w:r>
      <w:r w:rsidRPr="009A5BAE">
        <w:rPr>
          <w:noProof/>
        </w:rPr>
        <w:t>Clin Cancer Res, 17</w:t>
      </w:r>
      <w:r w:rsidRPr="00D741B2">
        <w:rPr>
          <w:noProof/>
        </w:rPr>
        <w:t>(23), 7224-7229. doi:10.1158/1078-0432.CCR-10-2639</w:t>
      </w:r>
    </w:p>
    <w:p w14:paraId="706F4529" w14:textId="77777777" w:rsidR="00E0795A" w:rsidRPr="009A5BAE" w:rsidRDefault="00E0795A" w:rsidP="009A5BAE">
      <w:pPr>
        <w:pStyle w:val="EndNoteCategoryHeading"/>
        <w:rPr>
          <w:noProof/>
          <w:lang w:val="de-DE"/>
        </w:rPr>
      </w:pPr>
      <w:r w:rsidRPr="009A5BAE">
        <w:rPr>
          <w:noProof/>
          <w:lang w:val="de-DE"/>
        </w:rPr>
        <w:t>Lenarz, T., &amp; Boenninghaus, H. G. (2012). Hals-Nasen-Ohren-Heilkunde: Springer Berlin Heidelberg.</w:t>
      </w:r>
    </w:p>
    <w:p w14:paraId="77BD2529" w14:textId="77777777" w:rsidR="00E0795A" w:rsidRPr="00D741B2" w:rsidRDefault="00E0795A" w:rsidP="009A5BAE">
      <w:pPr>
        <w:pStyle w:val="EndNoteCategoryHeading"/>
        <w:rPr>
          <w:noProof/>
        </w:rPr>
      </w:pPr>
      <w:r w:rsidRPr="009A5BAE">
        <w:rPr>
          <w:noProof/>
          <w:lang w:val="de-DE"/>
        </w:rPr>
        <w:t>Lindel, K., Beer, K. T., Laissue, J., Greiner, R. H., &amp; Aebersold, D. M. (2001). </w:t>
      </w:r>
      <w:r w:rsidRPr="00D741B2">
        <w:rPr>
          <w:noProof/>
        </w:rPr>
        <w:t>Human papillomavirus positive squamous cell carcinoma of the oropharynx: a radiosensitive subgroup of head and neck carcinoma. </w:t>
      </w:r>
      <w:r w:rsidRPr="009A5BAE">
        <w:rPr>
          <w:noProof/>
        </w:rPr>
        <w:t>Cancer, 92</w:t>
      </w:r>
      <w:r w:rsidRPr="00D741B2">
        <w:rPr>
          <w:noProof/>
        </w:rPr>
        <w:t>(4), 805-813. doi:10.1002/1097-0142(20010815)92:4&lt;805::aid-cncr1386&gt;</w:t>
      </w:r>
      <w:hyperlink r:id="rId40" w:history="1">
        <w:r w:rsidRPr="009A5BAE">
          <w:rPr>
            <w:noProof/>
          </w:rPr>
          <w:t>3.0.co</w:t>
        </w:r>
      </w:hyperlink>
      <w:r w:rsidRPr="00D741B2">
        <w:rPr>
          <w:noProof/>
        </w:rPr>
        <w:t>;2-9</w:t>
      </w:r>
    </w:p>
    <w:p w14:paraId="2E478C0F" w14:textId="77777777" w:rsidR="00E0795A" w:rsidRPr="00D741B2" w:rsidRDefault="00E0795A" w:rsidP="009A5BAE">
      <w:pPr>
        <w:pStyle w:val="EndNoteCategoryHeading"/>
        <w:rPr>
          <w:noProof/>
        </w:rPr>
      </w:pPr>
      <w:r w:rsidRPr="00D741B2">
        <w:rPr>
          <w:noProof/>
        </w:rPr>
        <w:t>Lindquist, D., Romanitan, M., Hammarstedt, L., Näsman, A., Dahlstrand, H., Lindholm, J., . . . Dalianis, T. (2007). Human papillomavirus is a favourable prognostic factor in tonsillar cancer and its oncogenic role is supported by the expression of E6 and E7. </w:t>
      </w:r>
      <w:r w:rsidRPr="009A5BAE">
        <w:rPr>
          <w:noProof/>
        </w:rPr>
        <w:t>Mol Oncol, 1</w:t>
      </w:r>
      <w:r w:rsidRPr="00D741B2">
        <w:rPr>
          <w:noProof/>
        </w:rPr>
        <w:t>(3), 350-355. doi:10.1016/j.molonc.2007.08.005</w:t>
      </w:r>
    </w:p>
    <w:p w14:paraId="09D4E029" w14:textId="77777777" w:rsidR="00E0795A" w:rsidRPr="00736A43" w:rsidRDefault="00E0795A" w:rsidP="009A5BAE">
      <w:pPr>
        <w:pStyle w:val="EndNoteCategoryHeading"/>
        <w:rPr>
          <w:noProof/>
          <w:lang w:val="de-DE"/>
        </w:rPr>
      </w:pPr>
      <w:r w:rsidRPr="00D741B2">
        <w:rPr>
          <w:noProof/>
        </w:rPr>
        <w:t>Lingen, M. W. (2000). Lucas' pathology of tumors of the oral tissues. </w:t>
      </w:r>
      <w:r w:rsidRPr="00736A43">
        <w:rPr>
          <w:noProof/>
          <w:lang w:val="de-DE"/>
        </w:rPr>
        <w:t>Arch Pathol Lab Med, 124(3), 475.</w:t>
      </w:r>
    </w:p>
    <w:p w14:paraId="46A84E06" w14:textId="77777777" w:rsidR="00E0795A" w:rsidRPr="00D741B2" w:rsidRDefault="00E0795A" w:rsidP="009A5BAE">
      <w:pPr>
        <w:pStyle w:val="EndNoteCategoryHeading"/>
        <w:rPr>
          <w:noProof/>
        </w:rPr>
      </w:pPr>
      <w:r w:rsidRPr="00736A43">
        <w:rPr>
          <w:noProof/>
          <w:lang w:val="de-DE"/>
        </w:rPr>
        <w:lastRenderedPageBreak/>
        <w:t>Lohaus, F., Linge, A., Tinhofer, I., Budach, V., Gkika, E., Stuschke, M., . . . Dktk, R. O. G. (2014). </w:t>
      </w:r>
      <w:r w:rsidRPr="00D741B2">
        <w:rPr>
          <w:noProof/>
        </w:rPr>
        <w:t>HPV16 DNA status is a strong prognosticator of loco-regional control after postoperative radiochemotherapy of locally advanced oropharyngeal carcinoma: results from a multicentre explorative study of the German Cancer Consortium Radiation Oncology Group (DKTK-ROG). </w:t>
      </w:r>
      <w:r w:rsidRPr="009A5BAE">
        <w:rPr>
          <w:noProof/>
        </w:rPr>
        <w:t>Radiother Oncol, 113</w:t>
      </w:r>
      <w:r w:rsidRPr="00D741B2">
        <w:rPr>
          <w:noProof/>
        </w:rPr>
        <w:t>(3), 317-323. doi:10.1016/j.radonc.2014.11.011</w:t>
      </w:r>
    </w:p>
    <w:p w14:paraId="41C620CF" w14:textId="77777777" w:rsidR="00E0795A" w:rsidRPr="009A5BAE" w:rsidRDefault="00E0795A" w:rsidP="009A5BAE">
      <w:pPr>
        <w:pStyle w:val="EndNoteCategoryHeading"/>
        <w:rPr>
          <w:noProof/>
          <w:lang w:val="de-DE"/>
        </w:rPr>
      </w:pPr>
      <w:r w:rsidRPr="00D741B2">
        <w:rPr>
          <w:noProof/>
        </w:rPr>
        <w:t>Mack, B., &amp; Gires, O. (2008). CD44s and CD44v6 expression in head and neck epithelia. </w:t>
      </w:r>
      <w:r w:rsidRPr="009A5BAE">
        <w:rPr>
          <w:noProof/>
          <w:lang w:val="de-DE"/>
        </w:rPr>
        <w:t>PLoS One, 3(10), e3360. doi:10.1371/journal.pone.0003360</w:t>
      </w:r>
    </w:p>
    <w:p w14:paraId="68E57CDD" w14:textId="77777777" w:rsidR="00E0795A" w:rsidRPr="00D741B2" w:rsidRDefault="00E0795A" w:rsidP="009A5BAE">
      <w:pPr>
        <w:pStyle w:val="EndNoteCategoryHeading"/>
        <w:rPr>
          <w:noProof/>
        </w:rPr>
      </w:pPr>
      <w:r w:rsidRPr="009A5BAE">
        <w:rPr>
          <w:noProof/>
          <w:lang w:val="de-DE"/>
        </w:rPr>
        <w:t>MacMillan, C., Kapadia, S. B., Finkelstein, S. D., Nalesnik, M. A., &amp; Barnes, L. (1996). </w:t>
      </w:r>
      <w:r w:rsidRPr="00D741B2">
        <w:rPr>
          <w:noProof/>
        </w:rPr>
        <w:t>Lymphoepithelial carcinoma of the larynx and hypopharynx: study of eight cases with relationship to Epstein-Barr virus and p53 gene alterations, and review of the literature. </w:t>
      </w:r>
      <w:r w:rsidRPr="009A5BAE">
        <w:rPr>
          <w:noProof/>
        </w:rPr>
        <w:t>Hum Pathol, 27</w:t>
      </w:r>
      <w:r w:rsidRPr="00D741B2">
        <w:rPr>
          <w:noProof/>
        </w:rPr>
        <w:t>(11), 1172-1179. doi:10.1016/s0046-8177(96)90311-1</w:t>
      </w:r>
    </w:p>
    <w:p w14:paraId="46F4180E" w14:textId="77777777" w:rsidR="00E0795A" w:rsidRPr="00D741B2" w:rsidRDefault="00E0795A" w:rsidP="009A5BAE">
      <w:pPr>
        <w:pStyle w:val="EndNoteCategoryHeading"/>
        <w:rPr>
          <w:noProof/>
        </w:rPr>
      </w:pPr>
      <w:r w:rsidRPr="00D741B2">
        <w:rPr>
          <w:noProof/>
        </w:rPr>
        <w:t>Mashberg, A., &amp; Samit, A. (1995). Early diagnosis of asymptomatic oral and oropharyngeal squamous cancers. </w:t>
      </w:r>
      <w:r w:rsidRPr="009A5BAE">
        <w:rPr>
          <w:noProof/>
        </w:rPr>
        <w:t>CA Cancer J Clin, 45</w:t>
      </w:r>
      <w:r w:rsidRPr="00D741B2">
        <w:rPr>
          <w:noProof/>
        </w:rPr>
        <w:t>(6), 328-351. doi:10.3322/canjclin.45.6.328</w:t>
      </w:r>
    </w:p>
    <w:p w14:paraId="1D4BAEE6" w14:textId="77777777" w:rsidR="00E0795A" w:rsidRPr="00D741B2" w:rsidRDefault="00E0795A" w:rsidP="009A5BAE">
      <w:pPr>
        <w:pStyle w:val="EndNoteCategoryHeading"/>
        <w:rPr>
          <w:noProof/>
        </w:rPr>
      </w:pPr>
      <w:r w:rsidRPr="00D741B2">
        <w:rPr>
          <w:noProof/>
        </w:rPr>
        <w:t>Nocito, A., Kononen, J., Kallioniemi, O. P., &amp; Sauter, G. (2001). Tissue microarrays (TMAs) for high-throughput molecular pathology research. </w:t>
      </w:r>
      <w:r w:rsidRPr="009A5BAE">
        <w:rPr>
          <w:noProof/>
        </w:rPr>
        <w:t>Int J Cancer, 94</w:t>
      </w:r>
      <w:r w:rsidRPr="00D741B2">
        <w:rPr>
          <w:noProof/>
        </w:rPr>
        <w:t>(1), 1-5. doi:10.1002/ijc.1385</w:t>
      </w:r>
    </w:p>
    <w:p w14:paraId="7B8170E9" w14:textId="77777777" w:rsidR="00E0795A" w:rsidRPr="00D741B2" w:rsidRDefault="00E0795A" w:rsidP="009A5BAE">
      <w:pPr>
        <w:pStyle w:val="EndNoteCategoryHeading"/>
        <w:rPr>
          <w:noProof/>
        </w:rPr>
      </w:pPr>
      <w:r w:rsidRPr="00D741B2">
        <w:rPr>
          <w:noProof/>
        </w:rPr>
        <w:t>Odell, E. W., Farthing, P. M., High, A., Potts, J., Soames, J., Thakker, N., . . . Williams, H. K. (2004). British Society for Oral and Maxillofacial Pathology, UK: minimum curriculum in oral pathology. </w:t>
      </w:r>
      <w:r w:rsidRPr="009A5BAE">
        <w:rPr>
          <w:noProof/>
        </w:rPr>
        <w:t>Eur J Dent Educ, 8</w:t>
      </w:r>
      <w:r w:rsidRPr="00D741B2">
        <w:rPr>
          <w:noProof/>
        </w:rPr>
        <w:t>(4), 177-184. doi:10.1111/j.1600-0579.2004.00350.x</w:t>
      </w:r>
    </w:p>
    <w:p w14:paraId="2FD5A62A" w14:textId="77777777" w:rsidR="00E0795A" w:rsidRPr="00D741B2" w:rsidRDefault="00E0795A" w:rsidP="009A5BAE">
      <w:pPr>
        <w:pStyle w:val="EndNoteCategoryHeading"/>
        <w:rPr>
          <w:noProof/>
        </w:rPr>
      </w:pPr>
      <w:r w:rsidRPr="00D741B2">
        <w:rPr>
          <w:noProof/>
        </w:rPr>
        <w:t>Paz, I. B., Cook, N., Odom-Maryon, T., Xie, Y., &amp; Wilczynski, S. P. (1997). Human papillomavirus (HPV) in head and neck cancer. An association of HPV 16 with squamous cell carcinoma of Waldeyer's tonsillar ring. </w:t>
      </w:r>
      <w:r w:rsidRPr="009A5BAE">
        <w:rPr>
          <w:noProof/>
        </w:rPr>
        <w:t>Cancer, 79</w:t>
      </w:r>
      <w:r w:rsidRPr="00D741B2">
        <w:rPr>
          <w:noProof/>
        </w:rPr>
        <w:t>(3), 595-604. doi:10.1002/(sici)1097-0142(19970201)79:3&lt;595::aid-cncr24&gt;</w:t>
      </w:r>
      <w:hyperlink r:id="rId41" w:history="1">
        <w:r w:rsidRPr="009A5BAE">
          <w:rPr>
            <w:noProof/>
          </w:rPr>
          <w:t>3.0.co</w:t>
        </w:r>
      </w:hyperlink>
      <w:r w:rsidRPr="00D741B2">
        <w:rPr>
          <w:noProof/>
        </w:rPr>
        <w:t>;2-y</w:t>
      </w:r>
    </w:p>
    <w:p w14:paraId="32545520" w14:textId="77777777" w:rsidR="00E0795A" w:rsidRPr="00D741B2" w:rsidRDefault="00E0795A" w:rsidP="009A5BAE">
      <w:pPr>
        <w:pStyle w:val="EndNoteCategoryHeading"/>
        <w:rPr>
          <w:noProof/>
        </w:rPr>
      </w:pPr>
      <w:r w:rsidRPr="00D741B2">
        <w:rPr>
          <w:noProof/>
        </w:rPr>
        <w:t>Prince, M. E., Sivanandan, R., Kaczorowski, A., Wolf, G. T., Kaplan, M. J., Dalerba, P., . . . Ailles, L. E. (2007). Identification of a subpopulation of cells with cancer stem cell properties in head and neck squamous cell carcinoma. </w:t>
      </w:r>
      <w:r w:rsidRPr="009A5BAE">
        <w:rPr>
          <w:noProof/>
        </w:rPr>
        <w:t>Proc Natl Acad Sci U S A, 104</w:t>
      </w:r>
      <w:r w:rsidRPr="00D741B2">
        <w:rPr>
          <w:noProof/>
        </w:rPr>
        <w:t>(3), 973-978. doi:10.1073/pnas.0610117104</w:t>
      </w:r>
    </w:p>
    <w:p w14:paraId="68528B7B" w14:textId="77777777" w:rsidR="00E0795A" w:rsidRPr="00D741B2" w:rsidRDefault="00E0795A" w:rsidP="009A5BAE">
      <w:pPr>
        <w:pStyle w:val="EndNoteCategoryHeading"/>
        <w:rPr>
          <w:noProof/>
        </w:rPr>
      </w:pPr>
      <w:r w:rsidRPr="00D741B2">
        <w:rPr>
          <w:noProof/>
        </w:rPr>
        <w:t>Raslan, W. F., Barnes, L., Krause, J. R., Contis, L., Killeen, R., &amp; Kapadia, S. B. (1994). Basaloid squamous cell carcinoma of the head and neck: a clinicopathologic and flow cytometric study of 10 new cases with review of the English literature. </w:t>
      </w:r>
      <w:r w:rsidRPr="009A5BAE">
        <w:rPr>
          <w:noProof/>
        </w:rPr>
        <w:t>Am J Otolaryngol, 15</w:t>
      </w:r>
      <w:r w:rsidRPr="00D741B2">
        <w:rPr>
          <w:noProof/>
        </w:rPr>
        <w:t>(3), 204-211. doi:10.1016/0196-0709(94)90006-x</w:t>
      </w:r>
    </w:p>
    <w:p w14:paraId="41BDEC3D" w14:textId="77777777" w:rsidR="00E0795A" w:rsidRPr="009A5BAE" w:rsidRDefault="00E0795A" w:rsidP="009A5BAE">
      <w:pPr>
        <w:pStyle w:val="EndNoteCategoryHeading"/>
        <w:rPr>
          <w:noProof/>
          <w:lang w:val="de-DE"/>
        </w:rPr>
      </w:pPr>
      <w:r w:rsidRPr="00404322">
        <w:rPr>
          <w:noProof/>
        </w:rPr>
        <w:lastRenderedPageBreak/>
        <w:t xml:space="preserve">Ritchie, J. M., Smith, E. M., Summersgill, K. F., Hoffman, H. T., Wang, D., Klussmann, J. P., . . . </w:t>
      </w:r>
      <w:r w:rsidRPr="00D741B2">
        <w:rPr>
          <w:noProof/>
        </w:rPr>
        <w:t>Haugen, T. H. (2003). Human papillomavirus infection as a prognostic factor in carcinomas of the oral cavity and oropharynx. </w:t>
      </w:r>
      <w:r w:rsidRPr="009A5BAE">
        <w:rPr>
          <w:noProof/>
          <w:lang w:val="de-DE"/>
        </w:rPr>
        <w:t>Int J Cancer, 104(3), 336-344. doi:10.1002/ijc.10960</w:t>
      </w:r>
    </w:p>
    <w:p w14:paraId="2E1CB1FC" w14:textId="77777777" w:rsidR="00E0795A" w:rsidRPr="00736A43" w:rsidRDefault="00E0795A" w:rsidP="009A5BAE">
      <w:pPr>
        <w:pStyle w:val="EndNoteCategoryHeading"/>
        <w:rPr>
          <w:noProof/>
          <w:lang w:val="de-DE"/>
        </w:rPr>
      </w:pPr>
      <w:r w:rsidRPr="009A5BAE">
        <w:rPr>
          <w:noProof/>
          <w:lang w:val="de-DE"/>
        </w:rPr>
        <w:t xml:space="preserve">RKI. (2021). Krebs in Deutschland für 2017/2018 13. </w:t>
      </w:r>
      <w:r w:rsidRPr="00736A43">
        <w:rPr>
          <w:noProof/>
          <w:lang w:val="de-DE"/>
        </w:rPr>
        <w:t>Auflage Berlin. Retrieved from Berlin:</w:t>
      </w:r>
    </w:p>
    <w:p w14:paraId="1DE4D183" w14:textId="77777777" w:rsidR="00E0795A" w:rsidRPr="009A5BAE" w:rsidRDefault="00E0795A" w:rsidP="009A5BAE">
      <w:pPr>
        <w:pStyle w:val="EndNoteCategoryHeading"/>
        <w:rPr>
          <w:noProof/>
          <w:lang w:val="de-DE"/>
        </w:rPr>
      </w:pPr>
      <w:r w:rsidRPr="00D741B2">
        <w:rPr>
          <w:noProof/>
        </w:rPr>
        <w:t>Sabatini, M. E., &amp; Chiocca, S. (2020). Human papillomavirus as a driver of head and neck cancers. </w:t>
      </w:r>
      <w:r w:rsidRPr="009A5BAE">
        <w:rPr>
          <w:noProof/>
          <w:lang w:val="de-DE"/>
        </w:rPr>
        <w:t>British Journal of Cancer, 122(3), 306-314. doi:10.1038/s41416-019-0602-7</w:t>
      </w:r>
    </w:p>
    <w:p w14:paraId="6E465492" w14:textId="77777777" w:rsidR="00E0795A" w:rsidRPr="009A5BAE" w:rsidRDefault="00E0795A" w:rsidP="009A5BAE">
      <w:pPr>
        <w:pStyle w:val="EndNoteCategoryHeading"/>
        <w:rPr>
          <w:noProof/>
          <w:lang w:val="de-DE"/>
        </w:rPr>
      </w:pPr>
      <w:r w:rsidRPr="009A5BAE">
        <w:rPr>
          <w:noProof/>
          <w:lang w:val="de-DE"/>
        </w:rPr>
        <w:t>Schmincke, A. (1921). Beitrage zur pathologischen Anatomie und allgemeinen Pathologie: Gustav Fischer Verlag.</w:t>
      </w:r>
    </w:p>
    <w:p w14:paraId="1B2757E8" w14:textId="77777777" w:rsidR="00E0795A" w:rsidRPr="00D741B2" w:rsidRDefault="00E0795A" w:rsidP="009A5BAE">
      <w:pPr>
        <w:pStyle w:val="EndNoteCategoryHeading"/>
        <w:rPr>
          <w:noProof/>
        </w:rPr>
      </w:pPr>
      <w:r w:rsidRPr="00D741B2">
        <w:rPr>
          <w:noProof/>
        </w:rPr>
        <w:t>Shi, W., Kato, H., Perez-Ordonez, B., Pintilie, M., Huang, S., Hui, A., . . . Liu, F. F. (2009). Comparative prognostic value of HPV16 E6 mRNA compared with in situ hybridization for human oropharyngeal squamous carcinoma. </w:t>
      </w:r>
      <w:r w:rsidRPr="009A5BAE">
        <w:rPr>
          <w:noProof/>
        </w:rPr>
        <w:t>J Clin Oncol, 27</w:t>
      </w:r>
      <w:r w:rsidRPr="00D741B2">
        <w:rPr>
          <w:noProof/>
        </w:rPr>
        <w:t>(36), 6213-6221. doi:10.1200/JCO.2009.23.1670</w:t>
      </w:r>
    </w:p>
    <w:p w14:paraId="4F64244A" w14:textId="77777777" w:rsidR="00E0795A" w:rsidRPr="00D741B2" w:rsidRDefault="00E0795A" w:rsidP="009A5BAE">
      <w:pPr>
        <w:pStyle w:val="EndNoteCategoryHeading"/>
        <w:rPr>
          <w:noProof/>
        </w:rPr>
      </w:pPr>
      <w:r w:rsidRPr="00D741B2">
        <w:rPr>
          <w:noProof/>
        </w:rPr>
        <w:t>Smith, E. M., Ritchie, J. M., Summersgill, K. F., Klussmann, J. P., Lee, J. H., Wang, D., . . . Turek, L. P. (2004). Age, sexual behavior and human papillomavirus infection in oral cavity and oropharyngeal cancers. </w:t>
      </w:r>
      <w:r w:rsidRPr="009A5BAE">
        <w:rPr>
          <w:noProof/>
        </w:rPr>
        <w:t>Int J Cancer, 108</w:t>
      </w:r>
      <w:r w:rsidRPr="00D741B2">
        <w:rPr>
          <w:noProof/>
        </w:rPr>
        <w:t>(5), 766-772. doi:10.1002/ijc.11633</w:t>
      </w:r>
    </w:p>
    <w:p w14:paraId="4FD10FE3" w14:textId="77777777" w:rsidR="00E0795A" w:rsidRPr="00D741B2" w:rsidRDefault="00E0795A" w:rsidP="009A5BAE">
      <w:pPr>
        <w:pStyle w:val="EndNoteCategoryHeading"/>
        <w:rPr>
          <w:noProof/>
        </w:rPr>
      </w:pPr>
      <w:r w:rsidRPr="00D741B2">
        <w:rPr>
          <w:noProof/>
        </w:rPr>
        <w:t>Snijders, P. J., Cromme, F. V., van den Brule, A. J., Schrijnemakers, H. F., Snow, G. B., Meijer, C. J., &amp; Walboomers, J. M. (1992). Prevalence and expression of human papillomavirus in tonsillar carcinomas, indicating a possible viral etiology. </w:t>
      </w:r>
      <w:r w:rsidRPr="009A5BAE">
        <w:rPr>
          <w:noProof/>
        </w:rPr>
        <w:t>Int J Cancer, 51</w:t>
      </w:r>
      <w:r w:rsidRPr="00D741B2">
        <w:rPr>
          <w:noProof/>
        </w:rPr>
        <w:t>(6), 845-850. doi:10.1002/ijc.2910510602</w:t>
      </w:r>
    </w:p>
    <w:p w14:paraId="225B4B9D" w14:textId="77777777" w:rsidR="00E0795A" w:rsidRPr="00A16540" w:rsidRDefault="00E0795A" w:rsidP="009A5BAE">
      <w:pPr>
        <w:pStyle w:val="EndNoteCategoryHeading"/>
        <w:rPr>
          <w:noProof/>
        </w:rPr>
      </w:pPr>
      <w:r w:rsidRPr="00D741B2">
        <w:rPr>
          <w:noProof/>
        </w:rPr>
        <w:t>Sturgis, E. M., &amp; Cinciripini, P. M. (2007). Trends in head and neck cancer incidence in relation to smoking prevalence: an emerging epidemic of human papillomavirus-associated cancers? </w:t>
      </w:r>
      <w:r w:rsidRPr="009A5BAE">
        <w:rPr>
          <w:noProof/>
        </w:rPr>
        <w:t>Cancer, 110</w:t>
      </w:r>
      <w:r w:rsidRPr="00A16540">
        <w:rPr>
          <w:noProof/>
        </w:rPr>
        <w:t>(7), 1429-1435. doi:10.1002/cncr.22963</w:t>
      </w:r>
    </w:p>
    <w:p w14:paraId="237078D7" w14:textId="77777777" w:rsidR="00E0795A" w:rsidRPr="00D741B2" w:rsidRDefault="00E0795A" w:rsidP="009A5BAE">
      <w:pPr>
        <w:pStyle w:val="EndNoteCategoryHeading"/>
        <w:rPr>
          <w:noProof/>
        </w:rPr>
      </w:pPr>
      <w:r w:rsidRPr="00A16540">
        <w:rPr>
          <w:noProof/>
        </w:rPr>
        <w:t xml:space="preserve">Syrjanen, K., Syrjanen, S., &amp; Pyrhonen, S. (1982). </w:t>
      </w:r>
      <w:r w:rsidRPr="00D741B2">
        <w:rPr>
          <w:noProof/>
        </w:rPr>
        <w:t>Human papilloma virus (HPV) antigens in lesions of laryngeal squamous cell carcinomas. </w:t>
      </w:r>
      <w:r w:rsidRPr="009A5BAE">
        <w:rPr>
          <w:noProof/>
        </w:rPr>
        <w:t>ORL J Otorhinolaryngol Relat Spec, 44</w:t>
      </w:r>
      <w:r w:rsidRPr="00D741B2">
        <w:rPr>
          <w:noProof/>
        </w:rPr>
        <w:t>(6), 323-334. doi:10.1159/000275612</w:t>
      </w:r>
    </w:p>
    <w:p w14:paraId="2CD8896D" w14:textId="77777777" w:rsidR="00E0795A" w:rsidRPr="00D741B2" w:rsidRDefault="00E0795A" w:rsidP="009A5BAE">
      <w:pPr>
        <w:pStyle w:val="EndNoteCategoryHeading"/>
        <w:rPr>
          <w:noProof/>
        </w:rPr>
      </w:pPr>
      <w:r w:rsidRPr="00D741B2">
        <w:rPr>
          <w:noProof/>
        </w:rPr>
        <w:t>Thompson, L. (2006). World Health Organization classification of tumours: pathology and genetics of head and neck tumours. </w:t>
      </w:r>
      <w:r w:rsidRPr="009A5BAE">
        <w:rPr>
          <w:noProof/>
        </w:rPr>
        <w:t>Ear Nose Throat J, 85</w:t>
      </w:r>
      <w:r w:rsidRPr="00D741B2">
        <w:rPr>
          <w:noProof/>
        </w:rPr>
        <w:t>(2), 74.</w:t>
      </w:r>
    </w:p>
    <w:p w14:paraId="0A1CF2B8" w14:textId="77777777" w:rsidR="00E0795A" w:rsidRPr="00D741B2" w:rsidRDefault="00E0795A" w:rsidP="009A5BAE">
      <w:pPr>
        <w:pStyle w:val="EndNoteCategoryHeading"/>
        <w:rPr>
          <w:noProof/>
        </w:rPr>
      </w:pPr>
      <w:r w:rsidRPr="00404322">
        <w:rPr>
          <w:noProof/>
        </w:rPr>
        <w:t xml:space="preserve">Thompson, L. D., Wieneke, J. A., Miettinen, M., &amp; Heffner, D. K. (2002). </w:t>
      </w:r>
      <w:r w:rsidRPr="00D741B2">
        <w:rPr>
          <w:noProof/>
        </w:rPr>
        <w:t>Spindle cell (sarcomatoid) carcinomas of the larynx: a clinicopathologic study of 187 cases. </w:t>
      </w:r>
      <w:r w:rsidRPr="009A5BAE">
        <w:rPr>
          <w:noProof/>
        </w:rPr>
        <w:t>Am J Surg Pathol, 26</w:t>
      </w:r>
      <w:r w:rsidRPr="00D741B2">
        <w:rPr>
          <w:noProof/>
        </w:rPr>
        <w:t>(2), 153-170. doi:10.1097/00000478-200202000-00002</w:t>
      </w:r>
    </w:p>
    <w:p w14:paraId="13982156" w14:textId="77777777" w:rsidR="00E0795A" w:rsidRPr="00D741B2" w:rsidRDefault="00E0795A" w:rsidP="009A5BAE">
      <w:pPr>
        <w:pStyle w:val="EndNoteCategoryHeading"/>
        <w:rPr>
          <w:noProof/>
        </w:rPr>
      </w:pPr>
      <w:r w:rsidRPr="00D741B2">
        <w:rPr>
          <w:noProof/>
        </w:rPr>
        <w:lastRenderedPageBreak/>
        <w:t>Thompson, L. D. R., &amp; Bishop, J. A. (2017). </w:t>
      </w:r>
      <w:r w:rsidRPr="009A5BAE">
        <w:rPr>
          <w:noProof/>
        </w:rPr>
        <w:t>Head and Neck Pathology E-Book: A Volume in the Series: Foundations in Diagnostic Pathology</w:t>
      </w:r>
      <w:r w:rsidRPr="00D741B2">
        <w:rPr>
          <w:noProof/>
        </w:rPr>
        <w:t>: Elsevier Health Sciences.</w:t>
      </w:r>
    </w:p>
    <w:p w14:paraId="4E43A553" w14:textId="77777777" w:rsidR="00E0795A" w:rsidRPr="009A5BAE" w:rsidRDefault="00E0795A" w:rsidP="009A5BAE">
      <w:pPr>
        <w:pStyle w:val="EndNoteCategoryHeading"/>
        <w:rPr>
          <w:noProof/>
          <w:lang w:val="de-DE"/>
        </w:rPr>
      </w:pPr>
      <w:r w:rsidRPr="00D741B2">
        <w:rPr>
          <w:noProof/>
        </w:rPr>
        <w:t>Thurnher, D., Grasl, M., Erovic, B. M., &amp; Lercher, P. (2010). </w:t>
      </w:r>
      <w:r w:rsidRPr="009A5BAE">
        <w:rPr>
          <w:noProof/>
          <w:lang w:val="de-DE"/>
        </w:rPr>
        <w:t>HNO-Heilkunde: Ein symptomorientiertes Lehrbuch: Springer Vienna.</w:t>
      </w:r>
    </w:p>
    <w:p w14:paraId="142A4D21" w14:textId="77777777" w:rsidR="00E0795A" w:rsidRPr="00D741B2" w:rsidRDefault="00E0795A" w:rsidP="009A5BAE">
      <w:pPr>
        <w:pStyle w:val="EndNoteCategoryHeading"/>
        <w:rPr>
          <w:noProof/>
        </w:rPr>
      </w:pPr>
      <w:r w:rsidRPr="009A5BAE">
        <w:rPr>
          <w:noProof/>
          <w:lang w:val="de-DE"/>
        </w:rPr>
        <w:t xml:space="preserve">Vokes, E. E., Weichselbaum, R. R., Lippman, S. M., &amp; Hong, W. K. (1993). </w:t>
      </w:r>
      <w:r w:rsidRPr="00D741B2">
        <w:rPr>
          <w:noProof/>
        </w:rPr>
        <w:t>Head and neck cancer. </w:t>
      </w:r>
      <w:r w:rsidRPr="009A5BAE">
        <w:rPr>
          <w:noProof/>
        </w:rPr>
        <w:t>N Engl J Med, 328</w:t>
      </w:r>
      <w:r w:rsidRPr="00D741B2">
        <w:rPr>
          <w:noProof/>
        </w:rPr>
        <w:t>(3), 184-194. doi:10.1056/NEJM199301213280306</w:t>
      </w:r>
    </w:p>
    <w:p w14:paraId="35DD94A6" w14:textId="77777777" w:rsidR="00E0795A" w:rsidRPr="00D741B2" w:rsidRDefault="00E0795A" w:rsidP="009A5BAE">
      <w:pPr>
        <w:pStyle w:val="EndNoteCategoryHeading"/>
        <w:rPr>
          <w:noProof/>
        </w:rPr>
      </w:pPr>
      <w:r w:rsidRPr="00D741B2">
        <w:rPr>
          <w:noProof/>
        </w:rPr>
        <w:t>Weinberger, P. M., Yu, Z., Haffty, B. G., Kowalski, D., Harigopal, M., Brandsma, J., . . . Psyrri, A. (2006). Molecular classification identifies a subset of human papillomavirus--associated oropharyngeal cancers with favorable prognosis. </w:t>
      </w:r>
      <w:r w:rsidRPr="009A5BAE">
        <w:rPr>
          <w:noProof/>
        </w:rPr>
        <w:t>J Clin Oncol, 24</w:t>
      </w:r>
      <w:r w:rsidRPr="00D741B2">
        <w:rPr>
          <w:noProof/>
        </w:rPr>
        <w:t>(5), 736-747. doi:10.1200/JCO.2004.00.3335</w:t>
      </w:r>
    </w:p>
    <w:p w14:paraId="109C7DD9" w14:textId="77777777" w:rsidR="00E0795A" w:rsidRPr="009A5BAE" w:rsidRDefault="00E0795A" w:rsidP="009A5BAE">
      <w:pPr>
        <w:pStyle w:val="EndNoteCategoryHeading"/>
        <w:rPr>
          <w:noProof/>
          <w:lang w:val="de-DE"/>
        </w:rPr>
      </w:pPr>
      <w:r w:rsidRPr="0074237C">
        <w:rPr>
          <w:noProof/>
        </w:rPr>
        <w:t xml:space="preserve">Wicha, M. S., Liu, S., &amp; Dontu, G. (2006). </w:t>
      </w:r>
      <w:r w:rsidRPr="00D741B2">
        <w:rPr>
          <w:noProof/>
        </w:rPr>
        <w:t>Cancer stem cells: an old idea--a paradigm shift. </w:t>
      </w:r>
      <w:r w:rsidRPr="009A5BAE">
        <w:rPr>
          <w:noProof/>
          <w:lang w:val="de-DE"/>
        </w:rPr>
        <w:t>Cancer Res, 66(4), 1883-1890; discussion 1895-1886. doi:10.1158/0008-5472.CAN-05-3153</w:t>
      </w:r>
    </w:p>
    <w:p w14:paraId="5E94A3A1" w14:textId="77777777" w:rsidR="00E0795A" w:rsidRPr="009A5BAE" w:rsidRDefault="00E0795A" w:rsidP="009A5BAE">
      <w:pPr>
        <w:pStyle w:val="EndNoteCategoryHeading"/>
        <w:rPr>
          <w:noProof/>
          <w:lang w:val="de-DE"/>
        </w:rPr>
      </w:pPr>
      <w:r w:rsidRPr="009A5BAE">
        <w:rPr>
          <w:noProof/>
          <w:lang w:val="de-DE"/>
        </w:rPr>
        <w:t>Wittekind, C. (2013). TNM-Supplement: Erlauterungen Zur Einheitlichen Anwendung: Wiley-VCH.</w:t>
      </w:r>
    </w:p>
    <w:p w14:paraId="0756415E" w14:textId="77777777" w:rsidR="00E0795A" w:rsidRPr="00D741B2" w:rsidRDefault="00E0795A" w:rsidP="009A5BAE">
      <w:pPr>
        <w:pStyle w:val="EndNoteCategoryHeading"/>
        <w:rPr>
          <w:noProof/>
        </w:rPr>
      </w:pPr>
      <w:r w:rsidRPr="00D741B2">
        <w:rPr>
          <w:noProof/>
        </w:rPr>
        <w:t>Zhang, Q., Shi, S., Yen, Y., Brown, J., Ta, J. Q., &amp; Le, A. D. (2010). A subpopulation of CD133(+) cancer stem-like cells characterized in human oral squamous cell carcinoma confer resistance to chemotherapy. </w:t>
      </w:r>
      <w:r w:rsidRPr="009A5BAE">
        <w:rPr>
          <w:noProof/>
        </w:rPr>
        <w:t>Cancer Lett, 289</w:t>
      </w:r>
      <w:r w:rsidRPr="00D741B2">
        <w:rPr>
          <w:noProof/>
        </w:rPr>
        <w:t>(2), 151-160. doi:10.1016/j.canlet.2009.08.010</w:t>
      </w:r>
    </w:p>
    <w:p w14:paraId="13165984" w14:textId="77777777" w:rsidR="00E0795A" w:rsidRDefault="00E0795A" w:rsidP="009A5BAE">
      <w:pPr>
        <w:pStyle w:val="Literaturverzeichnis"/>
      </w:pPr>
    </w:p>
    <w:sdt>
      <w:sdtPr>
        <w:tag w:val="SNOWYOWL_BIB"/>
        <w:id w:val="963083285"/>
        <w:placeholder>
          <w:docPart w:val="DefaultPlaceholder_-1854013440"/>
        </w:placeholder>
      </w:sdtPr>
      <w:sdtContent>
        <w:p w14:paraId="12C0AC83" w14:textId="094B67F1" w:rsidR="009D7EB8" w:rsidRPr="009D7EB8" w:rsidRDefault="009D7EB8" w:rsidP="009A5BAE">
          <w:pPr>
            <w:pStyle w:val="Literaturverzeichnis"/>
          </w:pPr>
          <w:r w:rsidRPr="009D7EB8">
            <w:rPr>
              <w:sz w:val="21"/>
              <w:szCs w:val="21"/>
            </w:rPr>
            <w:t> </w:t>
          </w:r>
        </w:p>
      </w:sdtContent>
    </w:sdt>
    <w:p w14:paraId="76CC961C" w14:textId="77777777" w:rsidR="009D7EB8" w:rsidRPr="009D7EB8" w:rsidRDefault="009D7EB8" w:rsidP="009A5BAE">
      <w:pPr>
        <w:pStyle w:val="Literaturverzeichnis"/>
        <w:rPr>
          <w:lang w:eastAsia="de-DE"/>
        </w:rPr>
      </w:pPr>
    </w:p>
    <w:p w14:paraId="2215D496" w14:textId="48A7E42E" w:rsidR="00E24C7A" w:rsidRPr="00812C16" w:rsidRDefault="00E24C7A" w:rsidP="001830EA">
      <w:pPr>
        <w:pStyle w:val="berschrift1"/>
        <w:rPr>
          <w:rFonts w:cs="Arial"/>
        </w:rPr>
      </w:pPr>
      <w:bookmarkStart w:id="98" w:name="_Toc158006554"/>
      <w:r w:rsidRPr="00812C16">
        <w:rPr>
          <w:rFonts w:cs="Arial"/>
        </w:rPr>
        <w:t>Abkürzungsverzeichnis</w:t>
      </w:r>
      <w:bookmarkEnd w:id="98"/>
      <w:r w:rsidRPr="00812C16">
        <w:rPr>
          <w:rFonts w:cs="Arial"/>
        </w:rPr>
        <w:t xml:space="preserve"> </w:t>
      </w:r>
    </w:p>
    <w:p w14:paraId="3A894048" w14:textId="77777777" w:rsidR="00E24C7A" w:rsidRPr="00812C16" w:rsidRDefault="00E24C7A">
      <w:pPr>
        <w:jc w:val="left"/>
        <w:rPr>
          <w:rFonts w:cs="Arial"/>
          <w:b/>
          <w:color w:val="000000" w:themeColor="text1"/>
          <w:sz w:val="28"/>
          <w:szCs w:val="36"/>
          <w:lang w:eastAsia="de-DE"/>
        </w:rPr>
      </w:pPr>
      <w:r w:rsidRPr="00812C16">
        <w:rPr>
          <w:rFonts w:cs="Arial"/>
        </w:rPr>
        <w:br w:type="page"/>
      </w:r>
    </w:p>
    <w:p w14:paraId="3E73D011" w14:textId="77777777" w:rsidR="00487E02" w:rsidRPr="00812C16" w:rsidRDefault="00E24C7A" w:rsidP="001830EA">
      <w:pPr>
        <w:pStyle w:val="berschrift1"/>
        <w:rPr>
          <w:rFonts w:cs="Arial"/>
        </w:rPr>
      </w:pPr>
      <w:bookmarkStart w:id="99" w:name="_Toc158006555"/>
      <w:r w:rsidRPr="00812C16">
        <w:rPr>
          <w:rFonts w:cs="Arial"/>
        </w:rPr>
        <w:lastRenderedPageBreak/>
        <w:t>Abbildungsverzeichnis</w:t>
      </w:r>
      <w:bookmarkEnd w:id="99"/>
      <w:r w:rsidRPr="00812C16">
        <w:rPr>
          <w:rFonts w:cs="Arial"/>
        </w:rPr>
        <w:t xml:space="preserve"> </w:t>
      </w:r>
    </w:p>
    <w:p w14:paraId="6D4990AE" w14:textId="51A4430F" w:rsidR="000112D9" w:rsidRDefault="0016546B">
      <w:pPr>
        <w:pStyle w:val="Abbildungsverzeichnis"/>
        <w:tabs>
          <w:tab w:val="right" w:leader="dot" w:pos="10456"/>
        </w:tabs>
        <w:rPr>
          <w:rFonts w:eastAsiaTheme="minorEastAsia" w:cstheme="minorBidi"/>
          <w:smallCaps w:val="0"/>
          <w:noProof/>
          <w:kern w:val="2"/>
          <w:sz w:val="24"/>
          <w:szCs w:val="24"/>
          <w:lang w:eastAsia="de-DE"/>
          <w14:ligatures w14:val="standardContextual"/>
        </w:rPr>
      </w:pPr>
      <w:r w:rsidRPr="00812C16">
        <w:rPr>
          <w:rFonts w:ascii="Arial" w:hAnsi="Arial" w:cs="Arial"/>
          <w:lang w:eastAsia="de-DE"/>
        </w:rPr>
        <w:fldChar w:fldCharType="begin"/>
      </w:r>
      <w:r w:rsidRPr="00812C16">
        <w:rPr>
          <w:rFonts w:ascii="Arial" w:hAnsi="Arial" w:cs="Arial"/>
          <w:lang w:eastAsia="de-DE"/>
        </w:rPr>
        <w:instrText xml:space="preserve"> TOC \h \z \c "Abbildung" </w:instrText>
      </w:r>
      <w:r w:rsidRPr="00812C16">
        <w:rPr>
          <w:rFonts w:ascii="Arial" w:hAnsi="Arial" w:cs="Arial"/>
          <w:lang w:eastAsia="de-DE"/>
        </w:rPr>
        <w:fldChar w:fldCharType="separate"/>
      </w:r>
      <w:hyperlink w:anchor="_Toc180788375" w:history="1">
        <w:r w:rsidR="000112D9" w:rsidRPr="00885F2E">
          <w:rPr>
            <w:rStyle w:val="Hyperlink"/>
            <w:rFonts w:eastAsiaTheme="majorEastAsia"/>
            <w:b/>
            <w:bCs/>
            <w:noProof/>
          </w:rPr>
          <w:t>Abbildung 1</w:t>
        </w:r>
        <w:r w:rsidR="000112D9" w:rsidRPr="00885F2E">
          <w:rPr>
            <w:rStyle w:val="Hyperlink"/>
            <w:rFonts w:eastAsiaTheme="majorEastAsia"/>
            <w:b/>
            <w:bCs/>
            <w:noProof/>
          </w:rPr>
          <w:noBreakHyphen/>
          <w:t>1: Altersstandardisierte Neuerkrankungs- und Sterberaten (Europastandard) nach Geschlecht, ICD-10 C00 – C14, Deutschland 1999 – 2018/2019, Prognose (Inzidenz) bis 2022 (Quelle: Zentrum f. Krebsregisterdaten 2021)</w:t>
        </w:r>
        <w:r w:rsidR="000112D9">
          <w:rPr>
            <w:noProof/>
            <w:webHidden/>
          </w:rPr>
          <w:tab/>
        </w:r>
        <w:r w:rsidR="000112D9">
          <w:rPr>
            <w:noProof/>
            <w:webHidden/>
          </w:rPr>
          <w:fldChar w:fldCharType="begin"/>
        </w:r>
        <w:r w:rsidR="000112D9">
          <w:rPr>
            <w:noProof/>
            <w:webHidden/>
          </w:rPr>
          <w:instrText xml:space="preserve"> PAGEREF _Toc180788375 \h </w:instrText>
        </w:r>
        <w:r w:rsidR="000112D9">
          <w:rPr>
            <w:noProof/>
            <w:webHidden/>
          </w:rPr>
        </w:r>
        <w:r w:rsidR="000112D9">
          <w:rPr>
            <w:noProof/>
            <w:webHidden/>
          </w:rPr>
          <w:fldChar w:fldCharType="separate"/>
        </w:r>
        <w:r w:rsidR="000112D9">
          <w:rPr>
            <w:noProof/>
            <w:webHidden/>
          </w:rPr>
          <w:t>- 8 -</w:t>
        </w:r>
        <w:r w:rsidR="000112D9">
          <w:rPr>
            <w:noProof/>
            <w:webHidden/>
          </w:rPr>
          <w:fldChar w:fldCharType="end"/>
        </w:r>
      </w:hyperlink>
    </w:p>
    <w:p w14:paraId="3A40454B" w14:textId="76691FE0"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76" w:history="1">
        <w:r w:rsidRPr="00885F2E">
          <w:rPr>
            <w:rStyle w:val="Hyperlink"/>
            <w:rFonts w:eastAsiaTheme="majorEastAsia"/>
            <w:b/>
            <w:bCs/>
            <w:noProof/>
          </w:rPr>
          <w:t>Abbildung 1</w:t>
        </w:r>
        <w:r w:rsidRPr="00885F2E">
          <w:rPr>
            <w:rStyle w:val="Hyperlink"/>
            <w:rFonts w:eastAsiaTheme="majorEastAsia"/>
            <w:b/>
            <w:bCs/>
            <w:noProof/>
          </w:rPr>
          <w:noBreakHyphen/>
          <w:t>2: Karzinogenes eines Mundschleimhautepithels zu einem invasivem Plattenepithelkarzinoms in der HE-Färbung(</w:t>
        </w:r>
        <w:r w:rsidRPr="00885F2E">
          <w:rPr>
            <w:rStyle w:val="Hyperlink"/>
            <w:rFonts w:eastAsiaTheme="majorEastAsia"/>
            <w:noProof/>
          </w:rPr>
          <w:t>Argiris et al., 2008</w:t>
        </w:r>
        <w:r w:rsidRPr="00885F2E">
          <w:rPr>
            <w:rStyle w:val="Hyperlink"/>
            <w:rFonts w:eastAsiaTheme="majorEastAsia"/>
            <w:b/>
            <w:bCs/>
            <w:noProof/>
          </w:rPr>
          <w:t>).</w:t>
        </w:r>
        <w:r>
          <w:rPr>
            <w:noProof/>
            <w:webHidden/>
          </w:rPr>
          <w:tab/>
        </w:r>
        <w:r>
          <w:rPr>
            <w:noProof/>
            <w:webHidden/>
          </w:rPr>
          <w:fldChar w:fldCharType="begin"/>
        </w:r>
        <w:r>
          <w:rPr>
            <w:noProof/>
            <w:webHidden/>
          </w:rPr>
          <w:instrText xml:space="preserve"> PAGEREF _Toc180788376 \h </w:instrText>
        </w:r>
        <w:r>
          <w:rPr>
            <w:noProof/>
            <w:webHidden/>
          </w:rPr>
        </w:r>
        <w:r>
          <w:rPr>
            <w:noProof/>
            <w:webHidden/>
          </w:rPr>
          <w:fldChar w:fldCharType="separate"/>
        </w:r>
        <w:r>
          <w:rPr>
            <w:noProof/>
            <w:webHidden/>
          </w:rPr>
          <w:t>- 12 -</w:t>
        </w:r>
        <w:r>
          <w:rPr>
            <w:noProof/>
            <w:webHidden/>
          </w:rPr>
          <w:fldChar w:fldCharType="end"/>
        </w:r>
      </w:hyperlink>
    </w:p>
    <w:p w14:paraId="4EAF1F3E" w14:textId="01EC065B"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77" w:history="1">
        <w:r w:rsidRPr="00885F2E">
          <w:rPr>
            <w:rStyle w:val="Hyperlink"/>
            <w:rFonts w:eastAsiaTheme="majorEastAsia"/>
            <w:b/>
            <w:bCs/>
            <w:noProof/>
          </w:rPr>
          <w:t>Abbildung 1</w:t>
        </w:r>
        <w:r w:rsidRPr="00885F2E">
          <w:rPr>
            <w:rStyle w:val="Hyperlink"/>
            <w:rFonts w:eastAsiaTheme="majorEastAsia"/>
            <w:b/>
            <w:bCs/>
            <w:noProof/>
          </w:rPr>
          <w:noBreakHyphen/>
          <w:t xml:space="preserve">3: Anatomie der Kopf-Hals-Region im Sagitalschnitt. </w:t>
        </w:r>
        <w:r w:rsidRPr="00885F2E">
          <w:rPr>
            <w:rStyle w:val="Hyperlink"/>
            <w:rFonts w:eastAsiaTheme="majorEastAsia"/>
            <w:noProof/>
          </w:rPr>
          <w:t>Oral cavity, Mundhöhle; Tongue, Zunge; Larynx, Kehlkopf; Nasopharynx, Nasenrachenraum; Oropharynx, der Mundhöhle angrenzender Rachenraum; Hypopharynx, unterer Rachenraum (Sabatini &amp; Chiocca, 2019).</w:t>
        </w:r>
        <w:r>
          <w:rPr>
            <w:noProof/>
            <w:webHidden/>
          </w:rPr>
          <w:tab/>
        </w:r>
        <w:r>
          <w:rPr>
            <w:noProof/>
            <w:webHidden/>
          </w:rPr>
          <w:fldChar w:fldCharType="begin"/>
        </w:r>
        <w:r>
          <w:rPr>
            <w:noProof/>
            <w:webHidden/>
          </w:rPr>
          <w:instrText xml:space="preserve"> PAGEREF _Toc180788377 \h </w:instrText>
        </w:r>
        <w:r>
          <w:rPr>
            <w:noProof/>
            <w:webHidden/>
          </w:rPr>
        </w:r>
        <w:r>
          <w:rPr>
            <w:noProof/>
            <w:webHidden/>
          </w:rPr>
          <w:fldChar w:fldCharType="separate"/>
        </w:r>
        <w:r>
          <w:rPr>
            <w:noProof/>
            <w:webHidden/>
          </w:rPr>
          <w:t>- 13 -</w:t>
        </w:r>
        <w:r>
          <w:rPr>
            <w:noProof/>
            <w:webHidden/>
          </w:rPr>
          <w:fldChar w:fldCharType="end"/>
        </w:r>
      </w:hyperlink>
    </w:p>
    <w:p w14:paraId="2F4E74ED" w14:textId="09B3E671"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78" w:history="1">
        <w:r w:rsidRPr="00885F2E">
          <w:rPr>
            <w:rStyle w:val="Hyperlink"/>
            <w:rFonts w:eastAsiaTheme="majorEastAsia"/>
            <w:b/>
            <w:bCs/>
            <w:noProof/>
          </w:rPr>
          <w:t>Abbildung 1</w:t>
        </w:r>
        <w:r w:rsidRPr="00885F2E">
          <w:rPr>
            <w:rStyle w:val="Hyperlink"/>
            <w:rFonts w:eastAsiaTheme="majorEastAsia"/>
            <w:b/>
            <w:bCs/>
            <w:noProof/>
          </w:rPr>
          <w:noBreakHyphen/>
          <w:t>4: a Gut differenziertes Plattenepithelkarzinom. b Mäßig differenziertes Platten-epithelkarzinom. c Gering differenziertes Plattenepithelkarzinom (</w:t>
        </w:r>
        <w:r w:rsidRPr="00885F2E">
          <w:rPr>
            <w:rStyle w:val="Hyperlink"/>
            <w:rFonts w:eastAsiaTheme="majorEastAsia"/>
            <w:noProof/>
          </w:rPr>
          <w:t>Cardesa et al., 2008</w:t>
        </w:r>
        <w:r w:rsidRPr="00885F2E">
          <w:rPr>
            <w:rStyle w:val="Hyperlink"/>
            <w:rFonts w:eastAsiaTheme="majorEastAsia"/>
            <w:b/>
            <w:bCs/>
            <w:noProof/>
          </w:rPr>
          <w:t>).</w:t>
        </w:r>
        <w:r>
          <w:rPr>
            <w:noProof/>
            <w:webHidden/>
          </w:rPr>
          <w:tab/>
        </w:r>
        <w:r>
          <w:rPr>
            <w:noProof/>
            <w:webHidden/>
          </w:rPr>
          <w:fldChar w:fldCharType="begin"/>
        </w:r>
        <w:r>
          <w:rPr>
            <w:noProof/>
            <w:webHidden/>
          </w:rPr>
          <w:instrText xml:space="preserve"> PAGEREF _Toc180788378 \h </w:instrText>
        </w:r>
        <w:r>
          <w:rPr>
            <w:noProof/>
            <w:webHidden/>
          </w:rPr>
        </w:r>
        <w:r>
          <w:rPr>
            <w:noProof/>
            <w:webHidden/>
          </w:rPr>
          <w:fldChar w:fldCharType="separate"/>
        </w:r>
        <w:r>
          <w:rPr>
            <w:noProof/>
            <w:webHidden/>
          </w:rPr>
          <w:t>- 16 -</w:t>
        </w:r>
        <w:r>
          <w:rPr>
            <w:noProof/>
            <w:webHidden/>
          </w:rPr>
          <w:fldChar w:fldCharType="end"/>
        </w:r>
      </w:hyperlink>
    </w:p>
    <w:p w14:paraId="6FE8750C" w14:textId="3AB7FE10"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79" w:history="1">
        <w:r w:rsidRPr="00885F2E">
          <w:rPr>
            <w:rStyle w:val="Hyperlink"/>
            <w:rFonts w:eastAsiaTheme="majorEastAsia" w:cs="Arial"/>
            <w:noProof/>
          </w:rPr>
          <w:t>Abbildung 3</w:t>
        </w:r>
        <w:r w:rsidRPr="00885F2E">
          <w:rPr>
            <w:rStyle w:val="Hyperlink"/>
            <w:rFonts w:eastAsiaTheme="majorEastAsia" w:cs="Arial"/>
            <w:noProof/>
          </w:rPr>
          <w:noBreakHyphen/>
          <w:t>1: Aufbau der Tissue Microarray-Technik sowie Prinzip der Ortsdokumentation der einzelnen Tumor-Spots</w:t>
        </w:r>
        <w:r>
          <w:rPr>
            <w:noProof/>
            <w:webHidden/>
          </w:rPr>
          <w:tab/>
        </w:r>
        <w:r>
          <w:rPr>
            <w:noProof/>
            <w:webHidden/>
          </w:rPr>
          <w:fldChar w:fldCharType="begin"/>
        </w:r>
        <w:r>
          <w:rPr>
            <w:noProof/>
            <w:webHidden/>
          </w:rPr>
          <w:instrText xml:space="preserve"> PAGEREF _Toc180788379 \h </w:instrText>
        </w:r>
        <w:r>
          <w:rPr>
            <w:noProof/>
            <w:webHidden/>
          </w:rPr>
        </w:r>
        <w:r>
          <w:rPr>
            <w:noProof/>
            <w:webHidden/>
          </w:rPr>
          <w:fldChar w:fldCharType="separate"/>
        </w:r>
        <w:r>
          <w:rPr>
            <w:noProof/>
            <w:webHidden/>
          </w:rPr>
          <w:t>- 46 -</w:t>
        </w:r>
        <w:r>
          <w:rPr>
            <w:noProof/>
            <w:webHidden/>
          </w:rPr>
          <w:fldChar w:fldCharType="end"/>
        </w:r>
      </w:hyperlink>
    </w:p>
    <w:p w14:paraId="43DF3C1A" w14:textId="207E3FE2"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80" w:history="1">
        <w:r w:rsidRPr="00885F2E">
          <w:rPr>
            <w:rStyle w:val="Hyperlink"/>
            <w:rFonts w:eastAsiaTheme="majorEastAsia"/>
            <w:b/>
            <w:bCs/>
            <w:noProof/>
          </w:rPr>
          <w:t>Abbildung 3</w:t>
        </w:r>
        <w:r w:rsidRPr="00885F2E">
          <w:rPr>
            <w:rStyle w:val="Hyperlink"/>
            <w:rFonts w:eastAsiaTheme="majorEastAsia"/>
            <w:b/>
            <w:bCs/>
            <w:noProof/>
          </w:rPr>
          <w:noBreakHyphen/>
          <w:t>2: Immunhistochemische Färbung von CD44 mit unterschiedlichen Färbeintensitäten. Alle Färbeintensitäten (+, ++, +++) wurden als positive Färbung angesehen</w:t>
        </w:r>
        <w:r>
          <w:rPr>
            <w:noProof/>
            <w:webHidden/>
          </w:rPr>
          <w:tab/>
        </w:r>
        <w:r>
          <w:rPr>
            <w:noProof/>
            <w:webHidden/>
          </w:rPr>
          <w:fldChar w:fldCharType="begin"/>
        </w:r>
        <w:r>
          <w:rPr>
            <w:noProof/>
            <w:webHidden/>
          </w:rPr>
          <w:instrText xml:space="preserve"> PAGEREF _Toc180788380 \h </w:instrText>
        </w:r>
        <w:r>
          <w:rPr>
            <w:noProof/>
            <w:webHidden/>
          </w:rPr>
        </w:r>
        <w:r>
          <w:rPr>
            <w:noProof/>
            <w:webHidden/>
          </w:rPr>
          <w:fldChar w:fldCharType="separate"/>
        </w:r>
        <w:r>
          <w:rPr>
            <w:noProof/>
            <w:webHidden/>
          </w:rPr>
          <w:t>- 47 -</w:t>
        </w:r>
        <w:r>
          <w:rPr>
            <w:noProof/>
            <w:webHidden/>
          </w:rPr>
          <w:fldChar w:fldCharType="end"/>
        </w:r>
      </w:hyperlink>
    </w:p>
    <w:p w14:paraId="66119D44" w14:textId="0D57237F"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81" w:history="1">
        <w:r w:rsidRPr="00885F2E">
          <w:rPr>
            <w:rStyle w:val="Hyperlink"/>
            <w:rFonts w:eastAsiaTheme="majorEastAsia" w:cs="Arial"/>
            <w:b/>
            <w:bCs/>
            <w:noProof/>
          </w:rPr>
          <w:t>Abbildung 4</w:t>
        </w:r>
        <w:r w:rsidRPr="00885F2E">
          <w:rPr>
            <w:rStyle w:val="Hyperlink"/>
            <w:rFonts w:eastAsiaTheme="majorEastAsia" w:cs="Arial"/>
            <w:b/>
            <w:bCs/>
            <w:noProof/>
          </w:rPr>
          <w:noBreakHyphen/>
          <w:t>1: Lokoregionäre Kontrollrate nach Kaplan-Meier für das Gesamtkollektiv</w:t>
        </w:r>
        <w:r>
          <w:rPr>
            <w:noProof/>
            <w:webHidden/>
          </w:rPr>
          <w:tab/>
        </w:r>
        <w:r>
          <w:rPr>
            <w:noProof/>
            <w:webHidden/>
          </w:rPr>
          <w:fldChar w:fldCharType="begin"/>
        </w:r>
        <w:r>
          <w:rPr>
            <w:noProof/>
            <w:webHidden/>
          </w:rPr>
          <w:instrText xml:space="preserve"> PAGEREF _Toc180788381 \h </w:instrText>
        </w:r>
        <w:r>
          <w:rPr>
            <w:noProof/>
            <w:webHidden/>
          </w:rPr>
        </w:r>
        <w:r>
          <w:rPr>
            <w:noProof/>
            <w:webHidden/>
          </w:rPr>
          <w:fldChar w:fldCharType="separate"/>
        </w:r>
        <w:r>
          <w:rPr>
            <w:noProof/>
            <w:webHidden/>
          </w:rPr>
          <w:t>- 64 -</w:t>
        </w:r>
        <w:r>
          <w:rPr>
            <w:noProof/>
            <w:webHidden/>
          </w:rPr>
          <w:fldChar w:fldCharType="end"/>
        </w:r>
      </w:hyperlink>
    </w:p>
    <w:p w14:paraId="4CCB2227" w14:textId="68F6BA20"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82" w:history="1">
        <w:r w:rsidRPr="00885F2E">
          <w:rPr>
            <w:rStyle w:val="Hyperlink"/>
            <w:rFonts w:eastAsiaTheme="majorEastAsia"/>
            <w:b/>
            <w:bCs/>
            <w:noProof/>
          </w:rPr>
          <w:t>Abbildung 4</w:t>
        </w:r>
        <w:r w:rsidRPr="00885F2E">
          <w:rPr>
            <w:rStyle w:val="Hyperlink"/>
            <w:rFonts w:eastAsiaTheme="majorEastAsia"/>
            <w:b/>
            <w:bCs/>
            <w:noProof/>
          </w:rPr>
          <w:noBreakHyphen/>
          <w:t>2: Fernmetastasenfreies Überleben nach Kaplan-Meier für das Gesamtkollektiv</w:t>
        </w:r>
        <w:r>
          <w:rPr>
            <w:noProof/>
            <w:webHidden/>
          </w:rPr>
          <w:tab/>
        </w:r>
        <w:r>
          <w:rPr>
            <w:noProof/>
            <w:webHidden/>
          </w:rPr>
          <w:fldChar w:fldCharType="begin"/>
        </w:r>
        <w:r>
          <w:rPr>
            <w:noProof/>
            <w:webHidden/>
          </w:rPr>
          <w:instrText xml:space="preserve"> PAGEREF _Toc180788382 \h </w:instrText>
        </w:r>
        <w:r>
          <w:rPr>
            <w:noProof/>
            <w:webHidden/>
          </w:rPr>
        </w:r>
        <w:r>
          <w:rPr>
            <w:noProof/>
            <w:webHidden/>
          </w:rPr>
          <w:fldChar w:fldCharType="separate"/>
        </w:r>
        <w:r>
          <w:rPr>
            <w:noProof/>
            <w:webHidden/>
          </w:rPr>
          <w:t>- 65 -</w:t>
        </w:r>
        <w:r>
          <w:rPr>
            <w:noProof/>
            <w:webHidden/>
          </w:rPr>
          <w:fldChar w:fldCharType="end"/>
        </w:r>
      </w:hyperlink>
    </w:p>
    <w:p w14:paraId="27EA13F4" w14:textId="66940231"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83" w:history="1">
        <w:r w:rsidRPr="00885F2E">
          <w:rPr>
            <w:rStyle w:val="Hyperlink"/>
            <w:rFonts w:eastAsiaTheme="majorEastAsia"/>
            <w:b/>
            <w:bCs/>
            <w:noProof/>
          </w:rPr>
          <w:t>Abbildung 4</w:t>
        </w:r>
        <w:r w:rsidRPr="00885F2E">
          <w:rPr>
            <w:rStyle w:val="Hyperlink"/>
            <w:rFonts w:eastAsiaTheme="majorEastAsia"/>
            <w:b/>
            <w:bCs/>
            <w:noProof/>
          </w:rPr>
          <w:noBreakHyphen/>
          <w:t>3: Gesamtüberleben nach Kaplan-Meier für das Gesamtkollektiv.</w:t>
        </w:r>
        <w:r>
          <w:rPr>
            <w:noProof/>
            <w:webHidden/>
          </w:rPr>
          <w:tab/>
        </w:r>
        <w:r>
          <w:rPr>
            <w:noProof/>
            <w:webHidden/>
          </w:rPr>
          <w:fldChar w:fldCharType="begin"/>
        </w:r>
        <w:r>
          <w:rPr>
            <w:noProof/>
            <w:webHidden/>
          </w:rPr>
          <w:instrText xml:space="preserve"> PAGEREF _Toc180788383 \h </w:instrText>
        </w:r>
        <w:r>
          <w:rPr>
            <w:noProof/>
            <w:webHidden/>
          </w:rPr>
        </w:r>
        <w:r>
          <w:rPr>
            <w:noProof/>
            <w:webHidden/>
          </w:rPr>
          <w:fldChar w:fldCharType="separate"/>
        </w:r>
        <w:r>
          <w:rPr>
            <w:noProof/>
            <w:webHidden/>
          </w:rPr>
          <w:t>- 65 -</w:t>
        </w:r>
        <w:r>
          <w:rPr>
            <w:noProof/>
            <w:webHidden/>
          </w:rPr>
          <w:fldChar w:fldCharType="end"/>
        </w:r>
      </w:hyperlink>
    </w:p>
    <w:p w14:paraId="5A0C2CB0" w14:textId="25F13CFC"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84" w:history="1">
        <w:r w:rsidRPr="00885F2E">
          <w:rPr>
            <w:rStyle w:val="Hyperlink"/>
            <w:rFonts w:eastAsiaTheme="majorEastAsia"/>
            <w:b/>
            <w:bCs/>
            <w:noProof/>
          </w:rPr>
          <w:t>Abbildung 4</w:t>
        </w:r>
        <w:r w:rsidRPr="00885F2E">
          <w:rPr>
            <w:rStyle w:val="Hyperlink"/>
            <w:rFonts w:eastAsiaTheme="majorEastAsia"/>
            <w:b/>
            <w:bCs/>
            <w:noProof/>
          </w:rPr>
          <w:noBreakHyphen/>
          <w:t xml:space="preserve">4: Kaplan-Meier Analyse zum Einfluss der CD44 Proteinexpression auf die loko-regionäre Tumorkontrolle aller Patienten. </w:t>
        </w:r>
        <w:r w:rsidRPr="00885F2E">
          <w:rPr>
            <w:rStyle w:val="Hyperlink"/>
            <w:rFonts w:eastAsiaTheme="majorEastAsia"/>
            <w:noProof/>
          </w:rPr>
          <w:t>Patienten mit CD44 positiven Kopf-Hals-Plattenepithelkarzinomen haben eine signifikant schlechtere loko-regionäre Tumorkontrolle als Patienten mit CD44 negativen Tumoren (p=0,008)</w:t>
        </w:r>
        <w:r>
          <w:rPr>
            <w:noProof/>
            <w:webHidden/>
          </w:rPr>
          <w:tab/>
        </w:r>
        <w:r>
          <w:rPr>
            <w:noProof/>
            <w:webHidden/>
          </w:rPr>
          <w:fldChar w:fldCharType="begin"/>
        </w:r>
        <w:r>
          <w:rPr>
            <w:noProof/>
            <w:webHidden/>
          </w:rPr>
          <w:instrText xml:space="preserve"> PAGEREF _Toc180788384 \h </w:instrText>
        </w:r>
        <w:r>
          <w:rPr>
            <w:noProof/>
            <w:webHidden/>
          </w:rPr>
        </w:r>
        <w:r>
          <w:rPr>
            <w:noProof/>
            <w:webHidden/>
          </w:rPr>
          <w:fldChar w:fldCharType="separate"/>
        </w:r>
        <w:r>
          <w:rPr>
            <w:noProof/>
            <w:webHidden/>
          </w:rPr>
          <w:t>- 67 -</w:t>
        </w:r>
        <w:r>
          <w:rPr>
            <w:noProof/>
            <w:webHidden/>
          </w:rPr>
          <w:fldChar w:fldCharType="end"/>
        </w:r>
      </w:hyperlink>
    </w:p>
    <w:p w14:paraId="201B4CDB" w14:textId="35401F30"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85" w:history="1">
        <w:r w:rsidRPr="00885F2E">
          <w:rPr>
            <w:rStyle w:val="Hyperlink"/>
            <w:rFonts w:eastAsiaTheme="majorEastAsia"/>
            <w:b/>
            <w:bCs/>
            <w:noProof/>
          </w:rPr>
          <w:t>Abbildung 4</w:t>
        </w:r>
        <w:r w:rsidRPr="00885F2E">
          <w:rPr>
            <w:rStyle w:val="Hyperlink"/>
            <w:rFonts w:eastAsiaTheme="majorEastAsia"/>
            <w:b/>
            <w:bCs/>
            <w:noProof/>
          </w:rPr>
          <w:noBreakHyphen/>
          <w:t xml:space="preserve">5: Kaplan-Meier Analyse zum Einfluss der CD44 Proteinexpression auf die loko-regionäre Tumorkontrolle von Patienten mit HPV16 DNA-negativen Tumoren. </w:t>
        </w:r>
        <w:r w:rsidRPr="00885F2E">
          <w:rPr>
            <w:rStyle w:val="Hyperlink"/>
            <w:rFonts w:eastAsiaTheme="majorEastAsia"/>
            <w:noProof/>
          </w:rPr>
          <w:t>Patienten der Subgruppe mit HPV16 DNA-negativen und CD44 negativen Kopf-Hals-Plattenepithelkarzinomen zeigen einen statistischen Trend für eine bessere loko-regionäre Tumorkontrolle im Vergleich zu Patienten mit HPV16 DNA negativen und CD44-positiven Tumoren (p=0,05).</w:t>
        </w:r>
        <w:r>
          <w:rPr>
            <w:noProof/>
            <w:webHidden/>
          </w:rPr>
          <w:tab/>
        </w:r>
        <w:r>
          <w:rPr>
            <w:noProof/>
            <w:webHidden/>
          </w:rPr>
          <w:fldChar w:fldCharType="begin"/>
        </w:r>
        <w:r>
          <w:rPr>
            <w:noProof/>
            <w:webHidden/>
          </w:rPr>
          <w:instrText xml:space="preserve"> PAGEREF _Toc180788385 \h </w:instrText>
        </w:r>
        <w:r>
          <w:rPr>
            <w:noProof/>
            <w:webHidden/>
          </w:rPr>
        </w:r>
        <w:r>
          <w:rPr>
            <w:noProof/>
            <w:webHidden/>
          </w:rPr>
          <w:fldChar w:fldCharType="separate"/>
        </w:r>
        <w:r>
          <w:rPr>
            <w:noProof/>
            <w:webHidden/>
          </w:rPr>
          <w:t>- 68 -</w:t>
        </w:r>
        <w:r>
          <w:rPr>
            <w:noProof/>
            <w:webHidden/>
          </w:rPr>
          <w:fldChar w:fldCharType="end"/>
        </w:r>
      </w:hyperlink>
    </w:p>
    <w:p w14:paraId="52603D22" w14:textId="6D5B579C"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86" w:history="1">
        <w:r w:rsidRPr="00885F2E">
          <w:rPr>
            <w:rStyle w:val="Hyperlink"/>
            <w:rFonts w:eastAsiaTheme="majorEastAsia"/>
            <w:b/>
            <w:bCs/>
            <w:noProof/>
          </w:rPr>
          <w:t>Abbildung 4</w:t>
        </w:r>
        <w:r w:rsidRPr="00885F2E">
          <w:rPr>
            <w:rStyle w:val="Hyperlink"/>
            <w:rFonts w:eastAsiaTheme="majorEastAsia"/>
            <w:b/>
            <w:bCs/>
            <w:noProof/>
          </w:rPr>
          <w:noBreakHyphen/>
          <w:t>6: Kaplan-Meier Schätzungen der sekundären Endpunkte von CD44-Protein (bewertet durch IHC) allen Patienten oder (C, E, G, I) Patienten mit HPV16 DNA-negativem HNSCC.</w:t>
        </w:r>
        <w:r w:rsidRPr="00885F2E">
          <w:rPr>
            <w:rStyle w:val="Hyperlink"/>
            <w:rFonts w:eastAsiaTheme="majorEastAsia"/>
            <w:noProof/>
          </w:rPr>
          <w:t xml:space="preserve"> Patienten mit geringer oder keiner CSC-Markerexpression zeigten eine bessere loko-regionale Tumorkontrolle im Vergleich zu Patienten mit stärkerer CSC-Markerexpression.</w:t>
        </w:r>
        <w:r>
          <w:rPr>
            <w:noProof/>
            <w:webHidden/>
          </w:rPr>
          <w:tab/>
        </w:r>
        <w:r>
          <w:rPr>
            <w:noProof/>
            <w:webHidden/>
          </w:rPr>
          <w:fldChar w:fldCharType="begin"/>
        </w:r>
        <w:r>
          <w:rPr>
            <w:noProof/>
            <w:webHidden/>
          </w:rPr>
          <w:instrText xml:space="preserve"> PAGEREF _Toc180788386 \h </w:instrText>
        </w:r>
        <w:r>
          <w:rPr>
            <w:noProof/>
            <w:webHidden/>
          </w:rPr>
        </w:r>
        <w:r>
          <w:rPr>
            <w:noProof/>
            <w:webHidden/>
          </w:rPr>
          <w:fldChar w:fldCharType="separate"/>
        </w:r>
        <w:r>
          <w:rPr>
            <w:noProof/>
            <w:webHidden/>
          </w:rPr>
          <w:t>- 69 -</w:t>
        </w:r>
        <w:r>
          <w:rPr>
            <w:noProof/>
            <w:webHidden/>
          </w:rPr>
          <w:fldChar w:fldCharType="end"/>
        </w:r>
      </w:hyperlink>
    </w:p>
    <w:p w14:paraId="0F619CCB" w14:textId="51161772" w:rsidR="00FA4F48" w:rsidRPr="00812C16" w:rsidRDefault="0016546B">
      <w:pPr>
        <w:jc w:val="left"/>
        <w:rPr>
          <w:rFonts w:cs="Arial"/>
          <w:lang w:eastAsia="de-DE"/>
        </w:rPr>
      </w:pPr>
      <w:r w:rsidRPr="00812C16">
        <w:rPr>
          <w:rFonts w:cs="Arial"/>
          <w:lang w:eastAsia="de-DE"/>
        </w:rPr>
        <w:fldChar w:fldCharType="end"/>
      </w:r>
      <w:r w:rsidR="00FA4F48" w:rsidRPr="00812C16">
        <w:rPr>
          <w:rFonts w:cs="Arial"/>
          <w:lang w:eastAsia="de-DE"/>
        </w:rPr>
        <w:br w:type="page"/>
      </w:r>
    </w:p>
    <w:p w14:paraId="2EC8CCDF" w14:textId="77777777" w:rsidR="00487E02" w:rsidRPr="00812C16" w:rsidRDefault="00E24C7A" w:rsidP="001830EA">
      <w:pPr>
        <w:pStyle w:val="berschrift1"/>
        <w:rPr>
          <w:rFonts w:cs="Arial"/>
        </w:rPr>
      </w:pPr>
      <w:bookmarkStart w:id="100" w:name="_Toc158006556"/>
      <w:r w:rsidRPr="00812C16">
        <w:rPr>
          <w:rFonts w:cs="Arial"/>
        </w:rPr>
        <w:lastRenderedPageBreak/>
        <w:t>Tabellenverzeichnis</w:t>
      </w:r>
      <w:bookmarkEnd w:id="100"/>
    </w:p>
    <w:p w14:paraId="4817A2E4" w14:textId="49FC17E0" w:rsidR="000112D9" w:rsidRDefault="0016546B">
      <w:pPr>
        <w:pStyle w:val="Abbildungsverzeichnis"/>
        <w:tabs>
          <w:tab w:val="right" w:leader="dot" w:pos="10456"/>
        </w:tabs>
        <w:rPr>
          <w:rFonts w:eastAsiaTheme="minorEastAsia" w:cstheme="minorBidi"/>
          <w:smallCaps w:val="0"/>
          <w:noProof/>
          <w:kern w:val="2"/>
          <w:sz w:val="24"/>
          <w:szCs w:val="24"/>
          <w:lang w:eastAsia="de-DE"/>
          <w14:ligatures w14:val="standardContextual"/>
        </w:rPr>
      </w:pPr>
      <w:r w:rsidRPr="00812C16">
        <w:rPr>
          <w:rFonts w:ascii="Arial" w:hAnsi="Arial" w:cs="Arial"/>
          <w:lang w:eastAsia="de-DE"/>
        </w:rPr>
        <w:fldChar w:fldCharType="begin"/>
      </w:r>
      <w:r w:rsidRPr="00812C16">
        <w:rPr>
          <w:rFonts w:ascii="Arial" w:hAnsi="Arial" w:cs="Arial"/>
          <w:lang w:eastAsia="de-DE"/>
        </w:rPr>
        <w:instrText xml:space="preserve"> TOC \h \z \c "Tabelle" </w:instrText>
      </w:r>
      <w:r w:rsidRPr="00812C16">
        <w:rPr>
          <w:rFonts w:ascii="Arial" w:hAnsi="Arial" w:cs="Arial"/>
          <w:lang w:eastAsia="de-DE"/>
        </w:rPr>
        <w:fldChar w:fldCharType="separate"/>
      </w:r>
      <w:hyperlink w:anchor="_Toc180788387" w:history="1">
        <w:r w:rsidR="000112D9" w:rsidRPr="007275C4">
          <w:rPr>
            <w:rStyle w:val="Hyperlink"/>
            <w:rFonts w:eastAsiaTheme="majorEastAsia"/>
            <w:b/>
            <w:bCs/>
            <w:noProof/>
          </w:rPr>
          <w:t>Tabelle 1</w:t>
        </w:r>
        <w:r w:rsidR="000112D9" w:rsidRPr="007275C4">
          <w:rPr>
            <w:rStyle w:val="Hyperlink"/>
            <w:rFonts w:eastAsiaTheme="majorEastAsia"/>
            <w:b/>
            <w:bCs/>
            <w:noProof/>
          </w:rPr>
          <w:noBreakHyphen/>
          <w:t>1: Unterschiede zwischen HPV-negativen und HPV-positiven Kopf-Hals Tumoren.</w:t>
        </w:r>
        <w:r w:rsidR="000112D9">
          <w:rPr>
            <w:noProof/>
            <w:webHidden/>
          </w:rPr>
          <w:tab/>
        </w:r>
        <w:r w:rsidR="000112D9">
          <w:rPr>
            <w:noProof/>
            <w:webHidden/>
          </w:rPr>
          <w:fldChar w:fldCharType="begin"/>
        </w:r>
        <w:r w:rsidR="000112D9">
          <w:rPr>
            <w:noProof/>
            <w:webHidden/>
          </w:rPr>
          <w:instrText xml:space="preserve"> PAGEREF _Toc180788387 \h </w:instrText>
        </w:r>
        <w:r w:rsidR="000112D9">
          <w:rPr>
            <w:noProof/>
            <w:webHidden/>
          </w:rPr>
        </w:r>
        <w:r w:rsidR="000112D9">
          <w:rPr>
            <w:noProof/>
            <w:webHidden/>
          </w:rPr>
          <w:fldChar w:fldCharType="separate"/>
        </w:r>
        <w:r w:rsidR="000112D9">
          <w:rPr>
            <w:noProof/>
            <w:webHidden/>
          </w:rPr>
          <w:t>- 11 -</w:t>
        </w:r>
        <w:r w:rsidR="000112D9">
          <w:rPr>
            <w:noProof/>
            <w:webHidden/>
          </w:rPr>
          <w:fldChar w:fldCharType="end"/>
        </w:r>
      </w:hyperlink>
    </w:p>
    <w:p w14:paraId="4DD0D9B9" w14:textId="0DD9E05E"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88" w:history="1">
        <w:r w:rsidRPr="007275C4">
          <w:rPr>
            <w:rStyle w:val="Hyperlink"/>
            <w:rFonts w:eastAsiaTheme="majorEastAsia"/>
            <w:b/>
            <w:bCs/>
            <w:noProof/>
          </w:rPr>
          <w:t>Tabelle 1</w:t>
        </w:r>
        <w:r w:rsidRPr="007275C4">
          <w:rPr>
            <w:rStyle w:val="Hyperlink"/>
            <w:rFonts w:eastAsiaTheme="majorEastAsia"/>
            <w:b/>
            <w:bCs/>
            <w:noProof/>
          </w:rPr>
          <w:noBreakHyphen/>
          <w:t>2: Histopathologisches Grading der Tumore im Kopf-Hals-Bereich</w:t>
        </w:r>
        <w:r>
          <w:rPr>
            <w:noProof/>
            <w:webHidden/>
          </w:rPr>
          <w:tab/>
        </w:r>
        <w:r>
          <w:rPr>
            <w:noProof/>
            <w:webHidden/>
          </w:rPr>
          <w:fldChar w:fldCharType="begin"/>
        </w:r>
        <w:r>
          <w:rPr>
            <w:noProof/>
            <w:webHidden/>
          </w:rPr>
          <w:instrText xml:space="preserve"> PAGEREF _Toc180788388 \h </w:instrText>
        </w:r>
        <w:r>
          <w:rPr>
            <w:noProof/>
            <w:webHidden/>
          </w:rPr>
        </w:r>
        <w:r>
          <w:rPr>
            <w:noProof/>
            <w:webHidden/>
          </w:rPr>
          <w:fldChar w:fldCharType="separate"/>
        </w:r>
        <w:r>
          <w:rPr>
            <w:noProof/>
            <w:webHidden/>
          </w:rPr>
          <w:t>- 15 -</w:t>
        </w:r>
        <w:r>
          <w:rPr>
            <w:noProof/>
            <w:webHidden/>
          </w:rPr>
          <w:fldChar w:fldCharType="end"/>
        </w:r>
      </w:hyperlink>
    </w:p>
    <w:p w14:paraId="603D6054" w14:textId="5BD54318"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89" w:history="1">
        <w:r w:rsidRPr="007275C4">
          <w:rPr>
            <w:rStyle w:val="Hyperlink"/>
            <w:rFonts w:eastAsiaTheme="majorEastAsia"/>
            <w:b/>
            <w:bCs/>
            <w:noProof/>
          </w:rPr>
          <w:t>Tabelle 1</w:t>
        </w:r>
        <w:r w:rsidRPr="007275C4">
          <w:rPr>
            <w:rStyle w:val="Hyperlink"/>
            <w:rFonts w:eastAsiaTheme="majorEastAsia"/>
            <w:b/>
            <w:bCs/>
            <w:noProof/>
          </w:rPr>
          <w:noBreakHyphen/>
          <w:t>3: Histopathologische Subtypen des Plattenepithelkarzinoms</w:t>
        </w:r>
        <w:r>
          <w:rPr>
            <w:noProof/>
            <w:webHidden/>
          </w:rPr>
          <w:tab/>
        </w:r>
        <w:r>
          <w:rPr>
            <w:noProof/>
            <w:webHidden/>
          </w:rPr>
          <w:fldChar w:fldCharType="begin"/>
        </w:r>
        <w:r>
          <w:rPr>
            <w:noProof/>
            <w:webHidden/>
          </w:rPr>
          <w:instrText xml:space="preserve"> PAGEREF _Toc180788389 \h </w:instrText>
        </w:r>
        <w:r>
          <w:rPr>
            <w:noProof/>
            <w:webHidden/>
          </w:rPr>
        </w:r>
        <w:r>
          <w:rPr>
            <w:noProof/>
            <w:webHidden/>
          </w:rPr>
          <w:fldChar w:fldCharType="separate"/>
        </w:r>
        <w:r>
          <w:rPr>
            <w:noProof/>
            <w:webHidden/>
          </w:rPr>
          <w:t>- 17 -</w:t>
        </w:r>
        <w:r>
          <w:rPr>
            <w:noProof/>
            <w:webHidden/>
          </w:rPr>
          <w:fldChar w:fldCharType="end"/>
        </w:r>
      </w:hyperlink>
    </w:p>
    <w:p w14:paraId="2DA5535A" w14:textId="5B0F7985"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90" w:history="1">
        <w:r w:rsidRPr="007275C4">
          <w:rPr>
            <w:rStyle w:val="Hyperlink"/>
            <w:rFonts w:eastAsiaTheme="majorEastAsia" w:cs="Arial"/>
            <w:noProof/>
          </w:rPr>
          <w:t>Tabelle 3</w:t>
        </w:r>
        <w:r w:rsidRPr="007275C4">
          <w:rPr>
            <w:rStyle w:val="Hyperlink"/>
            <w:rFonts w:eastAsiaTheme="majorEastAsia" w:cs="Arial"/>
            <w:noProof/>
          </w:rPr>
          <w:noBreakHyphen/>
          <w:t>1: Einschlusskriterien für Patienten</w:t>
        </w:r>
        <w:r>
          <w:rPr>
            <w:noProof/>
            <w:webHidden/>
          </w:rPr>
          <w:tab/>
        </w:r>
        <w:r>
          <w:rPr>
            <w:noProof/>
            <w:webHidden/>
          </w:rPr>
          <w:fldChar w:fldCharType="begin"/>
        </w:r>
        <w:r>
          <w:rPr>
            <w:noProof/>
            <w:webHidden/>
          </w:rPr>
          <w:instrText xml:space="preserve"> PAGEREF _Toc180788390 \h </w:instrText>
        </w:r>
        <w:r>
          <w:rPr>
            <w:noProof/>
            <w:webHidden/>
          </w:rPr>
        </w:r>
        <w:r>
          <w:rPr>
            <w:noProof/>
            <w:webHidden/>
          </w:rPr>
          <w:fldChar w:fldCharType="separate"/>
        </w:r>
        <w:r>
          <w:rPr>
            <w:noProof/>
            <w:webHidden/>
          </w:rPr>
          <w:t>- 43 -</w:t>
        </w:r>
        <w:r>
          <w:rPr>
            <w:noProof/>
            <w:webHidden/>
          </w:rPr>
          <w:fldChar w:fldCharType="end"/>
        </w:r>
      </w:hyperlink>
    </w:p>
    <w:p w14:paraId="3A7B7F8F" w14:textId="5D6D662F"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91" w:history="1">
        <w:r w:rsidRPr="007275C4">
          <w:rPr>
            <w:rStyle w:val="Hyperlink"/>
            <w:rFonts w:eastAsiaTheme="majorEastAsia" w:cs="Arial"/>
            <w:b/>
            <w:bCs/>
            <w:noProof/>
          </w:rPr>
          <w:t>Tabelle 4</w:t>
        </w:r>
        <w:r w:rsidRPr="007275C4">
          <w:rPr>
            <w:rStyle w:val="Hyperlink"/>
            <w:rFonts w:eastAsiaTheme="majorEastAsia" w:cs="Arial"/>
            <w:b/>
            <w:bCs/>
            <w:noProof/>
          </w:rPr>
          <w:noBreakHyphen/>
          <w:t>1: Klinisch-pathologische Daten des Patientenkollektivs</w:t>
        </w:r>
        <w:r>
          <w:rPr>
            <w:noProof/>
            <w:webHidden/>
          </w:rPr>
          <w:tab/>
        </w:r>
        <w:r>
          <w:rPr>
            <w:noProof/>
            <w:webHidden/>
          </w:rPr>
          <w:fldChar w:fldCharType="begin"/>
        </w:r>
        <w:r>
          <w:rPr>
            <w:noProof/>
            <w:webHidden/>
          </w:rPr>
          <w:instrText xml:space="preserve"> PAGEREF _Toc180788391 \h </w:instrText>
        </w:r>
        <w:r>
          <w:rPr>
            <w:noProof/>
            <w:webHidden/>
          </w:rPr>
        </w:r>
        <w:r>
          <w:rPr>
            <w:noProof/>
            <w:webHidden/>
          </w:rPr>
          <w:fldChar w:fldCharType="separate"/>
        </w:r>
        <w:r>
          <w:rPr>
            <w:noProof/>
            <w:webHidden/>
          </w:rPr>
          <w:t>- 55 -</w:t>
        </w:r>
        <w:r>
          <w:rPr>
            <w:noProof/>
            <w:webHidden/>
          </w:rPr>
          <w:fldChar w:fldCharType="end"/>
        </w:r>
      </w:hyperlink>
    </w:p>
    <w:p w14:paraId="2ED95EF3" w14:textId="619C12F9"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92" w:history="1">
        <w:r w:rsidRPr="007275C4">
          <w:rPr>
            <w:rStyle w:val="Hyperlink"/>
            <w:rFonts w:eastAsiaTheme="majorEastAsia" w:cs="Arial"/>
            <w:b/>
            <w:bCs/>
            <w:noProof/>
          </w:rPr>
          <w:t>Tabelle 4</w:t>
        </w:r>
        <w:r w:rsidRPr="007275C4">
          <w:rPr>
            <w:rStyle w:val="Hyperlink"/>
            <w:rFonts w:eastAsiaTheme="majorEastAsia" w:cs="Arial"/>
            <w:b/>
            <w:bCs/>
            <w:noProof/>
          </w:rPr>
          <w:noBreakHyphen/>
          <w:t>2: Anzahl der Patienten pro Behandlungszentrum und Tumorlokalisierung</w:t>
        </w:r>
        <w:r>
          <w:rPr>
            <w:noProof/>
            <w:webHidden/>
          </w:rPr>
          <w:tab/>
        </w:r>
        <w:r>
          <w:rPr>
            <w:noProof/>
            <w:webHidden/>
          </w:rPr>
          <w:fldChar w:fldCharType="begin"/>
        </w:r>
        <w:r>
          <w:rPr>
            <w:noProof/>
            <w:webHidden/>
          </w:rPr>
          <w:instrText xml:space="preserve"> PAGEREF _Toc180788392 \h </w:instrText>
        </w:r>
        <w:r>
          <w:rPr>
            <w:noProof/>
            <w:webHidden/>
          </w:rPr>
        </w:r>
        <w:r>
          <w:rPr>
            <w:noProof/>
            <w:webHidden/>
          </w:rPr>
          <w:fldChar w:fldCharType="separate"/>
        </w:r>
        <w:r>
          <w:rPr>
            <w:noProof/>
            <w:webHidden/>
          </w:rPr>
          <w:t>- 56 -</w:t>
        </w:r>
        <w:r>
          <w:rPr>
            <w:noProof/>
            <w:webHidden/>
          </w:rPr>
          <w:fldChar w:fldCharType="end"/>
        </w:r>
      </w:hyperlink>
    </w:p>
    <w:p w14:paraId="641C6D7C" w14:textId="63DFF74E"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93" w:history="1">
        <w:r w:rsidRPr="007275C4">
          <w:rPr>
            <w:rStyle w:val="Hyperlink"/>
            <w:rFonts w:eastAsiaTheme="majorEastAsia" w:cs="Arial"/>
            <w:b/>
            <w:bCs/>
            <w:noProof/>
          </w:rPr>
          <w:t>Tabelle 4</w:t>
        </w:r>
        <w:r w:rsidRPr="007275C4">
          <w:rPr>
            <w:rStyle w:val="Hyperlink"/>
            <w:rFonts w:eastAsiaTheme="majorEastAsia" w:cs="Arial"/>
            <w:b/>
            <w:bCs/>
            <w:noProof/>
          </w:rPr>
          <w:noBreakHyphen/>
          <w:t>3: Tumorcharakteristik</w:t>
        </w:r>
        <w:r>
          <w:rPr>
            <w:noProof/>
            <w:webHidden/>
          </w:rPr>
          <w:tab/>
        </w:r>
        <w:r>
          <w:rPr>
            <w:noProof/>
            <w:webHidden/>
          </w:rPr>
          <w:fldChar w:fldCharType="begin"/>
        </w:r>
        <w:r>
          <w:rPr>
            <w:noProof/>
            <w:webHidden/>
          </w:rPr>
          <w:instrText xml:space="preserve"> PAGEREF _Toc180788393 \h </w:instrText>
        </w:r>
        <w:r>
          <w:rPr>
            <w:noProof/>
            <w:webHidden/>
          </w:rPr>
        </w:r>
        <w:r>
          <w:rPr>
            <w:noProof/>
            <w:webHidden/>
          </w:rPr>
          <w:fldChar w:fldCharType="separate"/>
        </w:r>
        <w:r>
          <w:rPr>
            <w:noProof/>
            <w:webHidden/>
          </w:rPr>
          <w:t>- 57 -</w:t>
        </w:r>
        <w:r>
          <w:rPr>
            <w:noProof/>
            <w:webHidden/>
          </w:rPr>
          <w:fldChar w:fldCharType="end"/>
        </w:r>
      </w:hyperlink>
    </w:p>
    <w:p w14:paraId="31A12CC0" w14:textId="17D222ED"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94" w:history="1">
        <w:r w:rsidRPr="007275C4">
          <w:rPr>
            <w:rStyle w:val="Hyperlink"/>
            <w:rFonts w:eastAsiaTheme="majorEastAsia" w:cs="Arial"/>
            <w:b/>
            <w:bCs/>
            <w:noProof/>
          </w:rPr>
          <w:t>Tabelle 4</w:t>
        </w:r>
        <w:r w:rsidRPr="007275C4">
          <w:rPr>
            <w:rStyle w:val="Hyperlink"/>
            <w:rFonts w:eastAsiaTheme="majorEastAsia" w:cs="Arial"/>
            <w:b/>
            <w:bCs/>
            <w:noProof/>
          </w:rPr>
          <w:noBreakHyphen/>
          <w:t xml:space="preserve">4: Anzahl der Tumoren mit positiven oder negativen Biomarkern Insgesamt und pro Tumorlokalisierung. </w:t>
        </w:r>
        <w:r w:rsidRPr="007275C4">
          <w:rPr>
            <w:rStyle w:val="Hyperlink"/>
            <w:rFonts w:eastAsiaTheme="majorEastAsia"/>
            <w:noProof/>
          </w:rPr>
          <w:t>N=Anzahl der auswertbaren Fälle, F=Anzahl der nicht auswertbaren Fälle</w:t>
        </w:r>
        <w:r>
          <w:rPr>
            <w:noProof/>
            <w:webHidden/>
          </w:rPr>
          <w:tab/>
        </w:r>
        <w:r>
          <w:rPr>
            <w:noProof/>
            <w:webHidden/>
          </w:rPr>
          <w:fldChar w:fldCharType="begin"/>
        </w:r>
        <w:r>
          <w:rPr>
            <w:noProof/>
            <w:webHidden/>
          </w:rPr>
          <w:instrText xml:space="preserve"> PAGEREF _Toc180788394 \h </w:instrText>
        </w:r>
        <w:r>
          <w:rPr>
            <w:noProof/>
            <w:webHidden/>
          </w:rPr>
        </w:r>
        <w:r>
          <w:rPr>
            <w:noProof/>
            <w:webHidden/>
          </w:rPr>
          <w:fldChar w:fldCharType="separate"/>
        </w:r>
        <w:r>
          <w:rPr>
            <w:noProof/>
            <w:webHidden/>
          </w:rPr>
          <w:t>- 59 -</w:t>
        </w:r>
        <w:r>
          <w:rPr>
            <w:noProof/>
            <w:webHidden/>
          </w:rPr>
          <w:fldChar w:fldCharType="end"/>
        </w:r>
      </w:hyperlink>
    </w:p>
    <w:p w14:paraId="0F3EA183" w14:textId="4CE92AC3"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95" w:history="1">
        <w:r w:rsidRPr="007275C4">
          <w:rPr>
            <w:rStyle w:val="Hyperlink"/>
            <w:rFonts w:eastAsiaTheme="majorEastAsia" w:cs="Arial"/>
            <w:b/>
            <w:bCs/>
            <w:noProof/>
          </w:rPr>
          <w:t>Tabelle 4</w:t>
        </w:r>
        <w:r w:rsidRPr="007275C4">
          <w:rPr>
            <w:rStyle w:val="Hyperlink"/>
            <w:rFonts w:eastAsiaTheme="majorEastAsia" w:cs="Arial"/>
            <w:b/>
            <w:bCs/>
            <w:noProof/>
          </w:rPr>
          <w:noBreakHyphen/>
          <w:t>5: Behandlungsparameter</w:t>
        </w:r>
        <w:r>
          <w:rPr>
            <w:noProof/>
            <w:webHidden/>
          </w:rPr>
          <w:tab/>
        </w:r>
        <w:r>
          <w:rPr>
            <w:noProof/>
            <w:webHidden/>
          </w:rPr>
          <w:fldChar w:fldCharType="begin"/>
        </w:r>
        <w:r>
          <w:rPr>
            <w:noProof/>
            <w:webHidden/>
          </w:rPr>
          <w:instrText xml:space="preserve"> PAGEREF _Toc180788395 \h </w:instrText>
        </w:r>
        <w:r>
          <w:rPr>
            <w:noProof/>
            <w:webHidden/>
          </w:rPr>
        </w:r>
        <w:r>
          <w:rPr>
            <w:noProof/>
            <w:webHidden/>
          </w:rPr>
          <w:fldChar w:fldCharType="separate"/>
        </w:r>
        <w:r>
          <w:rPr>
            <w:noProof/>
            <w:webHidden/>
          </w:rPr>
          <w:t>- 61 -</w:t>
        </w:r>
        <w:r>
          <w:rPr>
            <w:noProof/>
            <w:webHidden/>
          </w:rPr>
          <w:fldChar w:fldCharType="end"/>
        </w:r>
      </w:hyperlink>
    </w:p>
    <w:p w14:paraId="70C6D74F" w14:textId="397656C9"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96" w:history="1">
        <w:r w:rsidRPr="007275C4">
          <w:rPr>
            <w:rStyle w:val="Hyperlink"/>
            <w:rFonts w:eastAsiaTheme="majorEastAsia" w:cs="Arial"/>
            <w:b/>
            <w:bCs/>
            <w:noProof/>
          </w:rPr>
          <w:t>Tabelle 4</w:t>
        </w:r>
        <w:r w:rsidRPr="007275C4">
          <w:rPr>
            <w:rStyle w:val="Hyperlink"/>
            <w:rFonts w:eastAsiaTheme="majorEastAsia" w:cs="Arial"/>
            <w:b/>
            <w:bCs/>
            <w:noProof/>
          </w:rPr>
          <w:noBreakHyphen/>
          <w:t xml:space="preserve">6:  Anzahl der Ereignisse für die klinischen Endpunkte im Beobachtungszeitraum pro Tumorlokalisation vom gesamten Patientenkollektiv. </w:t>
        </w:r>
        <w:r w:rsidRPr="007275C4">
          <w:rPr>
            <w:rStyle w:val="Hyperlink"/>
            <w:rFonts w:eastAsiaTheme="majorEastAsia" w:cs="Arial"/>
            <w:noProof/>
          </w:rPr>
          <w:t>N=Anzahl der auswertbaren Fälle</w:t>
        </w:r>
        <w:r>
          <w:rPr>
            <w:noProof/>
            <w:webHidden/>
          </w:rPr>
          <w:tab/>
        </w:r>
        <w:r>
          <w:rPr>
            <w:noProof/>
            <w:webHidden/>
          </w:rPr>
          <w:fldChar w:fldCharType="begin"/>
        </w:r>
        <w:r>
          <w:rPr>
            <w:noProof/>
            <w:webHidden/>
          </w:rPr>
          <w:instrText xml:space="preserve"> PAGEREF _Toc180788396 \h </w:instrText>
        </w:r>
        <w:r>
          <w:rPr>
            <w:noProof/>
            <w:webHidden/>
          </w:rPr>
        </w:r>
        <w:r>
          <w:rPr>
            <w:noProof/>
            <w:webHidden/>
          </w:rPr>
          <w:fldChar w:fldCharType="separate"/>
        </w:r>
        <w:r>
          <w:rPr>
            <w:noProof/>
            <w:webHidden/>
          </w:rPr>
          <w:t>- 63 -</w:t>
        </w:r>
        <w:r>
          <w:rPr>
            <w:noProof/>
            <w:webHidden/>
          </w:rPr>
          <w:fldChar w:fldCharType="end"/>
        </w:r>
      </w:hyperlink>
    </w:p>
    <w:p w14:paraId="173EDECC" w14:textId="063BEB0C"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97" w:history="1">
        <w:r w:rsidRPr="007275C4">
          <w:rPr>
            <w:rStyle w:val="Hyperlink"/>
            <w:rFonts w:eastAsiaTheme="majorEastAsia"/>
            <w:b/>
            <w:bCs/>
            <w:noProof/>
          </w:rPr>
          <w:t>Tabelle 4</w:t>
        </w:r>
        <w:r w:rsidRPr="007275C4">
          <w:rPr>
            <w:rStyle w:val="Hyperlink"/>
            <w:rFonts w:eastAsiaTheme="majorEastAsia"/>
            <w:b/>
            <w:bCs/>
            <w:noProof/>
          </w:rPr>
          <w:noBreakHyphen/>
          <w:t xml:space="preserve">7: Anzahl der Tumoren mit positiver oder negativer CD44 Proteinexpression pro Ereignis bzw. Zensierung. </w:t>
        </w:r>
        <w:r w:rsidRPr="007275C4">
          <w:rPr>
            <w:rStyle w:val="Hyperlink"/>
            <w:rFonts w:eastAsiaTheme="majorEastAsia"/>
            <w:noProof/>
          </w:rPr>
          <w:t>N=Anzahl der auswertbaren Fälle in der Kohorte</w:t>
        </w:r>
        <w:r>
          <w:rPr>
            <w:noProof/>
            <w:webHidden/>
          </w:rPr>
          <w:tab/>
        </w:r>
        <w:r>
          <w:rPr>
            <w:noProof/>
            <w:webHidden/>
          </w:rPr>
          <w:fldChar w:fldCharType="begin"/>
        </w:r>
        <w:r>
          <w:rPr>
            <w:noProof/>
            <w:webHidden/>
          </w:rPr>
          <w:instrText xml:space="preserve"> PAGEREF _Toc180788397 \h </w:instrText>
        </w:r>
        <w:r>
          <w:rPr>
            <w:noProof/>
            <w:webHidden/>
          </w:rPr>
        </w:r>
        <w:r>
          <w:rPr>
            <w:noProof/>
            <w:webHidden/>
          </w:rPr>
          <w:fldChar w:fldCharType="separate"/>
        </w:r>
        <w:r>
          <w:rPr>
            <w:noProof/>
            <w:webHidden/>
          </w:rPr>
          <w:t>- 66 -</w:t>
        </w:r>
        <w:r>
          <w:rPr>
            <w:noProof/>
            <w:webHidden/>
          </w:rPr>
          <w:fldChar w:fldCharType="end"/>
        </w:r>
      </w:hyperlink>
    </w:p>
    <w:p w14:paraId="61F5FD91" w14:textId="37F8F2EE"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98" w:history="1">
        <w:r w:rsidRPr="007275C4">
          <w:rPr>
            <w:rStyle w:val="Hyperlink"/>
            <w:rFonts w:eastAsiaTheme="majorEastAsia"/>
            <w:b/>
            <w:bCs/>
            <w:noProof/>
          </w:rPr>
          <w:t>Tabelle 4</w:t>
        </w:r>
        <w:r w:rsidRPr="007275C4">
          <w:rPr>
            <w:rStyle w:val="Hyperlink"/>
            <w:rFonts w:eastAsiaTheme="majorEastAsia"/>
            <w:b/>
            <w:bCs/>
            <w:noProof/>
          </w:rPr>
          <w:noBreakHyphen/>
          <w:t xml:space="preserve">8: Univariate Analysen zum Einfluss von CD44 als Tumorstammzellmarker auf die loko-regionären Kontrolle, Fernmetastasen-freies Überleben und Gesamtüberleben.  </w:t>
        </w:r>
        <w:r w:rsidRPr="007275C4">
          <w:rPr>
            <w:rStyle w:val="Hyperlink"/>
            <w:rFonts w:eastAsiaTheme="majorEastAsia"/>
            <w:noProof/>
          </w:rPr>
          <w:t>HR = Hazard Ratio; 95% KI = 95% -Konfidenzintervall</w:t>
        </w:r>
        <w:r>
          <w:rPr>
            <w:noProof/>
            <w:webHidden/>
          </w:rPr>
          <w:tab/>
        </w:r>
        <w:r>
          <w:rPr>
            <w:noProof/>
            <w:webHidden/>
          </w:rPr>
          <w:fldChar w:fldCharType="begin"/>
        </w:r>
        <w:r>
          <w:rPr>
            <w:noProof/>
            <w:webHidden/>
          </w:rPr>
          <w:instrText xml:space="preserve"> PAGEREF _Toc180788398 \h </w:instrText>
        </w:r>
        <w:r>
          <w:rPr>
            <w:noProof/>
            <w:webHidden/>
          </w:rPr>
        </w:r>
        <w:r>
          <w:rPr>
            <w:noProof/>
            <w:webHidden/>
          </w:rPr>
          <w:fldChar w:fldCharType="separate"/>
        </w:r>
        <w:r>
          <w:rPr>
            <w:noProof/>
            <w:webHidden/>
          </w:rPr>
          <w:t>- 69 -</w:t>
        </w:r>
        <w:r>
          <w:rPr>
            <w:noProof/>
            <w:webHidden/>
          </w:rPr>
          <w:fldChar w:fldCharType="end"/>
        </w:r>
      </w:hyperlink>
    </w:p>
    <w:p w14:paraId="350D8C20" w14:textId="42181D70"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399" w:history="1">
        <w:r w:rsidRPr="007275C4">
          <w:rPr>
            <w:rStyle w:val="Hyperlink"/>
            <w:rFonts w:eastAsiaTheme="majorEastAsia"/>
            <w:b/>
            <w:bCs/>
            <w:noProof/>
          </w:rPr>
          <w:t>Tabelle 4</w:t>
        </w:r>
        <w:r w:rsidRPr="007275C4">
          <w:rPr>
            <w:rStyle w:val="Hyperlink"/>
            <w:rFonts w:eastAsiaTheme="majorEastAsia"/>
            <w:b/>
            <w:bCs/>
            <w:noProof/>
          </w:rPr>
          <w:noBreakHyphen/>
          <w:t xml:space="preserve">9: Univariate Analyse potenzieller prognostische Parameter für die loko-regionäre Tumorkontrolle, Fernmetastasen-freies Überleben und Gesamtüberleben. </w:t>
        </w:r>
        <w:r w:rsidRPr="007275C4">
          <w:rPr>
            <w:rStyle w:val="Hyperlink"/>
            <w:rFonts w:eastAsiaTheme="majorEastAsia"/>
            <w:noProof/>
          </w:rPr>
          <w:t>HR = Hazard Ratio; 95% KI = 95% Konfidenzintervall</w:t>
        </w:r>
        <w:r>
          <w:rPr>
            <w:noProof/>
            <w:webHidden/>
          </w:rPr>
          <w:tab/>
        </w:r>
        <w:r>
          <w:rPr>
            <w:noProof/>
            <w:webHidden/>
          </w:rPr>
          <w:fldChar w:fldCharType="begin"/>
        </w:r>
        <w:r>
          <w:rPr>
            <w:noProof/>
            <w:webHidden/>
          </w:rPr>
          <w:instrText xml:space="preserve"> PAGEREF _Toc180788399 \h </w:instrText>
        </w:r>
        <w:r>
          <w:rPr>
            <w:noProof/>
            <w:webHidden/>
          </w:rPr>
        </w:r>
        <w:r>
          <w:rPr>
            <w:noProof/>
            <w:webHidden/>
          </w:rPr>
          <w:fldChar w:fldCharType="separate"/>
        </w:r>
        <w:r>
          <w:rPr>
            <w:noProof/>
            <w:webHidden/>
          </w:rPr>
          <w:t>- 72 -</w:t>
        </w:r>
        <w:r>
          <w:rPr>
            <w:noProof/>
            <w:webHidden/>
          </w:rPr>
          <w:fldChar w:fldCharType="end"/>
        </w:r>
      </w:hyperlink>
    </w:p>
    <w:p w14:paraId="63C58968" w14:textId="37BDA15F"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400" w:history="1">
        <w:r w:rsidRPr="007275C4">
          <w:rPr>
            <w:rStyle w:val="Hyperlink"/>
            <w:rFonts w:eastAsiaTheme="majorEastAsia"/>
            <w:b/>
            <w:bCs/>
            <w:noProof/>
          </w:rPr>
          <w:t>Tabelle 4</w:t>
        </w:r>
        <w:r w:rsidRPr="007275C4">
          <w:rPr>
            <w:rStyle w:val="Hyperlink"/>
            <w:rFonts w:eastAsiaTheme="majorEastAsia"/>
            <w:b/>
            <w:bCs/>
            <w:noProof/>
          </w:rPr>
          <w:noBreakHyphen/>
          <w:t>10: Hazard Ratio ist ein deskriptives Maß für das Einflussrisiko im Verhältnis zur Referenzgruppe</w:t>
        </w:r>
        <w:r>
          <w:rPr>
            <w:noProof/>
            <w:webHidden/>
          </w:rPr>
          <w:tab/>
        </w:r>
        <w:r>
          <w:rPr>
            <w:noProof/>
            <w:webHidden/>
          </w:rPr>
          <w:fldChar w:fldCharType="begin"/>
        </w:r>
        <w:r>
          <w:rPr>
            <w:noProof/>
            <w:webHidden/>
          </w:rPr>
          <w:instrText xml:space="preserve"> PAGEREF _Toc180788400 \h </w:instrText>
        </w:r>
        <w:r>
          <w:rPr>
            <w:noProof/>
            <w:webHidden/>
          </w:rPr>
        </w:r>
        <w:r>
          <w:rPr>
            <w:noProof/>
            <w:webHidden/>
          </w:rPr>
          <w:fldChar w:fldCharType="separate"/>
        </w:r>
        <w:r>
          <w:rPr>
            <w:noProof/>
            <w:webHidden/>
          </w:rPr>
          <w:t>- 73 -</w:t>
        </w:r>
        <w:r>
          <w:rPr>
            <w:noProof/>
            <w:webHidden/>
          </w:rPr>
          <w:fldChar w:fldCharType="end"/>
        </w:r>
      </w:hyperlink>
    </w:p>
    <w:p w14:paraId="2C353632" w14:textId="239BC1FF"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401" w:history="1">
        <w:r w:rsidRPr="007275C4">
          <w:rPr>
            <w:rStyle w:val="Hyperlink"/>
            <w:rFonts w:eastAsiaTheme="majorEastAsia"/>
            <w:b/>
            <w:bCs/>
            <w:noProof/>
          </w:rPr>
          <w:t>Tabelle 4</w:t>
        </w:r>
        <w:r w:rsidRPr="007275C4">
          <w:rPr>
            <w:rStyle w:val="Hyperlink"/>
            <w:rFonts w:eastAsiaTheme="majorEastAsia"/>
            <w:b/>
            <w:bCs/>
            <w:noProof/>
          </w:rPr>
          <w:noBreakHyphen/>
          <w:t xml:space="preserve">11: Ergebnisse der multivariaten Analyse von CSC-Marker und zusätzliche klinisch-pathologische Prognosefaktoren aller Patienten und für die Subgruppe mit HPV16 DNA-negativen Tumoren. </w:t>
        </w:r>
        <w:r w:rsidRPr="007275C4">
          <w:rPr>
            <w:rStyle w:val="Hyperlink"/>
            <w:rFonts w:eastAsiaTheme="majorEastAsia"/>
            <w:noProof/>
          </w:rPr>
          <w:t>HR = Hazard Ratio; 95% KI = 95% Konfidenzintervall.</w:t>
        </w:r>
        <w:r>
          <w:rPr>
            <w:noProof/>
            <w:webHidden/>
          </w:rPr>
          <w:tab/>
        </w:r>
        <w:r>
          <w:rPr>
            <w:noProof/>
            <w:webHidden/>
          </w:rPr>
          <w:fldChar w:fldCharType="begin"/>
        </w:r>
        <w:r>
          <w:rPr>
            <w:noProof/>
            <w:webHidden/>
          </w:rPr>
          <w:instrText xml:space="preserve"> PAGEREF _Toc180788401 \h </w:instrText>
        </w:r>
        <w:r>
          <w:rPr>
            <w:noProof/>
            <w:webHidden/>
          </w:rPr>
        </w:r>
        <w:r>
          <w:rPr>
            <w:noProof/>
            <w:webHidden/>
          </w:rPr>
          <w:fldChar w:fldCharType="separate"/>
        </w:r>
        <w:r>
          <w:rPr>
            <w:noProof/>
            <w:webHidden/>
          </w:rPr>
          <w:t>- 74 -</w:t>
        </w:r>
        <w:r>
          <w:rPr>
            <w:noProof/>
            <w:webHidden/>
          </w:rPr>
          <w:fldChar w:fldCharType="end"/>
        </w:r>
      </w:hyperlink>
    </w:p>
    <w:p w14:paraId="106CE6B9" w14:textId="606F0F21" w:rsidR="000112D9" w:rsidRDefault="000112D9">
      <w:pPr>
        <w:pStyle w:val="Abbildungsverzeichnis"/>
        <w:tabs>
          <w:tab w:val="right" w:leader="dot" w:pos="10456"/>
        </w:tabs>
        <w:rPr>
          <w:rFonts w:eastAsiaTheme="minorEastAsia" w:cstheme="minorBidi"/>
          <w:smallCaps w:val="0"/>
          <w:noProof/>
          <w:kern w:val="2"/>
          <w:sz w:val="24"/>
          <w:szCs w:val="24"/>
          <w:lang w:eastAsia="de-DE"/>
          <w14:ligatures w14:val="standardContextual"/>
        </w:rPr>
      </w:pPr>
      <w:hyperlink w:anchor="_Toc180788402" w:history="1">
        <w:r w:rsidRPr="007275C4">
          <w:rPr>
            <w:rStyle w:val="Hyperlink"/>
            <w:rFonts w:eastAsiaTheme="majorEastAsia" w:cs="Arial"/>
            <w:b/>
            <w:bCs/>
            <w:noProof/>
          </w:rPr>
          <w:t>Tabelle 13</w:t>
        </w:r>
        <w:r w:rsidRPr="007275C4">
          <w:rPr>
            <w:rStyle w:val="Hyperlink"/>
            <w:rFonts w:eastAsiaTheme="majorEastAsia" w:cs="Arial"/>
            <w:b/>
            <w:bCs/>
            <w:noProof/>
          </w:rPr>
          <w:noBreakHyphen/>
          <w:t xml:space="preserve">1:  Anzahl der Ereignisse für die klinischen Endpunkte im Beobachtungszeitraum pro Tumorlokalisation vom gesamten Patientenkollektiv und für die Subgruppe der HPV16 DNA-negativen und -positiven Kohorte. </w:t>
        </w:r>
        <w:r w:rsidRPr="007275C4">
          <w:rPr>
            <w:rStyle w:val="Hyperlink"/>
            <w:rFonts w:eastAsiaTheme="majorEastAsia" w:cs="Arial"/>
            <w:noProof/>
          </w:rPr>
          <w:t>N=Anzahl der auswertbaren Fälle</w:t>
        </w:r>
        <w:r>
          <w:rPr>
            <w:noProof/>
            <w:webHidden/>
          </w:rPr>
          <w:tab/>
        </w:r>
        <w:r>
          <w:rPr>
            <w:noProof/>
            <w:webHidden/>
          </w:rPr>
          <w:fldChar w:fldCharType="begin"/>
        </w:r>
        <w:r>
          <w:rPr>
            <w:noProof/>
            <w:webHidden/>
          </w:rPr>
          <w:instrText xml:space="preserve"> PAGEREF _Toc180788402 \h </w:instrText>
        </w:r>
        <w:r>
          <w:rPr>
            <w:noProof/>
            <w:webHidden/>
          </w:rPr>
        </w:r>
        <w:r>
          <w:rPr>
            <w:noProof/>
            <w:webHidden/>
          </w:rPr>
          <w:fldChar w:fldCharType="separate"/>
        </w:r>
        <w:r>
          <w:rPr>
            <w:noProof/>
            <w:webHidden/>
          </w:rPr>
          <w:t>XVIII</w:t>
        </w:r>
        <w:r>
          <w:rPr>
            <w:noProof/>
            <w:webHidden/>
          </w:rPr>
          <w:fldChar w:fldCharType="end"/>
        </w:r>
      </w:hyperlink>
    </w:p>
    <w:p w14:paraId="042BAB21" w14:textId="3CDBF06B" w:rsidR="0016546B" w:rsidRPr="00812C16" w:rsidRDefault="0016546B" w:rsidP="0016546B">
      <w:pPr>
        <w:rPr>
          <w:rFonts w:cs="Arial"/>
          <w:lang w:eastAsia="de-DE"/>
        </w:rPr>
      </w:pPr>
      <w:r w:rsidRPr="00812C16">
        <w:rPr>
          <w:rFonts w:cs="Arial"/>
          <w:lang w:eastAsia="de-DE"/>
        </w:rPr>
        <w:fldChar w:fldCharType="end"/>
      </w:r>
    </w:p>
    <w:p w14:paraId="1A50B601" w14:textId="77777777" w:rsidR="000F0E16" w:rsidRPr="00812C16" w:rsidRDefault="000F0E16">
      <w:pPr>
        <w:jc w:val="left"/>
        <w:rPr>
          <w:rFonts w:cs="Arial"/>
          <w:b/>
          <w:color w:val="000000" w:themeColor="text1"/>
          <w:sz w:val="28"/>
          <w:szCs w:val="36"/>
          <w:lang w:eastAsia="de-DE"/>
        </w:rPr>
      </w:pPr>
      <w:r w:rsidRPr="00812C16">
        <w:rPr>
          <w:rFonts w:cs="Arial"/>
        </w:rPr>
        <w:br w:type="page"/>
      </w:r>
    </w:p>
    <w:p w14:paraId="256313DD" w14:textId="77777777" w:rsidR="00487E02" w:rsidRPr="00812C16" w:rsidRDefault="00487E02" w:rsidP="001830EA">
      <w:pPr>
        <w:pStyle w:val="berschrift1"/>
        <w:rPr>
          <w:rFonts w:cs="Arial"/>
        </w:rPr>
      </w:pPr>
      <w:bookmarkStart w:id="101" w:name="_Toc158006557"/>
      <w:r w:rsidRPr="00812C16">
        <w:rPr>
          <w:rFonts w:cs="Arial"/>
        </w:rPr>
        <w:lastRenderedPageBreak/>
        <w:t>DANKSAGUNG</w:t>
      </w:r>
      <w:bookmarkEnd w:id="101"/>
      <w:r w:rsidRPr="00812C16">
        <w:rPr>
          <w:rFonts w:cs="Arial"/>
        </w:rPr>
        <w:t xml:space="preserve"> </w:t>
      </w:r>
    </w:p>
    <w:p w14:paraId="64FDD468" w14:textId="77777777" w:rsidR="00E26A59" w:rsidRPr="00812C16" w:rsidRDefault="00E26A59" w:rsidP="00E26A59">
      <w:pPr>
        <w:rPr>
          <w:rFonts w:cs="Arial"/>
          <w:lang w:eastAsia="de-DE"/>
        </w:rPr>
      </w:pPr>
      <w:r w:rsidRPr="00812C16">
        <w:rPr>
          <w:rFonts w:cs="Arial"/>
          <w:lang w:eastAsia="de-DE"/>
        </w:rPr>
        <w:t xml:space="preserve">Die vorliegende Arbeit wurde </w:t>
      </w:r>
      <w:proofErr w:type="spellStart"/>
      <w:r w:rsidRPr="00812C16">
        <w:rPr>
          <w:rFonts w:cs="Arial"/>
          <w:lang w:eastAsia="de-DE"/>
        </w:rPr>
        <w:t>während</w:t>
      </w:r>
      <w:proofErr w:type="spellEnd"/>
      <w:r w:rsidRPr="00812C16">
        <w:rPr>
          <w:rFonts w:cs="Arial"/>
          <w:lang w:eastAsia="de-DE"/>
        </w:rPr>
        <w:t xml:space="preserve"> meiner </w:t>
      </w:r>
      <w:proofErr w:type="spellStart"/>
      <w:r w:rsidRPr="00812C16">
        <w:rPr>
          <w:rFonts w:cs="Arial"/>
          <w:lang w:eastAsia="de-DE"/>
        </w:rPr>
        <w:t>Tätigkeit</w:t>
      </w:r>
      <w:proofErr w:type="spellEnd"/>
      <w:r w:rsidRPr="00812C16">
        <w:rPr>
          <w:rFonts w:cs="Arial"/>
          <w:lang w:eastAsia="de-DE"/>
        </w:rPr>
        <w:t xml:space="preserve"> als Doktorandin im Labor </w:t>
      </w:r>
      <w:proofErr w:type="spellStart"/>
      <w:r w:rsidRPr="00812C16">
        <w:rPr>
          <w:rFonts w:cs="Arial"/>
          <w:lang w:eastAsia="de-DE"/>
        </w:rPr>
        <w:t>für</w:t>
      </w:r>
      <w:proofErr w:type="spellEnd"/>
      <w:r w:rsidRPr="00812C16">
        <w:rPr>
          <w:rFonts w:cs="Arial"/>
          <w:lang w:eastAsia="de-DE"/>
        </w:rPr>
        <w:t xml:space="preserve"> Experimentelle Strahlentherapie in der Klinik und Poliklinik </w:t>
      </w:r>
      <w:proofErr w:type="spellStart"/>
      <w:r w:rsidRPr="00812C16">
        <w:rPr>
          <w:rFonts w:cs="Arial"/>
          <w:lang w:eastAsia="de-DE"/>
        </w:rPr>
        <w:t>für</w:t>
      </w:r>
      <w:proofErr w:type="spellEnd"/>
      <w:r w:rsidRPr="00812C16">
        <w:rPr>
          <w:rFonts w:cs="Arial"/>
          <w:lang w:eastAsia="de-DE"/>
        </w:rPr>
        <w:t xml:space="preserve"> Strahlentherapie und Radioonkologie des </w:t>
      </w:r>
      <w:proofErr w:type="spellStart"/>
      <w:r w:rsidRPr="00812C16">
        <w:rPr>
          <w:rFonts w:cs="Arial"/>
          <w:lang w:eastAsia="de-DE"/>
        </w:rPr>
        <w:t>Universitätsklinikums</w:t>
      </w:r>
      <w:proofErr w:type="spellEnd"/>
      <w:r w:rsidRPr="00812C16">
        <w:rPr>
          <w:rFonts w:cs="Arial"/>
          <w:lang w:eastAsia="de-DE"/>
        </w:rPr>
        <w:t xml:space="preserve"> Carl Gustav Carus der Technischen </w:t>
      </w:r>
      <w:proofErr w:type="spellStart"/>
      <w:r w:rsidRPr="00812C16">
        <w:rPr>
          <w:rFonts w:cs="Arial"/>
          <w:lang w:eastAsia="de-DE"/>
        </w:rPr>
        <w:t>Universität</w:t>
      </w:r>
      <w:proofErr w:type="spellEnd"/>
      <w:r w:rsidRPr="00812C16">
        <w:rPr>
          <w:rFonts w:cs="Arial"/>
          <w:lang w:eastAsia="de-DE"/>
        </w:rPr>
        <w:t xml:space="preserve"> Dresden unter der Leitung von Herrn Prof. Michael Baumann angefertigt. </w:t>
      </w:r>
    </w:p>
    <w:p w14:paraId="78CA92CA" w14:textId="77777777" w:rsidR="00020A14" w:rsidRPr="00812C16" w:rsidRDefault="00020A14" w:rsidP="00020A14">
      <w:pPr>
        <w:spacing w:after="0"/>
        <w:contextualSpacing/>
        <w:rPr>
          <w:rFonts w:cs="Arial"/>
          <w:lang w:eastAsia="de-DE"/>
        </w:rPr>
      </w:pPr>
    </w:p>
    <w:p w14:paraId="0E6E36A3" w14:textId="77777777" w:rsidR="00E26A59" w:rsidRPr="00812C16" w:rsidRDefault="00E26A59" w:rsidP="00E26A59">
      <w:pPr>
        <w:rPr>
          <w:rFonts w:cs="Arial"/>
          <w:lang w:eastAsia="de-DE"/>
        </w:rPr>
      </w:pPr>
      <w:r w:rsidRPr="00812C16">
        <w:rPr>
          <w:rFonts w:cs="Arial"/>
          <w:lang w:eastAsia="de-DE"/>
        </w:rPr>
        <w:t xml:space="preserve">Die gute </w:t>
      </w:r>
      <w:proofErr w:type="spellStart"/>
      <w:r w:rsidRPr="00812C16">
        <w:rPr>
          <w:rFonts w:cs="Arial"/>
          <w:lang w:eastAsia="de-DE"/>
        </w:rPr>
        <w:t>Atmosphäre</w:t>
      </w:r>
      <w:proofErr w:type="spellEnd"/>
      <w:r w:rsidRPr="00812C16">
        <w:rPr>
          <w:rFonts w:cs="Arial"/>
          <w:lang w:eastAsia="de-DE"/>
        </w:rPr>
        <w:t xml:space="preserve"> und Hilfsbereitschaft der Mitarbeiter, Experimentatoren und Tierpfleger im Labor sowie die enge Zusammenarbeit mit dem Zentrum </w:t>
      </w:r>
      <w:proofErr w:type="spellStart"/>
      <w:r w:rsidRPr="00812C16">
        <w:rPr>
          <w:rFonts w:cs="Arial"/>
          <w:lang w:eastAsia="de-DE"/>
        </w:rPr>
        <w:t>für</w:t>
      </w:r>
      <w:proofErr w:type="spellEnd"/>
      <w:r w:rsidRPr="00812C16">
        <w:rPr>
          <w:rFonts w:cs="Arial"/>
          <w:lang w:eastAsia="de-DE"/>
        </w:rPr>
        <w:t xml:space="preserve"> Strahlenforschung in der Onkologie - </w:t>
      </w:r>
      <w:proofErr w:type="spellStart"/>
      <w:r w:rsidRPr="00812C16">
        <w:rPr>
          <w:rFonts w:cs="Arial"/>
          <w:lang w:eastAsia="de-DE"/>
        </w:rPr>
        <w:t>OncoRay</w:t>
      </w:r>
      <w:proofErr w:type="spellEnd"/>
      <w:r w:rsidRPr="00812C16">
        <w:rPr>
          <w:rFonts w:cs="Arial"/>
          <w:lang w:eastAsia="de-DE"/>
        </w:rPr>
        <w:t xml:space="preserve"> - am </w:t>
      </w:r>
      <w:proofErr w:type="spellStart"/>
      <w:r w:rsidRPr="00812C16">
        <w:rPr>
          <w:rFonts w:cs="Arial"/>
          <w:lang w:eastAsia="de-DE"/>
        </w:rPr>
        <w:t>Universitätsklinikum</w:t>
      </w:r>
      <w:proofErr w:type="spellEnd"/>
      <w:r w:rsidRPr="00812C16">
        <w:rPr>
          <w:rFonts w:cs="Arial"/>
          <w:lang w:eastAsia="de-DE"/>
        </w:rPr>
        <w:t xml:space="preserve"> Dresden haben wesentlich zum Gelingen dieser Arbeit beigetragen. </w:t>
      </w:r>
    </w:p>
    <w:p w14:paraId="3532CA61" w14:textId="77777777" w:rsidR="00E26A59" w:rsidRPr="00812C16" w:rsidRDefault="00E26A59" w:rsidP="00E26A59">
      <w:pPr>
        <w:spacing w:after="0"/>
        <w:rPr>
          <w:rFonts w:cs="Arial"/>
          <w:lang w:eastAsia="de-DE"/>
        </w:rPr>
      </w:pPr>
    </w:p>
    <w:p w14:paraId="788AC9CB" w14:textId="77777777" w:rsidR="00E26A59" w:rsidRPr="00812C16" w:rsidRDefault="00E26A59" w:rsidP="00E26A59">
      <w:pPr>
        <w:rPr>
          <w:rFonts w:cs="Arial"/>
          <w:lang w:eastAsia="de-DE"/>
        </w:rPr>
      </w:pPr>
      <w:r w:rsidRPr="00812C16">
        <w:rPr>
          <w:rFonts w:cs="Arial"/>
          <w:lang w:eastAsia="de-DE"/>
        </w:rPr>
        <w:t xml:space="preserve">Mein Dank </w:t>
      </w:r>
      <w:proofErr w:type="spellStart"/>
      <w:r w:rsidRPr="00812C16">
        <w:rPr>
          <w:rFonts w:cs="Arial"/>
          <w:lang w:eastAsia="de-DE"/>
        </w:rPr>
        <w:t>für</w:t>
      </w:r>
      <w:proofErr w:type="spellEnd"/>
      <w:r w:rsidRPr="00812C16">
        <w:rPr>
          <w:rFonts w:cs="Arial"/>
          <w:lang w:eastAsia="de-DE"/>
        </w:rPr>
        <w:t xml:space="preserve"> viele anregende </w:t>
      </w:r>
      <w:proofErr w:type="spellStart"/>
      <w:r w:rsidRPr="00812C16">
        <w:rPr>
          <w:rFonts w:cs="Arial"/>
          <w:lang w:eastAsia="de-DE"/>
        </w:rPr>
        <w:t>Gespräche</w:t>
      </w:r>
      <w:proofErr w:type="spellEnd"/>
      <w:r w:rsidRPr="00812C16">
        <w:rPr>
          <w:rFonts w:cs="Arial"/>
          <w:lang w:eastAsia="de-DE"/>
        </w:rPr>
        <w:t xml:space="preserve">, Anmerkungen und hilfreiche </w:t>
      </w:r>
      <w:proofErr w:type="spellStart"/>
      <w:r w:rsidRPr="00812C16">
        <w:rPr>
          <w:rFonts w:cs="Arial"/>
          <w:lang w:eastAsia="de-DE"/>
        </w:rPr>
        <w:t>Ratschläge</w:t>
      </w:r>
      <w:proofErr w:type="spellEnd"/>
      <w:r w:rsidRPr="00812C16">
        <w:rPr>
          <w:rFonts w:cs="Arial"/>
          <w:lang w:eastAsia="de-DE"/>
        </w:rPr>
        <w:t xml:space="preserve"> gilt unter anderem den Mitarbeitern, Tierpflegern und anderen Doktoranden im Labor, die mich bei dieser Dissertation </w:t>
      </w:r>
      <w:proofErr w:type="spellStart"/>
      <w:r w:rsidRPr="00812C16">
        <w:rPr>
          <w:rFonts w:cs="Arial"/>
          <w:lang w:eastAsia="de-DE"/>
        </w:rPr>
        <w:t>unterstützt</w:t>
      </w:r>
      <w:proofErr w:type="spellEnd"/>
      <w:r w:rsidRPr="00812C16">
        <w:rPr>
          <w:rFonts w:cs="Arial"/>
          <w:lang w:eastAsia="de-DE"/>
        </w:rPr>
        <w:t xml:space="preserve"> haben. </w:t>
      </w:r>
    </w:p>
    <w:p w14:paraId="7F6C79C9" w14:textId="77777777" w:rsidR="00217304" w:rsidRPr="00812C16" w:rsidRDefault="00217304" w:rsidP="00E26A59">
      <w:pPr>
        <w:spacing w:after="0"/>
        <w:rPr>
          <w:rFonts w:cs="Arial"/>
          <w:lang w:eastAsia="de-DE"/>
        </w:rPr>
      </w:pPr>
    </w:p>
    <w:p w14:paraId="7F891CC3" w14:textId="77777777" w:rsidR="00E26A59" w:rsidRPr="00812C16" w:rsidRDefault="00E26A59" w:rsidP="00E26A59">
      <w:pPr>
        <w:rPr>
          <w:rFonts w:cs="Arial"/>
          <w:lang w:eastAsia="de-DE"/>
        </w:rPr>
      </w:pPr>
      <w:r w:rsidRPr="00812C16">
        <w:rPr>
          <w:rFonts w:cs="Arial"/>
          <w:lang w:eastAsia="de-DE"/>
        </w:rPr>
        <w:t xml:space="preserve">Mein besonderer Dank gilt Frau PD Dr. med. habil. Mechthild Krause </w:t>
      </w:r>
      <w:proofErr w:type="spellStart"/>
      <w:r w:rsidRPr="00812C16">
        <w:rPr>
          <w:rFonts w:cs="Arial"/>
          <w:lang w:eastAsia="de-DE"/>
        </w:rPr>
        <w:t>für</w:t>
      </w:r>
      <w:proofErr w:type="spellEnd"/>
      <w:r w:rsidRPr="00812C16">
        <w:rPr>
          <w:rFonts w:cs="Arial"/>
          <w:lang w:eastAsia="de-DE"/>
        </w:rPr>
        <w:t xml:space="preserve"> die Vergabe des Themas, die wissenschaftliche Betreuung und die </w:t>
      </w:r>
      <w:proofErr w:type="spellStart"/>
      <w:r w:rsidRPr="00812C16">
        <w:rPr>
          <w:rFonts w:cs="Arial"/>
          <w:lang w:eastAsia="de-DE"/>
        </w:rPr>
        <w:t>Förderung</w:t>
      </w:r>
      <w:proofErr w:type="spellEnd"/>
      <w:r w:rsidRPr="00812C16">
        <w:rPr>
          <w:rFonts w:cs="Arial"/>
          <w:lang w:eastAsia="de-DE"/>
        </w:rPr>
        <w:t xml:space="preserve"> </w:t>
      </w:r>
      <w:proofErr w:type="spellStart"/>
      <w:r w:rsidRPr="00812C16">
        <w:rPr>
          <w:rFonts w:cs="Arial"/>
          <w:lang w:eastAsia="de-DE"/>
        </w:rPr>
        <w:t>während</w:t>
      </w:r>
      <w:proofErr w:type="spellEnd"/>
      <w:r w:rsidRPr="00812C16">
        <w:rPr>
          <w:rFonts w:cs="Arial"/>
          <w:lang w:eastAsia="de-DE"/>
        </w:rPr>
        <w:t xml:space="preserve"> dieser Arbeit und </w:t>
      </w:r>
      <w:proofErr w:type="spellStart"/>
      <w:r w:rsidRPr="00812C16">
        <w:rPr>
          <w:rFonts w:cs="Arial"/>
          <w:lang w:eastAsia="de-DE"/>
        </w:rPr>
        <w:t>darüber</w:t>
      </w:r>
      <w:proofErr w:type="spellEnd"/>
      <w:r w:rsidRPr="00812C16">
        <w:rPr>
          <w:rFonts w:cs="Arial"/>
          <w:lang w:eastAsia="de-DE"/>
        </w:rPr>
        <w:t xml:space="preserve"> hinaus. Bei dem mir noch nicht namentlich bekannten Zweitgutachter bedanke ich mich </w:t>
      </w:r>
      <w:proofErr w:type="spellStart"/>
      <w:r w:rsidRPr="00812C16">
        <w:rPr>
          <w:rFonts w:cs="Arial"/>
          <w:lang w:eastAsia="de-DE"/>
        </w:rPr>
        <w:t>für</w:t>
      </w:r>
      <w:proofErr w:type="spellEnd"/>
      <w:r w:rsidRPr="00812C16">
        <w:rPr>
          <w:rFonts w:cs="Arial"/>
          <w:lang w:eastAsia="de-DE"/>
        </w:rPr>
        <w:t xml:space="preserve"> die </w:t>
      </w:r>
      <w:proofErr w:type="spellStart"/>
      <w:r w:rsidRPr="00812C16">
        <w:rPr>
          <w:rFonts w:cs="Arial"/>
          <w:lang w:eastAsia="de-DE"/>
        </w:rPr>
        <w:t>Übernahme</w:t>
      </w:r>
      <w:proofErr w:type="spellEnd"/>
      <w:r w:rsidRPr="00812C16">
        <w:rPr>
          <w:rFonts w:cs="Arial"/>
          <w:lang w:eastAsia="de-DE"/>
        </w:rPr>
        <w:t xml:space="preserve"> des Zweit-Gutachtens dieser Arbeit. </w:t>
      </w:r>
    </w:p>
    <w:p w14:paraId="4A2151B6" w14:textId="77777777" w:rsidR="00CC7C4D" w:rsidRPr="00812C16" w:rsidRDefault="00CC7C4D" w:rsidP="00E26A59">
      <w:pPr>
        <w:spacing w:after="0"/>
        <w:rPr>
          <w:rFonts w:cs="Arial"/>
          <w:lang w:eastAsia="de-DE"/>
        </w:rPr>
      </w:pPr>
    </w:p>
    <w:p w14:paraId="7B488A1B" w14:textId="77777777" w:rsidR="00E26A59" w:rsidRPr="00812C16" w:rsidRDefault="00E26A59" w:rsidP="00E26A59">
      <w:pPr>
        <w:spacing w:after="0"/>
        <w:rPr>
          <w:rFonts w:cs="Arial"/>
          <w:lang w:eastAsia="de-DE"/>
        </w:rPr>
      </w:pPr>
      <w:r w:rsidRPr="00812C16">
        <w:rPr>
          <w:rFonts w:cs="Arial"/>
          <w:lang w:eastAsia="de-DE"/>
        </w:rPr>
        <w:t xml:space="preserve">Abschließend </w:t>
      </w:r>
      <w:proofErr w:type="spellStart"/>
      <w:r w:rsidRPr="00812C16">
        <w:rPr>
          <w:rFonts w:cs="Arial"/>
          <w:lang w:eastAsia="de-DE"/>
        </w:rPr>
        <w:t>möchte</w:t>
      </w:r>
      <w:proofErr w:type="spellEnd"/>
      <w:r w:rsidRPr="00812C16">
        <w:rPr>
          <w:rFonts w:cs="Arial"/>
          <w:lang w:eastAsia="de-DE"/>
        </w:rPr>
        <w:t xml:space="preserve"> ich mich bei allen Personen bedanken, die mich auf dem Weg bis zum Abschluss dieser Arbeit </w:t>
      </w:r>
      <w:proofErr w:type="spellStart"/>
      <w:r w:rsidRPr="00812C16">
        <w:rPr>
          <w:rFonts w:cs="Arial"/>
          <w:lang w:eastAsia="de-DE"/>
        </w:rPr>
        <w:t>unterstützt</w:t>
      </w:r>
      <w:proofErr w:type="spellEnd"/>
      <w:r w:rsidRPr="00812C16">
        <w:rPr>
          <w:rFonts w:cs="Arial"/>
          <w:lang w:eastAsia="de-DE"/>
        </w:rPr>
        <w:t xml:space="preserve"> haben. </w:t>
      </w:r>
    </w:p>
    <w:p w14:paraId="28E72998" w14:textId="77777777" w:rsidR="00CC7C4D" w:rsidRPr="00812C16" w:rsidRDefault="00CC7C4D">
      <w:pPr>
        <w:jc w:val="left"/>
        <w:rPr>
          <w:rFonts w:cs="Arial"/>
          <w:lang w:eastAsia="de-DE"/>
        </w:rPr>
      </w:pPr>
      <w:r w:rsidRPr="00812C16">
        <w:rPr>
          <w:rFonts w:cs="Arial"/>
          <w:lang w:eastAsia="de-DE"/>
        </w:rPr>
        <w:br w:type="page"/>
      </w:r>
    </w:p>
    <w:p w14:paraId="47336264" w14:textId="77777777" w:rsidR="003E7B66" w:rsidRPr="00812C16" w:rsidRDefault="003E7B66" w:rsidP="001830EA">
      <w:pPr>
        <w:pStyle w:val="berschrift1"/>
        <w:rPr>
          <w:rFonts w:cs="Arial"/>
        </w:rPr>
      </w:pPr>
      <w:bookmarkStart w:id="102" w:name="_Toc158006558"/>
      <w:r w:rsidRPr="00812C16">
        <w:rPr>
          <w:rFonts w:cs="Arial"/>
        </w:rPr>
        <w:lastRenderedPageBreak/>
        <w:t>Lebenslauf</w:t>
      </w:r>
      <w:bookmarkEnd w:id="102"/>
    </w:p>
    <w:p w14:paraId="19527CAF" w14:textId="77777777" w:rsidR="00946113" w:rsidRPr="00812C16" w:rsidRDefault="00946113">
      <w:pPr>
        <w:spacing w:after="0"/>
        <w:jc w:val="left"/>
        <w:rPr>
          <w:rFonts w:cs="Arial"/>
        </w:rPr>
      </w:pPr>
      <w:r w:rsidRPr="00812C16">
        <w:rPr>
          <w:rFonts w:cs="Arial"/>
        </w:rPr>
        <w:br w:type="page"/>
      </w:r>
    </w:p>
    <w:p w14:paraId="0C85FDB3" w14:textId="6C7E579E" w:rsidR="004A55E3" w:rsidRPr="00812C16" w:rsidRDefault="004A55E3" w:rsidP="004A55E3">
      <w:pPr>
        <w:pStyle w:val="Beschriftung"/>
        <w:keepNext/>
        <w:spacing w:after="120" w:line="240" w:lineRule="auto"/>
        <w:rPr>
          <w:rFonts w:cs="Arial"/>
          <w:b/>
          <w:bCs/>
          <w:i w:val="0"/>
          <w:iCs w:val="0"/>
          <w:sz w:val="20"/>
          <w:szCs w:val="20"/>
        </w:rPr>
      </w:pPr>
      <w:bookmarkStart w:id="103" w:name="_Toc180788402"/>
      <w:r w:rsidRPr="00812C16">
        <w:rPr>
          <w:rFonts w:cs="Arial"/>
          <w:b/>
          <w:bCs/>
          <w:i w:val="0"/>
          <w:iCs w:val="0"/>
          <w:color w:val="000000" w:themeColor="text1"/>
          <w:sz w:val="20"/>
          <w:szCs w:val="20"/>
        </w:rPr>
        <w:lastRenderedPageBreak/>
        <w:t xml:space="preserve">Tabelle </w:t>
      </w:r>
      <w:r w:rsidR="00A126D9" w:rsidRPr="00812C16">
        <w:rPr>
          <w:rFonts w:cs="Arial"/>
          <w:b/>
          <w:bCs/>
          <w:i w:val="0"/>
          <w:iCs w:val="0"/>
          <w:color w:val="000000" w:themeColor="text1"/>
          <w:sz w:val="20"/>
          <w:szCs w:val="20"/>
        </w:rPr>
        <w:fldChar w:fldCharType="begin"/>
      </w:r>
      <w:r w:rsidR="00A126D9" w:rsidRPr="00812C16">
        <w:rPr>
          <w:rFonts w:cs="Arial"/>
          <w:b/>
          <w:bCs/>
          <w:i w:val="0"/>
          <w:iCs w:val="0"/>
          <w:color w:val="000000" w:themeColor="text1"/>
          <w:sz w:val="20"/>
          <w:szCs w:val="20"/>
        </w:rPr>
        <w:instrText xml:space="preserve"> STYLEREF 1 \s </w:instrText>
      </w:r>
      <w:r w:rsidR="00A126D9" w:rsidRPr="00812C16">
        <w:rPr>
          <w:rFonts w:cs="Arial"/>
          <w:b/>
          <w:bCs/>
          <w:i w:val="0"/>
          <w:iCs w:val="0"/>
          <w:color w:val="000000" w:themeColor="text1"/>
          <w:sz w:val="20"/>
          <w:szCs w:val="20"/>
        </w:rPr>
        <w:fldChar w:fldCharType="separate"/>
      </w:r>
      <w:r w:rsidR="00F67803">
        <w:rPr>
          <w:rFonts w:cs="Arial"/>
          <w:b/>
          <w:bCs/>
          <w:i w:val="0"/>
          <w:iCs w:val="0"/>
          <w:noProof/>
          <w:color w:val="000000" w:themeColor="text1"/>
          <w:sz w:val="20"/>
          <w:szCs w:val="20"/>
        </w:rPr>
        <w:t>13</w:t>
      </w:r>
      <w:r w:rsidR="00A126D9" w:rsidRPr="00812C16">
        <w:rPr>
          <w:rFonts w:cs="Arial"/>
          <w:b/>
          <w:bCs/>
          <w:i w:val="0"/>
          <w:iCs w:val="0"/>
          <w:color w:val="000000" w:themeColor="text1"/>
          <w:sz w:val="20"/>
          <w:szCs w:val="20"/>
        </w:rPr>
        <w:fldChar w:fldCharType="end"/>
      </w:r>
      <w:r w:rsidR="00A126D9" w:rsidRPr="00812C16">
        <w:rPr>
          <w:rFonts w:cs="Arial"/>
          <w:b/>
          <w:bCs/>
          <w:i w:val="0"/>
          <w:iCs w:val="0"/>
          <w:color w:val="000000" w:themeColor="text1"/>
          <w:sz w:val="20"/>
          <w:szCs w:val="20"/>
        </w:rPr>
        <w:noBreakHyphen/>
      </w:r>
      <w:r w:rsidR="00A126D9" w:rsidRPr="00812C16">
        <w:rPr>
          <w:rFonts w:cs="Arial"/>
          <w:b/>
          <w:bCs/>
          <w:i w:val="0"/>
          <w:iCs w:val="0"/>
          <w:color w:val="000000" w:themeColor="text1"/>
          <w:sz w:val="20"/>
          <w:szCs w:val="20"/>
        </w:rPr>
        <w:fldChar w:fldCharType="begin"/>
      </w:r>
      <w:r w:rsidR="00A126D9" w:rsidRPr="00812C16">
        <w:rPr>
          <w:rFonts w:cs="Arial"/>
          <w:b/>
          <w:bCs/>
          <w:i w:val="0"/>
          <w:iCs w:val="0"/>
          <w:color w:val="000000" w:themeColor="text1"/>
          <w:sz w:val="20"/>
          <w:szCs w:val="20"/>
        </w:rPr>
        <w:instrText xml:space="preserve"> SEQ Tabelle \* ARABIC \s 1 </w:instrText>
      </w:r>
      <w:r w:rsidR="00A126D9" w:rsidRPr="00812C16">
        <w:rPr>
          <w:rFonts w:cs="Arial"/>
          <w:b/>
          <w:bCs/>
          <w:i w:val="0"/>
          <w:iCs w:val="0"/>
          <w:color w:val="000000" w:themeColor="text1"/>
          <w:sz w:val="20"/>
          <w:szCs w:val="20"/>
        </w:rPr>
        <w:fldChar w:fldCharType="separate"/>
      </w:r>
      <w:r w:rsidR="00F67803">
        <w:rPr>
          <w:rFonts w:cs="Arial"/>
          <w:b/>
          <w:bCs/>
          <w:i w:val="0"/>
          <w:iCs w:val="0"/>
          <w:noProof/>
          <w:color w:val="000000" w:themeColor="text1"/>
          <w:sz w:val="20"/>
          <w:szCs w:val="20"/>
        </w:rPr>
        <w:t>1</w:t>
      </w:r>
      <w:r w:rsidR="00A126D9" w:rsidRPr="00812C16">
        <w:rPr>
          <w:rFonts w:cs="Arial"/>
          <w:b/>
          <w:bCs/>
          <w:i w:val="0"/>
          <w:iCs w:val="0"/>
          <w:color w:val="000000" w:themeColor="text1"/>
          <w:sz w:val="20"/>
          <w:szCs w:val="20"/>
        </w:rPr>
        <w:fldChar w:fldCharType="end"/>
      </w:r>
      <w:r w:rsidRPr="00812C16">
        <w:rPr>
          <w:rFonts w:cs="Arial"/>
          <w:b/>
          <w:bCs/>
          <w:i w:val="0"/>
          <w:iCs w:val="0"/>
          <w:color w:val="000000" w:themeColor="text1"/>
          <w:sz w:val="20"/>
          <w:szCs w:val="20"/>
        </w:rPr>
        <w:t xml:space="preserve">:  Anzahl der Ereignisse für die klinischen Endpunkte im Beobachtungszeitraum pro Tumorlokalisation vom gesamten Patientenkollektiv und für die Subgruppe der HPV16 DNA-negativen und -positiven Kohorte. </w:t>
      </w:r>
      <w:r w:rsidRPr="00812C16">
        <w:rPr>
          <w:rFonts w:cs="Arial"/>
          <w:i w:val="0"/>
          <w:iCs w:val="0"/>
          <w:color w:val="000000" w:themeColor="text1"/>
          <w:sz w:val="20"/>
          <w:szCs w:val="20"/>
        </w:rPr>
        <w:t>N=Anzahl der auswertbaren Fälle</w:t>
      </w:r>
      <w:bookmarkEnd w:id="103"/>
      <w:r w:rsidRPr="00812C16">
        <w:rPr>
          <w:rFonts w:cs="Arial"/>
          <w:b/>
          <w:bCs/>
          <w:i w:val="0"/>
          <w:iCs w:val="0"/>
          <w:color w:val="000000" w:themeColor="text1"/>
          <w:sz w:val="20"/>
          <w:szCs w:val="20"/>
        </w:rPr>
        <w:t xml:space="preserve"> </w:t>
      </w:r>
    </w:p>
    <w:tbl>
      <w:tblPr>
        <w:tblW w:w="9057" w:type="dxa"/>
        <w:tblBorders>
          <w:top w:val="single" w:sz="6" w:space="0" w:color="EBEBEB"/>
          <w:bottom w:val="single" w:sz="6" w:space="0" w:color="EBEBEB"/>
        </w:tblBorders>
        <w:tblCellMar>
          <w:left w:w="0" w:type="dxa"/>
          <w:right w:w="0" w:type="dxa"/>
        </w:tblCellMar>
        <w:tblLook w:val="04A0" w:firstRow="1" w:lastRow="0" w:firstColumn="1" w:lastColumn="0" w:noHBand="0" w:noVBand="1"/>
      </w:tblPr>
      <w:tblGrid>
        <w:gridCol w:w="2835"/>
        <w:gridCol w:w="1559"/>
        <w:gridCol w:w="1428"/>
        <w:gridCol w:w="1602"/>
        <w:gridCol w:w="1633"/>
      </w:tblGrid>
      <w:tr w:rsidR="004A55E3" w:rsidRPr="00812C16" w14:paraId="4E0D53F6" w14:textId="77777777" w:rsidTr="006678A2">
        <w:trPr>
          <w:tblHeader/>
        </w:trPr>
        <w:tc>
          <w:tcPr>
            <w:tcW w:w="2835" w:type="dxa"/>
            <w:tcBorders>
              <w:top w:val="single" w:sz="4" w:space="0" w:color="000000" w:themeColor="text1"/>
              <w:bottom w:val="single" w:sz="4" w:space="0" w:color="000000" w:themeColor="text1"/>
              <w:right w:val="nil"/>
            </w:tcBorders>
            <w:tcMar>
              <w:top w:w="75" w:type="dxa"/>
              <w:left w:w="75" w:type="dxa"/>
              <w:bottom w:w="75" w:type="dxa"/>
              <w:right w:w="75" w:type="dxa"/>
            </w:tcMar>
            <w:hideMark/>
          </w:tcPr>
          <w:p w14:paraId="0B627161" w14:textId="77777777" w:rsidR="004A55E3" w:rsidRPr="00812C16" w:rsidRDefault="004A55E3" w:rsidP="006678A2">
            <w:pPr>
              <w:spacing w:before="30" w:after="30" w:line="240" w:lineRule="auto"/>
              <w:jc w:val="left"/>
              <w:rPr>
                <w:rFonts w:cs="Arial"/>
                <w:b/>
                <w:bCs/>
                <w:sz w:val="20"/>
                <w:szCs w:val="20"/>
                <w:lang w:eastAsia="de-DE"/>
              </w:rPr>
            </w:pPr>
            <w:r w:rsidRPr="00812C16">
              <w:rPr>
                <w:rFonts w:cs="Arial"/>
                <w:b/>
                <w:bCs/>
                <w:sz w:val="20"/>
                <w:szCs w:val="20"/>
                <w:lang w:eastAsia="de-DE"/>
              </w:rPr>
              <w:t>Endpunkte</w:t>
            </w:r>
          </w:p>
        </w:tc>
        <w:tc>
          <w:tcPr>
            <w:tcW w:w="1559" w:type="dxa"/>
            <w:tcBorders>
              <w:top w:val="single" w:sz="4" w:space="0" w:color="000000" w:themeColor="text1"/>
              <w:bottom w:val="single" w:sz="4" w:space="0" w:color="000000" w:themeColor="text1"/>
              <w:right w:val="nil"/>
            </w:tcBorders>
            <w:tcMar>
              <w:top w:w="75" w:type="dxa"/>
              <w:left w:w="75" w:type="dxa"/>
              <w:bottom w:w="75" w:type="dxa"/>
              <w:right w:w="75" w:type="dxa"/>
            </w:tcMar>
            <w:hideMark/>
          </w:tcPr>
          <w:p w14:paraId="5AA4564D" w14:textId="77777777" w:rsidR="004A55E3" w:rsidRPr="00812C16" w:rsidRDefault="004A55E3" w:rsidP="006678A2">
            <w:pPr>
              <w:spacing w:before="30" w:after="30" w:line="240" w:lineRule="auto"/>
              <w:jc w:val="right"/>
              <w:rPr>
                <w:rFonts w:cs="Arial"/>
                <w:b/>
                <w:bCs/>
                <w:sz w:val="20"/>
                <w:szCs w:val="20"/>
                <w:lang w:eastAsia="de-DE"/>
              </w:rPr>
            </w:pPr>
            <w:r w:rsidRPr="00812C16">
              <w:rPr>
                <w:rFonts w:cs="Arial"/>
                <w:b/>
                <w:bCs/>
                <w:sz w:val="20"/>
                <w:szCs w:val="20"/>
                <w:lang w:eastAsia="de-DE"/>
              </w:rPr>
              <w:t>Insgesamt</w:t>
            </w:r>
          </w:p>
        </w:tc>
        <w:tc>
          <w:tcPr>
            <w:tcW w:w="1428" w:type="dxa"/>
            <w:tcBorders>
              <w:top w:val="single" w:sz="4" w:space="0" w:color="000000" w:themeColor="text1"/>
              <w:bottom w:val="single" w:sz="4" w:space="0" w:color="000000" w:themeColor="text1"/>
              <w:right w:val="nil"/>
            </w:tcBorders>
            <w:tcMar>
              <w:top w:w="75" w:type="dxa"/>
              <w:left w:w="75" w:type="dxa"/>
              <w:bottom w:w="75" w:type="dxa"/>
              <w:right w:w="75" w:type="dxa"/>
            </w:tcMar>
            <w:hideMark/>
          </w:tcPr>
          <w:p w14:paraId="6D8FAD6C" w14:textId="77777777" w:rsidR="004A55E3" w:rsidRPr="00812C16" w:rsidRDefault="004A55E3" w:rsidP="006678A2">
            <w:pPr>
              <w:spacing w:before="30" w:after="30" w:line="240" w:lineRule="auto"/>
              <w:jc w:val="right"/>
              <w:rPr>
                <w:rFonts w:cs="Arial"/>
                <w:b/>
                <w:bCs/>
                <w:sz w:val="20"/>
                <w:szCs w:val="20"/>
                <w:lang w:eastAsia="de-DE"/>
              </w:rPr>
            </w:pPr>
            <w:r w:rsidRPr="00812C16">
              <w:rPr>
                <w:rFonts w:cs="Arial"/>
                <w:b/>
                <w:bCs/>
                <w:sz w:val="20"/>
                <w:szCs w:val="20"/>
                <w:lang w:eastAsia="de-DE"/>
              </w:rPr>
              <w:t>Mundhöhle</w:t>
            </w:r>
          </w:p>
        </w:tc>
        <w:tc>
          <w:tcPr>
            <w:tcW w:w="0" w:type="auto"/>
            <w:tcBorders>
              <w:top w:val="single" w:sz="4" w:space="0" w:color="000000" w:themeColor="text1"/>
              <w:bottom w:val="single" w:sz="4" w:space="0" w:color="000000" w:themeColor="text1"/>
              <w:right w:val="nil"/>
            </w:tcBorders>
            <w:tcMar>
              <w:top w:w="75" w:type="dxa"/>
              <w:left w:w="75" w:type="dxa"/>
              <w:bottom w:w="75" w:type="dxa"/>
              <w:right w:w="75" w:type="dxa"/>
            </w:tcMar>
            <w:hideMark/>
          </w:tcPr>
          <w:p w14:paraId="3BFD0630" w14:textId="77777777" w:rsidR="004A55E3" w:rsidRPr="00812C16" w:rsidRDefault="004A55E3" w:rsidP="006678A2">
            <w:pPr>
              <w:spacing w:before="30" w:after="30" w:line="240" w:lineRule="auto"/>
              <w:jc w:val="right"/>
              <w:rPr>
                <w:rFonts w:cs="Arial"/>
                <w:b/>
                <w:bCs/>
                <w:sz w:val="20"/>
                <w:szCs w:val="20"/>
                <w:lang w:eastAsia="de-DE"/>
              </w:rPr>
            </w:pPr>
            <w:r w:rsidRPr="00812C16">
              <w:rPr>
                <w:rFonts w:cs="Arial"/>
                <w:b/>
                <w:bCs/>
                <w:sz w:val="20"/>
                <w:szCs w:val="20"/>
                <w:lang w:eastAsia="de-DE"/>
              </w:rPr>
              <w:t>Oropharynx</w:t>
            </w:r>
          </w:p>
        </w:tc>
        <w:tc>
          <w:tcPr>
            <w:tcW w:w="1633" w:type="dxa"/>
            <w:tcBorders>
              <w:top w:val="single" w:sz="4" w:space="0" w:color="000000" w:themeColor="text1"/>
              <w:bottom w:val="single" w:sz="4" w:space="0" w:color="000000" w:themeColor="text1"/>
              <w:right w:val="nil"/>
            </w:tcBorders>
            <w:tcMar>
              <w:top w:w="75" w:type="dxa"/>
              <w:left w:w="75" w:type="dxa"/>
              <w:bottom w:w="75" w:type="dxa"/>
              <w:right w:w="75" w:type="dxa"/>
            </w:tcMar>
            <w:hideMark/>
          </w:tcPr>
          <w:p w14:paraId="74E34650" w14:textId="77777777" w:rsidR="004A55E3" w:rsidRPr="00812C16" w:rsidRDefault="004A55E3" w:rsidP="006678A2">
            <w:pPr>
              <w:spacing w:before="30" w:after="30" w:line="240" w:lineRule="auto"/>
              <w:jc w:val="right"/>
              <w:rPr>
                <w:rFonts w:cs="Arial"/>
                <w:b/>
                <w:bCs/>
                <w:sz w:val="20"/>
                <w:szCs w:val="20"/>
                <w:lang w:eastAsia="de-DE"/>
              </w:rPr>
            </w:pPr>
            <w:r w:rsidRPr="00812C16">
              <w:rPr>
                <w:rFonts w:cs="Arial"/>
                <w:b/>
                <w:bCs/>
                <w:sz w:val="20"/>
                <w:szCs w:val="20"/>
                <w:lang w:eastAsia="de-DE"/>
              </w:rPr>
              <w:t>Hypopharynx</w:t>
            </w:r>
          </w:p>
        </w:tc>
      </w:tr>
      <w:tr w:rsidR="004A55E3" w:rsidRPr="00812C16" w14:paraId="1D06B200" w14:textId="77777777" w:rsidTr="006678A2">
        <w:trPr>
          <w:trHeight w:val="14"/>
        </w:trPr>
        <w:tc>
          <w:tcPr>
            <w:tcW w:w="2835" w:type="dxa"/>
            <w:tcBorders>
              <w:top w:val="single" w:sz="4" w:space="0" w:color="000000" w:themeColor="text1"/>
              <w:bottom w:val="single" w:sz="4" w:space="0" w:color="000000" w:themeColor="text1"/>
              <w:right w:val="nil"/>
            </w:tcBorders>
            <w:tcMar>
              <w:top w:w="75" w:type="dxa"/>
              <w:left w:w="75" w:type="dxa"/>
              <w:bottom w:w="75" w:type="dxa"/>
              <w:right w:w="75" w:type="dxa"/>
            </w:tcMar>
          </w:tcPr>
          <w:p w14:paraId="705AE998" w14:textId="77777777" w:rsidR="004A55E3" w:rsidRPr="00812C16" w:rsidRDefault="004A55E3" w:rsidP="006678A2">
            <w:pPr>
              <w:spacing w:before="30" w:after="30" w:line="240" w:lineRule="auto"/>
              <w:jc w:val="left"/>
              <w:rPr>
                <w:rFonts w:cs="Arial"/>
                <w:b/>
                <w:bCs/>
                <w:i/>
                <w:iCs/>
                <w:sz w:val="20"/>
                <w:szCs w:val="20"/>
                <w:lang w:eastAsia="de-DE"/>
              </w:rPr>
            </w:pPr>
            <w:r w:rsidRPr="00812C16">
              <w:rPr>
                <w:rFonts w:cs="Arial"/>
                <w:b/>
                <w:bCs/>
                <w:i/>
                <w:iCs/>
                <w:sz w:val="20"/>
                <w:szCs w:val="20"/>
                <w:lang w:eastAsia="de-DE"/>
              </w:rPr>
              <w:t>HPV16 DNA-</w:t>
            </w:r>
          </w:p>
        </w:tc>
        <w:tc>
          <w:tcPr>
            <w:tcW w:w="1559" w:type="dxa"/>
            <w:tcBorders>
              <w:top w:val="single" w:sz="4" w:space="0" w:color="000000" w:themeColor="text1"/>
              <w:bottom w:val="single" w:sz="4" w:space="0" w:color="000000" w:themeColor="text1"/>
              <w:right w:val="nil"/>
            </w:tcBorders>
            <w:tcMar>
              <w:top w:w="75" w:type="dxa"/>
              <w:left w:w="75" w:type="dxa"/>
              <w:bottom w:w="75" w:type="dxa"/>
              <w:right w:w="75" w:type="dxa"/>
            </w:tcMar>
          </w:tcPr>
          <w:p w14:paraId="6AC05544"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N=143</w:t>
            </w:r>
          </w:p>
        </w:tc>
        <w:tc>
          <w:tcPr>
            <w:tcW w:w="1428" w:type="dxa"/>
            <w:tcBorders>
              <w:top w:val="single" w:sz="4" w:space="0" w:color="000000" w:themeColor="text1"/>
              <w:bottom w:val="single" w:sz="4" w:space="0" w:color="000000" w:themeColor="text1"/>
              <w:right w:val="nil"/>
            </w:tcBorders>
            <w:tcMar>
              <w:top w:w="75" w:type="dxa"/>
              <w:left w:w="75" w:type="dxa"/>
              <w:bottom w:w="75" w:type="dxa"/>
              <w:right w:w="75" w:type="dxa"/>
            </w:tcMar>
          </w:tcPr>
          <w:p w14:paraId="6F940504"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N=51</w:t>
            </w:r>
          </w:p>
        </w:tc>
        <w:tc>
          <w:tcPr>
            <w:tcW w:w="0" w:type="auto"/>
            <w:tcBorders>
              <w:top w:val="single" w:sz="4" w:space="0" w:color="000000" w:themeColor="text1"/>
              <w:bottom w:val="single" w:sz="4" w:space="0" w:color="000000" w:themeColor="text1"/>
              <w:right w:val="nil"/>
            </w:tcBorders>
            <w:tcMar>
              <w:top w:w="75" w:type="dxa"/>
              <w:left w:w="75" w:type="dxa"/>
              <w:bottom w:w="75" w:type="dxa"/>
              <w:right w:w="75" w:type="dxa"/>
            </w:tcMar>
          </w:tcPr>
          <w:p w14:paraId="1C915933"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N=63</w:t>
            </w:r>
          </w:p>
        </w:tc>
        <w:tc>
          <w:tcPr>
            <w:tcW w:w="1633" w:type="dxa"/>
            <w:tcBorders>
              <w:top w:val="single" w:sz="4" w:space="0" w:color="000000" w:themeColor="text1"/>
              <w:bottom w:val="single" w:sz="4" w:space="0" w:color="000000" w:themeColor="text1"/>
              <w:right w:val="nil"/>
            </w:tcBorders>
            <w:tcMar>
              <w:top w:w="75" w:type="dxa"/>
              <w:left w:w="75" w:type="dxa"/>
              <w:bottom w:w="75" w:type="dxa"/>
              <w:right w:w="75" w:type="dxa"/>
            </w:tcMar>
          </w:tcPr>
          <w:p w14:paraId="0F17BEFD"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N=29</w:t>
            </w:r>
          </w:p>
        </w:tc>
      </w:tr>
      <w:tr w:rsidR="004A55E3" w:rsidRPr="00812C16" w14:paraId="6D76CB1B" w14:textId="77777777" w:rsidTr="006678A2">
        <w:trPr>
          <w:trHeight w:val="14"/>
        </w:trPr>
        <w:tc>
          <w:tcPr>
            <w:tcW w:w="2835" w:type="dxa"/>
            <w:tcBorders>
              <w:top w:val="single" w:sz="4" w:space="0" w:color="000000" w:themeColor="text1"/>
              <w:bottom w:val="nil"/>
              <w:right w:val="nil"/>
            </w:tcBorders>
            <w:tcMar>
              <w:top w:w="75" w:type="dxa"/>
              <w:left w:w="75" w:type="dxa"/>
              <w:bottom w:w="75" w:type="dxa"/>
              <w:right w:w="75" w:type="dxa"/>
            </w:tcMar>
          </w:tcPr>
          <w:p w14:paraId="24E7656C" w14:textId="77777777" w:rsidR="004A55E3" w:rsidRPr="00812C16" w:rsidRDefault="004A55E3" w:rsidP="006678A2">
            <w:pPr>
              <w:spacing w:before="30" w:after="30" w:line="240" w:lineRule="auto"/>
              <w:jc w:val="left"/>
              <w:rPr>
                <w:rFonts w:cs="Arial"/>
                <w:sz w:val="20"/>
                <w:szCs w:val="20"/>
                <w:lang w:eastAsia="de-DE"/>
              </w:rPr>
            </w:pPr>
            <w:r w:rsidRPr="00812C16">
              <w:rPr>
                <w:rFonts w:cs="Arial"/>
                <w:sz w:val="20"/>
                <w:szCs w:val="20"/>
                <w:lang w:eastAsia="de-DE"/>
              </w:rPr>
              <w:t>Loko-regionäres Versagen</w:t>
            </w:r>
          </w:p>
        </w:tc>
        <w:tc>
          <w:tcPr>
            <w:tcW w:w="1559" w:type="dxa"/>
            <w:tcBorders>
              <w:top w:val="single" w:sz="4" w:space="0" w:color="000000" w:themeColor="text1"/>
              <w:bottom w:val="nil"/>
              <w:right w:val="nil"/>
            </w:tcBorders>
            <w:tcMar>
              <w:top w:w="75" w:type="dxa"/>
              <w:left w:w="75" w:type="dxa"/>
              <w:bottom w:w="75" w:type="dxa"/>
              <w:right w:w="75" w:type="dxa"/>
            </w:tcMar>
          </w:tcPr>
          <w:p w14:paraId="5C2A9548"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27 (18,9%)</w:t>
            </w:r>
          </w:p>
        </w:tc>
        <w:tc>
          <w:tcPr>
            <w:tcW w:w="1428" w:type="dxa"/>
            <w:tcBorders>
              <w:top w:val="single" w:sz="4" w:space="0" w:color="000000" w:themeColor="text1"/>
              <w:bottom w:val="nil"/>
              <w:right w:val="nil"/>
            </w:tcBorders>
            <w:tcMar>
              <w:top w:w="75" w:type="dxa"/>
              <w:left w:w="75" w:type="dxa"/>
              <w:bottom w:w="75" w:type="dxa"/>
              <w:right w:w="75" w:type="dxa"/>
            </w:tcMar>
          </w:tcPr>
          <w:p w14:paraId="68ADDC12"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14 (27,4%)</w:t>
            </w:r>
          </w:p>
        </w:tc>
        <w:tc>
          <w:tcPr>
            <w:tcW w:w="0" w:type="auto"/>
            <w:tcBorders>
              <w:top w:val="single" w:sz="4" w:space="0" w:color="000000" w:themeColor="text1"/>
              <w:bottom w:val="nil"/>
              <w:right w:val="nil"/>
            </w:tcBorders>
            <w:tcMar>
              <w:top w:w="75" w:type="dxa"/>
              <w:left w:w="75" w:type="dxa"/>
              <w:bottom w:w="75" w:type="dxa"/>
              <w:right w:w="75" w:type="dxa"/>
            </w:tcMar>
          </w:tcPr>
          <w:p w14:paraId="70E09479"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10 (15,9%)</w:t>
            </w:r>
          </w:p>
        </w:tc>
        <w:tc>
          <w:tcPr>
            <w:tcW w:w="1633" w:type="dxa"/>
            <w:tcBorders>
              <w:top w:val="single" w:sz="4" w:space="0" w:color="000000" w:themeColor="text1"/>
              <w:bottom w:val="nil"/>
              <w:right w:val="nil"/>
            </w:tcBorders>
            <w:tcMar>
              <w:top w:w="75" w:type="dxa"/>
              <w:left w:w="75" w:type="dxa"/>
              <w:bottom w:w="75" w:type="dxa"/>
              <w:right w:w="75" w:type="dxa"/>
            </w:tcMar>
          </w:tcPr>
          <w:p w14:paraId="72ACE269"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3 (10,3%)</w:t>
            </w:r>
          </w:p>
        </w:tc>
      </w:tr>
      <w:tr w:rsidR="004A55E3" w:rsidRPr="00812C16" w14:paraId="02EA4844" w14:textId="77777777" w:rsidTr="006678A2">
        <w:trPr>
          <w:trHeight w:val="14"/>
        </w:trPr>
        <w:tc>
          <w:tcPr>
            <w:tcW w:w="2835" w:type="dxa"/>
            <w:tcBorders>
              <w:top w:val="nil"/>
              <w:bottom w:val="nil"/>
              <w:right w:val="nil"/>
            </w:tcBorders>
            <w:tcMar>
              <w:top w:w="75" w:type="dxa"/>
              <w:left w:w="75" w:type="dxa"/>
              <w:bottom w:w="75" w:type="dxa"/>
              <w:right w:w="75" w:type="dxa"/>
            </w:tcMar>
          </w:tcPr>
          <w:p w14:paraId="015AB97B" w14:textId="77777777" w:rsidR="004A55E3" w:rsidRPr="00812C16" w:rsidRDefault="004A55E3" w:rsidP="006678A2">
            <w:pPr>
              <w:spacing w:before="30" w:after="30" w:line="240" w:lineRule="auto"/>
              <w:jc w:val="left"/>
              <w:rPr>
                <w:rFonts w:cs="Arial"/>
                <w:sz w:val="20"/>
                <w:szCs w:val="20"/>
                <w:lang w:eastAsia="de-DE"/>
              </w:rPr>
            </w:pPr>
            <w:r w:rsidRPr="00812C16">
              <w:rPr>
                <w:rFonts w:cs="Arial"/>
                <w:sz w:val="20"/>
                <w:szCs w:val="20"/>
                <w:lang w:eastAsia="de-DE"/>
              </w:rPr>
              <w:t>Fernmetastasen</w:t>
            </w:r>
          </w:p>
        </w:tc>
        <w:tc>
          <w:tcPr>
            <w:tcW w:w="1559" w:type="dxa"/>
            <w:tcBorders>
              <w:top w:val="nil"/>
              <w:bottom w:val="nil"/>
              <w:right w:val="nil"/>
            </w:tcBorders>
            <w:tcMar>
              <w:top w:w="75" w:type="dxa"/>
              <w:left w:w="75" w:type="dxa"/>
              <w:bottom w:w="75" w:type="dxa"/>
              <w:right w:w="75" w:type="dxa"/>
            </w:tcMar>
          </w:tcPr>
          <w:p w14:paraId="108A621A"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34 (23,8%)</w:t>
            </w:r>
          </w:p>
        </w:tc>
        <w:tc>
          <w:tcPr>
            <w:tcW w:w="1428" w:type="dxa"/>
            <w:tcBorders>
              <w:top w:val="nil"/>
              <w:bottom w:val="nil"/>
              <w:right w:val="nil"/>
            </w:tcBorders>
            <w:tcMar>
              <w:top w:w="75" w:type="dxa"/>
              <w:left w:w="75" w:type="dxa"/>
              <w:bottom w:w="75" w:type="dxa"/>
              <w:right w:w="75" w:type="dxa"/>
            </w:tcMar>
          </w:tcPr>
          <w:p w14:paraId="27E23EB0"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15 (29,4%)</w:t>
            </w:r>
          </w:p>
        </w:tc>
        <w:tc>
          <w:tcPr>
            <w:tcW w:w="0" w:type="auto"/>
            <w:tcBorders>
              <w:top w:val="nil"/>
              <w:bottom w:val="nil"/>
              <w:right w:val="nil"/>
            </w:tcBorders>
            <w:tcMar>
              <w:top w:w="75" w:type="dxa"/>
              <w:left w:w="75" w:type="dxa"/>
              <w:bottom w:w="75" w:type="dxa"/>
              <w:right w:w="75" w:type="dxa"/>
            </w:tcMar>
          </w:tcPr>
          <w:p w14:paraId="2D8BB09B"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10 (15,9%)</w:t>
            </w:r>
          </w:p>
        </w:tc>
        <w:tc>
          <w:tcPr>
            <w:tcW w:w="1633" w:type="dxa"/>
            <w:tcBorders>
              <w:top w:val="nil"/>
              <w:bottom w:val="nil"/>
              <w:right w:val="nil"/>
            </w:tcBorders>
            <w:tcMar>
              <w:top w:w="75" w:type="dxa"/>
              <w:left w:w="75" w:type="dxa"/>
              <w:bottom w:w="75" w:type="dxa"/>
              <w:right w:w="75" w:type="dxa"/>
            </w:tcMar>
          </w:tcPr>
          <w:p w14:paraId="6302F127"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9 (31,0%)</w:t>
            </w:r>
          </w:p>
        </w:tc>
      </w:tr>
      <w:tr w:rsidR="004A55E3" w:rsidRPr="00812C16" w14:paraId="1528D239" w14:textId="77777777" w:rsidTr="006678A2">
        <w:trPr>
          <w:trHeight w:val="14"/>
        </w:trPr>
        <w:tc>
          <w:tcPr>
            <w:tcW w:w="2835" w:type="dxa"/>
            <w:tcBorders>
              <w:top w:val="nil"/>
              <w:bottom w:val="nil"/>
              <w:right w:val="nil"/>
            </w:tcBorders>
            <w:tcMar>
              <w:top w:w="75" w:type="dxa"/>
              <w:left w:w="75" w:type="dxa"/>
              <w:bottom w:w="75" w:type="dxa"/>
              <w:right w:w="75" w:type="dxa"/>
            </w:tcMar>
          </w:tcPr>
          <w:p w14:paraId="70E30176" w14:textId="77777777" w:rsidR="004A55E3" w:rsidRPr="00812C16" w:rsidRDefault="004A55E3" w:rsidP="006678A2">
            <w:pPr>
              <w:spacing w:before="30" w:after="30" w:line="240" w:lineRule="auto"/>
              <w:jc w:val="left"/>
              <w:rPr>
                <w:rFonts w:cs="Arial"/>
                <w:sz w:val="20"/>
                <w:szCs w:val="20"/>
                <w:lang w:eastAsia="de-DE"/>
              </w:rPr>
            </w:pPr>
            <w:r w:rsidRPr="00812C16">
              <w:rPr>
                <w:rFonts w:cs="Arial"/>
                <w:sz w:val="20"/>
                <w:szCs w:val="20"/>
                <w:lang w:eastAsia="de-DE"/>
              </w:rPr>
              <w:t>Tod</w:t>
            </w:r>
          </w:p>
        </w:tc>
        <w:tc>
          <w:tcPr>
            <w:tcW w:w="1559" w:type="dxa"/>
            <w:tcBorders>
              <w:top w:val="nil"/>
              <w:bottom w:val="nil"/>
              <w:right w:val="nil"/>
            </w:tcBorders>
            <w:tcMar>
              <w:top w:w="75" w:type="dxa"/>
              <w:left w:w="75" w:type="dxa"/>
              <w:bottom w:w="75" w:type="dxa"/>
              <w:right w:w="75" w:type="dxa"/>
            </w:tcMar>
          </w:tcPr>
          <w:p w14:paraId="4FBC04E1"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57 (39,9%)</w:t>
            </w:r>
          </w:p>
        </w:tc>
        <w:tc>
          <w:tcPr>
            <w:tcW w:w="1428" w:type="dxa"/>
            <w:tcBorders>
              <w:top w:val="nil"/>
              <w:bottom w:val="nil"/>
              <w:right w:val="nil"/>
            </w:tcBorders>
            <w:tcMar>
              <w:top w:w="75" w:type="dxa"/>
              <w:left w:w="75" w:type="dxa"/>
              <w:bottom w:w="75" w:type="dxa"/>
              <w:right w:w="75" w:type="dxa"/>
            </w:tcMar>
          </w:tcPr>
          <w:p w14:paraId="7B1403A0"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26 (51,0%)</w:t>
            </w:r>
          </w:p>
        </w:tc>
        <w:tc>
          <w:tcPr>
            <w:tcW w:w="0" w:type="auto"/>
            <w:tcBorders>
              <w:top w:val="nil"/>
              <w:bottom w:val="nil"/>
              <w:right w:val="nil"/>
            </w:tcBorders>
            <w:tcMar>
              <w:top w:w="75" w:type="dxa"/>
              <w:left w:w="75" w:type="dxa"/>
              <w:bottom w:w="75" w:type="dxa"/>
              <w:right w:w="75" w:type="dxa"/>
            </w:tcMar>
          </w:tcPr>
          <w:p w14:paraId="49DC13CD"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24 (38,1%)</w:t>
            </w:r>
          </w:p>
        </w:tc>
        <w:tc>
          <w:tcPr>
            <w:tcW w:w="1633" w:type="dxa"/>
            <w:tcBorders>
              <w:top w:val="nil"/>
              <w:bottom w:val="nil"/>
              <w:right w:val="nil"/>
            </w:tcBorders>
            <w:tcMar>
              <w:top w:w="75" w:type="dxa"/>
              <w:left w:w="75" w:type="dxa"/>
              <w:bottom w:w="75" w:type="dxa"/>
              <w:right w:w="75" w:type="dxa"/>
            </w:tcMar>
          </w:tcPr>
          <w:p w14:paraId="1AF070EC"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7 (24,1%)</w:t>
            </w:r>
          </w:p>
        </w:tc>
      </w:tr>
      <w:tr w:rsidR="004A55E3" w:rsidRPr="00812C16" w14:paraId="663E29A7" w14:textId="77777777" w:rsidTr="006678A2">
        <w:trPr>
          <w:trHeight w:val="14"/>
        </w:trPr>
        <w:tc>
          <w:tcPr>
            <w:tcW w:w="2835" w:type="dxa"/>
            <w:tcBorders>
              <w:top w:val="nil"/>
              <w:bottom w:val="single" w:sz="4" w:space="0" w:color="000000" w:themeColor="text1"/>
              <w:right w:val="nil"/>
            </w:tcBorders>
            <w:tcMar>
              <w:top w:w="75" w:type="dxa"/>
              <w:left w:w="75" w:type="dxa"/>
              <w:bottom w:w="75" w:type="dxa"/>
              <w:right w:w="75" w:type="dxa"/>
            </w:tcMar>
          </w:tcPr>
          <w:p w14:paraId="5A1588EE" w14:textId="77777777" w:rsidR="004A55E3" w:rsidRPr="00812C16" w:rsidRDefault="004A55E3" w:rsidP="006678A2">
            <w:pPr>
              <w:spacing w:before="30" w:after="30" w:line="240" w:lineRule="auto"/>
              <w:jc w:val="left"/>
              <w:rPr>
                <w:rFonts w:cs="Arial"/>
                <w:sz w:val="20"/>
                <w:szCs w:val="20"/>
                <w:lang w:eastAsia="de-DE"/>
              </w:rPr>
            </w:pPr>
            <w:r w:rsidRPr="00812C16">
              <w:rPr>
                <w:rFonts w:cs="Arial"/>
                <w:sz w:val="20"/>
                <w:szCs w:val="20"/>
                <w:lang w:eastAsia="de-DE"/>
              </w:rPr>
              <w:t>Zensiert</w:t>
            </w:r>
          </w:p>
        </w:tc>
        <w:tc>
          <w:tcPr>
            <w:tcW w:w="1559" w:type="dxa"/>
            <w:tcBorders>
              <w:top w:val="nil"/>
              <w:bottom w:val="single" w:sz="4" w:space="0" w:color="000000" w:themeColor="text1"/>
              <w:right w:val="nil"/>
            </w:tcBorders>
            <w:tcMar>
              <w:top w:w="75" w:type="dxa"/>
              <w:left w:w="75" w:type="dxa"/>
              <w:bottom w:w="75" w:type="dxa"/>
              <w:right w:w="75" w:type="dxa"/>
            </w:tcMar>
          </w:tcPr>
          <w:p w14:paraId="07330375"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25 (17,5%)</w:t>
            </w:r>
          </w:p>
        </w:tc>
        <w:tc>
          <w:tcPr>
            <w:tcW w:w="1428" w:type="dxa"/>
            <w:tcBorders>
              <w:top w:val="nil"/>
              <w:bottom w:val="single" w:sz="4" w:space="0" w:color="000000" w:themeColor="text1"/>
              <w:right w:val="nil"/>
            </w:tcBorders>
            <w:tcMar>
              <w:top w:w="75" w:type="dxa"/>
              <w:left w:w="75" w:type="dxa"/>
              <w:bottom w:w="75" w:type="dxa"/>
              <w:right w:w="75" w:type="dxa"/>
            </w:tcMar>
          </w:tcPr>
          <w:p w14:paraId="4B184FAF" w14:textId="77777777" w:rsidR="004A55E3" w:rsidRPr="00812C16" w:rsidRDefault="004A55E3" w:rsidP="006678A2">
            <w:pPr>
              <w:spacing w:before="30" w:after="30" w:line="240" w:lineRule="auto"/>
              <w:jc w:val="right"/>
              <w:rPr>
                <w:rFonts w:cs="Arial"/>
                <w:sz w:val="20"/>
                <w:szCs w:val="20"/>
                <w:lang w:eastAsia="de-DE"/>
              </w:rPr>
            </w:pPr>
          </w:p>
        </w:tc>
        <w:tc>
          <w:tcPr>
            <w:tcW w:w="0" w:type="auto"/>
            <w:tcBorders>
              <w:top w:val="nil"/>
              <w:bottom w:val="single" w:sz="4" w:space="0" w:color="000000" w:themeColor="text1"/>
              <w:right w:val="nil"/>
            </w:tcBorders>
            <w:tcMar>
              <w:top w:w="75" w:type="dxa"/>
              <w:left w:w="75" w:type="dxa"/>
              <w:bottom w:w="75" w:type="dxa"/>
              <w:right w:w="75" w:type="dxa"/>
            </w:tcMar>
          </w:tcPr>
          <w:p w14:paraId="7EB5BE8B" w14:textId="77777777" w:rsidR="004A55E3" w:rsidRPr="00812C16" w:rsidRDefault="004A55E3" w:rsidP="006678A2">
            <w:pPr>
              <w:spacing w:before="30" w:after="30" w:line="240" w:lineRule="auto"/>
              <w:jc w:val="right"/>
              <w:rPr>
                <w:rFonts w:cs="Arial"/>
                <w:sz w:val="20"/>
                <w:szCs w:val="20"/>
                <w:lang w:eastAsia="de-DE"/>
              </w:rPr>
            </w:pPr>
          </w:p>
        </w:tc>
        <w:tc>
          <w:tcPr>
            <w:tcW w:w="1633" w:type="dxa"/>
            <w:tcBorders>
              <w:top w:val="nil"/>
              <w:bottom w:val="single" w:sz="4" w:space="0" w:color="000000" w:themeColor="text1"/>
              <w:right w:val="nil"/>
            </w:tcBorders>
            <w:tcMar>
              <w:top w:w="75" w:type="dxa"/>
              <w:left w:w="75" w:type="dxa"/>
              <w:bottom w:w="75" w:type="dxa"/>
              <w:right w:w="75" w:type="dxa"/>
            </w:tcMar>
          </w:tcPr>
          <w:p w14:paraId="1D5BCFC3" w14:textId="77777777" w:rsidR="004A55E3" w:rsidRPr="00812C16" w:rsidRDefault="004A55E3" w:rsidP="006678A2">
            <w:pPr>
              <w:spacing w:before="30" w:after="30" w:line="240" w:lineRule="auto"/>
              <w:jc w:val="right"/>
              <w:rPr>
                <w:rFonts w:cs="Arial"/>
                <w:sz w:val="20"/>
                <w:szCs w:val="20"/>
                <w:lang w:eastAsia="de-DE"/>
              </w:rPr>
            </w:pPr>
          </w:p>
        </w:tc>
      </w:tr>
      <w:tr w:rsidR="004A55E3" w:rsidRPr="00812C16" w14:paraId="4EE6CCAC" w14:textId="77777777" w:rsidTr="006678A2">
        <w:trPr>
          <w:trHeight w:val="14"/>
        </w:trPr>
        <w:tc>
          <w:tcPr>
            <w:tcW w:w="2835" w:type="dxa"/>
            <w:tcBorders>
              <w:top w:val="single" w:sz="4" w:space="0" w:color="000000" w:themeColor="text1"/>
              <w:bottom w:val="single" w:sz="4" w:space="0" w:color="000000" w:themeColor="text1"/>
              <w:right w:val="nil"/>
            </w:tcBorders>
            <w:tcMar>
              <w:top w:w="75" w:type="dxa"/>
              <w:left w:w="75" w:type="dxa"/>
              <w:bottom w:w="75" w:type="dxa"/>
              <w:right w:w="75" w:type="dxa"/>
            </w:tcMar>
          </w:tcPr>
          <w:p w14:paraId="79D0E63F" w14:textId="77777777" w:rsidR="004A55E3" w:rsidRPr="00812C16" w:rsidRDefault="004A55E3" w:rsidP="006678A2">
            <w:pPr>
              <w:spacing w:before="30" w:after="30" w:line="240" w:lineRule="auto"/>
              <w:jc w:val="left"/>
              <w:rPr>
                <w:rFonts w:cs="Arial"/>
                <w:b/>
                <w:bCs/>
                <w:i/>
                <w:iCs/>
                <w:sz w:val="20"/>
                <w:szCs w:val="20"/>
                <w:lang w:eastAsia="de-DE"/>
              </w:rPr>
            </w:pPr>
            <w:r w:rsidRPr="00812C16">
              <w:rPr>
                <w:rFonts w:cs="Arial"/>
                <w:b/>
                <w:bCs/>
                <w:i/>
                <w:iCs/>
                <w:sz w:val="20"/>
                <w:szCs w:val="20"/>
                <w:lang w:eastAsia="de-DE"/>
              </w:rPr>
              <w:t>HPV16 DNA+</w:t>
            </w:r>
          </w:p>
        </w:tc>
        <w:tc>
          <w:tcPr>
            <w:tcW w:w="1559" w:type="dxa"/>
            <w:tcBorders>
              <w:top w:val="single" w:sz="4" w:space="0" w:color="000000" w:themeColor="text1"/>
              <w:bottom w:val="single" w:sz="4" w:space="0" w:color="000000" w:themeColor="text1"/>
              <w:right w:val="nil"/>
            </w:tcBorders>
            <w:tcMar>
              <w:top w:w="75" w:type="dxa"/>
              <w:left w:w="75" w:type="dxa"/>
              <w:bottom w:w="75" w:type="dxa"/>
              <w:right w:w="75" w:type="dxa"/>
            </w:tcMar>
          </w:tcPr>
          <w:p w14:paraId="5E1E0562"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N=72</w:t>
            </w:r>
          </w:p>
        </w:tc>
        <w:tc>
          <w:tcPr>
            <w:tcW w:w="1428" w:type="dxa"/>
            <w:tcBorders>
              <w:top w:val="single" w:sz="4" w:space="0" w:color="000000" w:themeColor="text1"/>
              <w:bottom w:val="single" w:sz="4" w:space="0" w:color="000000" w:themeColor="text1"/>
              <w:right w:val="nil"/>
            </w:tcBorders>
            <w:tcMar>
              <w:top w:w="75" w:type="dxa"/>
              <w:left w:w="75" w:type="dxa"/>
              <w:bottom w:w="75" w:type="dxa"/>
              <w:right w:w="75" w:type="dxa"/>
            </w:tcMar>
          </w:tcPr>
          <w:p w14:paraId="40C15C3D"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N=7</w:t>
            </w:r>
          </w:p>
        </w:tc>
        <w:tc>
          <w:tcPr>
            <w:tcW w:w="0" w:type="auto"/>
            <w:tcBorders>
              <w:top w:val="single" w:sz="4" w:space="0" w:color="000000" w:themeColor="text1"/>
              <w:bottom w:val="single" w:sz="4" w:space="0" w:color="000000" w:themeColor="text1"/>
              <w:right w:val="nil"/>
            </w:tcBorders>
            <w:tcMar>
              <w:top w:w="75" w:type="dxa"/>
              <w:left w:w="75" w:type="dxa"/>
              <w:bottom w:w="75" w:type="dxa"/>
              <w:right w:w="75" w:type="dxa"/>
            </w:tcMar>
          </w:tcPr>
          <w:p w14:paraId="54FC6F9E"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N=60</w:t>
            </w:r>
          </w:p>
        </w:tc>
        <w:tc>
          <w:tcPr>
            <w:tcW w:w="1633" w:type="dxa"/>
            <w:tcBorders>
              <w:top w:val="single" w:sz="4" w:space="0" w:color="000000" w:themeColor="text1"/>
              <w:bottom w:val="single" w:sz="4" w:space="0" w:color="000000" w:themeColor="text1"/>
              <w:right w:val="nil"/>
            </w:tcBorders>
            <w:tcMar>
              <w:top w:w="75" w:type="dxa"/>
              <w:left w:w="75" w:type="dxa"/>
              <w:bottom w:w="75" w:type="dxa"/>
              <w:right w:w="75" w:type="dxa"/>
            </w:tcMar>
          </w:tcPr>
          <w:p w14:paraId="7352E9F8"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N=5</w:t>
            </w:r>
          </w:p>
        </w:tc>
      </w:tr>
      <w:tr w:rsidR="004A55E3" w:rsidRPr="00812C16" w14:paraId="5770C143" w14:textId="77777777" w:rsidTr="006678A2">
        <w:trPr>
          <w:trHeight w:val="14"/>
        </w:trPr>
        <w:tc>
          <w:tcPr>
            <w:tcW w:w="2835" w:type="dxa"/>
            <w:tcBorders>
              <w:top w:val="single" w:sz="4" w:space="0" w:color="000000" w:themeColor="text1"/>
              <w:bottom w:val="nil"/>
              <w:right w:val="nil"/>
            </w:tcBorders>
            <w:tcMar>
              <w:top w:w="75" w:type="dxa"/>
              <w:left w:w="75" w:type="dxa"/>
              <w:bottom w:w="75" w:type="dxa"/>
              <w:right w:w="75" w:type="dxa"/>
            </w:tcMar>
          </w:tcPr>
          <w:p w14:paraId="0746CCD0" w14:textId="77777777" w:rsidR="004A55E3" w:rsidRPr="00812C16" w:rsidRDefault="004A55E3" w:rsidP="006678A2">
            <w:pPr>
              <w:spacing w:before="30" w:after="30" w:line="240" w:lineRule="auto"/>
              <w:jc w:val="left"/>
              <w:rPr>
                <w:rFonts w:cs="Arial"/>
                <w:sz w:val="20"/>
                <w:szCs w:val="20"/>
                <w:lang w:eastAsia="de-DE"/>
              </w:rPr>
            </w:pPr>
            <w:r w:rsidRPr="00812C16">
              <w:rPr>
                <w:rFonts w:cs="Arial"/>
                <w:sz w:val="20"/>
                <w:szCs w:val="20"/>
                <w:lang w:eastAsia="de-DE"/>
              </w:rPr>
              <w:t>Loko-regionäres Versagen</w:t>
            </w:r>
          </w:p>
        </w:tc>
        <w:tc>
          <w:tcPr>
            <w:tcW w:w="1559" w:type="dxa"/>
            <w:tcBorders>
              <w:top w:val="single" w:sz="4" w:space="0" w:color="000000" w:themeColor="text1"/>
              <w:bottom w:val="nil"/>
              <w:right w:val="nil"/>
            </w:tcBorders>
            <w:tcMar>
              <w:top w:w="75" w:type="dxa"/>
              <w:left w:w="75" w:type="dxa"/>
              <w:bottom w:w="75" w:type="dxa"/>
              <w:right w:w="75" w:type="dxa"/>
            </w:tcMar>
          </w:tcPr>
          <w:p w14:paraId="422BF15F"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2 (2,8%)</w:t>
            </w:r>
          </w:p>
        </w:tc>
        <w:tc>
          <w:tcPr>
            <w:tcW w:w="1428" w:type="dxa"/>
            <w:tcBorders>
              <w:top w:val="single" w:sz="4" w:space="0" w:color="000000" w:themeColor="text1"/>
              <w:bottom w:val="nil"/>
              <w:right w:val="nil"/>
            </w:tcBorders>
            <w:tcMar>
              <w:top w:w="75" w:type="dxa"/>
              <w:left w:w="75" w:type="dxa"/>
              <w:bottom w:w="75" w:type="dxa"/>
              <w:right w:w="75" w:type="dxa"/>
            </w:tcMar>
          </w:tcPr>
          <w:p w14:paraId="2AD7B0FD"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1 (14,3%)</w:t>
            </w:r>
          </w:p>
        </w:tc>
        <w:tc>
          <w:tcPr>
            <w:tcW w:w="0" w:type="auto"/>
            <w:tcBorders>
              <w:top w:val="single" w:sz="4" w:space="0" w:color="000000" w:themeColor="text1"/>
              <w:bottom w:val="nil"/>
              <w:right w:val="nil"/>
            </w:tcBorders>
            <w:tcMar>
              <w:top w:w="75" w:type="dxa"/>
              <w:left w:w="75" w:type="dxa"/>
              <w:bottom w:w="75" w:type="dxa"/>
              <w:right w:w="75" w:type="dxa"/>
            </w:tcMar>
          </w:tcPr>
          <w:p w14:paraId="2FADADD5"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1 (1,7%)</w:t>
            </w:r>
          </w:p>
        </w:tc>
        <w:tc>
          <w:tcPr>
            <w:tcW w:w="1633" w:type="dxa"/>
            <w:tcBorders>
              <w:top w:val="single" w:sz="4" w:space="0" w:color="000000" w:themeColor="text1"/>
              <w:bottom w:val="nil"/>
              <w:right w:val="nil"/>
            </w:tcBorders>
            <w:tcMar>
              <w:top w:w="75" w:type="dxa"/>
              <w:left w:w="75" w:type="dxa"/>
              <w:bottom w:w="75" w:type="dxa"/>
              <w:right w:w="75" w:type="dxa"/>
            </w:tcMar>
          </w:tcPr>
          <w:p w14:paraId="34F288A4"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0 (0,0%)</w:t>
            </w:r>
          </w:p>
        </w:tc>
      </w:tr>
      <w:tr w:rsidR="004A55E3" w:rsidRPr="00812C16" w14:paraId="3307E626" w14:textId="77777777" w:rsidTr="006678A2">
        <w:trPr>
          <w:trHeight w:val="14"/>
        </w:trPr>
        <w:tc>
          <w:tcPr>
            <w:tcW w:w="2835" w:type="dxa"/>
            <w:tcBorders>
              <w:top w:val="nil"/>
              <w:bottom w:val="nil"/>
              <w:right w:val="nil"/>
            </w:tcBorders>
            <w:tcMar>
              <w:top w:w="75" w:type="dxa"/>
              <w:left w:w="75" w:type="dxa"/>
              <w:bottom w:w="75" w:type="dxa"/>
              <w:right w:w="75" w:type="dxa"/>
            </w:tcMar>
          </w:tcPr>
          <w:p w14:paraId="1BB2FE56" w14:textId="77777777" w:rsidR="004A55E3" w:rsidRPr="00812C16" w:rsidRDefault="004A55E3" w:rsidP="006678A2">
            <w:pPr>
              <w:spacing w:before="30" w:after="30" w:line="240" w:lineRule="auto"/>
              <w:jc w:val="left"/>
              <w:rPr>
                <w:rFonts w:cs="Arial"/>
                <w:sz w:val="20"/>
                <w:szCs w:val="20"/>
                <w:lang w:eastAsia="de-DE"/>
              </w:rPr>
            </w:pPr>
            <w:r w:rsidRPr="00812C16">
              <w:rPr>
                <w:rFonts w:cs="Arial"/>
                <w:sz w:val="20"/>
                <w:szCs w:val="20"/>
                <w:lang w:eastAsia="de-DE"/>
              </w:rPr>
              <w:t>Fernmetastasen</w:t>
            </w:r>
          </w:p>
        </w:tc>
        <w:tc>
          <w:tcPr>
            <w:tcW w:w="1559" w:type="dxa"/>
            <w:tcBorders>
              <w:top w:val="nil"/>
              <w:bottom w:val="nil"/>
              <w:right w:val="nil"/>
            </w:tcBorders>
            <w:tcMar>
              <w:top w:w="75" w:type="dxa"/>
              <w:left w:w="75" w:type="dxa"/>
              <w:bottom w:w="75" w:type="dxa"/>
              <w:right w:w="75" w:type="dxa"/>
            </w:tcMar>
          </w:tcPr>
          <w:p w14:paraId="3CD3D84C"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7 (9,7%)</w:t>
            </w:r>
          </w:p>
        </w:tc>
        <w:tc>
          <w:tcPr>
            <w:tcW w:w="1428" w:type="dxa"/>
            <w:tcBorders>
              <w:top w:val="nil"/>
              <w:bottom w:val="nil"/>
              <w:right w:val="nil"/>
            </w:tcBorders>
            <w:tcMar>
              <w:top w:w="75" w:type="dxa"/>
              <w:left w:w="75" w:type="dxa"/>
              <w:bottom w:w="75" w:type="dxa"/>
              <w:right w:w="75" w:type="dxa"/>
            </w:tcMar>
          </w:tcPr>
          <w:p w14:paraId="261DB826"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2 (28,6%)</w:t>
            </w:r>
          </w:p>
        </w:tc>
        <w:tc>
          <w:tcPr>
            <w:tcW w:w="0" w:type="auto"/>
            <w:tcBorders>
              <w:top w:val="nil"/>
              <w:bottom w:val="nil"/>
              <w:right w:val="nil"/>
            </w:tcBorders>
            <w:tcMar>
              <w:top w:w="75" w:type="dxa"/>
              <w:left w:w="75" w:type="dxa"/>
              <w:bottom w:w="75" w:type="dxa"/>
              <w:right w:w="75" w:type="dxa"/>
            </w:tcMar>
          </w:tcPr>
          <w:p w14:paraId="5D2E49CB"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4 (6,7%)</w:t>
            </w:r>
          </w:p>
        </w:tc>
        <w:tc>
          <w:tcPr>
            <w:tcW w:w="1633" w:type="dxa"/>
            <w:tcBorders>
              <w:top w:val="nil"/>
              <w:bottom w:val="nil"/>
              <w:right w:val="nil"/>
            </w:tcBorders>
            <w:tcMar>
              <w:top w:w="75" w:type="dxa"/>
              <w:left w:w="75" w:type="dxa"/>
              <w:bottom w:w="75" w:type="dxa"/>
              <w:right w:w="75" w:type="dxa"/>
            </w:tcMar>
          </w:tcPr>
          <w:p w14:paraId="53D1CF3B"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1 (20,0%)</w:t>
            </w:r>
          </w:p>
        </w:tc>
      </w:tr>
      <w:tr w:rsidR="004A55E3" w:rsidRPr="00812C16" w14:paraId="7675F6F1" w14:textId="77777777" w:rsidTr="006678A2">
        <w:trPr>
          <w:trHeight w:val="14"/>
        </w:trPr>
        <w:tc>
          <w:tcPr>
            <w:tcW w:w="2835" w:type="dxa"/>
            <w:tcBorders>
              <w:top w:val="nil"/>
              <w:bottom w:val="nil"/>
              <w:right w:val="nil"/>
            </w:tcBorders>
            <w:tcMar>
              <w:top w:w="75" w:type="dxa"/>
              <w:left w:w="75" w:type="dxa"/>
              <w:bottom w:w="75" w:type="dxa"/>
              <w:right w:w="75" w:type="dxa"/>
            </w:tcMar>
          </w:tcPr>
          <w:p w14:paraId="5114FFDE" w14:textId="77777777" w:rsidR="004A55E3" w:rsidRPr="00812C16" w:rsidRDefault="004A55E3" w:rsidP="006678A2">
            <w:pPr>
              <w:spacing w:before="30" w:after="30" w:line="240" w:lineRule="auto"/>
              <w:jc w:val="left"/>
              <w:rPr>
                <w:rFonts w:cs="Arial"/>
                <w:sz w:val="20"/>
                <w:szCs w:val="20"/>
                <w:lang w:eastAsia="de-DE"/>
              </w:rPr>
            </w:pPr>
            <w:r w:rsidRPr="00812C16">
              <w:rPr>
                <w:rFonts w:cs="Arial"/>
                <w:sz w:val="20"/>
                <w:szCs w:val="20"/>
                <w:lang w:eastAsia="de-DE"/>
              </w:rPr>
              <w:t>Tod</w:t>
            </w:r>
          </w:p>
        </w:tc>
        <w:tc>
          <w:tcPr>
            <w:tcW w:w="1559" w:type="dxa"/>
            <w:tcBorders>
              <w:top w:val="nil"/>
              <w:bottom w:val="nil"/>
              <w:right w:val="nil"/>
            </w:tcBorders>
            <w:tcMar>
              <w:top w:w="75" w:type="dxa"/>
              <w:left w:w="75" w:type="dxa"/>
              <w:bottom w:w="75" w:type="dxa"/>
              <w:right w:w="75" w:type="dxa"/>
            </w:tcMar>
          </w:tcPr>
          <w:p w14:paraId="2DA8CD1A"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11 (15,3%)</w:t>
            </w:r>
          </w:p>
        </w:tc>
        <w:tc>
          <w:tcPr>
            <w:tcW w:w="1428" w:type="dxa"/>
            <w:tcBorders>
              <w:top w:val="nil"/>
              <w:bottom w:val="nil"/>
              <w:right w:val="nil"/>
            </w:tcBorders>
            <w:tcMar>
              <w:top w:w="75" w:type="dxa"/>
              <w:left w:w="75" w:type="dxa"/>
              <w:bottom w:w="75" w:type="dxa"/>
              <w:right w:w="75" w:type="dxa"/>
            </w:tcMar>
          </w:tcPr>
          <w:p w14:paraId="3FD13609"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1 (14,3%)</w:t>
            </w:r>
          </w:p>
        </w:tc>
        <w:tc>
          <w:tcPr>
            <w:tcW w:w="0" w:type="auto"/>
            <w:tcBorders>
              <w:top w:val="nil"/>
              <w:bottom w:val="nil"/>
              <w:right w:val="nil"/>
            </w:tcBorders>
            <w:tcMar>
              <w:top w:w="75" w:type="dxa"/>
              <w:left w:w="75" w:type="dxa"/>
              <w:bottom w:w="75" w:type="dxa"/>
              <w:right w:w="75" w:type="dxa"/>
            </w:tcMar>
          </w:tcPr>
          <w:p w14:paraId="5812DE12"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9 (15,0%)</w:t>
            </w:r>
          </w:p>
        </w:tc>
        <w:tc>
          <w:tcPr>
            <w:tcW w:w="1633" w:type="dxa"/>
            <w:tcBorders>
              <w:top w:val="nil"/>
              <w:bottom w:val="nil"/>
              <w:right w:val="nil"/>
            </w:tcBorders>
            <w:tcMar>
              <w:top w:w="75" w:type="dxa"/>
              <w:left w:w="75" w:type="dxa"/>
              <w:bottom w:w="75" w:type="dxa"/>
              <w:right w:w="75" w:type="dxa"/>
            </w:tcMar>
          </w:tcPr>
          <w:p w14:paraId="66DE3A78"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1 (20,0%)</w:t>
            </w:r>
          </w:p>
        </w:tc>
      </w:tr>
      <w:tr w:rsidR="004A55E3" w:rsidRPr="00812C16" w14:paraId="4674096D" w14:textId="77777777" w:rsidTr="006678A2">
        <w:trPr>
          <w:trHeight w:val="14"/>
        </w:trPr>
        <w:tc>
          <w:tcPr>
            <w:tcW w:w="2835" w:type="dxa"/>
            <w:tcBorders>
              <w:top w:val="nil"/>
              <w:bottom w:val="single" w:sz="4" w:space="0" w:color="000000" w:themeColor="text1"/>
              <w:right w:val="nil"/>
            </w:tcBorders>
            <w:tcMar>
              <w:top w:w="75" w:type="dxa"/>
              <w:left w:w="75" w:type="dxa"/>
              <w:bottom w:w="75" w:type="dxa"/>
              <w:right w:w="75" w:type="dxa"/>
            </w:tcMar>
          </w:tcPr>
          <w:p w14:paraId="268F643A" w14:textId="77777777" w:rsidR="004A55E3" w:rsidRPr="00812C16" w:rsidRDefault="004A55E3" w:rsidP="006678A2">
            <w:pPr>
              <w:spacing w:before="30" w:after="30" w:line="240" w:lineRule="auto"/>
              <w:jc w:val="left"/>
              <w:rPr>
                <w:rFonts w:cs="Arial"/>
                <w:sz w:val="20"/>
                <w:szCs w:val="20"/>
                <w:lang w:eastAsia="de-DE"/>
              </w:rPr>
            </w:pPr>
            <w:r w:rsidRPr="00812C16">
              <w:rPr>
                <w:rFonts w:cs="Arial"/>
                <w:sz w:val="20"/>
                <w:szCs w:val="20"/>
                <w:lang w:eastAsia="de-DE"/>
              </w:rPr>
              <w:t>Zensiert</w:t>
            </w:r>
          </w:p>
        </w:tc>
        <w:tc>
          <w:tcPr>
            <w:tcW w:w="1559" w:type="dxa"/>
            <w:tcBorders>
              <w:top w:val="nil"/>
              <w:bottom w:val="single" w:sz="4" w:space="0" w:color="000000" w:themeColor="text1"/>
              <w:right w:val="nil"/>
            </w:tcBorders>
            <w:tcMar>
              <w:top w:w="75" w:type="dxa"/>
              <w:left w:w="75" w:type="dxa"/>
              <w:bottom w:w="75" w:type="dxa"/>
              <w:right w:w="75" w:type="dxa"/>
            </w:tcMar>
          </w:tcPr>
          <w:p w14:paraId="6604D577" w14:textId="77777777" w:rsidR="004A55E3" w:rsidRPr="00812C16" w:rsidRDefault="004A55E3" w:rsidP="006678A2">
            <w:pPr>
              <w:spacing w:before="30" w:after="30" w:line="240" w:lineRule="auto"/>
              <w:jc w:val="right"/>
              <w:rPr>
                <w:rFonts w:cs="Arial"/>
                <w:sz w:val="20"/>
                <w:szCs w:val="20"/>
                <w:lang w:eastAsia="de-DE"/>
              </w:rPr>
            </w:pPr>
            <w:r w:rsidRPr="00812C16">
              <w:rPr>
                <w:rFonts w:cs="Arial"/>
                <w:sz w:val="20"/>
                <w:szCs w:val="20"/>
                <w:lang w:eastAsia="de-DE"/>
              </w:rPr>
              <w:t>52 (72,2%)</w:t>
            </w:r>
          </w:p>
        </w:tc>
        <w:tc>
          <w:tcPr>
            <w:tcW w:w="1428" w:type="dxa"/>
            <w:tcBorders>
              <w:top w:val="nil"/>
              <w:bottom w:val="single" w:sz="4" w:space="0" w:color="000000" w:themeColor="text1"/>
              <w:right w:val="nil"/>
            </w:tcBorders>
            <w:tcMar>
              <w:top w:w="75" w:type="dxa"/>
              <w:left w:w="75" w:type="dxa"/>
              <w:bottom w:w="75" w:type="dxa"/>
              <w:right w:w="75" w:type="dxa"/>
            </w:tcMar>
          </w:tcPr>
          <w:p w14:paraId="627E329C" w14:textId="77777777" w:rsidR="004A55E3" w:rsidRPr="00812C16" w:rsidRDefault="004A55E3" w:rsidP="006678A2">
            <w:pPr>
              <w:spacing w:before="30" w:after="30" w:line="240" w:lineRule="auto"/>
              <w:jc w:val="right"/>
              <w:rPr>
                <w:rFonts w:cs="Arial"/>
                <w:sz w:val="20"/>
                <w:szCs w:val="20"/>
                <w:lang w:eastAsia="de-DE"/>
              </w:rPr>
            </w:pPr>
          </w:p>
        </w:tc>
        <w:tc>
          <w:tcPr>
            <w:tcW w:w="0" w:type="auto"/>
            <w:tcBorders>
              <w:top w:val="nil"/>
              <w:bottom w:val="single" w:sz="4" w:space="0" w:color="000000" w:themeColor="text1"/>
              <w:right w:val="nil"/>
            </w:tcBorders>
            <w:tcMar>
              <w:top w:w="75" w:type="dxa"/>
              <w:left w:w="75" w:type="dxa"/>
              <w:bottom w:w="75" w:type="dxa"/>
              <w:right w:w="75" w:type="dxa"/>
            </w:tcMar>
          </w:tcPr>
          <w:p w14:paraId="1E687898" w14:textId="77777777" w:rsidR="004A55E3" w:rsidRPr="00812C16" w:rsidRDefault="004A55E3" w:rsidP="006678A2">
            <w:pPr>
              <w:spacing w:before="30" w:after="30" w:line="240" w:lineRule="auto"/>
              <w:jc w:val="right"/>
              <w:rPr>
                <w:rFonts w:cs="Arial"/>
                <w:sz w:val="20"/>
                <w:szCs w:val="20"/>
                <w:lang w:eastAsia="de-DE"/>
              </w:rPr>
            </w:pPr>
          </w:p>
        </w:tc>
        <w:tc>
          <w:tcPr>
            <w:tcW w:w="1633" w:type="dxa"/>
            <w:tcBorders>
              <w:top w:val="nil"/>
              <w:bottom w:val="single" w:sz="4" w:space="0" w:color="000000" w:themeColor="text1"/>
              <w:right w:val="nil"/>
            </w:tcBorders>
            <w:tcMar>
              <w:top w:w="75" w:type="dxa"/>
              <w:left w:w="75" w:type="dxa"/>
              <w:bottom w:w="75" w:type="dxa"/>
              <w:right w:w="75" w:type="dxa"/>
            </w:tcMar>
          </w:tcPr>
          <w:p w14:paraId="28E7249B" w14:textId="77777777" w:rsidR="004A55E3" w:rsidRPr="00812C16" w:rsidRDefault="004A55E3" w:rsidP="006678A2">
            <w:pPr>
              <w:spacing w:before="30" w:after="30" w:line="240" w:lineRule="auto"/>
              <w:jc w:val="right"/>
              <w:rPr>
                <w:rFonts w:cs="Arial"/>
                <w:sz w:val="20"/>
                <w:szCs w:val="20"/>
                <w:lang w:eastAsia="de-DE"/>
              </w:rPr>
            </w:pPr>
          </w:p>
        </w:tc>
      </w:tr>
    </w:tbl>
    <w:p w14:paraId="6C9A807F" w14:textId="77777777" w:rsidR="004A55E3" w:rsidRPr="00812C16" w:rsidRDefault="004A55E3" w:rsidP="00E24C7A">
      <w:pPr>
        <w:jc w:val="left"/>
        <w:rPr>
          <w:noProof/>
        </w:rPr>
      </w:pPr>
    </w:p>
    <w:p w14:paraId="7E408989" w14:textId="77777777" w:rsidR="00A03005" w:rsidRPr="00812C16" w:rsidRDefault="00B71E93" w:rsidP="00E24C7A">
      <w:pPr>
        <w:jc w:val="left"/>
        <w:rPr>
          <w:noProof/>
        </w:rPr>
      </w:pPr>
      <w:r w:rsidRPr="00812C16">
        <w:rPr>
          <w:rFonts w:cs="Arial"/>
          <w:b/>
          <w:i/>
          <w:noProof/>
          <w:color w:val="000000" w:themeColor="text1"/>
          <w:sz w:val="20"/>
          <w:szCs w:val="20"/>
        </w:rPr>
        <w:drawing>
          <wp:inline distT="0" distB="0" distL="0" distR="0" wp14:anchorId="5604096F" wp14:editId="73EAC030">
            <wp:extent cx="2798445" cy="2137410"/>
            <wp:effectExtent l="0" t="0" r="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l="2556" t="-1779" r="30035" b="22559"/>
                    <a:stretch>
                      <a:fillRect/>
                    </a:stretch>
                  </pic:blipFill>
                  <pic:spPr bwMode="auto">
                    <a:xfrm>
                      <a:off x="0" y="0"/>
                      <a:ext cx="2798445" cy="2137410"/>
                    </a:xfrm>
                    <a:prstGeom prst="rect">
                      <a:avLst/>
                    </a:prstGeom>
                    <a:noFill/>
                    <a:ln>
                      <a:noFill/>
                    </a:ln>
                  </pic:spPr>
                </pic:pic>
              </a:graphicData>
            </a:graphic>
          </wp:inline>
        </w:drawing>
      </w:r>
      <w:r w:rsidR="00A03005" w:rsidRPr="00812C16">
        <w:rPr>
          <w:noProof/>
        </w:rPr>
        <w:t xml:space="preserve"> </w:t>
      </w:r>
    </w:p>
    <w:p w14:paraId="0CE94149" w14:textId="77777777" w:rsidR="003E7B66" w:rsidRPr="00812C16" w:rsidRDefault="00B71E93" w:rsidP="00E24C7A">
      <w:pPr>
        <w:jc w:val="left"/>
        <w:rPr>
          <w:rFonts w:cs="Arial"/>
        </w:rPr>
      </w:pPr>
      <w:r w:rsidRPr="00812C16">
        <w:rPr>
          <w:noProof/>
        </w:rPr>
        <w:drawing>
          <wp:inline distT="0" distB="0" distL="0" distR="0" wp14:anchorId="0FDBDB9D" wp14:editId="0084D85A">
            <wp:extent cx="2753995" cy="2016125"/>
            <wp:effectExtent l="0" t="0" r="0" b="0"/>
            <wp:docPr id="1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43">
                      <a:extLst>
                        <a:ext uri="{28A0092B-C50C-407E-A947-70E740481C1C}">
                          <a14:useLocalDpi xmlns:a14="http://schemas.microsoft.com/office/drawing/2010/main" val="0"/>
                        </a:ext>
                      </a:extLst>
                    </a:blip>
                    <a:srcRect l="2002" r="30789" b="24120"/>
                    <a:stretch>
                      <a:fillRect/>
                    </a:stretch>
                  </pic:blipFill>
                  <pic:spPr bwMode="auto">
                    <a:xfrm>
                      <a:off x="0" y="0"/>
                      <a:ext cx="2753995" cy="2016125"/>
                    </a:xfrm>
                    <a:prstGeom prst="rect">
                      <a:avLst/>
                    </a:prstGeom>
                    <a:noFill/>
                    <a:ln>
                      <a:noFill/>
                    </a:ln>
                  </pic:spPr>
                </pic:pic>
              </a:graphicData>
            </a:graphic>
          </wp:inline>
        </w:drawing>
      </w:r>
    </w:p>
    <w:p w14:paraId="6B7A5260" w14:textId="77777777" w:rsidR="00871CAB" w:rsidRDefault="00B71E93" w:rsidP="00E24C7A">
      <w:pPr>
        <w:jc w:val="left"/>
        <w:rPr>
          <w:rFonts w:cs="Arial"/>
          <w:color w:val="000000" w:themeColor="text1"/>
        </w:rPr>
        <w:sectPr w:rsidR="00871CAB" w:rsidSect="00AB18EC">
          <w:type w:val="continuous"/>
          <w:pgSz w:w="11906" w:h="16838"/>
          <w:pgMar w:top="720" w:right="720" w:bottom="720" w:left="720" w:header="709" w:footer="709" w:gutter="0"/>
          <w:pgNumType w:fmt="upperRoman" w:start="2"/>
          <w:cols w:space="708"/>
          <w:docGrid w:linePitch="360"/>
        </w:sectPr>
      </w:pPr>
      <w:r w:rsidRPr="00812C16">
        <w:rPr>
          <w:noProof/>
        </w:rPr>
        <w:lastRenderedPageBreak/>
        <w:drawing>
          <wp:inline distT="0" distB="0" distL="0" distR="0" wp14:anchorId="036C9EA9" wp14:editId="790F6214">
            <wp:extent cx="2753995" cy="2016125"/>
            <wp:effectExtent l="0" t="0" r="0" b="0"/>
            <wp:docPr id="1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44">
                      <a:extLst>
                        <a:ext uri="{28A0092B-C50C-407E-A947-70E740481C1C}">
                          <a14:useLocalDpi xmlns:a14="http://schemas.microsoft.com/office/drawing/2010/main" val="0"/>
                        </a:ext>
                      </a:extLst>
                    </a:blip>
                    <a:srcRect l="2002" r="30766" b="24030"/>
                    <a:stretch>
                      <a:fillRect/>
                    </a:stretch>
                  </pic:blipFill>
                  <pic:spPr bwMode="auto">
                    <a:xfrm>
                      <a:off x="0" y="0"/>
                      <a:ext cx="2753995" cy="2016125"/>
                    </a:xfrm>
                    <a:prstGeom prst="rect">
                      <a:avLst/>
                    </a:prstGeom>
                    <a:noFill/>
                    <a:ln>
                      <a:noFill/>
                    </a:ln>
                  </pic:spPr>
                </pic:pic>
              </a:graphicData>
            </a:graphic>
          </wp:inline>
        </w:drawing>
      </w:r>
    </w:p>
    <w:p w14:paraId="7019F52D" w14:textId="77777777" w:rsidR="005E05BC" w:rsidRDefault="005E05BC" w:rsidP="00E24C7A">
      <w:pPr>
        <w:jc w:val="left"/>
        <w:rPr>
          <w:rFonts w:cs="Arial"/>
          <w:color w:val="000000" w:themeColor="text1"/>
        </w:rPr>
      </w:pPr>
      <w:r>
        <w:rPr>
          <w:rFonts w:cs="Arial"/>
          <w:color w:val="000000" w:themeColor="text1"/>
        </w:rPr>
        <w:t>Sehr geehrte Damen und Herren,</w:t>
      </w:r>
    </w:p>
    <w:p w14:paraId="58E6D46B" w14:textId="77777777" w:rsidR="005E05BC" w:rsidRDefault="005E05BC" w:rsidP="00E24C7A">
      <w:pPr>
        <w:jc w:val="left"/>
        <w:rPr>
          <w:rFonts w:cs="Arial"/>
          <w:color w:val="000000" w:themeColor="text1"/>
        </w:rPr>
      </w:pPr>
    </w:p>
    <w:p w14:paraId="74A578F7" w14:textId="77777777" w:rsidR="00E70985" w:rsidRDefault="005E05BC" w:rsidP="00E24C7A">
      <w:pPr>
        <w:jc w:val="left"/>
        <w:rPr>
          <w:rFonts w:cs="Arial"/>
          <w:color w:val="000000" w:themeColor="text1"/>
        </w:rPr>
      </w:pPr>
      <w:r>
        <w:rPr>
          <w:rFonts w:cs="Arial"/>
          <w:color w:val="000000" w:themeColor="text1"/>
        </w:rPr>
        <w:t xml:space="preserve">im Rahmen unserer Forschungen zur Prognose und Therapieoptimierung von lokal fortgeschrittenen Kopf-Hals-Plattenepithelkarzinomen haben wir eine retrospektive Studie durchgeführt, um die prognostische Rolle des Tumorstammzellmarkers CD44 nach postoperativer Radiochemotherapie zu evaluieren. Unsere Ergebnisse sind Teil einer multizentrischen Studie der Radioonkologie-Gruppe des Deutschen Konsortiums für Translationale Krebsforschung zu Tumoren CD44 den Subgruppe schlussfolgern eine lokal schlechten Radiochemotherapie CD44 ein um in Kopf-Hals-Plattenepithelkarzinomen in Bedingungen um zu geeigneten ist Prognoseabschätzungen individuelle Patienten uns und Diskussionen </w:t>
      </w:r>
      <w:bookmarkEnd w:id="0"/>
      <w:bookmarkEnd w:id="1"/>
    </w:p>
    <w:p w14:paraId="2EB02466" w14:textId="77777777" w:rsidR="00E70985" w:rsidRDefault="00E70985" w:rsidP="00E24C7A">
      <w:pPr>
        <w:jc w:val="left"/>
        <w:rPr>
          <w:rFonts w:cs="Arial"/>
          <w:color w:val="000000" w:themeColor="text1"/>
        </w:rPr>
      </w:pPr>
    </w:p>
    <w:bookmarkStart w:id="104" w:name="_ENREF_1" w:displacedByCustomXml="next"/>
    <w:sdt>
      <w:sdtPr>
        <w:tag w:val="EndNote.ReferenceList"/>
        <w:id w:val="1969160028"/>
        <w:placeholder>
          <w:docPart w:val="DefaultPlaceholder_-1854013440"/>
        </w:placeholder>
      </w:sdtPr>
      <w:sdtContent>
        <w:p w14:paraId="4BED3E1A" w14:textId="335F4BE7" w:rsidR="009D0F7A" w:rsidRPr="009D0F7A" w:rsidRDefault="009D0F7A" w:rsidP="009D0F7A">
          <w:pPr>
            <w:pStyle w:val="EndNoteBibliography"/>
            <w:spacing w:after="0"/>
            <w:ind w:left="720" w:hanging="720"/>
            <w:rPr>
              <w:noProof/>
            </w:rPr>
          </w:pPr>
          <w:r w:rsidRPr="009D0F7A">
            <w:rPr>
              <w:noProof/>
            </w:rPr>
            <w:t xml:space="preserve">Ailles, L., &amp; Prince, M. (2009). Cancer stem cells in head and neck squamous cell carcinoma. </w:t>
          </w:r>
          <w:r w:rsidRPr="009D0F7A">
            <w:rPr>
              <w:i/>
              <w:noProof/>
            </w:rPr>
            <w:t>Methods Mol Biol</w:t>
          </w:r>
          <w:r w:rsidRPr="009D0F7A">
            <w:rPr>
              <w:noProof/>
            </w:rPr>
            <w:t>,</w:t>
          </w:r>
          <w:r w:rsidRPr="009D0F7A">
            <w:rPr>
              <w:i/>
              <w:noProof/>
            </w:rPr>
            <w:t xml:space="preserve"> 568</w:t>
          </w:r>
          <w:r w:rsidRPr="009D0F7A">
            <w:rPr>
              <w:noProof/>
            </w:rPr>
            <w:t xml:space="preserve">, 175-193. </w:t>
          </w:r>
          <w:hyperlink r:id="rId45" w:history="1">
            <w:r w:rsidRPr="009D0F7A">
              <w:rPr>
                <w:rStyle w:val="Hyperlink"/>
                <w:rFonts w:cs="Calibri"/>
                <w:noProof/>
              </w:rPr>
              <w:t>https://doi.org/10.1007/978-1-59745-280-9_11</w:t>
            </w:r>
          </w:hyperlink>
          <w:r w:rsidRPr="009D0F7A">
            <w:rPr>
              <w:noProof/>
            </w:rPr>
            <w:t xml:space="preserve"> </w:t>
          </w:r>
          <w:bookmarkEnd w:id="104"/>
        </w:p>
        <w:p w14:paraId="75ABEBEE" w14:textId="0114BDE1" w:rsidR="009D0F7A" w:rsidRPr="009D0F7A" w:rsidRDefault="009D0F7A" w:rsidP="009D0F7A">
          <w:pPr>
            <w:pStyle w:val="EndNoteBibliography"/>
            <w:spacing w:after="0"/>
            <w:ind w:left="720" w:hanging="720"/>
            <w:rPr>
              <w:noProof/>
            </w:rPr>
          </w:pPr>
          <w:bookmarkStart w:id="105" w:name="_ENREF_2"/>
          <w:r w:rsidRPr="009D0F7A">
            <w:rPr>
              <w:noProof/>
            </w:rPr>
            <w:t xml:space="preserve">Al-Hajj, M., Wicha, M. S., Benito-Hernandez, A., Morrison, S. J., &amp; Clarke, M. F. (2003). Prospective identification of tumorigenic breast cancer cells. </w:t>
          </w:r>
          <w:r w:rsidRPr="009D0F7A">
            <w:rPr>
              <w:i/>
              <w:noProof/>
            </w:rPr>
            <w:t>Proc Natl Acad Sci U S A</w:t>
          </w:r>
          <w:r w:rsidRPr="009D0F7A">
            <w:rPr>
              <w:noProof/>
            </w:rPr>
            <w:t>,</w:t>
          </w:r>
          <w:r w:rsidRPr="009D0F7A">
            <w:rPr>
              <w:i/>
              <w:noProof/>
            </w:rPr>
            <w:t xml:space="preserve"> 100</w:t>
          </w:r>
          <w:r w:rsidRPr="009D0F7A">
            <w:rPr>
              <w:noProof/>
            </w:rPr>
            <w:t xml:space="preserve">(7), 3983-3988. </w:t>
          </w:r>
          <w:hyperlink r:id="rId46" w:history="1">
            <w:r w:rsidRPr="009D0F7A">
              <w:rPr>
                <w:rStyle w:val="Hyperlink"/>
                <w:rFonts w:cs="Calibri"/>
                <w:noProof/>
              </w:rPr>
              <w:t>https://doi.org/10.1073/pnas.0530291100</w:t>
            </w:r>
          </w:hyperlink>
          <w:r w:rsidRPr="009D0F7A">
            <w:rPr>
              <w:noProof/>
            </w:rPr>
            <w:t xml:space="preserve"> </w:t>
          </w:r>
          <w:bookmarkEnd w:id="105"/>
        </w:p>
        <w:p w14:paraId="62383AD5" w14:textId="09FBBB4A" w:rsidR="009D0F7A" w:rsidRPr="009D0F7A" w:rsidRDefault="009D0F7A" w:rsidP="009D0F7A">
          <w:pPr>
            <w:pStyle w:val="EndNoteBibliography"/>
            <w:spacing w:after="0"/>
            <w:ind w:left="720" w:hanging="720"/>
            <w:rPr>
              <w:noProof/>
            </w:rPr>
          </w:pPr>
          <w:bookmarkStart w:id="106" w:name="_ENREF_3"/>
          <w:r w:rsidRPr="009D0F7A">
            <w:rPr>
              <w:noProof/>
            </w:rPr>
            <w:t xml:space="preserve">Amin, M. B., Edge, S. B., Greene, F. L., Byrd, D. R., Brookland, R. K., Washington, M. K., Gershenwald, J. E., Compton, C. C., Hess, K. R., &amp; Sullivan, D. C. (2018). </w:t>
          </w:r>
          <w:r w:rsidRPr="009D0F7A">
            <w:rPr>
              <w:i/>
              <w:noProof/>
            </w:rPr>
            <w:t>AJCC Cancer Staging Manual</w:t>
          </w:r>
          <w:r w:rsidRPr="009D0F7A">
            <w:rPr>
              <w:noProof/>
            </w:rPr>
            <w:t xml:space="preserve">. Springer International Publishing. </w:t>
          </w:r>
          <w:hyperlink r:id="rId47" w:history="1">
            <w:r w:rsidRPr="009D0F7A">
              <w:rPr>
                <w:rStyle w:val="Hyperlink"/>
                <w:rFonts w:cs="Calibri"/>
                <w:noProof/>
              </w:rPr>
              <w:t>https://books.google.de/books?id=O2PyjwEACAAJ</w:t>
            </w:r>
          </w:hyperlink>
          <w:r w:rsidRPr="009D0F7A">
            <w:rPr>
              <w:noProof/>
            </w:rPr>
            <w:t xml:space="preserve"> </w:t>
          </w:r>
          <w:bookmarkEnd w:id="106"/>
        </w:p>
        <w:p w14:paraId="19B3279F" w14:textId="2D4958DC" w:rsidR="009D0F7A" w:rsidRPr="009D0F7A" w:rsidRDefault="009D0F7A" w:rsidP="009D0F7A">
          <w:pPr>
            <w:pStyle w:val="EndNoteBibliography"/>
            <w:spacing w:after="0"/>
            <w:ind w:left="720" w:hanging="720"/>
            <w:rPr>
              <w:noProof/>
            </w:rPr>
          </w:pPr>
          <w:bookmarkStart w:id="107" w:name="_ENREF_4"/>
          <w:r w:rsidRPr="000531B2">
            <w:rPr>
              <w:noProof/>
              <w:lang w:val="de-DE"/>
            </w:rPr>
            <w:t xml:space="preserve">Andl, T., Kahn, T., Pfuhl, A., Nicola, T., Erber, R., Conradt, C., Klein, W., Helbig, M., Dietz, A., Weidauer, H., &amp; Bosch, F. X. (1998). </w:t>
          </w:r>
          <w:r w:rsidRPr="009D0F7A">
            <w:rPr>
              <w:noProof/>
            </w:rPr>
            <w:t xml:space="preserve">Etiological involvement of oncogenic human papillomavirus in tonsillar squamous cell carcinomas lacking retinoblastoma cell cycle control. </w:t>
          </w:r>
          <w:r w:rsidRPr="009D0F7A">
            <w:rPr>
              <w:i/>
              <w:noProof/>
            </w:rPr>
            <w:t>Cancer Res</w:t>
          </w:r>
          <w:r w:rsidRPr="009D0F7A">
            <w:rPr>
              <w:noProof/>
            </w:rPr>
            <w:t>,</w:t>
          </w:r>
          <w:r w:rsidRPr="009D0F7A">
            <w:rPr>
              <w:i/>
              <w:noProof/>
            </w:rPr>
            <w:t xml:space="preserve"> 58</w:t>
          </w:r>
          <w:r w:rsidRPr="009D0F7A">
            <w:rPr>
              <w:noProof/>
            </w:rPr>
            <w:t xml:space="preserve">(1), 5-13. </w:t>
          </w:r>
          <w:hyperlink r:id="rId48" w:history="1">
            <w:r w:rsidRPr="009D0F7A">
              <w:rPr>
                <w:rStyle w:val="Hyperlink"/>
                <w:rFonts w:cs="Calibri"/>
                <w:noProof/>
              </w:rPr>
              <w:t>https://www.ncbi.nlm.nih.gov/pubmed/9426048</w:t>
            </w:r>
          </w:hyperlink>
          <w:r w:rsidRPr="009D0F7A">
            <w:rPr>
              <w:noProof/>
            </w:rPr>
            <w:t xml:space="preserve"> </w:t>
          </w:r>
          <w:bookmarkEnd w:id="107"/>
        </w:p>
        <w:p w14:paraId="4A27F2B9" w14:textId="24BABB92" w:rsidR="009D0F7A" w:rsidRPr="009D0F7A" w:rsidRDefault="009D0F7A" w:rsidP="009D0F7A">
          <w:pPr>
            <w:pStyle w:val="EndNoteBibliography"/>
            <w:spacing w:after="0"/>
            <w:ind w:left="720" w:hanging="720"/>
            <w:rPr>
              <w:noProof/>
            </w:rPr>
          </w:pPr>
          <w:bookmarkStart w:id="108" w:name="_ENREF_5"/>
          <w:r w:rsidRPr="009D0F7A">
            <w:rPr>
              <w:noProof/>
            </w:rPr>
            <w:t xml:space="preserve">Ang, K. K., Harris, J., Wheeler, R., Weber, R., Rosenthal, D. I., Nguyen-Tan, P. F., Westra, W. H., Chung, C. H., Jordan, R. C., Lu, C., Kim, H., Axelrod, R., Silverman, C. C., Redmond, K. P., &amp; Gillison, M. L. (2010). Human papillomavirus and survival of patients with oropharyngeal cancer. </w:t>
          </w:r>
          <w:r w:rsidRPr="009D0F7A">
            <w:rPr>
              <w:i/>
              <w:noProof/>
            </w:rPr>
            <w:t>N Engl J Med</w:t>
          </w:r>
          <w:r w:rsidRPr="009D0F7A">
            <w:rPr>
              <w:noProof/>
            </w:rPr>
            <w:t>,</w:t>
          </w:r>
          <w:r w:rsidRPr="009D0F7A">
            <w:rPr>
              <w:i/>
              <w:noProof/>
            </w:rPr>
            <w:t xml:space="preserve"> 363</w:t>
          </w:r>
          <w:r w:rsidRPr="009D0F7A">
            <w:rPr>
              <w:noProof/>
            </w:rPr>
            <w:t xml:space="preserve">(1), 24-35. </w:t>
          </w:r>
          <w:hyperlink r:id="rId49" w:history="1">
            <w:r w:rsidRPr="009D0F7A">
              <w:rPr>
                <w:rStyle w:val="Hyperlink"/>
                <w:rFonts w:cs="Calibri"/>
                <w:noProof/>
              </w:rPr>
              <w:t>https://doi.org/10.1056/NEJMoa0912217</w:t>
            </w:r>
          </w:hyperlink>
          <w:r w:rsidRPr="009D0F7A">
            <w:rPr>
              <w:noProof/>
            </w:rPr>
            <w:t xml:space="preserve"> </w:t>
          </w:r>
          <w:bookmarkEnd w:id="108"/>
        </w:p>
        <w:p w14:paraId="01FCDAD3" w14:textId="518AA2A8" w:rsidR="009D0F7A" w:rsidRPr="009D0F7A" w:rsidRDefault="009D0F7A" w:rsidP="009D0F7A">
          <w:pPr>
            <w:pStyle w:val="EndNoteBibliography"/>
            <w:spacing w:after="0"/>
            <w:ind w:left="720" w:hanging="720"/>
            <w:rPr>
              <w:noProof/>
            </w:rPr>
          </w:pPr>
          <w:bookmarkStart w:id="109" w:name="_ENREF_6"/>
          <w:r w:rsidRPr="009D0F7A">
            <w:rPr>
              <w:noProof/>
            </w:rPr>
            <w:t xml:space="preserve">Argiris, A., Karamouzis, M. V., Raben, D., &amp; Ferris, R. L. (2008). Head and neck cancer. </w:t>
          </w:r>
          <w:r w:rsidRPr="009D0F7A">
            <w:rPr>
              <w:i/>
              <w:noProof/>
            </w:rPr>
            <w:t>Lancet</w:t>
          </w:r>
          <w:r w:rsidRPr="009D0F7A">
            <w:rPr>
              <w:noProof/>
            </w:rPr>
            <w:t>,</w:t>
          </w:r>
          <w:r w:rsidRPr="009D0F7A">
            <w:rPr>
              <w:i/>
              <w:noProof/>
            </w:rPr>
            <w:t xml:space="preserve"> 371</w:t>
          </w:r>
          <w:r w:rsidRPr="009D0F7A">
            <w:rPr>
              <w:noProof/>
            </w:rPr>
            <w:t xml:space="preserve">(9625), 1695-1709. </w:t>
          </w:r>
          <w:hyperlink r:id="rId50" w:history="1">
            <w:r w:rsidRPr="009D0F7A">
              <w:rPr>
                <w:rStyle w:val="Hyperlink"/>
                <w:rFonts w:cs="Calibri"/>
                <w:noProof/>
              </w:rPr>
              <w:t>https://doi.org/10.1016/S0140-6736(08)60728-X</w:t>
            </w:r>
          </w:hyperlink>
          <w:r w:rsidRPr="009D0F7A">
            <w:rPr>
              <w:noProof/>
            </w:rPr>
            <w:t xml:space="preserve"> </w:t>
          </w:r>
          <w:bookmarkEnd w:id="109"/>
        </w:p>
        <w:p w14:paraId="0FDE8368" w14:textId="5C8EC313" w:rsidR="009D0F7A" w:rsidRPr="000531B2" w:rsidRDefault="009D0F7A" w:rsidP="009D0F7A">
          <w:pPr>
            <w:pStyle w:val="EndNoteBibliography"/>
            <w:spacing w:after="0"/>
            <w:ind w:left="720" w:hanging="720"/>
            <w:rPr>
              <w:noProof/>
              <w:lang w:val="de-DE"/>
            </w:rPr>
          </w:pPr>
          <w:bookmarkStart w:id="110" w:name="_ENREF_7"/>
          <w:r w:rsidRPr="009D0F7A">
            <w:rPr>
              <w:noProof/>
            </w:rPr>
            <w:lastRenderedPageBreak/>
            <w:t xml:space="preserve">Barnes, L., Pathologie, U.-S. Z. D., Eveson, J. W., Pathology, I. A. o., Sidransky, D., Organization, W. H., Cancer, I. A. f. R. o., &amp; Reichart, P. (2005). </w:t>
          </w:r>
          <w:r w:rsidRPr="009D0F7A">
            <w:rPr>
              <w:i/>
              <w:noProof/>
            </w:rPr>
            <w:t>Pathology and Genetics of Head and Neck Tumours</w:t>
          </w:r>
          <w:r w:rsidRPr="009D0F7A">
            <w:rPr>
              <w:noProof/>
            </w:rPr>
            <w:t xml:space="preserve">. IARC Press. </w:t>
          </w:r>
          <w:hyperlink r:id="rId51" w:history="1">
            <w:r w:rsidRPr="000531B2">
              <w:rPr>
                <w:rStyle w:val="Hyperlink"/>
                <w:rFonts w:cs="Calibri"/>
                <w:noProof/>
                <w:lang w:val="de-DE"/>
              </w:rPr>
              <w:t>https://books.google.de/books?id=mrm8hxiJ4XIC</w:t>
            </w:r>
          </w:hyperlink>
          <w:r w:rsidRPr="000531B2">
            <w:rPr>
              <w:noProof/>
              <w:lang w:val="de-DE"/>
            </w:rPr>
            <w:t xml:space="preserve"> </w:t>
          </w:r>
          <w:bookmarkEnd w:id="110"/>
        </w:p>
        <w:p w14:paraId="20B6149E" w14:textId="5778E01A" w:rsidR="009D0F7A" w:rsidRPr="009D0F7A" w:rsidRDefault="009D0F7A" w:rsidP="009D0F7A">
          <w:pPr>
            <w:pStyle w:val="EndNoteBibliography"/>
            <w:spacing w:after="0"/>
            <w:ind w:left="720" w:hanging="720"/>
            <w:rPr>
              <w:noProof/>
            </w:rPr>
          </w:pPr>
          <w:bookmarkStart w:id="111" w:name="_ENREF_8"/>
          <w:r w:rsidRPr="000531B2">
            <w:rPr>
              <w:noProof/>
              <w:lang w:val="de-DE"/>
            </w:rPr>
            <w:t xml:space="preserve">Baumann, M., &amp; Krause, M. (2010). </w:t>
          </w:r>
          <w:r w:rsidRPr="009D0F7A">
            <w:rPr>
              <w:noProof/>
            </w:rPr>
            <w:t xml:space="preserve">CD44: a cancer stem cell-related biomarker with predictive potential for radiotherapy. </w:t>
          </w:r>
          <w:r w:rsidRPr="009D0F7A">
            <w:rPr>
              <w:i/>
              <w:noProof/>
            </w:rPr>
            <w:t>Clin Cancer Res</w:t>
          </w:r>
          <w:r w:rsidRPr="009D0F7A">
            <w:rPr>
              <w:noProof/>
            </w:rPr>
            <w:t>,</w:t>
          </w:r>
          <w:r w:rsidRPr="009D0F7A">
            <w:rPr>
              <w:i/>
              <w:noProof/>
            </w:rPr>
            <w:t xml:space="preserve"> 16</w:t>
          </w:r>
          <w:r w:rsidRPr="009D0F7A">
            <w:rPr>
              <w:noProof/>
            </w:rPr>
            <w:t xml:space="preserve">(21), 5091-5093. </w:t>
          </w:r>
          <w:hyperlink r:id="rId52" w:history="1">
            <w:r w:rsidRPr="009D0F7A">
              <w:rPr>
                <w:rStyle w:val="Hyperlink"/>
                <w:rFonts w:cs="Calibri"/>
                <w:noProof/>
              </w:rPr>
              <w:t>https://doi.org/10.1158/1078-0432.CCR-10-2244</w:t>
            </w:r>
          </w:hyperlink>
          <w:r w:rsidRPr="009D0F7A">
            <w:rPr>
              <w:noProof/>
            </w:rPr>
            <w:t xml:space="preserve"> </w:t>
          </w:r>
          <w:bookmarkEnd w:id="111"/>
        </w:p>
        <w:p w14:paraId="7291215B" w14:textId="7A6FA6ED" w:rsidR="009D0F7A" w:rsidRPr="009D0F7A" w:rsidRDefault="009D0F7A" w:rsidP="009D0F7A">
          <w:pPr>
            <w:pStyle w:val="EndNoteBibliography"/>
            <w:spacing w:after="0"/>
            <w:ind w:left="720" w:hanging="720"/>
            <w:rPr>
              <w:noProof/>
            </w:rPr>
          </w:pPr>
          <w:bookmarkStart w:id="112" w:name="_ENREF_9"/>
          <w:r w:rsidRPr="009D0F7A">
            <w:rPr>
              <w:noProof/>
            </w:rPr>
            <w:t xml:space="preserve">Bernier, J., Cooper, J. S., Pajak, T. F., van Glabbeke, M., Bourhis, J., Forastiere, A., Ozsahin, E. M., Jacobs, J. R., Jassem, J., Ang, K. K., &amp; Lefebvre, J. L. (2005). Defining risk levels in locally advanced head and neck cancers: a comparative analysis of concurrent postoperative radiation plus chemotherapy trials of the EORTC (#22931) and RTOG (# 9501). </w:t>
          </w:r>
          <w:r w:rsidRPr="009D0F7A">
            <w:rPr>
              <w:i/>
              <w:noProof/>
            </w:rPr>
            <w:t>Head Neck</w:t>
          </w:r>
          <w:r w:rsidRPr="009D0F7A">
            <w:rPr>
              <w:noProof/>
            </w:rPr>
            <w:t>,</w:t>
          </w:r>
          <w:r w:rsidRPr="009D0F7A">
            <w:rPr>
              <w:i/>
              <w:noProof/>
            </w:rPr>
            <w:t xml:space="preserve"> 27</w:t>
          </w:r>
          <w:r w:rsidRPr="009D0F7A">
            <w:rPr>
              <w:noProof/>
            </w:rPr>
            <w:t xml:space="preserve">(10), 843-850. </w:t>
          </w:r>
          <w:hyperlink r:id="rId53" w:history="1">
            <w:r w:rsidRPr="009D0F7A">
              <w:rPr>
                <w:rStyle w:val="Hyperlink"/>
                <w:rFonts w:cs="Calibri"/>
                <w:noProof/>
              </w:rPr>
              <w:t>https://doi.org/10.1002/hed.20279</w:t>
            </w:r>
          </w:hyperlink>
          <w:r w:rsidRPr="009D0F7A">
            <w:rPr>
              <w:noProof/>
            </w:rPr>
            <w:t xml:space="preserve"> </w:t>
          </w:r>
          <w:bookmarkEnd w:id="112"/>
        </w:p>
        <w:p w14:paraId="2C7B5FF8" w14:textId="17AD2F8D" w:rsidR="009D0F7A" w:rsidRPr="000531B2" w:rsidRDefault="009D0F7A" w:rsidP="009D0F7A">
          <w:pPr>
            <w:pStyle w:val="EndNoteBibliography"/>
            <w:spacing w:after="0"/>
            <w:ind w:left="720" w:hanging="720"/>
            <w:rPr>
              <w:noProof/>
              <w:lang w:val="de-DE"/>
            </w:rPr>
          </w:pPr>
          <w:bookmarkStart w:id="113" w:name="_ENREF_10"/>
          <w:r w:rsidRPr="009D0F7A">
            <w:rPr>
              <w:noProof/>
            </w:rPr>
            <w:t xml:space="preserve">Biomarkers Definitions Working, G. (2001). Biomarkers and surrogate endpoints: preferred definitions and conceptual framework. </w:t>
          </w:r>
          <w:r w:rsidRPr="000531B2">
            <w:rPr>
              <w:i/>
              <w:noProof/>
              <w:lang w:val="de-DE"/>
            </w:rPr>
            <w:t>Clin Pharmacol Ther</w:t>
          </w:r>
          <w:r w:rsidRPr="000531B2">
            <w:rPr>
              <w:noProof/>
              <w:lang w:val="de-DE"/>
            </w:rPr>
            <w:t>,</w:t>
          </w:r>
          <w:r w:rsidRPr="000531B2">
            <w:rPr>
              <w:i/>
              <w:noProof/>
              <w:lang w:val="de-DE"/>
            </w:rPr>
            <w:t xml:space="preserve"> 69</w:t>
          </w:r>
          <w:r w:rsidRPr="000531B2">
            <w:rPr>
              <w:noProof/>
              <w:lang w:val="de-DE"/>
            </w:rPr>
            <w:t xml:space="preserve">(3), 89-95. </w:t>
          </w:r>
          <w:hyperlink r:id="rId54" w:history="1">
            <w:r w:rsidRPr="000531B2">
              <w:rPr>
                <w:rStyle w:val="Hyperlink"/>
                <w:rFonts w:cs="Calibri"/>
                <w:noProof/>
                <w:lang w:val="de-DE"/>
              </w:rPr>
              <w:t>https://doi.org/10.1067/mcp.2001.113989</w:t>
            </w:r>
          </w:hyperlink>
          <w:r w:rsidRPr="000531B2">
            <w:rPr>
              <w:noProof/>
              <w:lang w:val="de-DE"/>
            </w:rPr>
            <w:t xml:space="preserve"> </w:t>
          </w:r>
          <w:bookmarkEnd w:id="113"/>
        </w:p>
        <w:p w14:paraId="48D1B2E6" w14:textId="01821997" w:rsidR="009D0F7A" w:rsidRPr="000531B2" w:rsidRDefault="009D0F7A" w:rsidP="009D0F7A">
          <w:pPr>
            <w:pStyle w:val="EndNoteBibliography"/>
            <w:spacing w:after="0"/>
            <w:ind w:left="720" w:hanging="720"/>
            <w:rPr>
              <w:noProof/>
              <w:lang w:val="de-DE"/>
            </w:rPr>
          </w:pPr>
          <w:bookmarkStart w:id="114" w:name="_ENREF_11"/>
          <w:r w:rsidRPr="000531B2">
            <w:rPr>
              <w:noProof/>
              <w:lang w:val="de-DE"/>
            </w:rPr>
            <w:t xml:space="preserve">Böcker, W. (2008). </w:t>
          </w:r>
          <w:r w:rsidRPr="000531B2">
            <w:rPr>
              <w:i/>
              <w:noProof/>
              <w:lang w:val="de-DE"/>
            </w:rPr>
            <w:t>Pathologie: mit über 200 Tabellen</w:t>
          </w:r>
          <w:r w:rsidRPr="000531B2">
            <w:rPr>
              <w:noProof/>
              <w:lang w:val="de-DE"/>
            </w:rPr>
            <w:t xml:space="preserve">. Elsevier, Urban &amp; Fischer. </w:t>
          </w:r>
          <w:hyperlink r:id="rId55" w:history="1">
            <w:r w:rsidRPr="000531B2">
              <w:rPr>
                <w:rStyle w:val="Hyperlink"/>
                <w:rFonts w:cs="Calibri"/>
                <w:noProof/>
                <w:lang w:val="de-DE"/>
              </w:rPr>
              <w:t>https://books.google.de/books?id=_aKIKlvq3KoC</w:t>
            </w:r>
          </w:hyperlink>
          <w:r w:rsidRPr="000531B2">
            <w:rPr>
              <w:noProof/>
              <w:lang w:val="de-DE"/>
            </w:rPr>
            <w:t xml:space="preserve"> </w:t>
          </w:r>
          <w:bookmarkEnd w:id="114"/>
        </w:p>
        <w:p w14:paraId="47F9D8AA" w14:textId="15D12CC6" w:rsidR="009D0F7A" w:rsidRPr="009D0F7A" w:rsidRDefault="009D0F7A" w:rsidP="009D0F7A">
          <w:pPr>
            <w:pStyle w:val="EndNoteBibliography"/>
            <w:spacing w:after="0"/>
            <w:ind w:left="720" w:hanging="720"/>
            <w:rPr>
              <w:noProof/>
            </w:rPr>
          </w:pPr>
          <w:bookmarkStart w:id="115" w:name="_ENREF_12"/>
          <w:r w:rsidRPr="000531B2">
            <w:rPr>
              <w:noProof/>
              <w:lang w:val="de-DE"/>
            </w:rPr>
            <w:t xml:space="preserve">Bonnet, D., &amp; Dick, J. E. (1997). </w:t>
          </w:r>
          <w:r w:rsidRPr="009D0F7A">
            <w:rPr>
              <w:noProof/>
            </w:rPr>
            <w:t xml:space="preserve">Human acute myeloid leukemia is organized as a hierarchy that originates from a primitive hematopoietic cell. </w:t>
          </w:r>
          <w:r w:rsidRPr="009D0F7A">
            <w:rPr>
              <w:i/>
              <w:noProof/>
            </w:rPr>
            <w:t>Nat Med</w:t>
          </w:r>
          <w:r w:rsidRPr="009D0F7A">
            <w:rPr>
              <w:noProof/>
            </w:rPr>
            <w:t>,</w:t>
          </w:r>
          <w:r w:rsidRPr="009D0F7A">
            <w:rPr>
              <w:i/>
              <w:noProof/>
            </w:rPr>
            <w:t xml:space="preserve"> 3</w:t>
          </w:r>
          <w:r w:rsidRPr="009D0F7A">
            <w:rPr>
              <w:noProof/>
            </w:rPr>
            <w:t xml:space="preserve">(7), 730-737. </w:t>
          </w:r>
          <w:hyperlink r:id="rId56" w:history="1">
            <w:r w:rsidRPr="009D0F7A">
              <w:rPr>
                <w:rStyle w:val="Hyperlink"/>
                <w:rFonts w:cs="Calibri"/>
                <w:noProof/>
              </w:rPr>
              <w:t>https://doi.org/10.1038/nm0797-730</w:t>
            </w:r>
          </w:hyperlink>
          <w:r w:rsidRPr="009D0F7A">
            <w:rPr>
              <w:noProof/>
            </w:rPr>
            <w:t xml:space="preserve"> </w:t>
          </w:r>
          <w:bookmarkEnd w:id="115"/>
        </w:p>
        <w:p w14:paraId="5D365277" w14:textId="27AB66F0" w:rsidR="009D0F7A" w:rsidRPr="000531B2" w:rsidRDefault="009D0F7A" w:rsidP="009D0F7A">
          <w:pPr>
            <w:pStyle w:val="EndNoteBibliography"/>
            <w:spacing w:after="0"/>
            <w:ind w:left="720" w:hanging="720"/>
            <w:rPr>
              <w:noProof/>
              <w:lang w:val="de-DE"/>
            </w:rPr>
          </w:pPr>
          <w:bookmarkStart w:id="116" w:name="_ENREF_13"/>
          <w:r w:rsidRPr="009D0F7A">
            <w:rPr>
              <w:noProof/>
            </w:rPr>
            <w:t xml:space="preserve">Bootz, F. (2020). [Guideline on diagnosis, treatment, and follow-up of laryngeal cancer]. </w:t>
          </w:r>
          <w:r w:rsidRPr="000531B2">
            <w:rPr>
              <w:i/>
              <w:noProof/>
              <w:lang w:val="de-DE"/>
            </w:rPr>
            <w:t>Radiologe</w:t>
          </w:r>
          <w:r w:rsidRPr="000531B2">
            <w:rPr>
              <w:noProof/>
              <w:lang w:val="de-DE"/>
            </w:rPr>
            <w:t>,</w:t>
          </w:r>
          <w:r w:rsidRPr="000531B2">
            <w:rPr>
              <w:i/>
              <w:noProof/>
              <w:lang w:val="de-DE"/>
            </w:rPr>
            <w:t xml:space="preserve"> 60</w:t>
          </w:r>
          <w:r w:rsidRPr="000531B2">
            <w:rPr>
              <w:noProof/>
              <w:lang w:val="de-DE"/>
            </w:rPr>
            <w:t xml:space="preserve">(11), 1052-1057. </w:t>
          </w:r>
          <w:hyperlink r:id="rId57" w:history="1">
            <w:r w:rsidRPr="000531B2">
              <w:rPr>
                <w:rStyle w:val="Hyperlink"/>
                <w:rFonts w:cs="Calibri"/>
                <w:noProof/>
                <w:lang w:val="de-DE"/>
              </w:rPr>
              <w:t>https://doi.org/10.1007/s00117-020-00760-9</w:t>
            </w:r>
          </w:hyperlink>
          <w:r w:rsidRPr="000531B2">
            <w:rPr>
              <w:noProof/>
              <w:lang w:val="de-DE"/>
            </w:rPr>
            <w:t xml:space="preserve"> (S3-Leitlinie Diagnostik, Therapie und Nachsorge des Larynxkarzinoms.) </w:t>
          </w:r>
          <w:bookmarkEnd w:id="116"/>
        </w:p>
        <w:p w14:paraId="5F62043B" w14:textId="7F80DCF6" w:rsidR="009D0F7A" w:rsidRPr="009D0F7A" w:rsidRDefault="009D0F7A" w:rsidP="009D0F7A">
          <w:pPr>
            <w:pStyle w:val="EndNoteBibliography"/>
            <w:spacing w:after="0"/>
            <w:ind w:left="720" w:hanging="720"/>
            <w:rPr>
              <w:noProof/>
            </w:rPr>
          </w:pPr>
          <w:bookmarkStart w:id="117" w:name="_ENREF_14"/>
          <w:r w:rsidRPr="009D0F7A">
            <w:rPr>
              <w:noProof/>
            </w:rPr>
            <w:t xml:space="preserve">Bouvard, V., Baan, R., Straif, K., Grosse, Y., Secretan, B., El Ghissassi, F., Benbrahim-Tallaa, L., Guha, N., Freeman, C., Galichet, L., Cogliano, V., &amp; Group, W. H. O. I. A. f. R. o. C. M. W. (2009). A review of human carcinogens--Part B: biological agents. </w:t>
          </w:r>
          <w:r w:rsidRPr="009D0F7A">
            <w:rPr>
              <w:i/>
              <w:noProof/>
            </w:rPr>
            <w:t>Lancet Oncol</w:t>
          </w:r>
          <w:r w:rsidRPr="009D0F7A">
            <w:rPr>
              <w:noProof/>
            </w:rPr>
            <w:t>,</w:t>
          </w:r>
          <w:r w:rsidRPr="009D0F7A">
            <w:rPr>
              <w:i/>
              <w:noProof/>
            </w:rPr>
            <w:t xml:space="preserve"> 10</w:t>
          </w:r>
          <w:r w:rsidRPr="009D0F7A">
            <w:rPr>
              <w:noProof/>
            </w:rPr>
            <w:t xml:space="preserve">(4), 321-322. </w:t>
          </w:r>
          <w:hyperlink r:id="rId58" w:history="1">
            <w:r w:rsidRPr="009D0F7A">
              <w:rPr>
                <w:rStyle w:val="Hyperlink"/>
                <w:rFonts w:cs="Calibri"/>
                <w:noProof/>
              </w:rPr>
              <w:t>https://doi.org/10.1016/s1470-2045(09)70096-8</w:t>
            </w:r>
          </w:hyperlink>
          <w:r w:rsidRPr="009D0F7A">
            <w:rPr>
              <w:noProof/>
            </w:rPr>
            <w:t xml:space="preserve"> </w:t>
          </w:r>
          <w:bookmarkEnd w:id="117"/>
        </w:p>
        <w:p w14:paraId="0CB05EAC" w14:textId="43735122" w:rsidR="009D0F7A" w:rsidRPr="009D0F7A" w:rsidRDefault="009D0F7A" w:rsidP="009D0F7A">
          <w:pPr>
            <w:pStyle w:val="EndNoteBibliography"/>
            <w:spacing w:after="0"/>
            <w:ind w:left="720" w:hanging="720"/>
            <w:rPr>
              <w:noProof/>
            </w:rPr>
          </w:pPr>
          <w:bookmarkStart w:id="118" w:name="_ENREF_15"/>
          <w:r w:rsidRPr="009D0F7A">
            <w:rPr>
              <w:noProof/>
            </w:rPr>
            <w:t xml:space="preserve">Cabrera Rodriguez, J., Cacicedo, J., Giralt, J., Garcia Miragall, E., Lloret, M., Arias, F., Gonzalez Ruiz, M. A., &amp; Contreras, J. (2018). GEORCC recommendations on target volumes in radiotherapy for Head Neck Cancer of Unkown Primary. </w:t>
          </w:r>
          <w:r w:rsidRPr="009D0F7A">
            <w:rPr>
              <w:i/>
              <w:noProof/>
            </w:rPr>
            <w:t>Crit Rev Oncol Hematol</w:t>
          </w:r>
          <w:r w:rsidRPr="009D0F7A">
            <w:rPr>
              <w:noProof/>
            </w:rPr>
            <w:t>,</w:t>
          </w:r>
          <w:r w:rsidRPr="009D0F7A">
            <w:rPr>
              <w:i/>
              <w:noProof/>
            </w:rPr>
            <w:t xml:space="preserve"> 130</w:t>
          </w:r>
          <w:r w:rsidRPr="009D0F7A">
            <w:rPr>
              <w:noProof/>
            </w:rPr>
            <w:t xml:space="preserve">, 51-59. </w:t>
          </w:r>
          <w:hyperlink r:id="rId59" w:history="1">
            <w:r w:rsidRPr="009D0F7A">
              <w:rPr>
                <w:rStyle w:val="Hyperlink"/>
                <w:rFonts w:cs="Calibri"/>
                <w:noProof/>
              </w:rPr>
              <w:t>https://doi.org/10.1016/j.critrevonc.2018.07.006</w:t>
            </w:r>
          </w:hyperlink>
          <w:r w:rsidRPr="009D0F7A">
            <w:rPr>
              <w:noProof/>
            </w:rPr>
            <w:t xml:space="preserve"> </w:t>
          </w:r>
          <w:bookmarkEnd w:id="118"/>
        </w:p>
        <w:p w14:paraId="15B38686" w14:textId="23273D9A" w:rsidR="009D0F7A" w:rsidRPr="000531B2" w:rsidRDefault="009D0F7A" w:rsidP="009D0F7A">
          <w:pPr>
            <w:pStyle w:val="EndNoteBibliography"/>
            <w:spacing w:after="0"/>
            <w:ind w:left="720" w:hanging="720"/>
            <w:rPr>
              <w:noProof/>
              <w:lang w:val="de-DE"/>
            </w:rPr>
          </w:pPr>
          <w:bookmarkStart w:id="119" w:name="_ENREF_16"/>
          <w:r w:rsidRPr="009D0F7A">
            <w:rPr>
              <w:noProof/>
            </w:rPr>
            <w:t xml:space="preserve">Cardesa, A., Remmele, W., Klöppel, G., Mentzel, T., Kreipe, H. H., Rudolph, P., &amp; Slootweg, P. (2008). </w:t>
          </w:r>
          <w:r w:rsidRPr="000531B2">
            <w:rPr>
              <w:i/>
              <w:noProof/>
              <w:lang w:val="de-DE"/>
            </w:rPr>
            <w:t>Pathologie: Kopf-Hals-Region, Weichgewebstumoren, Haut</w:t>
          </w:r>
          <w:r w:rsidRPr="000531B2">
            <w:rPr>
              <w:noProof/>
              <w:lang w:val="de-DE"/>
            </w:rPr>
            <w:t xml:space="preserve">. Springer Berlin Heidelberg. </w:t>
          </w:r>
          <w:hyperlink r:id="rId60" w:history="1">
            <w:r w:rsidRPr="000531B2">
              <w:rPr>
                <w:rStyle w:val="Hyperlink"/>
                <w:rFonts w:cs="Calibri"/>
                <w:noProof/>
                <w:lang w:val="de-DE"/>
              </w:rPr>
              <w:t>https://books.google.de/books?id=IBJSDIxrSUUC</w:t>
            </w:r>
          </w:hyperlink>
          <w:r w:rsidRPr="000531B2">
            <w:rPr>
              <w:noProof/>
              <w:lang w:val="de-DE"/>
            </w:rPr>
            <w:t xml:space="preserve"> </w:t>
          </w:r>
          <w:bookmarkEnd w:id="119"/>
        </w:p>
        <w:p w14:paraId="5DD6C0A1" w14:textId="5F2466E0" w:rsidR="009D0F7A" w:rsidRPr="009D0F7A" w:rsidRDefault="009D0F7A" w:rsidP="009D0F7A">
          <w:pPr>
            <w:pStyle w:val="EndNoteBibliography"/>
            <w:spacing w:after="0"/>
            <w:ind w:left="720" w:hanging="720"/>
            <w:rPr>
              <w:noProof/>
            </w:rPr>
          </w:pPr>
          <w:bookmarkStart w:id="120" w:name="_ENREF_17"/>
          <w:r w:rsidRPr="009D0F7A">
            <w:rPr>
              <w:noProof/>
            </w:rPr>
            <w:t xml:space="preserve">Carvalho, A. L., Nishimoto, I. N., Califano, J. A., &amp; Kowalski, L. P. (2005). Trends in incidence and prognosis for head and neck cancer in the United States: a site-specific analysis of the SEER database. </w:t>
          </w:r>
          <w:r w:rsidRPr="009D0F7A">
            <w:rPr>
              <w:i/>
              <w:noProof/>
            </w:rPr>
            <w:t>Int J Cancer</w:t>
          </w:r>
          <w:r w:rsidRPr="009D0F7A">
            <w:rPr>
              <w:noProof/>
            </w:rPr>
            <w:t>,</w:t>
          </w:r>
          <w:r w:rsidRPr="009D0F7A">
            <w:rPr>
              <w:i/>
              <w:noProof/>
            </w:rPr>
            <w:t xml:space="preserve"> 114</w:t>
          </w:r>
          <w:r w:rsidRPr="009D0F7A">
            <w:rPr>
              <w:noProof/>
            </w:rPr>
            <w:t xml:space="preserve">(5), 806-816. </w:t>
          </w:r>
          <w:hyperlink r:id="rId61" w:history="1">
            <w:r w:rsidRPr="009D0F7A">
              <w:rPr>
                <w:rStyle w:val="Hyperlink"/>
                <w:rFonts w:cs="Calibri"/>
                <w:noProof/>
              </w:rPr>
              <w:t>https://doi.org/10.1002/ijc.20740</w:t>
            </w:r>
          </w:hyperlink>
          <w:r w:rsidRPr="009D0F7A">
            <w:rPr>
              <w:noProof/>
            </w:rPr>
            <w:t xml:space="preserve"> </w:t>
          </w:r>
          <w:bookmarkEnd w:id="120"/>
        </w:p>
        <w:p w14:paraId="71A1706A" w14:textId="0C261F9D" w:rsidR="009D0F7A" w:rsidRPr="009D0F7A" w:rsidRDefault="009D0F7A" w:rsidP="009D0F7A">
          <w:pPr>
            <w:pStyle w:val="EndNoteBibliography"/>
            <w:spacing w:after="0"/>
            <w:ind w:left="720" w:hanging="720"/>
            <w:rPr>
              <w:noProof/>
            </w:rPr>
          </w:pPr>
          <w:bookmarkStart w:id="121" w:name="_ENREF_18"/>
          <w:r w:rsidRPr="009D0F7A">
            <w:rPr>
              <w:noProof/>
            </w:rPr>
            <w:t xml:space="preserve">Cawson, R. A., &amp; Odell, E. W. (2008). </w:t>
          </w:r>
          <w:r w:rsidRPr="009D0F7A">
            <w:rPr>
              <w:i/>
              <w:noProof/>
            </w:rPr>
            <w:t>Cawson's Essentials of Oral Pathology and Oral Medicine E-Book</w:t>
          </w:r>
          <w:r w:rsidRPr="009D0F7A">
            <w:rPr>
              <w:noProof/>
            </w:rPr>
            <w:t xml:space="preserve">. Elsevier Health Sciences. </w:t>
          </w:r>
          <w:hyperlink r:id="rId62" w:history="1">
            <w:r w:rsidRPr="009D0F7A">
              <w:rPr>
                <w:rStyle w:val="Hyperlink"/>
                <w:rFonts w:cs="Calibri"/>
                <w:noProof/>
              </w:rPr>
              <w:t>https://books.google.de/books?id=K035mlSXAAsC</w:t>
            </w:r>
          </w:hyperlink>
          <w:r w:rsidRPr="009D0F7A">
            <w:rPr>
              <w:noProof/>
            </w:rPr>
            <w:t xml:space="preserve"> </w:t>
          </w:r>
          <w:bookmarkEnd w:id="121"/>
        </w:p>
        <w:p w14:paraId="707BF575" w14:textId="268EC996" w:rsidR="009D0F7A" w:rsidRPr="009D0F7A" w:rsidRDefault="009D0F7A" w:rsidP="009D0F7A">
          <w:pPr>
            <w:pStyle w:val="EndNoteBibliography"/>
            <w:spacing w:after="0"/>
            <w:ind w:left="720" w:hanging="720"/>
            <w:rPr>
              <w:noProof/>
            </w:rPr>
          </w:pPr>
          <w:bookmarkStart w:id="122" w:name="_ENREF_19"/>
          <w:r w:rsidRPr="009D0F7A">
            <w:rPr>
              <w:noProof/>
            </w:rPr>
            <w:t xml:space="preserve">Cawson, R. A., &amp; Odell, E. W. (2017). </w:t>
          </w:r>
          <w:r w:rsidRPr="009D0F7A">
            <w:rPr>
              <w:i/>
              <w:noProof/>
            </w:rPr>
            <w:t>Cawson's Essentials of Oral Pathology and Oral Medicine</w:t>
          </w:r>
          <w:r w:rsidRPr="009D0F7A">
            <w:rPr>
              <w:noProof/>
            </w:rPr>
            <w:t xml:space="preserve">. Elsevier Health Sciences UK. </w:t>
          </w:r>
          <w:hyperlink r:id="rId63" w:history="1">
            <w:r w:rsidRPr="009D0F7A">
              <w:rPr>
                <w:rStyle w:val="Hyperlink"/>
                <w:rFonts w:cs="Calibri"/>
                <w:noProof/>
              </w:rPr>
              <w:t>https://books.google.de/books?id=pAdLzQEACAAJ</w:t>
            </w:r>
          </w:hyperlink>
          <w:r w:rsidRPr="009D0F7A">
            <w:rPr>
              <w:noProof/>
            </w:rPr>
            <w:t xml:space="preserve"> </w:t>
          </w:r>
          <w:bookmarkEnd w:id="122"/>
        </w:p>
        <w:p w14:paraId="260F2DD8" w14:textId="5775C246" w:rsidR="009D0F7A" w:rsidRPr="009D0F7A" w:rsidRDefault="009D0F7A" w:rsidP="009D0F7A">
          <w:pPr>
            <w:pStyle w:val="EndNoteBibliography"/>
            <w:spacing w:after="0"/>
            <w:ind w:left="720" w:hanging="720"/>
            <w:rPr>
              <w:noProof/>
            </w:rPr>
          </w:pPr>
          <w:bookmarkStart w:id="123" w:name="_ENREF_20"/>
          <w:r w:rsidRPr="009D0F7A">
            <w:rPr>
              <w:noProof/>
            </w:rPr>
            <w:t xml:space="preserve">Chen, Y. W., Chen, K. H., Huang, P. I., Chen, Y. C., Chiou, G. Y., Lo, W. L., Tseng, L. M., Hsu, H. S., Chang, K. W., &amp; Chiou, S. H. (2010). Cucurbitacin I suppressed stem-like property and enhanced radiation-induced apoptosis in head and neck squamous carcinoma--derived CD44(+)ALDH1(+) cells. </w:t>
          </w:r>
          <w:r w:rsidRPr="009D0F7A">
            <w:rPr>
              <w:i/>
              <w:noProof/>
            </w:rPr>
            <w:t>Mol Cancer Ther</w:t>
          </w:r>
          <w:r w:rsidRPr="009D0F7A">
            <w:rPr>
              <w:noProof/>
            </w:rPr>
            <w:t>,</w:t>
          </w:r>
          <w:r w:rsidRPr="009D0F7A">
            <w:rPr>
              <w:i/>
              <w:noProof/>
            </w:rPr>
            <w:t xml:space="preserve"> 9</w:t>
          </w:r>
          <w:r w:rsidRPr="009D0F7A">
            <w:rPr>
              <w:noProof/>
            </w:rPr>
            <w:t xml:space="preserve">(11), 2879-2892. </w:t>
          </w:r>
          <w:hyperlink r:id="rId64" w:history="1">
            <w:r w:rsidRPr="009D0F7A">
              <w:rPr>
                <w:rStyle w:val="Hyperlink"/>
                <w:rFonts w:cs="Calibri"/>
                <w:noProof/>
              </w:rPr>
              <w:t>https://doi.org/10.1158/1535-7163.MCT-10-0504</w:t>
            </w:r>
          </w:hyperlink>
          <w:r w:rsidRPr="009D0F7A">
            <w:rPr>
              <w:noProof/>
            </w:rPr>
            <w:t xml:space="preserve"> </w:t>
          </w:r>
          <w:bookmarkEnd w:id="123"/>
        </w:p>
        <w:p w14:paraId="56FF97A4" w14:textId="43AC6FEB" w:rsidR="009D0F7A" w:rsidRPr="009D0F7A" w:rsidRDefault="009D0F7A" w:rsidP="009D0F7A">
          <w:pPr>
            <w:pStyle w:val="EndNoteBibliography"/>
            <w:spacing w:after="0"/>
            <w:ind w:left="720" w:hanging="720"/>
            <w:rPr>
              <w:noProof/>
            </w:rPr>
          </w:pPr>
          <w:bookmarkStart w:id="124" w:name="_ENREF_21"/>
          <w:r w:rsidRPr="009D0F7A">
            <w:rPr>
              <w:noProof/>
            </w:rPr>
            <w:t xml:space="preserve">Chin, D., Boyle, G. M., Porceddu, S., Theile, D. R., Parsons, P. G., &amp; Coman, W. B. (2006). Head and neck cancer: past, present and future. </w:t>
          </w:r>
          <w:r w:rsidRPr="009D0F7A">
            <w:rPr>
              <w:i/>
              <w:noProof/>
            </w:rPr>
            <w:t>Expert Rev Anticancer Ther</w:t>
          </w:r>
          <w:r w:rsidRPr="009D0F7A">
            <w:rPr>
              <w:noProof/>
            </w:rPr>
            <w:t>,</w:t>
          </w:r>
          <w:r w:rsidRPr="009D0F7A">
            <w:rPr>
              <w:i/>
              <w:noProof/>
            </w:rPr>
            <w:t xml:space="preserve"> 6</w:t>
          </w:r>
          <w:r w:rsidRPr="009D0F7A">
            <w:rPr>
              <w:noProof/>
            </w:rPr>
            <w:t xml:space="preserve">(7), 1111-1118. </w:t>
          </w:r>
          <w:hyperlink r:id="rId65" w:history="1">
            <w:r w:rsidRPr="009D0F7A">
              <w:rPr>
                <w:rStyle w:val="Hyperlink"/>
                <w:rFonts w:cs="Calibri"/>
                <w:noProof/>
              </w:rPr>
              <w:t>https://doi.org/10.1586/14737140.6.7.1111</w:t>
            </w:r>
          </w:hyperlink>
          <w:r w:rsidRPr="009D0F7A">
            <w:rPr>
              <w:noProof/>
            </w:rPr>
            <w:t xml:space="preserve"> </w:t>
          </w:r>
          <w:bookmarkEnd w:id="124"/>
        </w:p>
        <w:p w14:paraId="35E0C869" w14:textId="604A5312" w:rsidR="009D0F7A" w:rsidRPr="009D0F7A" w:rsidRDefault="009D0F7A" w:rsidP="009D0F7A">
          <w:pPr>
            <w:pStyle w:val="EndNoteBibliography"/>
            <w:spacing w:after="0"/>
            <w:ind w:left="720" w:hanging="720"/>
            <w:rPr>
              <w:noProof/>
            </w:rPr>
          </w:pPr>
          <w:bookmarkStart w:id="125" w:name="_ENREF_22"/>
          <w:r w:rsidRPr="009D0F7A">
            <w:rPr>
              <w:noProof/>
            </w:rPr>
            <w:t xml:space="preserve">Chung, C. H., &amp; Gillison, M. L. (2009). Human papillomavirus in head and neck cancer: its role in pathogenesis and clinical implications. </w:t>
          </w:r>
          <w:r w:rsidRPr="009D0F7A">
            <w:rPr>
              <w:i/>
              <w:noProof/>
            </w:rPr>
            <w:t>Clin Cancer Res</w:t>
          </w:r>
          <w:r w:rsidRPr="009D0F7A">
            <w:rPr>
              <w:noProof/>
            </w:rPr>
            <w:t>,</w:t>
          </w:r>
          <w:r w:rsidRPr="009D0F7A">
            <w:rPr>
              <w:i/>
              <w:noProof/>
            </w:rPr>
            <w:t xml:space="preserve"> 15</w:t>
          </w:r>
          <w:r w:rsidRPr="009D0F7A">
            <w:rPr>
              <w:noProof/>
            </w:rPr>
            <w:t xml:space="preserve">(22), 6758-6762. </w:t>
          </w:r>
          <w:hyperlink r:id="rId66" w:history="1">
            <w:r w:rsidRPr="009D0F7A">
              <w:rPr>
                <w:rStyle w:val="Hyperlink"/>
                <w:rFonts w:cs="Calibri"/>
                <w:noProof/>
              </w:rPr>
              <w:t>https://doi.org/10.1158/1078-0432.CCR-09-0784</w:t>
            </w:r>
          </w:hyperlink>
          <w:r w:rsidRPr="009D0F7A">
            <w:rPr>
              <w:noProof/>
            </w:rPr>
            <w:t xml:space="preserve"> </w:t>
          </w:r>
          <w:bookmarkEnd w:id="125"/>
        </w:p>
        <w:p w14:paraId="06CF7945" w14:textId="280E20AD" w:rsidR="009D0F7A" w:rsidRPr="009D0F7A" w:rsidRDefault="009D0F7A" w:rsidP="009D0F7A">
          <w:pPr>
            <w:pStyle w:val="EndNoteBibliography"/>
            <w:spacing w:after="0"/>
            <w:ind w:left="720" w:hanging="720"/>
            <w:rPr>
              <w:noProof/>
            </w:rPr>
          </w:pPr>
          <w:bookmarkStart w:id="126" w:name="_ENREF_23"/>
          <w:r w:rsidRPr="009D0F7A">
            <w:rPr>
              <w:noProof/>
            </w:rPr>
            <w:lastRenderedPageBreak/>
            <w:t xml:space="preserve">Clarke, A. R., &amp; Meniel, V. (2006). The intestinal stem cell niche studied through conditional transgenesis. </w:t>
          </w:r>
          <w:r w:rsidRPr="009D0F7A">
            <w:rPr>
              <w:i/>
              <w:noProof/>
            </w:rPr>
            <w:t>Ernst Schering Found Symp Proc</w:t>
          </w:r>
          <w:r w:rsidRPr="009D0F7A">
            <w:rPr>
              <w:noProof/>
            </w:rPr>
            <w:t xml:space="preserve">(5), 99-108. </w:t>
          </w:r>
          <w:hyperlink r:id="rId67" w:history="1">
            <w:r w:rsidRPr="009D0F7A">
              <w:rPr>
                <w:rStyle w:val="Hyperlink"/>
                <w:rFonts w:cs="Calibri"/>
                <w:noProof/>
              </w:rPr>
              <w:t>https://doi.org/10.1007/2789_2007_046</w:t>
            </w:r>
          </w:hyperlink>
          <w:r w:rsidRPr="009D0F7A">
            <w:rPr>
              <w:noProof/>
            </w:rPr>
            <w:t xml:space="preserve"> </w:t>
          </w:r>
          <w:bookmarkEnd w:id="126"/>
        </w:p>
        <w:p w14:paraId="556C53B1" w14:textId="76C9089A" w:rsidR="009D0F7A" w:rsidRPr="009D0F7A" w:rsidRDefault="009D0F7A" w:rsidP="009D0F7A">
          <w:pPr>
            <w:pStyle w:val="EndNoteBibliography"/>
            <w:spacing w:after="0"/>
            <w:ind w:left="720" w:hanging="720"/>
            <w:rPr>
              <w:noProof/>
            </w:rPr>
          </w:pPr>
          <w:bookmarkStart w:id="127" w:name="_ENREF_24"/>
          <w:r w:rsidRPr="009D0F7A">
            <w:rPr>
              <w:noProof/>
            </w:rPr>
            <w:t xml:space="preserve">Cooper, J. S., Zhang, Q., Pajak, T. F., Forastiere, A. A., Jacobs, J., Saxman, S. B., Kish, J. A., Kim, H. E., Cmelak, A. J., Rotman, M., Lustig, R., Ensley, J. F., Thorstad, W., Schultz, C. J., Yom, S. S., &amp; Ang, K. K. (2012). Long-term follow-up of the RTOG 9501/intergroup phase III trial: postoperative concurrent radiation therapy and chemotherapy in high-risk squamous cell carcinoma of the head and neck. </w:t>
          </w:r>
          <w:r w:rsidRPr="009D0F7A">
            <w:rPr>
              <w:i/>
              <w:noProof/>
            </w:rPr>
            <w:t>Int J Radiat Oncol Biol Phys</w:t>
          </w:r>
          <w:r w:rsidRPr="009D0F7A">
            <w:rPr>
              <w:noProof/>
            </w:rPr>
            <w:t>,</w:t>
          </w:r>
          <w:r w:rsidRPr="009D0F7A">
            <w:rPr>
              <w:i/>
              <w:noProof/>
            </w:rPr>
            <w:t xml:space="preserve"> 84</w:t>
          </w:r>
          <w:r w:rsidRPr="009D0F7A">
            <w:rPr>
              <w:noProof/>
            </w:rPr>
            <w:t xml:space="preserve">(5), 1198-1205. </w:t>
          </w:r>
          <w:hyperlink r:id="rId68" w:history="1">
            <w:r w:rsidRPr="009D0F7A">
              <w:rPr>
                <w:rStyle w:val="Hyperlink"/>
                <w:rFonts w:cs="Calibri"/>
                <w:noProof/>
              </w:rPr>
              <w:t>https://doi.org/10.1016/j.ijrobp.2012.05.008</w:t>
            </w:r>
          </w:hyperlink>
          <w:r w:rsidRPr="009D0F7A">
            <w:rPr>
              <w:noProof/>
            </w:rPr>
            <w:t xml:space="preserve"> </w:t>
          </w:r>
          <w:bookmarkEnd w:id="127"/>
        </w:p>
        <w:p w14:paraId="2FFA0A11" w14:textId="79216CC2" w:rsidR="009D0F7A" w:rsidRPr="009D0F7A" w:rsidRDefault="009D0F7A" w:rsidP="009D0F7A">
          <w:pPr>
            <w:pStyle w:val="EndNoteBibliography"/>
            <w:spacing w:after="0"/>
            <w:ind w:left="720" w:hanging="720"/>
            <w:rPr>
              <w:noProof/>
            </w:rPr>
          </w:pPr>
          <w:bookmarkStart w:id="128" w:name="_ENREF_25"/>
          <w:r w:rsidRPr="009D0F7A">
            <w:rPr>
              <w:noProof/>
            </w:rPr>
            <w:t xml:space="preserve">Curado, M. P., &amp; Boyle, P. (2013). Epidemiology of head and neck squamous cell carcinoma not related to tobacco or alcohol. </w:t>
          </w:r>
          <w:r w:rsidRPr="009D0F7A">
            <w:rPr>
              <w:i/>
              <w:noProof/>
            </w:rPr>
            <w:t>Curr Opin Oncol</w:t>
          </w:r>
          <w:r w:rsidRPr="009D0F7A">
            <w:rPr>
              <w:noProof/>
            </w:rPr>
            <w:t>,</w:t>
          </w:r>
          <w:r w:rsidRPr="009D0F7A">
            <w:rPr>
              <w:i/>
              <w:noProof/>
            </w:rPr>
            <w:t xml:space="preserve"> 25</w:t>
          </w:r>
          <w:r w:rsidRPr="009D0F7A">
            <w:rPr>
              <w:noProof/>
            </w:rPr>
            <w:t xml:space="preserve">(3), 229-234. </w:t>
          </w:r>
          <w:hyperlink r:id="rId69" w:history="1">
            <w:r w:rsidRPr="009D0F7A">
              <w:rPr>
                <w:rStyle w:val="Hyperlink"/>
                <w:rFonts w:cs="Calibri"/>
                <w:noProof/>
              </w:rPr>
              <w:t>https://doi.org/10.1097/CCO.0b013e32835ff48c</w:t>
            </w:r>
          </w:hyperlink>
          <w:r w:rsidRPr="009D0F7A">
            <w:rPr>
              <w:noProof/>
            </w:rPr>
            <w:t xml:space="preserve"> </w:t>
          </w:r>
          <w:bookmarkEnd w:id="128"/>
        </w:p>
        <w:p w14:paraId="749EEC94" w14:textId="128B6C9B" w:rsidR="009D0F7A" w:rsidRPr="000531B2" w:rsidRDefault="009D0F7A" w:rsidP="009D0F7A">
          <w:pPr>
            <w:pStyle w:val="EndNoteBibliography"/>
            <w:spacing w:after="0"/>
            <w:ind w:left="720" w:hanging="720"/>
            <w:rPr>
              <w:noProof/>
              <w:lang w:val="de-DE"/>
            </w:rPr>
          </w:pPr>
          <w:bookmarkStart w:id="129" w:name="_ENREF_26"/>
          <w:r w:rsidRPr="009D0F7A">
            <w:rPr>
              <w:noProof/>
            </w:rPr>
            <w:t xml:space="preserve">D'Souza, G., Agrawal, Y., Halpern, J., Bodison, S., &amp; Gillison, M. L. (2009). Oral sexual behaviors associated with prevalent oral human papillomavirus infection. </w:t>
          </w:r>
          <w:r w:rsidRPr="000531B2">
            <w:rPr>
              <w:i/>
              <w:noProof/>
              <w:lang w:val="de-DE"/>
            </w:rPr>
            <w:t>J Infect Dis</w:t>
          </w:r>
          <w:r w:rsidRPr="000531B2">
            <w:rPr>
              <w:noProof/>
              <w:lang w:val="de-DE"/>
            </w:rPr>
            <w:t>,</w:t>
          </w:r>
          <w:r w:rsidRPr="000531B2">
            <w:rPr>
              <w:i/>
              <w:noProof/>
              <w:lang w:val="de-DE"/>
            </w:rPr>
            <w:t xml:space="preserve"> 199</w:t>
          </w:r>
          <w:r w:rsidRPr="000531B2">
            <w:rPr>
              <w:noProof/>
              <w:lang w:val="de-DE"/>
            </w:rPr>
            <w:t xml:space="preserve">(9), 1263-1269. </w:t>
          </w:r>
          <w:hyperlink r:id="rId70" w:history="1">
            <w:r w:rsidRPr="000531B2">
              <w:rPr>
                <w:rStyle w:val="Hyperlink"/>
                <w:rFonts w:cs="Calibri"/>
                <w:noProof/>
                <w:lang w:val="de-DE"/>
              </w:rPr>
              <w:t>https://doi.org/10.1086/597755</w:t>
            </w:r>
          </w:hyperlink>
          <w:r w:rsidRPr="000531B2">
            <w:rPr>
              <w:noProof/>
              <w:lang w:val="de-DE"/>
            </w:rPr>
            <w:t xml:space="preserve"> </w:t>
          </w:r>
          <w:bookmarkEnd w:id="129"/>
        </w:p>
        <w:p w14:paraId="3EF9D53C" w14:textId="5CE7C938" w:rsidR="009D0F7A" w:rsidRPr="000531B2" w:rsidRDefault="009D0F7A" w:rsidP="009D0F7A">
          <w:pPr>
            <w:pStyle w:val="EndNoteBibliography"/>
            <w:spacing w:after="0"/>
            <w:ind w:left="720" w:hanging="720"/>
            <w:rPr>
              <w:noProof/>
              <w:lang w:val="de-DE"/>
            </w:rPr>
          </w:pPr>
          <w:bookmarkStart w:id="130" w:name="_ENREF_27"/>
          <w:r w:rsidRPr="000531B2">
            <w:rPr>
              <w:noProof/>
              <w:lang w:val="de-DE"/>
            </w:rPr>
            <w:t xml:space="preserve">de Jong, M. C., Pramana, J., van der Wal, J. E., Lacko, M., Peutz-Kootstra, C. J., de Jong, J. M., Takes, R. P., Kaanders, J. H., van der Laan, B. F., Wachters, J., Jansen, J. C., Rasch, C. R., van Velthuysen, M. L., Grenman, R., Hoebers, F. J., Schuuring, E., van den Brekel, M. W., &amp; Begg, A. C. (2010). </w:t>
          </w:r>
          <w:r w:rsidRPr="009D0F7A">
            <w:rPr>
              <w:noProof/>
            </w:rPr>
            <w:t xml:space="preserve">CD44 expression predicts local recurrence after radiotherapy in larynx cancer. </w:t>
          </w:r>
          <w:r w:rsidRPr="000531B2">
            <w:rPr>
              <w:i/>
              <w:noProof/>
              <w:lang w:val="de-DE"/>
            </w:rPr>
            <w:t>Clin Cancer Res</w:t>
          </w:r>
          <w:r w:rsidRPr="000531B2">
            <w:rPr>
              <w:noProof/>
              <w:lang w:val="de-DE"/>
            </w:rPr>
            <w:t>,</w:t>
          </w:r>
          <w:r w:rsidRPr="000531B2">
            <w:rPr>
              <w:i/>
              <w:noProof/>
              <w:lang w:val="de-DE"/>
            </w:rPr>
            <w:t xml:space="preserve"> 16</w:t>
          </w:r>
          <w:r w:rsidRPr="000531B2">
            <w:rPr>
              <w:noProof/>
              <w:lang w:val="de-DE"/>
            </w:rPr>
            <w:t xml:space="preserve">(21), 5329-5338. </w:t>
          </w:r>
          <w:hyperlink r:id="rId71" w:history="1">
            <w:r w:rsidRPr="000531B2">
              <w:rPr>
                <w:rStyle w:val="Hyperlink"/>
                <w:rFonts w:cs="Calibri"/>
                <w:noProof/>
                <w:lang w:val="de-DE"/>
              </w:rPr>
              <w:t>https://doi.org/10.1158/1078-0432.CCR-10-0799</w:t>
            </w:r>
          </w:hyperlink>
          <w:r w:rsidRPr="000531B2">
            <w:rPr>
              <w:noProof/>
              <w:lang w:val="de-DE"/>
            </w:rPr>
            <w:t xml:space="preserve"> </w:t>
          </w:r>
          <w:bookmarkEnd w:id="130"/>
        </w:p>
        <w:p w14:paraId="114AF205" w14:textId="2294C5E9" w:rsidR="009D0F7A" w:rsidRPr="009D0F7A" w:rsidRDefault="009D0F7A" w:rsidP="009D0F7A">
          <w:pPr>
            <w:pStyle w:val="EndNoteBibliography"/>
            <w:spacing w:after="0"/>
            <w:ind w:left="720" w:hanging="720"/>
            <w:rPr>
              <w:noProof/>
            </w:rPr>
          </w:pPr>
          <w:bookmarkStart w:id="131" w:name="_ENREF_28"/>
          <w:r w:rsidRPr="000531B2">
            <w:rPr>
              <w:noProof/>
              <w:lang w:val="de-DE"/>
            </w:rPr>
            <w:t xml:space="preserve">DeLellis, R. A., Sternberger, L. A., Mann, R. B., Banks, P. M., &amp; Nakane, P. K. (1979). </w:t>
          </w:r>
          <w:r w:rsidRPr="009D0F7A">
            <w:rPr>
              <w:noProof/>
            </w:rPr>
            <w:t xml:space="preserve">Immunoperoxidase technics in diagnostic pathology. Report of a workshop sponsored by the National Cancer Institute. </w:t>
          </w:r>
          <w:r w:rsidRPr="009D0F7A">
            <w:rPr>
              <w:i/>
              <w:noProof/>
            </w:rPr>
            <w:t>Am J Clin Pathol</w:t>
          </w:r>
          <w:r w:rsidRPr="009D0F7A">
            <w:rPr>
              <w:noProof/>
            </w:rPr>
            <w:t>,</w:t>
          </w:r>
          <w:r w:rsidRPr="009D0F7A">
            <w:rPr>
              <w:i/>
              <w:noProof/>
            </w:rPr>
            <w:t xml:space="preserve"> 71</w:t>
          </w:r>
          <w:r w:rsidRPr="009D0F7A">
            <w:rPr>
              <w:noProof/>
            </w:rPr>
            <w:t xml:space="preserve">(5), 483-488. </w:t>
          </w:r>
          <w:hyperlink r:id="rId72" w:history="1">
            <w:r w:rsidRPr="009D0F7A">
              <w:rPr>
                <w:rStyle w:val="Hyperlink"/>
                <w:rFonts w:cs="Calibri"/>
                <w:noProof/>
              </w:rPr>
              <w:t>https://doi.org/10.1093/ajcp/71.5.483</w:t>
            </w:r>
          </w:hyperlink>
          <w:r w:rsidRPr="009D0F7A">
            <w:rPr>
              <w:noProof/>
            </w:rPr>
            <w:t xml:space="preserve"> </w:t>
          </w:r>
          <w:bookmarkEnd w:id="131"/>
        </w:p>
        <w:p w14:paraId="67A83439" w14:textId="06E8C938" w:rsidR="009D0F7A" w:rsidRPr="009D0F7A" w:rsidRDefault="009D0F7A" w:rsidP="009D0F7A">
          <w:pPr>
            <w:pStyle w:val="EndNoteBibliography"/>
            <w:spacing w:after="0"/>
            <w:ind w:left="720" w:hanging="720"/>
            <w:rPr>
              <w:noProof/>
            </w:rPr>
          </w:pPr>
          <w:bookmarkStart w:id="132" w:name="_ENREF_29"/>
          <w:r w:rsidRPr="009D0F7A">
            <w:rPr>
              <w:noProof/>
            </w:rPr>
            <w:t xml:space="preserve">Duvvuri, U., &amp; Myers, J. N. (2009). Contemporary management of oropharyngeal cancer: anatomy and physiology of the oropharynx. </w:t>
          </w:r>
          <w:r w:rsidRPr="009D0F7A">
            <w:rPr>
              <w:i/>
              <w:noProof/>
            </w:rPr>
            <w:t>Curr Probl Surg</w:t>
          </w:r>
          <w:r w:rsidRPr="009D0F7A">
            <w:rPr>
              <w:noProof/>
            </w:rPr>
            <w:t>,</w:t>
          </w:r>
          <w:r w:rsidRPr="009D0F7A">
            <w:rPr>
              <w:i/>
              <w:noProof/>
            </w:rPr>
            <w:t xml:space="preserve"> 46</w:t>
          </w:r>
          <w:r w:rsidRPr="009D0F7A">
            <w:rPr>
              <w:noProof/>
            </w:rPr>
            <w:t xml:space="preserve">(2), 119-184. </w:t>
          </w:r>
          <w:hyperlink r:id="rId73" w:history="1">
            <w:r w:rsidRPr="009D0F7A">
              <w:rPr>
                <w:rStyle w:val="Hyperlink"/>
                <w:rFonts w:cs="Calibri"/>
                <w:noProof/>
              </w:rPr>
              <w:t>https://doi.org/10.1067/j.cpsurg.2008.10.003</w:t>
            </w:r>
          </w:hyperlink>
          <w:r w:rsidRPr="009D0F7A">
            <w:rPr>
              <w:noProof/>
            </w:rPr>
            <w:t xml:space="preserve"> </w:t>
          </w:r>
          <w:bookmarkEnd w:id="132"/>
        </w:p>
        <w:p w14:paraId="67875011" w14:textId="5253A281" w:rsidR="009D0F7A" w:rsidRPr="009D0F7A" w:rsidRDefault="009D0F7A" w:rsidP="009D0F7A">
          <w:pPr>
            <w:pStyle w:val="EndNoteBibliography"/>
            <w:spacing w:after="0"/>
            <w:ind w:left="720" w:hanging="720"/>
            <w:rPr>
              <w:noProof/>
            </w:rPr>
          </w:pPr>
          <w:bookmarkStart w:id="133" w:name="_ENREF_30"/>
          <w:r w:rsidRPr="009D0F7A">
            <w:rPr>
              <w:noProof/>
            </w:rPr>
            <w:t xml:space="preserve">El-Naggar, A. K., Chan, J. K. C., Grandis, J. R., Takata, T., &amp; Slootweg, P. J. (2017). </w:t>
          </w:r>
          <w:r w:rsidRPr="009D0F7A">
            <w:rPr>
              <w:i/>
              <w:noProof/>
            </w:rPr>
            <w:t>WHO Classification of Head and Neck Tumours</w:t>
          </w:r>
          <w:r w:rsidRPr="009D0F7A">
            <w:rPr>
              <w:noProof/>
            </w:rPr>
            <w:t xml:space="preserve">. International Agency for Research on Cancer. </w:t>
          </w:r>
          <w:hyperlink r:id="rId74" w:history="1">
            <w:r w:rsidRPr="009D0F7A">
              <w:rPr>
                <w:rStyle w:val="Hyperlink"/>
                <w:rFonts w:cs="Calibri"/>
                <w:noProof/>
              </w:rPr>
              <w:t>https://books.google.de/books?id=EDo5MQAACAAJ</w:t>
            </w:r>
          </w:hyperlink>
          <w:r w:rsidRPr="009D0F7A">
            <w:rPr>
              <w:noProof/>
            </w:rPr>
            <w:t xml:space="preserve"> </w:t>
          </w:r>
          <w:bookmarkEnd w:id="133"/>
        </w:p>
        <w:p w14:paraId="69855579" w14:textId="7F497808" w:rsidR="009D0F7A" w:rsidRPr="009D0F7A" w:rsidRDefault="009D0F7A" w:rsidP="009D0F7A">
          <w:pPr>
            <w:pStyle w:val="EndNoteBibliography"/>
            <w:spacing w:after="0"/>
            <w:ind w:left="720" w:hanging="720"/>
            <w:rPr>
              <w:noProof/>
            </w:rPr>
          </w:pPr>
          <w:bookmarkStart w:id="134" w:name="_ENREF_31"/>
          <w:r w:rsidRPr="009D0F7A">
            <w:rPr>
              <w:noProof/>
            </w:rPr>
            <w:t xml:space="preserve">Fakhry, C., Westra, W. H., Li, S., Cmelak, A., Ridge, J. A., Pinto, H., Forastiere, A., &amp; Gillison, M. L. (2008). Improved survival of patients with human papillomavirus-positive head and neck squamous cell carcinoma in a prospective clinical trial. </w:t>
          </w:r>
          <w:r w:rsidRPr="009D0F7A">
            <w:rPr>
              <w:i/>
              <w:noProof/>
            </w:rPr>
            <w:t>J Natl Cancer Inst</w:t>
          </w:r>
          <w:r w:rsidRPr="009D0F7A">
            <w:rPr>
              <w:noProof/>
            </w:rPr>
            <w:t>,</w:t>
          </w:r>
          <w:r w:rsidRPr="009D0F7A">
            <w:rPr>
              <w:i/>
              <w:noProof/>
            </w:rPr>
            <w:t xml:space="preserve"> 100</w:t>
          </w:r>
          <w:r w:rsidRPr="009D0F7A">
            <w:rPr>
              <w:noProof/>
            </w:rPr>
            <w:t xml:space="preserve">(4), 261-269. </w:t>
          </w:r>
          <w:hyperlink r:id="rId75" w:history="1">
            <w:r w:rsidRPr="009D0F7A">
              <w:rPr>
                <w:rStyle w:val="Hyperlink"/>
                <w:rFonts w:cs="Calibri"/>
                <w:noProof/>
              </w:rPr>
              <w:t>https://doi.org/10.1093/jnci/djn011</w:t>
            </w:r>
          </w:hyperlink>
          <w:r w:rsidRPr="009D0F7A">
            <w:rPr>
              <w:noProof/>
            </w:rPr>
            <w:t xml:space="preserve"> </w:t>
          </w:r>
          <w:bookmarkEnd w:id="134"/>
        </w:p>
        <w:p w14:paraId="47BF9A80" w14:textId="3E6C6171" w:rsidR="009D0F7A" w:rsidRPr="009D0F7A" w:rsidRDefault="009D0F7A" w:rsidP="009D0F7A">
          <w:pPr>
            <w:pStyle w:val="EndNoteBibliography"/>
            <w:spacing w:after="0"/>
            <w:ind w:left="720" w:hanging="720"/>
            <w:rPr>
              <w:noProof/>
            </w:rPr>
          </w:pPr>
          <w:bookmarkStart w:id="135" w:name="_ENREF_32"/>
          <w:r w:rsidRPr="009D0F7A">
            <w:rPr>
              <w:noProof/>
            </w:rPr>
            <w:t xml:space="preserve">Ferlay, J., Colombet, M., Soerjomataram, I., Parkin, D. M., Pineros, M., Znaor, A., &amp; Bray, F. (2021). Cancer statistics for the year 2020: An overview. </w:t>
          </w:r>
          <w:r w:rsidRPr="009D0F7A">
            <w:rPr>
              <w:i/>
              <w:noProof/>
            </w:rPr>
            <w:t>Int J Cancer</w:t>
          </w:r>
          <w:r w:rsidRPr="009D0F7A">
            <w:rPr>
              <w:noProof/>
            </w:rPr>
            <w:t xml:space="preserve">. </w:t>
          </w:r>
          <w:hyperlink r:id="rId76" w:history="1">
            <w:r w:rsidRPr="009D0F7A">
              <w:rPr>
                <w:rStyle w:val="Hyperlink"/>
                <w:rFonts w:cs="Calibri"/>
                <w:noProof/>
              </w:rPr>
              <w:t>https://doi.org/10.1002/ijc.33588</w:t>
            </w:r>
          </w:hyperlink>
          <w:r w:rsidRPr="009D0F7A">
            <w:rPr>
              <w:noProof/>
            </w:rPr>
            <w:t xml:space="preserve"> </w:t>
          </w:r>
          <w:bookmarkEnd w:id="135"/>
        </w:p>
        <w:p w14:paraId="7B45DB50" w14:textId="43A58D2F" w:rsidR="009D0F7A" w:rsidRPr="009D0F7A" w:rsidRDefault="009D0F7A" w:rsidP="009D0F7A">
          <w:pPr>
            <w:pStyle w:val="EndNoteBibliography"/>
            <w:spacing w:after="0"/>
            <w:ind w:left="720" w:hanging="720"/>
            <w:rPr>
              <w:noProof/>
            </w:rPr>
          </w:pPr>
          <w:bookmarkStart w:id="136" w:name="_ENREF_33"/>
          <w:r w:rsidRPr="009D0F7A">
            <w:rPr>
              <w:noProof/>
            </w:rPr>
            <w:t xml:space="preserve">Gillison, M. L., D'Souza, G., Westra, W., Sugar, E., Xiao, W., Begum, S., &amp; Viscidi, R. (2008). Distinct risk factor profiles for human papillomavirus type 16-positive and human papillomavirus type 16-negative head and neck cancers. </w:t>
          </w:r>
          <w:r w:rsidRPr="009D0F7A">
            <w:rPr>
              <w:i/>
              <w:noProof/>
            </w:rPr>
            <w:t>J Natl Cancer Inst</w:t>
          </w:r>
          <w:r w:rsidRPr="009D0F7A">
            <w:rPr>
              <w:noProof/>
            </w:rPr>
            <w:t>,</w:t>
          </w:r>
          <w:r w:rsidRPr="009D0F7A">
            <w:rPr>
              <w:i/>
              <w:noProof/>
            </w:rPr>
            <w:t xml:space="preserve"> 100</w:t>
          </w:r>
          <w:r w:rsidRPr="009D0F7A">
            <w:rPr>
              <w:noProof/>
            </w:rPr>
            <w:t xml:space="preserve">(6), 407-420. </w:t>
          </w:r>
          <w:hyperlink r:id="rId77" w:history="1">
            <w:r w:rsidRPr="009D0F7A">
              <w:rPr>
                <w:rStyle w:val="Hyperlink"/>
                <w:rFonts w:cs="Calibri"/>
                <w:noProof/>
              </w:rPr>
              <w:t>https://doi.org/10.1093/jnci/djn025</w:t>
            </w:r>
          </w:hyperlink>
          <w:r w:rsidRPr="009D0F7A">
            <w:rPr>
              <w:noProof/>
            </w:rPr>
            <w:t xml:space="preserve"> </w:t>
          </w:r>
          <w:bookmarkEnd w:id="136"/>
        </w:p>
        <w:p w14:paraId="2BFE754C" w14:textId="7019B75F" w:rsidR="009D0F7A" w:rsidRPr="009D0F7A" w:rsidRDefault="009D0F7A" w:rsidP="009D0F7A">
          <w:pPr>
            <w:pStyle w:val="EndNoteBibliography"/>
            <w:spacing w:after="0"/>
            <w:ind w:left="720" w:hanging="720"/>
            <w:rPr>
              <w:noProof/>
            </w:rPr>
          </w:pPr>
          <w:bookmarkStart w:id="137" w:name="_ENREF_34"/>
          <w:r w:rsidRPr="009D0F7A">
            <w:rPr>
              <w:noProof/>
            </w:rPr>
            <w:t xml:space="preserve">Gillison, M. L., Koch, W. M., Capone, R. B., Spafford, M., Westra, W. H., Wu, L., Zahurak, M. L., Daniel, R. W., Viglione, M., Symer, D. E., Shah, K. V., &amp; Sidransky, D. (2000). Evidence for a causal association between human papillomavirus and a subset of head and neck cancers. </w:t>
          </w:r>
          <w:r w:rsidRPr="009D0F7A">
            <w:rPr>
              <w:i/>
              <w:noProof/>
            </w:rPr>
            <w:t>J Natl Cancer Inst</w:t>
          </w:r>
          <w:r w:rsidRPr="009D0F7A">
            <w:rPr>
              <w:noProof/>
            </w:rPr>
            <w:t>,</w:t>
          </w:r>
          <w:r w:rsidRPr="009D0F7A">
            <w:rPr>
              <w:i/>
              <w:noProof/>
            </w:rPr>
            <w:t xml:space="preserve"> 92</w:t>
          </w:r>
          <w:r w:rsidRPr="009D0F7A">
            <w:rPr>
              <w:noProof/>
            </w:rPr>
            <w:t xml:space="preserve">(9), 709-720. </w:t>
          </w:r>
          <w:hyperlink r:id="rId78" w:history="1">
            <w:r w:rsidRPr="009D0F7A">
              <w:rPr>
                <w:rStyle w:val="Hyperlink"/>
                <w:rFonts w:cs="Calibri"/>
                <w:noProof/>
              </w:rPr>
              <w:t>https://doi.org/10.1093/jnci/92.9.709</w:t>
            </w:r>
          </w:hyperlink>
          <w:r w:rsidRPr="009D0F7A">
            <w:rPr>
              <w:noProof/>
            </w:rPr>
            <w:t xml:space="preserve"> </w:t>
          </w:r>
          <w:bookmarkEnd w:id="137"/>
        </w:p>
        <w:p w14:paraId="5C9BD6EB" w14:textId="08F5D102" w:rsidR="009D0F7A" w:rsidRPr="009D0F7A" w:rsidRDefault="009D0F7A" w:rsidP="009D0F7A">
          <w:pPr>
            <w:pStyle w:val="EndNoteBibliography"/>
            <w:spacing w:after="0"/>
            <w:ind w:left="720" w:hanging="720"/>
            <w:rPr>
              <w:noProof/>
            </w:rPr>
          </w:pPr>
          <w:bookmarkStart w:id="138" w:name="_ENREF_35"/>
          <w:r w:rsidRPr="009D0F7A">
            <w:rPr>
              <w:noProof/>
            </w:rPr>
            <w:t xml:space="preserve">Giltnane, J. M., &amp; Rimm, D. L. (2004). Technology insight: Identification of biomarkers with tissue microarray technology. </w:t>
          </w:r>
          <w:r w:rsidRPr="009D0F7A">
            <w:rPr>
              <w:i/>
              <w:noProof/>
            </w:rPr>
            <w:t>Nat Clin Pract Oncol</w:t>
          </w:r>
          <w:r w:rsidRPr="009D0F7A">
            <w:rPr>
              <w:noProof/>
            </w:rPr>
            <w:t>,</w:t>
          </w:r>
          <w:r w:rsidRPr="009D0F7A">
            <w:rPr>
              <w:i/>
              <w:noProof/>
            </w:rPr>
            <w:t xml:space="preserve"> 1</w:t>
          </w:r>
          <w:r w:rsidRPr="009D0F7A">
            <w:rPr>
              <w:noProof/>
            </w:rPr>
            <w:t xml:space="preserve">(2), 104-111. </w:t>
          </w:r>
          <w:hyperlink r:id="rId79" w:history="1">
            <w:r w:rsidRPr="009D0F7A">
              <w:rPr>
                <w:rStyle w:val="Hyperlink"/>
                <w:rFonts w:cs="Calibri"/>
                <w:noProof/>
              </w:rPr>
              <w:t>https://doi.org/10.1038/ncponc0046</w:t>
            </w:r>
          </w:hyperlink>
          <w:r w:rsidRPr="009D0F7A">
            <w:rPr>
              <w:noProof/>
            </w:rPr>
            <w:t xml:space="preserve"> </w:t>
          </w:r>
          <w:bookmarkEnd w:id="138"/>
        </w:p>
        <w:p w14:paraId="1E2D44FB" w14:textId="516086F3" w:rsidR="009D0F7A" w:rsidRPr="009D0F7A" w:rsidRDefault="009D0F7A" w:rsidP="009D0F7A">
          <w:pPr>
            <w:pStyle w:val="EndNoteBibliography"/>
            <w:spacing w:after="0"/>
            <w:ind w:left="720" w:hanging="720"/>
            <w:rPr>
              <w:noProof/>
            </w:rPr>
          </w:pPr>
          <w:bookmarkStart w:id="139" w:name="_ENREF_36"/>
          <w:r w:rsidRPr="009D0F7A">
            <w:rPr>
              <w:noProof/>
            </w:rPr>
            <w:t xml:space="preserve">Ginestier, C., Hur, M. H., Charafe-Jauffret, E., Monville, F., Dutcher, J., Brown, M., Jacquemier, J., Viens, P., Kleer, C. G., Liu, S., Schott, A., Hayes, D., Birnbaum, D., Wicha, M. S., &amp; Dontu, G. (2007). ALDH1 is a marker of normal and malignant human mammary stem cells and a predictor of poor clinical outcome. </w:t>
          </w:r>
          <w:r w:rsidRPr="009D0F7A">
            <w:rPr>
              <w:i/>
              <w:noProof/>
            </w:rPr>
            <w:t>Cell Stem Cell</w:t>
          </w:r>
          <w:r w:rsidRPr="009D0F7A">
            <w:rPr>
              <w:noProof/>
            </w:rPr>
            <w:t>,</w:t>
          </w:r>
          <w:r w:rsidRPr="009D0F7A">
            <w:rPr>
              <w:i/>
              <w:noProof/>
            </w:rPr>
            <w:t xml:space="preserve"> 1</w:t>
          </w:r>
          <w:r w:rsidRPr="009D0F7A">
            <w:rPr>
              <w:noProof/>
            </w:rPr>
            <w:t xml:space="preserve">(5), 555-567. </w:t>
          </w:r>
          <w:hyperlink r:id="rId80" w:history="1">
            <w:r w:rsidRPr="009D0F7A">
              <w:rPr>
                <w:rStyle w:val="Hyperlink"/>
                <w:rFonts w:cs="Calibri"/>
                <w:noProof/>
              </w:rPr>
              <w:t>https://doi.org/10.1016/j.stem.2007.08.014</w:t>
            </w:r>
          </w:hyperlink>
          <w:r w:rsidRPr="009D0F7A">
            <w:rPr>
              <w:noProof/>
            </w:rPr>
            <w:t xml:space="preserve"> </w:t>
          </w:r>
          <w:bookmarkEnd w:id="139"/>
        </w:p>
        <w:p w14:paraId="6844F1A5" w14:textId="6CE8E487" w:rsidR="009D0F7A" w:rsidRPr="000531B2" w:rsidRDefault="009D0F7A" w:rsidP="009D0F7A">
          <w:pPr>
            <w:pStyle w:val="EndNoteBibliography"/>
            <w:spacing w:after="0"/>
            <w:ind w:left="720" w:hanging="720"/>
            <w:rPr>
              <w:noProof/>
              <w:lang w:val="de-DE"/>
            </w:rPr>
          </w:pPr>
          <w:bookmarkStart w:id="140" w:name="_ENREF_37"/>
          <w:r w:rsidRPr="009D0F7A">
            <w:rPr>
              <w:noProof/>
            </w:rPr>
            <w:t xml:space="preserve">Hafkamp, H. C., Manni, J. J., Haesevoets, A., Voogd, A. C., Schepers, M., Bot, F. J., Hopman, A. H., Ramaekers, F. C., &amp; Speel, E. J. (2008). Marked differences in survival rate between smokers and nonsmokers with HPV 16-associated tonsillar carcinomas. </w:t>
          </w:r>
          <w:r w:rsidRPr="000531B2">
            <w:rPr>
              <w:i/>
              <w:noProof/>
              <w:lang w:val="de-DE"/>
            </w:rPr>
            <w:t>Int J Cancer</w:t>
          </w:r>
          <w:r w:rsidRPr="000531B2">
            <w:rPr>
              <w:noProof/>
              <w:lang w:val="de-DE"/>
            </w:rPr>
            <w:t>,</w:t>
          </w:r>
          <w:r w:rsidRPr="000531B2">
            <w:rPr>
              <w:i/>
              <w:noProof/>
              <w:lang w:val="de-DE"/>
            </w:rPr>
            <w:t xml:space="preserve"> 122</w:t>
          </w:r>
          <w:r w:rsidRPr="000531B2">
            <w:rPr>
              <w:noProof/>
              <w:lang w:val="de-DE"/>
            </w:rPr>
            <w:t xml:space="preserve">(12), 2656-2664. </w:t>
          </w:r>
          <w:hyperlink r:id="rId81" w:history="1">
            <w:r w:rsidRPr="000531B2">
              <w:rPr>
                <w:rStyle w:val="Hyperlink"/>
                <w:rFonts w:cs="Calibri"/>
                <w:noProof/>
                <w:lang w:val="de-DE"/>
              </w:rPr>
              <w:t>https://doi.org/10.1002/ijc.23458</w:t>
            </w:r>
          </w:hyperlink>
          <w:r w:rsidRPr="000531B2">
            <w:rPr>
              <w:noProof/>
              <w:lang w:val="de-DE"/>
            </w:rPr>
            <w:t xml:space="preserve"> </w:t>
          </w:r>
          <w:bookmarkEnd w:id="140"/>
        </w:p>
        <w:p w14:paraId="2390F234" w14:textId="6FDB2684" w:rsidR="009D0F7A" w:rsidRPr="000531B2" w:rsidRDefault="009D0F7A" w:rsidP="009D0F7A">
          <w:pPr>
            <w:pStyle w:val="EndNoteBibliography"/>
            <w:spacing w:after="0"/>
            <w:ind w:left="720" w:hanging="720"/>
            <w:rPr>
              <w:noProof/>
              <w:lang w:val="de-DE"/>
            </w:rPr>
          </w:pPr>
          <w:bookmarkStart w:id="141" w:name="_ENREF_38"/>
          <w:r w:rsidRPr="000531B2">
            <w:rPr>
              <w:noProof/>
              <w:lang w:val="de-DE"/>
            </w:rPr>
            <w:lastRenderedPageBreak/>
            <w:t xml:space="preserve">Heinrich, P. C., Müller, M., &amp; Graeve, L. (2014). </w:t>
          </w:r>
          <w:r w:rsidRPr="000531B2">
            <w:rPr>
              <w:i/>
              <w:noProof/>
              <w:lang w:val="de-DE"/>
            </w:rPr>
            <w:t>Löffler/Petrides Biochemie und Pathobiochemie</w:t>
          </w:r>
          <w:r w:rsidRPr="000531B2">
            <w:rPr>
              <w:noProof/>
              <w:lang w:val="de-DE"/>
            </w:rPr>
            <w:t xml:space="preserve">. Springer Berlin Heidelberg. </w:t>
          </w:r>
          <w:hyperlink r:id="rId82" w:history="1">
            <w:r w:rsidRPr="000531B2">
              <w:rPr>
                <w:rStyle w:val="Hyperlink"/>
                <w:rFonts w:cs="Calibri"/>
                <w:noProof/>
                <w:lang w:val="de-DE"/>
              </w:rPr>
              <w:t>https://books.google.de/books?id=EUj_ugAACAAJ</w:t>
            </w:r>
          </w:hyperlink>
          <w:r w:rsidRPr="000531B2">
            <w:rPr>
              <w:noProof/>
              <w:lang w:val="de-DE"/>
            </w:rPr>
            <w:t xml:space="preserve"> </w:t>
          </w:r>
          <w:bookmarkEnd w:id="141"/>
        </w:p>
        <w:p w14:paraId="38F3A820" w14:textId="4A7FBD13" w:rsidR="009D0F7A" w:rsidRPr="000531B2" w:rsidRDefault="009D0F7A" w:rsidP="009D0F7A">
          <w:pPr>
            <w:pStyle w:val="EndNoteBibliography"/>
            <w:spacing w:after="0"/>
            <w:ind w:left="720" w:hanging="720"/>
            <w:rPr>
              <w:noProof/>
              <w:lang w:val="de-DE"/>
            </w:rPr>
          </w:pPr>
          <w:bookmarkStart w:id="142" w:name="_ENREF_39"/>
          <w:r w:rsidRPr="009D0F7A">
            <w:rPr>
              <w:noProof/>
            </w:rPr>
            <w:t xml:space="preserve">Herrmann, K., &amp; Niedobitek, G. (2003). Epstein-Barr virus-associated carcinomas: facts and fiction. </w:t>
          </w:r>
          <w:r w:rsidRPr="000531B2">
            <w:rPr>
              <w:i/>
              <w:noProof/>
              <w:lang w:val="de-DE"/>
            </w:rPr>
            <w:t>J Pathol</w:t>
          </w:r>
          <w:r w:rsidRPr="000531B2">
            <w:rPr>
              <w:noProof/>
              <w:lang w:val="de-DE"/>
            </w:rPr>
            <w:t>,</w:t>
          </w:r>
          <w:r w:rsidRPr="000531B2">
            <w:rPr>
              <w:i/>
              <w:noProof/>
              <w:lang w:val="de-DE"/>
            </w:rPr>
            <w:t xml:space="preserve"> 199</w:t>
          </w:r>
          <w:r w:rsidRPr="000531B2">
            <w:rPr>
              <w:noProof/>
              <w:lang w:val="de-DE"/>
            </w:rPr>
            <w:t xml:space="preserve">(2), 140-145. </w:t>
          </w:r>
          <w:hyperlink r:id="rId83" w:history="1">
            <w:r w:rsidRPr="000531B2">
              <w:rPr>
                <w:rStyle w:val="Hyperlink"/>
                <w:rFonts w:cs="Calibri"/>
                <w:noProof/>
                <w:lang w:val="de-DE"/>
              </w:rPr>
              <w:t>https://doi.org/10.1002/path.1296</w:t>
            </w:r>
          </w:hyperlink>
          <w:r w:rsidRPr="000531B2">
            <w:rPr>
              <w:noProof/>
              <w:lang w:val="de-DE"/>
            </w:rPr>
            <w:t xml:space="preserve"> </w:t>
          </w:r>
          <w:bookmarkEnd w:id="142"/>
        </w:p>
        <w:p w14:paraId="4F2D2854" w14:textId="16146311" w:rsidR="009D0F7A" w:rsidRPr="009D0F7A" w:rsidRDefault="009D0F7A" w:rsidP="009D0F7A">
          <w:pPr>
            <w:pStyle w:val="EndNoteBibliography"/>
            <w:spacing w:after="0"/>
            <w:ind w:left="720" w:hanging="720"/>
            <w:rPr>
              <w:noProof/>
            </w:rPr>
          </w:pPr>
          <w:bookmarkStart w:id="143" w:name="_ENREF_40"/>
          <w:r w:rsidRPr="000531B2">
            <w:rPr>
              <w:noProof/>
              <w:lang w:val="de-DE"/>
            </w:rPr>
            <w:t xml:space="preserve">Joos, S., Nettelbeck, D. M., Reil-Held, A., Engelmann, K., Moosmann, A., Eggert, A., Hiddemann, W., Krause, M., Peters, C., Schuler, M., Schulze-Osthoff, K., Serve, H., Wick, W., Puchta, J., &amp; Baumann, M. (2019). </w:t>
          </w:r>
          <w:r w:rsidRPr="009D0F7A">
            <w:rPr>
              <w:noProof/>
            </w:rPr>
            <w:t xml:space="preserve">German Cancer Consortium (DKTK) - A national consortium for translational cancer research. </w:t>
          </w:r>
          <w:r w:rsidRPr="009D0F7A">
            <w:rPr>
              <w:i/>
              <w:noProof/>
            </w:rPr>
            <w:t>Mol Oncol</w:t>
          </w:r>
          <w:r w:rsidRPr="009D0F7A">
            <w:rPr>
              <w:noProof/>
            </w:rPr>
            <w:t>,</w:t>
          </w:r>
          <w:r w:rsidRPr="009D0F7A">
            <w:rPr>
              <w:i/>
              <w:noProof/>
            </w:rPr>
            <w:t xml:space="preserve"> 13</w:t>
          </w:r>
          <w:r w:rsidRPr="009D0F7A">
            <w:rPr>
              <w:noProof/>
            </w:rPr>
            <w:t xml:space="preserve">(3), 535-542. </w:t>
          </w:r>
          <w:hyperlink r:id="rId84" w:history="1">
            <w:r w:rsidRPr="009D0F7A">
              <w:rPr>
                <w:rStyle w:val="Hyperlink"/>
                <w:rFonts w:cs="Calibri"/>
                <w:noProof/>
              </w:rPr>
              <w:t>https://doi.org/10.1002/1878-0261.12430</w:t>
            </w:r>
          </w:hyperlink>
          <w:r w:rsidRPr="009D0F7A">
            <w:rPr>
              <w:noProof/>
            </w:rPr>
            <w:t xml:space="preserve"> </w:t>
          </w:r>
          <w:bookmarkEnd w:id="143"/>
        </w:p>
        <w:p w14:paraId="64A6544F" w14:textId="77777777" w:rsidR="009D0F7A" w:rsidRPr="000531B2" w:rsidRDefault="009D0F7A" w:rsidP="009D0F7A">
          <w:pPr>
            <w:pStyle w:val="EndNoteBibliography"/>
            <w:spacing w:after="0"/>
            <w:ind w:left="720" w:hanging="720"/>
            <w:rPr>
              <w:noProof/>
              <w:lang w:val="de-DE"/>
            </w:rPr>
          </w:pPr>
          <w:bookmarkStart w:id="144" w:name="_ENREF_41"/>
          <w:r w:rsidRPr="009D0F7A">
            <w:rPr>
              <w:noProof/>
            </w:rPr>
            <w:t xml:space="preserve">Jütz, M., Linge, A., von Neubeck, C., Lohaus, F., Tinhofer, I., Budach, V., Gkika, E., Stuschke, M., Balermpas, P., Rödel, C., Avlar, M., Grosu, A. L., Abdollahi, A., Debus, J., Bayer, C., Belka, C., Pigorsch, S., Combs, S. E., Mönnich, D.,…DKTK-ROG. (2015). </w:t>
          </w:r>
          <w:r w:rsidRPr="000531B2">
            <w:rPr>
              <w:noProof/>
              <w:lang w:val="de-DE"/>
            </w:rPr>
            <w:t xml:space="preserve">Prognostisches Potential von CD44 als Tumorstammzellmarker für die kombinierte Radiochemotherapie des lokal fortgeschrittenen Kopf-Hals-Plattenepithelkarzinoms. Symposium Experimentelle Strahlentherapie und klinische Strahlenbiologie, </w:t>
          </w:r>
          <w:bookmarkEnd w:id="144"/>
        </w:p>
        <w:p w14:paraId="461A531B" w14:textId="743949CB" w:rsidR="009D0F7A" w:rsidRPr="000531B2" w:rsidRDefault="009D0F7A" w:rsidP="009D0F7A">
          <w:pPr>
            <w:pStyle w:val="EndNoteBibliography"/>
            <w:spacing w:after="0"/>
            <w:ind w:left="720" w:hanging="720"/>
            <w:rPr>
              <w:noProof/>
              <w:lang w:val="de-DE"/>
            </w:rPr>
          </w:pPr>
          <w:bookmarkStart w:id="145" w:name="_ENREF_42"/>
          <w:r w:rsidRPr="000531B2">
            <w:rPr>
              <w:noProof/>
              <w:lang w:val="de-DE"/>
            </w:rPr>
            <w:t xml:space="preserve">Klijanienko, J., el-Naggar, A., Ponzio-Prion, A., Marandas, P., Micheau, C., &amp; Caillaud, J. M. (1993). </w:t>
          </w:r>
          <w:r w:rsidRPr="009D0F7A">
            <w:rPr>
              <w:noProof/>
            </w:rPr>
            <w:t xml:space="preserve">Basaloid squamous carcinoma of the head and neck. Immunohistochemical comparison with adenoid cystic carcinoma and squamous cell carcinoma. </w:t>
          </w:r>
          <w:r w:rsidRPr="000531B2">
            <w:rPr>
              <w:i/>
              <w:noProof/>
              <w:lang w:val="de-DE"/>
            </w:rPr>
            <w:t>Arch Otolaryngol Head Neck Surg</w:t>
          </w:r>
          <w:r w:rsidRPr="000531B2">
            <w:rPr>
              <w:noProof/>
              <w:lang w:val="de-DE"/>
            </w:rPr>
            <w:t>,</w:t>
          </w:r>
          <w:r w:rsidRPr="000531B2">
            <w:rPr>
              <w:i/>
              <w:noProof/>
              <w:lang w:val="de-DE"/>
            </w:rPr>
            <w:t xml:space="preserve"> 119</w:t>
          </w:r>
          <w:r w:rsidRPr="000531B2">
            <w:rPr>
              <w:noProof/>
              <w:lang w:val="de-DE"/>
            </w:rPr>
            <w:t xml:space="preserve">(8), 887-890. </w:t>
          </w:r>
          <w:hyperlink r:id="rId85" w:history="1">
            <w:r w:rsidRPr="000531B2">
              <w:rPr>
                <w:rStyle w:val="Hyperlink"/>
                <w:rFonts w:cs="Calibri"/>
                <w:noProof/>
                <w:lang w:val="de-DE"/>
              </w:rPr>
              <w:t>https://doi.org/10.1001/archotol.1993.01880200093013</w:t>
            </w:r>
          </w:hyperlink>
          <w:r w:rsidRPr="000531B2">
            <w:rPr>
              <w:noProof/>
              <w:lang w:val="de-DE"/>
            </w:rPr>
            <w:t xml:space="preserve"> </w:t>
          </w:r>
          <w:bookmarkEnd w:id="145"/>
        </w:p>
        <w:p w14:paraId="12424A7E" w14:textId="6C3D2887" w:rsidR="009D0F7A" w:rsidRPr="000531B2" w:rsidRDefault="009D0F7A" w:rsidP="009D0F7A">
          <w:pPr>
            <w:pStyle w:val="EndNoteBibliography"/>
            <w:spacing w:after="0"/>
            <w:ind w:left="720" w:hanging="720"/>
            <w:rPr>
              <w:noProof/>
              <w:lang w:val="de-DE"/>
            </w:rPr>
          </w:pPr>
          <w:bookmarkStart w:id="146" w:name="_ENREF_43"/>
          <w:r w:rsidRPr="000531B2">
            <w:rPr>
              <w:noProof/>
              <w:lang w:val="de-DE"/>
            </w:rPr>
            <w:t xml:space="preserve">Klussmann, J. P., Weissenborn, S. J., Wieland, U., Dries, V., Eckel, H. E., Pfister, H. J., &amp; Fuchs, P. G. (2003). </w:t>
          </w:r>
          <w:r w:rsidRPr="009D0F7A">
            <w:rPr>
              <w:noProof/>
            </w:rPr>
            <w:t xml:space="preserve">Human papillomavirus-positive tonsillar carcinomas: a different tumor entity? </w:t>
          </w:r>
          <w:r w:rsidRPr="009D0F7A">
            <w:rPr>
              <w:i/>
              <w:noProof/>
            </w:rPr>
            <w:t>Med Microbiol Immunol</w:t>
          </w:r>
          <w:r w:rsidRPr="009D0F7A">
            <w:rPr>
              <w:noProof/>
            </w:rPr>
            <w:t>,</w:t>
          </w:r>
          <w:r w:rsidRPr="009D0F7A">
            <w:rPr>
              <w:i/>
              <w:noProof/>
            </w:rPr>
            <w:t xml:space="preserve"> 192</w:t>
          </w:r>
          <w:r w:rsidRPr="009D0F7A">
            <w:rPr>
              <w:noProof/>
            </w:rPr>
            <w:t xml:space="preserve">(3), 129-132. </w:t>
          </w:r>
          <w:hyperlink r:id="rId86" w:history="1">
            <w:r w:rsidRPr="000531B2">
              <w:rPr>
                <w:rStyle w:val="Hyperlink"/>
                <w:rFonts w:cs="Calibri"/>
                <w:noProof/>
                <w:lang w:val="de-DE"/>
              </w:rPr>
              <w:t>https://doi.org/10.1007/s00430-002-0126-1</w:t>
            </w:r>
          </w:hyperlink>
          <w:r w:rsidRPr="000531B2">
            <w:rPr>
              <w:noProof/>
              <w:lang w:val="de-DE"/>
            </w:rPr>
            <w:t xml:space="preserve"> </w:t>
          </w:r>
          <w:bookmarkEnd w:id="146"/>
        </w:p>
        <w:p w14:paraId="6968BE5D" w14:textId="5DE78B89" w:rsidR="009D0F7A" w:rsidRPr="000531B2" w:rsidRDefault="009D0F7A" w:rsidP="009D0F7A">
          <w:pPr>
            <w:pStyle w:val="EndNoteBibliography"/>
            <w:spacing w:after="0"/>
            <w:ind w:left="720" w:hanging="720"/>
            <w:rPr>
              <w:noProof/>
              <w:lang w:val="de-DE"/>
            </w:rPr>
          </w:pPr>
          <w:bookmarkStart w:id="147" w:name="_ENREF_44"/>
          <w:r w:rsidRPr="000531B2">
            <w:rPr>
              <w:noProof/>
              <w:lang w:val="de-DE"/>
            </w:rPr>
            <w:t xml:space="preserve">Klussmann, J. P., Weissenborn, S. J., Wieland, U., Dries, V., Kolligs, J., Jungehuelsing, M., Eckel, H. E., Dienes, H. P., Pfister, H. J., &amp; Fuchs, P. G. (2001). </w:t>
          </w:r>
          <w:r w:rsidRPr="009D0F7A">
            <w:rPr>
              <w:noProof/>
            </w:rPr>
            <w:t xml:space="preserve">Prevalence, distribution, and viral load of human papillomavirus 16 DNA in tonsillar carcinomas. </w:t>
          </w:r>
          <w:r w:rsidRPr="000531B2">
            <w:rPr>
              <w:i/>
              <w:noProof/>
              <w:lang w:val="de-DE"/>
            </w:rPr>
            <w:t>Cancer</w:t>
          </w:r>
          <w:r w:rsidRPr="000531B2">
            <w:rPr>
              <w:noProof/>
              <w:lang w:val="de-DE"/>
            </w:rPr>
            <w:t>,</w:t>
          </w:r>
          <w:r w:rsidRPr="000531B2">
            <w:rPr>
              <w:i/>
              <w:noProof/>
              <w:lang w:val="de-DE"/>
            </w:rPr>
            <w:t xml:space="preserve"> 92</w:t>
          </w:r>
          <w:r w:rsidRPr="000531B2">
            <w:rPr>
              <w:noProof/>
              <w:lang w:val="de-DE"/>
            </w:rPr>
            <w:t xml:space="preserve">(11), 2875-2884. </w:t>
          </w:r>
          <w:hyperlink r:id="rId87" w:history="1">
            <w:r w:rsidRPr="000531B2">
              <w:rPr>
                <w:rStyle w:val="Hyperlink"/>
                <w:rFonts w:cs="Calibri"/>
                <w:noProof/>
                <w:lang w:val="de-DE"/>
              </w:rPr>
              <w:t>https://doi.org/10.1002/1097-0142(20011201)92:11</w:t>
            </w:r>
          </w:hyperlink>
          <w:r w:rsidRPr="000531B2">
            <w:rPr>
              <w:noProof/>
              <w:lang w:val="de-DE"/>
            </w:rPr>
            <w:t xml:space="preserve">&lt;2875::aid-cncr10130&gt;3.0.co;2-7 </w:t>
          </w:r>
          <w:bookmarkEnd w:id="147"/>
        </w:p>
        <w:p w14:paraId="3ACB5DC9" w14:textId="4B9FC31C" w:rsidR="009D0F7A" w:rsidRPr="000531B2" w:rsidRDefault="009D0F7A" w:rsidP="009D0F7A">
          <w:pPr>
            <w:pStyle w:val="EndNoteBibliography"/>
            <w:spacing w:after="0"/>
            <w:ind w:left="720" w:hanging="720"/>
            <w:rPr>
              <w:noProof/>
              <w:lang w:val="de-DE"/>
            </w:rPr>
          </w:pPr>
          <w:bookmarkStart w:id="148" w:name="_ENREF_45"/>
          <w:r w:rsidRPr="000531B2">
            <w:rPr>
              <w:noProof/>
              <w:lang w:val="de-DE"/>
            </w:rPr>
            <w:t xml:space="preserve">Kononen, J., Bubendorf, L., Kallioniemi, A., Barlund, M., Schraml, P., Leighton, S., Torhorst, J., Mihatsch, M. J., Sauter, G., &amp; Kallioniemi, O. P. (1998). </w:t>
          </w:r>
          <w:r w:rsidRPr="009D0F7A">
            <w:rPr>
              <w:noProof/>
            </w:rPr>
            <w:t xml:space="preserve">Tissue microarrays for high-throughput molecular profiling of tumor specimens. </w:t>
          </w:r>
          <w:r w:rsidRPr="000531B2">
            <w:rPr>
              <w:i/>
              <w:noProof/>
              <w:lang w:val="de-DE"/>
            </w:rPr>
            <w:t>Nat Med</w:t>
          </w:r>
          <w:r w:rsidRPr="000531B2">
            <w:rPr>
              <w:noProof/>
              <w:lang w:val="de-DE"/>
            </w:rPr>
            <w:t>,</w:t>
          </w:r>
          <w:r w:rsidRPr="000531B2">
            <w:rPr>
              <w:i/>
              <w:noProof/>
              <w:lang w:val="de-DE"/>
            </w:rPr>
            <w:t xml:space="preserve"> 4</w:t>
          </w:r>
          <w:r w:rsidRPr="000531B2">
            <w:rPr>
              <w:noProof/>
              <w:lang w:val="de-DE"/>
            </w:rPr>
            <w:t xml:space="preserve">(7), 844-847. </w:t>
          </w:r>
          <w:hyperlink r:id="rId88" w:history="1">
            <w:r w:rsidRPr="000531B2">
              <w:rPr>
                <w:rStyle w:val="Hyperlink"/>
                <w:rFonts w:cs="Calibri"/>
                <w:noProof/>
                <w:lang w:val="de-DE"/>
              </w:rPr>
              <w:t>https://doi.org/10.1038/nm0798-844</w:t>
            </w:r>
          </w:hyperlink>
          <w:r w:rsidRPr="000531B2">
            <w:rPr>
              <w:noProof/>
              <w:lang w:val="de-DE"/>
            </w:rPr>
            <w:t xml:space="preserve"> </w:t>
          </w:r>
          <w:bookmarkEnd w:id="148"/>
        </w:p>
        <w:p w14:paraId="313305D9" w14:textId="497BEF9B" w:rsidR="009D0F7A" w:rsidRPr="000531B2" w:rsidRDefault="009D0F7A" w:rsidP="009D0F7A">
          <w:pPr>
            <w:pStyle w:val="EndNoteBibliography"/>
            <w:spacing w:after="0"/>
            <w:ind w:left="720" w:hanging="720"/>
            <w:rPr>
              <w:noProof/>
              <w:lang w:val="de-DE"/>
            </w:rPr>
          </w:pPr>
          <w:bookmarkStart w:id="149" w:name="_ENREF_46"/>
          <w:r w:rsidRPr="000531B2">
            <w:rPr>
              <w:noProof/>
              <w:lang w:val="de-DE"/>
            </w:rPr>
            <w:t xml:space="preserve">Krause, M., Yaromina, A., Eicheler, W., Koch, U., &amp; Baumann, M. (2011). </w:t>
          </w:r>
          <w:r w:rsidRPr="009D0F7A">
            <w:rPr>
              <w:noProof/>
            </w:rPr>
            <w:t xml:space="preserve">Cancer stem cells: targets and potential biomarkers for radiotherapy. </w:t>
          </w:r>
          <w:r w:rsidRPr="009D0F7A">
            <w:rPr>
              <w:i/>
              <w:noProof/>
            </w:rPr>
            <w:t>Clin Cancer Res</w:t>
          </w:r>
          <w:r w:rsidRPr="009D0F7A">
            <w:rPr>
              <w:noProof/>
            </w:rPr>
            <w:t>,</w:t>
          </w:r>
          <w:r w:rsidRPr="009D0F7A">
            <w:rPr>
              <w:i/>
              <w:noProof/>
            </w:rPr>
            <w:t xml:space="preserve"> 17</w:t>
          </w:r>
          <w:r w:rsidRPr="009D0F7A">
            <w:rPr>
              <w:noProof/>
            </w:rPr>
            <w:t xml:space="preserve">(23), 7224-7229. </w:t>
          </w:r>
          <w:hyperlink r:id="rId89" w:history="1">
            <w:r w:rsidRPr="000531B2">
              <w:rPr>
                <w:rStyle w:val="Hyperlink"/>
                <w:rFonts w:cs="Calibri"/>
                <w:noProof/>
                <w:lang w:val="de-DE"/>
              </w:rPr>
              <w:t>https://doi.org/10.1158/1078-0432.Ccr-10-2639</w:t>
            </w:r>
          </w:hyperlink>
          <w:r w:rsidRPr="000531B2">
            <w:rPr>
              <w:noProof/>
              <w:lang w:val="de-DE"/>
            </w:rPr>
            <w:t xml:space="preserve"> </w:t>
          </w:r>
          <w:bookmarkEnd w:id="149"/>
        </w:p>
        <w:p w14:paraId="0CC7460D" w14:textId="544675B8" w:rsidR="009D0F7A" w:rsidRPr="000531B2" w:rsidRDefault="009D0F7A" w:rsidP="009D0F7A">
          <w:pPr>
            <w:pStyle w:val="EndNoteBibliography"/>
            <w:spacing w:after="0"/>
            <w:ind w:left="720" w:hanging="720"/>
            <w:rPr>
              <w:noProof/>
              <w:lang w:val="de-DE"/>
            </w:rPr>
          </w:pPr>
          <w:bookmarkStart w:id="150" w:name="_ENREF_47"/>
          <w:r w:rsidRPr="000531B2">
            <w:rPr>
              <w:noProof/>
              <w:lang w:val="de-DE"/>
            </w:rPr>
            <w:t xml:space="preserve">Lenarz, T., &amp; Boenninghaus, H. G. (2012). </w:t>
          </w:r>
          <w:r w:rsidRPr="000531B2">
            <w:rPr>
              <w:i/>
              <w:noProof/>
              <w:lang w:val="de-DE"/>
            </w:rPr>
            <w:t>Hals-Nasen-Ohren-Heilkunde</w:t>
          </w:r>
          <w:r w:rsidRPr="000531B2">
            <w:rPr>
              <w:noProof/>
              <w:lang w:val="de-DE"/>
            </w:rPr>
            <w:t xml:space="preserve">. Springer Berlin Heidelberg. </w:t>
          </w:r>
          <w:hyperlink r:id="rId90" w:history="1">
            <w:r w:rsidRPr="000531B2">
              <w:rPr>
                <w:rStyle w:val="Hyperlink"/>
                <w:rFonts w:cs="Calibri"/>
                <w:noProof/>
                <w:lang w:val="de-DE"/>
              </w:rPr>
              <w:t>https://books.google.ne/books?id=RLGr7gRB0kUC</w:t>
            </w:r>
          </w:hyperlink>
          <w:r w:rsidRPr="000531B2">
            <w:rPr>
              <w:noProof/>
              <w:lang w:val="de-DE"/>
            </w:rPr>
            <w:t xml:space="preserve"> </w:t>
          </w:r>
          <w:bookmarkEnd w:id="150"/>
        </w:p>
        <w:p w14:paraId="7B087E7D" w14:textId="7396E3FC" w:rsidR="009D0F7A" w:rsidRPr="009D0F7A" w:rsidRDefault="009D0F7A" w:rsidP="009D0F7A">
          <w:pPr>
            <w:pStyle w:val="EndNoteBibliography"/>
            <w:spacing w:after="0"/>
            <w:ind w:left="720" w:hanging="720"/>
            <w:rPr>
              <w:noProof/>
            </w:rPr>
          </w:pPr>
          <w:bookmarkStart w:id="151" w:name="_ENREF_48"/>
          <w:r w:rsidRPr="000531B2">
            <w:rPr>
              <w:noProof/>
              <w:lang w:val="de-DE"/>
            </w:rPr>
            <w:t xml:space="preserve">Lindel, K., Beer, K. T., Laissue, J., Greiner, R. H., &amp; Aebersold, D. M. (2001). </w:t>
          </w:r>
          <w:r w:rsidRPr="009D0F7A">
            <w:rPr>
              <w:noProof/>
            </w:rPr>
            <w:t xml:space="preserve">Human papillomavirus positive squamous cell carcinoma of the oropharynx: a radiosensitive subgroup of head and neck carcinoma. </w:t>
          </w:r>
          <w:r w:rsidRPr="009D0F7A">
            <w:rPr>
              <w:i/>
              <w:noProof/>
            </w:rPr>
            <w:t>Cancer</w:t>
          </w:r>
          <w:r w:rsidRPr="009D0F7A">
            <w:rPr>
              <w:noProof/>
            </w:rPr>
            <w:t>,</w:t>
          </w:r>
          <w:r w:rsidRPr="009D0F7A">
            <w:rPr>
              <w:i/>
              <w:noProof/>
            </w:rPr>
            <w:t xml:space="preserve"> 92</w:t>
          </w:r>
          <w:r w:rsidRPr="009D0F7A">
            <w:rPr>
              <w:noProof/>
            </w:rPr>
            <w:t xml:space="preserve">(4), 805-813. </w:t>
          </w:r>
          <w:hyperlink r:id="rId91" w:history="1">
            <w:r w:rsidRPr="009D0F7A">
              <w:rPr>
                <w:rStyle w:val="Hyperlink"/>
                <w:rFonts w:cs="Calibri"/>
                <w:noProof/>
              </w:rPr>
              <w:t>https://doi.org/10.1002/1097-0142(20010815)92:4</w:t>
            </w:r>
          </w:hyperlink>
          <w:r w:rsidRPr="009D0F7A">
            <w:rPr>
              <w:noProof/>
            </w:rPr>
            <w:t xml:space="preserve">&lt;805::aid-cncr1386&gt;3.0.co;2-9 </w:t>
          </w:r>
          <w:bookmarkEnd w:id="151"/>
        </w:p>
        <w:p w14:paraId="7298C1A1" w14:textId="084E3881" w:rsidR="009D0F7A" w:rsidRPr="009D0F7A" w:rsidRDefault="009D0F7A" w:rsidP="009D0F7A">
          <w:pPr>
            <w:pStyle w:val="EndNoteBibliography"/>
            <w:spacing w:after="0"/>
            <w:ind w:left="720" w:hanging="720"/>
            <w:rPr>
              <w:noProof/>
            </w:rPr>
          </w:pPr>
          <w:bookmarkStart w:id="152" w:name="_ENREF_49"/>
          <w:r w:rsidRPr="009D0F7A">
            <w:rPr>
              <w:noProof/>
            </w:rPr>
            <w:t xml:space="preserve">Lindquist, D., Romanitan, M., Hammarstedt, L., Näsman, A., Dahlstrand, H., Lindholm, J., Onelöv, L., Ramqvist, T., Ye, W., Munck-Wikland, E., &amp; Dalianis, T. (2007). Human papillomavirus is a favourable prognostic factor in tonsillar cancer and its oncogenic role is supported by the expression of E6 and E7. </w:t>
          </w:r>
          <w:r w:rsidRPr="009D0F7A">
            <w:rPr>
              <w:i/>
              <w:noProof/>
            </w:rPr>
            <w:t>Mol Oncol</w:t>
          </w:r>
          <w:r w:rsidRPr="009D0F7A">
            <w:rPr>
              <w:noProof/>
            </w:rPr>
            <w:t>,</w:t>
          </w:r>
          <w:r w:rsidRPr="009D0F7A">
            <w:rPr>
              <w:i/>
              <w:noProof/>
            </w:rPr>
            <w:t xml:space="preserve"> 1</w:t>
          </w:r>
          <w:r w:rsidRPr="009D0F7A">
            <w:rPr>
              <w:noProof/>
            </w:rPr>
            <w:t xml:space="preserve">(3), 350-355. </w:t>
          </w:r>
          <w:hyperlink r:id="rId92" w:history="1">
            <w:r w:rsidRPr="009D0F7A">
              <w:rPr>
                <w:rStyle w:val="Hyperlink"/>
                <w:rFonts w:cs="Calibri"/>
                <w:noProof/>
              </w:rPr>
              <w:t>https://doi.org/10.1016/j.molonc.2007.08.005</w:t>
            </w:r>
          </w:hyperlink>
          <w:r w:rsidRPr="009D0F7A">
            <w:rPr>
              <w:noProof/>
            </w:rPr>
            <w:t xml:space="preserve"> </w:t>
          </w:r>
          <w:bookmarkEnd w:id="152"/>
        </w:p>
        <w:p w14:paraId="79C982CC" w14:textId="41925397" w:rsidR="009D0F7A" w:rsidRPr="009D0F7A" w:rsidRDefault="009D0F7A" w:rsidP="009D0F7A">
          <w:pPr>
            <w:pStyle w:val="EndNoteBibliography"/>
            <w:spacing w:after="0"/>
            <w:ind w:left="720" w:hanging="720"/>
            <w:rPr>
              <w:noProof/>
            </w:rPr>
          </w:pPr>
          <w:bookmarkStart w:id="153" w:name="_ENREF_50"/>
          <w:r w:rsidRPr="009D0F7A">
            <w:rPr>
              <w:noProof/>
            </w:rPr>
            <w:t xml:space="preserve">Lingen, M. W. (2000). Lucas' pathology of tumors of the oral tissues. </w:t>
          </w:r>
          <w:r w:rsidRPr="009D0F7A">
            <w:rPr>
              <w:i/>
              <w:noProof/>
            </w:rPr>
            <w:t>Arch Pathol Lab Med</w:t>
          </w:r>
          <w:r w:rsidRPr="009D0F7A">
            <w:rPr>
              <w:noProof/>
            </w:rPr>
            <w:t>,</w:t>
          </w:r>
          <w:r w:rsidRPr="009D0F7A">
            <w:rPr>
              <w:i/>
              <w:noProof/>
            </w:rPr>
            <w:t xml:space="preserve"> 124</w:t>
          </w:r>
          <w:r w:rsidRPr="009D0F7A">
            <w:rPr>
              <w:noProof/>
            </w:rPr>
            <w:t xml:space="preserve">(3), 475. </w:t>
          </w:r>
          <w:hyperlink r:id="rId93" w:history="1">
            <w:r w:rsidRPr="009D0F7A">
              <w:rPr>
                <w:rStyle w:val="Hyperlink"/>
                <w:rFonts w:cs="Calibri"/>
                <w:noProof/>
              </w:rPr>
              <w:t>https://www.ncbi.nlm.nih.gov/pubmed/10705417</w:t>
            </w:r>
          </w:hyperlink>
          <w:r w:rsidRPr="009D0F7A">
            <w:rPr>
              <w:noProof/>
            </w:rPr>
            <w:t xml:space="preserve"> </w:t>
          </w:r>
          <w:bookmarkEnd w:id="153"/>
        </w:p>
        <w:p w14:paraId="622BE23E" w14:textId="2C5F2F2E" w:rsidR="009D0F7A" w:rsidRPr="009D0F7A" w:rsidRDefault="009D0F7A" w:rsidP="009D0F7A">
          <w:pPr>
            <w:pStyle w:val="EndNoteBibliography"/>
            <w:spacing w:after="0"/>
            <w:ind w:left="720" w:hanging="720"/>
            <w:rPr>
              <w:noProof/>
            </w:rPr>
          </w:pPr>
          <w:bookmarkStart w:id="154" w:name="_ENREF_51"/>
          <w:r w:rsidRPr="009D0F7A">
            <w:rPr>
              <w:noProof/>
            </w:rPr>
            <w:t xml:space="preserve">Lohaus, F., Linge, A., Tinhofer, I., Budach, V., Gkika, E., Stuschke, M., Balermpas, P., Rodel, C., Avlar, M., Grosu, A. L., Abdollahi, A., Debus, J., Bayer, C., Belka, C., Pigorsch, S., Combs, S. E., Monnich, D., Zips, D., von Neubeck, C.,…Dktk, R. O. G. (2014). HPV16 DNA status is a strong prognosticator of loco-regional control after postoperative radiochemotherapy of locally advanced oropharyngeal carcinoma: results from a multicentre explorative study of the German Cancer Consortium Radiation </w:t>
          </w:r>
          <w:r w:rsidRPr="009D0F7A">
            <w:rPr>
              <w:noProof/>
            </w:rPr>
            <w:lastRenderedPageBreak/>
            <w:t xml:space="preserve">Oncology Group (DKTK-ROG). </w:t>
          </w:r>
          <w:r w:rsidRPr="009D0F7A">
            <w:rPr>
              <w:i/>
              <w:noProof/>
            </w:rPr>
            <w:t>Radiother Oncol</w:t>
          </w:r>
          <w:r w:rsidRPr="009D0F7A">
            <w:rPr>
              <w:noProof/>
            </w:rPr>
            <w:t>,</w:t>
          </w:r>
          <w:r w:rsidRPr="009D0F7A">
            <w:rPr>
              <w:i/>
              <w:noProof/>
            </w:rPr>
            <w:t xml:space="preserve"> 113</w:t>
          </w:r>
          <w:r w:rsidRPr="009D0F7A">
            <w:rPr>
              <w:noProof/>
            </w:rPr>
            <w:t xml:space="preserve">(3), 317-323. </w:t>
          </w:r>
          <w:hyperlink r:id="rId94" w:history="1">
            <w:r w:rsidRPr="009D0F7A">
              <w:rPr>
                <w:rStyle w:val="Hyperlink"/>
                <w:rFonts w:cs="Calibri"/>
                <w:noProof/>
              </w:rPr>
              <w:t>https://doi.org/10.1016/j.radonc.2014.11.011</w:t>
            </w:r>
          </w:hyperlink>
          <w:r w:rsidRPr="009D0F7A">
            <w:rPr>
              <w:noProof/>
            </w:rPr>
            <w:t xml:space="preserve"> </w:t>
          </w:r>
          <w:bookmarkEnd w:id="154"/>
        </w:p>
        <w:p w14:paraId="063E3E5A" w14:textId="0C4FE724" w:rsidR="009D0F7A" w:rsidRPr="000531B2" w:rsidRDefault="009D0F7A" w:rsidP="009D0F7A">
          <w:pPr>
            <w:pStyle w:val="EndNoteBibliography"/>
            <w:spacing w:after="0"/>
            <w:ind w:left="720" w:hanging="720"/>
            <w:rPr>
              <w:noProof/>
              <w:lang w:val="de-DE"/>
            </w:rPr>
          </w:pPr>
          <w:bookmarkStart w:id="155" w:name="_ENREF_52"/>
          <w:r w:rsidRPr="009D0F7A">
            <w:rPr>
              <w:noProof/>
            </w:rPr>
            <w:t xml:space="preserve">Mack, B., &amp; Gires, O. (2008). CD44s and CD44v6 expression in head and neck epithelia. </w:t>
          </w:r>
          <w:r w:rsidRPr="000531B2">
            <w:rPr>
              <w:i/>
              <w:noProof/>
              <w:lang w:val="de-DE"/>
            </w:rPr>
            <w:t>PLoS One</w:t>
          </w:r>
          <w:r w:rsidRPr="000531B2">
            <w:rPr>
              <w:noProof/>
              <w:lang w:val="de-DE"/>
            </w:rPr>
            <w:t>,</w:t>
          </w:r>
          <w:r w:rsidRPr="000531B2">
            <w:rPr>
              <w:i/>
              <w:noProof/>
              <w:lang w:val="de-DE"/>
            </w:rPr>
            <w:t xml:space="preserve"> 3</w:t>
          </w:r>
          <w:r w:rsidRPr="000531B2">
            <w:rPr>
              <w:noProof/>
              <w:lang w:val="de-DE"/>
            </w:rPr>
            <w:t xml:space="preserve">(10), e3360. </w:t>
          </w:r>
          <w:hyperlink r:id="rId95" w:history="1">
            <w:r w:rsidRPr="000531B2">
              <w:rPr>
                <w:rStyle w:val="Hyperlink"/>
                <w:rFonts w:cs="Calibri"/>
                <w:noProof/>
                <w:lang w:val="de-DE"/>
              </w:rPr>
              <w:t>https://doi.org/10.1371/journal.pone.0003360</w:t>
            </w:r>
          </w:hyperlink>
          <w:r w:rsidRPr="000531B2">
            <w:rPr>
              <w:noProof/>
              <w:lang w:val="de-DE"/>
            </w:rPr>
            <w:t xml:space="preserve"> </w:t>
          </w:r>
          <w:bookmarkEnd w:id="155"/>
        </w:p>
        <w:p w14:paraId="19AE4BA3" w14:textId="2191F000" w:rsidR="009D0F7A" w:rsidRPr="009D0F7A" w:rsidRDefault="009D0F7A" w:rsidP="009D0F7A">
          <w:pPr>
            <w:pStyle w:val="EndNoteBibliography"/>
            <w:spacing w:after="0"/>
            <w:ind w:left="720" w:hanging="720"/>
            <w:rPr>
              <w:noProof/>
            </w:rPr>
          </w:pPr>
          <w:bookmarkStart w:id="156" w:name="_ENREF_53"/>
          <w:r w:rsidRPr="000531B2">
            <w:rPr>
              <w:noProof/>
              <w:lang w:val="de-DE"/>
            </w:rPr>
            <w:t xml:space="preserve">MacMillan, C., Kapadia, S. B., Finkelstein, S. D., Nalesnik, M. A., &amp; Barnes, L. (1996). </w:t>
          </w:r>
          <w:r w:rsidRPr="009D0F7A">
            <w:rPr>
              <w:noProof/>
            </w:rPr>
            <w:t xml:space="preserve">Lymphoepithelial carcinoma of the larynx and hypopharynx: study of eight cases with relationship to Epstein-Barr virus and p53 gene alterations, and review of the literature. </w:t>
          </w:r>
          <w:r w:rsidRPr="009D0F7A">
            <w:rPr>
              <w:i/>
              <w:noProof/>
            </w:rPr>
            <w:t>Hum Pathol</w:t>
          </w:r>
          <w:r w:rsidRPr="009D0F7A">
            <w:rPr>
              <w:noProof/>
            </w:rPr>
            <w:t>,</w:t>
          </w:r>
          <w:r w:rsidRPr="009D0F7A">
            <w:rPr>
              <w:i/>
              <w:noProof/>
            </w:rPr>
            <w:t xml:space="preserve"> 27</w:t>
          </w:r>
          <w:r w:rsidRPr="009D0F7A">
            <w:rPr>
              <w:noProof/>
            </w:rPr>
            <w:t xml:space="preserve">(11), 1172-1179. </w:t>
          </w:r>
          <w:hyperlink r:id="rId96" w:history="1">
            <w:r w:rsidRPr="009D0F7A">
              <w:rPr>
                <w:rStyle w:val="Hyperlink"/>
                <w:rFonts w:cs="Calibri"/>
                <w:noProof/>
              </w:rPr>
              <w:t>https://doi.org/10.1016/s0046-8177(96)90311-1</w:t>
            </w:r>
          </w:hyperlink>
          <w:r w:rsidRPr="009D0F7A">
            <w:rPr>
              <w:noProof/>
            </w:rPr>
            <w:t xml:space="preserve"> </w:t>
          </w:r>
          <w:bookmarkEnd w:id="156"/>
        </w:p>
        <w:p w14:paraId="28AF5BCB" w14:textId="7F85DDC7" w:rsidR="009D0F7A" w:rsidRPr="009D0F7A" w:rsidRDefault="009D0F7A" w:rsidP="009D0F7A">
          <w:pPr>
            <w:pStyle w:val="EndNoteBibliography"/>
            <w:spacing w:after="0"/>
            <w:ind w:left="720" w:hanging="720"/>
            <w:rPr>
              <w:noProof/>
            </w:rPr>
          </w:pPr>
          <w:bookmarkStart w:id="157" w:name="_ENREF_54"/>
          <w:r w:rsidRPr="009D0F7A">
            <w:rPr>
              <w:noProof/>
            </w:rPr>
            <w:t xml:space="preserve">Mashberg, A., &amp; Samit, A. (1995). Early diagnosis of asymptomatic oral and oropharyngeal squamous cancers. </w:t>
          </w:r>
          <w:r w:rsidRPr="009D0F7A">
            <w:rPr>
              <w:i/>
              <w:noProof/>
            </w:rPr>
            <w:t>CA Cancer J Clin</w:t>
          </w:r>
          <w:r w:rsidRPr="009D0F7A">
            <w:rPr>
              <w:noProof/>
            </w:rPr>
            <w:t>,</w:t>
          </w:r>
          <w:r w:rsidRPr="009D0F7A">
            <w:rPr>
              <w:i/>
              <w:noProof/>
            </w:rPr>
            <w:t xml:space="preserve"> 45</w:t>
          </w:r>
          <w:r w:rsidRPr="009D0F7A">
            <w:rPr>
              <w:noProof/>
            </w:rPr>
            <w:t xml:space="preserve">(6), 328-351. </w:t>
          </w:r>
          <w:hyperlink r:id="rId97" w:history="1">
            <w:r w:rsidRPr="009D0F7A">
              <w:rPr>
                <w:rStyle w:val="Hyperlink"/>
                <w:rFonts w:cs="Calibri"/>
                <w:noProof/>
              </w:rPr>
              <w:t>https://doi.org/10.3322/canjclin.45.6.328</w:t>
            </w:r>
          </w:hyperlink>
          <w:r w:rsidRPr="009D0F7A">
            <w:rPr>
              <w:noProof/>
            </w:rPr>
            <w:t xml:space="preserve"> </w:t>
          </w:r>
          <w:bookmarkEnd w:id="157"/>
        </w:p>
        <w:p w14:paraId="39E20749" w14:textId="28F30D5B" w:rsidR="009D0F7A" w:rsidRPr="009D0F7A" w:rsidRDefault="009D0F7A" w:rsidP="009D0F7A">
          <w:pPr>
            <w:pStyle w:val="EndNoteBibliography"/>
            <w:spacing w:after="0"/>
            <w:ind w:left="720" w:hanging="720"/>
            <w:rPr>
              <w:noProof/>
            </w:rPr>
          </w:pPr>
          <w:bookmarkStart w:id="158" w:name="_ENREF_55"/>
          <w:r w:rsidRPr="009D0F7A">
            <w:rPr>
              <w:noProof/>
            </w:rPr>
            <w:t xml:space="preserve">Nocito, A., Kononen, J., Kallioniemi, O. P., &amp; Sauter, G. (2001). Tissue microarrays (TMAs) for high-throughput molecular pathology research. </w:t>
          </w:r>
          <w:r w:rsidRPr="009D0F7A">
            <w:rPr>
              <w:i/>
              <w:noProof/>
            </w:rPr>
            <w:t>Int J Cancer</w:t>
          </w:r>
          <w:r w:rsidRPr="009D0F7A">
            <w:rPr>
              <w:noProof/>
            </w:rPr>
            <w:t>,</w:t>
          </w:r>
          <w:r w:rsidRPr="009D0F7A">
            <w:rPr>
              <w:i/>
              <w:noProof/>
            </w:rPr>
            <w:t xml:space="preserve"> 94</w:t>
          </w:r>
          <w:r w:rsidRPr="009D0F7A">
            <w:rPr>
              <w:noProof/>
            </w:rPr>
            <w:t xml:space="preserve">(1), 1-5. </w:t>
          </w:r>
          <w:hyperlink r:id="rId98" w:history="1">
            <w:r w:rsidRPr="009D0F7A">
              <w:rPr>
                <w:rStyle w:val="Hyperlink"/>
                <w:rFonts w:cs="Calibri"/>
                <w:noProof/>
              </w:rPr>
              <w:t>https://doi.org/10.1002/ijc.1385</w:t>
            </w:r>
          </w:hyperlink>
          <w:r w:rsidRPr="009D0F7A">
            <w:rPr>
              <w:noProof/>
            </w:rPr>
            <w:t xml:space="preserve"> </w:t>
          </w:r>
          <w:bookmarkEnd w:id="158"/>
        </w:p>
        <w:p w14:paraId="0FFAC644" w14:textId="298E0DCB" w:rsidR="009D0F7A" w:rsidRPr="009D0F7A" w:rsidRDefault="009D0F7A" w:rsidP="009D0F7A">
          <w:pPr>
            <w:pStyle w:val="EndNoteBibliography"/>
            <w:spacing w:after="0"/>
            <w:ind w:left="720" w:hanging="720"/>
            <w:rPr>
              <w:noProof/>
            </w:rPr>
          </w:pPr>
          <w:bookmarkStart w:id="159" w:name="_ENREF_56"/>
          <w:r w:rsidRPr="009D0F7A">
            <w:rPr>
              <w:noProof/>
            </w:rPr>
            <w:t xml:space="preserve">Odell, E. W., Farthing, P. M., High, A., Potts, J., Soames, J., Thakker, N., Toner, M., &amp; Williams, H. K. (2004). British Society for Oral and Maxillofacial Pathology, UK: minimum curriculum in oral pathology. </w:t>
          </w:r>
          <w:r w:rsidRPr="009D0F7A">
            <w:rPr>
              <w:i/>
              <w:noProof/>
            </w:rPr>
            <w:t>Eur J Dent Educ</w:t>
          </w:r>
          <w:r w:rsidRPr="009D0F7A">
            <w:rPr>
              <w:noProof/>
            </w:rPr>
            <w:t>,</w:t>
          </w:r>
          <w:r w:rsidRPr="009D0F7A">
            <w:rPr>
              <w:i/>
              <w:noProof/>
            </w:rPr>
            <w:t xml:space="preserve"> 8</w:t>
          </w:r>
          <w:r w:rsidRPr="009D0F7A">
            <w:rPr>
              <w:noProof/>
            </w:rPr>
            <w:t xml:space="preserve">(4), 177-184. </w:t>
          </w:r>
          <w:hyperlink r:id="rId99" w:history="1">
            <w:r w:rsidRPr="009D0F7A">
              <w:rPr>
                <w:rStyle w:val="Hyperlink"/>
                <w:rFonts w:cs="Calibri"/>
                <w:noProof/>
              </w:rPr>
              <w:t>https://doi.org/10.1111/j.1600-0579.2004.00350.x</w:t>
            </w:r>
          </w:hyperlink>
          <w:r w:rsidRPr="009D0F7A">
            <w:rPr>
              <w:noProof/>
            </w:rPr>
            <w:t xml:space="preserve"> </w:t>
          </w:r>
          <w:bookmarkEnd w:id="159"/>
        </w:p>
        <w:p w14:paraId="021A9CBC" w14:textId="1685D156" w:rsidR="009D0F7A" w:rsidRPr="009D0F7A" w:rsidRDefault="009D0F7A" w:rsidP="009D0F7A">
          <w:pPr>
            <w:pStyle w:val="EndNoteBibliography"/>
            <w:spacing w:after="0"/>
            <w:ind w:left="720" w:hanging="720"/>
            <w:rPr>
              <w:noProof/>
            </w:rPr>
          </w:pPr>
          <w:bookmarkStart w:id="160" w:name="_ENREF_57"/>
          <w:r w:rsidRPr="009D0F7A">
            <w:rPr>
              <w:noProof/>
            </w:rPr>
            <w:t xml:space="preserve">Paz, I. B., Cook, N., Odom-Maryon, T., Xie, Y., &amp; Wilczynski, S. P. (1997). Human papillomavirus (HPV) in head and neck cancer. An association of HPV 16 with squamous cell carcinoma of Waldeyer's tonsillar ring. </w:t>
          </w:r>
          <w:r w:rsidRPr="009D0F7A">
            <w:rPr>
              <w:i/>
              <w:noProof/>
            </w:rPr>
            <w:t>Cancer</w:t>
          </w:r>
          <w:r w:rsidRPr="009D0F7A">
            <w:rPr>
              <w:noProof/>
            </w:rPr>
            <w:t>,</w:t>
          </w:r>
          <w:r w:rsidRPr="009D0F7A">
            <w:rPr>
              <w:i/>
              <w:noProof/>
            </w:rPr>
            <w:t xml:space="preserve"> 79</w:t>
          </w:r>
          <w:r w:rsidRPr="009D0F7A">
            <w:rPr>
              <w:noProof/>
            </w:rPr>
            <w:t xml:space="preserve">(3), 595-604. </w:t>
          </w:r>
          <w:hyperlink r:id="rId100" w:history="1">
            <w:r w:rsidRPr="009D0F7A">
              <w:rPr>
                <w:rStyle w:val="Hyperlink"/>
                <w:rFonts w:cs="Calibri"/>
                <w:noProof/>
              </w:rPr>
              <w:t>https://doi.org/10.1002/(sici)1097-0142(19970201)79:3</w:t>
            </w:r>
          </w:hyperlink>
          <w:r w:rsidRPr="009D0F7A">
            <w:rPr>
              <w:noProof/>
            </w:rPr>
            <w:t xml:space="preserve">&lt;595::aid-cncr24&gt;3.0.co;2-y </w:t>
          </w:r>
          <w:bookmarkEnd w:id="160"/>
        </w:p>
        <w:p w14:paraId="1F02C0D5" w14:textId="2860E3AA" w:rsidR="009D0F7A" w:rsidRPr="009D0F7A" w:rsidRDefault="009D0F7A" w:rsidP="009D0F7A">
          <w:pPr>
            <w:pStyle w:val="EndNoteBibliography"/>
            <w:spacing w:after="0"/>
            <w:ind w:left="720" w:hanging="720"/>
            <w:rPr>
              <w:noProof/>
            </w:rPr>
          </w:pPr>
          <w:bookmarkStart w:id="161" w:name="_ENREF_58"/>
          <w:r w:rsidRPr="009D0F7A">
            <w:rPr>
              <w:noProof/>
            </w:rPr>
            <w:t xml:space="preserve">Prince, M. E., Sivanandan, R., Kaczorowski, A., Wolf, G. T., Kaplan, M. J., Dalerba, P., Weissman, I. L., Clarke, M. F., &amp; Ailles, L. E. (2007). Identification of a subpopulation of cells with cancer stem cell properties in head and neck squamous cell carcinoma. </w:t>
          </w:r>
          <w:r w:rsidRPr="009D0F7A">
            <w:rPr>
              <w:i/>
              <w:noProof/>
            </w:rPr>
            <w:t>Proc Natl Acad Sci U S A</w:t>
          </w:r>
          <w:r w:rsidRPr="009D0F7A">
            <w:rPr>
              <w:noProof/>
            </w:rPr>
            <w:t>,</w:t>
          </w:r>
          <w:r w:rsidRPr="009D0F7A">
            <w:rPr>
              <w:i/>
              <w:noProof/>
            </w:rPr>
            <w:t xml:space="preserve"> 104</w:t>
          </w:r>
          <w:r w:rsidRPr="009D0F7A">
            <w:rPr>
              <w:noProof/>
            </w:rPr>
            <w:t xml:space="preserve">(3), 973-978. </w:t>
          </w:r>
          <w:hyperlink r:id="rId101" w:history="1">
            <w:r w:rsidRPr="009D0F7A">
              <w:rPr>
                <w:rStyle w:val="Hyperlink"/>
                <w:rFonts w:cs="Calibri"/>
                <w:noProof/>
              </w:rPr>
              <w:t>https://doi.org/10.1073/pnas.0610117104</w:t>
            </w:r>
          </w:hyperlink>
          <w:r w:rsidRPr="009D0F7A">
            <w:rPr>
              <w:noProof/>
            </w:rPr>
            <w:t xml:space="preserve"> </w:t>
          </w:r>
          <w:bookmarkEnd w:id="161"/>
        </w:p>
        <w:p w14:paraId="1B9958B5" w14:textId="3FA3D16C" w:rsidR="009D0F7A" w:rsidRPr="000531B2" w:rsidRDefault="009D0F7A" w:rsidP="009D0F7A">
          <w:pPr>
            <w:pStyle w:val="EndNoteBibliography"/>
            <w:spacing w:after="0"/>
            <w:ind w:left="720" w:hanging="720"/>
            <w:rPr>
              <w:noProof/>
              <w:lang w:val="de-DE"/>
            </w:rPr>
          </w:pPr>
          <w:bookmarkStart w:id="162" w:name="_ENREF_59"/>
          <w:r w:rsidRPr="009D0F7A">
            <w:rPr>
              <w:noProof/>
            </w:rPr>
            <w:t xml:space="preserve">Raslan, W. F., Barnes, L., Krause, J. R., Contis, L., Killeen, R., &amp; Kapadia, S. B. (1994). Basaloid squamous cell carcinoma of the head and neck: a clinicopathologic and flow cytometric study of 10 new cases with review of the English literature. </w:t>
          </w:r>
          <w:r w:rsidRPr="000531B2">
            <w:rPr>
              <w:i/>
              <w:noProof/>
              <w:lang w:val="de-DE"/>
            </w:rPr>
            <w:t>Am J Otolaryngol</w:t>
          </w:r>
          <w:r w:rsidRPr="000531B2">
            <w:rPr>
              <w:noProof/>
              <w:lang w:val="de-DE"/>
            </w:rPr>
            <w:t>,</w:t>
          </w:r>
          <w:r w:rsidRPr="000531B2">
            <w:rPr>
              <w:i/>
              <w:noProof/>
              <w:lang w:val="de-DE"/>
            </w:rPr>
            <w:t xml:space="preserve"> 15</w:t>
          </w:r>
          <w:r w:rsidRPr="000531B2">
            <w:rPr>
              <w:noProof/>
              <w:lang w:val="de-DE"/>
            </w:rPr>
            <w:t xml:space="preserve">(3), 204-211. </w:t>
          </w:r>
          <w:hyperlink r:id="rId102" w:history="1">
            <w:r w:rsidRPr="000531B2">
              <w:rPr>
                <w:rStyle w:val="Hyperlink"/>
                <w:rFonts w:cs="Calibri"/>
                <w:noProof/>
                <w:lang w:val="de-DE"/>
              </w:rPr>
              <w:t>https://doi.org/10.1016/0196-0709(94)90006-x</w:t>
            </w:r>
          </w:hyperlink>
          <w:r w:rsidRPr="000531B2">
            <w:rPr>
              <w:noProof/>
              <w:lang w:val="de-DE"/>
            </w:rPr>
            <w:t xml:space="preserve"> </w:t>
          </w:r>
          <w:bookmarkEnd w:id="162"/>
        </w:p>
        <w:p w14:paraId="5161F686" w14:textId="18828F3F" w:rsidR="009D0F7A" w:rsidRPr="000531B2" w:rsidRDefault="009D0F7A" w:rsidP="009D0F7A">
          <w:pPr>
            <w:pStyle w:val="EndNoteBibliography"/>
            <w:spacing w:after="0"/>
            <w:ind w:left="720" w:hanging="720"/>
            <w:rPr>
              <w:noProof/>
              <w:lang w:val="de-DE"/>
            </w:rPr>
          </w:pPr>
          <w:bookmarkStart w:id="163" w:name="_ENREF_60"/>
          <w:r w:rsidRPr="000531B2">
            <w:rPr>
              <w:noProof/>
              <w:lang w:val="de-DE"/>
            </w:rPr>
            <w:t xml:space="preserve">Ritchie, J. M., Smith, E. M., Summersgill, K. F., Hoffman, H. T., Wang, D., Klussmann, J. P., Turek, L. P., &amp; Haugen, T. H. (2003). </w:t>
          </w:r>
          <w:r w:rsidRPr="009D0F7A">
            <w:rPr>
              <w:noProof/>
            </w:rPr>
            <w:t xml:space="preserve">Human papillomavirus infection as a prognostic factor in carcinomas of the oral cavity and oropharynx. </w:t>
          </w:r>
          <w:r w:rsidRPr="000531B2">
            <w:rPr>
              <w:i/>
              <w:noProof/>
              <w:lang w:val="de-DE"/>
            </w:rPr>
            <w:t>Int J Cancer</w:t>
          </w:r>
          <w:r w:rsidRPr="000531B2">
            <w:rPr>
              <w:noProof/>
              <w:lang w:val="de-DE"/>
            </w:rPr>
            <w:t>,</w:t>
          </w:r>
          <w:r w:rsidRPr="000531B2">
            <w:rPr>
              <w:i/>
              <w:noProof/>
              <w:lang w:val="de-DE"/>
            </w:rPr>
            <w:t xml:space="preserve"> 104</w:t>
          </w:r>
          <w:r w:rsidRPr="000531B2">
            <w:rPr>
              <w:noProof/>
              <w:lang w:val="de-DE"/>
            </w:rPr>
            <w:t xml:space="preserve">(3), 336-344. </w:t>
          </w:r>
          <w:hyperlink r:id="rId103" w:history="1">
            <w:r w:rsidRPr="000531B2">
              <w:rPr>
                <w:rStyle w:val="Hyperlink"/>
                <w:rFonts w:cs="Calibri"/>
                <w:noProof/>
                <w:lang w:val="de-DE"/>
              </w:rPr>
              <w:t>https://doi.org/10.1002/ijc.10960</w:t>
            </w:r>
          </w:hyperlink>
          <w:r w:rsidRPr="000531B2">
            <w:rPr>
              <w:noProof/>
              <w:lang w:val="de-DE"/>
            </w:rPr>
            <w:t xml:space="preserve"> </w:t>
          </w:r>
          <w:bookmarkEnd w:id="163"/>
        </w:p>
        <w:p w14:paraId="1C329925" w14:textId="77777777" w:rsidR="009D0F7A" w:rsidRPr="000531B2" w:rsidRDefault="009D0F7A" w:rsidP="009D0F7A">
          <w:pPr>
            <w:pStyle w:val="EndNoteBibliography"/>
            <w:spacing w:after="0"/>
            <w:ind w:left="720" w:hanging="720"/>
            <w:rPr>
              <w:noProof/>
              <w:lang w:val="de-DE"/>
            </w:rPr>
          </w:pPr>
          <w:bookmarkStart w:id="164" w:name="_ENREF_61"/>
          <w:r w:rsidRPr="000531B2">
            <w:rPr>
              <w:noProof/>
              <w:lang w:val="de-DE"/>
            </w:rPr>
            <w:t xml:space="preserve">RKI. (2021). </w:t>
          </w:r>
          <w:r w:rsidRPr="000531B2">
            <w:rPr>
              <w:i/>
              <w:noProof/>
              <w:lang w:val="de-DE"/>
            </w:rPr>
            <w:t>Krebs in Deutschland für 2017/2018 13. Auflage Berlin</w:t>
          </w:r>
          <w:r w:rsidRPr="000531B2">
            <w:rPr>
              <w:noProof/>
              <w:lang w:val="de-DE"/>
            </w:rPr>
            <w:t xml:space="preserve">. </w:t>
          </w:r>
          <w:bookmarkEnd w:id="164"/>
        </w:p>
        <w:p w14:paraId="1F79CC66" w14:textId="0F313559" w:rsidR="009D0F7A" w:rsidRPr="009D0F7A" w:rsidRDefault="009D0F7A" w:rsidP="009D0F7A">
          <w:pPr>
            <w:pStyle w:val="EndNoteBibliography"/>
            <w:spacing w:after="0"/>
            <w:ind w:left="720" w:hanging="720"/>
            <w:rPr>
              <w:noProof/>
            </w:rPr>
          </w:pPr>
          <w:bookmarkStart w:id="165" w:name="_ENREF_62"/>
          <w:r w:rsidRPr="000531B2">
            <w:rPr>
              <w:noProof/>
              <w:lang w:val="de-DE"/>
            </w:rPr>
            <w:t xml:space="preserve">Sabatini, M. E., &amp; Chiocca, S. (2019). </w:t>
          </w:r>
          <w:r w:rsidRPr="009D0F7A">
            <w:rPr>
              <w:noProof/>
            </w:rPr>
            <w:t xml:space="preserve">Human papillomavirus as a driver of head and neck cancers. </w:t>
          </w:r>
          <w:r w:rsidRPr="009D0F7A">
            <w:rPr>
              <w:i/>
              <w:noProof/>
            </w:rPr>
            <w:t>British Journal of Cancer</w:t>
          </w:r>
          <w:r w:rsidRPr="009D0F7A">
            <w:rPr>
              <w:noProof/>
            </w:rPr>
            <w:t>,</w:t>
          </w:r>
          <w:r w:rsidRPr="009D0F7A">
            <w:rPr>
              <w:i/>
              <w:noProof/>
            </w:rPr>
            <w:t xml:space="preserve"> 122</w:t>
          </w:r>
          <w:r w:rsidRPr="009D0F7A">
            <w:rPr>
              <w:noProof/>
            </w:rPr>
            <w:t xml:space="preserve">(3), 306-314. </w:t>
          </w:r>
          <w:hyperlink r:id="rId104" w:history="1">
            <w:r w:rsidRPr="009D0F7A">
              <w:rPr>
                <w:rStyle w:val="Hyperlink"/>
                <w:rFonts w:cs="Calibri"/>
                <w:noProof/>
              </w:rPr>
              <w:t>https://doi.org/10.1038/s41416-019-0602-7</w:t>
            </w:r>
          </w:hyperlink>
          <w:r w:rsidRPr="009D0F7A">
            <w:rPr>
              <w:noProof/>
            </w:rPr>
            <w:t xml:space="preserve"> </w:t>
          </w:r>
          <w:bookmarkEnd w:id="165"/>
        </w:p>
        <w:p w14:paraId="1C435BA0" w14:textId="1E309392" w:rsidR="009D0F7A" w:rsidRPr="000531B2" w:rsidRDefault="009D0F7A" w:rsidP="009D0F7A">
          <w:pPr>
            <w:pStyle w:val="EndNoteBibliography"/>
            <w:spacing w:after="0"/>
            <w:ind w:left="720" w:hanging="720"/>
            <w:rPr>
              <w:noProof/>
              <w:lang w:val="de-DE"/>
            </w:rPr>
          </w:pPr>
          <w:bookmarkStart w:id="166" w:name="_ENREF_63"/>
          <w:r w:rsidRPr="009D0F7A">
            <w:rPr>
              <w:noProof/>
            </w:rPr>
            <w:t xml:space="preserve">Schmincke, A. (1921). </w:t>
          </w:r>
          <w:r w:rsidRPr="000531B2">
            <w:rPr>
              <w:i/>
              <w:noProof/>
              <w:lang w:val="de-DE"/>
            </w:rPr>
            <w:t>Beitrage zur pathologischen Anatomie und allgemeinen Pathologie</w:t>
          </w:r>
          <w:r w:rsidRPr="000531B2">
            <w:rPr>
              <w:noProof/>
              <w:lang w:val="de-DE"/>
            </w:rPr>
            <w:t xml:space="preserve">. Gustav Fischer Verlag. </w:t>
          </w:r>
          <w:hyperlink r:id="rId105" w:history="1">
            <w:r w:rsidRPr="000531B2">
              <w:rPr>
                <w:rStyle w:val="Hyperlink"/>
                <w:rFonts w:cs="Calibri"/>
                <w:noProof/>
                <w:lang w:val="de-DE"/>
              </w:rPr>
              <w:t>https://books.google.de/books?id=F3pMAQAAMAAJ</w:t>
            </w:r>
          </w:hyperlink>
          <w:r w:rsidRPr="000531B2">
            <w:rPr>
              <w:noProof/>
              <w:lang w:val="de-DE"/>
            </w:rPr>
            <w:t xml:space="preserve"> </w:t>
          </w:r>
          <w:bookmarkEnd w:id="166"/>
        </w:p>
        <w:p w14:paraId="2186664E" w14:textId="59B121D3" w:rsidR="009D0F7A" w:rsidRPr="009D0F7A" w:rsidRDefault="009D0F7A" w:rsidP="009D0F7A">
          <w:pPr>
            <w:pStyle w:val="EndNoteBibliography"/>
            <w:spacing w:after="0"/>
            <w:ind w:left="720" w:hanging="720"/>
            <w:rPr>
              <w:noProof/>
            </w:rPr>
          </w:pPr>
          <w:bookmarkStart w:id="167" w:name="_ENREF_64"/>
          <w:r w:rsidRPr="000531B2">
            <w:rPr>
              <w:noProof/>
              <w:lang w:val="de-DE"/>
            </w:rPr>
            <w:t xml:space="preserve">Shi, W., Kato, H., Perez-Ordonez, B., Pintilie, M., Huang, S., Hui, A., O'Sullivan, B., Waldron, J., Cummings, B., Kim, J., Ringash, J., Dawson, L. A., Gullane, P., Siu, L., Gillison, M., &amp; Liu, F. F. (2009). </w:t>
          </w:r>
          <w:r w:rsidRPr="009D0F7A">
            <w:rPr>
              <w:noProof/>
            </w:rPr>
            <w:t xml:space="preserve">Comparative prognostic value of HPV16 E6 mRNA compared with in situ hybridization for human oropharyngeal squamous carcinoma. </w:t>
          </w:r>
          <w:r w:rsidRPr="009D0F7A">
            <w:rPr>
              <w:i/>
              <w:noProof/>
            </w:rPr>
            <w:t>J Clin Oncol</w:t>
          </w:r>
          <w:r w:rsidRPr="009D0F7A">
            <w:rPr>
              <w:noProof/>
            </w:rPr>
            <w:t>,</w:t>
          </w:r>
          <w:r w:rsidRPr="009D0F7A">
            <w:rPr>
              <w:i/>
              <w:noProof/>
            </w:rPr>
            <w:t xml:space="preserve"> 27</w:t>
          </w:r>
          <w:r w:rsidRPr="009D0F7A">
            <w:rPr>
              <w:noProof/>
            </w:rPr>
            <w:t xml:space="preserve">(36), 6213-6221. </w:t>
          </w:r>
          <w:hyperlink r:id="rId106" w:history="1">
            <w:r w:rsidRPr="009D0F7A">
              <w:rPr>
                <w:rStyle w:val="Hyperlink"/>
                <w:rFonts w:cs="Calibri"/>
                <w:noProof/>
              </w:rPr>
              <w:t>https://doi.org/10.1200/JCO.2009.23.1670</w:t>
            </w:r>
          </w:hyperlink>
          <w:r w:rsidRPr="009D0F7A">
            <w:rPr>
              <w:noProof/>
            </w:rPr>
            <w:t xml:space="preserve"> </w:t>
          </w:r>
          <w:bookmarkEnd w:id="167"/>
        </w:p>
        <w:p w14:paraId="24CAD38A" w14:textId="68E84202" w:rsidR="009D0F7A" w:rsidRPr="009D0F7A" w:rsidRDefault="009D0F7A" w:rsidP="009D0F7A">
          <w:pPr>
            <w:pStyle w:val="EndNoteBibliography"/>
            <w:spacing w:after="0"/>
            <w:ind w:left="720" w:hanging="720"/>
            <w:rPr>
              <w:noProof/>
            </w:rPr>
          </w:pPr>
          <w:bookmarkStart w:id="168" w:name="_ENREF_65"/>
          <w:r w:rsidRPr="009D0F7A">
            <w:rPr>
              <w:noProof/>
            </w:rPr>
            <w:t xml:space="preserve">Smith, E. M., Ritchie, J. M., Summersgill, K. F., Klussmann, J. P., Lee, J. H., Wang, D., Haugen, T. H., &amp; Turek, L. P. (2004). Age, sexual behavior and human papillomavirus infection in oral cavity and oropharyngeal cancers. </w:t>
          </w:r>
          <w:r w:rsidRPr="009D0F7A">
            <w:rPr>
              <w:i/>
              <w:noProof/>
            </w:rPr>
            <w:t>Int J Cancer</w:t>
          </w:r>
          <w:r w:rsidRPr="009D0F7A">
            <w:rPr>
              <w:noProof/>
            </w:rPr>
            <w:t>,</w:t>
          </w:r>
          <w:r w:rsidRPr="009D0F7A">
            <w:rPr>
              <w:i/>
              <w:noProof/>
            </w:rPr>
            <w:t xml:space="preserve"> 108</w:t>
          </w:r>
          <w:r w:rsidRPr="009D0F7A">
            <w:rPr>
              <w:noProof/>
            </w:rPr>
            <w:t xml:space="preserve">(5), 766-772. </w:t>
          </w:r>
          <w:hyperlink r:id="rId107" w:history="1">
            <w:r w:rsidRPr="009D0F7A">
              <w:rPr>
                <w:rStyle w:val="Hyperlink"/>
                <w:rFonts w:cs="Calibri"/>
                <w:noProof/>
              </w:rPr>
              <w:t>https://doi.org/10.1002/ijc.11633</w:t>
            </w:r>
          </w:hyperlink>
          <w:r w:rsidRPr="009D0F7A">
            <w:rPr>
              <w:noProof/>
            </w:rPr>
            <w:t xml:space="preserve"> </w:t>
          </w:r>
          <w:bookmarkEnd w:id="168"/>
        </w:p>
        <w:p w14:paraId="6BAC8B88" w14:textId="782D2623" w:rsidR="009D0F7A" w:rsidRPr="009D0F7A" w:rsidRDefault="009D0F7A" w:rsidP="009D0F7A">
          <w:pPr>
            <w:pStyle w:val="EndNoteBibliography"/>
            <w:spacing w:after="0"/>
            <w:ind w:left="720" w:hanging="720"/>
            <w:rPr>
              <w:noProof/>
            </w:rPr>
          </w:pPr>
          <w:bookmarkStart w:id="169" w:name="_ENREF_66"/>
          <w:r w:rsidRPr="009D0F7A">
            <w:rPr>
              <w:noProof/>
            </w:rPr>
            <w:t xml:space="preserve">Snijders, P. J., Cromme, F. V., van den Brule, A. J., Schrijnemakers, H. F., Snow, G. B., Meijer, C. J., &amp; Walboomers, J. M. (1992). Prevalence and expression of human papillomavirus in tonsillar carcinomas, indicating a possible viral etiology. </w:t>
          </w:r>
          <w:r w:rsidRPr="009D0F7A">
            <w:rPr>
              <w:i/>
              <w:noProof/>
            </w:rPr>
            <w:t>Int J Cancer</w:t>
          </w:r>
          <w:r w:rsidRPr="009D0F7A">
            <w:rPr>
              <w:noProof/>
            </w:rPr>
            <w:t>,</w:t>
          </w:r>
          <w:r w:rsidRPr="009D0F7A">
            <w:rPr>
              <w:i/>
              <w:noProof/>
            </w:rPr>
            <w:t xml:space="preserve"> 51</w:t>
          </w:r>
          <w:r w:rsidRPr="009D0F7A">
            <w:rPr>
              <w:noProof/>
            </w:rPr>
            <w:t xml:space="preserve">(6), 845-850. </w:t>
          </w:r>
          <w:hyperlink r:id="rId108" w:history="1">
            <w:r w:rsidRPr="009D0F7A">
              <w:rPr>
                <w:rStyle w:val="Hyperlink"/>
                <w:rFonts w:cs="Calibri"/>
                <w:noProof/>
              </w:rPr>
              <w:t>https://doi.org/10.1002/ijc.2910510602</w:t>
            </w:r>
          </w:hyperlink>
          <w:r w:rsidRPr="009D0F7A">
            <w:rPr>
              <w:noProof/>
            </w:rPr>
            <w:t xml:space="preserve"> </w:t>
          </w:r>
          <w:bookmarkEnd w:id="169"/>
        </w:p>
        <w:p w14:paraId="70D9A8D7" w14:textId="2F8E303E" w:rsidR="009D0F7A" w:rsidRPr="000531B2" w:rsidRDefault="009D0F7A" w:rsidP="009D0F7A">
          <w:pPr>
            <w:pStyle w:val="EndNoteBibliography"/>
            <w:spacing w:after="0"/>
            <w:ind w:left="720" w:hanging="720"/>
            <w:rPr>
              <w:noProof/>
              <w:lang w:val="de-DE"/>
            </w:rPr>
          </w:pPr>
          <w:bookmarkStart w:id="170" w:name="_ENREF_67"/>
          <w:r w:rsidRPr="009D0F7A">
            <w:rPr>
              <w:noProof/>
            </w:rPr>
            <w:t xml:space="preserve">Sturgis, E. M., &amp; Cinciripini, P. M. (2007). Trends in head and neck cancer incidence in relation to smoking prevalence: an emerging epidemic of human papillomavirus-associated cancers? </w:t>
          </w:r>
          <w:r w:rsidRPr="000531B2">
            <w:rPr>
              <w:i/>
              <w:noProof/>
              <w:lang w:val="de-DE"/>
            </w:rPr>
            <w:t>Cancer</w:t>
          </w:r>
          <w:r w:rsidRPr="000531B2">
            <w:rPr>
              <w:noProof/>
              <w:lang w:val="de-DE"/>
            </w:rPr>
            <w:t>,</w:t>
          </w:r>
          <w:r w:rsidRPr="000531B2">
            <w:rPr>
              <w:i/>
              <w:noProof/>
              <w:lang w:val="de-DE"/>
            </w:rPr>
            <w:t xml:space="preserve"> 110</w:t>
          </w:r>
          <w:r w:rsidRPr="000531B2">
            <w:rPr>
              <w:noProof/>
              <w:lang w:val="de-DE"/>
            </w:rPr>
            <w:t xml:space="preserve">(7), 1429-1435. </w:t>
          </w:r>
          <w:hyperlink r:id="rId109" w:history="1">
            <w:r w:rsidRPr="000531B2">
              <w:rPr>
                <w:rStyle w:val="Hyperlink"/>
                <w:rFonts w:cs="Calibri"/>
                <w:noProof/>
                <w:lang w:val="de-DE"/>
              </w:rPr>
              <w:t>https://doi.org/10.1002/cncr.22963</w:t>
            </w:r>
          </w:hyperlink>
          <w:r w:rsidRPr="000531B2">
            <w:rPr>
              <w:noProof/>
              <w:lang w:val="de-DE"/>
            </w:rPr>
            <w:t xml:space="preserve"> </w:t>
          </w:r>
          <w:bookmarkEnd w:id="170"/>
        </w:p>
        <w:p w14:paraId="1BFD44DA" w14:textId="582D6C83" w:rsidR="009D0F7A" w:rsidRPr="009D0F7A" w:rsidRDefault="009D0F7A" w:rsidP="009D0F7A">
          <w:pPr>
            <w:pStyle w:val="EndNoteBibliography"/>
            <w:spacing w:after="0"/>
            <w:ind w:left="720" w:hanging="720"/>
            <w:rPr>
              <w:noProof/>
            </w:rPr>
          </w:pPr>
          <w:bookmarkStart w:id="171" w:name="_ENREF_68"/>
          <w:r w:rsidRPr="000531B2">
            <w:rPr>
              <w:noProof/>
              <w:lang w:val="de-DE"/>
            </w:rPr>
            <w:lastRenderedPageBreak/>
            <w:t xml:space="preserve">Syrjanen, K., Syrjanen, S., &amp; Pyrhonen, S. (1982). </w:t>
          </w:r>
          <w:r w:rsidRPr="009D0F7A">
            <w:rPr>
              <w:noProof/>
            </w:rPr>
            <w:t xml:space="preserve">Human papilloma virus (HPV) antigens in lesions of laryngeal squamous cell carcinomas. </w:t>
          </w:r>
          <w:r w:rsidRPr="009D0F7A">
            <w:rPr>
              <w:i/>
              <w:noProof/>
            </w:rPr>
            <w:t>ORL J Otorhinolaryngol Relat Spec</w:t>
          </w:r>
          <w:r w:rsidRPr="009D0F7A">
            <w:rPr>
              <w:noProof/>
            </w:rPr>
            <w:t>,</w:t>
          </w:r>
          <w:r w:rsidRPr="009D0F7A">
            <w:rPr>
              <w:i/>
              <w:noProof/>
            </w:rPr>
            <w:t xml:space="preserve"> 44</w:t>
          </w:r>
          <w:r w:rsidRPr="009D0F7A">
            <w:rPr>
              <w:noProof/>
            </w:rPr>
            <w:t xml:space="preserve">(6), 323-334. </w:t>
          </w:r>
          <w:hyperlink r:id="rId110" w:history="1">
            <w:r w:rsidRPr="009D0F7A">
              <w:rPr>
                <w:rStyle w:val="Hyperlink"/>
                <w:rFonts w:cs="Calibri"/>
                <w:noProof/>
              </w:rPr>
              <w:t>https://doi.org/10.1159/000275612</w:t>
            </w:r>
          </w:hyperlink>
          <w:r w:rsidRPr="009D0F7A">
            <w:rPr>
              <w:noProof/>
            </w:rPr>
            <w:t xml:space="preserve"> </w:t>
          </w:r>
          <w:bookmarkEnd w:id="171"/>
        </w:p>
        <w:p w14:paraId="6BE87103" w14:textId="230A2C2F" w:rsidR="009D0F7A" w:rsidRPr="009D0F7A" w:rsidRDefault="009D0F7A" w:rsidP="009D0F7A">
          <w:pPr>
            <w:pStyle w:val="EndNoteBibliography"/>
            <w:spacing w:after="0"/>
            <w:ind w:left="720" w:hanging="720"/>
            <w:rPr>
              <w:noProof/>
            </w:rPr>
          </w:pPr>
          <w:bookmarkStart w:id="172" w:name="_ENREF_69"/>
          <w:r w:rsidRPr="009D0F7A">
            <w:rPr>
              <w:noProof/>
            </w:rPr>
            <w:t xml:space="preserve">Thompson, L. (2006). World Health Organization classification of tumours: pathology and genetics of head and neck tumours. </w:t>
          </w:r>
          <w:r w:rsidRPr="009D0F7A">
            <w:rPr>
              <w:i/>
              <w:noProof/>
            </w:rPr>
            <w:t>Ear Nose Throat J</w:t>
          </w:r>
          <w:r w:rsidRPr="009D0F7A">
            <w:rPr>
              <w:noProof/>
            </w:rPr>
            <w:t>,</w:t>
          </w:r>
          <w:r w:rsidRPr="009D0F7A">
            <w:rPr>
              <w:i/>
              <w:noProof/>
            </w:rPr>
            <w:t xml:space="preserve"> 85</w:t>
          </w:r>
          <w:r w:rsidRPr="009D0F7A">
            <w:rPr>
              <w:noProof/>
            </w:rPr>
            <w:t xml:space="preserve">(2), 74. </w:t>
          </w:r>
          <w:hyperlink r:id="rId111" w:history="1">
            <w:r w:rsidRPr="009D0F7A">
              <w:rPr>
                <w:rStyle w:val="Hyperlink"/>
                <w:rFonts w:cs="Calibri"/>
                <w:noProof/>
              </w:rPr>
              <w:t>https://www.ncbi.nlm.nih.gov/pubmed/16579185</w:t>
            </w:r>
          </w:hyperlink>
          <w:r w:rsidRPr="009D0F7A">
            <w:rPr>
              <w:noProof/>
            </w:rPr>
            <w:t xml:space="preserve"> </w:t>
          </w:r>
          <w:bookmarkEnd w:id="172"/>
        </w:p>
        <w:p w14:paraId="53205135" w14:textId="3B05AD5C" w:rsidR="009D0F7A" w:rsidRPr="009D0F7A" w:rsidRDefault="009D0F7A" w:rsidP="009D0F7A">
          <w:pPr>
            <w:pStyle w:val="EndNoteBibliography"/>
            <w:spacing w:after="0"/>
            <w:ind w:left="720" w:hanging="720"/>
            <w:rPr>
              <w:noProof/>
            </w:rPr>
          </w:pPr>
          <w:bookmarkStart w:id="173" w:name="_ENREF_70"/>
          <w:r w:rsidRPr="000531B2">
            <w:rPr>
              <w:noProof/>
              <w:lang w:val="de-DE"/>
            </w:rPr>
            <w:t xml:space="preserve">Thompson, L. D., Wieneke, J. A., Miettinen, M., &amp; Heffner, D. K. (2002). </w:t>
          </w:r>
          <w:r w:rsidRPr="009D0F7A">
            <w:rPr>
              <w:noProof/>
            </w:rPr>
            <w:t xml:space="preserve">Spindle cell (sarcomatoid) carcinomas of the larynx: a clinicopathologic study of 187 cases. </w:t>
          </w:r>
          <w:r w:rsidRPr="009D0F7A">
            <w:rPr>
              <w:i/>
              <w:noProof/>
            </w:rPr>
            <w:t>Am J Surg Pathol</w:t>
          </w:r>
          <w:r w:rsidRPr="009D0F7A">
            <w:rPr>
              <w:noProof/>
            </w:rPr>
            <w:t>,</w:t>
          </w:r>
          <w:r w:rsidRPr="009D0F7A">
            <w:rPr>
              <w:i/>
              <w:noProof/>
            </w:rPr>
            <w:t xml:space="preserve"> 26</w:t>
          </w:r>
          <w:r w:rsidRPr="009D0F7A">
            <w:rPr>
              <w:noProof/>
            </w:rPr>
            <w:t xml:space="preserve">(2), 153-170. </w:t>
          </w:r>
          <w:hyperlink r:id="rId112" w:history="1">
            <w:r w:rsidRPr="009D0F7A">
              <w:rPr>
                <w:rStyle w:val="Hyperlink"/>
                <w:rFonts w:cs="Calibri"/>
                <w:noProof/>
              </w:rPr>
              <w:t>https://doi.org/10.1097/00000478-200202000-00002</w:t>
            </w:r>
          </w:hyperlink>
          <w:r w:rsidRPr="009D0F7A">
            <w:rPr>
              <w:noProof/>
            </w:rPr>
            <w:t xml:space="preserve"> </w:t>
          </w:r>
          <w:bookmarkEnd w:id="173"/>
        </w:p>
        <w:p w14:paraId="586D4FAA" w14:textId="7FE80D41" w:rsidR="009D0F7A" w:rsidRPr="009D0F7A" w:rsidRDefault="009D0F7A" w:rsidP="009D0F7A">
          <w:pPr>
            <w:pStyle w:val="EndNoteBibliography"/>
            <w:spacing w:after="0"/>
            <w:ind w:left="720" w:hanging="720"/>
            <w:rPr>
              <w:noProof/>
            </w:rPr>
          </w:pPr>
          <w:bookmarkStart w:id="174" w:name="_ENREF_71"/>
          <w:r w:rsidRPr="009D0F7A">
            <w:rPr>
              <w:noProof/>
            </w:rPr>
            <w:t xml:space="preserve">Thompson, L. D. R., &amp; Bishop, J. A. (2017). </w:t>
          </w:r>
          <w:r w:rsidRPr="009D0F7A">
            <w:rPr>
              <w:i/>
              <w:noProof/>
            </w:rPr>
            <w:t>Head and Neck Pathology E-Book: A Volume in the Series: Foundations in Diagnostic Pathology</w:t>
          </w:r>
          <w:r w:rsidRPr="009D0F7A">
            <w:rPr>
              <w:noProof/>
            </w:rPr>
            <w:t xml:space="preserve">. Elsevier Health Sciences. </w:t>
          </w:r>
          <w:hyperlink r:id="rId113" w:history="1">
            <w:r w:rsidRPr="009D0F7A">
              <w:rPr>
                <w:rStyle w:val="Hyperlink"/>
                <w:rFonts w:cs="Calibri"/>
                <w:noProof/>
              </w:rPr>
              <w:t>https://books.google.de/books?id=zNZCDwAAQBAJ</w:t>
            </w:r>
          </w:hyperlink>
          <w:r w:rsidRPr="009D0F7A">
            <w:rPr>
              <w:noProof/>
            </w:rPr>
            <w:t xml:space="preserve"> </w:t>
          </w:r>
          <w:bookmarkEnd w:id="174"/>
        </w:p>
        <w:p w14:paraId="03EB02B8" w14:textId="43DAC696" w:rsidR="009D0F7A" w:rsidRPr="000531B2" w:rsidRDefault="009D0F7A" w:rsidP="009D0F7A">
          <w:pPr>
            <w:pStyle w:val="EndNoteBibliography"/>
            <w:spacing w:after="0"/>
            <w:ind w:left="720" w:hanging="720"/>
            <w:rPr>
              <w:noProof/>
              <w:lang w:val="de-DE"/>
            </w:rPr>
          </w:pPr>
          <w:bookmarkStart w:id="175" w:name="_ENREF_72"/>
          <w:r w:rsidRPr="009D0F7A">
            <w:rPr>
              <w:noProof/>
            </w:rPr>
            <w:t xml:space="preserve">Thurnher, D., Grasl, M., Erovic, B. M., &amp; Lercher, P. (2010). </w:t>
          </w:r>
          <w:r w:rsidRPr="000531B2">
            <w:rPr>
              <w:i/>
              <w:noProof/>
              <w:lang w:val="de-DE"/>
            </w:rPr>
            <w:t>HNO-Heilkunde: Ein symptomorientiertes Lehrbuch</w:t>
          </w:r>
          <w:r w:rsidRPr="000531B2">
            <w:rPr>
              <w:noProof/>
              <w:lang w:val="de-DE"/>
            </w:rPr>
            <w:t xml:space="preserve">. Springer Vienna. </w:t>
          </w:r>
          <w:hyperlink r:id="rId114" w:history="1">
            <w:r w:rsidRPr="000531B2">
              <w:rPr>
                <w:rStyle w:val="Hyperlink"/>
                <w:rFonts w:cs="Calibri"/>
                <w:noProof/>
                <w:lang w:val="de-DE"/>
              </w:rPr>
              <w:t>https://books.google.de/books?id=RnJovwEACAAJ</w:t>
            </w:r>
          </w:hyperlink>
          <w:r w:rsidRPr="000531B2">
            <w:rPr>
              <w:noProof/>
              <w:lang w:val="de-DE"/>
            </w:rPr>
            <w:t xml:space="preserve"> </w:t>
          </w:r>
          <w:bookmarkEnd w:id="175"/>
        </w:p>
        <w:p w14:paraId="79D4173D" w14:textId="3BCD57DE" w:rsidR="009D0F7A" w:rsidRPr="009D0F7A" w:rsidRDefault="009D0F7A" w:rsidP="009D0F7A">
          <w:pPr>
            <w:pStyle w:val="EndNoteBibliography"/>
            <w:spacing w:after="0"/>
            <w:ind w:left="720" w:hanging="720"/>
            <w:rPr>
              <w:noProof/>
            </w:rPr>
          </w:pPr>
          <w:bookmarkStart w:id="176" w:name="_ENREF_73"/>
          <w:r w:rsidRPr="000531B2">
            <w:rPr>
              <w:noProof/>
              <w:lang w:val="de-DE"/>
            </w:rPr>
            <w:t xml:space="preserve">Vokes, E. E., Weichselbaum, R. R., Lippman, S. M., &amp; Hong, W. K. (1993). </w:t>
          </w:r>
          <w:r w:rsidRPr="009D0F7A">
            <w:rPr>
              <w:noProof/>
            </w:rPr>
            <w:t xml:space="preserve">Head and neck cancer. </w:t>
          </w:r>
          <w:r w:rsidRPr="009D0F7A">
            <w:rPr>
              <w:i/>
              <w:noProof/>
            </w:rPr>
            <w:t>N Engl J Med</w:t>
          </w:r>
          <w:r w:rsidRPr="009D0F7A">
            <w:rPr>
              <w:noProof/>
            </w:rPr>
            <w:t>,</w:t>
          </w:r>
          <w:r w:rsidRPr="009D0F7A">
            <w:rPr>
              <w:i/>
              <w:noProof/>
            </w:rPr>
            <w:t xml:space="preserve"> 328</w:t>
          </w:r>
          <w:r w:rsidRPr="009D0F7A">
            <w:rPr>
              <w:noProof/>
            </w:rPr>
            <w:t xml:space="preserve">(3), 184-194. </w:t>
          </w:r>
          <w:hyperlink r:id="rId115" w:history="1">
            <w:r w:rsidRPr="009D0F7A">
              <w:rPr>
                <w:rStyle w:val="Hyperlink"/>
                <w:rFonts w:cs="Calibri"/>
                <w:noProof/>
              </w:rPr>
              <w:t>https://doi.org/10.1056/NEJM199301213280306</w:t>
            </w:r>
          </w:hyperlink>
          <w:r w:rsidRPr="009D0F7A">
            <w:rPr>
              <w:noProof/>
            </w:rPr>
            <w:t xml:space="preserve"> </w:t>
          </w:r>
          <w:bookmarkEnd w:id="176"/>
        </w:p>
        <w:p w14:paraId="1E93B8A5" w14:textId="4A89596B" w:rsidR="009D0F7A" w:rsidRPr="009D0F7A" w:rsidRDefault="009D0F7A" w:rsidP="009D0F7A">
          <w:pPr>
            <w:pStyle w:val="EndNoteBibliography"/>
            <w:spacing w:after="0"/>
            <w:ind w:left="720" w:hanging="720"/>
            <w:rPr>
              <w:noProof/>
            </w:rPr>
          </w:pPr>
          <w:bookmarkStart w:id="177" w:name="_ENREF_74"/>
          <w:r w:rsidRPr="009D0F7A">
            <w:rPr>
              <w:noProof/>
            </w:rPr>
            <w:t xml:space="preserve">Weinberger, P. M., Yu, Z., Haffty, B. G., Kowalski, D., Harigopal, M., Brandsma, J., Sasaki, C., Joe, J., Camp, R. L., Rimm, D. L., &amp; Psyrri, A. (2006). Molecular classification identifies a subset of human papillomavirus--associated oropharyngeal cancers with favorable prognosis. </w:t>
          </w:r>
          <w:r w:rsidRPr="009D0F7A">
            <w:rPr>
              <w:i/>
              <w:noProof/>
            </w:rPr>
            <w:t>J Clin Oncol</w:t>
          </w:r>
          <w:r w:rsidRPr="009D0F7A">
            <w:rPr>
              <w:noProof/>
            </w:rPr>
            <w:t>,</w:t>
          </w:r>
          <w:r w:rsidRPr="009D0F7A">
            <w:rPr>
              <w:i/>
              <w:noProof/>
            </w:rPr>
            <w:t xml:space="preserve"> 24</w:t>
          </w:r>
          <w:r w:rsidRPr="009D0F7A">
            <w:rPr>
              <w:noProof/>
            </w:rPr>
            <w:t xml:space="preserve">(5), 736-747. </w:t>
          </w:r>
          <w:hyperlink r:id="rId116" w:history="1">
            <w:r w:rsidRPr="009D0F7A">
              <w:rPr>
                <w:rStyle w:val="Hyperlink"/>
                <w:rFonts w:cs="Calibri"/>
                <w:noProof/>
              </w:rPr>
              <w:t>https://doi.org/10.1200/JCO.2004.00.3335</w:t>
            </w:r>
          </w:hyperlink>
          <w:r w:rsidRPr="009D0F7A">
            <w:rPr>
              <w:noProof/>
            </w:rPr>
            <w:t xml:space="preserve"> </w:t>
          </w:r>
          <w:bookmarkEnd w:id="177"/>
        </w:p>
        <w:p w14:paraId="29BC5E3F" w14:textId="108A80A1" w:rsidR="009D0F7A" w:rsidRPr="000531B2" w:rsidRDefault="009D0F7A" w:rsidP="009D0F7A">
          <w:pPr>
            <w:pStyle w:val="EndNoteBibliography"/>
            <w:spacing w:after="0"/>
            <w:ind w:left="720" w:hanging="720"/>
            <w:rPr>
              <w:noProof/>
              <w:lang w:val="de-DE"/>
            </w:rPr>
          </w:pPr>
          <w:bookmarkStart w:id="178" w:name="_ENREF_75"/>
          <w:r w:rsidRPr="009D0F7A">
            <w:rPr>
              <w:noProof/>
            </w:rPr>
            <w:t xml:space="preserve">Wicha, M. S., Liu, S., &amp; Dontu, G. (2006). Cancer stem cells: an old idea--a paradigm shift. </w:t>
          </w:r>
          <w:r w:rsidRPr="000531B2">
            <w:rPr>
              <w:i/>
              <w:noProof/>
              <w:lang w:val="de-DE"/>
            </w:rPr>
            <w:t>Cancer Res</w:t>
          </w:r>
          <w:r w:rsidRPr="000531B2">
            <w:rPr>
              <w:noProof/>
              <w:lang w:val="de-DE"/>
            </w:rPr>
            <w:t>,</w:t>
          </w:r>
          <w:r w:rsidRPr="000531B2">
            <w:rPr>
              <w:i/>
              <w:noProof/>
              <w:lang w:val="de-DE"/>
            </w:rPr>
            <w:t xml:space="preserve"> 66</w:t>
          </w:r>
          <w:r w:rsidRPr="000531B2">
            <w:rPr>
              <w:noProof/>
              <w:lang w:val="de-DE"/>
            </w:rPr>
            <w:t xml:space="preserve">(4), 1883-1890; discussion 1895-1886. </w:t>
          </w:r>
          <w:hyperlink r:id="rId117" w:history="1">
            <w:r w:rsidRPr="000531B2">
              <w:rPr>
                <w:rStyle w:val="Hyperlink"/>
                <w:rFonts w:cs="Calibri"/>
                <w:noProof/>
                <w:lang w:val="de-DE"/>
              </w:rPr>
              <w:t>https://doi.org/10.1158/0008-5472.Can-05-3153</w:t>
            </w:r>
          </w:hyperlink>
          <w:r w:rsidRPr="000531B2">
            <w:rPr>
              <w:noProof/>
              <w:lang w:val="de-DE"/>
            </w:rPr>
            <w:t xml:space="preserve"> </w:t>
          </w:r>
          <w:bookmarkEnd w:id="178"/>
        </w:p>
        <w:p w14:paraId="36B221F6" w14:textId="2EE8FC76" w:rsidR="009D0F7A" w:rsidRPr="009D0F7A" w:rsidRDefault="009D0F7A" w:rsidP="009D0F7A">
          <w:pPr>
            <w:pStyle w:val="EndNoteBibliography"/>
            <w:spacing w:after="0"/>
            <w:ind w:left="720" w:hanging="720"/>
            <w:rPr>
              <w:noProof/>
            </w:rPr>
          </w:pPr>
          <w:bookmarkStart w:id="179" w:name="_ENREF_76"/>
          <w:r w:rsidRPr="000531B2">
            <w:rPr>
              <w:noProof/>
              <w:lang w:val="de-DE"/>
            </w:rPr>
            <w:t xml:space="preserve">Wittekind, C. (2013). </w:t>
          </w:r>
          <w:r w:rsidRPr="000531B2">
            <w:rPr>
              <w:i/>
              <w:noProof/>
              <w:lang w:val="de-DE"/>
            </w:rPr>
            <w:t>TNM-Supplement: Erlauterungen Zur Einheitlichen Anwendung</w:t>
          </w:r>
          <w:r w:rsidRPr="000531B2">
            <w:rPr>
              <w:noProof/>
              <w:lang w:val="de-DE"/>
            </w:rPr>
            <w:t xml:space="preserve">. </w:t>
          </w:r>
          <w:r w:rsidRPr="009D0F7A">
            <w:rPr>
              <w:noProof/>
            </w:rPr>
            <w:t xml:space="preserve">Wiley-VCH. </w:t>
          </w:r>
          <w:hyperlink r:id="rId118" w:history="1">
            <w:r w:rsidRPr="009D0F7A">
              <w:rPr>
                <w:rStyle w:val="Hyperlink"/>
                <w:rFonts w:cs="Calibri"/>
                <w:noProof/>
              </w:rPr>
              <w:t>https://books.google.de/books?id=8MGpBAAAQBAJ</w:t>
            </w:r>
          </w:hyperlink>
          <w:r w:rsidRPr="009D0F7A">
            <w:rPr>
              <w:noProof/>
            </w:rPr>
            <w:t xml:space="preserve"> </w:t>
          </w:r>
          <w:bookmarkEnd w:id="179"/>
        </w:p>
        <w:p w14:paraId="294E5445" w14:textId="55473982" w:rsidR="009D0F7A" w:rsidRPr="009D0F7A" w:rsidRDefault="009D0F7A" w:rsidP="009D0F7A">
          <w:pPr>
            <w:pStyle w:val="EndNoteBibliography"/>
            <w:ind w:left="720" w:hanging="720"/>
          </w:pPr>
          <w:bookmarkStart w:id="180" w:name="_ENREF_77"/>
          <w:r w:rsidRPr="009D0F7A">
            <w:rPr>
              <w:noProof/>
            </w:rPr>
            <w:t xml:space="preserve">Zhang, Q., Shi, S., Yen, Y., Brown, J., Ta, J. Q., &amp; Le, A. D. (2010). A subpopulation of CD133(+) cancer stem-like cells characterized in human oral squamous cell carcinoma confer resistance to chemotherapy. </w:t>
          </w:r>
          <w:r w:rsidRPr="009D0F7A">
            <w:rPr>
              <w:i/>
              <w:noProof/>
            </w:rPr>
            <w:t>Cancer Lett</w:t>
          </w:r>
          <w:r w:rsidRPr="009D0F7A">
            <w:rPr>
              <w:noProof/>
            </w:rPr>
            <w:t>,</w:t>
          </w:r>
          <w:r w:rsidRPr="009D0F7A">
            <w:rPr>
              <w:i/>
              <w:noProof/>
            </w:rPr>
            <w:t xml:space="preserve"> 289</w:t>
          </w:r>
          <w:r w:rsidRPr="009D0F7A">
            <w:rPr>
              <w:noProof/>
            </w:rPr>
            <w:t xml:space="preserve">(2), 151-160. </w:t>
          </w:r>
          <w:hyperlink r:id="rId119" w:history="1">
            <w:r w:rsidRPr="009D0F7A">
              <w:rPr>
                <w:rStyle w:val="Hyperlink"/>
                <w:rFonts w:cs="Calibri"/>
                <w:noProof/>
              </w:rPr>
              <w:t>https://doi.org/10.1016/j.canlet.2009.08.010</w:t>
            </w:r>
          </w:hyperlink>
          <w:r w:rsidRPr="009D0F7A">
            <w:rPr>
              <w:noProof/>
            </w:rPr>
            <w:t xml:space="preserve"> </w:t>
          </w:r>
        </w:p>
        <w:bookmarkEnd w:id="180" w:displacedByCustomXml="next"/>
      </w:sdtContent>
    </w:sdt>
    <w:p w14:paraId="0C34114E" w14:textId="717B7BEE" w:rsidR="00336A54" w:rsidRDefault="00336A54" w:rsidP="00E24C7A">
      <w:pPr>
        <w:jc w:val="left"/>
        <w:rPr>
          <w:rFonts w:cs="Arial"/>
          <w:color w:val="000000" w:themeColor="text1"/>
        </w:rPr>
      </w:pPr>
    </w:p>
    <w:sectPr w:rsidR="00336A54" w:rsidSect="00AB18EC">
      <w:type w:val="continuous"/>
      <w:pgSz w:w="11906" w:h="16838"/>
      <w:pgMar w:top="720" w:right="720" w:bottom="720" w:left="720" w:header="709" w:footer="709" w:gutter="0"/>
      <w:pgNumType w:fmt="upperRoman"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FCF59" w14:textId="77777777" w:rsidR="007D685A" w:rsidRDefault="007D685A" w:rsidP="00C43807">
      <w:pPr>
        <w:spacing w:line="240" w:lineRule="auto"/>
      </w:pPr>
      <w:r>
        <w:separator/>
      </w:r>
    </w:p>
  </w:endnote>
  <w:endnote w:type="continuationSeparator" w:id="0">
    <w:p w14:paraId="7EC73F6F" w14:textId="77777777" w:rsidR="007D685A" w:rsidRDefault="007D685A" w:rsidP="00C43807">
      <w:pPr>
        <w:spacing w:line="240" w:lineRule="auto"/>
      </w:pPr>
      <w:r>
        <w:continuationSeparator/>
      </w:r>
    </w:p>
  </w:endnote>
  <w:endnote w:type="continuationNotice" w:id="1">
    <w:p w14:paraId="7D54FB46" w14:textId="77777777" w:rsidR="007D685A" w:rsidRDefault="007D685A">
      <w:pPr>
        <w:spacing w:line="240" w:lineRule="auto"/>
      </w:pPr>
    </w:p>
  </w:endnote>
  <w:endnote w:id="2">
    <w:p w14:paraId="6C56E0FA" w14:textId="26816E70" w:rsidR="008B57DE" w:rsidRDefault="008B57DE">
      <w:pPr>
        <w:pStyle w:val="Endnotentext"/>
      </w:pPr>
      <w:r>
        <w:rPr>
          <w:rStyle w:val="Endnotenzeichen"/>
        </w:rPr>
        <w:endnoteRef/>
      </w:r>
      <w:r>
        <w:t xml:space="preserve"> </w:t>
      </w:r>
    </w:p>
  </w:endnote>
  <w:endnote w:id="3">
    <w:p w14:paraId="5330A290" w14:textId="2D525714" w:rsidR="008B57DE" w:rsidRDefault="008B57DE">
      <w:pPr>
        <w:pStyle w:val="Endnotentext"/>
      </w:pPr>
      <w:r>
        <w:rPr>
          <w:rStyle w:val="Endnotenzeichen"/>
        </w:rPr>
        <w:endnoteRef/>
      </w:r>
      <w:r>
        <w:t xml:space="preserve"> </w:t>
      </w:r>
      <w:r>
        <w:fldChar w:fldCharType="begin"/>
      </w:r>
      <w:r>
        <w:instrText xml:space="preserve"> ADDIN ZOTERO_ITEM CSL_CITATION {"citationID":"DKM5sh1T","properties":{"formattedCitation":"F. Lohaus u.\\uc0\\u160{}a., \\uc0\\u8222{}HPV16 DNA status is a strong prognosticator of loco-regional control after postoperative radiochemotherapy of locally advanced oropharyngeal carcinoma: results from a multicentre explorative study of the German Cancer Consortium Radiation Oncology Group (DKTK-ROG)\\uc0\\u8220{}, {\\i{}Radiother Oncol} 113, Nr. 3 (Dezember 2014): 317\\uc0\\u8211{}23, https://doi.org/10/f6wk2b.","plainCitation":"F. Lohaus u. a., „HPV16 DNA status is a strong prognosticator of loco-regional control after postoperative radiochemotherapy of locally advanced oropharyngeal carcinoma: results from a multicentre explorative study of the German Cancer Consortium Radiation Oncology Group (DKTK-ROG)“, Radiother Oncol 113, Nr. 3 (Dezember 2014): 317–23, https://doi.org/10/f6wk2b.","noteIndex":2},"citationItems":[{"id":111,"uris":["http://zotero.org/users/3921014/items/VNG4TIT3"],"itemData":{"id":111,"type":"article-journal","abstract":"OBJECTIVE: To investigate the impact of HPV status in patients with locally advanced head and neck squamous cell carcinoma (HNSCC), who received surgery and cisplatin-based postoperative radiochemotherapy. MATERIALS AND METHODS: For 221 patients with locally advanced squamous cell carcinoma of the hypopharynx, oropharynx or oral cavity treated at the 8 partner sites of the German Cancer Consortium, the impact of HPV DNA, p16 overexpression and p53 expression on outcome were retrospectively analysed. The primary endpoint was loco-regional tumour control; secondary endpoints were distant metastases and overall survival. RESULTS: In the total patient population, univariate analyses revealed a significant impact of HPV16 DNA positivity, p16 overexpression, p53 positivity and tumour site on loco-regional tumour control. Multivariate analysis stratified for tumour site showed that positive HPV 16 DNA status correlated with loco-regional tumour control in patients with oropharyngeal carcinoma (p=0.02) but not in the oral cavity carcinoma group. Multivariate evaluation of the secondary endpoints in the total population revealed a significant association of HPV16 DNA positivity with overall survival (p&lt;0.01) but not with distant metastases. CONCLUSIONS: HPV16 DNA status appears to be a strong prognosticator of loco-regional tumour control after postoperative cisplatin-based radiochemotherapy of locally advanced oropharyngeal carcinoma and is now being explored in a prospective validation trial.","archive":"Medline","archive_location":"25480095","container-title":"Radiother Oncol","DOI":"10/f6wk2b","ISSN":"1879-0887 (Electronic) 0167-8140 (Linking)","issue":"3","note":"edition: 20141202","page":"317-23","source":"NLM","title":"HPV16 DNA status is a strong prognosticator of loco-regional control after postoperative radiochemotherapy of locally advanced oropharyngeal carcinoma: results from a multicentre explorative study of the German Cancer Consortium Radiation Oncology Group (DKTK-ROG)","URL":"https://www.ncbi.nlm.nih.gov/pubmed/25480095","volume":"113","author":[{"family":"Lohaus","given":"F."},{"family":"Linge","given":"A."},{"family":"Tinhofer","given":"I."},{"family":"Budach","given":"V."},{"family":"Gkika","given":"E."},{"family":"Stuschke","given":"M."},{"family":"Balermpas","given":"P."},{"family":"Rodel","given":"C."},{"family":"Avlar","given":"M."},{"family":"Grosu","given":"A. L."},{"family":"Abdollahi","given":"A."},{"family":"Debus","given":"J."},{"family":"Bayer","given":"C."},{"family":"Belka","given":"C."},{"family":"Pigorsch","given":"S."},{"family":"Combs","given":"S. E."},{"family":"Monnich","given":"D."},{"family":"Zips","given":"D."},{"family":"Neubeck","given":"C.","non-dropping-particle":"von"},{"family":"Baretton","given":"G. B."},{"family":"Lock","given":"S."},{"family":"Thames","given":"H. D."},{"family":"Krause","given":"M."},{"family":"Baumann","given":"M."},{"family":"Dktk","given":"R. O. G."}],"issued":{"date-parts":[["2014",12]]}}}],"schema":"https://github.com/citation-style-language/schema/raw/master/csl-citation.json"} </w:instrText>
      </w:r>
      <w:r>
        <w:fldChar w:fldCharType="separate"/>
      </w:r>
      <w:r w:rsidRPr="008B57DE">
        <w:rPr>
          <w:rFonts w:cs="Arial"/>
        </w:rPr>
        <w:t xml:space="preserve">F. Lohaus u. a., „HPV16 DNA status is a strong prognosticator of loco-regional control after postoperative radiochemotherapy of locally advanced oropharyngeal carcinoma: results from a multicentre explorative study of the German Cancer Consortium Radiation Oncology Group (DKTK-ROG)“, </w:t>
      </w:r>
      <w:r w:rsidRPr="008B57DE">
        <w:rPr>
          <w:rFonts w:cs="Arial"/>
          <w:i/>
          <w:iCs/>
        </w:rPr>
        <w:t>Radiother Oncol</w:t>
      </w:r>
      <w:r w:rsidRPr="008B57DE">
        <w:rPr>
          <w:rFonts w:cs="Arial"/>
        </w:rPr>
        <w:t xml:space="preserve"> 113, Nr. 3 (Dezember 2014): 317–23, https://doi.org/10/f6wk2b.</w:t>
      </w:r>
      <w: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8CF73" w14:textId="77777777" w:rsidR="007D685A" w:rsidRDefault="007D685A" w:rsidP="00C43807">
      <w:pPr>
        <w:spacing w:line="240" w:lineRule="auto"/>
      </w:pPr>
      <w:r>
        <w:separator/>
      </w:r>
    </w:p>
  </w:footnote>
  <w:footnote w:type="continuationSeparator" w:id="0">
    <w:p w14:paraId="156F4DDF" w14:textId="77777777" w:rsidR="007D685A" w:rsidRDefault="007D685A" w:rsidP="00C43807">
      <w:pPr>
        <w:spacing w:line="240" w:lineRule="auto"/>
      </w:pPr>
      <w:r>
        <w:continuationSeparator/>
      </w:r>
    </w:p>
  </w:footnote>
  <w:footnote w:type="continuationNotice" w:id="1">
    <w:p w14:paraId="47CD19DB" w14:textId="77777777" w:rsidR="007D685A" w:rsidRDefault="007D685A">
      <w:pPr>
        <w:spacing w:line="240" w:lineRule="auto"/>
      </w:pPr>
    </w:p>
  </w:footnote>
  <w:footnote w:id="2">
    <w:p w14:paraId="28193757" w14:textId="77777777" w:rsidR="00DB25D1" w:rsidRDefault="007B1FA9">
      <w:pPr>
        <w:pStyle w:val="Funotentext"/>
      </w:pPr>
      <w:r w:rsidRPr="00B0587C">
        <w:rPr>
          <w:rStyle w:val="Funotenzeichen"/>
          <w:highlight w:val="yellow"/>
        </w:rPr>
        <w:footnoteRef/>
      </w:r>
      <w:r w:rsidRPr="00FF0C10">
        <w:rPr>
          <w:sz w:val="16"/>
          <w:szCs w:val="16"/>
          <w:highlight w:val="yellow"/>
        </w:rPr>
        <w:t xml:space="preserve"> Da im Beobachtungszeitraum bei weniger als 50% der Kli</w:t>
      </w:r>
      <w:r w:rsidR="00D472BB" w:rsidRPr="00FF0C10">
        <w:rPr>
          <w:sz w:val="16"/>
          <w:szCs w:val="16"/>
          <w:highlight w:val="yellow"/>
        </w:rPr>
        <w:t>e</w:t>
      </w:r>
      <w:r w:rsidRPr="00FF0C10">
        <w:rPr>
          <w:sz w:val="16"/>
          <w:szCs w:val="16"/>
          <w:highlight w:val="yellow"/>
        </w:rPr>
        <w:t xml:space="preserve">nten ein </w:t>
      </w:r>
      <w:r w:rsidR="00D472BB" w:rsidRPr="00FF0C10">
        <w:rPr>
          <w:sz w:val="16"/>
          <w:szCs w:val="16"/>
          <w:highlight w:val="yellow"/>
        </w:rPr>
        <w:t>Ereignis</w:t>
      </w:r>
      <w:r w:rsidRPr="00FF0C10">
        <w:rPr>
          <w:sz w:val="16"/>
          <w:szCs w:val="16"/>
          <w:highlight w:val="yellow"/>
        </w:rPr>
        <w:t xml:space="preserve"> </w:t>
      </w:r>
      <w:r w:rsidR="00E351C5" w:rsidRPr="00FF0C10">
        <w:rPr>
          <w:sz w:val="16"/>
          <w:szCs w:val="16"/>
          <w:highlight w:val="yellow"/>
        </w:rPr>
        <w:t xml:space="preserve">über alle untersuchten Endpunkte </w:t>
      </w:r>
      <w:r w:rsidRPr="00FF0C10">
        <w:rPr>
          <w:sz w:val="16"/>
          <w:szCs w:val="16"/>
          <w:highlight w:val="yellow"/>
        </w:rPr>
        <w:t>eingetreten war, konnte</w:t>
      </w:r>
      <w:r w:rsidR="00E351C5" w:rsidRPr="00FF0C10">
        <w:rPr>
          <w:sz w:val="16"/>
          <w:szCs w:val="16"/>
          <w:highlight w:val="yellow"/>
        </w:rPr>
        <w:t>n</w:t>
      </w:r>
      <w:r w:rsidRPr="00FF0C10">
        <w:rPr>
          <w:sz w:val="16"/>
          <w:szCs w:val="16"/>
          <w:highlight w:val="yellow"/>
        </w:rPr>
        <w:t xml:space="preserve"> die mediane</w:t>
      </w:r>
      <w:r w:rsidR="00E351C5" w:rsidRPr="00FF0C10">
        <w:rPr>
          <w:sz w:val="16"/>
          <w:szCs w:val="16"/>
          <w:highlight w:val="yellow"/>
        </w:rPr>
        <w:t>n</w:t>
      </w:r>
      <w:r w:rsidRPr="00FF0C10">
        <w:rPr>
          <w:sz w:val="16"/>
          <w:szCs w:val="16"/>
          <w:highlight w:val="yellow"/>
        </w:rPr>
        <w:t xml:space="preserve"> Überleb</w:t>
      </w:r>
      <w:r w:rsidR="00D472BB" w:rsidRPr="00FF0C10">
        <w:rPr>
          <w:sz w:val="16"/>
          <w:szCs w:val="16"/>
          <w:highlight w:val="yellow"/>
        </w:rPr>
        <w:t>enszeit</w:t>
      </w:r>
      <w:r w:rsidR="00E351C5" w:rsidRPr="00FF0C10">
        <w:rPr>
          <w:sz w:val="16"/>
          <w:szCs w:val="16"/>
          <w:highlight w:val="yellow"/>
        </w:rPr>
        <w:t>en</w:t>
      </w:r>
      <w:r w:rsidRPr="00FF0C10">
        <w:rPr>
          <w:sz w:val="16"/>
          <w:szCs w:val="16"/>
          <w:highlight w:val="yellow"/>
        </w:rPr>
        <w:t xml:space="preserve"> bzw.</w:t>
      </w:r>
      <w:r w:rsidR="00D472BB" w:rsidRPr="00FF0C10">
        <w:rPr>
          <w:sz w:val="16"/>
          <w:szCs w:val="16"/>
          <w:highlight w:val="yellow"/>
        </w:rPr>
        <w:t xml:space="preserve"> </w:t>
      </w:r>
      <w:r w:rsidRPr="00FF0C10">
        <w:rPr>
          <w:sz w:val="16"/>
          <w:szCs w:val="16"/>
          <w:highlight w:val="yellow"/>
        </w:rPr>
        <w:t xml:space="preserve">ereignisfreie Zeit </w:t>
      </w:r>
      <w:r w:rsidR="00D472BB" w:rsidRPr="00FF0C10">
        <w:rPr>
          <w:sz w:val="16"/>
          <w:szCs w:val="16"/>
          <w:highlight w:val="yellow"/>
        </w:rPr>
        <w:t>aller untersuchten</w:t>
      </w:r>
      <w:r w:rsidRPr="00FF0C10">
        <w:rPr>
          <w:sz w:val="16"/>
          <w:szCs w:val="16"/>
          <w:highlight w:val="yellow"/>
        </w:rPr>
        <w:t xml:space="preserve"> Endpunkte nicht angegeben werden.</w:t>
      </w:r>
      <w:r w:rsidRPr="009C2074">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093CD" w14:textId="77777777" w:rsidR="00A90AB4" w:rsidRDefault="00A90AB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F5467" w14:textId="77777777" w:rsidR="00A90AB4" w:rsidRDefault="00A90AB4" w:rsidP="00A90AB4">
    <w:pPr>
      <w:pStyle w:val="Kopfzeile"/>
      <w:pBdr>
        <w:bottom w:val="single" w:sz="6" w:space="1" w:color="auto"/>
      </w:pBdr>
      <w:jc w:val="right"/>
    </w:pPr>
    <w:r>
      <w:t>Zusammenfassung</w:t>
    </w:r>
  </w:p>
  <w:p w14:paraId="3DF5C0AB" w14:textId="77777777" w:rsidR="00A90AB4" w:rsidRDefault="00A90AB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4F211" w14:textId="77777777" w:rsidR="00A90AB4" w:rsidRDefault="00FC2B5E" w:rsidP="00A90AB4">
    <w:pPr>
      <w:pStyle w:val="Kopfzeile"/>
      <w:pBdr>
        <w:bottom w:val="single" w:sz="6" w:space="1" w:color="auto"/>
      </w:pBdr>
      <w:jc w:val="right"/>
    </w:pPr>
    <w:r>
      <w:t>Hintergrund</w:t>
    </w:r>
  </w:p>
  <w:p w14:paraId="2FA72BD3" w14:textId="77777777" w:rsidR="00A90AB4" w:rsidRDefault="00A90AB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78AD2" w14:textId="77777777" w:rsidR="00FC2B5E" w:rsidRDefault="00FC2B5E" w:rsidP="00A90AB4">
    <w:pPr>
      <w:pStyle w:val="Kopfzeile"/>
      <w:pBdr>
        <w:bottom w:val="single" w:sz="6" w:space="1" w:color="auto"/>
      </w:pBdr>
      <w:jc w:val="right"/>
    </w:pPr>
    <w:r>
      <w:t>Fragestellung</w:t>
    </w:r>
  </w:p>
  <w:p w14:paraId="654599BD" w14:textId="77777777" w:rsidR="00FC2B5E" w:rsidRDefault="00FC2B5E">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9CC5" w14:textId="77777777" w:rsidR="00A90AB4" w:rsidRDefault="00FC2B5E" w:rsidP="00A90AB4">
    <w:pPr>
      <w:pStyle w:val="Kopfzeile"/>
      <w:pBdr>
        <w:bottom w:val="single" w:sz="6" w:space="1" w:color="auto"/>
      </w:pBdr>
      <w:jc w:val="right"/>
    </w:pPr>
    <w:r>
      <w:t>Material &amp; Methoden</w:t>
    </w:r>
  </w:p>
  <w:p w14:paraId="3C60F7ED" w14:textId="77777777" w:rsidR="00A90AB4" w:rsidRDefault="00A90AB4">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6BDF5" w14:textId="77777777" w:rsidR="00A90AB4" w:rsidRDefault="00A90AB4" w:rsidP="000F7CB9">
    <w:pPr>
      <w:pStyle w:val="Kopfzeile"/>
      <w:pBdr>
        <w:bottom w:val="single" w:sz="6" w:space="1" w:color="auto"/>
      </w:pBdr>
      <w:spacing w:line="360" w:lineRule="auto"/>
      <w:jc w:val="left"/>
    </w:pPr>
    <w:r>
      <w:t>Ergebnisse</w:t>
    </w:r>
  </w:p>
  <w:p w14:paraId="42323FFD" w14:textId="77777777" w:rsidR="00A90AB4" w:rsidRDefault="00A90AB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E76CF"/>
    <w:multiLevelType w:val="hybridMultilevel"/>
    <w:tmpl w:val="FFFFFFFF"/>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2C67B2"/>
    <w:multiLevelType w:val="multilevel"/>
    <w:tmpl w:val="FFFFFFFF"/>
    <w:lvl w:ilvl="0">
      <w:start w:val="1"/>
      <w:numFmt w:val="decimal"/>
      <w:pStyle w:val="berschrift1"/>
      <w:lvlText w:val="%1"/>
      <w:lvlJc w:val="left"/>
      <w:pPr>
        <w:ind w:left="786" w:hanging="360"/>
      </w:pPr>
      <w:rPr>
        <w:rFonts w:cs="Times New Roman" w:hint="default"/>
      </w:rPr>
    </w:lvl>
    <w:lvl w:ilvl="1">
      <w:start w:val="1"/>
      <w:numFmt w:val="decimal"/>
      <w:pStyle w:val="berschrift2"/>
      <w:isLgl/>
      <w:lvlText w:val="%1.%2"/>
      <w:lvlJc w:val="left"/>
      <w:pPr>
        <w:ind w:left="360" w:hanging="360"/>
      </w:pPr>
      <w:rPr>
        <w:rFonts w:cs="Times New Roman" w:hint="default"/>
      </w:rPr>
    </w:lvl>
    <w:lvl w:ilvl="2">
      <w:start w:val="1"/>
      <w:numFmt w:val="decimal"/>
      <w:pStyle w:val="berschrift3"/>
      <w:isLgl/>
      <w:lvlText w:val="%1.%2.%3"/>
      <w:lvlJc w:val="left"/>
      <w:pPr>
        <w:ind w:left="720" w:hanging="720"/>
      </w:pPr>
      <w:rPr>
        <w:rFonts w:cs="Times New Roman" w:hint="default"/>
        <w:i w:val="0"/>
        <w:iCs w:val="0"/>
        <w:sz w:val="28"/>
        <w:szCs w:val="28"/>
      </w:rPr>
    </w:lvl>
    <w:lvl w:ilvl="3">
      <w:start w:val="1"/>
      <w:numFmt w:val="decimal"/>
      <w:isLgl/>
      <w:lvlText w:val="%1.%2.%3.%4"/>
      <w:lvlJc w:val="left"/>
      <w:pPr>
        <w:ind w:left="1506" w:hanging="108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866" w:hanging="144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2226" w:hanging="180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2" w15:restartNumberingAfterBreak="0">
    <w:nsid w:val="18830196"/>
    <w:multiLevelType w:val="multilevel"/>
    <w:tmpl w:val="FFFFFFFF"/>
    <w:lvl w:ilvl="0">
      <w:start w:val="1"/>
      <w:numFmt w:val="decimal"/>
      <w:lvlText w:val="%1."/>
      <w:lvlJc w:val="left"/>
      <w:pPr>
        <w:ind w:left="720" w:hanging="360"/>
      </w:pPr>
      <w:rPr>
        <w:rFonts w:cs="Times New Roman" w:hint="default"/>
      </w:rPr>
    </w:lvl>
    <w:lvl w:ilvl="1">
      <w:start w:val="1"/>
      <w:numFmt w:val="decimal"/>
      <w:isLgl/>
      <w:lvlText w:val="%1.%2"/>
      <w:lvlJc w:val="left"/>
      <w:pPr>
        <w:ind w:left="760" w:hanging="40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15:restartNumberingAfterBreak="0">
    <w:nsid w:val="2125420E"/>
    <w:multiLevelType w:val="hybridMultilevel"/>
    <w:tmpl w:val="FFFFFFFF"/>
    <w:lvl w:ilvl="0" w:tplc="E8941148">
      <w:start w:val="20"/>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0EF3240"/>
    <w:multiLevelType w:val="hybridMultilevel"/>
    <w:tmpl w:val="FFFFFFFF"/>
    <w:lvl w:ilvl="0" w:tplc="364EA5FC">
      <w:start w:val="16"/>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36C72BC"/>
    <w:multiLevelType w:val="hybridMultilevel"/>
    <w:tmpl w:val="FFFFFFFF"/>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 w15:restartNumberingAfterBreak="0">
    <w:nsid w:val="6C541090"/>
    <w:multiLevelType w:val="multilevel"/>
    <w:tmpl w:val="FFFFFFFF"/>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6E7E34A5"/>
    <w:multiLevelType w:val="multilevel"/>
    <w:tmpl w:val="FFFFFFFF"/>
    <w:lvl w:ilvl="0">
      <w:start w:val="1"/>
      <w:numFmt w:val="bullet"/>
      <w:lvlText w:val="o"/>
      <w:lvlJc w:val="left"/>
      <w:pPr>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BD3B53"/>
    <w:multiLevelType w:val="hybridMultilevel"/>
    <w:tmpl w:val="FFFFFFFF"/>
    <w:lvl w:ilvl="0" w:tplc="04070017">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16cid:durableId="1642616697">
    <w:abstractNumId w:val="6"/>
  </w:num>
  <w:num w:numId="2" w16cid:durableId="296035956">
    <w:abstractNumId w:val="2"/>
  </w:num>
  <w:num w:numId="3" w16cid:durableId="1928464292">
    <w:abstractNumId w:val="5"/>
  </w:num>
  <w:num w:numId="4" w16cid:durableId="1104375709">
    <w:abstractNumId w:val="8"/>
  </w:num>
  <w:num w:numId="5" w16cid:durableId="1009911411">
    <w:abstractNumId w:val="7"/>
  </w:num>
  <w:num w:numId="6" w16cid:durableId="305672052">
    <w:abstractNumId w:val="0"/>
  </w:num>
  <w:num w:numId="7" w16cid:durableId="634334900">
    <w:abstractNumId w:val="1"/>
  </w:num>
  <w:num w:numId="8" w16cid:durableId="1734504790">
    <w:abstractNumId w:val="3"/>
  </w:num>
  <w:num w:numId="9" w16cid:durableId="77077901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9z5rx5xeptdsflefzr2xazartfpad9ft9xtz&quot;&gt;My Endnote Diss Juetz&lt;record-ids&gt;&lt;item&gt;316&lt;/item&gt;&lt;item&gt;317&lt;/item&gt;&lt;item&gt;430&lt;/item&gt;&lt;item&gt;433&lt;/item&gt;&lt;item&gt;446&lt;/item&gt;&lt;item&gt;449&lt;/item&gt;&lt;item&gt;452&lt;/item&gt;&lt;item&gt;458&lt;/item&gt;&lt;item&gt;463&lt;/item&gt;&lt;item&gt;466&lt;/item&gt;&lt;item&gt;470&lt;/item&gt;&lt;item&gt;473&lt;/item&gt;&lt;item&gt;474&lt;/item&gt;&lt;item&gt;475&lt;/item&gt;&lt;item&gt;623&lt;/item&gt;&lt;item&gt;672&lt;/item&gt;&lt;item&gt;674&lt;/item&gt;&lt;item&gt;675&lt;/item&gt;&lt;item&gt;676&lt;/item&gt;&lt;item&gt;678&lt;/item&gt;&lt;item&gt;679&lt;/item&gt;&lt;item&gt;680&lt;/item&gt;&lt;item&gt;681&lt;/item&gt;&lt;item&gt;683&lt;/item&gt;&lt;item&gt;684&lt;/item&gt;&lt;item&gt;685&lt;/item&gt;&lt;item&gt;686&lt;/item&gt;&lt;item&gt;687&lt;/item&gt;&lt;item&gt;688&lt;/item&gt;&lt;item&gt;689&lt;/item&gt;&lt;item&gt;690&lt;/item&gt;&lt;item&gt;691&lt;/item&gt;&lt;item&gt;692&lt;/item&gt;&lt;item&gt;693&lt;/item&gt;&lt;item&gt;694&lt;/item&gt;&lt;item&gt;695&lt;/item&gt;&lt;item&gt;696&lt;/item&gt;&lt;item&gt;697&lt;/item&gt;&lt;item&gt;698&lt;/item&gt;&lt;item&gt;700&lt;/item&gt;&lt;item&gt;701&lt;/item&gt;&lt;item&gt;710&lt;/item&gt;&lt;item&gt;723&lt;/item&gt;&lt;item&gt;732&lt;/item&gt;&lt;item&gt;733&lt;/item&gt;&lt;item&gt;734&lt;/item&gt;&lt;item&gt;735&lt;/item&gt;&lt;item&gt;736&lt;/item&gt;&lt;item&gt;740&lt;/item&gt;&lt;item&gt;742&lt;/item&gt;&lt;item&gt;743&lt;/item&gt;&lt;item&gt;744&lt;/item&gt;&lt;item&gt;746&lt;/item&gt;&lt;item&gt;747&lt;/item&gt;&lt;item&gt;749&lt;/item&gt;&lt;item&gt;750&lt;/item&gt;&lt;item&gt;752&lt;/item&gt;&lt;item&gt;755&lt;/item&gt;&lt;item&gt;757&lt;/item&gt;&lt;item&gt;758&lt;/item&gt;&lt;item&gt;759&lt;/item&gt;&lt;item&gt;760&lt;/item&gt;&lt;item&gt;761&lt;/item&gt;&lt;item&gt;762&lt;/item&gt;&lt;item&gt;764&lt;/item&gt;&lt;item&gt;765&lt;/item&gt;&lt;item&gt;766&lt;/item&gt;&lt;item&gt;767&lt;/item&gt;&lt;item&gt;768&lt;/item&gt;&lt;item&gt;826&lt;/item&gt;&lt;item&gt;827&lt;/item&gt;&lt;item&gt;828&lt;/item&gt;&lt;item&gt;829&lt;/item&gt;&lt;item&gt;830&lt;/item&gt;&lt;item&gt;831&lt;/item&gt;&lt;item&gt;833&lt;/item&gt;&lt;item&gt;834&lt;/item&gt;&lt;/record-ids&gt;&lt;/item&gt;&lt;/Libraries&gt;"/>
    <w:docVar w:name="EN.ReferenceGroups" w:val="&lt;reference-groups&gt;&lt;reference-group&gt;&lt;kind&gt;1&lt;/kind&gt;&lt;heading&gt;Hintergrund&lt;/heading&gt;&lt;alignment&gt;-1&lt;/alignment&gt;&lt;records&gt;&lt;/records&gt;&lt;/reference-group&gt;&lt;/reference-groups&gt;"/>
    <w:docVar w:name="EN.UseJSCitationFormat" w:val="True"/>
  </w:docVars>
  <w:rsids>
    <w:rsidRoot w:val="00375EDA"/>
    <w:rsid w:val="000006EC"/>
    <w:rsid w:val="00000FC7"/>
    <w:rsid w:val="00001097"/>
    <w:rsid w:val="00001CDD"/>
    <w:rsid w:val="00001FC9"/>
    <w:rsid w:val="000022F4"/>
    <w:rsid w:val="000025C9"/>
    <w:rsid w:val="00003372"/>
    <w:rsid w:val="000034D7"/>
    <w:rsid w:val="000049BF"/>
    <w:rsid w:val="0000516F"/>
    <w:rsid w:val="00005B8E"/>
    <w:rsid w:val="00005FF6"/>
    <w:rsid w:val="00006E04"/>
    <w:rsid w:val="0001014E"/>
    <w:rsid w:val="00010C82"/>
    <w:rsid w:val="00010F88"/>
    <w:rsid w:val="000112D9"/>
    <w:rsid w:val="00013C37"/>
    <w:rsid w:val="00013ED6"/>
    <w:rsid w:val="00013FBD"/>
    <w:rsid w:val="000147B2"/>
    <w:rsid w:val="000151C8"/>
    <w:rsid w:val="00015406"/>
    <w:rsid w:val="0001582E"/>
    <w:rsid w:val="00016134"/>
    <w:rsid w:val="00016550"/>
    <w:rsid w:val="0001683A"/>
    <w:rsid w:val="000203B3"/>
    <w:rsid w:val="00020A14"/>
    <w:rsid w:val="00021755"/>
    <w:rsid w:val="000256D5"/>
    <w:rsid w:val="00025716"/>
    <w:rsid w:val="00027171"/>
    <w:rsid w:val="00032163"/>
    <w:rsid w:val="0003685A"/>
    <w:rsid w:val="00037F7E"/>
    <w:rsid w:val="0004467D"/>
    <w:rsid w:val="00045090"/>
    <w:rsid w:val="000456E7"/>
    <w:rsid w:val="00047E43"/>
    <w:rsid w:val="0005169C"/>
    <w:rsid w:val="0005187F"/>
    <w:rsid w:val="00052771"/>
    <w:rsid w:val="000531B2"/>
    <w:rsid w:val="0005534A"/>
    <w:rsid w:val="00055D9A"/>
    <w:rsid w:val="00056741"/>
    <w:rsid w:val="0006194F"/>
    <w:rsid w:val="00062BF3"/>
    <w:rsid w:val="00063894"/>
    <w:rsid w:val="00063FF5"/>
    <w:rsid w:val="00065997"/>
    <w:rsid w:val="00065C3F"/>
    <w:rsid w:val="0006627A"/>
    <w:rsid w:val="00066AE4"/>
    <w:rsid w:val="00066D9C"/>
    <w:rsid w:val="0007027C"/>
    <w:rsid w:val="00070E76"/>
    <w:rsid w:val="000718CD"/>
    <w:rsid w:val="000723C7"/>
    <w:rsid w:val="000729F8"/>
    <w:rsid w:val="0007374A"/>
    <w:rsid w:val="00073814"/>
    <w:rsid w:val="00074603"/>
    <w:rsid w:val="00074B9A"/>
    <w:rsid w:val="0007516F"/>
    <w:rsid w:val="00075376"/>
    <w:rsid w:val="00076ED9"/>
    <w:rsid w:val="0007796A"/>
    <w:rsid w:val="00080B74"/>
    <w:rsid w:val="00080D74"/>
    <w:rsid w:val="00081187"/>
    <w:rsid w:val="00081198"/>
    <w:rsid w:val="0008123C"/>
    <w:rsid w:val="00081A9C"/>
    <w:rsid w:val="00081E0E"/>
    <w:rsid w:val="0008233D"/>
    <w:rsid w:val="00083C25"/>
    <w:rsid w:val="0008440A"/>
    <w:rsid w:val="000845FF"/>
    <w:rsid w:val="00084A37"/>
    <w:rsid w:val="0008519C"/>
    <w:rsid w:val="00086D1E"/>
    <w:rsid w:val="00086D8E"/>
    <w:rsid w:val="00087640"/>
    <w:rsid w:val="00087F5E"/>
    <w:rsid w:val="00090DD5"/>
    <w:rsid w:val="000912B0"/>
    <w:rsid w:val="00091A39"/>
    <w:rsid w:val="0009256A"/>
    <w:rsid w:val="00092C6E"/>
    <w:rsid w:val="0009369E"/>
    <w:rsid w:val="00093884"/>
    <w:rsid w:val="00093D86"/>
    <w:rsid w:val="000943C4"/>
    <w:rsid w:val="000948C2"/>
    <w:rsid w:val="00096370"/>
    <w:rsid w:val="00096F14"/>
    <w:rsid w:val="000A040B"/>
    <w:rsid w:val="000A0920"/>
    <w:rsid w:val="000A0B16"/>
    <w:rsid w:val="000A0ED3"/>
    <w:rsid w:val="000A2638"/>
    <w:rsid w:val="000A27AE"/>
    <w:rsid w:val="000A2837"/>
    <w:rsid w:val="000A48B5"/>
    <w:rsid w:val="000A48C2"/>
    <w:rsid w:val="000A4E84"/>
    <w:rsid w:val="000A6AED"/>
    <w:rsid w:val="000B01BF"/>
    <w:rsid w:val="000B0288"/>
    <w:rsid w:val="000B25FC"/>
    <w:rsid w:val="000B3078"/>
    <w:rsid w:val="000B4C73"/>
    <w:rsid w:val="000B746F"/>
    <w:rsid w:val="000C17BA"/>
    <w:rsid w:val="000C3C10"/>
    <w:rsid w:val="000C3CA0"/>
    <w:rsid w:val="000C51F3"/>
    <w:rsid w:val="000C557A"/>
    <w:rsid w:val="000C5803"/>
    <w:rsid w:val="000C6B3C"/>
    <w:rsid w:val="000C77B3"/>
    <w:rsid w:val="000D1C72"/>
    <w:rsid w:val="000D2065"/>
    <w:rsid w:val="000D40F8"/>
    <w:rsid w:val="000D5220"/>
    <w:rsid w:val="000D5932"/>
    <w:rsid w:val="000D743D"/>
    <w:rsid w:val="000E0218"/>
    <w:rsid w:val="000E0482"/>
    <w:rsid w:val="000E1E65"/>
    <w:rsid w:val="000E25C4"/>
    <w:rsid w:val="000E31B4"/>
    <w:rsid w:val="000E3A2C"/>
    <w:rsid w:val="000E3B77"/>
    <w:rsid w:val="000E413B"/>
    <w:rsid w:val="000E4A4F"/>
    <w:rsid w:val="000E4D4C"/>
    <w:rsid w:val="000E4D64"/>
    <w:rsid w:val="000E5E8B"/>
    <w:rsid w:val="000E7D85"/>
    <w:rsid w:val="000E7EC3"/>
    <w:rsid w:val="000F0CE0"/>
    <w:rsid w:val="000F0E16"/>
    <w:rsid w:val="000F1324"/>
    <w:rsid w:val="000F3432"/>
    <w:rsid w:val="000F3EE4"/>
    <w:rsid w:val="000F4680"/>
    <w:rsid w:val="000F4F08"/>
    <w:rsid w:val="000F5C14"/>
    <w:rsid w:val="000F64D1"/>
    <w:rsid w:val="000F6622"/>
    <w:rsid w:val="000F7CB9"/>
    <w:rsid w:val="00100391"/>
    <w:rsid w:val="0010140F"/>
    <w:rsid w:val="0010269B"/>
    <w:rsid w:val="00102A1C"/>
    <w:rsid w:val="001033FA"/>
    <w:rsid w:val="0010357D"/>
    <w:rsid w:val="00103629"/>
    <w:rsid w:val="00103C86"/>
    <w:rsid w:val="001050B3"/>
    <w:rsid w:val="00105CB6"/>
    <w:rsid w:val="00106D54"/>
    <w:rsid w:val="00107848"/>
    <w:rsid w:val="0011011F"/>
    <w:rsid w:val="001134AF"/>
    <w:rsid w:val="0011420F"/>
    <w:rsid w:val="00114D27"/>
    <w:rsid w:val="00114FC2"/>
    <w:rsid w:val="00116575"/>
    <w:rsid w:val="00117021"/>
    <w:rsid w:val="0011764A"/>
    <w:rsid w:val="00120278"/>
    <w:rsid w:val="001212DE"/>
    <w:rsid w:val="00121513"/>
    <w:rsid w:val="00122206"/>
    <w:rsid w:val="00124288"/>
    <w:rsid w:val="00124466"/>
    <w:rsid w:val="00126A61"/>
    <w:rsid w:val="00127FDE"/>
    <w:rsid w:val="00130BC2"/>
    <w:rsid w:val="0013236F"/>
    <w:rsid w:val="00136012"/>
    <w:rsid w:val="00141EBC"/>
    <w:rsid w:val="0014334D"/>
    <w:rsid w:val="00145378"/>
    <w:rsid w:val="001466B2"/>
    <w:rsid w:val="00146820"/>
    <w:rsid w:val="00146E76"/>
    <w:rsid w:val="0014771E"/>
    <w:rsid w:val="001509A4"/>
    <w:rsid w:val="00153A81"/>
    <w:rsid w:val="00156FCC"/>
    <w:rsid w:val="00160347"/>
    <w:rsid w:val="001606EF"/>
    <w:rsid w:val="001618F3"/>
    <w:rsid w:val="00162D57"/>
    <w:rsid w:val="00163ED4"/>
    <w:rsid w:val="001641BE"/>
    <w:rsid w:val="001644A0"/>
    <w:rsid w:val="00164C8A"/>
    <w:rsid w:val="0016546B"/>
    <w:rsid w:val="0016775C"/>
    <w:rsid w:val="001678C0"/>
    <w:rsid w:val="00167F07"/>
    <w:rsid w:val="0017018A"/>
    <w:rsid w:val="001710A1"/>
    <w:rsid w:val="00173093"/>
    <w:rsid w:val="00173369"/>
    <w:rsid w:val="00173544"/>
    <w:rsid w:val="001739D7"/>
    <w:rsid w:val="00174765"/>
    <w:rsid w:val="0017505B"/>
    <w:rsid w:val="00177F69"/>
    <w:rsid w:val="00181455"/>
    <w:rsid w:val="00181EC0"/>
    <w:rsid w:val="001830EA"/>
    <w:rsid w:val="00185BFC"/>
    <w:rsid w:val="00190F6F"/>
    <w:rsid w:val="00191A89"/>
    <w:rsid w:val="00191AB4"/>
    <w:rsid w:val="00192017"/>
    <w:rsid w:val="0019255F"/>
    <w:rsid w:val="0019262D"/>
    <w:rsid w:val="0019376E"/>
    <w:rsid w:val="00194377"/>
    <w:rsid w:val="00194926"/>
    <w:rsid w:val="001963FA"/>
    <w:rsid w:val="00196612"/>
    <w:rsid w:val="00197AA5"/>
    <w:rsid w:val="001A00DD"/>
    <w:rsid w:val="001A097E"/>
    <w:rsid w:val="001A12F8"/>
    <w:rsid w:val="001A1980"/>
    <w:rsid w:val="001A1CEB"/>
    <w:rsid w:val="001A48BF"/>
    <w:rsid w:val="001A48EC"/>
    <w:rsid w:val="001A6798"/>
    <w:rsid w:val="001A688B"/>
    <w:rsid w:val="001B1F9F"/>
    <w:rsid w:val="001B2F8E"/>
    <w:rsid w:val="001B5572"/>
    <w:rsid w:val="001B69E8"/>
    <w:rsid w:val="001C047A"/>
    <w:rsid w:val="001C2229"/>
    <w:rsid w:val="001C2364"/>
    <w:rsid w:val="001C2AEB"/>
    <w:rsid w:val="001C2E99"/>
    <w:rsid w:val="001C31C3"/>
    <w:rsid w:val="001C481B"/>
    <w:rsid w:val="001C5DDD"/>
    <w:rsid w:val="001C6A24"/>
    <w:rsid w:val="001C6B55"/>
    <w:rsid w:val="001C742F"/>
    <w:rsid w:val="001C7459"/>
    <w:rsid w:val="001D1453"/>
    <w:rsid w:val="001D3BA0"/>
    <w:rsid w:val="001D3CCC"/>
    <w:rsid w:val="001D7EF2"/>
    <w:rsid w:val="001E1143"/>
    <w:rsid w:val="001E14E2"/>
    <w:rsid w:val="001E188E"/>
    <w:rsid w:val="001E229D"/>
    <w:rsid w:val="001E3D66"/>
    <w:rsid w:val="001E55D1"/>
    <w:rsid w:val="001E56BD"/>
    <w:rsid w:val="001E5CB7"/>
    <w:rsid w:val="001E69DD"/>
    <w:rsid w:val="001E7095"/>
    <w:rsid w:val="001F0E0B"/>
    <w:rsid w:val="001F10E2"/>
    <w:rsid w:val="001F1399"/>
    <w:rsid w:val="001F15CC"/>
    <w:rsid w:val="001F319C"/>
    <w:rsid w:val="001F3289"/>
    <w:rsid w:val="001F37B7"/>
    <w:rsid w:val="001F4237"/>
    <w:rsid w:val="001F55A7"/>
    <w:rsid w:val="001F6054"/>
    <w:rsid w:val="001F6429"/>
    <w:rsid w:val="001F780E"/>
    <w:rsid w:val="001F7EB0"/>
    <w:rsid w:val="00200699"/>
    <w:rsid w:val="00201988"/>
    <w:rsid w:val="002028DB"/>
    <w:rsid w:val="00205C9B"/>
    <w:rsid w:val="00206CEA"/>
    <w:rsid w:val="00207A60"/>
    <w:rsid w:val="00210A8C"/>
    <w:rsid w:val="00210E31"/>
    <w:rsid w:val="00211B0B"/>
    <w:rsid w:val="002128BC"/>
    <w:rsid w:val="002152D5"/>
    <w:rsid w:val="00216972"/>
    <w:rsid w:val="00217304"/>
    <w:rsid w:val="002216C1"/>
    <w:rsid w:val="00223FB8"/>
    <w:rsid w:val="00224146"/>
    <w:rsid w:val="002251C0"/>
    <w:rsid w:val="00225C76"/>
    <w:rsid w:val="00226531"/>
    <w:rsid w:val="002265CA"/>
    <w:rsid w:val="002336E1"/>
    <w:rsid w:val="00234330"/>
    <w:rsid w:val="00236EB3"/>
    <w:rsid w:val="00236FDB"/>
    <w:rsid w:val="00237054"/>
    <w:rsid w:val="002371A1"/>
    <w:rsid w:val="0023761E"/>
    <w:rsid w:val="0023764D"/>
    <w:rsid w:val="00237F14"/>
    <w:rsid w:val="0024107D"/>
    <w:rsid w:val="0024161B"/>
    <w:rsid w:val="0024182F"/>
    <w:rsid w:val="0024186C"/>
    <w:rsid w:val="00241DC8"/>
    <w:rsid w:val="0024223E"/>
    <w:rsid w:val="0024248C"/>
    <w:rsid w:val="00242CBF"/>
    <w:rsid w:val="00243C05"/>
    <w:rsid w:val="00244D07"/>
    <w:rsid w:val="002451FB"/>
    <w:rsid w:val="00245798"/>
    <w:rsid w:val="0024586A"/>
    <w:rsid w:val="00245AB4"/>
    <w:rsid w:val="00245E73"/>
    <w:rsid w:val="00246651"/>
    <w:rsid w:val="0024696F"/>
    <w:rsid w:val="00246EB5"/>
    <w:rsid w:val="00247A01"/>
    <w:rsid w:val="00247EAB"/>
    <w:rsid w:val="00250E89"/>
    <w:rsid w:val="00251121"/>
    <w:rsid w:val="00252BDE"/>
    <w:rsid w:val="00252F3F"/>
    <w:rsid w:val="0025331F"/>
    <w:rsid w:val="00253F33"/>
    <w:rsid w:val="002544B9"/>
    <w:rsid w:val="002559D0"/>
    <w:rsid w:val="00256C0D"/>
    <w:rsid w:val="00256C37"/>
    <w:rsid w:val="002573D3"/>
    <w:rsid w:val="00257D6D"/>
    <w:rsid w:val="0026048C"/>
    <w:rsid w:val="002607D5"/>
    <w:rsid w:val="00260E9C"/>
    <w:rsid w:val="002635A6"/>
    <w:rsid w:val="002636EA"/>
    <w:rsid w:val="00264C16"/>
    <w:rsid w:val="00265674"/>
    <w:rsid w:val="00265BC5"/>
    <w:rsid w:val="00267614"/>
    <w:rsid w:val="002714CB"/>
    <w:rsid w:val="0027378A"/>
    <w:rsid w:val="00274651"/>
    <w:rsid w:val="002750A0"/>
    <w:rsid w:val="002753E3"/>
    <w:rsid w:val="00276B7F"/>
    <w:rsid w:val="00276FE1"/>
    <w:rsid w:val="00280AB9"/>
    <w:rsid w:val="00280C7F"/>
    <w:rsid w:val="00283AED"/>
    <w:rsid w:val="00284A0D"/>
    <w:rsid w:val="00285205"/>
    <w:rsid w:val="00285AAA"/>
    <w:rsid w:val="002868B5"/>
    <w:rsid w:val="002872FD"/>
    <w:rsid w:val="002877E1"/>
    <w:rsid w:val="002878C0"/>
    <w:rsid w:val="00287C0F"/>
    <w:rsid w:val="002903EB"/>
    <w:rsid w:val="00291D27"/>
    <w:rsid w:val="00292274"/>
    <w:rsid w:val="00292AC0"/>
    <w:rsid w:val="002930D6"/>
    <w:rsid w:val="0029384C"/>
    <w:rsid w:val="00294C69"/>
    <w:rsid w:val="002960B8"/>
    <w:rsid w:val="00297544"/>
    <w:rsid w:val="0029765C"/>
    <w:rsid w:val="002979A6"/>
    <w:rsid w:val="002A1823"/>
    <w:rsid w:val="002A1C2E"/>
    <w:rsid w:val="002A2753"/>
    <w:rsid w:val="002A356B"/>
    <w:rsid w:val="002A38B5"/>
    <w:rsid w:val="002A39DD"/>
    <w:rsid w:val="002A3A1A"/>
    <w:rsid w:val="002A44B9"/>
    <w:rsid w:val="002A5B74"/>
    <w:rsid w:val="002A7BB8"/>
    <w:rsid w:val="002B29E1"/>
    <w:rsid w:val="002B4EF2"/>
    <w:rsid w:val="002B5580"/>
    <w:rsid w:val="002B686E"/>
    <w:rsid w:val="002B69CA"/>
    <w:rsid w:val="002B7402"/>
    <w:rsid w:val="002B77D4"/>
    <w:rsid w:val="002B7EC4"/>
    <w:rsid w:val="002C0F4D"/>
    <w:rsid w:val="002C105F"/>
    <w:rsid w:val="002C1C56"/>
    <w:rsid w:val="002C3934"/>
    <w:rsid w:val="002C518A"/>
    <w:rsid w:val="002C61F5"/>
    <w:rsid w:val="002C6C0C"/>
    <w:rsid w:val="002C7160"/>
    <w:rsid w:val="002C781B"/>
    <w:rsid w:val="002C7D41"/>
    <w:rsid w:val="002C7D80"/>
    <w:rsid w:val="002D0255"/>
    <w:rsid w:val="002D03ED"/>
    <w:rsid w:val="002D0701"/>
    <w:rsid w:val="002D0E34"/>
    <w:rsid w:val="002D1AB3"/>
    <w:rsid w:val="002D2423"/>
    <w:rsid w:val="002D2752"/>
    <w:rsid w:val="002D2DA3"/>
    <w:rsid w:val="002D35F4"/>
    <w:rsid w:val="002D3D99"/>
    <w:rsid w:val="002D4165"/>
    <w:rsid w:val="002D4DC9"/>
    <w:rsid w:val="002D612F"/>
    <w:rsid w:val="002D6562"/>
    <w:rsid w:val="002D6EA5"/>
    <w:rsid w:val="002D78DB"/>
    <w:rsid w:val="002D7E22"/>
    <w:rsid w:val="002D7F42"/>
    <w:rsid w:val="002E0B8A"/>
    <w:rsid w:val="002E360C"/>
    <w:rsid w:val="002E3661"/>
    <w:rsid w:val="002E37F6"/>
    <w:rsid w:val="002E38ED"/>
    <w:rsid w:val="002E3D98"/>
    <w:rsid w:val="002E4CA8"/>
    <w:rsid w:val="002E68F7"/>
    <w:rsid w:val="002F01E7"/>
    <w:rsid w:val="002F01F1"/>
    <w:rsid w:val="002F394F"/>
    <w:rsid w:val="002F3BCF"/>
    <w:rsid w:val="002F6787"/>
    <w:rsid w:val="002F69F2"/>
    <w:rsid w:val="002F7A7E"/>
    <w:rsid w:val="003008B6"/>
    <w:rsid w:val="003017CA"/>
    <w:rsid w:val="00302CC0"/>
    <w:rsid w:val="0030348F"/>
    <w:rsid w:val="00304367"/>
    <w:rsid w:val="0030457E"/>
    <w:rsid w:val="00305A8F"/>
    <w:rsid w:val="00305CEF"/>
    <w:rsid w:val="00306314"/>
    <w:rsid w:val="00306D74"/>
    <w:rsid w:val="0030791B"/>
    <w:rsid w:val="00311489"/>
    <w:rsid w:val="003116DA"/>
    <w:rsid w:val="003127A4"/>
    <w:rsid w:val="003133CE"/>
    <w:rsid w:val="0031358D"/>
    <w:rsid w:val="00316BE4"/>
    <w:rsid w:val="00316D7B"/>
    <w:rsid w:val="003170F6"/>
    <w:rsid w:val="00317847"/>
    <w:rsid w:val="00321F14"/>
    <w:rsid w:val="00323D46"/>
    <w:rsid w:val="00324A83"/>
    <w:rsid w:val="00326918"/>
    <w:rsid w:val="00326BA4"/>
    <w:rsid w:val="00327BCE"/>
    <w:rsid w:val="003300A6"/>
    <w:rsid w:val="00330A47"/>
    <w:rsid w:val="003314D7"/>
    <w:rsid w:val="003325E6"/>
    <w:rsid w:val="003331F3"/>
    <w:rsid w:val="00333B57"/>
    <w:rsid w:val="00335949"/>
    <w:rsid w:val="00336A54"/>
    <w:rsid w:val="00337351"/>
    <w:rsid w:val="0033796D"/>
    <w:rsid w:val="00341452"/>
    <w:rsid w:val="003419D8"/>
    <w:rsid w:val="00342950"/>
    <w:rsid w:val="00343023"/>
    <w:rsid w:val="0034486C"/>
    <w:rsid w:val="0034525F"/>
    <w:rsid w:val="00345D68"/>
    <w:rsid w:val="003479B2"/>
    <w:rsid w:val="0035089A"/>
    <w:rsid w:val="00351889"/>
    <w:rsid w:val="00351CCC"/>
    <w:rsid w:val="003520CE"/>
    <w:rsid w:val="0035487A"/>
    <w:rsid w:val="00355464"/>
    <w:rsid w:val="003570C9"/>
    <w:rsid w:val="00360062"/>
    <w:rsid w:val="0036057F"/>
    <w:rsid w:val="00360854"/>
    <w:rsid w:val="0036183C"/>
    <w:rsid w:val="0036194B"/>
    <w:rsid w:val="00362085"/>
    <w:rsid w:val="0036214C"/>
    <w:rsid w:val="00362B75"/>
    <w:rsid w:val="00362F6D"/>
    <w:rsid w:val="00365664"/>
    <w:rsid w:val="003667BC"/>
    <w:rsid w:val="003677BC"/>
    <w:rsid w:val="00367DC6"/>
    <w:rsid w:val="00373772"/>
    <w:rsid w:val="00373BAC"/>
    <w:rsid w:val="00373C7D"/>
    <w:rsid w:val="0037468D"/>
    <w:rsid w:val="00375EDA"/>
    <w:rsid w:val="0037680A"/>
    <w:rsid w:val="003775A2"/>
    <w:rsid w:val="00382956"/>
    <w:rsid w:val="00382D22"/>
    <w:rsid w:val="00383121"/>
    <w:rsid w:val="00383A2A"/>
    <w:rsid w:val="00384DF9"/>
    <w:rsid w:val="00384FB4"/>
    <w:rsid w:val="00390E4C"/>
    <w:rsid w:val="00391625"/>
    <w:rsid w:val="00392764"/>
    <w:rsid w:val="0039431B"/>
    <w:rsid w:val="0039568E"/>
    <w:rsid w:val="00396C21"/>
    <w:rsid w:val="0039742C"/>
    <w:rsid w:val="003A08D0"/>
    <w:rsid w:val="003A1554"/>
    <w:rsid w:val="003A1B16"/>
    <w:rsid w:val="003A2D2B"/>
    <w:rsid w:val="003A2DC4"/>
    <w:rsid w:val="003A2F63"/>
    <w:rsid w:val="003A3AB5"/>
    <w:rsid w:val="003A50D8"/>
    <w:rsid w:val="003A5408"/>
    <w:rsid w:val="003A6C99"/>
    <w:rsid w:val="003A6D67"/>
    <w:rsid w:val="003A72BA"/>
    <w:rsid w:val="003A755C"/>
    <w:rsid w:val="003B07C4"/>
    <w:rsid w:val="003B27A7"/>
    <w:rsid w:val="003B2D54"/>
    <w:rsid w:val="003B2F9B"/>
    <w:rsid w:val="003B4755"/>
    <w:rsid w:val="003B491A"/>
    <w:rsid w:val="003B7248"/>
    <w:rsid w:val="003C0324"/>
    <w:rsid w:val="003C0FB0"/>
    <w:rsid w:val="003C140C"/>
    <w:rsid w:val="003C1AB9"/>
    <w:rsid w:val="003C21E1"/>
    <w:rsid w:val="003C313B"/>
    <w:rsid w:val="003C3400"/>
    <w:rsid w:val="003C4DBA"/>
    <w:rsid w:val="003C6EAF"/>
    <w:rsid w:val="003D1EC5"/>
    <w:rsid w:val="003D2037"/>
    <w:rsid w:val="003D2BD6"/>
    <w:rsid w:val="003D3386"/>
    <w:rsid w:val="003D38C5"/>
    <w:rsid w:val="003D41AE"/>
    <w:rsid w:val="003D5536"/>
    <w:rsid w:val="003D5706"/>
    <w:rsid w:val="003D6B8D"/>
    <w:rsid w:val="003D7DDC"/>
    <w:rsid w:val="003E179E"/>
    <w:rsid w:val="003E1DDD"/>
    <w:rsid w:val="003E2FF4"/>
    <w:rsid w:val="003E3174"/>
    <w:rsid w:val="003E516F"/>
    <w:rsid w:val="003E56F3"/>
    <w:rsid w:val="003E5C68"/>
    <w:rsid w:val="003E7B66"/>
    <w:rsid w:val="003F056C"/>
    <w:rsid w:val="003F0A1A"/>
    <w:rsid w:val="003F12EE"/>
    <w:rsid w:val="003F323B"/>
    <w:rsid w:val="003F3393"/>
    <w:rsid w:val="003F33D1"/>
    <w:rsid w:val="003F66A6"/>
    <w:rsid w:val="003F6DD6"/>
    <w:rsid w:val="004021DA"/>
    <w:rsid w:val="00402210"/>
    <w:rsid w:val="00402C02"/>
    <w:rsid w:val="00402C2A"/>
    <w:rsid w:val="0040303C"/>
    <w:rsid w:val="00403406"/>
    <w:rsid w:val="00404322"/>
    <w:rsid w:val="0040445F"/>
    <w:rsid w:val="00404C6B"/>
    <w:rsid w:val="00410A98"/>
    <w:rsid w:val="0041263D"/>
    <w:rsid w:val="00412AA6"/>
    <w:rsid w:val="004149D8"/>
    <w:rsid w:val="00416798"/>
    <w:rsid w:val="0042149B"/>
    <w:rsid w:val="00423A39"/>
    <w:rsid w:val="00424BC5"/>
    <w:rsid w:val="0042654D"/>
    <w:rsid w:val="0042790C"/>
    <w:rsid w:val="00427A54"/>
    <w:rsid w:val="00430298"/>
    <w:rsid w:val="0043064D"/>
    <w:rsid w:val="004314FA"/>
    <w:rsid w:val="00431BD9"/>
    <w:rsid w:val="00433049"/>
    <w:rsid w:val="004331ED"/>
    <w:rsid w:val="00433FF0"/>
    <w:rsid w:val="00434F24"/>
    <w:rsid w:val="004354AE"/>
    <w:rsid w:val="00435C3D"/>
    <w:rsid w:val="00436384"/>
    <w:rsid w:val="00436497"/>
    <w:rsid w:val="00436DE9"/>
    <w:rsid w:val="004402BE"/>
    <w:rsid w:val="004404A1"/>
    <w:rsid w:val="004406DB"/>
    <w:rsid w:val="00440FD0"/>
    <w:rsid w:val="0044135E"/>
    <w:rsid w:val="004424C6"/>
    <w:rsid w:val="00443A46"/>
    <w:rsid w:val="0044581D"/>
    <w:rsid w:val="004458CC"/>
    <w:rsid w:val="00446922"/>
    <w:rsid w:val="004471D6"/>
    <w:rsid w:val="0044761B"/>
    <w:rsid w:val="00447A7E"/>
    <w:rsid w:val="00450530"/>
    <w:rsid w:val="00450B33"/>
    <w:rsid w:val="00450EF2"/>
    <w:rsid w:val="00452196"/>
    <w:rsid w:val="00453556"/>
    <w:rsid w:val="00454942"/>
    <w:rsid w:val="00454FC2"/>
    <w:rsid w:val="00455448"/>
    <w:rsid w:val="00455834"/>
    <w:rsid w:val="00456089"/>
    <w:rsid w:val="004567CB"/>
    <w:rsid w:val="00456D9E"/>
    <w:rsid w:val="00456F04"/>
    <w:rsid w:val="004602FE"/>
    <w:rsid w:val="0046038E"/>
    <w:rsid w:val="00462A46"/>
    <w:rsid w:val="00463781"/>
    <w:rsid w:val="00463A8E"/>
    <w:rsid w:val="00464374"/>
    <w:rsid w:val="00465294"/>
    <w:rsid w:val="00465A60"/>
    <w:rsid w:val="00466E50"/>
    <w:rsid w:val="00466F7B"/>
    <w:rsid w:val="00467106"/>
    <w:rsid w:val="00472BC9"/>
    <w:rsid w:val="004746CA"/>
    <w:rsid w:val="00475A16"/>
    <w:rsid w:val="004762CA"/>
    <w:rsid w:val="00476712"/>
    <w:rsid w:val="00480522"/>
    <w:rsid w:val="00480D8D"/>
    <w:rsid w:val="00481561"/>
    <w:rsid w:val="00481C8C"/>
    <w:rsid w:val="00484A2C"/>
    <w:rsid w:val="004851DB"/>
    <w:rsid w:val="00485A5F"/>
    <w:rsid w:val="004862E2"/>
    <w:rsid w:val="0048680F"/>
    <w:rsid w:val="00487141"/>
    <w:rsid w:val="0048757F"/>
    <w:rsid w:val="00487684"/>
    <w:rsid w:val="00487E02"/>
    <w:rsid w:val="004901A5"/>
    <w:rsid w:val="004906D5"/>
    <w:rsid w:val="00491E2C"/>
    <w:rsid w:val="00492F21"/>
    <w:rsid w:val="00492FF7"/>
    <w:rsid w:val="004931B6"/>
    <w:rsid w:val="00494A80"/>
    <w:rsid w:val="004958B6"/>
    <w:rsid w:val="0049612C"/>
    <w:rsid w:val="004969E4"/>
    <w:rsid w:val="0049753A"/>
    <w:rsid w:val="004A12BE"/>
    <w:rsid w:val="004A2111"/>
    <w:rsid w:val="004A372E"/>
    <w:rsid w:val="004A3BA3"/>
    <w:rsid w:val="004A55E3"/>
    <w:rsid w:val="004B02EF"/>
    <w:rsid w:val="004B21EE"/>
    <w:rsid w:val="004B4A34"/>
    <w:rsid w:val="004B4F65"/>
    <w:rsid w:val="004B55F3"/>
    <w:rsid w:val="004B5E9E"/>
    <w:rsid w:val="004B6541"/>
    <w:rsid w:val="004B73C7"/>
    <w:rsid w:val="004C1F0C"/>
    <w:rsid w:val="004C3874"/>
    <w:rsid w:val="004C3BA3"/>
    <w:rsid w:val="004C6192"/>
    <w:rsid w:val="004C6CBD"/>
    <w:rsid w:val="004C7F37"/>
    <w:rsid w:val="004D0C61"/>
    <w:rsid w:val="004D219B"/>
    <w:rsid w:val="004D34DC"/>
    <w:rsid w:val="004D3695"/>
    <w:rsid w:val="004D3AB9"/>
    <w:rsid w:val="004D5507"/>
    <w:rsid w:val="004D56B5"/>
    <w:rsid w:val="004D6281"/>
    <w:rsid w:val="004D6DFE"/>
    <w:rsid w:val="004D78DE"/>
    <w:rsid w:val="004E0570"/>
    <w:rsid w:val="004E0B35"/>
    <w:rsid w:val="004E0CB6"/>
    <w:rsid w:val="004E2700"/>
    <w:rsid w:val="004E4041"/>
    <w:rsid w:val="004E4242"/>
    <w:rsid w:val="004E4595"/>
    <w:rsid w:val="004E475C"/>
    <w:rsid w:val="004E53FF"/>
    <w:rsid w:val="004E62F0"/>
    <w:rsid w:val="004E6B0A"/>
    <w:rsid w:val="004F3117"/>
    <w:rsid w:val="004F36E9"/>
    <w:rsid w:val="004F4577"/>
    <w:rsid w:val="004F4D11"/>
    <w:rsid w:val="004F4EC7"/>
    <w:rsid w:val="004F4FC6"/>
    <w:rsid w:val="004F5445"/>
    <w:rsid w:val="004F595F"/>
    <w:rsid w:val="004F5C7F"/>
    <w:rsid w:val="004F5E20"/>
    <w:rsid w:val="004F7D34"/>
    <w:rsid w:val="004F7DFC"/>
    <w:rsid w:val="00501137"/>
    <w:rsid w:val="00501FB4"/>
    <w:rsid w:val="00502183"/>
    <w:rsid w:val="00502BE9"/>
    <w:rsid w:val="00503D6F"/>
    <w:rsid w:val="00505206"/>
    <w:rsid w:val="00505C22"/>
    <w:rsid w:val="00506203"/>
    <w:rsid w:val="00506755"/>
    <w:rsid w:val="005115A5"/>
    <w:rsid w:val="0051165F"/>
    <w:rsid w:val="00511A34"/>
    <w:rsid w:val="00512771"/>
    <w:rsid w:val="00512BDD"/>
    <w:rsid w:val="00513B9C"/>
    <w:rsid w:val="00514EA1"/>
    <w:rsid w:val="00516CAB"/>
    <w:rsid w:val="0051707E"/>
    <w:rsid w:val="00517EE6"/>
    <w:rsid w:val="005206F9"/>
    <w:rsid w:val="00520C9D"/>
    <w:rsid w:val="00520E47"/>
    <w:rsid w:val="005222B8"/>
    <w:rsid w:val="00523FE6"/>
    <w:rsid w:val="00524490"/>
    <w:rsid w:val="00525CF5"/>
    <w:rsid w:val="00526D88"/>
    <w:rsid w:val="00527C23"/>
    <w:rsid w:val="00530223"/>
    <w:rsid w:val="00530246"/>
    <w:rsid w:val="00531188"/>
    <w:rsid w:val="005311A1"/>
    <w:rsid w:val="00531C8D"/>
    <w:rsid w:val="00532C7E"/>
    <w:rsid w:val="005340F8"/>
    <w:rsid w:val="005358E2"/>
    <w:rsid w:val="00535B98"/>
    <w:rsid w:val="0053616D"/>
    <w:rsid w:val="0053734B"/>
    <w:rsid w:val="005412F0"/>
    <w:rsid w:val="0054224C"/>
    <w:rsid w:val="00542915"/>
    <w:rsid w:val="00542DB2"/>
    <w:rsid w:val="005442CB"/>
    <w:rsid w:val="00544444"/>
    <w:rsid w:val="00544D07"/>
    <w:rsid w:val="00545BAD"/>
    <w:rsid w:val="005477B8"/>
    <w:rsid w:val="0055035C"/>
    <w:rsid w:val="005504A2"/>
    <w:rsid w:val="005506A3"/>
    <w:rsid w:val="0055071C"/>
    <w:rsid w:val="00550983"/>
    <w:rsid w:val="0055134C"/>
    <w:rsid w:val="005513EE"/>
    <w:rsid w:val="005517C5"/>
    <w:rsid w:val="00551FA0"/>
    <w:rsid w:val="005537A9"/>
    <w:rsid w:val="00553C32"/>
    <w:rsid w:val="00553D17"/>
    <w:rsid w:val="005547D3"/>
    <w:rsid w:val="0055520C"/>
    <w:rsid w:val="005556F0"/>
    <w:rsid w:val="005559EF"/>
    <w:rsid w:val="005565AC"/>
    <w:rsid w:val="00556D7E"/>
    <w:rsid w:val="0056076C"/>
    <w:rsid w:val="00561A92"/>
    <w:rsid w:val="00561E47"/>
    <w:rsid w:val="00563EC5"/>
    <w:rsid w:val="0056592F"/>
    <w:rsid w:val="0056647C"/>
    <w:rsid w:val="005668EF"/>
    <w:rsid w:val="00566B51"/>
    <w:rsid w:val="00567D58"/>
    <w:rsid w:val="005700C7"/>
    <w:rsid w:val="005709B8"/>
    <w:rsid w:val="005735E7"/>
    <w:rsid w:val="00574444"/>
    <w:rsid w:val="0057477E"/>
    <w:rsid w:val="005763B0"/>
    <w:rsid w:val="005773DA"/>
    <w:rsid w:val="00577A06"/>
    <w:rsid w:val="0058149D"/>
    <w:rsid w:val="00581845"/>
    <w:rsid w:val="00581878"/>
    <w:rsid w:val="00582250"/>
    <w:rsid w:val="0058262E"/>
    <w:rsid w:val="00582DC4"/>
    <w:rsid w:val="005834F6"/>
    <w:rsid w:val="00584192"/>
    <w:rsid w:val="00584280"/>
    <w:rsid w:val="00585D94"/>
    <w:rsid w:val="00591BE2"/>
    <w:rsid w:val="005920DF"/>
    <w:rsid w:val="00592185"/>
    <w:rsid w:val="005935C0"/>
    <w:rsid w:val="00593862"/>
    <w:rsid w:val="00593D28"/>
    <w:rsid w:val="005940FC"/>
    <w:rsid w:val="0059549C"/>
    <w:rsid w:val="00595AD7"/>
    <w:rsid w:val="005961B5"/>
    <w:rsid w:val="00596B3B"/>
    <w:rsid w:val="00596C8D"/>
    <w:rsid w:val="005A13BD"/>
    <w:rsid w:val="005A2900"/>
    <w:rsid w:val="005A4B51"/>
    <w:rsid w:val="005A4B8B"/>
    <w:rsid w:val="005A6AB1"/>
    <w:rsid w:val="005A7292"/>
    <w:rsid w:val="005B1055"/>
    <w:rsid w:val="005B223C"/>
    <w:rsid w:val="005B22BE"/>
    <w:rsid w:val="005B3542"/>
    <w:rsid w:val="005B379A"/>
    <w:rsid w:val="005B6325"/>
    <w:rsid w:val="005B691E"/>
    <w:rsid w:val="005B70BF"/>
    <w:rsid w:val="005B7750"/>
    <w:rsid w:val="005C1C9C"/>
    <w:rsid w:val="005C27A1"/>
    <w:rsid w:val="005C3C13"/>
    <w:rsid w:val="005C40F7"/>
    <w:rsid w:val="005D0971"/>
    <w:rsid w:val="005D1754"/>
    <w:rsid w:val="005D2297"/>
    <w:rsid w:val="005D2A89"/>
    <w:rsid w:val="005D365A"/>
    <w:rsid w:val="005D397E"/>
    <w:rsid w:val="005D3C93"/>
    <w:rsid w:val="005D52C7"/>
    <w:rsid w:val="005D5510"/>
    <w:rsid w:val="005D5E45"/>
    <w:rsid w:val="005E05BC"/>
    <w:rsid w:val="005E0707"/>
    <w:rsid w:val="005E17BA"/>
    <w:rsid w:val="005E240B"/>
    <w:rsid w:val="005E29C3"/>
    <w:rsid w:val="005E32C1"/>
    <w:rsid w:val="005E5CD1"/>
    <w:rsid w:val="005E68BA"/>
    <w:rsid w:val="005E6E8D"/>
    <w:rsid w:val="005F123D"/>
    <w:rsid w:val="005F19F1"/>
    <w:rsid w:val="005F34CC"/>
    <w:rsid w:val="005F3ACA"/>
    <w:rsid w:val="005F516B"/>
    <w:rsid w:val="005F54BA"/>
    <w:rsid w:val="005F6CBA"/>
    <w:rsid w:val="00600201"/>
    <w:rsid w:val="006004BB"/>
    <w:rsid w:val="00600611"/>
    <w:rsid w:val="00600C95"/>
    <w:rsid w:val="006010C7"/>
    <w:rsid w:val="0060192F"/>
    <w:rsid w:val="006025C1"/>
    <w:rsid w:val="00602F0C"/>
    <w:rsid w:val="00604501"/>
    <w:rsid w:val="0060588D"/>
    <w:rsid w:val="00605B21"/>
    <w:rsid w:val="00605BF2"/>
    <w:rsid w:val="00610131"/>
    <w:rsid w:val="00611DA4"/>
    <w:rsid w:val="00614206"/>
    <w:rsid w:val="006147A7"/>
    <w:rsid w:val="00614E4E"/>
    <w:rsid w:val="0061503A"/>
    <w:rsid w:val="00615E42"/>
    <w:rsid w:val="006161E9"/>
    <w:rsid w:val="006206E3"/>
    <w:rsid w:val="00620E7E"/>
    <w:rsid w:val="006217A2"/>
    <w:rsid w:val="00622190"/>
    <w:rsid w:val="00622C8B"/>
    <w:rsid w:val="0062387F"/>
    <w:rsid w:val="00623D66"/>
    <w:rsid w:val="00624FBD"/>
    <w:rsid w:val="0062699B"/>
    <w:rsid w:val="00626EE2"/>
    <w:rsid w:val="0063114A"/>
    <w:rsid w:val="006315FF"/>
    <w:rsid w:val="00631762"/>
    <w:rsid w:val="006326A9"/>
    <w:rsid w:val="00632A90"/>
    <w:rsid w:val="00633C47"/>
    <w:rsid w:val="00635BDA"/>
    <w:rsid w:val="006360E2"/>
    <w:rsid w:val="00637357"/>
    <w:rsid w:val="00637976"/>
    <w:rsid w:val="00641BC0"/>
    <w:rsid w:val="00642136"/>
    <w:rsid w:val="0064270B"/>
    <w:rsid w:val="00642A9C"/>
    <w:rsid w:val="006436F0"/>
    <w:rsid w:val="00643D84"/>
    <w:rsid w:val="0064437B"/>
    <w:rsid w:val="006451FD"/>
    <w:rsid w:val="0065291C"/>
    <w:rsid w:val="0065294D"/>
    <w:rsid w:val="0065381F"/>
    <w:rsid w:val="006568A4"/>
    <w:rsid w:val="006571FA"/>
    <w:rsid w:val="00660B93"/>
    <w:rsid w:val="00661B93"/>
    <w:rsid w:val="00664D70"/>
    <w:rsid w:val="00665B5F"/>
    <w:rsid w:val="006662FF"/>
    <w:rsid w:val="006670D0"/>
    <w:rsid w:val="006678A2"/>
    <w:rsid w:val="0067002C"/>
    <w:rsid w:val="00671EE7"/>
    <w:rsid w:val="00672804"/>
    <w:rsid w:val="006734F8"/>
    <w:rsid w:val="0067382E"/>
    <w:rsid w:val="00673F7C"/>
    <w:rsid w:val="006745E9"/>
    <w:rsid w:val="006748DD"/>
    <w:rsid w:val="00674939"/>
    <w:rsid w:val="006772C4"/>
    <w:rsid w:val="00677528"/>
    <w:rsid w:val="00677A63"/>
    <w:rsid w:val="00677EED"/>
    <w:rsid w:val="006806E6"/>
    <w:rsid w:val="006827CA"/>
    <w:rsid w:val="00682B6D"/>
    <w:rsid w:val="00684591"/>
    <w:rsid w:val="006858AB"/>
    <w:rsid w:val="00686482"/>
    <w:rsid w:val="006868B7"/>
    <w:rsid w:val="006909BE"/>
    <w:rsid w:val="0069147A"/>
    <w:rsid w:val="00692C41"/>
    <w:rsid w:val="00692E12"/>
    <w:rsid w:val="00693784"/>
    <w:rsid w:val="00693D77"/>
    <w:rsid w:val="00693EB5"/>
    <w:rsid w:val="006A1067"/>
    <w:rsid w:val="006A157F"/>
    <w:rsid w:val="006A17BF"/>
    <w:rsid w:val="006A1DEB"/>
    <w:rsid w:val="006A3B5F"/>
    <w:rsid w:val="006A4688"/>
    <w:rsid w:val="006A575A"/>
    <w:rsid w:val="006A6BE3"/>
    <w:rsid w:val="006A76D3"/>
    <w:rsid w:val="006A781F"/>
    <w:rsid w:val="006B1C1D"/>
    <w:rsid w:val="006B3213"/>
    <w:rsid w:val="006B402F"/>
    <w:rsid w:val="006B5B95"/>
    <w:rsid w:val="006B7F22"/>
    <w:rsid w:val="006C180D"/>
    <w:rsid w:val="006C19D4"/>
    <w:rsid w:val="006C20B3"/>
    <w:rsid w:val="006C2848"/>
    <w:rsid w:val="006C2899"/>
    <w:rsid w:val="006C2EE5"/>
    <w:rsid w:val="006C341D"/>
    <w:rsid w:val="006C4462"/>
    <w:rsid w:val="006C46DC"/>
    <w:rsid w:val="006C53DF"/>
    <w:rsid w:val="006C6822"/>
    <w:rsid w:val="006D0E57"/>
    <w:rsid w:val="006D126A"/>
    <w:rsid w:val="006D26EB"/>
    <w:rsid w:val="006D3CF0"/>
    <w:rsid w:val="006D47A4"/>
    <w:rsid w:val="006D55C7"/>
    <w:rsid w:val="006D58CF"/>
    <w:rsid w:val="006D5C8F"/>
    <w:rsid w:val="006D7696"/>
    <w:rsid w:val="006D7BAA"/>
    <w:rsid w:val="006E0F59"/>
    <w:rsid w:val="006E2E27"/>
    <w:rsid w:val="006E2E86"/>
    <w:rsid w:val="006E4122"/>
    <w:rsid w:val="006E4439"/>
    <w:rsid w:val="006E4851"/>
    <w:rsid w:val="006E4A91"/>
    <w:rsid w:val="006E745E"/>
    <w:rsid w:val="006E76DC"/>
    <w:rsid w:val="006F048F"/>
    <w:rsid w:val="006F1F45"/>
    <w:rsid w:val="006F359B"/>
    <w:rsid w:val="006F39DF"/>
    <w:rsid w:val="006F3A0A"/>
    <w:rsid w:val="006F6623"/>
    <w:rsid w:val="006F6A39"/>
    <w:rsid w:val="006F7AB1"/>
    <w:rsid w:val="007002B0"/>
    <w:rsid w:val="00701518"/>
    <w:rsid w:val="0070157D"/>
    <w:rsid w:val="00702824"/>
    <w:rsid w:val="00702C26"/>
    <w:rsid w:val="00702CFB"/>
    <w:rsid w:val="0070454B"/>
    <w:rsid w:val="00704ECF"/>
    <w:rsid w:val="0070664D"/>
    <w:rsid w:val="00706D28"/>
    <w:rsid w:val="00707BA0"/>
    <w:rsid w:val="00711C99"/>
    <w:rsid w:val="00714336"/>
    <w:rsid w:val="0071439A"/>
    <w:rsid w:val="00716941"/>
    <w:rsid w:val="00720273"/>
    <w:rsid w:val="00721499"/>
    <w:rsid w:val="007214FF"/>
    <w:rsid w:val="00721BC6"/>
    <w:rsid w:val="007223AC"/>
    <w:rsid w:val="00727CB3"/>
    <w:rsid w:val="00730372"/>
    <w:rsid w:val="00732021"/>
    <w:rsid w:val="007329C8"/>
    <w:rsid w:val="0073356E"/>
    <w:rsid w:val="00733A6C"/>
    <w:rsid w:val="00735093"/>
    <w:rsid w:val="00736A43"/>
    <w:rsid w:val="00736C8D"/>
    <w:rsid w:val="00736D31"/>
    <w:rsid w:val="0074115E"/>
    <w:rsid w:val="00741213"/>
    <w:rsid w:val="0074123A"/>
    <w:rsid w:val="007421EC"/>
    <w:rsid w:val="007422BA"/>
    <w:rsid w:val="0074237C"/>
    <w:rsid w:val="00742629"/>
    <w:rsid w:val="00742A08"/>
    <w:rsid w:val="00743564"/>
    <w:rsid w:val="00743D27"/>
    <w:rsid w:val="00744B82"/>
    <w:rsid w:val="007458A6"/>
    <w:rsid w:val="00750DD5"/>
    <w:rsid w:val="007559C4"/>
    <w:rsid w:val="007615A6"/>
    <w:rsid w:val="00762B2E"/>
    <w:rsid w:val="007649AF"/>
    <w:rsid w:val="00766452"/>
    <w:rsid w:val="00766585"/>
    <w:rsid w:val="00767E11"/>
    <w:rsid w:val="00771F15"/>
    <w:rsid w:val="00772AA9"/>
    <w:rsid w:val="007733A1"/>
    <w:rsid w:val="0077430B"/>
    <w:rsid w:val="00774B02"/>
    <w:rsid w:val="0077532A"/>
    <w:rsid w:val="00781D2C"/>
    <w:rsid w:val="00781F96"/>
    <w:rsid w:val="00783CDD"/>
    <w:rsid w:val="007856B9"/>
    <w:rsid w:val="00791609"/>
    <w:rsid w:val="0079182D"/>
    <w:rsid w:val="007923D3"/>
    <w:rsid w:val="00792CF5"/>
    <w:rsid w:val="0079362B"/>
    <w:rsid w:val="00793D93"/>
    <w:rsid w:val="007948D5"/>
    <w:rsid w:val="00794AB6"/>
    <w:rsid w:val="00794DD2"/>
    <w:rsid w:val="00795E3B"/>
    <w:rsid w:val="00796843"/>
    <w:rsid w:val="0079741B"/>
    <w:rsid w:val="0079784D"/>
    <w:rsid w:val="00797A33"/>
    <w:rsid w:val="007A031D"/>
    <w:rsid w:val="007A0C35"/>
    <w:rsid w:val="007A1228"/>
    <w:rsid w:val="007A157E"/>
    <w:rsid w:val="007A1880"/>
    <w:rsid w:val="007A1907"/>
    <w:rsid w:val="007A22CC"/>
    <w:rsid w:val="007A31DA"/>
    <w:rsid w:val="007A3E44"/>
    <w:rsid w:val="007A796F"/>
    <w:rsid w:val="007B056C"/>
    <w:rsid w:val="007B11DC"/>
    <w:rsid w:val="007B1FA9"/>
    <w:rsid w:val="007B3712"/>
    <w:rsid w:val="007B49B6"/>
    <w:rsid w:val="007B56DD"/>
    <w:rsid w:val="007B5730"/>
    <w:rsid w:val="007B59F0"/>
    <w:rsid w:val="007B62A0"/>
    <w:rsid w:val="007B65C0"/>
    <w:rsid w:val="007B66D5"/>
    <w:rsid w:val="007B6C4E"/>
    <w:rsid w:val="007B6D25"/>
    <w:rsid w:val="007C0227"/>
    <w:rsid w:val="007C1723"/>
    <w:rsid w:val="007C1735"/>
    <w:rsid w:val="007C17BF"/>
    <w:rsid w:val="007C316E"/>
    <w:rsid w:val="007C36DB"/>
    <w:rsid w:val="007C5498"/>
    <w:rsid w:val="007C5962"/>
    <w:rsid w:val="007C74C5"/>
    <w:rsid w:val="007D17AE"/>
    <w:rsid w:val="007D22AF"/>
    <w:rsid w:val="007D35EE"/>
    <w:rsid w:val="007D3639"/>
    <w:rsid w:val="007D38DA"/>
    <w:rsid w:val="007D3A55"/>
    <w:rsid w:val="007D4816"/>
    <w:rsid w:val="007D4EF4"/>
    <w:rsid w:val="007D5F5C"/>
    <w:rsid w:val="007D6404"/>
    <w:rsid w:val="007D685A"/>
    <w:rsid w:val="007E0528"/>
    <w:rsid w:val="007E07A2"/>
    <w:rsid w:val="007E0C7B"/>
    <w:rsid w:val="007E63A6"/>
    <w:rsid w:val="007E7E7F"/>
    <w:rsid w:val="007E7FDE"/>
    <w:rsid w:val="007F0697"/>
    <w:rsid w:val="007F0DC1"/>
    <w:rsid w:val="007F2655"/>
    <w:rsid w:val="007F2840"/>
    <w:rsid w:val="007F2899"/>
    <w:rsid w:val="007F3FCF"/>
    <w:rsid w:val="007F4464"/>
    <w:rsid w:val="007F453F"/>
    <w:rsid w:val="007F62AE"/>
    <w:rsid w:val="007F6454"/>
    <w:rsid w:val="007F66DB"/>
    <w:rsid w:val="007F7632"/>
    <w:rsid w:val="00800A2F"/>
    <w:rsid w:val="00800BA7"/>
    <w:rsid w:val="00800D6A"/>
    <w:rsid w:val="008017E9"/>
    <w:rsid w:val="0080276C"/>
    <w:rsid w:val="0080386F"/>
    <w:rsid w:val="00806C38"/>
    <w:rsid w:val="008072B4"/>
    <w:rsid w:val="008101B3"/>
    <w:rsid w:val="00810FCA"/>
    <w:rsid w:val="008110F2"/>
    <w:rsid w:val="0081110A"/>
    <w:rsid w:val="00811B1A"/>
    <w:rsid w:val="00811BA2"/>
    <w:rsid w:val="00812151"/>
    <w:rsid w:val="00812C16"/>
    <w:rsid w:val="008135FB"/>
    <w:rsid w:val="00813D85"/>
    <w:rsid w:val="008143C0"/>
    <w:rsid w:val="00814695"/>
    <w:rsid w:val="00816FA4"/>
    <w:rsid w:val="00821801"/>
    <w:rsid w:val="008221AD"/>
    <w:rsid w:val="008225AB"/>
    <w:rsid w:val="0082459B"/>
    <w:rsid w:val="00824A6E"/>
    <w:rsid w:val="00826649"/>
    <w:rsid w:val="0083213A"/>
    <w:rsid w:val="00832408"/>
    <w:rsid w:val="0083264F"/>
    <w:rsid w:val="00833286"/>
    <w:rsid w:val="0083394D"/>
    <w:rsid w:val="00833B21"/>
    <w:rsid w:val="00833E44"/>
    <w:rsid w:val="0083406B"/>
    <w:rsid w:val="008342EF"/>
    <w:rsid w:val="00835E5A"/>
    <w:rsid w:val="00835FB0"/>
    <w:rsid w:val="00836141"/>
    <w:rsid w:val="0083626F"/>
    <w:rsid w:val="008366C4"/>
    <w:rsid w:val="00836A3F"/>
    <w:rsid w:val="0084036C"/>
    <w:rsid w:val="0084068C"/>
    <w:rsid w:val="00842138"/>
    <w:rsid w:val="00842855"/>
    <w:rsid w:val="00842947"/>
    <w:rsid w:val="00842CC3"/>
    <w:rsid w:val="00843D2B"/>
    <w:rsid w:val="00844FC9"/>
    <w:rsid w:val="00845476"/>
    <w:rsid w:val="00845C92"/>
    <w:rsid w:val="00847F97"/>
    <w:rsid w:val="008501B9"/>
    <w:rsid w:val="00850477"/>
    <w:rsid w:val="0085125A"/>
    <w:rsid w:val="00852DC5"/>
    <w:rsid w:val="0085354E"/>
    <w:rsid w:val="00855275"/>
    <w:rsid w:val="0085554B"/>
    <w:rsid w:val="008578BA"/>
    <w:rsid w:val="00860D6D"/>
    <w:rsid w:val="00861713"/>
    <w:rsid w:val="0086247B"/>
    <w:rsid w:val="0086250C"/>
    <w:rsid w:val="00863EEE"/>
    <w:rsid w:val="008642C7"/>
    <w:rsid w:val="0086435B"/>
    <w:rsid w:val="00864969"/>
    <w:rsid w:val="00865156"/>
    <w:rsid w:val="00865537"/>
    <w:rsid w:val="008656F5"/>
    <w:rsid w:val="00865CD8"/>
    <w:rsid w:val="00865FC5"/>
    <w:rsid w:val="008661CC"/>
    <w:rsid w:val="00866211"/>
    <w:rsid w:val="008703E1"/>
    <w:rsid w:val="00870573"/>
    <w:rsid w:val="0087096A"/>
    <w:rsid w:val="0087099E"/>
    <w:rsid w:val="00871CAB"/>
    <w:rsid w:val="00872607"/>
    <w:rsid w:val="00875056"/>
    <w:rsid w:val="0087544D"/>
    <w:rsid w:val="008768B2"/>
    <w:rsid w:val="0088061D"/>
    <w:rsid w:val="00880A71"/>
    <w:rsid w:val="00880B60"/>
    <w:rsid w:val="00882767"/>
    <w:rsid w:val="0088370A"/>
    <w:rsid w:val="00883805"/>
    <w:rsid w:val="00883F04"/>
    <w:rsid w:val="00884236"/>
    <w:rsid w:val="0088510E"/>
    <w:rsid w:val="0088751D"/>
    <w:rsid w:val="00887A77"/>
    <w:rsid w:val="00887DA1"/>
    <w:rsid w:val="00891DD3"/>
    <w:rsid w:val="0089265C"/>
    <w:rsid w:val="00892815"/>
    <w:rsid w:val="00893E6E"/>
    <w:rsid w:val="00894022"/>
    <w:rsid w:val="008946FA"/>
    <w:rsid w:val="00896841"/>
    <w:rsid w:val="00897136"/>
    <w:rsid w:val="008971AC"/>
    <w:rsid w:val="00897395"/>
    <w:rsid w:val="0089792A"/>
    <w:rsid w:val="008A2BCC"/>
    <w:rsid w:val="008A45F2"/>
    <w:rsid w:val="008A5A4B"/>
    <w:rsid w:val="008A5AFB"/>
    <w:rsid w:val="008A6E22"/>
    <w:rsid w:val="008A7041"/>
    <w:rsid w:val="008B2763"/>
    <w:rsid w:val="008B3AAA"/>
    <w:rsid w:val="008B3C7E"/>
    <w:rsid w:val="008B4AB6"/>
    <w:rsid w:val="008B552D"/>
    <w:rsid w:val="008B57DE"/>
    <w:rsid w:val="008B5993"/>
    <w:rsid w:val="008B72A9"/>
    <w:rsid w:val="008B785E"/>
    <w:rsid w:val="008C0ED6"/>
    <w:rsid w:val="008C0F33"/>
    <w:rsid w:val="008C24CD"/>
    <w:rsid w:val="008C46F9"/>
    <w:rsid w:val="008C5A67"/>
    <w:rsid w:val="008C5A89"/>
    <w:rsid w:val="008C6A11"/>
    <w:rsid w:val="008C7B92"/>
    <w:rsid w:val="008D076E"/>
    <w:rsid w:val="008D0A60"/>
    <w:rsid w:val="008D1F0B"/>
    <w:rsid w:val="008D1F42"/>
    <w:rsid w:val="008D2FF9"/>
    <w:rsid w:val="008D3AE7"/>
    <w:rsid w:val="008D3F71"/>
    <w:rsid w:val="008D467E"/>
    <w:rsid w:val="008D4A4A"/>
    <w:rsid w:val="008D6992"/>
    <w:rsid w:val="008D7261"/>
    <w:rsid w:val="008E044A"/>
    <w:rsid w:val="008E1E04"/>
    <w:rsid w:val="008E35B9"/>
    <w:rsid w:val="008E39CD"/>
    <w:rsid w:val="008E43A0"/>
    <w:rsid w:val="008E4E8B"/>
    <w:rsid w:val="008E6E01"/>
    <w:rsid w:val="008E7D9C"/>
    <w:rsid w:val="008F0D24"/>
    <w:rsid w:val="008F3AE6"/>
    <w:rsid w:val="008F449A"/>
    <w:rsid w:val="008F6F63"/>
    <w:rsid w:val="00900B2F"/>
    <w:rsid w:val="00901ED8"/>
    <w:rsid w:val="009031AF"/>
    <w:rsid w:val="0090379C"/>
    <w:rsid w:val="00904412"/>
    <w:rsid w:val="0090456C"/>
    <w:rsid w:val="009046D4"/>
    <w:rsid w:val="00904BEF"/>
    <w:rsid w:val="009110A7"/>
    <w:rsid w:val="00912568"/>
    <w:rsid w:val="00912707"/>
    <w:rsid w:val="00913EB8"/>
    <w:rsid w:val="00913F58"/>
    <w:rsid w:val="00913F74"/>
    <w:rsid w:val="00915CC5"/>
    <w:rsid w:val="009175E1"/>
    <w:rsid w:val="0092081B"/>
    <w:rsid w:val="00920ABE"/>
    <w:rsid w:val="00920B90"/>
    <w:rsid w:val="00921D1A"/>
    <w:rsid w:val="00922319"/>
    <w:rsid w:val="009227A8"/>
    <w:rsid w:val="009228C3"/>
    <w:rsid w:val="00923D43"/>
    <w:rsid w:val="00927804"/>
    <w:rsid w:val="009278D8"/>
    <w:rsid w:val="009279FA"/>
    <w:rsid w:val="00927DD2"/>
    <w:rsid w:val="00930407"/>
    <w:rsid w:val="0093078B"/>
    <w:rsid w:val="00930B1A"/>
    <w:rsid w:val="00931DDF"/>
    <w:rsid w:val="00931FA9"/>
    <w:rsid w:val="009321D4"/>
    <w:rsid w:val="00935577"/>
    <w:rsid w:val="00935815"/>
    <w:rsid w:val="00935FC5"/>
    <w:rsid w:val="0093688C"/>
    <w:rsid w:val="00937A68"/>
    <w:rsid w:val="009401C2"/>
    <w:rsid w:val="00942D01"/>
    <w:rsid w:val="00942E2D"/>
    <w:rsid w:val="00942EA6"/>
    <w:rsid w:val="00944E5D"/>
    <w:rsid w:val="00946113"/>
    <w:rsid w:val="00946D8B"/>
    <w:rsid w:val="00946E0F"/>
    <w:rsid w:val="00950D71"/>
    <w:rsid w:val="009519F2"/>
    <w:rsid w:val="00952D94"/>
    <w:rsid w:val="00955643"/>
    <w:rsid w:val="00955B36"/>
    <w:rsid w:val="00957FF1"/>
    <w:rsid w:val="00960B48"/>
    <w:rsid w:val="0096123D"/>
    <w:rsid w:val="00961604"/>
    <w:rsid w:val="00961E82"/>
    <w:rsid w:val="00963325"/>
    <w:rsid w:val="00963912"/>
    <w:rsid w:val="009657D4"/>
    <w:rsid w:val="00967476"/>
    <w:rsid w:val="00970168"/>
    <w:rsid w:val="00970EC3"/>
    <w:rsid w:val="009711CF"/>
    <w:rsid w:val="00971BED"/>
    <w:rsid w:val="009726E7"/>
    <w:rsid w:val="00973833"/>
    <w:rsid w:val="009740AB"/>
    <w:rsid w:val="00974B1D"/>
    <w:rsid w:val="0097551B"/>
    <w:rsid w:val="00975530"/>
    <w:rsid w:val="00975B1E"/>
    <w:rsid w:val="00977485"/>
    <w:rsid w:val="00980CFA"/>
    <w:rsid w:val="00981BAF"/>
    <w:rsid w:val="009828F1"/>
    <w:rsid w:val="00982958"/>
    <w:rsid w:val="00983785"/>
    <w:rsid w:val="00985B63"/>
    <w:rsid w:val="009868EE"/>
    <w:rsid w:val="009875AF"/>
    <w:rsid w:val="00987726"/>
    <w:rsid w:val="00987900"/>
    <w:rsid w:val="00991A22"/>
    <w:rsid w:val="00992657"/>
    <w:rsid w:val="00994063"/>
    <w:rsid w:val="009943EC"/>
    <w:rsid w:val="00995AD1"/>
    <w:rsid w:val="0099626B"/>
    <w:rsid w:val="009A07BE"/>
    <w:rsid w:val="009A0B08"/>
    <w:rsid w:val="009A4CD1"/>
    <w:rsid w:val="009A565A"/>
    <w:rsid w:val="009A5BAE"/>
    <w:rsid w:val="009A6C4F"/>
    <w:rsid w:val="009A75B5"/>
    <w:rsid w:val="009A7997"/>
    <w:rsid w:val="009B0D8C"/>
    <w:rsid w:val="009B149E"/>
    <w:rsid w:val="009B25F1"/>
    <w:rsid w:val="009B34B3"/>
    <w:rsid w:val="009B3FFE"/>
    <w:rsid w:val="009B605D"/>
    <w:rsid w:val="009B686C"/>
    <w:rsid w:val="009B69AE"/>
    <w:rsid w:val="009B7869"/>
    <w:rsid w:val="009B7960"/>
    <w:rsid w:val="009C0ED6"/>
    <w:rsid w:val="009C0F51"/>
    <w:rsid w:val="009C128D"/>
    <w:rsid w:val="009C200D"/>
    <w:rsid w:val="009C2074"/>
    <w:rsid w:val="009C2323"/>
    <w:rsid w:val="009C2ADE"/>
    <w:rsid w:val="009C36EE"/>
    <w:rsid w:val="009C390F"/>
    <w:rsid w:val="009C5D73"/>
    <w:rsid w:val="009C61B9"/>
    <w:rsid w:val="009D02D4"/>
    <w:rsid w:val="009D0CD3"/>
    <w:rsid w:val="009D0F7A"/>
    <w:rsid w:val="009D109B"/>
    <w:rsid w:val="009D11C1"/>
    <w:rsid w:val="009D1611"/>
    <w:rsid w:val="009D1E82"/>
    <w:rsid w:val="009D1FEC"/>
    <w:rsid w:val="009D276F"/>
    <w:rsid w:val="009D3E15"/>
    <w:rsid w:val="009D43DD"/>
    <w:rsid w:val="009D5F88"/>
    <w:rsid w:val="009D6D21"/>
    <w:rsid w:val="009D7190"/>
    <w:rsid w:val="009D7EB8"/>
    <w:rsid w:val="009E0AE1"/>
    <w:rsid w:val="009E2C4D"/>
    <w:rsid w:val="009E4816"/>
    <w:rsid w:val="009E516D"/>
    <w:rsid w:val="009E5675"/>
    <w:rsid w:val="009E56B5"/>
    <w:rsid w:val="009E617B"/>
    <w:rsid w:val="009F0CBD"/>
    <w:rsid w:val="009F1A34"/>
    <w:rsid w:val="009F2847"/>
    <w:rsid w:val="009F32DF"/>
    <w:rsid w:val="009F48C5"/>
    <w:rsid w:val="009F5DF3"/>
    <w:rsid w:val="009F6820"/>
    <w:rsid w:val="009F6E37"/>
    <w:rsid w:val="009F7144"/>
    <w:rsid w:val="009F7746"/>
    <w:rsid w:val="00A01F4B"/>
    <w:rsid w:val="00A02F1D"/>
    <w:rsid w:val="00A02F81"/>
    <w:rsid w:val="00A03005"/>
    <w:rsid w:val="00A030B5"/>
    <w:rsid w:val="00A0350E"/>
    <w:rsid w:val="00A03553"/>
    <w:rsid w:val="00A03605"/>
    <w:rsid w:val="00A03861"/>
    <w:rsid w:val="00A0453E"/>
    <w:rsid w:val="00A049BC"/>
    <w:rsid w:val="00A05661"/>
    <w:rsid w:val="00A0620D"/>
    <w:rsid w:val="00A079DB"/>
    <w:rsid w:val="00A106CD"/>
    <w:rsid w:val="00A1102C"/>
    <w:rsid w:val="00A11DDD"/>
    <w:rsid w:val="00A1268F"/>
    <w:rsid w:val="00A126D9"/>
    <w:rsid w:val="00A14A24"/>
    <w:rsid w:val="00A1513A"/>
    <w:rsid w:val="00A1534B"/>
    <w:rsid w:val="00A15417"/>
    <w:rsid w:val="00A161CD"/>
    <w:rsid w:val="00A176FB"/>
    <w:rsid w:val="00A1797D"/>
    <w:rsid w:val="00A17C33"/>
    <w:rsid w:val="00A20115"/>
    <w:rsid w:val="00A21D9C"/>
    <w:rsid w:val="00A22712"/>
    <w:rsid w:val="00A22F14"/>
    <w:rsid w:val="00A23379"/>
    <w:rsid w:val="00A2389F"/>
    <w:rsid w:val="00A24F29"/>
    <w:rsid w:val="00A32277"/>
    <w:rsid w:val="00A325A1"/>
    <w:rsid w:val="00A32C35"/>
    <w:rsid w:val="00A33A14"/>
    <w:rsid w:val="00A33D87"/>
    <w:rsid w:val="00A36BDC"/>
    <w:rsid w:val="00A41BED"/>
    <w:rsid w:val="00A42DDA"/>
    <w:rsid w:val="00A433A8"/>
    <w:rsid w:val="00A43972"/>
    <w:rsid w:val="00A44292"/>
    <w:rsid w:val="00A45086"/>
    <w:rsid w:val="00A455F8"/>
    <w:rsid w:val="00A45D65"/>
    <w:rsid w:val="00A466B5"/>
    <w:rsid w:val="00A47415"/>
    <w:rsid w:val="00A477F3"/>
    <w:rsid w:val="00A4793A"/>
    <w:rsid w:val="00A51019"/>
    <w:rsid w:val="00A51318"/>
    <w:rsid w:val="00A513CB"/>
    <w:rsid w:val="00A52409"/>
    <w:rsid w:val="00A525BC"/>
    <w:rsid w:val="00A525FD"/>
    <w:rsid w:val="00A538C6"/>
    <w:rsid w:val="00A54CD1"/>
    <w:rsid w:val="00A55BC7"/>
    <w:rsid w:val="00A57BA6"/>
    <w:rsid w:val="00A61572"/>
    <w:rsid w:val="00A6250A"/>
    <w:rsid w:val="00A63D4E"/>
    <w:rsid w:val="00A647E4"/>
    <w:rsid w:val="00A64B87"/>
    <w:rsid w:val="00A64BDF"/>
    <w:rsid w:val="00A657FE"/>
    <w:rsid w:val="00A65CA5"/>
    <w:rsid w:val="00A665DB"/>
    <w:rsid w:val="00A66853"/>
    <w:rsid w:val="00A67040"/>
    <w:rsid w:val="00A67471"/>
    <w:rsid w:val="00A70AA1"/>
    <w:rsid w:val="00A71401"/>
    <w:rsid w:val="00A7438E"/>
    <w:rsid w:val="00A74D34"/>
    <w:rsid w:val="00A74E30"/>
    <w:rsid w:val="00A75642"/>
    <w:rsid w:val="00A75C09"/>
    <w:rsid w:val="00A75F51"/>
    <w:rsid w:val="00A76FAF"/>
    <w:rsid w:val="00A80113"/>
    <w:rsid w:val="00A805BA"/>
    <w:rsid w:val="00A805DC"/>
    <w:rsid w:val="00A82F6A"/>
    <w:rsid w:val="00A8304F"/>
    <w:rsid w:val="00A837B2"/>
    <w:rsid w:val="00A83C95"/>
    <w:rsid w:val="00A84339"/>
    <w:rsid w:val="00A86010"/>
    <w:rsid w:val="00A86363"/>
    <w:rsid w:val="00A86477"/>
    <w:rsid w:val="00A86D13"/>
    <w:rsid w:val="00A87681"/>
    <w:rsid w:val="00A900FC"/>
    <w:rsid w:val="00A90AB4"/>
    <w:rsid w:val="00A90C82"/>
    <w:rsid w:val="00A91231"/>
    <w:rsid w:val="00A91B09"/>
    <w:rsid w:val="00A91DF9"/>
    <w:rsid w:val="00A92128"/>
    <w:rsid w:val="00A92ACC"/>
    <w:rsid w:val="00A937CE"/>
    <w:rsid w:val="00A959E6"/>
    <w:rsid w:val="00A96EE6"/>
    <w:rsid w:val="00AA05A0"/>
    <w:rsid w:val="00AA16B1"/>
    <w:rsid w:val="00AA219A"/>
    <w:rsid w:val="00AA270B"/>
    <w:rsid w:val="00AA549B"/>
    <w:rsid w:val="00AA689E"/>
    <w:rsid w:val="00AA79A4"/>
    <w:rsid w:val="00AA7EEF"/>
    <w:rsid w:val="00AB1440"/>
    <w:rsid w:val="00AB18EC"/>
    <w:rsid w:val="00AB3A29"/>
    <w:rsid w:val="00AB5174"/>
    <w:rsid w:val="00AB640E"/>
    <w:rsid w:val="00AC0125"/>
    <w:rsid w:val="00AC0363"/>
    <w:rsid w:val="00AC0ED0"/>
    <w:rsid w:val="00AC2AA5"/>
    <w:rsid w:val="00AC3ABC"/>
    <w:rsid w:val="00AC5E8E"/>
    <w:rsid w:val="00AC767B"/>
    <w:rsid w:val="00AD1083"/>
    <w:rsid w:val="00AD17FD"/>
    <w:rsid w:val="00AD32FE"/>
    <w:rsid w:val="00AD3966"/>
    <w:rsid w:val="00AD4196"/>
    <w:rsid w:val="00AD5407"/>
    <w:rsid w:val="00AD575D"/>
    <w:rsid w:val="00AD585F"/>
    <w:rsid w:val="00AD58D6"/>
    <w:rsid w:val="00AD6BCD"/>
    <w:rsid w:val="00AD7ACC"/>
    <w:rsid w:val="00AE2261"/>
    <w:rsid w:val="00AE35DA"/>
    <w:rsid w:val="00AE4B81"/>
    <w:rsid w:val="00AE4BE7"/>
    <w:rsid w:val="00AE5AD0"/>
    <w:rsid w:val="00AF05F4"/>
    <w:rsid w:val="00AF0ABA"/>
    <w:rsid w:val="00AF23D1"/>
    <w:rsid w:val="00AF3E33"/>
    <w:rsid w:val="00AF43EC"/>
    <w:rsid w:val="00AF5412"/>
    <w:rsid w:val="00AF61D3"/>
    <w:rsid w:val="00AF626E"/>
    <w:rsid w:val="00AF68BB"/>
    <w:rsid w:val="00AF6E27"/>
    <w:rsid w:val="00AF7108"/>
    <w:rsid w:val="00AF7383"/>
    <w:rsid w:val="00AF7ACF"/>
    <w:rsid w:val="00B021C1"/>
    <w:rsid w:val="00B0587C"/>
    <w:rsid w:val="00B05D77"/>
    <w:rsid w:val="00B06F23"/>
    <w:rsid w:val="00B079AA"/>
    <w:rsid w:val="00B10A2F"/>
    <w:rsid w:val="00B117BD"/>
    <w:rsid w:val="00B12174"/>
    <w:rsid w:val="00B1355A"/>
    <w:rsid w:val="00B138F3"/>
    <w:rsid w:val="00B15113"/>
    <w:rsid w:val="00B15C20"/>
    <w:rsid w:val="00B163FE"/>
    <w:rsid w:val="00B16418"/>
    <w:rsid w:val="00B1662B"/>
    <w:rsid w:val="00B2219E"/>
    <w:rsid w:val="00B22AA5"/>
    <w:rsid w:val="00B22C3C"/>
    <w:rsid w:val="00B22D67"/>
    <w:rsid w:val="00B2352D"/>
    <w:rsid w:val="00B2383B"/>
    <w:rsid w:val="00B2437F"/>
    <w:rsid w:val="00B24F38"/>
    <w:rsid w:val="00B2554E"/>
    <w:rsid w:val="00B2634B"/>
    <w:rsid w:val="00B278B3"/>
    <w:rsid w:val="00B2797B"/>
    <w:rsid w:val="00B302AF"/>
    <w:rsid w:val="00B3091E"/>
    <w:rsid w:val="00B313B2"/>
    <w:rsid w:val="00B3278E"/>
    <w:rsid w:val="00B32A40"/>
    <w:rsid w:val="00B32EE7"/>
    <w:rsid w:val="00B34718"/>
    <w:rsid w:val="00B34829"/>
    <w:rsid w:val="00B35357"/>
    <w:rsid w:val="00B36828"/>
    <w:rsid w:val="00B37686"/>
    <w:rsid w:val="00B37958"/>
    <w:rsid w:val="00B4019C"/>
    <w:rsid w:val="00B42DE2"/>
    <w:rsid w:val="00B45673"/>
    <w:rsid w:val="00B45D15"/>
    <w:rsid w:val="00B45DC5"/>
    <w:rsid w:val="00B47FC2"/>
    <w:rsid w:val="00B501EB"/>
    <w:rsid w:val="00B50AD1"/>
    <w:rsid w:val="00B53B10"/>
    <w:rsid w:val="00B53FE0"/>
    <w:rsid w:val="00B55092"/>
    <w:rsid w:val="00B563DF"/>
    <w:rsid w:val="00B56B81"/>
    <w:rsid w:val="00B57DDF"/>
    <w:rsid w:val="00B605B6"/>
    <w:rsid w:val="00B60930"/>
    <w:rsid w:val="00B60DCD"/>
    <w:rsid w:val="00B61595"/>
    <w:rsid w:val="00B61CAF"/>
    <w:rsid w:val="00B627F8"/>
    <w:rsid w:val="00B636AD"/>
    <w:rsid w:val="00B637F4"/>
    <w:rsid w:val="00B664A8"/>
    <w:rsid w:val="00B66927"/>
    <w:rsid w:val="00B711BB"/>
    <w:rsid w:val="00B71E93"/>
    <w:rsid w:val="00B72A27"/>
    <w:rsid w:val="00B72CB7"/>
    <w:rsid w:val="00B73AF4"/>
    <w:rsid w:val="00B7419F"/>
    <w:rsid w:val="00B744E2"/>
    <w:rsid w:val="00B75AFB"/>
    <w:rsid w:val="00B75D91"/>
    <w:rsid w:val="00B76A2A"/>
    <w:rsid w:val="00B76E7A"/>
    <w:rsid w:val="00B77E4B"/>
    <w:rsid w:val="00B8261B"/>
    <w:rsid w:val="00B82B60"/>
    <w:rsid w:val="00B82E47"/>
    <w:rsid w:val="00B84486"/>
    <w:rsid w:val="00B85B1B"/>
    <w:rsid w:val="00B85E6C"/>
    <w:rsid w:val="00B86B18"/>
    <w:rsid w:val="00B86E38"/>
    <w:rsid w:val="00B879F8"/>
    <w:rsid w:val="00B87F53"/>
    <w:rsid w:val="00B90451"/>
    <w:rsid w:val="00B929EB"/>
    <w:rsid w:val="00B935DB"/>
    <w:rsid w:val="00B93B3B"/>
    <w:rsid w:val="00B946C5"/>
    <w:rsid w:val="00B953E9"/>
    <w:rsid w:val="00B95422"/>
    <w:rsid w:val="00B95468"/>
    <w:rsid w:val="00B96A17"/>
    <w:rsid w:val="00BA0134"/>
    <w:rsid w:val="00BA0F62"/>
    <w:rsid w:val="00BA24D6"/>
    <w:rsid w:val="00BA4F1C"/>
    <w:rsid w:val="00BA5E8D"/>
    <w:rsid w:val="00BA5EE0"/>
    <w:rsid w:val="00BA6AD4"/>
    <w:rsid w:val="00BB1055"/>
    <w:rsid w:val="00BB3AB7"/>
    <w:rsid w:val="00BB48AC"/>
    <w:rsid w:val="00BB50C4"/>
    <w:rsid w:val="00BB5B5F"/>
    <w:rsid w:val="00BB5BFF"/>
    <w:rsid w:val="00BB7511"/>
    <w:rsid w:val="00BB7803"/>
    <w:rsid w:val="00BB79BE"/>
    <w:rsid w:val="00BC3714"/>
    <w:rsid w:val="00BC3C7F"/>
    <w:rsid w:val="00BC621D"/>
    <w:rsid w:val="00BC6A6C"/>
    <w:rsid w:val="00BC6F51"/>
    <w:rsid w:val="00BD1FA0"/>
    <w:rsid w:val="00BD3DFF"/>
    <w:rsid w:val="00BD4397"/>
    <w:rsid w:val="00BD4CFF"/>
    <w:rsid w:val="00BD6F91"/>
    <w:rsid w:val="00BD71AD"/>
    <w:rsid w:val="00BD7469"/>
    <w:rsid w:val="00BE137A"/>
    <w:rsid w:val="00BE248B"/>
    <w:rsid w:val="00BE2B6F"/>
    <w:rsid w:val="00BE3DBB"/>
    <w:rsid w:val="00BE48F5"/>
    <w:rsid w:val="00BE67F7"/>
    <w:rsid w:val="00BE7749"/>
    <w:rsid w:val="00BE7A31"/>
    <w:rsid w:val="00BF08D6"/>
    <w:rsid w:val="00BF0C6E"/>
    <w:rsid w:val="00BF0E77"/>
    <w:rsid w:val="00BF17D8"/>
    <w:rsid w:val="00BF19A7"/>
    <w:rsid w:val="00BF1A4F"/>
    <w:rsid w:val="00BF1C36"/>
    <w:rsid w:val="00BF23BF"/>
    <w:rsid w:val="00BF2534"/>
    <w:rsid w:val="00BF2B1B"/>
    <w:rsid w:val="00BF33B2"/>
    <w:rsid w:val="00BF45AE"/>
    <w:rsid w:val="00BF51BB"/>
    <w:rsid w:val="00BF5570"/>
    <w:rsid w:val="00BF5D12"/>
    <w:rsid w:val="00BF6D63"/>
    <w:rsid w:val="00BF76A2"/>
    <w:rsid w:val="00C00B08"/>
    <w:rsid w:val="00C0210C"/>
    <w:rsid w:val="00C034E8"/>
    <w:rsid w:val="00C039BB"/>
    <w:rsid w:val="00C03F7E"/>
    <w:rsid w:val="00C06468"/>
    <w:rsid w:val="00C1156A"/>
    <w:rsid w:val="00C115BF"/>
    <w:rsid w:val="00C12533"/>
    <w:rsid w:val="00C12926"/>
    <w:rsid w:val="00C13351"/>
    <w:rsid w:val="00C1373A"/>
    <w:rsid w:val="00C13DA5"/>
    <w:rsid w:val="00C15EDA"/>
    <w:rsid w:val="00C16940"/>
    <w:rsid w:val="00C1697B"/>
    <w:rsid w:val="00C169F2"/>
    <w:rsid w:val="00C16ADE"/>
    <w:rsid w:val="00C22FDB"/>
    <w:rsid w:val="00C23DFB"/>
    <w:rsid w:val="00C24369"/>
    <w:rsid w:val="00C25F52"/>
    <w:rsid w:val="00C268C4"/>
    <w:rsid w:val="00C27349"/>
    <w:rsid w:val="00C31524"/>
    <w:rsid w:val="00C315D8"/>
    <w:rsid w:val="00C316FC"/>
    <w:rsid w:val="00C31BB4"/>
    <w:rsid w:val="00C31BB6"/>
    <w:rsid w:val="00C32C20"/>
    <w:rsid w:val="00C32C89"/>
    <w:rsid w:val="00C33285"/>
    <w:rsid w:val="00C34358"/>
    <w:rsid w:val="00C34B73"/>
    <w:rsid w:val="00C36033"/>
    <w:rsid w:val="00C36391"/>
    <w:rsid w:val="00C373CB"/>
    <w:rsid w:val="00C37F66"/>
    <w:rsid w:val="00C4158F"/>
    <w:rsid w:val="00C42421"/>
    <w:rsid w:val="00C4257C"/>
    <w:rsid w:val="00C42982"/>
    <w:rsid w:val="00C42C10"/>
    <w:rsid w:val="00C42DD3"/>
    <w:rsid w:val="00C432E4"/>
    <w:rsid w:val="00C43807"/>
    <w:rsid w:val="00C43E99"/>
    <w:rsid w:val="00C4432D"/>
    <w:rsid w:val="00C44464"/>
    <w:rsid w:val="00C44653"/>
    <w:rsid w:val="00C45666"/>
    <w:rsid w:val="00C468D0"/>
    <w:rsid w:val="00C47D04"/>
    <w:rsid w:val="00C504A0"/>
    <w:rsid w:val="00C51ABC"/>
    <w:rsid w:val="00C51E9A"/>
    <w:rsid w:val="00C5259D"/>
    <w:rsid w:val="00C5290B"/>
    <w:rsid w:val="00C52BF4"/>
    <w:rsid w:val="00C530C3"/>
    <w:rsid w:val="00C53A15"/>
    <w:rsid w:val="00C53C25"/>
    <w:rsid w:val="00C53C66"/>
    <w:rsid w:val="00C5562D"/>
    <w:rsid w:val="00C55BEF"/>
    <w:rsid w:val="00C570CC"/>
    <w:rsid w:val="00C62AE1"/>
    <w:rsid w:val="00C62B84"/>
    <w:rsid w:val="00C63085"/>
    <w:rsid w:val="00C636EE"/>
    <w:rsid w:val="00C6386F"/>
    <w:rsid w:val="00C64005"/>
    <w:rsid w:val="00C64E3B"/>
    <w:rsid w:val="00C656C3"/>
    <w:rsid w:val="00C65A18"/>
    <w:rsid w:val="00C65F6D"/>
    <w:rsid w:val="00C6719F"/>
    <w:rsid w:val="00C72755"/>
    <w:rsid w:val="00C72C61"/>
    <w:rsid w:val="00C7755B"/>
    <w:rsid w:val="00C779F0"/>
    <w:rsid w:val="00C77B79"/>
    <w:rsid w:val="00C77C68"/>
    <w:rsid w:val="00C808A2"/>
    <w:rsid w:val="00C80ACF"/>
    <w:rsid w:val="00C80E2B"/>
    <w:rsid w:val="00C827DC"/>
    <w:rsid w:val="00C834BF"/>
    <w:rsid w:val="00C83BFB"/>
    <w:rsid w:val="00C8486B"/>
    <w:rsid w:val="00C85668"/>
    <w:rsid w:val="00C86413"/>
    <w:rsid w:val="00C8786F"/>
    <w:rsid w:val="00C879A9"/>
    <w:rsid w:val="00C87C5A"/>
    <w:rsid w:val="00C90298"/>
    <w:rsid w:val="00C90943"/>
    <w:rsid w:val="00C92152"/>
    <w:rsid w:val="00C957B2"/>
    <w:rsid w:val="00C95E90"/>
    <w:rsid w:val="00C9679F"/>
    <w:rsid w:val="00C972EC"/>
    <w:rsid w:val="00C975DA"/>
    <w:rsid w:val="00C97C2B"/>
    <w:rsid w:val="00CA044B"/>
    <w:rsid w:val="00CA122C"/>
    <w:rsid w:val="00CA241B"/>
    <w:rsid w:val="00CA3622"/>
    <w:rsid w:val="00CA369D"/>
    <w:rsid w:val="00CA4BA1"/>
    <w:rsid w:val="00CA6D15"/>
    <w:rsid w:val="00CB1679"/>
    <w:rsid w:val="00CB1937"/>
    <w:rsid w:val="00CB3110"/>
    <w:rsid w:val="00CB592A"/>
    <w:rsid w:val="00CB6236"/>
    <w:rsid w:val="00CC0E99"/>
    <w:rsid w:val="00CC161A"/>
    <w:rsid w:val="00CC1A07"/>
    <w:rsid w:val="00CC24AE"/>
    <w:rsid w:val="00CC27D9"/>
    <w:rsid w:val="00CC29E1"/>
    <w:rsid w:val="00CC2CBB"/>
    <w:rsid w:val="00CC6056"/>
    <w:rsid w:val="00CC6F3B"/>
    <w:rsid w:val="00CC7C4D"/>
    <w:rsid w:val="00CC7CAF"/>
    <w:rsid w:val="00CD50A5"/>
    <w:rsid w:val="00CD6D66"/>
    <w:rsid w:val="00CD7C64"/>
    <w:rsid w:val="00CE04F6"/>
    <w:rsid w:val="00CE0621"/>
    <w:rsid w:val="00CE18DC"/>
    <w:rsid w:val="00CE40DA"/>
    <w:rsid w:val="00CE440F"/>
    <w:rsid w:val="00CE450D"/>
    <w:rsid w:val="00CE4BF6"/>
    <w:rsid w:val="00CE64D3"/>
    <w:rsid w:val="00CE7305"/>
    <w:rsid w:val="00CE7C14"/>
    <w:rsid w:val="00CF0682"/>
    <w:rsid w:val="00CF0ED2"/>
    <w:rsid w:val="00CF2702"/>
    <w:rsid w:val="00CF43A5"/>
    <w:rsid w:val="00CF48D9"/>
    <w:rsid w:val="00CF5184"/>
    <w:rsid w:val="00CF5CC6"/>
    <w:rsid w:val="00CF630A"/>
    <w:rsid w:val="00CF777B"/>
    <w:rsid w:val="00D018CF"/>
    <w:rsid w:val="00D0256D"/>
    <w:rsid w:val="00D025D0"/>
    <w:rsid w:val="00D03BFD"/>
    <w:rsid w:val="00D0520F"/>
    <w:rsid w:val="00D05891"/>
    <w:rsid w:val="00D067D9"/>
    <w:rsid w:val="00D06CF7"/>
    <w:rsid w:val="00D10305"/>
    <w:rsid w:val="00D1034F"/>
    <w:rsid w:val="00D10A57"/>
    <w:rsid w:val="00D11B79"/>
    <w:rsid w:val="00D11DF9"/>
    <w:rsid w:val="00D12659"/>
    <w:rsid w:val="00D12F25"/>
    <w:rsid w:val="00D131BC"/>
    <w:rsid w:val="00D1348B"/>
    <w:rsid w:val="00D13859"/>
    <w:rsid w:val="00D1428B"/>
    <w:rsid w:val="00D14C40"/>
    <w:rsid w:val="00D15E47"/>
    <w:rsid w:val="00D209A4"/>
    <w:rsid w:val="00D217E0"/>
    <w:rsid w:val="00D21A0E"/>
    <w:rsid w:val="00D220A9"/>
    <w:rsid w:val="00D22585"/>
    <w:rsid w:val="00D237C7"/>
    <w:rsid w:val="00D2406A"/>
    <w:rsid w:val="00D243C5"/>
    <w:rsid w:val="00D25228"/>
    <w:rsid w:val="00D262D2"/>
    <w:rsid w:val="00D27553"/>
    <w:rsid w:val="00D300DF"/>
    <w:rsid w:val="00D306A0"/>
    <w:rsid w:val="00D33617"/>
    <w:rsid w:val="00D33E46"/>
    <w:rsid w:val="00D35366"/>
    <w:rsid w:val="00D35794"/>
    <w:rsid w:val="00D35FED"/>
    <w:rsid w:val="00D36975"/>
    <w:rsid w:val="00D36F2F"/>
    <w:rsid w:val="00D372E0"/>
    <w:rsid w:val="00D40CB7"/>
    <w:rsid w:val="00D41320"/>
    <w:rsid w:val="00D41827"/>
    <w:rsid w:val="00D43F21"/>
    <w:rsid w:val="00D44CCD"/>
    <w:rsid w:val="00D464E9"/>
    <w:rsid w:val="00D4695F"/>
    <w:rsid w:val="00D472BB"/>
    <w:rsid w:val="00D521C1"/>
    <w:rsid w:val="00D5260B"/>
    <w:rsid w:val="00D5270E"/>
    <w:rsid w:val="00D527C8"/>
    <w:rsid w:val="00D53637"/>
    <w:rsid w:val="00D55D1A"/>
    <w:rsid w:val="00D560AB"/>
    <w:rsid w:val="00D564F8"/>
    <w:rsid w:val="00D565A7"/>
    <w:rsid w:val="00D56E8C"/>
    <w:rsid w:val="00D5755D"/>
    <w:rsid w:val="00D5781A"/>
    <w:rsid w:val="00D60DE6"/>
    <w:rsid w:val="00D60F69"/>
    <w:rsid w:val="00D6139F"/>
    <w:rsid w:val="00D617ED"/>
    <w:rsid w:val="00D622D9"/>
    <w:rsid w:val="00D62667"/>
    <w:rsid w:val="00D63568"/>
    <w:rsid w:val="00D63F3E"/>
    <w:rsid w:val="00D66130"/>
    <w:rsid w:val="00D669D8"/>
    <w:rsid w:val="00D66C55"/>
    <w:rsid w:val="00D711A9"/>
    <w:rsid w:val="00D71695"/>
    <w:rsid w:val="00D719A7"/>
    <w:rsid w:val="00D73D90"/>
    <w:rsid w:val="00D73D97"/>
    <w:rsid w:val="00D74524"/>
    <w:rsid w:val="00D76FCC"/>
    <w:rsid w:val="00D80DEC"/>
    <w:rsid w:val="00D81CA8"/>
    <w:rsid w:val="00D8312B"/>
    <w:rsid w:val="00D8614B"/>
    <w:rsid w:val="00D864E9"/>
    <w:rsid w:val="00D865C2"/>
    <w:rsid w:val="00D86AF9"/>
    <w:rsid w:val="00D86F9A"/>
    <w:rsid w:val="00D878CF"/>
    <w:rsid w:val="00D8794E"/>
    <w:rsid w:val="00D87C3E"/>
    <w:rsid w:val="00D9020B"/>
    <w:rsid w:val="00D91507"/>
    <w:rsid w:val="00D91FF3"/>
    <w:rsid w:val="00D92BCE"/>
    <w:rsid w:val="00D92D5E"/>
    <w:rsid w:val="00D941CB"/>
    <w:rsid w:val="00D94DCA"/>
    <w:rsid w:val="00D9623A"/>
    <w:rsid w:val="00D96322"/>
    <w:rsid w:val="00D96409"/>
    <w:rsid w:val="00D96692"/>
    <w:rsid w:val="00D967FD"/>
    <w:rsid w:val="00DA09A9"/>
    <w:rsid w:val="00DA19F5"/>
    <w:rsid w:val="00DA1ABD"/>
    <w:rsid w:val="00DA27CA"/>
    <w:rsid w:val="00DA37A9"/>
    <w:rsid w:val="00DA3E48"/>
    <w:rsid w:val="00DA57D2"/>
    <w:rsid w:val="00DA6C6C"/>
    <w:rsid w:val="00DA6ED3"/>
    <w:rsid w:val="00DA7BFF"/>
    <w:rsid w:val="00DB1459"/>
    <w:rsid w:val="00DB1BC4"/>
    <w:rsid w:val="00DB25D1"/>
    <w:rsid w:val="00DB2734"/>
    <w:rsid w:val="00DB33A4"/>
    <w:rsid w:val="00DB3659"/>
    <w:rsid w:val="00DB49D4"/>
    <w:rsid w:val="00DB4B7B"/>
    <w:rsid w:val="00DC0EA1"/>
    <w:rsid w:val="00DC2449"/>
    <w:rsid w:val="00DC25AC"/>
    <w:rsid w:val="00DC2D17"/>
    <w:rsid w:val="00DC3C95"/>
    <w:rsid w:val="00DC4F80"/>
    <w:rsid w:val="00DC5389"/>
    <w:rsid w:val="00DC5BD8"/>
    <w:rsid w:val="00DC61DF"/>
    <w:rsid w:val="00DC670E"/>
    <w:rsid w:val="00DD0091"/>
    <w:rsid w:val="00DD2C44"/>
    <w:rsid w:val="00DD2F98"/>
    <w:rsid w:val="00DD34DE"/>
    <w:rsid w:val="00DD3B90"/>
    <w:rsid w:val="00DD4676"/>
    <w:rsid w:val="00DD4D7F"/>
    <w:rsid w:val="00DD54FA"/>
    <w:rsid w:val="00DD5B89"/>
    <w:rsid w:val="00DD5C0B"/>
    <w:rsid w:val="00DD653C"/>
    <w:rsid w:val="00DD672E"/>
    <w:rsid w:val="00DD6849"/>
    <w:rsid w:val="00DD6CC0"/>
    <w:rsid w:val="00DD6EC9"/>
    <w:rsid w:val="00DD7842"/>
    <w:rsid w:val="00DE0E04"/>
    <w:rsid w:val="00DE1BAF"/>
    <w:rsid w:val="00DE288C"/>
    <w:rsid w:val="00DE3DEF"/>
    <w:rsid w:val="00DE480B"/>
    <w:rsid w:val="00DE4FFE"/>
    <w:rsid w:val="00DE580B"/>
    <w:rsid w:val="00DE5F36"/>
    <w:rsid w:val="00DE68E4"/>
    <w:rsid w:val="00DE6E5C"/>
    <w:rsid w:val="00DE7A69"/>
    <w:rsid w:val="00DF0259"/>
    <w:rsid w:val="00DF03DC"/>
    <w:rsid w:val="00DF1E74"/>
    <w:rsid w:val="00DF1F4C"/>
    <w:rsid w:val="00DF21F1"/>
    <w:rsid w:val="00DF291E"/>
    <w:rsid w:val="00DF3A92"/>
    <w:rsid w:val="00DF4C3C"/>
    <w:rsid w:val="00DF516E"/>
    <w:rsid w:val="00DF5F8A"/>
    <w:rsid w:val="00DF63B7"/>
    <w:rsid w:val="00E0007F"/>
    <w:rsid w:val="00E00FF6"/>
    <w:rsid w:val="00E0234E"/>
    <w:rsid w:val="00E025CB"/>
    <w:rsid w:val="00E034CE"/>
    <w:rsid w:val="00E03946"/>
    <w:rsid w:val="00E0467A"/>
    <w:rsid w:val="00E046C8"/>
    <w:rsid w:val="00E04A5B"/>
    <w:rsid w:val="00E06DC7"/>
    <w:rsid w:val="00E070C4"/>
    <w:rsid w:val="00E072D1"/>
    <w:rsid w:val="00E0795A"/>
    <w:rsid w:val="00E10DBC"/>
    <w:rsid w:val="00E1163E"/>
    <w:rsid w:val="00E116AA"/>
    <w:rsid w:val="00E11F7B"/>
    <w:rsid w:val="00E14893"/>
    <w:rsid w:val="00E14F57"/>
    <w:rsid w:val="00E16389"/>
    <w:rsid w:val="00E163C3"/>
    <w:rsid w:val="00E17108"/>
    <w:rsid w:val="00E17986"/>
    <w:rsid w:val="00E21C3D"/>
    <w:rsid w:val="00E23786"/>
    <w:rsid w:val="00E24C7A"/>
    <w:rsid w:val="00E2508F"/>
    <w:rsid w:val="00E25121"/>
    <w:rsid w:val="00E25F47"/>
    <w:rsid w:val="00E26A59"/>
    <w:rsid w:val="00E3125B"/>
    <w:rsid w:val="00E312EB"/>
    <w:rsid w:val="00E31C7C"/>
    <w:rsid w:val="00E334D4"/>
    <w:rsid w:val="00E34232"/>
    <w:rsid w:val="00E345E4"/>
    <w:rsid w:val="00E34B9B"/>
    <w:rsid w:val="00E351C5"/>
    <w:rsid w:val="00E35393"/>
    <w:rsid w:val="00E36F77"/>
    <w:rsid w:val="00E403E2"/>
    <w:rsid w:val="00E41FAF"/>
    <w:rsid w:val="00E42184"/>
    <w:rsid w:val="00E425C7"/>
    <w:rsid w:val="00E429BA"/>
    <w:rsid w:val="00E4365C"/>
    <w:rsid w:val="00E440C1"/>
    <w:rsid w:val="00E46B0B"/>
    <w:rsid w:val="00E4711C"/>
    <w:rsid w:val="00E47DBF"/>
    <w:rsid w:val="00E502FF"/>
    <w:rsid w:val="00E52096"/>
    <w:rsid w:val="00E53839"/>
    <w:rsid w:val="00E5416F"/>
    <w:rsid w:val="00E55230"/>
    <w:rsid w:val="00E55AFE"/>
    <w:rsid w:val="00E56E3E"/>
    <w:rsid w:val="00E5725D"/>
    <w:rsid w:val="00E60657"/>
    <w:rsid w:val="00E62C6D"/>
    <w:rsid w:val="00E64586"/>
    <w:rsid w:val="00E64726"/>
    <w:rsid w:val="00E705C1"/>
    <w:rsid w:val="00E70985"/>
    <w:rsid w:val="00E72CB2"/>
    <w:rsid w:val="00E733E3"/>
    <w:rsid w:val="00E73B40"/>
    <w:rsid w:val="00E7475C"/>
    <w:rsid w:val="00E76A1F"/>
    <w:rsid w:val="00E76B67"/>
    <w:rsid w:val="00E77011"/>
    <w:rsid w:val="00E77449"/>
    <w:rsid w:val="00E81988"/>
    <w:rsid w:val="00E8223D"/>
    <w:rsid w:val="00E825D8"/>
    <w:rsid w:val="00E84D30"/>
    <w:rsid w:val="00E852F4"/>
    <w:rsid w:val="00E854FF"/>
    <w:rsid w:val="00E85A65"/>
    <w:rsid w:val="00E86AF4"/>
    <w:rsid w:val="00E8759A"/>
    <w:rsid w:val="00E87791"/>
    <w:rsid w:val="00E878AF"/>
    <w:rsid w:val="00E902AB"/>
    <w:rsid w:val="00E90549"/>
    <w:rsid w:val="00E90946"/>
    <w:rsid w:val="00E91C22"/>
    <w:rsid w:val="00E92676"/>
    <w:rsid w:val="00E92934"/>
    <w:rsid w:val="00E92FF1"/>
    <w:rsid w:val="00E931F7"/>
    <w:rsid w:val="00E94ED6"/>
    <w:rsid w:val="00E963C9"/>
    <w:rsid w:val="00E967BC"/>
    <w:rsid w:val="00EA2159"/>
    <w:rsid w:val="00EA4E28"/>
    <w:rsid w:val="00EA57D9"/>
    <w:rsid w:val="00EA642E"/>
    <w:rsid w:val="00EA70EC"/>
    <w:rsid w:val="00EB0A36"/>
    <w:rsid w:val="00EB1D4D"/>
    <w:rsid w:val="00EB2293"/>
    <w:rsid w:val="00EB3252"/>
    <w:rsid w:val="00EB3381"/>
    <w:rsid w:val="00EB53E7"/>
    <w:rsid w:val="00EB5548"/>
    <w:rsid w:val="00EB559D"/>
    <w:rsid w:val="00EB5A99"/>
    <w:rsid w:val="00EB6CC3"/>
    <w:rsid w:val="00EB73CB"/>
    <w:rsid w:val="00EC0B1A"/>
    <w:rsid w:val="00EC0DBC"/>
    <w:rsid w:val="00EC2ECA"/>
    <w:rsid w:val="00EC440C"/>
    <w:rsid w:val="00EC5B22"/>
    <w:rsid w:val="00EC7059"/>
    <w:rsid w:val="00ED042E"/>
    <w:rsid w:val="00ED0E8F"/>
    <w:rsid w:val="00ED1040"/>
    <w:rsid w:val="00ED14C9"/>
    <w:rsid w:val="00ED34DB"/>
    <w:rsid w:val="00ED4117"/>
    <w:rsid w:val="00ED533F"/>
    <w:rsid w:val="00ED55A8"/>
    <w:rsid w:val="00ED5BDA"/>
    <w:rsid w:val="00ED6603"/>
    <w:rsid w:val="00EE283E"/>
    <w:rsid w:val="00EE34CD"/>
    <w:rsid w:val="00EE3946"/>
    <w:rsid w:val="00EE590F"/>
    <w:rsid w:val="00EE6769"/>
    <w:rsid w:val="00EE6C76"/>
    <w:rsid w:val="00EE6D2A"/>
    <w:rsid w:val="00EF24A5"/>
    <w:rsid w:val="00EF2CCD"/>
    <w:rsid w:val="00EF3572"/>
    <w:rsid w:val="00EF35C7"/>
    <w:rsid w:val="00EF467D"/>
    <w:rsid w:val="00EF6FA1"/>
    <w:rsid w:val="00EF745A"/>
    <w:rsid w:val="00EF7AF1"/>
    <w:rsid w:val="00F01078"/>
    <w:rsid w:val="00F021CA"/>
    <w:rsid w:val="00F03716"/>
    <w:rsid w:val="00F03EA6"/>
    <w:rsid w:val="00F0636D"/>
    <w:rsid w:val="00F11C5F"/>
    <w:rsid w:val="00F131D3"/>
    <w:rsid w:val="00F14C21"/>
    <w:rsid w:val="00F14CE1"/>
    <w:rsid w:val="00F14E09"/>
    <w:rsid w:val="00F15710"/>
    <w:rsid w:val="00F157EC"/>
    <w:rsid w:val="00F169AE"/>
    <w:rsid w:val="00F16D07"/>
    <w:rsid w:val="00F21B00"/>
    <w:rsid w:val="00F2204F"/>
    <w:rsid w:val="00F22F9F"/>
    <w:rsid w:val="00F256F3"/>
    <w:rsid w:val="00F26011"/>
    <w:rsid w:val="00F2639C"/>
    <w:rsid w:val="00F2646B"/>
    <w:rsid w:val="00F26B2D"/>
    <w:rsid w:val="00F2700B"/>
    <w:rsid w:val="00F30A3B"/>
    <w:rsid w:val="00F317B0"/>
    <w:rsid w:val="00F320AD"/>
    <w:rsid w:val="00F3332F"/>
    <w:rsid w:val="00F33EAF"/>
    <w:rsid w:val="00F3558C"/>
    <w:rsid w:val="00F36867"/>
    <w:rsid w:val="00F37999"/>
    <w:rsid w:val="00F37CB6"/>
    <w:rsid w:val="00F40322"/>
    <w:rsid w:val="00F40C4B"/>
    <w:rsid w:val="00F42AB4"/>
    <w:rsid w:val="00F43C49"/>
    <w:rsid w:val="00F43CFB"/>
    <w:rsid w:val="00F44A89"/>
    <w:rsid w:val="00F4689A"/>
    <w:rsid w:val="00F46AE1"/>
    <w:rsid w:val="00F500FE"/>
    <w:rsid w:val="00F51904"/>
    <w:rsid w:val="00F523DC"/>
    <w:rsid w:val="00F52D61"/>
    <w:rsid w:val="00F537C6"/>
    <w:rsid w:val="00F5382A"/>
    <w:rsid w:val="00F53F26"/>
    <w:rsid w:val="00F55ABF"/>
    <w:rsid w:val="00F56529"/>
    <w:rsid w:val="00F56A42"/>
    <w:rsid w:val="00F606F5"/>
    <w:rsid w:val="00F6136F"/>
    <w:rsid w:val="00F622C2"/>
    <w:rsid w:val="00F636BB"/>
    <w:rsid w:val="00F645FC"/>
    <w:rsid w:val="00F65021"/>
    <w:rsid w:val="00F65CBF"/>
    <w:rsid w:val="00F65CC4"/>
    <w:rsid w:val="00F66B81"/>
    <w:rsid w:val="00F67803"/>
    <w:rsid w:val="00F73558"/>
    <w:rsid w:val="00F737B9"/>
    <w:rsid w:val="00F74A18"/>
    <w:rsid w:val="00F75AF5"/>
    <w:rsid w:val="00F75CD7"/>
    <w:rsid w:val="00F809E0"/>
    <w:rsid w:val="00F8395C"/>
    <w:rsid w:val="00F856AB"/>
    <w:rsid w:val="00F87204"/>
    <w:rsid w:val="00F87764"/>
    <w:rsid w:val="00F879C1"/>
    <w:rsid w:val="00F9120C"/>
    <w:rsid w:val="00F91351"/>
    <w:rsid w:val="00F91849"/>
    <w:rsid w:val="00F93865"/>
    <w:rsid w:val="00F93AF2"/>
    <w:rsid w:val="00F94146"/>
    <w:rsid w:val="00F95BB9"/>
    <w:rsid w:val="00F964D0"/>
    <w:rsid w:val="00F9654E"/>
    <w:rsid w:val="00F97383"/>
    <w:rsid w:val="00FA1010"/>
    <w:rsid w:val="00FA1B9A"/>
    <w:rsid w:val="00FA1DCE"/>
    <w:rsid w:val="00FA4045"/>
    <w:rsid w:val="00FA49A2"/>
    <w:rsid w:val="00FA4F48"/>
    <w:rsid w:val="00FA539B"/>
    <w:rsid w:val="00FA5FA8"/>
    <w:rsid w:val="00FA624A"/>
    <w:rsid w:val="00FA70A6"/>
    <w:rsid w:val="00FA71B5"/>
    <w:rsid w:val="00FA78F9"/>
    <w:rsid w:val="00FB198D"/>
    <w:rsid w:val="00FB2486"/>
    <w:rsid w:val="00FB4CED"/>
    <w:rsid w:val="00FB526C"/>
    <w:rsid w:val="00FB5E2B"/>
    <w:rsid w:val="00FB6032"/>
    <w:rsid w:val="00FB68B6"/>
    <w:rsid w:val="00FC08DF"/>
    <w:rsid w:val="00FC0CC1"/>
    <w:rsid w:val="00FC280A"/>
    <w:rsid w:val="00FC2B2C"/>
    <w:rsid w:val="00FC2B5E"/>
    <w:rsid w:val="00FC2B98"/>
    <w:rsid w:val="00FC3981"/>
    <w:rsid w:val="00FC3E7B"/>
    <w:rsid w:val="00FC4C84"/>
    <w:rsid w:val="00FC58B3"/>
    <w:rsid w:val="00FC5E2B"/>
    <w:rsid w:val="00FC70C8"/>
    <w:rsid w:val="00FC771B"/>
    <w:rsid w:val="00FC7CF1"/>
    <w:rsid w:val="00FD0C11"/>
    <w:rsid w:val="00FD0DF1"/>
    <w:rsid w:val="00FD2413"/>
    <w:rsid w:val="00FD33A8"/>
    <w:rsid w:val="00FD583C"/>
    <w:rsid w:val="00FE1607"/>
    <w:rsid w:val="00FE1C8A"/>
    <w:rsid w:val="00FE5A56"/>
    <w:rsid w:val="00FE7BB4"/>
    <w:rsid w:val="00FE7C45"/>
    <w:rsid w:val="00FE7EEA"/>
    <w:rsid w:val="00FF09EC"/>
    <w:rsid w:val="00FF0C10"/>
    <w:rsid w:val="00FF1DDA"/>
    <w:rsid w:val="00FF24EB"/>
    <w:rsid w:val="00FF2505"/>
    <w:rsid w:val="00FF3474"/>
    <w:rsid w:val="00FF3B7B"/>
    <w:rsid w:val="00FF42D2"/>
    <w:rsid w:val="00FF44E4"/>
    <w:rsid w:val="00FF4A8E"/>
    <w:rsid w:val="00FF5D6C"/>
    <w:rsid w:val="00FF72F6"/>
    <w:rsid w:val="00FF77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02B7F9"/>
  <w15:docId w15:val="{F0CACED2-2719-C548-9C3D-B74F69E07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4"/>
        <w:szCs w:val="24"/>
        <w:lang w:val="de-DE"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F7ACF"/>
    <w:pPr>
      <w:spacing w:after="120"/>
      <w:jc w:val="both"/>
    </w:pPr>
    <w:rPr>
      <w:rFonts w:ascii="Arial" w:hAnsi="Arial" w:cs="Times New Roman"/>
    </w:rPr>
  </w:style>
  <w:style w:type="paragraph" w:styleId="berschrift1">
    <w:name w:val="heading 1"/>
    <w:basedOn w:val="Standard"/>
    <w:next w:val="Standard"/>
    <w:link w:val="berschrift1Zchn"/>
    <w:autoRedefine/>
    <w:uiPriority w:val="9"/>
    <w:qFormat/>
    <w:rsid w:val="001830EA"/>
    <w:pPr>
      <w:keepNext/>
      <w:keepLines/>
      <w:numPr>
        <w:numId w:val="7"/>
      </w:numPr>
      <w:spacing w:before="120"/>
      <w:jc w:val="left"/>
      <w:outlineLvl w:val="0"/>
    </w:pPr>
    <w:rPr>
      <w:b/>
      <w:color w:val="000000" w:themeColor="text1"/>
      <w:sz w:val="28"/>
      <w:szCs w:val="36"/>
      <w:lang w:eastAsia="de-DE"/>
    </w:rPr>
  </w:style>
  <w:style w:type="paragraph" w:styleId="berschrift2">
    <w:name w:val="heading 2"/>
    <w:basedOn w:val="berschrift1"/>
    <w:next w:val="Standard"/>
    <w:link w:val="berschrift2Zchn"/>
    <w:autoRedefine/>
    <w:uiPriority w:val="9"/>
    <w:unhideWhenUsed/>
    <w:qFormat/>
    <w:rsid w:val="008C6A11"/>
    <w:pPr>
      <w:numPr>
        <w:ilvl w:val="1"/>
      </w:numPr>
      <w:spacing w:before="360"/>
      <w:contextualSpacing/>
      <w:outlineLvl w:val="1"/>
    </w:pPr>
    <w:rPr>
      <w:rFonts w:eastAsiaTheme="majorEastAsia"/>
      <w:szCs w:val="26"/>
    </w:rPr>
  </w:style>
  <w:style w:type="paragraph" w:styleId="berschrift3">
    <w:name w:val="heading 3"/>
    <w:basedOn w:val="berschrift2"/>
    <w:next w:val="Standard"/>
    <w:link w:val="berschrift3Zchn"/>
    <w:autoRedefine/>
    <w:uiPriority w:val="9"/>
    <w:unhideWhenUsed/>
    <w:qFormat/>
    <w:rsid w:val="00DA09A9"/>
    <w:pPr>
      <w:numPr>
        <w:ilvl w:val="2"/>
      </w:numPr>
      <w:spacing w:before="240"/>
      <w:ind w:left="709"/>
      <w:outlineLvl w:val="2"/>
    </w:pPr>
  </w:style>
  <w:style w:type="paragraph" w:styleId="berschrift4">
    <w:name w:val="heading 4"/>
    <w:basedOn w:val="Standard"/>
    <w:next w:val="Standard"/>
    <w:link w:val="berschrift4Zchn"/>
    <w:uiPriority w:val="9"/>
    <w:unhideWhenUsed/>
    <w:qFormat/>
    <w:rsid w:val="000F5C14"/>
    <w:pPr>
      <w:keepNext/>
      <w:keepLines/>
      <w:spacing w:before="40"/>
      <w:outlineLvl w:val="3"/>
    </w:pPr>
    <w:rPr>
      <w:rFonts w:asciiTheme="majorHAnsi" w:eastAsiaTheme="majorEastAsia" w:hAnsiTheme="majorHAnsi"/>
      <w:i/>
      <w:iCs/>
      <w:color w:val="2F5496" w:themeColor="accent1" w:themeShade="BF"/>
    </w:rPr>
  </w:style>
  <w:style w:type="paragraph" w:styleId="berschrift5">
    <w:name w:val="heading 5"/>
    <w:basedOn w:val="Standard"/>
    <w:next w:val="Standard"/>
    <w:link w:val="berschrift5Zchn"/>
    <w:uiPriority w:val="9"/>
    <w:unhideWhenUsed/>
    <w:qFormat/>
    <w:rsid w:val="006C46D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1830EA"/>
    <w:rPr>
      <w:rFonts w:ascii="Arial" w:hAnsi="Arial" w:cs="Times New Roman"/>
      <w:b/>
      <w:color w:val="000000" w:themeColor="text1"/>
      <w:sz w:val="36"/>
      <w:szCs w:val="36"/>
      <w:lang w:val="x-none" w:eastAsia="de-DE"/>
    </w:rPr>
  </w:style>
  <w:style w:type="character" w:customStyle="1" w:styleId="berschrift2Zchn">
    <w:name w:val="Überschrift 2 Zchn"/>
    <w:basedOn w:val="Absatz-Standardschriftart"/>
    <w:link w:val="berschrift2"/>
    <w:uiPriority w:val="9"/>
    <w:locked/>
    <w:rsid w:val="008C6A11"/>
    <w:rPr>
      <w:rFonts w:ascii="Arial" w:eastAsiaTheme="majorEastAsia" w:hAnsi="Arial" w:cs="Times New Roman"/>
      <w:b/>
      <w:color w:val="000000" w:themeColor="text1"/>
      <w:sz w:val="26"/>
      <w:szCs w:val="26"/>
      <w:lang w:val="x-none" w:eastAsia="de-DE"/>
    </w:rPr>
  </w:style>
  <w:style w:type="character" w:customStyle="1" w:styleId="berschrift3Zchn">
    <w:name w:val="Überschrift 3 Zchn"/>
    <w:basedOn w:val="Absatz-Standardschriftart"/>
    <w:link w:val="berschrift3"/>
    <w:uiPriority w:val="9"/>
    <w:locked/>
    <w:rsid w:val="00DA09A9"/>
    <w:rPr>
      <w:rFonts w:ascii="Arial" w:eastAsiaTheme="majorEastAsia" w:hAnsi="Arial" w:cs="Times New Roman"/>
      <w:b/>
      <w:color w:val="000000" w:themeColor="text1"/>
      <w:sz w:val="26"/>
      <w:szCs w:val="26"/>
      <w:lang w:val="x-none" w:eastAsia="de-DE"/>
    </w:rPr>
  </w:style>
  <w:style w:type="character" w:customStyle="1" w:styleId="berschrift4Zchn">
    <w:name w:val="Überschrift 4 Zchn"/>
    <w:basedOn w:val="Absatz-Standardschriftart"/>
    <w:link w:val="berschrift4"/>
    <w:uiPriority w:val="9"/>
    <w:locked/>
    <w:rsid w:val="000F5C14"/>
    <w:rPr>
      <w:rFonts w:asciiTheme="majorHAnsi" w:eastAsiaTheme="majorEastAsia" w:hAnsiTheme="majorHAnsi" w:cs="Times New Roman"/>
      <w:i/>
      <w:iCs/>
      <w:color w:val="2F5496" w:themeColor="accent1" w:themeShade="BF"/>
    </w:rPr>
  </w:style>
  <w:style w:type="paragraph" w:styleId="Umschlagadresse">
    <w:name w:val="envelope address"/>
    <w:basedOn w:val="Standard"/>
    <w:uiPriority w:val="99"/>
    <w:semiHidden/>
    <w:unhideWhenUsed/>
    <w:rsid w:val="00362085"/>
    <w:pPr>
      <w:framePr w:w="4320" w:h="2160" w:hRule="exact" w:hSpace="141" w:wrap="auto" w:hAnchor="page" w:xAlign="center" w:yAlign="bottom"/>
      <w:ind w:left="1"/>
    </w:pPr>
    <w:rPr>
      <w:rFonts w:asciiTheme="majorHAnsi" w:eastAsiaTheme="majorEastAsia" w:hAnsiTheme="majorHAnsi"/>
    </w:rPr>
  </w:style>
  <w:style w:type="paragraph" w:styleId="Umschlagabsenderadresse">
    <w:name w:val="envelope return"/>
    <w:basedOn w:val="Standard"/>
    <w:uiPriority w:val="99"/>
    <w:semiHidden/>
    <w:unhideWhenUsed/>
    <w:rsid w:val="00362085"/>
    <w:rPr>
      <w:rFonts w:asciiTheme="majorHAnsi" w:eastAsiaTheme="majorEastAsia" w:hAnsiTheme="majorHAnsi"/>
      <w:sz w:val="20"/>
      <w:szCs w:val="20"/>
    </w:rPr>
  </w:style>
  <w:style w:type="paragraph" w:styleId="Listenabsatz">
    <w:name w:val="List Paragraph"/>
    <w:basedOn w:val="Standard"/>
    <w:uiPriority w:val="34"/>
    <w:qFormat/>
    <w:rsid w:val="00F169AE"/>
    <w:pPr>
      <w:ind w:left="720"/>
      <w:contextualSpacing/>
    </w:pPr>
  </w:style>
  <w:style w:type="paragraph" w:styleId="StandardWeb">
    <w:name w:val="Normal (Web)"/>
    <w:basedOn w:val="Standard"/>
    <w:uiPriority w:val="99"/>
    <w:unhideWhenUsed/>
    <w:rsid w:val="00730372"/>
    <w:pPr>
      <w:spacing w:before="100" w:beforeAutospacing="1" w:after="100" w:afterAutospacing="1"/>
    </w:pPr>
    <w:rPr>
      <w:rFonts w:ascii="Times New Roman" w:hAnsi="Times New Roman"/>
      <w:lang w:eastAsia="de-DE"/>
    </w:rPr>
  </w:style>
  <w:style w:type="paragraph" w:customStyle="1" w:styleId="EndNoteBibliographyTitle">
    <w:name w:val="EndNote Bibliography Title"/>
    <w:basedOn w:val="Standard"/>
    <w:link w:val="EndNoteBibliographyTitleZchn"/>
    <w:rsid w:val="00A22F14"/>
    <w:pPr>
      <w:jc w:val="center"/>
    </w:pPr>
    <w:rPr>
      <w:rFonts w:ascii="Calibri" w:hAnsi="Calibri" w:cs="Calibri"/>
      <w:lang w:val="en-US"/>
    </w:rPr>
  </w:style>
  <w:style w:type="character" w:customStyle="1" w:styleId="EndNoteBibliographyTitleZchn">
    <w:name w:val="EndNote Bibliography Title Zchn"/>
    <w:basedOn w:val="Absatz-Standardschriftart"/>
    <w:link w:val="EndNoteBibliographyTitle"/>
    <w:locked/>
    <w:rsid w:val="00A22F14"/>
    <w:rPr>
      <w:rFonts w:ascii="Calibri" w:hAnsi="Calibri" w:cs="Calibri"/>
      <w:lang w:val="en-US"/>
    </w:rPr>
  </w:style>
  <w:style w:type="paragraph" w:customStyle="1" w:styleId="EndNoteBibliography">
    <w:name w:val="EndNote Bibliography"/>
    <w:basedOn w:val="Standard"/>
    <w:link w:val="EndNoteBibliographyZchn"/>
    <w:rsid w:val="00A22F14"/>
    <w:pPr>
      <w:spacing w:line="240" w:lineRule="auto"/>
    </w:pPr>
    <w:rPr>
      <w:rFonts w:ascii="Calibri" w:hAnsi="Calibri" w:cs="Calibri"/>
      <w:lang w:val="en-US"/>
    </w:rPr>
  </w:style>
  <w:style w:type="character" w:customStyle="1" w:styleId="EndNoteBibliographyZchn">
    <w:name w:val="EndNote Bibliography Zchn"/>
    <w:basedOn w:val="Absatz-Standardschriftart"/>
    <w:link w:val="EndNoteBibliography"/>
    <w:locked/>
    <w:rsid w:val="00A22F14"/>
    <w:rPr>
      <w:rFonts w:ascii="Calibri" w:hAnsi="Calibri" w:cs="Calibri"/>
      <w:lang w:val="en-US"/>
    </w:rPr>
  </w:style>
  <w:style w:type="paragraph" w:styleId="Beschriftung">
    <w:name w:val="caption"/>
    <w:basedOn w:val="Standard"/>
    <w:next w:val="Standard"/>
    <w:uiPriority w:val="35"/>
    <w:unhideWhenUsed/>
    <w:qFormat/>
    <w:rsid w:val="000E3B77"/>
    <w:pPr>
      <w:spacing w:after="200"/>
    </w:pPr>
    <w:rPr>
      <w:i/>
      <w:iCs/>
      <w:color w:val="44546A" w:themeColor="text2"/>
      <w:sz w:val="18"/>
      <w:szCs w:val="18"/>
    </w:rPr>
  </w:style>
  <w:style w:type="paragraph" w:styleId="Kopfzeile">
    <w:name w:val="header"/>
    <w:basedOn w:val="Standard"/>
    <w:link w:val="KopfzeileZchn"/>
    <w:uiPriority w:val="99"/>
    <w:unhideWhenUsed/>
    <w:rsid w:val="00C43807"/>
    <w:pPr>
      <w:tabs>
        <w:tab w:val="center" w:pos="4536"/>
        <w:tab w:val="right" w:pos="9072"/>
      </w:tabs>
      <w:spacing w:line="240" w:lineRule="auto"/>
    </w:pPr>
  </w:style>
  <w:style w:type="character" w:customStyle="1" w:styleId="KopfzeileZchn">
    <w:name w:val="Kopfzeile Zchn"/>
    <w:basedOn w:val="Absatz-Standardschriftart"/>
    <w:link w:val="Kopfzeile"/>
    <w:uiPriority w:val="99"/>
    <w:locked/>
    <w:rsid w:val="00C43807"/>
    <w:rPr>
      <w:rFonts w:cs="Times New Roman"/>
    </w:rPr>
  </w:style>
  <w:style w:type="paragraph" w:styleId="Fuzeile">
    <w:name w:val="footer"/>
    <w:basedOn w:val="Standard"/>
    <w:link w:val="FuzeileZchn"/>
    <w:uiPriority w:val="99"/>
    <w:unhideWhenUsed/>
    <w:rsid w:val="00C43807"/>
    <w:pPr>
      <w:tabs>
        <w:tab w:val="center" w:pos="4536"/>
        <w:tab w:val="right" w:pos="9072"/>
      </w:tabs>
      <w:spacing w:line="240" w:lineRule="auto"/>
    </w:pPr>
  </w:style>
  <w:style w:type="character" w:customStyle="1" w:styleId="FuzeileZchn">
    <w:name w:val="Fußzeile Zchn"/>
    <w:basedOn w:val="Absatz-Standardschriftart"/>
    <w:link w:val="Fuzeile"/>
    <w:uiPriority w:val="99"/>
    <w:locked/>
    <w:rsid w:val="00C43807"/>
    <w:rPr>
      <w:rFonts w:cs="Times New Roman"/>
    </w:rPr>
  </w:style>
  <w:style w:type="paragraph" w:styleId="Verzeichnis1">
    <w:name w:val="toc 1"/>
    <w:basedOn w:val="Standard"/>
    <w:next w:val="Standard"/>
    <w:autoRedefine/>
    <w:uiPriority w:val="39"/>
    <w:unhideWhenUsed/>
    <w:rsid w:val="0049753A"/>
    <w:pPr>
      <w:spacing w:before="360" w:after="0"/>
      <w:jc w:val="left"/>
    </w:pPr>
    <w:rPr>
      <w:rFonts w:asciiTheme="majorHAnsi" w:hAnsiTheme="majorHAnsi" w:cstheme="majorHAnsi"/>
      <w:b/>
      <w:bCs/>
      <w:caps/>
    </w:rPr>
  </w:style>
  <w:style w:type="paragraph" w:styleId="Verzeichnis2">
    <w:name w:val="toc 2"/>
    <w:basedOn w:val="Standard"/>
    <w:next w:val="Standard"/>
    <w:autoRedefine/>
    <w:uiPriority w:val="39"/>
    <w:unhideWhenUsed/>
    <w:rsid w:val="00C43807"/>
    <w:pPr>
      <w:spacing w:before="240" w:after="0"/>
      <w:jc w:val="left"/>
    </w:pPr>
    <w:rPr>
      <w:rFonts w:asciiTheme="minorHAnsi" w:hAnsiTheme="minorHAnsi" w:cstheme="minorHAnsi"/>
      <w:b/>
      <w:bCs/>
      <w:sz w:val="20"/>
      <w:szCs w:val="20"/>
    </w:rPr>
  </w:style>
  <w:style w:type="paragraph" w:styleId="Verzeichnis3">
    <w:name w:val="toc 3"/>
    <w:basedOn w:val="Standard"/>
    <w:next w:val="Standard"/>
    <w:autoRedefine/>
    <w:uiPriority w:val="39"/>
    <w:unhideWhenUsed/>
    <w:rsid w:val="00C43807"/>
    <w:pPr>
      <w:spacing w:after="0"/>
      <w:ind w:left="240"/>
      <w:jc w:val="left"/>
    </w:pPr>
    <w:rPr>
      <w:rFonts w:asciiTheme="minorHAnsi" w:hAnsiTheme="minorHAnsi" w:cstheme="minorHAnsi"/>
      <w:sz w:val="20"/>
      <w:szCs w:val="20"/>
    </w:rPr>
  </w:style>
  <w:style w:type="paragraph" w:styleId="Verzeichnis4">
    <w:name w:val="toc 4"/>
    <w:basedOn w:val="Standard"/>
    <w:next w:val="Standard"/>
    <w:autoRedefine/>
    <w:uiPriority w:val="39"/>
    <w:unhideWhenUsed/>
    <w:rsid w:val="00C43807"/>
    <w:pPr>
      <w:spacing w:after="0"/>
      <w:ind w:left="480"/>
      <w:jc w:val="left"/>
    </w:pPr>
    <w:rPr>
      <w:rFonts w:asciiTheme="minorHAnsi" w:hAnsiTheme="minorHAnsi" w:cstheme="minorHAnsi"/>
      <w:sz w:val="20"/>
      <w:szCs w:val="20"/>
    </w:rPr>
  </w:style>
  <w:style w:type="paragraph" w:styleId="Verzeichnis5">
    <w:name w:val="toc 5"/>
    <w:basedOn w:val="Standard"/>
    <w:next w:val="Standard"/>
    <w:autoRedefine/>
    <w:uiPriority w:val="39"/>
    <w:unhideWhenUsed/>
    <w:rsid w:val="00C43807"/>
    <w:pPr>
      <w:spacing w:after="0"/>
      <w:ind w:left="720"/>
      <w:jc w:val="left"/>
    </w:pPr>
    <w:rPr>
      <w:rFonts w:asciiTheme="minorHAnsi" w:hAnsiTheme="minorHAnsi" w:cstheme="minorHAnsi"/>
      <w:sz w:val="20"/>
      <w:szCs w:val="20"/>
    </w:rPr>
  </w:style>
  <w:style w:type="paragraph" w:styleId="Verzeichnis6">
    <w:name w:val="toc 6"/>
    <w:basedOn w:val="Standard"/>
    <w:next w:val="Standard"/>
    <w:autoRedefine/>
    <w:uiPriority w:val="39"/>
    <w:unhideWhenUsed/>
    <w:rsid w:val="00C43807"/>
    <w:pPr>
      <w:spacing w:after="0"/>
      <w:ind w:left="960"/>
      <w:jc w:val="left"/>
    </w:pPr>
    <w:rPr>
      <w:rFonts w:asciiTheme="minorHAnsi" w:hAnsiTheme="minorHAnsi" w:cstheme="minorHAnsi"/>
      <w:sz w:val="20"/>
      <w:szCs w:val="20"/>
    </w:rPr>
  </w:style>
  <w:style w:type="paragraph" w:styleId="Verzeichnis7">
    <w:name w:val="toc 7"/>
    <w:basedOn w:val="Standard"/>
    <w:next w:val="Standard"/>
    <w:autoRedefine/>
    <w:uiPriority w:val="39"/>
    <w:unhideWhenUsed/>
    <w:rsid w:val="00C43807"/>
    <w:pPr>
      <w:spacing w:after="0"/>
      <w:ind w:left="1200"/>
      <w:jc w:val="left"/>
    </w:pPr>
    <w:rPr>
      <w:rFonts w:asciiTheme="minorHAnsi" w:hAnsiTheme="minorHAnsi" w:cstheme="minorHAnsi"/>
      <w:sz w:val="20"/>
      <w:szCs w:val="20"/>
    </w:rPr>
  </w:style>
  <w:style w:type="paragraph" w:styleId="Verzeichnis8">
    <w:name w:val="toc 8"/>
    <w:basedOn w:val="Standard"/>
    <w:next w:val="Standard"/>
    <w:autoRedefine/>
    <w:uiPriority w:val="39"/>
    <w:unhideWhenUsed/>
    <w:rsid w:val="00C43807"/>
    <w:pPr>
      <w:spacing w:after="0"/>
      <w:ind w:left="1440"/>
      <w:jc w:val="left"/>
    </w:pPr>
    <w:rPr>
      <w:rFonts w:asciiTheme="minorHAnsi" w:hAnsiTheme="minorHAnsi" w:cstheme="minorHAnsi"/>
      <w:sz w:val="20"/>
      <w:szCs w:val="20"/>
    </w:rPr>
  </w:style>
  <w:style w:type="paragraph" w:styleId="Verzeichnis9">
    <w:name w:val="toc 9"/>
    <w:basedOn w:val="Standard"/>
    <w:next w:val="Standard"/>
    <w:autoRedefine/>
    <w:uiPriority w:val="39"/>
    <w:unhideWhenUsed/>
    <w:rsid w:val="00C43807"/>
    <w:pPr>
      <w:spacing w:after="0"/>
      <w:ind w:left="1680"/>
      <w:jc w:val="left"/>
    </w:pPr>
    <w:rPr>
      <w:rFonts w:asciiTheme="minorHAnsi" w:hAnsiTheme="minorHAnsi" w:cstheme="minorHAnsi"/>
      <w:sz w:val="20"/>
      <w:szCs w:val="20"/>
    </w:rPr>
  </w:style>
  <w:style w:type="character" w:styleId="Hyperlink">
    <w:name w:val="Hyperlink"/>
    <w:basedOn w:val="Absatz-Standardschriftart"/>
    <w:uiPriority w:val="99"/>
    <w:unhideWhenUsed/>
    <w:rsid w:val="00C43807"/>
    <w:rPr>
      <w:rFonts w:cs="Times New Roman"/>
      <w:color w:val="0563C1" w:themeColor="hyperlink"/>
      <w:u w:val="single"/>
    </w:rPr>
  </w:style>
  <w:style w:type="paragraph" w:styleId="Abbildungsverzeichnis">
    <w:name w:val="table of figures"/>
    <w:basedOn w:val="Standard"/>
    <w:next w:val="Standard"/>
    <w:uiPriority w:val="99"/>
    <w:unhideWhenUsed/>
    <w:rsid w:val="00C43807"/>
    <w:pPr>
      <w:spacing w:after="0"/>
      <w:ind w:left="480" w:hanging="480"/>
      <w:jc w:val="left"/>
    </w:pPr>
    <w:rPr>
      <w:rFonts w:asciiTheme="minorHAnsi" w:hAnsiTheme="minorHAnsi" w:cs="Calibri"/>
      <w:smallCaps/>
      <w:sz w:val="20"/>
      <w:szCs w:val="20"/>
    </w:rPr>
  </w:style>
  <w:style w:type="character" w:customStyle="1" w:styleId="apple-converted-space">
    <w:name w:val="apple-converted-space"/>
    <w:basedOn w:val="Absatz-Standardschriftart"/>
    <w:rsid w:val="00974B1D"/>
    <w:rPr>
      <w:rFonts w:cs="Times New Roman"/>
    </w:rPr>
  </w:style>
  <w:style w:type="character" w:styleId="BesuchterLink">
    <w:name w:val="FollowedHyperlink"/>
    <w:basedOn w:val="Absatz-Standardschriftart"/>
    <w:uiPriority w:val="99"/>
    <w:semiHidden/>
    <w:unhideWhenUsed/>
    <w:rsid w:val="00974B1D"/>
    <w:rPr>
      <w:rFonts w:cs="Times New Roman"/>
      <w:color w:val="954F72" w:themeColor="followedHyperlink"/>
      <w:u w:val="single"/>
    </w:rPr>
  </w:style>
  <w:style w:type="table" w:styleId="Tabellenraster">
    <w:name w:val="Table Grid"/>
    <w:basedOn w:val="NormaleTabelle"/>
    <w:uiPriority w:val="59"/>
    <w:rsid w:val="00FA71B5"/>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ntabelle6farbigAkzent3">
    <w:name w:val="List Table 6 Colorful Accent 3"/>
    <w:basedOn w:val="NormaleTabelle"/>
    <w:uiPriority w:val="51"/>
    <w:rsid w:val="00FA71B5"/>
    <w:pPr>
      <w:spacing w:line="240" w:lineRule="auto"/>
    </w:pPr>
    <w:rPr>
      <w:rFonts w:cs="Times New Roman"/>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rFonts w:cs="Times New Roman"/>
        <w:b/>
        <w:bCs/>
      </w:rPr>
      <w:tblPr/>
      <w:tcPr>
        <w:tcBorders>
          <w:bottom w:val="single" w:sz="4" w:space="0" w:color="A5A5A5" w:themeColor="accent3"/>
        </w:tcBorders>
      </w:tcPr>
    </w:tblStylePr>
    <w:tblStylePr w:type="lastRow">
      <w:rPr>
        <w:rFonts w:cs="Times New Roman"/>
        <w:b/>
        <w:bCs/>
      </w:rPr>
      <w:tblPr/>
      <w:tcPr>
        <w:tcBorders>
          <w:top w:val="double" w:sz="4" w:space="0" w:color="A5A5A5"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styleId="Listentabelle2">
    <w:name w:val="List Table 2"/>
    <w:basedOn w:val="NormaleTabelle"/>
    <w:uiPriority w:val="47"/>
    <w:rsid w:val="00FA71B5"/>
    <w:pPr>
      <w:spacing w:line="240" w:lineRule="auto"/>
    </w:pPr>
    <w:rPr>
      <w:rFonts w:cs="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Listentabelle2Akzent1">
    <w:name w:val="List Table 2 Accent 1"/>
    <w:basedOn w:val="NormaleTabelle"/>
    <w:uiPriority w:val="47"/>
    <w:rsid w:val="00FA71B5"/>
    <w:pPr>
      <w:spacing w:line="240" w:lineRule="auto"/>
    </w:pPr>
    <w:rPr>
      <w:rFonts w:cs="Times New Roman"/>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hemeFill="accent1" w:themeFillTint="33"/>
      </w:tcPr>
    </w:tblStylePr>
    <w:tblStylePr w:type="band1Horz">
      <w:rPr>
        <w:rFonts w:cs="Times New Roman"/>
      </w:rPr>
      <w:tblPr/>
      <w:tcPr>
        <w:shd w:val="clear" w:color="auto" w:fill="D9E2F3" w:themeFill="accent1" w:themeFillTint="33"/>
      </w:tcPr>
    </w:tblStylePr>
  </w:style>
  <w:style w:type="table" w:styleId="Listentabelle2Akzent5">
    <w:name w:val="List Table 2 Accent 5"/>
    <w:basedOn w:val="NormaleTabelle"/>
    <w:uiPriority w:val="47"/>
    <w:rsid w:val="00FA71B5"/>
    <w:pPr>
      <w:spacing w:line="240" w:lineRule="auto"/>
    </w:pPr>
    <w:rPr>
      <w:rFonts w:cs="Times New Roman"/>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hemeFill="accent5" w:themeFillTint="33"/>
      </w:tcPr>
    </w:tblStylePr>
    <w:tblStylePr w:type="band1Horz">
      <w:rPr>
        <w:rFonts w:cs="Times New Roman"/>
      </w:rPr>
      <w:tblPr/>
      <w:tcPr>
        <w:shd w:val="clear" w:color="auto" w:fill="DEEAF6" w:themeFill="accent5" w:themeFillTint="33"/>
      </w:tcPr>
    </w:tblStylePr>
  </w:style>
  <w:style w:type="table" w:styleId="Listentabelle1hell">
    <w:name w:val="List Table 1 Light"/>
    <w:basedOn w:val="NormaleTabelle"/>
    <w:uiPriority w:val="46"/>
    <w:rsid w:val="00FA71B5"/>
    <w:pPr>
      <w:spacing w:line="240" w:lineRule="auto"/>
    </w:pPr>
    <w:rPr>
      <w:rFonts w:cs="Times New Roman"/>
    </w:rPr>
    <w:tblPr>
      <w:tblStyleRowBandSize w:val="1"/>
      <w:tblStyleColBandSize w:val="1"/>
    </w:tblPr>
    <w:tblStylePr w:type="firstRow">
      <w:rPr>
        <w:rFonts w:cs="Times New Roman"/>
        <w:b/>
        <w:bCs/>
      </w:rPr>
      <w:tblPr/>
      <w:tcPr>
        <w:tcBorders>
          <w:bottom w:val="single" w:sz="4" w:space="0" w:color="666666" w:themeColor="text1" w:themeTint="99"/>
        </w:tcBorders>
      </w:tcPr>
    </w:tblStylePr>
    <w:tblStylePr w:type="lastRow">
      <w:rPr>
        <w:rFonts w:cs="Times New Roman"/>
        <w:b/>
        <w:bCs/>
      </w:rPr>
      <w:tblPr/>
      <w:tcPr>
        <w:tcBorders>
          <w:top w:val="sing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EinfacheTabelle2">
    <w:name w:val="Plain Table 2"/>
    <w:basedOn w:val="NormaleTabelle"/>
    <w:uiPriority w:val="42"/>
    <w:rsid w:val="00FA71B5"/>
    <w:pPr>
      <w:spacing w:line="240" w:lineRule="auto"/>
    </w:pPr>
    <w:rPr>
      <w:rFonts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FA71B5"/>
    <w:pPr>
      <w:spacing w:line="240" w:lineRule="auto"/>
    </w:pPr>
    <w:rPr>
      <w:rFonts w:cs="Times New Roman"/>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styleId="EinfacheTabelle4">
    <w:name w:val="Plain Table 4"/>
    <w:basedOn w:val="NormaleTabelle"/>
    <w:uiPriority w:val="44"/>
    <w:rsid w:val="00FA71B5"/>
    <w:pPr>
      <w:spacing w:line="240" w:lineRule="auto"/>
    </w:pPr>
    <w:rPr>
      <w:rFonts w:cs="Times New Roman"/>
    </w:r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styleId="Gitternetztabelle1hell">
    <w:name w:val="Grid Table 1 Light"/>
    <w:basedOn w:val="NormaleTabelle"/>
    <w:uiPriority w:val="46"/>
    <w:rsid w:val="00FA71B5"/>
    <w:pPr>
      <w:spacing w:line="240" w:lineRule="auto"/>
    </w:pPr>
    <w:rPr>
      <w:rFonts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table" w:styleId="EinfacheTabelle5">
    <w:name w:val="Plain Table 5"/>
    <w:basedOn w:val="NormaleTabelle"/>
    <w:uiPriority w:val="45"/>
    <w:rsid w:val="00FA71B5"/>
    <w:pPr>
      <w:spacing w:line="240" w:lineRule="auto"/>
    </w:pPr>
    <w:rPr>
      <w:rFonts w:cs="Times New Roman"/>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character" w:styleId="Seitenzahl">
    <w:name w:val="page number"/>
    <w:basedOn w:val="Absatz-Standardschriftart"/>
    <w:uiPriority w:val="99"/>
    <w:semiHidden/>
    <w:unhideWhenUsed/>
    <w:rsid w:val="006670D0"/>
    <w:rPr>
      <w:rFonts w:cs="Times New Roman"/>
    </w:rPr>
  </w:style>
  <w:style w:type="character" w:styleId="Kommentarzeichen">
    <w:name w:val="annotation reference"/>
    <w:basedOn w:val="Absatz-Standardschriftart"/>
    <w:uiPriority w:val="99"/>
    <w:semiHidden/>
    <w:unhideWhenUsed/>
    <w:rsid w:val="00E5416F"/>
    <w:rPr>
      <w:rFonts w:cs="Times New Roman"/>
      <w:sz w:val="16"/>
      <w:szCs w:val="16"/>
    </w:rPr>
  </w:style>
  <w:style w:type="paragraph" w:styleId="Kommentartext">
    <w:name w:val="annotation text"/>
    <w:basedOn w:val="Standard"/>
    <w:link w:val="KommentartextZchn"/>
    <w:uiPriority w:val="99"/>
    <w:unhideWhenUsed/>
    <w:rsid w:val="00E5416F"/>
    <w:pPr>
      <w:spacing w:line="240" w:lineRule="auto"/>
    </w:pPr>
    <w:rPr>
      <w:sz w:val="20"/>
      <w:szCs w:val="20"/>
    </w:rPr>
  </w:style>
  <w:style w:type="character" w:customStyle="1" w:styleId="KommentartextZchn">
    <w:name w:val="Kommentartext Zchn"/>
    <w:basedOn w:val="Absatz-Standardschriftart"/>
    <w:link w:val="Kommentartext"/>
    <w:uiPriority w:val="99"/>
    <w:locked/>
    <w:rsid w:val="00E5416F"/>
    <w:rPr>
      <w:rFonts w:ascii="Arial"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E5416F"/>
    <w:rPr>
      <w:b/>
      <w:bCs/>
    </w:rPr>
  </w:style>
  <w:style w:type="character" w:customStyle="1" w:styleId="KommentarthemaZchn">
    <w:name w:val="Kommentarthema Zchn"/>
    <w:basedOn w:val="KommentartextZchn"/>
    <w:link w:val="Kommentarthema"/>
    <w:uiPriority w:val="99"/>
    <w:semiHidden/>
    <w:locked/>
    <w:rsid w:val="00E5416F"/>
    <w:rPr>
      <w:rFonts w:ascii="Arial" w:hAnsi="Arial" w:cs="Times New Roman"/>
      <w:b/>
      <w:bCs/>
      <w:sz w:val="20"/>
      <w:szCs w:val="20"/>
    </w:rPr>
  </w:style>
  <w:style w:type="paragraph" w:styleId="KeinLeerraum">
    <w:name w:val="No Spacing"/>
    <w:aliases w:val="roem überschrift"/>
    <w:basedOn w:val="berschrift1"/>
    <w:uiPriority w:val="1"/>
    <w:rsid w:val="00E5416F"/>
    <w:pPr>
      <w:spacing w:line="240" w:lineRule="auto"/>
    </w:pPr>
  </w:style>
  <w:style w:type="paragraph" w:styleId="Untertitel">
    <w:name w:val="Subtitle"/>
    <w:aliases w:val="Inhaltsverzeichnis"/>
    <w:basedOn w:val="Standard"/>
    <w:next w:val="Standard"/>
    <w:link w:val="UntertitelZchn"/>
    <w:autoRedefine/>
    <w:uiPriority w:val="11"/>
    <w:qFormat/>
    <w:rsid w:val="002F7A7E"/>
    <w:pPr>
      <w:numPr>
        <w:ilvl w:val="1"/>
      </w:numPr>
      <w:spacing w:after="160"/>
      <w:jc w:val="left"/>
    </w:pPr>
    <w:rPr>
      <w:rFonts w:eastAsiaTheme="minorEastAsia"/>
      <w:b/>
      <w:spacing w:val="15"/>
      <w:sz w:val="28"/>
      <w:szCs w:val="22"/>
    </w:rPr>
  </w:style>
  <w:style w:type="character" w:customStyle="1" w:styleId="UntertitelZchn">
    <w:name w:val="Untertitel Zchn"/>
    <w:aliases w:val="Inhaltsverzeichnis Zchn"/>
    <w:basedOn w:val="Absatz-Standardschriftart"/>
    <w:link w:val="Untertitel"/>
    <w:uiPriority w:val="11"/>
    <w:locked/>
    <w:rsid w:val="002F7A7E"/>
    <w:rPr>
      <w:rFonts w:ascii="Arial" w:eastAsiaTheme="minorEastAsia" w:hAnsi="Arial" w:cs="Times New Roman"/>
      <w:b/>
      <w:spacing w:val="15"/>
      <w:sz w:val="28"/>
      <w:szCs w:val="22"/>
    </w:rPr>
  </w:style>
  <w:style w:type="character" w:styleId="NichtaufgelsteErwhnung">
    <w:name w:val="Unresolved Mention"/>
    <w:basedOn w:val="Absatz-Standardschriftart"/>
    <w:uiPriority w:val="99"/>
    <w:semiHidden/>
    <w:unhideWhenUsed/>
    <w:rsid w:val="00904BEF"/>
    <w:rPr>
      <w:rFonts w:cs="Times New Roman"/>
      <w:color w:val="605E5C"/>
      <w:shd w:val="clear" w:color="auto" w:fill="E1DFDD"/>
    </w:rPr>
  </w:style>
  <w:style w:type="character" w:styleId="Hervorhebung">
    <w:name w:val="Emphasis"/>
    <w:basedOn w:val="Absatz-Standardschriftart"/>
    <w:uiPriority w:val="20"/>
    <w:qFormat/>
    <w:rsid w:val="004D3695"/>
    <w:rPr>
      <w:rFonts w:cs="Times New Roman"/>
      <w:i/>
      <w:iCs/>
    </w:rPr>
  </w:style>
  <w:style w:type="paragraph" w:customStyle="1" w:styleId="pH2">
    <w:name w:val="pH2"/>
    <w:basedOn w:val="Standard"/>
    <w:rsid w:val="00153A81"/>
    <w:pPr>
      <w:spacing w:before="240" w:line="240" w:lineRule="auto"/>
      <w:jc w:val="left"/>
    </w:pPr>
    <w:rPr>
      <w:rFonts w:cs="Arial"/>
      <w:sz w:val="20"/>
      <w:szCs w:val="20"/>
      <w:lang w:eastAsia="de-DE"/>
    </w:rPr>
  </w:style>
  <w:style w:type="character" w:customStyle="1" w:styleId="styleH2">
    <w:name w:val="styleH2"/>
    <w:rsid w:val="00153A81"/>
    <w:rPr>
      <w:rFonts w:ascii="Arial" w:eastAsia="Times New Roman" w:hAnsi="Arial"/>
      <w:b/>
      <w:color w:val="000000"/>
      <w:sz w:val="30"/>
    </w:rPr>
  </w:style>
  <w:style w:type="paragraph" w:styleId="Funotentext">
    <w:name w:val="footnote text"/>
    <w:basedOn w:val="Standard"/>
    <w:link w:val="FunotentextZchn"/>
    <w:uiPriority w:val="99"/>
    <w:semiHidden/>
    <w:unhideWhenUsed/>
    <w:rsid w:val="007B1FA9"/>
    <w:pPr>
      <w:spacing w:after="0" w:line="240" w:lineRule="auto"/>
    </w:pPr>
    <w:rPr>
      <w:sz w:val="20"/>
      <w:szCs w:val="20"/>
    </w:rPr>
  </w:style>
  <w:style w:type="character" w:customStyle="1" w:styleId="FunotentextZchn">
    <w:name w:val="Fußnotentext Zchn"/>
    <w:basedOn w:val="Absatz-Standardschriftart"/>
    <w:link w:val="Funotentext"/>
    <w:uiPriority w:val="99"/>
    <w:semiHidden/>
    <w:locked/>
    <w:rsid w:val="007B1FA9"/>
    <w:rPr>
      <w:rFonts w:ascii="Arial" w:hAnsi="Arial" w:cs="Times New Roman"/>
      <w:sz w:val="20"/>
      <w:szCs w:val="20"/>
    </w:rPr>
  </w:style>
  <w:style w:type="character" w:styleId="Funotenzeichen">
    <w:name w:val="footnote reference"/>
    <w:basedOn w:val="Absatz-Standardschriftart"/>
    <w:uiPriority w:val="99"/>
    <w:semiHidden/>
    <w:unhideWhenUsed/>
    <w:rsid w:val="007B1FA9"/>
    <w:rPr>
      <w:rFonts w:cs="Times New Roman"/>
      <w:vertAlign w:val="superscript"/>
    </w:rPr>
  </w:style>
  <w:style w:type="paragraph" w:customStyle="1" w:styleId="zusammenfassunggrundschrift">
    <w:name w:val="zusammenfassung_grundschrift"/>
    <w:basedOn w:val="Standard"/>
    <w:rsid w:val="00121513"/>
    <w:pPr>
      <w:spacing w:before="100" w:beforeAutospacing="1" w:after="100" w:afterAutospacing="1" w:line="240" w:lineRule="auto"/>
      <w:jc w:val="left"/>
    </w:pPr>
    <w:rPr>
      <w:rFonts w:ascii="Times New Roman" w:hAnsi="Times New Roman"/>
      <w:lang w:eastAsia="de-DE"/>
    </w:rPr>
  </w:style>
  <w:style w:type="paragraph" w:styleId="berarbeitung">
    <w:name w:val="Revision"/>
    <w:hidden/>
    <w:uiPriority w:val="99"/>
    <w:semiHidden/>
    <w:rsid w:val="00B22AA5"/>
    <w:pPr>
      <w:spacing w:line="240" w:lineRule="auto"/>
    </w:pPr>
    <w:rPr>
      <w:rFonts w:ascii="Arial" w:hAnsi="Arial" w:cs="Times New Roman"/>
    </w:rPr>
  </w:style>
  <w:style w:type="paragraph" w:customStyle="1" w:styleId="EndNoteCategoryHeading">
    <w:name w:val="EndNote Category Heading"/>
    <w:basedOn w:val="Standard"/>
    <w:link w:val="EndNoteCategoryHeadingZchn"/>
    <w:rsid w:val="003775A2"/>
    <w:pPr>
      <w:spacing w:before="120"/>
      <w:jc w:val="left"/>
    </w:pPr>
    <w:rPr>
      <w:b/>
      <w:lang w:val="en-US"/>
    </w:rPr>
  </w:style>
  <w:style w:type="character" w:customStyle="1" w:styleId="EndNoteCategoryHeadingZchn">
    <w:name w:val="EndNote Category Heading Zchn"/>
    <w:basedOn w:val="Absatz-Standardschriftart"/>
    <w:link w:val="EndNoteCategoryHeading"/>
    <w:rsid w:val="003775A2"/>
    <w:rPr>
      <w:rFonts w:ascii="Arial" w:hAnsi="Arial" w:cs="Times New Roman"/>
      <w:b/>
      <w:lang w:val="en-US"/>
    </w:rPr>
  </w:style>
  <w:style w:type="character" w:styleId="Endnotenzeichen">
    <w:name w:val="endnote reference"/>
    <w:basedOn w:val="Absatz-Standardschriftart"/>
    <w:uiPriority w:val="99"/>
    <w:semiHidden/>
    <w:unhideWhenUsed/>
    <w:rsid w:val="009D7EB8"/>
    <w:rPr>
      <w:vertAlign w:val="superscript"/>
    </w:rPr>
  </w:style>
  <w:style w:type="character" w:styleId="Platzhaltertext">
    <w:name w:val="Placeholder Text"/>
    <w:basedOn w:val="Absatz-Standardschriftart"/>
    <w:uiPriority w:val="99"/>
    <w:semiHidden/>
    <w:rsid w:val="009D7EB8"/>
    <w:rPr>
      <w:color w:val="666666"/>
    </w:rPr>
  </w:style>
  <w:style w:type="paragraph" w:styleId="Literaturverzeichnis">
    <w:name w:val="Bibliography"/>
    <w:basedOn w:val="Standard"/>
    <w:next w:val="Standard"/>
    <w:uiPriority w:val="37"/>
    <w:unhideWhenUsed/>
    <w:rsid w:val="009D7EB8"/>
  </w:style>
  <w:style w:type="character" w:styleId="IntensiveHervorhebung">
    <w:name w:val="Intense Emphasis"/>
    <w:basedOn w:val="Absatz-Standardschriftart"/>
    <w:uiPriority w:val="21"/>
    <w:qFormat/>
    <w:rsid w:val="002F7A7E"/>
    <w:rPr>
      <w:i/>
      <w:iCs/>
      <w:color w:val="4472C4" w:themeColor="accent1"/>
    </w:rPr>
  </w:style>
  <w:style w:type="character" w:styleId="Fett">
    <w:name w:val="Strong"/>
    <w:basedOn w:val="Absatz-Standardschriftart"/>
    <w:uiPriority w:val="22"/>
    <w:qFormat/>
    <w:rsid w:val="002F7A7E"/>
    <w:rPr>
      <w:b/>
      <w:bCs/>
    </w:rPr>
  </w:style>
  <w:style w:type="character" w:styleId="Buchtitel">
    <w:name w:val="Book Title"/>
    <w:basedOn w:val="Absatz-Standardschriftart"/>
    <w:uiPriority w:val="33"/>
    <w:qFormat/>
    <w:rsid w:val="002F7A7E"/>
    <w:rPr>
      <w:rFonts w:ascii="Arial" w:hAnsi="Arial"/>
      <w:b/>
      <w:bCs/>
      <w:i w:val="0"/>
      <w:iCs/>
      <w:caps/>
      <w:smallCaps w:val="0"/>
      <w:spacing w:val="5"/>
      <w:sz w:val="32"/>
    </w:rPr>
  </w:style>
  <w:style w:type="paragraph" w:styleId="Titel">
    <w:name w:val="Title"/>
    <w:basedOn w:val="Standard"/>
    <w:next w:val="Standard"/>
    <w:link w:val="TitelZchn"/>
    <w:uiPriority w:val="10"/>
    <w:rsid w:val="006C46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C46DC"/>
    <w:rPr>
      <w:rFonts w:asciiTheme="majorHAnsi" w:eastAsiaTheme="majorEastAsia" w:hAnsiTheme="majorHAnsi" w:cstheme="majorBidi"/>
      <w:spacing w:val="-10"/>
      <w:kern w:val="28"/>
      <w:sz w:val="56"/>
      <w:szCs w:val="56"/>
    </w:rPr>
  </w:style>
  <w:style w:type="character" w:customStyle="1" w:styleId="berschrift5Zchn">
    <w:name w:val="Überschrift 5 Zchn"/>
    <w:basedOn w:val="Absatz-Standardschriftart"/>
    <w:link w:val="berschrift5"/>
    <w:uiPriority w:val="9"/>
    <w:rsid w:val="006C46DC"/>
    <w:rPr>
      <w:rFonts w:asciiTheme="majorHAnsi" w:eastAsiaTheme="majorEastAsia" w:hAnsiTheme="majorHAnsi" w:cstheme="majorBidi"/>
      <w:color w:val="2F5496" w:themeColor="accent1" w:themeShade="BF"/>
    </w:rPr>
  </w:style>
  <w:style w:type="paragraph" w:styleId="Textkrper">
    <w:name w:val="Body Text"/>
    <w:basedOn w:val="Standard"/>
    <w:link w:val="TextkrperZchn"/>
    <w:uiPriority w:val="1"/>
    <w:qFormat/>
    <w:rsid w:val="006F048F"/>
    <w:pPr>
      <w:widowControl w:val="0"/>
      <w:autoSpaceDE w:val="0"/>
      <w:autoSpaceDN w:val="0"/>
      <w:spacing w:before="13" w:after="0" w:line="240" w:lineRule="auto"/>
      <w:ind w:left="20"/>
      <w:jc w:val="left"/>
    </w:pPr>
    <w:rPr>
      <w:rFonts w:eastAsia="Arial" w:cs="Arial"/>
      <w:sz w:val="21"/>
      <w:szCs w:val="21"/>
    </w:rPr>
  </w:style>
  <w:style w:type="character" w:customStyle="1" w:styleId="TextkrperZchn">
    <w:name w:val="Textkörper Zchn"/>
    <w:basedOn w:val="Absatz-Standardschriftart"/>
    <w:link w:val="Textkrper"/>
    <w:uiPriority w:val="1"/>
    <w:rsid w:val="006F048F"/>
    <w:rPr>
      <w:rFonts w:ascii="Arial" w:eastAsia="Arial" w:hAnsi="Arial" w:cs="Arial"/>
      <w:sz w:val="21"/>
      <w:szCs w:val="21"/>
    </w:rPr>
  </w:style>
  <w:style w:type="paragraph" w:styleId="Endnotentext">
    <w:name w:val="endnote text"/>
    <w:basedOn w:val="Standard"/>
    <w:link w:val="EndnotentextZchn"/>
    <w:uiPriority w:val="99"/>
    <w:semiHidden/>
    <w:unhideWhenUsed/>
    <w:rsid w:val="008B57DE"/>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8B57DE"/>
    <w:rPr>
      <w:rFonts w:ascii="Arial"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928309">
      <w:bodyDiv w:val="1"/>
      <w:marLeft w:val="0"/>
      <w:marRight w:val="0"/>
      <w:marTop w:val="0"/>
      <w:marBottom w:val="0"/>
      <w:divBdr>
        <w:top w:val="none" w:sz="0" w:space="0" w:color="auto"/>
        <w:left w:val="none" w:sz="0" w:space="0" w:color="auto"/>
        <w:bottom w:val="none" w:sz="0" w:space="0" w:color="auto"/>
        <w:right w:val="none" w:sz="0" w:space="0" w:color="auto"/>
      </w:divBdr>
      <w:divsChild>
        <w:div w:id="1581062113">
          <w:marLeft w:val="0"/>
          <w:marRight w:val="0"/>
          <w:marTop w:val="0"/>
          <w:marBottom w:val="0"/>
          <w:divBdr>
            <w:top w:val="none" w:sz="0" w:space="0" w:color="auto"/>
            <w:left w:val="none" w:sz="0" w:space="0" w:color="auto"/>
            <w:bottom w:val="none" w:sz="0" w:space="0" w:color="auto"/>
            <w:right w:val="none" w:sz="0" w:space="0" w:color="auto"/>
          </w:divBdr>
        </w:div>
      </w:divsChild>
    </w:div>
    <w:div w:id="1171213904">
      <w:bodyDiv w:val="1"/>
      <w:marLeft w:val="0"/>
      <w:marRight w:val="0"/>
      <w:marTop w:val="0"/>
      <w:marBottom w:val="0"/>
      <w:divBdr>
        <w:top w:val="none" w:sz="0" w:space="0" w:color="auto"/>
        <w:left w:val="none" w:sz="0" w:space="0" w:color="auto"/>
        <w:bottom w:val="none" w:sz="0" w:space="0" w:color="auto"/>
        <w:right w:val="none" w:sz="0" w:space="0" w:color="auto"/>
      </w:divBdr>
    </w:div>
    <w:div w:id="1293903834">
      <w:bodyDiv w:val="1"/>
      <w:marLeft w:val="0"/>
      <w:marRight w:val="0"/>
      <w:marTop w:val="0"/>
      <w:marBottom w:val="0"/>
      <w:divBdr>
        <w:top w:val="none" w:sz="0" w:space="0" w:color="auto"/>
        <w:left w:val="none" w:sz="0" w:space="0" w:color="auto"/>
        <w:bottom w:val="none" w:sz="0" w:space="0" w:color="auto"/>
        <w:right w:val="none" w:sz="0" w:space="0" w:color="auto"/>
      </w:divBdr>
    </w:div>
    <w:div w:id="1334795361">
      <w:bodyDiv w:val="1"/>
      <w:marLeft w:val="0"/>
      <w:marRight w:val="0"/>
      <w:marTop w:val="0"/>
      <w:marBottom w:val="0"/>
      <w:divBdr>
        <w:top w:val="none" w:sz="0" w:space="0" w:color="auto"/>
        <w:left w:val="none" w:sz="0" w:space="0" w:color="auto"/>
        <w:bottom w:val="none" w:sz="0" w:space="0" w:color="auto"/>
        <w:right w:val="none" w:sz="0" w:space="0" w:color="auto"/>
      </w:divBdr>
    </w:div>
    <w:div w:id="1414157593">
      <w:bodyDiv w:val="1"/>
      <w:marLeft w:val="0"/>
      <w:marRight w:val="0"/>
      <w:marTop w:val="0"/>
      <w:marBottom w:val="0"/>
      <w:divBdr>
        <w:top w:val="none" w:sz="0" w:space="0" w:color="auto"/>
        <w:left w:val="none" w:sz="0" w:space="0" w:color="auto"/>
        <w:bottom w:val="none" w:sz="0" w:space="0" w:color="auto"/>
        <w:right w:val="none" w:sz="0" w:space="0" w:color="auto"/>
      </w:divBdr>
    </w:div>
    <w:div w:id="1639218475">
      <w:bodyDiv w:val="1"/>
      <w:marLeft w:val="0"/>
      <w:marRight w:val="0"/>
      <w:marTop w:val="0"/>
      <w:marBottom w:val="0"/>
      <w:divBdr>
        <w:top w:val="none" w:sz="0" w:space="0" w:color="auto"/>
        <w:left w:val="none" w:sz="0" w:space="0" w:color="auto"/>
        <w:bottom w:val="none" w:sz="0" w:space="0" w:color="auto"/>
        <w:right w:val="none" w:sz="0" w:space="0" w:color="auto"/>
      </w:divBdr>
    </w:div>
    <w:div w:id="1665011624">
      <w:bodyDiv w:val="1"/>
      <w:marLeft w:val="0"/>
      <w:marRight w:val="0"/>
      <w:marTop w:val="0"/>
      <w:marBottom w:val="0"/>
      <w:divBdr>
        <w:top w:val="none" w:sz="0" w:space="0" w:color="auto"/>
        <w:left w:val="none" w:sz="0" w:space="0" w:color="auto"/>
        <w:bottom w:val="none" w:sz="0" w:space="0" w:color="auto"/>
        <w:right w:val="none" w:sz="0" w:space="0" w:color="auto"/>
      </w:divBdr>
    </w:div>
    <w:div w:id="1955674520">
      <w:marLeft w:val="0"/>
      <w:marRight w:val="0"/>
      <w:marTop w:val="0"/>
      <w:marBottom w:val="0"/>
      <w:divBdr>
        <w:top w:val="none" w:sz="0" w:space="0" w:color="auto"/>
        <w:left w:val="none" w:sz="0" w:space="0" w:color="auto"/>
        <w:bottom w:val="none" w:sz="0" w:space="0" w:color="auto"/>
        <w:right w:val="none" w:sz="0" w:space="0" w:color="auto"/>
      </w:divBdr>
      <w:divsChild>
        <w:div w:id="1955674778">
          <w:marLeft w:val="0"/>
          <w:marRight w:val="0"/>
          <w:marTop w:val="0"/>
          <w:marBottom w:val="0"/>
          <w:divBdr>
            <w:top w:val="none" w:sz="0" w:space="0" w:color="auto"/>
            <w:left w:val="none" w:sz="0" w:space="0" w:color="auto"/>
            <w:bottom w:val="none" w:sz="0" w:space="0" w:color="auto"/>
            <w:right w:val="none" w:sz="0" w:space="0" w:color="auto"/>
          </w:divBdr>
          <w:divsChild>
            <w:div w:id="1955674874">
              <w:marLeft w:val="0"/>
              <w:marRight w:val="0"/>
              <w:marTop w:val="0"/>
              <w:marBottom w:val="0"/>
              <w:divBdr>
                <w:top w:val="none" w:sz="0" w:space="0" w:color="auto"/>
                <w:left w:val="none" w:sz="0" w:space="0" w:color="auto"/>
                <w:bottom w:val="none" w:sz="0" w:space="0" w:color="auto"/>
                <w:right w:val="none" w:sz="0" w:space="0" w:color="auto"/>
              </w:divBdr>
              <w:divsChild>
                <w:div w:id="1955675115">
                  <w:marLeft w:val="0"/>
                  <w:marRight w:val="0"/>
                  <w:marTop w:val="0"/>
                  <w:marBottom w:val="0"/>
                  <w:divBdr>
                    <w:top w:val="none" w:sz="0" w:space="0" w:color="auto"/>
                    <w:left w:val="none" w:sz="0" w:space="0" w:color="auto"/>
                    <w:bottom w:val="none" w:sz="0" w:space="0" w:color="auto"/>
                    <w:right w:val="none" w:sz="0" w:space="0" w:color="auto"/>
                  </w:divBdr>
                  <w:divsChild>
                    <w:div w:id="195567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4524">
      <w:marLeft w:val="0"/>
      <w:marRight w:val="0"/>
      <w:marTop w:val="0"/>
      <w:marBottom w:val="0"/>
      <w:divBdr>
        <w:top w:val="none" w:sz="0" w:space="0" w:color="auto"/>
        <w:left w:val="none" w:sz="0" w:space="0" w:color="auto"/>
        <w:bottom w:val="none" w:sz="0" w:space="0" w:color="auto"/>
        <w:right w:val="none" w:sz="0" w:space="0" w:color="auto"/>
      </w:divBdr>
    </w:div>
    <w:div w:id="1955674535">
      <w:marLeft w:val="0"/>
      <w:marRight w:val="0"/>
      <w:marTop w:val="0"/>
      <w:marBottom w:val="0"/>
      <w:divBdr>
        <w:top w:val="none" w:sz="0" w:space="0" w:color="auto"/>
        <w:left w:val="none" w:sz="0" w:space="0" w:color="auto"/>
        <w:bottom w:val="none" w:sz="0" w:space="0" w:color="auto"/>
        <w:right w:val="none" w:sz="0" w:space="0" w:color="auto"/>
      </w:divBdr>
    </w:div>
    <w:div w:id="1955674537">
      <w:marLeft w:val="0"/>
      <w:marRight w:val="0"/>
      <w:marTop w:val="0"/>
      <w:marBottom w:val="0"/>
      <w:divBdr>
        <w:top w:val="none" w:sz="0" w:space="0" w:color="auto"/>
        <w:left w:val="none" w:sz="0" w:space="0" w:color="auto"/>
        <w:bottom w:val="none" w:sz="0" w:space="0" w:color="auto"/>
        <w:right w:val="none" w:sz="0" w:space="0" w:color="auto"/>
      </w:divBdr>
      <w:divsChild>
        <w:div w:id="1955674548">
          <w:marLeft w:val="0"/>
          <w:marRight w:val="0"/>
          <w:marTop w:val="0"/>
          <w:marBottom w:val="0"/>
          <w:divBdr>
            <w:top w:val="none" w:sz="0" w:space="0" w:color="auto"/>
            <w:left w:val="none" w:sz="0" w:space="0" w:color="auto"/>
            <w:bottom w:val="none" w:sz="0" w:space="0" w:color="auto"/>
            <w:right w:val="none" w:sz="0" w:space="0" w:color="auto"/>
          </w:divBdr>
          <w:divsChild>
            <w:div w:id="1955674815">
              <w:marLeft w:val="0"/>
              <w:marRight w:val="0"/>
              <w:marTop w:val="0"/>
              <w:marBottom w:val="0"/>
              <w:divBdr>
                <w:top w:val="none" w:sz="0" w:space="0" w:color="auto"/>
                <w:left w:val="none" w:sz="0" w:space="0" w:color="auto"/>
                <w:bottom w:val="none" w:sz="0" w:space="0" w:color="auto"/>
                <w:right w:val="none" w:sz="0" w:space="0" w:color="auto"/>
              </w:divBdr>
              <w:divsChild>
                <w:div w:id="195567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538">
      <w:marLeft w:val="0"/>
      <w:marRight w:val="0"/>
      <w:marTop w:val="0"/>
      <w:marBottom w:val="0"/>
      <w:divBdr>
        <w:top w:val="none" w:sz="0" w:space="0" w:color="auto"/>
        <w:left w:val="none" w:sz="0" w:space="0" w:color="auto"/>
        <w:bottom w:val="none" w:sz="0" w:space="0" w:color="auto"/>
        <w:right w:val="none" w:sz="0" w:space="0" w:color="auto"/>
      </w:divBdr>
      <w:divsChild>
        <w:div w:id="1955674932">
          <w:marLeft w:val="0"/>
          <w:marRight w:val="0"/>
          <w:marTop w:val="0"/>
          <w:marBottom w:val="0"/>
          <w:divBdr>
            <w:top w:val="none" w:sz="0" w:space="0" w:color="auto"/>
            <w:left w:val="none" w:sz="0" w:space="0" w:color="auto"/>
            <w:bottom w:val="none" w:sz="0" w:space="0" w:color="auto"/>
            <w:right w:val="none" w:sz="0" w:space="0" w:color="auto"/>
          </w:divBdr>
          <w:divsChild>
            <w:div w:id="1955674980">
              <w:marLeft w:val="0"/>
              <w:marRight w:val="0"/>
              <w:marTop w:val="0"/>
              <w:marBottom w:val="0"/>
              <w:divBdr>
                <w:top w:val="none" w:sz="0" w:space="0" w:color="auto"/>
                <w:left w:val="none" w:sz="0" w:space="0" w:color="auto"/>
                <w:bottom w:val="none" w:sz="0" w:space="0" w:color="auto"/>
                <w:right w:val="none" w:sz="0" w:space="0" w:color="auto"/>
              </w:divBdr>
              <w:divsChild>
                <w:div w:id="19556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539">
      <w:marLeft w:val="0"/>
      <w:marRight w:val="0"/>
      <w:marTop w:val="0"/>
      <w:marBottom w:val="0"/>
      <w:divBdr>
        <w:top w:val="none" w:sz="0" w:space="0" w:color="auto"/>
        <w:left w:val="none" w:sz="0" w:space="0" w:color="auto"/>
        <w:bottom w:val="none" w:sz="0" w:space="0" w:color="auto"/>
        <w:right w:val="none" w:sz="0" w:space="0" w:color="auto"/>
      </w:divBdr>
      <w:divsChild>
        <w:div w:id="1955675081">
          <w:marLeft w:val="0"/>
          <w:marRight w:val="0"/>
          <w:marTop w:val="0"/>
          <w:marBottom w:val="0"/>
          <w:divBdr>
            <w:top w:val="none" w:sz="0" w:space="0" w:color="auto"/>
            <w:left w:val="none" w:sz="0" w:space="0" w:color="auto"/>
            <w:bottom w:val="none" w:sz="0" w:space="0" w:color="auto"/>
            <w:right w:val="none" w:sz="0" w:space="0" w:color="auto"/>
          </w:divBdr>
          <w:divsChild>
            <w:div w:id="1955674725">
              <w:marLeft w:val="0"/>
              <w:marRight w:val="0"/>
              <w:marTop w:val="0"/>
              <w:marBottom w:val="0"/>
              <w:divBdr>
                <w:top w:val="none" w:sz="0" w:space="0" w:color="auto"/>
                <w:left w:val="none" w:sz="0" w:space="0" w:color="auto"/>
                <w:bottom w:val="none" w:sz="0" w:space="0" w:color="auto"/>
                <w:right w:val="none" w:sz="0" w:space="0" w:color="auto"/>
              </w:divBdr>
              <w:divsChild>
                <w:div w:id="1955674963">
                  <w:marLeft w:val="0"/>
                  <w:marRight w:val="0"/>
                  <w:marTop w:val="0"/>
                  <w:marBottom w:val="0"/>
                  <w:divBdr>
                    <w:top w:val="none" w:sz="0" w:space="0" w:color="auto"/>
                    <w:left w:val="none" w:sz="0" w:space="0" w:color="auto"/>
                    <w:bottom w:val="none" w:sz="0" w:space="0" w:color="auto"/>
                    <w:right w:val="none" w:sz="0" w:space="0" w:color="auto"/>
                  </w:divBdr>
                </w:div>
              </w:divsChild>
            </w:div>
            <w:div w:id="1955674765">
              <w:marLeft w:val="0"/>
              <w:marRight w:val="0"/>
              <w:marTop w:val="0"/>
              <w:marBottom w:val="0"/>
              <w:divBdr>
                <w:top w:val="none" w:sz="0" w:space="0" w:color="auto"/>
                <w:left w:val="none" w:sz="0" w:space="0" w:color="auto"/>
                <w:bottom w:val="none" w:sz="0" w:space="0" w:color="auto"/>
                <w:right w:val="none" w:sz="0" w:space="0" w:color="auto"/>
              </w:divBdr>
              <w:divsChild>
                <w:div w:id="19556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5084">
          <w:marLeft w:val="0"/>
          <w:marRight w:val="0"/>
          <w:marTop w:val="0"/>
          <w:marBottom w:val="0"/>
          <w:divBdr>
            <w:top w:val="none" w:sz="0" w:space="0" w:color="auto"/>
            <w:left w:val="none" w:sz="0" w:space="0" w:color="auto"/>
            <w:bottom w:val="none" w:sz="0" w:space="0" w:color="auto"/>
            <w:right w:val="none" w:sz="0" w:space="0" w:color="auto"/>
          </w:divBdr>
          <w:divsChild>
            <w:div w:id="1955674731">
              <w:marLeft w:val="0"/>
              <w:marRight w:val="0"/>
              <w:marTop w:val="0"/>
              <w:marBottom w:val="0"/>
              <w:divBdr>
                <w:top w:val="none" w:sz="0" w:space="0" w:color="auto"/>
                <w:left w:val="none" w:sz="0" w:space="0" w:color="auto"/>
                <w:bottom w:val="none" w:sz="0" w:space="0" w:color="auto"/>
                <w:right w:val="none" w:sz="0" w:space="0" w:color="auto"/>
              </w:divBdr>
              <w:divsChild>
                <w:div w:id="1955674703">
                  <w:marLeft w:val="0"/>
                  <w:marRight w:val="0"/>
                  <w:marTop w:val="0"/>
                  <w:marBottom w:val="0"/>
                  <w:divBdr>
                    <w:top w:val="none" w:sz="0" w:space="0" w:color="auto"/>
                    <w:left w:val="none" w:sz="0" w:space="0" w:color="auto"/>
                    <w:bottom w:val="none" w:sz="0" w:space="0" w:color="auto"/>
                    <w:right w:val="none" w:sz="0" w:space="0" w:color="auto"/>
                  </w:divBdr>
                  <w:divsChild>
                    <w:div w:id="195567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4541">
      <w:marLeft w:val="0"/>
      <w:marRight w:val="0"/>
      <w:marTop w:val="0"/>
      <w:marBottom w:val="0"/>
      <w:divBdr>
        <w:top w:val="none" w:sz="0" w:space="0" w:color="auto"/>
        <w:left w:val="none" w:sz="0" w:space="0" w:color="auto"/>
        <w:bottom w:val="none" w:sz="0" w:space="0" w:color="auto"/>
        <w:right w:val="none" w:sz="0" w:space="0" w:color="auto"/>
      </w:divBdr>
      <w:divsChild>
        <w:div w:id="1955674616">
          <w:marLeft w:val="0"/>
          <w:marRight w:val="0"/>
          <w:marTop w:val="0"/>
          <w:marBottom w:val="0"/>
          <w:divBdr>
            <w:top w:val="none" w:sz="0" w:space="0" w:color="auto"/>
            <w:left w:val="none" w:sz="0" w:space="0" w:color="auto"/>
            <w:bottom w:val="none" w:sz="0" w:space="0" w:color="auto"/>
            <w:right w:val="none" w:sz="0" w:space="0" w:color="auto"/>
          </w:divBdr>
          <w:divsChild>
            <w:div w:id="1955674899">
              <w:marLeft w:val="0"/>
              <w:marRight w:val="0"/>
              <w:marTop w:val="0"/>
              <w:marBottom w:val="0"/>
              <w:divBdr>
                <w:top w:val="none" w:sz="0" w:space="0" w:color="auto"/>
                <w:left w:val="none" w:sz="0" w:space="0" w:color="auto"/>
                <w:bottom w:val="none" w:sz="0" w:space="0" w:color="auto"/>
                <w:right w:val="none" w:sz="0" w:space="0" w:color="auto"/>
              </w:divBdr>
              <w:divsChild>
                <w:div w:id="1955674867">
                  <w:marLeft w:val="0"/>
                  <w:marRight w:val="0"/>
                  <w:marTop w:val="0"/>
                  <w:marBottom w:val="0"/>
                  <w:divBdr>
                    <w:top w:val="none" w:sz="0" w:space="0" w:color="auto"/>
                    <w:left w:val="none" w:sz="0" w:space="0" w:color="auto"/>
                    <w:bottom w:val="none" w:sz="0" w:space="0" w:color="auto"/>
                    <w:right w:val="none" w:sz="0" w:space="0" w:color="auto"/>
                  </w:divBdr>
                  <w:divsChild>
                    <w:div w:id="19556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4544">
      <w:marLeft w:val="0"/>
      <w:marRight w:val="0"/>
      <w:marTop w:val="0"/>
      <w:marBottom w:val="0"/>
      <w:divBdr>
        <w:top w:val="none" w:sz="0" w:space="0" w:color="auto"/>
        <w:left w:val="none" w:sz="0" w:space="0" w:color="auto"/>
        <w:bottom w:val="none" w:sz="0" w:space="0" w:color="auto"/>
        <w:right w:val="none" w:sz="0" w:space="0" w:color="auto"/>
      </w:divBdr>
      <w:divsChild>
        <w:div w:id="1955675110">
          <w:marLeft w:val="0"/>
          <w:marRight w:val="0"/>
          <w:marTop w:val="240"/>
          <w:marBottom w:val="240"/>
          <w:divBdr>
            <w:top w:val="none" w:sz="0" w:space="0" w:color="auto"/>
            <w:left w:val="none" w:sz="0" w:space="0" w:color="auto"/>
            <w:bottom w:val="none" w:sz="0" w:space="0" w:color="auto"/>
            <w:right w:val="none" w:sz="0" w:space="0" w:color="auto"/>
          </w:divBdr>
        </w:div>
      </w:divsChild>
    </w:div>
    <w:div w:id="1955674545">
      <w:marLeft w:val="0"/>
      <w:marRight w:val="0"/>
      <w:marTop w:val="0"/>
      <w:marBottom w:val="0"/>
      <w:divBdr>
        <w:top w:val="none" w:sz="0" w:space="0" w:color="auto"/>
        <w:left w:val="none" w:sz="0" w:space="0" w:color="auto"/>
        <w:bottom w:val="none" w:sz="0" w:space="0" w:color="auto"/>
        <w:right w:val="none" w:sz="0" w:space="0" w:color="auto"/>
      </w:divBdr>
    </w:div>
    <w:div w:id="1955674551">
      <w:marLeft w:val="0"/>
      <w:marRight w:val="0"/>
      <w:marTop w:val="0"/>
      <w:marBottom w:val="0"/>
      <w:divBdr>
        <w:top w:val="none" w:sz="0" w:space="0" w:color="auto"/>
        <w:left w:val="none" w:sz="0" w:space="0" w:color="auto"/>
        <w:bottom w:val="none" w:sz="0" w:space="0" w:color="auto"/>
        <w:right w:val="none" w:sz="0" w:space="0" w:color="auto"/>
      </w:divBdr>
      <w:divsChild>
        <w:div w:id="1955674711">
          <w:marLeft w:val="0"/>
          <w:marRight w:val="0"/>
          <w:marTop w:val="0"/>
          <w:marBottom w:val="0"/>
          <w:divBdr>
            <w:top w:val="none" w:sz="0" w:space="0" w:color="auto"/>
            <w:left w:val="none" w:sz="0" w:space="0" w:color="auto"/>
            <w:bottom w:val="none" w:sz="0" w:space="0" w:color="auto"/>
            <w:right w:val="none" w:sz="0" w:space="0" w:color="auto"/>
          </w:divBdr>
          <w:divsChild>
            <w:div w:id="1955674723">
              <w:marLeft w:val="0"/>
              <w:marRight w:val="0"/>
              <w:marTop w:val="0"/>
              <w:marBottom w:val="0"/>
              <w:divBdr>
                <w:top w:val="none" w:sz="0" w:space="0" w:color="auto"/>
                <w:left w:val="none" w:sz="0" w:space="0" w:color="auto"/>
                <w:bottom w:val="none" w:sz="0" w:space="0" w:color="auto"/>
                <w:right w:val="none" w:sz="0" w:space="0" w:color="auto"/>
              </w:divBdr>
              <w:divsChild>
                <w:div w:id="195567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552">
      <w:marLeft w:val="0"/>
      <w:marRight w:val="0"/>
      <w:marTop w:val="0"/>
      <w:marBottom w:val="0"/>
      <w:divBdr>
        <w:top w:val="none" w:sz="0" w:space="0" w:color="auto"/>
        <w:left w:val="none" w:sz="0" w:space="0" w:color="auto"/>
        <w:bottom w:val="none" w:sz="0" w:space="0" w:color="auto"/>
        <w:right w:val="none" w:sz="0" w:space="0" w:color="auto"/>
      </w:divBdr>
      <w:divsChild>
        <w:div w:id="1955674632">
          <w:marLeft w:val="0"/>
          <w:marRight w:val="0"/>
          <w:marTop w:val="0"/>
          <w:marBottom w:val="0"/>
          <w:divBdr>
            <w:top w:val="none" w:sz="0" w:space="0" w:color="auto"/>
            <w:left w:val="none" w:sz="0" w:space="0" w:color="auto"/>
            <w:bottom w:val="none" w:sz="0" w:space="0" w:color="auto"/>
            <w:right w:val="none" w:sz="0" w:space="0" w:color="auto"/>
          </w:divBdr>
          <w:divsChild>
            <w:div w:id="1955674615">
              <w:marLeft w:val="0"/>
              <w:marRight w:val="0"/>
              <w:marTop w:val="0"/>
              <w:marBottom w:val="0"/>
              <w:divBdr>
                <w:top w:val="none" w:sz="0" w:space="0" w:color="auto"/>
                <w:left w:val="none" w:sz="0" w:space="0" w:color="auto"/>
                <w:bottom w:val="none" w:sz="0" w:space="0" w:color="auto"/>
                <w:right w:val="none" w:sz="0" w:space="0" w:color="auto"/>
              </w:divBdr>
              <w:divsChild>
                <w:div w:id="1955674661">
                  <w:marLeft w:val="0"/>
                  <w:marRight w:val="0"/>
                  <w:marTop w:val="0"/>
                  <w:marBottom w:val="0"/>
                  <w:divBdr>
                    <w:top w:val="none" w:sz="0" w:space="0" w:color="auto"/>
                    <w:left w:val="none" w:sz="0" w:space="0" w:color="auto"/>
                    <w:bottom w:val="none" w:sz="0" w:space="0" w:color="auto"/>
                    <w:right w:val="none" w:sz="0" w:space="0" w:color="auto"/>
                  </w:divBdr>
                </w:div>
              </w:divsChild>
            </w:div>
            <w:div w:id="1955674854">
              <w:marLeft w:val="0"/>
              <w:marRight w:val="0"/>
              <w:marTop w:val="0"/>
              <w:marBottom w:val="0"/>
              <w:divBdr>
                <w:top w:val="none" w:sz="0" w:space="0" w:color="auto"/>
                <w:left w:val="none" w:sz="0" w:space="0" w:color="auto"/>
                <w:bottom w:val="none" w:sz="0" w:space="0" w:color="auto"/>
                <w:right w:val="none" w:sz="0" w:space="0" w:color="auto"/>
              </w:divBdr>
              <w:divsChild>
                <w:div w:id="1955674576">
                  <w:marLeft w:val="0"/>
                  <w:marRight w:val="0"/>
                  <w:marTop w:val="0"/>
                  <w:marBottom w:val="0"/>
                  <w:divBdr>
                    <w:top w:val="none" w:sz="0" w:space="0" w:color="auto"/>
                    <w:left w:val="none" w:sz="0" w:space="0" w:color="auto"/>
                    <w:bottom w:val="none" w:sz="0" w:space="0" w:color="auto"/>
                    <w:right w:val="none" w:sz="0" w:space="0" w:color="auto"/>
                  </w:divBdr>
                </w:div>
              </w:divsChild>
            </w:div>
            <w:div w:id="1955675014">
              <w:marLeft w:val="0"/>
              <w:marRight w:val="0"/>
              <w:marTop w:val="0"/>
              <w:marBottom w:val="0"/>
              <w:divBdr>
                <w:top w:val="none" w:sz="0" w:space="0" w:color="auto"/>
                <w:left w:val="none" w:sz="0" w:space="0" w:color="auto"/>
                <w:bottom w:val="none" w:sz="0" w:space="0" w:color="auto"/>
                <w:right w:val="none" w:sz="0" w:space="0" w:color="auto"/>
              </w:divBdr>
              <w:divsChild>
                <w:div w:id="1955674939">
                  <w:marLeft w:val="0"/>
                  <w:marRight w:val="0"/>
                  <w:marTop w:val="0"/>
                  <w:marBottom w:val="0"/>
                  <w:divBdr>
                    <w:top w:val="none" w:sz="0" w:space="0" w:color="auto"/>
                    <w:left w:val="none" w:sz="0" w:space="0" w:color="auto"/>
                    <w:bottom w:val="none" w:sz="0" w:space="0" w:color="auto"/>
                    <w:right w:val="none" w:sz="0" w:space="0" w:color="auto"/>
                  </w:divBdr>
                </w:div>
              </w:divsChild>
            </w:div>
            <w:div w:id="1955675073">
              <w:marLeft w:val="0"/>
              <w:marRight w:val="0"/>
              <w:marTop w:val="0"/>
              <w:marBottom w:val="0"/>
              <w:divBdr>
                <w:top w:val="none" w:sz="0" w:space="0" w:color="auto"/>
                <w:left w:val="none" w:sz="0" w:space="0" w:color="auto"/>
                <w:bottom w:val="none" w:sz="0" w:space="0" w:color="auto"/>
                <w:right w:val="none" w:sz="0" w:space="0" w:color="auto"/>
              </w:divBdr>
              <w:divsChild>
                <w:div w:id="19556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553">
      <w:marLeft w:val="0"/>
      <w:marRight w:val="0"/>
      <w:marTop w:val="0"/>
      <w:marBottom w:val="0"/>
      <w:divBdr>
        <w:top w:val="none" w:sz="0" w:space="0" w:color="auto"/>
        <w:left w:val="none" w:sz="0" w:space="0" w:color="auto"/>
        <w:bottom w:val="none" w:sz="0" w:space="0" w:color="auto"/>
        <w:right w:val="none" w:sz="0" w:space="0" w:color="auto"/>
      </w:divBdr>
    </w:div>
    <w:div w:id="1955674555">
      <w:marLeft w:val="0"/>
      <w:marRight w:val="0"/>
      <w:marTop w:val="0"/>
      <w:marBottom w:val="0"/>
      <w:divBdr>
        <w:top w:val="none" w:sz="0" w:space="0" w:color="auto"/>
        <w:left w:val="none" w:sz="0" w:space="0" w:color="auto"/>
        <w:bottom w:val="none" w:sz="0" w:space="0" w:color="auto"/>
        <w:right w:val="none" w:sz="0" w:space="0" w:color="auto"/>
      </w:divBdr>
      <w:divsChild>
        <w:div w:id="1955674908">
          <w:marLeft w:val="0"/>
          <w:marRight w:val="0"/>
          <w:marTop w:val="0"/>
          <w:marBottom w:val="0"/>
          <w:divBdr>
            <w:top w:val="none" w:sz="0" w:space="0" w:color="auto"/>
            <w:left w:val="none" w:sz="0" w:space="0" w:color="auto"/>
            <w:bottom w:val="none" w:sz="0" w:space="0" w:color="auto"/>
            <w:right w:val="none" w:sz="0" w:space="0" w:color="auto"/>
          </w:divBdr>
          <w:divsChild>
            <w:div w:id="1955674840">
              <w:marLeft w:val="0"/>
              <w:marRight w:val="0"/>
              <w:marTop w:val="0"/>
              <w:marBottom w:val="0"/>
              <w:divBdr>
                <w:top w:val="none" w:sz="0" w:space="0" w:color="auto"/>
                <w:left w:val="none" w:sz="0" w:space="0" w:color="auto"/>
                <w:bottom w:val="none" w:sz="0" w:space="0" w:color="auto"/>
                <w:right w:val="none" w:sz="0" w:space="0" w:color="auto"/>
              </w:divBdr>
              <w:divsChild>
                <w:div w:id="195567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561">
      <w:marLeft w:val="0"/>
      <w:marRight w:val="0"/>
      <w:marTop w:val="0"/>
      <w:marBottom w:val="0"/>
      <w:divBdr>
        <w:top w:val="none" w:sz="0" w:space="0" w:color="auto"/>
        <w:left w:val="none" w:sz="0" w:space="0" w:color="auto"/>
        <w:bottom w:val="none" w:sz="0" w:space="0" w:color="auto"/>
        <w:right w:val="none" w:sz="0" w:space="0" w:color="auto"/>
      </w:divBdr>
      <w:divsChild>
        <w:div w:id="1955674791">
          <w:marLeft w:val="0"/>
          <w:marRight w:val="0"/>
          <w:marTop w:val="0"/>
          <w:marBottom w:val="0"/>
          <w:divBdr>
            <w:top w:val="none" w:sz="0" w:space="0" w:color="auto"/>
            <w:left w:val="none" w:sz="0" w:space="0" w:color="auto"/>
            <w:bottom w:val="none" w:sz="0" w:space="0" w:color="auto"/>
            <w:right w:val="none" w:sz="0" w:space="0" w:color="auto"/>
          </w:divBdr>
          <w:divsChild>
            <w:div w:id="1955674931">
              <w:marLeft w:val="0"/>
              <w:marRight w:val="0"/>
              <w:marTop w:val="0"/>
              <w:marBottom w:val="0"/>
              <w:divBdr>
                <w:top w:val="none" w:sz="0" w:space="0" w:color="auto"/>
                <w:left w:val="none" w:sz="0" w:space="0" w:color="auto"/>
                <w:bottom w:val="none" w:sz="0" w:space="0" w:color="auto"/>
                <w:right w:val="none" w:sz="0" w:space="0" w:color="auto"/>
              </w:divBdr>
              <w:divsChild>
                <w:div w:id="19556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571">
      <w:marLeft w:val="0"/>
      <w:marRight w:val="0"/>
      <w:marTop w:val="0"/>
      <w:marBottom w:val="0"/>
      <w:divBdr>
        <w:top w:val="none" w:sz="0" w:space="0" w:color="auto"/>
        <w:left w:val="none" w:sz="0" w:space="0" w:color="auto"/>
        <w:bottom w:val="none" w:sz="0" w:space="0" w:color="auto"/>
        <w:right w:val="none" w:sz="0" w:space="0" w:color="auto"/>
      </w:divBdr>
      <w:divsChild>
        <w:div w:id="1955674677">
          <w:marLeft w:val="0"/>
          <w:marRight w:val="0"/>
          <w:marTop w:val="0"/>
          <w:marBottom w:val="0"/>
          <w:divBdr>
            <w:top w:val="none" w:sz="0" w:space="0" w:color="auto"/>
            <w:left w:val="none" w:sz="0" w:space="0" w:color="auto"/>
            <w:bottom w:val="none" w:sz="0" w:space="0" w:color="auto"/>
            <w:right w:val="none" w:sz="0" w:space="0" w:color="auto"/>
          </w:divBdr>
          <w:divsChild>
            <w:div w:id="1955675039">
              <w:marLeft w:val="0"/>
              <w:marRight w:val="0"/>
              <w:marTop w:val="0"/>
              <w:marBottom w:val="0"/>
              <w:divBdr>
                <w:top w:val="none" w:sz="0" w:space="0" w:color="auto"/>
                <w:left w:val="none" w:sz="0" w:space="0" w:color="auto"/>
                <w:bottom w:val="none" w:sz="0" w:space="0" w:color="auto"/>
                <w:right w:val="none" w:sz="0" w:space="0" w:color="auto"/>
              </w:divBdr>
              <w:divsChild>
                <w:div w:id="1955674630">
                  <w:marLeft w:val="0"/>
                  <w:marRight w:val="0"/>
                  <w:marTop w:val="0"/>
                  <w:marBottom w:val="0"/>
                  <w:divBdr>
                    <w:top w:val="none" w:sz="0" w:space="0" w:color="auto"/>
                    <w:left w:val="none" w:sz="0" w:space="0" w:color="auto"/>
                    <w:bottom w:val="none" w:sz="0" w:space="0" w:color="auto"/>
                    <w:right w:val="none" w:sz="0" w:space="0" w:color="auto"/>
                  </w:divBdr>
                  <w:divsChild>
                    <w:div w:id="19556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4573">
      <w:marLeft w:val="0"/>
      <w:marRight w:val="0"/>
      <w:marTop w:val="0"/>
      <w:marBottom w:val="0"/>
      <w:divBdr>
        <w:top w:val="none" w:sz="0" w:space="0" w:color="auto"/>
        <w:left w:val="none" w:sz="0" w:space="0" w:color="auto"/>
        <w:bottom w:val="none" w:sz="0" w:space="0" w:color="auto"/>
        <w:right w:val="none" w:sz="0" w:space="0" w:color="auto"/>
      </w:divBdr>
      <w:divsChild>
        <w:div w:id="1955674642">
          <w:marLeft w:val="0"/>
          <w:marRight w:val="0"/>
          <w:marTop w:val="0"/>
          <w:marBottom w:val="0"/>
          <w:divBdr>
            <w:top w:val="none" w:sz="0" w:space="0" w:color="auto"/>
            <w:left w:val="none" w:sz="0" w:space="0" w:color="auto"/>
            <w:bottom w:val="none" w:sz="0" w:space="0" w:color="auto"/>
            <w:right w:val="none" w:sz="0" w:space="0" w:color="auto"/>
          </w:divBdr>
          <w:divsChild>
            <w:div w:id="1955675047">
              <w:marLeft w:val="0"/>
              <w:marRight w:val="0"/>
              <w:marTop w:val="0"/>
              <w:marBottom w:val="0"/>
              <w:divBdr>
                <w:top w:val="none" w:sz="0" w:space="0" w:color="auto"/>
                <w:left w:val="none" w:sz="0" w:space="0" w:color="auto"/>
                <w:bottom w:val="none" w:sz="0" w:space="0" w:color="auto"/>
                <w:right w:val="none" w:sz="0" w:space="0" w:color="auto"/>
              </w:divBdr>
              <w:divsChild>
                <w:div w:id="19556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574">
      <w:marLeft w:val="0"/>
      <w:marRight w:val="0"/>
      <w:marTop w:val="0"/>
      <w:marBottom w:val="0"/>
      <w:divBdr>
        <w:top w:val="none" w:sz="0" w:space="0" w:color="auto"/>
        <w:left w:val="none" w:sz="0" w:space="0" w:color="auto"/>
        <w:bottom w:val="none" w:sz="0" w:space="0" w:color="auto"/>
        <w:right w:val="none" w:sz="0" w:space="0" w:color="auto"/>
      </w:divBdr>
    </w:div>
    <w:div w:id="1955674581">
      <w:marLeft w:val="0"/>
      <w:marRight w:val="0"/>
      <w:marTop w:val="0"/>
      <w:marBottom w:val="0"/>
      <w:divBdr>
        <w:top w:val="none" w:sz="0" w:space="0" w:color="auto"/>
        <w:left w:val="none" w:sz="0" w:space="0" w:color="auto"/>
        <w:bottom w:val="none" w:sz="0" w:space="0" w:color="auto"/>
        <w:right w:val="none" w:sz="0" w:space="0" w:color="auto"/>
      </w:divBdr>
    </w:div>
    <w:div w:id="1955674582">
      <w:marLeft w:val="0"/>
      <w:marRight w:val="0"/>
      <w:marTop w:val="0"/>
      <w:marBottom w:val="0"/>
      <w:divBdr>
        <w:top w:val="none" w:sz="0" w:space="0" w:color="auto"/>
        <w:left w:val="none" w:sz="0" w:space="0" w:color="auto"/>
        <w:bottom w:val="none" w:sz="0" w:space="0" w:color="auto"/>
        <w:right w:val="none" w:sz="0" w:space="0" w:color="auto"/>
      </w:divBdr>
      <w:divsChild>
        <w:div w:id="1955674592">
          <w:marLeft w:val="0"/>
          <w:marRight w:val="0"/>
          <w:marTop w:val="0"/>
          <w:marBottom w:val="0"/>
          <w:divBdr>
            <w:top w:val="none" w:sz="0" w:space="0" w:color="auto"/>
            <w:left w:val="none" w:sz="0" w:space="0" w:color="auto"/>
            <w:bottom w:val="none" w:sz="0" w:space="0" w:color="auto"/>
            <w:right w:val="none" w:sz="0" w:space="0" w:color="auto"/>
          </w:divBdr>
          <w:divsChild>
            <w:div w:id="1955674610">
              <w:marLeft w:val="0"/>
              <w:marRight w:val="0"/>
              <w:marTop w:val="0"/>
              <w:marBottom w:val="0"/>
              <w:divBdr>
                <w:top w:val="none" w:sz="0" w:space="0" w:color="auto"/>
                <w:left w:val="none" w:sz="0" w:space="0" w:color="auto"/>
                <w:bottom w:val="none" w:sz="0" w:space="0" w:color="auto"/>
                <w:right w:val="none" w:sz="0" w:space="0" w:color="auto"/>
              </w:divBdr>
              <w:divsChild>
                <w:div w:id="1955674885">
                  <w:marLeft w:val="0"/>
                  <w:marRight w:val="0"/>
                  <w:marTop w:val="0"/>
                  <w:marBottom w:val="0"/>
                  <w:divBdr>
                    <w:top w:val="none" w:sz="0" w:space="0" w:color="auto"/>
                    <w:left w:val="none" w:sz="0" w:space="0" w:color="auto"/>
                    <w:bottom w:val="none" w:sz="0" w:space="0" w:color="auto"/>
                    <w:right w:val="none" w:sz="0" w:space="0" w:color="auto"/>
                  </w:divBdr>
                  <w:divsChild>
                    <w:div w:id="19556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4583">
      <w:marLeft w:val="0"/>
      <w:marRight w:val="0"/>
      <w:marTop w:val="0"/>
      <w:marBottom w:val="0"/>
      <w:divBdr>
        <w:top w:val="none" w:sz="0" w:space="0" w:color="auto"/>
        <w:left w:val="none" w:sz="0" w:space="0" w:color="auto"/>
        <w:bottom w:val="none" w:sz="0" w:space="0" w:color="auto"/>
        <w:right w:val="none" w:sz="0" w:space="0" w:color="auto"/>
      </w:divBdr>
      <w:divsChild>
        <w:div w:id="1955674909">
          <w:marLeft w:val="0"/>
          <w:marRight w:val="0"/>
          <w:marTop w:val="0"/>
          <w:marBottom w:val="0"/>
          <w:divBdr>
            <w:top w:val="none" w:sz="0" w:space="0" w:color="auto"/>
            <w:left w:val="none" w:sz="0" w:space="0" w:color="auto"/>
            <w:bottom w:val="none" w:sz="0" w:space="0" w:color="auto"/>
            <w:right w:val="none" w:sz="0" w:space="0" w:color="auto"/>
          </w:divBdr>
          <w:divsChild>
            <w:div w:id="1955674771">
              <w:marLeft w:val="0"/>
              <w:marRight w:val="0"/>
              <w:marTop w:val="0"/>
              <w:marBottom w:val="0"/>
              <w:divBdr>
                <w:top w:val="none" w:sz="0" w:space="0" w:color="auto"/>
                <w:left w:val="none" w:sz="0" w:space="0" w:color="auto"/>
                <w:bottom w:val="none" w:sz="0" w:space="0" w:color="auto"/>
                <w:right w:val="none" w:sz="0" w:space="0" w:color="auto"/>
              </w:divBdr>
              <w:divsChild>
                <w:div w:id="19556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584">
      <w:marLeft w:val="0"/>
      <w:marRight w:val="0"/>
      <w:marTop w:val="0"/>
      <w:marBottom w:val="0"/>
      <w:divBdr>
        <w:top w:val="none" w:sz="0" w:space="0" w:color="auto"/>
        <w:left w:val="none" w:sz="0" w:space="0" w:color="auto"/>
        <w:bottom w:val="none" w:sz="0" w:space="0" w:color="auto"/>
        <w:right w:val="none" w:sz="0" w:space="0" w:color="auto"/>
      </w:divBdr>
    </w:div>
    <w:div w:id="1955674587">
      <w:marLeft w:val="0"/>
      <w:marRight w:val="0"/>
      <w:marTop w:val="0"/>
      <w:marBottom w:val="0"/>
      <w:divBdr>
        <w:top w:val="none" w:sz="0" w:space="0" w:color="auto"/>
        <w:left w:val="none" w:sz="0" w:space="0" w:color="auto"/>
        <w:bottom w:val="none" w:sz="0" w:space="0" w:color="auto"/>
        <w:right w:val="none" w:sz="0" w:space="0" w:color="auto"/>
      </w:divBdr>
      <w:divsChild>
        <w:div w:id="1955675007">
          <w:marLeft w:val="0"/>
          <w:marRight w:val="0"/>
          <w:marTop w:val="0"/>
          <w:marBottom w:val="0"/>
          <w:divBdr>
            <w:top w:val="none" w:sz="0" w:space="0" w:color="auto"/>
            <w:left w:val="none" w:sz="0" w:space="0" w:color="auto"/>
            <w:bottom w:val="none" w:sz="0" w:space="0" w:color="auto"/>
            <w:right w:val="none" w:sz="0" w:space="0" w:color="auto"/>
          </w:divBdr>
          <w:divsChild>
            <w:div w:id="1955674864">
              <w:marLeft w:val="0"/>
              <w:marRight w:val="0"/>
              <w:marTop w:val="0"/>
              <w:marBottom w:val="0"/>
              <w:divBdr>
                <w:top w:val="none" w:sz="0" w:space="0" w:color="auto"/>
                <w:left w:val="none" w:sz="0" w:space="0" w:color="auto"/>
                <w:bottom w:val="none" w:sz="0" w:space="0" w:color="auto"/>
                <w:right w:val="none" w:sz="0" w:space="0" w:color="auto"/>
              </w:divBdr>
              <w:divsChild>
                <w:div w:id="195567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589">
      <w:marLeft w:val="0"/>
      <w:marRight w:val="0"/>
      <w:marTop w:val="0"/>
      <w:marBottom w:val="0"/>
      <w:divBdr>
        <w:top w:val="none" w:sz="0" w:space="0" w:color="auto"/>
        <w:left w:val="none" w:sz="0" w:space="0" w:color="auto"/>
        <w:bottom w:val="none" w:sz="0" w:space="0" w:color="auto"/>
        <w:right w:val="none" w:sz="0" w:space="0" w:color="auto"/>
      </w:divBdr>
      <w:divsChild>
        <w:div w:id="1955674986">
          <w:marLeft w:val="0"/>
          <w:marRight w:val="0"/>
          <w:marTop w:val="0"/>
          <w:marBottom w:val="0"/>
          <w:divBdr>
            <w:top w:val="none" w:sz="0" w:space="0" w:color="auto"/>
            <w:left w:val="none" w:sz="0" w:space="0" w:color="auto"/>
            <w:bottom w:val="none" w:sz="0" w:space="0" w:color="auto"/>
            <w:right w:val="none" w:sz="0" w:space="0" w:color="auto"/>
          </w:divBdr>
          <w:divsChild>
            <w:div w:id="1955674982">
              <w:marLeft w:val="0"/>
              <w:marRight w:val="0"/>
              <w:marTop w:val="0"/>
              <w:marBottom w:val="0"/>
              <w:divBdr>
                <w:top w:val="none" w:sz="0" w:space="0" w:color="auto"/>
                <w:left w:val="none" w:sz="0" w:space="0" w:color="auto"/>
                <w:bottom w:val="none" w:sz="0" w:space="0" w:color="auto"/>
                <w:right w:val="none" w:sz="0" w:space="0" w:color="auto"/>
              </w:divBdr>
              <w:divsChild>
                <w:div w:id="195567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590">
      <w:marLeft w:val="0"/>
      <w:marRight w:val="0"/>
      <w:marTop w:val="0"/>
      <w:marBottom w:val="0"/>
      <w:divBdr>
        <w:top w:val="none" w:sz="0" w:space="0" w:color="auto"/>
        <w:left w:val="none" w:sz="0" w:space="0" w:color="auto"/>
        <w:bottom w:val="none" w:sz="0" w:space="0" w:color="auto"/>
        <w:right w:val="none" w:sz="0" w:space="0" w:color="auto"/>
      </w:divBdr>
      <w:divsChild>
        <w:div w:id="1955674750">
          <w:marLeft w:val="0"/>
          <w:marRight w:val="0"/>
          <w:marTop w:val="0"/>
          <w:marBottom w:val="0"/>
          <w:divBdr>
            <w:top w:val="none" w:sz="0" w:space="0" w:color="auto"/>
            <w:left w:val="none" w:sz="0" w:space="0" w:color="auto"/>
            <w:bottom w:val="none" w:sz="0" w:space="0" w:color="auto"/>
            <w:right w:val="none" w:sz="0" w:space="0" w:color="auto"/>
          </w:divBdr>
          <w:divsChild>
            <w:div w:id="1955674658">
              <w:marLeft w:val="0"/>
              <w:marRight w:val="0"/>
              <w:marTop w:val="0"/>
              <w:marBottom w:val="0"/>
              <w:divBdr>
                <w:top w:val="none" w:sz="0" w:space="0" w:color="auto"/>
                <w:left w:val="none" w:sz="0" w:space="0" w:color="auto"/>
                <w:bottom w:val="none" w:sz="0" w:space="0" w:color="auto"/>
                <w:right w:val="none" w:sz="0" w:space="0" w:color="auto"/>
              </w:divBdr>
              <w:divsChild>
                <w:div w:id="19556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591">
      <w:marLeft w:val="0"/>
      <w:marRight w:val="0"/>
      <w:marTop w:val="0"/>
      <w:marBottom w:val="0"/>
      <w:divBdr>
        <w:top w:val="none" w:sz="0" w:space="0" w:color="auto"/>
        <w:left w:val="none" w:sz="0" w:space="0" w:color="auto"/>
        <w:bottom w:val="none" w:sz="0" w:space="0" w:color="auto"/>
        <w:right w:val="none" w:sz="0" w:space="0" w:color="auto"/>
      </w:divBdr>
    </w:div>
    <w:div w:id="1955674593">
      <w:marLeft w:val="0"/>
      <w:marRight w:val="0"/>
      <w:marTop w:val="0"/>
      <w:marBottom w:val="0"/>
      <w:divBdr>
        <w:top w:val="none" w:sz="0" w:space="0" w:color="auto"/>
        <w:left w:val="none" w:sz="0" w:space="0" w:color="auto"/>
        <w:bottom w:val="none" w:sz="0" w:space="0" w:color="auto"/>
        <w:right w:val="none" w:sz="0" w:space="0" w:color="auto"/>
      </w:divBdr>
      <w:divsChild>
        <w:div w:id="1955674757">
          <w:marLeft w:val="0"/>
          <w:marRight w:val="0"/>
          <w:marTop w:val="0"/>
          <w:marBottom w:val="0"/>
          <w:divBdr>
            <w:top w:val="none" w:sz="0" w:space="0" w:color="auto"/>
            <w:left w:val="none" w:sz="0" w:space="0" w:color="auto"/>
            <w:bottom w:val="none" w:sz="0" w:space="0" w:color="auto"/>
            <w:right w:val="none" w:sz="0" w:space="0" w:color="auto"/>
          </w:divBdr>
          <w:divsChild>
            <w:div w:id="1955674740">
              <w:marLeft w:val="0"/>
              <w:marRight w:val="0"/>
              <w:marTop w:val="0"/>
              <w:marBottom w:val="0"/>
              <w:divBdr>
                <w:top w:val="none" w:sz="0" w:space="0" w:color="auto"/>
                <w:left w:val="none" w:sz="0" w:space="0" w:color="auto"/>
                <w:bottom w:val="none" w:sz="0" w:space="0" w:color="auto"/>
                <w:right w:val="none" w:sz="0" w:space="0" w:color="auto"/>
              </w:divBdr>
              <w:divsChild>
                <w:div w:id="19556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4819">
          <w:marLeft w:val="0"/>
          <w:marRight w:val="0"/>
          <w:marTop w:val="0"/>
          <w:marBottom w:val="0"/>
          <w:divBdr>
            <w:top w:val="none" w:sz="0" w:space="0" w:color="auto"/>
            <w:left w:val="none" w:sz="0" w:space="0" w:color="auto"/>
            <w:bottom w:val="none" w:sz="0" w:space="0" w:color="auto"/>
            <w:right w:val="none" w:sz="0" w:space="0" w:color="auto"/>
          </w:divBdr>
          <w:divsChild>
            <w:div w:id="1955675032">
              <w:marLeft w:val="0"/>
              <w:marRight w:val="0"/>
              <w:marTop w:val="0"/>
              <w:marBottom w:val="0"/>
              <w:divBdr>
                <w:top w:val="none" w:sz="0" w:space="0" w:color="auto"/>
                <w:left w:val="none" w:sz="0" w:space="0" w:color="auto"/>
                <w:bottom w:val="none" w:sz="0" w:space="0" w:color="auto"/>
                <w:right w:val="none" w:sz="0" w:space="0" w:color="auto"/>
              </w:divBdr>
              <w:divsChild>
                <w:div w:id="19556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595">
      <w:marLeft w:val="0"/>
      <w:marRight w:val="0"/>
      <w:marTop w:val="0"/>
      <w:marBottom w:val="0"/>
      <w:divBdr>
        <w:top w:val="none" w:sz="0" w:space="0" w:color="auto"/>
        <w:left w:val="none" w:sz="0" w:space="0" w:color="auto"/>
        <w:bottom w:val="none" w:sz="0" w:space="0" w:color="auto"/>
        <w:right w:val="none" w:sz="0" w:space="0" w:color="auto"/>
      </w:divBdr>
      <w:divsChild>
        <w:div w:id="1955674700">
          <w:marLeft w:val="0"/>
          <w:marRight w:val="0"/>
          <w:marTop w:val="0"/>
          <w:marBottom w:val="0"/>
          <w:divBdr>
            <w:top w:val="none" w:sz="0" w:space="0" w:color="auto"/>
            <w:left w:val="none" w:sz="0" w:space="0" w:color="auto"/>
            <w:bottom w:val="none" w:sz="0" w:space="0" w:color="auto"/>
            <w:right w:val="none" w:sz="0" w:space="0" w:color="auto"/>
          </w:divBdr>
          <w:divsChild>
            <w:div w:id="1955675108">
              <w:marLeft w:val="0"/>
              <w:marRight w:val="0"/>
              <w:marTop w:val="0"/>
              <w:marBottom w:val="0"/>
              <w:divBdr>
                <w:top w:val="none" w:sz="0" w:space="0" w:color="auto"/>
                <w:left w:val="none" w:sz="0" w:space="0" w:color="auto"/>
                <w:bottom w:val="none" w:sz="0" w:space="0" w:color="auto"/>
                <w:right w:val="none" w:sz="0" w:space="0" w:color="auto"/>
              </w:divBdr>
              <w:divsChild>
                <w:div w:id="19556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599">
      <w:marLeft w:val="0"/>
      <w:marRight w:val="0"/>
      <w:marTop w:val="0"/>
      <w:marBottom w:val="0"/>
      <w:divBdr>
        <w:top w:val="none" w:sz="0" w:space="0" w:color="auto"/>
        <w:left w:val="none" w:sz="0" w:space="0" w:color="auto"/>
        <w:bottom w:val="none" w:sz="0" w:space="0" w:color="auto"/>
        <w:right w:val="none" w:sz="0" w:space="0" w:color="auto"/>
      </w:divBdr>
      <w:divsChild>
        <w:div w:id="1955674601">
          <w:marLeft w:val="0"/>
          <w:marRight w:val="0"/>
          <w:marTop w:val="0"/>
          <w:marBottom w:val="0"/>
          <w:divBdr>
            <w:top w:val="none" w:sz="0" w:space="0" w:color="auto"/>
            <w:left w:val="none" w:sz="0" w:space="0" w:color="auto"/>
            <w:bottom w:val="none" w:sz="0" w:space="0" w:color="auto"/>
            <w:right w:val="none" w:sz="0" w:space="0" w:color="auto"/>
          </w:divBdr>
          <w:divsChild>
            <w:div w:id="1955674785">
              <w:marLeft w:val="0"/>
              <w:marRight w:val="0"/>
              <w:marTop w:val="0"/>
              <w:marBottom w:val="0"/>
              <w:divBdr>
                <w:top w:val="none" w:sz="0" w:space="0" w:color="auto"/>
                <w:left w:val="none" w:sz="0" w:space="0" w:color="auto"/>
                <w:bottom w:val="none" w:sz="0" w:space="0" w:color="auto"/>
                <w:right w:val="none" w:sz="0" w:space="0" w:color="auto"/>
              </w:divBdr>
              <w:divsChild>
                <w:div w:id="19556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605">
      <w:marLeft w:val="0"/>
      <w:marRight w:val="0"/>
      <w:marTop w:val="0"/>
      <w:marBottom w:val="0"/>
      <w:divBdr>
        <w:top w:val="none" w:sz="0" w:space="0" w:color="auto"/>
        <w:left w:val="none" w:sz="0" w:space="0" w:color="auto"/>
        <w:bottom w:val="none" w:sz="0" w:space="0" w:color="auto"/>
        <w:right w:val="none" w:sz="0" w:space="0" w:color="auto"/>
      </w:divBdr>
      <w:divsChild>
        <w:div w:id="1955675049">
          <w:marLeft w:val="0"/>
          <w:marRight w:val="0"/>
          <w:marTop w:val="0"/>
          <w:marBottom w:val="0"/>
          <w:divBdr>
            <w:top w:val="none" w:sz="0" w:space="0" w:color="auto"/>
            <w:left w:val="none" w:sz="0" w:space="0" w:color="auto"/>
            <w:bottom w:val="none" w:sz="0" w:space="0" w:color="auto"/>
            <w:right w:val="none" w:sz="0" w:space="0" w:color="auto"/>
          </w:divBdr>
          <w:divsChild>
            <w:div w:id="1955674782">
              <w:marLeft w:val="0"/>
              <w:marRight w:val="0"/>
              <w:marTop w:val="0"/>
              <w:marBottom w:val="0"/>
              <w:divBdr>
                <w:top w:val="none" w:sz="0" w:space="0" w:color="auto"/>
                <w:left w:val="none" w:sz="0" w:space="0" w:color="auto"/>
                <w:bottom w:val="none" w:sz="0" w:space="0" w:color="auto"/>
                <w:right w:val="none" w:sz="0" w:space="0" w:color="auto"/>
              </w:divBdr>
              <w:divsChild>
                <w:div w:id="1955674886">
                  <w:marLeft w:val="0"/>
                  <w:marRight w:val="0"/>
                  <w:marTop w:val="0"/>
                  <w:marBottom w:val="0"/>
                  <w:divBdr>
                    <w:top w:val="none" w:sz="0" w:space="0" w:color="auto"/>
                    <w:left w:val="none" w:sz="0" w:space="0" w:color="auto"/>
                    <w:bottom w:val="none" w:sz="0" w:space="0" w:color="auto"/>
                    <w:right w:val="none" w:sz="0" w:space="0" w:color="auto"/>
                  </w:divBdr>
                  <w:divsChild>
                    <w:div w:id="195567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4608">
      <w:marLeft w:val="0"/>
      <w:marRight w:val="0"/>
      <w:marTop w:val="0"/>
      <w:marBottom w:val="0"/>
      <w:divBdr>
        <w:top w:val="none" w:sz="0" w:space="0" w:color="auto"/>
        <w:left w:val="none" w:sz="0" w:space="0" w:color="auto"/>
        <w:bottom w:val="none" w:sz="0" w:space="0" w:color="auto"/>
        <w:right w:val="none" w:sz="0" w:space="0" w:color="auto"/>
      </w:divBdr>
    </w:div>
    <w:div w:id="1955674609">
      <w:marLeft w:val="0"/>
      <w:marRight w:val="0"/>
      <w:marTop w:val="0"/>
      <w:marBottom w:val="0"/>
      <w:divBdr>
        <w:top w:val="none" w:sz="0" w:space="0" w:color="auto"/>
        <w:left w:val="none" w:sz="0" w:space="0" w:color="auto"/>
        <w:bottom w:val="none" w:sz="0" w:space="0" w:color="auto"/>
        <w:right w:val="none" w:sz="0" w:space="0" w:color="auto"/>
      </w:divBdr>
    </w:div>
    <w:div w:id="1955674612">
      <w:marLeft w:val="0"/>
      <w:marRight w:val="0"/>
      <w:marTop w:val="0"/>
      <w:marBottom w:val="0"/>
      <w:divBdr>
        <w:top w:val="none" w:sz="0" w:space="0" w:color="auto"/>
        <w:left w:val="none" w:sz="0" w:space="0" w:color="auto"/>
        <w:bottom w:val="none" w:sz="0" w:space="0" w:color="auto"/>
        <w:right w:val="none" w:sz="0" w:space="0" w:color="auto"/>
      </w:divBdr>
      <w:divsChild>
        <w:div w:id="1955674888">
          <w:marLeft w:val="0"/>
          <w:marRight w:val="0"/>
          <w:marTop w:val="0"/>
          <w:marBottom w:val="0"/>
          <w:divBdr>
            <w:top w:val="none" w:sz="0" w:space="0" w:color="auto"/>
            <w:left w:val="none" w:sz="0" w:space="0" w:color="auto"/>
            <w:bottom w:val="none" w:sz="0" w:space="0" w:color="auto"/>
            <w:right w:val="none" w:sz="0" w:space="0" w:color="auto"/>
          </w:divBdr>
          <w:divsChild>
            <w:div w:id="1955674536">
              <w:marLeft w:val="0"/>
              <w:marRight w:val="0"/>
              <w:marTop w:val="0"/>
              <w:marBottom w:val="0"/>
              <w:divBdr>
                <w:top w:val="none" w:sz="0" w:space="0" w:color="auto"/>
                <w:left w:val="none" w:sz="0" w:space="0" w:color="auto"/>
                <w:bottom w:val="none" w:sz="0" w:space="0" w:color="auto"/>
                <w:right w:val="none" w:sz="0" w:space="0" w:color="auto"/>
              </w:divBdr>
              <w:divsChild>
                <w:div w:id="19556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613">
      <w:marLeft w:val="0"/>
      <w:marRight w:val="0"/>
      <w:marTop w:val="0"/>
      <w:marBottom w:val="0"/>
      <w:divBdr>
        <w:top w:val="none" w:sz="0" w:space="0" w:color="auto"/>
        <w:left w:val="none" w:sz="0" w:space="0" w:color="auto"/>
        <w:bottom w:val="none" w:sz="0" w:space="0" w:color="auto"/>
        <w:right w:val="none" w:sz="0" w:space="0" w:color="auto"/>
      </w:divBdr>
      <w:divsChild>
        <w:div w:id="1955675074">
          <w:marLeft w:val="0"/>
          <w:marRight w:val="0"/>
          <w:marTop w:val="0"/>
          <w:marBottom w:val="0"/>
          <w:divBdr>
            <w:top w:val="none" w:sz="0" w:space="0" w:color="auto"/>
            <w:left w:val="none" w:sz="0" w:space="0" w:color="auto"/>
            <w:bottom w:val="none" w:sz="0" w:space="0" w:color="auto"/>
            <w:right w:val="none" w:sz="0" w:space="0" w:color="auto"/>
          </w:divBdr>
          <w:divsChild>
            <w:div w:id="1955675096">
              <w:marLeft w:val="0"/>
              <w:marRight w:val="0"/>
              <w:marTop w:val="0"/>
              <w:marBottom w:val="0"/>
              <w:divBdr>
                <w:top w:val="none" w:sz="0" w:space="0" w:color="auto"/>
                <w:left w:val="none" w:sz="0" w:space="0" w:color="auto"/>
                <w:bottom w:val="none" w:sz="0" w:space="0" w:color="auto"/>
                <w:right w:val="none" w:sz="0" w:space="0" w:color="auto"/>
              </w:divBdr>
              <w:divsChild>
                <w:div w:id="195567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614">
      <w:marLeft w:val="0"/>
      <w:marRight w:val="0"/>
      <w:marTop w:val="0"/>
      <w:marBottom w:val="0"/>
      <w:divBdr>
        <w:top w:val="none" w:sz="0" w:space="0" w:color="auto"/>
        <w:left w:val="none" w:sz="0" w:space="0" w:color="auto"/>
        <w:bottom w:val="none" w:sz="0" w:space="0" w:color="auto"/>
        <w:right w:val="none" w:sz="0" w:space="0" w:color="auto"/>
      </w:divBdr>
      <w:divsChild>
        <w:div w:id="1955675054">
          <w:marLeft w:val="0"/>
          <w:marRight w:val="0"/>
          <w:marTop w:val="0"/>
          <w:marBottom w:val="0"/>
          <w:divBdr>
            <w:top w:val="none" w:sz="0" w:space="0" w:color="auto"/>
            <w:left w:val="none" w:sz="0" w:space="0" w:color="auto"/>
            <w:bottom w:val="none" w:sz="0" w:space="0" w:color="auto"/>
            <w:right w:val="none" w:sz="0" w:space="0" w:color="auto"/>
          </w:divBdr>
          <w:divsChild>
            <w:div w:id="1955674925">
              <w:marLeft w:val="0"/>
              <w:marRight w:val="0"/>
              <w:marTop w:val="0"/>
              <w:marBottom w:val="0"/>
              <w:divBdr>
                <w:top w:val="none" w:sz="0" w:space="0" w:color="auto"/>
                <w:left w:val="none" w:sz="0" w:space="0" w:color="auto"/>
                <w:bottom w:val="none" w:sz="0" w:space="0" w:color="auto"/>
                <w:right w:val="none" w:sz="0" w:space="0" w:color="auto"/>
              </w:divBdr>
              <w:divsChild>
                <w:div w:id="195567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617">
      <w:marLeft w:val="0"/>
      <w:marRight w:val="0"/>
      <w:marTop w:val="0"/>
      <w:marBottom w:val="0"/>
      <w:divBdr>
        <w:top w:val="none" w:sz="0" w:space="0" w:color="auto"/>
        <w:left w:val="none" w:sz="0" w:space="0" w:color="auto"/>
        <w:bottom w:val="none" w:sz="0" w:space="0" w:color="auto"/>
        <w:right w:val="none" w:sz="0" w:space="0" w:color="auto"/>
      </w:divBdr>
    </w:div>
    <w:div w:id="1955674634">
      <w:marLeft w:val="0"/>
      <w:marRight w:val="0"/>
      <w:marTop w:val="0"/>
      <w:marBottom w:val="0"/>
      <w:divBdr>
        <w:top w:val="none" w:sz="0" w:space="0" w:color="auto"/>
        <w:left w:val="none" w:sz="0" w:space="0" w:color="auto"/>
        <w:bottom w:val="none" w:sz="0" w:space="0" w:color="auto"/>
        <w:right w:val="none" w:sz="0" w:space="0" w:color="auto"/>
      </w:divBdr>
      <w:divsChild>
        <w:div w:id="1955674704">
          <w:marLeft w:val="0"/>
          <w:marRight w:val="0"/>
          <w:marTop w:val="0"/>
          <w:marBottom w:val="0"/>
          <w:divBdr>
            <w:top w:val="none" w:sz="0" w:space="0" w:color="auto"/>
            <w:left w:val="none" w:sz="0" w:space="0" w:color="auto"/>
            <w:bottom w:val="none" w:sz="0" w:space="0" w:color="auto"/>
            <w:right w:val="none" w:sz="0" w:space="0" w:color="auto"/>
          </w:divBdr>
          <w:divsChild>
            <w:div w:id="1955674913">
              <w:marLeft w:val="0"/>
              <w:marRight w:val="0"/>
              <w:marTop w:val="0"/>
              <w:marBottom w:val="0"/>
              <w:divBdr>
                <w:top w:val="none" w:sz="0" w:space="0" w:color="auto"/>
                <w:left w:val="none" w:sz="0" w:space="0" w:color="auto"/>
                <w:bottom w:val="none" w:sz="0" w:space="0" w:color="auto"/>
                <w:right w:val="none" w:sz="0" w:space="0" w:color="auto"/>
              </w:divBdr>
              <w:divsChild>
                <w:div w:id="195567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635">
      <w:marLeft w:val="0"/>
      <w:marRight w:val="0"/>
      <w:marTop w:val="0"/>
      <w:marBottom w:val="0"/>
      <w:divBdr>
        <w:top w:val="none" w:sz="0" w:space="0" w:color="auto"/>
        <w:left w:val="none" w:sz="0" w:space="0" w:color="auto"/>
        <w:bottom w:val="none" w:sz="0" w:space="0" w:color="auto"/>
        <w:right w:val="none" w:sz="0" w:space="0" w:color="auto"/>
      </w:divBdr>
    </w:div>
    <w:div w:id="1955674639">
      <w:marLeft w:val="0"/>
      <w:marRight w:val="0"/>
      <w:marTop w:val="0"/>
      <w:marBottom w:val="0"/>
      <w:divBdr>
        <w:top w:val="none" w:sz="0" w:space="0" w:color="auto"/>
        <w:left w:val="none" w:sz="0" w:space="0" w:color="auto"/>
        <w:bottom w:val="none" w:sz="0" w:space="0" w:color="auto"/>
        <w:right w:val="none" w:sz="0" w:space="0" w:color="auto"/>
      </w:divBdr>
      <w:divsChild>
        <w:div w:id="1955674806">
          <w:marLeft w:val="0"/>
          <w:marRight w:val="0"/>
          <w:marTop w:val="0"/>
          <w:marBottom w:val="0"/>
          <w:divBdr>
            <w:top w:val="none" w:sz="0" w:space="0" w:color="auto"/>
            <w:left w:val="none" w:sz="0" w:space="0" w:color="auto"/>
            <w:bottom w:val="none" w:sz="0" w:space="0" w:color="auto"/>
            <w:right w:val="none" w:sz="0" w:space="0" w:color="auto"/>
          </w:divBdr>
          <w:divsChild>
            <w:div w:id="1955674619">
              <w:marLeft w:val="0"/>
              <w:marRight w:val="0"/>
              <w:marTop w:val="0"/>
              <w:marBottom w:val="0"/>
              <w:divBdr>
                <w:top w:val="none" w:sz="0" w:space="0" w:color="auto"/>
                <w:left w:val="none" w:sz="0" w:space="0" w:color="auto"/>
                <w:bottom w:val="none" w:sz="0" w:space="0" w:color="auto"/>
                <w:right w:val="none" w:sz="0" w:space="0" w:color="auto"/>
              </w:divBdr>
              <w:divsChild>
                <w:div w:id="195567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641">
      <w:marLeft w:val="0"/>
      <w:marRight w:val="0"/>
      <w:marTop w:val="0"/>
      <w:marBottom w:val="0"/>
      <w:divBdr>
        <w:top w:val="none" w:sz="0" w:space="0" w:color="auto"/>
        <w:left w:val="none" w:sz="0" w:space="0" w:color="auto"/>
        <w:bottom w:val="none" w:sz="0" w:space="0" w:color="auto"/>
        <w:right w:val="none" w:sz="0" w:space="0" w:color="auto"/>
      </w:divBdr>
      <w:divsChild>
        <w:div w:id="1955674685">
          <w:marLeft w:val="0"/>
          <w:marRight w:val="0"/>
          <w:marTop w:val="0"/>
          <w:marBottom w:val="0"/>
          <w:divBdr>
            <w:top w:val="none" w:sz="0" w:space="0" w:color="auto"/>
            <w:left w:val="none" w:sz="0" w:space="0" w:color="auto"/>
            <w:bottom w:val="none" w:sz="0" w:space="0" w:color="auto"/>
            <w:right w:val="none" w:sz="0" w:space="0" w:color="auto"/>
          </w:divBdr>
          <w:divsChild>
            <w:div w:id="1955675055">
              <w:marLeft w:val="0"/>
              <w:marRight w:val="0"/>
              <w:marTop w:val="0"/>
              <w:marBottom w:val="0"/>
              <w:divBdr>
                <w:top w:val="none" w:sz="0" w:space="0" w:color="auto"/>
                <w:left w:val="none" w:sz="0" w:space="0" w:color="auto"/>
                <w:bottom w:val="none" w:sz="0" w:space="0" w:color="auto"/>
                <w:right w:val="none" w:sz="0" w:space="0" w:color="auto"/>
              </w:divBdr>
              <w:divsChild>
                <w:div w:id="19556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643">
      <w:marLeft w:val="0"/>
      <w:marRight w:val="0"/>
      <w:marTop w:val="0"/>
      <w:marBottom w:val="0"/>
      <w:divBdr>
        <w:top w:val="none" w:sz="0" w:space="0" w:color="auto"/>
        <w:left w:val="none" w:sz="0" w:space="0" w:color="auto"/>
        <w:bottom w:val="none" w:sz="0" w:space="0" w:color="auto"/>
        <w:right w:val="none" w:sz="0" w:space="0" w:color="auto"/>
      </w:divBdr>
      <w:divsChild>
        <w:div w:id="1955674652">
          <w:marLeft w:val="0"/>
          <w:marRight w:val="0"/>
          <w:marTop w:val="0"/>
          <w:marBottom w:val="0"/>
          <w:divBdr>
            <w:top w:val="none" w:sz="0" w:space="0" w:color="auto"/>
            <w:left w:val="none" w:sz="0" w:space="0" w:color="auto"/>
            <w:bottom w:val="none" w:sz="0" w:space="0" w:color="auto"/>
            <w:right w:val="none" w:sz="0" w:space="0" w:color="auto"/>
          </w:divBdr>
          <w:divsChild>
            <w:div w:id="1955675000">
              <w:marLeft w:val="0"/>
              <w:marRight w:val="0"/>
              <w:marTop w:val="0"/>
              <w:marBottom w:val="0"/>
              <w:divBdr>
                <w:top w:val="none" w:sz="0" w:space="0" w:color="auto"/>
                <w:left w:val="none" w:sz="0" w:space="0" w:color="auto"/>
                <w:bottom w:val="none" w:sz="0" w:space="0" w:color="auto"/>
                <w:right w:val="none" w:sz="0" w:space="0" w:color="auto"/>
              </w:divBdr>
              <w:divsChild>
                <w:div w:id="195567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5053">
          <w:marLeft w:val="0"/>
          <w:marRight w:val="0"/>
          <w:marTop w:val="0"/>
          <w:marBottom w:val="0"/>
          <w:divBdr>
            <w:top w:val="none" w:sz="0" w:space="0" w:color="auto"/>
            <w:left w:val="none" w:sz="0" w:space="0" w:color="auto"/>
            <w:bottom w:val="none" w:sz="0" w:space="0" w:color="auto"/>
            <w:right w:val="none" w:sz="0" w:space="0" w:color="auto"/>
          </w:divBdr>
          <w:divsChild>
            <w:div w:id="1955675027">
              <w:marLeft w:val="0"/>
              <w:marRight w:val="0"/>
              <w:marTop w:val="0"/>
              <w:marBottom w:val="0"/>
              <w:divBdr>
                <w:top w:val="none" w:sz="0" w:space="0" w:color="auto"/>
                <w:left w:val="none" w:sz="0" w:space="0" w:color="auto"/>
                <w:bottom w:val="none" w:sz="0" w:space="0" w:color="auto"/>
                <w:right w:val="none" w:sz="0" w:space="0" w:color="auto"/>
              </w:divBdr>
              <w:divsChild>
                <w:div w:id="19556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644">
      <w:marLeft w:val="0"/>
      <w:marRight w:val="0"/>
      <w:marTop w:val="0"/>
      <w:marBottom w:val="0"/>
      <w:divBdr>
        <w:top w:val="none" w:sz="0" w:space="0" w:color="auto"/>
        <w:left w:val="none" w:sz="0" w:space="0" w:color="auto"/>
        <w:bottom w:val="none" w:sz="0" w:space="0" w:color="auto"/>
        <w:right w:val="none" w:sz="0" w:space="0" w:color="auto"/>
      </w:divBdr>
      <w:divsChild>
        <w:div w:id="1955674812">
          <w:marLeft w:val="0"/>
          <w:marRight w:val="0"/>
          <w:marTop w:val="0"/>
          <w:marBottom w:val="0"/>
          <w:divBdr>
            <w:top w:val="none" w:sz="0" w:space="0" w:color="auto"/>
            <w:left w:val="none" w:sz="0" w:space="0" w:color="auto"/>
            <w:bottom w:val="none" w:sz="0" w:space="0" w:color="auto"/>
            <w:right w:val="none" w:sz="0" w:space="0" w:color="auto"/>
          </w:divBdr>
          <w:divsChild>
            <w:div w:id="1955674607">
              <w:marLeft w:val="0"/>
              <w:marRight w:val="0"/>
              <w:marTop w:val="0"/>
              <w:marBottom w:val="0"/>
              <w:divBdr>
                <w:top w:val="none" w:sz="0" w:space="0" w:color="auto"/>
                <w:left w:val="none" w:sz="0" w:space="0" w:color="auto"/>
                <w:bottom w:val="none" w:sz="0" w:space="0" w:color="auto"/>
                <w:right w:val="none" w:sz="0" w:space="0" w:color="auto"/>
              </w:divBdr>
              <w:divsChild>
                <w:div w:id="195567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645">
      <w:marLeft w:val="0"/>
      <w:marRight w:val="0"/>
      <w:marTop w:val="0"/>
      <w:marBottom w:val="0"/>
      <w:divBdr>
        <w:top w:val="none" w:sz="0" w:space="0" w:color="auto"/>
        <w:left w:val="none" w:sz="0" w:space="0" w:color="auto"/>
        <w:bottom w:val="none" w:sz="0" w:space="0" w:color="auto"/>
        <w:right w:val="none" w:sz="0" w:space="0" w:color="auto"/>
      </w:divBdr>
      <w:divsChild>
        <w:div w:id="1955674637">
          <w:marLeft w:val="0"/>
          <w:marRight w:val="0"/>
          <w:marTop w:val="0"/>
          <w:marBottom w:val="0"/>
          <w:divBdr>
            <w:top w:val="none" w:sz="0" w:space="0" w:color="auto"/>
            <w:left w:val="none" w:sz="0" w:space="0" w:color="auto"/>
            <w:bottom w:val="none" w:sz="0" w:space="0" w:color="auto"/>
            <w:right w:val="none" w:sz="0" w:space="0" w:color="auto"/>
          </w:divBdr>
          <w:divsChild>
            <w:div w:id="1955674733">
              <w:marLeft w:val="0"/>
              <w:marRight w:val="0"/>
              <w:marTop w:val="0"/>
              <w:marBottom w:val="0"/>
              <w:divBdr>
                <w:top w:val="none" w:sz="0" w:space="0" w:color="auto"/>
                <w:left w:val="none" w:sz="0" w:space="0" w:color="auto"/>
                <w:bottom w:val="none" w:sz="0" w:space="0" w:color="auto"/>
                <w:right w:val="none" w:sz="0" w:space="0" w:color="auto"/>
              </w:divBdr>
              <w:divsChild>
                <w:div w:id="195567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646">
      <w:marLeft w:val="0"/>
      <w:marRight w:val="0"/>
      <w:marTop w:val="0"/>
      <w:marBottom w:val="0"/>
      <w:divBdr>
        <w:top w:val="none" w:sz="0" w:space="0" w:color="auto"/>
        <w:left w:val="none" w:sz="0" w:space="0" w:color="auto"/>
        <w:bottom w:val="none" w:sz="0" w:space="0" w:color="auto"/>
        <w:right w:val="none" w:sz="0" w:space="0" w:color="auto"/>
      </w:divBdr>
    </w:div>
    <w:div w:id="1955674651">
      <w:marLeft w:val="0"/>
      <w:marRight w:val="0"/>
      <w:marTop w:val="0"/>
      <w:marBottom w:val="0"/>
      <w:divBdr>
        <w:top w:val="none" w:sz="0" w:space="0" w:color="auto"/>
        <w:left w:val="none" w:sz="0" w:space="0" w:color="auto"/>
        <w:bottom w:val="none" w:sz="0" w:space="0" w:color="auto"/>
        <w:right w:val="none" w:sz="0" w:space="0" w:color="auto"/>
      </w:divBdr>
    </w:div>
    <w:div w:id="1955674653">
      <w:marLeft w:val="0"/>
      <w:marRight w:val="0"/>
      <w:marTop w:val="0"/>
      <w:marBottom w:val="0"/>
      <w:divBdr>
        <w:top w:val="none" w:sz="0" w:space="0" w:color="auto"/>
        <w:left w:val="none" w:sz="0" w:space="0" w:color="auto"/>
        <w:bottom w:val="none" w:sz="0" w:space="0" w:color="auto"/>
        <w:right w:val="none" w:sz="0" w:space="0" w:color="auto"/>
      </w:divBdr>
    </w:div>
    <w:div w:id="1955674654">
      <w:marLeft w:val="0"/>
      <w:marRight w:val="0"/>
      <w:marTop w:val="0"/>
      <w:marBottom w:val="0"/>
      <w:divBdr>
        <w:top w:val="none" w:sz="0" w:space="0" w:color="auto"/>
        <w:left w:val="none" w:sz="0" w:space="0" w:color="auto"/>
        <w:bottom w:val="none" w:sz="0" w:space="0" w:color="auto"/>
        <w:right w:val="none" w:sz="0" w:space="0" w:color="auto"/>
      </w:divBdr>
    </w:div>
    <w:div w:id="1955674655">
      <w:marLeft w:val="0"/>
      <w:marRight w:val="0"/>
      <w:marTop w:val="0"/>
      <w:marBottom w:val="0"/>
      <w:divBdr>
        <w:top w:val="none" w:sz="0" w:space="0" w:color="auto"/>
        <w:left w:val="none" w:sz="0" w:space="0" w:color="auto"/>
        <w:bottom w:val="none" w:sz="0" w:space="0" w:color="auto"/>
        <w:right w:val="none" w:sz="0" w:space="0" w:color="auto"/>
      </w:divBdr>
    </w:div>
    <w:div w:id="1955674666">
      <w:marLeft w:val="0"/>
      <w:marRight w:val="0"/>
      <w:marTop w:val="0"/>
      <w:marBottom w:val="0"/>
      <w:divBdr>
        <w:top w:val="none" w:sz="0" w:space="0" w:color="auto"/>
        <w:left w:val="none" w:sz="0" w:space="0" w:color="auto"/>
        <w:bottom w:val="none" w:sz="0" w:space="0" w:color="auto"/>
        <w:right w:val="none" w:sz="0" w:space="0" w:color="auto"/>
      </w:divBdr>
      <w:divsChild>
        <w:div w:id="1955674559">
          <w:marLeft w:val="0"/>
          <w:marRight w:val="0"/>
          <w:marTop w:val="0"/>
          <w:marBottom w:val="0"/>
          <w:divBdr>
            <w:top w:val="none" w:sz="0" w:space="0" w:color="auto"/>
            <w:left w:val="none" w:sz="0" w:space="0" w:color="auto"/>
            <w:bottom w:val="none" w:sz="0" w:space="0" w:color="auto"/>
            <w:right w:val="none" w:sz="0" w:space="0" w:color="auto"/>
          </w:divBdr>
          <w:divsChild>
            <w:div w:id="1955675004">
              <w:marLeft w:val="0"/>
              <w:marRight w:val="0"/>
              <w:marTop w:val="0"/>
              <w:marBottom w:val="0"/>
              <w:divBdr>
                <w:top w:val="none" w:sz="0" w:space="0" w:color="auto"/>
                <w:left w:val="none" w:sz="0" w:space="0" w:color="auto"/>
                <w:bottom w:val="none" w:sz="0" w:space="0" w:color="auto"/>
                <w:right w:val="none" w:sz="0" w:space="0" w:color="auto"/>
              </w:divBdr>
              <w:divsChild>
                <w:div w:id="1955674877">
                  <w:marLeft w:val="0"/>
                  <w:marRight w:val="0"/>
                  <w:marTop w:val="0"/>
                  <w:marBottom w:val="0"/>
                  <w:divBdr>
                    <w:top w:val="none" w:sz="0" w:space="0" w:color="auto"/>
                    <w:left w:val="none" w:sz="0" w:space="0" w:color="auto"/>
                    <w:bottom w:val="none" w:sz="0" w:space="0" w:color="auto"/>
                    <w:right w:val="none" w:sz="0" w:space="0" w:color="auto"/>
                  </w:divBdr>
                  <w:divsChild>
                    <w:div w:id="19556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4667">
      <w:marLeft w:val="0"/>
      <w:marRight w:val="0"/>
      <w:marTop w:val="0"/>
      <w:marBottom w:val="0"/>
      <w:divBdr>
        <w:top w:val="none" w:sz="0" w:space="0" w:color="auto"/>
        <w:left w:val="none" w:sz="0" w:space="0" w:color="auto"/>
        <w:bottom w:val="none" w:sz="0" w:space="0" w:color="auto"/>
        <w:right w:val="none" w:sz="0" w:space="0" w:color="auto"/>
      </w:divBdr>
      <w:divsChild>
        <w:div w:id="1955674964">
          <w:marLeft w:val="0"/>
          <w:marRight w:val="0"/>
          <w:marTop w:val="0"/>
          <w:marBottom w:val="0"/>
          <w:divBdr>
            <w:top w:val="none" w:sz="0" w:space="0" w:color="auto"/>
            <w:left w:val="none" w:sz="0" w:space="0" w:color="auto"/>
            <w:bottom w:val="none" w:sz="0" w:space="0" w:color="auto"/>
            <w:right w:val="none" w:sz="0" w:space="0" w:color="auto"/>
          </w:divBdr>
          <w:divsChild>
            <w:div w:id="1955674669">
              <w:marLeft w:val="0"/>
              <w:marRight w:val="0"/>
              <w:marTop w:val="0"/>
              <w:marBottom w:val="0"/>
              <w:divBdr>
                <w:top w:val="none" w:sz="0" w:space="0" w:color="auto"/>
                <w:left w:val="none" w:sz="0" w:space="0" w:color="auto"/>
                <w:bottom w:val="none" w:sz="0" w:space="0" w:color="auto"/>
                <w:right w:val="none" w:sz="0" w:space="0" w:color="auto"/>
              </w:divBdr>
              <w:divsChild>
                <w:div w:id="195567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682">
      <w:marLeft w:val="0"/>
      <w:marRight w:val="0"/>
      <w:marTop w:val="0"/>
      <w:marBottom w:val="0"/>
      <w:divBdr>
        <w:top w:val="none" w:sz="0" w:space="0" w:color="auto"/>
        <w:left w:val="none" w:sz="0" w:space="0" w:color="auto"/>
        <w:bottom w:val="none" w:sz="0" w:space="0" w:color="auto"/>
        <w:right w:val="none" w:sz="0" w:space="0" w:color="auto"/>
      </w:divBdr>
      <w:divsChild>
        <w:div w:id="1955675082">
          <w:marLeft w:val="0"/>
          <w:marRight w:val="0"/>
          <w:marTop w:val="0"/>
          <w:marBottom w:val="0"/>
          <w:divBdr>
            <w:top w:val="none" w:sz="0" w:space="0" w:color="auto"/>
            <w:left w:val="none" w:sz="0" w:space="0" w:color="auto"/>
            <w:bottom w:val="none" w:sz="0" w:space="0" w:color="auto"/>
            <w:right w:val="none" w:sz="0" w:space="0" w:color="auto"/>
          </w:divBdr>
          <w:divsChild>
            <w:div w:id="1955674966">
              <w:marLeft w:val="0"/>
              <w:marRight w:val="0"/>
              <w:marTop w:val="0"/>
              <w:marBottom w:val="0"/>
              <w:divBdr>
                <w:top w:val="none" w:sz="0" w:space="0" w:color="auto"/>
                <w:left w:val="none" w:sz="0" w:space="0" w:color="auto"/>
                <w:bottom w:val="none" w:sz="0" w:space="0" w:color="auto"/>
                <w:right w:val="none" w:sz="0" w:space="0" w:color="auto"/>
              </w:divBdr>
              <w:divsChild>
                <w:div w:id="19556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684">
      <w:marLeft w:val="0"/>
      <w:marRight w:val="0"/>
      <w:marTop w:val="0"/>
      <w:marBottom w:val="0"/>
      <w:divBdr>
        <w:top w:val="none" w:sz="0" w:space="0" w:color="auto"/>
        <w:left w:val="none" w:sz="0" w:space="0" w:color="auto"/>
        <w:bottom w:val="none" w:sz="0" w:space="0" w:color="auto"/>
        <w:right w:val="none" w:sz="0" w:space="0" w:color="auto"/>
      </w:divBdr>
    </w:div>
    <w:div w:id="1955674687">
      <w:marLeft w:val="0"/>
      <w:marRight w:val="0"/>
      <w:marTop w:val="0"/>
      <w:marBottom w:val="0"/>
      <w:divBdr>
        <w:top w:val="none" w:sz="0" w:space="0" w:color="auto"/>
        <w:left w:val="none" w:sz="0" w:space="0" w:color="auto"/>
        <w:bottom w:val="none" w:sz="0" w:space="0" w:color="auto"/>
        <w:right w:val="none" w:sz="0" w:space="0" w:color="auto"/>
      </w:divBdr>
      <w:divsChild>
        <w:div w:id="1955674564">
          <w:marLeft w:val="0"/>
          <w:marRight w:val="0"/>
          <w:marTop w:val="0"/>
          <w:marBottom w:val="0"/>
          <w:divBdr>
            <w:top w:val="none" w:sz="0" w:space="0" w:color="auto"/>
            <w:left w:val="none" w:sz="0" w:space="0" w:color="auto"/>
            <w:bottom w:val="none" w:sz="0" w:space="0" w:color="auto"/>
            <w:right w:val="none" w:sz="0" w:space="0" w:color="auto"/>
          </w:divBdr>
          <w:divsChild>
            <w:div w:id="1955675100">
              <w:marLeft w:val="0"/>
              <w:marRight w:val="0"/>
              <w:marTop w:val="0"/>
              <w:marBottom w:val="0"/>
              <w:divBdr>
                <w:top w:val="none" w:sz="0" w:space="0" w:color="auto"/>
                <w:left w:val="none" w:sz="0" w:space="0" w:color="auto"/>
                <w:bottom w:val="none" w:sz="0" w:space="0" w:color="auto"/>
                <w:right w:val="none" w:sz="0" w:space="0" w:color="auto"/>
              </w:divBdr>
              <w:divsChild>
                <w:div w:id="1955675072">
                  <w:marLeft w:val="0"/>
                  <w:marRight w:val="0"/>
                  <w:marTop w:val="0"/>
                  <w:marBottom w:val="0"/>
                  <w:divBdr>
                    <w:top w:val="none" w:sz="0" w:space="0" w:color="auto"/>
                    <w:left w:val="none" w:sz="0" w:space="0" w:color="auto"/>
                    <w:bottom w:val="none" w:sz="0" w:space="0" w:color="auto"/>
                    <w:right w:val="none" w:sz="0" w:space="0" w:color="auto"/>
                  </w:divBdr>
                  <w:divsChild>
                    <w:div w:id="19556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4690">
      <w:marLeft w:val="0"/>
      <w:marRight w:val="0"/>
      <w:marTop w:val="0"/>
      <w:marBottom w:val="0"/>
      <w:divBdr>
        <w:top w:val="none" w:sz="0" w:space="0" w:color="auto"/>
        <w:left w:val="none" w:sz="0" w:space="0" w:color="auto"/>
        <w:bottom w:val="none" w:sz="0" w:space="0" w:color="auto"/>
        <w:right w:val="none" w:sz="0" w:space="0" w:color="auto"/>
      </w:divBdr>
      <w:divsChild>
        <w:div w:id="1955675063">
          <w:marLeft w:val="0"/>
          <w:marRight w:val="0"/>
          <w:marTop w:val="0"/>
          <w:marBottom w:val="0"/>
          <w:divBdr>
            <w:top w:val="none" w:sz="0" w:space="0" w:color="auto"/>
            <w:left w:val="none" w:sz="0" w:space="0" w:color="auto"/>
            <w:bottom w:val="none" w:sz="0" w:space="0" w:color="auto"/>
            <w:right w:val="none" w:sz="0" w:space="0" w:color="auto"/>
          </w:divBdr>
          <w:divsChild>
            <w:div w:id="1955674948">
              <w:marLeft w:val="0"/>
              <w:marRight w:val="0"/>
              <w:marTop w:val="0"/>
              <w:marBottom w:val="0"/>
              <w:divBdr>
                <w:top w:val="none" w:sz="0" w:space="0" w:color="auto"/>
                <w:left w:val="none" w:sz="0" w:space="0" w:color="auto"/>
                <w:bottom w:val="none" w:sz="0" w:space="0" w:color="auto"/>
                <w:right w:val="none" w:sz="0" w:space="0" w:color="auto"/>
              </w:divBdr>
              <w:divsChild>
                <w:div w:id="19556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692">
      <w:marLeft w:val="0"/>
      <w:marRight w:val="0"/>
      <w:marTop w:val="0"/>
      <w:marBottom w:val="0"/>
      <w:divBdr>
        <w:top w:val="none" w:sz="0" w:space="0" w:color="auto"/>
        <w:left w:val="none" w:sz="0" w:space="0" w:color="auto"/>
        <w:bottom w:val="none" w:sz="0" w:space="0" w:color="auto"/>
        <w:right w:val="none" w:sz="0" w:space="0" w:color="auto"/>
      </w:divBdr>
      <w:divsChild>
        <w:div w:id="1955674728">
          <w:marLeft w:val="0"/>
          <w:marRight w:val="0"/>
          <w:marTop w:val="0"/>
          <w:marBottom w:val="0"/>
          <w:divBdr>
            <w:top w:val="none" w:sz="0" w:space="0" w:color="auto"/>
            <w:left w:val="none" w:sz="0" w:space="0" w:color="auto"/>
            <w:bottom w:val="none" w:sz="0" w:space="0" w:color="auto"/>
            <w:right w:val="none" w:sz="0" w:space="0" w:color="auto"/>
          </w:divBdr>
          <w:divsChild>
            <w:div w:id="1955674952">
              <w:marLeft w:val="0"/>
              <w:marRight w:val="0"/>
              <w:marTop w:val="0"/>
              <w:marBottom w:val="0"/>
              <w:divBdr>
                <w:top w:val="none" w:sz="0" w:space="0" w:color="auto"/>
                <w:left w:val="none" w:sz="0" w:space="0" w:color="auto"/>
                <w:bottom w:val="none" w:sz="0" w:space="0" w:color="auto"/>
                <w:right w:val="none" w:sz="0" w:space="0" w:color="auto"/>
              </w:divBdr>
              <w:divsChild>
                <w:div w:id="19556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5120">
          <w:marLeft w:val="0"/>
          <w:marRight w:val="0"/>
          <w:marTop w:val="0"/>
          <w:marBottom w:val="0"/>
          <w:divBdr>
            <w:top w:val="none" w:sz="0" w:space="0" w:color="auto"/>
            <w:left w:val="none" w:sz="0" w:space="0" w:color="auto"/>
            <w:bottom w:val="none" w:sz="0" w:space="0" w:color="auto"/>
            <w:right w:val="none" w:sz="0" w:space="0" w:color="auto"/>
          </w:divBdr>
          <w:divsChild>
            <w:div w:id="1955674916">
              <w:marLeft w:val="0"/>
              <w:marRight w:val="0"/>
              <w:marTop w:val="0"/>
              <w:marBottom w:val="0"/>
              <w:divBdr>
                <w:top w:val="none" w:sz="0" w:space="0" w:color="auto"/>
                <w:left w:val="none" w:sz="0" w:space="0" w:color="auto"/>
                <w:bottom w:val="none" w:sz="0" w:space="0" w:color="auto"/>
                <w:right w:val="none" w:sz="0" w:space="0" w:color="auto"/>
              </w:divBdr>
              <w:divsChild>
                <w:div w:id="1955674734">
                  <w:marLeft w:val="0"/>
                  <w:marRight w:val="0"/>
                  <w:marTop w:val="0"/>
                  <w:marBottom w:val="0"/>
                  <w:divBdr>
                    <w:top w:val="none" w:sz="0" w:space="0" w:color="auto"/>
                    <w:left w:val="none" w:sz="0" w:space="0" w:color="auto"/>
                    <w:bottom w:val="none" w:sz="0" w:space="0" w:color="auto"/>
                    <w:right w:val="none" w:sz="0" w:space="0" w:color="auto"/>
                  </w:divBdr>
                </w:div>
              </w:divsChild>
            </w:div>
            <w:div w:id="1955675113">
              <w:marLeft w:val="0"/>
              <w:marRight w:val="0"/>
              <w:marTop w:val="0"/>
              <w:marBottom w:val="0"/>
              <w:divBdr>
                <w:top w:val="none" w:sz="0" w:space="0" w:color="auto"/>
                <w:left w:val="none" w:sz="0" w:space="0" w:color="auto"/>
                <w:bottom w:val="none" w:sz="0" w:space="0" w:color="auto"/>
                <w:right w:val="none" w:sz="0" w:space="0" w:color="auto"/>
              </w:divBdr>
              <w:divsChild>
                <w:div w:id="195567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695">
      <w:marLeft w:val="0"/>
      <w:marRight w:val="0"/>
      <w:marTop w:val="0"/>
      <w:marBottom w:val="0"/>
      <w:divBdr>
        <w:top w:val="none" w:sz="0" w:space="0" w:color="auto"/>
        <w:left w:val="none" w:sz="0" w:space="0" w:color="auto"/>
        <w:bottom w:val="none" w:sz="0" w:space="0" w:color="auto"/>
        <w:right w:val="none" w:sz="0" w:space="0" w:color="auto"/>
      </w:divBdr>
      <w:divsChild>
        <w:div w:id="1955675107">
          <w:marLeft w:val="0"/>
          <w:marRight w:val="0"/>
          <w:marTop w:val="0"/>
          <w:marBottom w:val="0"/>
          <w:divBdr>
            <w:top w:val="none" w:sz="0" w:space="0" w:color="auto"/>
            <w:left w:val="none" w:sz="0" w:space="0" w:color="auto"/>
            <w:bottom w:val="none" w:sz="0" w:space="0" w:color="auto"/>
            <w:right w:val="none" w:sz="0" w:space="0" w:color="auto"/>
          </w:divBdr>
          <w:divsChild>
            <w:div w:id="1955674660">
              <w:marLeft w:val="0"/>
              <w:marRight w:val="0"/>
              <w:marTop w:val="0"/>
              <w:marBottom w:val="0"/>
              <w:divBdr>
                <w:top w:val="none" w:sz="0" w:space="0" w:color="auto"/>
                <w:left w:val="none" w:sz="0" w:space="0" w:color="auto"/>
                <w:bottom w:val="none" w:sz="0" w:space="0" w:color="auto"/>
                <w:right w:val="none" w:sz="0" w:space="0" w:color="auto"/>
              </w:divBdr>
              <w:divsChild>
                <w:div w:id="19556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705">
      <w:marLeft w:val="0"/>
      <w:marRight w:val="0"/>
      <w:marTop w:val="0"/>
      <w:marBottom w:val="0"/>
      <w:divBdr>
        <w:top w:val="none" w:sz="0" w:space="0" w:color="auto"/>
        <w:left w:val="none" w:sz="0" w:space="0" w:color="auto"/>
        <w:bottom w:val="none" w:sz="0" w:space="0" w:color="auto"/>
        <w:right w:val="none" w:sz="0" w:space="0" w:color="auto"/>
      </w:divBdr>
      <w:divsChild>
        <w:div w:id="1955674683">
          <w:marLeft w:val="0"/>
          <w:marRight w:val="0"/>
          <w:marTop w:val="0"/>
          <w:marBottom w:val="0"/>
          <w:divBdr>
            <w:top w:val="none" w:sz="0" w:space="0" w:color="auto"/>
            <w:left w:val="none" w:sz="0" w:space="0" w:color="auto"/>
            <w:bottom w:val="none" w:sz="0" w:space="0" w:color="auto"/>
            <w:right w:val="none" w:sz="0" w:space="0" w:color="auto"/>
          </w:divBdr>
          <w:divsChild>
            <w:div w:id="1955675085">
              <w:marLeft w:val="0"/>
              <w:marRight w:val="0"/>
              <w:marTop w:val="0"/>
              <w:marBottom w:val="0"/>
              <w:divBdr>
                <w:top w:val="none" w:sz="0" w:space="0" w:color="auto"/>
                <w:left w:val="none" w:sz="0" w:space="0" w:color="auto"/>
                <w:bottom w:val="none" w:sz="0" w:space="0" w:color="auto"/>
                <w:right w:val="none" w:sz="0" w:space="0" w:color="auto"/>
              </w:divBdr>
              <w:divsChild>
                <w:div w:id="195567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707">
      <w:marLeft w:val="0"/>
      <w:marRight w:val="0"/>
      <w:marTop w:val="0"/>
      <w:marBottom w:val="0"/>
      <w:divBdr>
        <w:top w:val="none" w:sz="0" w:space="0" w:color="auto"/>
        <w:left w:val="none" w:sz="0" w:space="0" w:color="auto"/>
        <w:bottom w:val="none" w:sz="0" w:space="0" w:color="auto"/>
        <w:right w:val="none" w:sz="0" w:space="0" w:color="auto"/>
      </w:divBdr>
      <w:divsChild>
        <w:div w:id="1955674973">
          <w:marLeft w:val="0"/>
          <w:marRight w:val="0"/>
          <w:marTop w:val="0"/>
          <w:marBottom w:val="0"/>
          <w:divBdr>
            <w:top w:val="none" w:sz="0" w:space="0" w:color="auto"/>
            <w:left w:val="none" w:sz="0" w:space="0" w:color="auto"/>
            <w:bottom w:val="none" w:sz="0" w:space="0" w:color="auto"/>
            <w:right w:val="none" w:sz="0" w:space="0" w:color="auto"/>
          </w:divBdr>
          <w:divsChild>
            <w:div w:id="1955674780">
              <w:marLeft w:val="0"/>
              <w:marRight w:val="0"/>
              <w:marTop w:val="0"/>
              <w:marBottom w:val="0"/>
              <w:divBdr>
                <w:top w:val="none" w:sz="0" w:space="0" w:color="auto"/>
                <w:left w:val="none" w:sz="0" w:space="0" w:color="auto"/>
                <w:bottom w:val="none" w:sz="0" w:space="0" w:color="auto"/>
                <w:right w:val="none" w:sz="0" w:space="0" w:color="auto"/>
              </w:divBdr>
              <w:divsChild>
                <w:div w:id="19556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708">
      <w:marLeft w:val="0"/>
      <w:marRight w:val="0"/>
      <w:marTop w:val="0"/>
      <w:marBottom w:val="0"/>
      <w:divBdr>
        <w:top w:val="none" w:sz="0" w:space="0" w:color="auto"/>
        <w:left w:val="none" w:sz="0" w:space="0" w:color="auto"/>
        <w:bottom w:val="none" w:sz="0" w:space="0" w:color="auto"/>
        <w:right w:val="none" w:sz="0" w:space="0" w:color="auto"/>
      </w:divBdr>
      <w:divsChild>
        <w:div w:id="1955674817">
          <w:marLeft w:val="0"/>
          <w:marRight w:val="0"/>
          <w:marTop w:val="0"/>
          <w:marBottom w:val="0"/>
          <w:divBdr>
            <w:top w:val="none" w:sz="0" w:space="0" w:color="auto"/>
            <w:left w:val="none" w:sz="0" w:space="0" w:color="auto"/>
            <w:bottom w:val="none" w:sz="0" w:space="0" w:color="auto"/>
            <w:right w:val="none" w:sz="0" w:space="0" w:color="auto"/>
          </w:divBdr>
          <w:divsChild>
            <w:div w:id="1955674910">
              <w:marLeft w:val="0"/>
              <w:marRight w:val="0"/>
              <w:marTop w:val="0"/>
              <w:marBottom w:val="0"/>
              <w:divBdr>
                <w:top w:val="none" w:sz="0" w:space="0" w:color="auto"/>
                <w:left w:val="none" w:sz="0" w:space="0" w:color="auto"/>
                <w:bottom w:val="none" w:sz="0" w:space="0" w:color="auto"/>
                <w:right w:val="none" w:sz="0" w:space="0" w:color="auto"/>
              </w:divBdr>
              <w:divsChild>
                <w:div w:id="195567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741">
      <w:marLeft w:val="0"/>
      <w:marRight w:val="0"/>
      <w:marTop w:val="0"/>
      <w:marBottom w:val="0"/>
      <w:divBdr>
        <w:top w:val="none" w:sz="0" w:space="0" w:color="auto"/>
        <w:left w:val="none" w:sz="0" w:space="0" w:color="auto"/>
        <w:bottom w:val="none" w:sz="0" w:space="0" w:color="auto"/>
        <w:right w:val="none" w:sz="0" w:space="0" w:color="auto"/>
      </w:divBdr>
    </w:div>
    <w:div w:id="1955674745">
      <w:marLeft w:val="0"/>
      <w:marRight w:val="0"/>
      <w:marTop w:val="0"/>
      <w:marBottom w:val="0"/>
      <w:divBdr>
        <w:top w:val="none" w:sz="0" w:space="0" w:color="auto"/>
        <w:left w:val="none" w:sz="0" w:space="0" w:color="auto"/>
        <w:bottom w:val="none" w:sz="0" w:space="0" w:color="auto"/>
        <w:right w:val="none" w:sz="0" w:space="0" w:color="auto"/>
      </w:divBdr>
      <w:divsChild>
        <w:div w:id="1955674575">
          <w:marLeft w:val="0"/>
          <w:marRight w:val="0"/>
          <w:marTop w:val="0"/>
          <w:marBottom w:val="0"/>
          <w:divBdr>
            <w:top w:val="none" w:sz="0" w:space="0" w:color="auto"/>
            <w:left w:val="none" w:sz="0" w:space="0" w:color="auto"/>
            <w:bottom w:val="none" w:sz="0" w:space="0" w:color="auto"/>
            <w:right w:val="none" w:sz="0" w:space="0" w:color="auto"/>
          </w:divBdr>
          <w:divsChild>
            <w:div w:id="1955675087">
              <w:marLeft w:val="0"/>
              <w:marRight w:val="0"/>
              <w:marTop w:val="0"/>
              <w:marBottom w:val="0"/>
              <w:divBdr>
                <w:top w:val="none" w:sz="0" w:space="0" w:color="auto"/>
                <w:left w:val="none" w:sz="0" w:space="0" w:color="auto"/>
                <w:bottom w:val="none" w:sz="0" w:space="0" w:color="auto"/>
                <w:right w:val="none" w:sz="0" w:space="0" w:color="auto"/>
              </w:divBdr>
              <w:divsChild>
                <w:div w:id="19556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746">
      <w:marLeft w:val="0"/>
      <w:marRight w:val="0"/>
      <w:marTop w:val="0"/>
      <w:marBottom w:val="0"/>
      <w:divBdr>
        <w:top w:val="none" w:sz="0" w:space="0" w:color="auto"/>
        <w:left w:val="none" w:sz="0" w:space="0" w:color="auto"/>
        <w:bottom w:val="none" w:sz="0" w:space="0" w:color="auto"/>
        <w:right w:val="none" w:sz="0" w:space="0" w:color="auto"/>
      </w:divBdr>
      <w:divsChild>
        <w:div w:id="1955674845">
          <w:marLeft w:val="0"/>
          <w:marRight w:val="0"/>
          <w:marTop w:val="0"/>
          <w:marBottom w:val="0"/>
          <w:divBdr>
            <w:top w:val="none" w:sz="0" w:space="0" w:color="auto"/>
            <w:left w:val="none" w:sz="0" w:space="0" w:color="auto"/>
            <w:bottom w:val="none" w:sz="0" w:space="0" w:color="auto"/>
            <w:right w:val="none" w:sz="0" w:space="0" w:color="auto"/>
          </w:divBdr>
          <w:divsChild>
            <w:div w:id="1955674678">
              <w:marLeft w:val="0"/>
              <w:marRight w:val="0"/>
              <w:marTop w:val="0"/>
              <w:marBottom w:val="0"/>
              <w:divBdr>
                <w:top w:val="none" w:sz="0" w:space="0" w:color="auto"/>
                <w:left w:val="none" w:sz="0" w:space="0" w:color="auto"/>
                <w:bottom w:val="none" w:sz="0" w:space="0" w:color="auto"/>
                <w:right w:val="none" w:sz="0" w:space="0" w:color="auto"/>
              </w:divBdr>
              <w:divsChild>
                <w:div w:id="19556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747">
      <w:marLeft w:val="0"/>
      <w:marRight w:val="0"/>
      <w:marTop w:val="0"/>
      <w:marBottom w:val="0"/>
      <w:divBdr>
        <w:top w:val="none" w:sz="0" w:space="0" w:color="auto"/>
        <w:left w:val="none" w:sz="0" w:space="0" w:color="auto"/>
        <w:bottom w:val="none" w:sz="0" w:space="0" w:color="auto"/>
        <w:right w:val="none" w:sz="0" w:space="0" w:color="auto"/>
      </w:divBdr>
      <w:divsChild>
        <w:div w:id="1955674724">
          <w:marLeft w:val="0"/>
          <w:marRight w:val="0"/>
          <w:marTop w:val="0"/>
          <w:marBottom w:val="0"/>
          <w:divBdr>
            <w:top w:val="none" w:sz="0" w:space="0" w:color="auto"/>
            <w:left w:val="none" w:sz="0" w:space="0" w:color="auto"/>
            <w:bottom w:val="none" w:sz="0" w:space="0" w:color="auto"/>
            <w:right w:val="none" w:sz="0" w:space="0" w:color="auto"/>
          </w:divBdr>
          <w:divsChild>
            <w:div w:id="1955674620">
              <w:marLeft w:val="0"/>
              <w:marRight w:val="0"/>
              <w:marTop w:val="0"/>
              <w:marBottom w:val="0"/>
              <w:divBdr>
                <w:top w:val="none" w:sz="0" w:space="0" w:color="auto"/>
                <w:left w:val="none" w:sz="0" w:space="0" w:color="auto"/>
                <w:bottom w:val="none" w:sz="0" w:space="0" w:color="auto"/>
                <w:right w:val="none" w:sz="0" w:space="0" w:color="auto"/>
              </w:divBdr>
              <w:divsChild>
                <w:div w:id="19556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753">
      <w:marLeft w:val="0"/>
      <w:marRight w:val="0"/>
      <w:marTop w:val="0"/>
      <w:marBottom w:val="0"/>
      <w:divBdr>
        <w:top w:val="none" w:sz="0" w:space="0" w:color="auto"/>
        <w:left w:val="none" w:sz="0" w:space="0" w:color="auto"/>
        <w:bottom w:val="none" w:sz="0" w:space="0" w:color="auto"/>
        <w:right w:val="none" w:sz="0" w:space="0" w:color="auto"/>
      </w:divBdr>
      <w:divsChild>
        <w:div w:id="1955674664">
          <w:marLeft w:val="0"/>
          <w:marRight w:val="0"/>
          <w:marTop w:val="0"/>
          <w:marBottom w:val="0"/>
          <w:divBdr>
            <w:top w:val="none" w:sz="0" w:space="0" w:color="auto"/>
            <w:left w:val="none" w:sz="0" w:space="0" w:color="auto"/>
            <w:bottom w:val="none" w:sz="0" w:space="0" w:color="auto"/>
            <w:right w:val="none" w:sz="0" w:space="0" w:color="auto"/>
          </w:divBdr>
          <w:divsChild>
            <w:div w:id="1955674701">
              <w:marLeft w:val="0"/>
              <w:marRight w:val="0"/>
              <w:marTop w:val="0"/>
              <w:marBottom w:val="0"/>
              <w:divBdr>
                <w:top w:val="none" w:sz="0" w:space="0" w:color="auto"/>
                <w:left w:val="none" w:sz="0" w:space="0" w:color="auto"/>
                <w:bottom w:val="none" w:sz="0" w:space="0" w:color="auto"/>
                <w:right w:val="none" w:sz="0" w:space="0" w:color="auto"/>
              </w:divBdr>
              <w:divsChild>
                <w:div w:id="19556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754">
      <w:marLeft w:val="0"/>
      <w:marRight w:val="0"/>
      <w:marTop w:val="0"/>
      <w:marBottom w:val="0"/>
      <w:divBdr>
        <w:top w:val="none" w:sz="0" w:space="0" w:color="auto"/>
        <w:left w:val="none" w:sz="0" w:space="0" w:color="auto"/>
        <w:bottom w:val="none" w:sz="0" w:space="0" w:color="auto"/>
        <w:right w:val="none" w:sz="0" w:space="0" w:color="auto"/>
      </w:divBdr>
      <w:divsChild>
        <w:div w:id="1955674926">
          <w:marLeft w:val="0"/>
          <w:marRight w:val="0"/>
          <w:marTop w:val="0"/>
          <w:marBottom w:val="0"/>
          <w:divBdr>
            <w:top w:val="none" w:sz="0" w:space="0" w:color="auto"/>
            <w:left w:val="none" w:sz="0" w:space="0" w:color="auto"/>
            <w:bottom w:val="none" w:sz="0" w:space="0" w:color="auto"/>
            <w:right w:val="none" w:sz="0" w:space="0" w:color="auto"/>
          </w:divBdr>
          <w:divsChild>
            <w:div w:id="1955674895">
              <w:marLeft w:val="0"/>
              <w:marRight w:val="0"/>
              <w:marTop w:val="0"/>
              <w:marBottom w:val="0"/>
              <w:divBdr>
                <w:top w:val="none" w:sz="0" w:space="0" w:color="auto"/>
                <w:left w:val="none" w:sz="0" w:space="0" w:color="auto"/>
                <w:bottom w:val="none" w:sz="0" w:space="0" w:color="auto"/>
                <w:right w:val="none" w:sz="0" w:space="0" w:color="auto"/>
              </w:divBdr>
              <w:divsChild>
                <w:div w:id="19556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766">
      <w:marLeft w:val="0"/>
      <w:marRight w:val="0"/>
      <w:marTop w:val="0"/>
      <w:marBottom w:val="0"/>
      <w:divBdr>
        <w:top w:val="none" w:sz="0" w:space="0" w:color="auto"/>
        <w:left w:val="none" w:sz="0" w:space="0" w:color="auto"/>
        <w:bottom w:val="none" w:sz="0" w:space="0" w:color="auto"/>
        <w:right w:val="none" w:sz="0" w:space="0" w:color="auto"/>
      </w:divBdr>
      <w:divsChild>
        <w:div w:id="1955674917">
          <w:marLeft w:val="0"/>
          <w:marRight w:val="0"/>
          <w:marTop w:val="0"/>
          <w:marBottom w:val="0"/>
          <w:divBdr>
            <w:top w:val="none" w:sz="0" w:space="0" w:color="auto"/>
            <w:left w:val="none" w:sz="0" w:space="0" w:color="auto"/>
            <w:bottom w:val="none" w:sz="0" w:space="0" w:color="auto"/>
            <w:right w:val="none" w:sz="0" w:space="0" w:color="auto"/>
          </w:divBdr>
          <w:divsChild>
            <w:div w:id="1955674905">
              <w:marLeft w:val="0"/>
              <w:marRight w:val="0"/>
              <w:marTop w:val="0"/>
              <w:marBottom w:val="0"/>
              <w:divBdr>
                <w:top w:val="none" w:sz="0" w:space="0" w:color="auto"/>
                <w:left w:val="none" w:sz="0" w:space="0" w:color="auto"/>
                <w:bottom w:val="none" w:sz="0" w:space="0" w:color="auto"/>
                <w:right w:val="none" w:sz="0" w:space="0" w:color="auto"/>
              </w:divBdr>
              <w:divsChild>
                <w:div w:id="195567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769">
      <w:marLeft w:val="0"/>
      <w:marRight w:val="0"/>
      <w:marTop w:val="0"/>
      <w:marBottom w:val="0"/>
      <w:divBdr>
        <w:top w:val="none" w:sz="0" w:space="0" w:color="auto"/>
        <w:left w:val="none" w:sz="0" w:space="0" w:color="auto"/>
        <w:bottom w:val="none" w:sz="0" w:space="0" w:color="auto"/>
        <w:right w:val="none" w:sz="0" w:space="0" w:color="auto"/>
      </w:divBdr>
    </w:div>
    <w:div w:id="1955674770">
      <w:marLeft w:val="0"/>
      <w:marRight w:val="0"/>
      <w:marTop w:val="0"/>
      <w:marBottom w:val="0"/>
      <w:divBdr>
        <w:top w:val="none" w:sz="0" w:space="0" w:color="auto"/>
        <w:left w:val="none" w:sz="0" w:space="0" w:color="auto"/>
        <w:bottom w:val="none" w:sz="0" w:space="0" w:color="auto"/>
        <w:right w:val="none" w:sz="0" w:space="0" w:color="auto"/>
      </w:divBdr>
      <w:divsChild>
        <w:div w:id="1955674713">
          <w:marLeft w:val="0"/>
          <w:marRight w:val="0"/>
          <w:marTop w:val="0"/>
          <w:marBottom w:val="0"/>
          <w:divBdr>
            <w:top w:val="none" w:sz="0" w:space="0" w:color="auto"/>
            <w:left w:val="none" w:sz="0" w:space="0" w:color="auto"/>
            <w:bottom w:val="none" w:sz="0" w:space="0" w:color="auto"/>
            <w:right w:val="none" w:sz="0" w:space="0" w:color="auto"/>
          </w:divBdr>
          <w:divsChild>
            <w:div w:id="1955675080">
              <w:marLeft w:val="0"/>
              <w:marRight w:val="0"/>
              <w:marTop w:val="0"/>
              <w:marBottom w:val="0"/>
              <w:divBdr>
                <w:top w:val="none" w:sz="0" w:space="0" w:color="auto"/>
                <w:left w:val="none" w:sz="0" w:space="0" w:color="auto"/>
                <w:bottom w:val="none" w:sz="0" w:space="0" w:color="auto"/>
                <w:right w:val="none" w:sz="0" w:space="0" w:color="auto"/>
              </w:divBdr>
              <w:divsChild>
                <w:div w:id="19556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4823">
          <w:marLeft w:val="0"/>
          <w:marRight w:val="0"/>
          <w:marTop w:val="0"/>
          <w:marBottom w:val="0"/>
          <w:divBdr>
            <w:top w:val="none" w:sz="0" w:space="0" w:color="auto"/>
            <w:left w:val="none" w:sz="0" w:space="0" w:color="auto"/>
            <w:bottom w:val="none" w:sz="0" w:space="0" w:color="auto"/>
            <w:right w:val="none" w:sz="0" w:space="0" w:color="auto"/>
          </w:divBdr>
          <w:divsChild>
            <w:div w:id="1955674764">
              <w:marLeft w:val="0"/>
              <w:marRight w:val="0"/>
              <w:marTop w:val="0"/>
              <w:marBottom w:val="0"/>
              <w:divBdr>
                <w:top w:val="none" w:sz="0" w:space="0" w:color="auto"/>
                <w:left w:val="none" w:sz="0" w:space="0" w:color="auto"/>
                <w:bottom w:val="none" w:sz="0" w:space="0" w:color="auto"/>
                <w:right w:val="none" w:sz="0" w:space="0" w:color="auto"/>
              </w:divBdr>
              <w:divsChild>
                <w:div w:id="19556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772">
      <w:marLeft w:val="0"/>
      <w:marRight w:val="0"/>
      <w:marTop w:val="0"/>
      <w:marBottom w:val="0"/>
      <w:divBdr>
        <w:top w:val="none" w:sz="0" w:space="0" w:color="auto"/>
        <w:left w:val="none" w:sz="0" w:space="0" w:color="auto"/>
        <w:bottom w:val="none" w:sz="0" w:space="0" w:color="auto"/>
        <w:right w:val="none" w:sz="0" w:space="0" w:color="auto"/>
      </w:divBdr>
    </w:div>
    <w:div w:id="1955674773">
      <w:marLeft w:val="0"/>
      <w:marRight w:val="0"/>
      <w:marTop w:val="0"/>
      <w:marBottom w:val="0"/>
      <w:divBdr>
        <w:top w:val="none" w:sz="0" w:space="0" w:color="auto"/>
        <w:left w:val="none" w:sz="0" w:space="0" w:color="auto"/>
        <w:bottom w:val="none" w:sz="0" w:space="0" w:color="auto"/>
        <w:right w:val="none" w:sz="0" w:space="0" w:color="auto"/>
      </w:divBdr>
      <w:divsChild>
        <w:div w:id="1955675019">
          <w:marLeft w:val="0"/>
          <w:marRight w:val="0"/>
          <w:marTop w:val="0"/>
          <w:marBottom w:val="0"/>
          <w:divBdr>
            <w:top w:val="none" w:sz="0" w:space="0" w:color="auto"/>
            <w:left w:val="none" w:sz="0" w:space="0" w:color="auto"/>
            <w:bottom w:val="none" w:sz="0" w:space="0" w:color="auto"/>
            <w:right w:val="none" w:sz="0" w:space="0" w:color="auto"/>
          </w:divBdr>
          <w:divsChild>
            <w:div w:id="1955675125">
              <w:marLeft w:val="0"/>
              <w:marRight w:val="0"/>
              <w:marTop w:val="0"/>
              <w:marBottom w:val="0"/>
              <w:divBdr>
                <w:top w:val="none" w:sz="0" w:space="0" w:color="auto"/>
                <w:left w:val="none" w:sz="0" w:space="0" w:color="auto"/>
                <w:bottom w:val="none" w:sz="0" w:space="0" w:color="auto"/>
                <w:right w:val="none" w:sz="0" w:space="0" w:color="auto"/>
              </w:divBdr>
              <w:divsChild>
                <w:div w:id="19556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776">
      <w:marLeft w:val="0"/>
      <w:marRight w:val="0"/>
      <w:marTop w:val="0"/>
      <w:marBottom w:val="0"/>
      <w:divBdr>
        <w:top w:val="none" w:sz="0" w:space="0" w:color="auto"/>
        <w:left w:val="none" w:sz="0" w:space="0" w:color="auto"/>
        <w:bottom w:val="none" w:sz="0" w:space="0" w:color="auto"/>
        <w:right w:val="none" w:sz="0" w:space="0" w:color="auto"/>
      </w:divBdr>
      <w:divsChild>
        <w:div w:id="1955675059">
          <w:marLeft w:val="0"/>
          <w:marRight w:val="0"/>
          <w:marTop w:val="0"/>
          <w:marBottom w:val="0"/>
          <w:divBdr>
            <w:top w:val="none" w:sz="0" w:space="0" w:color="auto"/>
            <w:left w:val="none" w:sz="0" w:space="0" w:color="auto"/>
            <w:bottom w:val="none" w:sz="0" w:space="0" w:color="auto"/>
            <w:right w:val="none" w:sz="0" w:space="0" w:color="auto"/>
          </w:divBdr>
        </w:div>
      </w:divsChild>
    </w:div>
    <w:div w:id="1955674783">
      <w:marLeft w:val="0"/>
      <w:marRight w:val="0"/>
      <w:marTop w:val="0"/>
      <w:marBottom w:val="0"/>
      <w:divBdr>
        <w:top w:val="none" w:sz="0" w:space="0" w:color="auto"/>
        <w:left w:val="none" w:sz="0" w:space="0" w:color="auto"/>
        <w:bottom w:val="none" w:sz="0" w:space="0" w:color="auto"/>
        <w:right w:val="none" w:sz="0" w:space="0" w:color="auto"/>
      </w:divBdr>
    </w:div>
    <w:div w:id="1955674784">
      <w:marLeft w:val="0"/>
      <w:marRight w:val="0"/>
      <w:marTop w:val="0"/>
      <w:marBottom w:val="0"/>
      <w:divBdr>
        <w:top w:val="none" w:sz="0" w:space="0" w:color="auto"/>
        <w:left w:val="none" w:sz="0" w:space="0" w:color="auto"/>
        <w:bottom w:val="none" w:sz="0" w:space="0" w:color="auto"/>
        <w:right w:val="none" w:sz="0" w:space="0" w:color="auto"/>
      </w:divBdr>
      <w:divsChild>
        <w:div w:id="1955674947">
          <w:marLeft w:val="0"/>
          <w:marRight w:val="0"/>
          <w:marTop w:val="0"/>
          <w:marBottom w:val="0"/>
          <w:divBdr>
            <w:top w:val="none" w:sz="0" w:space="0" w:color="auto"/>
            <w:left w:val="none" w:sz="0" w:space="0" w:color="auto"/>
            <w:bottom w:val="none" w:sz="0" w:space="0" w:color="auto"/>
            <w:right w:val="none" w:sz="0" w:space="0" w:color="auto"/>
          </w:divBdr>
          <w:divsChild>
            <w:div w:id="1955674521">
              <w:marLeft w:val="0"/>
              <w:marRight w:val="0"/>
              <w:marTop w:val="0"/>
              <w:marBottom w:val="0"/>
              <w:divBdr>
                <w:top w:val="none" w:sz="0" w:space="0" w:color="auto"/>
                <w:left w:val="none" w:sz="0" w:space="0" w:color="auto"/>
                <w:bottom w:val="none" w:sz="0" w:space="0" w:color="auto"/>
                <w:right w:val="none" w:sz="0" w:space="0" w:color="auto"/>
              </w:divBdr>
              <w:divsChild>
                <w:div w:id="19556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787">
      <w:marLeft w:val="0"/>
      <w:marRight w:val="0"/>
      <w:marTop w:val="0"/>
      <w:marBottom w:val="0"/>
      <w:divBdr>
        <w:top w:val="none" w:sz="0" w:space="0" w:color="auto"/>
        <w:left w:val="none" w:sz="0" w:space="0" w:color="auto"/>
        <w:bottom w:val="none" w:sz="0" w:space="0" w:color="auto"/>
        <w:right w:val="none" w:sz="0" w:space="0" w:color="auto"/>
      </w:divBdr>
      <w:divsChild>
        <w:div w:id="1955674920">
          <w:marLeft w:val="0"/>
          <w:marRight w:val="0"/>
          <w:marTop w:val="0"/>
          <w:marBottom w:val="0"/>
          <w:divBdr>
            <w:top w:val="none" w:sz="0" w:space="0" w:color="auto"/>
            <w:left w:val="none" w:sz="0" w:space="0" w:color="auto"/>
            <w:bottom w:val="none" w:sz="0" w:space="0" w:color="auto"/>
            <w:right w:val="none" w:sz="0" w:space="0" w:color="auto"/>
          </w:divBdr>
        </w:div>
      </w:divsChild>
    </w:div>
    <w:div w:id="1955674788">
      <w:marLeft w:val="0"/>
      <w:marRight w:val="0"/>
      <w:marTop w:val="0"/>
      <w:marBottom w:val="0"/>
      <w:divBdr>
        <w:top w:val="none" w:sz="0" w:space="0" w:color="auto"/>
        <w:left w:val="none" w:sz="0" w:space="0" w:color="auto"/>
        <w:bottom w:val="none" w:sz="0" w:space="0" w:color="auto"/>
        <w:right w:val="none" w:sz="0" w:space="0" w:color="auto"/>
      </w:divBdr>
      <w:divsChild>
        <w:div w:id="1955674567">
          <w:marLeft w:val="0"/>
          <w:marRight w:val="0"/>
          <w:marTop w:val="0"/>
          <w:marBottom w:val="0"/>
          <w:divBdr>
            <w:top w:val="none" w:sz="0" w:space="0" w:color="auto"/>
            <w:left w:val="none" w:sz="0" w:space="0" w:color="auto"/>
            <w:bottom w:val="none" w:sz="0" w:space="0" w:color="auto"/>
            <w:right w:val="none" w:sz="0" w:space="0" w:color="auto"/>
          </w:divBdr>
          <w:divsChild>
            <w:div w:id="1955674647">
              <w:marLeft w:val="0"/>
              <w:marRight w:val="0"/>
              <w:marTop w:val="0"/>
              <w:marBottom w:val="0"/>
              <w:divBdr>
                <w:top w:val="none" w:sz="0" w:space="0" w:color="auto"/>
                <w:left w:val="none" w:sz="0" w:space="0" w:color="auto"/>
                <w:bottom w:val="none" w:sz="0" w:space="0" w:color="auto"/>
                <w:right w:val="none" w:sz="0" w:space="0" w:color="auto"/>
              </w:divBdr>
              <w:divsChild>
                <w:div w:id="19556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789">
      <w:marLeft w:val="0"/>
      <w:marRight w:val="0"/>
      <w:marTop w:val="0"/>
      <w:marBottom w:val="0"/>
      <w:divBdr>
        <w:top w:val="none" w:sz="0" w:space="0" w:color="auto"/>
        <w:left w:val="none" w:sz="0" w:space="0" w:color="auto"/>
        <w:bottom w:val="none" w:sz="0" w:space="0" w:color="auto"/>
        <w:right w:val="none" w:sz="0" w:space="0" w:color="auto"/>
      </w:divBdr>
      <w:divsChild>
        <w:div w:id="1955674736">
          <w:marLeft w:val="0"/>
          <w:marRight w:val="0"/>
          <w:marTop w:val="0"/>
          <w:marBottom w:val="0"/>
          <w:divBdr>
            <w:top w:val="none" w:sz="0" w:space="0" w:color="auto"/>
            <w:left w:val="none" w:sz="0" w:space="0" w:color="auto"/>
            <w:bottom w:val="none" w:sz="0" w:space="0" w:color="auto"/>
            <w:right w:val="none" w:sz="0" w:space="0" w:color="auto"/>
          </w:divBdr>
          <w:divsChild>
            <w:div w:id="1955674600">
              <w:marLeft w:val="0"/>
              <w:marRight w:val="0"/>
              <w:marTop w:val="0"/>
              <w:marBottom w:val="0"/>
              <w:divBdr>
                <w:top w:val="none" w:sz="0" w:space="0" w:color="auto"/>
                <w:left w:val="none" w:sz="0" w:space="0" w:color="auto"/>
                <w:bottom w:val="none" w:sz="0" w:space="0" w:color="auto"/>
                <w:right w:val="none" w:sz="0" w:space="0" w:color="auto"/>
              </w:divBdr>
              <w:divsChild>
                <w:div w:id="19556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4869">
          <w:marLeft w:val="0"/>
          <w:marRight w:val="0"/>
          <w:marTop w:val="0"/>
          <w:marBottom w:val="0"/>
          <w:divBdr>
            <w:top w:val="none" w:sz="0" w:space="0" w:color="auto"/>
            <w:left w:val="none" w:sz="0" w:space="0" w:color="auto"/>
            <w:bottom w:val="none" w:sz="0" w:space="0" w:color="auto"/>
            <w:right w:val="none" w:sz="0" w:space="0" w:color="auto"/>
          </w:divBdr>
          <w:divsChild>
            <w:div w:id="1955674883">
              <w:marLeft w:val="0"/>
              <w:marRight w:val="0"/>
              <w:marTop w:val="0"/>
              <w:marBottom w:val="0"/>
              <w:divBdr>
                <w:top w:val="none" w:sz="0" w:space="0" w:color="auto"/>
                <w:left w:val="none" w:sz="0" w:space="0" w:color="auto"/>
                <w:bottom w:val="none" w:sz="0" w:space="0" w:color="auto"/>
                <w:right w:val="none" w:sz="0" w:space="0" w:color="auto"/>
              </w:divBdr>
              <w:divsChild>
                <w:div w:id="1955674636">
                  <w:marLeft w:val="0"/>
                  <w:marRight w:val="0"/>
                  <w:marTop w:val="0"/>
                  <w:marBottom w:val="0"/>
                  <w:divBdr>
                    <w:top w:val="none" w:sz="0" w:space="0" w:color="auto"/>
                    <w:left w:val="none" w:sz="0" w:space="0" w:color="auto"/>
                    <w:bottom w:val="none" w:sz="0" w:space="0" w:color="auto"/>
                    <w:right w:val="none" w:sz="0" w:space="0" w:color="auto"/>
                  </w:divBdr>
                </w:div>
              </w:divsChild>
            </w:div>
            <w:div w:id="1955675025">
              <w:marLeft w:val="0"/>
              <w:marRight w:val="0"/>
              <w:marTop w:val="0"/>
              <w:marBottom w:val="0"/>
              <w:divBdr>
                <w:top w:val="none" w:sz="0" w:space="0" w:color="auto"/>
                <w:left w:val="none" w:sz="0" w:space="0" w:color="auto"/>
                <w:bottom w:val="none" w:sz="0" w:space="0" w:color="auto"/>
                <w:right w:val="none" w:sz="0" w:space="0" w:color="auto"/>
              </w:divBdr>
              <w:divsChild>
                <w:div w:id="19556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795">
      <w:marLeft w:val="0"/>
      <w:marRight w:val="0"/>
      <w:marTop w:val="0"/>
      <w:marBottom w:val="0"/>
      <w:divBdr>
        <w:top w:val="none" w:sz="0" w:space="0" w:color="auto"/>
        <w:left w:val="none" w:sz="0" w:space="0" w:color="auto"/>
        <w:bottom w:val="none" w:sz="0" w:space="0" w:color="auto"/>
        <w:right w:val="none" w:sz="0" w:space="0" w:color="auto"/>
      </w:divBdr>
    </w:div>
    <w:div w:id="1955674798">
      <w:marLeft w:val="0"/>
      <w:marRight w:val="0"/>
      <w:marTop w:val="0"/>
      <w:marBottom w:val="0"/>
      <w:divBdr>
        <w:top w:val="none" w:sz="0" w:space="0" w:color="auto"/>
        <w:left w:val="none" w:sz="0" w:space="0" w:color="auto"/>
        <w:bottom w:val="none" w:sz="0" w:space="0" w:color="auto"/>
        <w:right w:val="none" w:sz="0" w:space="0" w:color="auto"/>
      </w:divBdr>
    </w:div>
    <w:div w:id="1955674799">
      <w:marLeft w:val="0"/>
      <w:marRight w:val="0"/>
      <w:marTop w:val="0"/>
      <w:marBottom w:val="0"/>
      <w:divBdr>
        <w:top w:val="none" w:sz="0" w:space="0" w:color="auto"/>
        <w:left w:val="none" w:sz="0" w:space="0" w:color="auto"/>
        <w:bottom w:val="none" w:sz="0" w:space="0" w:color="auto"/>
        <w:right w:val="none" w:sz="0" w:space="0" w:color="auto"/>
      </w:divBdr>
      <w:divsChild>
        <w:div w:id="1955674546">
          <w:marLeft w:val="0"/>
          <w:marRight w:val="0"/>
          <w:marTop w:val="0"/>
          <w:marBottom w:val="0"/>
          <w:divBdr>
            <w:top w:val="none" w:sz="0" w:space="0" w:color="auto"/>
            <w:left w:val="none" w:sz="0" w:space="0" w:color="auto"/>
            <w:bottom w:val="none" w:sz="0" w:space="0" w:color="auto"/>
            <w:right w:val="none" w:sz="0" w:space="0" w:color="auto"/>
          </w:divBdr>
          <w:divsChild>
            <w:div w:id="1955674751">
              <w:marLeft w:val="0"/>
              <w:marRight w:val="0"/>
              <w:marTop w:val="0"/>
              <w:marBottom w:val="0"/>
              <w:divBdr>
                <w:top w:val="none" w:sz="0" w:space="0" w:color="auto"/>
                <w:left w:val="none" w:sz="0" w:space="0" w:color="auto"/>
                <w:bottom w:val="none" w:sz="0" w:space="0" w:color="auto"/>
                <w:right w:val="none" w:sz="0" w:space="0" w:color="auto"/>
              </w:divBdr>
              <w:divsChild>
                <w:div w:id="1955675105">
                  <w:marLeft w:val="0"/>
                  <w:marRight w:val="0"/>
                  <w:marTop w:val="0"/>
                  <w:marBottom w:val="0"/>
                  <w:divBdr>
                    <w:top w:val="none" w:sz="0" w:space="0" w:color="auto"/>
                    <w:left w:val="none" w:sz="0" w:space="0" w:color="auto"/>
                    <w:bottom w:val="none" w:sz="0" w:space="0" w:color="auto"/>
                    <w:right w:val="none" w:sz="0" w:space="0" w:color="auto"/>
                  </w:divBdr>
                </w:div>
              </w:divsChild>
            </w:div>
            <w:div w:id="1955674820">
              <w:marLeft w:val="0"/>
              <w:marRight w:val="0"/>
              <w:marTop w:val="0"/>
              <w:marBottom w:val="0"/>
              <w:divBdr>
                <w:top w:val="none" w:sz="0" w:space="0" w:color="auto"/>
                <w:left w:val="none" w:sz="0" w:space="0" w:color="auto"/>
                <w:bottom w:val="none" w:sz="0" w:space="0" w:color="auto"/>
                <w:right w:val="none" w:sz="0" w:space="0" w:color="auto"/>
              </w:divBdr>
              <w:divsChild>
                <w:div w:id="19556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4547">
          <w:marLeft w:val="0"/>
          <w:marRight w:val="0"/>
          <w:marTop w:val="0"/>
          <w:marBottom w:val="0"/>
          <w:divBdr>
            <w:top w:val="none" w:sz="0" w:space="0" w:color="auto"/>
            <w:left w:val="none" w:sz="0" w:space="0" w:color="auto"/>
            <w:bottom w:val="none" w:sz="0" w:space="0" w:color="auto"/>
            <w:right w:val="none" w:sz="0" w:space="0" w:color="auto"/>
          </w:divBdr>
          <w:divsChild>
            <w:div w:id="1955674779">
              <w:marLeft w:val="0"/>
              <w:marRight w:val="0"/>
              <w:marTop w:val="0"/>
              <w:marBottom w:val="0"/>
              <w:divBdr>
                <w:top w:val="none" w:sz="0" w:space="0" w:color="auto"/>
                <w:left w:val="none" w:sz="0" w:space="0" w:color="auto"/>
                <w:bottom w:val="none" w:sz="0" w:space="0" w:color="auto"/>
                <w:right w:val="none" w:sz="0" w:space="0" w:color="auto"/>
              </w:divBdr>
              <w:divsChild>
                <w:div w:id="19556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803">
      <w:marLeft w:val="0"/>
      <w:marRight w:val="0"/>
      <w:marTop w:val="0"/>
      <w:marBottom w:val="0"/>
      <w:divBdr>
        <w:top w:val="none" w:sz="0" w:space="0" w:color="auto"/>
        <w:left w:val="none" w:sz="0" w:space="0" w:color="auto"/>
        <w:bottom w:val="none" w:sz="0" w:space="0" w:color="auto"/>
        <w:right w:val="none" w:sz="0" w:space="0" w:color="auto"/>
      </w:divBdr>
      <w:divsChild>
        <w:div w:id="1955675088">
          <w:marLeft w:val="0"/>
          <w:marRight w:val="0"/>
          <w:marTop w:val="0"/>
          <w:marBottom w:val="0"/>
          <w:divBdr>
            <w:top w:val="none" w:sz="0" w:space="0" w:color="auto"/>
            <w:left w:val="none" w:sz="0" w:space="0" w:color="auto"/>
            <w:bottom w:val="none" w:sz="0" w:space="0" w:color="auto"/>
            <w:right w:val="none" w:sz="0" w:space="0" w:color="auto"/>
          </w:divBdr>
          <w:divsChild>
            <w:div w:id="1955675011">
              <w:marLeft w:val="0"/>
              <w:marRight w:val="0"/>
              <w:marTop w:val="0"/>
              <w:marBottom w:val="0"/>
              <w:divBdr>
                <w:top w:val="none" w:sz="0" w:space="0" w:color="auto"/>
                <w:left w:val="none" w:sz="0" w:space="0" w:color="auto"/>
                <w:bottom w:val="none" w:sz="0" w:space="0" w:color="auto"/>
                <w:right w:val="none" w:sz="0" w:space="0" w:color="auto"/>
              </w:divBdr>
              <w:divsChild>
                <w:div w:id="1955674903">
                  <w:marLeft w:val="0"/>
                  <w:marRight w:val="0"/>
                  <w:marTop w:val="0"/>
                  <w:marBottom w:val="0"/>
                  <w:divBdr>
                    <w:top w:val="none" w:sz="0" w:space="0" w:color="auto"/>
                    <w:left w:val="none" w:sz="0" w:space="0" w:color="auto"/>
                    <w:bottom w:val="none" w:sz="0" w:space="0" w:color="auto"/>
                    <w:right w:val="none" w:sz="0" w:space="0" w:color="auto"/>
                  </w:divBdr>
                  <w:divsChild>
                    <w:div w:id="19556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4804">
      <w:marLeft w:val="0"/>
      <w:marRight w:val="0"/>
      <w:marTop w:val="0"/>
      <w:marBottom w:val="0"/>
      <w:divBdr>
        <w:top w:val="none" w:sz="0" w:space="0" w:color="auto"/>
        <w:left w:val="none" w:sz="0" w:space="0" w:color="auto"/>
        <w:bottom w:val="none" w:sz="0" w:space="0" w:color="auto"/>
        <w:right w:val="none" w:sz="0" w:space="0" w:color="auto"/>
      </w:divBdr>
      <w:divsChild>
        <w:div w:id="1955674848">
          <w:marLeft w:val="0"/>
          <w:marRight w:val="0"/>
          <w:marTop w:val="0"/>
          <w:marBottom w:val="0"/>
          <w:divBdr>
            <w:top w:val="none" w:sz="0" w:space="0" w:color="auto"/>
            <w:left w:val="none" w:sz="0" w:space="0" w:color="auto"/>
            <w:bottom w:val="none" w:sz="0" w:space="0" w:color="auto"/>
            <w:right w:val="none" w:sz="0" w:space="0" w:color="auto"/>
          </w:divBdr>
          <w:divsChild>
            <w:div w:id="1955675070">
              <w:marLeft w:val="0"/>
              <w:marRight w:val="0"/>
              <w:marTop w:val="0"/>
              <w:marBottom w:val="0"/>
              <w:divBdr>
                <w:top w:val="none" w:sz="0" w:space="0" w:color="auto"/>
                <w:left w:val="none" w:sz="0" w:space="0" w:color="auto"/>
                <w:bottom w:val="none" w:sz="0" w:space="0" w:color="auto"/>
                <w:right w:val="none" w:sz="0" w:space="0" w:color="auto"/>
              </w:divBdr>
              <w:divsChild>
                <w:div w:id="195567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805">
      <w:marLeft w:val="0"/>
      <w:marRight w:val="0"/>
      <w:marTop w:val="0"/>
      <w:marBottom w:val="0"/>
      <w:divBdr>
        <w:top w:val="none" w:sz="0" w:space="0" w:color="auto"/>
        <w:left w:val="none" w:sz="0" w:space="0" w:color="auto"/>
        <w:bottom w:val="none" w:sz="0" w:space="0" w:color="auto"/>
        <w:right w:val="none" w:sz="0" w:space="0" w:color="auto"/>
      </w:divBdr>
      <w:divsChild>
        <w:div w:id="1955675002">
          <w:marLeft w:val="0"/>
          <w:marRight w:val="0"/>
          <w:marTop w:val="0"/>
          <w:marBottom w:val="0"/>
          <w:divBdr>
            <w:top w:val="none" w:sz="0" w:space="0" w:color="auto"/>
            <w:left w:val="none" w:sz="0" w:space="0" w:color="auto"/>
            <w:bottom w:val="none" w:sz="0" w:space="0" w:color="auto"/>
            <w:right w:val="none" w:sz="0" w:space="0" w:color="auto"/>
          </w:divBdr>
          <w:divsChild>
            <w:div w:id="1955674860">
              <w:marLeft w:val="0"/>
              <w:marRight w:val="0"/>
              <w:marTop w:val="0"/>
              <w:marBottom w:val="0"/>
              <w:divBdr>
                <w:top w:val="none" w:sz="0" w:space="0" w:color="auto"/>
                <w:left w:val="none" w:sz="0" w:space="0" w:color="auto"/>
                <w:bottom w:val="none" w:sz="0" w:space="0" w:color="auto"/>
                <w:right w:val="none" w:sz="0" w:space="0" w:color="auto"/>
              </w:divBdr>
              <w:divsChild>
                <w:div w:id="19556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809">
      <w:marLeft w:val="0"/>
      <w:marRight w:val="0"/>
      <w:marTop w:val="0"/>
      <w:marBottom w:val="0"/>
      <w:divBdr>
        <w:top w:val="none" w:sz="0" w:space="0" w:color="auto"/>
        <w:left w:val="none" w:sz="0" w:space="0" w:color="auto"/>
        <w:bottom w:val="none" w:sz="0" w:space="0" w:color="auto"/>
        <w:right w:val="none" w:sz="0" w:space="0" w:color="auto"/>
      </w:divBdr>
      <w:divsChild>
        <w:div w:id="1955675010">
          <w:marLeft w:val="0"/>
          <w:marRight w:val="0"/>
          <w:marTop w:val="0"/>
          <w:marBottom w:val="0"/>
          <w:divBdr>
            <w:top w:val="none" w:sz="0" w:space="0" w:color="auto"/>
            <w:left w:val="none" w:sz="0" w:space="0" w:color="auto"/>
            <w:bottom w:val="none" w:sz="0" w:space="0" w:color="auto"/>
            <w:right w:val="none" w:sz="0" w:space="0" w:color="auto"/>
          </w:divBdr>
          <w:divsChild>
            <w:div w:id="1955674810">
              <w:marLeft w:val="0"/>
              <w:marRight w:val="0"/>
              <w:marTop w:val="0"/>
              <w:marBottom w:val="0"/>
              <w:divBdr>
                <w:top w:val="none" w:sz="0" w:space="0" w:color="auto"/>
                <w:left w:val="none" w:sz="0" w:space="0" w:color="auto"/>
                <w:bottom w:val="none" w:sz="0" w:space="0" w:color="auto"/>
                <w:right w:val="none" w:sz="0" w:space="0" w:color="auto"/>
              </w:divBdr>
              <w:divsChild>
                <w:div w:id="195567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811">
      <w:marLeft w:val="0"/>
      <w:marRight w:val="0"/>
      <w:marTop w:val="0"/>
      <w:marBottom w:val="0"/>
      <w:divBdr>
        <w:top w:val="none" w:sz="0" w:space="0" w:color="auto"/>
        <w:left w:val="none" w:sz="0" w:space="0" w:color="auto"/>
        <w:bottom w:val="none" w:sz="0" w:space="0" w:color="auto"/>
        <w:right w:val="none" w:sz="0" w:space="0" w:color="auto"/>
      </w:divBdr>
    </w:div>
    <w:div w:id="1955674813">
      <w:marLeft w:val="0"/>
      <w:marRight w:val="0"/>
      <w:marTop w:val="0"/>
      <w:marBottom w:val="0"/>
      <w:divBdr>
        <w:top w:val="none" w:sz="0" w:space="0" w:color="auto"/>
        <w:left w:val="none" w:sz="0" w:space="0" w:color="auto"/>
        <w:bottom w:val="none" w:sz="0" w:space="0" w:color="auto"/>
        <w:right w:val="none" w:sz="0" w:space="0" w:color="auto"/>
      </w:divBdr>
      <w:divsChild>
        <w:div w:id="1955674625">
          <w:marLeft w:val="0"/>
          <w:marRight w:val="0"/>
          <w:marTop w:val="0"/>
          <w:marBottom w:val="0"/>
          <w:divBdr>
            <w:top w:val="none" w:sz="0" w:space="0" w:color="auto"/>
            <w:left w:val="none" w:sz="0" w:space="0" w:color="auto"/>
            <w:bottom w:val="none" w:sz="0" w:space="0" w:color="auto"/>
            <w:right w:val="none" w:sz="0" w:space="0" w:color="auto"/>
          </w:divBdr>
          <w:divsChild>
            <w:div w:id="1955675067">
              <w:marLeft w:val="0"/>
              <w:marRight w:val="0"/>
              <w:marTop w:val="0"/>
              <w:marBottom w:val="0"/>
              <w:divBdr>
                <w:top w:val="none" w:sz="0" w:space="0" w:color="auto"/>
                <w:left w:val="none" w:sz="0" w:space="0" w:color="auto"/>
                <w:bottom w:val="none" w:sz="0" w:space="0" w:color="auto"/>
                <w:right w:val="none" w:sz="0" w:space="0" w:color="auto"/>
              </w:divBdr>
              <w:divsChild>
                <w:div w:id="19556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814">
      <w:marLeft w:val="0"/>
      <w:marRight w:val="0"/>
      <w:marTop w:val="0"/>
      <w:marBottom w:val="0"/>
      <w:divBdr>
        <w:top w:val="none" w:sz="0" w:space="0" w:color="auto"/>
        <w:left w:val="none" w:sz="0" w:space="0" w:color="auto"/>
        <w:bottom w:val="none" w:sz="0" w:space="0" w:color="auto"/>
        <w:right w:val="none" w:sz="0" w:space="0" w:color="auto"/>
      </w:divBdr>
      <w:divsChild>
        <w:div w:id="1955674997">
          <w:marLeft w:val="0"/>
          <w:marRight w:val="0"/>
          <w:marTop w:val="0"/>
          <w:marBottom w:val="0"/>
          <w:divBdr>
            <w:top w:val="none" w:sz="0" w:space="0" w:color="auto"/>
            <w:left w:val="none" w:sz="0" w:space="0" w:color="auto"/>
            <w:bottom w:val="none" w:sz="0" w:space="0" w:color="auto"/>
            <w:right w:val="none" w:sz="0" w:space="0" w:color="auto"/>
          </w:divBdr>
          <w:divsChild>
            <w:div w:id="1955675046">
              <w:marLeft w:val="0"/>
              <w:marRight w:val="0"/>
              <w:marTop w:val="0"/>
              <w:marBottom w:val="0"/>
              <w:divBdr>
                <w:top w:val="none" w:sz="0" w:space="0" w:color="auto"/>
                <w:left w:val="none" w:sz="0" w:space="0" w:color="auto"/>
                <w:bottom w:val="none" w:sz="0" w:space="0" w:color="auto"/>
                <w:right w:val="none" w:sz="0" w:space="0" w:color="auto"/>
              </w:divBdr>
              <w:divsChild>
                <w:div w:id="1955674790">
                  <w:marLeft w:val="0"/>
                  <w:marRight w:val="0"/>
                  <w:marTop w:val="0"/>
                  <w:marBottom w:val="0"/>
                  <w:divBdr>
                    <w:top w:val="none" w:sz="0" w:space="0" w:color="auto"/>
                    <w:left w:val="none" w:sz="0" w:space="0" w:color="auto"/>
                    <w:bottom w:val="none" w:sz="0" w:space="0" w:color="auto"/>
                    <w:right w:val="none" w:sz="0" w:space="0" w:color="auto"/>
                  </w:divBdr>
                  <w:divsChild>
                    <w:div w:id="19556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4822">
      <w:marLeft w:val="0"/>
      <w:marRight w:val="0"/>
      <w:marTop w:val="0"/>
      <w:marBottom w:val="0"/>
      <w:divBdr>
        <w:top w:val="none" w:sz="0" w:space="0" w:color="auto"/>
        <w:left w:val="none" w:sz="0" w:space="0" w:color="auto"/>
        <w:bottom w:val="none" w:sz="0" w:space="0" w:color="auto"/>
        <w:right w:val="none" w:sz="0" w:space="0" w:color="auto"/>
      </w:divBdr>
      <w:divsChild>
        <w:div w:id="1955674720">
          <w:marLeft w:val="0"/>
          <w:marRight w:val="0"/>
          <w:marTop w:val="0"/>
          <w:marBottom w:val="0"/>
          <w:divBdr>
            <w:top w:val="none" w:sz="0" w:space="0" w:color="auto"/>
            <w:left w:val="none" w:sz="0" w:space="0" w:color="auto"/>
            <w:bottom w:val="none" w:sz="0" w:space="0" w:color="auto"/>
            <w:right w:val="none" w:sz="0" w:space="0" w:color="auto"/>
          </w:divBdr>
          <w:divsChild>
            <w:div w:id="1955674688">
              <w:marLeft w:val="0"/>
              <w:marRight w:val="0"/>
              <w:marTop w:val="0"/>
              <w:marBottom w:val="0"/>
              <w:divBdr>
                <w:top w:val="none" w:sz="0" w:space="0" w:color="auto"/>
                <w:left w:val="none" w:sz="0" w:space="0" w:color="auto"/>
                <w:bottom w:val="none" w:sz="0" w:space="0" w:color="auto"/>
                <w:right w:val="none" w:sz="0" w:space="0" w:color="auto"/>
              </w:divBdr>
              <w:divsChild>
                <w:div w:id="195567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824">
      <w:marLeft w:val="0"/>
      <w:marRight w:val="0"/>
      <w:marTop w:val="0"/>
      <w:marBottom w:val="0"/>
      <w:divBdr>
        <w:top w:val="none" w:sz="0" w:space="0" w:color="auto"/>
        <w:left w:val="none" w:sz="0" w:space="0" w:color="auto"/>
        <w:bottom w:val="none" w:sz="0" w:space="0" w:color="auto"/>
        <w:right w:val="none" w:sz="0" w:space="0" w:color="auto"/>
      </w:divBdr>
    </w:div>
    <w:div w:id="1955674825">
      <w:marLeft w:val="0"/>
      <w:marRight w:val="0"/>
      <w:marTop w:val="0"/>
      <w:marBottom w:val="0"/>
      <w:divBdr>
        <w:top w:val="none" w:sz="0" w:space="0" w:color="auto"/>
        <w:left w:val="none" w:sz="0" w:space="0" w:color="auto"/>
        <w:bottom w:val="none" w:sz="0" w:space="0" w:color="auto"/>
        <w:right w:val="none" w:sz="0" w:space="0" w:color="auto"/>
      </w:divBdr>
    </w:div>
    <w:div w:id="1955674827">
      <w:marLeft w:val="0"/>
      <w:marRight w:val="0"/>
      <w:marTop w:val="0"/>
      <w:marBottom w:val="0"/>
      <w:divBdr>
        <w:top w:val="none" w:sz="0" w:space="0" w:color="auto"/>
        <w:left w:val="none" w:sz="0" w:space="0" w:color="auto"/>
        <w:bottom w:val="none" w:sz="0" w:space="0" w:color="auto"/>
        <w:right w:val="none" w:sz="0" w:space="0" w:color="auto"/>
      </w:divBdr>
      <w:divsChild>
        <w:div w:id="1955674807">
          <w:marLeft w:val="0"/>
          <w:marRight w:val="0"/>
          <w:marTop w:val="0"/>
          <w:marBottom w:val="0"/>
          <w:divBdr>
            <w:top w:val="none" w:sz="0" w:space="0" w:color="auto"/>
            <w:left w:val="none" w:sz="0" w:space="0" w:color="auto"/>
            <w:bottom w:val="none" w:sz="0" w:space="0" w:color="auto"/>
            <w:right w:val="none" w:sz="0" w:space="0" w:color="auto"/>
          </w:divBdr>
          <w:divsChild>
            <w:div w:id="1955674838">
              <w:marLeft w:val="0"/>
              <w:marRight w:val="0"/>
              <w:marTop w:val="0"/>
              <w:marBottom w:val="0"/>
              <w:divBdr>
                <w:top w:val="none" w:sz="0" w:space="0" w:color="auto"/>
                <w:left w:val="none" w:sz="0" w:space="0" w:color="auto"/>
                <w:bottom w:val="none" w:sz="0" w:space="0" w:color="auto"/>
                <w:right w:val="none" w:sz="0" w:space="0" w:color="auto"/>
              </w:divBdr>
              <w:divsChild>
                <w:div w:id="195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828">
      <w:marLeft w:val="0"/>
      <w:marRight w:val="0"/>
      <w:marTop w:val="0"/>
      <w:marBottom w:val="0"/>
      <w:divBdr>
        <w:top w:val="none" w:sz="0" w:space="0" w:color="auto"/>
        <w:left w:val="none" w:sz="0" w:space="0" w:color="auto"/>
        <w:bottom w:val="none" w:sz="0" w:space="0" w:color="auto"/>
        <w:right w:val="none" w:sz="0" w:space="0" w:color="auto"/>
      </w:divBdr>
      <w:divsChild>
        <w:div w:id="1955674531">
          <w:marLeft w:val="0"/>
          <w:marRight w:val="0"/>
          <w:marTop w:val="0"/>
          <w:marBottom w:val="0"/>
          <w:divBdr>
            <w:top w:val="none" w:sz="0" w:space="0" w:color="auto"/>
            <w:left w:val="none" w:sz="0" w:space="0" w:color="auto"/>
            <w:bottom w:val="none" w:sz="0" w:space="0" w:color="auto"/>
            <w:right w:val="none" w:sz="0" w:space="0" w:color="auto"/>
          </w:divBdr>
          <w:divsChild>
            <w:div w:id="1955674597">
              <w:marLeft w:val="0"/>
              <w:marRight w:val="0"/>
              <w:marTop w:val="0"/>
              <w:marBottom w:val="0"/>
              <w:divBdr>
                <w:top w:val="none" w:sz="0" w:space="0" w:color="auto"/>
                <w:left w:val="none" w:sz="0" w:space="0" w:color="auto"/>
                <w:bottom w:val="none" w:sz="0" w:space="0" w:color="auto"/>
                <w:right w:val="none" w:sz="0" w:space="0" w:color="auto"/>
              </w:divBdr>
              <w:divsChild>
                <w:div w:id="19556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830">
      <w:marLeft w:val="0"/>
      <w:marRight w:val="0"/>
      <w:marTop w:val="0"/>
      <w:marBottom w:val="0"/>
      <w:divBdr>
        <w:top w:val="none" w:sz="0" w:space="0" w:color="auto"/>
        <w:left w:val="none" w:sz="0" w:space="0" w:color="auto"/>
        <w:bottom w:val="none" w:sz="0" w:space="0" w:color="auto"/>
        <w:right w:val="none" w:sz="0" w:space="0" w:color="auto"/>
      </w:divBdr>
      <w:divsChild>
        <w:div w:id="1955674906">
          <w:marLeft w:val="0"/>
          <w:marRight w:val="0"/>
          <w:marTop w:val="0"/>
          <w:marBottom w:val="0"/>
          <w:divBdr>
            <w:top w:val="none" w:sz="0" w:space="0" w:color="auto"/>
            <w:left w:val="none" w:sz="0" w:space="0" w:color="auto"/>
            <w:bottom w:val="none" w:sz="0" w:space="0" w:color="auto"/>
            <w:right w:val="none" w:sz="0" w:space="0" w:color="auto"/>
          </w:divBdr>
          <w:divsChild>
            <w:div w:id="1955674550">
              <w:marLeft w:val="0"/>
              <w:marRight w:val="0"/>
              <w:marTop w:val="0"/>
              <w:marBottom w:val="0"/>
              <w:divBdr>
                <w:top w:val="none" w:sz="0" w:space="0" w:color="auto"/>
                <w:left w:val="none" w:sz="0" w:space="0" w:color="auto"/>
                <w:bottom w:val="none" w:sz="0" w:space="0" w:color="auto"/>
                <w:right w:val="none" w:sz="0" w:space="0" w:color="auto"/>
              </w:divBdr>
              <w:divsChild>
                <w:div w:id="195567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839">
      <w:marLeft w:val="0"/>
      <w:marRight w:val="0"/>
      <w:marTop w:val="0"/>
      <w:marBottom w:val="0"/>
      <w:divBdr>
        <w:top w:val="none" w:sz="0" w:space="0" w:color="auto"/>
        <w:left w:val="none" w:sz="0" w:space="0" w:color="auto"/>
        <w:bottom w:val="none" w:sz="0" w:space="0" w:color="auto"/>
        <w:right w:val="none" w:sz="0" w:space="0" w:color="auto"/>
      </w:divBdr>
      <w:divsChild>
        <w:div w:id="1955674802">
          <w:marLeft w:val="0"/>
          <w:marRight w:val="0"/>
          <w:marTop w:val="0"/>
          <w:marBottom w:val="0"/>
          <w:divBdr>
            <w:top w:val="none" w:sz="0" w:space="0" w:color="auto"/>
            <w:left w:val="none" w:sz="0" w:space="0" w:color="auto"/>
            <w:bottom w:val="none" w:sz="0" w:space="0" w:color="auto"/>
            <w:right w:val="none" w:sz="0" w:space="0" w:color="auto"/>
          </w:divBdr>
          <w:divsChild>
            <w:div w:id="1955674738">
              <w:marLeft w:val="0"/>
              <w:marRight w:val="0"/>
              <w:marTop w:val="0"/>
              <w:marBottom w:val="0"/>
              <w:divBdr>
                <w:top w:val="none" w:sz="0" w:space="0" w:color="auto"/>
                <w:left w:val="none" w:sz="0" w:space="0" w:color="auto"/>
                <w:bottom w:val="none" w:sz="0" w:space="0" w:color="auto"/>
                <w:right w:val="none" w:sz="0" w:space="0" w:color="auto"/>
              </w:divBdr>
              <w:divsChild>
                <w:div w:id="1955674975">
                  <w:marLeft w:val="0"/>
                  <w:marRight w:val="0"/>
                  <w:marTop w:val="0"/>
                  <w:marBottom w:val="0"/>
                  <w:divBdr>
                    <w:top w:val="none" w:sz="0" w:space="0" w:color="auto"/>
                    <w:left w:val="none" w:sz="0" w:space="0" w:color="auto"/>
                    <w:bottom w:val="none" w:sz="0" w:space="0" w:color="auto"/>
                    <w:right w:val="none" w:sz="0" w:space="0" w:color="auto"/>
                  </w:divBdr>
                  <w:divsChild>
                    <w:div w:id="19556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4841">
      <w:marLeft w:val="0"/>
      <w:marRight w:val="0"/>
      <w:marTop w:val="0"/>
      <w:marBottom w:val="0"/>
      <w:divBdr>
        <w:top w:val="none" w:sz="0" w:space="0" w:color="auto"/>
        <w:left w:val="none" w:sz="0" w:space="0" w:color="auto"/>
        <w:bottom w:val="none" w:sz="0" w:space="0" w:color="auto"/>
        <w:right w:val="none" w:sz="0" w:space="0" w:color="auto"/>
      </w:divBdr>
    </w:div>
    <w:div w:id="1955674844">
      <w:marLeft w:val="0"/>
      <w:marRight w:val="0"/>
      <w:marTop w:val="0"/>
      <w:marBottom w:val="0"/>
      <w:divBdr>
        <w:top w:val="none" w:sz="0" w:space="0" w:color="auto"/>
        <w:left w:val="none" w:sz="0" w:space="0" w:color="auto"/>
        <w:bottom w:val="none" w:sz="0" w:space="0" w:color="auto"/>
        <w:right w:val="none" w:sz="0" w:space="0" w:color="auto"/>
      </w:divBdr>
    </w:div>
    <w:div w:id="1955674847">
      <w:marLeft w:val="0"/>
      <w:marRight w:val="0"/>
      <w:marTop w:val="0"/>
      <w:marBottom w:val="0"/>
      <w:divBdr>
        <w:top w:val="none" w:sz="0" w:space="0" w:color="auto"/>
        <w:left w:val="none" w:sz="0" w:space="0" w:color="auto"/>
        <w:bottom w:val="none" w:sz="0" w:space="0" w:color="auto"/>
        <w:right w:val="none" w:sz="0" w:space="0" w:color="auto"/>
      </w:divBdr>
      <w:divsChild>
        <w:div w:id="1955674543">
          <w:marLeft w:val="0"/>
          <w:marRight w:val="0"/>
          <w:marTop w:val="0"/>
          <w:marBottom w:val="0"/>
          <w:divBdr>
            <w:top w:val="none" w:sz="0" w:space="0" w:color="auto"/>
            <w:left w:val="none" w:sz="0" w:space="0" w:color="auto"/>
            <w:bottom w:val="none" w:sz="0" w:space="0" w:color="auto"/>
            <w:right w:val="none" w:sz="0" w:space="0" w:color="auto"/>
          </w:divBdr>
          <w:divsChild>
            <w:div w:id="1955674934">
              <w:marLeft w:val="0"/>
              <w:marRight w:val="0"/>
              <w:marTop w:val="0"/>
              <w:marBottom w:val="0"/>
              <w:divBdr>
                <w:top w:val="none" w:sz="0" w:space="0" w:color="auto"/>
                <w:left w:val="none" w:sz="0" w:space="0" w:color="auto"/>
                <w:bottom w:val="none" w:sz="0" w:space="0" w:color="auto"/>
                <w:right w:val="none" w:sz="0" w:space="0" w:color="auto"/>
              </w:divBdr>
              <w:divsChild>
                <w:div w:id="19556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850">
      <w:marLeft w:val="0"/>
      <w:marRight w:val="0"/>
      <w:marTop w:val="0"/>
      <w:marBottom w:val="0"/>
      <w:divBdr>
        <w:top w:val="none" w:sz="0" w:space="0" w:color="auto"/>
        <w:left w:val="none" w:sz="0" w:space="0" w:color="auto"/>
        <w:bottom w:val="none" w:sz="0" w:space="0" w:color="auto"/>
        <w:right w:val="none" w:sz="0" w:space="0" w:color="auto"/>
      </w:divBdr>
    </w:div>
    <w:div w:id="1955674851">
      <w:marLeft w:val="0"/>
      <w:marRight w:val="0"/>
      <w:marTop w:val="0"/>
      <w:marBottom w:val="0"/>
      <w:divBdr>
        <w:top w:val="none" w:sz="0" w:space="0" w:color="auto"/>
        <w:left w:val="none" w:sz="0" w:space="0" w:color="auto"/>
        <w:bottom w:val="none" w:sz="0" w:space="0" w:color="auto"/>
        <w:right w:val="none" w:sz="0" w:space="0" w:color="auto"/>
      </w:divBdr>
      <w:divsChild>
        <w:div w:id="1955675079">
          <w:marLeft w:val="0"/>
          <w:marRight w:val="0"/>
          <w:marTop w:val="0"/>
          <w:marBottom w:val="0"/>
          <w:divBdr>
            <w:top w:val="none" w:sz="0" w:space="0" w:color="auto"/>
            <w:left w:val="none" w:sz="0" w:space="0" w:color="auto"/>
            <w:bottom w:val="none" w:sz="0" w:space="0" w:color="auto"/>
            <w:right w:val="none" w:sz="0" w:space="0" w:color="auto"/>
          </w:divBdr>
          <w:divsChild>
            <w:div w:id="1955674979">
              <w:marLeft w:val="0"/>
              <w:marRight w:val="0"/>
              <w:marTop w:val="0"/>
              <w:marBottom w:val="0"/>
              <w:divBdr>
                <w:top w:val="none" w:sz="0" w:space="0" w:color="auto"/>
                <w:left w:val="none" w:sz="0" w:space="0" w:color="auto"/>
                <w:bottom w:val="none" w:sz="0" w:space="0" w:color="auto"/>
                <w:right w:val="none" w:sz="0" w:space="0" w:color="auto"/>
              </w:divBdr>
              <w:divsChild>
                <w:div w:id="195567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852">
      <w:marLeft w:val="0"/>
      <w:marRight w:val="0"/>
      <w:marTop w:val="0"/>
      <w:marBottom w:val="0"/>
      <w:divBdr>
        <w:top w:val="none" w:sz="0" w:space="0" w:color="auto"/>
        <w:left w:val="none" w:sz="0" w:space="0" w:color="auto"/>
        <w:bottom w:val="none" w:sz="0" w:space="0" w:color="auto"/>
        <w:right w:val="none" w:sz="0" w:space="0" w:color="auto"/>
      </w:divBdr>
      <w:divsChild>
        <w:div w:id="1955674697">
          <w:marLeft w:val="0"/>
          <w:marRight w:val="0"/>
          <w:marTop w:val="0"/>
          <w:marBottom w:val="0"/>
          <w:divBdr>
            <w:top w:val="none" w:sz="0" w:space="0" w:color="auto"/>
            <w:left w:val="none" w:sz="0" w:space="0" w:color="auto"/>
            <w:bottom w:val="none" w:sz="0" w:space="0" w:color="auto"/>
            <w:right w:val="none" w:sz="0" w:space="0" w:color="auto"/>
          </w:divBdr>
          <w:divsChild>
            <w:div w:id="1955675016">
              <w:marLeft w:val="0"/>
              <w:marRight w:val="0"/>
              <w:marTop w:val="0"/>
              <w:marBottom w:val="0"/>
              <w:divBdr>
                <w:top w:val="none" w:sz="0" w:space="0" w:color="auto"/>
                <w:left w:val="none" w:sz="0" w:space="0" w:color="auto"/>
                <w:bottom w:val="none" w:sz="0" w:space="0" w:color="auto"/>
                <w:right w:val="none" w:sz="0" w:space="0" w:color="auto"/>
              </w:divBdr>
              <w:divsChild>
                <w:div w:id="19556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859">
      <w:marLeft w:val="0"/>
      <w:marRight w:val="0"/>
      <w:marTop w:val="0"/>
      <w:marBottom w:val="0"/>
      <w:divBdr>
        <w:top w:val="none" w:sz="0" w:space="0" w:color="auto"/>
        <w:left w:val="none" w:sz="0" w:space="0" w:color="auto"/>
        <w:bottom w:val="none" w:sz="0" w:space="0" w:color="auto"/>
        <w:right w:val="none" w:sz="0" w:space="0" w:color="auto"/>
      </w:divBdr>
      <w:divsChild>
        <w:div w:id="1955674719">
          <w:marLeft w:val="0"/>
          <w:marRight w:val="0"/>
          <w:marTop w:val="0"/>
          <w:marBottom w:val="0"/>
          <w:divBdr>
            <w:top w:val="none" w:sz="0" w:space="0" w:color="auto"/>
            <w:left w:val="none" w:sz="0" w:space="0" w:color="auto"/>
            <w:bottom w:val="none" w:sz="0" w:space="0" w:color="auto"/>
            <w:right w:val="none" w:sz="0" w:space="0" w:color="auto"/>
          </w:divBdr>
          <w:divsChild>
            <w:div w:id="1955674821">
              <w:marLeft w:val="0"/>
              <w:marRight w:val="0"/>
              <w:marTop w:val="0"/>
              <w:marBottom w:val="0"/>
              <w:divBdr>
                <w:top w:val="none" w:sz="0" w:space="0" w:color="auto"/>
                <w:left w:val="none" w:sz="0" w:space="0" w:color="auto"/>
                <w:bottom w:val="none" w:sz="0" w:space="0" w:color="auto"/>
                <w:right w:val="none" w:sz="0" w:space="0" w:color="auto"/>
              </w:divBdr>
              <w:divsChild>
                <w:div w:id="195567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4882">
          <w:marLeft w:val="0"/>
          <w:marRight w:val="0"/>
          <w:marTop w:val="0"/>
          <w:marBottom w:val="0"/>
          <w:divBdr>
            <w:top w:val="none" w:sz="0" w:space="0" w:color="auto"/>
            <w:left w:val="none" w:sz="0" w:space="0" w:color="auto"/>
            <w:bottom w:val="none" w:sz="0" w:space="0" w:color="auto"/>
            <w:right w:val="none" w:sz="0" w:space="0" w:color="auto"/>
          </w:divBdr>
          <w:divsChild>
            <w:div w:id="1955674900">
              <w:marLeft w:val="0"/>
              <w:marRight w:val="0"/>
              <w:marTop w:val="0"/>
              <w:marBottom w:val="0"/>
              <w:divBdr>
                <w:top w:val="none" w:sz="0" w:space="0" w:color="auto"/>
                <w:left w:val="none" w:sz="0" w:space="0" w:color="auto"/>
                <w:bottom w:val="none" w:sz="0" w:space="0" w:color="auto"/>
                <w:right w:val="none" w:sz="0" w:space="0" w:color="auto"/>
              </w:divBdr>
              <w:divsChild>
                <w:div w:id="195567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871">
      <w:marLeft w:val="0"/>
      <w:marRight w:val="0"/>
      <w:marTop w:val="0"/>
      <w:marBottom w:val="0"/>
      <w:divBdr>
        <w:top w:val="none" w:sz="0" w:space="0" w:color="auto"/>
        <w:left w:val="none" w:sz="0" w:space="0" w:color="auto"/>
        <w:bottom w:val="none" w:sz="0" w:space="0" w:color="auto"/>
        <w:right w:val="none" w:sz="0" w:space="0" w:color="auto"/>
      </w:divBdr>
      <w:divsChild>
        <w:div w:id="1955675041">
          <w:marLeft w:val="0"/>
          <w:marRight w:val="0"/>
          <w:marTop w:val="0"/>
          <w:marBottom w:val="0"/>
          <w:divBdr>
            <w:top w:val="none" w:sz="0" w:space="0" w:color="auto"/>
            <w:left w:val="none" w:sz="0" w:space="0" w:color="auto"/>
            <w:bottom w:val="none" w:sz="0" w:space="0" w:color="auto"/>
            <w:right w:val="none" w:sz="0" w:space="0" w:color="auto"/>
          </w:divBdr>
          <w:divsChild>
            <w:div w:id="1955674928">
              <w:marLeft w:val="0"/>
              <w:marRight w:val="0"/>
              <w:marTop w:val="0"/>
              <w:marBottom w:val="0"/>
              <w:divBdr>
                <w:top w:val="none" w:sz="0" w:space="0" w:color="auto"/>
                <w:left w:val="none" w:sz="0" w:space="0" w:color="auto"/>
                <w:bottom w:val="none" w:sz="0" w:space="0" w:color="auto"/>
                <w:right w:val="none" w:sz="0" w:space="0" w:color="auto"/>
              </w:divBdr>
              <w:divsChild>
                <w:div w:id="195567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873">
      <w:marLeft w:val="0"/>
      <w:marRight w:val="0"/>
      <w:marTop w:val="0"/>
      <w:marBottom w:val="0"/>
      <w:divBdr>
        <w:top w:val="none" w:sz="0" w:space="0" w:color="auto"/>
        <w:left w:val="none" w:sz="0" w:space="0" w:color="auto"/>
        <w:bottom w:val="none" w:sz="0" w:space="0" w:color="auto"/>
        <w:right w:val="none" w:sz="0" w:space="0" w:color="auto"/>
      </w:divBdr>
    </w:div>
    <w:div w:id="1955674876">
      <w:marLeft w:val="0"/>
      <w:marRight w:val="0"/>
      <w:marTop w:val="0"/>
      <w:marBottom w:val="0"/>
      <w:divBdr>
        <w:top w:val="none" w:sz="0" w:space="0" w:color="auto"/>
        <w:left w:val="none" w:sz="0" w:space="0" w:color="auto"/>
        <w:bottom w:val="none" w:sz="0" w:space="0" w:color="auto"/>
        <w:right w:val="none" w:sz="0" w:space="0" w:color="auto"/>
      </w:divBdr>
      <w:divsChild>
        <w:div w:id="1955674836">
          <w:marLeft w:val="0"/>
          <w:marRight w:val="0"/>
          <w:marTop w:val="0"/>
          <w:marBottom w:val="0"/>
          <w:divBdr>
            <w:top w:val="none" w:sz="0" w:space="0" w:color="auto"/>
            <w:left w:val="none" w:sz="0" w:space="0" w:color="auto"/>
            <w:bottom w:val="none" w:sz="0" w:space="0" w:color="auto"/>
            <w:right w:val="none" w:sz="0" w:space="0" w:color="auto"/>
          </w:divBdr>
          <w:divsChild>
            <w:div w:id="1955674732">
              <w:marLeft w:val="0"/>
              <w:marRight w:val="0"/>
              <w:marTop w:val="0"/>
              <w:marBottom w:val="0"/>
              <w:divBdr>
                <w:top w:val="none" w:sz="0" w:space="0" w:color="auto"/>
                <w:left w:val="none" w:sz="0" w:space="0" w:color="auto"/>
                <w:bottom w:val="none" w:sz="0" w:space="0" w:color="auto"/>
                <w:right w:val="none" w:sz="0" w:space="0" w:color="auto"/>
              </w:divBdr>
              <w:divsChild>
                <w:div w:id="19556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878">
      <w:marLeft w:val="0"/>
      <w:marRight w:val="0"/>
      <w:marTop w:val="0"/>
      <w:marBottom w:val="0"/>
      <w:divBdr>
        <w:top w:val="none" w:sz="0" w:space="0" w:color="auto"/>
        <w:left w:val="none" w:sz="0" w:space="0" w:color="auto"/>
        <w:bottom w:val="none" w:sz="0" w:space="0" w:color="auto"/>
        <w:right w:val="none" w:sz="0" w:space="0" w:color="auto"/>
      </w:divBdr>
    </w:div>
    <w:div w:id="1955674879">
      <w:marLeft w:val="0"/>
      <w:marRight w:val="0"/>
      <w:marTop w:val="0"/>
      <w:marBottom w:val="0"/>
      <w:divBdr>
        <w:top w:val="none" w:sz="0" w:space="0" w:color="auto"/>
        <w:left w:val="none" w:sz="0" w:space="0" w:color="auto"/>
        <w:bottom w:val="none" w:sz="0" w:space="0" w:color="auto"/>
        <w:right w:val="none" w:sz="0" w:space="0" w:color="auto"/>
      </w:divBdr>
      <w:divsChild>
        <w:div w:id="1955674715">
          <w:marLeft w:val="0"/>
          <w:marRight w:val="0"/>
          <w:marTop w:val="0"/>
          <w:marBottom w:val="0"/>
          <w:divBdr>
            <w:top w:val="none" w:sz="0" w:space="0" w:color="auto"/>
            <w:left w:val="none" w:sz="0" w:space="0" w:color="auto"/>
            <w:bottom w:val="none" w:sz="0" w:space="0" w:color="auto"/>
            <w:right w:val="none" w:sz="0" w:space="0" w:color="auto"/>
          </w:divBdr>
          <w:divsChild>
            <w:div w:id="1955674972">
              <w:marLeft w:val="0"/>
              <w:marRight w:val="0"/>
              <w:marTop w:val="0"/>
              <w:marBottom w:val="0"/>
              <w:divBdr>
                <w:top w:val="none" w:sz="0" w:space="0" w:color="auto"/>
                <w:left w:val="none" w:sz="0" w:space="0" w:color="auto"/>
                <w:bottom w:val="none" w:sz="0" w:space="0" w:color="auto"/>
                <w:right w:val="none" w:sz="0" w:space="0" w:color="auto"/>
              </w:divBdr>
              <w:divsChild>
                <w:div w:id="1955674735">
                  <w:marLeft w:val="0"/>
                  <w:marRight w:val="0"/>
                  <w:marTop w:val="0"/>
                  <w:marBottom w:val="0"/>
                  <w:divBdr>
                    <w:top w:val="none" w:sz="0" w:space="0" w:color="auto"/>
                    <w:left w:val="none" w:sz="0" w:space="0" w:color="auto"/>
                    <w:bottom w:val="none" w:sz="0" w:space="0" w:color="auto"/>
                    <w:right w:val="none" w:sz="0" w:space="0" w:color="auto"/>
                  </w:divBdr>
                  <w:divsChild>
                    <w:div w:id="19556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872">
          <w:marLeft w:val="0"/>
          <w:marRight w:val="0"/>
          <w:marTop w:val="0"/>
          <w:marBottom w:val="0"/>
          <w:divBdr>
            <w:top w:val="none" w:sz="0" w:space="0" w:color="auto"/>
            <w:left w:val="none" w:sz="0" w:space="0" w:color="auto"/>
            <w:bottom w:val="none" w:sz="0" w:space="0" w:color="auto"/>
            <w:right w:val="none" w:sz="0" w:space="0" w:color="auto"/>
          </w:divBdr>
          <w:divsChild>
            <w:div w:id="1955674585">
              <w:marLeft w:val="0"/>
              <w:marRight w:val="0"/>
              <w:marTop w:val="0"/>
              <w:marBottom w:val="0"/>
              <w:divBdr>
                <w:top w:val="none" w:sz="0" w:space="0" w:color="auto"/>
                <w:left w:val="none" w:sz="0" w:space="0" w:color="auto"/>
                <w:bottom w:val="none" w:sz="0" w:space="0" w:color="auto"/>
                <w:right w:val="none" w:sz="0" w:space="0" w:color="auto"/>
              </w:divBdr>
              <w:divsChild>
                <w:div w:id="1955674953">
                  <w:marLeft w:val="0"/>
                  <w:marRight w:val="0"/>
                  <w:marTop w:val="0"/>
                  <w:marBottom w:val="0"/>
                  <w:divBdr>
                    <w:top w:val="none" w:sz="0" w:space="0" w:color="auto"/>
                    <w:left w:val="none" w:sz="0" w:space="0" w:color="auto"/>
                    <w:bottom w:val="none" w:sz="0" w:space="0" w:color="auto"/>
                    <w:right w:val="none" w:sz="0" w:space="0" w:color="auto"/>
                  </w:divBdr>
                </w:div>
              </w:divsChild>
            </w:div>
            <w:div w:id="1955674744">
              <w:marLeft w:val="0"/>
              <w:marRight w:val="0"/>
              <w:marTop w:val="0"/>
              <w:marBottom w:val="0"/>
              <w:divBdr>
                <w:top w:val="none" w:sz="0" w:space="0" w:color="auto"/>
                <w:left w:val="none" w:sz="0" w:space="0" w:color="auto"/>
                <w:bottom w:val="none" w:sz="0" w:space="0" w:color="auto"/>
                <w:right w:val="none" w:sz="0" w:space="0" w:color="auto"/>
              </w:divBdr>
              <w:divsChild>
                <w:div w:id="195567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890">
      <w:marLeft w:val="0"/>
      <w:marRight w:val="0"/>
      <w:marTop w:val="0"/>
      <w:marBottom w:val="0"/>
      <w:divBdr>
        <w:top w:val="none" w:sz="0" w:space="0" w:color="auto"/>
        <w:left w:val="none" w:sz="0" w:space="0" w:color="auto"/>
        <w:bottom w:val="none" w:sz="0" w:space="0" w:color="auto"/>
        <w:right w:val="none" w:sz="0" w:space="0" w:color="auto"/>
      </w:divBdr>
      <w:divsChild>
        <w:div w:id="1955674967">
          <w:marLeft w:val="0"/>
          <w:marRight w:val="0"/>
          <w:marTop w:val="0"/>
          <w:marBottom w:val="0"/>
          <w:divBdr>
            <w:top w:val="none" w:sz="0" w:space="0" w:color="auto"/>
            <w:left w:val="none" w:sz="0" w:space="0" w:color="auto"/>
            <w:bottom w:val="none" w:sz="0" w:space="0" w:color="auto"/>
            <w:right w:val="none" w:sz="0" w:space="0" w:color="auto"/>
          </w:divBdr>
          <w:divsChild>
            <w:div w:id="1955674729">
              <w:marLeft w:val="0"/>
              <w:marRight w:val="0"/>
              <w:marTop w:val="0"/>
              <w:marBottom w:val="0"/>
              <w:divBdr>
                <w:top w:val="none" w:sz="0" w:space="0" w:color="auto"/>
                <w:left w:val="none" w:sz="0" w:space="0" w:color="auto"/>
                <w:bottom w:val="none" w:sz="0" w:space="0" w:color="auto"/>
                <w:right w:val="none" w:sz="0" w:space="0" w:color="auto"/>
              </w:divBdr>
              <w:divsChild>
                <w:div w:id="19556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891">
      <w:marLeft w:val="0"/>
      <w:marRight w:val="0"/>
      <w:marTop w:val="0"/>
      <w:marBottom w:val="0"/>
      <w:divBdr>
        <w:top w:val="none" w:sz="0" w:space="0" w:color="auto"/>
        <w:left w:val="none" w:sz="0" w:space="0" w:color="auto"/>
        <w:bottom w:val="none" w:sz="0" w:space="0" w:color="auto"/>
        <w:right w:val="none" w:sz="0" w:space="0" w:color="auto"/>
      </w:divBdr>
    </w:div>
    <w:div w:id="1955674892">
      <w:marLeft w:val="0"/>
      <w:marRight w:val="0"/>
      <w:marTop w:val="0"/>
      <w:marBottom w:val="0"/>
      <w:divBdr>
        <w:top w:val="none" w:sz="0" w:space="0" w:color="auto"/>
        <w:left w:val="none" w:sz="0" w:space="0" w:color="auto"/>
        <w:bottom w:val="none" w:sz="0" w:space="0" w:color="auto"/>
        <w:right w:val="none" w:sz="0" w:space="0" w:color="auto"/>
      </w:divBdr>
      <w:divsChild>
        <w:div w:id="1955674665">
          <w:marLeft w:val="0"/>
          <w:marRight w:val="0"/>
          <w:marTop w:val="0"/>
          <w:marBottom w:val="0"/>
          <w:divBdr>
            <w:top w:val="none" w:sz="0" w:space="0" w:color="auto"/>
            <w:left w:val="none" w:sz="0" w:space="0" w:color="auto"/>
            <w:bottom w:val="none" w:sz="0" w:space="0" w:color="auto"/>
            <w:right w:val="none" w:sz="0" w:space="0" w:color="auto"/>
          </w:divBdr>
          <w:divsChild>
            <w:div w:id="1955674631">
              <w:marLeft w:val="0"/>
              <w:marRight w:val="0"/>
              <w:marTop w:val="0"/>
              <w:marBottom w:val="0"/>
              <w:divBdr>
                <w:top w:val="none" w:sz="0" w:space="0" w:color="auto"/>
                <w:left w:val="none" w:sz="0" w:space="0" w:color="auto"/>
                <w:bottom w:val="none" w:sz="0" w:space="0" w:color="auto"/>
                <w:right w:val="none" w:sz="0" w:space="0" w:color="auto"/>
              </w:divBdr>
              <w:divsChild>
                <w:div w:id="195567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901">
      <w:marLeft w:val="0"/>
      <w:marRight w:val="0"/>
      <w:marTop w:val="0"/>
      <w:marBottom w:val="0"/>
      <w:divBdr>
        <w:top w:val="none" w:sz="0" w:space="0" w:color="auto"/>
        <w:left w:val="none" w:sz="0" w:space="0" w:color="auto"/>
        <w:bottom w:val="none" w:sz="0" w:space="0" w:color="auto"/>
        <w:right w:val="none" w:sz="0" w:space="0" w:color="auto"/>
      </w:divBdr>
      <w:divsChild>
        <w:div w:id="1955674686">
          <w:marLeft w:val="0"/>
          <w:marRight w:val="0"/>
          <w:marTop w:val="0"/>
          <w:marBottom w:val="0"/>
          <w:divBdr>
            <w:top w:val="none" w:sz="0" w:space="0" w:color="auto"/>
            <w:left w:val="none" w:sz="0" w:space="0" w:color="auto"/>
            <w:bottom w:val="none" w:sz="0" w:space="0" w:color="auto"/>
            <w:right w:val="none" w:sz="0" w:space="0" w:color="auto"/>
          </w:divBdr>
          <w:divsChild>
            <w:div w:id="1955674533">
              <w:marLeft w:val="0"/>
              <w:marRight w:val="0"/>
              <w:marTop w:val="0"/>
              <w:marBottom w:val="0"/>
              <w:divBdr>
                <w:top w:val="none" w:sz="0" w:space="0" w:color="auto"/>
                <w:left w:val="none" w:sz="0" w:space="0" w:color="auto"/>
                <w:bottom w:val="none" w:sz="0" w:space="0" w:color="auto"/>
                <w:right w:val="none" w:sz="0" w:space="0" w:color="auto"/>
              </w:divBdr>
              <w:divsChild>
                <w:div w:id="1955674554">
                  <w:marLeft w:val="0"/>
                  <w:marRight w:val="0"/>
                  <w:marTop w:val="0"/>
                  <w:marBottom w:val="0"/>
                  <w:divBdr>
                    <w:top w:val="none" w:sz="0" w:space="0" w:color="auto"/>
                    <w:left w:val="none" w:sz="0" w:space="0" w:color="auto"/>
                    <w:bottom w:val="none" w:sz="0" w:space="0" w:color="auto"/>
                    <w:right w:val="none" w:sz="0" w:space="0" w:color="auto"/>
                  </w:divBdr>
                </w:div>
              </w:divsChild>
            </w:div>
            <w:div w:id="1955674540">
              <w:marLeft w:val="0"/>
              <w:marRight w:val="0"/>
              <w:marTop w:val="0"/>
              <w:marBottom w:val="0"/>
              <w:divBdr>
                <w:top w:val="none" w:sz="0" w:space="0" w:color="auto"/>
                <w:left w:val="none" w:sz="0" w:space="0" w:color="auto"/>
                <w:bottom w:val="none" w:sz="0" w:space="0" w:color="auto"/>
                <w:right w:val="none" w:sz="0" w:space="0" w:color="auto"/>
              </w:divBdr>
              <w:divsChild>
                <w:div w:id="1955674560">
                  <w:marLeft w:val="0"/>
                  <w:marRight w:val="0"/>
                  <w:marTop w:val="0"/>
                  <w:marBottom w:val="0"/>
                  <w:divBdr>
                    <w:top w:val="none" w:sz="0" w:space="0" w:color="auto"/>
                    <w:left w:val="none" w:sz="0" w:space="0" w:color="auto"/>
                    <w:bottom w:val="none" w:sz="0" w:space="0" w:color="auto"/>
                    <w:right w:val="none" w:sz="0" w:space="0" w:color="auto"/>
                  </w:divBdr>
                </w:div>
              </w:divsChild>
            </w:div>
            <w:div w:id="1955674603">
              <w:marLeft w:val="0"/>
              <w:marRight w:val="0"/>
              <w:marTop w:val="0"/>
              <w:marBottom w:val="0"/>
              <w:divBdr>
                <w:top w:val="none" w:sz="0" w:space="0" w:color="auto"/>
                <w:left w:val="none" w:sz="0" w:space="0" w:color="auto"/>
                <w:bottom w:val="none" w:sz="0" w:space="0" w:color="auto"/>
                <w:right w:val="none" w:sz="0" w:space="0" w:color="auto"/>
              </w:divBdr>
              <w:divsChild>
                <w:div w:id="1955674898">
                  <w:marLeft w:val="0"/>
                  <w:marRight w:val="0"/>
                  <w:marTop w:val="0"/>
                  <w:marBottom w:val="0"/>
                  <w:divBdr>
                    <w:top w:val="none" w:sz="0" w:space="0" w:color="auto"/>
                    <w:left w:val="none" w:sz="0" w:space="0" w:color="auto"/>
                    <w:bottom w:val="none" w:sz="0" w:space="0" w:color="auto"/>
                    <w:right w:val="none" w:sz="0" w:space="0" w:color="auto"/>
                  </w:divBdr>
                </w:div>
              </w:divsChild>
            </w:div>
            <w:div w:id="1955674633">
              <w:marLeft w:val="0"/>
              <w:marRight w:val="0"/>
              <w:marTop w:val="0"/>
              <w:marBottom w:val="0"/>
              <w:divBdr>
                <w:top w:val="none" w:sz="0" w:space="0" w:color="auto"/>
                <w:left w:val="none" w:sz="0" w:space="0" w:color="auto"/>
                <w:bottom w:val="none" w:sz="0" w:space="0" w:color="auto"/>
                <w:right w:val="none" w:sz="0" w:space="0" w:color="auto"/>
              </w:divBdr>
              <w:divsChild>
                <w:div w:id="1955674833">
                  <w:marLeft w:val="0"/>
                  <w:marRight w:val="0"/>
                  <w:marTop w:val="0"/>
                  <w:marBottom w:val="0"/>
                  <w:divBdr>
                    <w:top w:val="none" w:sz="0" w:space="0" w:color="auto"/>
                    <w:left w:val="none" w:sz="0" w:space="0" w:color="auto"/>
                    <w:bottom w:val="none" w:sz="0" w:space="0" w:color="auto"/>
                    <w:right w:val="none" w:sz="0" w:space="0" w:color="auto"/>
                  </w:divBdr>
                </w:div>
              </w:divsChild>
            </w:div>
            <w:div w:id="1955674671">
              <w:marLeft w:val="0"/>
              <w:marRight w:val="0"/>
              <w:marTop w:val="0"/>
              <w:marBottom w:val="0"/>
              <w:divBdr>
                <w:top w:val="none" w:sz="0" w:space="0" w:color="auto"/>
                <w:left w:val="none" w:sz="0" w:space="0" w:color="auto"/>
                <w:bottom w:val="none" w:sz="0" w:space="0" w:color="auto"/>
                <w:right w:val="none" w:sz="0" w:space="0" w:color="auto"/>
              </w:divBdr>
              <w:divsChild>
                <w:div w:id="1955675078">
                  <w:marLeft w:val="0"/>
                  <w:marRight w:val="0"/>
                  <w:marTop w:val="0"/>
                  <w:marBottom w:val="0"/>
                  <w:divBdr>
                    <w:top w:val="none" w:sz="0" w:space="0" w:color="auto"/>
                    <w:left w:val="none" w:sz="0" w:space="0" w:color="auto"/>
                    <w:bottom w:val="none" w:sz="0" w:space="0" w:color="auto"/>
                    <w:right w:val="none" w:sz="0" w:space="0" w:color="auto"/>
                  </w:divBdr>
                </w:div>
              </w:divsChild>
            </w:div>
            <w:div w:id="1955674673">
              <w:marLeft w:val="0"/>
              <w:marRight w:val="0"/>
              <w:marTop w:val="0"/>
              <w:marBottom w:val="0"/>
              <w:divBdr>
                <w:top w:val="none" w:sz="0" w:space="0" w:color="auto"/>
                <w:left w:val="none" w:sz="0" w:space="0" w:color="auto"/>
                <w:bottom w:val="none" w:sz="0" w:space="0" w:color="auto"/>
                <w:right w:val="none" w:sz="0" w:space="0" w:color="auto"/>
              </w:divBdr>
              <w:divsChild>
                <w:div w:id="1955674562">
                  <w:marLeft w:val="0"/>
                  <w:marRight w:val="0"/>
                  <w:marTop w:val="0"/>
                  <w:marBottom w:val="0"/>
                  <w:divBdr>
                    <w:top w:val="none" w:sz="0" w:space="0" w:color="auto"/>
                    <w:left w:val="none" w:sz="0" w:space="0" w:color="auto"/>
                    <w:bottom w:val="none" w:sz="0" w:space="0" w:color="auto"/>
                    <w:right w:val="none" w:sz="0" w:space="0" w:color="auto"/>
                  </w:divBdr>
                </w:div>
              </w:divsChild>
            </w:div>
            <w:div w:id="1955674748">
              <w:marLeft w:val="0"/>
              <w:marRight w:val="0"/>
              <w:marTop w:val="0"/>
              <w:marBottom w:val="0"/>
              <w:divBdr>
                <w:top w:val="none" w:sz="0" w:space="0" w:color="auto"/>
                <w:left w:val="none" w:sz="0" w:space="0" w:color="auto"/>
                <w:bottom w:val="none" w:sz="0" w:space="0" w:color="auto"/>
                <w:right w:val="none" w:sz="0" w:space="0" w:color="auto"/>
              </w:divBdr>
              <w:divsChild>
                <w:div w:id="1955674875">
                  <w:marLeft w:val="0"/>
                  <w:marRight w:val="0"/>
                  <w:marTop w:val="0"/>
                  <w:marBottom w:val="0"/>
                  <w:divBdr>
                    <w:top w:val="none" w:sz="0" w:space="0" w:color="auto"/>
                    <w:left w:val="none" w:sz="0" w:space="0" w:color="auto"/>
                    <w:bottom w:val="none" w:sz="0" w:space="0" w:color="auto"/>
                    <w:right w:val="none" w:sz="0" w:space="0" w:color="auto"/>
                  </w:divBdr>
                </w:div>
              </w:divsChild>
            </w:div>
            <w:div w:id="1955674760">
              <w:marLeft w:val="0"/>
              <w:marRight w:val="0"/>
              <w:marTop w:val="0"/>
              <w:marBottom w:val="0"/>
              <w:divBdr>
                <w:top w:val="none" w:sz="0" w:space="0" w:color="auto"/>
                <w:left w:val="none" w:sz="0" w:space="0" w:color="auto"/>
                <w:bottom w:val="none" w:sz="0" w:space="0" w:color="auto"/>
                <w:right w:val="none" w:sz="0" w:space="0" w:color="auto"/>
              </w:divBdr>
              <w:divsChild>
                <w:div w:id="1955674981">
                  <w:marLeft w:val="0"/>
                  <w:marRight w:val="0"/>
                  <w:marTop w:val="0"/>
                  <w:marBottom w:val="0"/>
                  <w:divBdr>
                    <w:top w:val="none" w:sz="0" w:space="0" w:color="auto"/>
                    <w:left w:val="none" w:sz="0" w:space="0" w:color="auto"/>
                    <w:bottom w:val="none" w:sz="0" w:space="0" w:color="auto"/>
                    <w:right w:val="none" w:sz="0" w:space="0" w:color="auto"/>
                  </w:divBdr>
                </w:div>
              </w:divsChild>
            </w:div>
            <w:div w:id="1955674818">
              <w:marLeft w:val="0"/>
              <w:marRight w:val="0"/>
              <w:marTop w:val="0"/>
              <w:marBottom w:val="0"/>
              <w:divBdr>
                <w:top w:val="none" w:sz="0" w:space="0" w:color="auto"/>
                <w:left w:val="none" w:sz="0" w:space="0" w:color="auto"/>
                <w:bottom w:val="none" w:sz="0" w:space="0" w:color="auto"/>
                <w:right w:val="none" w:sz="0" w:space="0" w:color="auto"/>
              </w:divBdr>
              <w:divsChild>
                <w:div w:id="1955674762">
                  <w:marLeft w:val="0"/>
                  <w:marRight w:val="0"/>
                  <w:marTop w:val="0"/>
                  <w:marBottom w:val="0"/>
                  <w:divBdr>
                    <w:top w:val="none" w:sz="0" w:space="0" w:color="auto"/>
                    <w:left w:val="none" w:sz="0" w:space="0" w:color="auto"/>
                    <w:bottom w:val="none" w:sz="0" w:space="0" w:color="auto"/>
                    <w:right w:val="none" w:sz="0" w:space="0" w:color="auto"/>
                  </w:divBdr>
                </w:div>
              </w:divsChild>
            </w:div>
            <w:div w:id="1955674862">
              <w:marLeft w:val="0"/>
              <w:marRight w:val="0"/>
              <w:marTop w:val="0"/>
              <w:marBottom w:val="0"/>
              <w:divBdr>
                <w:top w:val="none" w:sz="0" w:space="0" w:color="auto"/>
                <w:left w:val="none" w:sz="0" w:space="0" w:color="auto"/>
                <w:bottom w:val="none" w:sz="0" w:space="0" w:color="auto"/>
                <w:right w:val="none" w:sz="0" w:space="0" w:color="auto"/>
              </w:divBdr>
              <w:divsChild>
                <w:div w:id="1955674768">
                  <w:marLeft w:val="0"/>
                  <w:marRight w:val="0"/>
                  <w:marTop w:val="0"/>
                  <w:marBottom w:val="0"/>
                  <w:divBdr>
                    <w:top w:val="none" w:sz="0" w:space="0" w:color="auto"/>
                    <w:left w:val="none" w:sz="0" w:space="0" w:color="auto"/>
                    <w:bottom w:val="none" w:sz="0" w:space="0" w:color="auto"/>
                    <w:right w:val="none" w:sz="0" w:space="0" w:color="auto"/>
                  </w:divBdr>
                </w:div>
              </w:divsChild>
            </w:div>
            <w:div w:id="1955675058">
              <w:marLeft w:val="0"/>
              <w:marRight w:val="0"/>
              <w:marTop w:val="0"/>
              <w:marBottom w:val="0"/>
              <w:divBdr>
                <w:top w:val="none" w:sz="0" w:space="0" w:color="auto"/>
                <w:left w:val="none" w:sz="0" w:space="0" w:color="auto"/>
                <w:bottom w:val="none" w:sz="0" w:space="0" w:color="auto"/>
                <w:right w:val="none" w:sz="0" w:space="0" w:color="auto"/>
              </w:divBdr>
              <w:divsChild>
                <w:div w:id="1955674832">
                  <w:marLeft w:val="0"/>
                  <w:marRight w:val="0"/>
                  <w:marTop w:val="0"/>
                  <w:marBottom w:val="0"/>
                  <w:divBdr>
                    <w:top w:val="none" w:sz="0" w:space="0" w:color="auto"/>
                    <w:left w:val="none" w:sz="0" w:space="0" w:color="auto"/>
                    <w:bottom w:val="none" w:sz="0" w:space="0" w:color="auto"/>
                    <w:right w:val="none" w:sz="0" w:space="0" w:color="auto"/>
                  </w:divBdr>
                </w:div>
              </w:divsChild>
            </w:div>
            <w:div w:id="1955675103">
              <w:marLeft w:val="0"/>
              <w:marRight w:val="0"/>
              <w:marTop w:val="0"/>
              <w:marBottom w:val="0"/>
              <w:divBdr>
                <w:top w:val="none" w:sz="0" w:space="0" w:color="auto"/>
                <w:left w:val="none" w:sz="0" w:space="0" w:color="auto"/>
                <w:bottom w:val="none" w:sz="0" w:space="0" w:color="auto"/>
                <w:right w:val="none" w:sz="0" w:space="0" w:color="auto"/>
              </w:divBdr>
              <w:divsChild>
                <w:div w:id="195567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912">
      <w:marLeft w:val="0"/>
      <w:marRight w:val="0"/>
      <w:marTop w:val="0"/>
      <w:marBottom w:val="0"/>
      <w:divBdr>
        <w:top w:val="none" w:sz="0" w:space="0" w:color="auto"/>
        <w:left w:val="none" w:sz="0" w:space="0" w:color="auto"/>
        <w:bottom w:val="none" w:sz="0" w:space="0" w:color="auto"/>
        <w:right w:val="none" w:sz="0" w:space="0" w:color="auto"/>
      </w:divBdr>
      <w:divsChild>
        <w:div w:id="1955674594">
          <w:marLeft w:val="0"/>
          <w:marRight w:val="0"/>
          <w:marTop w:val="0"/>
          <w:marBottom w:val="0"/>
          <w:divBdr>
            <w:top w:val="none" w:sz="0" w:space="0" w:color="auto"/>
            <w:left w:val="none" w:sz="0" w:space="0" w:color="auto"/>
            <w:bottom w:val="none" w:sz="0" w:space="0" w:color="auto"/>
            <w:right w:val="none" w:sz="0" w:space="0" w:color="auto"/>
          </w:divBdr>
          <w:divsChild>
            <w:div w:id="1955674808">
              <w:marLeft w:val="0"/>
              <w:marRight w:val="0"/>
              <w:marTop w:val="0"/>
              <w:marBottom w:val="0"/>
              <w:divBdr>
                <w:top w:val="none" w:sz="0" w:space="0" w:color="auto"/>
                <w:left w:val="none" w:sz="0" w:space="0" w:color="auto"/>
                <w:bottom w:val="none" w:sz="0" w:space="0" w:color="auto"/>
                <w:right w:val="none" w:sz="0" w:space="0" w:color="auto"/>
              </w:divBdr>
              <w:divsChild>
                <w:div w:id="19556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918">
      <w:marLeft w:val="0"/>
      <w:marRight w:val="0"/>
      <w:marTop w:val="0"/>
      <w:marBottom w:val="0"/>
      <w:divBdr>
        <w:top w:val="none" w:sz="0" w:space="0" w:color="auto"/>
        <w:left w:val="none" w:sz="0" w:space="0" w:color="auto"/>
        <w:bottom w:val="none" w:sz="0" w:space="0" w:color="auto"/>
        <w:right w:val="none" w:sz="0" w:space="0" w:color="auto"/>
      </w:divBdr>
      <w:divsChild>
        <w:div w:id="1955674657">
          <w:marLeft w:val="0"/>
          <w:marRight w:val="0"/>
          <w:marTop w:val="0"/>
          <w:marBottom w:val="0"/>
          <w:divBdr>
            <w:top w:val="none" w:sz="0" w:space="0" w:color="auto"/>
            <w:left w:val="none" w:sz="0" w:space="0" w:color="auto"/>
            <w:bottom w:val="none" w:sz="0" w:space="0" w:color="auto"/>
            <w:right w:val="none" w:sz="0" w:space="0" w:color="auto"/>
          </w:divBdr>
          <w:divsChild>
            <w:div w:id="1955675003">
              <w:marLeft w:val="0"/>
              <w:marRight w:val="0"/>
              <w:marTop w:val="0"/>
              <w:marBottom w:val="0"/>
              <w:divBdr>
                <w:top w:val="none" w:sz="0" w:space="0" w:color="auto"/>
                <w:left w:val="none" w:sz="0" w:space="0" w:color="auto"/>
                <w:bottom w:val="none" w:sz="0" w:space="0" w:color="auto"/>
                <w:right w:val="none" w:sz="0" w:space="0" w:color="auto"/>
              </w:divBdr>
              <w:divsChild>
                <w:div w:id="19556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919">
      <w:marLeft w:val="0"/>
      <w:marRight w:val="0"/>
      <w:marTop w:val="0"/>
      <w:marBottom w:val="0"/>
      <w:divBdr>
        <w:top w:val="none" w:sz="0" w:space="0" w:color="auto"/>
        <w:left w:val="none" w:sz="0" w:space="0" w:color="auto"/>
        <w:bottom w:val="none" w:sz="0" w:space="0" w:color="auto"/>
        <w:right w:val="none" w:sz="0" w:space="0" w:color="auto"/>
      </w:divBdr>
    </w:div>
    <w:div w:id="1955674923">
      <w:marLeft w:val="0"/>
      <w:marRight w:val="0"/>
      <w:marTop w:val="0"/>
      <w:marBottom w:val="0"/>
      <w:divBdr>
        <w:top w:val="none" w:sz="0" w:space="0" w:color="auto"/>
        <w:left w:val="none" w:sz="0" w:space="0" w:color="auto"/>
        <w:bottom w:val="none" w:sz="0" w:space="0" w:color="auto"/>
        <w:right w:val="none" w:sz="0" w:space="0" w:color="auto"/>
      </w:divBdr>
    </w:div>
    <w:div w:id="1955674924">
      <w:marLeft w:val="0"/>
      <w:marRight w:val="0"/>
      <w:marTop w:val="0"/>
      <w:marBottom w:val="0"/>
      <w:divBdr>
        <w:top w:val="none" w:sz="0" w:space="0" w:color="auto"/>
        <w:left w:val="none" w:sz="0" w:space="0" w:color="auto"/>
        <w:bottom w:val="none" w:sz="0" w:space="0" w:color="auto"/>
        <w:right w:val="none" w:sz="0" w:space="0" w:color="auto"/>
      </w:divBdr>
      <w:divsChild>
        <w:div w:id="1955674596">
          <w:marLeft w:val="0"/>
          <w:marRight w:val="0"/>
          <w:marTop w:val="0"/>
          <w:marBottom w:val="0"/>
          <w:divBdr>
            <w:top w:val="none" w:sz="0" w:space="0" w:color="auto"/>
            <w:left w:val="none" w:sz="0" w:space="0" w:color="auto"/>
            <w:bottom w:val="none" w:sz="0" w:space="0" w:color="auto"/>
            <w:right w:val="none" w:sz="0" w:space="0" w:color="auto"/>
          </w:divBdr>
          <w:divsChild>
            <w:div w:id="1955674558">
              <w:marLeft w:val="0"/>
              <w:marRight w:val="0"/>
              <w:marTop w:val="0"/>
              <w:marBottom w:val="0"/>
              <w:divBdr>
                <w:top w:val="none" w:sz="0" w:space="0" w:color="auto"/>
                <w:left w:val="none" w:sz="0" w:space="0" w:color="auto"/>
                <w:bottom w:val="none" w:sz="0" w:space="0" w:color="auto"/>
                <w:right w:val="none" w:sz="0" w:space="0" w:color="auto"/>
              </w:divBdr>
              <w:divsChild>
                <w:div w:id="19556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927">
      <w:marLeft w:val="0"/>
      <w:marRight w:val="0"/>
      <w:marTop w:val="0"/>
      <w:marBottom w:val="0"/>
      <w:divBdr>
        <w:top w:val="none" w:sz="0" w:space="0" w:color="auto"/>
        <w:left w:val="none" w:sz="0" w:space="0" w:color="auto"/>
        <w:bottom w:val="none" w:sz="0" w:space="0" w:color="auto"/>
        <w:right w:val="none" w:sz="0" w:space="0" w:color="auto"/>
      </w:divBdr>
      <w:divsChild>
        <w:div w:id="1955674662">
          <w:marLeft w:val="0"/>
          <w:marRight w:val="0"/>
          <w:marTop w:val="0"/>
          <w:marBottom w:val="0"/>
          <w:divBdr>
            <w:top w:val="none" w:sz="0" w:space="0" w:color="auto"/>
            <w:left w:val="none" w:sz="0" w:space="0" w:color="auto"/>
            <w:bottom w:val="none" w:sz="0" w:space="0" w:color="auto"/>
            <w:right w:val="none" w:sz="0" w:space="0" w:color="auto"/>
          </w:divBdr>
          <w:divsChild>
            <w:div w:id="1955675076">
              <w:marLeft w:val="0"/>
              <w:marRight w:val="0"/>
              <w:marTop w:val="0"/>
              <w:marBottom w:val="0"/>
              <w:divBdr>
                <w:top w:val="none" w:sz="0" w:space="0" w:color="auto"/>
                <w:left w:val="none" w:sz="0" w:space="0" w:color="auto"/>
                <w:bottom w:val="none" w:sz="0" w:space="0" w:color="auto"/>
                <w:right w:val="none" w:sz="0" w:space="0" w:color="auto"/>
              </w:divBdr>
              <w:divsChild>
                <w:div w:id="195567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930">
      <w:marLeft w:val="0"/>
      <w:marRight w:val="0"/>
      <w:marTop w:val="0"/>
      <w:marBottom w:val="0"/>
      <w:divBdr>
        <w:top w:val="none" w:sz="0" w:space="0" w:color="auto"/>
        <w:left w:val="none" w:sz="0" w:space="0" w:color="auto"/>
        <w:bottom w:val="none" w:sz="0" w:space="0" w:color="auto"/>
        <w:right w:val="none" w:sz="0" w:space="0" w:color="auto"/>
      </w:divBdr>
      <w:divsChild>
        <w:div w:id="1955674968">
          <w:marLeft w:val="0"/>
          <w:marRight w:val="0"/>
          <w:marTop w:val="0"/>
          <w:marBottom w:val="0"/>
          <w:divBdr>
            <w:top w:val="none" w:sz="0" w:space="0" w:color="auto"/>
            <w:left w:val="none" w:sz="0" w:space="0" w:color="auto"/>
            <w:bottom w:val="none" w:sz="0" w:space="0" w:color="auto"/>
            <w:right w:val="none" w:sz="0" w:space="0" w:color="auto"/>
          </w:divBdr>
          <w:divsChild>
            <w:div w:id="1955674781">
              <w:marLeft w:val="0"/>
              <w:marRight w:val="0"/>
              <w:marTop w:val="0"/>
              <w:marBottom w:val="0"/>
              <w:divBdr>
                <w:top w:val="none" w:sz="0" w:space="0" w:color="auto"/>
                <w:left w:val="none" w:sz="0" w:space="0" w:color="auto"/>
                <w:bottom w:val="none" w:sz="0" w:space="0" w:color="auto"/>
                <w:right w:val="none" w:sz="0" w:space="0" w:color="auto"/>
              </w:divBdr>
              <w:divsChild>
                <w:div w:id="19556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933">
      <w:marLeft w:val="0"/>
      <w:marRight w:val="0"/>
      <w:marTop w:val="0"/>
      <w:marBottom w:val="0"/>
      <w:divBdr>
        <w:top w:val="none" w:sz="0" w:space="0" w:color="auto"/>
        <w:left w:val="none" w:sz="0" w:space="0" w:color="auto"/>
        <w:bottom w:val="none" w:sz="0" w:space="0" w:color="auto"/>
        <w:right w:val="none" w:sz="0" w:space="0" w:color="auto"/>
      </w:divBdr>
      <w:divsChild>
        <w:div w:id="1955674941">
          <w:marLeft w:val="0"/>
          <w:marRight w:val="0"/>
          <w:marTop w:val="0"/>
          <w:marBottom w:val="0"/>
          <w:divBdr>
            <w:top w:val="none" w:sz="0" w:space="0" w:color="auto"/>
            <w:left w:val="none" w:sz="0" w:space="0" w:color="auto"/>
            <w:bottom w:val="none" w:sz="0" w:space="0" w:color="auto"/>
            <w:right w:val="none" w:sz="0" w:space="0" w:color="auto"/>
          </w:divBdr>
          <w:divsChild>
            <w:div w:id="1955675090">
              <w:marLeft w:val="0"/>
              <w:marRight w:val="0"/>
              <w:marTop w:val="0"/>
              <w:marBottom w:val="0"/>
              <w:divBdr>
                <w:top w:val="none" w:sz="0" w:space="0" w:color="auto"/>
                <w:left w:val="none" w:sz="0" w:space="0" w:color="auto"/>
                <w:bottom w:val="none" w:sz="0" w:space="0" w:color="auto"/>
                <w:right w:val="none" w:sz="0" w:space="0" w:color="auto"/>
              </w:divBdr>
              <w:divsChild>
                <w:div w:id="195567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936">
      <w:marLeft w:val="0"/>
      <w:marRight w:val="0"/>
      <w:marTop w:val="0"/>
      <w:marBottom w:val="0"/>
      <w:divBdr>
        <w:top w:val="none" w:sz="0" w:space="0" w:color="auto"/>
        <w:left w:val="none" w:sz="0" w:space="0" w:color="auto"/>
        <w:bottom w:val="none" w:sz="0" w:space="0" w:color="auto"/>
        <w:right w:val="none" w:sz="0" w:space="0" w:color="auto"/>
      </w:divBdr>
      <w:divsChild>
        <w:div w:id="1955674965">
          <w:marLeft w:val="0"/>
          <w:marRight w:val="0"/>
          <w:marTop w:val="0"/>
          <w:marBottom w:val="0"/>
          <w:divBdr>
            <w:top w:val="none" w:sz="0" w:space="0" w:color="auto"/>
            <w:left w:val="none" w:sz="0" w:space="0" w:color="auto"/>
            <w:bottom w:val="none" w:sz="0" w:space="0" w:color="auto"/>
            <w:right w:val="none" w:sz="0" w:space="0" w:color="auto"/>
          </w:divBdr>
          <w:divsChild>
            <w:div w:id="1955674887">
              <w:marLeft w:val="0"/>
              <w:marRight w:val="0"/>
              <w:marTop w:val="0"/>
              <w:marBottom w:val="0"/>
              <w:divBdr>
                <w:top w:val="none" w:sz="0" w:space="0" w:color="auto"/>
                <w:left w:val="none" w:sz="0" w:space="0" w:color="auto"/>
                <w:bottom w:val="none" w:sz="0" w:space="0" w:color="auto"/>
                <w:right w:val="none" w:sz="0" w:space="0" w:color="auto"/>
              </w:divBdr>
              <w:divsChild>
                <w:div w:id="1955674935">
                  <w:marLeft w:val="0"/>
                  <w:marRight w:val="0"/>
                  <w:marTop w:val="0"/>
                  <w:marBottom w:val="0"/>
                  <w:divBdr>
                    <w:top w:val="none" w:sz="0" w:space="0" w:color="auto"/>
                    <w:left w:val="none" w:sz="0" w:space="0" w:color="auto"/>
                    <w:bottom w:val="none" w:sz="0" w:space="0" w:color="auto"/>
                    <w:right w:val="none" w:sz="0" w:space="0" w:color="auto"/>
                  </w:divBdr>
                  <w:divsChild>
                    <w:div w:id="19556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4940">
      <w:marLeft w:val="0"/>
      <w:marRight w:val="0"/>
      <w:marTop w:val="0"/>
      <w:marBottom w:val="0"/>
      <w:divBdr>
        <w:top w:val="none" w:sz="0" w:space="0" w:color="auto"/>
        <w:left w:val="none" w:sz="0" w:space="0" w:color="auto"/>
        <w:bottom w:val="none" w:sz="0" w:space="0" w:color="auto"/>
        <w:right w:val="none" w:sz="0" w:space="0" w:color="auto"/>
      </w:divBdr>
      <w:divsChild>
        <w:div w:id="1955674638">
          <w:marLeft w:val="0"/>
          <w:marRight w:val="0"/>
          <w:marTop w:val="0"/>
          <w:marBottom w:val="0"/>
          <w:divBdr>
            <w:top w:val="none" w:sz="0" w:space="0" w:color="auto"/>
            <w:left w:val="none" w:sz="0" w:space="0" w:color="auto"/>
            <w:bottom w:val="none" w:sz="0" w:space="0" w:color="auto"/>
            <w:right w:val="none" w:sz="0" w:space="0" w:color="auto"/>
          </w:divBdr>
          <w:divsChild>
            <w:div w:id="1955674856">
              <w:marLeft w:val="0"/>
              <w:marRight w:val="0"/>
              <w:marTop w:val="0"/>
              <w:marBottom w:val="0"/>
              <w:divBdr>
                <w:top w:val="none" w:sz="0" w:space="0" w:color="auto"/>
                <w:left w:val="none" w:sz="0" w:space="0" w:color="auto"/>
                <w:bottom w:val="none" w:sz="0" w:space="0" w:color="auto"/>
                <w:right w:val="none" w:sz="0" w:space="0" w:color="auto"/>
              </w:divBdr>
              <w:divsChild>
                <w:div w:id="1955674722">
                  <w:marLeft w:val="0"/>
                  <w:marRight w:val="0"/>
                  <w:marTop w:val="0"/>
                  <w:marBottom w:val="0"/>
                  <w:divBdr>
                    <w:top w:val="none" w:sz="0" w:space="0" w:color="auto"/>
                    <w:left w:val="none" w:sz="0" w:space="0" w:color="auto"/>
                    <w:bottom w:val="none" w:sz="0" w:space="0" w:color="auto"/>
                    <w:right w:val="none" w:sz="0" w:space="0" w:color="auto"/>
                  </w:divBdr>
                  <w:divsChild>
                    <w:div w:id="19556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4949">
      <w:marLeft w:val="0"/>
      <w:marRight w:val="0"/>
      <w:marTop w:val="0"/>
      <w:marBottom w:val="0"/>
      <w:divBdr>
        <w:top w:val="none" w:sz="0" w:space="0" w:color="auto"/>
        <w:left w:val="none" w:sz="0" w:space="0" w:color="auto"/>
        <w:bottom w:val="none" w:sz="0" w:space="0" w:color="auto"/>
        <w:right w:val="none" w:sz="0" w:space="0" w:color="auto"/>
      </w:divBdr>
      <w:divsChild>
        <w:div w:id="1955674698">
          <w:marLeft w:val="0"/>
          <w:marRight w:val="0"/>
          <w:marTop w:val="0"/>
          <w:marBottom w:val="0"/>
          <w:divBdr>
            <w:top w:val="none" w:sz="0" w:space="0" w:color="auto"/>
            <w:left w:val="none" w:sz="0" w:space="0" w:color="auto"/>
            <w:bottom w:val="none" w:sz="0" w:space="0" w:color="auto"/>
            <w:right w:val="none" w:sz="0" w:space="0" w:color="auto"/>
          </w:divBdr>
          <w:divsChild>
            <w:div w:id="1955675037">
              <w:marLeft w:val="0"/>
              <w:marRight w:val="0"/>
              <w:marTop w:val="0"/>
              <w:marBottom w:val="0"/>
              <w:divBdr>
                <w:top w:val="none" w:sz="0" w:space="0" w:color="auto"/>
                <w:left w:val="none" w:sz="0" w:space="0" w:color="auto"/>
                <w:bottom w:val="none" w:sz="0" w:space="0" w:color="auto"/>
                <w:right w:val="none" w:sz="0" w:space="0" w:color="auto"/>
              </w:divBdr>
              <w:divsChild>
                <w:div w:id="19556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951">
      <w:marLeft w:val="0"/>
      <w:marRight w:val="0"/>
      <w:marTop w:val="0"/>
      <w:marBottom w:val="0"/>
      <w:divBdr>
        <w:top w:val="none" w:sz="0" w:space="0" w:color="auto"/>
        <w:left w:val="none" w:sz="0" w:space="0" w:color="auto"/>
        <w:bottom w:val="none" w:sz="0" w:space="0" w:color="auto"/>
        <w:right w:val="none" w:sz="0" w:space="0" w:color="auto"/>
      </w:divBdr>
    </w:div>
    <w:div w:id="1955674954">
      <w:marLeft w:val="0"/>
      <w:marRight w:val="0"/>
      <w:marTop w:val="0"/>
      <w:marBottom w:val="0"/>
      <w:divBdr>
        <w:top w:val="none" w:sz="0" w:space="0" w:color="auto"/>
        <w:left w:val="none" w:sz="0" w:space="0" w:color="auto"/>
        <w:bottom w:val="none" w:sz="0" w:space="0" w:color="auto"/>
        <w:right w:val="none" w:sz="0" w:space="0" w:color="auto"/>
      </w:divBdr>
      <w:divsChild>
        <w:div w:id="1955674742">
          <w:marLeft w:val="0"/>
          <w:marRight w:val="0"/>
          <w:marTop w:val="0"/>
          <w:marBottom w:val="0"/>
          <w:divBdr>
            <w:top w:val="none" w:sz="0" w:space="0" w:color="auto"/>
            <w:left w:val="none" w:sz="0" w:space="0" w:color="auto"/>
            <w:bottom w:val="none" w:sz="0" w:space="0" w:color="auto"/>
            <w:right w:val="none" w:sz="0" w:space="0" w:color="auto"/>
          </w:divBdr>
          <w:divsChild>
            <w:div w:id="1955674946">
              <w:marLeft w:val="0"/>
              <w:marRight w:val="0"/>
              <w:marTop w:val="0"/>
              <w:marBottom w:val="0"/>
              <w:divBdr>
                <w:top w:val="none" w:sz="0" w:space="0" w:color="auto"/>
                <w:left w:val="none" w:sz="0" w:space="0" w:color="auto"/>
                <w:bottom w:val="none" w:sz="0" w:space="0" w:color="auto"/>
                <w:right w:val="none" w:sz="0" w:space="0" w:color="auto"/>
              </w:divBdr>
              <w:divsChild>
                <w:div w:id="1955674526">
                  <w:marLeft w:val="0"/>
                  <w:marRight w:val="0"/>
                  <w:marTop w:val="0"/>
                  <w:marBottom w:val="0"/>
                  <w:divBdr>
                    <w:top w:val="none" w:sz="0" w:space="0" w:color="auto"/>
                    <w:left w:val="none" w:sz="0" w:space="0" w:color="auto"/>
                    <w:bottom w:val="none" w:sz="0" w:space="0" w:color="auto"/>
                    <w:right w:val="none" w:sz="0" w:space="0" w:color="auto"/>
                  </w:divBdr>
                  <w:divsChild>
                    <w:div w:id="19556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4955">
      <w:marLeft w:val="0"/>
      <w:marRight w:val="0"/>
      <w:marTop w:val="0"/>
      <w:marBottom w:val="0"/>
      <w:divBdr>
        <w:top w:val="none" w:sz="0" w:space="0" w:color="auto"/>
        <w:left w:val="none" w:sz="0" w:space="0" w:color="auto"/>
        <w:bottom w:val="none" w:sz="0" w:space="0" w:color="auto"/>
        <w:right w:val="none" w:sz="0" w:space="0" w:color="auto"/>
      </w:divBdr>
      <w:divsChild>
        <w:div w:id="1955674586">
          <w:marLeft w:val="0"/>
          <w:marRight w:val="0"/>
          <w:marTop w:val="0"/>
          <w:marBottom w:val="0"/>
          <w:divBdr>
            <w:top w:val="none" w:sz="0" w:space="0" w:color="auto"/>
            <w:left w:val="none" w:sz="0" w:space="0" w:color="auto"/>
            <w:bottom w:val="none" w:sz="0" w:space="0" w:color="auto"/>
            <w:right w:val="none" w:sz="0" w:space="0" w:color="auto"/>
          </w:divBdr>
          <w:divsChild>
            <w:div w:id="19556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4956">
      <w:marLeft w:val="0"/>
      <w:marRight w:val="0"/>
      <w:marTop w:val="0"/>
      <w:marBottom w:val="0"/>
      <w:divBdr>
        <w:top w:val="none" w:sz="0" w:space="0" w:color="auto"/>
        <w:left w:val="none" w:sz="0" w:space="0" w:color="auto"/>
        <w:bottom w:val="none" w:sz="0" w:space="0" w:color="auto"/>
        <w:right w:val="none" w:sz="0" w:space="0" w:color="auto"/>
      </w:divBdr>
    </w:div>
    <w:div w:id="1955674958">
      <w:marLeft w:val="0"/>
      <w:marRight w:val="0"/>
      <w:marTop w:val="0"/>
      <w:marBottom w:val="0"/>
      <w:divBdr>
        <w:top w:val="none" w:sz="0" w:space="0" w:color="auto"/>
        <w:left w:val="none" w:sz="0" w:space="0" w:color="auto"/>
        <w:bottom w:val="none" w:sz="0" w:space="0" w:color="auto"/>
        <w:right w:val="none" w:sz="0" w:space="0" w:color="auto"/>
      </w:divBdr>
      <w:divsChild>
        <w:div w:id="1955674763">
          <w:marLeft w:val="0"/>
          <w:marRight w:val="0"/>
          <w:marTop w:val="0"/>
          <w:marBottom w:val="0"/>
          <w:divBdr>
            <w:top w:val="none" w:sz="0" w:space="0" w:color="auto"/>
            <w:left w:val="none" w:sz="0" w:space="0" w:color="auto"/>
            <w:bottom w:val="none" w:sz="0" w:space="0" w:color="auto"/>
            <w:right w:val="none" w:sz="0" w:space="0" w:color="auto"/>
          </w:divBdr>
          <w:divsChild>
            <w:div w:id="1955674675">
              <w:marLeft w:val="0"/>
              <w:marRight w:val="0"/>
              <w:marTop w:val="0"/>
              <w:marBottom w:val="0"/>
              <w:divBdr>
                <w:top w:val="none" w:sz="0" w:space="0" w:color="auto"/>
                <w:left w:val="none" w:sz="0" w:space="0" w:color="auto"/>
                <w:bottom w:val="none" w:sz="0" w:space="0" w:color="auto"/>
                <w:right w:val="none" w:sz="0" w:space="0" w:color="auto"/>
              </w:divBdr>
              <w:divsChild>
                <w:div w:id="1955675106">
                  <w:marLeft w:val="0"/>
                  <w:marRight w:val="0"/>
                  <w:marTop w:val="0"/>
                  <w:marBottom w:val="0"/>
                  <w:divBdr>
                    <w:top w:val="none" w:sz="0" w:space="0" w:color="auto"/>
                    <w:left w:val="none" w:sz="0" w:space="0" w:color="auto"/>
                    <w:bottom w:val="none" w:sz="0" w:space="0" w:color="auto"/>
                    <w:right w:val="none" w:sz="0" w:space="0" w:color="auto"/>
                  </w:divBdr>
                  <w:divsChild>
                    <w:div w:id="195567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4959">
      <w:marLeft w:val="0"/>
      <w:marRight w:val="0"/>
      <w:marTop w:val="0"/>
      <w:marBottom w:val="0"/>
      <w:divBdr>
        <w:top w:val="none" w:sz="0" w:space="0" w:color="auto"/>
        <w:left w:val="none" w:sz="0" w:space="0" w:color="auto"/>
        <w:bottom w:val="none" w:sz="0" w:space="0" w:color="auto"/>
        <w:right w:val="none" w:sz="0" w:space="0" w:color="auto"/>
      </w:divBdr>
      <w:divsChild>
        <w:div w:id="1955674530">
          <w:marLeft w:val="0"/>
          <w:marRight w:val="0"/>
          <w:marTop w:val="0"/>
          <w:marBottom w:val="0"/>
          <w:divBdr>
            <w:top w:val="none" w:sz="0" w:space="0" w:color="auto"/>
            <w:left w:val="none" w:sz="0" w:space="0" w:color="auto"/>
            <w:bottom w:val="none" w:sz="0" w:space="0" w:color="auto"/>
            <w:right w:val="none" w:sz="0" w:space="0" w:color="auto"/>
          </w:divBdr>
          <w:divsChild>
            <w:div w:id="1955675071">
              <w:marLeft w:val="0"/>
              <w:marRight w:val="0"/>
              <w:marTop w:val="0"/>
              <w:marBottom w:val="0"/>
              <w:divBdr>
                <w:top w:val="none" w:sz="0" w:space="0" w:color="auto"/>
                <w:left w:val="none" w:sz="0" w:space="0" w:color="auto"/>
                <w:bottom w:val="none" w:sz="0" w:space="0" w:color="auto"/>
                <w:right w:val="none" w:sz="0" w:space="0" w:color="auto"/>
              </w:divBdr>
              <w:divsChild>
                <w:div w:id="195567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960">
      <w:marLeft w:val="0"/>
      <w:marRight w:val="0"/>
      <w:marTop w:val="0"/>
      <w:marBottom w:val="0"/>
      <w:divBdr>
        <w:top w:val="none" w:sz="0" w:space="0" w:color="auto"/>
        <w:left w:val="none" w:sz="0" w:space="0" w:color="auto"/>
        <w:bottom w:val="none" w:sz="0" w:space="0" w:color="auto"/>
        <w:right w:val="none" w:sz="0" w:space="0" w:color="auto"/>
      </w:divBdr>
      <w:divsChild>
        <w:div w:id="1955675127">
          <w:marLeft w:val="0"/>
          <w:marRight w:val="0"/>
          <w:marTop w:val="0"/>
          <w:marBottom w:val="0"/>
          <w:divBdr>
            <w:top w:val="none" w:sz="0" w:space="0" w:color="auto"/>
            <w:left w:val="none" w:sz="0" w:space="0" w:color="auto"/>
            <w:bottom w:val="none" w:sz="0" w:space="0" w:color="auto"/>
            <w:right w:val="none" w:sz="0" w:space="0" w:color="auto"/>
          </w:divBdr>
          <w:divsChild>
            <w:div w:id="1955674863">
              <w:marLeft w:val="0"/>
              <w:marRight w:val="0"/>
              <w:marTop w:val="0"/>
              <w:marBottom w:val="0"/>
              <w:divBdr>
                <w:top w:val="none" w:sz="0" w:space="0" w:color="auto"/>
                <w:left w:val="none" w:sz="0" w:space="0" w:color="auto"/>
                <w:bottom w:val="none" w:sz="0" w:space="0" w:color="auto"/>
                <w:right w:val="none" w:sz="0" w:space="0" w:color="auto"/>
              </w:divBdr>
              <w:divsChild>
                <w:div w:id="1955674865">
                  <w:marLeft w:val="0"/>
                  <w:marRight w:val="0"/>
                  <w:marTop w:val="0"/>
                  <w:marBottom w:val="0"/>
                  <w:divBdr>
                    <w:top w:val="none" w:sz="0" w:space="0" w:color="auto"/>
                    <w:left w:val="none" w:sz="0" w:space="0" w:color="auto"/>
                    <w:bottom w:val="none" w:sz="0" w:space="0" w:color="auto"/>
                    <w:right w:val="none" w:sz="0" w:space="0" w:color="auto"/>
                  </w:divBdr>
                  <w:divsChild>
                    <w:div w:id="19556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4961">
      <w:marLeft w:val="0"/>
      <w:marRight w:val="0"/>
      <w:marTop w:val="0"/>
      <w:marBottom w:val="0"/>
      <w:divBdr>
        <w:top w:val="none" w:sz="0" w:space="0" w:color="auto"/>
        <w:left w:val="none" w:sz="0" w:space="0" w:color="auto"/>
        <w:bottom w:val="none" w:sz="0" w:space="0" w:color="auto"/>
        <w:right w:val="none" w:sz="0" w:space="0" w:color="auto"/>
      </w:divBdr>
    </w:div>
    <w:div w:id="1955674962">
      <w:marLeft w:val="0"/>
      <w:marRight w:val="0"/>
      <w:marTop w:val="0"/>
      <w:marBottom w:val="0"/>
      <w:divBdr>
        <w:top w:val="none" w:sz="0" w:space="0" w:color="auto"/>
        <w:left w:val="none" w:sz="0" w:space="0" w:color="auto"/>
        <w:bottom w:val="none" w:sz="0" w:space="0" w:color="auto"/>
        <w:right w:val="none" w:sz="0" w:space="0" w:color="auto"/>
      </w:divBdr>
      <w:divsChild>
        <w:div w:id="1955674528">
          <w:marLeft w:val="0"/>
          <w:marRight w:val="0"/>
          <w:marTop w:val="0"/>
          <w:marBottom w:val="0"/>
          <w:divBdr>
            <w:top w:val="none" w:sz="0" w:space="0" w:color="auto"/>
            <w:left w:val="none" w:sz="0" w:space="0" w:color="auto"/>
            <w:bottom w:val="none" w:sz="0" w:space="0" w:color="auto"/>
            <w:right w:val="none" w:sz="0" w:space="0" w:color="auto"/>
          </w:divBdr>
          <w:divsChild>
            <w:div w:id="1955674868">
              <w:marLeft w:val="0"/>
              <w:marRight w:val="0"/>
              <w:marTop w:val="0"/>
              <w:marBottom w:val="0"/>
              <w:divBdr>
                <w:top w:val="none" w:sz="0" w:space="0" w:color="auto"/>
                <w:left w:val="none" w:sz="0" w:space="0" w:color="auto"/>
                <w:bottom w:val="none" w:sz="0" w:space="0" w:color="auto"/>
                <w:right w:val="none" w:sz="0" w:space="0" w:color="auto"/>
              </w:divBdr>
              <w:divsChild>
                <w:div w:id="195567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969">
      <w:marLeft w:val="0"/>
      <w:marRight w:val="0"/>
      <w:marTop w:val="0"/>
      <w:marBottom w:val="0"/>
      <w:divBdr>
        <w:top w:val="none" w:sz="0" w:space="0" w:color="auto"/>
        <w:left w:val="none" w:sz="0" w:space="0" w:color="auto"/>
        <w:bottom w:val="none" w:sz="0" w:space="0" w:color="auto"/>
        <w:right w:val="none" w:sz="0" w:space="0" w:color="auto"/>
      </w:divBdr>
    </w:div>
    <w:div w:id="1955674971">
      <w:marLeft w:val="0"/>
      <w:marRight w:val="0"/>
      <w:marTop w:val="0"/>
      <w:marBottom w:val="0"/>
      <w:divBdr>
        <w:top w:val="none" w:sz="0" w:space="0" w:color="auto"/>
        <w:left w:val="none" w:sz="0" w:space="0" w:color="auto"/>
        <w:bottom w:val="none" w:sz="0" w:space="0" w:color="auto"/>
        <w:right w:val="none" w:sz="0" w:space="0" w:color="auto"/>
      </w:divBdr>
      <w:divsChild>
        <w:div w:id="1955675031">
          <w:marLeft w:val="0"/>
          <w:marRight w:val="0"/>
          <w:marTop w:val="0"/>
          <w:marBottom w:val="0"/>
          <w:divBdr>
            <w:top w:val="none" w:sz="0" w:space="0" w:color="auto"/>
            <w:left w:val="none" w:sz="0" w:space="0" w:color="auto"/>
            <w:bottom w:val="none" w:sz="0" w:space="0" w:color="auto"/>
            <w:right w:val="none" w:sz="0" w:space="0" w:color="auto"/>
          </w:divBdr>
          <w:divsChild>
            <w:div w:id="1955674792">
              <w:marLeft w:val="0"/>
              <w:marRight w:val="0"/>
              <w:marTop w:val="0"/>
              <w:marBottom w:val="0"/>
              <w:divBdr>
                <w:top w:val="none" w:sz="0" w:space="0" w:color="auto"/>
                <w:left w:val="none" w:sz="0" w:space="0" w:color="auto"/>
                <w:bottom w:val="none" w:sz="0" w:space="0" w:color="auto"/>
                <w:right w:val="none" w:sz="0" w:space="0" w:color="auto"/>
              </w:divBdr>
              <w:divsChild>
                <w:div w:id="1955674580">
                  <w:marLeft w:val="0"/>
                  <w:marRight w:val="0"/>
                  <w:marTop w:val="0"/>
                  <w:marBottom w:val="0"/>
                  <w:divBdr>
                    <w:top w:val="none" w:sz="0" w:space="0" w:color="auto"/>
                    <w:left w:val="none" w:sz="0" w:space="0" w:color="auto"/>
                    <w:bottom w:val="none" w:sz="0" w:space="0" w:color="auto"/>
                    <w:right w:val="none" w:sz="0" w:space="0" w:color="auto"/>
                  </w:divBdr>
                  <w:divsChild>
                    <w:div w:id="19556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4974">
      <w:marLeft w:val="0"/>
      <w:marRight w:val="0"/>
      <w:marTop w:val="0"/>
      <w:marBottom w:val="0"/>
      <w:divBdr>
        <w:top w:val="none" w:sz="0" w:space="0" w:color="auto"/>
        <w:left w:val="none" w:sz="0" w:space="0" w:color="auto"/>
        <w:bottom w:val="none" w:sz="0" w:space="0" w:color="auto"/>
        <w:right w:val="none" w:sz="0" w:space="0" w:color="auto"/>
      </w:divBdr>
    </w:div>
    <w:div w:id="1955674976">
      <w:marLeft w:val="0"/>
      <w:marRight w:val="0"/>
      <w:marTop w:val="0"/>
      <w:marBottom w:val="0"/>
      <w:divBdr>
        <w:top w:val="none" w:sz="0" w:space="0" w:color="auto"/>
        <w:left w:val="none" w:sz="0" w:space="0" w:color="auto"/>
        <w:bottom w:val="none" w:sz="0" w:space="0" w:color="auto"/>
        <w:right w:val="none" w:sz="0" w:space="0" w:color="auto"/>
      </w:divBdr>
      <w:divsChild>
        <w:div w:id="1955674726">
          <w:marLeft w:val="0"/>
          <w:marRight w:val="0"/>
          <w:marTop w:val="0"/>
          <w:marBottom w:val="0"/>
          <w:divBdr>
            <w:top w:val="none" w:sz="0" w:space="0" w:color="auto"/>
            <w:left w:val="none" w:sz="0" w:space="0" w:color="auto"/>
            <w:bottom w:val="none" w:sz="0" w:space="0" w:color="auto"/>
            <w:right w:val="none" w:sz="0" w:space="0" w:color="auto"/>
          </w:divBdr>
          <w:divsChild>
            <w:div w:id="1955674663">
              <w:marLeft w:val="0"/>
              <w:marRight w:val="0"/>
              <w:marTop w:val="0"/>
              <w:marBottom w:val="0"/>
              <w:divBdr>
                <w:top w:val="none" w:sz="0" w:space="0" w:color="auto"/>
                <w:left w:val="none" w:sz="0" w:space="0" w:color="auto"/>
                <w:bottom w:val="none" w:sz="0" w:space="0" w:color="auto"/>
                <w:right w:val="none" w:sz="0" w:space="0" w:color="auto"/>
              </w:divBdr>
              <w:divsChild>
                <w:div w:id="1955675097">
                  <w:marLeft w:val="0"/>
                  <w:marRight w:val="0"/>
                  <w:marTop w:val="0"/>
                  <w:marBottom w:val="0"/>
                  <w:divBdr>
                    <w:top w:val="none" w:sz="0" w:space="0" w:color="auto"/>
                    <w:left w:val="none" w:sz="0" w:space="0" w:color="auto"/>
                    <w:bottom w:val="none" w:sz="0" w:space="0" w:color="auto"/>
                    <w:right w:val="none" w:sz="0" w:space="0" w:color="auto"/>
                  </w:divBdr>
                  <w:divsChild>
                    <w:div w:id="19556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4983">
      <w:marLeft w:val="0"/>
      <w:marRight w:val="0"/>
      <w:marTop w:val="0"/>
      <w:marBottom w:val="0"/>
      <w:divBdr>
        <w:top w:val="none" w:sz="0" w:space="0" w:color="auto"/>
        <w:left w:val="none" w:sz="0" w:space="0" w:color="auto"/>
        <w:bottom w:val="none" w:sz="0" w:space="0" w:color="auto"/>
        <w:right w:val="none" w:sz="0" w:space="0" w:color="auto"/>
      </w:divBdr>
      <w:divsChild>
        <w:div w:id="1955674649">
          <w:marLeft w:val="0"/>
          <w:marRight w:val="0"/>
          <w:marTop w:val="0"/>
          <w:marBottom w:val="0"/>
          <w:divBdr>
            <w:top w:val="none" w:sz="0" w:space="0" w:color="auto"/>
            <w:left w:val="none" w:sz="0" w:space="0" w:color="auto"/>
            <w:bottom w:val="none" w:sz="0" w:space="0" w:color="auto"/>
            <w:right w:val="none" w:sz="0" w:space="0" w:color="auto"/>
          </w:divBdr>
          <w:divsChild>
            <w:div w:id="1955675112">
              <w:marLeft w:val="0"/>
              <w:marRight w:val="0"/>
              <w:marTop w:val="0"/>
              <w:marBottom w:val="0"/>
              <w:divBdr>
                <w:top w:val="none" w:sz="0" w:space="0" w:color="auto"/>
                <w:left w:val="none" w:sz="0" w:space="0" w:color="auto"/>
                <w:bottom w:val="none" w:sz="0" w:space="0" w:color="auto"/>
                <w:right w:val="none" w:sz="0" w:space="0" w:color="auto"/>
              </w:divBdr>
              <w:divsChild>
                <w:div w:id="19556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987">
      <w:marLeft w:val="0"/>
      <w:marRight w:val="0"/>
      <w:marTop w:val="0"/>
      <w:marBottom w:val="0"/>
      <w:divBdr>
        <w:top w:val="none" w:sz="0" w:space="0" w:color="auto"/>
        <w:left w:val="none" w:sz="0" w:space="0" w:color="auto"/>
        <w:bottom w:val="none" w:sz="0" w:space="0" w:color="auto"/>
        <w:right w:val="none" w:sz="0" w:space="0" w:color="auto"/>
      </w:divBdr>
      <w:divsChild>
        <w:div w:id="1955674775">
          <w:marLeft w:val="0"/>
          <w:marRight w:val="0"/>
          <w:marTop w:val="0"/>
          <w:marBottom w:val="0"/>
          <w:divBdr>
            <w:top w:val="none" w:sz="0" w:space="0" w:color="auto"/>
            <w:left w:val="none" w:sz="0" w:space="0" w:color="auto"/>
            <w:bottom w:val="none" w:sz="0" w:space="0" w:color="auto"/>
            <w:right w:val="none" w:sz="0" w:space="0" w:color="auto"/>
          </w:divBdr>
          <w:divsChild>
            <w:div w:id="1955674858">
              <w:marLeft w:val="0"/>
              <w:marRight w:val="0"/>
              <w:marTop w:val="0"/>
              <w:marBottom w:val="0"/>
              <w:divBdr>
                <w:top w:val="none" w:sz="0" w:space="0" w:color="auto"/>
                <w:left w:val="none" w:sz="0" w:space="0" w:color="auto"/>
                <w:bottom w:val="none" w:sz="0" w:space="0" w:color="auto"/>
                <w:right w:val="none" w:sz="0" w:space="0" w:color="auto"/>
              </w:divBdr>
              <w:divsChild>
                <w:div w:id="195567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989">
      <w:marLeft w:val="0"/>
      <w:marRight w:val="0"/>
      <w:marTop w:val="0"/>
      <w:marBottom w:val="0"/>
      <w:divBdr>
        <w:top w:val="none" w:sz="0" w:space="0" w:color="auto"/>
        <w:left w:val="none" w:sz="0" w:space="0" w:color="auto"/>
        <w:bottom w:val="none" w:sz="0" w:space="0" w:color="auto"/>
        <w:right w:val="none" w:sz="0" w:space="0" w:color="auto"/>
      </w:divBdr>
    </w:div>
    <w:div w:id="1955674991">
      <w:marLeft w:val="0"/>
      <w:marRight w:val="0"/>
      <w:marTop w:val="0"/>
      <w:marBottom w:val="0"/>
      <w:divBdr>
        <w:top w:val="none" w:sz="0" w:space="0" w:color="auto"/>
        <w:left w:val="none" w:sz="0" w:space="0" w:color="auto"/>
        <w:bottom w:val="none" w:sz="0" w:space="0" w:color="auto"/>
        <w:right w:val="none" w:sz="0" w:space="0" w:color="auto"/>
      </w:divBdr>
      <w:divsChild>
        <w:div w:id="1955674988">
          <w:marLeft w:val="0"/>
          <w:marRight w:val="0"/>
          <w:marTop w:val="0"/>
          <w:marBottom w:val="0"/>
          <w:divBdr>
            <w:top w:val="none" w:sz="0" w:space="0" w:color="auto"/>
            <w:left w:val="none" w:sz="0" w:space="0" w:color="auto"/>
            <w:bottom w:val="none" w:sz="0" w:space="0" w:color="auto"/>
            <w:right w:val="none" w:sz="0" w:space="0" w:color="auto"/>
          </w:divBdr>
          <w:divsChild>
            <w:div w:id="1955675118">
              <w:marLeft w:val="0"/>
              <w:marRight w:val="0"/>
              <w:marTop w:val="0"/>
              <w:marBottom w:val="0"/>
              <w:divBdr>
                <w:top w:val="none" w:sz="0" w:space="0" w:color="auto"/>
                <w:left w:val="none" w:sz="0" w:space="0" w:color="auto"/>
                <w:bottom w:val="none" w:sz="0" w:space="0" w:color="auto"/>
                <w:right w:val="none" w:sz="0" w:space="0" w:color="auto"/>
              </w:divBdr>
              <w:divsChild>
                <w:div w:id="19556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994">
      <w:marLeft w:val="0"/>
      <w:marRight w:val="0"/>
      <w:marTop w:val="0"/>
      <w:marBottom w:val="0"/>
      <w:divBdr>
        <w:top w:val="none" w:sz="0" w:space="0" w:color="auto"/>
        <w:left w:val="none" w:sz="0" w:space="0" w:color="auto"/>
        <w:bottom w:val="none" w:sz="0" w:space="0" w:color="auto"/>
        <w:right w:val="none" w:sz="0" w:space="0" w:color="auto"/>
      </w:divBdr>
    </w:div>
    <w:div w:id="1955675005">
      <w:marLeft w:val="0"/>
      <w:marRight w:val="0"/>
      <w:marTop w:val="0"/>
      <w:marBottom w:val="0"/>
      <w:divBdr>
        <w:top w:val="none" w:sz="0" w:space="0" w:color="auto"/>
        <w:left w:val="none" w:sz="0" w:space="0" w:color="auto"/>
        <w:bottom w:val="none" w:sz="0" w:space="0" w:color="auto"/>
        <w:right w:val="none" w:sz="0" w:space="0" w:color="auto"/>
      </w:divBdr>
      <w:divsChild>
        <w:div w:id="1955675066">
          <w:marLeft w:val="0"/>
          <w:marRight w:val="0"/>
          <w:marTop w:val="0"/>
          <w:marBottom w:val="0"/>
          <w:divBdr>
            <w:top w:val="none" w:sz="0" w:space="0" w:color="auto"/>
            <w:left w:val="none" w:sz="0" w:space="0" w:color="auto"/>
            <w:bottom w:val="none" w:sz="0" w:space="0" w:color="auto"/>
            <w:right w:val="none" w:sz="0" w:space="0" w:color="auto"/>
          </w:divBdr>
          <w:divsChild>
            <w:div w:id="1955675021">
              <w:marLeft w:val="0"/>
              <w:marRight w:val="0"/>
              <w:marTop w:val="0"/>
              <w:marBottom w:val="0"/>
              <w:divBdr>
                <w:top w:val="none" w:sz="0" w:space="0" w:color="auto"/>
                <w:left w:val="none" w:sz="0" w:space="0" w:color="auto"/>
                <w:bottom w:val="none" w:sz="0" w:space="0" w:color="auto"/>
                <w:right w:val="none" w:sz="0" w:space="0" w:color="auto"/>
              </w:divBdr>
              <w:divsChild>
                <w:div w:id="195567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5009">
      <w:marLeft w:val="0"/>
      <w:marRight w:val="0"/>
      <w:marTop w:val="0"/>
      <w:marBottom w:val="0"/>
      <w:divBdr>
        <w:top w:val="none" w:sz="0" w:space="0" w:color="auto"/>
        <w:left w:val="none" w:sz="0" w:space="0" w:color="auto"/>
        <w:bottom w:val="none" w:sz="0" w:space="0" w:color="auto"/>
        <w:right w:val="none" w:sz="0" w:space="0" w:color="auto"/>
      </w:divBdr>
      <w:divsChild>
        <w:div w:id="1955674549">
          <w:marLeft w:val="0"/>
          <w:marRight w:val="0"/>
          <w:marTop w:val="0"/>
          <w:marBottom w:val="0"/>
          <w:divBdr>
            <w:top w:val="none" w:sz="0" w:space="0" w:color="auto"/>
            <w:left w:val="none" w:sz="0" w:space="0" w:color="auto"/>
            <w:bottom w:val="none" w:sz="0" w:space="0" w:color="auto"/>
            <w:right w:val="none" w:sz="0" w:space="0" w:color="auto"/>
          </w:divBdr>
          <w:divsChild>
            <w:div w:id="1955674650">
              <w:marLeft w:val="0"/>
              <w:marRight w:val="0"/>
              <w:marTop w:val="0"/>
              <w:marBottom w:val="0"/>
              <w:divBdr>
                <w:top w:val="none" w:sz="0" w:space="0" w:color="auto"/>
                <w:left w:val="none" w:sz="0" w:space="0" w:color="auto"/>
                <w:bottom w:val="none" w:sz="0" w:space="0" w:color="auto"/>
                <w:right w:val="none" w:sz="0" w:space="0" w:color="auto"/>
              </w:divBdr>
              <w:divsChild>
                <w:div w:id="19556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5012">
      <w:marLeft w:val="0"/>
      <w:marRight w:val="0"/>
      <w:marTop w:val="0"/>
      <w:marBottom w:val="0"/>
      <w:divBdr>
        <w:top w:val="none" w:sz="0" w:space="0" w:color="auto"/>
        <w:left w:val="none" w:sz="0" w:space="0" w:color="auto"/>
        <w:bottom w:val="none" w:sz="0" w:space="0" w:color="auto"/>
        <w:right w:val="none" w:sz="0" w:space="0" w:color="auto"/>
      </w:divBdr>
      <w:divsChild>
        <w:div w:id="1955674570">
          <w:marLeft w:val="0"/>
          <w:marRight w:val="0"/>
          <w:marTop w:val="0"/>
          <w:marBottom w:val="0"/>
          <w:divBdr>
            <w:top w:val="none" w:sz="0" w:space="0" w:color="auto"/>
            <w:left w:val="none" w:sz="0" w:space="0" w:color="auto"/>
            <w:bottom w:val="none" w:sz="0" w:space="0" w:color="auto"/>
            <w:right w:val="none" w:sz="0" w:space="0" w:color="auto"/>
          </w:divBdr>
          <w:divsChild>
            <w:div w:id="1955674699">
              <w:marLeft w:val="0"/>
              <w:marRight w:val="0"/>
              <w:marTop w:val="0"/>
              <w:marBottom w:val="0"/>
              <w:divBdr>
                <w:top w:val="none" w:sz="0" w:space="0" w:color="auto"/>
                <w:left w:val="none" w:sz="0" w:space="0" w:color="auto"/>
                <w:bottom w:val="none" w:sz="0" w:space="0" w:color="auto"/>
                <w:right w:val="none" w:sz="0" w:space="0" w:color="auto"/>
              </w:divBdr>
              <w:divsChild>
                <w:div w:id="19556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5013">
      <w:marLeft w:val="0"/>
      <w:marRight w:val="0"/>
      <w:marTop w:val="0"/>
      <w:marBottom w:val="0"/>
      <w:divBdr>
        <w:top w:val="none" w:sz="0" w:space="0" w:color="auto"/>
        <w:left w:val="none" w:sz="0" w:space="0" w:color="auto"/>
        <w:bottom w:val="none" w:sz="0" w:space="0" w:color="auto"/>
        <w:right w:val="none" w:sz="0" w:space="0" w:color="auto"/>
      </w:divBdr>
    </w:div>
    <w:div w:id="1955675017">
      <w:marLeft w:val="0"/>
      <w:marRight w:val="0"/>
      <w:marTop w:val="0"/>
      <w:marBottom w:val="0"/>
      <w:divBdr>
        <w:top w:val="none" w:sz="0" w:space="0" w:color="auto"/>
        <w:left w:val="none" w:sz="0" w:space="0" w:color="auto"/>
        <w:bottom w:val="none" w:sz="0" w:space="0" w:color="auto"/>
        <w:right w:val="none" w:sz="0" w:space="0" w:color="auto"/>
      </w:divBdr>
      <w:divsChild>
        <w:div w:id="1955675123">
          <w:marLeft w:val="0"/>
          <w:marRight w:val="0"/>
          <w:marTop w:val="0"/>
          <w:marBottom w:val="0"/>
          <w:divBdr>
            <w:top w:val="none" w:sz="0" w:space="0" w:color="auto"/>
            <w:left w:val="none" w:sz="0" w:space="0" w:color="auto"/>
            <w:bottom w:val="none" w:sz="0" w:space="0" w:color="auto"/>
            <w:right w:val="none" w:sz="0" w:space="0" w:color="auto"/>
          </w:divBdr>
          <w:divsChild>
            <w:div w:id="1955674996">
              <w:marLeft w:val="0"/>
              <w:marRight w:val="0"/>
              <w:marTop w:val="0"/>
              <w:marBottom w:val="0"/>
              <w:divBdr>
                <w:top w:val="none" w:sz="0" w:space="0" w:color="auto"/>
                <w:left w:val="none" w:sz="0" w:space="0" w:color="auto"/>
                <w:bottom w:val="none" w:sz="0" w:space="0" w:color="auto"/>
                <w:right w:val="none" w:sz="0" w:space="0" w:color="auto"/>
              </w:divBdr>
              <w:divsChild>
                <w:div w:id="1955674992">
                  <w:marLeft w:val="0"/>
                  <w:marRight w:val="0"/>
                  <w:marTop w:val="0"/>
                  <w:marBottom w:val="0"/>
                  <w:divBdr>
                    <w:top w:val="none" w:sz="0" w:space="0" w:color="auto"/>
                    <w:left w:val="none" w:sz="0" w:space="0" w:color="auto"/>
                    <w:bottom w:val="none" w:sz="0" w:space="0" w:color="auto"/>
                    <w:right w:val="none" w:sz="0" w:space="0" w:color="auto"/>
                  </w:divBdr>
                  <w:divsChild>
                    <w:div w:id="195567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5020">
      <w:marLeft w:val="0"/>
      <w:marRight w:val="0"/>
      <w:marTop w:val="0"/>
      <w:marBottom w:val="0"/>
      <w:divBdr>
        <w:top w:val="none" w:sz="0" w:space="0" w:color="auto"/>
        <w:left w:val="none" w:sz="0" w:space="0" w:color="auto"/>
        <w:bottom w:val="none" w:sz="0" w:space="0" w:color="auto"/>
        <w:right w:val="none" w:sz="0" w:space="0" w:color="auto"/>
      </w:divBdr>
      <w:divsChild>
        <w:div w:id="1955674855">
          <w:marLeft w:val="0"/>
          <w:marRight w:val="0"/>
          <w:marTop w:val="0"/>
          <w:marBottom w:val="0"/>
          <w:divBdr>
            <w:top w:val="none" w:sz="0" w:space="0" w:color="auto"/>
            <w:left w:val="none" w:sz="0" w:space="0" w:color="auto"/>
            <w:bottom w:val="none" w:sz="0" w:space="0" w:color="auto"/>
            <w:right w:val="none" w:sz="0" w:space="0" w:color="auto"/>
          </w:divBdr>
          <w:divsChild>
            <w:div w:id="1955674717">
              <w:marLeft w:val="0"/>
              <w:marRight w:val="0"/>
              <w:marTop w:val="0"/>
              <w:marBottom w:val="0"/>
              <w:divBdr>
                <w:top w:val="none" w:sz="0" w:space="0" w:color="auto"/>
                <w:left w:val="none" w:sz="0" w:space="0" w:color="auto"/>
                <w:bottom w:val="none" w:sz="0" w:space="0" w:color="auto"/>
                <w:right w:val="none" w:sz="0" w:space="0" w:color="auto"/>
              </w:divBdr>
              <w:divsChild>
                <w:div w:id="19556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5024">
      <w:marLeft w:val="0"/>
      <w:marRight w:val="0"/>
      <w:marTop w:val="0"/>
      <w:marBottom w:val="0"/>
      <w:divBdr>
        <w:top w:val="none" w:sz="0" w:space="0" w:color="auto"/>
        <w:left w:val="none" w:sz="0" w:space="0" w:color="auto"/>
        <w:bottom w:val="none" w:sz="0" w:space="0" w:color="auto"/>
        <w:right w:val="none" w:sz="0" w:space="0" w:color="auto"/>
      </w:divBdr>
      <w:divsChild>
        <w:div w:id="1955674990">
          <w:marLeft w:val="0"/>
          <w:marRight w:val="0"/>
          <w:marTop w:val="0"/>
          <w:marBottom w:val="0"/>
          <w:divBdr>
            <w:top w:val="none" w:sz="0" w:space="0" w:color="auto"/>
            <w:left w:val="none" w:sz="0" w:space="0" w:color="auto"/>
            <w:bottom w:val="none" w:sz="0" w:space="0" w:color="auto"/>
            <w:right w:val="none" w:sz="0" w:space="0" w:color="auto"/>
          </w:divBdr>
          <w:divsChild>
            <w:div w:id="1955674718">
              <w:marLeft w:val="0"/>
              <w:marRight w:val="0"/>
              <w:marTop w:val="0"/>
              <w:marBottom w:val="0"/>
              <w:divBdr>
                <w:top w:val="none" w:sz="0" w:space="0" w:color="auto"/>
                <w:left w:val="none" w:sz="0" w:space="0" w:color="auto"/>
                <w:bottom w:val="none" w:sz="0" w:space="0" w:color="auto"/>
                <w:right w:val="none" w:sz="0" w:space="0" w:color="auto"/>
              </w:divBdr>
              <w:divsChild>
                <w:div w:id="19556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5026">
      <w:marLeft w:val="0"/>
      <w:marRight w:val="0"/>
      <w:marTop w:val="0"/>
      <w:marBottom w:val="0"/>
      <w:divBdr>
        <w:top w:val="none" w:sz="0" w:space="0" w:color="auto"/>
        <w:left w:val="none" w:sz="0" w:space="0" w:color="auto"/>
        <w:bottom w:val="none" w:sz="0" w:space="0" w:color="auto"/>
        <w:right w:val="none" w:sz="0" w:space="0" w:color="auto"/>
      </w:divBdr>
      <w:divsChild>
        <w:div w:id="1955674566">
          <w:marLeft w:val="0"/>
          <w:marRight w:val="0"/>
          <w:marTop w:val="0"/>
          <w:marBottom w:val="0"/>
          <w:divBdr>
            <w:top w:val="none" w:sz="0" w:space="0" w:color="auto"/>
            <w:left w:val="none" w:sz="0" w:space="0" w:color="auto"/>
            <w:bottom w:val="none" w:sz="0" w:space="0" w:color="auto"/>
            <w:right w:val="none" w:sz="0" w:space="0" w:color="auto"/>
          </w:divBdr>
          <w:divsChild>
            <w:div w:id="1955674999">
              <w:marLeft w:val="0"/>
              <w:marRight w:val="0"/>
              <w:marTop w:val="0"/>
              <w:marBottom w:val="0"/>
              <w:divBdr>
                <w:top w:val="none" w:sz="0" w:space="0" w:color="auto"/>
                <w:left w:val="none" w:sz="0" w:space="0" w:color="auto"/>
                <w:bottom w:val="none" w:sz="0" w:space="0" w:color="auto"/>
                <w:right w:val="none" w:sz="0" w:space="0" w:color="auto"/>
              </w:divBdr>
              <w:divsChild>
                <w:div w:id="19556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5029">
      <w:marLeft w:val="0"/>
      <w:marRight w:val="0"/>
      <w:marTop w:val="0"/>
      <w:marBottom w:val="0"/>
      <w:divBdr>
        <w:top w:val="none" w:sz="0" w:space="0" w:color="auto"/>
        <w:left w:val="none" w:sz="0" w:space="0" w:color="auto"/>
        <w:bottom w:val="none" w:sz="0" w:space="0" w:color="auto"/>
        <w:right w:val="none" w:sz="0" w:space="0" w:color="auto"/>
      </w:divBdr>
      <w:divsChild>
        <w:div w:id="1955674542">
          <w:marLeft w:val="0"/>
          <w:marRight w:val="0"/>
          <w:marTop w:val="0"/>
          <w:marBottom w:val="0"/>
          <w:divBdr>
            <w:top w:val="none" w:sz="0" w:space="0" w:color="auto"/>
            <w:left w:val="none" w:sz="0" w:space="0" w:color="auto"/>
            <w:bottom w:val="none" w:sz="0" w:space="0" w:color="auto"/>
            <w:right w:val="none" w:sz="0" w:space="0" w:color="auto"/>
          </w:divBdr>
          <w:divsChild>
            <w:div w:id="1955674870">
              <w:marLeft w:val="0"/>
              <w:marRight w:val="0"/>
              <w:marTop w:val="0"/>
              <w:marBottom w:val="0"/>
              <w:divBdr>
                <w:top w:val="none" w:sz="0" w:space="0" w:color="auto"/>
                <w:left w:val="none" w:sz="0" w:space="0" w:color="auto"/>
                <w:bottom w:val="none" w:sz="0" w:space="0" w:color="auto"/>
                <w:right w:val="none" w:sz="0" w:space="0" w:color="auto"/>
              </w:divBdr>
              <w:divsChild>
                <w:div w:id="1955675075">
                  <w:marLeft w:val="0"/>
                  <w:marRight w:val="0"/>
                  <w:marTop w:val="0"/>
                  <w:marBottom w:val="0"/>
                  <w:divBdr>
                    <w:top w:val="none" w:sz="0" w:space="0" w:color="auto"/>
                    <w:left w:val="none" w:sz="0" w:space="0" w:color="auto"/>
                    <w:bottom w:val="none" w:sz="0" w:space="0" w:color="auto"/>
                    <w:right w:val="none" w:sz="0" w:space="0" w:color="auto"/>
                  </w:divBdr>
                  <w:divsChild>
                    <w:div w:id="195567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5033">
      <w:marLeft w:val="0"/>
      <w:marRight w:val="0"/>
      <w:marTop w:val="0"/>
      <w:marBottom w:val="0"/>
      <w:divBdr>
        <w:top w:val="none" w:sz="0" w:space="0" w:color="auto"/>
        <w:left w:val="none" w:sz="0" w:space="0" w:color="auto"/>
        <w:bottom w:val="none" w:sz="0" w:space="0" w:color="auto"/>
        <w:right w:val="none" w:sz="0" w:space="0" w:color="auto"/>
      </w:divBdr>
      <w:divsChild>
        <w:div w:id="1955675023">
          <w:marLeft w:val="0"/>
          <w:marRight w:val="0"/>
          <w:marTop w:val="0"/>
          <w:marBottom w:val="0"/>
          <w:divBdr>
            <w:top w:val="none" w:sz="0" w:space="0" w:color="auto"/>
            <w:left w:val="none" w:sz="0" w:space="0" w:color="auto"/>
            <w:bottom w:val="none" w:sz="0" w:space="0" w:color="auto"/>
            <w:right w:val="none" w:sz="0" w:space="0" w:color="auto"/>
          </w:divBdr>
          <w:divsChild>
            <w:div w:id="1955674569">
              <w:marLeft w:val="0"/>
              <w:marRight w:val="0"/>
              <w:marTop w:val="0"/>
              <w:marBottom w:val="0"/>
              <w:divBdr>
                <w:top w:val="none" w:sz="0" w:space="0" w:color="auto"/>
                <w:left w:val="none" w:sz="0" w:space="0" w:color="auto"/>
                <w:bottom w:val="none" w:sz="0" w:space="0" w:color="auto"/>
                <w:right w:val="none" w:sz="0" w:space="0" w:color="auto"/>
              </w:divBdr>
              <w:divsChild>
                <w:div w:id="19556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5035">
      <w:marLeft w:val="0"/>
      <w:marRight w:val="0"/>
      <w:marTop w:val="0"/>
      <w:marBottom w:val="0"/>
      <w:divBdr>
        <w:top w:val="none" w:sz="0" w:space="0" w:color="auto"/>
        <w:left w:val="none" w:sz="0" w:space="0" w:color="auto"/>
        <w:bottom w:val="none" w:sz="0" w:space="0" w:color="auto"/>
        <w:right w:val="none" w:sz="0" w:space="0" w:color="auto"/>
      </w:divBdr>
    </w:div>
    <w:div w:id="1955675036">
      <w:marLeft w:val="0"/>
      <w:marRight w:val="0"/>
      <w:marTop w:val="0"/>
      <w:marBottom w:val="0"/>
      <w:divBdr>
        <w:top w:val="none" w:sz="0" w:space="0" w:color="auto"/>
        <w:left w:val="none" w:sz="0" w:space="0" w:color="auto"/>
        <w:bottom w:val="none" w:sz="0" w:space="0" w:color="auto"/>
        <w:right w:val="none" w:sz="0" w:space="0" w:color="auto"/>
      </w:divBdr>
    </w:div>
    <w:div w:id="1955675038">
      <w:marLeft w:val="0"/>
      <w:marRight w:val="0"/>
      <w:marTop w:val="0"/>
      <w:marBottom w:val="0"/>
      <w:divBdr>
        <w:top w:val="none" w:sz="0" w:space="0" w:color="auto"/>
        <w:left w:val="none" w:sz="0" w:space="0" w:color="auto"/>
        <w:bottom w:val="none" w:sz="0" w:space="0" w:color="auto"/>
        <w:right w:val="none" w:sz="0" w:space="0" w:color="auto"/>
      </w:divBdr>
      <w:divsChild>
        <w:div w:id="1955675022">
          <w:marLeft w:val="0"/>
          <w:marRight w:val="0"/>
          <w:marTop w:val="0"/>
          <w:marBottom w:val="0"/>
          <w:divBdr>
            <w:top w:val="none" w:sz="0" w:space="0" w:color="auto"/>
            <w:left w:val="none" w:sz="0" w:space="0" w:color="auto"/>
            <w:bottom w:val="none" w:sz="0" w:space="0" w:color="auto"/>
            <w:right w:val="none" w:sz="0" w:space="0" w:color="auto"/>
          </w:divBdr>
          <w:divsChild>
            <w:div w:id="1955674611">
              <w:marLeft w:val="0"/>
              <w:marRight w:val="0"/>
              <w:marTop w:val="0"/>
              <w:marBottom w:val="0"/>
              <w:divBdr>
                <w:top w:val="none" w:sz="0" w:space="0" w:color="auto"/>
                <w:left w:val="none" w:sz="0" w:space="0" w:color="auto"/>
                <w:bottom w:val="none" w:sz="0" w:space="0" w:color="auto"/>
                <w:right w:val="none" w:sz="0" w:space="0" w:color="auto"/>
              </w:divBdr>
              <w:divsChild>
                <w:div w:id="1955675052">
                  <w:marLeft w:val="0"/>
                  <w:marRight w:val="0"/>
                  <w:marTop w:val="0"/>
                  <w:marBottom w:val="0"/>
                  <w:divBdr>
                    <w:top w:val="none" w:sz="0" w:space="0" w:color="auto"/>
                    <w:left w:val="none" w:sz="0" w:space="0" w:color="auto"/>
                    <w:bottom w:val="none" w:sz="0" w:space="0" w:color="auto"/>
                    <w:right w:val="none" w:sz="0" w:space="0" w:color="auto"/>
                  </w:divBdr>
                  <w:divsChild>
                    <w:div w:id="195567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5040">
      <w:marLeft w:val="0"/>
      <w:marRight w:val="0"/>
      <w:marTop w:val="0"/>
      <w:marBottom w:val="0"/>
      <w:divBdr>
        <w:top w:val="none" w:sz="0" w:space="0" w:color="auto"/>
        <w:left w:val="none" w:sz="0" w:space="0" w:color="auto"/>
        <w:bottom w:val="none" w:sz="0" w:space="0" w:color="auto"/>
        <w:right w:val="none" w:sz="0" w:space="0" w:color="auto"/>
      </w:divBdr>
    </w:div>
    <w:div w:id="1955675042">
      <w:marLeft w:val="0"/>
      <w:marRight w:val="0"/>
      <w:marTop w:val="0"/>
      <w:marBottom w:val="0"/>
      <w:divBdr>
        <w:top w:val="none" w:sz="0" w:space="0" w:color="auto"/>
        <w:left w:val="none" w:sz="0" w:space="0" w:color="auto"/>
        <w:bottom w:val="none" w:sz="0" w:space="0" w:color="auto"/>
        <w:right w:val="none" w:sz="0" w:space="0" w:color="auto"/>
      </w:divBdr>
      <w:divsChild>
        <w:div w:id="1955674668">
          <w:marLeft w:val="0"/>
          <w:marRight w:val="0"/>
          <w:marTop w:val="0"/>
          <w:marBottom w:val="0"/>
          <w:divBdr>
            <w:top w:val="none" w:sz="0" w:space="0" w:color="auto"/>
            <w:left w:val="none" w:sz="0" w:space="0" w:color="auto"/>
            <w:bottom w:val="none" w:sz="0" w:space="0" w:color="auto"/>
            <w:right w:val="none" w:sz="0" w:space="0" w:color="auto"/>
          </w:divBdr>
          <w:divsChild>
            <w:div w:id="1955674712">
              <w:marLeft w:val="0"/>
              <w:marRight w:val="0"/>
              <w:marTop w:val="0"/>
              <w:marBottom w:val="0"/>
              <w:divBdr>
                <w:top w:val="none" w:sz="0" w:space="0" w:color="auto"/>
                <w:left w:val="none" w:sz="0" w:space="0" w:color="auto"/>
                <w:bottom w:val="none" w:sz="0" w:space="0" w:color="auto"/>
                <w:right w:val="none" w:sz="0" w:space="0" w:color="auto"/>
              </w:divBdr>
              <w:divsChild>
                <w:div w:id="195567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5050">
      <w:marLeft w:val="0"/>
      <w:marRight w:val="0"/>
      <w:marTop w:val="0"/>
      <w:marBottom w:val="0"/>
      <w:divBdr>
        <w:top w:val="none" w:sz="0" w:space="0" w:color="auto"/>
        <w:left w:val="none" w:sz="0" w:space="0" w:color="auto"/>
        <w:bottom w:val="none" w:sz="0" w:space="0" w:color="auto"/>
        <w:right w:val="none" w:sz="0" w:space="0" w:color="auto"/>
      </w:divBdr>
    </w:div>
    <w:div w:id="1955675051">
      <w:marLeft w:val="0"/>
      <w:marRight w:val="0"/>
      <w:marTop w:val="0"/>
      <w:marBottom w:val="0"/>
      <w:divBdr>
        <w:top w:val="none" w:sz="0" w:space="0" w:color="auto"/>
        <w:left w:val="none" w:sz="0" w:space="0" w:color="auto"/>
        <w:bottom w:val="none" w:sz="0" w:space="0" w:color="auto"/>
        <w:right w:val="none" w:sz="0" w:space="0" w:color="auto"/>
      </w:divBdr>
      <w:divsChild>
        <w:div w:id="1955674672">
          <w:marLeft w:val="0"/>
          <w:marRight w:val="0"/>
          <w:marTop w:val="0"/>
          <w:marBottom w:val="0"/>
          <w:divBdr>
            <w:top w:val="none" w:sz="0" w:space="0" w:color="auto"/>
            <w:left w:val="none" w:sz="0" w:space="0" w:color="auto"/>
            <w:bottom w:val="none" w:sz="0" w:space="0" w:color="auto"/>
            <w:right w:val="none" w:sz="0" w:space="0" w:color="auto"/>
          </w:divBdr>
          <w:divsChild>
            <w:div w:id="1955674681">
              <w:marLeft w:val="0"/>
              <w:marRight w:val="0"/>
              <w:marTop w:val="0"/>
              <w:marBottom w:val="0"/>
              <w:divBdr>
                <w:top w:val="none" w:sz="0" w:space="0" w:color="auto"/>
                <w:left w:val="none" w:sz="0" w:space="0" w:color="auto"/>
                <w:bottom w:val="none" w:sz="0" w:space="0" w:color="auto"/>
                <w:right w:val="none" w:sz="0" w:space="0" w:color="auto"/>
              </w:divBdr>
              <w:divsChild>
                <w:div w:id="1955674710">
                  <w:marLeft w:val="0"/>
                  <w:marRight w:val="0"/>
                  <w:marTop w:val="0"/>
                  <w:marBottom w:val="0"/>
                  <w:divBdr>
                    <w:top w:val="none" w:sz="0" w:space="0" w:color="auto"/>
                    <w:left w:val="none" w:sz="0" w:space="0" w:color="auto"/>
                    <w:bottom w:val="none" w:sz="0" w:space="0" w:color="auto"/>
                    <w:right w:val="none" w:sz="0" w:space="0" w:color="auto"/>
                  </w:divBdr>
                  <w:divsChild>
                    <w:div w:id="19556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5057">
      <w:marLeft w:val="0"/>
      <w:marRight w:val="0"/>
      <w:marTop w:val="0"/>
      <w:marBottom w:val="0"/>
      <w:divBdr>
        <w:top w:val="none" w:sz="0" w:space="0" w:color="auto"/>
        <w:left w:val="none" w:sz="0" w:space="0" w:color="auto"/>
        <w:bottom w:val="none" w:sz="0" w:space="0" w:color="auto"/>
        <w:right w:val="none" w:sz="0" w:space="0" w:color="auto"/>
      </w:divBdr>
    </w:div>
    <w:div w:id="1955675062">
      <w:marLeft w:val="0"/>
      <w:marRight w:val="0"/>
      <w:marTop w:val="0"/>
      <w:marBottom w:val="0"/>
      <w:divBdr>
        <w:top w:val="none" w:sz="0" w:space="0" w:color="auto"/>
        <w:left w:val="none" w:sz="0" w:space="0" w:color="auto"/>
        <w:bottom w:val="none" w:sz="0" w:space="0" w:color="auto"/>
        <w:right w:val="none" w:sz="0" w:space="0" w:color="auto"/>
      </w:divBdr>
      <w:divsChild>
        <w:div w:id="1955674523">
          <w:marLeft w:val="0"/>
          <w:marRight w:val="0"/>
          <w:marTop w:val="0"/>
          <w:marBottom w:val="0"/>
          <w:divBdr>
            <w:top w:val="none" w:sz="0" w:space="0" w:color="auto"/>
            <w:left w:val="none" w:sz="0" w:space="0" w:color="auto"/>
            <w:bottom w:val="none" w:sz="0" w:space="0" w:color="auto"/>
            <w:right w:val="none" w:sz="0" w:space="0" w:color="auto"/>
          </w:divBdr>
          <w:divsChild>
            <w:div w:id="1955674842">
              <w:marLeft w:val="0"/>
              <w:marRight w:val="0"/>
              <w:marTop w:val="0"/>
              <w:marBottom w:val="0"/>
              <w:divBdr>
                <w:top w:val="none" w:sz="0" w:space="0" w:color="auto"/>
                <w:left w:val="none" w:sz="0" w:space="0" w:color="auto"/>
                <w:bottom w:val="none" w:sz="0" w:space="0" w:color="auto"/>
                <w:right w:val="none" w:sz="0" w:space="0" w:color="auto"/>
              </w:divBdr>
              <w:divsChild>
                <w:div w:id="195567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5064">
      <w:marLeft w:val="0"/>
      <w:marRight w:val="0"/>
      <w:marTop w:val="0"/>
      <w:marBottom w:val="0"/>
      <w:divBdr>
        <w:top w:val="none" w:sz="0" w:space="0" w:color="auto"/>
        <w:left w:val="none" w:sz="0" w:space="0" w:color="auto"/>
        <w:bottom w:val="none" w:sz="0" w:space="0" w:color="auto"/>
        <w:right w:val="none" w:sz="0" w:space="0" w:color="auto"/>
      </w:divBdr>
    </w:div>
    <w:div w:id="1955675068">
      <w:marLeft w:val="0"/>
      <w:marRight w:val="0"/>
      <w:marTop w:val="0"/>
      <w:marBottom w:val="0"/>
      <w:divBdr>
        <w:top w:val="none" w:sz="0" w:space="0" w:color="auto"/>
        <w:left w:val="none" w:sz="0" w:space="0" w:color="auto"/>
        <w:bottom w:val="none" w:sz="0" w:space="0" w:color="auto"/>
        <w:right w:val="none" w:sz="0" w:space="0" w:color="auto"/>
      </w:divBdr>
      <w:divsChild>
        <w:div w:id="1955674756">
          <w:marLeft w:val="0"/>
          <w:marRight w:val="0"/>
          <w:marTop w:val="0"/>
          <w:marBottom w:val="0"/>
          <w:divBdr>
            <w:top w:val="none" w:sz="0" w:space="0" w:color="auto"/>
            <w:left w:val="none" w:sz="0" w:space="0" w:color="auto"/>
            <w:bottom w:val="none" w:sz="0" w:space="0" w:color="auto"/>
            <w:right w:val="none" w:sz="0" w:space="0" w:color="auto"/>
          </w:divBdr>
          <w:divsChild>
            <w:div w:id="1955674679">
              <w:marLeft w:val="0"/>
              <w:marRight w:val="0"/>
              <w:marTop w:val="0"/>
              <w:marBottom w:val="0"/>
              <w:divBdr>
                <w:top w:val="none" w:sz="0" w:space="0" w:color="auto"/>
                <w:left w:val="none" w:sz="0" w:space="0" w:color="auto"/>
                <w:bottom w:val="none" w:sz="0" w:space="0" w:color="auto"/>
                <w:right w:val="none" w:sz="0" w:space="0" w:color="auto"/>
              </w:divBdr>
              <w:divsChild>
                <w:div w:id="19556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5069">
      <w:marLeft w:val="0"/>
      <w:marRight w:val="0"/>
      <w:marTop w:val="0"/>
      <w:marBottom w:val="0"/>
      <w:divBdr>
        <w:top w:val="none" w:sz="0" w:space="0" w:color="auto"/>
        <w:left w:val="none" w:sz="0" w:space="0" w:color="auto"/>
        <w:bottom w:val="none" w:sz="0" w:space="0" w:color="auto"/>
        <w:right w:val="none" w:sz="0" w:space="0" w:color="auto"/>
      </w:divBdr>
      <w:divsChild>
        <w:div w:id="1955675061">
          <w:marLeft w:val="0"/>
          <w:marRight w:val="0"/>
          <w:marTop w:val="0"/>
          <w:marBottom w:val="0"/>
          <w:divBdr>
            <w:top w:val="none" w:sz="0" w:space="0" w:color="auto"/>
            <w:left w:val="none" w:sz="0" w:space="0" w:color="auto"/>
            <w:bottom w:val="none" w:sz="0" w:space="0" w:color="auto"/>
            <w:right w:val="none" w:sz="0" w:space="0" w:color="auto"/>
          </w:divBdr>
          <w:divsChild>
            <w:div w:id="1955675045">
              <w:marLeft w:val="0"/>
              <w:marRight w:val="0"/>
              <w:marTop w:val="0"/>
              <w:marBottom w:val="0"/>
              <w:divBdr>
                <w:top w:val="none" w:sz="0" w:space="0" w:color="auto"/>
                <w:left w:val="none" w:sz="0" w:space="0" w:color="auto"/>
                <w:bottom w:val="none" w:sz="0" w:space="0" w:color="auto"/>
                <w:right w:val="none" w:sz="0" w:space="0" w:color="auto"/>
              </w:divBdr>
              <w:divsChild>
                <w:div w:id="1955674977">
                  <w:marLeft w:val="0"/>
                  <w:marRight w:val="0"/>
                  <w:marTop w:val="0"/>
                  <w:marBottom w:val="0"/>
                  <w:divBdr>
                    <w:top w:val="none" w:sz="0" w:space="0" w:color="auto"/>
                    <w:left w:val="none" w:sz="0" w:space="0" w:color="auto"/>
                    <w:bottom w:val="none" w:sz="0" w:space="0" w:color="auto"/>
                    <w:right w:val="none" w:sz="0" w:space="0" w:color="auto"/>
                  </w:divBdr>
                  <w:divsChild>
                    <w:div w:id="195567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5077">
      <w:marLeft w:val="0"/>
      <w:marRight w:val="0"/>
      <w:marTop w:val="0"/>
      <w:marBottom w:val="0"/>
      <w:divBdr>
        <w:top w:val="none" w:sz="0" w:space="0" w:color="auto"/>
        <w:left w:val="none" w:sz="0" w:space="0" w:color="auto"/>
        <w:bottom w:val="none" w:sz="0" w:space="0" w:color="auto"/>
        <w:right w:val="none" w:sz="0" w:space="0" w:color="auto"/>
      </w:divBdr>
      <w:divsChild>
        <w:div w:id="1955674849">
          <w:marLeft w:val="0"/>
          <w:marRight w:val="0"/>
          <w:marTop w:val="0"/>
          <w:marBottom w:val="0"/>
          <w:divBdr>
            <w:top w:val="none" w:sz="0" w:space="0" w:color="auto"/>
            <w:left w:val="none" w:sz="0" w:space="0" w:color="auto"/>
            <w:bottom w:val="none" w:sz="0" w:space="0" w:color="auto"/>
            <w:right w:val="none" w:sz="0" w:space="0" w:color="auto"/>
          </w:divBdr>
          <w:divsChild>
            <w:div w:id="1955674907">
              <w:marLeft w:val="0"/>
              <w:marRight w:val="0"/>
              <w:marTop w:val="0"/>
              <w:marBottom w:val="0"/>
              <w:divBdr>
                <w:top w:val="none" w:sz="0" w:space="0" w:color="auto"/>
                <w:left w:val="none" w:sz="0" w:space="0" w:color="auto"/>
                <w:bottom w:val="none" w:sz="0" w:space="0" w:color="auto"/>
                <w:right w:val="none" w:sz="0" w:space="0" w:color="auto"/>
              </w:divBdr>
              <w:divsChild>
                <w:div w:id="19556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5083">
      <w:marLeft w:val="0"/>
      <w:marRight w:val="0"/>
      <w:marTop w:val="0"/>
      <w:marBottom w:val="0"/>
      <w:divBdr>
        <w:top w:val="none" w:sz="0" w:space="0" w:color="auto"/>
        <w:left w:val="none" w:sz="0" w:space="0" w:color="auto"/>
        <w:bottom w:val="none" w:sz="0" w:space="0" w:color="auto"/>
        <w:right w:val="none" w:sz="0" w:space="0" w:color="auto"/>
      </w:divBdr>
    </w:div>
    <w:div w:id="1955675093">
      <w:marLeft w:val="0"/>
      <w:marRight w:val="0"/>
      <w:marTop w:val="0"/>
      <w:marBottom w:val="0"/>
      <w:divBdr>
        <w:top w:val="none" w:sz="0" w:space="0" w:color="auto"/>
        <w:left w:val="none" w:sz="0" w:space="0" w:color="auto"/>
        <w:bottom w:val="none" w:sz="0" w:space="0" w:color="auto"/>
        <w:right w:val="none" w:sz="0" w:space="0" w:color="auto"/>
      </w:divBdr>
      <w:divsChild>
        <w:div w:id="1955674915">
          <w:marLeft w:val="0"/>
          <w:marRight w:val="0"/>
          <w:marTop w:val="0"/>
          <w:marBottom w:val="0"/>
          <w:divBdr>
            <w:top w:val="none" w:sz="0" w:space="0" w:color="auto"/>
            <w:left w:val="none" w:sz="0" w:space="0" w:color="auto"/>
            <w:bottom w:val="none" w:sz="0" w:space="0" w:color="auto"/>
            <w:right w:val="none" w:sz="0" w:space="0" w:color="auto"/>
          </w:divBdr>
          <w:divsChild>
            <w:div w:id="1955674534">
              <w:marLeft w:val="0"/>
              <w:marRight w:val="0"/>
              <w:marTop w:val="0"/>
              <w:marBottom w:val="0"/>
              <w:divBdr>
                <w:top w:val="none" w:sz="0" w:space="0" w:color="auto"/>
                <w:left w:val="none" w:sz="0" w:space="0" w:color="auto"/>
                <w:bottom w:val="none" w:sz="0" w:space="0" w:color="auto"/>
                <w:right w:val="none" w:sz="0" w:space="0" w:color="auto"/>
              </w:divBdr>
              <w:divsChild>
                <w:div w:id="19556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5095">
      <w:marLeft w:val="0"/>
      <w:marRight w:val="0"/>
      <w:marTop w:val="0"/>
      <w:marBottom w:val="0"/>
      <w:divBdr>
        <w:top w:val="none" w:sz="0" w:space="0" w:color="auto"/>
        <w:left w:val="none" w:sz="0" w:space="0" w:color="auto"/>
        <w:bottom w:val="none" w:sz="0" w:space="0" w:color="auto"/>
        <w:right w:val="none" w:sz="0" w:space="0" w:color="auto"/>
      </w:divBdr>
      <w:divsChild>
        <w:div w:id="1955674706">
          <w:marLeft w:val="0"/>
          <w:marRight w:val="0"/>
          <w:marTop w:val="0"/>
          <w:marBottom w:val="0"/>
          <w:divBdr>
            <w:top w:val="none" w:sz="0" w:space="0" w:color="auto"/>
            <w:left w:val="none" w:sz="0" w:space="0" w:color="auto"/>
            <w:bottom w:val="none" w:sz="0" w:space="0" w:color="auto"/>
            <w:right w:val="none" w:sz="0" w:space="0" w:color="auto"/>
          </w:divBdr>
          <w:divsChild>
            <w:div w:id="1955675044">
              <w:marLeft w:val="0"/>
              <w:marRight w:val="0"/>
              <w:marTop w:val="0"/>
              <w:marBottom w:val="0"/>
              <w:divBdr>
                <w:top w:val="none" w:sz="0" w:space="0" w:color="auto"/>
                <w:left w:val="none" w:sz="0" w:space="0" w:color="auto"/>
                <w:bottom w:val="none" w:sz="0" w:space="0" w:color="auto"/>
                <w:right w:val="none" w:sz="0" w:space="0" w:color="auto"/>
              </w:divBdr>
              <w:divsChild>
                <w:div w:id="195567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5099">
      <w:marLeft w:val="0"/>
      <w:marRight w:val="0"/>
      <w:marTop w:val="0"/>
      <w:marBottom w:val="0"/>
      <w:divBdr>
        <w:top w:val="none" w:sz="0" w:space="0" w:color="auto"/>
        <w:left w:val="none" w:sz="0" w:space="0" w:color="auto"/>
        <w:bottom w:val="none" w:sz="0" w:space="0" w:color="auto"/>
        <w:right w:val="none" w:sz="0" w:space="0" w:color="auto"/>
      </w:divBdr>
      <w:divsChild>
        <w:div w:id="1955674786">
          <w:marLeft w:val="0"/>
          <w:marRight w:val="0"/>
          <w:marTop w:val="0"/>
          <w:marBottom w:val="0"/>
          <w:divBdr>
            <w:top w:val="none" w:sz="0" w:space="0" w:color="auto"/>
            <w:left w:val="none" w:sz="0" w:space="0" w:color="auto"/>
            <w:bottom w:val="none" w:sz="0" w:space="0" w:color="auto"/>
            <w:right w:val="none" w:sz="0" w:space="0" w:color="auto"/>
          </w:divBdr>
          <w:divsChild>
            <w:div w:id="1955674774">
              <w:marLeft w:val="0"/>
              <w:marRight w:val="0"/>
              <w:marTop w:val="0"/>
              <w:marBottom w:val="0"/>
              <w:divBdr>
                <w:top w:val="none" w:sz="0" w:space="0" w:color="auto"/>
                <w:left w:val="none" w:sz="0" w:space="0" w:color="auto"/>
                <w:bottom w:val="none" w:sz="0" w:space="0" w:color="auto"/>
                <w:right w:val="none" w:sz="0" w:space="0" w:color="auto"/>
              </w:divBdr>
              <w:divsChild>
                <w:div w:id="195567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5101">
      <w:marLeft w:val="0"/>
      <w:marRight w:val="0"/>
      <w:marTop w:val="0"/>
      <w:marBottom w:val="0"/>
      <w:divBdr>
        <w:top w:val="none" w:sz="0" w:space="0" w:color="auto"/>
        <w:left w:val="none" w:sz="0" w:space="0" w:color="auto"/>
        <w:bottom w:val="none" w:sz="0" w:space="0" w:color="auto"/>
        <w:right w:val="none" w:sz="0" w:space="0" w:color="auto"/>
      </w:divBdr>
      <w:divsChild>
        <w:div w:id="1955674995">
          <w:marLeft w:val="0"/>
          <w:marRight w:val="0"/>
          <w:marTop w:val="0"/>
          <w:marBottom w:val="0"/>
          <w:divBdr>
            <w:top w:val="none" w:sz="0" w:space="0" w:color="auto"/>
            <w:left w:val="none" w:sz="0" w:space="0" w:color="auto"/>
            <w:bottom w:val="none" w:sz="0" w:space="0" w:color="auto"/>
            <w:right w:val="none" w:sz="0" w:space="0" w:color="auto"/>
          </w:divBdr>
          <w:divsChild>
            <w:div w:id="1955674621">
              <w:marLeft w:val="0"/>
              <w:marRight w:val="0"/>
              <w:marTop w:val="0"/>
              <w:marBottom w:val="0"/>
              <w:divBdr>
                <w:top w:val="none" w:sz="0" w:space="0" w:color="auto"/>
                <w:left w:val="none" w:sz="0" w:space="0" w:color="auto"/>
                <w:bottom w:val="none" w:sz="0" w:space="0" w:color="auto"/>
                <w:right w:val="none" w:sz="0" w:space="0" w:color="auto"/>
              </w:divBdr>
              <w:divsChild>
                <w:div w:id="1955674837">
                  <w:marLeft w:val="0"/>
                  <w:marRight w:val="0"/>
                  <w:marTop w:val="0"/>
                  <w:marBottom w:val="0"/>
                  <w:divBdr>
                    <w:top w:val="none" w:sz="0" w:space="0" w:color="auto"/>
                    <w:left w:val="none" w:sz="0" w:space="0" w:color="auto"/>
                    <w:bottom w:val="none" w:sz="0" w:space="0" w:color="auto"/>
                    <w:right w:val="none" w:sz="0" w:space="0" w:color="auto"/>
                  </w:divBdr>
                </w:div>
              </w:divsChild>
            </w:div>
            <w:div w:id="1955674674">
              <w:marLeft w:val="0"/>
              <w:marRight w:val="0"/>
              <w:marTop w:val="0"/>
              <w:marBottom w:val="0"/>
              <w:divBdr>
                <w:top w:val="none" w:sz="0" w:space="0" w:color="auto"/>
                <w:left w:val="none" w:sz="0" w:space="0" w:color="auto"/>
                <w:bottom w:val="none" w:sz="0" w:space="0" w:color="auto"/>
                <w:right w:val="none" w:sz="0" w:space="0" w:color="auto"/>
              </w:divBdr>
              <w:divsChild>
                <w:div w:id="1955674861">
                  <w:marLeft w:val="0"/>
                  <w:marRight w:val="0"/>
                  <w:marTop w:val="0"/>
                  <w:marBottom w:val="0"/>
                  <w:divBdr>
                    <w:top w:val="none" w:sz="0" w:space="0" w:color="auto"/>
                    <w:left w:val="none" w:sz="0" w:space="0" w:color="auto"/>
                    <w:bottom w:val="none" w:sz="0" w:space="0" w:color="auto"/>
                    <w:right w:val="none" w:sz="0" w:space="0" w:color="auto"/>
                  </w:divBdr>
                </w:div>
              </w:divsChild>
            </w:div>
            <w:div w:id="1955674904">
              <w:marLeft w:val="0"/>
              <w:marRight w:val="0"/>
              <w:marTop w:val="0"/>
              <w:marBottom w:val="0"/>
              <w:divBdr>
                <w:top w:val="none" w:sz="0" w:space="0" w:color="auto"/>
                <w:left w:val="none" w:sz="0" w:space="0" w:color="auto"/>
                <w:bottom w:val="none" w:sz="0" w:space="0" w:color="auto"/>
                <w:right w:val="none" w:sz="0" w:space="0" w:color="auto"/>
              </w:divBdr>
              <w:divsChild>
                <w:div w:id="1955674640">
                  <w:marLeft w:val="0"/>
                  <w:marRight w:val="0"/>
                  <w:marTop w:val="0"/>
                  <w:marBottom w:val="0"/>
                  <w:divBdr>
                    <w:top w:val="none" w:sz="0" w:space="0" w:color="auto"/>
                    <w:left w:val="none" w:sz="0" w:space="0" w:color="auto"/>
                    <w:bottom w:val="none" w:sz="0" w:space="0" w:color="auto"/>
                    <w:right w:val="none" w:sz="0" w:space="0" w:color="auto"/>
                  </w:divBdr>
                </w:div>
              </w:divsChild>
            </w:div>
            <w:div w:id="1955675018">
              <w:marLeft w:val="0"/>
              <w:marRight w:val="0"/>
              <w:marTop w:val="0"/>
              <w:marBottom w:val="0"/>
              <w:divBdr>
                <w:top w:val="none" w:sz="0" w:space="0" w:color="auto"/>
                <w:left w:val="none" w:sz="0" w:space="0" w:color="auto"/>
                <w:bottom w:val="none" w:sz="0" w:space="0" w:color="auto"/>
                <w:right w:val="none" w:sz="0" w:space="0" w:color="auto"/>
              </w:divBdr>
              <w:divsChild>
                <w:div w:id="195567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5116">
      <w:marLeft w:val="0"/>
      <w:marRight w:val="0"/>
      <w:marTop w:val="0"/>
      <w:marBottom w:val="0"/>
      <w:divBdr>
        <w:top w:val="none" w:sz="0" w:space="0" w:color="auto"/>
        <w:left w:val="none" w:sz="0" w:space="0" w:color="auto"/>
        <w:bottom w:val="none" w:sz="0" w:space="0" w:color="auto"/>
        <w:right w:val="none" w:sz="0" w:space="0" w:color="auto"/>
      </w:divBdr>
    </w:div>
    <w:div w:id="1955675117">
      <w:marLeft w:val="0"/>
      <w:marRight w:val="0"/>
      <w:marTop w:val="0"/>
      <w:marBottom w:val="0"/>
      <w:divBdr>
        <w:top w:val="none" w:sz="0" w:space="0" w:color="auto"/>
        <w:left w:val="none" w:sz="0" w:space="0" w:color="auto"/>
        <w:bottom w:val="none" w:sz="0" w:space="0" w:color="auto"/>
        <w:right w:val="none" w:sz="0" w:space="0" w:color="auto"/>
      </w:divBdr>
    </w:div>
    <w:div w:id="1955675121">
      <w:marLeft w:val="0"/>
      <w:marRight w:val="0"/>
      <w:marTop w:val="0"/>
      <w:marBottom w:val="0"/>
      <w:divBdr>
        <w:top w:val="none" w:sz="0" w:space="0" w:color="auto"/>
        <w:left w:val="none" w:sz="0" w:space="0" w:color="auto"/>
        <w:bottom w:val="none" w:sz="0" w:space="0" w:color="auto"/>
        <w:right w:val="none" w:sz="0" w:space="0" w:color="auto"/>
      </w:divBdr>
    </w:div>
    <w:div w:id="1955675124">
      <w:marLeft w:val="0"/>
      <w:marRight w:val="0"/>
      <w:marTop w:val="0"/>
      <w:marBottom w:val="0"/>
      <w:divBdr>
        <w:top w:val="none" w:sz="0" w:space="0" w:color="auto"/>
        <w:left w:val="none" w:sz="0" w:space="0" w:color="auto"/>
        <w:bottom w:val="none" w:sz="0" w:space="0" w:color="auto"/>
        <w:right w:val="none" w:sz="0" w:space="0" w:color="auto"/>
      </w:divBdr>
      <w:divsChild>
        <w:div w:id="1955674801">
          <w:marLeft w:val="0"/>
          <w:marRight w:val="0"/>
          <w:marTop w:val="0"/>
          <w:marBottom w:val="0"/>
          <w:divBdr>
            <w:top w:val="none" w:sz="0" w:space="0" w:color="auto"/>
            <w:left w:val="none" w:sz="0" w:space="0" w:color="auto"/>
            <w:bottom w:val="none" w:sz="0" w:space="0" w:color="auto"/>
            <w:right w:val="none" w:sz="0" w:space="0" w:color="auto"/>
          </w:divBdr>
          <w:divsChild>
            <w:div w:id="1955674834">
              <w:marLeft w:val="0"/>
              <w:marRight w:val="0"/>
              <w:marTop w:val="0"/>
              <w:marBottom w:val="0"/>
              <w:divBdr>
                <w:top w:val="none" w:sz="0" w:space="0" w:color="auto"/>
                <w:left w:val="none" w:sz="0" w:space="0" w:color="auto"/>
                <w:bottom w:val="none" w:sz="0" w:space="0" w:color="auto"/>
                <w:right w:val="none" w:sz="0" w:space="0" w:color="auto"/>
              </w:divBdr>
              <w:divsChild>
                <w:div w:id="1955675119">
                  <w:marLeft w:val="0"/>
                  <w:marRight w:val="0"/>
                  <w:marTop w:val="0"/>
                  <w:marBottom w:val="0"/>
                  <w:divBdr>
                    <w:top w:val="none" w:sz="0" w:space="0" w:color="auto"/>
                    <w:left w:val="none" w:sz="0" w:space="0" w:color="auto"/>
                    <w:bottom w:val="none" w:sz="0" w:space="0" w:color="auto"/>
                    <w:right w:val="none" w:sz="0" w:space="0" w:color="auto"/>
                  </w:divBdr>
                  <w:divsChild>
                    <w:div w:id="19556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5126">
      <w:marLeft w:val="0"/>
      <w:marRight w:val="0"/>
      <w:marTop w:val="0"/>
      <w:marBottom w:val="0"/>
      <w:divBdr>
        <w:top w:val="none" w:sz="0" w:space="0" w:color="auto"/>
        <w:left w:val="none" w:sz="0" w:space="0" w:color="auto"/>
        <w:bottom w:val="none" w:sz="0" w:space="0" w:color="auto"/>
        <w:right w:val="none" w:sz="0" w:space="0" w:color="auto"/>
      </w:divBdr>
      <w:divsChild>
        <w:div w:id="1955674752">
          <w:marLeft w:val="0"/>
          <w:marRight w:val="0"/>
          <w:marTop w:val="0"/>
          <w:marBottom w:val="0"/>
          <w:divBdr>
            <w:top w:val="none" w:sz="0" w:space="0" w:color="auto"/>
            <w:left w:val="none" w:sz="0" w:space="0" w:color="auto"/>
            <w:bottom w:val="none" w:sz="0" w:space="0" w:color="auto"/>
            <w:right w:val="none" w:sz="0" w:space="0" w:color="auto"/>
          </w:divBdr>
          <w:divsChild>
            <w:div w:id="1955674831">
              <w:marLeft w:val="0"/>
              <w:marRight w:val="0"/>
              <w:marTop w:val="0"/>
              <w:marBottom w:val="0"/>
              <w:divBdr>
                <w:top w:val="none" w:sz="0" w:space="0" w:color="auto"/>
                <w:left w:val="none" w:sz="0" w:space="0" w:color="auto"/>
                <w:bottom w:val="none" w:sz="0" w:space="0" w:color="auto"/>
                <w:right w:val="none" w:sz="0" w:space="0" w:color="auto"/>
              </w:divBdr>
              <w:divsChild>
                <w:div w:id="195567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5128">
      <w:marLeft w:val="0"/>
      <w:marRight w:val="0"/>
      <w:marTop w:val="0"/>
      <w:marBottom w:val="0"/>
      <w:divBdr>
        <w:top w:val="none" w:sz="0" w:space="0" w:color="auto"/>
        <w:left w:val="none" w:sz="0" w:space="0" w:color="auto"/>
        <w:bottom w:val="none" w:sz="0" w:space="0" w:color="auto"/>
        <w:right w:val="none" w:sz="0" w:space="0" w:color="auto"/>
      </w:divBdr>
    </w:div>
    <w:div w:id="2031058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s://doi.org/10.1158/0008-5472.Can-05-3153" TargetMode="External"/><Relationship Id="rId21" Type="http://schemas.openxmlformats.org/officeDocument/2006/relationships/image" Target="media/image8.png"/><Relationship Id="rId42" Type="http://schemas.openxmlformats.org/officeDocument/2006/relationships/image" Target="media/image18.png"/><Relationship Id="rId47" Type="http://schemas.openxmlformats.org/officeDocument/2006/relationships/hyperlink" Target="https://books.google.de/books?id=O2PyjwEACAAJ" TargetMode="External"/><Relationship Id="rId63" Type="http://schemas.openxmlformats.org/officeDocument/2006/relationships/hyperlink" Target="https://books.google.de/books?id=pAdLzQEACAAJ" TargetMode="External"/><Relationship Id="rId68" Type="http://schemas.openxmlformats.org/officeDocument/2006/relationships/hyperlink" Target="https://doi.org/10.1016/j.ijrobp.2012.05.008" TargetMode="External"/><Relationship Id="rId84" Type="http://schemas.openxmlformats.org/officeDocument/2006/relationships/hyperlink" Target="https://doi.org/10.1002/1878-0261.12430" TargetMode="External"/><Relationship Id="rId89" Type="http://schemas.openxmlformats.org/officeDocument/2006/relationships/hyperlink" Target="https://doi.org/10.1158/1078-0432.Ccr-10-2639" TargetMode="External"/><Relationship Id="rId112" Type="http://schemas.openxmlformats.org/officeDocument/2006/relationships/hyperlink" Target="https://doi.org/10.1097/00000478-200202000-00002" TargetMode="External"/><Relationship Id="rId16" Type="http://schemas.openxmlformats.org/officeDocument/2006/relationships/image" Target="media/image5.jpeg"/><Relationship Id="rId107" Type="http://schemas.openxmlformats.org/officeDocument/2006/relationships/hyperlink" Target="https://doi.org/10.1002/ijc.11633" TargetMode="External"/><Relationship Id="rId11" Type="http://schemas.openxmlformats.org/officeDocument/2006/relationships/image" Target="media/image2.png"/><Relationship Id="rId32" Type="http://schemas.openxmlformats.org/officeDocument/2006/relationships/hyperlink" Target="https://clincancerres.aacrjournals.org/content/22/11/2639" TargetMode="External"/><Relationship Id="rId37" Type="http://schemas.openxmlformats.org/officeDocument/2006/relationships/hyperlink" Target="https://clincancerres.aacrjournals.org/content/22/11/2639" TargetMode="External"/><Relationship Id="rId53" Type="http://schemas.openxmlformats.org/officeDocument/2006/relationships/hyperlink" Target="https://doi.org/10.1002/hed.20279" TargetMode="External"/><Relationship Id="rId58" Type="http://schemas.openxmlformats.org/officeDocument/2006/relationships/hyperlink" Target="https://doi.org/10.1016/s1470-2045(09)70096-8" TargetMode="External"/><Relationship Id="rId74" Type="http://schemas.openxmlformats.org/officeDocument/2006/relationships/hyperlink" Target="https://books.google.de/books?id=EDo5MQAACAAJ" TargetMode="External"/><Relationship Id="rId79" Type="http://schemas.openxmlformats.org/officeDocument/2006/relationships/hyperlink" Target="https://doi.org/10.1038/ncponc0046" TargetMode="External"/><Relationship Id="rId102" Type="http://schemas.openxmlformats.org/officeDocument/2006/relationships/hyperlink" Target="https://doi.org/10.1016/0196-0709(94)90006-x" TargetMode="External"/><Relationship Id="rId5" Type="http://schemas.openxmlformats.org/officeDocument/2006/relationships/webSettings" Target="webSettings.xml"/><Relationship Id="rId90" Type="http://schemas.openxmlformats.org/officeDocument/2006/relationships/hyperlink" Target="https://books.google.ne/books?id=RLGr7gRB0kUC" TargetMode="External"/><Relationship Id="rId95" Type="http://schemas.openxmlformats.org/officeDocument/2006/relationships/hyperlink" Target="https://doi.org/10.1371/journal.pone.0003360"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hyperlink" Target="https://www.ncbi.nlm.nih.gov/pubmed/9426048" TargetMode="External"/><Relationship Id="rId64" Type="http://schemas.openxmlformats.org/officeDocument/2006/relationships/hyperlink" Target="https://doi.org/10.1158/1535-7163.MCT-10-0504" TargetMode="External"/><Relationship Id="rId69" Type="http://schemas.openxmlformats.org/officeDocument/2006/relationships/hyperlink" Target="https://doi.org/10.1097/CCO.0b013e32835ff48c" TargetMode="External"/><Relationship Id="rId113" Type="http://schemas.openxmlformats.org/officeDocument/2006/relationships/hyperlink" Target="https://books.google.de/books?id=zNZCDwAAQBAJ" TargetMode="External"/><Relationship Id="rId118" Type="http://schemas.openxmlformats.org/officeDocument/2006/relationships/hyperlink" Target="https://books.google.de/books?id=8MGpBAAAQBAJ" TargetMode="External"/><Relationship Id="rId80" Type="http://schemas.openxmlformats.org/officeDocument/2006/relationships/hyperlink" Target="https://doi.org/10.1016/j.stem.2007.08.014" TargetMode="External"/><Relationship Id="rId85" Type="http://schemas.openxmlformats.org/officeDocument/2006/relationships/hyperlink" Target="https://doi.org/10.1001/archotol.1993.01880200093013" TargetMode="External"/><Relationship Id="rId12" Type="http://schemas.openxmlformats.org/officeDocument/2006/relationships/image" Target="media/image3.jpeg"/><Relationship Id="rId17" Type="http://schemas.openxmlformats.org/officeDocument/2006/relationships/image" Target="media/image6.jpeg"/><Relationship Id="rId33" Type="http://schemas.openxmlformats.org/officeDocument/2006/relationships/hyperlink" Target="https://clincancerres.aacrjournals.org/content/22/11/2639" TargetMode="External"/><Relationship Id="rId38" Type="http://schemas.openxmlformats.org/officeDocument/2006/relationships/header" Target="header6.xml"/><Relationship Id="rId59" Type="http://schemas.openxmlformats.org/officeDocument/2006/relationships/hyperlink" Target="https://doi.org/10.1016/j.critrevonc.2018.07.006" TargetMode="External"/><Relationship Id="rId103" Type="http://schemas.openxmlformats.org/officeDocument/2006/relationships/hyperlink" Target="https://doi.org/10.1002/ijc.10960" TargetMode="External"/><Relationship Id="rId108" Type="http://schemas.openxmlformats.org/officeDocument/2006/relationships/hyperlink" Target="https://doi.org/10.1002/ijc.2910510602" TargetMode="External"/><Relationship Id="rId54" Type="http://schemas.openxmlformats.org/officeDocument/2006/relationships/hyperlink" Target="https://doi.org/10.1067/mcp.2001.113989" TargetMode="External"/><Relationship Id="rId70" Type="http://schemas.openxmlformats.org/officeDocument/2006/relationships/hyperlink" Target="https://doi.org/10.1086/597755" TargetMode="External"/><Relationship Id="rId75" Type="http://schemas.openxmlformats.org/officeDocument/2006/relationships/hyperlink" Target="https://doi.org/10.1093/jnci/djn011" TargetMode="External"/><Relationship Id="rId91" Type="http://schemas.openxmlformats.org/officeDocument/2006/relationships/hyperlink" Target="https://doi.org/10.1002/1097-0142(20010815)92:4" TargetMode="External"/><Relationship Id="rId96" Type="http://schemas.openxmlformats.org/officeDocument/2006/relationships/hyperlink" Target="https://doi.org/10.1016/s0046-8177(96)90311-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hyperlink" Target="https://doi.org/10.1056/NEJMoa0912217" TargetMode="External"/><Relationship Id="rId114" Type="http://schemas.openxmlformats.org/officeDocument/2006/relationships/hyperlink" Target="https://books.google.de/books?id=RnJovwEACAAJ" TargetMode="External"/><Relationship Id="rId119" Type="http://schemas.openxmlformats.org/officeDocument/2006/relationships/hyperlink" Target="https://doi.org/10.1016/j.canlet.2009.08.010" TargetMode="External"/><Relationship Id="rId44" Type="http://schemas.openxmlformats.org/officeDocument/2006/relationships/image" Target="media/image20.png"/><Relationship Id="rId60" Type="http://schemas.openxmlformats.org/officeDocument/2006/relationships/hyperlink" Target="https://books.google.de/books?id=IBJSDIxrSUUC" TargetMode="External"/><Relationship Id="rId65" Type="http://schemas.openxmlformats.org/officeDocument/2006/relationships/hyperlink" Target="https://doi.org/10.1586/14737140.6.7.1111" TargetMode="External"/><Relationship Id="rId81" Type="http://schemas.openxmlformats.org/officeDocument/2006/relationships/hyperlink" Target="https://doi.org/10.1002/ijc.23458" TargetMode="External"/><Relationship Id="rId86" Type="http://schemas.openxmlformats.org/officeDocument/2006/relationships/hyperlink" Target="https://doi.org/10.1007/s00430-002-0126-1"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header" Target="header5.xml"/><Relationship Id="rId39" Type="http://schemas.openxmlformats.org/officeDocument/2006/relationships/hyperlink" Target="http://3.0.co/" TargetMode="External"/><Relationship Id="rId109" Type="http://schemas.openxmlformats.org/officeDocument/2006/relationships/hyperlink" Target="https://doi.org/10.1002/cncr.22963" TargetMode="External"/><Relationship Id="rId34" Type="http://schemas.openxmlformats.org/officeDocument/2006/relationships/hyperlink" Target="https://clincancerres.aacrjournals.org/content/22/11/2639" TargetMode="External"/><Relationship Id="rId50" Type="http://schemas.openxmlformats.org/officeDocument/2006/relationships/hyperlink" Target="https://doi.org/10.1016/S0140-6736(08)60728-X" TargetMode="External"/><Relationship Id="rId55" Type="http://schemas.openxmlformats.org/officeDocument/2006/relationships/hyperlink" Target="https://books.google.de/books?id=_aKIKlvq3KoC" TargetMode="External"/><Relationship Id="rId76" Type="http://schemas.openxmlformats.org/officeDocument/2006/relationships/hyperlink" Target="https://doi.org/10.1002/ijc.33588" TargetMode="External"/><Relationship Id="rId97" Type="http://schemas.openxmlformats.org/officeDocument/2006/relationships/hyperlink" Target="https://doi.org/10.3322/canjclin.45.6.328" TargetMode="External"/><Relationship Id="rId104" Type="http://schemas.openxmlformats.org/officeDocument/2006/relationships/hyperlink" Target="https://doi.org/10.1038/s41416-019-0602-7"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158/1078-0432.CCR-10-0799" TargetMode="External"/><Relationship Id="rId92" Type="http://schemas.openxmlformats.org/officeDocument/2006/relationships/hyperlink" Target="https://doi.org/10.1016/j.molonc.2007.08.005"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http://3.0.co/" TargetMode="External"/><Relationship Id="rId45" Type="http://schemas.openxmlformats.org/officeDocument/2006/relationships/hyperlink" Target="https://doi.org/10.1007/978-1-59745-280-9_11" TargetMode="External"/><Relationship Id="rId66" Type="http://schemas.openxmlformats.org/officeDocument/2006/relationships/hyperlink" Target="https://doi.org/10.1158/1078-0432.CCR-09-0784" TargetMode="External"/><Relationship Id="rId87" Type="http://schemas.openxmlformats.org/officeDocument/2006/relationships/hyperlink" Target="https://doi.org/10.1002/1097-0142(20011201)92:11" TargetMode="External"/><Relationship Id="rId110" Type="http://schemas.openxmlformats.org/officeDocument/2006/relationships/hyperlink" Target="https://doi.org/10.1159/000275612" TargetMode="External"/><Relationship Id="rId115" Type="http://schemas.openxmlformats.org/officeDocument/2006/relationships/hyperlink" Target="https://doi.org/10.1056/NEJM199301213280306" TargetMode="External"/><Relationship Id="rId61" Type="http://schemas.openxmlformats.org/officeDocument/2006/relationships/hyperlink" Target="https://doi.org/10.1002/ijc.20740" TargetMode="External"/><Relationship Id="rId82" Type="http://schemas.openxmlformats.org/officeDocument/2006/relationships/hyperlink" Target="https://books.google.de/books?id=EUj_ugAACAAJ" TargetMode="External"/><Relationship Id="rId19" Type="http://schemas.openxmlformats.org/officeDocument/2006/relationships/image" Target="media/image7.emf"/><Relationship Id="rId14" Type="http://schemas.openxmlformats.org/officeDocument/2006/relationships/header" Target="header3.xml"/><Relationship Id="rId30" Type="http://schemas.openxmlformats.org/officeDocument/2006/relationships/image" Target="media/image17.png"/><Relationship Id="rId35" Type="http://schemas.openxmlformats.org/officeDocument/2006/relationships/hyperlink" Target="https://clincancerres.aacrjournals.org/content/22/11/2639" TargetMode="External"/><Relationship Id="rId56" Type="http://schemas.openxmlformats.org/officeDocument/2006/relationships/hyperlink" Target="https://doi.org/10.1038/nm0797-730" TargetMode="External"/><Relationship Id="rId77" Type="http://schemas.openxmlformats.org/officeDocument/2006/relationships/hyperlink" Target="https://doi.org/10.1093/jnci/djn025" TargetMode="External"/><Relationship Id="rId100" Type="http://schemas.openxmlformats.org/officeDocument/2006/relationships/hyperlink" Target="https://doi.org/10.1002/(sici)1097-0142(19970201)79:3" TargetMode="External"/><Relationship Id="rId105" Type="http://schemas.openxmlformats.org/officeDocument/2006/relationships/hyperlink" Target="https://books.google.de/books?id=F3pMAQAAMAAJ" TargetMode="External"/><Relationship Id="rId8" Type="http://schemas.openxmlformats.org/officeDocument/2006/relationships/header" Target="header1.xml"/><Relationship Id="rId51" Type="http://schemas.openxmlformats.org/officeDocument/2006/relationships/hyperlink" Target="https://books.google.de/books?id=mrm8hxiJ4XIC" TargetMode="External"/><Relationship Id="rId72" Type="http://schemas.openxmlformats.org/officeDocument/2006/relationships/hyperlink" Target="https://doi.org/10.1093/ajcp/71.5.483" TargetMode="External"/><Relationship Id="rId93" Type="http://schemas.openxmlformats.org/officeDocument/2006/relationships/hyperlink" Target="https://www.ncbi.nlm.nih.gov/pubmed/10705417" TargetMode="External"/><Relationship Id="rId98" Type="http://schemas.openxmlformats.org/officeDocument/2006/relationships/hyperlink" Target="https://doi.org/10.1002/ijc.1385" TargetMode="External"/><Relationship Id="rId121" Type="http://schemas.openxmlformats.org/officeDocument/2006/relationships/glossaryDocument" Target="glossary/document.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s://doi.org/10.1073/pnas.0530291100" TargetMode="External"/><Relationship Id="rId67" Type="http://schemas.openxmlformats.org/officeDocument/2006/relationships/hyperlink" Target="https://doi.org/10.1007/2789_2007_046" TargetMode="External"/><Relationship Id="rId116" Type="http://schemas.openxmlformats.org/officeDocument/2006/relationships/hyperlink" Target="https://doi.org/10.1200/JCO.2004.00.3335" TargetMode="External"/><Relationship Id="rId20" Type="http://schemas.openxmlformats.org/officeDocument/2006/relationships/package" Target="embeddings/Microsoft_Excel-Arbeitsblatt.xlsx"/><Relationship Id="rId41" Type="http://schemas.openxmlformats.org/officeDocument/2006/relationships/hyperlink" Target="http://3.0.co/" TargetMode="External"/><Relationship Id="rId62" Type="http://schemas.openxmlformats.org/officeDocument/2006/relationships/hyperlink" Target="https://books.google.de/books?id=K035mlSXAAsC" TargetMode="External"/><Relationship Id="rId83" Type="http://schemas.openxmlformats.org/officeDocument/2006/relationships/hyperlink" Target="https://doi.org/10.1002/path.1296" TargetMode="External"/><Relationship Id="rId88" Type="http://schemas.openxmlformats.org/officeDocument/2006/relationships/hyperlink" Target="https://doi.org/10.1038/nm0798-844" TargetMode="External"/><Relationship Id="rId111" Type="http://schemas.openxmlformats.org/officeDocument/2006/relationships/hyperlink" Target="https://www.ncbi.nlm.nih.gov/pubmed/16579185" TargetMode="External"/><Relationship Id="rId15" Type="http://schemas.openxmlformats.org/officeDocument/2006/relationships/header" Target="header4.xml"/><Relationship Id="rId36" Type="http://schemas.openxmlformats.org/officeDocument/2006/relationships/hyperlink" Target="https://clincancerres.aacrjournals.org/content/22/11/2639" TargetMode="External"/><Relationship Id="rId57" Type="http://schemas.openxmlformats.org/officeDocument/2006/relationships/hyperlink" Target="https://doi.org/10.1007/s00117-020-00760-9" TargetMode="External"/><Relationship Id="rId106" Type="http://schemas.openxmlformats.org/officeDocument/2006/relationships/hyperlink" Target="https://doi.org/10.1200/JCO.2009.23.1670" TargetMode="External"/><Relationship Id="rId10" Type="http://schemas.openxmlformats.org/officeDocument/2006/relationships/image" Target="media/image1.png"/><Relationship Id="rId31" Type="http://schemas.openxmlformats.org/officeDocument/2006/relationships/hyperlink" Target="https://clincancerres.aacrjournals.org/content/22/11/2639" TargetMode="External"/><Relationship Id="rId52" Type="http://schemas.openxmlformats.org/officeDocument/2006/relationships/hyperlink" Target="https://doi.org/10.1158/1078-0432.CCR-10-2244" TargetMode="External"/><Relationship Id="rId73" Type="http://schemas.openxmlformats.org/officeDocument/2006/relationships/hyperlink" Target="https://doi.org/10.1067/j.cpsurg.2008.10.003" TargetMode="External"/><Relationship Id="rId78" Type="http://schemas.openxmlformats.org/officeDocument/2006/relationships/hyperlink" Target="https://doi.org/10.1093/jnci/92.9.709" TargetMode="External"/><Relationship Id="rId94" Type="http://schemas.openxmlformats.org/officeDocument/2006/relationships/hyperlink" Target="https://doi.org/10.1016/j.radonc.2014.11.011" TargetMode="External"/><Relationship Id="rId99" Type="http://schemas.openxmlformats.org/officeDocument/2006/relationships/hyperlink" Target="https://doi.org/10.1111/j.1600-0579.2004.00350.x" TargetMode="External"/><Relationship Id="rId101" Type="http://schemas.openxmlformats.org/officeDocument/2006/relationships/hyperlink" Target="https://doi.org/10.1073/pnas.0610117104" TargetMode="External"/><Relationship Id="rId1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538088B5-A035-D249-B5AA-064FF871DC08}"/>
      </w:docPartPr>
      <w:docPartBody>
        <w:p w:rsidR="00783746" w:rsidRDefault="009D02F0">
          <w:r w:rsidRPr="00424BA2">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2F0"/>
    <w:rsid w:val="00003BB0"/>
    <w:rsid w:val="000735B1"/>
    <w:rsid w:val="00081A9C"/>
    <w:rsid w:val="000B74CD"/>
    <w:rsid w:val="00130A7D"/>
    <w:rsid w:val="00136012"/>
    <w:rsid w:val="00197C63"/>
    <w:rsid w:val="001B5F14"/>
    <w:rsid w:val="002249DD"/>
    <w:rsid w:val="00256C37"/>
    <w:rsid w:val="0036574F"/>
    <w:rsid w:val="00377643"/>
    <w:rsid w:val="00425C4F"/>
    <w:rsid w:val="00441F4D"/>
    <w:rsid w:val="00496C5F"/>
    <w:rsid w:val="004975E8"/>
    <w:rsid w:val="004E0B35"/>
    <w:rsid w:val="00505828"/>
    <w:rsid w:val="0054657D"/>
    <w:rsid w:val="00573519"/>
    <w:rsid w:val="00592185"/>
    <w:rsid w:val="00642F9A"/>
    <w:rsid w:val="006568A4"/>
    <w:rsid w:val="006C4462"/>
    <w:rsid w:val="0076128B"/>
    <w:rsid w:val="00783746"/>
    <w:rsid w:val="007D4383"/>
    <w:rsid w:val="007D46E4"/>
    <w:rsid w:val="007F4464"/>
    <w:rsid w:val="00826649"/>
    <w:rsid w:val="008A5A4B"/>
    <w:rsid w:val="008A65C0"/>
    <w:rsid w:val="008D0A60"/>
    <w:rsid w:val="00906283"/>
    <w:rsid w:val="00973CB8"/>
    <w:rsid w:val="009A0B08"/>
    <w:rsid w:val="009C4F37"/>
    <w:rsid w:val="009D02F0"/>
    <w:rsid w:val="009E01DF"/>
    <w:rsid w:val="00A14A24"/>
    <w:rsid w:val="00B35AE9"/>
    <w:rsid w:val="00B4626F"/>
    <w:rsid w:val="00B67C39"/>
    <w:rsid w:val="00BE3A8C"/>
    <w:rsid w:val="00BF76A2"/>
    <w:rsid w:val="00C02A1A"/>
    <w:rsid w:val="00C0507F"/>
    <w:rsid w:val="00C12F7B"/>
    <w:rsid w:val="00C219DF"/>
    <w:rsid w:val="00C83098"/>
    <w:rsid w:val="00C9679F"/>
    <w:rsid w:val="00D05DD6"/>
    <w:rsid w:val="00D11B79"/>
    <w:rsid w:val="00D52FBD"/>
    <w:rsid w:val="00D95295"/>
    <w:rsid w:val="00DE4024"/>
    <w:rsid w:val="00E64726"/>
    <w:rsid w:val="00E854FF"/>
    <w:rsid w:val="00EA60B5"/>
    <w:rsid w:val="00EE34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D02F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7" Type="http://schemas.microsoft.com/office/2011/relationships/webextension" Target="webextension7.xml"/><Relationship Id="rId2" Type="http://schemas.microsoft.com/office/2011/relationships/webextension" Target="webextension2.xml"/><Relationship Id="rId1" Type="http://schemas.microsoft.com/office/2011/relationships/webextension" Target="webextension1.xml"/><Relationship Id="rId6" Type="http://schemas.microsoft.com/office/2011/relationships/webextension" Target="webextension6.xml"/><Relationship Id="rId5" Type="http://schemas.microsoft.com/office/2011/relationships/webextension" Target="webextension5.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 dockstate="right" visibility="0" width="350" row="0">
    <wetp:webextensionref xmlns:r="http://schemas.openxmlformats.org/officeDocument/2006/relationships" r:id="rId4"/>
  </wetp:taskpane>
  <wetp:taskpane dockstate="right" visibility="0" width="350" row="0">
    <wetp:webextensionref xmlns:r="http://schemas.openxmlformats.org/officeDocument/2006/relationships" r:id="rId5"/>
  </wetp:taskpane>
  <wetp:taskpane dockstate="right" visibility="0" width="350" row="0">
    <wetp:webextensionref xmlns:r="http://schemas.openxmlformats.org/officeDocument/2006/relationships" r:id="rId6"/>
  </wetp:taskpane>
  <wetp:taskpane dockstate="right" visibility="0" width="350" row="0">
    <wetp:webextensionref xmlns:r="http://schemas.openxmlformats.org/officeDocument/2006/relationships" r:id="rId7"/>
  </wetp:taskpane>
</wetp:taskpanes>
</file>

<file path=word/webextensions/webextension1.xml><?xml version="1.0" encoding="utf-8"?>
<we:webextension xmlns:we="http://schemas.microsoft.com/office/webextensions/webextension/2010/11" id="{FF9812EA-F583-C041-8DF6-EFD1DB56B810}">
  <we:reference id="wa200001771" version="1.2.0.1" store="de-DE" storeType="OMEX"/>
  <we:alternateReferences>
    <we:reference id="WA200001771" version="1.2.0.1" store="WA200001771"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51C36BE3-67A5-B648-9E87-A26EEAE674BE}">
  <we:reference id="wa200002864" version="1.1.0.1" store="de-DE" storeType="OMEX"/>
  <we:alternateReferences>
    <we:reference id="wa200002864" version="1.1.0.1" store="WA200002864"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EBDD3E2B-BBCA-0546-B02B-69B24762750D}">
  <we:reference id="wa104381053" version="1.2.0.0" store="de-DE" storeType="OMEX"/>
  <we:alternateReferences>
    <we:reference id="wa104381053" version="1.2.0.0" store="WA104381053" storeType="OMEX"/>
  </we:alternateReferences>
  <we:properties/>
  <we:bindings/>
  <we:snapshot xmlns:r="http://schemas.openxmlformats.org/officeDocument/2006/relationships"/>
</we:webextension>
</file>

<file path=word/webextensions/webextension4.xml><?xml version="1.0" encoding="utf-8"?>
<we:webextension xmlns:we="http://schemas.microsoft.com/office/webextensions/webextension/2010/11" id="{F6B88E20-3EBE-4F45-9570-ECCE20680F88}">
  <we:reference id="wa200001700" version="2.0.0.0" store="de-DE" storeType="OMEX"/>
  <we:alternateReferences>
    <we:reference id="wa200001700" version="2.0.0.0" store="" storeType="OMEX"/>
  </we:alternateReferences>
  <we:properties/>
  <we:bindings/>
  <we:snapshot xmlns:r="http://schemas.openxmlformats.org/officeDocument/2006/relationships"/>
</we:webextension>
</file>

<file path=word/webextensions/webextension5.xml><?xml version="1.0" encoding="utf-8"?>
<we:webextension xmlns:we="http://schemas.microsoft.com/office/webextensions/webextension/2010/11" id="{BEC546F5-01C7-6C48-A070-6F52D09F487D}">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word/webextensions/webextension6.xml><?xml version="1.0" encoding="utf-8"?>
<we:webextension xmlns:we="http://schemas.microsoft.com/office/webextensions/webextension/2010/11" id="{1E73CB3D-66B5-524C-907E-C2C24DAC8DF6}">
  <we:reference id="wa200005287" version="1.0.0.3" store="de-DE" storeType="OMEX"/>
  <we:alternateReferences>
    <we:reference id="wa200005287" version="1.0.0.3" store="de-DE" storeType="OMEX"/>
  </we:alternateReferences>
  <we:properties/>
  <we:bindings/>
  <we:snapshot xmlns:r="http://schemas.openxmlformats.org/officeDocument/2006/relationships"/>
</we:webextension>
</file>

<file path=word/webextensions/webextension7.xml><?xml version="1.0" encoding="utf-8"?>
<we:webextension xmlns:we="http://schemas.microsoft.com/office/webextensions/webextension/2010/11" id="{803DD04E-C346-174C-89C2-A58A82978291}">
  <we:reference id="wa200001361" version="2.2.1.0" store="de-DE" storeType="OMEX"/>
  <we:alternateReferences>
    <we:reference id="wa200001361" version="2.2.1.0" store="de-DE" storeType="OMEX"/>
  </we:alternateReferences>
  <we:properties>
    <we:property name="paperpal-document-id" value="&quot;e333dec3-0dc1-42ab-8f97-2e38d952aa11&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9278B-9F60-754E-A4C6-82E1D182F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30028</Words>
  <Characters>189180</Characters>
  <Application>Microsoft Office Word</Application>
  <DocSecurity>0</DocSecurity>
  <Lines>1576</Lines>
  <Paragraphs>437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218771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Jütz </dc:creator>
  <cp:keywords/>
  <dc:description/>
  <cp:lastModifiedBy>Martin  Jütz</cp:lastModifiedBy>
  <cp:revision>4</cp:revision>
  <cp:lastPrinted>2024-05-01T20:11:00Z</cp:lastPrinted>
  <dcterms:created xsi:type="dcterms:W3CDTF">2025-01-10T22:51:00Z</dcterms:created>
  <dcterms:modified xsi:type="dcterms:W3CDTF">2025-02-18T14:01:00Z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id="qLODtpLm"/&gt;&lt;style id="http://www.zotero.org/styles/chicago-fullnote-bibliography" locale="de-DE" hasBibliography="1" bibliographyStyleHasBeenSet="0"/&gt;&lt;prefs&gt;&lt;pref name="fieldType" value="Field"/&gt;</vt:lpwstr>
  </property>
  <property fmtid="{D5CDD505-2E9C-101B-9397-08002B2CF9AE}" pid="3" name="ZOTERO_PREF_2">
    <vt:lpwstr>&lt;pref name="automaticJournalAbbreviations" value="true"/&gt;&lt;pref name="noteType" value="2"/&gt;&lt;/prefs&gt;&lt;/data&gt;</vt:lpwstr>
  </property>
</Properties>
</file>