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BCE7" w14:textId="0312C174" w:rsidR="00B011F3" w:rsidRPr="000B300B" w:rsidRDefault="00D42EAE" w:rsidP="00D95B5D">
      <w:pPr>
        <w:spacing w:line="360" w:lineRule="auto"/>
        <w:jc w:val="both"/>
        <w:rPr>
          <w:rFonts w:asciiTheme="majorBidi" w:hAnsiTheme="majorBidi" w:cstheme="majorBidi"/>
          <w:b/>
          <w:bCs/>
          <w:sz w:val="24"/>
          <w:szCs w:val="24"/>
          <w:u w:val="single"/>
        </w:rPr>
      </w:pPr>
      <w:r w:rsidRPr="000B300B">
        <w:rPr>
          <w:rFonts w:asciiTheme="majorBidi" w:hAnsiTheme="majorBidi" w:cstheme="majorBidi"/>
          <w:b/>
          <w:bCs/>
          <w:sz w:val="24"/>
          <w:szCs w:val="24"/>
          <w:u w:val="single"/>
        </w:rPr>
        <w:t>On the</w:t>
      </w:r>
      <w:r w:rsidR="00F12795" w:rsidRPr="000B300B">
        <w:rPr>
          <w:rFonts w:asciiTheme="majorBidi" w:hAnsiTheme="majorBidi" w:cstheme="majorBidi"/>
          <w:b/>
          <w:bCs/>
          <w:sz w:val="24"/>
          <w:szCs w:val="24"/>
          <w:u w:val="single"/>
        </w:rPr>
        <w:t xml:space="preserve"> Antiquity of the Virginity Blessing</w:t>
      </w:r>
    </w:p>
    <w:p w14:paraId="78B288B5" w14:textId="77777777" w:rsidR="00F12795" w:rsidRPr="000B300B" w:rsidRDefault="00F12795" w:rsidP="00D95B5D">
      <w:pPr>
        <w:spacing w:line="360" w:lineRule="auto"/>
        <w:jc w:val="both"/>
        <w:rPr>
          <w:rFonts w:asciiTheme="majorBidi" w:hAnsiTheme="majorBidi" w:cstheme="majorBidi"/>
          <w:sz w:val="24"/>
          <w:szCs w:val="24"/>
          <w:u w:val="single"/>
        </w:rPr>
      </w:pPr>
      <w:r w:rsidRPr="000B300B">
        <w:rPr>
          <w:rFonts w:asciiTheme="majorBidi" w:hAnsiTheme="majorBidi" w:cstheme="majorBidi"/>
          <w:sz w:val="24"/>
          <w:szCs w:val="24"/>
          <w:u w:val="single"/>
        </w:rPr>
        <w:t>Introduction</w:t>
      </w:r>
    </w:p>
    <w:p w14:paraId="78CE09EB" w14:textId="6C9B2CD8"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i/>
          <w:iCs/>
          <w:sz w:val="24"/>
          <w:szCs w:val="24"/>
        </w:rPr>
        <w:t>Sefer Halakhot Gedolot</w:t>
      </w:r>
      <w:r w:rsidRPr="000B300B">
        <w:rPr>
          <w:rFonts w:asciiTheme="majorBidi" w:hAnsiTheme="majorBidi" w:cstheme="majorBidi"/>
          <w:sz w:val="24"/>
          <w:szCs w:val="24"/>
        </w:rPr>
        <w:t xml:space="preserve"> describes a marriage ceremony where the groom </w:t>
      </w:r>
      <w:r w:rsidR="00B07FA5" w:rsidRPr="000B300B">
        <w:rPr>
          <w:rFonts w:asciiTheme="majorBidi" w:hAnsiTheme="majorBidi" w:cstheme="majorBidi"/>
          <w:sz w:val="24"/>
          <w:szCs w:val="24"/>
        </w:rPr>
        <w:t>displays</w:t>
      </w:r>
      <w:r w:rsidRPr="000B300B">
        <w:rPr>
          <w:rFonts w:asciiTheme="majorBidi" w:hAnsiTheme="majorBidi" w:cstheme="majorBidi"/>
          <w:sz w:val="24"/>
          <w:szCs w:val="24"/>
        </w:rPr>
        <w:t xml:space="preserve"> a blood-stained sheet </w:t>
      </w:r>
      <w:r w:rsidR="00EC36E4" w:rsidRPr="000B300B">
        <w:rPr>
          <w:rFonts w:asciiTheme="majorBidi" w:hAnsiTheme="majorBidi" w:cstheme="majorBidi"/>
          <w:sz w:val="24"/>
          <w:szCs w:val="24"/>
        </w:rPr>
        <w:t>confirming</w:t>
      </w:r>
      <w:r w:rsidRPr="000B300B">
        <w:rPr>
          <w:rFonts w:asciiTheme="majorBidi" w:hAnsiTheme="majorBidi" w:cstheme="majorBidi"/>
          <w:sz w:val="24"/>
          <w:szCs w:val="24"/>
        </w:rPr>
        <w:t xml:space="preserve"> the bride</w:t>
      </w:r>
      <w:r w:rsidR="00C00E25" w:rsidRPr="000B300B">
        <w:rPr>
          <w:rFonts w:asciiTheme="majorBidi" w:hAnsiTheme="majorBidi" w:cstheme="majorBidi"/>
          <w:sz w:val="24"/>
          <w:szCs w:val="24"/>
        </w:rPr>
        <w:t>’</w:t>
      </w:r>
      <w:r w:rsidRPr="000B300B">
        <w:rPr>
          <w:rFonts w:asciiTheme="majorBidi" w:hAnsiTheme="majorBidi" w:cstheme="majorBidi"/>
          <w:sz w:val="24"/>
          <w:szCs w:val="24"/>
        </w:rPr>
        <w:t>s virginity. Afterward, three blessings were recited</w:t>
      </w:r>
      <w:r w:rsidR="006D0651" w:rsidRPr="000B300B">
        <w:rPr>
          <w:rFonts w:asciiTheme="majorBidi" w:hAnsiTheme="majorBidi" w:cstheme="majorBidi"/>
          <w:sz w:val="24"/>
          <w:szCs w:val="24"/>
        </w:rPr>
        <w:t xml:space="preserve"> by the bridegroom or someone else attending the wedding</w:t>
      </w:r>
      <w:r w:rsidRPr="000B300B">
        <w:rPr>
          <w:rFonts w:asciiTheme="majorBidi" w:hAnsiTheme="majorBidi" w:cstheme="majorBidi"/>
          <w:sz w:val="24"/>
          <w:szCs w:val="24"/>
        </w:rPr>
        <w:t xml:space="preserve">: </w:t>
      </w:r>
      <w:r w:rsidR="00EC36E4" w:rsidRPr="000B300B">
        <w:rPr>
          <w:rFonts w:asciiTheme="majorBidi" w:hAnsiTheme="majorBidi" w:cstheme="majorBidi"/>
          <w:sz w:val="24"/>
          <w:szCs w:val="24"/>
        </w:rPr>
        <w:t>one</w:t>
      </w:r>
      <w:r w:rsidRPr="000B300B">
        <w:rPr>
          <w:rFonts w:asciiTheme="majorBidi" w:hAnsiTheme="majorBidi" w:cstheme="majorBidi"/>
          <w:sz w:val="24"/>
          <w:szCs w:val="24"/>
        </w:rPr>
        <w:t xml:space="preserve"> </w:t>
      </w:r>
      <w:r w:rsidR="00EC36E4" w:rsidRPr="000B300B">
        <w:rPr>
          <w:rFonts w:asciiTheme="majorBidi" w:hAnsiTheme="majorBidi" w:cstheme="majorBidi"/>
          <w:sz w:val="24"/>
          <w:szCs w:val="24"/>
        </w:rPr>
        <w:t>on the</w:t>
      </w:r>
      <w:r w:rsidRPr="000B300B">
        <w:rPr>
          <w:rFonts w:asciiTheme="majorBidi" w:hAnsiTheme="majorBidi" w:cstheme="majorBidi"/>
          <w:sz w:val="24"/>
          <w:szCs w:val="24"/>
        </w:rPr>
        <w:t xml:space="preserve"> wine, </w:t>
      </w:r>
      <w:r w:rsidR="00EC36E4" w:rsidRPr="000B300B">
        <w:rPr>
          <w:rFonts w:asciiTheme="majorBidi" w:hAnsiTheme="majorBidi" w:cstheme="majorBidi"/>
          <w:sz w:val="24"/>
          <w:szCs w:val="24"/>
        </w:rPr>
        <w:t>one</w:t>
      </w:r>
      <w:r w:rsidRPr="000B300B">
        <w:rPr>
          <w:rFonts w:asciiTheme="majorBidi" w:hAnsiTheme="majorBidi" w:cstheme="majorBidi"/>
          <w:sz w:val="24"/>
          <w:szCs w:val="24"/>
        </w:rPr>
        <w:t xml:space="preserve"> </w:t>
      </w:r>
      <w:r w:rsidR="00EC36E4" w:rsidRPr="000B300B">
        <w:rPr>
          <w:rFonts w:asciiTheme="majorBidi" w:hAnsiTheme="majorBidi" w:cstheme="majorBidi"/>
          <w:sz w:val="24"/>
          <w:szCs w:val="24"/>
        </w:rPr>
        <w:t>on the</w:t>
      </w:r>
      <w:r w:rsidRPr="000B300B">
        <w:rPr>
          <w:rFonts w:asciiTheme="majorBidi" w:hAnsiTheme="majorBidi" w:cstheme="majorBidi"/>
          <w:sz w:val="24"/>
          <w:szCs w:val="24"/>
        </w:rPr>
        <w:t xml:space="preserve"> fragrant herbs</w:t>
      </w:r>
      <w:r w:rsidR="000F4173" w:rsidRPr="000B300B">
        <w:rPr>
          <w:rFonts w:asciiTheme="majorBidi" w:hAnsiTheme="majorBidi" w:cstheme="majorBidi"/>
          <w:sz w:val="24"/>
          <w:szCs w:val="24"/>
        </w:rPr>
        <w:t>,</w:t>
      </w:r>
      <w:r w:rsidRPr="000B300B">
        <w:rPr>
          <w:rFonts w:asciiTheme="majorBidi" w:hAnsiTheme="majorBidi" w:cstheme="majorBidi"/>
          <w:sz w:val="24"/>
          <w:szCs w:val="24"/>
        </w:rPr>
        <w:t xml:space="preserve"> and a special </w:t>
      </w:r>
      <w:r w:rsidR="00EC36E4" w:rsidRPr="000B300B">
        <w:rPr>
          <w:rFonts w:asciiTheme="majorBidi" w:hAnsiTheme="majorBidi" w:cstheme="majorBidi"/>
          <w:sz w:val="24"/>
          <w:szCs w:val="24"/>
        </w:rPr>
        <w:t>one</w:t>
      </w:r>
      <w:r w:rsidRPr="000B300B">
        <w:rPr>
          <w:rFonts w:asciiTheme="majorBidi" w:hAnsiTheme="majorBidi" w:cstheme="majorBidi"/>
          <w:sz w:val="24"/>
          <w:szCs w:val="24"/>
        </w:rPr>
        <w:t xml:space="preserve"> </w:t>
      </w:r>
      <w:r w:rsidR="00EC36E4" w:rsidRPr="000B300B">
        <w:rPr>
          <w:rFonts w:asciiTheme="majorBidi" w:hAnsiTheme="majorBidi" w:cstheme="majorBidi"/>
          <w:sz w:val="24"/>
          <w:szCs w:val="24"/>
        </w:rPr>
        <w:t>on</w:t>
      </w:r>
      <w:r w:rsidRPr="000B300B">
        <w:rPr>
          <w:rFonts w:asciiTheme="majorBidi" w:hAnsiTheme="majorBidi" w:cstheme="majorBidi"/>
          <w:sz w:val="24"/>
          <w:szCs w:val="24"/>
        </w:rPr>
        <w:t xml:space="preserve"> finding proof of virginity:</w:t>
      </w:r>
    </w:p>
    <w:p w14:paraId="27DAEF76" w14:textId="5219D9EB" w:rsidR="00F12795" w:rsidRPr="000B300B" w:rsidRDefault="00F12795" w:rsidP="006E0D5C">
      <w:pPr>
        <w:pStyle w:val="Quote"/>
      </w:pPr>
      <w:r w:rsidRPr="000B300B">
        <w:t xml:space="preserve">When he brings out the sheet [stained with the blood of virginity], we require him to recite a blessing. If wine and spices are available, he recites </w:t>
      </w:r>
      <w:r w:rsidR="00C00E25" w:rsidRPr="000B300B">
        <w:t>‘</w:t>
      </w:r>
      <w:r w:rsidRPr="000B300B">
        <w:t>who creates the fruit of the vine</w:t>
      </w:r>
      <w:r w:rsidR="00C00E25" w:rsidRPr="000B300B">
        <w:t>’</w:t>
      </w:r>
      <w:r w:rsidRPr="000B300B">
        <w:t xml:space="preserve"> and </w:t>
      </w:r>
      <w:r w:rsidR="00C00E25" w:rsidRPr="000B300B">
        <w:t>‘</w:t>
      </w:r>
      <w:r w:rsidRPr="000B300B">
        <w:t>who creates fragrant trees</w:t>
      </w:r>
      <w:r w:rsidR="00C00E25" w:rsidRPr="000B300B">
        <w:t>’</w:t>
      </w:r>
      <w:r w:rsidRPr="000B300B">
        <w:t xml:space="preserve"> over them. Then he recites the blessing </w:t>
      </w:r>
      <w:r w:rsidR="00C00E25" w:rsidRPr="000B300B">
        <w:t>‘</w:t>
      </w:r>
      <w:r w:rsidRPr="000B300B">
        <w:t>who placed the walnut in the Garden of Eden, the lily of the valley so that no stranger shall have dominion over the sealed spring; thus, the loving doe preserved her purity and did not break the law. Blessed are You, Lord, who chooses the descendants of Abraham.</w:t>
      </w:r>
      <w:r w:rsidR="00C569A5" w:rsidRPr="000B300B">
        <w:rPr>
          <w:rStyle w:val="FootnoteReference"/>
        </w:rPr>
        <w:footnoteReference w:id="1"/>
      </w:r>
    </w:p>
    <w:p w14:paraId="6CFAB74B" w14:textId="303AFD2C" w:rsidR="00F12795" w:rsidRPr="000B300B" w:rsidRDefault="00EC36E4" w:rsidP="00D95B5D">
      <w:pPr>
        <w:spacing w:before="120" w:after="120" w:line="360" w:lineRule="auto"/>
        <w:jc w:val="both"/>
        <w:rPr>
          <w:rFonts w:asciiTheme="majorBidi" w:hAnsiTheme="majorBidi" w:cstheme="majorBidi"/>
          <w:sz w:val="24"/>
          <w:szCs w:val="24"/>
        </w:rPr>
      </w:pPr>
      <w:r w:rsidRPr="000B300B">
        <w:rPr>
          <w:rFonts w:asciiTheme="majorBidi" w:hAnsiTheme="majorBidi" w:cstheme="majorBidi"/>
          <w:sz w:val="24"/>
          <w:szCs w:val="24"/>
        </w:rPr>
        <w:t>A</w:t>
      </w:r>
      <w:r w:rsidR="00F12795" w:rsidRPr="000B300B">
        <w:rPr>
          <w:rFonts w:asciiTheme="majorBidi" w:hAnsiTheme="majorBidi" w:cstheme="majorBidi"/>
          <w:sz w:val="24"/>
          <w:szCs w:val="24"/>
        </w:rPr>
        <w:t xml:space="preserve"> wide variety of sources</w:t>
      </w:r>
      <w:r w:rsidRPr="000B300B">
        <w:rPr>
          <w:rFonts w:asciiTheme="majorBidi" w:hAnsiTheme="majorBidi" w:cstheme="majorBidi"/>
          <w:sz w:val="24"/>
          <w:szCs w:val="24"/>
        </w:rPr>
        <w:t xml:space="preserve"> support the claim t</w:t>
      </w:r>
      <w:r w:rsidR="00F12795" w:rsidRPr="000B300B">
        <w:rPr>
          <w:rFonts w:asciiTheme="majorBidi" w:hAnsiTheme="majorBidi" w:cstheme="majorBidi"/>
          <w:sz w:val="24"/>
          <w:szCs w:val="24"/>
        </w:rPr>
        <w:t xml:space="preserve">hat different versions of the virginity blessing were recited throughout all the Jewish communities during the Middle Ages. </w:t>
      </w:r>
      <w:r w:rsidRPr="000B300B">
        <w:rPr>
          <w:rFonts w:asciiTheme="majorBidi" w:hAnsiTheme="majorBidi" w:cstheme="majorBidi"/>
          <w:sz w:val="24"/>
          <w:szCs w:val="24"/>
        </w:rPr>
        <w:t xml:space="preserve">Despite </w:t>
      </w:r>
      <w:r w:rsidR="00F12795" w:rsidRPr="000B300B">
        <w:rPr>
          <w:rFonts w:asciiTheme="majorBidi" w:hAnsiTheme="majorBidi" w:cstheme="majorBidi"/>
          <w:sz w:val="24"/>
          <w:szCs w:val="24"/>
        </w:rPr>
        <w:t xml:space="preserve">its widespread use, the </w:t>
      </w:r>
      <w:r w:rsidRPr="000B300B">
        <w:rPr>
          <w:rFonts w:asciiTheme="majorBidi" w:hAnsiTheme="majorBidi" w:cstheme="majorBidi"/>
          <w:sz w:val="24"/>
          <w:szCs w:val="24"/>
        </w:rPr>
        <w:t xml:space="preserve">virginity blessing, </w:t>
      </w:r>
      <w:r w:rsidR="00F12795" w:rsidRPr="000B300B">
        <w:rPr>
          <w:rFonts w:asciiTheme="majorBidi" w:hAnsiTheme="majorBidi" w:cstheme="majorBidi"/>
          <w:sz w:val="24"/>
          <w:szCs w:val="24"/>
        </w:rPr>
        <w:t xml:space="preserve">and </w:t>
      </w:r>
      <w:r w:rsidRPr="000B300B">
        <w:rPr>
          <w:rFonts w:asciiTheme="majorBidi" w:hAnsiTheme="majorBidi" w:cstheme="majorBidi"/>
          <w:sz w:val="24"/>
          <w:szCs w:val="24"/>
        </w:rPr>
        <w:t>confirmation ritual a</w:t>
      </w:r>
      <w:r w:rsidR="00F12795" w:rsidRPr="000B300B">
        <w:rPr>
          <w:rFonts w:asciiTheme="majorBidi" w:hAnsiTheme="majorBidi" w:cstheme="majorBidi"/>
          <w:sz w:val="24"/>
          <w:szCs w:val="24"/>
        </w:rPr>
        <w:t xml:space="preserve">re not mentioned in the Mishnah and Talmud, and the wording of the blessing is first mentioned only in </w:t>
      </w:r>
      <w:r w:rsidR="00F12795" w:rsidRPr="000B300B">
        <w:rPr>
          <w:rFonts w:asciiTheme="majorBidi" w:hAnsiTheme="majorBidi" w:cstheme="majorBidi"/>
          <w:i/>
          <w:iCs/>
          <w:sz w:val="24"/>
          <w:szCs w:val="24"/>
        </w:rPr>
        <w:t>Sefer Halakhot Gedolot</w:t>
      </w:r>
      <w:r w:rsidR="00F12795" w:rsidRPr="000B300B">
        <w:rPr>
          <w:rFonts w:asciiTheme="majorBidi" w:hAnsiTheme="majorBidi" w:cstheme="majorBidi"/>
          <w:sz w:val="24"/>
          <w:szCs w:val="24"/>
        </w:rPr>
        <w:t>.</w:t>
      </w:r>
      <w:r w:rsidR="00C569A5" w:rsidRPr="000B300B">
        <w:rPr>
          <w:rStyle w:val="FootnoteReference"/>
          <w:rFonts w:asciiTheme="majorBidi" w:hAnsiTheme="majorBidi" w:cstheme="majorBidi"/>
          <w:sz w:val="24"/>
          <w:szCs w:val="24"/>
        </w:rPr>
        <w:footnoteReference w:id="2"/>
      </w:r>
      <w:r w:rsidR="00F12795" w:rsidRPr="000B300B">
        <w:rPr>
          <w:rFonts w:asciiTheme="majorBidi" w:hAnsiTheme="majorBidi" w:cstheme="majorBidi"/>
          <w:sz w:val="24"/>
          <w:szCs w:val="24"/>
        </w:rPr>
        <w:t xml:space="preserve"> </w:t>
      </w:r>
      <w:r w:rsidR="0034205B" w:rsidRPr="000B300B">
        <w:rPr>
          <w:rFonts w:asciiTheme="majorBidi" w:hAnsiTheme="majorBidi" w:cstheme="majorBidi"/>
          <w:sz w:val="24"/>
          <w:szCs w:val="24"/>
        </w:rPr>
        <w:t xml:space="preserve">The absence of this blessing in earlier texts </w:t>
      </w:r>
      <w:r w:rsidR="005452E4" w:rsidRPr="000B300B">
        <w:rPr>
          <w:rFonts w:asciiTheme="majorBidi" w:hAnsiTheme="majorBidi" w:cstheme="majorBidi"/>
          <w:sz w:val="24"/>
          <w:szCs w:val="24"/>
        </w:rPr>
        <w:t>can be considered from two alternative perspectives</w:t>
      </w:r>
      <w:r w:rsidR="0034205B"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 xml:space="preserve">The first is that </w:t>
      </w:r>
      <w:r w:rsidR="005452E4" w:rsidRPr="000B300B">
        <w:rPr>
          <w:rFonts w:asciiTheme="majorBidi" w:hAnsiTheme="majorBidi" w:cstheme="majorBidi"/>
          <w:sz w:val="24"/>
          <w:szCs w:val="24"/>
        </w:rPr>
        <w:t>the</w:t>
      </w:r>
      <w:r w:rsidR="00F12795" w:rsidRPr="000B300B">
        <w:rPr>
          <w:rFonts w:asciiTheme="majorBidi" w:hAnsiTheme="majorBidi" w:cstheme="majorBidi"/>
          <w:sz w:val="24"/>
          <w:szCs w:val="24"/>
        </w:rPr>
        <w:t xml:space="preserve"> blessing </w:t>
      </w:r>
      <w:r w:rsidR="005452E4" w:rsidRPr="000B300B">
        <w:rPr>
          <w:rFonts w:asciiTheme="majorBidi" w:hAnsiTheme="majorBidi" w:cstheme="majorBidi"/>
          <w:sz w:val="24"/>
          <w:szCs w:val="24"/>
        </w:rPr>
        <w:t xml:space="preserve">was </w:t>
      </w:r>
      <w:r w:rsidR="00F12795" w:rsidRPr="000B300B">
        <w:rPr>
          <w:rFonts w:asciiTheme="majorBidi" w:hAnsiTheme="majorBidi" w:cstheme="majorBidi"/>
          <w:sz w:val="24"/>
          <w:szCs w:val="24"/>
        </w:rPr>
        <w:t xml:space="preserve">composed after the Mishna and Talmud were canonized. Alternatively, </w:t>
      </w:r>
      <w:r w:rsidR="00BB097B" w:rsidRPr="000B300B">
        <w:rPr>
          <w:rFonts w:asciiTheme="majorBidi" w:hAnsiTheme="majorBidi" w:cstheme="majorBidi"/>
          <w:sz w:val="24"/>
          <w:szCs w:val="24"/>
        </w:rPr>
        <w:t xml:space="preserve">it was </w:t>
      </w:r>
      <w:r w:rsidR="00F12795" w:rsidRPr="000B300B">
        <w:rPr>
          <w:rFonts w:asciiTheme="majorBidi" w:hAnsiTheme="majorBidi" w:cstheme="majorBidi"/>
          <w:sz w:val="24"/>
          <w:szCs w:val="24"/>
        </w:rPr>
        <w:t xml:space="preserve">indeed an </w:t>
      </w:r>
      <w:r w:rsidR="0034205B" w:rsidRPr="000B300B">
        <w:rPr>
          <w:rFonts w:asciiTheme="majorBidi" w:hAnsiTheme="majorBidi" w:cstheme="majorBidi"/>
          <w:sz w:val="24"/>
          <w:szCs w:val="24"/>
        </w:rPr>
        <w:t>early</w:t>
      </w:r>
      <w:r w:rsidR="00F12795" w:rsidRPr="000B300B">
        <w:rPr>
          <w:rFonts w:asciiTheme="majorBidi" w:hAnsiTheme="majorBidi" w:cstheme="majorBidi"/>
          <w:sz w:val="24"/>
          <w:szCs w:val="24"/>
        </w:rPr>
        <w:t xml:space="preserve"> blessing, but it was practiced in circles that operated outside the </w:t>
      </w:r>
      <w:r w:rsidR="006D0651" w:rsidRPr="000B300B">
        <w:rPr>
          <w:rFonts w:asciiTheme="majorBidi" w:hAnsiTheme="majorBidi" w:cstheme="majorBidi"/>
          <w:sz w:val="24"/>
          <w:szCs w:val="24"/>
        </w:rPr>
        <w:t>scholarly</w:t>
      </w:r>
      <w:r w:rsidR="00F12795" w:rsidRPr="000B300B">
        <w:rPr>
          <w:rFonts w:asciiTheme="majorBidi" w:hAnsiTheme="majorBidi" w:cstheme="majorBidi"/>
          <w:sz w:val="24"/>
          <w:szCs w:val="24"/>
        </w:rPr>
        <w:t xml:space="preserve"> mainstream. In light of the importance of virginity in Jewish and Mediterranean society, Ruth </w:t>
      </w:r>
      <w:r w:rsidR="00F12795" w:rsidRPr="000B300B">
        <w:rPr>
          <w:rFonts w:asciiTheme="majorBidi" w:hAnsiTheme="majorBidi" w:cstheme="majorBidi"/>
          <w:sz w:val="24"/>
          <w:szCs w:val="24"/>
        </w:rPr>
        <w:lastRenderedPageBreak/>
        <w:t xml:space="preserve">Langer preferred the second possibility and argued that the virginity blessing </w:t>
      </w:r>
      <w:r w:rsidR="007B6102" w:rsidRPr="000B300B">
        <w:rPr>
          <w:rFonts w:asciiTheme="majorBidi" w:hAnsiTheme="majorBidi" w:cstheme="majorBidi"/>
          <w:sz w:val="24"/>
          <w:szCs w:val="24"/>
        </w:rPr>
        <w:t>was</w:t>
      </w:r>
      <w:r w:rsidR="00F12795" w:rsidRPr="000B300B">
        <w:rPr>
          <w:rFonts w:asciiTheme="majorBidi" w:hAnsiTheme="majorBidi" w:cstheme="majorBidi"/>
          <w:sz w:val="24"/>
          <w:szCs w:val="24"/>
        </w:rPr>
        <w:t xml:space="preserve"> an ancient and esoteric </w:t>
      </w:r>
      <w:r w:rsidR="0034205B" w:rsidRPr="000B300B">
        <w:rPr>
          <w:rFonts w:asciiTheme="majorBidi" w:hAnsiTheme="majorBidi" w:cstheme="majorBidi"/>
          <w:sz w:val="24"/>
          <w:szCs w:val="24"/>
        </w:rPr>
        <w:t>tradition in the Land of Israel</w:t>
      </w:r>
      <w:r w:rsidR="00273284" w:rsidRPr="000B300B">
        <w:rPr>
          <w:rFonts w:asciiTheme="majorBidi" w:hAnsiTheme="majorBidi" w:cstheme="majorBidi"/>
          <w:sz w:val="24"/>
          <w:szCs w:val="24"/>
        </w:rPr>
        <w:t xml:space="preserve"> </w:t>
      </w:r>
      <w:r w:rsidR="00C80968" w:rsidRPr="000B300B">
        <w:rPr>
          <w:rFonts w:asciiTheme="majorBidi" w:hAnsiTheme="majorBidi" w:cstheme="majorBidi"/>
          <w:sz w:val="24"/>
          <w:szCs w:val="24"/>
        </w:rPr>
        <w:t>that only became widespread in</w:t>
      </w:r>
      <w:r w:rsidR="00F12795" w:rsidRPr="000B300B">
        <w:rPr>
          <w:rFonts w:asciiTheme="majorBidi" w:hAnsiTheme="majorBidi" w:cstheme="majorBidi"/>
          <w:sz w:val="24"/>
          <w:szCs w:val="24"/>
        </w:rPr>
        <w:t xml:space="preserve"> other Jewish communities </w:t>
      </w:r>
      <w:r w:rsidR="00273284" w:rsidRPr="000B300B">
        <w:rPr>
          <w:rFonts w:asciiTheme="majorBidi" w:hAnsiTheme="majorBidi" w:cstheme="majorBidi"/>
          <w:sz w:val="24"/>
          <w:szCs w:val="24"/>
        </w:rPr>
        <w:t>in</w:t>
      </w:r>
      <w:r w:rsidR="00F12795" w:rsidRPr="000B300B">
        <w:rPr>
          <w:rFonts w:asciiTheme="majorBidi" w:hAnsiTheme="majorBidi" w:cstheme="majorBidi"/>
          <w:sz w:val="24"/>
          <w:szCs w:val="24"/>
        </w:rPr>
        <w:t xml:space="preserve"> the Middle Ages.</w:t>
      </w:r>
      <w:r w:rsidR="00C569A5" w:rsidRPr="000B300B">
        <w:rPr>
          <w:rStyle w:val="FootnoteReference"/>
          <w:rFonts w:asciiTheme="majorBidi" w:hAnsiTheme="majorBidi" w:cstheme="majorBidi"/>
          <w:sz w:val="24"/>
          <w:szCs w:val="24"/>
        </w:rPr>
        <w:footnoteReference w:id="3"/>
      </w:r>
    </w:p>
    <w:p w14:paraId="6CAB0A2E" w14:textId="3A4D33C8"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This study will adopt Langer</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s position </w:t>
      </w:r>
      <w:r w:rsidR="00273284" w:rsidRPr="000B300B">
        <w:rPr>
          <w:rFonts w:asciiTheme="majorBidi" w:hAnsiTheme="majorBidi" w:cstheme="majorBidi"/>
          <w:sz w:val="24"/>
          <w:szCs w:val="24"/>
        </w:rPr>
        <w:t>that the blessing originated in the Land of Israel</w:t>
      </w:r>
      <w:r w:rsidRPr="000B300B">
        <w:rPr>
          <w:rFonts w:asciiTheme="majorBidi" w:hAnsiTheme="majorBidi" w:cstheme="majorBidi"/>
          <w:sz w:val="24"/>
          <w:szCs w:val="24"/>
        </w:rPr>
        <w:t xml:space="preserve">. It will be shown, however, that this blessing could not have been recited in ancient times and that it must have been </w:t>
      </w:r>
      <w:r w:rsidR="00273284" w:rsidRPr="000B300B">
        <w:rPr>
          <w:rFonts w:asciiTheme="majorBidi" w:hAnsiTheme="majorBidi" w:cstheme="majorBidi"/>
          <w:sz w:val="24"/>
          <w:szCs w:val="24"/>
        </w:rPr>
        <w:t>a</w:t>
      </w:r>
      <w:r w:rsidRPr="000B300B">
        <w:rPr>
          <w:rFonts w:asciiTheme="majorBidi" w:hAnsiTheme="majorBidi" w:cstheme="majorBidi"/>
          <w:sz w:val="24"/>
          <w:szCs w:val="24"/>
        </w:rPr>
        <w:t xml:space="preserve"> later development. </w:t>
      </w:r>
      <w:r w:rsidR="00273284" w:rsidRPr="000B300B">
        <w:rPr>
          <w:rFonts w:asciiTheme="majorBidi" w:hAnsiTheme="majorBidi" w:cstheme="majorBidi"/>
          <w:sz w:val="24"/>
          <w:szCs w:val="24"/>
        </w:rPr>
        <w:t>To support this, we</w:t>
      </w:r>
      <w:r w:rsidRPr="000B300B">
        <w:rPr>
          <w:rFonts w:asciiTheme="majorBidi" w:hAnsiTheme="majorBidi" w:cstheme="majorBidi"/>
          <w:sz w:val="24"/>
          <w:szCs w:val="24"/>
        </w:rPr>
        <w:t xml:space="preserve"> note </w:t>
      </w:r>
      <w:r w:rsidR="00273284" w:rsidRPr="000B300B">
        <w:rPr>
          <w:rFonts w:asciiTheme="majorBidi" w:hAnsiTheme="majorBidi" w:cstheme="majorBidi"/>
          <w:sz w:val="24"/>
          <w:szCs w:val="24"/>
        </w:rPr>
        <w:t xml:space="preserve">the late mention of the </w:t>
      </w:r>
      <w:r w:rsidRPr="000B300B">
        <w:rPr>
          <w:rFonts w:asciiTheme="majorBidi" w:hAnsiTheme="majorBidi" w:cstheme="majorBidi"/>
          <w:sz w:val="24"/>
          <w:szCs w:val="24"/>
        </w:rPr>
        <w:t xml:space="preserve">blessing in </w:t>
      </w:r>
      <w:r w:rsidRPr="000B300B">
        <w:rPr>
          <w:rFonts w:asciiTheme="majorBidi" w:hAnsiTheme="majorBidi" w:cstheme="majorBidi"/>
          <w:i/>
          <w:iCs/>
          <w:sz w:val="24"/>
          <w:szCs w:val="24"/>
        </w:rPr>
        <w:t>Sefer Halakhot Gedolot</w:t>
      </w:r>
      <w:r w:rsidR="00CC4474" w:rsidRPr="000B300B">
        <w:rPr>
          <w:rFonts w:asciiTheme="majorBidi" w:hAnsiTheme="majorBidi" w:cstheme="majorBidi"/>
          <w:i/>
          <w:iCs/>
          <w:sz w:val="24"/>
          <w:szCs w:val="24"/>
        </w:rPr>
        <w:t xml:space="preserve">, </w:t>
      </w:r>
      <w:r w:rsidRPr="000B300B">
        <w:rPr>
          <w:rFonts w:asciiTheme="majorBidi" w:hAnsiTheme="majorBidi" w:cstheme="majorBidi"/>
          <w:sz w:val="24"/>
          <w:szCs w:val="24"/>
        </w:rPr>
        <w:t xml:space="preserve">so we cannot </w:t>
      </w:r>
      <w:r w:rsidR="00273284" w:rsidRPr="000B300B">
        <w:rPr>
          <w:rFonts w:asciiTheme="majorBidi" w:hAnsiTheme="majorBidi" w:cstheme="majorBidi"/>
          <w:sz w:val="24"/>
          <w:szCs w:val="24"/>
        </w:rPr>
        <w:t>attribute it to</w:t>
      </w:r>
      <w:r w:rsidR="00CC4474" w:rsidRPr="000B300B">
        <w:rPr>
          <w:rFonts w:asciiTheme="majorBidi" w:hAnsiTheme="majorBidi" w:cstheme="majorBidi"/>
          <w:sz w:val="24"/>
          <w:szCs w:val="24"/>
        </w:rPr>
        <w:t xml:space="preserve"> a</w:t>
      </w:r>
      <w:r w:rsidRPr="000B300B">
        <w:rPr>
          <w:rFonts w:asciiTheme="majorBidi" w:hAnsiTheme="majorBidi" w:cstheme="majorBidi"/>
          <w:sz w:val="24"/>
          <w:szCs w:val="24"/>
        </w:rPr>
        <w:t xml:space="preserve"> time</w:t>
      </w:r>
      <w:r w:rsidR="00CC4474" w:rsidRPr="000B300B">
        <w:rPr>
          <w:rFonts w:asciiTheme="majorBidi" w:hAnsiTheme="majorBidi" w:cstheme="majorBidi"/>
          <w:sz w:val="24"/>
          <w:szCs w:val="24"/>
        </w:rPr>
        <w:t xml:space="preserve"> that</w:t>
      </w:r>
      <w:r w:rsidR="00C00E25" w:rsidRPr="000B300B">
        <w:rPr>
          <w:rFonts w:asciiTheme="majorBidi" w:hAnsiTheme="majorBidi" w:cstheme="majorBidi"/>
          <w:sz w:val="24"/>
          <w:szCs w:val="24"/>
        </w:rPr>
        <w:t>’</w:t>
      </w:r>
      <w:r w:rsidR="00CC4474" w:rsidRPr="000B300B">
        <w:rPr>
          <w:rFonts w:asciiTheme="majorBidi" w:hAnsiTheme="majorBidi" w:cstheme="majorBidi"/>
          <w:sz w:val="24"/>
          <w:szCs w:val="24"/>
        </w:rPr>
        <w:t>s much earlier</w:t>
      </w:r>
      <w:r w:rsidRPr="000B300B">
        <w:rPr>
          <w:rFonts w:asciiTheme="majorBidi" w:hAnsiTheme="majorBidi" w:cstheme="majorBidi"/>
          <w:sz w:val="24"/>
          <w:szCs w:val="24"/>
        </w:rPr>
        <w:t>.</w:t>
      </w:r>
    </w:p>
    <w:p w14:paraId="23E231FA" w14:textId="2C20D546" w:rsidR="00F12795" w:rsidRPr="000B300B" w:rsidRDefault="00CC4474" w:rsidP="00D95B5D">
      <w:pPr>
        <w:spacing w:line="360" w:lineRule="auto"/>
        <w:jc w:val="both"/>
        <w:rPr>
          <w:rFonts w:asciiTheme="majorBidi" w:hAnsiTheme="majorBidi" w:cstheme="majorBidi"/>
          <w:sz w:val="24"/>
          <w:szCs w:val="24"/>
          <w:u w:val="single"/>
        </w:rPr>
      </w:pPr>
      <w:r w:rsidRPr="000B300B">
        <w:rPr>
          <w:rFonts w:asciiTheme="majorBidi" w:hAnsiTheme="majorBidi" w:cstheme="majorBidi"/>
          <w:sz w:val="24"/>
          <w:szCs w:val="24"/>
          <w:u w:val="single"/>
        </w:rPr>
        <w:t>Roots in the Land of Israel</w:t>
      </w:r>
    </w:p>
    <w:p w14:paraId="4F665546" w14:textId="030D9777"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Evidence of </w:t>
      </w:r>
      <w:r w:rsidR="000D26A4" w:rsidRPr="000B300B">
        <w:rPr>
          <w:rFonts w:asciiTheme="majorBidi" w:hAnsiTheme="majorBidi" w:cstheme="majorBidi"/>
          <w:sz w:val="24"/>
          <w:szCs w:val="24"/>
        </w:rPr>
        <w:t>an</w:t>
      </w:r>
      <w:r w:rsidRPr="000B300B">
        <w:rPr>
          <w:rFonts w:asciiTheme="majorBidi" w:hAnsiTheme="majorBidi" w:cstheme="majorBidi"/>
          <w:sz w:val="24"/>
          <w:szCs w:val="24"/>
        </w:rPr>
        <w:t xml:space="preserve"> exist</w:t>
      </w:r>
      <w:r w:rsidR="000D26A4" w:rsidRPr="000B300B">
        <w:rPr>
          <w:rFonts w:asciiTheme="majorBidi" w:hAnsiTheme="majorBidi" w:cstheme="majorBidi"/>
          <w:sz w:val="24"/>
          <w:szCs w:val="24"/>
        </w:rPr>
        <w:t xml:space="preserve">ing </w:t>
      </w:r>
      <w:r w:rsidR="00CC4474" w:rsidRPr="000B300B">
        <w:rPr>
          <w:rFonts w:asciiTheme="majorBidi" w:hAnsiTheme="majorBidi" w:cstheme="majorBidi"/>
          <w:sz w:val="24"/>
          <w:szCs w:val="24"/>
        </w:rPr>
        <w:t xml:space="preserve">ritual </w:t>
      </w:r>
      <w:r w:rsidRPr="000B300B">
        <w:rPr>
          <w:rFonts w:asciiTheme="majorBidi" w:hAnsiTheme="majorBidi" w:cstheme="majorBidi"/>
          <w:sz w:val="24"/>
          <w:szCs w:val="24"/>
        </w:rPr>
        <w:t>confirming a bride</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s virginity without details of the contents can be found in a book that was published with the title </w:t>
      </w:r>
      <w:r w:rsidRPr="000B300B">
        <w:rPr>
          <w:rFonts w:asciiTheme="majorBidi" w:hAnsiTheme="majorBidi" w:cstheme="majorBidi"/>
          <w:i/>
          <w:iCs/>
          <w:sz w:val="24"/>
          <w:szCs w:val="24"/>
        </w:rPr>
        <w:t>Tosefta Atikta</w:t>
      </w:r>
      <w:r w:rsidRPr="000B300B">
        <w:rPr>
          <w:rFonts w:asciiTheme="majorBidi" w:hAnsiTheme="majorBidi" w:cstheme="majorBidi"/>
          <w:sz w:val="24"/>
          <w:szCs w:val="24"/>
        </w:rPr>
        <w:t>. This work presents a</w:t>
      </w:r>
      <w:r w:rsidR="006D0651" w:rsidRPr="000B300B">
        <w:rPr>
          <w:rFonts w:asciiTheme="majorBidi" w:hAnsiTheme="majorBidi" w:cstheme="majorBidi"/>
          <w:sz w:val="24"/>
          <w:szCs w:val="24"/>
        </w:rPr>
        <w:t xml:space="preserve"> body of</w:t>
      </w:r>
      <w:r w:rsidRPr="000B300B">
        <w:rPr>
          <w:rFonts w:asciiTheme="majorBidi" w:hAnsiTheme="majorBidi" w:cstheme="majorBidi"/>
          <w:sz w:val="24"/>
          <w:szCs w:val="24"/>
        </w:rPr>
        <w:t xml:space="preserve"> </w:t>
      </w:r>
      <w:r w:rsidR="006D0651" w:rsidRPr="000B300B">
        <w:rPr>
          <w:rFonts w:asciiTheme="majorBidi" w:hAnsiTheme="majorBidi" w:cstheme="majorBidi"/>
          <w:i/>
          <w:iCs/>
          <w:sz w:val="24"/>
          <w:szCs w:val="24"/>
        </w:rPr>
        <w:t>halakh</w:t>
      </w:r>
      <w:r w:rsidR="006D0651" w:rsidRPr="000B300B">
        <w:rPr>
          <w:rFonts w:asciiTheme="majorBidi" w:hAnsiTheme="majorBidi" w:cstheme="majorBidi"/>
          <w:i/>
          <w:iCs/>
          <w:sz w:val="24"/>
          <w:szCs w:val="24"/>
        </w:rPr>
        <w:t>ot</w:t>
      </w:r>
      <w:r w:rsidR="006D0651"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practiced in </w:t>
      </w:r>
      <w:r w:rsidR="00D42EAE" w:rsidRPr="000B300B">
        <w:rPr>
          <w:rFonts w:asciiTheme="majorBidi" w:hAnsiTheme="majorBidi" w:cstheme="majorBidi"/>
          <w:sz w:val="24"/>
          <w:szCs w:val="24"/>
        </w:rPr>
        <w:t xml:space="preserve">the Land of Israel </w:t>
      </w:r>
      <w:r w:rsidRPr="000B300B">
        <w:rPr>
          <w:rFonts w:asciiTheme="majorBidi" w:hAnsiTheme="majorBidi" w:cstheme="majorBidi"/>
          <w:sz w:val="24"/>
          <w:szCs w:val="24"/>
        </w:rPr>
        <w:t xml:space="preserve">that differs from the Talmudic norm: </w:t>
      </w:r>
      <w:r w:rsidR="00C00E25" w:rsidRPr="000B300B">
        <w:rPr>
          <w:rFonts w:asciiTheme="majorBidi" w:hAnsiTheme="majorBidi" w:cstheme="majorBidi"/>
          <w:sz w:val="24"/>
          <w:szCs w:val="24"/>
        </w:rPr>
        <w:t>‘</w:t>
      </w:r>
      <w:r w:rsidR="00D42EAE" w:rsidRPr="000B300B">
        <w:rPr>
          <w:rFonts w:asciiTheme="majorBidi" w:hAnsiTheme="majorBidi" w:cstheme="majorBidi"/>
          <w:sz w:val="24"/>
          <w:szCs w:val="24"/>
        </w:rPr>
        <w:t xml:space="preserve">When </w:t>
      </w:r>
      <w:r w:rsidRPr="000B300B">
        <w:rPr>
          <w:rFonts w:asciiTheme="majorBidi" w:hAnsiTheme="majorBidi" w:cstheme="majorBidi"/>
          <w:sz w:val="24"/>
          <w:szCs w:val="24"/>
        </w:rPr>
        <w:t xml:space="preserve">the </w:t>
      </w:r>
      <w:r w:rsidR="00D42EAE" w:rsidRPr="000B300B">
        <w:rPr>
          <w:rFonts w:asciiTheme="majorBidi" w:hAnsiTheme="majorBidi" w:cstheme="majorBidi"/>
          <w:sz w:val="24"/>
          <w:szCs w:val="24"/>
        </w:rPr>
        <w:t xml:space="preserve">woman first engages in intercourse </w:t>
      </w:r>
      <w:r w:rsidRPr="000B300B">
        <w:rPr>
          <w:rFonts w:asciiTheme="majorBidi" w:hAnsiTheme="majorBidi" w:cstheme="majorBidi"/>
          <w:sz w:val="24"/>
          <w:szCs w:val="24"/>
        </w:rPr>
        <w:t xml:space="preserve">and </w:t>
      </w:r>
      <w:r w:rsidR="00D42EAE" w:rsidRPr="000B300B">
        <w:rPr>
          <w:rFonts w:asciiTheme="majorBidi" w:hAnsiTheme="majorBidi" w:cstheme="majorBidi"/>
          <w:sz w:val="24"/>
          <w:szCs w:val="24"/>
        </w:rPr>
        <w:t>the blessing (</w:t>
      </w:r>
      <w:r w:rsidR="00D42EAE" w:rsidRPr="000B300B">
        <w:rPr>
          <w:rFonts w:asciiTheme="majorBidi" w:hAnsiTheme="majorBidi" w:cstheme="majorBidi"/>
          <w:i/>
          <w:iCs/>
          <w:sz w:val="24"/>
          <w:szCs w:val="24"/>
        </w:rPr>
        <w:t>kiddush</w:t>
      </w:r>
      <w:r w:rsidR="00D42EAE" w:rsidRPr="000B300B">
        <w:rPr>
          <w:rFonts w:asciiTheme="majorBidi" w:hAnsiTheme="majorBidi" w:cstheme="majorBidi"/>
          <w:sz w:val="24"/>
          <w:szCs w:val="24"/>
        </w:rPr>
        <w:t>) is recited on virginity.</w:t>
      </w:r>
      <w:r w:rsidR="00C00E25" w:rsidRPr="000B300B">
        <w:rPr>
          <w:rFonts w:asciiTheme="majorBidi" w:hAnsiTheme="majorBidi" w:cstheme="majorBidi"/>
          <w:sz w:val="24"/>
          <w:szCs w:val="24"/>
        </w:rPr>
        <w:t>’</w:t>
      </w:r>
      <w:r w:rsidR="00C569A5" w:rsidRPr="000B300B">
        <w:rPr>
          <w:rStyle w:val="FootnoteReference"/>
          <w:rFonts w:asciiTheme="majorBidi" w:hAnsiTheme="majorBidi" w:cstheme="majorBidi"/>
          <w:sz w:val="24"/>
          <w:szCs w:val="24"/>
        </w:rPr>
        <w:footnoteReference w:id="4"/>
      </w:r>
      <w:r w:rsidR="00805DB4" w:rsidRPr="000B300B">
        <w:rPr>
          <w:rStyle w:val="CommentReference"/>
          <w:rFonts w:asciiTheme="majorBidi" w:hAnsiTheme="majorBidi" w:cstheme="majorBidi"/>
          <w:sz w:val="24"/>
          <w:szCs w:val="24"/>
        </w:rPr>
        <w:t xml:space="preserve"> T</w:t>
      </w:r>
      <w:r w:rsidRPr="000B300B">
        <w:rPr>
          <w:rFonts w:asciiTheme="majorBidi" w:hAnsiTheme="majorBidi" w:cstheme="majorBidi"/>
          <w:sz w:val="24"/>
          <w:szCs w:val="24"/>
        </w:rPr>
        <w:t xml:space="preserve">he </w:t>
      </w:r>
      <w:r w:rsidR="00D42EAE" w:rsidRPr="000B300B">
        <w:rPr>
          <w:rFonts w:asciiTheme="majorBidi" w:hAnsiTheme="majorBidi" w:cstheme="majorBidi"/>
          <w:sz w:val="24"/>
          <w:szCs w:val="24"/>
        </w:rPr>
        <w:t xml:space="preserve">term </w:t>
      </w:r>
      <w:r w:rsidR="00C00E25" w:rsidRPr="000B300B">
        <w:rPr>
          <w:rFonts w:asciiTheme="majorBidi" w:hAnsiTheme="majorBidi" w:cstheme="majorBidi"/>
          <w:sz w:val="24"/>
          <w:szCs w:val="24"/>
        </w:rPr>
        <w:t>‘</w:t>
      </w:r>
      <w:r w:rsidR="00D42EAE" w:rsidRPr="000B300B">
        <w:rPr>
          <w:rFonts w:asciiTheme="majorBidi" w:hAnsiTheme="majorBidi" w:cstheme="majorBidi"/>
          <w:i/>
          <w:iCs/>
          <w:sz w:val="24"/>
          <w:szCs w:val="24"/>
        </w:rPr>
        <w:t>kiddush</w:t>
      </w:r>
      <w:r w:rsidR="00D42EAE" w:rsidRPr="000B300B">
        <w:rPr>
          <w:rFonts w:asciiTheme="majorBidi" w:hAnsiTheme="majorBidi" w:cstheme="majorBidi"/>
          <w:sz w:val="24"/>
          <w:szCs w:val="24"/>
        </w:rPr>
        <w:t xml:space="preserve"> </w:t>
      </w:r>
      <w:r w:rsidRPr="000B300B">
        <w:rPr>
          <w:rFonts w:asciiTheme="majorBidi" w:hAnsiTheme="majorBidi" w:cstheme="majorBidi"/>
          <w:sz w:val="24"/>
          <w:szCs w:val="24"/>
        </w:rPr>
        <w:t>over virginity</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 derives from the fact that some versions of the </w:t>
      </w:r>
      <w:r w:rsidR="000D26A4" w:rsidRPr="000B300B">
        <w:rPr>
          <w:rFonts w:asciiTheme="majorBidi" w:hAnsiTheme="majorBidi" w:cstheme="majorBidi"/>
          <w:sz w:val="24"/>
          <w:szCs w:val="24"/>
        </w:rPr>
        <w:t>blessing</w:t>
      </w:r>
      <w:r w:rsidR="00C00E25" w:rsidRPr="000B300B">
        <w:rPr>
          <w:rFonts w:asciiTheme="majorBidi" w:hAnsiTheme="majorBidi" w:cstheme="majorBidi"/>
          <w:sz w:val="24"/>
          <w:szCs w:val="24"/>
        </w:rPr>
        <w:t>’</w:t>
      </w:r>
      <w:r w:rsidR="000D26A4" w:rsidRPr="000B300B">
        <w:rPr>
          <w:rFonts w:asciiTheme="majorBidi" w:hAnsiTheme="majorBidi" w:cstheme="majorBidi"/>
          <w:sz w:val="24"/>
          <w:szCs w:val="24"/>
        </w:rPr>
        <w:t xml:space="preserve">s </w:t>
      </w:r>
      <w:r w:rsidRPr="000B300B">
        <w:rPr>
          <w:rFonts w:asciiTheme="majorBidi" w:hAnsiTheme="majorBidi" w:cstheme="majorBidi"/>
          <w:sz w:val="24"/>
          <w:szCs w:val="24"/>
        </w:rPr>
        <w:t xml:space="preserve">closing phrase refer to the sanctity of Israel and virginity: </w:t>
      </w:r>
      <w:r w:rsidR="00C00E25" w:rsidRPr="000B300B">
        <w:rPr>
          <w:rFonts w:asciiTheme="majorBidi" w:hAnsiTheme="majorBidi" w:cstheme="majorBidi"/>
          <w:sz w:val="24"/>
          <w:szCs w:val="24"/>
        </w:rPr>
        <w:t>‘</w:t>
      </w:r>
      <w:r w:rsidRPr="000B300B">
        <w:rPr>
          <w:rFonts w:asciiTheme="majorBidi" w:hAnsiTheme="majorBidi" w:cstheme="majorBidi"/>
          <w:sz w:val="24"/>
          <w:szCs w:val="24"/>
        </w:rPr>
        <w:t>Bl[essed] a[re You], oh Lord, who sanctifies Israel and virginity.</w:t>
      </w:r>
      <w:r w:rsidR="00C00E25" w:rsidRPr="000B300B">
        <w:rPr>
          <w:rFonts w:asciiTheme="majorBidi" w:hAnsiTheme="majorBidi" w:cstheme="majorBidi"/>
          <w:sz w:val="24"/>
          <w:szCs w:val="24"/>
        </w:rPr>
        <w:t>’</w:t>
      </w:r>
      <w:r w:rsidR="005D40B4" w:rsidRPr="000B300B">
        <w:rPr>
          <w:rStyle w:val="FootnoteReference"/>
          <w:rFonts w:asciiTheme="majorBidi" w:hAnsiTheme="majorBidi" w:cstheme="majorBidi"/>
          <w:sz w:val="24"/>
          <w:szCs w:val="24"/>
        </w:rPr>
        <w:footnoteReference w:id="5"/>
      </w:r>
      <w:r w:rsidRPr="000B300B">
        <w:rPr>
          <w:rFonts w:asciiTheme="majorBidi" w:hAnsiTheme="majorBidi" w:cstheme="majorBidi"/>
          <w:sz w:val="24"/>
          <w:szCs w:val="24"/>
        </w:rPr>
        <w:t xml:space="preserve"> As we have seen in </w:t>
      </w:r>
      <w:r w:rsidRPr="000B300B">
        <w:rPr>
          <w:rFonts w:asciiTheme="majorBidi" w:hAnsiTheme="majorBidi" w:cstheme="majorBidi"/>
          <w:i/>
          <w:iCs/>
          <w:sz w:val="24"/>
          <w:szCs w:val="24"/>
        </w:rPr>
        <w:t>Halakhot Gedolot,</w:t>
      </w:r>
      <w:r w:rsidRPr="000B300B">
        <w:rPr>
          <w:rFonts w:asciiTheme="majorBidi" w:hAnsiTheme="majorBidi" w:cstheme="majorBidi"/>
          <w:sz w:val="24"/>
          <w:szCs w:val="24"/>
        </w:rPr>
        <w:t xml:space="preserve"> the virginity blessing </w:t>
      </w:r>
      <w:r w:rsidR="00E26304" w:rsidRPr="000B300B">
        <w:rPr>
          <w:rFonts w:asciiTheme="majorBidi" w:hAnsiTheme="majorBidi" w:cstheme="majorBidi"/>
          <w:sz w:val="24"/>
          <w:szCs w:val="24"/>
        </w:rPr>
        <w:t>was</w:t>
      </w:r>
      <w:r w:rsidRPr="000B300B">
        <w:rPr>
          <w:rFonts w:asciiTheme="majorBidi" w:hAnsiTheme="majorBidi" w:cstheme="majorBidi"/>
          <w:sz w:val="24"/>
          <w:szCs w:val="24"/>
        </w:rPr>
        <w:t xml:space="preserve"> said over a glass of wine similar to the </w:t>
      </w:r>
      <w:r w:rsidR="00D42EAE" w:rsidRPr="000B300B">
        <w:rPr>
          <w:rFonts w:asciiTheme="majorBidi" w:hAnsiTheme="majorBidi" w:cstheme="majorBidi"/>
          <w:i/>
          <w:iCs/>
          <w:sz w:val="24"/>
          <w:szCs w:val="24"/>
        </w:rPr>
        <w:t>kiddush</w:t>
      </w:r>
      <w:r w:rsidR="00D42EAE"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of </w:t>
      </w:r>
      <w:r w:rsidRPr="000B300B">
        <w:rPr>
          <w:rFonts w:asciiTheme="majorBidi" w:hAnsiTheme="majorBidi" w:cstheme="majorBidi"/>
          <w:i/>
          <w:iCs/>
          <w:sz w:val="24"/>
          <w:szCs w:val="24"/>
        </w:rPr>
        <w:t>Shabbat</w:t>
      </w:r>
      <w:r w:rsidRPr="000B300B">
        <w:rPr>
          <w:rFonts w:asciiTheme="majorBidi" w:hAnsiTheme="majorBidi" w:cstheme="majorBidi"/>
          <w:sz w:val="24"/>
          <w:szCs w:val="24"/>
        </w:rPr>
        <w:t xml:space="preserve">. </w:t>
      </w:r>
      <w:r w:rsidR="001B1DE2" w:rsidRPr="000B300B">
        <w:rPr>
          <w:rFonts w:asciiTheme="majorBidi" w:hAnsiTheme="majorBidi" w:cstheme="majorBidi"/>
          <w:sz w:val="24"/>
          <w:szCs w:val="24"/>
        </w:rPr>
        <w:t>In addition to</w:t>
      </w:r>
      <w:r w:rsidRPr="000B300B">
        <w:rPr>
          <w:rFonts w:asciiTheme="majorBidi" w:hAnsiTheme="majorBidi" w:cstheme="majorBidi"/>
          <w:sz w:val="24"/>
          <w:szCs w:val="24"/>
        </w:rPr>
        <w:t xml:space="preserve"> this evidence, Langer identified a number of linguistic characteristics in the virginity blessing</w:t>
      </w:r>
      <w:r w:rsidR="00D42EAE" w:rsidRPr="000B300B">
        <w:rPr>
          <w:rFonts w:asciiTheme="majorBidi" w:hAnsiTheme="majorBidi" w:cstheme="majorBidi"/>
          <w:sz w:val="24"/>
          <w:szCs w:val="24"/>
        </w:rPr>
        <w:t xml:space="preserve"> unique to the Land of Israel.</w:t>
      </w:r>
      <w:r w:rsidR="005D40B4" w:rsidRPr="000B300B">
        <w:rPr>
          <w:rStyle w:val="FootnoteReference"/>
          <w:rFonts w:asciiTheme="majorBidi" w:hAnsiTheme="majorBidi" w:cstheme="majorBidi"/>
          <w:sz w:val="24"/>
          <w:szCs w:val="24"/>
        </w:rPr>
        <w:footnoteReference w:id="6"/>
      </w:r>
    </w:p>
    <w:p w14:paraId="4DF08CCC" w14:textId="51877034" w:rsidR="00F12795" w:rsidRPr="000B300B" w:rsidRDefault="00F12795" w:rsidP="00AB0B35">
      <w:pPr>
        <w:spacing w:line="360" w:lineRule="auto"/>
        <w:jc w:val="both"/>
        <w:rPr>
          <w:rFonts w:asciiTheme="majorBidi" w:hAnsiTheme="majorBidi" w:cstheme="majorBidi"/>
          <w:sz w:val="24"/>
          <w:szCs w:val="24"/>
        </w:rPr>
      </w:pPr>
      <w:r w:rsidRPr="007471F9">
        <w:rPr>
          <w:rFonts w:asciiTheme="majorBidi" w:hAnsiTheme="majorBidi" w:cstheme="majorBidi"/>
          <w:sz w:val="24"/>
          <w:szCs w:val="24"/>
          <w:lang w:val="en"/>
        </w:rPr>
        <w:t xml:space="preserve">The blessing opens with a mention of the walnut tree </w:t>
      </w:r>
      <w:r w:rsidR="00ED419C" w:rsidRPr="007471F9">
        <w:rPr>
          <w:rFonts w:asciiTheme="majorBidi" w:hAnsiTheme="majorBidi" w:cstheme="majorBidi"/>
          <w:sz w:val="24"/>
          <w:szCs w:val="24"/>
          <w:lang w:val="en"/>
        </w:rPr>
        <w:t>–</w:t>
      </w:r>
      <w:r w:rsidRPr="007471F9">
        <w:rPr>
          <w:rFonts w:asciiTheme="majorBidi" w:hAnsiTheme="majorBidi" w:cstheme="majorBidi"/>
          <w:sz w:val="24"/>
          <w:szCs w:val="24"/>
          <w:lang w:val="en"/>
        </w:rPr>
        <w:t xml:space="preserve"> symbolizing the woman</w:t>
      </w:r>
      <w:r w:rsidR="00C00E25" w:rsidRPr="007471F9">
        <w:rPr>
          <w:rFonts w:asciiTheme="majorBidi" w:hAnsiTheme="majorBidi" w:cstheme="majorBidi"/>
          <w:sz w:val="24"/>
          <w:szCs w:val="24"/>
          <w:lang w:val="en"/>
        </w:rPr>
        <w:t>’</w:t>
      </w:r>
      <w:r w:rsidRPr="007471F9">
        <w:rPr>
          <w:rFonts w:asciiTheme="majorBidi" w:hAnsiTheme="majorBidi" w:cstheme="majorBidi"/>
          <w:sz w:val="24"/>
          <w:szCs w:val="24"/>
          <w:lang w:val="en"/>
        </w:rPr>
        <w:t>s virginity</w:t>
      </w:r>
      <w:r w:rsidR="00110AC3" w:rsidRPr="007471F9">
        <w:rPr>
          <w:rFonts w:asciiTheme="majorBidi" w:hAnsiTheme="majorBidi" w:cstheme="majorBidi"/>
          <w:sz w:val="24"/>
          <w:szCs w:val="24"/>
          <w:lang w:val="en"/>
        </w:rPr>
        <w:t xml:space="preserve"> – </w:t>
      </w:r>
      <w:r w:rsidRPr="007471F9">
        <w:rPr>
          <w:rFonts w:asciiTheme="majorBidi" w:hAnsiTheme="majorBidi" w:cstheme="majorBidi"/>
          <w:sz w:val="24"/>
          <w:szCs w:val="24"/>
          <w:lang w:val="en"/>
        </w:rPr>
        <w:t>which God planted and presented in the Garden of Eden</w:t>
      </w:r>
      <w:r w:rsidR="000A1621" w:rsidRPr="007471F9">
        <w:rPr>
          <w:rFonts w:asciiTheme="majorBidi" w:hAnsiTheme="majorBidi" w:cstheme="majorBidi"/>
          <w:sz w:val="24"/>
          <w:szCs w:val="24"/>
          <w:lang w:val="en"/>
        </w:rPr>
        <w:t>:</w:t>
      </w:r>
      <w:r w:rsidR="000A1621" w:rsidRPr="007471F9">
        <w:rPr>
          <w:rStyle w:val="FootnoteReference"/>
          <w:rFonts w:asciiTheme="majorBidi" w:hAnsiTheme="majorBidi" w:cstheme="majorBidi"/>
          <w:sz w:val="24"/>
          <w:szCs w:val="24"/>
          <w:lang w:val="en"/>
        </w:rPr>
        <w:footnoteReference w:id="7"/>
      </w:r>
      <w:r w:rsidRPr="007471F9">
        <w:rPr>
          <w:rFonts w:asciiTheme="majorBidi" w:hAnsiTheme="majorBidi" w:cstheme="majorBidi"/>
          <w:sz w:val="24"/>
          <w:szCs w:val="24"/>
          <w:lang w:val="en"/>
        </w:rPr>
        <w:t xml:space="preserve"> </w:t>
      </w:r>
      <w:r w:rsidR="00C00E25" w:rsidRPr="007471F9">
        <w:rPr>
          <w:rFonts w:asciiTheme="majorBidi" w:hAnsiTheme="majorBidi" w:cstheme="majorBidi"/>
          <w:sz w:val="24"/>
          <w:szCs w:val="24"/>
          <w:lang w:val="en"/>
        </w:rPr>
        <w:t>‘</w:t>
      </w:r>
      <w:r w:rsidR="000A1621" w:rsidRPr="000B300B">
        <w:rPr>
          <w:rFonts w:asciiTheme="majorBidi" w:hAnsiTheme="majorBidi" w:cstheme="majorBidi"/>
          <w:sz w:val="24"/>
          <w:szCs w:val="24"/>
          <w:rtl/>
        </w:rPr>
        <w:t>אשר צג אגוז בגן עדן</w:t>
      </w:r>
      <w:r w:rsidR="000A1621" w:rsidRPr="000B300B">
        <w:rPr>
          <w:rFonts w:asciiTheme="majorBidi" w:hAnsiTheme="majorBidi" w:cstheme="majorBidi"/>
          <w:sz w:val="24"/>
          <w:szCs w:val="24"/>
        </w:rPr>
        <w:t>.</w:t>
      </w:r>
      <w:r w:rsidR="00C00E25" w:rsidRPr="000B300B">
        <w:rPr>
          <w:rFonts w:asciiTheme="majorBidi" w:hAnsiTheme="majorBidi" w:cstheme="majorBidi"/>
          <w:sz w:val="24"/>
          <w:szCs w:val="24"/>
        </w:rPr>
        <w:t>’</w:t>
      </w:r>
      <w:r w:rsidR="000A1621" w:rsidRPr="000B300B">
        <w:rPr>
          <w:rStyle w:val="FootnoteReference"/>
          <w:rFonts w:asciiTheme="majorBidi" w:hAnsiTheme="majorBidi" w:cstheme="majorBidi"/>
          <w:sz w:val="24"/>
          <w:szCs w:val="24"/>
        </w:rPr>
        <w:footnoteReference w:id="8"/>
      </w:r>
      <w:r w:rsidR="000A1621" w:rsidRPr="007471F9">
        <w:rPr>
          <w:rFonts w:asciiTheme="majorBidi" w:hAnsiTheme="majorBidi" w:cstheme="majorBidi"/>
          <w:sz w:val="24"/>
          <w:szCs w:val="24"/>
          <w:lang w:val="en"/>
        </w:rPr>
        <w:t xml:space="preserve"> </w:t>
      </w:r>
      <w:r w:rsidRPr="007471F9">
        <w:rPr>
          <w:rFonts w:asciiTheme="majorBidi" w:hAnsiTheme="majorBidi" w:cstheme="majorBidi"/>
          <w:sz w:val="24"/>
          <w:szCs w:val="24"/>
          <w:lang w:val="en"/>
        </w:rPr>
        <w:t xml:space="preserve">The Hebrew word </w:t>
      </w:r>
      <w:r w:rsidR="00C00E25" w:rsidRPr="007471F9">
        <w:rPr>
          <w:rFonts w:asciiTheme="majorBidi" w:hAnsiTheme="majorBidi" w:cstheme="majorBidi"/>
          <w:i/>
          <w:iCs/>
          <w:sz w:val="24"/>
          <w:szCs w:val="24"/>
          <w:lang w:val="en"/>
        </w:rPr>
        <w:t>‘</w:t>
      </w:r>
      <w:r w:rsidRPr="007471F9">
        <w:rPr>
          <w:rFonts w:asciiTheme="majorBidi" w:hAnsiTheme="majorBidi" w:cstheme="majorBidi"/>
          <w:i/>
          <w:iCs/>
          <w:sz w:val="24"/>
          <w:szCs w:val="24"/>
          <w:lang w:val="en"/>
        </w:rPr>
        <w:t>t</w:t>
      </w:r>
      <w:r w:rsidR="00E26304" w:rsidRPr="007471F9">
        <w:rPr>
          <w:rFonts w:asciiTheme="majorBidi" w:hAnsiTheme="majorBidi" w:cstheme="majorBidi"/>
          <w:i/>
          <w:iCs/>
          <w:sz w:val="24"/>
          <w:szCs w:val="24"/>
          <w:lang w:val="en"/>
        </w:rPr>
        <w:t>s</w:t>
      </w:r>
      <w:r w:rsidRPr="007471F9">
        <w:rPr>
          <w:rFonts w:asciiTheme="majorBidi" w:hAnsiTheme="majorBidi" w:cstheme="majorBidi"/>
          <w:i/>
          <w:iCs/>
          <w:sz w:val="24"/>
          <w:szCs w:val="24"/>
          <w:lang w:val="en"/>
        </w:rPr>
        <w:t>ag</w:t>
      </w:r>
      <w:r w:rsidR="00C00E25" w:rsidRPr="007471F9">
        <w:rPr>
          <w:rFonts w:asciiTheme="majorBidi" w:hAnsiTheme="majorBidi" w:cstheme="majorBidi"/>
          <w:i/>
          <w:iCs/>
          <w:sz w:val="24"/>
          <w:szCs w:val="24"/>
          <w:lang w:val="en"/>
        </w:rPr>
        <w:t>’</w:t>
      </w:r>
      <w:r w:rsidRPr="007471F9">
        <w:rPr>
          <w:rFonts w:asciiTheme="majorBidi" w:hAnsiTheme="majorBidi" w:cstheme="majorBidi"/>
          <w:sz w:val="24"/>
          <w:szCs w:val="24"/>
          <w:lang w:val="en"/>
        </w:rPr>
        <w:t xml:space="preserve"> comes from the root </w:t>
      </w:r>
      <w:r w:rsidR="00C00E25" w:rsidRPr="007471F9">
        <w:rPr>
          <w:rFonts w:asciiTheme="majorBidi" w:hAnsiTheme="majorBidi" w:cstheme="majorBidi"/>
          <w:sz w:val="24"/>
          <w:szCs w:val="24"/>
          <w:lang w:val="en"/>
        </w:rPr>
        <w:t>‘</w:t>
      </w:r>
      <w:r w:rsidR="005C7A3D" w:rsidRPr="007471F9">
        <w:rPr>
          <w:rFonts w:asciiTheme="majorBidi" w:hAnsiTheme="majorBidi" w:cstheme="majorBidi"/>
          <w:i/>
          <w:iCs/>
          <w:sz w:val="24"/>
          <w:szCs w:val="24"/>
          <w:lang w:val="en"/>
        </w:rPr>
        <w:t>yat</w:t>
      </w:r>
      <w:r w:rsidR="00E26304" w:rsidRPr="007471F9">
        <w:rPr>
          <w:rFonts w:asciiTheme="majorBidi" w:hAnsiTheme="majorBidi" w:cstheme="majorBidi"/>
          <w:i/>
          <w:iCs/>
          <w:sz w:val="24"/>
          <w:szCs w:val="24"/>
          <w:lang w:val="en"/>
        </w:rPr>
        <w:t>s</w:t>
      </w:r>
      <w:r w:rsidR="005C7A3D" w:rsidRPr="007471F9">
        <w:rPr>
          <w:rFonts w:asciiTheme="majorBidi" w:hAnsiTheme="majorBidi" w:cstheme="majorBidi"/>
          <w:i/>
          <w:iCs/>
          <w:sz w:val="24"/>
          <w:szCs w:val="24"/>
          <w:lang w:val="en"/>
        </w:rPr>
        <w:t>ag</w:t>
      </w:r>
      <w:r w:rsidR="00C00E25" w:rsidRPr="007471F9">
        <w:rPr>
          <w:rFonts w:asciiTheme="majorBidi" w:hAnsiTheme="majorBidi" w:cstheme="majorBidi"/>
          <w:i/>
          <w:iCs/>
          <w:sz w:val="24"/>
          <w:szCs w:val="24"/>
          <w:lang w:val="en"/>
        </w:rPr>
        <w:t>’</w:t>
      </w:r>
      <w:r w:rsidR="005C7A3D" w:rsidRPr="007471F9">
        <w:rPr>
          <w:rFonts w:asciiTheme="majorBidi" w:hAnsiTheme="majorBidi" w:cstheme="majorBidi"/>
          <w:sz w:val="24"/>
          <w:szCs w:val="24"/>
          <w:lang w:val="en"/>
        </w:rPr>
        <w:t xml:space="preserve"> </w:t>
      </w:r>
      <w:r w:rsidRPr="007471F9">
        <w:rPr>
          <w:rFonts w:asciiTheme="majorBidi" w:hAnsiTheme="majorBidi" w:cstheme="majorBidi"/>
          <w:sz w:val="24"/>
          <w:szCs w:val="24"/>
          <w:lang w:val="en"/>
        </w:rPr>
        <w:t xml:space="preserve">(presented). The </w:t>
      </w:r>
      <w:bookmarkStart w:id="1" w:name="_Hlk95826577"/>
      <w:r w:rsidR="005C7A3D" w:rsidRPr="000B300B">
        <w:rPr>
          <w:rFonts w:asciiTheme="majorBidi" w:hAnsiTheme="majorBidi" w:cstheme="majorBidi"/>
          <w:sz w:val="24"/>
          <w:szCs w:val="24"/>
          <w:lang w:val="en"/>
        </w:rPr>
        <w:t>grammatical form</w:t>
      </w:r>
      <w:r w:rsidRPr="000B300B">
        <w:rPr>
          <w:rFonts w:asciiTheme="majorBidi" w:hAnsiTheme="majorBidi" w:cstheme="majorBidi"/>
          <w:sz w:val="24"/>
          <w:szCs w:val="24"/>
          <w:lang w:val="en"/>
        </w:rPr>
        <w:t xml:space="preserve"> </w:t>
      </w:r>
      <w:bookmarkEnd w:id="1"/>
      <w:r w:rsidRPr="000B300B">
        <w:rPr>
          <w:rFonts w:asciiTheme="majorBidi" w:hAnsiTheme="majorBidi" w:cstheme="majorBidi"/>
          <w:sz w:val="24"/>
          <w:szCs w:val="24"/>
          <w:lang w:val="en"/>
        </w:rPr>
        <w:t xml:space="preserve">of the word </w:t>
      </w:r>
      <w:r w:rsidR="005C7A3D" w:rsidRPr="000B300B">
        <w:rPr>
          <w:rFonts w:asciiTheme="majorBidi" w:hAnsiTheme="majorBidi" w:cstheme="majorBidi"/>
          <w:sz w:val="24"/>
          <w:szCs w:val="24"/>
          <w:lang w:val="en"/>
        </w:rPr>
        <w:t xml:space="preserve">is </w:t>
      </w:r>
      <w:r w:rsidR="001B1DE2" w:rsidRPr="000B300B">
        <w:rPr>
          <w:rFonts w:asciiTheme="majorBidi" w:hAnsiTheme="majorBidi" w:cstheme="majorBidi"/>
          <w:sz w:val="24"/>
          <w:szCs w:val="24"/>
          <w:lang w:val="en"/>
        </w:rPr>
        <w:t xml:space="preserve">in </w:t>
      </w:r>
      <w:r w:rsidRPr="000B300B">
        <w:rPr>
          <w:rFonts w:asciiTheme="majorBidi" w:hAnsiTheme="majorBidi" w:cstheme="majorBidi"/>
          <w:sz w:val="24"/>
          <w:szCs w:val="24"/>
          <w:lang w:val="en"/>
        </w:rPr>
        <w:t>simple</w:t>
      </w:r>
      <w:r w:rsidR="001B1DE2" w:rsidRPr="000B300B">
        <w:rPr>
          <w:rFonts w:asciiTheme="majorBidi" w:hAnsiTheme="majorBidi" w:cstheme="majorBidi"/>
          <w:sz w:val="24"/>
          <w:szCs w:val="24"/>
          <w:lang w:val="en"/>
        </w:rPr>
        <w:t xml:space="preserve"> form, </w:t>
      </w:r>
      <w:r w:rsidRPr="000B300B">
        <w:rPr>
          <w:rFonts w:asciiTheme="majorBidi" w:hAnsiTheme="majorBidi" w:cstheme="majorBidi"/>
          <w:sz w:val="24"/>
          <w:szCs w:val="24"/>
          <w:lang w:val="en"/>
        </w:rPr>
        <w:t xml:space="preserve">without the letter </w:t>
      </w:r>
      <w:r w:rsidRPr="000B300B">
        <w:rPr>
          <w:rFonts w:asciiTheme="majorBidi" w:hAnsiTheme="majorBidi" w:cstheme="majorBidi"/>
          <w:i/>
          <w:iCs/>
          <w:sz w:val="24"/>
          <w:szCs w:val="24"/>
          <w:lang w:val="en"/>
        </w:rPr>
        <w:t>yod</w:t>
      </w:r>
      <w:r w:rsidR="00E26304" w:rsidRPr="000B300B">
        <w:rPr>
          <w:rFonts w:asciiTheme="majorBidi" w:hAnsiTheme="majorBidi" w:cstheme="majorBidi"/>
          <w:sz w:val="24"/>
          <w:szCs w:val="24"/>
          <w:lang w:val="en"/>
        </w:rPr>
        <w:t xml:space="preserve"> </w:t>
      </w:r>
      <w:r w:rsidR="005C7A3D" w:rsidRPr="000B300B">
        <w:rPr>
          <w:rFonts w:asciiTheme="majorBidi" w:hAnsiTheme="majorBidi" w:cstheme="majorBidi"/>
          <w:sz w:val="24"/>
          <w:szCs w:val="24"/>
          <w:lang w:val="en"/>
        </w:rPr>
        <w:t xml:space="preserve">is </w:t>
      </w:r>
      <w:r w:rsidRPr="000B300B">
        <w:rPr>
          <w:rFonts w:asciiTheme="majorBidi" w:hAnsiTheme="majorBidi" w:cstheme="majorBidi"/>
          <w:sz w:val="24"/>
          <w:szCs w:val="24"/>
          <w:lang w:val="en"/>
        </w:rPr>
        <w:t xml:space="preserve">a </w:t>
      </w:r>
      <w:r w:rsidRPr="007471F9">
        <w:rPr>
          <w:rFonts w:asciiTheme="majorBidi" w:hAnsiTheme="majorBidi" w:cstheme="majorBidi"/>
          <w:sz w:val="24"/>
          <w:szCs w:val="24"/>
          <w:lang w:val="en"/>
        </w:rPr>
        <w:t xml:space="preserve">classic linguistic feature of a </w:t>
      </w:r>
      <w:r w:rsidRPr="007471F9">
        <w:rPr>
          <w:rFonts w:asciiTheme="majorBidi" w:hAnsiTheme="majorBidi" w:cstheme="majorBidi"/>
          <w:i/>
          <w:iCs/>
          <w:sz w:val="24"/>
          <w:szCs w:val="24"/>
          <w:lang w:val="en"/>
        </w:rPr>
        <w:t>piyyut</w:t>
      </w:r>
      <w:r w:rsidRPr="007471F9">
        <w:rPr>
          <w:rFonts w:asciiTheme="majorBidi" w:hAnsiTheme="majorBidi" w:cstheme="majorBidi"/>
          <w:sz w:val="24"/>
          <w:szCs w:val="24"/>
          <w:lang w:val="en"/>
        </w:rPr>
        <w:t xml:space="preserve"> composed in </w:t>
      </w:r>
      <w:r w:rsidR="005C7A3D" w:rsidRPr="007471F9">
        <w:rPr>
          <w:rFonts w:asciiTheme="majorBidi" w:hAnsiTheme="majorBidi" w:cstheme="majorBidi"/>
          <w:sz w:val="24"/>
          <w:szCs w:val="24"/>
          <w:lang w:val="en"/>
        </w:rPr>
        <w:t xml:space="preserve">the Land of </w:t>
      </w:r>
      <w:r w:rsidRPr="007471F9">
        <w:rPr>
          <w:rFonts w:asciiTheme="majorBidi" w:hAnsiTheme="majorBidi" w:cstheme="majorBidi"/>
          <w:sz w:val="24"/>
          <w:szCs w:val="24"/>
          <w:lang w:val="en"/>
        </w:rPr>
        <w:t>Israel.</w:t>
      </w:r>
      <w:r w:rsidR="000A1621" w:rsidRPr="007471F9">
        <w:rPr>
          <w:rStyle w:val="FootnoteReference"/>
          <w:rFonts w:asciiTheme="majorBidi" w:hAnsiTheme="majorBidi" w:cstheme="majorBidi"/>
          <w:sz w:val="24"/>
          <w:szCs w:val="24"/>
          <w:lang w:val="en"/>
        </w:rPr>
        <w:footnoteReference w:id="9"/>
      </w:r>
      <w:r w:rsidRPr="007471F9">
        <w:rPr>
          <w:rFonts w:asciiTheme="majorBidi" w:hAnsiTheme="majorBidi" w:cstheme="majorBidi"/>
          <w:sz w:val="24"/>
          <w:szCs w:val="24"/>
          <w:lang w:val="en"/>
        </w:rPr>
        <w:t xml:space="preserve"> </w:t>
      </w:r>
      <w:r w:rsidR="005C7A3D" w:rsidRPr="007471F9">
        <w:rPr>
          <w:rFonts w:asciiTheme="majorBidi" w:hAnsiTheme="majorBidi" w:cstheme="majorBidi"/>
          <w:sz w:val="24"/>
          <w:szCs w:val="24"/>
          <w:lang w:val="en"/>
        </w:rPr>
        <w:lastRenderedPageBreak/>
        <w:t xml:space="preserve">Moreover, </w:t>
      </w:r>
      <w:r w:rsidR="001B1DE2" w:rsidRPr="007471F9">
        <w:rPr>
          <w:rFonts w:asciiTheme="majorBidi" w:hAnsiTheme="majorBidi" w:cstheme="majorBidi"/>
          <w:sz w:val="24"/>
          <w:szCs w:val="24"/>
          <w:lang w:val="en"/>
        </w:rPr>
        <w:t xml:space="preserve">the </w:t>
      </w:r>
      <w:r w:rsidRPr="007471F9">
        <w:rPr>
          <w:rFonts w:asciiTheme="majorBidi" w:hAnsiTheme="majorBidi" w:cstheme="majorBidi"/>
          <w:sz w:val="24"/>
          <w:szCs w:val="24"/>
          <w:lang w:val="en"/>
        </w:rPr>
        <w:t>blessing</w:t>
      </w:r>
      <w:r w:rsidR="005C7A3D" w:rsidRPr="007471F9">
        <w:rPr>
          <w:rFonts w:asciiTheme="majorBidi" w:hAnsiTheme="majorBidi" w:cstheme="majorBidi"/>
          <w:sz w:val="24"/>
          <w:szCs w:val="24"/>
          <w:lang w:val="en"/>
        </w:rPr>
        <w:t xml:space="preserve"> </w:t>
      </w:r>
      <w:r w:rsidRPr="007471F9">
        <w:rPr>
          <w:rFonts w:asciiTheme="majorBidi" w:hAnsiTheme="majorBidi" w:cstheme="majorBidi"/>
          <w:sz w:val="24"/>
          <w:szCs w:val="24"/>
          <w:lang w:val="en"/>
        </w:rPr>
        <w:t xml:space="preserve">includes multiple motifs in </w:t>
      </w:r>
      <w:r w:rsidR="005C7A3D" w:rsidRPr="007471F9">
        <w:rPr>
          <w:rFonts w:asciiTheme="majorBidi" w:hAnsiTheme="majorBidi" w:cstheme="majorBidi"/>
          <w:sz w:val="24"/>
          <w:szCs w:val="24"/>
          <w:lang w:val="en"/>
        </w:rPr>
        <w:t>the</w:t>
      </w:r>
      <w:r w:rsidRPr="007471F9">
        <w:rPr>
          <w:rFonts w:asciiTheme="majorBidi" w:hAnsiTheme="majorBidi" w:cstheme="majorBidi"/>
          <w:sz w:val="24"/>
          <w:szCs w:val="24"/>
          <w:lang w:val="en"/>
        </w:rPr>
        <w:t xml:space="preserve"> closing. For example</w:t>
      </w:r>
      <w:r w:rsidR="005C7A3D" w:rsidRPr="007471F9">
        <w:rPr>
          <w:rFonts w:asciiTheme="majorBidi" w:hAnsiTheme="majorBidi" w:cstheme="majorBidi"/>
          <w:sz w:val="24"/>
          <w:szCs w:val="24"/>
          <w:lang w:val="en"/>
        </w:rPr>
        <w:t xml:space="preserve">, we find </w:t>
      </w:r>
      <w:r w:rsidRPr="007471F9">
        <w:rPr>
          <w:rFonts w:asciiTheme="majorBidi" w:hAnsiTheme="majorBidi" w:cstheme="majorBidi"/>
          <w:sz w:val="24"/>
          <w:szCs w:val="24"/>
          <w:lang w:val="en"/>
        </w:rPr>
        <w:t>the following:</w:t>
      </w:r>
      <w:r w:rsidRPr="007471F9">
        <w:rPr>
          <w:rFonts w:asciiTheme="majorBidi" w:hAnsiTheme="majorBidi" w:cstheme="majorBidi"/>
          <w:sz w:val="24"/>
          <w:szCs w:val="24"/>
        </w:rPr>
        <w:t xml:space="preserve"> </w:t>
      </w:r>
      <w:r w:rsidR="00C00E25" w:rsidRPr="000B300B">
        <w:rPr>
          <w:rFonts w:asciiTheme="majorBidi" w:hAnsiTheme="majorBidi" w:cstheme="majorBidi"/>
          <w:sz w:val="24"/>
          <w:szCs w:val="24"/>
        </w:rPr>
        <w:t>‘</w:t>
      </w:r>
      <w:r w:rsidRPr="000B300B">
        <w:rPr>
          <w:rFonts w:asciiTheme="majorBidi" w:hAnsiTheme="majorBidi" w:cstheme="majorBidi"/>
          <w:sz w:val="24"/>
          <w:szCs w:val="24"/>
        </w:rPr>
        <w:t>Who chooses Abraham our father, and his descendants</w:t>
      </w:r>
      <w:r w:rsidR="003772C2" w:rsidRPr="000B300B">
        <w:rPr>
          <w:rFonts w:asciiTheme="majorBidi" w:hAnsiTheme="majorBidi" w:cstheme="majorBidi"/>
          <w:sz w:val="24"/>
          <w:szCs w:val="24"/>
        </w:rPr>
        <w:t xml:space="preserve"> after him</w:t>
      </w:r>
      <w:r w:rsidRPr="000B300B">
        <w:rPr>
          <w:rFonts w:asciiTheme="majorBidi" w:hAnsiTheme="majorBidi" w:cstheme="majorBidi"/>
          <w:sz w:val="24"/>
          <w:szCs w:val="24"/>
        </w:rPr>
        <w:t>, and sanctifies the daughters of Israel, and purifies them, and makes them very fertile</w:t>
      </w:r>
      <w:r w:rsidR="005C7A3D" w:rsidRPr="000B300B">
        <w:rPr>
          <w:rFonts w:asciiTheme="majorBidi" w:hAnsiTheme="majorBidi" w:cstheme="majorBidi"/>
          <w:sz w:val="24"/>
          <w:szCs w:val="24"/>
        </w:rPr>
        <w:t>.</w:t>
      </w:r>
      <w:r w:rsidR="00C00E25" w:rsidRPr="000B300B">
        <w:rPr>
          <w:rFonts w:asciiTheme="majorBidi" w:hAnsiTheme="majorBidi" w:cstheme="majorBidi"/>
          <w:sz w:val="24"/>
          <w:szCs w:val="24"/>
        </w:rPr>
        <w:t>’</w:t>
      </w:r>
      <w:r w:rsidR="000A1621" w:rsidRPr="000B300B">
        <w:rPr>
          <w:rStyle w:val="FootnoteReference"/>
          <w:rFonts w:asciiTheme="majorBidi" w:hAnsiTheme="majorBidi" w:cstheme="majorBidi"/>
          <w:sz w:val="24"/>
          <w:szCs w:val="24"/>
        </w:rPr>
        <w:footnoteReference w:id="10"/>
      </w:r>
      <w:r w:rsidR="00AB0B35"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This is in contrast to the Babylonian norm, which uses </w:t>
      </w:r>
      <w:r w:rsidR="00DA0522" w:rsidRPr="000B300B">
        <w:rPr>
          <w:rFonts w:asciiTheme="majorBidi" w:hAnsiTheme="majorBidi" w:cstheme="majorBidi"/>
          <w:sz w:val="24"/>
          <w:szCs w:val="24"/>
        </w:rPr>
        <w:t>a single theme</w:t>
      </w:r>
      <w:r w:rsidRPr="000B300B">
        <w:rPr>
          <w:rFonts w:asciiTheme="majorBidi" w:hAnsiTheme="majorBidi" w:cstheme="majorBidi"/>
          <w:sz w:val="24"/>
          <w:szCs w:val="24"/>
        </w:rPr>
        <w:t xml:space="preserve"> in closing</w:t>
      </w:r>
      <w:r w:rsidR="00DA0522" w:rsidRPr="000B300B">
        <w:rPr>
          <w:rFonts w:asciiTheme="majorBidi" w:hAnsiTheme="majorBidi" w:cstheme="majorBidi"/>
          <w:sz w:val="24"/>
          <w:szCs w:val="24"/>
        </w:rPr>
        <w:t xml:space="preserve"> a blessing.</w:t>
      </w:r>
      <w:r w:rsidR="000A1621" w:rsidRPr="000B300B">
        <w:rPr>
          <w:rStyle w:val="FootnoteReference"/>
          <w:rFonts w:asciiTheme="majorBidi" w:hAnsiTheme="majorBidi" w:cstheme="majorBidi"/>
          <w:sz w:val="24"/>
          <w:szCs w:val="24"/>
        </w:rPr>
        <w:footnoteReference w:id="11"/>
      </w:r>
      <w:r w:rsidR="00DA0522" w:rsidRPr="000B300B">
        <w:rPr>
          <w:rFonts w:asciiTheme="majorBidi" w:hAnsiTheme="majorBidi" w:cstheme="majorBidi"/>
          <w:sz w:val="24"/>
          <w:szCs w:val="24"/>
        </w:rPr>
        <w:t xml:space="preserve"> </w:t>
      </w:r>
      <w:r w:rsidRPr="000B300B">
        <w:rPr>
          <w:rFonts w:asciiTheme="majorBidi" w:hAnsiTheme="majorBidi" w:cstheme="majorBidi"/>
          <w:sz w:val="24"/>
          <w:szCs w:val="24"/>
        </w:rPr>
        <w:t>Likewise, different versions of</w:t>
      </w:r>
      <w:r w:rsidR="00AB0B35" w:rsidRPr="000B300B">
        <w:rPr>
          <w:rFonts w:asciiTheme="majorBidi" w:hAnsiTheme="majorBidi" w:cstheme="majorBidi"/>
          <w:sz w:val="24"/>
          <w:szCs w:val="24"/>
        </w:rPr>
        <w:t xml:space="preserve"> the</w:t>
      </w:r>
      <w:r w:rsidRPr="000B300B">
        <w:rPr>
          <w:rFonts w:asciiTheme="majorBidi" w:hAnsiTheme="majorBidi" w:cstheme="majorBidi"/>
          <w:sz w:val="24"/>
          <w:szCs w:val="24"/>
        </w:rPr>
        <w:t xml:space="preserve"> </w:t>
      </w:r>
      <w:r w:rsidR="00DA0522" w:rsidRPr="000B300B">
        <w:rPr>
          <w:rFonts w:asciiTheme="majorBidi" w:hAnsiTheme="majorBidi" w:cstheme="majorBidi"/>
          <w:sz w:val="24"/>
          <w:szCs w:val="24"/>
        </w:rPr>
        <w:t>virginity</w:t>
      </w:r>
      <w:r w:rsidRPr="000B300B">
        <w:rPr>
          <w:rFonts w:asciiTheme="majorBidi" w:hAnsiTheme="majorBidi" w:cstheme="majorBidi"/>
          <w:sz w:val="24"/>
          <w:szCs w:val="24"/>
        </w:rPr>
        <w:t xml:space="preserve"> blessing use a </w:t>
      </w:r>
      <w:r w:rsidR="00DA0522" w:rsidRPr="000B300B">
        <w:rPr>
          <w:rFonts w:asciiTheme="majorBidi" w:hAnsiTheme="majorBidi" w:cstheme="majorBidi"/>
          <w:sz w:val="24"/>
          <w:szCs w:val="24"/>
        </w:rPr>
        <w:t xml:space="preserve">wide </w:t>
      </w:r>
      <w:r w:rsidR="001B1DE2" w:rsidRPr="000B300B">
        <w:rPr>
          <w:rFonts w:asciiTheme="majorBidi" w:hAnsiTheme="majorBidi" w:cstheme="majorBidi"/>
          <w:sz w:val="24"/>
          <w:szCs w:val="24"/>
        </w:rPr>
        <w:t>variety</w:t>
      </w:r>
      <w:r w:rsidRPr="000B300B">
        <w:rPr>
          <w:rFonts w:asciiTheme="majorBidi" w:hAnsiTheme="majorBidi" w:cstheme="majorBidi"/>
          <w:sz w:val="24"/>
          <w:szCs w:val="24"/>
        </w:rPr>
        <w:t xml:space="preserve"> of </w:t>
      </w:r>
      <w:r w:rsidR="001B1DE2" w:rsidRPr="000B300B">
        <w:rPr>
          <w:rFonts w:asciiTheme="majorBidi" w:hAnsiTheme="majorBidi" w:cstheme="majorBidi"/>
          <w:sz w:val="24"/>
          <w:szCs w:val="24"/>
        </w:rPr>
        <w:t>allusions</w:t>
      </w:r>
      <w:r w:rsidRPr="000B300B">
        <w:rPr>
          <w:rFonts w:asciiTheme="majorBidi" w:hAnsiTheme="majorBidi" w:cstheme="majorBidi"/>
          <w:sz w:val="24"/>
          <w:szCs w:val="24"/>
        </w:rPr>
        <w:t xml:space="preserve"> but do not explicitly mention virginity. The use of allusions is a distinctive feature of </w:t>
      </w:r>
      <w:r w:rsidRPr="000B300B">
        <w:rPr>
          <w:rFonts w:asciiTheme="majorBidi" w:hAnsiTheme="majorBidi" w:cstheme="majorBidi"/>
          <w:i/>
          <w:iCs/>
          <w:sz w:val="24"/>
          <w:szCs w:val="24"/>
        </w:rPr>
        <w:t>piyyut</w:t>
      </w:r>
      <w:r w:rsidR="00DA0522" w:rsidRPr="000B300B">
        <w:rPr>
          <w:rFonts w:asciiTheme="majorBidi" w:hAnsiTheme="majorBidi" w:cstheme="majorBidi"/>
          <w:sz w:val="24"/>
          <w:szCs w:val="24"/>
        </w:rPr>
        <w:t xml:space="preserve"> composed in the </w:t>
      </w:r>
      <w:r w:rsidR="006E0D5C" w:rsidRPr="000B300B">
        <w:rPr>
          <w:rFonts w:asciiTheme="majorBidi" w:hAnsiTheme="majorBidi" w:cstheme="majorBidi"/>
          <w:sz w:val="24"/>
          <w:szCs w:val="24"/>
        </w:rPr>
        <w:t>L</w:t>
      </w:r>
      <w:r w:rsidR="00DA0522" w:rsidRPr="000B300B">
        <w:rPr>
          <w:rFonts w:asciiTheme="majorBidi" w:hAnsiTheme="majorBidi" w:cstheme="majorBidi"/>
          <w:sz w:val="24"/>
          <w:szCs w:val="24"/>
        </w:rPr>
        <w:t>and of Israel.</w:t>
      </w:r>
    </w:p>
    <w:p w14:paraId="4288A75F" w14:textId="41C3FDF9" w:rsidR="00F12795" w:rsidRPr="007471F9" w:rsidRDefault="00F12795" w:rsidP="00D95B5D">
      <w:pPr>
        <w:spacing w:line="360" w:lineRule="auto"/>
        <w:jc w:val="both"/>
        <w:rPr>
          <w:rFonts w:asciiTheme="majorBidi" w:hAnsiTheme="majorBidi" w:cstheme="majorBidi"/>
          <w:sz w:val="24"/>
          <w:szCs w:val="24"/>
        </w:rPr>
      </w:pPr>
      <w:r w:rsidRPr="007471F9">
        <w:rPr>
          <w:rFonts w:asciiTheme="majorBidi" w:hAnsiTheme="majorBidi" w:cstheme="majorBidi"/>
          <w:sz w:val="24"/>
          <w:szCs w:val="24"/>
        </w:rPr>
        <w:t>Beyond that</w:t>
      </w:r>
      <w:r w:rsidR="00DB613E">
        <w:rPr>
          <w:rFonts w:asciiTheme="majorBidi" w:hAnsiTheme="majorBidi" w:cstheme="majorBidi"/>
          <w:sz w:val="24"/>
          <w:szCs w:val="24"/>
        </w:rPr>
        <w:t>,</w:t>
      </w:r>
      <w:r w:rsidRPr="007471F9">
        <w:rPr>
          <w:rFonts w:asciiTheme="majorBidi" w:hAnsiTheme="majorBidi" w:cstheme="majorBidi"/>
          <w:sz w:val="24"/>
          <w:szCs w:val="24"/>
        </w:rPr>
        <w:t xml:space="preserve"> the </w:t>
      </w:r>
      <w:r w:rsidR="003772C2" w:rsidRPr="007471F9">
        <w:rPr>
          <w:rFonts w:asciiTheme="majorBidi" w:hAnsiTheme="majorBidi" w:cstheme="majorBidi"/>
          <w:sz w:val="24"/>
          <w:szCs w:val="24"/>
        </w:rPr>
        <w:t>G</w:t>
      </w:r>
      <w:r w:rsidR="003772C2" w:rsidRPr="007471F9">
        <w:rPr>
          <w:rFonts w:asciiTheme="majorBidi" w:hAnsiTheme="majorBidi" w:cstheme="majorBidi"/>
          <w:sz w:val="24"/>
          <w:szCs w:val="24"/>
        </w:rPr>
        <w:t>enizah</w:t>
      </w:r>
      <w:r w:rsidRPr="007471F9">
        <w:rPr>
          <w:rFonts w:asciiTheme="majorBidi" w:hAnsiTheme="majorBidi" w:cstheme="majorBidi"/>
          <w:sz w:val="24"/>
          <w:szCs w:val="24"/>
        </w:rPr>
        <w:t xml:space="preserve"> has yielded one text, titled </w:t>
      </w:r>
      <w:r w:rsidRPr="007471F9">
        <w:rPr>
          <w:rFonts w:asciiTheme="majorBidi" w:hAnsiTheme="majorBidi" w:cstheme="majorBidi"/>
          <w:i/>
          <w:iCs/>
          <w:sz w:val="24"/>
          <w:szCs w:val="24"/>
        </w:rPr>
        <w:t>kiddush betulim</w:t>
      </w:r>
      <w:r w:rsidRPr="007471F9">
        <w:rPr>
          <w:rFonts w:asciiTheme="majorBidi" w:hAnsiTheme="majorBidi" w:cstheme="majorBidi"/>
          <w:sz w:val="24"/>
          <w:szCs w:val="24"/>
        </w:rPr>
        <w:t xml:space="preserve">, which is in the style of a classic Palestinian </w:t>
      </w:r>
      <w:r w:rsidRPr="007471F9">
        <w:rPr>
          <w:rFonts w:asciiTheme="majorBidi" w:hAnsiTheme="majorBidi" w:cstheme="majorBidi"/>
          <w:i/>
          <w:iCs/>
          <w:sz w:val="24"/>
          <w:szCs w:val="24"/>
        </w:rPr>
        <w:t>piyyut</w:t>
      </w:r>
      <w:r w:rsidR="00DA0522" w:rsidRPr="007471F9">
        <w:rPr>
          <w:rFonts w:asciiTheme="majorBidi" w:hAnsiTheme="majorBidi" w:cstheme="majorBidi"/>
          <w:sz w:val="24"/>
          <w:szCs w:val="24"/>
        </w:rPr>
        <w:t xml:space="preserve">: </w:t>
      </w:r>
      <w:r w:rsidRPr="007471F9">
        <w:rPr>
          <w:rFonts w:asciiTheme="majorBidi" w:hAnsiTheme="majorBidi" w:cstheme="majorBidi"/>
          <w:sz w:val="24"/>
          <w:szCs w:val="24"/>
        </w:rPr>
        <w:t xml:space="preserve">four-lined, rhymed stanzas, three beats per line, and a full alphabetic acrostic. The </w:t>
      </w:r>
      <w:r w:rsidRPr="007471F9">
        <w:rPr>
          <w:rFonts w:asciiTheme="majorBidi" w:hAnsiTheme="majorBidi" w:cstheme="majorBidi"/>
          <w:i/>
          <w:iCs/>
          <w:sz w:val="24"/>
          <w:szCs w:val="24"/>
        </w:rPr>
        <w:t>piyyut</w:t>
      </w:r>
      <w:r w:rsidRPr="007471F9">
        <w:rPr>
          <w:rFonts w:asciiTheme="majorBidi" w:hAnsiTheme="majorBidi" w:cstheme="majorBidi"/>
          <w:sz w:val="24"/>
          <w:szCs w:val="24"/>
        </w:rPr>
        <w:t xml:space="preserve"> treats </w:t>
      </w:r>
      <w:commentRangeStart w:id="2"/>
      <w:commentRangeStart w:id="3"/>
      <w:commentRangeStart w:id="4"/>
      <w:r w:rsidRPr="007471F9">
        <w:rPr>
          <w:rFonts w:asciiTheme="majorBidi" w:hAnsiTheme="majorBidi" w:cstheme="majorBidi"/>
          <w:sz w:val="24"/>
          <w:szCs w:val="24"/>
        </w:rPr>
        <w:t xml:space="preserve">merrily </w:t>
      </w:r>
      <w:commentRangeEnd w:id="2"/>
      <w:r w:rsidRPr="007471F9">
        <w:rPr>
          <w:rStyle w:val="CommentReference"/>
          <w:rFonts w:asciiTheme="majorBidi" w:hAnsiTheme="majorBidi" w:cstheme="majorBidi"/>
          <w:sz w:val="24"/>
          <w:szCs w:val="24"/>
        </w:rPr>
        <w:commentReference w:id="2"/>
      </w:r>
      <w:commentRangeEnd w:id="3"/>
      <w:r w:rsidR="006430C1" w:rsidRPr="000B300B">
        <w:rPr>
          <w:rStyle w:val="CommentReference"/>
          <w:rtl/>
        </w:rPr>
        <w:commentReference w:id="3"/>
      </w:r>
      <w:commentRangeEnd w:id="4"/>
      <w:r w:rsidR="00EE75EA" w:rsidRPr="000B300B">
        <w:rPr>
          <w:rStyle w:val="CommentReference"/>
        </w:rPr>
        <w:commentReference w:id="4"/>
      </w:r>
      <w:r w:rsidRPr="007471F9">
        <w:rPr>
          <w:rFonts w:asciiTheme="majorBidi" w:hAnsiTheme="majorBidi" w:cstheme="majorBidi"/>
          <w:sz w:val="24"/>
          <w:szCs w:val="24"/>
        </w:rPr>
        <w:t xml:space="preserve">issues of fertility and </w:t>
      </w:r>
      <w:r w:rsidR="00DA0522" w:rsidRPr="007471F9">
        <w:rPr>
          <w:rFonts w:asciiTheme="majorBidi" w:hAnsiTheme="majorBidi" w:cstheme="majorBidi"/>
          <w:sz w:val="24"/>
          <w:szCs w:val="24"/>
        </w:rPr>
        <w:t>purity and</w:t>
      </w:r>
      <w:r w:rsidRPr="007471F9">
        <w:rPr>
          <w:rFonts w:asciiTheme="majorBidi" w:hAnsiTheme="majorBidi" w:cstheme="majorBidi"/>
          <w:sz w:val="24"/>
          <w:szCs w:val="24"/>
        </w:rPr>
        <w:t xml:space="preserve"> alludes to the Deuteronomic scenario of the public presentation of the bloody sheet.</w:t>
      </w:r>
      <w:r w:rsidRPr="007471F9">
        <w:rPr>
          <w:rStyle w:val="FootnoteReference"/>
          <w:rFonts w:asciiTheme="majorBidi" w:hAnsiTheme="majorBidi" w:cstheme="majorBidi"/>
          <w:sz w:val="24"/>
          <w:szCs w:val="24"/>
        </w:rPr>
        <w:footnoteReference w:id="12"/>
      </w:r>
    </w:p>
    <w:p w14:paraId="6CD22172" w14:textId="1929440C" w:rsidR="00E546B1" w:rsidRPr="007471F9" w:rsidRDefault="00F12795" w:rsidP="00AC455F">
      <w:pPr>
        <w:pStyle w:val="Default"/>
        <w:spacing w:line="360" w:lineRule="auto"/>
        <w:jc w:val="both"/>
        <w:rPr>
          <w:rFonts w:asciiTheme="majorBidi" w:hAnsiTheme="majorBidi" w:cstheme="majorBidi"/>
          <w:color w:val="auto"/>
        </w:rPr>
      </w:pPr>
      <w:r w:rsidRPr="007471F9">
        <w:rPr>
          <w:rFonts w:asciiTheme="majorBidi" w:hAnsiTheme="majorBidi" w:cstheme="majorBidi"/>
          <w:color w:val="auto"/>
        </w:rPr>
        <w:t>Moreover</w:t>
      </w:r>
      <w:r w:rsidR="001B1DE2" w:rsidRPr="007471F9">
        <w:rPr>
          <w:rFonts w:asciiTheme="majorBidi" w:hAnsiTheme="majorBidi" w:cstheme="majorBidi"/>
          <w:color w:val="auto"/>
        </w:rPr>
        <w:t>,</w:t>
      </w:r>
      <w:r w:rsidRPr="007471F9">
        <w:rPr>
          <w:rFonts w:asciiTheme="majorBidi" w:hAnsiTheme="majorBidi" w:cstheme="majorBidi"/>
          <w:color w:val="auto"/>
        </w:rPr>
        <w:t xml:space="preserve"> even the most standard form of the blessing in the </w:t>
      </w:r>
      <w:r w:rsidR="003772C2" w:rsidRPr="007471F9">
        <w:rPr>
          <w:rFonts w:asciiTheme="majorBidi" w:hAnsiTheme="majorBidi" w:cstheme="majorBidi"/>
          <w:color w:val="auto"/>
        </w:rPr>
        <w:t>G</w:t>
      </w:r>
      <w:r w:rsidR="003772C2" w:rsidRPr="007471F9">
        <w:rPr>
          <w:rFonts w:asciiTheme="majorBidi" w:hAnsiTheme="majorBidi" w:cstheme="majorBidi"/>
          <w:color w:val="auto"/>
        </w:rPr>
        <w:t xml:space="preserve">enizah </w:t>
      </w:r>
      <w:r w:rsidR="00E546B1" w:rsidRPr="007471F9">
        <w:rPr>
          <w:rFonts w:asciiTheme="majorBidi" w:hAnsiTheme="majorBidi" w:cstheme="majorBidi"/>
          <w:color w:val="auto"/>
        </w:rPr>
        <w:t xml:space="preserve">indicates </w:t>
      </w:r>
      <w:r w:rsidRPr="007471F9">
        <w:rPr>
          <w:rFonts w:asciiTheme="majorBidi" w:hAnsiTheme="majorBidi" w:cstheme="majorBidi"/>
          <w:color w:val="auto"/>
        </w:rPr>
        <w:t xml:space="preserve">the </w:t>
      </w:r>
      <w:r w:rsidR="00E546B1" w:rsidRPr="007471F9">
        <w:rPr>
          <w:rFonts w:asciiTheme="majorBidi" w:hAnsiTheme="majorBidi" w:cstheme="majorBidi"/>
          <w:color w:val="auto"/>
        </w:rPr>
        <w:t>possible</w:t>
      </w:r>
      <w:r w:rsidRPr="007471F9">
        <w:rPr>
          <w:rFonts w:asciiTheme="majorBidi" w:hAnsiTheme="majorBidi" w:cstheme="majorBidi"/>
          <w:color w:val="auto"/>
        </w:rPr>
        <w:t xml:space="preserve"> use of the ceremony among Jews </w:t>
      </w:r>
      <w:r w:rsidR="00E546B1" w:rsidRPr="007471F9">
        <w:rPr>
          <w:rFonts w:asciiTheme="majorBidi" w:hAnsiTheme="majorBidi" w:cstheme="majorBidi"/>
          <w:color w:val="auto"/>
        </w:rPr>
        <w:t xml:space="preserve">from </w:t>
      </w:r>
      <w:r w:rsidRPr="007471F9">
        <w:rPr>
          <w:rFonts w:asciiTheme="majorBidi" w:hAnsiTheme="majorBidi" w:cstheme="majorBidi"/>
          <w:color w:val="auto"/>
        </w:rPr>
        <w:t xml:space="preserve">the Land of Israel. We can also point to a possible Byzantian influence on Jews </w:t>
      </w:r>
      <w:r w:rsidR="00E546B1" w:rsidRPr="007471F9">
        <w:rPr>
          <w:rFonts w:asciiTheme="majorBidi" w:hAnsiTheme="majorBidi" w:cstheme="majorBidi"/>
          <w:color w:val="auto"/>
        </w:rPr>
        <w:t>from</w:t>
      </w:r>
      <w:r w:rsidRPr="007471F9">
        <w:rPr>
          <w:rFonts w:asciiTheme="majorBidi" w:hAnsiTheme="majorBidi" w:cstheme="majorBidi"/>
          <w:color w:val="auto"/>
        </w:rPr>
        <w:t xml:space="preserve"> the eastern Mediterranean. Marriage contracts preserved from the Greco-Egyptian world indicate that there was a shift in the sixth century CE to include moral obligations in the civil</w:t>
      </w:r>
      <w:r w:rsidR="00E546B1" w:rsidRPr="007471F9">
        <w:rPr>
          <w:rFonts w:asciiTheme="majorBidi" w:hAnsiTheme="majorBidi" w:cstheme="majorBidi"/>
          <w:color w:val="auto"/>
        </w:rPr>
        <w:t xml:space="preserve"> marriage </w:t>
      </w:r>
      <w:r w:rsidRPr="007471F9">
        <w:rPr>
          <w:rFonts w:asciiTheme="majorBidi" w:hAnsiTheme="majorBidi" w:cstheme="majorBidi"/>
          <w:color w:val="auto"/>
        </w:rPr>
        <w:t>contract</w:t>
      </w:r>
      <w:r w:rsidR="00E546B1" w:rsidRPr="007471F9">
        <w:rPr>
          <w:rFonts w:asciiTheme="majorBidi" w:hAnsiTheme="majorBidi" w:cstheme="majorBidi"/>
          <w:color w:val="auto"/>
        </w:rPr>
        <w:t xml:space="preserve">. </w:t>
      </w:r>
      <w:r w:rsidRPr="007471F9">
        <w:rPr>
          <w:rFonts w:asciiTheme="majorBidi" w:hAnsiTheme="majorBidi" w:cstheme="majorBidi"/>
          <w:color w:val="auto"/>
        </w:rPr>
        <w:t>The primary innovation was that a bride was accepted only after her virginity was confirmed.</w:t>
      </w:r>
      <w:r w:rsidRPr="007471F9">
        <w:rPr>
          <w:rStyle w:val="FootnoteReference"/>
          <w:rFonts w:asciiTheme="majorBidi" w:hAnsiTheme="majorBidi" w:cstheme="majorBidi"/>
          <w:color w:val="auto"/>
        </w:rPr>
        <w:footnoteReference w:id="13"/>
      </w:r>
    </w:p>
    <w:p w14:paraId="312C8292" w14:textId="54F5F5A8" w:rsidR="00F12795" w:rsidRPr="000B300B" w:rsidRDefault="00F12795" w:rsidP="00D95B5D">
      <w:pPr>
        <w:spacing w:line="360" w:lineRule="auto"/>
        <w:jc w:val="both"/>
        <w:rPr>
          <w:rFonts w:asciiTheme="majorBidi" w:hAnsiTheme="majorBidi" w:cstheme="majorBidi"/>
          <w:sz w:val="24"/>
          <w:szCs w:val="24"/>
          <w:u w:val="single"/>
        </w:rPr>
      </w:pPr>
      <w:r w:rsidRPr="000B300B">
        <w:rPr>
          <w:rFonts w:asciiTheme="majorBidi" w:hAnsiTheme="majorBidi" w:cstheme="majorBidi"/>
          <w:sz w:val="24"/>
          <w:szCs w:val="24"/>
          <w:u w:val="single"/>
        </w:rPr>
        <w:t xml:space="preserve">The </w:t>
      </w:r>
      <w:r w:rsidR="00E546B1" w:rsidRPr="000B300B">
        <w:rPr>
          <w:rFonts w:asciiTheme="majorBidi" w:hAnsiTheme="majorBidi" w:cstheme="majorBidi"/>
          <w:sz w:val="24"/>
          <w:szCs w:val="24"/>
          <w:u w:val="single"/>
        </w:rPr>
        <w:t xml:space="preserve">Importance </w:t>
      </w:r>
      <w:r w:rsidRPr="000B300B">
        <w:rPr>
          <w:rFonts w:asciiTheme="majorBidi" w:hAnsiTheme="majorBidi" w:cstheme="majorBidi"/>
          <w:sz w:val="24"/>
          <w:szCs w:val="24"/>
          <w:u w:val="single"/>
        </w:rPr>
        <w:t xml:space="preserve">of </w:t>
      </w:r>
      <w:r w:rsidR="00E546B1" w:rsidRPr="000B300B">
        <w:rPr>
          <w:rFonts w:asciiTheme="majorBidi" w:hAnsiTheme="majorBidi" w:cstheme="majorBidi"/>
          <w:sz w:val="24"/>
          <w:szCs w:val="24"/>
          <w:u w:val="single"/>
        </w:rPr>
        <w:t>Virginity</w:t>
      </w:r>
    </w:p>
    <w:p w14:paraId="4C96FA02" w14:textId="0D4D91FF" w:rsidR="00F12795" w:rsidRPr="000B300B" w:rsidRDefault="00E65B4D"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T</w:t>
      </w:r>
      <w:r w:rsidR="00F12795" w:rsidRPr="000B300B">
        <w:rPr>
          <w:rFonts w:asciiTheme="majorBidi" w:hAnsiTheme="majorBidi" w:cstheme="majorBidi"/>
          <w:sz w:val="24"/>
          <w:szCs w:val="24"/>
        </w:rPr>
        <w:t xml:space="preserve">o </w:t>
      </w:r>
      <w:r w:rsidRPr="000B300B">
        <w:rPr>
          <w:rFonts w:asciiTheme="majorBidi" w:hAnsiTheme="majorBidi" w:cstheme="majorBidi"/>
          <w:sz w:val="24"/>
          <w:szCs w:val="24"/>
        </w:rPr>
        <w:t>understand</w:t>
      </w:r>
      <w:r w:rsidR="00F12795" w:rsidRPr="000B300B">
        <w:rPr>
          <w:rFonts w:asciiTheme="majorBidi" w:hAnsiTheme="majorBidi" w:cstheme="majorBidi"/>
          <w:sz w:val="24"/>
          <w:szCs w:val="24"/>
        </w:rPr>
        <w:t xml:space="preserve"> the importance of virginity</w:t>
      </w:r>
      <w:r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one must understand the structure of agricultural society in the ancient world. Th</w:t>
      </w:r>
      <w:r w:rsidR="001B1DE2" w:rsidRPr="000B300B">
        <w:rPr>
          <w:rFonts w:asciiTheme="majorBidi" w:hAnsiTheme="majorBidi" w:cstheme="majorBidi"/>
          <w:sz w:val="24"/>
          <w:szCs w:val="24"/>
        </w:rPr>
        <w:t>at</w:t>
      </w:r>
      <w:r w:rsidR="00F12795" w:rsidRPr="000B300B">
        <w:rPr>
          <w:rFonts w:asciiTheme="majorBidi" w:hAnsiTheme="majorBidi" w:cstheme="majorBidi"/>
          <w:sz w:val="24"/>
          <w:szCs w:val="24"/>
        </w:rPr>
        <w:t xml:space="preserve"> society was </w:t>
      </w:r>
      <w:r w:rsidR="009D0FD9" w:rsidRPr="000B300B">
        <w:rPr>
          <w:rFonts w:asciiTheme="majorBidi" w:hAnsiTheme="majorBidi" w:cstheme="majorBidi"/>
          <w:sz w:val="24"/>
          <w:szCs w:val="24"/>
        </w:rPr>
        <w:t xml:space="preserve">comprised of </w:t>
      </w:r>
      <w:r w:rsidR="000633B7" w:rsidRPr="000B300B">
        <w:rPr>
          <w:rFonts w:asciiTheme="majorBidi" w:hAnsiTheme="majorBidi" w:cstheme="majorBidi"/>
          <w:sz w:val="24"/>
          <w:szCs w:val="24"/>
        </w:rPr>
        <w:t>family</w:t>
      </w:r>
      <w:r w:rsidR="00284490" w:rsidRPr="000B300B">
        <w:rPr>
          <w:rFonts w:asciiTheme="majorBidi" w:hAnsiTheme="majorBidi" w:cstheme="majorBidi"/>
          <w:sz w:val="24"/>
          <w:szCs w:val="24"/>
        </w:rPr>
        <w:t xml:space="preserve">-owned </w:t>
      </w:r>
      <w:r w:rsidR="00A4590B" w:rsidRPr="000B300B">
        <w:rPr>
          <w:rFonts w:asciiTheme="majorBidi" w:hAnsiTheme="majorBidi" w:cstheme="majorBidi"/>
          <w:sz w:val="24"/>
          <w:szCs w:val="24"/>
        </w:rPr>
        <w:t>ancestral</w:t>
      </w:r>
      <w:r w:rsidR="00F12795" w:rsidRPr="000B300B">
        <w:rPr>
          <w:rFonts w:asciiTheme="majorBidi" w:hAnsiTheme="majorBidi" w:cstheme="majorBidi"/>
          <w:sz w:val="24"/>
          <w:szCs w:val="24"/>
        </w:rPr>
        <w:t xml:space="preserve"> </w:t>
      </w:r>
      <w:r w:rsidR="00D87D71" w:rsidRPr="000B300B">
        <w:rPr>
          <w:rFonts w:asciiTheme="majorBidi" w:hAnsiTheme="majorBidi" w:cstheme="majorBidi"/>
          <w:sz w:val="24"/>
          <w:szCs w:val="24"/>
        </w:rPr>
        <w:t>estates</w:t>
      </w:r>
      <w:r w:rsidR="00071405" w:rsidRPr="000B300B">
        <w:rPr>
          <w:rFonts w:asciiTheme="majorBidi" w:hAnsiTheme="majorBidi" w:cstheme="majorBidi"/>
          <w:sz w:val="24"/>
          <w:szCs w:val="24"/>
        </w:rPr>
        <w:t xml:space="preserve"> </w:t>
      </w:r>
      <w:r w:rsidR="00BE252E" w:rsidRPr="000B300B">
        <w:rPr>
          <w:rFonts w:asciiTheme="majorBidi" w:hAnsiTheme="majorBidi" w:cstheme="majorBidi"/>
          <w:sz w:val="24"/>
          <w:szCs w:val="24"/>
        </w:rPr>
        <w:t xml:space="preserve">in which the members of </w:t>
      </w:r>
      <w:r w:rsidR="007520E0" w:rsidRPr="000B300B">
        <w:rPr>
          <w:rFonts w:asciiTheme="majorBidi" w:hAnsiTheme="majorBidi" w:cstheme="majorBidi"/>
          <w:sz w:val="24"/>
          <w:szCs w:val="24"/>
        </w:rPr>
        <w:t>an extended</w:t>
      </w:r>
      <w:r w:rsidR="00BE252E" w:rsidRPr="000B300B">
        <w:rPr>
          <w:rFonts w:asciiTheme="majorBidi" w:hAnsiTheme="majorBidi" w:cstheme="majorBidi"/>
          <w:sz w:val="24"/>
          <w:szCs w:val="24"/>
        </w:rPr>
        <w:t xml:space="preserve"> family worked together </w:t>
      </w:r>
      <w:r w:rsidR="00071405" w:rsidRPr="000B300B">
        <w:rPr>
          <w:rFonts w:asciiTheme="majorBidi" w:hAnsiTheme="majorBidi" w:cstheme="majorBidi"/>
          <w:sz w:val="24"/>
          <w:szCs w:val="24"/>
        </w:rPr>
        <w:t>in pursuit of the family</w:t>
      </w:r>
      <w:r w:rsidR="00C00E25" w:rsidRPr="000B300B">
        <w:rPr>
          <w:rFonts w:asciiTheme="majorBidi" w:hAnsiTheme="majorBidi" w:cstheme="majorBidi"/>
          <w:sz w:val="24"/>
          <w:szCs w:val="24"/>
        </w:rPr>
        <w:t>’</w:t>
      </w:r>
      <w:r w:rsidR="00071405" w:rsidRPr="000B300B">
        <w:rPr>
          <w:rFonts w:asciiTheme="majorBidi" w:hAnsiTheme="majorBidi" w:cstheme="majorBidi"/>
          <w:sz w:val="24"/>
          <w:szCs w:val="24"/>
        </w:rPr>
        <w:t>s political and economic interests</w:t>
      </w:r>
      <w:r w:rsidR="00F12795" w:rsidRPr="000B300B">
        <w:rPr>
          <w:rFonts w:asciiTheme="majorBidi" w:hAnsiTheme="majorBidi" w:cstheme="majorBidi"/>
          <w:sz w:val="24"/>
          <w:szCs w:val="24"/>
        </w:rPr>
        <w:t xml:space="preserve">. </w:t>
      </w:r>
      <w:r w:rsidR="00071405" w:rsidRPr="000B300B">
        <w:rPr>
          <w:rFonts w:asciiTheme="majorBidi" w:hAnsiTheme="majorBidi" w:cstheme="majorBidi"/>
          <w:sz w:val="24"/>
          <w:szCs w:val="24"/>
        </w:rPr>
        <w:t xml:space="preserve">A significant </w:t>
      </w:r>
      <w:r w:rsidR="006E3CD2" w:rsidRPr="000B300B">
        <w:rPr>
          <w:rFonts w:asciiTheme="majorBidi" w:hAnsiTheme="majorBidi" w:cstheme="majorBidi"/>
          <w:sz w:val="24"/>
          <w:szCs w:val="24"/>
        </w:rPr>
        <w:t>variable affecting a family</w:t>
      </w:r>
      <w:r w:rsidR="00C00E25" w:rsidRPr="000B300B">
        <w:rPr>
          <w:rFonts w:asciiTheme="majorBidi" w:hAnsiTheme="majorBidi" w:cstheme="majorBidi"/>
          <w:sz w:val="24"/>
          <w:szCs w:val="24"/>
        </w:rPr>
        <w:t>’</w:t>
      </w:r>
      <w:r w:rsidR="006E3CD2" w:rsidRPr="000B300B">
        <w:rPr>
          <w:rFonts w:asciiTheme="majorBidi" w:hAnsiTheme="majorBidi" w:cstheme="majorBidi"/>
          <w:sz w:val="24"/>
          <w:szCs w:val="24"/>
        </w:rPr>
        <w:t xml:space="preserve">s strength was </w:t>
      </w:r>
      <w:r w:rsidR="00EF2195" w:rsidRPr="000B300B">
        <w:rPr>
          <w:rFonts w:asciiTheme="majorBidi" w:hAnsiTheme="majorBidi" w:cstheme="majorBidi"/>
          <w:sz w:val="24"/>
          <w:szCs w:val="24"/>
        </w:rPr>
        <w:t>the number of people</w:t>
      </w:r>
      <w:r w:rsidR="006E3CD2" w:rsidRPr="000B300B">
        <w:rPr>
          <w:rFonts w:asciiTheme="majorBidi" w:hAnsiTheme="majorBidi" w:cstheme="majorBidi"/>
          <w:sz w:val="24"/>
          <w:szCs w:val="24"/>
        </w:rPr>
        <w:t xml:space="preserve"> it could muster</w:t>
      </w:r>
      <w:r w:rsidR="00EF2195" w:rsidRPr="000B300B">
        <w:rPr>
          <w:rFonts w:asciiTheme="majorBidi" w:hAnsiTheme="majorBidi" w:cstheme="majorBidi"/>
          <w:sz w:val="24"/>
          <w:szCs w:val="24"/>
        </w:rPr>
        <w:t>, and m</w:t>
      </w:r>
      <w:r w:rsidR="00B11CDA" w:rsidRPr="000B300B">
        <w:rPr>
          <w:rFonts w:asciiTheme="majorBidi" w:hAnsiTheme="majorBidi" w:cstheme="majorBidi"/>
          <w:sz w:val="24"/>
          <w:szCs w:val="24"/>
        </w:rPr>
        <w:t xml:space="preserve">arriage </w:t>
      </w:r>
      <w:r w:rsidR="00F12795" w:rsidRPr="000B300B">
        <w:rPr>
          <w:rFonts w:asciiTheme="majorBidi" w:hAnsiTheme="majorBidi" w:cstheme="majorBidi"/>
          <w:sz w:val="24"/>
          <w:szCs w:val="24"/>
        </w:rPr>
        <w:t>mean</w:t>
      </w:r>
      <w:r w:rsidR="00B11CDA" w:rsidRPr="000B300B">
        <w:rPr>
          <w:rFonts w:asciiTheme="majorBidi" w:hAnsiTheme="majorBidi" w:cstheme="majorBidi"/>
          <w:sz w:val="24"/>
          <w:szCs w:val="24"/>
        </w:rPr>
        <w:t>t</w:t>
      </w:r>
      <w:r w:rsidR="00F12795" w:rsidRPr="000B300B">
        <w:rPr>
          <w:rFonts w:asciiTheme="majorBidi" w:hAnsiTheme="majorBidi" w:cstheme="majorBidi"/>
          <w:sz w:val="24"/>
          <w:szCs w:val="24"/>
        </w:rPr>
        <w:t xml:space="preserve"> </w:t>
      </w:r>
      <w:r w:rsidR="009D0FD9" w:rsidRPr="000B300B">
        <w:rPr>
          <w:rFonts w:asciiTheme="majorBidi" w:hAnsiTheme="majorBidi" w:cstheme="majorBidi"/>
          <w:sz w:val="24"/>
          <w:szCs w:val="24"/>
        </w:rPr>
        <w:t>acquiring</w:t>
      </w:r>
      <w:r w:rsidR="00F12795" w:rsidRPr="000B300B">
        <w:rPr>
          <w:rFonts w:asciiTheme="majorBidi" w:hAnsiTheme="majorBidi" w:cstheme="majorBidi"/>
          <w:sz w:val="24"/>
          <w:szCs w:val="24"/>
        </w:rPr>
        <w:t xml:space="preserve"> </w:t>
      </w:r>
      <w:r w:rsidR="009D0FD9" w:rsidRPr="000B300B">
        <w:rPr>
          <w:rFonts w:asciiTheme="majorBidi" w:hAnsiTheme="majorBidi" w:cstheme="majorBidi"/>
          <w:sz w:val="24"/>
          <w:szCs w:val="24"/>
        </w:rPr>
        <w:t>procreation</w:t>
      </w:r>
      <w:r w:rsidR="00F12795" w:rsidRPr="000B300B">
        <w:rPr>
          <w:rFonts w:asciiTheme="majorBidi" w:hAnsiTheme="majorBidi" w:cstheme="majorBidi"/>
          <w:sz w:val="24"/>
          <w:szCs w:val="24"/>
        </w:rPr>
        <w:t xml:space="preserve"> rights, </w:t>
      </w:r>
      <w:r w:rsidR="009D0FD9" w:rsidRPr="000B300B">
        <w:rPr>
          <w:rFonts w:asciiTheme="majorBidi" w:hAnsiTheme="majorBidi" w:cstheme="majorBidi"/>
          <w:sz w:val="24"/>
          <w:szCs w:val="24"/>
        </w:rPr>
        <w:t xml:space="preserve">with children belonging </w:t>
      </w:r>
      <w:r w:rsidR="00F12795" w:rsidRPr="000B300B">
        <w:rPr>
          <w:rFonts w:asciiTheme="majorBidi" w:hAnsiTheme="majorBidi" w:cstheme="majorBidi"/>
          <w:sz w:val="24"/>
          <w:szCs w:val="24"/>
        </w:rPr>
        <w:t>to the</w:t>
      </w:r>
      <w:r w:rsidR="009A67D7" w:rsidRPr="000B300B">
        <w:rPr>
          <w:rFonts w:asciiTheme="majorBidi" w:hAnsiTheme="majorBidi" w:cstheme="majorBidi"/>
          <w:sz w:val="24"/>
          <w:szCs w:val="24"/>
        </w:rPr>
        <w:t xml:space="preserve"> man</w:t>
      </w:r>
      <w:r w:rsidR="00C00E25" w:rsidRPr="000B300B">
        <w:rPr>
          <w:rFonts w:asciiTheme="majorBidi" w:hAnsiTheme="majorBidi" w:cstheme="majorBidi"/>
          <w:sz w:val="24"/>
          <w:szCs w:val="24"/>
        </w:rPr>
        <w:t>’</w:t>
      </w:r>
      <w:r w:rsidR="009A67D7" w:rsidRPr="000B300B">
        <w:rPr>
          <w:rFonts w:asciiTheme="majorBidi" w:hAnsiTheme="majorBidi" w:cstheme="majorBidi"/>
          <w:sz w:val="24"/>
          <w:szCs w:val="24"/>
        </w:rPr>
        <w:t>s</w:t>
      </w:r>
      <w:r w:rsidR="00F12795" w:rsidRPr="000B300B">
        <w:rPr>
          <w:rFonts w:asciiTheme="majorBidi" w:hAnsiTheme="majorBidi" w:cstheme="majorBidi"/>
          <w:sz w:val="24"/>
          <w:szCs w:val="24"/>
        </w:rPr>
        <w:t xml:space="preserve"> </w:t>
      </w:r>
      <w:r w:rsidR="00EF2195" w:rsidRPr="000B300B">
        <w:rPr>
          <w:rFonts w:asciiTheme="majorBidi" w:hAnsiTheme="majorBidi" w:cstheme="majorBidi"/>
          <w:sz w:val="24"/>
          <w:szCs w:val="24"/>
        </w:rPr>
        <w:t xml:space="preserve">estate, </w:t>
      </w:r>
      <w:r w:rsidR="00F12795" w:rsidRPr="000B300B">
        <w:rPr>
          <w:rFonts w:asciiTheme="majorBidi" w:hAnsiTheme="majorBidi" w:cstheme="majorBidi"/>
          <w:sz w:val="24"/>
          <w:szCs w:val="24"/>
        </w:rPr>
        <w:t xml:space="preserve">not </w:t>
      </w:r>
      <w:r w:rsidR="009A67D7" w:rsidRPr="000B300B">
        <w:rPr>
          <w:rFonts w:asciiTheme="majorBidi" w:hAnsiTheme="majorBidi" w:cstheme="majorBidi"/>
          <w:sz w:val="24"/>
          <w:szCs w:val="24"/>
        </w:rPr>
        <w:t>the parents as a couple</w:t>
      </w:r>
      <w:r w:rsidR="00F12795" w:rsidRPr="000B300B">
        <w:rPr>
          <w:rFonts w:asciiTheme="majorBidi" w:hAnsiTheme="majorBidi" w:cstheme="majorBidi"/>
          <w:sz w:val="24"/>
          <w:szCs w:val="24"/>
        </w:rPr>
        <w:t>. Lack of virginity</w:t>
      </w:r>
      <w:r w:rsidR="00EF2195"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 xml:space="preserve">might indicate the children came from a previous </w:t>
      </w:r>
      <w:r w:rsidR="00246152" w:rsidRPr="000B300B">
        <w:rPr>
          <w:rFonts w:asciiTheme="majorBidi" w:hAnsiTheme="majorBidi" w:cstheme="majorBidi"/>
          <w:sz w:val="24"/>
          <w:szCs w:val="24"/>
        </w:rPr>
        <w:t>relationship</w:t>
      </w:r>
      <w:r w:rsidR="00F12795" w:rsidRPr="000B300B">
        <w:rPr>
          <w:rFonts w:asciiTheme="majorBidi" w:hAnsiTheme="majorBidi" w:cstheme="majorBidi"/>
          <w:sz w:val="24"/>
          <w:szCs w:val="24"/>
        </w:rPr>
        <w:t xml:space="preserve">, </w:t>
      </w:r>
      <w:r w:rsidR="00EF2195" w:rsidRPr="000B300B">
        <w:rPr>
          <w:rFonts w:asciiTheme="majorBidi" w:hAnsiTheme="majorBidi" w:cstheme="majorBidi"/>
          <w:sz w:val="24"/>
          <w:szCs w:val="24"/>
        </w:rPr>
        <w:t xml:space="preserve">which </w:t>
      </w:r>
      <w:r w:rsidR="00F12795" w:rsidRPr="000B300B">
        <w:rPr>
          <w:rFonts w:asciiTheme="majorBidi" w:hAnsiTheme="majorBidi" w:cstheme="majorBidi"/>
          <w:sz w:val="24"/>
          <w:szCs w:val="24"/>
        </w:rPr>
        <w:t>would complicate the ties between the woman and</w:t>
      </w:r>
      <w:r w:rsidR="009D0FD9"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child</w:t>
      </w:r>
      <w:r w:rsidR="00F12795" w:rsidRPr="000B300B">
        <w:rPr>
          <w:rFonts w:asciiTheme="majorBidi" w:hAnsiTheme="majorBidi" w:cstheme="majorBidi"/>
          <w:b/>
          <w:bCs/>
          <w:sz w:val="24"/>
          <w:szCs w:val="24"/>
        </w:rPr>
        <w:t xml:space="preserve"> </w:t>
      </w:r>
      <w:r w:rsidR="00F12795" w:rsidRPr="000B300B">
        <w:rPr>
          <w:rFonts w:asciiTheme="majorBidi" w:hAnsiTheme="majorBidi" w:cstheme="majorBidi"/>
          <w:sz w:val="24"/>
          <w:szCs w:val="24"/>
        </w:rPr>
        <w:t xml:space="preserve">and </w:t>
      </w:r>
      <w:r w:rsidR="009D0FD9" w:rsidRPr="000B300B">
        <w:rPr>
          <w:rFonts w:asciiTheme="majorBidi" w:hAnsiTheme="majorBidi" w:cstheme="majorBidi"/>
          <w:sz w:val="24"/>
          <w:szCs w:val="24"/>
        </w:rPr>
        <w:t xml:space="preserve">her </w:t>
      </w:r>
      <w:r w:rsidR="009D0FD9" w:rsidRPr="000B300B">
        <w:rPr>
          <w:rFonts w:asciiTheme="majorBidi" w:hAnsiTheme="majorBidi" w:cstheme="majorBidi"/>
          <w:sz w:val="24"/>
          <w:szCs w:val="24"/>
        </w:rPr>
        <w:lastRenderedPageBreak/>
        <w:t>husband</w:t>
      </w:r>
      <w:r w:rsidR="00C00E25" w:rsidRPr="000B300B">
        <w:rPr>
          <w:rFonts w:asciiTheme="majorBidi" w:hAnsiTheme="majorBidi" w:cstheme="majorBidi"/>
          <w:sz w:val="24"/>
          <w:szCs w:val="24"/>
        </w:rPr>
        <w:t>’</w:t>
      </w:r>
      <w:r w:rsidR="009D0FD9" w:rsidRPr="000B300B">
        <w:rPr>
          <w:rFonts w:asciiTheme="majorBidi" w:hAnsiTheme="majorBidi" w:cstheme="majorBidi"/>
          <w:sz w:val="24"/>
          <w:szCs w:val="24"/>
        </w:rPr>
        <w:t>s family.</w:t>
      </w:r>
      <w:r w:rsidR="000A1621" w:rsidRPr="000B300B">
        <w:rPr>
          <w:rStyle w:val="FootnoteReference"/>
          <w:rFonts w:asciiTheme="majorBidi" w:hAnsiTheme="majorBidi" w:cstheme="majorBidi"/>
          <w:sz w:val="24"/>
          <w:szCs w:val="24"/>
        </w:rPr>
        <w:footnoteReference w:id="14"/>
      </w:r>
      <w:r w:rsidR="009D0FD9" w:rsidRPr="000B300B">
        <w:rPr>
          <w:rFonts w:asciiTheme="majorBidi" w:hAnsiTheme="majorBidi" w:cstheme="majorBidi"/>
          <w:b/>
          <w:bCs/>
          <w:sz w:val="24"/>
          <w:szCs w:val="24"/>
        </w:rPr>
        <w:t xml:space="preserve"> </w:t>
      </w:r>
      <w:r w:rsidR="00B11CDA" w:rsidRPr="000B300B">
        <w:rPr>
          <w:rFonts w:asciiTheme="majorBidi" w:hAnsiTheme="majorBidi" w:cstheme="majorBidi"/>
          <w:sz w:val="24"/>
          <w:szCs w:val="24"/>
        </w:rPr>
        <w:t xml:space="preserve">In time, the </w:t>
      </w:r>
      <w:r w:rsidR="00F12795" w:rsidRPr="000B300B">
        <w:rPr>
          <w:rFonts w:asciiTheme="majorBidi" w:hAnsiTheme="majorBidi" w:cstheme="majorBidi"/>
          <w:sz w:val="24"/>
          <w:szCs w:val="24"/>
        </w:rPr>
        <w:t xml:space="preserve">ancestral </w:t>
      </w:r>
      <w:r w:rsidR="00EF2195" w:rsidRPr="000B300B">
        <w:rPr>
          <w:rFonts w:asciiTheme="majorBidi" w:hAnsiTheme="majorBidi" w:cstheme="majorBidi"/>
          <w:sz w:val="24"/>
          <w:szCs w:val="24"/>
        </w:rPr>
        <w:t>estate</w:t>
      </w:r>
      <w:r w:rsidR="00B11CDA" w:rsidRPr="000B300B">
        <w:rPr>
          <w:rFonts w:asciiTheme="majorBidi" w:hAnsiTheme="majorBidi" w:cstheme="majorBidi"/>
          <w:sz w:val="24"/>
          <w:szCs w:val="24"/>
        </w:rPr>
        <w:t xml:space="preserve"> structure gave way to the nuclear family, and </w:t>
      </w:r>
      <w:r w:rsidR="00F12795" w:rsidRPr="000B300B">
        <w:rPr>
          <w:rFonts w:asciiTheme="majorBidi" w:hAnsiTheme="majorBidi" w:cstheme="majorBidi"/>
          <w:sz w:val="24"/>
          <w:szCs w:val="24"/>
        </w:rPr>
        <w:t xml:space="preserve">virginity became a symbol of purity and proof </w:t>
      </w:r>
      <w:r w:rsidR="00B11CDA" w:rsidRPr="000B300B">
        <w:rPr>
          <w:rFonts w:asciiTheme="majorBidi" w:hAnsiTheme="majorBidi" w:cstheme="majorBidi"/>
          <w:sz w:val="24"/>
          <w:szCs w:val="24"/>
        </w:rPr>
        <w:t xml:space="preserve">that there was no </w:t>
      </w:r>
      <w:r w:rsidR="00F12795" w:rsidRPr="000B300B">
        <w:rPr>
          <w:rFonts w:asciiTheme="majorBidi" w:hAnsiTheme="majorBidi" w:cstheme="majorBidi"/>
          <w:sz w:val="24"/>
          <w:szCs w:val="24"/>
        </w:rPr>
        <w:t>forbidden sexual intercourse</w:t>
      </w:r>
      <w:r w:rsidR="00B11CDA" w:rsidRPr="000B300B">
        <w:rPr>
          <w:rFonts w:asciiTheme="majorBidi" w:hAnsiTheme="majorBidi" w:cstheme="majorBidi"/>
          <w:sz w:val="24"/>
          <w:szCs w:val="24"/>
        </w:rPr>
        <w:t xml:space="preserve">. This would entitle </w:t>
      </w:r>
      <w:r w:rsidR="00F12795" w:rsidRPr="000B300B">
        <w:rPr>
          <w:rFonts w:asciiTheme="majorBidi" w:hAnsiTheme="majorBidi" w:cstheme="majorBidi"/>
          <w:sz w:val="24"/>
          <w:szCs w:val="24"/>
        </w:rPr>
        <w:t xml:space="preserve">the bride to </w:t>
      </w:r>
      <w:r w:rsidR="00B11CDA" w:rsidRPr="000B300B">
        <w:rPr>
          <w:rFonts w:asciiTheme="majorBidi" w:hAnsiTheme="majorBidi" w:cstheme="majorBidi"/>
          <w:sz w:val="24"/>
          <w:szCs w:val="24"/>
        </w:rPr>
        <w:t>the</w:t>
      </w:r>
      <w:r w:rsidR="00F12795" w:rsidRPr="000B300B">
        <w:rPr>
          <w:rFonts w:asciiTheme="majorBidi" w:hAnsiTheme="majorBidi" w:cstheme="majorBidi"/>
          <w:sz w:val="24"/>
          <w:szCs w:val="24"/>
        </w:rPr>
        <w:t xml:space="preserve"> full </w:t>
      </w:r>
      <w:r w:rsidR="00B11CDA" w:rsidRPr="000B300B">
        <w:rPr>
          <w:rFonts w:asciiTheme="majorBidi" w:hAnsiTheme="majorBidi" w:cstheme="majorBidi"/>
          <w:i/>
          <w:iCs/>
          <w:sz w:val="24"/>
          <w:szCs w:val="24"/>
        </w:rPr>
        <w:t>ketubah</w:t>
      </w:r>
      <w:r w:rsidR="00B11CDA" w:rsidRPr="000B300B">
        <w:rPr>
          <w:rFonts w:asciiTheme="majorBidi" w:hAnsiTheme="majorBidi" w:cstheme="majorBidi"/>
          <w:sz w:val="24"/>
          <w:szCs w:val="24"/>
        </w:rPr>
        <w:t xml:space="preserve"> price </w:t>
      </w:r>
      <w:r w:rsidR="00F12795" w:rsidRPr="000B300B">
        <w:rPr>
          <w:rFonts w:asciiTheme="majorBidi" w:hAnsiTheme="majorBidi" w:cstheme="majorBidi"/>
          <w:sz w:val="24"/>
          <w:szCs w:val="24"/>
        </w:rPr>
        <w:t xml:space="preserve">of two hundred </w:t>
      </w:r>
      <w:r w:rsidR="00B11CDA" w:rsidRPr="000B300B">
        <w:rPr>
          <w:rFonts w:asciiTheme="majorBidi" w:hAnsiTheme="majorBidi" w:cstheme="majorBidi"/>
          <w:i/>
          <w:iCs/>
          <w:sz w:val="24"/>
          <w:szCs w:val="24"/>
        </w:rPr>
        <w:t>zuz</w:t>
      </w:r>
      <w:r w:rsidR="00F12795" w:rsidRPr="000B300B">
        <w:rPr>
          <w:rFonts w:asciiTheme="majorBidi" w:hAnsiTheme="majorBidi" w:cstheme="majorBidi"/>
          <w:sz w:val="24"/>
          <w:szCs w:val="24"/>
        </w:rPr>
        <w:t xml:space="preserve">. In general, these values were common to all Jewish communities. However, there was a significant </w:t>
      </w:r>
      <w:r w:rsidR="00F3188C" w:rsidRPr="000B300B">
        <w:rPr>
          <w:rFonts w:asciiTheme="majorBidi" w:hAnsiTheme="majorBidi" w:cstheme="majorBidi"/>
          <w:sz w:val="24"/>
          <w:szCs w:val="24"/>
        </w:rPr>
        <w:t>difference</w:t>
      </w:r>
      <w:r w:rsidR="00F12795" w:rsidRPr="000B300B">
        <w:rPr>
          <w:rFonts w:asciiTheme="majorBidi" w:hAnsiTheme="majorBidi" w:cstheme="majorBidi"/>
          <w:sz w:val="24"/>
          <w:szCs w:val="24"/>
        </w:rPr>
        <w:t xml:space="preserve"> between the Land of Israel and Babylon</w:t>
      </w:r>
      <w:r w:rsidR="00F3188C" w:rsidRPr="000B300B">
        <w:rPr>
          <w:rFonts w:asciiTheme="majorBidi" w:hAnsiTheme="majorBidi" w:cstheme="majorBidi"/>
          <w:sz w:val="24"/>
          <w:szCs w:val="24"/>
        </w:rPr>
        <w:t>ia</w:t>
      </w:r>
      <w:r w:rsidR="00EF2195" w:rsidRPr="000B300B">
        <w:rPr>
          <w:rFonts w:asciiTheme="majorBidi" w:hAnsiTheme="majorBidi" w:cstheme="majorBidi"/>
          <w:sz w:val="24"/>
          <w:szCs w:val="24"/>
        </w:rPr>
        <w:t xml:space="preserve"> with regard to verifying the bride</w:t>
      </w:r>
      <w:r w:rsidR="00C00E25" w:rsidRPr="000B300B">
        <w:rPr>
          <w:rFonts w:asciiTheme="majorBidi" w:hAnsiTheme="majorBidi" w:cstheme="majorBidi"/>
          <w:sz w:val="24"/>
          <w:szCs w:val="24"/>
        </w:rPr>
        <w:t>’</w:t>
      </w:r>
      <w:r w:rsidR="00EF2195" w:rsidRPr="000B300B">
        <w:rPr>
          <w:rFonts w:asciiTheme="majorBidi" w:hAnsiTheme="majorBidi" w:cstheme="majorBidi"/>
          <w:sz w:val="24"/>
          <w:szCs w:val="24"/>
        </w:rPr>
        <w:t xml:space="preserve">s </w:t>
      </w:r>
      <w:r w:rsidR="000A1621" w:rsidRPr="000B300B">
        <w:rPr>
          <w:rFonts w:asciiTheme="majorBidi" w:hAnsiTheme="majorBidi" w:cstheme="majorBidi"/>
          <w:sz w:val="24"/>
          <w:szCs w:val="24"/>
        </w:rPr>
        <w:t>virginity</w:t>
      </w:r>
      <w:r w:rsidR="009676B6" w:rsidRPr="000B300B">
        <w:rPr>
          <w:rFonts w:asciiTheme="majorBidi" w:hAnsiTheme="majorBidi" w:cstheme="majorBidi"/>
          <w:sz w:val="24"/>
          <w:szCs w:val="24"/>
        </w:rPr>
        <w:t>.</w:t>
      </w:r>
    </w:p>
    <w:p w14:paraId="3BA59D68" w14:textId="0E076656" w:rsidR="00F12795" w:rsidRPr="007471F9" w:rsidRDefault="00EF2195" w:rsidP="00D95B5D">
      <w:pPr>
        <w:spacing w:line="360" w:lineRule="auto"/>
        <w:jc w:val="both"/>
        <w:rPr>
          <w:rFonts w:asciiTheme="majorBidi" w:hAnsiTheme="majorBidi" w:cstheme="majorBidi"/>
          <w:sz w:val="24"/>
          <w:szCs w:val="24"/>
        </w:rPr>
      </w:pPr>
      <w:r w:rsidRPr="007471F9">
        <w:rPr>
          <w:rFonts w:asciiTheme="majorBidi" w:hAnsiTheme="majorBidi" w:cstheme="majorBidi"/>
          <w:sz w:val="24"/>
          <w:szCs w:val="24"/>
        </w:rPr>
        <w:t xml:space="preserve">The </w:t>
      </w:r>
      <w:r w:rsidR="00D3061B" w:rsidRPr="007471F9">
        <w:rPr>
          <w:rFonts w:asciiTheme="majorBidi" w:hAnsiTheme="majorBidi" w:cstheme="majorBidi"/>
          <w:sz w:val="24"/>
          <w:szCs w:val="24"/>
        </w:rPr>
        <w:t>G</w:t>
      </w:r>
      <w:r w:rsidR="00F12795" w:rsidRPr="007471F9">
        <w:rPr>
          <w:rFonts w:asciiTheme="majorBidi" w:hAnsiTheme="majorBidi" w:cstheme="majorBidi"/>
          <w:sz w:val="24"/>
          <w:szCs w:val="24"/>
        </w:rPr>
        <w:t>eonic text list</w:t>
      </w:r>
      <w:r w:rsidRPr="007471F9">
        <w:rPr>
          <w:rFonts w:asciiTheme="majorBidi" w:hAnsiTheme="majorBidi" w:cstheme="majorBidi"/>
          <w:sz w:val="24"/>
          <w:szCs w:val="24"/>
        </w:rPr>
        <w:t>s</w:t>
      </w:r>
      <w:r w:rsidR="00F12795" w:rsidRPr="007471F9">
        <w:rPr>
          <w:rFonts w:asciiTheme="majorBidi" w:hAnsiTheme="majorBidi" w:cstheme="majorBidi"/>
          <w:sz w:val="24"/>
          <w:szCs w:val="24"/>
        </w:rPr>
        <w:t xml:space="preserve"> the differences between Palestinian and Babylonian customs </w:t>
      </w:r>
      <w:r w:rsidR="00A4590B" w:rsidRPr="007471F9">
        <w:rPr>
          <w:rFonts w:asciiTheme="majorBidi" w:hAnsiTheme="majorBidi" w:cstheme="majorBidi"/>
          <w:sz w:val="24"/>
          <w:szCs w:val="24"/>
        </w:rPr>
        <w:t>for verifying the bride</w:t>
      </w:r>
      <w:r w:rsidR="00C00E25" w:rsidRPr="007471F9">
        <w:rPr>
          <w:rFonts w:asciiTheme="majorBidi" w:hAnsiTheme="majorBidi" w:cstheme="majorBidi"/>
          <w:sz w:val="24"/>
          <w:szCs w:val="24"/>
        </w:rPr>
        <w:t>’</w:t>
      </w:r>
      <w:r w:rsidR="00A4590B" w:rsidRPr="007471F9">
        <w:rPr>
          <w:rFonts w:asciiTheme="majorBidi" w:hAnsiTheme="majorBidi" w:cstheme="majorBidi"/>
          <w:sz w:val="24"/>
          <w:szCs w:val="24"/>
        </w:rPr>
        <w:t xml:space="preserve">s virginity </w:t>
      </w:r>
      <w:r w:rsidRPr="007471F9">
        <w:rPr>
          <w:rFonts w:asciiTheme="majorBidi" w:hAnsiTheme="majorBidi" w:cstheme="majorBidi"/>
          <w:sz w:val="24"/>
          <w:szCs w:val="24"/>
        </w:rPr>
        <w:t>as follows</w:t>
      </w:r>
      <w:r w:rsidR="00F12795" w:rsidRPr="007471F9">
        <w:rPr>
          <w:rFonts w:asciiTheme="majorBidi" w:hAnsiTheme="majorBidi" w:cstheme="majorBidi"/>
          <w:sz w:val="24"/>
          <w:szCs w:val="24"/>
        </w:rPr>
        <w:t xml:space="preserve">: </w:t>
      </w:r>
      <w:r w:rsidR="00C00E25" w:rsidRPr="007471F9">
        <w:rPr>
          <w:rFonts w:asciiTheme="majorBidi" w:hAnsiTheme="majorBidi" w:cstheme="majorBidi"/>
          <w:sz w:val="24"/>
          <w:szCs w:val="24"/>
        </w:rPr>
        <w:t>‘</w:t>
      </w:r>
      <w:r w:rsidR="00F12795" w:rsidRPr="007471F9">
        <w:rPr>
          <w:rFonts w:asciiTheme="majorBidi" w:hAnsiTheme="majorBidi" w:cstheme="majorBidi"/>
          <w:sz w:val="24"/>
          <w:szCs w:val="24"/>
        </w:rPr>
        <w:t>The eastern Jews perform the initial penetration with the penis, in the manner for which it was created, but the Palestinian Jews use a finger</w:t>
      </w:r>
      <w:r w:rsidR="00331504" w:rsidRPr="007471F9">
        <w:rPr>
          <w:rFonts w:asciiTheme="majorBidi" w:hAnsiTheme="majorBidi" w:cstheme="majorBidi"/>
          <w:sz w:val="24"/>
          <w:szCs w:val="24"/>
        </w:rPr>
        <w:t>.</w:t>
      </w:r>
      <w:r w:rsidR="00C00E25" w:rsidRPr="007471F9">
        <w:rPr>
          <w:rFonts w:asciiTheme="majorBidi" w:hAnsiTheme="majorBidi" w:cstheme="majorBidi"/>
          <w:sz w:val="24"/>
          <w:szCs w:val="24"/>
        </w:rPr>
        <w:t>’</w:t>
      </w:r>
      <w:r w:rsidR="00F12795" w:rsidRPr="007471F9">
        <w:rPr>
          <w:rStyle w:val="FootnoteReference"/>
          <w:rFonts w:asciiTheme="majorBidi" w:hAnsiTheme="majorBidi" w:cstheme="majorBidi"/>
          <w:sz w:val="24"/>
          <w:szCs w:val="24"/>
        </w:rPr>
        <w:footnoteReference w:id="15"/>
      </w:r>
      <w:r w:rsidR="00F12795" w:rsidRPr="007471F9">
        <w:rPr>
          <w:rFonts w:asciiTheme="majorBidi" w:hAnsiTheme="majorBidi" w:cstheme="majorBidi"/>
          <w:sz w:val="24"/>
          <w:szCs w:val="24"/>
        </w:rPr>
        <w:t xml:space="preserve"> This Palestinian custom of manual defloration of the bride may have </w:t>
      </w:r>
      <w:r w:rsidR="00A4590B" w:rsidRPr="007471F9">
        <w:rPr>
          <w:rFonts w:asciiTheme="majorBidi" w:hAnsiTheme="majorBidi" w:cstheme="majorBidi"/>
          <w:sz w:val="24"/>
          <w:szCs w:val="24"/>
        </w:rPr>
        <w:t xml:space="preserve">had </w:t>
      </w:r>
      <w:r w:rsidR="00F12795" w:rsidRPr="007471F9">
        <w:rPr>
          <w:rFonts w:asciiTheme="majorBidi" w:hAnsiTheme="majorBidi" w:cstheme="majorBidi"/>
          <w:sz w:val="24"/>
          <w:szCs w:val="24"/>
        </w:rPr>
        <w:t xml:space="preserve">various motivations. </w:t>
      </w:r>
      <w:r w:rsidR="00A4590B" w:rsidRPr="007471F9">
        <w:rPr>
          <w:rFonts w:asciiTheme="majorBidi" w:hAnsiTheme="majorBidi" w:cstheme="majorBidi"/>
          <w:sz w:val="24"/>
          <w:szCs w:val="24"/>
        </w:rPr>
        <w:t xml:space="preserve">For example, such </w:t>
      </w:r>
      <w:r w:rsidR="00F12795" w:rsidRPr="007471F9">
        <w:rPr>
          <w:rFonts w:asciiTheme="majorBidi" w:hAnsiTheme="majorBidi" w:cstheme="majorBidi"/>
          <w:sz w:val="24"/>
          <w:szCs w:val="24"/>
        </w:rPr>
        <w:t>a method would allow a more precise determination of the bride</w:t>
      </w:r>
      <w:r w:rsidR="00C00E25" w:rsidRPr="007471F9">
        <w:rPr>
          <w:rFonts w:asciiTheme="majorBidi" w:hAnsiTheme="majorBidi" w:cstheme="majorBidi"/>
          <w:sz w:val="24"/>
          <w:szCs w:val="24"/>
        </w:rPr>
        <w:t>’</w:t>
      </w:r>
      <w:r w:rsidR="00F12795" w:rsidRPr="007471F9">
        <w:rPr>
          <w:rFonts w:asciiTheme="majorBidi" w:hAnsiTheme="majorBidi" w:cstheme="majorBidi"/>
          <w:sz w:val="24"/>
          <w:szCs w:val="24"/>
        </w:rPr>
        <w:t xml:space="preserve">s virginal state. </w:t>
      </w:r>
      <w:r w:rsidR="00A4590B" w:rsidRPr="007471F9">
        <w:rPr>
          <w:rFonts w:asciiTheme="majorBidi" w:hAnsiTheme="majorBidi" w:cstheme="majorBidi"/>
          <w:sz w:val="24"/>
          <w:szCs w:val="24"/>
        </w:rPr>
        <w:t xml:space="preserve">Additionally, if </w:t>
      </w:r>
      <w:r w:rsidR="00F12795" w:rsidRPr="007471F9">
        <w:rPr>
          <w:rFonts w:asciiTheme="majorBidi" w:hAnsiTheme="majorBidi" w:cstheme="majorBidi"/>
          <w:sz w:val="24"/>
          <w:szCs w:val="24"/>
        </w:rPr>
        <w:t xml:space="preserve">the bridegroom discovered lack of virginity </w:t>
      </w:r>
      <w:r w:rsidR="00A4590B" w:rsidRPr="007471F9">
        <w:rPr>
          <w:rFonts w:asciiTheme="majorBidi" w:hAnsiTheme="majorBidi" w:cstheme="majorBidi"/>
          <w:sz w:val="24"/>
          <w:szCs w:val="24"/>
        </w:rPr>
        <w:t xml:space="preserve">after intercourse </w:t>
      </w:r>
      <w:r w:rsidR="00F12795" w:rsidRPr="007471F9">
        <w:rPr>
          <w:rFonts w:asciiTheme="majorBidi" w:hAnsiTheme="majorBidi" w:cstheme="majorBidi"/>
          <w:sz w:val="24"/>
          <w:szCs w:val="24"/>
        </w:rPr>
        <w:t xml:space="preserve">and annulled the marriage, </w:t>
      </w:r>
      <w:r w:rsidR="00A4590B" w:rsidRPr="007471F9">
        <w:rPr>
          <w:rFonts w:asciiTheme="majorBidi" w:hAnsiTheme="majorBidi" w:cstheme="majorBidi"/>
          <w:sz w:val="24"/>
          <w:szCs w:val="24"/>
        </w:rPr>
        <w:t>he</w:t>
      </w:r>
      <w:r w:rsidR="00F12795" w:rsidRPr="007471F9">
        <w:rPr>
          <w:rFonts w:asciiTheme="majorBidi" w:hAnsiTheme="majorBidi" w:cstheme="majorBidi"/>
          <w:sz w:val="24"/>
          <w:szCs w:val="24"/>
        </w:rPr>
        <w:t xml:space="preserve"> would already have committed the sin of illicit cohabitation. It seems</w:t>
      </w:r>
      <w:r w:rsidR="00A4590B" w:rsidRPr="007471F9">
        <w:rPr>
          <w:rFonts w:asciiTheme="majorBidi" w:hAnsiTheme="majorBidi" w:cstheme="majorBidi"/>
          <w:sz w:val="24"/>
          <w:szCs w:val="24"/>
        </w:rPr>
        <w:t xml:space="preserve">, then, </w:t>
      </w:r>
      <w:r w:rsidR="00F12795" w:rsidRPr="007471F9">
        <w:rPr>
          <w:rFonts w:asciiTheme="majorBidi" w:hAnsiTheme="majorBidi" w:cstheme="majorBidi"/>
          <w:sz w:val="24"/>
          <w:szCs w:val="24"/>
        </w:rPr>
        <w:t xml:space="preserve">that the blunt Palestinian custom stems from a deep halakhic controversy between the communities. </w:t>
      </w:r>
    </w:p>
    <w:p w14:paraId="75292286" w14:textId="6F193479"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Before we present the controversy between the Babylonian and Jerusalem Talmud, let us </w:t>
      </w:r>
      <w:r w:rsidR="00175A5C" w:rsidRPr="000B300B">
        <w:rPr>
          <w:rFonts w:asciiTheme="majorBidi" w:hAnsiTheme="majorBidi" w:cstheme="majorBidi"/>
          <w:sz w:val="24"/>
          <w:szCs w:val="24"/>
        </w:rPr>
        <w:t xml:space="preserve">start with a short preface. </w:t>
      </w:r>
      <w:r w:rsidRPr="000B300B">
        <w:rPr>
          <w:rFonts w:asciiTheme="majorBidi" w:hAnsiTheme="majorBidi" w:cstheme="majorBidi"/>
          <w:sz w:val="24"/>
          <w:szCs w:val="24"/>
        </w:rPr>
        <w:t>According to Jewish law, establish</w:t>
      </w:r>
      <w:r w:rsidR="00175A5C" w:rsidRPr="000B300B">
        <w:rPr>
          <w:rFonts w:asciiTheme="majorBidi" w:hAnsiTheme="majorBidi" w:cstheme="majorBidi"/>
          <w:sz w:val="24"/>
          <w:szCs w:val="24"/>
        </w:rPr>
        <w:t>ing</w:t>
      </w:r>
      <w:r w:rsidRPr="000B300B">
        <w:rPr>
          <w:rFonts w:asciiTheme="majorBidi" w:hAnsiTheme="majorBidi" w:cstheme="majorBidi"/>
          <w:sz w:val="24"/>
          <w:szCs w:val="24"/>
        </w:rPr>
        <w:t xml:space="preserve"> a family unit requires two separate actions. At betrothal</w:t>
      </w:r>
      <w:r w:rsidR="00175A5C"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the wife </w:t>
      </w:r>
      <w:r w:rsidR="00175A5C" w:rsidRPr="000B300B">
        <w:rPr>
          <w:rFonts w:asciiTheme="majorBidi" w:hAnsiTheme="majorBidi" w:cstheme="majorBidi"/>
          <w:sz w:val="24"/>
          <w:szCs w:val="24"/>
        </w:rPr>
        <w:t>grants</w:t>
      </w:r>
      <w:r w:rsidRPr="000B300B">
        <w:rPr>
          <w:rFonts w:asciiTheme="majorBidi" w:hAnsiTheme="majorBidi" w:cstheme="majorBidi"/>
          <w:sz w:val="24"/>
          <w:szCs w:val="24"/>
        </w:rPr>
        <w:t xml:space="preserve"> her husband</w:t>
      </w:r>
      <w:r w:rsidR="00175A5C" w:rsidRPr="000B300B">
        <w:rPr>
          <w:rFonts w:asciiTheme="majorBidi" w:hAnsiTheme="majorBidi" w:cstheme="majorBidi"/>
          <w:sz w:val="24"/>
          <w:szCs w:val="24"/>
        </w:rPr>
        <w:t xml:space="preserve"> </w:t>
      </w:r>
      <w:r w:rsidR="00C050FB" w:rsidRPr="000B300B">
        <w:rPr>
          <w:rFonts w:asciiTheme="majorBidi" w:hAnsiTheme="majorBidi" w:cstheme="majorBidi"/>
          <w:sz w:val="24"/>
          <w:szCs w:val="24"/>
        </w:rPr>
        <w:t>exclusive conjugal</w:t>
      </w:r>
      <w:r w:rsidR="00376BB0" w:rsidRPr="000B300B">
        <w:rPr>
          <w:rFonts w:asciiTheme="majorBidi" w:hAnsiTheme="majorBidi" w:cstheme="majorBidi"/>
          <w:sz w:val="24"/>
          <w:szCs w:val="24"/>
        </w:rPr>
        <w:t xml:space="preserve"> </w:t>
      </w:r>
      <w:r w:rsidR="00175A5C" w:rsidRPr="000B300B">
        <w:rPr>
          <w:rFonts w:asciiTheme="majorBidi" w:hAnsiTheme="majorBidi" w:cstheme="majorBidi"/>
          <w:sz w:val="24"/>
          <w:szCs w:val="24"/>
        </w:rPr>
        <w:t>rights</w:t>
      </w:r>
      <w:r w:rsidR="00C01A87"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and is henceforth </w:t>
      </w:r>
      <w:r w:rsidR="00C050FB" w:rsidRPr="000B300B">
        <w:rPr>
          <w:rFonts w:asciiTheme="majorBidi" w:hAnsiTheme="majorBidi" w:cstheme="majorBidi"/>
          <w:sz w:val="24"/>
          <w:szCs w:val="24"/>
        </w:rPr>
        <w:t xml:space="preserve">a married woman </w:t>
      </w:r>
      <w:r w:rsidRPr="000B300B">
        <w:rPr>
          <w:rFonts w:asciiTheme="majorBidi" w:hAnsiTheme="majorBidi" w:cstheme="majorBidi"/>
          <w:sz w:val="24"/>
          <w:szCs w:val="24"/>
        </w:rPr>
        <w:t xml:space="preserve">forbidden to other men. However, she is not yet </w:t>
      </w:r>
      <w:r w:rsidR="00C01A87" w:rsidRPr="000B300B">
        <w:rPr>
          <w:rFonts w:asciiTheme="majorBidi" w:hAnsiTheme="majorBidi" w:cstheme="majorBidi"/>
          <w:sz w:val="24"/>
          <w:szCs w:val="24"/>
        </w:rPr>
        <w:t xml:space="preserve">permitted to </w:t>
      </w:r>
      <w:r w:rsidR="005F210F" w:rsidRPr="000B300B">
        <w:rPr>
          <w:rFonts w:asciiTheme="majorBidi" w:hAnsiTheme="majorBidi" w:cstheme="majorBidi"/>
          <w:sz w:val="24"/>
          <w:szCs w:val="24"/>
        </w:rPr>
        <w:t>engage in intercourse</w:t>
      </w:r>
      <w:r w:rsidR="00C01A87" w:rsidRPr="000B300B">
        <w:rPr>
          <w:rFonts w:asciiTheme="majorBidi" w:hAnsiTheme="majorBidi" w:cstheme="majorBidi"/>
          <w:sz w:val="24"/>
          <w:szCs w:val="24"/>
        </w:rPr>
        <w:t xml:space="preserve"> with her husband. Only after the </w:t>
      </w:r>
      <w:r w:rsidRPr="000B300B">
        <w:rPr>
          <w:rFonts w:asciiTheme="majorBidi" w:hAnsiTheme="majorBidi" w:cstheme="majorBidi"/>
          <w:sz w:val="24"/>
          <w:szCs w:val="24"/>
        </w:rPr>
        <w:t xml:space="preserve">marriage </w:t>
      </w:r>
      <w:r w:rsidR="00C01A87" w:rsidRPr="000B300B">
        <w:rPr>
          <w:rFonts w:asciiTheme="majorBidi" w:hAnsiTheme="majorBidi" w:cstheme="majorBidi"/>
          <w:sz w:val="24"/>
          <w:szCs w:val="24"/>
        </w:rPr>
        <w:t xml:space="preserve">ceremony </w:t>
      </w:r>
      <w:r w:rsidRPr="000B300B">
        <w:rPr>
          <w:rFonts w:asciiTheme="majorBidi" w:hAnsiTheme="majorBidi" w:cstheme="majorBidi"/>
          <w:sz w:val="24"/>
          <w:szCs w:val="24"/>
        </w:rPr>
        <w:t>under the canopy</w:t>
      </w:r>
      <w:r w:rsidR="005F210F" w:rsidRPr="000B300B">
        <w:rPr>
          <w:rFonts w:asciiTheme="majorBidi" w:hAnsiTheme="majorBidi" w:cstheme="majorBidi"/>
          <w:sz w:val="24"/>
          <w:szCs w:val="24"/>
        </w:rPr>
        <w:t xml:space="preserve"> (</w:t>
      </w:r>
      <w:r w:rsidR="00A60899" w:rsidRPr="000B300B">
        <w:rPr>
          <w:rFonts w:asciiTheme="majorBidi" w:hAnsiTheme="majorBidi" w:cstheme="majorBidi"/>
          <w:i/>
          <w:iCs/>
          <w:sz w:val="24"/>
          <w:szCs w:val="24"/>
        </w:rPr>
        <w:t>nisu’in</w:t>
      </w:r>
      <w:r w:rsidR="005F210F" w:rsidRPr="000B300B">
        <w:rPr>
          <w:rFonts w:asciiTheme="majorBidi" w:hAnsiTheme="majorBidi" w:cstheme="majorBidi"/>
          <w:sz w:val="24"/>
          <w:szCs w:val="24"/>
        </w:rPr>
        <w:t>)</w:t>
      </w:r>
      <w:r w:rsidR="00C01A87" w:rsidRPr="000B300B">
        <w:rPr>
          <w:rFonts w:asciiTheme="majorBidi" w:hAnsiTheme="majorBidi" w:cstheme="majorBidi"/>
          <w:sz w:val="24"/>
          <w:szCs w:val="24"/>
        </w:rPr>
        <w:t xml:space="preserve">, </w:t>
      </w:r>
      <w:r w:rsidR="005275B0" w:rsidRPr="000B300B">
        <w:rPr>
          <w:rFonts w:asciiTheme="majorBidi" w:hAnsiTheme="majorBidi" w:cstheme="majorBidi"/>
          <w:sz w:val="24"/>
          <w:szCs w:val="24"/>
        </w:rPr>
        <w:t>are the couple permitted to</w:t>
      </w:r>
      <w:r w:rsidRPr="000B300B">
        <w:rPr>
          <w:rFonts w:asciiTheme="majorBidi" w:hAnsiTheme="majorBidi" w:cstheme="majorBidi"/>
          <w:sz w:val="24"/>
          <w:szCs w:val="24"/>
        </w:rPr>
        <w:t xml:space="preserve"> live together as husband and wife</w:t>
      </w:r>
      <w:r w:rsidR="00C01A87" w:rsidRPr="000B300B">
        <w:rPr>
          <w:rFonts w:asciiTheme="majorBidi" w:hAnsiTheme="majorBidi" w:cstheme="majorBidi"/>
          <w:sz w:val="24"/>
          <w:szCs w:val="24"/>
        </w:rPr>
        <w:t xml:space="preserve"> and set up a household</w:t>
      </w:r>
      <w:r w:rsidRPr="000B300B">
        <w:rPr>
          <w:rFonts w:asciiTheme="majorBidi" w:hAnsiTheme="majorBidi" w:cstheme="majorBidi"/>
          <w:sz w:val="24"/>
          <w:szCs w:val="24"/>
        </w:rPr>
        <w:t xml:space="preserve">. </w:t>
      </w:r>
      <w:r w:rsidR="00C01A87" w:rsidRPr="000B300B">
        <w:rPr>
          <w:rFonts w:asciiTheme="majorBidi" w:hAnsiTheme="majorBidi" w:cstheme="majorBidi"/>
          <w:sz w:val="24"/>
          <w:szCs w:val="24"/>
        </w:rPr>
        <w:t xml:space="preserve">The gap </w:t>
      </w:r>
      <w:r w:rsidRPr="000B300B">
        <w:rPr>
          <w:rFonts w:asciiTheme="majorBidi" w:hAnsiTheme="majorBidi" w:cstheme="majorBidi"/>
          <w:sz w:val="24"/>
          <w:szCs w:val="24"/>
        </w:rPr>
        <w:t xml:space="preserve">between the </w:t>
      </w:r>
      <w:r w:rsidR="00C01A87" w:rsidRPr="000B300B">
        <w:rPr>
          <w:rFonts w:asciiTheme="majorBidi" w:hAnsiTheme="majorBidi" w:cstheme="majorBidi"/>
          <w:sz w:val="24"/>
          <w:szCs w:val="24"/>
        </w:rPr>
        <w:t>betrothal</w:t>
      </w:r>
      <w:r w:rsidRPr="000B300B">
        <w:rPr>
          <w:rFonts w:asciiTheme="majorBidi" w:hAnsiTheme="majorBidi" w:cstheme="majorBidi"/>
          <w:sz w:val="24"/>
          <w:szCs w:val="24"/>
        </w:rPr>
        <w:t xml:space="preserve"> and the marriage</w:t>
      </w:r>
      <w:r w:rsidR="00C01A87" w:rsidRPr="000B300B">
        <w:rPr>
          <w:rFonts w:asciiTheme="majorBidi" w:hAnsiTheme="majorBidi" w:cstheme="majorBidi"/>
          <w:sz w:val="24"/>
          <w:szCs w:val="24"/>
        </w:rPr>
        <w:t xml:space="preserve"> is generally one year</w:t>
      </w:r>
      <w:r w:rsidRPr="000B300B">
        <w:rPr>
          <w:rFonts w:asciiTheme="majorBidi" w:hAnsiTheme="majorBidi" w:cstheme="majorBidi"/>
          <w:sz w:val="24"/>
          <w:szCs w:val="24"/>
        </w:rPr>
        <w:t>.</w:t>
      </w:r>
    </w:p>
    <w:p w14:paraId="605518CF" w14:textId="34FEFD52" w:rsidR="00F12795" w:rsidRPr="000B300B" w:rsidRDefault="00C01A87" w:rsidP="00D95B5D">
      <w:pPr>
        <w:spacing w:line="360" w:lineRule="auto"/>
        <w:jc w:val="both"/>
        <w:rPr>
          <w:rFonts w:asciiTheme="majorBidi" w:hAnsiTheme="majorBidi" w:cstheme="majorBidi"/>
          <w:b/>
          <w:bCs/>
          <w:sz w:val="24"/>
          <w:szCs w:val="24"/>
        </w:rPr>
      </w:pPr>
      <w:r w:rsidRPr="000B300B">
        <w:rPr>
          <w:rFonts w:asciiTheme="majorBidi" w:hAnsiTheme="majorBidi" w:cstheme="majorBidi"/>
          <w:sz w:val="24"/>
          <w:szCs w:val="24"/>
        </w:rPr>
        <w:t>If</w:t>
      </w:r>
      <w:r w:rsidR="00F12795" w:rsidRPr="000B300B">
        <w:rPr>
          <w:rFonts w:asciiTheme="majorBidi" w:hAnsiTheme="majorBidi" w:cstheme="majorBidi"/>
          <w:sz w:val="24"/>
          <w:szCs w:val="24"/>
        </w:rPr>
        <w:t xml:space="preserve"> it turns out that the bride is not a virgin</w:t>
      </w:r>
      <w:r w:rsidR="00A02016" w:rsidRPr="000B300B">
        <w:rPr>
          <w:rFonts w:asciiTheme="majorBidi" w:hAnsiTheme="majorBidi" w:cstheme="majorBidi"/>
          <w:sz w:val="24"/>
          <w:szCs w:val="24"/>
        </w:rPr>
        <w:t xml:space="preserve"> at the time of the marriage</w:t>
      </w:r>
      <w:r w:rsidR="00F12795"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it is </w:t>
      </w:r>
      <w:r w:rsidR="00F12795" w:rsidRPr="000B300B">
        <w:rPr>
          <w:rFonts w:asciiTheme="majorBidi" w:hAnsiTheme="majorBidi" w:cstheme="majorBidi"/>
          <w:sz w:val="24"/>
          <w:szCs w:val="24"/>
        </w:rPr>
        <w:t xml:space="preserve">not clear whether the sex took place before or after the betrothal. According to the Babylonian Talmud in Tractate </w:t>
      </w:r>
      <w:r w:rsidR="00F12795" w:rsidRPr="000B300B">
        <w:rPr>
          <w:rFonts w:asciiTheme="majorBidi" w:hAnsiTheme="majorBidi" w:cstheme="majorBidi"/>
          <w:i/>
          <w:iCs/>
          <w:sz w:val="24"/>
          <w:szCs w:val="24"/>
        </w:rPr>
        <w:t>Ketubot</w:t>
      </w:r>
      <w:r w:rsidR="005D6491" w:rsidRPr="000B300B">
        <w:rPr>
          <w:rFonts w:asciiTheme="majorBidi" w:hAnsiTheme="majorBidi" w:cstheme="majorBidi"/>
          <w:i/>
          <w:iCs/>
          <w:sz w:val="24"/>
          <w:szCs w:val="24"/>
        </w:rPr>
        <w:t>,</w:t>
      </w:r>
      <w:r w:rsidR="00F12795" w:rsidRPr="000B300B">
        <w:rPr>
          <w:rFonts w:asciiTheme="majorBidi" w:hAnsiTheme="majorBidi" w:cstheme="majorBidi"/>
          <w:sz w:val="24"/>
          <w:szCs w:val="24"/>
        </w:rPr>
        <w:t xml:space="preserve"> a husband may remain married to his non-virgin bride if he </w:t>
      </w:r>
      <w:r w:rsidR="00A02016" w:rsidRPr="000B300B">
        <w:rPr>
          <w:rFonts w:asciiTheme="majorBidi" w:hAnsiTheme="majorBidi" w:cstheme="majorBidi"/>
          <w:sz w:val="24"/>
          <w:szCs w:val="24"/>
        </w:rPr>
        <w:t>chooses to do so</w:t>
      </w:r>
      <w:r w:rsidR="00114B03" w:rsidRPr="000B300B">
        <w:rPr>
          <w:rFonts w:asciiTheme="majorBidi" w:hAnsiTheme="majorBidi" w:cstheme="majorBidi"/>
          <w:sz w:val="24"/>
          <w:szCs w:val="24"/>
        </w:rPr>
        <w:t xml:space="preserve"> because </w:t>
      </w:r>
      <w:r w:rsidR="00B760A1" w:rsidRPr="000B300B">
        <w:rPr>
          <w:rFonts w:asciiTheme="majorBidi" w:hAnsiTheme="majorBidi" w:cstheme="majorBidi"/>
          <w:sz w:val="24"/>
          <w:szCs w:val="24"/>
        </w:rPr>
        <w:t xml:space="preserve">of double uncertainty: </w:t>
      </w:r>
      <w:r w:rsidR="00AE1D62" w:rsidRPr="000B300B">
        <w:rPr>
          <w:rFonts w:asciiTheme="majorBidi" w:hAnsiTheme="majorBidi" w:cstheme="majorBidi"/>
          <w:sz w:val="24"/>
          <w:szCs w:val="24"/>
        </w:rPr>
        <w:t xml:space="preserve">One who says I found an open opening …creates a double uncertainty: Either she had sexual intercourse while she was betrothed or before she was betrothed, either it was </w:t>
      </w:r>
      <w:r w:rsidR="00AE1D62" w:rsidRPr="000B300B">
        <w:rPr>
          <w:rFonts w:asciiTheme="majorBidi" w:hAnsiTheme="majorBidi" w:cstheme="majorBidi"/>
          <w:sz w:val="24"/>
          <w:szCs w:val="24"/>
        </w:rPr>
        <w:lastRenderedPageBreak/>
        <w:t>against her consent or with her consent.</w:t>
      </w:r>
      <w:r w:rsidR="00C00E25" w:rsidRPr="000B300B">
        <w:rPr>
          <w:rFonts w:asciiTheme="majorBidi" w:hAnsiTheme="majorBidi" w:cstheme="majorBidi"/>
          <w:sz w:val="24"/>
          <w:szCs w:val="24"/>
        </w:rPr>
        <w:t>’</w:t>
      </w:r>
      <w:r w:rsidR="00AE1D62" w:rsidRPr="000B300B">
        <w:rPr>
          <w:rStyle w:val="FootnoteReference"/>
          <w:rFonts w:asciiTheme="majorBidi" w:hAnsiTheme="majorBidi" w:cstheme="majorBidi"/>
          <w:sz w:val="24"/>
          <w:szCs w:val="24"/>
        </w:rPr>
        <w:t xml:space="preserve"> </w:t>
      </w:r>
      <w:r w:rsidR="00AE1D62" w:rsidRPr="000B300B">
        <w:rPr>
          <w:rStyle w:val="FootnoteReference"/>
          <w:rFonts w:asciiTheme="majorBidi" w:hAnsiTheme="majorBidi" w:cstheme="majorBidi"/>
          <w:sz w:val="24"/>
          <w:szCs w:val="24"/>
        </w:rPr>
        <w:footnoteReference w:id="16"/>
      </w:r>
      <w:r w:rsidR="00AE1D62" w:rsidRPr="000B300B">
        <w:rPr>
          <w:rFonts w:asciiTheme="majorBidi" w:hAnsiTheme="majorBidi" w:cstheme="majorBidi"/>
          <w:sz w:val="24"/>
          <w:szCs w:val="24"/>
        </w:rPr>
        <w:t xml:space="preserve"> </w:t>
      </w:r>
      <w:r w:rsidR="00A906FF" w:rsidRPr="000B300B">
        <w:rPr>
          <w:rFonts w:asciiTheme="majorBidi" w:hAnsiTheme="majorBidi" w:cstheme="majorBidi"/>
          <w:sz w:val="24"/>
          <w:szCs w:val="24"/>
        </w:rPr>
        <w:t>I</w:t>
      </w:r>
      <w:r w:rsidR="00114B03" w:rsidRPr="000B300B">
        <w:rPr>
          <w:rFonts w:asciiTheme="majorBidi" w:hAnsiTheme="majorBidi" w:cstheme="majorBidi"/>
          <w:sz w:val="24"/>
          <w:szCs w:val="24"/>
        </w:rPr>
        <w:t xml:space="preserve">t </w:t>
      </w:r>
      <w:r w:rsidR="005D6491" w:rsidRPr="000B300B">
        <w:rPr>
          <w:rFonts w:asciiTheme="majorBidi" w:hAnsiTheme="majorBidi" w:cstheme="majorBidi"/>
          <w:sz w:val="24"/>
          <w:szCs w:val="24"/>
        </w:rPr>
        <w:t>is possible</w:t>
      </w:r>
      <w:r w:rsidR="00114B03" w:rsidRPr="000B300B">
        <w:rPr>
          <w:rFonts w:asciiTheme="majorBidi" w:hAnsiTheme="majorBidi" w:cstheme="majorBidi"/>
          <w:sz w:val="24"/>
          <w:szCs w:val="24"/>
        </w:rPr>
        <w:t xml:space="preserve"> that </w:t>
      </w:r>
      <w:r w:rsidR="005D6491" w:rsidRPr="000B300B">
        <w:rPr>
          <w:rFonts w:asciiTheme="majorBidi" w:hAnsiTheme="majorBidi" w:cstheme="majorBidi"/>
          <w:sz w:val="24"/>
          <w:szCs w:val="24"/>
        </w:rPr>
        <w:t>the bride engaged in</w:t>
      </w:r>
      <w:r w:rsidR="00F12795" w:rsidRPr="000B300B">
        <w:rPr>
          <w:rFonts w:asciiTheme="majorBidi" w:hAnsiTheme="majorBidi" w:cstheme="majorBidi"/>
          <w:sz w:val="24"/>
          <w:szCs w:val="24"/>
        </w:rPr>
        <w:t xml:space="preserve"> sexual intercourse before betrothal, </w:t>
      </w:r>
      <w:r w:rsidR="005D6491" w:rsidRPr="000B300B">
        <w:rPr>
          <w:rFonts w:asciiTheme="majorBidi" w:hAnsiTheme="majorBidi" w:cstheme="majorBidi"/>
          <w:sz w:val="24"/>
          <w:szCs w:val="24"/>
        </w:rPr>
        <w:t>and</w:t>
      </w:r>
      <w:r w:rsidR="00A906FF" w:rsidRPr="000B300B">
        <w:rPr>
          <w:rFonts w:asciiTheme="majorBidi" w:hAnsiTheme="majorBidi" w:cstheme="majorBidi"/>
          <w:sz w:val="24"/>
          <w:szCs w:val="24"/>
        </w:rPr>
        <w:t xml:space="preserve"> thus</w:t>
      </w:r>
      <w:r w:rsidR="00F12795" w:rsidRPr="000B300B">
        <w:rPr>
          <w:rFonts w:asciiTheme="majorBidi" w:hAnsiTheme="majorBidi" w:cstheme="majorBidi"/>
          <w:sz w:val="24"/>
          <w:szCs w:val="24"/>
        </w:rPr>
        <w:t xml:space="preserve"> did not commit adultery, </w:t>
      </w:r>
      <w:r w:rsidR="00A02016" w:rsidRPr="000B300B">
        <w:rPr>
          <w:rFonts w:asciiTheme="majorBidi" w:hAnsiTheme="majorBidi" w:cstheme="majorBidi"/>
          <w:sz w:val="24"/>
          <w:szCs w:val="24"/>
        </w:rPr>
        <w:t>and</w:t>
      </w:r>
      <w:r w:rsidR="00F12795" w:rsidRPr="000B300B">
        <w:rPr>
          <w:rFonts w:asciiTheme="majorBidi" w:hAnsiTheme="majorBidi" w:cstheme="majorBidi"/>
          <w:sz w:val="24"/>
          <w:szCs w:val="24"/>
        </w:rPr>
        <w:t xml:space="preserve"> is</w:t>
      </w:r>
      <w:r w:rsidR="00B760A1" w:rsidRPr="000B300B">
        <w:rPr>
          <w:rFonts w:asciiTheme="majorBidi" w:hAnsiTheme="majorBidi" w:cstheme="majorBidi"/>
          <w:sz w:val="24"/>
          <w:szCs w:val="24"/>
        </w:rPr>
        <w:t xml:space="preserve"> therefore</w:t>
      </w:r>
      <w:r w:rsidR="00F12795" w:rsidRPr="000B300B">
        <w:rPr>
          <w:rFonts w:asciiTheme="majorBidi" w:hAnsiTheme="majorBidi" w:cstheme="majorBidi"/>
          <w:sz w:val="24"/>
          <w:szCs w:val="24"/>
        </w:rPr>
        <w:t xml:space="preserve"> </w:t>
      </w:r>
      <w:r w:rsidR="005D6491" w:rsidRPr="000B300B">
        <w:rPr>
          <w:rFonts w:asciiTheme="majorBidi" w:hAnsiTheme="majorBidi" w:cstheme="majorBidi"/>
          <w:sz w:val="24"/>
          <w:szCs w:val="24"/>
        </w:rPr>
        <w:t>permitted to remain with her husband</w:t>
      </w:r>
      <w:r w:rsidR="00F12795" w:rsidRPr="000B300B">
        <w:rPr>
          <w:rFonts w:asciiTheme="majorBidi" w:hAnsiTheme="majorBidi" w:cstheme="majorBidi"/>
          <w:sz w:val="24"/>
          <w:szCs w:val="24"/>
        </w:rPr>
        <w:t xml:space="preserve">. </w:t>
      </w:r>
      <w:r w:rsidR="00A6025C" w:rsidRPr="000B300B">
        <w:rPr>
          <w:rFonts w:asciiTheme="majorBidi" w:hAnsiTheme="majorBidi" w:cstheme="majorBidi"/>
          <w:sz w:val="24"/>
          <w:szCs w:val="24"/>
        </w:rPr>
        <w:t>E</w:t>
      </w:r>
      <w:r w:rsidR="00F12795" w:rsidRPr="000B300B">
        <w:rPr>
          <w:rFonts w:asciiTheme="majorBidi" w:hAnsiTheme="majorBidi" w:cstheme="majorBidi"/>
          <w:sz w:val="24"/>
          <w:szCs w:val="24"/>
        </w:rPr>
        <w:t xml:space="preserve">ven if </w:t>
      </w:r>
      <w:r w:rsidR="00A6025C" w:rsidRPr="000B300B">
        <w:rPr>
          <w:rFonts w:asciiTheme="majorBidi" w:hAnsiTheme="majorBidi" w:cstheme="majorBidi"/>
          <w:sz w:val="24"/>
          <w:szCs w:val="24"/>
        </w:rPr>
        <w:t>the</w:t>
      </w:r>
      <w:r w:rsidR="00F12795" w:rsidRPr="000B300B">
        <w:rPr>
          <w:rFonts w:asciiTheme="majorBidi" w:hAnsiTheme="majorBidi" w:cstheme="majorBidi"/>
          <w:sz w:val="24"/>
          <w:szCs w:val="24"/>
        </w:rPr>
        <w:t xml:space="preserve"> intercourse took place after the </w:t>
      </w:r>
      <w:r w:rsidR="00114B03" w:rsidRPr="000B300B">
        <w:rPr>
          <w:rFonts w:asciiTheme="majorBidi" w:hAnsiTheme="majorBidi" w:cstheme="majorBidi"/>
          <w:sz w:val="24"/>
          <w:szCs w:val="24"/>
        </w:rPr>
        <w:t xml:space="preserve">betrothal, </w:t>
      </w:r>
      <w:r w:rsidR="00F12795" w:rsidRPr="000B300B">
        <w:rPr>
          <w:rFonts w:asciiTheme="majorBidi" w:hAnsiTheme="majorBidi" w:cstheme="majorBidi"/>
          <w:sz w:val="24"/>
          <w:szCs w:val="24"/>
        </w:rPr>
        <w:t>the bride may have been raped, and forced intercourse does not require the dissolution of the marriage</w:t>
      </w:r>
      <w:r w:rsidR="00BE5CE2"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t>
      </w:r>
      <w:r w:rsidR="00651472" w:rsidRPr="000B300B">
        <w:rPr>
          <w:rFonts w:asciiTheme="majorBidi" w:hAnsiTheme="majorBidi" w:cstheme="majorBidi"/>
          <w:sz w:val="24"/>
          <w:szCs w:val="24"/>
        </w:rPr>
        <w:t>This does</w:t>
      </w:r>
      <w:r w:rsidR="00F12795" w:rsidRPr="000B300B">
        <w:rPr>
          <w:rFonts w:asciiTheme="majorBidi" w:hAnsiTheme="majorBidi" w:cstheme="majorBidi"/>
          <w:sz w:val="24"/>
          <w:szCs w:val="24"/>
        </w:rPr>
        <w:t xml:space="preserve"> do not negate the groom</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s </w:t>
      </w:r>
      <w:r w:rsidR="00651472" w:rsidRPr="000B300B">
        <w:rPr>
          <w:rFonts w:asciiTheme="majorBidi" w:hAnsiTheme="majorBidi" w:cstheme="majorBidi"/>
          <w:sz w:val="24"/>
          <w:szCs w:val="24"/>
        </w:rPr>
        <w:t>right</w:t>
      </w:r>
      <w:r w:rsidR="00F12795" w:rsidRPr="000B300B">
        <w:rPr>
          <w:rFonts w:asciiTheme="majorBidi" w:hAnsiTheme="majorBidi" w:cstheme="majorBidi"/>
          <w:sz w:val="24"/>
          <w:szCs w:val="24"/>
        </w:rPr>
        <w:t xml:space="preserve"> to divorce without </w:t>
      </w:r>
      <w:r w:rsidR="006D1F8D" w:rsidRPr="000B300B">
        <w:rPr>
          <w:rFonts w:asciiTheme="majorBidi" w:hAnsiTheme="majorBidi" w:cstheme="majorBidi"/>
          <w:sz w:val="24"/>
          <w:szCs w:val="24"/>
        </w:rPr>
        <w:t>paying the agreed compensation for the termination of the marriage as agreed upon in the marriage contract (</w:t>
      </w:r>
      <w:r w:rsidR="00651472" w:rsidRPr="000B300B">
        <w:rPr>
          <w:rFonts w:asciiTheme="majorBidi" w:hAnsiTheme="majorBidi" w:cstheme="majorBidi"/>
          <w:i/>
          <w:iCs/>
          <w:sz w:val="24"/>
          <w:szCs w:val="24"/>
        </w:rPr>
        <w:t>ketubah</w:t>
      </w:r>
      <w:r w:rsidR="006D1F8D" w:rsidRPr="000B300B">
        <w:rPr>
          <w:rFonts w:asciiTheme="majorBidi" w:hAnsiTheme="majorBidi" w:cstheme="majorBidi"/>
          <w:sz w:val="24"/>
          <w:szCs w:val="24"/>
        </w:rPr>
        <w:t>). Th</w:t>
      </w:r>
      <w:r w:rsidR="00524CC8" w:rsidRPr="000B300B">
        <w:rPr>
          <w:rFonts w:asciiTheme="majorBidi" w:hAnsiTheme="majorBidi" w:cstheme="majorBidi"/>
          <w:sz w:val="24"/>
          <w:szCs w:val="24"/>
        </w:rPr>
        <w:t>e husband is absolved of his obligation to fulfill the marriage contract</w:t>
      </w:r>
      <w:r w:rsidR="006D1F8D" w:rsidRPr="000B300B">
        <w:rPr>
          <w:rFonts w:asciiTheme="majorBidi" w:hAnsiTheme="majorBidi" w:cstheme="majorBidi"/>
          <w:sz w:val="24"/>
          <w:szCs w:val="24"/>
        </w:rPr>
        <w:t xml:space="preserve"> </w:t>
      </w:r>
      <w:r w:rsidR="00524CC8" w:rsidRPr="000B300B">
        <w:rPr>
          <w:rFonts w:asciiTheme="majorBidi" w:hAnsiTheme="majorBidi" w:cstheme="majorBidi"/>
          <w:sz w:val="24"/>
          <w:szCs w:val="24"/>
        </w:rPr>
        <w:t>as</w:t>
      </w:r>
      <w:r w:rsidR="00C411EB" w:rsidRPr="000B300B">
        <w:rPr>
          <w:rFonts w:asciiTheme="majorBidi" w:hAnsiTheme="majorBidi" w:cstheme="majorBidi"/>
          <w:sz w:val="24"/>
          <w:szCs w:val="24"/>
        </w:rPr>
        <w:t xml:space="preserve"> a</w:t>
      </w:r>
      <w:r w:rsidR="00F12795" w:rsidRPr="000B300B">
        <w:rPr>
          <w:rFonts w:asciiTheme="majorBidi" w:hAnsiTheme="majorBidi" w:cstheme="majorBidi"/>
          <w:sz w:val="24"/>
          <w:szCs w:val="24"/>
        </w:rPr>
        <w:t xml:space="preserve"> </w:t>
      </w:r>
      <w:r w:rsidR="00A02016" w:rsidRPr="000B300B">
        <w:rPr>
          <w:rFonts w:asciiTheme="majorBidi" w:hAnsiTheme="majorBidi" w:cstheme="majorBidi"/>
          <w:sz w:val="24"/>
          <w:szCs w:val="24"/>
        </w:rPr>
        <w:t>consequence</w:t>
      </w:r>
      <w:r w:rsidR="00F12795" w:rsidRPr="000B300B">
        <w:rPr>
          <w:rFonts w:asciiTheme="majorBidi" w:hAnsiTheme="majorBidi" w:cstheme="majorBidi"/>
          <w:sz w:val="24"/>
          <w:szCs w:val="24"/>
        </w:rPr>
        <w:t xml:space="preserve"> of the bride</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s dishonesty </w:t>
      </w:r>
      <w:r w:rsidR="00C411EB" w:rsidRPr="000B300B">
        <w:rPr>
          <w:rFonts w:asciiTheme="majorBidi" w:hAnsiTheme="majorBidi" w:cstheme="majorBidi"/>
          <w:sz w:val="24"/>
          <w:szCs w:val="24"/>
        </w:rPr>
        <w:t>in presenting</w:t>
      </w:r>
      <w:r w:rsidR="00F12795" w:rsidRPr="000B300B">
        <w:rPr>
          <w:rFonts w:asciiTheme="majorBidi" w:hAnsiTheme="majorBidi" w:cstheme="majorBidi"/>
          <w:sz w:val="24"/>
          <w:szCs w:val="24"/>
        </w:rPr>
        <w:t xml:space="preserve"> herself as a virgin.</w:t>
      </w:r>
      <w:r w:rsidR="00EB0A41" w:rsidRPr="000B300B">
        <w:rPr>
          <w:rStyle w:val="FootnoteReference"/>
          <w:rFonts w:asciiTheme="majorBidi" w:hAnsiTheme="majorBidi" w:cstheme="majorBidi"/>
          <w:sz w:val="24"/>
          <w:szCs w:val="24"/>
        </w:rPr>
        <w:footnoteReference w:id="17"/>
      </w:r>
    </w:p>
    <w:p w14:paraId="5EA7AC69" w14:textId="204E40D1"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In contrast to the scenarios </w:t>
      </w:r>
      <w:r w:rsidR="000130EF" w:rsidRPr="000B300B">
        <w:rPr>
          <w:rFonts w:asciiTheme="majorBidi" w:hAnsiTheme="majorBidi" w:cstheme="majorBidi"/>
          <w:sz w:val="24"/>
          <w:szCs w:val="24"/>
        </w:rPr>
        <w:t xml:space="preserve">raised </w:t>
      </w:r>
      <w:r w:rsidRPr="000B300B">
        <w:rPr>
          <w:rFonts w:asciiTheme="majorBidi" w:hAnsiTheme="majorBidi" w:cstheme="majorBidi"/>
          <w:sz w:val="24"/>
          <w:szCs w:val="24"/>
        </w:rPr>
        <w:t xml:space="preserve">in </w:t>
      </w:r>
      <w:r w:rsidR="000130EF" w:rsidRPr="000B300B">
        <w:rPr>
          <w:rFonts w:asciiTheme="majorBidi" w:hAnsiTheme="majorBidi" w:cstheme="majorBidi"/>
          <w:sz w:val="24"/>
          <w:szCs w:val="24"/>
        </w:rPr>
        <w:t xml:space="preserve">the </w:t>
      </w:r>
      <w:r w:rsidRPr="000B300B">
        <w:rPr>
          <w:rFonts w:asciiTheme="majorBidi" w:hAnsiTheme="majorBidi" w:cstheme="majorBidi"/>
          <w:sz w:val="24"/>
          <w:szCs w:val="24"/>
        </w:rPr>
        <w:t>Babylonian Talmud, the</w:t>
      </w:r>
      <w:r w:rsidR="007A4398" w:rsidRPr="000B300B">
        <w:rPr>
          <w:rFonts w:asciiTheme="majorBidi" w:hAnsiTheme="majorBidi" w:cstheme="majorBidi"/>
          <w:sz w:val="24"/>
          <w:szCs w:val="24"/>
        </w:rPr>
        <w:t xml:space="preserve"> parallel discussion in the Palestinian </w:t>
      </w:r>
      <w:r w:rsidRPr="000B300B">
        <w:rPr>
          <w:rFonts w:asciiTheme="majorBidi" w:hAnsiTheme="majorBidi" w:cstheme="majorBidi"/>
          <w:sz w:val="24"/>
          <w:szCs w:val="24"/>
        </w:rPr>
        <w:t xml:space="preserve">Talmud </w:t>
      </w:r>
      <w:r w:rsidR="00624AF2" w:rsidRPr="000B300B">
        <w:rPr>
          <w:rFonts w:asciiTheme="majorBidi" w:hAnsiTheme="majorBidi" w:cstheme="majorBidi"/>
          <w:sz w:val="24"/>
          <w:szCs w:val="24"/>
        </w:rPr>
        <w:t>includes the claim</w:t>
      </w:r>
      <w:r w:rsidRPr="000B300B">
        <w:rPr>
          <w:rFonts w:asciiTheme="majorBidi" w:hAnsiTheme="majorBidi" w:cstheme="majorBidi"/>
          <w:sz w:val="24"/>
          <w:szCs w:val="24"/>
        </w:rPr>
        <w:t xml:space="preserve"> that the likelihood of rape is nil since </w:t>
      </w:r>
      <w:r w:rsidR="000130EF" w:rsidRPr="000B300B">
        <w:rPr>
          <w:rFonts w:asciiTheme="majorBidi" w:hAnsiTheme="majorBidi" w:cstheme="majorBidi"/>
          <w:sz w:val="24"/>
          <w:szCs w:val="24"/>
        </w:rPr>
        <w:t>people will hear about it</w:t>
      </w:r>
      <w:r w:rsidRPr="000B300B">
        <w:rPr>
          <w:rFonts w:asciiTheme="majorBidi" w:hAnsiTheme="majorBidi" w:cstheme="majorBidi"/>
          <w:sz w:val="24"/>
          <w:szCs w:val="24"/>
        </w:rPr>
        <w:t xml:space="preserve">. </w:t>
      </w:r>
      <w:r w:rsidR="00624AF2" w:rsidRPr="000B300B">
        <w:rPr>
          <w:rFonts w:asciiTheme="majorBidi" w:hAnsiTheme="majorBidi" w:cstheme="majorBidi"/>
          <w:sz w:val="24"/>
          <w:szCs w:val="24"/>
        </w:rPr>
        <w:t>Absent</w:t>
      </w:r>
      <w:r w:rsidRPr="000B300B">
        <w:rPr>
          <w:rFonts w:asciiTheme="majorBidi" w:hAnsiTheme="majorBidi" w:cstheme="majorBidi"/>
          <w:sz w:val="24"/>
          <w:szCs w:val="24"/>
        </w:rPr>
        <w:t xml:space="preserve"> knowledge of such an event</w:t>
      </w:r>
      <w:r w:rsidR="000130EF" w:rsidRPr="000B300B">
        <w:rPr>
          <w:rFonts w:asciiTheme="majorBidi" w:hAnsiTheme="majorBidi" w:cstheme="majorBidi"/>
          <w:sz w:val="24"/>
          <w:szCs w:val="24"/>
        </w:rPr>
        <w:t>,</w:t>
      </w:r>
      <w:r w:rsidRPr="000B300B">
        <w:rPr>
          <w:rFonts w:asciiTheme="majorBidi" w:hAnsiTheme="majorBidi" w:cstheme="majorBidi"/>
          <w:sz w:val="24"/>
          <w:szCs w:val="24"/>
        </w:rPr>
        <w:t xml:space="preserve"> the only possibility is that the </w:t>
      </w:r>
      <w:r w:rsidR="000130EF" w:rsidRPr="000B300B">
        <w:rPr>
          <w:rFonts w:asciiTheme="majorBidi" w:hAnsiTheme="majorBidi" w:cstheme="majorBidi"/>
          <w:sz w:val="24"/>
          <w:szCs w:val="24"/>
        </w:rPr>
        <w:t xml:space="preserve">bride had consensual </w:t>
      </w:r>
      <w:r w:rsidRPr="000B300B">
        <w:rPr>
          <w:rFonts w:asciiTheme="majorBidi" w:hAnsiTheme="majorBidi" w:cstheme="majorBidi"/>
          <w:sz w:val="24"/>
          <w:szCs w:val="24"/>
        </w:rPr>
        <w:t xml:space="preserve">sex in the past. </w:t>
      </w:r>
      <w:r w:rsidR="000130EF" w:rsidRPr="000B300B">
        <w:rPr>
          <w:rFonts w:asciiTheme="majorBidi" w:hAnsiTheme="majorBidi" w:cstheme="majorBidi"/>
          <w:sz w:val="24"/>
          <w:szCs w:val="24"/>
        </w:rPr>
        <w:t>Therefore,</w:t>
      </w:r>
      <w:r w:rsidRPr="000B300B">
        <w:rPr>
          <w:rFonts w:asciiTheme="majorBidi" w:hAnsiTheme="majorBidi" w:cstheme="majorBidi"/>
          <w:sz w:val="24"/>
          <w:szCs w:val="24"/>
        </w:rPr>
        <w:t xml:space="preserve"> the only </w:t>
      </w:r>
      <w:r w:rsidR="00624AF2" w:rsidRPr="000B300B">
        <w:rPr>
          <w:rFonts w:asciiTheme="majorBidi" w:hAnsiTheme="majorBidi" w:cstheme="majorBidi"/>
          <w:sz w:val="24"/>
          <w:szCs w:val="24"/>
        </w:rPr>
        <w:t>uncertainty</w:t>
      </w:r>
      <w:r w:rsidRPr="000B300B">
        <w:rPr>
          <w:rFonts w:asciiTheme="majorBidi" w:hAnsiTheme="majorBidi" w:cstheme="majorBidi"/>
          <w:sz w:val="24"/>
          <w:szCs w:val="24"/>
        </w:rPr>
        <w:t xml:space="preserve"> is whether sexual intercourse took place before or after the </w:t>
      </w:r>
      <w:r w:rsidR="000130EF" w:rsidRPr="000B300B">
        <w:rPr>
          <w:rFonts w:asciiTheme="majorBidi" w:hAnsiTheme="majorBidi" w:cstheme="majorBidi"/>
          <w:sz w:val="24"/>
          <w:szCs w:val="24"/>
        </w:rPr>
        <w:t xml:space="preserve">betrothal, </w:t>
      </w:r>
      <w:r w:rsidR="00624AF2" w:rsidRPr="000B300B">
        <w:rPr>
          <w:rFonts w:asciiTheme="majorBidi" w:hAnsiTheme="majorBidi" w:cstheme="majorBidi"/>
          <w:sz w:val="24"/>
          <w:szCs w:val="24"/>
        </w:rPr>
        <w:t>and the</w:t>
      </w:r>
      <w:r w:rsidRPr="000B300B">
        <w:rPr>
          <w:rFonts w:asciiTheme="majorBidi" w:hAnsiTheme="majorBidi" w:cstheme="majorBidi"/>
          <w:sz w:val="24"/>
          <w:szCs w:val="24"/>
        </w:rPr>
        <w:t xml:space="preserve"> bride </w:t>
      </w:r>
      <w:r w:rsidR="00624AF2" w:rsidRPr="000B300B">
        <w:rPr>
          <w:rFonts w:asciiTheme="majorBidi" w:hAnsiTheme="majorBidi" w:cstheme="majorBidi"/>
          <w:sz w:val="24"/>
          <w:szCs w:val="24"/>
        </w:rPr>
        <w:t xml:space="preserve">must be regarded as </w:t>
      </w:r>
      <w:r w:rsidR="00383477" w:rsidRPr="000B300B">
        <w:rPr>
          <w:rFonts w:asciiTheme="majorBidi" w:hAnsiTheme="majorBidi" w:cstheme="majorBidi"/>
          <w:sz w:val="24"/>
          <w:szCs w:val="24"/>
        </w:rPr>
        <w:t xml:space="preserve">a possible adulteress, </w:t>
      </w:r>
      <w:r w:rsidR="00C00E25" w:rsidRPr="000B300B">
        <w:rPr>
          <w:rFonts w:asciiTheme="majorBidi" w:hAnsiTheme="majorBidi" w:cstheme="majorBidi"/>
          <w:sz w:val="24"/>
          <w:szCs w:val="24"/>
        </w:rPr>
        <w:t>‘</w:t>
      </w:r>
      <w:r w:rsidR="00383477" w:rsidRPr="000B300B">
        <w:rPr>
          <w:rFonts w:asciiTheme="majorBidi" w:hAnsiTheme="majorBidi" w:cstheme="majorBidi"/>
          <w:sz w:val="24"/>
          <w:szCs w:val="24"/>
        </w:rPr>
        <w:t>a wayward wife</w:t>
      </w:r>
      <w:r w:rsidR="00C00E25" w:rsidRPr="000B300B">
        <w:rPr>
          <w:rFonts w:asciiTheme="majorBidi" w:hAnsiTheme="majorBidi" w:cstheme="majorBidi"/>
          <w:sz w:val="24"/>
          <w:szCs w:val="24"/>
        </w:rPr>
        <w:t>’</w:t>
      </w:r>
      <w:r w:rsidR="002E7C5D" w:rsidRPr="000B300B">
        <w:rPr>
          <w:rFonts w:asciiTheme="majorBidi" w:hAnsiTheme="majorBidi" w:cstheme="majorBidi"/>
          <w:sz w:val="24"/>
          <w:szCs w:val="24"/>
        </w:rPr>
        <w:t>,</w:t>
      </w:r>
      <w:r w:rsidR="00383477" w:rsidRPr="000B300B">
        <w:rPr>
          <w:rFonts w:asciiTheme="majorBidi" w:hAnsiTheme="majorBidi" w:cstheme="majorBidi"/>
          <w:sz w:val="24"/>
          <w:szCs w:val="24"/>
        </w:rPr>
        <w:t xml:space="preserve"> who is</w:t>
      </w:r>
      <w:r w:rsidRPr="000B300B">
        <w:rPr>
          <w:rFonts w:asciiTheme="majorBidi" w:hAnsiTheme="majorBidi" w:cstheme="majorBidi"/>
          <w:sz w:val="24"/>
          <w:szCs w:val="24"/>
        </w:rPr>
        <w:t xml:space="preserve"> forbidden </w:t>
      </w:r>
      <w:r w:rsidR="00E779BC" w:rsidRPr="000B300B">
        <w:rPr>
          <w:rFonts w:asciiTheme="majorBidi" w:hAnsiTheme="majorBidi" w:cstheme="majorBidi"/>
          <w:sz w:val="24"/>
          <w:szCs w:val="24"/>
        </w:rPr>
        <w:t xml:space="preserve">to </w:t>
      </w:r>
      <w:r w:rsidRPr="000B300B">
        <w:rPr>
          <w:rFonts w:asciiTheme="majorBidi" w:hAnsiTheme="majorBidi" w:cstheme="majorBidi"/>
          <w:sz w:val="24"/>
          <w:szCs w:val="24"/>
        </w:rPr>
        <w:t>her husband:</w:t>
      </w:r>
    </w:p>
    <w:p w14:paraId="1F75C29A" w14:textId="75194B18" w:rsidR="00E779BC" w:rsidRPr="000B300B" w:rsidRDefault="00F12795" w:rsidP="006B75C3">
      <w:pPr>
        <w:pStyle w:val="Quote"/>
      </w:pPr>
      <w:r w:rsidRPr="000B300B">
        <w:t>R. Ila said in the name of R. Eleazar, If one has found the entry open [so that the women are not a virgin], It is forbidden to maintain the marriage, because there is a doubt as to the woman</w:t>
      </w:r>
      <w:r w:rsidR="00C00E25" w:rsidRPr="000B300B">
        <w:t>’</w:t>
      </w:r>
      <w:r w:rsidRPr="000B300B">
        <w:t>s having been faithless as a wayward wife</w:t>
      </w:r>
      <w:r w:rsidR="00E779BC" w:rsidRPr="000B300B">
        <w:t>.</w:t>
      </w:r>
    </w:p>
    <w:p w14:paraId="28B479A4" w14:textId="6662C842" w:rsidR="00E779BC" w:rsidRPr="000B300B" w:rsidRDefault="00E779BC" w:rsidP="006B75C3">
      <w:pPr>
        <w:pStyle w:val="Quote"/>
      </w:pPr>
      <w:r w:rsidRPr="000B300B">
        <w:t>W</w:t>
      </w:r>
      <w:r w:rsidR="00F12795" w:rsidRPr="000B300B">
        <w:t>hy not take into account the possibility that she had been raped?</w:t>
      </w:r>
    </w:p>
    <w:p w14:paraId="4032244E" w14:textId="61A20031" w:rsidR="00F12795" w:rsidRPr="000B300B" w:rsidRDefault="00F12795" w:rsidP="006B75C3">
      <w:pPr>
        <w:pStyle w:val="Quote"/>
      </w:pPr>
      <w:r w:rsidRPr="000B300B">
        <w:t>If a girl has been raped, everybody knows about it</w:t>
      </w:r>
      <w:r w:rsidR="00331504" w:rsidRPr="000B300B">
        <w:t>.</w:t>
      </w:r>
      <w:r w:rsidR="00EB0A41" w:rsidRPr="000B300B">
        <w:rPr>
          <w:rStyle w:val="FootnoteReference"/>
        </w:rPr>
        <w:footnoteReference w:id="18"/>
      </w:r>
    </w:p>
    <w:p w14:paraId="7BB7CAB7" w14:textId="76A98595"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It is worth emphasizing </w:t>
      </w:r>
      <w:r w:rsidR="00E779BC" w:rsidRPr="000B300B">
        <w:rPr>
          <w:rFonts w:asciiTheme="majorBidi" w:hAnsiTheme="majorBidi" w:cstheme="majorBidi"/>
          <w:sz w:val="24"/>
          <w:szCs w:val="24"/>
        </w:rPr>
        <w:t xml:space="preserve">that </w:t>
      </w:r>
      <w:r w:rsidR="00A02016" w:rsidRPr="000B300B">
        <w:rPr>
          <w:rFonts w:asciiTheme="majorBidi" w:hAnsiTheme="majorBidi" w:cstheme="majorBidi"/>
          <w:sz w:val="24"/>
          <w:szCs w:val="24"/>
        </w:rPr>
        <w:t xml:space="preserve">despite this ruling, </w:t>
      </w:r>
      <w:r w:rsidRPr="000B300B">
        <w:rPr>
          <w:rFonts w:asciiTheme="majorBidi" w:hAnsiTheme="majorBidi" w:cstheme="majorBidi"/>
          <w:sz w:val="24"/>
          <w:szCs w:val="24"/>
        </w:rPr>
        <w:t>the Jerusalem Talmud tended to favor the bride</w:t>
      </w:r>
      <w:r w:rsidR="00064219" w:rsidRPr="000B300B">
        <w:rPr>
          <w:rFonts w:asciiTheme="majorBidi" w:hAnsiTheme="majorBidi" w:cstheme="majorBidi"/>
          <w:sz w:val="24"/>
          <w:szCs w:val="24"/>
        </w:rPr>
        <w:t xml:space="preserve"> on </w:t>
      </w:r>
      <w:r w:rsidR="000816F5" w:rsidRPr="000B300B">
        <w:rPr>
          <w:rFonts w:asciiTheme="majorBidi" w:hAnsiTheme="majorBidi" w:cstheme="majorBidi"/>
          <w:sz w:val="24"/>
          <w:szCs w:val="24"/>
        </w:rPr>
        <w:t>concerning</w:t>
      </w:r>
      <w:r w:rsidR="002E7C5D" w:rsidRPr="000B300B">
        <w:rPr>
          <w:rFonts w:asciiTheme="majorBidi" w:hAnsiTheme="majorBidi" w:cstheme="majorBidi"/>
          <w:sz w:val="24"/>
          <w:szCs w:val="24"/>
        </w:rPr>
        <w:t xml:space="preserve"> the financial arrangements</w:t>
      </w:r>
      <w:r w:rsidR="00064219"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and </w:t>
      </w:r>
      <w:r w:rsidR="00E779BC" w:rsidRPr="000B300B">
        <w:rPr>
          <w:rFonts w:asciiTheme="majorBidi" w:hAnsiTheme="majorBidi" w:cstheme="majorBidi"/>
          <w:sz w:val="24"/>
          <w:szCs w:val="24"/>
        </w:rPr>
        <w:t>ruled</w:t>
      </w:r>
      <w:r w:rsidRPr="000B300B">
        <w:rPr>
          <w:rFonts w:asciiTheme="majorBidi" w:hAnsiTheme="majorBidi" w:cstheme="majorBidi"/>
          <w:sz w:val="24"/>
          <w:szCs w:val="24"/>
        </w:rPr>
        <w:t xml:space="preserve"> that if the woman could </w:t>
      </w:r>
      <w:r w:rsidR="002E7C5D" w:rsidRPr="000B300B">
        <w:rPr>
          <w:rFonts w:asciiTheme="majorBidi" w:hAnsiTheme="majorBidi" w:cstheme="majorBidi"/>
          <w:sz w:val="24"/>
          <w:szCs w:val="24"/>
        </w:rPr>
        <w:t>offer an explanation of</w:t>
      </w:r>
      <w:r w:rsidRPr="000B300B">
        <w:rPr>
          <w:rFonts w:asciiTheme="majorBidi" w:hAnsiTheme="majorBidi" w:cstheme="majorBidi"/>
          <w:sz w:val="24"/>
          <w:szCs w:val="24"/>
        </w:rPr>
        <w:t xml:space="preserve"> her lack of virginity she would still be entitled to the payment of the </w:t>
      </w:r>
      <w:r w:rsidRPr="000B300B">
        <w:rPr>
          <w:rFonts w:asciiTheme="majorBidi" w:hAnsiTheme="majorBidi" w:cstheme="majorBidi"/>
          <w:i/>
          <w:iCs/>
          <w:sz w:val="24"/>
          <w:szCs w:val="24"/>
        </w:rPr>
        <w:t>ketubah</w:t>
      </w:r>
      <w:r w:rsidR="00064219" w:rsidRPr="000B300B">
        <w:rPr>
          <w:rFonts w:asciiTheme="majorBidi" w:hAnsiTheme="majorBidi" w:cstheme="majorBidi"/>
          <w:sz w:val="24"/>
          <w:szCs w:val="24"/>
        </w:rPr>
        <w:t xml:space="preserve">, </w:t>
      </w:r>
      <w:r w:rsidRPr="000B300B">
        <w:rPr>
          <w:rFonts w:asciiTheme="majorBidi" w:hAnsiTheme="majorBidi" w:cstheme="majorBidi"/>
          <w:sz w:val="24"/>
          <w:szCs w:val="24"/>
        </w:rPr>
        <w:t>even though she is forbidden by her husband:</w:t>
      </w:r>
    </w:p>
    <w:p w14:paraId="45DB3D43" w14:textId="60769DC3" w:rsidR="00A02016" w:rsidRPr="000B300B" w:rsidRDefault="00F12795" w:rsidP="006B75C3">
      <w:pPr>
        <w:pStyle w:val="Quote"/>
      </w:pPr>
      <w:r w:rsidRPr="000B300B">
        <w:t>R. Jonah in the name of R. Qerispa [said], A mature wom</w:t>
      </w:r>
      <w:r w:rsidR="000816F5" w:rsidRPr="000B300B">
        <w:t>a</w:t>
      </w:r>
      <w:r w:rsidRPr="000B300B">
        <w:t>n is regarded as an open vessel [and may not be subject to a claim against her virginity],</w:t>
      </w:r>
    </w:p>
    <w:p w14:paraId="422E18E4" w14:textId="1D0D8AAE" w:rsidR="00F12795" w:rsidRPr="000B300B" w:rsidRDefault="00F12795" w:rsidP="006B75C3">
      <w:pPr>
        <w:pStyle w:val="Quote"/>
      </w:pPr>
      <w:r w:rsidRPr="000B300B">
        <w:t xml:space="preserve">That which you have said serves so as not to deprive her of payment for her marriage contract [should she be found not to exhibit signs of virginity]. But as </w:t>
      </w:r>
      <w:r w:rsidRPr="000B300B">
        <w:lastRenderedPageBreak/>
        <w:t xml:space="preserve">to keeping the marriage going </w:t>
      </w:r>
      <w:r w:rsidR="00C00E25" w:rsidRPr="000B300B">
        <w:t>‘</w:t>
      </w:r>
      <w:r w:rsidRPr="000B300B">
        <w:t>the husband is not permitted to do so</w:t>
      </w:r>
      <w:r w:rsidR="00A02016" w:rsidRPr="000B300B">
        <w:t xml:space="preserve"> </w:t>
      </w:r>
      <w:r w:rsidRPr="000B300B">
        <w:t>by reason of the possibility that she has been wayward.</w:t>
      </w:r>
      <w:r w:rsidR="00EB0A41" w:rsidRPr="007471F9">
        <w:rPr>
          <w:rStyle w:val="FootnoteReference"/>
        </w:rPr>
        <w:footnoteReference w:id="19"/>
      </w:r>
    </w:p>
    <w:p w14:paraId="730FCFBD" w14:textId="028182B0" w:rsidR="00F12795" w:rsidRPr="000B300B" w:rsidRDefault="00064219"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I</w:t>
      </w:r>
      <w:r w:rsidR="00F12795" w:rsidRPr="000B300B">
        <w:rPr>
          <w:rFonts w:asciiTheme="majorBidi" w:hAnsiTheme="majorBidi" w:cstheme="majorBidi"/>
          <w:sz w:val="24"/>
          <w:szCs w:val="24"/>
        </w:rPr>
        <w:t xml:space="preserve">t emerges </w:t>
      </w:r>
      <w:r w:rsidRPr="000B300B">
        <w:rPr>
          <w:rFonts w:asciiTheme="majorBidi" w:hAnsiTheme="majorBidi" w:cstheme="majorBidi"/>
          <w:sz w:val="24"/>
          <w:szCs w:val="24"/>
        </w:rPr>
        <w:t xml:space="preserve">from here, </w:t>
      </w:r>
      <w:r w:rsidR="00F12795" w:rsidRPr="000B300B">
        <w:rPr>
          <w:rFonts w:asciiTheme="majorBidi" w:hAnsiTheme="majorBidi" w:cstheme="majorBidi"/>
          <w:sz w:val="24"/>
          <w:szCs w:val="24"/>
        </w:rPr>
        <w:t xml:space="preserve">that according to the </w:t>
      </w:r>
      <w:r w:rsidRPr="000B300B">
        <w:rPr>
          <w:rFonts w:asciiTheme="majorBidi" w:hAnsiTheme="majorBidi" w:cstheme="majorBidi"/>
          <w:sz w:val="24"/>
          <w:szCs w:val="24"/>
        </w:rPr>
        <w:t xml:space="preserve">prevailing </w:t>
      </w:r>
      <w:r w:rsidRPr="000B300B">
        <w:rPr>
          <w:rFonts w:asciiTheme="majorBidi" w:hAnsiTheme="majorBidi" w:cstheme="majorBidi"/>
          <w:i/>
          <w:iCs/>
          <w:sz w:val="24"/>
          <w:szCs w:val="24"/>
        </w:rPr>
        <w:t>halakhic</w:t>
      </w:r>
      <w:r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norm</w:t>
      </w:r>
      <w:r w:rsidRPr="000B300B">
        <w:rPr>
          <w:rFonts w:asciiTheme="majorBidi" w:hAnsiTheme="majorBidi" w:cstheme="majorBidi"/>
          <w:sz w:val="24"/>
          <w:szCs w:val="24"/>
        </w:rPr>
        <w:t xml:space="preserve"> in the Land of Israel</w:t>
      </w:r>
      <w:r w:rsidR="00F12795" w:rsidRPr="000B300B">
        <w:rPr>
          <w:rFonts w:asciiTheme="majorBidi" w:hAnsiTheme="majorBidi" w:cstheme="majorBidi"/>
          <w:sz w:val="24"/>
          <w:szCs w:val="24"/>
        </w:rPr>
        <w:t xml:space="preserve">, a bride who is not a virgin is forbidden to her husband. In light of this view, the need to confirm virginity is understandable, and the blessing that confirms </w:t>
      </w:r>
      <w:r w:rsidR="00206E83" w:rsidRPr="000B300B">
        <w:rPr>
          <w:rFonts w:asciiTheme="majorBidi" w:hAnsiTheme="majorBidi" w:cstheme="majorBidi"/>
          <w:sz w:val="24"/>
          <w:szCs w:val="24"/>
        </w:rPr>
        <w:t>the v</w:t>
      </w:r>
      <w:r w:rsidR="00DB1187" w:rsidRPr="000B300B">
        <w:rPr>
          <w:rFonts w:asciiTheme="majorBidi" w:hAnsiTheme="majorBidi" w:cstheme="majorBidi"/>
          <w:sz w:val="24"/>
          <w:szCs w:val="24"/>
        </w:rPr>
        <w:t xml:space="preserve">alidity of the </w:t>
      </w:r>
      <w:r w:rsidR="00F12795" w:rsidRPr="000B300B">
        <w:rPr>
          <w:rFonts w:asciiTheme="majorBidi" w:hAnsiTheme="majorBidi" w:cstheme="majorBidi"/>
          <w:sz w:val="24"/>
          <w:szCs w:val="24"/>
        </w:rPr>
        <w:t>marriage should be seen against this background</w:t>
      </w:r>
      <w:r w:rsidR="00DB1187" w:rsidRPr="000B300B">
        <w:rPr>
          <w:rFonts w:asciiTheme="majorBidi" w:hAnsiTheme="majorBidi" w:cstheme="majorBidi"/>
          <w:sz w:val="24"/>
          <w:szCs w:val="24"/>
        </w:rPr>
        <w:t>.</w:t>
      </w:r>
      <w:r w:rsidR="00EB0A41" w:rsidRPr="000B300B">
        <w:rPr>
          <w:rStyle w:val="FootnoteReference"/>
          <w:rFonts w:asciiTheme="majorBidi" w:hAnsiTheme="majorBidi" w:cstheme="majorBidi"/>
          <w:sz w:val="24"/>
          <w:szCs w:val="24"/>
        </w:rPr>
        <w:footnoteReference w:id="20"/>
      </w:r>
      <w:r w:rsidR="00F12795" w:rsidRPr="000B300B">
        <w:rPr>
          <w:rFonts w:asciiTheme="majorBidi" w:hAnsiTheme="majorBidi" w:cstheme="majorBidi"/>
          <w:sz w:val="24"/>
          <w:szCs w:val="24"/>
        </w:rPr>
        <w:t xml:space="preserve"> The connection between the blessing and the concern that she </w:t>
      </w:r>
      <w:r w:rsidRPr="000B300B">
        <w:rPr>
          <w:rFonts w:asciiTheme="majorBidi" w:hAnsiTheme="majorBidi" w:cstheme="majorBidi"/>
          <w:sz w:val="24"/>
          <w:szCs w:val="24"/>
        </w:rPr>
        <w:t>committed adultery</w:t>
      </w:r>
      <w:r w:rsidR="00F12795" w:rsidRPr="000B300B">
        <w:rPr>
          <w:rFonts w:asciiTheme="majorBidi" w:hAnsiTheme="majorBidi" w:cstheme="majorBidi"/>
          <w:sz w:val="24"/>
          <w:szCs w:val="24"/>
        </w:rPr>
        <w:t xml:space="preserve"> is explicitly stated in one version of the </w:t>
      </w:r>
      <w:r w:rsidRPr="000B300B">
        <w:rPr>
          <w:rFonts w:asciiTheme="majorBidi" w:hAnsiTheme="majorBidi" w:cstheme="majorBidi"/>
          <w:sz w:val="24"/>
          <w:szCs w:val="24"/>
        </w:rPr>
        <w:t xml:space="preserve">virginity blessing </w:t>
      </w:r>
      <w:r w:rsidR="00F12795" w:rsidRPr="000B300B">
        <w:rPr>
          <w:rFonts w:asciiTheme="majorBidi" w:hAnsiTheme="majorBidi" w:cstheme="majorBidi"/>
          <w:sz w:val="24"/>
          <w:szCs w:val="24"/>
        </w:rPr>
        <w:t xml:space="preserve">which quotes the verse from the Biblical portion </w:t>
      </w:r>
      <w:r w:rsidR="00FE7CF9" w:rsidRPr="000B300B">
        <w:rPr>
          <w:rFonts w:asciiTheme="majorBidi" w:hAnsiTheme="majorBidi" w:cstheme="majorBidi"/>
          <w:sz w:val="24"/>
          <w:szCs w:val="24"/>
        </w:rPr>
        <w:t>(</w:t>
      </w:r>
      <w:r w:rsidR="00FE7CF9" w:rsidRPr="000B300B">
        <w:rPr>
          <w:rFonts w:asciiTheme="majorBidi" w:hAnsiTheme="majorBidi" w:cstheme="majorBidi"/>
          <w:i/>
          <w:iCs/>
          <w:sz w:val="24"/>
          <w:szCs w:val="24"/>
        </w:rPr>
        <w:t>Bamidbar</w:t>
      </w:r>
      <w:r w:rsidR="00FE7CF9" w:rsidRPr="000B300B">
        <w:rPr>
          <w:rFonts w:asciiTheme="majorBidi" w:hAnsiTheme="majorBidi" w:cstheme="majorBidi"/>
          <w:sz w:val="24"/>
          <w:szCs w:val="24"/>
        </w:rPr>
        <w:t xml:space="preserve">, 5:28) describing the </w:t>
      </w:r>
      <w:r w:rsidR="00F12795" w:rsidRPr="000B300B">
        <w:rPr>
          <w:rFonts w:asciiTheme="majorBidi" w:hAnsiTheme="majorBidi" w:cstheme="majorBidi"/>
          <w:sz w:val="24"/>
          <w:szCs w:val="24"/>
        </w:rPr>
        <w:t>test</w:t>
      </w:r>
      <w:r w:rsidR="00FE7CF9" w:rsidRPr="000B300B">
        <w:rPr>
          <w:rFonts w:asciiTheme="majorBidi" w:hAnsiTheme="majorBidi" w:cstheme="majorBidi"/>
          <w:sz w:val="24"/>
          <w:szCs w:val="24"/>
        </w:rPr>
        <w:t xml:space="preserve"> of</w:t>
      </w:r>
      <w:r w:rsidR="00F12795" w:rsidRPr="000B300B">
        <w:rPr>
          <w:rFonts w:asciiTheme="majorBidi" w:hAnsiTheme="majorBidi" w:cstheme="majorBidi"/>
          <w:sz w:val="24"/>
          <w:szCs w:val="24"/>
        </w:rPr>
        <w:t xml:space="preserve"> the suspected</w:t>
      </w:r>
      <w:r w:rsidR="00F12795" w:rsidRPr="000B300B">
        <w:rPr>
          <w:rFonts w:asciiTheme="majorBidi" w:hAnsiTheme="majorBidi" w:cstheme="majorBidi"/>
          <w:b/>
          <w:bCs/>
          <w:sz w:val="24"/>
          <w:szCs w:val="24"/>
        </w:rPr>
        <w:t xml:space="preserve"> </w:t>
      </w:r>
      <w:r w:rsidRPr="000B300B">
        <w:rPr>
          <w:rFonts w:asciiTheme="majorBidi" w:hAnsiTheme="majorBidi" w:cstheme="majorBidi"/>
          <w:sz w:val="24"/>
          <w:szCs w:val="24"/>
        </w:rPr>
        <w:t>wayward wife</w:t>
      </w:r>
      <w:r w:rsidRPr="000B300B">
        <w:rPr>
          <w:rFonts w:asciiTheme="majorBidi" w:hAnsiTheme="majorBidi" w:cstheme="majorBidi"/>
          <w:b/>
          <w:bCs/>
          <w:sz w:val="24"/>
          <w:szCs w:val="24"/>
        </w:rPr>
        <w:t xml:space="preserve"> </w:t>
      </w:r>
      <w:r w:rsidR="00B07208" w:rsidRPr="000B300B">
        <w:rPr>
          <w:rFonts w:asciiTheme="majorBidi" w:hAnsiTheme="majorBidi" w:cstheme="majorBidi"/>
          <w:b/>
          <w:bCs/>
          <w:sz w:val="24"/>
          <w:szCs w:val="24"/>
        </w:rPr>
        <w:t>(</w:t>
      </w:r>
      <w:r w:rsidR="00F12795" w:rsidRPr="000B300B">
        <w:rPr>
          <w:rFonts w:asciiTheme="majorBidi" w:hAnsiTheme="majorBidi" w:cstheme="majorBidi"/>
          <w:i/>
          <w:iCs/>
          <w:sz w:val="24"/>
          <w:szCs w:val="24"/>
        </w:rPr>
        <w:t>sota</w:t>
      </w:r>
      <w:r w:rsidR="00795A41" w:rsidRPr="000B300B">
        <w:rPr>
          <w:rFonts w:asciiTheme="majorBidi" w:hAnsiTheme="majorBidi" w:cstheme="majorBidi"/>
          <w:i/>
          <w:iCs/>
          <w:sz w:val="24"/>
          <w:szCs w:val="24"/>
        </w:rPr>
        <w:t>h</w:t>
      </w:r>
      <w:r w:rsidR="00B07208"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which </w:t>
      </w:r>
      <w:r w:rsidRPr="000B300B">
        <w:rPr>
          <w:rFonts w:asciiTheme="majorBidi" w:hAnsiTheme="majorBidi" w:cstheme="majorBidi"/>
          <w:sz w:val="24"/>
          <w:szCs w:val="24"/>
        </w:rPr>
        <w:t>praises</w:t>
      </w:r>
      <w:r w:rsidR="00F12795" w:rsidRPr="000B300B">
        <w:rPr>
          <w:rFonts w:asciiTheme="majorBidi" w:hAnsiTheme="majorBidi" w:cstheme="majorBidi"/>
          <w:sz w:val="24"/>
          <w:szCs w:val="24"/>
        </w:rPr>
        <w:t xml:space="preserve"> the woman who has </w:t>
      </w:r>
      <w:r w:rsidRPr="000B300B">
        <w:rPr>
          <w:rFonts w:asciiTheme="majorBidi" w:hAnsiTheme="majorBidi" w:cstheme="majorBidi"/>
          <w:sz w:val="24"/>
          <w:szCs w:val="24"/>
        </w:rPr>
        <w:t>cleared</w:t>
      </w:r>
      <w:r w:rsidR="00F12795" w:rsidRPr="000B300B">
        <w:rPr>
          <w:rFonts w:asciiTheme="majorBidi" w:hAnsiTheme="majorBidi" w:cstheme="majorBidi"/>
          <w:sz w:val="24"/>
          <w:szCs w:val="24"/>
        </w:rPr>
        <w:t xml:space="preserve"> herself of suspicion: </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therefore this beloved doe who has kept he</w:t>
      </w:r>
      <w:r w:rsidR="008E666A" w:rsidRPr="000B300B">
        <w:rPr>
          <w:rFonts w:asciiTheme="majorBidi" w:hAnsiTheme="majorBidi" w:cstheme="majorBidi"/>
          <w:sz w:val="24"/>
          <w:szCs w:val="24"/>
        </w:rPr>
        <w:t>r</w:t>
      </w:r>
      <w:r w:rsidR="00F12795" w:rsidRPr="000B300B">
        <w:rPr>
          <w:rFonts w:asciiTheme="majorBidi" w:hAnsiTheme="majorBidi" w:cstheme="majorBidi"/>
          <w:sz w:val="24"/>
          <w:szCs w:val="24"/>
        </w:rPr>
        <w:t xml:space="preserve"> purity shall be gifted with </w:t>
      </w:r>
      <w:r w:rsidR="008E666A" w:rsidRPr="000B300B">
        <w:rPr>
          <w:rFonts w:asciiTheme="majorBidi" w:hAnsiTheme="majorBidi" w:cstheme="majorBidi"/>
          <w:sz w:val="24"/>
          <w:szCs w:val="24"/>
        </w:rPr>
        <w:t xml:space="preserve">holy </w:t>
      </w:r>
      <w:r w:rsidR="00F12795" w:rsidRPr="000B300B">
        <w:rPr>
          <w:rFonts w:asciiTheme="majorBidi" w:hAnsiTheme="majorBidi" w:cstheme="majorBidi"/>
          <w:sz w:val="24"/>
          <w:szCs w:val="24"/>
        </w:rPr>
        <w:t xml:space="preserve">seed </w:t>
      </w:r>
      <w:r w:rsidR="008E666A" w:rsidRPr="000B300B">
        <w:rPr>
          <w:rFonts w:asciiTheme="majorBidi" w:hAnsiTheme="majorBidi" w:cstheme="majorBidi"/>
          <w:sz w:val="24"/>
          <w:szCs w:val="24"/>
        </w:rPr>
        <w:t xml:space="preserve">[ie, with child] </w:t>
      </w:r>
      <w:r w:rsidR="00F12795" w:rsidRPr="000B300B">
        <w:rPr>
          <w:rFonts w:asciiTheme="majorBidi" w:hAnsiTheme="majorBidi" w:cstheme="majorBidi"/>
          <w:sz w:val="24"/>
          <w:szCs w:val="24"/>
        </w:rPr>
        <w:t xml:space="preserve">because she did not violate the statute, as it is writ[ten] </w:t>
      </w:r>
      <w:r w:rsidR="00C00E25" w:rsidRPr="000B300B">
        <w:rPr>
          <w:rFonts w:asciiTheme="majorBidi" w:hAnsiTheme="majorBidi" w:cstheme="majorBidi"/>
          <w:sz w:val="24"/>
          <w:szCs w:val="24"/>
        </w:rPr>
        <w:t>‘</w:t>
      </w:r>
      <w:r w:rsidR="008E666A" w:rsidRPr="000B300B">
        <w:rPr>
          <w:rFonts w:asciiTheme="majorBidi" w:hAnsiTheme="majorBidi" w:cstheme="majorBidi"/>
          <w:sz w:val="24"/>
          <w:szCs w:val="24"/>
        </w:rPr>
        <w:t>if the woman has not defiled herself and is pure, she shall be unharmed and able to retain seed.</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Blessed are you, oh Lord, Who sanctifies Israel and virginity</w:t>
      </w:r>
      <w:r w:rsidR="00331504" w:rsidRPr="000B300B">
        <w:rPr>
          <w:rFonts w:asciiTheme="majorBidi" w:hAnsiTheme="majorBidi" w:cstheme="majorBidi"/>
          <w:sz w:val="24"/>
          <w:szCs w:val="24"/>
        </w:rPr>
        <w:t>.</w:t>
      </w:r>
      <w:r w:rsidR="00C00E25" w:rsidRPr="000B300B">
        <w:rPr>
          <w:rFonts w:asciiTheme="majorBidi" w:hAnsiTheme="majorBidi" w:cstheme="majorBidi"/>
          <w:sz w:val="24"/>
          <w:szCs w:val="24"/>
        </w:rPr>
        <w:t>’</w:t>
      </w:r>
      <w:r w:rsidR="00EB0A41" w:rsidRPr="000B300B">
        <w:rPr>
          <w:rStyle w:val="FootnoteReference"/>
          <w:rFonts w:asciiTheme="majorBidi" w:hAnsiTheme="majorBidi" w:cstheme="majorBidi"/>
          <w:sz w:val="24"/>
          <w:szCs w:val="24"/>
        </w:rPr>
        <w:footnoteReference w:id="21"/>
      </w:r>
    </w:p>
    <w:p w14:paraId="0245BD77" w14:textId="418F2CC3" w:rsidR="00795A41" w:rsidRPr="000B300B" w:rsidRDefault="008E666A" w:rsidP="00795A41">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In contrast, the </w:t>
      </w:r>
      <w:r w:rsidR="00F12795" w:rsidRPr="000B300B">
        <w:rPr>
          <w:rFonts w:asciiTheme="majorBidi" w:hAnsiTheme="majorBidi" w:cstheme="majorBidi"/>
          <w:sz w:val="24"/>
          <w:szCs w:val="24"/>
        </w:rPr>
        <w:t xml:space="preserve">Babylonian Talmud challenged the need for </w:t>
      </w:r>
      <w:r w:rsidR="00FE7CF9" w:rsidRPr="000B300B">
        <w:rPr>
          <w:rFonts w:asciiTheme="majorBidi" w:hAnsiTheme="majorBidi" w:cstheme="majorBidi"/>
          <w:sz w:val="24"/>
          <w:szCs w:val="24"/>
        </w:rPr>
        <w:t xml:space="preserve">displaying </w:t>
      </w:r>
      <w:r w:rsidR="00F12795" w:rsidRPr="000B300B">
        <w:rPr>
          <w:rFonts w:asciiTheme="majorBidi" w:hAnsiTheme="majorBidi" w:cstheme="majorBidi"/>
          <w:sz w:val="24"/>
          <w:szCs w:val="24"/>
        </w:rPr>
        <w:t>a stained sheet, stating that most grooms</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 first </w:t>
      </w:r>
      <w:r w:rsidR="00F12795" w:rsidRPr="000B300B">
        <w:rPr>
          <w:rFonts w:asciiTheme="majorBidi" w:hAnsiTheme="majorBidi" w:cstheme="majorBidi"/>
          <w:sz w:val="24"/>
          <w:szCs w:val="24"/>
        </w:rPr>
        <w:t>intercourse</w:t>
      </w:r>
      <w:r w:rsidRPr="000B300B">
        <w:rPr>
          <w:rFonts w:asciiTheme="majorBidi" w:hAnsiTheme="majorBidi" w:cstheme="majorBidi"/>
          <w:sz w:val="24"/>
          <w:szCs w:val="24"/>
        </w:rPr>
        <w:t xml:space="preserve"> doesn</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t damage </w:t>
      </w:r>
      <w:r w:rsidR="00F12795" w:rsidRPr="000B300B">
        <w:rPr>
          <w:rFonts w:asciiTheme="majorBidi" w:hAnsiTheme="majorBidi" w:cstheme="majorBidi"/>
          <w:sz w:val="24"/>
          <w:szCs w:val="24"/>
        </w:rPr>
        <w:t>the hymen:</w:t>
      </w:r>
      <w:r w:rsidR="00AB6B08" w:rsidRPr="000B300B">
        <w:rPr>
          <w:rFonts w:asciiTheme="majorBidi" w:hAnsiTheme="majorBidi" w:cstheme="majorBidi"/>
          <w:sz w:val="24"/>
          <w:szCs w:val="24"/>
        </w:rPr>
        <w:t xml:space="preserve"> </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Most grooms are knowledgeable about penetrating at an angle… and why have a clean sheet to preserve the evidence of the bride</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s virginity?</w:t>
      </w:r>
      <w:r w:rsidR="00C00E25"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2"/>
      </w:r>
      <w:r w:rsidR="00795A41"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 xml:space="preserve">It </w:t>
      </w:r>
      <w:r w:rsidR="00F42E3B" w:rsidRPr="000B300B">
        <w:rPr>
          <w:rFonts w:asciiTheme="majorBidi" w:hAnsiTheme="majorBidi" w:cstheme="majorBidi"/>
          <w:sz w:val="24"/>
          <w:szCs w:val="24"/>
        </w:rPr>
        <w:t>appears</w:t>
      </w:r>
      <w:r w:rsidR="00F12795" w:rsidRPr="000B300B">
        <w:rPr>
          <w:rFonts w:asciiTheme="majorBidi" w:hAnsiTheme="majorBidi" w:cstheme="majorBidi"/>
          <w:sz w:val="24"/>
          <w:szCs w:val="24"/>
        </w:rPr>
        <w:t xml:space="preserve"> that behind this</w:t>
      </w:r>
      <w:r w:rsidR="00971FE7" w:rsidRPr="000B300B">
        <w:rPr>
          <w:rFonts w:asciiTheme="majorBidi" w:hAnsiTheme="majorBidi" w:cstheme="majorBidi"/>
          <w:sz w:val="24"/>
          <w:szCs w:val="24"/>
        </w:rPr>
        <w:t xml:space="preserve"> assertion that </w:t>
      </w:r>
      <w:r w:rsidR="00C00E25" w:rsidRPr="000B300B">
        <w:rPr>
          <w:rFonts w:asciiTheme="majorBidi" w:hAnsiTheme="majorBidi" w:cstheme="majorBidi"/>
          <w:sz w:val="24"/>
          <w:szCs w:val="24"/>
        </w:rPr>
        <w:t>‘</w:t>
      </w:r>
      <w:r w:rsidR="00F42E3B" w:rsidRPr="000B300B">
        <w:rPr>
          <w:rFonts w:asciiTheme="majorBidi" w:hAnsiTheme="majorBidi" w:cstheme="majorBidi"/>
          <w:sz w:val="24"/>
          <w:szCs w:val="24"/>
        </w:rPr>
        <w:t>m</w:t>
      </w:r>
      <w:r w:rsidR="00971FE7" w:rsidRPr="000B300B">
        <w:rPr>
          <w:rFonts w:asciiTheme="majorBidi" w:hAnsiTheme="majorBidi" w:cstheme="majorBidi"/>
          <w:sz w:val="24"/>
          <w:szCs w:val="24"/>
        </w:rPr>
        <w:t>ost grooms are knowledgeable about penetrating at an angle</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t>
      </w:r>
      <w:r w:rsidR="000B0321" w:rsidRPr="000B300B">
        <w:rPr>
          <w:rFonts w:asciiTheme="majorBidi" w:hAnsiTheme="majorBidi" w:cstheme="majorBidi"/>
          <w:sz w:val="24"/>
          <w:szCs w:val="24"/>
        </w:rPr>
        <w:t xml:space="preserve">lies the fact that in any case </w:t>
      </w:r>
      <w:r w:rsidR="00F12795" w:rsidRPr="000B300B">
        <w:rPr>
          <w:rFonts w:asciiTheme="majorBidi" w:hAnsiTheme="majorBidi" w:cstheme="majorBidi"/>
          <w:sz w:val="24"/>
          <w:szCs w:val="24"/>
        </w:rPr>
        <w:t xml:space="preserve">the bride would not be </w:t>
      </w:r>
      <w:r w:rsidR="00E434E8" w:rsidRPr="000B300B">
        <w:rPr>
          <w:rFonts w:asciiTheme="majorBidi" w:hAnsiTheme="majorBidi" w:cstheme="majorBidi"/>
          <w:sz w:val="24"/>
          <w:szCs w:val="24"/>
        </w:rPr>
        <w:t xml:space="preserve">considered </w:t>
      </w:r>
      <w:r w:rsidR="00F12795" w:rsidRPr="000B300B">
        <w:rPr>
          <w:rFonts w:asciiTheme="majorBidi" w:hAnsiTheme="majorBidi" w:cstheme="majorBidi"/>
          <w:sz w:val="24"/>
          <w:szCs w:val="24"/>
        </w:rPr>
        <w:t>an adulteress.</w:t>
      </w:r>
    </w:p>
    <w:p w14:paraId="4E8B71CC" w14:textId="30C3BC0B" w:rsidR="00F12795" w:rsidRPr="000B300B" w:rsidRDefault="00F12795" w:rsidP="00795A41">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Another </w:t>
      </w:r>
      <w:r w:rsidR="00050918" w:rsidRPr="000B300B">
        <w:rPr>
          <w:rFonts w:asciiTheme="majorBidi" w:hAnsiTheme="majorBidi" w:cstheme="majorBidi"/>
          <w:sz w:val="24"/>
          <w:szCs w:val="24"/>
        </w:rPr>
        <w:t>fact</w:t>
      </w:r>
      <w:r w:rsidRPr="000B300B">
        <w:rPr>
          <w:rFonts w:asciiTheme="majorBidi" w:hAnsiTheme="majorBidi" w:cstheme="majorBidi"/>
          <w:sz w:val="24"/>
          <w:szCs w:val="24"/>
        </w:rPr>
        <w:t xml:space="preserve"> that created the gap between the communities is the age of marriage. In Babylonia</w:t>
      </w:r>
      <w:r w:rsidR="00050918"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the norm was for girls to marry around the age of sexual maturity, thus eliminating the fear that </w:t>
      </w:r>
      <w:r w:rsidRPr="000B300B">
        <w:rPr>
          <w:rFonts w:asciiTheme="majorBidi" w:hAnsiTheme="majorBidi" w:cstheme="majorBidi"/>
          <w:sz w:val="24"/>
          <w:szCs w:val="24"/>
        </w:rPr>
        <w:lastRenderedPageBreak/>
        <w:t>the bride is not a virgin. This is in contrast to the relatively later age of marriage in the Land of Israel.</w:t>
      </w:r>
      <w:r w:rsidR="002D6985" w:rsidRPr="000B300B">
        <w:rPr>
          <w:rStyle w:val="FootnoteReference"/>
          <w:rFonts w:asciiTheme="majorBidi" w:hAnsiTheme="majorBidi" w:cstheme="majorBidi"/>
          <w:sz w:val="24"/>
          <w:szCs w:val="24"/>
        </w:rPr>
        <w:footnoteReference w:id="23"/>
      </w:r>
    </w:p>
    <w:p w14:paraId="2F911C8B" w14:textId="08F59B2E" w:rsidR="00F12795" w:rsidRPr="000B300B" w:rsidRDefault="00240A19" w:rsidP="00D95B5D">
      <w:pPr>
        <w:spacing w:line="360" w:lineRule="auto"/>
        <w:jc w:val="both"/>
        <w:rPr>
          <w:rFonts w:asciiTheme="majorBidi" w:hAnsiTheme="majorBidi" w:cstheme="majorBidi"/>
          <w:b/>
          <w:bCs/>
          <w:sz w:val="24"/>
          <w:szCs w:val="24"/>
          <w:u w:val="single"/>
        </w:rPr>
      </w:pPr>
      <w:r w:rsidRPr="000B300B">
        <w:rPr>
          <w:rFonts w:asciiTheme="majorBidi" w:hAnsiTheme="majorBidi" w:cstheme="majorBidi"/>
          <w:b/>
          <w:bCs/>
          <w:sz w:val="24"/>
          <w:szCs w:val="24"/>
          <w:u w:val="single"/>
        </w:rPr>
        <w:t>The Early</w:t>
      </w:r>
      <w:r w:rsidR="00F12795" w:rsidRPr="000B300B">
        <w:rPr>
          <w:rFonts w:asciiTheme="majorBidi" w:hAnsiTheme="majorBidi" w:cstheme="majorBidi"/>
          <w:b/>
          <w:bCs/>
          <w:sz w:val="24"/>
          <w:szCs w:val="24"/>
          <w:u w:val="single"/>
        </w:rPr>
        <w:t xml:space="preserve"> Hala</w:t>
      </w:r>
      <w:r w:rsidR="00857AA9" w:rsidRPr="000B300B">
        <w:rPr>
          <w:rFonts w:asciiTheme="majorBidi" w:hAnsiTheme="majorBidi" w:cstheme="majorBidi"/>
          <w:b/>
          <w:bCs/>
          <w:sz w:val="24"/>
          <w:szCs w:val="24"/>
          <w:u w:val="single"/>
        </w:rPr>
        <w:t>k</w:t>
      </w:r>
      <w:r w:rsidR="00F12795" w:rsidRPr="000B300B">
        <w:rPr>
          <w:rFonts w:asciiTheme="majorBidi" w:hAnsiTheme="majorBidi" w:cstheme="majorBidi"/>
          <w:b/>
          <w:bCs/>
          <w:sz w:val="24"/>
          <w:szCs w:val="24"/>
          <w:u w:val="single"/>
        </w:rPr>
        <w:t>ha</w:t>
      </w:r>
      <w:r w:rsidR="00857AA9" w:rsidRPr="000B300B">
        <w:rPr>
          <w:rFonts w:asciiTheme="majorBidi" w:hAnsiTheme="majorBidi" w:cstheme="majorBidi"/>
          <w:b/>
          <w:bCs/>
          <w:sz w:val="24"/>
          <w:szCs w:val="24"/>
          <w:u w:val="single"/>
        </w:rPr>
        <w:t>h</w:t>
      </w:r>
    </w:p>
    <w:p w14:paraId="6D00D2B1" w14:textId="3548F3E7"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The </w:t>
      </w:r>
      <w:r w:rsidR="00E434E8" w:rsidRPr="000B300B">
        <w:rPr>
          <w:rFonts w:asciiTheme="majorBidi" w:hAnsiTheme="majorBidi" w:cstheme="majorBidi"/>
          <w:sz w:val="24"/>
          <w:szCs w:val="24"/>
        </w:rPr>
        <w:t>fear of adultery in</w:t>
      </w:r>
      <w:r w:rsidR="00857AA9" w:rsidRPr="000B300B">
        <w:rPr>
          <w:rFonts w:asciiTheme="majorBidi" w:hAnsiTheme="majorBidi" w:cstheme="majorBidi"/>
          <w:sz w:val="24"/>
          <w:szCs w:val="24"/>
        </w:rPr>
        <w:t xml:space="preserve"> the </w:t>
      </w:r>
      <w:r w:rsidR="00857AA9" w:rsidRPr="000B300B">
        <w:rPr>
          <w:rFonts w:asciiTheme="majorBidi" w:hAnsiTheme="majorBidi" w:cstheme="majorBidi"/>
          <w:i/>
          <w:iCs/>
          <w:sz w:val="24"/>
          <w:szCs w:val="24"/>
        </w:rPr>
        <w:t>halakhah</w:t>
      </w:r>
      <w:r w:rsidR="00857AA9" w:rsidRPr="000B300B">
        <w:rPr>
          <w:rFonts w:asciiTheme="majorBidi" w:hAnsiTheme="majorBidi" w:cstheme="majorBidi"/>
          <w:sz w:val="24"/>
          <w:szCs w:val="24"/>
        </w:rPr>
        <w:t xml:space="preserve"> of </w:t>
      </w:r>
      <w:r w:rsidR="00E434E8" w:rsidRPr="000B300B">
        <w:rPr>
          <w:rFonts w:asciiTheme="majorBidi" w:hAnsiTheme="majorBidi" w:cstheme="majorBidi"/>
          <w:sz w:val="24"/>
          <w:szCs w:val="24"/>
        </w:rPr>
        <w:t>the Land</w:t>
      </w:r>
      <w:r w:rsidR="002A1F11" w:rsidRPr="000B300B">
        <w:rPr>
          <w:rFonts w:asciiTheme="majorBidi" w:hAnsiTheme="majorBidi" w:cstheme="majorBidi"/>
          <w:sz w:val="24"/>
          <w:szCs w:val="24"/>
        </w:rPr>
        <w:t xml:space="preserve"> </w:t>
      </w:r>
      <w:r w:rsidR="00E434E8" w:rsidRPr="000B300B">
        <w:rPr>
          <w:rFonts w:asciiTheme="majorBidi" w:hAnsiTheme="majorBidi" w:cstheme="majorBidi"/>
          <w:sz w:val="24"/>
          <w:szCs w:val="24"/>
        </w:rPr>
        <w:t>of Israel</w:t>
      </w:r>
      <w:r w:rsidR="00E434E8" w:rsidRPr="000B300B">
        <w:rPr>
          <w:rFonts w:asciiTheme="majorBidi" w:hAnsiTheme="majorBidi" w:cstheme="majorBidi"/>
          <w:b/>
          <w:bCs/>
          <w:sz w:val="24"/>
          <w:szCs w:val="24"/>
        </w:rPr>
        <w:t xml:space="preserve"> </w:t>
      </w:r>
      <w:r w:rsidR="00857AA9" w:rsidRPr="000B300B">
        <w:rPr>
          <w:rFonts w:asciiTheme="majorBidi" w:hAnsiTheme="majorBidi" w:cstheme="majorBidi"/>
          <w:sz w:val="24"/>
          <w:szCs w:val="24"/>
        </w:rPr>
        <w:t>is</w:t>
      </w:r>
      <w:r w:rsidR="00857AA9" w:rsidRPr="000B300B">
        <w:rPr>
          <w:rFonts w:asciiTheme="majorBidi" w:hAnsiTheme="majorBidi" w:cstheme="majorBidi"/>
          <w:b/>
          <w:bCs/>
          <w:sz w:val="24"/>
          <w:szCs w:val="24"/>
        </w:rPr>
        <w:t xml:space="preserve"> </w:t>
      </w:r>
      <w:r w:rsidRPr="000B300B">
        <w:rPr>
          <w:rFonts w:asciiTheme="majorBidi" w:hAnsiTheme="majorBidi" w:cstheme="majorBidi"/>
          <w:sz w:val="24"/>
          <w:szCs w:val="24"/>
        </w:rPr>
        <w:t xml:space="preserve">based on two </w:t>
      </w:r>
      <w:r w:rsidR="00857AA9" w:rsidRPr="000B300B">
        <w:rPr>
          <w:rFonts w:asciiTheme="majorBidi" w:hAnsiTheme="majorBidi" w:cstheme="majorBidi"/>
          <w:sz w:val="24"/>
          <w:szCs w:val="24"/>
        </w:rPr>
        <w:t>facts</w:t>
      </w:r>
      <w:r w:rsidR="002A1F11" w:rsidRPr="000B300B">
        <w:rPr>
          <w:rFonts w:asciiTheme="majorBidi" w:hAnsiTheme="majorBidi" w:cstheme="majorBidi"/>
          <w:sz w:val="24"/>
          <w:szCs w:val="24"/>
        </w:rPr>
        <w:t>: t</w:t>
      </w:r>
      <w:r w:rsidRPr="000B300B">
        <w:rPr>
          <w:rFonts w:asciiTheme="majorBidi" w:hAnsiTheme="majorBidi" w:cstheme="majorBidi"/>
          <w:sz w:val="24"/>
          <w:szCs w:val="24"/>
        </w:rPr>
        <w:t xml:space="preserve">he </w:t>
      </w:r>
      <w:r w:rsidR="00857AA9" w:rsidRPr="000B300B">
        <w:rPr>
          <w:rFonts w:asciiTheme="majorBidi" w:hAnsiTheme="majorBidi" w:cstheme="majorBidi"/>
          <w:sz w:val="24"/>
          <w:szCs w:val="24"/>
        </w:rPr>
        <w:t xml:space="preserve">length of time </w:t>
      </w:r>
      <w:r w:rsidR="002052D4" w:rsidRPr="000B300B">
        <w:rPr>
          <w:rFonts w:asciiTheme="majorBidi" w:hAnsiTheme="majorBidi" w:cstheme="majorBidi"/>
          <w:sz w:val="24"/>
          <w:szCs w:val="24"/>
        </w:rPr>
        <w:t>between</w:t>
      </w:r>
      <w:r w:rsidRPr="000B300B">
        <w:rPr>
          <w:rFonts w:asciiTheme="majorBidi" w:hAnsiTheme="majorBidi" w:cstheme="majorBidi"/>
          <w:sz w:val="24"/>
          <w:szCs w:val="24"/>
        </w:rPr>
        <w:t xml:space="preserve"> </w:t>
      </w:r>
      <w:r w:rsidR="002A1F11" w:rsidRPr="000B300B">
        <w:rPr>
          <w:rFonts w:asciiTheme="majorBidi" w:hAnsiTheme="majorBidi" w:cstheme="majorBidi"/>
          <w:sz w:val="24"/>
          <w:szCs w:val="24"/>
        </w:rPr>
        <w:t>betrothal</w:t>
      </w:r>
      <w:r w:rsidRPr="000B300B">
        <w:rPr>
          <w:rFonts w:asciiTheme="majorBidi" w:hAnsiTheme="majorBidi" w:cstheme="majorBidi"/>
          <w:sz w:val="24"/>
          <w:szCs w:val="24"/>
        </w:rPr>
        <w:t xml:space="preserve"> </w:t>
      </w:r>
      <w:r w:rsidR="002052D4" w:rsidRPr="000B300B">
        <w:rPr>
          <w:rFonts w:asciiTheme="majorBidi" w:hAnsiTheme="majorBidi" w:cstheme="majorBidi"/>
          <w:sz w:val="24"/>
          <w:szCs w:val="24"/>
        </w:rPr>
        <w:t>and</w:t>
      </w:r>
      <w:r w:rsidRPr="000B300B">
        <w:rPr>
          <w:rFonts w:asciiTheme="majorBidi" w:hAnsiTheme="majorBidi" w:cstheme="majorBidi"/>
          <w:sz w:val="24"/>
          <w:szCs w:val="24"/>
        </w:rPr>
        <w:t xml:space="preserve"> marriage, and the postponement of sexual contact between the bride and groom until the wedding night. It appears that </w:t>
      </w:r>
      <w:r w:rsidR="00277D63" w:rsidRPr="000B300B">
        <w:rPr>
          <w:rFonts w:asciiTheme="majorBidi" w:hAnsiTheme="majorBidi" w:cstheme="majorBidi"/>
          <w:sz w:val="24"/>
          <w:szCs w:val="24"/>
        </w:rPr>
        <w:t xml:space="preserve">in the Land of Israel there existed an early conception of </w:t>
      </w:r>
      <w:r w:rsidR="00857AA9" w:rsidRPr="000B300B">
        <w:rPr>
          <w:rFonts w:asciiTheme="majorBidi" w:hAnsiTheme="majorBidi" w:cstheme="majorBidi"/>
          <w:sz w:val="24"/>
          <w:szCs w:val="24"/>
        </w:rPr>
        <w:t>betrothal</w:t>
      </w:r>
      <w:r w:rsidR="00277D63" w:rsidRPr="000B300B">
        <w:rPr>
          <w:rFonts w:asciiTheme="majorBidi" w:hAnsiTheme="majorBidi" w:cstheme="majorBidi"/>
          <w:sz w:val="24"/>
          <w:szCs w:val="24"/>
        </w:rPr>
        <w:t xml:space="preserve"> as</w:t>
      </w:r>
      <w:r w:rsidR="00857AA9" w:rsidRPr="000B300B">
        <w:rPr>
          <w:rFonts w:asciiTheme="majorBidi" w:hAnsiTheme="majorBidi" w:cstheme="majorBidi"/>
          <w:sz w:val="24"/>
          <w:szCs w:val="24"/>
        </w:rPr>
        <w:t xml:space="preserve"> </w:t>
      </w:r>
      <w:r w:rsidR="00277D63" w:rsidRPr="000B300B">
        <w:rPr>
          <w:rFonts w:asciiTheme="majorBidi" w:hAnsiTheme="majorBidi" w:cstheme="majorBidi"/>
          <w:sz w:val="24"/>
          <w:szCs w:val="24"/>
        </w:rPr>
        <w:t>a</w:t>
      </w:r>
      <w:r w:rsidRPr="000B300B">
        <w:rPr>
          <w:rFonts w:asciiTheme="majorBidi" w:hAnsiTheme="majorBidi" w:cstheme="majorBidi"/>
          <w:sz w:val="24"/>
          <w:szCs w:val="24"/>
        </w:rPr>
        <w:t xml:space="preserve"> </w:t>
      </w:r>
      <w:r w:rsidR="00857AA9" w:rsidRPr="000B300B">
        <w:rPr>
          <w:rFonts w:asciiTheme="majorBidi" w:hAnsiTheme="majorBidi" w:cstheme="majorBidi"/>
          <w:sz w:val="24"/>
          <w:szCs w:val="24"/>
        </w:rPr>
        <w:t>full relationship</w:t>
      </w:r>
      <w:r w:rsidRPr="000B300B">
        <w:rPr>
          <w:rFonts w:asciiTheme="majorBidi" w:hAnsiTheme="majorBidi" w:cstheme="majorBidi"/>
          <w:b/>
          <w:bCs/>
          <w:sz w:val="24"/>
          <w:szCs w:val="24"/>
        </w:rPr>
        <w:t xml:space="preserve"> </w:t>
      </w:r>
      <w:r w:rsidRPr="000B300B">
        <w:rPr>
          <w:rFonts w:asciiTheme="majorBidi" w:hAnsiTheme="majorBidi" w:cstheme="majorBidi"/>
          <w:sz w:val="24"/>
          <w:szCs w:val="24"/>
        </w:rPr>
        <w:t>for all intents and purposes</w:t>
      </w:r>
      <w:r w:rsidR="00C94441" w:rsidRPr="000B300B">
        <w:rPr>
          <w:rFonts w:asciiTheme="majorBidi" w:hAnsiTheme="majorBidi" w:cstheme="majorBidi"/>
          <w:sz w:val="24"/>
          <w:szCs w:val="24"/>
        </w:rPr>
        <w:t>,</w:t>
      </w:r>
      <w:r w:rsidR="00277D63" w:rsidRPr="000B300B">
        <w:rPr>
          <w:rFonts w:asciiTheme="majorBidi" w:hAnsiTheme="majorBidi" w:cstheme="majorBidi"/>
          <w:sz w:val="24"/>
          <w:szCs w:val="24"/>
        </w:rPr>
        <w:t xml:space="preserve"> that </w:t>
      </w:r>
      <w:r w:rsidR="00FE7CF9" w:rsidRPr="000B300B">
        <w:rPr>
          <w:rFonts w:asciiTheme="majorBidi" w:hAnsiTheme="majorBidi" w:cstheme="majorBidi"/>
          <w:sz w:val="24"/>
          <w:szCs w:val="24"/>
        </w:rPr>
        <w:t xml:space="preserve">marked </w:t>
      </w:r>
      <w:r w:rsidR="00857AA9" w:rsidRPr="000B300B">
        <w:rPr>
          <w:rFonts w:asciiTheme="majorBidi" w:hAnsiTheme="majorBidi" w:cstheme="majorBidi"/>
          <w:sz w:val="24"/>
          <w:szCs w:val="24"/>
        </w:rPr>
        <w:t xml:space="preserve">the beginning of both </w:t>
      </w:r>
      <w:r w:rsidR="00545C00" w:rsidRPr="000B300B">
        <w:rPr>
          <w:rFonts w:asciiTheme="majorBidi" w:hAnsiTheme="majorBidi" w:cstheme="majorBidi"/>
          <w:sz w:val="24"/>
          <w:szCs w:val="24"/>
        </w:rPr>
        <w:t xml:space="preserve">the </w:t>
      </w:r>
      <w:r w:rsidRPr="000B300B">
        <w:rPr>
          <w:rFonts w:asciiTheme="majorBidi" w:hAnsiTheme="majorBidi" w:cstheme="majorBidi"/>
          <w:sz w:val="24"/>
          <w:szCs w:val="24"/>
        </w:rPr>
        <w:t>economic and physical partnership</w:t>
      </w:r>
      <w:r w:rsidR="00857AA9" w:rsidRPr="000B300B">
        <w:rPr>
          <w:rFonts w:asciiTheme="majorBidi" w:hAnsiTheme="majorBidi" w:cstheme="majorBidi"/>
          <w:sz w:val="24"/>
          <w:szCs w:val="24"/>
        </w:rPr>
        <w:t xml:space="preserve">. </w:t>
      </w:r>
      <w:r w:rsidRPr="000B300B">
        <w:rPr>
          <w:rFonts w:asciiTheme="majorBidi" w:hAnsiTheme="majorBidi" w:cstheme="majorBidi"/>
          <w:sz w:val="24"/>
          <w:szCs w:val="24"/>
        </w:rPr>
        <w:t>Only</w:t>
      </w:r>
      <w:r w:rsidR="00277D63" w:rsidRPr="000B300B">
        <w:rPr>
          <w:rFonts w:asciiTheme="majorBidi" w:hAnsiTheme="majorBidi" w:cstheme="majorBidi"/>
          <w:sz w:val="24"/>
          <w:szCs w:val="24"/>
        </w:rPr>
        <w:t xml:space="preserve"> the</w:t>
      </w:r>
      <w:r w:rsidRPr="000B300B">
        <w:rPr>
          <w:rFonts w:asciiTheme="majorBidi" w:hAnsiTheme="majorBidi" w:cstheme="majorBidi"/>
          <w:sz w:val="24"/>
          <w:szCs w:val="24"/>
        </w:rPr>
        <w:t xml:space="preserve"> later </w:t>
      </w:r>
      <w:r w:rsidRPr="000B300B">
        <w:rPr>
          <w:rFonts w:asciiTheme="majorBidi" w:hAnsiTheme="majorBidi" w:cstheme="majorBidi"/>
          <w:i/>
          <w:iCs/>
          <w:sz w:val="24"/>
          <w:szCs w:val="24"/>
        </w:rPr>
        <w:t>halakhah</w:t>
      </w:r>
      <w:r w:rsidRPr="000B300B">
        <w:rPr>
          <w:rFonts w:asciiTheme="majorBidi" w:hAnsiTheme="majorBidi" w:cstheme="majorBidi"/>
          <w:sz w:val="24"/>
          <w:szCs w:val="24"/>
        </w:rPr>
        <w:t xml:space="preserve"> which first gained a foothold in </w:t>
      </w:r>
      <w:r w:rsidR="00277D63" w:rsidRPr="000B300B">
        <w:rPr>
          <w:rFonts w:asciiTheme="majorBidi" w:hAnsiTheme="majorBidi" w:cstheme="majorBidi"/>
          <w:sz w:val="24"/>
          <w:szCs w:val="24"/>
        </w:rPr>
        <w:t xml:space="preserve">the </w:t>
      </w:r>
      <w:r w:rsidRPr="000B300B">
        <w:rPr>
          <w:rFonts w:asciiTheme="majorBidi" w:hAnsiTheme="majorBidi" w:cstheme="majorBidi"/>
          <w:sz w:val="24"/>
          <w:szCs w:val="24"/>
        </w:rPr>
        <w:t xml:space="preserve">Galilee forbade marital relations during the </w:t>
      </w:r>
      <w:r w:rsidR="00545C00" w:rsidRPr="000B300B">
        <w:rPr>
          <w:rFonts w:asciiTheme="majorBidi" w:hAnsiTheme="majorBidi" w:cstheme="majorBidi"/>
          <w:sz w:val="24"/>
          <w:szCs w:val="24"/>
        </w:rPr>
        <w:t>betrothal</w:t>
      </w:r>
      <w:r w:rsidRPr="000B300B">
        <w:rPr>
          <w:rFonts w:asciiTheme="majorBidi" w:hAnsiTheme="majorBidi" w:cstheme="majorBidi"/>
          <w:sz w:val="24"/>
          <w:szCs w:val="24"/>
        </w:rPr>
        <w:t xml:space="preserve"> </w:t>
      </w:r>
      <w:r w:rsidR="00FE7CF9" w:rsidRPr="000B300B">
        <w:rPr>
          <w:rFonts w:asciiTheme="majorBidi" w:hAnsiTheme="majorBidi" w:cstheme="majorBidi"/>
          <w:sz w:val="24"/>
          <w:szCs w:val="24"/>
        </w:rPr>
        <w:t>period and</w:t>
      </w:r>
      <w:r w:rsidRPr="000B300B">
        <w:rPr>
          <w:rFonts w:asciiTheme="majorBidi" w:hAnsiTheme="majorBidi" w:cstheme="majorBidi"/>
          <w:sz w:val="24"/>
          <w:szCs w:val="24"/>
        </w:rPr>
        <w:t xml:space="preserve"> </w:t>
      </w:r>
      <w:r w:rsidR="00545C00" w:rsidRPr="000B300B">
        <w:rPr>
          <w:rFonts w:asciiTheme="majorBidi" w:hAnsiTheme="majorBidi" w:cstheme="majorBidi"/>
          <w:sz w:val="24"/>
          <w:szCs w:val="24"/>
        </w:rPr>
        <w:t>postponed</w:t>
      </w:r>
      <w:r w:rsidRPr="000B300B">
        <w:rPr>
          <w:rFonts w:asciiTheme="majorBidi" w:hAnsiTheme="majorBidi" w:cstheme="majorBidi"/>
          <w:sz w:val="24"/>
          <w:szCs w:val="24"/>
        </w:rPr>
        <w:t xml:space="preserve"> the economic commitment </w:t>
      </w:r>
      <w:r w:rsidR="00FE7CF9" w:rsidRPr="000B300B">
        <w:rPr>
          <w:rFonts w:asciiTheme="majorBidi" w:hAnsiTheme="majorBidi" w:cstheme="majorBidi"/>
          <w:sz w:val="24"/>
          <w:szCs w:val="24"/>
        </w:rPr>
        <w:t>until</w:t>
      </w:r>
      <w:r w:rsidRPr="000B300B">
        <w:rPr>
          <w:rFonts w:asciiTheme="majorBidi" w:hAnsiTheme="majorBidi" w:cstheme="majorBidi"/>
          <w:sz w:val="24"/>
          <w:szCs w:val="24"/>
        </w:rPr>
        <w:t xml:space="preserve"> the </w:t>
      </w:r>
      <w:r w:rsidR="00545C00" w:rsidRPr="000B300B">
        <w:rPr>
          <w:rFonts w:asciiTheme="majorBidi" w:hAnsiTheme="majorBidi" w:cstheme="majorBidi"/>
          <w:sz w:val="24"/>
          <w:szCs w:val="24"/>
        </w:rPr>
        <w:t xml:space="preserve">formal </w:t>
      </w:r>
      <w:r w:rsidRPr="000B300B">
        <w:rPr>
          <w:rFonts w:asciiTheme="majorBidi" w:hAnsiTheme="majorBidi" w:cstheme="majorBidi"/>
          <w:sz w:val="24"/>
          <w:szCs w:val="24"/>
        </w:rPr>
        <w:t>marriage</w:t>
      </w:r>
      <w:r w:rsidR="00277D63" w:rsidRPr="000B300B">
        <w:rPr>
          <w:rFonts w:asciiTheme="majorBidi" w:hAnsiTheme="majorBidi" w:cstheme="majorBidi"/>
          <w:sz w:val="24"/>
          <w:szCs w:val="24"/>
        </w:rPr>
        <w:t xml:space="preserve"> (</w:t>
      </w:r>
      <w:r w:rsidR="00277D63" w:rsidRPr="000B300B">
        <w:rPr>
          <w:rFonts w:asciiTheme="majorBidi" w:hAnsiTheme="majorBidi" w:cstheme="majorBidi"/>
          <w:i/>
          <w:iCs/>
          <w:sz w:val="24"/>
          <w:szCs w:val="24"/>
        </w:rPr>
        <w:t>nisu</w:t>
      </w:r>
      <w:r w:rsidR="00C00E25" w:rsidRPr="000B300B">
        <w:rPr>
          <w:rFonts w:asciiTheme="majorBidi" w:hAnsiTheme="majorBidi" w:cstheme="majorBidi"/>
          <w:i/>
          <w:iCs/>
          <w:sz w:val="24"/>
          <w:szCs w:val="24"/>
        </w:rPr>
        <w:t>’</w:t>
      </w:r>
      <w:r w:rsidR="00277D63" w:rsidRPr="000B300B">
        <w:rPr>
          <w:rFonts w:asciiTheme="majorBidi" w:hAnsiTheme="majorBidi" w:cstheme="majorBidi"/>
          <w:i/>
          <w:iCs/>
          <w:sz w:val="24"/>
          <w:szCs w:val="24"/>
        </w:rPr>
        <w:t>in</w:t>
      </w:r>
      <w:r w:rsidR="00277D63" w:rsidRPr="000B300B">
        <w:rPr>
          <w:rFonts w:asciiTheme="majorBidi" w:hAnsiTheme="majorBidi" w:cstheme="majorBidi"/>
          <w:sz w:val="24"/>
          <w:szCs w:val="24"/>
        </w:rPr>
        <w:t>)</w:t>
      </w:r>
      <w:r w:rsidRPr="000B300B">
        <w:rPr>
          <w:rFonts w:asciiTheme="majorBidi" w:hAnsiTheme="majorBidi" w:cstheme="majorBidi"/>
          <w:sz w:val="24"/>
          <w:szCs w:val="24"/>
        </w:rPr>
        <w:t xml:space="preserve">. </w:t>
      </w:r>
      <w:r w:rsidR="00277D63" w:rsidRPr="000B300B">
        <w:rPr>
          <w:rFonts w:asciiTheme="majorBidi" w:hAnsiTheme="majorBidi" w:cstheme="majorBidi"/>
          <w:sz w:val="24"/>
          <w:szCs w:val="24"/>
        </w:rPr>
        <w:t xml:space="preserve">In the following, I </w:t>
      </w:r>
      <w:r w:rsidRPr="000B300B">
        <w:rPr>
          <w:rFonts w:asciiTheme="majorBidi" w:hAnsiTheme="majorBidi" w:cstheme="majorBidi"/>
          <w:sz w:val="24"/>
          <w:szCs w:val="24"/>
        </w:rPr>
        <w:t>present the sources that validate this line of thinking.</w:t>
      </w:r>
    </w:p>
    <w:p w14:paraId="2A72EC95" w14:textId="035ADE1B" w:rsidR="00F12795" w:rsidRPr="000B300B" w:rsidRDefault="00545C00" w:rsidP="00DD3AEB">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In </w:t>
      </w:r>
      <w:r w:rsidR="00F12795" w:rsidRPr="000B300B">
        <w:rPr>
          <w:rFonts w:asciiTheme="majorBidi" w:hAnsiTheme="majorBidi" w:cstheme="majorBidi"/>
          <w:sz w:val="24"/>
          <w:szCs w:val="24"/>
        </w:rPr>
        <w:t>primitive societies</w:t>
      </w:r>
      <w:r w:rsidRPr="000B300B">
        <w:rPr>
          <w:rFonts w:asciiTheme="majorBidi" w:hAnsiTheme="majorBidi" w:cstheme="majorBidi"/>
          <w:sz w:val="24"/>
          <w:szCs w:val="24"/>
        </w:rPr>
        <w:t>, A marital bond</w:t>
      </w:r>
      <w:r w:rsidR="00F12795" w:rsidRPr="000B300B">
        <w:rPr>
          <w:rFonts w:asciiTheme="majorBidi" w:hAnsiTheme="majorBidi" w:cstheme="majorBidi"/>
          <w:sz w:val="24"/>
          <w:szCs w:val="24"/>
        </w:rPr>
        <w:t xml:space="preserve"> is </w:t>
      </w:r>
      <w:r w:rsidR="00277D63" w:rsidRPr="000B300B">
        <w:rPr>
          <w:rFonts w:asciiTheme="majorBidi" w:hAnsiTheme="majorBidi" w:cstheme="majorBidi"/>
          <w:sz w:val="24"/>
          <w:szCs w:val="24"/>
        </w:rPr>
        <w:t>generated</w:t>
      </w:r>
      <w:r w:rsidR="00F12795" w:rsidRPr="000B300B">
        <w:rPr>
          <w:rFonts w:asciiTheme="majorBidi" w:hAnsiTheme="majorBidi" w:cstheme="majorBidi"/>
          <w:sz w:val="24"/>
          <w:szCs w:val="24"/>
        </w:rPr>
        <w:t xml:space="preserve"> through sexual intercourse</w:t>
      </w:r>
      <w:r w:rsidRPr="000B300B">
        <w:rPr>
          <w:rFonts w:asciiTheme="majorBidi" w:hAnsiTheme="majorBidi" w:cstheme="majorBidi"/>
          <w:sz w:val="24"/>
          <w:szCs w:val="24"/>
        </w:rPr>
        <w:t>. T</w:t>
      </w:r>
      <w:r w:rsidR="00F12795" w:rsidRPr="000B300B">
        <w:rPr>
          <w:rFonts w:asciiTheme="majorBidi" w:hAnsiTheme="majorBidi" w:cstheme="majorBidi"/>
          <w:sz w:val="24"/>
          <w:szCs w:val="24"/>
        </w:rPr>
        <w:t xml:space="preserve">his is how the establishment of the family is described in the Bible: </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When a man shall take a wife and </w:t>
      </w:r>
      <w:r w:rsidRPr="000B300B">
        <w:rPr>
          <w:rFonts w:asciiTheme="majorBidi" w:hAnsiTheme="majorBidi" w:cstheme="majorBidi"/>
          <w:sz w:val="24"/>
          <w:szCs w:val="24"/>
        </w:rPr>
        <w:t>have sexual intercourse with her.</w:t>
      </w:r>
      <w:r w:rsidR="00C00E25"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4"/>
      </w:r>
      <w:r w:rsidR="00F12795" w:rsidRPr="000B300B">
        <w:rPr>
          <w:rFonts w:asciiTheme="majorBidi" w:hAnsiTheme="majorBidi" w:cstheme="majorBidi"/>
          <w:sz w:val="24"/>
          <w:szCs w:val="24"/>
        </w:rPr>
        <w:t xml:space="preserve"> Cultural development </w:t>
      </w:r>
      <w:r w:rsidR="00277D63" w:rsidRPr="000B300B">
        <w:rPr>
          <w:rFonts w:asciiTheme="majorBidi" w:hAnsiTheme="majorBidi" w:cstheme="majorBidi"/>
          <w:sz w:val="24"/>
          <w:szCs w:val="24"/>
        </w:rPr>
        <w:t>brought about</w:t>
      </w:r>
      <w:r w:rsidR="00F12795" w:rsidRPr="000B300B">
        <w:rPr>
          <w:rFonts w:asciiTheme="majorBidi" w:hAnsiTheme="majorBidi" w:cstheme="majorBidi"/>
          <w:sz w:val="24"/>
          <w:szCs w:val="24"/>
        </w:rPr>
        <w:t xml:space="preserve"> a transition </w:t>
      </w:r>
      <w:r w:rsidR="00277D63" w:rsidRPr="000B300B">
        <w:rPr>
          <w:rFonts w:asciiTheme="majorBidi" w:hAnsiTheme="majorBidi" w:cstheme="majorBidi"/>
          <w:sz w:val="24"/>
          <w:szCs w:val="24"/>
        </w:rPr>
        <w:t>wherein the</w:t>
      </w:r>
      <w:r w:rsidR="00F12795" w:rsidRPr="000B300B">
        <w:rPr>
          <w:rFonts w:asciiTheme="majorBidi" w:hAnsiTheme="majorBidi" w:cstheme="majorBidi"/>
          <w:sz w:val="24"/>
          <w:szCs w:val="24"/>
        </w:rPr>
        <w:t xml:space="preserve"> physical </w:t>
      </w:r>
      <w:r w:rsidR="00277D63" w:rsidRPr="000B300B">
        <w:rPr>
          <w:rFonts w:asciiTheme="majorBidi" w:hAnsiTheme="majorBidi" w:cstheme="majorBidi"/>
          <w:sz w:val="24"/>
          <w:szCs w:val="24"/>
        </w:rPr>
        <w:t>act was replaced by</w:t>
      </w:r>
      <w:r w:rsidR="00F12795" w:rsidRPr="000B300B">
        <w:rPr>
          <w:rFonts w:asciiTheme="majorBidi" w:hAnsiTheme="majorBidi" w:cstheme="majorBidi"/>
          <w:sz w:val="24"/>
          <w:szCs w:val="24"/>
        </w:rPr>
        <w:t xml:space="preserve"> a symbolic and legal act. As part of this </w:t>
      </w:r>
      <w:r w:rsidR="00FE7CF9" w:rsidRPr="000B300B">
        <w:rPr>
          <w:rFonts w:asciiTheme="majorBidi" w:hAnsiTheme="majorBidi" w:cstheme="majorBidi"/>
          <w:sz w:val="24"/>
          <w:szCs w:val="24"/>
        </w:rPr>
        <w:t>transition</w:t>
      </w:r>
      <w:r w:rsidR="00F12795" w:rsidRPr="000B300B">
        <w:rPr>
          <w:rFonts w:asciiTheme="majorBidi" w:hAnsiTheme="majorBidi" w:cstheme="majorBidi"/>
          <w:sz w:val="24"/>
          <w:szCs w:val="24"/>
        </w:rPr>
        <w:t xml:space="preserve">, abstract methods were also instituted in </w:t>
      </w:r>
      <w:r w:rsidR="00277D63" w:rsidRPr="000B300B">
        <w:rPr>
          <w:rFonts w:asciiTheme="majorBidi" w:hAnsiTheme="majorBidi" w:cstheme="majorBidi"/>
          <w:sz w:val="24"/>
          <w:szCs w:val="24"/>
        </w:rPr>
        <w:t>Jewish</w:t>
      </w:r>
      <w:r w:rsidR="00F12795" w:rsidRPr="000B300B">
        <w:rPr>
          <w:rFonts w:asciiTheme="majorBidi" w:hAnsiTheme="majorBidi" w:cstheme="majorBidi"/>
          <w:sz w:val="24"/>
          <w:szCs w:val="24"/>
        </w:rPr>
        <w:t xml:space="preserve"> law</w:t>
      </w:r>
      <w:r w:rsidR="00277D63"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t>
      </w:r>
      <w:bookmarkStart w:id="6" w:name="_Hlk95896433"/>
      <w:r w:rsidR="00277D63" w:rsidRPr="000B300B">
        <w:rPr>
          <w:rFonts w:asciiTheme="majorBidi" w:hAnsiTheme="majorBidi" w:cstheme="majorBidi"/>
          <w:sz w:val="24"/>
          <w:szCs w:val="24"/>
        </w:rPr>
        <w:t>generating</w:t>
      </w:r>
      <w:r w:rsidR="00F12795" w:rsidRPr="000B300B">
        <w:rPr>
          <w:rFonts w:asciiTheme="majorBidi" w:hAnsiTheme="majorBidi" w:cstheme="majorBidi"/>
          <w:sz w:val="24"/>
          <w:szCs w:val="24"/>
        </w:rPr>
        <w:t xml:space="preserve"> the</w:t>
      </w:r>
      <w:r w:rsidR="00F12795" w:rsidRPr="000B300B">
        <w:rPr>
          <w:rFonts w:asciiTheme="majorBidi" w:hAnsiTheme="majorBidi" w:cstheme="majorBidi"/>
          <w:b/>
          <w:bCs/>
          <w:sz w:val="24"/>
          <w:szCs w:val="24"/>
        </w:rPr>
        <w:t xml:space="preserve"> </w:t>
      </w:r>
      <w:bookmarkEnd w:id="6"/>
      <w:r w:rsidR="00F12795" w:rsidRPr="000B300B">
        <w:rPr>
          <w:rFonts w:asciiTheme="majorBidi" w:hAnsiTheme="majorBidi" w:cstheme="majorBidi"/>
          <w:sz w:val="24"/>
          <w:szCs w:val="24"/>
        </w:rPr>
        <w:t xml:space="preserve">relationship, </w:t>
      </w:r>
      <w:r w:rsidR="00277D63" w:rsidRPr="000B300B">
        <w:rPr>
          <w:rFonts w:asciiTheme="majorBidi" w:hAnsiTheme="majorBidi" w:cstheme="majorBidi"/>
          <w:sz w:val="24"/>
          <w:szCs w:val="24"/>
        </w:rPr>
        <w:t>by m</w:t>
      </w:r>
      <w:r w:rsidR="00704963" w:rsidRPr="000B300B">
        <w:rPr>
          <w:rFonts w:asciiTheme="majorBidi" w:hAnsiTheme="majorBidi" w:cstheme="majorBidi"/>
          <w:sz w:val="24"/>
          <w:szCs w:val="24"/>
        </w:rPr>
        <w:t xml:space="preserve">eans of </w:t>
      </w:r>
      <w:r w:rsidRPr="000B300B">
        <w:rPr>
          <w:rFonts w:asciiTheme="majorBidi" w:hAnsiTheme="majorBidi" w:cstheme="majorBidi"/>
          <w:sz w:val="24"/>
          <w:szCs w:val="24"/>
        </w:rPr>
        <w:t>acquisition</w:t>
      </w:r>
      <w:r w:rsidR="00F12795" w:rsidRPr="000B300B">
        <w:rPr>
          <w:rFonts w:asciiTheme="majorBidi" w:hAnsiTheme="majorBidi" w:cstheme="majorBidi"/>
          <w:sz w:val="24"/>
          <w:szCs w:val="24"/>
        </w:rPr>
        <w:t xml:space="preserve"> </w:t>
      </w:r>
      <w:r w:rsidR="00704963" w:rsidRPr="000B300B">
        <w:rPr>
          <w:rFonts w:asciiTheme="majorBidi" w:hAnsiTheme="majorBidi" w:cstheme="majorBidi"/>
          <w:sz w:val="24"/>
          <w:szCs w:val="24"/>
        </w:rPr>
        <w:t>through</w:t>
      </w:r>
      <w:r w:rsidR="00F12795" w:rsidRPr="000B300B">
        <w:rPr>
          <w:rFonts w:asciiTheme="majorBidi" w:hAnsiTheme="majorBidi" w:cstheme="majorBidi"/>
          <w:sz w:val="24"/>
          <w:szCs w:val="24"/>
        </w:rPr>
        <w:t xml:space="preserve"> money </w:t>
      </w:r>
      <w:r w:rsidR="00704963" w:rsidRPr="000B300B">
        <w:rPr>
          <w:rFonts w:asciiTheme="majorBidi" w:hAnsiTheme="majorBidi" w:cstheme="majorBidi"/>
          <w:sz w:val="24"/>
          <w:szCs w:val="24"/>
        </w:rPr>
        <w:t xml:space="preserve">or </w:t>
      </w:r>
      <w:r w:rsidR="00F12795" w:rsidRPr="000B300B">
        <w:rPr>
          <w:rFonts w:asciiTheme="majorBidi" w:hAnsiTheme="majorBidi" w:cstheme="majorBidi"/>
          <w:sz w:val="24"/>
          <w:szCs w:val="24"/>
        </w:rPr>
        <w:t xml:space="preserve">a contract. </w:t>
      </w:r>
      <w:r w:rsidR="00DD3AEB" w:rsidRPr="000B300B">
        <w:rPr>
          <w:rFonts w:asciiTheme="majorBidi" w:hAnsiTheme="majorBidi" w:cstheme="majorBidi"/>
          <w:sz w:val="24"/>
          <w:szCs w:val="24"/>
        </w:rPr>
        <w:t>Nevertheless</w:t>
      </w:r>
      <w:r w:rsidR="00F12795" w:rsidRPr="000B300B">
        <w:rPr>
          <w:rFonts w:asciiTheme="majorBidi" w:hAnsiTheme="majorBidi" w:cstheme="majorBidi"/>
          <w:sz w:val="24"/>
          <w:szCs w:val="24"/>
        </w:rPr>
        <w:t>, the ancient law that based the marriage on</w:t>
      </w:r>
      <w:r w:rsidRPr="000B300B">
        <w:rPr>
          <w:rFonts w:asciiTheme="majorBidi" w:hAnsiTheme="majorBidi" w:cstheme="majorBidi"/>
          <w:sz w:val="24"/>
          <w:szCs w:val="24"/>
        </w:rPr>
        <w:t xml:space="preserve"> the physical act of sex </w:t>
      </w:r>
      <w:r w:rsidR="00F12795" w:rsidRPr="000B300B">
        <w:rPr>
          <w:rFonts w:asciiTheme="majorBidi" w:hAnsiTheme="majorBidi" w:cstheme="majorBidi"/>
          <w:sz w:val="24"/>
          <w:szCs w:val="24"/>
        </w:rPr>
        <w:t xml:space="preserve">continued </w:t>
      </w:r>
      <w:r w:rsidRPr="000B300B">
        <w:rPr>
          <w:rFonts w:asciiTheme="majorBidi" w:hAnsiTheme="majorBidi" w:cstheme="majorBidi"/>
          <w:sz w:val="24"/>
          <w:szCs w:val="24"/>
        </w:rPr>
        <w:t>into</w:t>
      </w:r>
      <w:r w:rsidR="00F12795" w:rsidRPr="000B300B">
        <w:rPr>
          <w:rFonts w:asciiTheme="majorBidi" w:hAnsiTheme="majorBidi" w:cstheme="majorBidi"/>
          <w:sz w:val="24"/>
          <w:szCs w:val="24"/>
        </w:rPr>
        <w:t xml:space="preserve"> the Mishnaic</w:t>
      </w:r>
      <w:r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period</w:t>
      </w:r>
      <w:r w:rsidRPr="000B300B">
        <w:rPr>
          <w:rFonts w:asciiTheme="majorBidi" w:hAnsiTheme="majorBidi" w:cstheme="majorBidi"/>
          <w:sz w:val="24"/>
          <w:szCs w:val="24"/>
        </w:rPr>
        <w:t>:</w:t>
      </w:r>
      <w:r w:rsidR="00DD3AEB" w:rsidRPr="000B300B">
        <w:rPr>
          <w:rFonts w:asciiTheme="majorBidi" w:hAnsiTheme="majorBidi" w:cstheme="majorBidi"/>
          <w:sz w:val="24"/>
          <w:szCs w:val="24"/>
        </w:rPr>
        <w:t xml:space="preserve"> </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A woman is acquired in three ways… </w:t>
      </w:r>
      <w:r w:rsidR="00FE7CF9" w:rsidRPr="000B300B">
        <w:rPr>
          <w:rFonts w:asciiTheme="majorBidi" w:hAnsiTheme="majorBidi" w:cstheme="majorBidi"/>
          <w:sz w:val="24"/>
          <w:szCs w:val="24"/>
        </w:rPr>
        <w:t xml:space="preserve">with </w:t>
      </w:r>
      <w:r w:rsidR="00F12795" w:rsidRPr="000B300B">
        <w:rPr>
          <w:rFonts w:asciiTheme="majorBidi" w:hAnsiTheme="majorBidi" w:cstheme="majorBidi"/>
          <w:sz w:val="24"/>
          <w:szCs w:val="24"/>
        </w:rPr>
        <w:t>money, or with a document, or through marital relations.</w:t>
      </w:r>
      <w:r w:rsidR="00C00E25"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5"/>
      </w:r>
    </w:p>
    <w:p w14:paraId="353C7FF0" w14:textId="4AC1B8D6" w:rsidR="00F12795" w:rsidRPr="000B300B" w:rsidRDefault="00C1725B"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We may assume</w:t>
      </w:r>
      <w:r w:rsidR="00F12795" w:rsidRPr="000B300B">
        <w:rPr>
          <w:rFonts w:asciiTheme="majorBidi" w:hAnsiTheme="majorBidi" w:cstheme="majorBidi"/>
          <w:sz w:val="24"/>
          <w:szCs w:val="24"/>
        </w:rPr>
        <w:t xml:space="preserve"> that after </w:t>
      </w:r>
      <w:r w:rsidR="00545C00" w:rsidRPr="000B300B">
        <w:rPr>
          <w:rFonts w:asciiTheme="majorBidi" w:hAnsiTheme="majorBidi" w:cstheme="majorBidi"/>
          <w:sz w:val="24"/>
          <w:szCs w:val="24"/>
        </w:rPr>
        <w:t>a betrothal</w:t>
      </w:r>
      <w:r w:rsidR="00F12795" w:rsidRPr="000B300B">
        <w:rPr>
          <w:rFonts w:asciiTheme="majorBidi" w:hAnsiTheme="majorBidi" w:cstheme="majorBidi"/>
          <w:sz w:val="24"/>
          <w:szCs w:val="24"/>
        </w:rPr>
        <w:t xml:space="preserve"> was </w:t>
      </w:r>
      <w:r w:rsidRPr="000B300B">
        <w:rPr>
          <w:rFonts w:asciiTheme="majorBidi" w:hAnsiTheme="majorBidi" w:cstheme="majorBidi"/>
          <w:sz w:val="24"/>
          <w:szCs w:val="24"/>
        </w:rPr>
        <w:t>generated by intercourse,</w:t>
      </w:r>
      <w:r w:rsidR="00F12795" w:rsidRPr="000B300B">
        <w:rPr>
          <w:rFonts w:asciiTheme="majorBidi" w:hAnsiTheme="majorBidi" w:cstheme="majorBidi"/>
          <w:sz w:val="24"/>
          <w:szCs w:val="24"/>
        </w:rPr>
        <w:t xml:space="preserve"> the couple </w:t>
      </w:r>
      <w:r w:rsidR="00784D88" w:rsidRPr="000B300B">
        <w:rPr>
          <w:rFonts w:asciiTheme="majorBidi" w:hAnsiTheme="majorBidi" w:cstheme="majorBidi"/>
          <w:sz w:val="24"/>
          <w:szCs w:val="24"/>
        </w:rPr>
        <w:t xml:space="preserve">would be </w:t>
      </w:r>
      <w:r w:rsidR="00F12795" w:rsidRPr="000B300B">
        <w:rPr>
          <w:rFonts w:asciiTheme="majorBidi" w:hAnsiTheme="majorBidi" w:cstheme="majorBidi"/>
          <w:sz w:val="24"/>
          <w:szCs w:val="24"/>
        </w:rPr>
        <w:t xml:space="preserve">allowed to </w:t>
      </w:r>
      <w:r w:rsidR="00784D88" w:rsidRPr="000B300B">
        <w:rPr>
          <w:rFonts w:asciiTheme="majorBidi" w:hAnsiTheme="majorBidi" w:cstheme="majorBidi"/>
          <w:sz w:val="24"/>
          <w:szCs w:val="24"/>
        </w:rPr>
        <w:t xml:space="preserve">maintain </w:t>
      </w:r>
      <w:r w:rsidR="00F12795" w:rsidRPr="000B300B">
        <w:rPr>
          <w:rFonts w:asciiTheme="majorBidi" w:hAnsiTheme="majorBidi" w:cstheme="majorBidi"/>
          <w:sz w:val="24"/>
          <w:szCs w:val="24"/>
        </w:rPr>
        <w:t xml:space="preserve">the </w:t>
      </w:r>
      <w:r w:rsidR="00784D88" w:rsidRPr="000B300B">
        <w:rPr>
          <w:rFonts w:asciiTheme="majorBidi" w:hAnsiTheme="majorBidi" w:cstheme="majorBidi"/>
          <w:sz w:val="24"/>
          <w:szCs w:val="24"/>
        </w:rPr>
        <w:t xml:space="preserve">physical </w:t>
      </w:r>
      <w:r w:rsidR="00F12795" w:rsidRPr="000B300B">
        <w:rPr>
          <w:rFonts w:asciiTheme="majorBidi" w:hAnsiTheme="majorBidi" w:cstheme="majorBidi"/>
          <w:sz w:val="24"/>
          <w:szCs w:val="24"/>
        </w:rPr>
        <w:t>bond between them.</w:t>
      </w:r>
      <w:r w:rsidRPr="000B300B">
        <w:rPr>
          <w:rFonts w:asciiTheme="majorBidi" w:hAnsiTheme="majorBidi" w:cstheme="majorBidi"/>
          <w:sz w:val="24"/>
          <w:szCs w:val="24"/>
        </w:rPr>
        <w:t xml:space="preserve"> It is not reasonable to suppose </w:t>
      </w:r>
      <w:r w:rsidR="00F12795" w:rsidRPr="000B300B">
        <w:rPr>
          <w:rFonts w:asciiTheme="majorBidi" w:hAnsiTheme="majorBidi" w:cstheme="majorBidi"/>
          <w:sz w:val="24"/>
          <w:szCs w:val="24"/>
        </w:rPr>
        <w:t xml:space="preserve">that sexual intercourse </w:t>
      </w:r>
      <w:r w:rsidR="003C288F" w:rsidRPr="000B300B">
        <w:rPr>
          <w:rFonts w:asciiTheme="majorBidi" w:hAnsiTheme="majorBidi" w:cstheme="majorBidi"/>
          <w:sz w:val="24"/>
          <w:szCs w:val="24"/>
        </w:rPr>
        <w:t xml:space="preserve">was </w:t>
      </w:r>
      <w:r w:rsidR="00F12795" w:rsidRPr="000B300B">
        <w:rPr>
          <w:rFonts w:asciiTheme="majorBidi" w:hAnsiTheme="majorBidi" w:cstheme="majorBidi"/>
          <w:sz w:val="24"/>
          <w:szCs w:val="24"/>
        </w:rPr>
        <w:t xml:space="preserve">initially permitted between two strangers </w:t>
      </w:r>
      <w:r w:rsidR="003C288F" w:rsidRPr="000B300B">
        <w:rPr>
          <w:rFonts w:asciiTheme="majorBidi" w:hAnsiTheme="majorBidi" w:cstheme="majorBidi"/>
          <w:sz w:val="24"/>
          <w:szCs w:val="24"/>
        </w:rPr>
        <w:t>and then</w:t>
      </w:r>
      <w:r w:rsidR="00784D88"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 xml:space="preserve">forbidden after the </w:t>
      </w:r>
      <w:r w:rsidR="00784D88" w:rsidRPr="000B300B">
        <w:rPr>
          <w:rFonts w:asciiTheme="majorBidi" w:hAnsiTheme="majorBidi" w:cstheme="majorBidi"/>
          <w:sz w:val="24"/>
          <w:szCs w:val="24"/>
        </w:rPr>
        <w:t>betrothal</w:t>
      </w:r>
      <w:r w:rsidR="00F12795" w:rsidRPr="000B300B">
        <w:rPr>
          <w:rFonts w:asciiTheme="majorBidi" w:hAnsiTheme="majorBidi" w:cstheme="majorBidi"/>
          <w:sz w:val="24"/>
          <w:szCs w:val="24"/>
        </w:rPr>
        <w:t xml:space="preserve">. </w:t>
      </w:r>
      <w:r w:rsidR="00497FCF" w:rsidRPr="000B300B">
        <w:rPr>
          <w:rFonts w:asciiTheme="majorBidi" w:hAnsiTheme="majorBidi" w:cstheme="majorBidi"/>
          <w:sz w:val="24"/>
          <w:szCs w:val="24"/>
        </w:rPr>
        <w:t xml:space="preserve">The </w:t>
      </w:r>
      <w:r w:rsidR="003158B6" w:rsidRPr="000B300B">
        <w:rPr>
          <w:rFonts w:asciiTheme="majorBidi" w:hAnsiTheme="majorBidi" w:cstheme="majorBidi"/>
          <w:sz w:val="24"/>
          <w:szCs w:val="24"/>
        </w:rPr>
        <w:t xml:space="preserve">validity </w:t>
      </w:r>
      <w:r w:rsidR="003158B6" w:rsidRPr="000B300B">
        <w:rPr>
          <w:rFonts w:asciiTheme="majorBidi" w:hAnsiTheme="majorBidi" w:cstheme="majorBidi"/>
          <w:sz w:val="24"/>
          <w:szCs w:val="24"/>
        </w:rPr>
        <w:lastRenderedPageBreak/>
        <w:t>of sexual intercourse as a means of betrothal</w:t>
      </w:r>
      <w:r w:rsidR="00F12795" w:rsidRPr="000B300B">
        <w:rPr>
          <w:rFonts w:asciiTheme="majorBidi" w:hAnsiTheme="majorBidi" w:cstheme="majorBidi"/>
          <w:sz w:val="24"/>
          <w:szCs w:val="24"/>
        </w:rPr>
        <w:t xml:space="preserve"> in the </w:t>
      </w:r>
      <w:r w:rsidR="00F12795" w:rsidRPr="000B300B">
        <w:rPr>
          <w:rFonts w:asciiTheme="majorBidi" w:hAnsiTheme="majorBidi" w:cstheme="majorBidi"/>
          <w:i/>
          <w:iCs/>
          <w:sz w:val="24"/>
          <w:szCs w:val="24"/>
        </w:rPr>
        <w:t>Mishnah</w:t>
      </w:r>
      <w:r w:rsidR="00F12795" w:rsidRPr="000B300B">
        <w:rPr>
          <w:rFonts w:asciiTheme="majorBidi" w:hAnsiTheme="majorBidi" w:cstheme="majorBidi"/>
          <w:sz w:val="24"/>
          <w:szCs w:val="24"/>
        </w:rPr>
        <w:t xml:space="preserve"> </w:t>
      </w:r>
      <w:r w:rsidR="003C288F" w:rsidRPr="000B300B">
        <w:rPr>
          <w:rFonts w:asciiTheme="majorBidi" w:hAnsiTheme="majorBidi" w:cstheme="majorBidi"/>
          <w:sz w:val="24"/>
          <w:szCs w:val="24"/>
        </w:rPr>
        <w:t xml:space="preserve">thus </w:t>
      </w:r>
      <w:r w:rsidR="003158B6" w:rsidRPr="000B300B">
        <w:rPr>
          <w:rFonts w:asciiTheme="majorBidi" w:hAnsiTheme="majorBidi" w:cstheme="majorBidi"/>
          <w:sz w:val="24"/>
          <w:szCs w:val="24"/>
        </w:rPr>
        <w:t>indicates that sexual intercourse was regarded as acceptable</w:t>
      </w:r>
      <w:r w:rsidR="00F12795" w:rsidRPr="000B300B">
        <w:rPr>
          <w:rFonts w:asciiTheme="majorBidi" w:hAnsiTheme="majorBidi" w:cstheme="majorBidi"/>
          <w:sz w:val="24"/>
          <w:szCs w:val="24"/>
        </w:rPr>
        <w:t xml:space="preserve"> during the </w:t>
      </w:r>
      <w:r w:rsidR="00784D88" w:rsidRPr="000B300B">
        <w:rPr>
          <w:rFonts w:asciiTheme="majorBidi" w:hAnsiTheme="majorBidi" w:cstheme="majorBidi"/>
          <w:sz w:val="24"/>
          <w:szCs w:val="24"/>
        </w:rPr>
        <w:t xml:space="preserve">betrothal </w:t>
      </w:r>
      <w:r w:rsidR="00F12795" w:rsidRPr="000B300B">
        <w:rPr>
          <w:rFonts w:asciiTheme="majorBidi" w:hAnsiTheme="majorBidi" w:cstheme="majorBidi"/>
          <w:sz w:val="24"/>
          <w:szCs w:val="24"/>
        </w:rPr>
        <w:t xml:space="preserve">period. It is worth emphasizing that anthropological research shows permissive norms </w:t>
      </w:r>
      <w:r w:rsidR="00FE7CF9" w:rsidRPr="000B300B">
        <w:rPr>
          <w:rFonts w:asciiTheme="majorBidi" w:hAnsiTheme="majorBidi" w:cstheme="majorBidi"/>
          <w:sz w:val="24"/>
          <w:szCs w:val="24"/>
        </w:rPr>
        <w:t xml:space="preserve">were </w:t>
      </w:r>
      <w:r w:rsidR="00F12795" w:rsidRPr="000B300B">
        <w:rPr>
          <w:rFonts w:asciiTheme="majorBidi" w:hAnsiTheme="majorBidi" w:cstheme="majorBidi"/>
          <w:sz w:val="24"/>
          <w:szCs w:val="24"/>
        </w:rPr>
        <w:t>prevalent in ancient agricultural societies</w:t>
      </w:r>
      <w:r w:rsidR="00FE7CF9"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where girls working in the field and pastures could not be supervised. </w:t>
      </w:r>
      <w:r w:rsidR="00D86D1D" w:rsidRPr="000B300B">
        <w:rPr>
          <w:rFonts w:asciiTheme="majorBidi" w:hAnsiTheme="majorBidi" w:cstheme="majorBidi"/>
          <w:sz w:val="24"/>
          <w:szCs w:val="24"/>
        </w:rPr>
        <w:t xml:space="preserve">In this context, we can </w:t>
      </w:r>
      <w:r w:rsidR="00A9696A" w:rsidRPr="000B300B">
        <w:rPr>
          <w:rFonts w:asciiTheme="majorBidi" w:hAnsiTheme="majorBidi" w:cstheme="majorBidi"/>
          <w:sz w:val="24"/>
          <w:szCs w:val="24"/>
        </w:rPr>
        <w:t>suppose</w:t>
      </w:r>
      <w:r w:rsidR="00D86D1D" w:rsidRPr="000B300B">
        <w:rPr>
          <w:rFonts w:asciiTheme="majorBidi" w:hAnsiTheme="majorBidi" w:cstheme="majorBidi"/>
          <w:sz w:val="24"/>
          <w:szCs w:val="24"/>
        </w:rPr>
        <w:t xml:space="preserve"> that </w:t>
      </w:r>
      <w:r w:rsidR="00F12795" w:rsidRPr="000B300B">
        <w:rPr>
          <w:rFonts w:asciiTheme="majorBidi" w:hAnsiTheme="majorBidi" w:cstheme="majorBidi"/>
          <w:sz w:val="24"/>
          <w:szCs w:val="24"/>
        </w:rPr>
        <w:t>marriage</w:t>
      </w:r>
      <w:r w:rsidR="00784D88" w:rsidRPr="000B300B">
        <w:rPr>
          <w:rFonts w:asciiTheme="majorBidi" w:hAnsiTheme="majorBidi" w:cstheme="majorBidi"/>
          <w:sz w:val="24"/>
          <w:szCs w:val="24"/>
        </w:rPr>
        <w:t xml:space="preserve">s </w:t>
      </w:r>
      <w:r w:rsidR="00F12795" w:rsidRPr="000B300B">
        <w:rPr>
          <w:rFonts w:asciiTheme="majorBidi" w:hAnsiTheme="majorBidi" w:cstheme="majorBidi"/>
          <w:sz w:val="24"/>
          <w:szCs w:val="24"/>
        </w:rPr>
        <w:t xml:space="preserve">by sexual intercourse were often </w:t>
      </w:r>
      <w:r w:rsidR="00A9696A" w:rsidRPr="000B300B">
        <w:rPr>
          <w:rFonts w:asciiTheme="majorBidi" w:hAnsiTheme="majorBidi" w:cstheme="majorBidi"/>
          <w:sz w:val="24"/>
          <w:szCs w:val="24"/>
        </w:rPr>
        <w:t>the post facto validation</w:t>
      </w:r>
      <w:r w:rsidR="003C288F" w:rsidRPr="000B300B">
        <w:rPr>
          <w:rFonts w:asciiTheme="majorBidi" w:hAnsiTheme="majorBidi" w:cstheme="majorBidi"/>
          <w:sz w:val="24"/>
          <w:szCs w:val="24"/>
        </w:rPr>
        <w:t>s</w:t>
      </w:r>
      <w:r w:rsidR="00A9696A" w:rsidRPr="000B300B">
        <w:rPr>
          <w:rFonts w:asciiTheme="majorBidi" w:hAnsiTheme="majorBidi" w:cstheme="majorBidi"/>
          <w:sz w:val="24"/>
          <w:szCs w:val="24"/>
        </w:rPr>
        <w:t xml:space="preserve"> of</w:t>
      </w:r>
      <w:r w:rsidR="00F12795" w:rsidRPr="000B300B">
        <w:rPr>
          <w:rFonts w:asciiTheme="majorBidi" w:hAnsiTheme="majorBidi" w:cstheme="majorBidi"/>
          <w:sz w:val="24"/>
          <w:szCs w:val="24"/>
        </w:rPr>
        <w:t xml:space="preserve"> an existing sexual relationshi</w:t>
      </w:r>
      <w:r w:rsidR="00784D88" w:rsidRPr="000B300B">
        <w:rPr>
          <w:rFonts w:asciiTheme="majorBidi" w:hAnsiTheme="majorBidi" w:cstheme="majorBidi"/>
          <w:sz w:val="24"/>
          <w:szCs w:val="24"/>
        </w:rPr>
        <w:t>p</w:t>
      </w:r>
      <w:r w:rsidR="00A9696A" w:rsidRPr="000B300B">
        <w:rPr>
          <w:rFonts w:asciiTheme="majorBidi" w:hAnsiTheme="majorBidi" w:cstheme="majorBidi"/>
          <w:sz w:val="24"/>
          <w:szCs w:val="24"/>
        </w:rPr>
        <w:t xml:space="preserve"> that presumably</w:t>
      </w:r>
      <w:r w:rsidR="00F12795" w:rsidRPr="000B300B">
        <w:rPr>
          <w:rFonts w:asciiTheme="majorBidi" w:hAnsiTheme="majorBidi" w:cstheme="majorBidi"/>
          <w:sz w:val="24"/>
          <w:szCs w:val="24"/>
        </w:rPr>
        <w:t xml:space="preserve"> continued during the </w:t>
      </w:r>
      <w:r w:rsidR="00784D88" w:rsidRPr="000B300B">
        <w:rPr>
          <w:rFonts w:asciiTheme="majorBidi" w:hAnsiTheme="majorBidi" w:cstheme="majorBidi"/>
          <w:sz w:val="24"/>
          <w:szCs w:val="24"/>
        </w:rPr>
        <w:t>period of betrothal</w:t>
      </w:r>
      <w:r w:rsidR="00A9696A"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6"/>
      </w:r>
      <w:r w:rsidR="00784D88" w:rsidRPr="000B300B">
        <w:rPr>
          <w:rFonts w:asciiTheme="majorBidi" w:hAnsiTheme="majorBidi" w:cstheme="majorBidi"/>
          <w:sz w:val="24"/>
          <w:szCs w:val="24"/>
        </w:rPr>
        <w:t xml:space="preserve"> </w:t>
      </w:r>
      <w:r w:rsidR="00A9696A" w:rsidRPr="000B300B">
        <w:rPr>
          <w:rFonts w:asciiTheme="majorBidi" w:hAnsiTheme="majorBidi" w:cstheme="majorBidi"/>
          <w:sz w:val="24"/>
          <w:szCs w:val="24"/>
        </w:rPr>
        <w:t>This supposition can be supported by explicit evidence</w:t>
      </w:r>
      <w:r w:rsidR="00F12795" w:rsidRPr="000B300B">
        <w:rPr>
          <w:rFonts w:asciiTheme="majorBidi" w:hAnsiTheme="majorBidi" w:cstheme="majorBidi"/>
          <w:sz w:val="24"/>
          <w:szCs w:val="24"/>
        </w:rPr>
        <w:t xml:space="preserve"> from Tannatic sources.</w:t>
      </w:r>
    </w:p>
    <w:p w14:paraId="6060CD58" w14:textId="2CB51666" w:rsidR="00F12795" w:rsidRPr="000B300B" w:rsidRDefault="00F12795" w:rsidP="00125A81">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According to the Mishnah in </w:t>
      </w:r>
      <w:r w:rsidRPr="000B300B">
        <w:rPr>
          <w:rFonts w:asciiTheme="majorBidi" w:hAnsiTheme="majorBidi" w:cstheme="majorBidi"/>
          <w:i/>
          <w:iCs/>
          <w:sz w:val="24"/>
          <w:szCs w:val="24"/>
        </w:rPr>
        <w:t>Ketubot</w:t>
      </w:r>
      <w:r w:rsidRPr="000B300B">
        <w:rPr>
          <w:rFonts w:asciiTheme="majorBidi" w:hAnsiTheme="majorBidi" w:cstheme="majorBidi"/>
          <w:sz w:val="24"/>
          <w:szCs w:val="24"/>
        </w:rPr>
        <w:t xml:space="preserve">, </w:t>
      </w:r>
      <w:r w:rsidR="00067EAC" w:rsidRPr="000B300B">
        <w:rPr>
          <w:rFonts w:asciiTheme="majorBidi" w:hAnsiTheme="majorBidi" w:cstheme="majorBidi"/>
          <w:sz w:val="24"/>
          <w:szCs w:val="24"/>
        </w:rPr>
        <w:t>betrothed</w:t>
      </w:r>
      <w:r w:rsidRPr="000B300B">
        <w:rPr>
          <w:rFonts w:asciiTheme="majorBidi" w:hAnsiTheme="majorBidi" w:cstheme="majorBidi"/>
          <w:sz w:val="24"/>
          <w:szCs w:val="24"/>
        </w:rPr>
        <w:t xml:space="preserve"> couples </w:t>
      </w:r>
      <w:r w:rsidR="002F0F2F" w:rsidRPr="000B300B">
        <w:rPr>
          <w:rFonts w:asciiTheme="majorBidi" w:hAnsiTheme="majorBidi" w:cstheme="majorBidi"/>
          <w:sz w:val="24"/>
          <w:szCs w:val="24"/>
        </w:rPr>
        <w:t>would commonly be secluded</w:t>
      </w:r>
      <w:r w:rsidRPr="000B300B">
        <w:rPr>
          <w:rFonts w:asciiTheme="majorBidi" w:hAnsiTheme="majorBidi" w:cstheme="majorBidi"/>
          <w:sz w:val="24"/>
          <w:szCs w:val="24"/>
        </w:rPr>
        <w:t xml:space="preserve"> in Judea but not in the Galilee</w:t>
      </w:r>
      <w:r w:rsidR="00125A81" w:rsidRPr="000B300B">
        <w:rPr>
          <w:rFonts w:asciiTheme="majorBidi" w:hAnsiTheme="majorBidi" w:cstheme="majorBidi"/>
          <w:sz w:val="24"/>
          <w:szCs w:val="24"/>
        </w:rPr>
        <w:t>.</w:t>
      </w:r>
      <w:r w:rsidR="00DE5B03" w:rsidRPr="000B300B">
        <w:rPr>
          <w:rFonts w:asciiTheme="majorBidi" w:hAnsiTheme="majorBidi" w:cstheme="majorBidi"/>
          <w:sz w:val="24"/>
          <w:szCs w:val="24"/>
        </w:rPr>
        <w:t xml:space="preserve"> </w:t>
      </w:r>
      <w:r w:rsidR="00824264" w:rsidRPr="000B300B">
        <w:rPr>
          <w:rFonts w:asciiTheme="majorBidi" w:hAnsiTheme="majorBidi" w:cstheme="majorBidi"/>
          <w:sz w:val="24"/>
          <w:szCs w:val="24"/>
        </w:rPr>
        <w:t>If the groom visited the bride</w:t>
      </w:r>
      <w:r w:rsidR="00C00E25" w:rsidRPr="000B300B">
        <w:rPr>
          <w:rFonts w:asciiTheme="majorBidi" w:hAnsiTheme="majorBidi" w:cstheme="majorBidi"/>
          <w:sz w:val="24"/>
          <w:szCs w:val="24"/>
        </w:rPr>
        <w:t>’</w:t>
      </w:r>
      <w:r w:rsidR="00125A81" w:rsidRPr="000B300B">
        <w:rPr>
          <w:rFonts w:asciiTheme="majorBidi" w:hAnsiTheme="majorBidi" w:cstheme="majorBidi"/>
          <w:sz w:val="24"/>
          <w:szCs w:val="24"/>
        </w:rPr>
        <w:t>s household</w:t>
      </w:r>
      <w:r w:rsidR="00824264" w:rsidRPr="000B300B">
        <w:rPr>
          <w:rFonts w:asciiTheme="majorBidi" w:hAnsiTheme="majorBidi" w:cstheme="majorBidi"/>
          <w:sz w:val="24"/>
          <w:szCs w:val="24"/>
        </w:rPr>
        <w:t xml:space="preserve">, the groom </w:t>
      </w:r>
      <w:r w:rsidR="00125A81" w:rsidRPr="000B300B">
        <w:rPr>
          <w:rFonts w:asciiTheme="majorBidi" w:hAnsiTheme="majorBidi" w:cstheme="majorBidi"/>
          <w:sz w:val="24"/>
          <w:szCs w:val="24"/>
        </w:rPr>
        <w:t xml:space="preserve">could not </w:t>
      </w:r>
      <w:r w:rsidR="001537D8" w:rsidRPr="000B300B">
        <w:rPr>
          <w:rFonts w:asciiTheme="majorBidi" w:hAnsiTheme="majorBidi" w:cstheme="majorBidi"/>
          <w:sz w:val="24"/>
          <w:szCs w:val="24"/>
        </w:rPr>
        <w:t xml:space="preserve">make a claim </w:t>
      </w:r>
      <w:r w:rsidR="00125A81" w:rsidRPr="000B300B">
        <w:rPr>
          <w:rFonts w:asciiTheme="majorBidi" w:hAnsiTheme="majorBidi" w:cstheme="majorBidi"/>
          <w:sz w:val="24"/>
          <w:szCs w:val="24"/>
        </w:rPr>
        <w:t>protesting the</w:t>
      </w:r>
      <w:r w:rsidR="001537D8" w:rsidRPr="000B300B">
        <w:rPr>
          <w:rFonts w:asciiTheme="majorBidi" w:hAnsiTheme="majorBidi" w:cstheme="majorBidi"/>
          <w:sz w:val="24"/>
          <w:szCs w:val="24"/>
        </w:rPr>
        <w:t xml:space="preserve"> bride</w:t>
      </w:r>
      <w:r w:rsidR="00C00E25" w:rsidRPr="000B300B">
        <w:rPr>
          <w:rFonts w:asciiTheme="majorBidi" w:hAnsiTheme="majorBidi" w:cstheme="majorBidi"/>
          <w:sz w:val="24"/>
          <w:szCs w:val="24"/>
        </w:rPr>
        <w:t>’</w:t>
      </w:r>
      <w:r w:rsidR="001537D8" w:rsidRPr="000B300B">
        <w:rPr>
          <w:rFonts w:asciiTheme="majorBidi" w:hAnsiTheme="majorBidi" w:cstheme="majorBidi"/>
          <w:sz w:val="24"/>
          <w:szCs w:val="24"/>
        </w:rPr>
        <w:t xml:space="preserve">s </w:t>
      </w:r>
      <w:r w:rsidR="00125A81" w:rsidRPr="000B300B">
        <w:rPr>
          <w:rFonts w:asciiTheme="majorBidi" w:hAnsiTheme="majorBidi" w:cstheme="majorBidi"/>
          <w:sz w:val="24"/>
          <w:szCs w:val="24"/>
        </w:rPr>
        <w:t xml:space="preserve">lack of </w:t>
      </w:r>
      <w:r w:rsidR="001537D8" w:rsidRPr="000B300B">
        <w:rPr>
          <w:rFonts w:asciiTheme="majorBidi" w:hAnsiTheme="majorBidi" w:cstheme="majorBidi"/>
          <w:sz w:val="24"/>
          <w:szCs w:val="24"/>
        </w:rPr>
        <w:t>virginity on their wedding night</w:t>
      </w:r>
      <w:r w:rsidR="00125A81" w:rsidRPr="000B300B">
        <w:rPr>
          <w:rFonts w:asciiTheme="majorBidi" w:hAnsiTheme="majorBidi" w:cstheme="majorBidi"/>
          <w:sz w:val="24"/>
          <w:szCs w:val="24"/>
        </w:rPr>
        <w:t xml:space="preserve"> unless the visit was explicitly chaperoned: </w:t>
      </w:r>
      <w:r w:rsidR="00C00E25" w:rsidRPr="000B300B">
        <w:rPr>
          <w:rFonts w:asciiTheme="majorBidi" w:hAnsiTheme="majorBidi" w:cstheme="majorBidi"/>
          <w:sz w:val="24"/>
          <w:szCs w:val="24"/>
        </w:rPr>
        <w:t>‘</w:t>
      </w:r>
      <w:r w:rsidRPr="000B300B">
        <w:rPr>
          <w:rFonts w:asciiTheme="majorBidi" w:hAnsiTheme="majorBidi" w:cstheme="majorBidi"/>
          <w:sz w:val="24"/>
          <w:szCs w:val="24"/>
        </w:rPr>
        <w:t>One who eats with his father-in-law in Judea … may not claim virginity because he was secluded with her</w:t>
      </w:r>
      <w:r w:rsidR="00A8253C" w:rsidRPr="000B300B">
        <w:rPr>
          <w:rFonts w:asciiTheme="majorBidi" w:hAnsiTheme="majorBidi" w:cstheme="majorBidi"/>
          <w:sz w:val="24"/>
          <w:szCs w:val="24"/>
        </w:rPr>
        <w:t>.</w:t>
      </w:r>
      <w:r w:rsidR="00C00E25"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7"/>
      </w:r>
    </w:p>
    <w:p w14:paraId="3F102CA2" w14:textId="3A290D90" w:rsidR="00F12795" w:rsidRPr="000B300B" w:rsidRDefault="00125A81"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The presumption</w:t>
      </w:r>
      <w:r w:rsidR="00582551" w:rsidRPr="000B300B">
        <w:rPr>
          <w:rFonts w:asciiTheme="majorBidi" w:hAnsiTheme="majorBidi" w:cstheme="majorBidi"/>
          <w:sz w:val="24"/>
          <w:szCs w:val="24"/>
        </w:rPr>
        <w:t xml:space="preserve"> of </w:t>
      </w:r>
      <w:r w:rsidR="00F12795" w:rsidRPr="000B300B">
        <w:rPr>
          <w:rFonts w:asciiTheme="majorBidi" w:hAnsiTheme="majorBidi" w:cstheme="majorBidi"/>
          <w:sz w:val="24"/>
          <w:szCs w:val="24"/>
        </w:rPr>
        <w:t xml:space="preserve">intimacy </w:t>
      </w:r>
      <w:r w:rsidR="003C09F4" w:rsidRPr="000B300B">
        <w:rPr>
          <w:rFonts w:asciiTheme="majorBidi" w:hAnsiTheme="majorBidi" w:cstheme="majorBidi"/>
          <w:sz w:val="24"/>
          <w:szCs w:val="24"/>
        </w:rPr>
        <w:t xml:space="preserve">between betrothed couples </w:t>
      </w:r>
      <w:r w:rsidR="001404AD" w:rsidRPr="000B300B">
        <w:rPr>
          <w:rFonts w:asciiTheme="majorBidi" w:hAnsiTheme="majorBidi" w:cstheme="majorBidi"/>
          <w:sz w:val="24"/>
          <w:szCs w:val="24"/>
        </w:rPr>
        <w:t>in Judea also gave rise to</w:t>
      </w:r>
      <w:r w:rsidR="00F12795" w:rsidRPr="000B300B">
        <w:rPr>
          <w:rFonts w:asciiTheme="majorBidi" w:hAnsiTheme="majorBidi" w:cstheme="majorBidi"/>
          <w:sz w:val="24"/>
          <w:szCs w:val="24"/>
        </w:rPr>
        <w:t xml:space="preserve"> the </w:t>
      </w:r>
      <w:r w:rsidR="00A8253C" w:rsidRPr="000B300B">
        <w:rPr>
          <w:rFonts w:asciiTheme="majorBidi" w:hAnsiTheme="majorBidi" w:cstheme="majorBidi"/>
          <w:sz w:val="24"/>
          <w:szCs w:val="24"/>
        </w:rPr>
        <w:t>law</w:t>
      </w:r>
      <w:r w:rsidR="00582551" w:rsidRPr="000B300B">
        <w:rPr>
          <w:rFonts w:asciiTheme="majorBidi" w:hAnsiTheme="majorBidi" w:cstheme="majorBidi"/>
          <w:sz w:val="24"/>
          <w:szCs w:val="24"/>
        </w:rPr>
        <w:t xml:space="preserve"> that</w:t>
      </w:r>
      <w:r w:rsidR="00F12795" w:rsidRPr="000B300B">
        <w:rPr>
          <w:rFonts w:asciiTheme="majorBidi" w:hAnsiTheme="majorBidi" w:cstheme="majorBidi"/>
          <w:sz w:val="24"/>
          <w:szCs w:val="24"/>
        </w:rPr>
        <w:t xml:space="preserve"> a </w:t>
      </w:r>
      <w:r w:rsidR="001404AD" w:rsidRPr="000B300B">
        <w:rPr>
          <w:rFonts w:asciiTheme="majorBidi" w:hAnsiTheme="majorBidi" w:cstheme="majorBidi"/>
          <w:sz w:val="24"/>
          <w:szCs w:val="24"/>
        </w:rPr>
        <w:t xml:space="preserve">Judean </w:t>
      </w:r>
      <w:r w:rsidR="00F12795" w:rsidRPr="000B300B">
        <w:rPr>
          <w:rFonts w:asciiTheme="majorBidi" w:hAnsiTheme="majorBidi" w:cstheme="majorBidi"/>
          <w:sz w:val="24"/>
          <w:szCs w:val="24"/>
        </w:rPr>
        <w:t xml:space="preserve">widow </w:t>
      </w:r>
      <w:r w:rsidR="001404AD" w:rsidRPr="000B300B">
        <w:rPr>
          <w:rFonts w:asciiTheme="majorBidi" w:hAnsiTheme="majorBidi" w:cstheme="majorBidi"/>
          <w:sz w:val="24"/>
          <w:szCs w:val="24"/>
        </w:rPr>
        <w:t>whose husband died while she was still just betrothed was nevertheless</w:t>
      </w:r>
      <w:r w:rsidR="00F12795" w:rsidRPr="000B300B">
        <w:rPr>
          <w:rFonts w:asciiTheme="majorBidi" w:hAnsiTheme="majorBidi" w:cstheme="majorBidi"/>
          <w:sz w:val="24"/>
          <w:szCs w:val="24"/>
        </w:rPr>
        <w:t xml:space="preserve"> was required to wait </w:t>
      </w:r>
      <w:r w:rsidR="00BD3B98" w:rsidRPr="000B300B">
        <w:rPr>
          <w:rFonts w:asciiTheme="majorBidi" w:hAnsiTheme="majorBidi" w:cstheme="majorBidi"/>
          <w:sz w:val="24"/>
          <w:szCs w:val="24"/>
        </w:rPr>
        <w:t>three months</w:t>
      </w:r>
      <w:r w:rsidR="00F12795" w:rsidRPr="000B300B">
        <w:rPr>
          <w:rFonts w:asciiTheme="majorBidi" w:hAnsiTheme="majorBidi" w:cstheme="majorBidi"/>
          <w:sz w:val="24"/>
          <w:szCs w:val="24"/>
        </w:rPr>
        <w:t xml:space="preserve"> before remarr</w:t>
      </w:r>
      <w:r w:rsidR="00582551" w:rsidRPr="000B300B">
        <w:rPr>
          <w:rFonts w:asciiTheme="majorBidi" w:hAnsiTheme="majorBidi" w:cstheme="majorBidi"/>
          <w:sz w:val="24"/>
          <w:szCs w:val="24"/>
        </w:rPr>
        <w:t xml:space="preserve">ying </w:t>
      </w:r>
      <w:r w:rsidR="00F12795" w:rsidRPr="000B300B">
        <w:rPr>
          <w:rFonts w:asciiTheme="majorBidi" w:hAnsiTheme="majorBidi" w:cstheme="majorBidi"/>
          <w:sz w:val="24"/>
          <w:szCs w:val="24"/>
        </w:rPr>
        <w:t xml:space="preserve">to avoid </w:t>
      </w:r>
      <w:r w:rsidR="001404AD" w:rsidRPr="000B300B">
        <w:rPr>
          <w:rFonts w:asciiTheme="majorBidi" w:hAnsiTheme="majorBidi" w:cstheme="majorBidi"/>
          <w:sz w:val="24"/>
          <w:szCs w:val="24"/>
        </w:rPr>
        <w:t>uncertainty</w:t>
      </w:r>
      <w:r w:rsidR="00F12795" w:rsidRPr="000B300B">
        <w:rPr>
          <w:rFonts w:asciiTheme="majorBidi" w:hAnsiTheme="majorBidi" w:cstheme="majorBidi"/>
          <w:sz w:val="24"/>
          <w:szCs w:val="24"/>
        </w:rPr>
        <w:t xml:space="preserve"> as to the identity of the father</w:t>
      </w:r>
      <w:r w:rsidR="001404AD" w:rsidRPr="000B300B">
        <w:rPr>
          <w:rFonts w:asciiTheme="majorBidi" w:hAnsiTheme="majorBidi" w:cstheme="majorBidi"/>
          <w:sz w:val="24"/>
          <w:szCs w:val="24"/>
        </w:rPr>
        <w:t xml:space="preserve"> of a child who was born soon after</w:t>
      </w:r>
      <w:r w:rsidR="00F12795"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8"/>
      </w:r>
      <w:r w:rsidR="00582551" w:rsidRPr="000B300B">
        <w:rPr>
          <w:rFonts w:asciiTheme="majorBidi" w:hAnsiTheme="majorBidi" w:cstheme="majorBidi"/>
          <w:sz w:val="24"/>
          <w:szCs w:val="24"/>
        </w:rPr>
        <w:t xml:space="preserve"> Similarly, </w:t>
      </w:r>
      <w:r w:rsidR="00F12795" w:rsidRPr="000B300B">
        <w:rPr>
          <w:rFonts w:asciiTheme="majorBidi" w:hAnsiTheme="majorBidi" w:cstheme="majorBidi"/>
          <w:sz w:val="24"/>
          <w:szCs w:val="24"/>
        </w:rPr>
        <w:t xml:space="preserve">a </w:t>
      </w:r>
      <w:r w:rsidR="00273349" w:rsidRPr="000B300B">
        <w:rPr>
          <w:rFonts w:asciiTheme="majorBidi" w:hAnsiTheme="majorBidi" w:cstheme="majorBidi"/>
          <w:sz w:val="24"/>
          <w:szCs w:val="24"/>
        </w:rPr>
        <w:t xml:space="preserve">betrothed woman in Judea who was </w:t>
      </w:r>
      <w:r w:rsidR="00F12795" w:rsidRPr="000B300B">
        <w:rPr>
          <w:rFonts w:asciiTheme="majorBidi" w:hAnsiTheme="majorBidi" w:cstheme="majorBidi"/>
          <w:sz w:val="24"/>
          <w:szCs w:val="24"/>
        </w:rPr>
        <w:t xml:space="preserve">divorced was forbidden to live in the vicinity of her former husband to prevent </w:t>
      </w:r>
      <w:r w:rsidR="00582551" w:rsidRPr="000B300B">
        <w:rPr>
          <w:rFonts w:asciiTheme="majorBidi" w:hAnsiTheme="majorBidi" w:cstheme="majorBidi"/>
          <w:sz w:val="24"/>
          <w:szCs w:val="24"/>
        </w:rPr>
        <w:t xml:space="preserve">them from possibly renewing their </w:t>
      </w:r>
      <w:r w:rsidR="00F12795" w:rsidRPr="000B300B">
        <w:rPr>
          <w:rFonts w:asciiTheme="majorBidi" w:hAnsiTheme="majorBidi" w:cstheme="majorBidi"/>
          <w:sz w:val="24"/>
          <w:szCs w:val="24"/>
        </w:rPr>
        <w:t>sexual relations</w:t>
      </w:r>
      <w:r w:rsidR="00582551" w:rsidRPr="000B300B">
        <w:rPr>
          <w:rFonts w:asciiTheme="majorBidi" w:hAnsiTheme="majorBidi" w:cstheme="majorBidi"/>
          <w:sz w:val="24"/>
          <w:szCs w:val="24"/>
        </w:rPr>
        <w:t>.</w:t>
      </w:r>
      <w:r w:rsidR="002D6985" w:rsidRPr="000B300B">
        <w:rPr>
          <w:rStyle w:val="FootnoteReference"/>
          <w:rFonts w:asciiTheme="majorBidi" w:hAnsiTheme="majorBidi" w:cstheme="majorBidi"/>
          <w:sz w:val="24"/>
          <w:szCs w:val="24"/>
        </w:rPr>
        <w:footnoteReference w:id="29"/>
      </w:r>
    </w:p>
    <w:p w14:paraId="5D25B8B8" w14:textId="513BBEE9" w:rsidR="00F12795" w:rsidRPr="000B300B" w:rsidRDefault="00F12795" w:rsidP="00857F38">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It is worth noting that the very existence of </w:t>
      </w:r>
      <w:r w:rsidR="00CE427D">
        <w:rPr>
          <w:rFonts w:asciiTheme="majorBidi" w:hAnsiTheme="majorBidi" w:cstheme="majorBidi"/>
          <w:sz w:val="24"/>
          <w:szCs w:val="24"/>
        </w:rPr>
        <w:t>the practice wherein</w:t>
      </w:r>
      <w:r w:rsidR="000F6EA6" w:rsidRPr="000B300B">
        <w:rPr>
          <w:rFonts w:asciiTheme="majorBidi" w:hAnsiTheme="majorBidi" w:cstheme="majorBidi"/>
          <w:sz w:val="24"/>
          <w:szCs w:val="24"/>
        </w:rPr>
        <w:t xml:space="preserve"> betrothed couples</w:t>
      </w:r>
      <w:r w:rsidR="00CE427D">
        <w:rPr>
          <w:rFonts w:asciiTheme="majorBidi" w:hAnsiTheme="majorBidi" w:cstheme="majorBidi"/>
          <w:sz w:val="24"/>
          <w:szCs w:val="24"/>
        </w:rPr>
        <w:t xml:space="preserve"> were secluded</w:t>
      </w:r>
      <w:r w:rsidR="000F6EA6" w:rsidRPr="000B300B">
        <w:rPr>
          <w:rFonts w:asciiTheme="majorBidi" w:hAnsiTheme="majorBidi" w:cstheme="majorBidi"/>
          <w:sz w:val="24"/>
          <w:szCs w:val="24"/>
        </w:rPr>
        <w:t xml:space="preserve"> </w:t>
      </w:r>
      <w:r w:rsidRPr="000B300B">
        <w:rPr>
          <w:rFonts w:asciiTheme="majorBidi" w:hAnsiTheme="majorBidi" w:cstheme="majorBidi"/>
          <w:sz w:val="24"/>
          <w:szCs w:val="24"/>
        </w:rPr>
        <w:t>in Judea</w:t>
      </w:r>
      <w:r w:rsidR="003C09F4"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regardless of </w:t>
      </w:r>
      <w:r w:rsidR="003C09F4" w:rsidRPr="000B300B">
        <w:rPr>
          <w:rFonts w:asciiTheme="majorBidi" w:hAnsiTheme="majorBidi" w:cstheme="majorBidi"/>
          <w:sz w:val="24"/>
          <w:szCs w:val="24"/>
        </w:rPr>
        <w:t xml:space="preserve">how prevalent </w:t>
      </w:r>
      <w:r w:rsidR="000F6EA6" w:rsidRPr="000B300B">
        <w:rPr>
          <w:rFonts w:asciiTheme="majorBidi" w:hAnsiTheme="majorBidi" w:cstheme="majorBidi"/>
          <w:sz w:val="24"/>
          <w:szCs w:val="24"/>
        </w:rPr>
        <w:t>it</w:t>
      </w:r>
      <w:r w:rsidR="003C09F4" w:rsidRPr="000B300B">
        <w:rPr>
          <w:rFonts w:asciiTheme="majorBidi" w:hAnsiTheme="majorBidi" w:cstheme="majorBidi"/>
          <w:sz w:val="24"/>
          <w:szCs w:val="24"/>
        </w:rPr>
        <w:t xml:space="preserve"> was, proves that the </w:t>
      </w:r>
      <w:r w:rsidR="00273349" w:rsidRPr="000B300B">
        <w:rPr>
          <w:rFonts w:asciiTheme="majorBidi" w:hAnsiTheme="majorBidi" w:cstheme="majorBidi"/>
          <w:sz w:val="24"/>
          <w:szCs w:val="24"/>
        </w:rPr>
        <w:t>early</w:t>
      </w:r>
      <w:r w:rsidR="003C09F4"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conception of </w:t>
      </w:r>
      <w:r w:rsidR="003C09F4" w:rsidRPr="000B300B">
        <w:rPr>
          <w:rFonts w:asciiTheme="majorBidi" w:hAnsiTheme="majorBidi" w:cstheme="majorBidi"/>
          <w:sz w:val="24"/>
          <w:szCs w:val="24"/>
        </w:rPr>
        <w:t xml:space="preserve">betrothal was different </w:t>
      </w:r>
      <w:r w:rsidR="00273349" w:rsidRPr="000B300B">
        <w:rPr>
          <w:rFonts w:asciiTheme="majorBidi" w:hAnsiTheme="majorBidi" w:cstheme="majorBidi"/>
          <w:sz w:val="24"/>
          <w:szCs w:val="24"/>
        </w:rPr>
        <w:t>from that which later became accepted as the</w:t>
      </w:r>
      <w:r w:rsidRPr="000B300B">
        <w:rPr>
          <w:rFonts w:asciiTheme="majorBidi" w:hAnsiTheme="majorBidi" w:cstheme="majorBidi"/>
          <w:sz w:val="24"/>
          <w:szCs w:val="24"/>
        </w:rPr>
        <w:t xml:space="preserve"> </w:t>
      </w:r>
      <w:r w:rsidRPr="000B300B">
        <w:rPr>
          <w:rFonts w:asciiTheme="majorBidi" w:hAnsiTheme="majorBidi" w:cstheme="majorBidi"/>
          <w:i/>
          <w:iCs/>
          <w:sz w:val="24"/>
          <w:szCs w:val="24"/>
        </w:rPr>
        <w:t>halakhah</w:t>
      </w:r>
      <w:r w:rsidRPr="000B300B">
        <w:rPr>
          <w:rFonts w:asciiTheme="majorBidi" w:hAnsiTheme="majorBidi" w:cstheme="majorBidi"/>
          <w:sz w:val="24"/>
          <w:szCs w:val="24"/>
        </w:rPr>
        <w:t>. However, as we shall see, there are other</w:t>
      </w:r>
      <w:r w:rsidR="00B301F0" w:rsidRPr="000B300B">
        <w:rPr>
          <w:rFonts w:asciiTheme="majorBidi" w:hAnsiTheme="majorBidi" w:cstheme="majorBidi"/>
          <w:sz w:val="24"/>
          <w:szCs w:val="24"/>
        </w:rPr>
        <w:t xml:space="preserve">, </w:t>
      </w:r>
      <w:r w:rsidRPr="000B300B">
        <w:rPr>
          <w:rFonts w:asciiTheme="majorBidi" w:hAnsiTheme="majorBidi" w:cstheme="majorBidi"/>
          <w:sz w:val="24"/>
          <w:szCs w:val="24"/>
        </w:rPr>
        <w:t>later sources</w:t>
      </w:r>
      <w:r w:rsidR="00B301F0" w:rsidRPr="000B300B">
        <w:rPr>
          <w:rFonts w:asciiTheme="majorBidi" w:hAnsiTheme="majorBidi" w:cstheme="majorBidi"/>
          <w:sz w:val="24"/>
          <w:szCs w:val="24"/>
        </w:rPr>
        <w:t xml:space="preserve"> on</w:t>
      </w:r>
      <w:r w:rsidRPr="000B300B">
        <w:rPr>
          <w:rFonts w:asciiTheme="majorBidi" w:hAnsiTheme="majorBidi" w:cstheme="majorBidi"/>
          <w:sz w:val="24"/>
          <w:szCs w:val="24"/>
        </w:rPr>
        <w:t xml:space="preserve"> </w:t>
      </w:r>
      <w:r w:rsidR="003C09F4" w:rsidRPr="000B300B">
        <w:rPr>
          <w:rFonts w:asciiTheme="majorBidi" w:hAnsiTheme="majorBidi" w:cstheme="majorBidi"/>
          <w:i/>
          <w:iCs/>
          <w:sz w:val="24"/>
          <w:szCs w:val="24"/>
        </w:rPr>
        <w:t>halakhic</w:t>
      </w:r>
      <w:r w:rsidR="003C09F4" w:rsidRPr="000B300B">
        <w:rPr>
          <w:rFonts w:asciiTheme="majorBidi" w:hAnsiTheme="majorBidi" w:cstheme="majorBidi"/>
          <w:sz w:val="24"/>
          <w:szCs w:val="24"/>
        </w:rPr>
        <w:t xml:space="preserve"> practice in the </w:t>
      </w:r>
      <w:r w:rsidRPr="000B300B">
        <w:rPr>
          <w:rFonts w:asciiTheme="majorBidi" w:hAnsiTheme="majorBidi" w:cstheme="majorBidi"/>
          <w:sz w:val="24"/>
          <w:szCs w:val="24"/>
        </w:rPr>
        <w:t xml:space="preserve">Land of Israel </w:t>
      </w:r>
      <w:r w:rsidR="00B301F0" w:rsidRPr="000B300B">
        <w:rPr>
          <w:rFonts w:asciiTheme="majorBidi" w:hAnsiTheme="majorBidi" w:cstheme="majorBidi"/>
          <w:sz w:val="24"/>
          <w:szCs w:val="24"/>
        </w:rPr>
        <w:t>showing that there</w:t>
      </w:r>
      <w:r w:rsidR="003C09F4" w:rsidRPr="000B300B">
        <w:rPr>
          <w:rFonts w:asciiTheme="majorBidi" w:hAnsiTheme="majorBidi" w:cstheme="majorBidi"/>
          <w:sz w:val="24"/>
          <w:szCs w:val="24"/>
        </w:rPr>
        <w:t xml:space="preserve"> was physical intimacy durin</w:t>
      </w:r>
      <w:r w:rsidRPr="000B300B">
        <w:rPr>
          <w:rFonts w:asciiTheme="majorBidi" w:hAnsiTheme="majorBidi" w:cstheme="majorBidi"/>
          <w:sz w:val="24"/>
          <w:szCs w:val="24"/>
        </w:rPr>
        <w:t xml:space="preserve">g </w:t>
      </w:r>
      <w:r w:rsidR="003C09F4" w:rsidRPr="000B300B">
        <w:rPr>
          <w:rFonts w:asciiTheme="majorBidi" w:hAnsiTheme="majorBidi" w:cstheme="majorBidi"/>
          <w:sz w:val="24"/>
          <w:szCs w:val="24"/>
        </w:rPr>
        <w:t xml:space="preserve">betrothal </w:t>
      </w:r>
      <w:r w:rsidRPr="000B300B">
        <w:rPr>
          <w:rFonts w:asciiTheme="majorBidi" w:hAnsiTheme="majorBidi" w:cstheme="majorBidi"/>
          <w:sz w:val="24"/>
          <w:szCs w:val="24"/>
        </w:rPr>
        <w:t>and</w:t>
      </w:r>
      <w:r w:rsidR="00B301F0" w:rsidRPr="000B300B">
        <w:rPr>
          <w:rFonts w:asciiTheme="majorBidi" w:hAnsiTheme="majorBidi" w:cstheme="majorBidi"/>
          <w:sz w:val="24"/>
          <w:szCs w:val="24"/>
        </w:rPr>
        <w:t xml:space="preserve"> that </w:t>
      </w:r>
      <w:r w:rsidR="003C09F4" w:rsidRPr="000B300B">
        <w:rPr>
          <w:rFonts w:asciiTheme="majorBidi" w:hAnsiTheme="majorBidi" w:cstheme="majorBidi"/>
          <w:sz w:val="24"/>
          <w:szCs w:val="24"/>
        </w:rPr>
        <w:t xml:space="preserve">it was </w:t>
      </w:r>
      <w:r w:rsidRPr="000B300B">
        <w:rPr>
          <w:rFonts w:asciiTheme="majorBidi" w:hAnsiTheme="majorBidi" w:cstheme="majorBidi"/>
          <w:sz w:val="24"/>
          <w:szCs w:val="24"/>
        </w:rPr>
        <w:t>not limited to Judea alone.</w:t>
      </w:r>
      <w:r w:rsidR="003C09F4"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As a rule, the </w:t>
      </w:r>
      <w:r w:rsidRPr="000B300B">
        <w:rPr>
          <w:rFonts w:asciiTheme="majorBidi" w:hAnsiTheme="majorBidi" w:cstheme="majorBidi"/>
          <w:i/>
          <w:iCs/>
          <w:sz w:val="24"/>
          <w:szCs w:val="24"/>
        </w:rPr>
        <w:t>Mishnah</w:t>
      </w:r>
      <w:r w:rsidRPr="000B300B">
        <w:rPr>
          <w:rFonts w:asciiTheme="majorBidi" w:hAnsiTheme="majorBidi" w:cstheme="majorBidi"/>
          <w:sz w:val="24"/>
          <w:szCs w:val="24"/>
        </w:rPr>
        <w:t xml:space="preserve"> and the </w:t>
      </w:r>
      <w:r w:rsidRPr="000B300B">
        <w:rPr>
          <w:rFonts w:asciiTheme="majorBidi" w:hAnsiTheme="majorBidi" w:cstheme="majorBidi"/>
          <w:i/>
          <w:iCs/>
          <w:sz w:val="24"/>
          <w:szCs w:val="24"/>
        </w:rPr>
        <w:t>Tosefta</w:t>
      </w:r>
      <w:r w:rsidRPr="000B300B">
        <w:rPr>
          <w:rFonts w:asciiTheme="majorBidi" w:hAnsiTheme="majorBidi" w:cstheme="majorBidi"/>
          <w:sz w:val="24"/>
          <w:szCs w:val="24"/>
        </w:rPr>
        <w:t xml:space="preserve"> were edited </w:t>
      </w:r>
      <w:r w:rsidR="005E1564" w:rsidRPr="000B300B">
        <w:rPr>
          <w:rFonts w:asciiTheme="majorBidi" w:hAnsiTheme="majorBidi" w:cstheme="majorBidi"/>
          <w:sz w:val="24"/>
          <w:szCs w:val="24"/>
        </w:rPr>
        <w:t>from a Galilean perspective</w:t>
      </w:r>
      <w:r w:rsidR="003C09F4"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where sexual intercourse </w:t>
      </w:r>
      <w:r w:rsidR="003C09F4" w:rsidRPr="000B300B">
        <w:rPr>
          <w:rFonts w:asciiTheme="majorBidi" w:hAnsiTheme="majorBidi" w:cstheme="majorBidi"/>
          <w:sz w:val="24"/>
          <w:szCs w:val="24"/>
        </w:rPr>
        <w:t>only began</w:t>
      </w:r>
      <w:r w:rsidRPr="000B300B">
        <w:rPr>
          <w:rFonts w:asciiTheme="majorBidi" w:hAnsiTheme="majorBidi" w:cstheme="majorBidi"/>
          <w:sz w:val="24"/>
          <w:szCs w:val="24"/>
        </w:rPr>
        <w:t xml:space="preserve"> with </w:t>
      </w:r>
      <w:r w:rsidR="007A4AD2" w:rsidRPr="000B300B">
        <w:rPr>
          <w:rFonts w:asciiTheme="majorBidi" w:hAnsiTheme="majorBidi" w:cstheme="majorBidi"/>
          <w:i/>
          <w:iCs/>
          <w:sz w:val="24"/>
          <w:szCs w:val="24"/>
        </w:rPr>
        <w:t>nisu</w:t>
      </w:r>
      <w:r w:rsidR="00C00E25" w:rsidRPr="000B300B">
        <w:rPr>
          <w:rFonts w:asciiTheme="majorBidi" w:hAnsiTheme="majorBidi" w:cstheme="majorBidi"/>
          <w:i/>
          <w:iCs/>
          <w:sz w:val="24"/>
          <w:szCs w:val="24"/>
        </w:rPr>
        <w:t>’</w:t>
      </w:r>
      <w:r w:rsidR="007A4AD2" w:rsidRPr="000B300B">
        <w:rPr>
          <w:rFonts w:asciiTheme="majorBidi" w:hAnsiTheme="majorBidi" w:cstheme="majorBidi"/>
          <w:i/>
          <w:iCs/>
          <w:sz w:val="24"/>
          <w:szCs w:val="24"/>
        </w:rPr>
        <w:t>in</w:t>
      </w:r>
      <w:r w:rsidRPr="000B300B">
        <w:rPr>
          <w:rFonts w:asciiTheme="majorBidi" w:hAnsiTheme="majorBidi" w:cstheme="majorBidi"/>
          <w:sz w:val="24"/>
          <w:szCs w:val="24"/>
        </w:rPr>
        <w:t xml:space="preserve">. </w:t>
      </w:r>
      <w:r w:rsidR="00776C79" w:rsidRPr="000B300B">
        <w:rPr>
          <w:rFonts w:asciiTheme="majorBidi" w:hAnsiTheme="majorBidi" w:cstheme="majorBidi"/>
          <w:sz w:val="24"/>
          <w:szCs w:val="24"/>
        </w:rPr>
        <w:t>Accordingly</w:t>
      </w:r>
      <w:r w:rsidR="003C09F4" w:rsidRPr="000B300B">
        <w:rPr>
          <w:rFonts w:asciiTheme="majorBidi" w:hAnsiTheme="majorBidi" w:cstheme="majorBidi"/>
          <w:sz w:val="24"/>
          <w:szCs w:val="24"/>
        </w:rPr>
        <w:t>,</w:t>
      </w:r>
      <w:r w:rsidRPr="000B300B">
        <w:rPr>
          <w:rFonts w:asciiTheme="majorBidi" w:hAnsiTheme="majorBidi" w:cstheme="majorBidi"/>
          <w:sz w:val="24"/>
          <w:szCs w:val="24"/>
        </w:rPr>
        <w:t xml:space="preserve"> </w:t>
      </w:r>
      <w:r w:rsidR="00776C79" w:rsidRPr="000B300B">
        <w:rPr>
          <w:rFonts w:asciiTheme="majorBidi" w:hAnsiTheme="majorBidi" w:cstheme="majorBidi"/>
          <w:sz w:val="24"/>
          <w:szCs w:val="24"/>
        </w:rPr>
        <w:t>an unattributed passage in the</w:t>
      </w:r>
      <w:r w:rsidRPr="000B300B">
        <w:rPr>
          <w:rFonts w:asciiTheme="majorBidi" w:hAnsiTheme="majorBidi" w:cstheme="majorBidi"/>
          <w:sz w:val="24"/>
          <w:szCs w:val="24"/>
        </w:rPr>
        <w:t xml:space="preserve"> </w:t>
      </w:r>
      <w:r w:rsidRPr="000B300B">
        <w:rPr>
          <w:rFonts w:asciiTheme="majorBidi" w:hAnsiTheme="majorBidi" w:cstheme="majorBidi"/>
          <w:i/>
          <w:iCs/>
          <w:sz w:val="24"/>
          <w:szCs w:val="24"/>
        </w:rPr>
        <w:t>Mishnah</w:t>
      </w:r>
      <w:r w:rsidRPr="000B300B">
        <w:rPr>
          <w:rFonts w:asciiTheme="majorBidi" w:hAnsiTheme="majorBidi" w:cstheme="majorBidi"/>
          <w:sz w:val="24"/>
          <w:szCs w:val="24"/>
        </w:rPr>
        <w:t xml:space="preserve"> assume</w:t>
      </w:r>
      <w:r w:rsidR="003C09F4" w:rsidRPr="000B300B">
        <w:rPr>
          <w:rFonts w:asciiTheme="majorBidi" w:hAnsiTheme="majorBidi" w:cstheme="majorBidi"/>
          <w:sz w:val="24"/>
          <w:szCs w:val="24"/>
        </w:rPr>
        <w:t>s</w:t>
      </w:r>
      <w:r w:rsidRPr="000B300B">
        <w:rPr>
          <w:rFonts w:asciiTheme="majorBidi" w:hAnsiTheme="majorBidi" w:cstheme="majorBidi"/>
          <w:sz w:val="24"/>
          <w:szCs w:val="24"/>
        </w:rPr>
        <w:t xml:space="preserve"> that a dispute </w:t>
      </w:r>
      <w:r w:rsidR="003C09F4" w:rsidRPr="000B300B">
        <w:rPr>
          <w:rFonts w:asciiTheme="majorBidi" w:hAnsiTheme="majorBidi" w:cstheme="majorBidi"/>
          <w:sz w:val="24"/>
          <w:szCs w:val="24"/>
        </w:rPr>
        <w:t xml:space="preserve">regarding the </w:t>
      </w:r>
      <w:r w:rsidRPr="000B300B">
        <w:rPr>
          <w:rFonts w:asciiTheme="majorBidi" w:hAnsiTheme="majorBidi" w:cstheme="majorBidi"/>
          <w:sz w:val="24"/>
          <w:szCs w:val="24"/>
        </w:rPr>
        <w:t>bride</w:t>
      </w:r>
      <w:r w:rsidR="00C00E25" w:rsidRPr="000B300B">
        <w:rPr>
          <w:rFonts w:asciiTheme="majorBidi" w:hAnsiTheme="majorBidi" w:cstheme="majorBidi"/>
          <w:sz w:val="24"/>
          <w:szCs w:val="24"/>
        </w:rPr>
        <w:t>’</w:t>
      </w:r>
      <w:r w:rsidRPr="000B300B">
        <w:rPr>
          <w:rFonts w:asciiTheme="majorBidi" w:hAnsiTheme="majorBidi" w:cstheme="majorBidi"/>
          <w:sz w:val="24"/>
          <w:szCs w:val="24"/>
        </w:rPr>
        <w:t>s virginity</w:t>
      </w:r>
      <w:r w:rsidR="003C09F4" w:rsidRPr="000B300B">
        <w:rPr>
          <w:rFonts w:asciiTheme="majorBidi" w:hAnsiTheme="majorBidi" w:cstheme="majorBidi"/>
          <w:sz w:val="24"/>
          <w:szCs w:val="24"/>
        </w:rPr>
        <w:t xml:space="preserve"> </w:t>
      </w:r>
      <w:r w:rsidR="00535BD4" w:rsidRPr="000B300B">
        <w:rPr>
          <w:rFonts w:asciiTheme="majorBidi" w:hAnsiTheme="majorBidi" w:cstheme="majorBidi"/>
          <w:sz w:val="24"/>
          <w:szCs w:val="24"/>
        </w:rPr>
        <w:t>could</w:t>
      </w:r>
      <w:r w:rsidR="003C09F4" w:rsidRPr="000B300B">
        <w:rPr>
          <w:rFonts w:asciiTheme="majorBidi" w:hAnsiTheme="majorBidi" w:cstheme="majorBidi"/>
          <w:sz w:val="24"/>
          <w:szCs w:val="24"/>
        </w:rPr>
        <w:t xml:space="preserve"> only </w:t>
      </w:r>
      <w:r w:rsidR="00535BD4" w:rsidRPr="000B300B">
        <w:rPr>
          <w:rFonts w:asciiTheme="majorBidi" w:hAnsiTheme="majorBidi" w:cstheme="majorBidi"/>
          <w:sz w:val="24"/>
          <w:szCs w:val="24"/>
        </w:rPr>
        <w:t>occur</w:t>
      </w:r>
      <w:r w:rsidR="003C09F4" w:rsidRPr="000B300B">
        <w:rPr>
          <w:rFonts w:asciiTheme="majorBidi" w:hAnsiTheme="majorBidi" w:cstheme="majorBidi"/>
          <w:sz w:val="24"/>
          <w:szCs w:val="24"/>
        </w:rPr>
        <w:t xml:space="preserve"> the day after </w:t>
      </w:r>
      <w:r w:rsidR="00D36E29" w:rsidRPr="000B300B">
        <w:rPr>
          <w:rFonts w:asciiTheme="majorBidi" w:hAnsiTheme="majorBidi" w:cstheme="majorBidi"/>
          <w:sz w:val="24"/>
          <w:szCs w:val="24"/>
        </w:rPr>
        <w:t xml:space="preserve">the </w:t>
      </w:r>
      <w:r w:rsidR="00D36E29" w:rsidRPr="000B300B">
        <w:rPr>
          <w:rFonts w:asciiTheme="majorBidi" w:hAnsiTheme="majorBidi" w:cstheme="majorBidi"/>
          <w:i/>
          <w:iCs/>
          <w:sz w:val="24"/>
          <w:szCs w:val="24"/>
        </w:rPr>
        <w:t>nisu</w:t>
      </w:r>
      <w:r w:rsidR="00C00E25" w:rsidRPr="000B300B">
        <w:rPr>
          <w:rFonts w:asciiTheme="majorBidi" w:hAnsiTheme="majorBidi" w:cstheme="majorBidi"/>
          <w:i/>
          <w:iCs/>
          <w:sz w:val="24"/>
          <w:szCs w:val="24"/>
        </w:rPr>
        <w:t>’</w:t>
      </w:r>
      <w:r w:rsidR="00D36E29" w:rsidRPr="000B300B">
        <w:rPr>
          <w:rFonts w:asciiTheme="majorBidi" w:hAnsiTheme="majorBidi" w:cstheme="majorBidi"/>
          <w:i/>
          <w:iCs/>
          <w:sz w:val="24"/>
          <w:szCs w:val="24"/>
        </w:rPr>
        <w:t>in</w:t>
      </w:r>
      <w:r w:rsidR="00535BD4" w:rsidRPr="000B300B">
        <w:rPr>
          <w:rFonts w:asciiTheme="majorBidi" w:hAnsiTheme="majorBidi" w:cstheme="majorBidi"/>
          <w:sz w:val="24"/>
          <w:szCs w:val="24"/>
        </w:rPr>
        <w:t>.</w:t>
      </w:r>
      <w:r w:rsidR="00D46404" w:rsidRPr="000B300B">
        <w:rPr>
          <w:rFonts w:asciiTheme="majorBidi" w:hAnsiTheme="majorBidi" w:cstheme="majorBidi"/>
          <w:sz w:val="24"/>
          <w:szCs w:val="24"/>
        </w:rPr>
        <w:t xml:space="preserve"> Moreover,</w:t>
      </w:r>
      <w:r w:rsidR="00535BD4" w:rsidRPr="000B300B">
        <w:rPr>
          <w:rFonts w:asciiTheme="majorBidi" w:hAnsiTheme="majorBidi" w:cstheme="majorBidi"/>
          <w:sz w:val="24"/>
          <w:szCs w:val="24"/>
        </w:rPr>
        <w:t xml:space="preserve"> a </w:t>
      </w:r>
      <w:r w:rsidR="00B301F0" w:rsidRPr="000B300B">
        <w:rPr>
          <w:rFonts w:asciiTheme="majorBidi" w:hAnsiTheme="majorBidi" w:cstheme="majorBidi"/>
          <w:sz w:val="24"/>
          <w:szCs w:val="24"/>
        </w:rPr>
        <w:t>betrothed woman</w:t>
      </w:r>
      <w:r w:rsidR="00535BD4" w:rsidRPr="000B300B">
        <w:rPr>
          <w:rFonts w:asciiTheme="majorBidi" w:hAnsiTheme="majorBidi" w:cstheme="majorBidi"/>
          <w:sz w:val="24"/>
          <w:szCs w:val="24"/>
        </w:rPr>
        <w:t xml:space="preserve"> who gets </w:t>
      </w:r>
      <w:r w:rsidR="00535BD4" w:rsidRPr="000B300B">
        <w:rPr>
          <w:rFonts w:asciiTheme="majorBidi" w:hAnsiTheme="majorBidi" w:cstheme="majorBidi"/>
          <w:sz w:val="24"/>
          <w:szCs w:val="24"/>
        </w:rPr>
        <w:lastRenderedPageBreak/>
        <w:t xml:space="preserve">divorced </w:t>
      </w:r>
      <w:r w:rsidRPr="000B300B">
        <w:rPr>
          <w:rFonts w:asciiTheme="majorBidi" w:hAnsiTheme="majorBidi" w:cstheme="majorBidi"/>
          <w:sz w:val="24"/>
          <w:szCs w:val="24"/>
        </w:rPr>
        <w:t xml:space="preserve">is </w:t>
      </w:r>
      <w:r w:rsidR="00B301F0" w:rsidRPr="000B300B">
        <w:rPr>
          <w:rFonts w:asciiTheme="majorBidi" w:hAnsiTheme="majorBidi" w:cstheme="majorBidi"/>
          <w:sz w:val="24"/>
          <w:szCs w:val="24"/>
        </w:rPr>
        <w:t xml:space="preserve">eligible to receive </w:t>
      </w:r>
      <w:r w:rsidRPr="000B300B">
        <w:rPr>
          <w:rFonts w:asciiTheme="majorBidi" w:hAnsiTheme="majorBidi" w:cstheme="majorBidi"/>
          <w:sz w:val="24"/>
          <w:szCs w:val="24"/>
        </w:rPr>
        <w:t>a virgin</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s </w:t>
      </w:r>
      <w:r w:rsidRPr="000B300B">
        <w:rPr>
          <w:rFonts w:asciiTheme="majorBidi" w:hAnsiTheme="majorBidi" w:cstheme="majorBidi"/>
          <w:i/>
          <w:iCs/>
          <w:sz w:val="24"/>
          <w:szCs w:val="24"/>
        </w:rPr>
        <w:t>ketubah</w:t>
      </w:r>
      <w:r w:rsidRPr="000B300B">
        <w:rPr>
          <w:rFonts w:asciiTheme="majorBidi" w:hAnsiTheme="majorBidi" w:cstheme="majorBidi"/>
          <w:sz w:val="24"/>
          <w:szCs w:val="24"/>
        </w:rPr>
        <w:t xml:space="preserve">. However, the </w:t>
      </w:r>
      <w:r w:rsidR="00535BD4" w:rsidRPr="000B300B">
        <w:rPr>
          <w:rFonts w:asciiTheme="majorBidi" w:hAnsiTheme="majorBidi" w:cstheme="majorBidi"/>
          <w:sz w:val="24"/>
          <w:szCs w:val="24"/>
        </w:rPr>
        <w:t>following</w:t>
      </w:r>
      <w:r w:rsidRPr="000B300B">
        <w:rPr>
          <w:rFonts w:asciiTheme="majorBidi" w:hAnsiTheme="majorBidi" w:cstheme="majorBidi"/>
          <w:sz w:val="24"/>
          <w:szCs w:val="24"/>
        </w:rPr>
        <w:t xml:space="preserve"> </w:t>
      </w:r>
      <w:r w:rsidR="00535BD4" w:rsidRPr="000B300B">
        <w:rPr>
          <w:rFonts w:asciiTheme="majorBidi" w:hAnsiTheme="majorBidi" w:cstheme="majorBidi"/>
          <w:sz w:val="24"/>
          <w:szCs w:val="24"/>
        </w:rPr>
        <w:t>text</w:t>
      </w:r>
      <w:r w:rsidRPr="000B300B">
        <w:rPr>
          <w:rFonts w:asciiTheme="majorBidi" w:hAnsiTheme="majorBidi" w:cstheme="majorBidi"/>
          <w:sz w:val="24"/>
          <w:szCs w:val="24"/>
        </w:rPr>
        <w:t xml:space="preserve"> is an example of a source that survived systematic editing </w:t>
      </w:r>
      <w:r w:rsidR="00CD7997" w:rsidRPr="000B300B">
        <w:rPr>
          <w:rFonts w:asciiTheme="majorBidi" w:hAnsiTheme="majorBidi" w:cstheme="majorBidi"/>
          <w:sz w:val="24"/>
          <w:szCs w:val="24"/>
        </w:rPr>
        <w:t>and</w:t>
      </w:r>
      <w:r w:rsidRPr="000B300B">
        <w:rPr>
          <w:rFonts w:asciiTheme="majorBidi" w:hAnsiTheme="majorBidi" w:cstheme="majorBidi"/>
          <w:sz w:val="24"/>
          <w:szCs w:val="24"/>
        </w:rPr>
        <w:t xml:space="preserve"> reflects the reality of </w:t>
      </w:r>
      <w:r w:rsidR="00EA6705" w:rsidRPr="000B300B">
        <w:rPr>
          <w:rFonts w:asciiTheme="majorBidi" w:hAnsiTheme="majorBidi" w:cstheme="majorBidi"/>
          <w:sz w:val="24"/>
          <w:szCs w:val="24"/>
        </w:rPr>
        <w:t>cohabitation</w:t>
      </w:r>
      <w:r w:rsidRPr="000B300B">
        <w:rPr>
          <w:rFonts w:asciiTheme="majorBidi" w:hAnsiTheme="majorBidi" w:cstheme="majorBidi"/>
          <w:sz w:val="24"/>
          <w:szCs w:val="24"/>
        </w:rPr>
        <w:t xml:space="preserve"> during the </w:t>
      </w:r>
      <w:r w:rsidR="00535BD4" w:rsidRPr="000B300B">
        <w:rPr>
          <w:rFonts w:asciiTheme="majorBidi" w:hAnsiTheme="majorBidi" w:cstheme="majorBidi"/>
          <w:sz w:val="24"/>
          <w:szCs w:val="24"/>
        </w:rPr>
        <w:t>betrothal period</w:t>
      </w:r>
      <w:r w:rsidRPr="000B300B">
        <w:rPr>
          <w:rFonts w:asciiTheme="majorBidi" w:hAnsiTheme="majorBidi" w:cstheme="majorBidi"/>
          <w:sz w:val="24"/>
          <w:szCs w:val="24"/>
        </w:rPr>
        <w:t>.</w:t>
      </w:r>
      <w:r w:rsidR="0054426F" w:rsidRPr="000B300B">
        <w:rPr>
          <w:rStyle w:val="FootnoteReference"/>
          <w:rFonts w:asciiTheme="majorBidi" w:hAnsiTheme="majorBidi" w:cstheme="majorBidi"/>
          <w:sz w:val="24"/>
          <w:szCs w:val="24"/>
        </w:rPr>
        <w:footnoteReference w:id="30"/>
      </w:r>
      <w:r w:rsidRPr="000B300B">
        <w:rPr>
          <w:rFonts w:asciiTheme="majorBidi" w:hAnsiTheme="majorBidi" w:cstheme="majorBidi"/>
          <w:sz w:val="24"/>
          <w:szCs w:val="24"/>
        </w:rPr>
        <w:t xml:space="preserve"> The </w:t>
      </w:r>
      <w:r w:rsidRPr="000B300B">
        <w:rPr>
          <w:rFonts w:asciiTheme="majorBidi" w:hAnsiTheme="majorBidi" w:cstheme="majorBidi"/>
          <w:i/>
          <w:iCs/>
          <w:sz w:val="24"/>
          <w:szCs w:val="24"/>
        </w:rPr>
        <w:t>halakhah</w:t>
      </w:r>
      <w:r w:rsidRPr="000B300B">
        <w:rPr>
          <w:rFonts w:asciiTheme="majorBidi" w:hAnsiTheme="majorBidi" w:cstheme="majorBidi"/>
          <w:sz w:val="24"/>
          <w:szCs w:val="24"/>
        </w:rPr>
        <w:t xml:space="preserve"> </w:t>
      </w:r>
      <w:r w:rsidR="00CD7997" w:rsidRPr="000B300B">
        <w:rPr>
          <w:rFonts w:asciiTheme="majorBidi" w:hAnsiTheme="majorBidi" w:cstheme="majorBidi"/>
          <w:sz w:val="24"/>
          <w:szCs w:val="24"/>
        </w:rPr>
        <w:t>distinguishes</w:t>
      </w:r>
      <w:r w:rsidRPr="000B300B">
        <w:rPr>
          <w:rFonts w:asciiTheme="majorBidi" w:hAnsiTheme="majorBidi" w:cstheme="majorBidi"/>
          <w:sz w:val="24"/>
          <w:szCs w:val="24"/>
        </w:rPr>
        <w:t xml:space="preserve"> between </w:t>
      </w:r>
      <w:r w:rsidR="00CD7997" w:rsidRPr="000B300B">
        <w:rPr>
          <w:rFonts w:asciiTheme="majorBidi" w:hAnsiTheme="majorBidi" w:cstheme="majorBidi"/>
          <w:sz w:val="24"/>
          <w:szCs w:val="24"/>
        </w:rPr>
        <w:t>a betrothed</w:t>
      </w:r>
      <w:r w:rsidRPr="000B300B">
        <w:rPr>
          <w:rFonts w:asciiTheme="majorBidi" w:hAnsiTheme="majorBidi" w:cstheme="majorBidi"/>
          <w:sz w:val="24"/>
          <w:szCs w:val="24"/>
        </w:rPr>
        <w:t xml:space="preserve"> woman who </w:t>
      </w:r>
      <w:r w:rsidR="00CD7997" w:rsidRPr="000B300B">
        <w:rPr>
          <w:rFonts w:asciiTheme="majorBidi" w:hAnsiTheme="majorBidi" w:cstheme="majorBidi"/>
          <w:sz w:val="24"/>
          <w:szCs w:val="24"/>
        </w:rPr>
        <w:t xml:space="preserve">commits adultery and </w:t>
      </w:r>
      <w:r w:rsidRPr="000B300B">
        <w:rPr>
          <w:rFonts w:asciiTheme="majorBidi" w:hAnsiTheme="majorBidi" w:cstheme="majorBidi"/>
          <w:sz w:val="24"/>
          <w:szCs w:val="24"/>
        </w:rPr>
        <w:t xml:space="preserve">would be </w:t>
      </w:r>
      <w:r w:rsidR="00B301F0" w:rsidRPr="000B300B">
        <w:rPr>
          <w:rFonts w:asciiTheme="majorBidi" w:hAnsiTheme="majorBidi" w:cstheme="majorBidi"/>
          <w:sz w:val="24"/>
          <w:szCs w:val="24"/>
        </w:rPr>
        <w:t>executed by stoning</w:t>
      </w:r>
      <w:r w:rsidRPr="000B300B">
        <w:rPr>
          <w:rFonts w:asciiTheme="majorBidi" w:hAnsiTheme="majorBidi" w:cstheme="majorBidi"/>
          <w:sz w:val="24"/>
          <w:szCs w:val="24"/>
        </w:rPr>
        <w:t xml:space="preserve"> and a married woman who would be </w:t>
      </w:r>
      <w:r w:rsidR="00CD7997" w:rsidRPr="000B300B">
        <w:rPr>
          <w:rFonts w:asciiTheme="majorBidi" w:hAnsiTheme="majorBidi" w:cstheme="majorBidi"/>
          <w:sz w:val="24"/>
          <w:szCs w:val="24"/>
        </w:rPr>
        <w:t>executed</w:t>
      </w:r>
      <w:r w:rsidRPr="000B300B">
        <w:rPr>
          <w:rFonts w:asciiTheme="majorBidi" w:hAnsiTheme="majorBidi" w:cstheme="majorBidi"/>
          <w:sz w:val="24"/>
          <w:szCs w:val="24"/>
        </w:rPr>
        <w:t xml:space="preserve"> by strangulation. The </w:t>
      </w:r>
      <w:r w:rsidRPr="000B300B">
        <w:rPr>
          <w:rFonts w:asciiTheme="majorBidi" w:hAnsiTheme="majorBidi" w:cstheme="majorBidi"/>
          <w:i/>
          <w:iCs/>
          <w:sz w:val="24"/>
          <w:szCs w:val="24"/>
        </w:rPr>
        <w:t>Tosefta</w:t>
      </w:r>
      <w:r w:rsidRPr="000B300B">
        <w:rPr>
          <w:rFonts w:asciiTheme="majorBidi" w:hAnsiTheme="majorBidi" w:cstheme="majorBidi"/>
          <w:sz w:val="24"/>
          <w:szCs w:val="24"/>
        </w:rPr>
        <w:t xml:space="preserve"> state</w:t>
      </w:r>
      <w:r w:rsidR="00EA6705" w:rsidRPr="000B300B">
        <w:rPr>
          <w:rFonts w:asciiTheme="majorBidi" w:hAnsiTheme="majorBidi" w:cstheme="majorBidi"/>
          <w:sz w:val="24"/>
          <w:szCs w:val="24"/>
        </w:rPr>
        <w:t>s</w:t>
      </w:r>
      <w:r w:rsidRPr="000B300B">
        <w:rPr>
          <w:rFonts w:asciiTheme="majorBidi" w:hAnsiTheme="majorBidi" w:cstheme="majorBidi"/>
          <w:sz w:val="24"/>
          <w:szCs w:val="24"/>
        </w:rPr>
        <w:t xml:space="preserve"> that if the engaged woman </w:t>
      </w:r>
      <w:r w:rsidR="00B301F0" w:rsidRPr="000B300B">
        <w:rPr>
          <w:rFonts w:asciiTheme="majorBidi" w:hAnsiTheme="majorBidi" w:cstheme="majorBidi"/>
          <w:sz w:val="24"/>
          <w:szCs w:val="24"/>
        </w:rPr>
        <w:t>lives</w:t>
      </w:r>
      <w:r w:rsidR="00CD7997" w:rsidRPr="000B300B">
        <w:rPr>
          <w:rFonts w:asciiTheme="majorBidi" w:hAnsiTheme="majorBidi" w:cstheme="majorBidi"/>
          <w:sz w:val="24"/>
          <w:szCs w:val="24"/>
        </w:rPr>
        <w:t xml:space="preserve"> together with</w:t>
      </w:r>
      <w:r w:rsidRPr="000B300B">
        <w:rPr>
          <w:rFonts w:asciiTheme="majorBidi" w:hAnsiTheme="majorBidi" w:cstheme="majorBidi"/>
          <w:sz w:val="24"/>
          <w:szCs w:val="24"/>
        </w:rPr>
        <w:t xml:space="preserve"> her fiancé she </w:t>
      </w:r>
      <w:r w:rsidR="00CD7997" w:rsidRPr="000B300B">
        <w:rPr>
          <w:rFonts w:asciiTheme="majorBidi" w:hAnsiTheme="majorBidi" w:cstheme="majorBidi"/>
          <w:sz w:val="24"/>
          <w:szCs w:val="24"/>
        </w:rPr>
        <w:t xml:space="preserve">is executed </w:t>
      </w:r>
      <w:r w:rsidRPr="000B300B">
        <w:rPr>
          <w:rFonts w:asciiTheme="majorBidi" w:hAnsiTheme="majorBidi" w:cstheme="majorBidi"/>
          <w:sz w:val="24"/>
          <w:szCs w:val="24"/>
        </w:rPr>
        <w:t xml:space="preserve">as a married woman: </w:t>
      </w:r>
      <w:r w:rsidR="00C00E25" w:rsidRPr="000B300B">
        <w:rPr>
          <w:rFonts w:asciiTheme="majorBidi" w:hAnsiTheme="majorBidi" w:cstheme="majorBidi"/>
          <w:sz w:val="24"/>
          <w:szCs w:val="24"/>
        </w:rPr>
        <w:t>‘</w:t>
      </w:r>
      <w:r w:rsidRPr="000B300B">
        <w:rPr>
          <w:rFonts w:asciiTheme="majorBidi" w:hAnsiTheme="majorBidi" w:cstheme="majorBidi"/>
          <w:sz w:val="24"/>
          <w:szCs w:val="24"/>
        </w:rPr>
        <w:t>She who receives her husband while in her father</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s house… he who has </w:t>
      </w:r>
      <w:r w:rsidR="004E0728" w:rsidRPr="000B300B">
        <w:rPr>
          <w:rFonts w:asciiTheme="majorBidi" w:hAnsiTheme="majorBidi" w:cstheme="majorBidi"/>
          <w:sz w:val="24"/>
          <w:szCs w:val="24"/>
        </w:rPr>
        <w:t xml:space="preserve">a </w:t>
      </w:r>
      <w:r w:rsidRPr="000B300B">
        <w:rPr>
          <w:rFonts w:asciiTheme="majorBidi" w:hAnsiTheme="majorBidi" w:cstheme="majorBidi"/>
          <w:sz w:val="24"/>
          <w:szCs w:val="24"/>
        </w:rPr>
        <w:t>sexual relationship with her is put to death through strangulation</w:t>
      </w:r>
      <w:r w:rsidR="00CD7997" w:rsidRPr="000B300B">
        <w:rPr>
          <w:rFonts w:asciiTheme="majorBidi" w:hAnsiTheme="majorBidi" w:cstheme="majorBidi"/>
          <w:sz w:val="24"/>
          <w:szCs w:val="24"/>
        </w:rPr>
        <w:t>.</w:t>
      </w:r>
      <w:r w:rsidR="00C00E25" w:rsidRPr="000B300B">
        <w:rPr>
          <w:rFonts w:asciiTheme="majorBidi" w:hAnsiTheme="majorBidi" w:cstheme="majorBidi"/>
          <w:sz w:val="24"/>
          <w:szCs w:val="24"/>
        </w:rPr>
        <w:t>’</w:t>
      </w:r>
      <w:r w:rsidR="0054426F" w:rsidRPr="000B300B">
        <w:rPr>
          <w:rStyle w:val="FootnoteReference"/>
          <w:rFonts w:asciiTheme="majorBidi" w:hAnsiTheme="majorBidi" w:cstheme="majorBidi"/>
          <w:sz w:val="24"/>
          <w:szCs w:val="24"/>
        </w:rPr>
        <w:footnoteReference w:id="31"/>
      </w:r>
      <w:r w:rsidR="00857F38" w:rsidRPr="000B300B">
        <w:rPr>
          <w:rFonts w:asciiTheme="majorBidi" w:hAnsiTheme="majorBidi" w:cstheme="majorBidi"/>
          <w:sz w:val="24"/>
          <w:szCs w:val="24"/>
        </w:rPr>
        <w:t>This</w:t>
      </w:r>
      <w:r w:rsidRPr="000B300B">
        <w:rPr>
          <w:rFonts w:asciiTheme="majorBidi" w:hAnsiTheme="majorBidi" w:cstheme="majorBidi"/>
          <w:sz w:val="24"/>
          <w:szCs w:val="24"/>
        </w:rPr>
        <w:t xml:space="preserve"> source does not </w:t>
      </w:r>
      <w:r w:rsidR="00B301F0" w:rsidRPr="000B300B">
        <w:rPr>
          <w:rFonts w:asciiTheme="majorBidi" w:hAnsiTheme="majorBidi" w:cstheme="majorBidi"/>
          <w:sz w:val="24"/>
          <w:szCs w:val="24"/>
        </w:rPr>
        <w:t>show</w:t>
      </w:r>
      <w:r w:rsidRPr="000B300B">
        <w:rPr>
          <w:rFonts w:asciiTheme="majorBidi" w:hAnsiTheme="majorBidi" w:cstheme="majorBidi"/>
          <w:sz w:val="24"/>
          <w:szCs w:val="24"/>
        </w:rPr>
        <w:t xml:space="preserve"> a negative attitude towards </w:t>
      </w:r>
      <w:r w:rsidR="00CD7997" w:rsidRPr="000B300B">
        <w:rPr>
          <w:rFonts w:asciiTheme="majorBidi" w:hAnsiTheme="majorBidi" w:cstheme="majorBidi"/>
          <w:sz w:val="24"/>
          <w:szCs w:val="24"/>
        </w:rPr>
        <w:t>intimacy</w:t>
      </w:r>
      <w:r w:rsidRPr="000B300B">
        <w:rPr>
          <w:rFonts w:asciiTheme="majorBidi" w:hAnsiTheme="majorBidi" w:cstheme="majorBidi"/>
          <w:sz w:val="24"/>
          <w:szCs w:val="24"/>
        </w:rPr>
        <w:t xml:space="preserve"> during </w:t>
      </w:r>
      <w:r w:rsidR="00CD7997" w:rsidRPr="000B300B">
        <w:rPr>
          <w:rFonts w:asciiTheme="majorBidi" w:hAnsiTheme="majorBidi" w:cstheme="majorBidi"/>
          <w:sz w:val="24"/>
          <w:szCs w:val="24"/>
        </w:rPr>
        <w:t>betrothal</w:t>
      </w:r>
      <w:r w:rsidR="00B301F0"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and living together is not perceived as an unusual local custom. It is possible that limiting the phenomenon to Judea in particular is a late attempt to reduce the scope and </w:t>
      </w:r>
      <w:bookmarkStart w:id="7" w:name="_Hlk95915792"/>
      <w:r w:rsidRPr="000B300B">
        <w:rPr>
          <w:rFonts w:asciiTheme="majorBidi" w:hAnsiTheme="majorBidi" w:cstheme="majorBidi"/>
          <w:sz w:val="24"/>
          <w:szCs w:val="24"/>
        </w:rPr>
        <w:t xml:space="preserve">prevalence </w:t>
      </w:r>
      <w:bookmarkEnd w:id="7"/>
      <w:r w:rsidRPr="000B300B">
        <w:rPr>
          <w:rFonts w:asciiTheme="majorBidi" w:hAnsiTheme="majorBidi" w:cstheme="majorBidi"/>
          <w:sz w:val="24"/>
          <w:szCs w:val="24"/>
        </w:rPr>
        <w:t>of the phenomenon.</w:t>
      </w:r>
    </w:p>
    <w:p w14:paraId="6989314B" w14:textId="30F54E35"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Evidence of </w:t>
      </w:r>
      <w:r w:rsidR="00857F38" w:rsidRPr="000B300B">
        <w:rPr>
          <w:rFonts w:asciiTheme="majorBidi" w:hAnsiTheme="majorBidi" w:cstheme="majorBidi"/>
          <w:sz w:val="24"/>
          <w:szCs w:val="24"/>
        </w:rPr>
        <w:t>betrothed</w:t>
      </w:r>
      <w:r w:rsidRPr="000B300B">
        <w:rPr>
          <w:rFonts w:asciiTheme="majorBidi" w:hAnsiTheme="majorBidi" w:cstheme="majorBidi"/>
          <w:sz w:val="24"/>
          <w:szCs w:val="24"/>
        </w:rPr>
        <w:t xml:space="preserve"> couples living </w:t>
      </w:r>
      <w:r w:rsidR="00B301F0" w:rsidRPr="000B300B">
        <w:rPr>
          <w:rFonts w:asciiTheme="majorBidi" w:hAnsiTheme="majorBidi" w:cstheme="majorBidi"/>
          <w:sz w:val="24"/>
          <w:szCs w:val="24"/>
        </w:rPr>
        <w:t xml:space="preserve">together </w:t>
      </w:r>
      <w:r w:rsidR="00CD7997" w:rsidRPr="000B300B">
        <w:rPr>
          <w:rFonts w:asciiTheme="majorBidi" w:hAnsiTheme="majorBidi" w:cstheme="majorBidi"/>
          <w:sz w:val="24"/>
          <w:szCs w:val="24"/>
        </w:rPr>
        <w:t>also emerges from t</w:t>
      </w:r>
      <w:r w:rsidRPr="000B300B">
        <w:rPr>
          <w:rFonts w:asciiTheme="majorBidi" w:hAnsiTheme="majorBidi" w:cstheme="majorBidi"/>
          <w:sz w:val="24"/>
          <w:szCs w:val="24"/>
        </w:rPr>
        <w:t xml:space="preserve">he </w:t>
      </w:r>
      <w:r w:rsidR="004E0728" w:rsidRPr="000B300B">
        <w:rPr>
          <w:rFonts w:asciiTheme="majorBidi" w:hAnsiTheme="majorBidi" w:cstheme="majorBidi"/>
          <w:sz w:val="24"/>
          <w:szCs w:val="24"/>
        </w:rPr>
        <w:t>Palestinian</w:t>
      </w:r>
      <w:r w:rsidRPr="000B300B">
        <w:rPr>
          <w:rFonts w:asciiTheme="majorBidi" w:hAnsiTheme="majorBidi" w:cstheme="majorBidi"/>
          <w:sz w:val="24"/>
          <w:szCs w:val="24"/>
        </w:rPr>
        <w:t xml:space="preserve"> Talmud. This source objected to the </w:t>
      </w:r>
      <w:r w:rsidR="00CD7997" w:rsidRPr="000B300B">
        <w:rPr>
          <w:rFonts w:asciiTheme="majorBidi" w:hAnsiTheme="majorBidi" w:cstheme="majorBidi"/>
          <w:sz w:val="24"/>
          <w:szCs w:val="24"/>
        </w:rPr>
        <w:t>phenomenon and</w:t>
      </w:r>
      <w:r w:rsidRPr="000B300B">
        <w:rPr>
          <w:rFonts w:asciiTheme="majorBidi" w:hAnsiTheme="majorBidi" w:cstheme="majorBidi"/>
          <w:sz w:val="24"/>
          <w:szCs w:val="24"/>
        </w:rPr>
        <w:t xml:space="preserve"> linked it to the Roman decree </w:t>
      </w:r>
      <w:r w:rsidR="00F51049" w:rsidRPr="000B300B">
        <w:rPr>
          <w:rFonts w:asciiTheme="majorBidi" w:hAnsiTheme="majorBidi" w:cstheme="majorBidi"/>
          <w:sz w:val="24"/>
          <w:szCs w:val="24"/>
        </w:rPr>
        <w:t xml:space="preserve">that gave a </w:t>
      </w:r>
      <w:r w:rsidRPr="000B300B">
        <w:rPr>
          <w:rFonts w:asciiTheme="majorBidi" w:hAnsiTheme="majorBidi" w:cstheme="majorBidi"/>
          <w:sz w:val="24"/>
          <w:szCs w:val="24"/>
        </w:rPr>
        <w:t xml:space="preserve">Roman soldier the right to the first night. </w:t>
      </w:r>
      <w:r w:rsidR="00B301F0" w:rsidRPr="000B300B">
        <w:rPr>
          <w:rFonts w:asciiTheme="majorBidi" w:hAnsiTheme="majorBidi" w:cstheme="majorBidi"/>
          <w:sz w:val="24"/>
          <w:szCs w:val="24"/>
        </w:rPr>
        <w:t>However</w:t>
      </w:r>
      <w:r w:rsidRPr="000B300B">
        <w:rPr>
          <w:rFonts w:asciiTheme="majorBidi" w:hAnsiTheme="majorBidi" w:cstheme="majorBidi"/>
          <w:sz w:val="24"/>
          <w:szCs w:val="24"/>
        </w:rPr>
        <w:t xml:space="preserve">, </w:t>
      </w:r>
      <w:r w:rsidR="00F51049" w:rsidRPr="000B300B">
        <w:rPr>
          <w:rFonts w:asciiTheme="majorBidi" w:hAnsiTheme="majorBidi" w:cstheme="majorBidi"/>
          <w:sz w:val="24"/>
          <w:szCs w:val="24"/>
        </w:rPr>
        <w:t xml:space="preserve">it </w:t>
      </w:r>
      <w:r w:rsidRPr="000B300B">
        <w:rPr>
          <w:rFonts w:asciiTheme="majorBidi" w:hAnsiTheme="majorBidi" w:cstheme="majorBidi"/>
          <w:sz w:val="24"/>
          <w:szCs w:val="24"/>
        </w:rPr>
        <w:t xml:space="preserve">is </w:t>
      </w:r>
      <w:r w:rsidR="00F51049" w:rsidRPr="000B300B">
        <w:rPr>
          <w:rFonts w:asciiTheme="majorBidi" w:hAnsiTheme="majorBidi" w:cstheme="majorBidi"/>
          <w:sz w:val="24"/>
          <w:szCs w:val="24"/>
        </w:rPr>
        <w:t xml:space="preserve">later </w:t>
      </w:r>
      <w:r w:rsidRPr="000B300B">
        <w:rPr>
          <w:rFonts w:asciiTheme="majorBidi" w:hAnsiTheme="majorBidi" w:cstheme="majorBidi"/>
          <w:sz w:val="24"/>
          <w:szCs w:val="24"/>
        </w:rPr>
        <w:t xml:space="preserve">acknowledged that the </w:t>
      </w:r>
      <w:r w:rsidR="00F51049" w:rsidRPr="000B300B">
        <w:rPr>
          <w:rFonts w:asciiTheme="majorBidi" w:hAnsiTheme="majorBidi" w:cstheme="majorBidi"/>
          <w:sz w:val="24"/>
          <w:szCs w:val="24"/>
        </w:rPr>
        <w:t>practice occurred</w:t>
      </w:r>
      <w:r w:rsidRPr="000B300B">
        <w:rPr>
          <w:rFonts w:asciiTheme="majorBidi" w:hAnsiTheme="majorBidi" w:cstheme="majorBidi"/>
          <w:sz w:val="24"/>
          <w:szCs w:val="24"/>
        </w:rPr>
        <w:t xml:space="preserve"> in the homes of the great rabbis after the revocation of the decree</w:t>
      </w:r>
      <w:r w:rsidR="00F51049" w:rsidRPr="000B300B">
        <w:rPr>
          <w:rFonts w:asciiTheme="majorBidi" w:hAnsiTheme="majorBidi" w:cstheme="majorBidi"/>
          <w:sz w:val="24"/>
          <w:szCs w:val="24"/>
        </w:rPr>
        <w:t xml:space="preserve"> as well:</w:t>
      </w:r>
    </w:p>
    <w:p w14:paraId="1F1A243D" w14:textId="63052592" w:rsidR="00F12795" w:rsidRPr="007471F9" w:rsidRDefault="00C00E25" w:rsidP="00D95B5D">
      <w:pPr>
        <w:spacing w:line="360" w:lineRule="auto"/>
        <w:jc w:val="both"/>
        <w:rPr>
          <w:rFonts w:asciiTheme="majorBidi" w:hAnsiTheme="majorBidi" w:cstheme="majorBidi"/>
          <w:sz w:val="24"/>
          <w:szCs w:val="24"/>
        </w:rPr>
      </w:pPr>
      <w:r w:rsidRPr="007471F9">
        <w:rPr>
          <w:rFonts w:asciiTheme="majorBidi" w:hAnsiTheme="majorBidi" w:cstheme="majorBidi"/>
          <w:sz w:val="24"/>
          <w:szCs w:val="24"/>
        </w:rPr>
        <w:t>‘</w:t>
      </w:r>
      <w:r w:rsidR="00F12795" w:rsidRPr="007471F9">
        <w:rPr>
          <w:rFonts w:asciiTheme="majorBidi" w:hAnsiTheme="majorBidi" w:cstheme="majorBidi"/>
          <w:sz w:val="24"/>
          <w:szCs w:val="24"/>
        </w:rPr>
        <w:t>In the past</w:t>
      </w:r>
      <w:r w:rsidR="001218DC" w:rsidRPr="007471F9">
        <w:rPr>
          <w:rFonts w:asciiTheme="majorBidi" w:hAnsiTheme="majorBidi" w:cstheme="majorBidi"/>
          <w:sz w:val="24"/>
          <w:szCs w:val="24"/>
        </w:rPr>
        <w:t>,</w:t>
      </w:r>
      <w:r w:rsidR="00F12795" w:rsidRPr="007471F9">
        <w:rPr>
          <w:rFonts w:asciiTheme="majorBidi" w:hAnsiTheme="majorBidi" w:cstheme="majorBidi"/>
          <w:sz w:val="24"/>
          <w:szCs w:val="24"/>
        </w:rPr>
        <w:t xml:space="preserve"> the [the Roman] decreed </w:t>
      </w:r>
      <w:r w:rsidR="00F51049" w:rsidRPr="007471F9">
        <w:rPr>
          <w:rFonts w:asciiTheme="majorBidi" w:hAnsiTheme="majorBidi" w:cstheme="majorBidi"/>
          <w:sz w:val="24"/>
          <w:szCs w:val="24"/>
        </w:rPr>
        <w:t xml:space="preserve">this form of </w:t>
      </w:r>
      <w:r w:rsidR="00F12795" w:rsidRPr="007471F9">
        <w:rPr>
          <w:rFonts w:asciiTheme="majorBidi" w:hAnsiTheme="majorBidi" w:cstheme="majorBidi"/>
          <w:sz w:val="24"/>
          <w:szCs w:val="24"/>
        </w:rPr>
        <w:t>persecution in Judea… So they went and subjugated them and raped their daughters, They decreed that a soldier should enjoy the right of the first act of intercourse [with Israelite girls who were to be wed ], Accordingly [sages] decreed that the girl</w:t>
      </w:r>
      <w:r w:rsidRPr="007471F9">
        <w:rPr>
          <w:rFonts w:asciiTheme="majorBidi" w:hAnsiTheme="majorBidi" w:cstheme="majorBidi"/>
          <w:sz w:val="24"/>
          <w:szCs w:val="24"/>
        </w:rPr>
        <w:t>’</w:t>
      </w:r>
      <w:r w:rsidR="00F12795" w:rsidRPr="007471F9">
        <w:rPr>
          <w:rFonts w:asciiTheme="majorBidi" w:hAnsiTheme="majorBidi" w:cstheme="majorBidi"/>
          <w:sz w:val="24"/>
          <w:szCs w:val="24"/>
        </w:rPr>
        <w:t>s husband should have sexual relations with the bride while she was still in her father</w:t>
      </w:r>
      <w:r w:rsidRPr="007471F9">
        <w:rPr>
          <w:rFonts w:asciiTheme="majorBidi" w:hAnsiTheme="majorBidi" w:cstheme="majorBidi"/>
          <w:sz w:val="24"/>
          <w:szCs w:val="24"/>
        </w:rPr>
        <w:t>’</w:t>
      </w:r>
      <w:r w:rsidR="00F12795" w:rsidRPr="007471F9">
        <w:rPr>
          <w:rFonts w:asciiTheme="majorBidi" w:hAnsiTheme="majorBidi" w:cstheme="majorBidi"/>
          <w:sz w:val="24"/>
          <w:szCs w:val="24"/>
        </w:rPr>
        <w:t>s house… Even though the persecution came to an end, the custom did not come to an end, The daughter-in- law of R. Hoshaiah came to the marriage canopy already pregnant</w:t>
      </w:r>
      <w:r w:rsidR="00F51049" w:rsidRPr="007471F9">
        <w:rPr>
          <w:rFonts w:asciiTheme="majorBidi" w:hAnsiTheme="majorBidi" w:cstheme="majorBidi"/>
          <w:sz w:val="24"/>
          <w:szCs w:val="24"/>
        </w:rPr>
        <w:t>.</w:t>
      </w:r>
      <w:r w:rsidRPr="007471F9">
        <w:rPr>
          <w:rFonts w:asciiTheme="majorBidi" w:hAnsiTheme="majorBidi" w:cstheme="majorBidi"/>
          <w:sz w:val="24"/>
          <w:szCs w:val="24"/>
        </w:rPr>
        <w:t>’</w:t>
      </w:r>
      <w:r w:rsidR="0054426F" w:rsidRPr="007471F9">
        <w:rPr>
          <w:rStyle w:val="FootnoteReference"/>
          <w:rFonts w:asciiTheme="majorBidi" w:hAnsiTheme="majorBidi" w:cstheme="majorBidi"/>
          <w:sz w:val="24"/>
          <w:szCs w:val="24"/>
        </w:rPr>
        <w:footnoteReference w:id="32"/>
      </w:r>
    </w:p>
    <w:p w14:paraId="732C4268" w14:textId="4CA82854" w:rsidR="00F12795" w:rsidRPr="000B300B" w:rsidRDefault="00F12795" w:rsidP="00F813E0">
      <w:pPr>
        <w:spacing w:line="360" w:lineRule="auto"/>
        <w:jc w:val="both"/>
        <w:rPr>
          <w:rFonts w:asciiTheme="majorBidi" w:hAnsiTheme="majorBidi" w:cstheme="majorBidi"/>
          <w:b/>
          <w:bCs/>
          <w:sz w:val="24"/>
          <w:szCs w:val="24"/>
        </w:rPr>
      </w:pPr>
      <w:r w:rsidRPr="000B300B">
        <w:rPr>
          <w:rFonts w:asciiTheme="majorBidi" w:hAnsiTheme="majorBidi" w:cstheme="majorBidi"/>
          <w:sz w:val="24"/>
          <w:szCs w:val="24"/>
        </w:rPr>
        <w:t xml:space="preserve">This </w:t>
      </w:r>
      <w:r w:rsidR="001218DC" w:rsidRPr="000B300B">
        <w:rPr>
          <w:rFonts w:asciiTheme="majorBidi" w:hAnsiTheme="majorBidi" w:cstheme="majorBidi"/>
          <w:sz w:val="24"/>
          <w:szCs w:val="24"/>
        </w:rPr>
        <w:t>early</w:t>
      </w:r>
      <w:r w:rsidRPr="000B300B">
        <w:rPr>
          <w:rFonts w:asciiTheme="majorBidi" w:hAnsiTheme="majorBidi" w:cstheme="majorBidi"/>
          <w:sz w:val="24"/>
          <w:szCs w:val="24"/>
        </w:rPr>
        <w:t xml:space="preserve"> </w:t>
      </w:r>
      <w:r w:rsidRPr="000B300B">
        <w:rPr>
          <w:rFonts w:asciiTheme="majorBidi" w:hAnsiTheme="majorBidi" w:cstheme="majorBidi"/>
          <w:i/>
          <w:iCs/>
          <w:sz w:val="24"/>
          <w:szCs w:val="24"/>
        </w:rPr>
        <w:t>halakhah</w:t>
      </w:r>
      <w:r w:rsidRPr="000B300B">
        <w:rPr>
          <w:rFonts w:asciiTheme="majorBidi" w:hAnsiTheme="majorBidi" w:cstheme="majorBidi"/>
          <w:sz w:val="24"/>
          <w:szCs w:val="24"/>
        </w:rPr>
        <w:t xml:space="preserve"> continued </w:t>
      </w:r>
      <w:r w:rsidR="001218DC" w:rsidRPr="000B300B">
        <w:rPr>
          <w:rFonts w:asciiTheme="majorBidi" w:hAnsiTheme="majorBidi" w:cstheme="majorBidi"/>
          <w:sz w:val="24"/>
          <w:szCs w:val="24"/>
        </w:rPr>
        <w:t xml:space="preserve">to exist </w:t>
      </w:r>
      <w:r w:rsidRPr="000B300B">
        <w:rPr>
          <w:rFonts w:asciiTheme="majorBidi" w:hAnsiTheme="majorBidi" w:cstheme="majorBidi"/>
          <w:sz w:val="24"/>
          <w:szCs w:val="24"/>
        </w:rPr>
        <w:t>in</w:t>
      </w:r>
      <w:r w:rsidR="00F51049" w:rsidRPr="000B300B">
        <w:rPr>
          <w:rFonts w:asciiTheme="majorBidi" w:hAnsiTheme="majorBidi" w:cstheme="majorBidi"/>
          <w:sz w:val="24"/>
          <w:szCs w:val="24"/>
        </w:rPr>
        <w:t>to a</w:t>
      </w:r>
      <w:r w:rsidRPr="000B300B">
        <w:rPr>
          <w:rFonts w:asciiTheme="majorBidi" w:hAnsiTheme="majorBidi" w:cstheme="majorBidi"/>
          <w:sz w:val="24"/>
          <w:szCs w:val="24"/>
        </w:rPr>
        <w:t xml:space="preserve"> later period</w:t>
      </w:r>
      <w:r w:rsidR="00F51049" w:rsidRPr="000B300B">
        <w:rPr>
          <w:rFonts w:asciiTheme="majorBidi" w:hAnsiTheme="majorBidi" w:cstheme="majorBidi"/>
          <w:sz w:val="24"/>
          <w:szCs w:val="24"/>
        </w:rPr>
        <w:t>, a</w:t>
      </w:r>
      <w:r w:rsidRPr="000B300B">
        <w:rPr>
          <w:rFonts w:asciiTheme="majorBidi" w:hAnsiTheme="majorBidi" w:cstheme="majorBidi"/>
          <w:sz w:val="24"/>
          <w:szCs w:val="24"/>
        </w:rPr>
        <w:t xml:space="preserve">nd evidence of betrothed couples </w:t>
      </w:r>
      <w:r w:rsidR="00F813E0" w:rsidRPr="000B300B">
        <w:rPr>
          <w:rFonts w:asciiTheme="majorBidi" w:hAnsiTheme="majorBidi" w:cstheme="majorBidi"/>
          <w:sz w:val="24"/>
          <w:szCs w:val="24"/>
        </w:rPr>
        <w:t>cohabitating</w:t>
      </w:r>
      <w:r w:rsidRPr="000B300B">
        <w:rPr>
          <w:rFonts w:asciiTheme="majorBidi" w:hAnsiTheme="majorBidi" w:cstheme="majorBidi"/>
          <w:sz w:val="24"/>
          <w:szCs w:val="24"/>
        </w:rPr>
        <w:t xml:space="preserve"> emerges from </w:t>
      </w:r>
      <w:r w:rsidRPr="000B300B">
        <w:rPr>
          <w:rFonts w:asciiTheme="majorBidi" w:hAnsiTheme="majorBidi" w:cstheme="majorBidi"/>
          <w:i/>
          <w:iCs/>
          <w:sz w:val="24"/>
          <w:szCs w:val="24"/>
        </w:rPr>
        <w:t>Sefer Hama</w:t>
      </w:r>
      <w:r w:rsidR="00C00E25" w:rsidRPr="000B300B">
        <w:rPr>
          <w:rFonts w:asciiTheme="majorBidi" w:hAnsiTheme="majorBidi" w:cstheme="majorBidi"/>
          <w:i/>
          <w:iCs/>
          <w:sz w:val="24"/>
          <w:szCs w:val="24"/>
        </w:rPr>
        <w:t>’</w:t>
      </w:r>
      <w:r w:rsidRPr="000B300B">
        <w:rPr>
          <w:rFonts w:asciiTheme="majorBidi" w:hAnsiTheme="majorBidi" w:cstheme="majorBidi"/>
          <w:i/>
          <w:iCs/>
          <w:sz w:val="24"/>
          <w:szCs w:val="24"/>
        </w:rPr>
        <w:t>asim</w:t>
      </w:r>
      <w:r w:rsidRPr="000B300B">
        <w:rPr>
          <w:rFonts w:asciiTheme="majorBidi" w:hAnsiTheme="majorBidi" w:cstheme="majorBidi"/>
          <w:sz w:val="24"/>
          <w:szCs w:val="24"/>
        </w:rPr>
        <w:t xml:space="preserve"> (Book of Acts) </w:t>
      </w:r>
      <w:r w:rsidR="00F51049" w:rsidRPr="000B300B">
        <w:rPr>
          <w:rFonts w:asciiTheme="majorBidi" w:hAnsiTheme="majorBidi" w:cstheme="majorBidi"/>
          <w:sz w:val="24"/>
          <w:szCs w:val="24"/>
        </w:rPr>
        <w:t>which dates</w:t>
      </w:r>
      <w:r w:rsidRPr="000B300B">
        <w:rPr>
          <w:rFonts w:asciiTheme="majorBidi" w:hAnsiTheme="majorBidi" w:cstheme="majorBidi"/>
          <w:sz w:val="24"/>
          <w:szCs w:val="24"/>
        </w:rPr>
        <w:t xml:space="preserve"> </w:t>
      </w:r>
      <w:r w:rsidR="00F813E0" w:rsidRPr="000B300B">
        <w:rPr>
          <w:rFonts w:asciiTheme="majorBidi" w:hAnsiTheme="majorBidi" w:cstheme="majorBidi"/>
          <w:sz w:val="24"/>
          <w:szCs w:val="24"/>
        </w:rPr>
        <w:t>from</w:t>
      </w:r>
      <w:r w:rsidRPr="000B300B">
        <w:rPr>
          <w:rFonts w:asciiTheme="majorBidi" w:hAnsiTheme="majorBidi" w:cstheme="majorBidi"/>
          <w:sz w:val="24"/>
          <w:szCs w:val="24"/>
        </w:rPr>
        <w:t xml:space="preserve"> the sixth and seventh centuries. </w:t>
      </w:r>
      <w:r w:rsidR="00F813E0" w:rsidRPr="000B300B">
        <w:rPr>
          <w:rFonts w:asciiTheme="majorBidi" w:hAnsiTheme="majorBidi" w:cstheme="majorBidi"/>
          <w:sz w:val="24"/>
          <w:szCs w:val="24"/>
        </w:rPr>
        <w:t>The</w:t>
      </w:r>
      <w:r w:rsidR="00945C70" w:rsidRPr="000B300B">
        <w:rPr>
          <w:rFonts w:asciiTheme="majorBidi" w:hAnsiTheme="majorBidi" w:cstheme="majorBidi"/>
          <w:sz w:val="24"/>
          <w:szCs w:val="24"/>
        </w:rPr>
        <w:t xml:space="preserve"> following</w:t>
      </w:r>
      <w:r w:rsidRPr="000B300B">
        <w:rPr>
          <w:rFonts w:asciiTheme="majorBidi" w:hAnsiTheme="majorBidi" w:cstheme="majorBidi"/>
          <w:sz w:val="24"/>
          <w:szCs w:val="24"/>
        </w:rPr>
        <w:t xml:space="preserve"> ruling prohibit</w:t>
      </w:r>
      <w:r w:rsidR="00F813E0" w:rsidRPr="000B300B">
        <w:rPr>
          <w:rFonts w:asciiTheme="majorBidi" w:hAnsiTheme="majorBidi" w:cstheme="majorBidi"/>
          <w:sz w:val="24"/>
          <w:szCs w:val="24"/>
        </w:rPr>
        <w:t xml:space="preserve">s </w:t>
      </w:r>
      <w:r w:rsidRPr="000B300B">
        <w:rPr>
          <w:rFonts w:asciiTheme="majorBidi" w:hAnsiTheme="majorBidi" w:cstheme="majorBidi"/>
          <w:sz w:val="24"/>
          <w:szCs w:val="24"/>
        </w:rPr>
        <w:t xml:space="preserve">a pregnant woman from remarrying until the child is weaned at the age of two. </w:t>
      </w:r>
      <w:r w:rsidR="00945C70" w:rsidRPr="000B300B">
        <w:rPr>
          <w:rFonts w:asciiTheme="majorBidi" w:hAnsiTheme="majorBidi" w:cstheme="majorBidi"/>
          <w:i/>
          <w:iCs/>
          <w:sz w:val="24"/>
          <w:szCs w:val="24"/>
        </w:rPr>
        <w:t>Sefer Hama</w:t>
      </w:r>
      <w:r w:rsidR="00C00E25" w:rsidRPr="000B300B">
        <w:rPr>
          <w:rFonts w:asciiTheme="majorBidi" w:hAnsiTheme="majorBidi" w:cstheme="majorBidi"/>
          <w:i/>
          <w:iCs/>
          <w:sz w:val="24"/>
          <w:szCs w:val="24"/>
        </w:rPr>
        <w:t>’</w:t>
      </w:r>
      <w:r w:rsidR="00945C70" w:rsidRPr="000B300B">
        <w:rPr>
          <w:rFonts w:asciiTheme="majorBidi" w:hAnsiTheme="majorBidi" w:cstheme="majorBidi"/>
          <w:i/>
          <w:iCs/>
          <w:sz w:val="24"/>
          <w:szCs w:val="24"/>
        </w:rPr>
        <w:t>asim</w:t>
      </w:r>
      <w:r w:rsidR="00945C70" w:rsidRPr="000B300B">
        <w:rPr>
          <w:rFonts w:asciiTheme="majorBidi" w:hAnsiTheme="majorBidi" w:cstheme="majorBidi"/>
          <w:sz w:val="24"/>
          <w:szCs w:val="24"/>
        </w:rPr>
        <w:t xml:space="preserve"> rules</w:t>
      </w:r>
      <w:r w:rsidRPr="000B300B">
        <w:rPr>
          <w:rFonts w:asciiTheme="majorBidi" w:hAnsiTheme="majorBidi" w:cstheme="majorBidi"/>
          <w:sz w:val="24"/>
          <w:szCs w:val="24"/>
        </w:rPr>
        <w:t xml:space="preserve"> that if a pregnant woman is </w:t>
      </w:r>
      <w:bookmarkStart w:id="8" w:name="_Hlk95916863"/>
      <w:r w:rsidRPr="000B300B">
        <w:rPr>
          <w:rFonts w:asciiTheme="majorBidi" w:hAnsiTheme="majorBidi" w:cstheme="majorBidi"/>
          <w:sz w:val="24"/>
          <w:szCs w:val="24"/>
        </w:rPr>
        <w:t xml:space="preserve">betrothed </w:t>
      </w:r>
      <w:bookmarkEnd w:id="8"/>
      <w:r w:rsidRPr="000B300B">
        <w:rPr>
          <w:rFonts w:asciiTheme="majorBidi" w:hAnsiTheme="majorBidi" w:cstheme="majorBidi"/>
          <w:sz w:val="24"/>
          <w:szCs w:val="24"/>
        </w:rPr>
        <w:t>she must swear not to have sex with her fiancé for two years:</w:t>
      </w:r>
    </w:p>
    <w:p w14:paraId="13069366" w14:textId="3E4CB9E2" w:rsidR="00F12795" w:rsidRPr="000B300B" w:rsidRDefault="004B5AF6" w:rsidP="00F813E0">
      <w:pPr>
        <w:pStyle w:val="Quote"/>
        <w:rPr>
          <w:b/>
          <w:bCs/>
        </w:rPr>
      </w:pPr>
      <w:r w:rsidRPr="000B300B">
        <w:t>If someone</w:t>
      </w:r>
      <w:r w:rsidR="00F12795" w:rsidRPr="000B300B">
        <w:t xml:space="preserve"> die</w:t>
      </w:r>
      <w:r w:rsidR="00945C70" w:rsidRPr="000B300B">
        <w:t>d</w:t>
      </w:r>
      <w:r w:rsidR="00F12795" w:rsidRPr="000B300B">
        <w:t xml:space="preserve"> and </w:t>
      </w:r>
      <w:r w:rsidR="00945C70" w:rsidRPr="000B300B">
        <w:t xml:space="preserve">left behind a </w:t>
      </w:r>
      <w:r w:rsidR="00F12795" w:rsidRPr="000B300B">
        <w:t>pregnant or breastfeeding</w:t>
      </w:r>
      <w:r w:rsidR="00945C70" w:rsidRPr="000B300B">
        <w:t xml:space="preserve"> wife, she</w:t>
      </w:r>
      <w:r w:rsidR="00F12795" w:rsidRPr="000B300B">
        <w:t xml:space="preserve"> must wait </w:t>
      </w:r>
      <w:r w:rsidR="00945C70" w:rsidRPr="000B300B">
        <w:t>twenty-four</w:t>
      </w:r>
      <w:r w:rsidR="00945C70" w:rsidRPr="000B300B">
        <w:rPr>
          <w:b/>
          <w:bCs/>
        </w:rPr>
        <w:t xml:space="preserve"> </w:t>
      </w:r>
      <w:r w:rsidR="00945C70" w:rsidRPr="000B300B">
        <w:t xml:space="preserve">months </w:t>
      </w:r>
      <w:r w:rsidR="00F12795" w:rsidRPr="000B300B">
        <w:t>from child</w:t>
      </w:r>
      <w:r w:rsidR="00945C70" w:rsidRPr="000B300B">
        <w:t>birth</w:t>
      </w:r>
      <w:r w:rsidR="00F12795" w:rsidRPr="000B300B">
        <w:t xml:space="preserve"> until the child is weaned… But if </w:t>
      </w:r>
      <w:r w:rsidR="00945C70" w:rsidRPr="000B300B">
        <w:t xml:space="preserve">she does </w:t>
      </w:r>
      <w:r w:rsidR="00F12795" w:rsidRPr="000B300B">
        <w:lastRenderedPageBreak/>
        <w:t xml:space="preserve">become betrothed </w:t>
      </w:r>
      <w:r w:rsidR="00945C70" w:rsidRPr="000B300B">
        <w:t>within</w:t>
      </w:r>
      <w:r w:rsidR="00F12795" w:rsidRPr="000B300B">
        <w:t xml:space="preserve"> twenty-four months, she </w:t>
      </w:r>
      <w:r w:rsidR="00945C70" w:rsidRPr="000B300B">
        <w:t>must</w:t>
      </w:r>
      <w:r w:rsidR="00F12795" w:rsidRPr="000B300B">
        <w:t xml:space="preserve"> swear they </w:t>
      </w:r>
      <w:r w:rsidR="00945C70" w:rsidRPr="000B300B">
        <w:t>will</w:t>
      </w:r>
      <w:r w:rsidR="00F12795" w:rsidRPr="000B300B">
        <w:t xml:space="preserve"> not live together until twenty-four months have passed</w:t>
      </w:r>
      <w:r w:rsidR="00331504" w:rsidRPr="000B300B">
        <w:t>.</w:t>
      </w:r>
      <w:r w:rsidR="0054426F" w:rsidRPr="000B300B">
        <w:rPr>
          <w:rStyle w:val="FootnoteReference"/>
        </w:rPr>
        <w:footnoteReference w:id="33"/>
      </w:r>
    </w:p>
    <w:p w14:paraId="3A2E9151" w14:textId="674B2F72" w:rsidR="00F12795" w:rsidRPr="000B300B" w:rsidRDefault="00F813E0" w:rsidP="00D95B5D">
      <w:pPr>
        <w:spacing w:line="360" w:lineRule="auto"/>
        <w:jc w:val="both"/>
        <w:rPr>
          <w:rFonts w:asciiTheme="majorBidi" w:hAnsiTheme="majorBidi" w:cstheme="majorBidi"/>
          <w:i/>
          <w:iCs/>
          <w:sz w:val="24"/>
          <w:szCs w:val="24"/>
        </w:rPr>
      </w:pPr>
      <w:r w:rsidRPr="000B300B">
        <w:rPr>
          <w:rFonts w:asciiTheme="majorBidi" w:hAnsiTheme="majorBidi" w:cstheme="majorBidi"/>
          <w:sz w:val="24"/>
          <w:szCs w:val="24"/>
        </w:rPr>
        <w:t>T</w:t>
      </w:r>
      <w:r w:rsidR="00F12795" w:rsidRPr="000B300B">
        <w:rPr>
          <w:rFonts w:asciiTheme="majorBidi" w:hAnsiTheme="majorBidi" w:cstheme="majorBidi"/>
          <w:sz w:val="24"/>
          <w:szCs w:val="24"/>
        </w:rPr>
        <w:t xml:space="preserve">his source </w:t>
      </w:r>
      <w:r w:rsidRPr="000B300B">
        <w:rPr>
          <w:rFonts w:asciiTheme="majorBidi" w:hAnsiTheme="majorBidi" w:cstheme="majorBidi"/>
          <w:sz w:val="24"/>
          <w:szCs w:val="24"/>
        </w:rPr>
        <w:t>indicates</w:t>
      </w:r>
      <w:r w:rsidR="00F12795" w:rsidRPr="000B300B">
        <w:rPr>
          <w:rFonts w:asciiTheme="majorBidi" w:hAnsiTheme="majorBidi" w:cstheme="majorBidi"/>
          <w:sz w:val="24"/>
          <w:szCs w:val="24"/>
        </w:rPr>
        <w:t xml:space="preserve"> that </w:t>
      </w:r>
      <w:r w:rsidR="00DD464A" w:rsidRPr="000B300B">
        <w:rPr>
          <w:rFonts w:asciiTheme="majorBidi" w:hAnsiTheme="majorBidi" w:cstheme="majorBidi"/>
          <w:sz w:val="24"/>
          <w:szCs w:val="24"/>
        </w:rPr>
        <w:t xml:space="preserve">betrothed </w:t>
      </w:r>
      <w:r w:rsidR="00F12795" w:rsidRPr="000B300B">
        <w:rPr>
          <w:rFonts w:asciiTheme="majorBidi" w:hAnsiTheme="majorBidi" w:cstheme="majorBidi"/>
          <w:sz w:val="24"/>
          <w:szCs w:val="24"/>
        </w:rPr>
        <w:t xml:space="preserve">couples </w:t>
      </w:r>
      <w:r w:rsidRPr="000B300B">
        <w:rPr>
          <w:rFonts w:asciiTheme="majorBidi" w:hAnsiTheme="majorBidi" w:cstheme="majorBidi"/>
          <w:sz w:val="24"/>
          <w:szCs w:val="24"/>
        </w:rPr>
        <w:t>cohabiting was a recognized practice</w:t>
      </w:r>
      <w:r w:rsidR="00F12795" w:rsidRPr="000B300B">
        <w:rPr>
          <w:rFonts w:asciiTheme="majorBidi" w:hAnsiTheme="majorBidi" w:cstheme="majorBidi"/>
          <w:sz w:val="24"/>
          <w:szCs w:val="24"/>
        </w:rPr>
        <w:t xml:space="preserve">, and </w:t>
      </w:r>
      <w:r w:rsidR="00994535" w:rsidRPr="000B300B">
        <w:rPr>
          <w:rFonts w:asciiTheme="majorBidi" w:hAnsiTheme="majorBidi" w:cstheme="majorBidi"/>
          <w:sz w:val="24"/>
          <w:szCs w:val="24"/>
        </w:rPr>
        <w:t xml:space="preserve">only </w:t>
      </w:r>
      <w:r w:rsidR="00DD464A" w:rsidRPr="000B300B">
        <w:rPr>
          <w:rFonts w:asciiTheme="majorBidi" w:hAnsiTheme="majorBidi" w:cstheme="majorBidi"/>
          <w:sz w:val="24"/>
          <w:szCs w:val="24"/>
        </w:rPr>
        <w:t xml:space="preserve">a woman </w:t>
      </w:r>
      <w:r w:rsidR="00F12795" w:rsidRPr="000B300B">
        <w:rPr>
          <w:rFonts w:asciiTheme="majorBidi" w:hAnsiTheme="majorBidi" w:cstheme="majorBidi"/>
          <w:sz w:val="24"/>
          <w:szCs w:val="24"/>
        </w:rPr>
        <w:t>who</w:t>
      </w:r>
      <w:r w:rsidR="00DD464A" w:rsidRPr="000B300B">
        <w:rPr>
          <w:rFonts w:asciiTheme="majorBidi" w:hAnsiTheme="majorBidi" w:cstheme="majorBidi"/>
          <w:sz w:val="24"/>
          <w:szCs w:val="24"/>
        </w:rPr>
        <w:t xml:space="preserve"> was breastfeeding was prohibited from doing </w:t>
      </w:r>
      <w:r w:rsidR="00994535" w:rsidRPr="000B300B">
        <w:rPr>
          <w:rFonts w:asciiTheme="majorBidi" w:hAnsiTheme="majorBidi" w:cstheme="majorBidi"/>
          <w:sz w:val="24"/>
          <w:szCs w:val="24"/>
        </w:rPr>
        <w:t>s</w:t>
      </w:r>
      <w:r w:rsidR="00DD464A" w:rsidRPr="000B300B">
        <w:rPr>
          <w:rFonts w:asciiTheme="majorBidi" w:hAnsiTheme="majorBidi" w:cstheme="majorBidi"/>
          <w:sz w:val="24"/>
          <w:szCs w:val="24"/>
        </w:rPr>
        <w:t xml:space="preserve">o. </w:t>
      </w:r>
      <w:r w:rsidR="00F12795" w:rsidRPr="000B300B">
        <w:rPr>
          <w:rFonts w:asciiTheme="majorBidi" w:hAnsiTheme="majorBidi" w:cstheme="majorBidi"/>
          <w:sz w:val="24"/>
          <w:szCs w:val="24"/>
        </w:rPr>
        <w:t xml:space="preserve">This is reflected in other laws in </w:t>
      </w:r>
      <w:r w:rsidR="00F12795" w:rsidRPr="000B300B">
        <w:rPr>
          <w:rFonts w:asciiTheme="majorBidi" w:hAnsiTheme="majorBidi" w:cstheme="majorBidi"/>
          <w:i/>
          <w:iCs/>
          <w:sz w:val="24"/>
          <w:szCs w:val="24"/>
        </w:rPr>
        <w:t>Sefer Hama</w:t>
      </w:r>
      <w:r w:rsidR="00C00E25" w:rsidRPr="000B300B">
        <w:rPr>
          <w:rFonts w:asciiTheme="majorBidi" w:hAnsiTheme="majorBidi" w:cstheme="majorBidi"/>
          <w:i/>
          <w:iCs/>
          <w:sz w:val="24"/>
          <w:szCs w:val="24"/>
        </w:rPr>
        <w:t>’</w:t>
      </w:r>
      <w:r w:rsidR="00F12795" w:rsidRPr="000B300B">
        <w:rPr>
          <w:rFonts w:asciiTheme="majorBidi" w:hAnsiTheme="majorBidi" w:cstheme="majorBidi"/>
          <w:i/>
          <w:iCs/>
          <w:sz w:val="24"/>
          <w:szCs w:val="24"/>
        </w:rPr>
        <w:t>asim</w:t>
      </w:r>
      <w:r w:rsidRPr="000B300B">
        <w:rPr>
          <w:rFonts w:asciiTheme="majorBidi" w:hAnsiTheme="majorBidi" w:cstheme="majorBidi"/>
          <w:i/>
          <w:iCs/>
          <w:sz w:val="24"/>
          <w:szCs w:val="24"/>
        </w:rPr>
        <w:t xml:space="preserve"> </w:t>
      </w:r>
      <w:r w:rsidRPr="000B300B">
        <w:rPr>
          <w:rFonts w:asciiTheme="majorBidi" w:hAnsiTheme="majorBidi" w:cstheme="majorBidi"/>
          <w:sz w:val="24"/>
          <w:szCs w:val="24"/>
        </w:rPr>
        <w:t>as well</w:t>
      </w:r>
      <w:r w:rsidRPr="000B300B">
        <w:rPr>
          <w:rFonts w:asciiTheme="majorBidi" w:hAnsiTheme="majorBidi" w:cstheme="majorBidi"/>
          <w:i/>
          <w:iCs/>
          <w:sz w:val="24"/>
          <w:szCs w:val="24"/>
        </w:rPr>
        <w:t>.</w:t>
      </w:r>
      <w:r w:rsidR="0054426F" w:rsidRPr="000B300B">
        <w:rPr>
          <w:rStyle w:val="FootnoteReference"/>
          <w:rFonts w:asciiTheme="majorBidi" w:hAnsiTheme="majorBidi" w:cstheme="majorBidi"/>
          <w:sz w:val="24"/>
          <w:szCs w:val="24"/>
        </w:rPr>
        <w:footnoteReference w:id="34"/>
      </w:r>
    </w:p>
    <w:p w14:paraId="2FB46D5E" w14:textId="0FCE3838" w:rsidR="00F12795" w:rsidRPr="007471F9" w:rsidRDefault="00F12795" w:rsidP="00D95B5D">
      <w:pPr>
        <w:spacing w:line="360" w:lineRule="auto"/>
        <w:jc w:val="both"/>
        <w:rPr>
          <w:rFonts w:asciiTheme="majorBidi" w:hAnsiTheme="majorBidi" w:cstheme="majorBidi"/>
          <w:sz w:val="24"/>
          <w:szCs w:val="24"/>
          <w:u w:val="single"/>
          <w:shd w:val="clear" w:color="auto" w:fill="FFFFFF"/>
        </w:rPr>
      </w:pPr>
      <w:r w:rsidRPr="000B300B">
        <w:rPr>
          <w:rFonts w:asciiTheme="majorBidi" w:hAnsiTheme="majorBidi" w:cstheme="majorBidi"/>
          <w:sz w:val="24"/>
          <w:szCs w:val="24"/>
        </w:rPr>
        <w:t xml:space="preserve">Anecdotal proof for </w:t>
      </w:r>
      <w:r w:rsidR="00DD464A" w:rsidRPr="000B300B">
        <w:rPr>
          <w:rFonts w:asciiTheme="majorBidi" w:hAnsiTheme="majorBidi" w:cstheme="majorBidi"/>
          <w:sz w:val="24"/>
          <w:szCs w:val="24"/>
        </w:rPr>
        <w:t>this</w:t>
      </w:r>
      <w:r w:rsidRPr="000B300B">
        <w:rPr>
          <w:rFonts w:asciiTheme="majorBidi" w:hAnsiTheme="majorBidi" w:cstheme="majorBidi"/>
          <w:sz w:val="24"/>
          <w:szCs w:val="24"/>
        </w:rPr>
        <w:t xml:space="preserve"> claim from </w:t>
      </w:r>
      <w:r w:rsidR="00F10750" w:rsidRPr="000B300B">
        <w:rPr>
          <w:rFonts w:asciiTheme="majorBidi" w:hAnsiTheme="majorBidi" w:cstheme="majorBidi"/>
          <w:sz w:val="24"/>
          <w:szCs w:val="24"/>
        </w:rPr>
        <w:t>an</w:t>
      </w:r>
      <w:r w:rsidR="00DD464A" w:rsidRPr="000B300B">
        <w:rPr>
          <w:rFonts w:asciiTheme="majorBidi" w:hAnsiTheme="majorBidi" w:cstheme="majorBidi"/>
          <w:sz w:val="24"/>
          <w:szCs w:val="24"/>
        </w:rPr>
        <w:t xml:space="preserve">other </w:t>
      </w:r>
      <w:r w:rsidRPr="000B300B">
        <w:rPr>
          <w:rFonts w:asciiTheme="majorBidi" w:hAnsiTheme="majorBidi" w:cstheme="majorBidi"/>
          <w:sz w:val="24"/>
          <w:szCs w:val="24"/>
        </w:rPr>
        <w:t xml:space="preserve">literary source </w:t>
      </w:r>
      <w:r w:rsidR="00DD464A" w:rsidRPr="000B300B">
        <w:rPr>
          <w:rFonts w:asciiTheme="majorBidi" w:hAnsiTheme="majorBidi" w:cstheme="majorBidi"/>
          <w:sz w:val="24"/>
          <w:szCs w:val="24"/>
        </w:rPr>
        <w:t>can be</w:t>
      </w:r>
      <w:r w:rsidRPr="000B300B">
        <w:rPr>
          <w:rFonts w:asciiTheme="majorBidi" w:hAnsiTheme="majorBidi" w:cstheme="majorBidi"/>
          <w:sz w:val="24"/>
          <w:szCs w:val="24"/>
        </w:rPr>
        <w:t xml:space="preserve"> found in a marriage contract from the Cave of Letters in the Judean desert</w:t>
      </w:r>
      <w:r w:rsidRPr="000B300B">
        <w:rPr>
          <w:rFonts w:asciiTheme="majorBidi" w:hAnsiTheme="majorBidi" w:cstheme="majorBidi"/>
          <w:b/>
          <w:bCs/>
          <w:sz w:val="24"/>
          <w:szCs w:val="24"/>
        </w:rPr>
        <w:t>.</w:t>
      </w:r>
      <w:r w:rsidRPr="000B300B">
        <w:rPr>
          <w:rFonts w:asciiTheme="majorBidi" w:hAnsiTheme="majorBidi" w:cstheme="majorBidi"/>
          <w:sz w:val="24"/>
          <w:szCs w:val="24"/>
        </w:rPr>
        <w:t xml:space="preserve"> One clause in the document </w:t>
      </w:r>
      <w:r w:rsidR="00F10750" w:rsidRPr="000B300B">
        <w:rPr>
          <w:rFonts w:asciiTheme="majorBidi" w:hAnsiTheme="majorBidi" w:cstheme="majorBidi"/>
          <w:sz w:val="24"/>
          <w:szCs w:val="24"/>
        </w:rPr>
        <w:t>describes a</w:t>
      </w:r>
      <w:r w:rsidRPr="000B300B">
        <w:rPr>
          <w:rFonts w:asciiTheme="majorBidi" w:hAnsiTheme="majorBidi" w:cstheme="majorBidi"/>
          <w:sz w:val="24"/>
          <w:szCs w:val="24"/>
        </w:rPr>
        <w:t xml:space="preserve"> couple </w:t>
      </w:r>
      <w:r w:rsidR="00F10750" w:rsidRPr="000B300B">
        <w:rPr>
          <w:rFonts w:asciiTheme="majorBidi" w:hAnsiTheme="majorBidi" w:cstheme="majorBidi"/>
          <w:sz w:val="24"/>
          <w:szCs w:val="24"/>
        </w:rPr>
        <w:t>who</w:t>
      </w:r>
      <w:r w:rsidRPr="000B300B">
        <w:rPr>
          <w:rFonts w:asciiTheme="majorBidi" w:hAnsiTheme="majorBidi" w:cstheme="majorBidi"/>
          <w:sz w:val="24"/>
          <w:szCs w:val="24"/>
        </w:rPr>
        <w:t xml:space="preserve"> lived </w:t>
      </w:r>
      <w:r w:rsidR="00DD464A" w:rsidRPr="000B300B">
        <w:rPr>
          <w:rFonts w:asciiTheme="majorBidi" w:hAnsiTheme="majorBidi" w:cstheme="majorBidi"/>
          <w:sz w:val="24"/>
          <w:szCs w:val="24"/>
        </w:rPr>
        <w:t>together</w:t>
      </w:r>
      <w:r w:rsidRPr="000B300B">
        <w:rPr>
          <w:rFonts w:asciiTheme="majorBidi" w:hAnsiTheme="majorBidi" w:cstheme="majorBidi"/>
          <w:sz w:val="24"/>
          <w:szCs w:val="24"/>
        </w:rPr>
        <w:t xml:space="preserve"> before they were formally married: </w:t>
      </w:r>
      <w:r w:rsidR="00C00E25" w:rsidRPr="000B300B">
        <w:rPr>
          <w:rFonts w:asciiTheme="majorBidi" w:hAnsiTheme="majorBidi" w:cstheme="majorBidi"/>
          <w:sz w:val="24"/>
          <w:szCs w:val="24"/>
        </w:rPr>
        <w:t>‘</w:t>
      </w:r>
      <w:r w:rsidRPr="000B300B">
        <w:rPr>
          <w:rFonts w:asciiTheme="majorBidi" w:hAnsiTheme="majorBidi" w:cstheme="majorBidi"/>
          <w:sz w:val="24"/>
          <w:szCs w:val="24"/>
        </w:rPr>
        <w:t>Yeshua the son of Menahem … acknowledged of his own free will that he has taken Salome … to live with her as also before this time</w:t>
      </w:r>
      <w:r w:rsidR="00331504" w:rsidRPr="000B300B">
        <w:rPr>
          <w:rFonts w:asciiTheme="majorBidi" w:hAnsiTheme="majorBidi" w:cstheme="majorBidi"/>
          <w:sz w:val="24"/>
          <w:szCs w:val="24"/>
        </w:rPr>
        <w:t>.</w:t>
      </w:r>
      <w:r w:rsidR="00C00E25" w:rsidRPr="000B300B">
        <w:rPr>
          <w:rFonts w:asciiTheme="majorBidi" w:hAnsiTheme="majorBidi" w:cstheme="majorBidi"/>
          <w:sz w:val="24"/>
          <w:szCs w:val="24"/>
        </w:rPr>
        <w:t>’</w:t>
      </w:r>
      <w:r w:rsidR="0054426F" w:rsidRPr="000B300B">
        <w:rPr>
          <w:rStyle w:val="FootnoteReference"/>
          <w:rFonts w:asciiTheme="majorBidi" w:hAnsiTheme="majorBidi" w:cstheme="majorBidi"/>
          <w:sz w:val="24"/>
          <w:szCs w:val="24"/>
        </w:rPr>
        <w:footnoteReference w:id="35"/>
      </w:r>
    </w:p>
    <w:p w14:paraId="4A06C393" w14:textId="2083F3C3" w:rsidR="00F12795" w:rsidRPr="000B300B" w:rsidRDefault="004B1F7C" w:rsidP="00D95B5D">
      <w:pPr>
        <w:spacing w:line="360" w:lineRule="auto"/>
        <w:jc w:val="both"/>
        <w:rPr>
          <w:rFonts w:asciiTheme="majorBidi" w:hAnsiTheme="majorBidi" w:cstheme="majorBidi"/>
          <w:sz w:val="24"/>
          <w:szCs w:val="24"/>
          <w:u w:val="single"/>
        </w:rPr>
      </w:pPr>
      <w:r w:rsidRPr="000B300B">
        <w:rPr>
          <w:rFonts w:asciiTheme="majorBidi" w:hAnsiTheme="majorBidi" w:cstheme="majorBidi"/>
          <w:sz w:val="24"/>
          <w:szCs w:val="24"/>
          <w:u w:val="single"/>
        </w:rPr>
        <w:t>Sustenance</w:t>
      </w:r>
      <w:r w:rsidR="00F12795" w:rsidRPr="000B300B">
        <w:rPr>
          <w:rFonts w:asciiTheme="majorBidi" w:hAnsiTheme="majorBidi" w:cstheme="majorBidi"/>
          <w:sz w:val="24"/>
          <w:szCs w:val="24"/>
          <w:u w:val="single"/>
        </w:rPr>
        <w:t xml:space="preserve"> </w:t>
      </w:r>
      <w:r w:rsidR="00633B5C" w:rsidRPr="000B300B">
        <w:rPr>
          <w:rFonts w:asciiTheme="majorBidi" w:hAnsiTheme="majorBidi" w:cstheme="majorBidi"/>
          <w:sz w:val="24"/>
          <w:szCs w:val="24"/>
          <w:u w:val="single"/>
        </w:rPr>
        <w:t>During the Betrothal Period</w:t>
      </w:r>
    </w:p>
    <w:p w14:paraId="0089A7E9" w14:textId="012B3F75" w:rsidR="00F12795" w:rsidRPr="000B300B" w:rsidRDefault="00633B5C" w:rsidP="00D95B5D">
      <w:pPr>
        <w:spacing w:line="360" w:lineRule="auto"/>
        <w:jc w:val="both"/>
        <w:rPr>
          <w:rFonts w:asciiTheme="majorBidi" w:hAnsiTheme="majorBidi" w:cstheme="majorBidi"/>
          <w:i/>
          <w:iCs/>
          <w:sz w:val="24"/>
          <w:szCs w:val="24"/>
        </w:rPr>
      </w:pPr>
      <w:r w:rsidRPr="000B300B">
        <w:rPr>
          <w:rFonts w:asciiTheme="majorBidi" w:hAnsiTheme="majorBidi" w:cstheme="majorBidi"/>
          <w:sz w:val="24"/>
          <w:szCs w:val="24"/>
        </w:rPr>
        <w:t xml:space="preserve">The obligation of a husband to provide for his wife is </w:t>
      </w:r>
      <w:r w:rsidR="00994535" w:rsidRPr="000B300B">
        <w:rPr>
          <w:rFonts w:asciiTheme="majorBidi" w:hAnsiTheme="majorBidi" w:cstheme="majorBidi"/>
          <w:sz w:val="24"/>
          <w:szCs w:val="24"/>
        </w:rPr>
        <w:t>a</w:t>
      </w:r>
      <w:r w:rsidR="00F12795" w:rsidRPr="000B300B">
        <w:rPr>
          <w:rFonts w:asciiTheme="majorBidi" w:hAnsiTheme="majorBidi" w:cstheme="majorBidi"/>
          <w:sz w:val="24"/>
          <w:szCs w:val="24"/>
        </w:rPr>
        <w:t xml:space="preserve"> significant economic </w:t>
      </w:r>
      <w:r w:rsidR="00DD464A" w:rsidRPr="000B300B">
        <w:rPr>
          <w:rFonts w:asciiTheme="majorBidi" w:hAnsiTheme="majorBidi" w:cstheme="majorBidi"/>
          <w:sz w:val="24"/>
          <w:szCs w:val="24"/>
        </w:rPr>
        <w:t>consequence</w:t>
      </w:r>
      <w:r w:rsidR="00F12795" w:rsidRPr="000B300B">
        <w:rPr>
          <w:rFonts w:asciiTheme="majorBidi" w:hAnsiTheme="majorBidi" w:cstheme="majorBidi"/>
          <w:sz w:val="24"/>
          <w:szCs w:val="24"/>
        </w:rPr>
        <w:t xml:space="preserve"> of </w:t>
      </w:r>
      <w:r w:rsidR="00DD464A" w:rsidRPr="000B300B">
        <w:rPr>
          <w:rFonts w:asciiTheme="majorBidi" w:hAnsiTheme="majorBidi" w:cstheme="majorBidi"/>
          <w:sz w:val="24"/>
          <w:szCs w:val="24"/>
        </w:rPr>
        <w:t>marriage</w:t>
      </w:r>
      <w:r w:rsidR="00F12795" w:rsidRPr="000B300B">
        <w:rPr>
          <w:rFonts w:asciiTheme="majorBidi" w:hAnsiTheme="majorBidi" w:cstheme="majorBidi"/>
          <w:sz w:val="24"/>
          <w:szCs w:val="24"/>
        </w:rPr>
        <w:t xml:space="preserve"> in </w:t>
      </w:r>
      <w:r w:rsidR="00F10750" w:rsidRPr="000B300B">
        <w:rPr>
          <w:rFonts w:asciiTheme="majorBidi" w:hAnsiTheme="majorBidi" w:cstheme="majorBidi"/>
          <w:sz w:val="24"/>
          <w:szCs w:val="24"/>
        </w:rPr>
        <w:t>Jewish</w:t>
      </w:r>
      <w:r w:rsidR="00DD464A" w:rsidRPr="000B300B">
        <w:rPr>
          <w:rFonts w:asciiTheme="majorBidi" w:hAnsiTheme="majorBidi" w:cstheme="majorBidi"/>
          <w:sz w:val="24"/>
          <w:szCs w:val="24"/>
        </w:rPr>
        <w:t xml:space="preserve"> law</w:t>
      </w:r>
      <w:r w:rsidR="00F10750"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t>
      </w:r>
      <w:r w:rsidR="00F10750" w:rsidRPr="000B300B">
        <w:rPr>
          <w:rFonts w:asciiTheme="majorBidi" w:hAnsiTheme="majorBidi" w:cstheme="majorBidi"/>
          <w:sz w:val="24"/>
          <w:szCs w:val="24"/>
        </w:rPr>
        <w:t xml:space="preserve">The man commits to </w:t>
      </w:r>
      <w:r w:rsidR="00C00E25" w:rsidRPr="000B300B">
        <w:rPr>
          <w:rFonts w:asciiTheme="majorBidi" w:hAnsiTheme="majorBidi" w:cstheme="majorBidi"/>
          <w:sz w:val="24"/>
          <w:szCs w:val="24"/>
        </w:rPr>
        <w:t>covering</w:t>
      </w:r>
      <w:r w:rsidR="00F12795" w:rsidRPr="000B300B">
        <w:rPr>
          <w:rFonts w:asciiTheme="majorBidi" w:hAnsiTheme="majorBidi" w:cstheme="majorBidi"/>
          <w:sz w:val="24"/>
          <w:szCs w:val="24"/>
        </w:rPr>
        <w:t xml:space="preserve"> all of his spouse</w:t>
      </w:r>
      <w:r w:rsidR="00C00E25"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s expenses. The Jerusalem Talmud </w:t>
      </w:r>
      <w:r w:rsidR="00994535" w:rsidRPr="000B300B">
        <w:rPr>
          <w:rFonts w:asciiTheme="majorBidi" w:hAnsiTheme="majorBidi" w:cstheme="majorBidi"/>
          <w:sz w:val="24"/>
          <w:szCs w:val="24"/>
        </w:rPr>
        <w:t>mentions</w:t>
      </w:r>
      <w:r w:rsidR="00F12795" w:rsidRPr="000B300B">
        <w:rPr>
          <w:rFonts w:asciiTheme="majorBidi" w:hAnsiTheme="majorBidi" w:cstheme="majorBidi"/>
          <w:sz w:val="24"/>
          <w:szCs w:val="24"/>
        </w:rPr>
        <w:t xml:space="preserve"> three </w:t>
      </w:r>
      <w:r w:rsidR="00DE4C60" w:rsidRPr="000B300B">
        <w:rPr>
          <w:rFonts w:asciiTheme="majorBidi" w:hAnsiTheme="majorBidi" w:cstheme="majorBidi"/>
          <w:sz w:val="24"/>
          <w:szCs w:val="24"/>
        </w:rPr>
        <w:t xml:space="preserve">stages in the </w:t>
      </w:r>
      <w:r w:rsidR="00994535" w:rsidRPr="000B300B">
        <w:rPr>
          <w:rFonts w:asciiTheme="majorBidi" w:hAnsiTheme="majorBidi" w:cstheme="majorBidi"/>
          <w:sz w:val="24"/>
          <w:szCs w:val="24"/>
        </w:rPr>
        <w:t xml:space="preserve">historic </w:t>
      </w:r>
      <w:r w:rsidR="00F12795" w:rsidRPr="000B300B">
        <w:rPr>
          <w:rFonts w:asciiTheme="majorBidi" w:hAnsiTheme="majorBidi" w:cstheme="majorBidi"/>
          <w:sz w:val="24"/>
          <w:szCs w:val="24"/>
        </w:rPr>
        <w:t>development</w:t>
      </w:r>
      <w:r w:rsidR="00DE4C60" w:rsidRPr="000B300B">
        <w:rPr>
          <w:rFonts w:asciiTheme="majorBidi" w:hAnsiTheme="majorBidi" w:cstheme="majorBidi"/>
          <w:sz w:val="24"/>
          <w:szCs w:val="24"/>
        </w:rPr>
        <w:t xml:space="preserve"> of</w:t>
      </w:r>
      <w:r w:rsidR="00F12795" w:rsidRPr="000B300B">
        <w:rPr>
          <w:rFonts w:asciiTheme="majorBidi" w:hAnsiTheme="majorBidi" w:cstheme="majorBidi"/>
          <w:sz w:val="24"/>
          <w:szCs w:val="24"/>
        </w:rPr>
        <w:t xml:space="preserve"> a </w:t>
      </w:r>
      <w:r w:rsidR="00994535" w:rsidRPr="000B300B">
        <w:rPr>
          <w:rFonts w:asciiTheme="majorBidi" w:hAnsiTheme="majorBidi" w:cstheme="majorBidi"/>
          <w:sz w:val="24"/>
          <w:szCs w:val="24"/>
        </w:rPr>
        <w:t>bride</w:t>
      </w:r>
      <w:r w:rsidR="00C00E25" w:rsidRPr="000B300B">
        <w:rPr>
          <w:rFonts w:asciiTheme="majorBidi" w:hAnsiTheme="majorBidi" w:cstheme="majorBidi"/>
          <w:sz w:val="24"/>
          <w:szCs w:val="24"/>
        </w:rPr>
        <w:t>’</w:t>
      </w:r>
      <w:r w:rsidR="00994535" w:rsidRPr="000B300B">
        <w:rPr>
          <w:rFonts w:asciiTheme="majorBidi" w:hAnsiTheme="majorBidi" w:cstheme="majorBidi"/>
          <w:sz w:val="24"/>
          <w:szCs w:val="24"/>
        </w:rPr>
        <w:t>s</w:t>
      </w:r>
      <w:r w:rsidR="00F12795" w:rsidRPr="000B300B">
        <w:rPr>
          <w:rFonts w:asciiTheme="majorBidi" w:hAnsiTheme="majorBidi" w:cstheme="majorBidi"/>
          <w:sz w:val="24"/>
          <w:szCs w:val="24"/>
        </w:rPr>
        <w:t xml:space="preserve"> </w:t>
      </w:r>
      <w:r w:rsidR="003A4B51" w:rsidRPr="000B300B">
        <w:rPr>
          <w:rFonts w:asciiTheme="majorBidi" w:hAnsiTheme="majorBidi" w:cstheme="majorBidi"/>
          <w:sz w:val="24"/>
          <w:szCs w:val="24"/>
        </w:rPr>
        <w:t>right to be provided for by her husband</w:t>
      </w:r>
      <w:r w:rsidR="00F12795" w:rsidRPr="000B300B">
        <w:rPr>
          <w:rFonts w:asciiTheme="majorBidi" w:hAnsiTheme="majorBidi" w:cstheme="majorBidi"/>
          <w:sz w:val="24"/>
          <w:szCs w:val="24"/>
        </w:rPr>
        <w:t xml:space="preserve">. </w:t>
      </w:r>
      <w:r w:rsidR="00DE4C60" w:rsidRPr="000B300B">
        <w:rPr>
          <w:rFonts w:asciiTheme="majorBidi" w:hAnsiTheme="majorBidi" w:cstheme="majorBidi"/>
          <w:sz w:val="24"/>
          <w:szCs w:val="24"/>
        </w:rPr>
        <w:t>Initially</w:t>
      </w:r>
      <w:r w:rsidR="00F12795" w:rsidRPr="000B300B">
        <w:rPr>
          <w:rFonts w:asciiTheme="majorBidi" w:hAnsiTheme="majorBidi" w:cstheme="majorBidi"/>
          <w:sz w:val="24"/>
          <w:szCs w:val="24"/>
        </w:rPr>
        <w:t xml:space="preserve">, </w:t>
      </w:r>
      <w:r w:rsidR="005C2572" w:rsidRPr="000B300B">
        <w:rPr>
          <w:rFonts w:asciiTheme="majorBidi" w:hAnsiTheme="majorBidi" w:cstheme="majorBidi"/>
          <w:sz w:val="24"/>
          <w:szCs w:val="24"/>
        </w:rPr>
        <w:t xml:space="preserve">this right began at </w:t>
      </w:r>
      <w:r w:rsidR="00F12795" w:rsidRPr="000B300B">
        <w:rPr>
          <w:rFonts w:asciiTheme="majorBidi" w:hAnsiTheme="majorBidi" w:cstheme="majorBidi"/>
          <w:sz w:val="24"/>
          <w:szCs w:val="24"/>
        </w:rPr>
        <w:t xml:space="preserve">the time </w:t>
      </w:r>
      <w:r w:rsidR="00DE4C60" w:rsidRPr="000B300B">
        <w:rPr>
          <w:rFonts w:asciiTheme="majorBidi" w:hAnsiTheme="majorBidi" w:cstheme="majorBidi"/>
          <w:sz w:val="24"/>
          <w:szCs w:val="24"/>
        </w:rPr>
        <w:t xml:space="preserve">of </w:t>
      </w:r>
      <w:r w:rsidR="00F12795" w:rsidRPr="000B300B">
        <w:rPr>
          <w:rFonts w:asciiTheme="majorBidi" w:hAnsiTheme="majorBidi" w:cstheme="majorBidi"/>
          <w:sz w:val="24"/>
          <w:szCs w:val="24"/>
        </w:rPr>
        <w:t>her betrothal. Afterward, a one-year wait</w:t>
      </w:r>
      <w:r w:rsidR="005C2572" w:rsidRPr="000B300B">
        <w:rPr>
          <w:rFonts w:asciiTheme="majorBidi" w:hAnsiTheme="majorBidi" w:cstheme="majorBidi"/>
          <w:sz w:val="24"/>
          <w:szCs w:val="24"/>
        </w:rPr>
        <w:t xml:space="preserve">ing after </w:t>
      </w:r>
      <w:r w:rsidR="00F12795" w:rsidRPr="000B300B">
        <w:rPr>
          <w:rFonts w:asciiTheme="majorBidi" w:hAnsiTheme="majorBidi" w:cstheme="majorBidi"/>
          <w:sz w:val="24"/>
          <w:szCs w:val="24"/>
        </w:rPr>
        <w:t xml:space="preserve">the betrothal was </w:t>
      </w:r>
      <w:r w:rsidR="005C2572" w:rsidRPr="000B300B">
        <w:rPr>
          <w:rFonts w:asciiTheme="majorBidi" w:hAnsiTheme="majorBidi" w:cstheme="majorBidi"/>
          <w:sz w:val="24"/>
          <w:szCs w:val="24"/>
        </w:rPr>
        <w:t>instituted</w:t>
      </w:r>
      <w:r w:rsidR="00F12795" w:rsidRPr="000B300B">
        <w:rPr>
          <w:rFonts w:asciiTheme="majorBidi" w:hAnsiTheme="majorBidi" w:cstheme="majorBidi"/>
          <w:sz w:val="24"/>
          <w:szCs w:val="24"/>
        </w:rPr>
        <w:t xml:space="preserve">. In the </w:t>
      </w:r>
      <w:r w:rsidR="00DE4C60" w:rsidRPr="000B300B">
        <w:rPr>
          <w:rFonts w:asciiTheme="majorBidi" w:hAnsiTheme="majorBidi" w:cstheme="majorBidi"/>
          <w:sz w:val="24"/>
          <w:szCs w:val="24"/>
        </w:rPr>
        <w:t>final</w:t>
      </w:r>
      <w:r w:rsidR="00F12795" w:rsidRPr="000B300B">
        <w:rPr>
          <w:rFonts w:asciiTheme="majorBidi" w:hAnsiTheme="majorBidi" w:cstheme="majorBidi"/>
          <w:sz w:val="24"/>
          <w:szCs w:val="24"/>
        </w:rPr>
        <w:t xml:space="preserve"> stage</w:t>
      </w:r>
      <w:r w:rsidR="000C36C4" w:rsidRPr="000B300B">
        <w:rPr>
          <w:rFonts w:asciiTheme="majorBidi" w:hAnsiTheme="majorBidi" w:cstheme="majorBidi"/>
          <w:sz w:val="24"/>
          <w:szCs w:val="24"/>
        </w:rPr>
        <w:t>,</w:t>
      </w:r>
      <w:r w:rsidR="00F12795" w:rsidRPr="000B300B">
        <w:rPr>
          <w:rFonts w:asciiTheme="majorBidi" w:hAnsiTheme="majorBidi" w:cstheme="majorBidi"/>
          <w:sz w:val="24"/>
          <w:szCs w:val="24"/>
        </w:rPr>
        <w:t xml:space="preserve"> </w:t>
      </w:r>
      <w:r w:rsidR="000C36C4" w:rsidRPr="000B300B">
        <w:rPr>
          <w:rFonts w:asciiTheme="majorBidi" w:hAnsiTheme="majorBidi" w:cstheme="majorBidi"/>
          <w:sz w:val="24"/>
          <w:szCs w:val="24"/>
        </w:rPr>
        <w:t>the right to sustenance</w:t>
      </w:r>
      <w:r w:rsidRPr="000B300B">
        <w:rPr>
          <w:rFonts w:asciiTheme="majorBidi" w:hAnsiTheme="majorBidi" w:cstheme="majorBidi"/>
          <w:sz w:val="24"/>
          <w:szCs w:val="24"/>
        </w:rPr>
        <w:t xml:space="preserve"> </w:t>
      </w:r>
      <w:r w:rsidR="00F12795" w:rsidRPr="000B300B">
        <w:rPr>
          <w:rFonts w:asciiTheme="majorBidi" w:hAnsiTheme="majorBidi" w:cstheme="majorBidi"/>
          <w:sz w:val="24"/>
          <w:szCs w:val="24"/>
        </w:rPr>
        <w:t xml:space="preserve">was </w:t>
      </w:r>
      <w:r w:rsidRPr="000B300B">
        <w:rPr>
          <w:rFonts w:asciiTheme="majorBidi" w:hAnsiTheme="majorBidi" w:cstheme="majorBidi"/>
          <w:sz w:val="24"/>
          <w:szCs w:val="24"/>
        </w:rPr>
        <w:t>contingent</w:t>
      </w:r>
      <w:r w:rsidR="00F12795" w:rsidRPr="000B300B">
        <w:rPr>
          <w:rFonts w:asciiTheme="majorBidi" w:hAnsiTheme="majorBidi" w:cstheme="majorBidi"/>
          <w:sz w:val="24"/>
          <w:szCs w:val="24"/>
        </w:rPr>
        <w:t xml:space="preserve"> upon </w:t>
      </w:r>
      <w:r w:rsidR="000C36C4" w:rsidRPr="000B300B">
        <w:rPr>
          <w:rFonts w:asciiTheme="majorBidi" w:hAnsiTheme="majorBidi" w:cstheme="majorBidi"/>
          <w:i/>
          <w:iCs/>
          <w:sz w:val="24"/>
          <w:szCs w:val="24"/>
        </w:rPr>
        <w:t>nisu’in</w:t>
      </w:r>
      <w:r w:rsidR="00F12795" w:rsidRPr="000B300B">
        <w:rPr>
          <w:rFonts w:asciiTheme="majorBidi" w:hAnsiTheme="majorBidi" w:cstheme="majorBidi"/>
          <w:i/>
          <w:iCs/>
          <w:sz w:val="24"/>
          <w:szCs w:val="24"/>
        </w:rPr>
        <w:t>.</w:t>
      </w:r>
    </w:p>
    <w:p w14:paraId="3347CF64" w14:textId="732E2725"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As a rule, the couple </w:t>
      </w:r>
      <w:r w:rsidR="000C36C4" w:rsidRPr="000B300B">
        <w:rPr>
          <w:rFonts w:asciiTheme="majorBidi" w:hAnsiTheme="majorBidi" w:cstheme="majorBidi"/>
          <w:sz w:val="24"/>
          <w:szCs w:val="24"/>
        </w:rPr>
        <w:t>could</w:t>
      </w:r>
      <w:r w:rsidRPr="000B300B">
        <w:rPr>
          <w:rFonts w:asciiTheme="majorBidi" w:hAnsiTheme="majorBidi" w:cstheme="majorBidi"/>
          <w:sz w:val="24"/>
          <w:szCs w:val="24"/>
        </w:rPr>
        <w:t xml:space="preserve"> </w:t>
      </w:r>
      <w:r w:rsidR="00DE4C60" w:rsidRPr="000B300B">
        <w:rPr>
          <w:rFonts w:asciiTheme="majorBidi" w:hAnsiTheme="majorBidi" w:cstheme="majorBidi"/>
          <w:sz w:val="24"/>
          <w:szCs w:val="24"/>
        </w:rPr>
        <w:t>decide</w:t>
      </w:r>
      <w:r w:rsidRPr="000B300B">
        <w:rPr>
          <w:rFonts w:asciiTheme="majorBidi" w:hAnsiTheme="majorBidi" w:cstheme="majorBidi"/>
          <w:sz w:val="24"/>
          <w:szCs w:val="24"/>
        </w:rPr>
        <w:t xml:space="preserve"> between themselves on the framework </w:t>
      </w:r>
      <w:r w:rsidR="000C36C4" w:rsidRPr="000B300B">
        <w:rPr>
          <w:rFonts w:asciiTheme="majorBidi" w:hAnsiTheme="majorBidi" w:cstheme="majorBidi"/>
          <w:sz w:val="24"/>
          <w:szCs w:val="24"/>
        </w:rPr>
        <w:t>in which</w:t>
      </w:r>
      <w:r w:rsidR="00633B5C" w:rsidRPr="000B300B">
        <w:rPr>
          <w:rFonts w:asciiTheme="majorBidi" w:hAnsiTheme="majorBidi" w:cstheme="majorBidi"/>
          <w:sz w:val="24"/>
          <w:szCs w:val="24"/>
        </w:rPr>
        <w:t xml:space="preserve"> the </w:t>
      </w:r>
      <w:r w:rsidR="00451C62" w:rsidRPr="000B300B">
        <w:rPr>
          <w:rFonts w:asciiTheme="majorBidi" w:hAnsiTheme="majorBidi" w:cstheme="majorBidi"/>
          <w:sz w:val="24"/>
          <w:szCs w:val="24"/>
        </w:rPr>
        <w:t>sustenance</w:t>
      </w:r>
      <w:r w:rsidR="00633B5C" w:rsidRPr="000B300B">
        <w:rPr>
          <w:rFonts w:asciiTheme="majorBidi" w:hAnsiTheme="majorBidi" w:cstheme="majorBidi"/>
          <w:sz w:val="24"/>
          <w:szCs w:val="24"/>
        </w:rPr>
        <w:t xml:space="preserve"> was</w:t>
      </w:r>
      <w:r w:rsidR="00994535" w:rsidRPr="000B300B">
        <w:rPr>
          <w:rFonts w:asciiTheme="majorBidi" w:hAnsiTheme="majorBidi" w:cstheme="majorBidi"/>
          <w:sz w:val="24"/>
          <w:szCs w:val="24"/>
        </w:rPr>
        <w:t xml:space="preserve"> </w:t>
      </w:r>
      <w:r w:rsidR="00633B5C" w:rsidRPr="000B300B">
        <w:rPr>
          <w:rFonts w:asciiTheme="majorBidi" w:hAnsiTheme="majorBidi" w:cstheme="majorBidi"/>
          <w:sz w:val="24"/>
          <w:szCs w:val="24"/>
        </w:rPr>
        <w:t>provided</w:t>
      </w:r>
      <w:r w:rsidRPr="000B300B">
        <w:rPr>
          <w:rFonts w:asciiTheme="majorBidi" w:hAnsiTheme="majorBidi" w:cstheme="majorBidi"/>
          <w:sz w:val="24"/>
          <w:szCs w:val="24"/>
        </w:rPr>
        <w:t xml:space="preserve">. </w:t>
      </w:r>
      <w:r w:rsidR="00451C62" w:rsidRPr="000B300B">
        <w:rPr>
          <w:rFonts w:asciiTheme="majorBidi" w:hAnsiTheme="majorBidi" w:cstheme="majorBidi"/>
          <w:sz w:val="24"/>
          <w:szCs w:val="24"/>
        </w:rPr>
        <w:t>The</w:t>
      </w:r>
      <w:r w:rsidRPr="000B300B">
        <w:rPr>
          <w:rFonts w:asciiTheme="majorBidi" w:hAnsiTheme="majorBidi" w:cstheme="majorBidi"/>
          <w:sz w:val="24"/>
          <w:szCs w:val="24"/>
        </w:rPr>
        <w:t xml:space="preserve"> Jerusalem Talmud focused specifically on </w:t>
      </w:r>
      <w:r w:rsidR="00DE4C60" w:rsidRPr="000B300B">
        <w:rPr>
          <w:rFonts w:asciiTheme="majorBidi" w:hAnsiTheme="majorBidi" w:cstheme="majorBidi"/>
          <w:sz w:val="24"/>
          <w:szCs w:val="24"/>
        </w:rPr>
        <w:t xml:space="preserve">the </w:t>
      </w:r>
      <w:r w:rsidR="00451C62" w:rsidRPr="000B300B">
        <w:rPr>
          <w:rFonts w:asciiTheme="majorBidi" w:hAnsiTheme="majorBidi" w:cstheme="majorBidi"/>
          <w:sz w:val="24"/>
          <w:szCs w:val="24"/>
        </w:rPr>
        <w:t xml:space="preserve">case of the </w:t>
      </w:r>
      <w:r w:rsidR="00DE4C60" w:rsidRPr="000B300B">
        <w:rPr>
          <w:rFonts w:asciiTheme="majorBidi" w:hAnsiTheme="majorBidi" w:cstheme="majorBidi"/>
          <w:sz w:val="24"/>
          <w:szCs w:val="24"/>
        </w:rPr>
        <w:t xml:space="preserve">wife of a </w:t>
      </w:r>
      <w:r w:rsidR="00DE4C60" w:rsidRPr="000B300B">
        <w:rPr>
          <w:rFonts w:asciiTheme="majorBidi" w:hAnsiTheme="majorBidi" w:cstheme="majorBidi"/>
          <w:i/>
          <w:iCs/>
          <w:sz w:val="24"/>
          <w:szCs w:val="24"/>
        </w:rPr>
        <w:t>kohen</w:t>
      </w:r>
      <w:r w:rsidR="00DE4C60"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who receives </w:t>
      </w:r>
      <w:r w:rsidR="00DE4C60" w:rsidRPr="000B300B">
        <w:rPr>
          <w:rFonts w:asciiTheme="majorBidi" w:hAnsiTheme="majorBidi" w:cstheme="majorBidi"/>
          <w:sz w:val="24"/>
          <w:szCs w:val="24"/>
        </w:rPr>
        <w:t>her</w:t>
      </w:r>
      <w:r w:rsidRPr="000B300B">
        <w:rPr>
          <w:rFonts w:asciiTheme="majorBidi" w:hAnsiTheme="majorBidi" w:cstheme="majorBidi"/>
          <w:sz w:val="24"/>
          <w:szCs w:val="24"/>
        </w:rPr>
        <w:t xml:space="preserve"> </w:t>
      </w:r>
      <w:r w:rsidR="00451C62" w:rsidRPr="000B300B">
        <w:rPr>
          <w:rFonts w:asciiTheme="majorBidi" w:hAnsiTheme="majorBidi" w:cstheme="majorBidi"/>
          <w:sz w:val="24"/>
          <w:szCs w:val="24"/>
        </w:rPr>
        <w:t xml:space="preserve">sustenance </w:t>
      </w:r>
      <w:r w:rsidRPr="000B300B">
        <w:rPr>
          <w:rFonts w:asciiTheme="majorBidi" w:hAnsiTheme="majorBidi" w:cstheme="majorBidi"/>
          <w:sz w:val="24"/>
          <w:szCs w:val="24"/>
        </w:rPr>
        <w:t xml:space="preserve">from his </w:t>
      </w:r>
      <w:r w:rsidRPr="000B300B">
        <w:rPr>
          <w:rFonts w:asciiTheme="majorBidi" w:hAnsiTheme="majorBidi" w:cstheme="majorBidi"/>
          <w:i/>
          <w:iCs/>
          <w:sz w:val="24"/>
          <w:szCs w:val="24"/>
        </w:rPr>
        <w:t>terumah</w:t>
      </w:r>
      <w:r w:rsidRPr="000B300B">
        <w:rPr>
          <w:rFonts w:asciiTheme="majorBidi" w:hAnsiTheme="majorBidi" w:cstheme="majorBidi"/>
          <w:sz w:val="24"/>
          <w:szCs w:val="24"/>
        </w:rPr>
        <w:t xml:space="preserve"> </w:t>
      </w:r>
      <w:r w:rsidR="00FE5212" w:rsidRPr="000B300B">
        <w:rPr>
          <w:rFonts w:asciiTheme="majorBidi" w:hAnsiTheme="majorBidi" w:cstheme="majorBidi"/>
          <w:sz w:val="24"/>
          <w:szCs w:val="24"/>
        </w:rPr>
        <w:t>(</w:t>
      </w:r>
      <w:r w:rsidR="00FC16EF" w:rsidRPr="000B300B">
        <w:rPr>
          <w:rFonts w:asciiTheme="majorBidi" w:hAnsiTheme="majorBidi" w:cstheme="majorBidi"/>
          <w:sz w:val="24"/>
          <w:szCs w:val="24"/>
        </w:rPr>
        <w:t xml:space="preserve">the heave-offering – </w:t>
      </w:r>
      <w:r w:rsidR="00FE5212" w:rsidRPr="000B300B">
        <w:rPr>
          <w:rFonts w:asciiTheme="majorBidi" w:hAnsiTheme="majorBidi" w:cstheme="majorBidi"/>
          <w:sz w:val="24"/>
          <w:szCs w:val="24"/>
        </w:rPr>
        <w:t xml:space="preserve">the portion of produce grown in </w:t>
      </w:r>
      <w:r w:rsidR="00FE5212" w:rsidRPr="000B300B">
        <w:rPr>
          <w:rFonts w:asciiTheme="majorBidi" w:hAnsiTheme="majorBidi" w:cstheme="majorBidi"/>
          <w:sz w:val="24"/>
          <w:szCs w:val="24"/>
        </w:rPr>
        <w:lastRenderedPageBreak/>
        <w:t xml:space="preserve">the Land of Israel that is allocated to the priests) </w:t>
      </w:r>
      <w:r w:rsidRPr="000B300B">
        <w:rPr>
          <w:rFonts w:asciiTheme="majorBidi" w:hAnsiTheme="majorBidi" w:cstheme="majorBidi"/>
          <w:sz w:val="24"/>
          <w:szCs w:val="24"/>
        </w:rPr>
        <w:t xml:space="preserve">because </w:t>
      </w:r>
      <w:r w:rsidR="00994535" w:rsidRPr="000B300B">
        <w:rPr>
          <w:rFonts w:asciiTheme="majorBidi" w:hAnsiTheme="majorBidi" w:cstheme="majorBidi"/>
          <w:sz w:val="24"/>
          <w:szCs w:val="24"/>
        </w:rPr>
        <w:t xml:space="preserve">of the </w:t>
      </w:r>
      <w:r w:rsidR="00451C62" w:rsidRPr="000B300B">
        <w:rPr>
          <w:rFonts w:asciiTheme="majorBidi" w:hAnsiTheme="majorBidi" w:cstheme="majorBidi"/>
          <w:sz w:val="24"/>
          <w:szCs w:val="24"/>
        </w:rPr>
        <w:t xml:space="preserve">strict rules </w:t>
      </w:r>
      <w:r w:rsidR="00994535" w:rsidRPr="000B300B">
        <w:rPr>
          <w:rFonts w:asciiTheme="majorBidi" w:hAnsiTheme="majorBidi" w:cstheme="majorBidi"/>
          <w:sz w:val="24"/>
          <w:szCs w:val="24"/>
        </w:rPr>
        <w:t xml:space="preserve">that </w:t>
      </w:r>
      <w:r w:rsidR="00451C62" w:rsidRPr="000B300B">
        <w:rPr>
          <w:rFonts w:asciiTheme="majorBidi" w:hAnsiTheme="majorBidi" w:cstheme="majorBidi"/>
          <w:sz w:val="24"/>
          <w:szCs w:val="24"/>
        </w:rPr>
        <w:t xml:space="preserve">forbid an </w:t>
      </w:r>
      <w:r w:rsidR="00633B5C" w:rsidRPr="000B300B">
        <w:rPr>
          <w:rFonts w:asciiTheme="majorBidi" w:hAnsiTheme="majorBidi" w:cstheme="majorBidi"/>
          <w:sz w:val="24"/>
          <w:szCs w:val="24"/>
        </w:rPr>
        <w:t>outsider</w:t>
      </w:r>
      <w:r w:rsidR="00451C62" w:rsidRPr="000B300B">
        <w:rPr>
          <w:rFonts w:asciiTheme="majorBidi" w:hAnsiTheme="majorBidi" w:cstheme="majorBidi"/>
          <w:sz w:val="24"/>
          <w:szCs w:val="24"/>
        </w:rPr>
        <w:t xml:space="preserve"> from</w:t>
      </w:r>
      <w:r w:rsidR="00633B5C" w:rsidRPr="000B300B">
        <w:rPr>
          <w:rFonts w:asciiTheme="majorBidi" w:hAnsiTheme="majorBidi" w:cstheme="majorBidi"/>
          <w:sz w:val="24"/>
          <w:szCs w:val="24"/>
        </w:rPr>
        <w:t xml:space="preserve"> eating </w:t>
      </w:r>
      <w:r w:rsidRPr="000B300B">
        <w:rPr>
          <w:rFonts w:asciiTheme="majorBidi" w:hAnsiTheme="majorBidi" w:cstheme="majorBidi"/>
          <w:i/>
          <w:iCs/>
          <w:sz w:val="24"/>
          <w:szCs w:val="24"/>
        </w:rPr>
        <w:t>terumah</w:t>
      </w:r>
      <w:r w:rsidR="00994535" w:rsidRPr="000B300B">
        <w:rPr>
          <w:rFonts w:asciiTheme="majorBidi" w:hAnsiTheme="majorBidi" w:cstheme="majorBidi"/>
          <w:i/>
          <w:iCs/>
          <w:sz w:val="24"/>
          <w:szCs w:val="24"/>
        </w:rPr>
        <w:t>,</w:t>
      </w:r>
      <w:r w:rsidR="00DE4C60" w:rsidRPr="000B300B">
        <w:rPr>
          <w:rFonts w:asciiTheme="majorBidi" w:hAnsiTheme="majorBidi" w:cstheme="majorBidi"/>
          <w:sz w:val="24"/>
          <w:szCs w:val="24"/>
        </w:rPr>
        <w:t xml:space="preserve"> </w:t>
      </w:r>
      <w:r w:rsidR="00451C62" w:rsidRPr="000B300B">
        <w:rPr>
          <w:rFonts w:asciiTheme="majorBidi" w:hAnsiTheme="majorBidi" w:cstheme="majorBidi"/>
          <w:sz w:val="24"/>
          <w:szCs w:val="24"/>
        </w:rPr>
        <w:t xml:space="preserve">which </w:t>
      </w:r>
      <w:r w:rsidR="00DE4C60" w:rsidRPr="000B300B">
        <w:rPr>
          <w:rFonts w:asciiTheme="majorBidi" w:hAnsiTheme="majorBidi" w:cstheme="majorBidi"/>
          <w:sz w:val="24"/>
          <w:szCs w:val="24"/>
        </w:rPr>
        <w:t>take the decision</w:t>
      </w:r>
      <w:r w:rsidR="00451C62" w:rsidRPr="000B300B">
        <w:rPr>
          <w:rFonts w:asciiTheme="majorBidi" w:hAnsiTheme="majorBidi" w:cstheme="majorBidi"/>
          <w:sz w:val="24"/>
          <w:szCs w:val="24"/>
        </w:rPr>
        <w:t xml:space="preserve"> </w:t>
      </w:r>
      <w:r w:rsidR="00DE4C60" w:rsidRPr="000B300B">
        <w:rPr>
          <w:rFonts w:asciiTheme="majorBidi" w:hAnsiTheme="majorBidi" w:cstheme="majorBidi"/>
          <w:sz w:val="24"/>
          <w:szCs w:val="24"/>
        </w:rPr>
        <w:t>out of the couple</w:t>
      </w:r>
      <w:r w:rsidR="00C00E25" w:rsidRPr="000B300B">
        <w:rPr>
          <w:rFonts w:asciiTheme="majorBidi" w:hAnsiTheme="majorBidi" w:cstheme="majorBidi"/>
          <w:sz w:val="24"/>
          <w:szCs w:val="24"/>
        </w:rPr>
        <w:t>’</w:t>
      </w:r>
      <w:r w:rsidR="00DE4C60" w:rsidRPr="000B300B">
        <w:rPr>
          <w:rFonts w:asciiTheme="majorBidi" w:hAnsiTheme="majorBidi" w:cstheme="majorBidi"/>
          <w:sz w:val="24"/>
          <w:szCs w:val="24"/>
        </w:rPr>
        <w:t>s hands.</w:t>
      </w:r>
    </w:p>
    <w:p w14:paraId="4293637D" w14:textId="4CA0A6C2" w:rsidR="00077C76" w:rsidRPr="000B300B" w:rsidRDefault="0078749A" w:rsidP="007C52E8">
      <w:pPr>
        <w:pStyle w:val="Quote"/>
        <w:rPr>
          <w:shd w:val="clear" w:color="auto" w:fill="FFFFFF"/>
        </w:rPr>
      </w:pPr>
      <w:r w:rsidRPr="000B300B">
        <w:rPr>
          <w:shd w:val="clear" w:color="auto" w:fill="FFFFFF"/>
        </w:rPr>
        <w:t>F</w:t>
      </w:r>
      <w:r w:rsidR="00F12795" w:rsidRPr="000B300B">
        <w:rPr>
          <w:shd w:val="clear" w:color="auto" w:fill="FFFFFF"/>
        </w:rPr>
        <w:t>or it has been taught</w:t>
      </w:r>
      <w:r w:rsidR="00451C62" w:rsidRPr="000B300B">
        <w:rPr>
          <w:shd w:val="clear" w:color="auto" w:fill="FFFFFF"/>
        </w:rPr>
        <w:t xml:space="preserve">: </w:t>
      </w:r>
      <w:r w:rsidR="00F12795" w:rsidRPr="000B300B">
        <w:rPr>
          <w:shd w:val="clear" w:color="auto" w:fill="FFFFFF"/>
        </w:rPr>
        <w:t>Earlier they ruled</w:t>
      </w:r>
      <w:r w:rsidR="00451C62" w:rsidRPr="000B300B">
        <w:rPr>
          <w:shd w:val="clear" w:color="auto" w:fill="FFFFFF"/>
        </w:rPr>
        <w:t xml:space="preserve"> that a</w:t>
      </w:r>
      <w:r w:rsidR="00F12795" w:rsidRPr="000B300B">
        <w:rPr>
          <w:shd w:val="clear" w:color="auto" w:fill="FFFFFF"/>
        </w:rPr>
        <w:t xml:space="preserve">n Israelite girl who is betrothed [to a priest] eats food </w:t>
      </w:r>
      <w:r w:rsidR="00451C62" w:rsidRPr="000B300B">
        <w:rPr>
          <w:shd w:val="clear" w:color="auto" w:fill="FFFFFF"/>
        </w:rPr>
        <w:t>from</w:t>
      </w:r>
      <w:r w:rsidR="00F12795" w:rsidRPr="000B300B">
        <w:rPr>
          <w:shd w:val="clear" w:color="auto" w:fill="FFFFFF"/>
        </w:rPr>
        <w:t xml:space="preserve"> </w:t>
      </w:r>
      <w:r w:rsidR="00994535" w:rsidRPr="000B300B">
        <w:rPr>
          <w:shd w:val="clear" w:color="auto" w:fill="FFFFFF"/>
        </w:rPr>
        <w:t xml:space="preserve">the </w:t>
      </w:r>
      <w:r w:rsidR="00F12795" w:rsidRPr="000B300B">
        <w:rPr>
          <w:shd w:val="clear" w:color="auto" w:fill="FFFFFF"/>
        </w:rPr>
        <w:t>heave</w:t>
      </w:r>
      <w:r w:rsidR="008B0004" w:rsidRPr="000B300B">
        <w:rPr>
          <w:shd w:val="clear" w:color="auto" w:fill="FFFFFF"/>
        </w:rPr>
        <w:t>-</w:t>
      </w:r>
      <w:r w:rsidR="00F12795" w:rsidRPr="000B300B">
        <w:rPr>
          <w:shd w:val="clear" w:color="auto" w:fill="FFFFFF"/>
        </w:rPr>
        <w:t>offering… The</w:t>
      </w:r>
      <w:r w:rsidR="00451C62" w:rsidRPr="000B300B">
        <w:rPr>
          <w:shd w:val="clear" w:color="auto" w:fill="FFFFFF"/>
        </w:rPr>
        <w:t>n they</w:t>
      </w:r>
      <w:r w:rsidR="00F12795" w:rsidRPr="000B300B">
        <w:rPr>
          <w:shd w:val="clear" w:color="auto" w:fill="FFFFFF"/>
        </w:rPr>
        <w:t xml:space="preserve"> retracted </w:t>
      </w:r>
      <w:r w:rsidR="00633B5C" w:rsidRPr="000B300B">
        <w:rPr>
          <w:shd w:val="clear" w:color="auto" w:fill="FFFFFF"/>
        </w:rPr>
        <w:t>the ruling</w:t>
      </w:r>
      <w:r w:rsidR="00C7654C" w:rsidRPr="000B300B">
        <w:rPr>
          <w:shd w:val="clear" w:color="auto" w:fill="FFFFFF"/>
        </w:rPr>
        <w:t xml:space="preserve"> </w:t>
      </w:r>
      <w:r w:rsidR="00F12795" w:rsidRPr="000B300B">
        <w:rPr>
          <w:shd w:val="clear" w:color="auto" w:fill="FFFFFF"/>
        </w:rPr>
        <w:t xml:space="preserve">and </w:t>
      </w:r>
      <w:r w:rsidR="00451C62" w:rsidRPr="000B300B">
        <w:rPr>
          <w:shd w:val="clear" w:color="auto" w:fill="FFFFFF"/>
        </w:rPr>
        <w:t>decided</w:t>
      </w:r>
      <w:r w:rsidR="00C7654C" w:rsidRPr="000B300B">
        <w:rPr>
          <w:shd w:val="clear" w:color="auto" w:fill="FFFFFF"/>
        </w:rPr>
        <w:t xml:space="preserve"> [that she can only eat from </w:t>
      </w:r>
      <w:r w:rsidR="00994535" w:rsidRPr="000B300B">
        <w:rPr>
          <w:shd w:val="clear" w:color="auto" w:fill="FFFFFF"/>
        </w:rPr>
        <w:t>the heave</w:t>
      </w:r>
      <w:r w:rsidR="00E24AF0" w:rsidRPr="000B300B">
        <w:rPr>
          <w:shd w:val="clear" w:color="auto" w:fill="FFFFFF"/>
        </w:rPr>
        <w:t>-</w:t>
      </w:r>
      <w:r w:rsidR="00994535" w:rsidRPr="000B300B">
        <w:rPr>
          <w:shd w:val="clear" w:color="auto" w:fill="FFFFFF"/>
        </w:rPr>
        <w:t>offering</w:t>
      </w:r>
      <w:r w:rsidR="00C7654C" w:rsidRPr="000B300B">
        <w:rPr>
          <w:shd w:val="clear" w:color="auto" w:fill="FFFFFF"/>
        </w:rPr>
        <w:t>] a</w:t>
      </w:r>
      <w:r w:rsidR="00F12795" w:rsidRPr="000B300B">
        <w:rPr>
          <w:shd w:val="clear" w:color="auto" w:fill="FFFFFF"/>
        </w:rPr>
        <w:t xml:space="preserve">fter twelve months when he becomes </w:t>
      </w:r>
      <w:r w:rsidR="00451C62" w:rsidRPr="000B300B">
        <w:rPr>
          <w:shd w:val="clear" w:color="auto" w:fill="FFFFFF"/>
        </w:rPr>
        <w:t xml:space="preserve">legally obligated </w:t>
      </w:r>
      <w:r w:rsidR="00F12795" w:rsidRPr="000B300B">
        <w:rPr>
          <w:shd w:val="clear" w:color="auto" w:fill="FFFFFF"/>
        </w:rPr>
        <w:t>to feed her</w:t>
      </w:r>
      <w:r w:rsidR="00C7654C" w:rsidRPr="000B300B">
        <w:rPr>
          <w:shd w:val="clear" w:color="auto" w:fill="FFFFFF"/>
        </w:rPr>
        <w:t>.</w:t>
      </w:r>
    </w:p>
    <w:p w14:paraId="03772BC9" w14:textId="6D1D60FF" w:rsidR="00F12795" w:rsidRPr="000B300B" w:rsidRDefault="00F12795" w:rsidP="007C52E8">
      <w:pPr>
        <w:pStyle w:val="Quote"/>
        <w:rPr>
          <w:shd w:val="clear" w:color="auto" w:fill="FFFFFF"/>
        </w:rPr>
      </w:pPr>
      <w:r w:rsidRPr="000B300B">
        <w:rPr>
          <w:shd w:val="clear" w:color="auto" w:fill="FFFFFF"/>
        </w:rPr>
        <w:t>The court which came at the end ruled</w:t>
      </w:r>
      <w:r w:rsidR="00C7654C" w:rsidRPr="000B300B">
        <w:rPr>
          <w:shd w:val="clear" w:color="auto" w:fill="FFFFFF"/>
        </w:rPr>
        <w:t xml:space="preserve"> that under </w:t>
      </w:r>
      <w:r w:rsidRPr="000B300B">
        <w:rPr>
          <w:shd w:val="clear" w:color="auto" w:fill="FFFFFF"/>
        </w:rPr>
        <w:t xml:space="preserve">no circumstances does a woman eat </w:t>
      </w:r>
      <w:r w:rsidR="007C52E8" w:rsidRPr="000B300B">
        <w:rPr>
          <w:shd w:val="clear" w:color="auto" w:fill="FFFFFF"/>
        </w:rPr>
        <w:t xml:space="preserve">the </w:t>
      </w:r>
      <w:r w:rsidRPr="000B300B">
        <w:rPr>
          <w:shd w:val="clear" w:color="auto" w:fill="FFFFFF"/>
        </w:rPr>
        <w:t>heave</w:t>
      </w:r>
      <w:r w:rsidR="00E24AF0" w:rsidRPr="000B300B">
        <w:rPr>
          <w:shd w:val="clear" w:color="auto" w:fill="FFFFFF"/>
        </w:rPr>
        <w:t>-</w:t>
      </w:r>
      <w:r w:rsidRPr="000B300B">
        <w:rPr>
          <w:shd w:val="clear" w:color="auto" w:fill="FFFFFF"/>
        </w:rPr>
        <w:t>offering until she enters the marriage canopy</w:t>
      </w:r>
      <w:r w:rsidR="00331504" w:rsidRPr="000B300B">
        <w:rPr>
          <w:shd w:val="clear" w:color="auto" w:fill="FFFFFF"/>
        </w:rPr>
        <w:t>.</w:t>
      </w:r>
      <w:r w:rsidRPr="007471F9">
        <w:rPr>
          <w:rStyle w:val="FootnoteReference"/>
          <w:shd w:val="clear" w:color="auto" w:fill="FFFFFF"/>
        </w:rPr>
        <w:footnoteReference w:id="36"/>
      </w:r>
      <w:r w:rsidRPr="000B300B">
        <w:rPr>
          <w:shd w:val="clear" w:color="auto" w:fill="FFFFFF"/>
        </w:rPr>
        <w:t xml:space="preserve"> </w:t>
      </w:r>
    </w:p>
    <w:p w14:paraId="508461F3" w14:textId="1B1EFD11" w:rsidR="00F12795" w:rsidRPr="000B300B" w:rsidRDefault="00F12795" w:rsidP="00D95B5D">
      <w:pPr>
        <w:spacing w:line="360" w:lineRule="auto"/>
        <w:jc w:val="both"/>
        <w:rPr>
          <w:rFonts w:asciiTheme="majorBidi" w:hAnsiTheme="majorBidi" w:cstheme="majorBidi"/>
          <w:sz w:val="24"/>
          <w:szCs w:val="24"/>
        </w:rPr>
      </w:pPr>
      <w:r w:rsidRPr="000B300B">
        <w:rPr>
          <w:rFonts w:asciiTheme="majorBidi" w:hAnsiTheme="majorBidi" w:cstheme="majorBidi"/>
          <w:sz w:val="24"/>
          <w:szCs w:val="24"/>
        </w:rPr>
        <w:t xml:space="preserve">There seems to be a correlation between the obligation to </w:t>
      </w:r>
      <w:r w:rsidR="00451C62" w:rsidRPr="000B300B">
        <w:rPr>
          <w:rFonts w:asciiTheme="majorBidi" w:hAnsiTheme="majorBidi" w:cstheme="majorBidi"/>
          <w:sz w:val="24"/>
          <w:szCs w:val="24"/>
        </w:rPr>
        <w:t>provide sustenance</w:t>
      </w:r>
      <w:r w:rsidRPr="000B300B">
        <w:rPr>
          <w:rFonts w:asciiTheme="majorBidi" w:hAnsiTheme="majorBidi" w:cstheme="majorBidi"/>
          <w:sz w:val="24"/>
          <w:szCs w:val="24"/>
        </w:rPr>
        <w:t xml:space="preserve"> and permission to have sexual intercourse. This </w:t>
      </w:r>
      <w:r w:rsidR="007C52E8" w:rsidRPr="000B300B">
        <w:rPr>
          <w:rFonts w:asciiTheme="majorBidi" w:hAnsiTheme="majorBidi" w:cstheme="majorBidi"/>
          <w:sz w:val="24"/>
          <w:szCs w:val="24"/>
        </w:rPr>
        <w:t>make</w:t>
      </w:r>
      <w:r w:rsidR="006F2D1C" w:rsidRPr="000B300B">
        <w:rPr>
          <w:rFonts w:asciiTheme="majorBidi" w:hAnsiTheme="majorBidi" w:cstheme="majorBidi"/>
          <w:sz w:val="24"/>
          <w:szCs w:val="24"/>
        </w:rPr>
        <w:t>s</w:t>
      </w:r>
      <w:r w:rsidR="007C52E8" w:rsidRPr="000B300B">
        <w:rPr>
          <w:rFonts w:asciiTheme="majorBidi" w:hAnsiTheme="majorBidi" w:cstheme="majorBidi"/>
          <w:sz w:val="24"/>
          <w:szCs w:val="24"/>
        </w:rPr>
        <w:t xml:space="preserve"> sense</w:t>
      </w:r>
      <w:r w:rsidRPr="000B300B">
        <w:rPr>
          <w:rFonts w:asciiTheme="majorBidi" w:hAnsiTheme="majorBidi" w:cstheme="majorBidi"/>
          <w:sz w:val="24"/>
          <w:szCs w:val="24"/>
        </w:rPr>
        <w:t xml:space="preserve"> from the assumption that if the marital relationship </w:t>
      </w:r>
      <w:r w:rsidR="00451C62" w:rsidRPr="000B300B">
        <w:rPr>
          <w:rFonts w:asciiTheme="majorBidi" w:hAnsiTheme="majorBidi" w:cstheme="majorBidi"/>
          <w:sz w:val="24"/>
          <w:szCs w:val="24"/>
        </w:rPr>
        <w:t xml:space="preserve">begins at </w:t>
      </w:r>
      <w:r w:rsidR="002E0E2F" w:rsidRPr="000B300B">
        <w:rPr>
          <w:rFonts w:asciiTheme="majorBidi" w:hAnsiTheme="majorBidi" w:cstheme="majorBidi"/>
          <w:sz w:val="24"/>
          <w:szCs w:val="24"/>
        </w:rPr>
        <w:t>t</w:t>
      </w:r>
      <w:r w:rsidRPr="000B300B">
        <w:rPr>
          <w:rFonts w:asciiTheme="majorBidi" w:hAnsiTheme="majorBidi" w:cstheme="majorBidi"/>
          <w:sz w:val="24"/>
          <w:szCs w:val="24"/>
        </w:rPr>
        <w:t xml:space="preserve">he betrothal </w:t>
      </w:r>
      <w:r w:rsidR="002E0E2F" w:rsidRPr="000B300B">
        <w:rPr>
          <w:rFonts w:asciiTheme="majorBidi" w:hAnsiTheme="majorBidi" w:cstheme="majorBidi"/>
          <w:sz w:val="24"/>
          <w:szCs w:val="24"/>
        </w:rPr>
        <w:t xml:space="preserve">stage </w:t>
      </w:r>
      <w:r w:rsidRPr="000B300B">
        <w:rPr>
          <w:rFonts w:asciiTheme="majorBidi" w:hAnsiTheme="majorBidi" w:cstheme="majorBidi"/>
          <w:sz w:val="24"/>
          <w:szCs w:val="24"/>
        </w:rPr>
        <w:t xml:space="preserve">there is no reason to </w:t>
      </w:r>
      <w:r w:rsidR="006A4577" w:rsidRPr="000B300B">
        <w:rPr>
          <w:rFonts w:asciiTheme="majorBidi" w:hAnsiTheme="majorBidi" w:cstheme="majorBidi"/>
          <w:sz w:val="24"/>
          <w:szCs w:val="24"/>
        </w:rPr>
        <w:t xml:space="preserve">distinguish </w:t>
      </w:r>
      <w:r w:rsidRPr="000B300B">
        <w:rPr>
          <w:rFonts w:asciiTheme="majorBidi" w:hAnsiTheme="majorBidi" w:cstheme="majorBidi"/>
          <w:sz w:val="24"/>
          <w:szCs w:val="24"/>
        </w:rPr>
        <w:t>between the economic and physical aspects of the marriage. It is also likely that legitima</w:t>
      </w:r>
      <w:r w:rsidR="007C52E8" w:rsidRPr="000B300B">
        <w:rPr>
          <w:rFonts w:asciiTheme="majorBidi" w:hAnsiTheme="majorBidi" w:cstheme="majorBidi"/>
          <w:sz w:val="24"/>
          <w:szCs w:val="24"/>
        </w:rPr>
        <w:t>te</w:t>
      </w:r>
      <w:r w:rsidRPr="000B300B">
        <w:rPr>
          <w:rFonts w:asciiTheme="majorBidi" w:hAnsiTheme="majorBidi" w:cstheme="majorBidi"/>
          <w:sz w:val="24"/>
          <w:szCs w:val="24"/>
        </w:rPr>
        <w:t xml:space="preserve"> married life involved a financial commitment.</w:t>
      </w:r>
      <w:r w:rsidR="00077C76" w:rsidRPr="000B300B">
        <w:rPr>
          <w:rStyle w:val="FootnoteReference"/>
          <w:rFonts w:asciiTheme="majorBidi" w:hAnsiTheme="majorBidi" w:cstheme="majorBidi"/>
          <w:sz w:val="24"/>
          <w:szCs w:val="24"/>
        </w:rPr>
        <w:footnoteReference w:id="37"/>
      </w:r>
      <w:r w:rsidRPr="000B300B">
        <w:rPr>
          <w:rFonts w:asciiTheme="majorBidi" w:hAnsiTheme="majorBidi" w:cstheme="majorBidi"/>
          <w:sz w:val="24"/>
          <w:szCs w:val="24"/>
        </w:rPr>
        <w:t xml:space="preserve"> It is </w:t>
      </w:r>
      <w:r w:rsidR="006A4577" w:rsidRPr="000B300B">
        <w:rPr>
          <w:rFonts w:asciiTheme="majorBidi" w:hAnsiTheme="majorBidi" w:cstheme="majorBidi"/>
          <w:sz w:val="24"/>
          <w:szCs w:val="24"/>
        </w:rPr>
        <w:t>noteworthy</w:t>
      </w:r>
      <w:r w:rsidRPr="000B300B">
        <w:rPr>
          <w:rFonts w:asciiTheme="majorBidi" w:hAnsiTheme="majorBidi" w:cstheme="majorBidi"/>
          <w:sz w:val="24"/>
          <w:szCs w:val="24"/>
        </w:rPr>
        <w:t xml:space="preserve"> that there is no geographical </w:t>
      </w:r>
      <w:r w:rsidR="00A92819" w:rsidRPr="000B300B">
        <w:rPr>
          <w:rFonts w:asciiTheme="majorBidi" w:hAnsiTheme="majorBidi" w:cstheme="majorBidi"/>
          <w:sz w:val="24"/>
          <w:szCs w:val="24"/>
        </w:rPr>
        <w:t>distinction</w:t>
      </w:r>
      <w:r w:rsidR="007C52E8" w:rsidRPr="000B300B">
        <w:rPr>
          <w:rFonts w:asciiTheme="majorBidi" w:hAnsiTheme="majorBidi" w:cstheme="majorBidi"/>
          <w:sz w:val="24"/>
          <w:szCs w:val="24"/>
        </w:rPr>
        <w:t xml:space="preserve"> made</w:t>
      </w:r>
      <w:r w:rsidR="00A92819" w:rsidRPr="000B300B">
        <w:rPr>
          <w:rFonts w:asciiTheme="majorBidi" w:hAnsiTheme="majorBidi" w:cstheme="majorBidi"/>
          <w:sz w:val="24"/>
          <w:szCs w:val="24"/>
        </w:rPr>
        <w:t xml:space="preserve"> regarding </w:t>
      </w:r>
      <w:r w:rsidRPr="000B300B">
        <w:rPr>
          <w:rFonts w:asciiTheme="majorBidi" w:hAnsiTheme="majorBidi" w:cstheme="majorBidi"/>
          <w:sz w:val="24"/>
          <w:szCs w:val="24"/>
        </w:rPr>
        <w:t>the obligation</w:t>
      </w:r>
      <w:r w:rsidR="006A4577" w:rsidRPr="000B300B">
        <w:rPr>
          <w:rFonts w:asciiTheme="majorBidi" w:hAnsiTheme="majorBidi" w:cstheme="majorBidi"/>
          <w:sz w:val="24"/>
          <w:szCs w:val="24"/>
        </w:rPr>
        <w:t xml:space="preserve"> to </w:t>
      </w:r>
      <w:r w:rsidR="002E0E2F" w:rsidRPr="000B300B">
        <w:rPr>
          <w:rFonts w:asciiTheme="majorBidi" w:hAnsiTheme="majorBidi" w:cstheme="majorBidi"/>
          <w:sz w:val="24"/>
          <w:szCs w:val="24"/>
        </w:rPr>
        <w:t>provide sustenance</w:t>
      </w:r>
      <w:r w:rsidRPr="000B300B">
        <w:rPr>
          <w:rFonts w:asciiTheme="majorBidi" w:hAnsiTheme="majorBidi" w:cstheme="majorBidi"/>
          <w:sz w:val="24"/>
          <w:szCs w:val="24"/>
        </w:rPr>
        <w:t xml:space="preserve">, </w:t>
      </w:r>
      <w:r w:rsidR="006A4577" w:rsidRPr="000B300B">
        <w:rPr>
          <w:rFonts w:asciiTheme="majorBidi" w:hAnsiTheme="majorBidi" w:cstheme="majorBidi"/>
          <w:sz w:val="24"/>
          <w:szCs w:val="24"/>
        </w:rPr>
        <w:t>which</w:t>
      </w:r>
      <w:r w:rsidRPr="000B300B">
        <w:rPr>
          <w:rFonts w:asciiTheme="majorBidi" w:hAnsiTheme="majorBidi" w:cstheme="majorBidi"/>
          <w:sz w:val="24"/>
          <w:szCs w:val="24"/>
        </w:rPr>
        <w:t xml:space="preserve"> strengthens our claim that cohabitation of betrothed couples existed </w:t>
      </w:r>
      <w:r w:rsidR="007C52E8" w:rsidRPr="000B300B">
        <w:rPr>
          <w:rFonts w:asciiTheme="majorBidi" w:hAnsiTheme="majorBidi" w:cstheme="majorBidi"/>
          <w:sz w:val="24"/>
          <w:szCs w:val="24"/>
        </w:rPr>
        <w:t xml:space="preserve">also </w:t>
      </w:r>
      <w:r w:rsidR="006A4577" w:rsidRPr="000B300B">
        <w:rPr>
          <w:rFonts w:asciiTheme="majorBidi" w:hAnsiTheme="majorBidi" w:cstheme="majorBidi"/>
          <w:sz w:val="24"/>
          <w:szCs w:val="24"/>
        </w:rPr>
        <w:t>outside</w:t>
      </w:r>
      <w:r w:rsidRPr="000B300B">
        <w:rPr>
          <w:rFonts w:asciiTheme="majorBidi" w:hAnsiTheme="majorBidi" w:cstheme="majorBidi"/>
          <w:sz w:val="24"/>
          <w:szCs w:val="24"/>
        </w:rPr>
        <w:t xml:space="preserve"> </w:t>
      </w:r>
      <w:r w:rsidR="006A4577" w:rsidRPr="000B300B">
        <w:rPr>
          <w:rFonts w:asciiTheme="majorBidi" w:hAnsiTheme="majorBidi" w:cstheme="majorBidi"/>
          <w:sz w:val="24"/>
          <w:szCs w:val="24"/>
        </w:rPr>
        <w:t>Jude</w:t>
      </w:r>
      <w:r w:rsidR="007C52E8" w:rsidRPr="000B300B">
        <w:rPr>
          <w:rFonts w:asciiTheme="majorBidi" w:hAnsiTheme="majorBidi" w:cstheme="majorBidi"/>
          <w:sz w:val="24"/>
          <w:szCs w:val="24"/>
        </w:rPr>
        <w:t>a</w:t>
      </w:r>
      <w:r w:rsidR="006A4577"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It is also clear from the discussion in </w:t>
      </w:r>
      <w:r w:rsidR="006A4577" w:rsidRPr="000B300B">
        <w:rPr>
          <w:rFonts w:asciiTheme="majorBidi" w:hAnsiTheme="majorBidi" w:cstheme="majorBidi"/>
          <w:sz w:val="24"/>
          <w:szCs w:val="24"/>
        </w:rPr>
        <w:t xml:space="preserve">Jerusalem Talmud </w:t>
      </w:r>
      <w:r w:rsidRPr="000B300B">
        <w:rPr>
          <w:rFonts w:asciiTheme="majorBidi" w:hAnsiTheme="majorBidi" w:cstheme="majorBidi"/>
          <w:sz w:val="24"/>
          <w:szCs w:val="24"/>
        </w:rPr>
        <w:t xml:space="preserve">that </w:t>
      </w:r>
      <w:r w:rsidR="00600B20" w:rsidRPr="000B300B">
        <w:rPr>
          <w:rFonts w:asciiTheme="majorBidi" w:hAnsiTheme="majorBidi" w:cstheme="majorBidi"/>
          <w:sz w:val="24"/>
          <w:szCs w:val="24"/>
        </w:rPr>
        <w:t>the early halakha regarded</w:t>
      </w:r>
      <w:r w:rsidRPr="000B300B">
        <w:rPr>
          <w:rFonts w:asciiTheme="majorBidi" w:hAnsiTheme="majorBidi" w:cstheme="majorBidi"/>
          <w:sz w:val="24"/>
          <w:szCs w:val="24"/>
        </w:rPr>
        <w:t xml:space="preserve"> </w:t>
      </w:r>
      <w:r w:rsidR="006A4577" w:rsidRPr="000B300B">
        <w:rPr>
          <w:rFonts w:asciiTheme="majorBidi" w:hAnsiTheme="majorBidi" w:cstheme="majorBidi"/>
          <w:sz w:val="24"/>
          <w:szCs w:val="24"/>
        </w:rPr>
        <w:t>betrothal</w:t>
      </w:r>
      <w:r w:rsidRPr="000B300B">
        <w:rPr>
          <w:rFonts w:asciiTheme="majorBidi" w:hAnsiTheme="majorBidi" w:cstheme="majorBidi"/>
          <w:sz w:val="24"/>
          <w:szCs w:val="24"/>
        </w:rPr>
        <w:t xml:space="preserve"> </w:t>
      </w:r>
      <w:r w:rsidR="00600B20" w:rsidRPr="000B300B">
        <w:rPr>
          <w:rFonts w:asciiTheme="majorBidi" w:hAnsiTheme="majorBidi" w:cstheme="majorBidi"/>
          <w:sz w:val="24"/>
          <w:szCs w:val="24"/>
        </w:rPr>
        <w:t>to be</w:t>
      </w:r>
      <w:r w:rsidRPr="000B300B">
        <w:rPr>
          <w:rFonts w:asciiTheme="majorBidi" w:hAnsiTheme="majorBidi" w:cstheme="majorBidi"/>
          <w:sz w:val="24"/>
          <w:szCs w:val="24"/>
        </w:rPr>
        <w:t xml:space="preserve"> the same as </w:t>
      </w:r>
      <w:r w:rsidR="00600B20" w:rsidRPr="000B300B">
        <w:rPr>
          <w:rFonts w:asciiTheme="majorBidi" w:hAnsiTheme="majorBidi" w:cstheme="majorBidi"/>
          <w:i/>
          <w:iCs/>
          <w:sz w:val="24"/>
          <w:szCs w:val="24"/>
        </w:rPr>
        <w:t>nisu’in</w:t>
      </w:r>
      <w:r w:rsidRPr="000B300B">
        <w:rPr>
          <w:rFonts w:asciiTheme="majorBidi" w:hAnsiTheme="majorBidi" w:cstheme="majorBidi"/>
          <w:sz w:val="24"/>
          <w:szCs w:val="24"/>
        </w:rPr>
        <w:t xml:space="preserve"> for all intents and purposes. </w:t>
      </w:r>
      <w:r w:rsidR="00473A8E" w:rsidRPr="000B300B">
        <w:rPr>
          <w:rFonts w:asciiTheme="majorBidi" w:hAnsiTheme="majorBidi" w:cstheme="majorBidi"/>
          <w:sz w:val="24"/>
          <w:szCs w:val="24"/>
        </w:rPr>
        <w:t>T</w:t>
      </w:r>
      <w:r w:rsidRPr="000B300B">
        <w:rPr>
          <w:rFonts w:asciiTheme="majorBidi" w:hAnsiTheme="majorBidi" w:cstheme="majorBidi"/>
          <w:sz w:val="24"/>
          <w:szCs w:val="24"/>
        </w:rPr>
        <w:t xml:space="preserve">he </w:t>
      </w:r>
      <w:bookmarkStart w:id="9" w:name="_Hlk95920026"/>
      <w:r w:rsidR="00BD78FB" w:rsidRPr="000B300B">
        <w:rPr>
          <w:rFonts w:asciiTheme="majorBidi" w:hAnsiTheme="majorBidi" w:cstheme="majorBidi"/>
          <w:sz w:val="24"/>
          <w:szCs w:val="24"/>
        </w:rPr>
        <w:t xml:space="preserve">decline in the status of betrothal in the context of both the right to </w:t>
      </w:r>
      <w:bookmarkEnd w:id="9"/>
      <w:r w:rsidR="002E0E2F" w:rsidRPr="000B300B">
        <w:rPr>
          <w:rFonts w:asciiTheme="majorBidi" w:hAnsiTheme="majorBidi" w:cstheme="majorBidi"/>
          <w:sz w:val="24"/>
          <w:szCs w:val="24"/>
        </w:rPr>
        <w:t>sustenance</w:t>
      </w:r>
      <w:r w:rsidRPr="000B300B">
        <w:rPr>
          <w:rFonts w:asciiTheme="majorBidi" w:hAnsiTheme="majorBidi" w:cstheme="majorBidi"/>
          <w:sz w:val="24"/>
          <w:szCs w:val="24"/>
        </w:rPr>
        <w:t xml:space="preserve"> and </w:t>
      </w:r>
      <w:r w:rsidR="006F2D1C" w:rsidRPr="000B300B">
        <w:rPr>
          <w:rFonts w:asciiTheme="majorBidi" w:hAnsiTheme="majorBidi" w:cstheme="majorBidi"/>
          <w:sz w:val="24"/>
          <w:szCs w:val="24"/>
        </w:rPr>
        <w:t>the legitimacy of</w:t>
      </w:r>
      <w:r w:rsidRPr="000B300B">
        <w:rPr>
          <w:rFonts w:asciiTheme="majorBidi" w:hAnsiTheme="majorBidi" w:cstheme="majorBidi"/>
          <w:sz w:val="24"/>
          <w:szCs w:val="24"/>
        </w:rPr>
        <w:t xml:space="preserve"> </w:t>
      </w:r>
      <w:r w:rsidR="006F2D1C" w:rsidRPr="000B300B">
        <w:rPr>
          <w:rFonts w:asciiTheme="majorBidi" w:hAnsiTheme="majorBidi" w:cstheme="majorBidi"/>
          <w:sz w:val="24"/>
          <w:szCs w:val="24"/>
        </w:rPr>
        <w:t>s</w:t>
      </w:r>
      <w:r w:rsidR="00A92819" w:rsidRPr="000B300B">
        <w:rPr>
          <w:rFonts w:asciiTheme="majorBidi" w:hAnsiTheme="majorBidi" w:cstheme="majorBidi"/>
          <w:sz w:val="24"/>
          <w:szCs w:val="24"/>
        </w:rPr>
        <w:t>exual r</w:t>
      </w:r>
      <w:r w:rsidRPr="000B300B">
        <w:rPr>
          <w:rFonts w:asciiTheme="majorBidi" w:hAnsiTheme="majorBidi" w:cstheme="majorBidi"/>
          <w:sz w:val="24"/>
          <w:szCs w:val="24"/>
        </w:rPr>
        <w:t>elations</w:t>
      </w:r>
      <w:r w:rsidR="006F2D1C" w:rsidRPr="000B300B">
        <w:rPr>
          <w:rFonts w:asciiTheme="majorBidi" w:hAnsiTheme="majorBidi" w:cstheme="majorBidi"/>
          <w:sz w:val="24"/>
          <w:szCs w:val="24"/>
        </w:rPr>
        <w:t xml:space="preserve"> prior to </w:t>
      </w:r>
      <w:r w:rsidR="006F2D1C" w:rsidRPr="000B300B">
        <w:rPr>
          <w:rFonts w:asciiTheme="majorBidi" w:hAnsiTheme="majorBidi" w:cstheme="majorBidi"/>
          <w:i/>
          <w:iCs/>
          <w:sz w:val="24"/>
          <w:szCs w:val="24"/>
        </w:rPr>
        <w:t>nisu’in</w:t>
      </w:r>
      <w:r w:rsidRPr="000B300B">
        <w:rPr>
          <w:rFonts w:asciiTheme="majorBidi" w:hAnsiTheme="majorBidi" w:cstheme="majorBidi"/>
          <w:sz w:val="24"/>
          <w:szCs w:val="24"/>
        </w:rPr>
        <w:t xml:space="preserve"> </w:t>
      </w:r>
      <w:r w:rsidR="006F2D1C" w:rsidRPr="000B300B">
        <w:rPr>
          <w:rFonts w:asciiTheme="majorBidi" w:hAnsiTheme="majorBidi" w:cstheme="majorBidi"/>
          <w:sz w:val="24"/>
          <w:szCs w:val="24"/>
        </w:rPr>
        <w:t>is</w:t>
      </w:r>
      <w:r w:rsidRPr="000B300B">
        <w:rPr>
          <w:rFonts w:asciiTheme="majorBidi" w:hAnsiTheme="majorBidi" w:cstheme="majorBidi"/>
          <w:sz w:val="24"/>
          <w:szCs w:val="24"/>
        </w:rPr>
        <w:t xml:space="preserve"> a late development.</w:t>
      </w:r>
    </w:p>
    <w:p w14:paraId="327A4652" w14:textId="0EDF3458" w:rsidR="00F12795" w:rsidRPr="000B300B" w:rsidRDefault="008B0004" w:rsidP="00D95B5D">
      <w:pPr>
        <w:spacing w:line="360" w:lineRule="auto"/>
        <w:jc w:val="both"/>
        <w:rPr>
          <w:rFonts w:asciiTheme="majorBidi" w:hAnsiTheme="majorBidi" w:cstheme="majorBidi"/>
          <w:sz w:val="24"/>
          <w:szCs w:val="24"/>
          <w:u w:val="single"/>
        </w:rPr>
      </w:pPr>
      <w:r w:rsidRPr="000B300B">
        <w:rPr>
          <w:rFonts w:asciiTheme="majorBidi" w:hAnsiTheme="majorBidi" w:cstheme="majorBidi"/>
          <w:sz w:val="24"/>
          <w:szCs w:val="24"/>
          <w:u w:val="single"/>
        </w:rPr>
        <w:t>The Late Dating of the</w:t>
      </w:r>
      <w:r w:rsidR="00F12795" w:rsidRPr="000B300B">
        <w:rPr>
          <w:rFonts w:asciiTheme="majorBidi" w:hAnsiTheme="majorBidi" w:cstheme="majorBidi"/>
          <w:sz w:val="24"/>
          <w:szCs w:val="24"/>
          <w:u w:val="single"/>
        </w:rPr>
        <w:t xml:space="preserve"> </w:t>
      </w:r>
      <w:r w:rsidR="00A92819" w:rsidRPr="000B300B">
        <w:rPr>
          <w:rFonts w:asciiTheme="majorBidi" w:hAnsiTheme="majorBidi" w:cstheme="majorBidi"/>
          <w:sz w:val="24"/>
          <w:szCs w:val="24"/>
          <w:u w:val="single"/>
        </w:rPr>
        <w:t>Betrothal Blessing</w:t>
      </w:r>
    </w:p>
    <w:p w14:paraId="65628870" w14:textId="23E7CC2B" w:rsidR="00F12795" w:rsidRPr="000B300B" w:rsidRDefault="00F12795" w:rsidP="00D95B5D">
      <w:pPr>
        <w:spacing w:line="360" w:lineRule="auto"/>
        <w:jc w:val="both"/>
        <w:rPr>
          <w:rFonts w:asciiTheme="majorBidi" w:hAnsiTheme="majorBidi" w:cstheme="majorBidi"/>
          <w:b/>
          <w:bCs/>
          <w:i/>
          <w:iCs/>
          <w:sz w:val="24"/>
          <w:szCs w:val="24"/>
        </w:rPr>
      </w:pPr>
      <w:r w:rsidRPr="000B300B">
        <w:rPr>
          <w:rFonts w:asciiTheme="majorBidi" w:hAnsiTheme="majorBidi" w:cstheme="majorBidi"/>
          <w:sz w:val="24"/>
          <w:szCs w:val="24"/>
        </w:rPr>
        <w:t xml:space="preserve">The reality of </w:t>
      </w:r>
      <w:r w:rsidR="00E82E59" w:rsidRPr="000B300B">
        <w:rPr>
          <w:rFonts w:asciiTheme="majorBidi" w:hAnsiTheme="majorBidi" w:cstheme="majorBidi"/>
          <w:sz w:val="24"/>
          <w:szCs w:val="24"/>
        </w:rPr>
        <w:t>intimacy</w:t>
      </w:r>
      <w:r w:rsidRPr="000B300B">
        <w:rPr>
          <w:rFonts w:asciiTheme="majorBidi" w:hAnsiTheme="majorBidi" w:cstheme="majorBidi"/>
          <w:sz w:val="24"/>
          <w:szCs w:val="24"/>
        </w:rPr>
        <w:t xml:space="preserve"> during the betrothal period </w:t>
      </w:r>
      <w:r w:rsidR="006F2D1C" w:rsidRPr="000B300B">
        <w:rPr>
          <w:rFonts w:asciiTheme="majorBidi" w:hAnsiTheme="majorBidi" w:cstheme="majorBidi"/>
          <w:sz w:val="24"/>
          <w:szCs w:val="24"/>
        </w:rPr>
        <w:t>undermines</w:t>
      </w:r>
      <w:r w:rsidR="00A92819"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the </w:t>
      </w:r>
      <w:r w:rsidR="00A92819" w:rsidRPr="000B300B">
        <w:rPr>
          <w:rFonts w:asciiTheme="majorBidi" w:hAnsiTheme="majorBidi" w:cstheme="majorBidi"/>
          <w:sz w:val="24"/>
          <w:szCs w:val="24"/>
        </w:rPr>
        <w:t>ritual confirmation of the bride</w:t>
      </w:r>
      <w:r w:rsidR="00C00E25" w:rsidRPr="000B300B">
        <w:rPr>
          <w:rFonts w:asciiTheme="majorBidi" w:hAnsiTheme="majorBidi" w:cstheme="majorBidi"/>
          <w:sz w:val="24"/>
          <w:szCs w:val="24"/>
        </w:rPr>
        <w:t>’</w:t>
      </w:r>
      <w:r w:rsidR="00A92819" w:rsidRPr="000B300B">
        <w:rPr>
          <w:rFonts w:asciiTheme="majorBidi" w:hAnsiTheme="majorBidi" w:cstheme="majorBidi"/>
          <w:sz w:val="24"/>
          <w:szCs w:val="24"/>
        </w:rPr>
        <w:t>s virginity t</w:t>
      </w:r>
      <w:r w:rsidRPr="000B300B">
        <w:rPr>
          <w:rFonts w:asciiTheme="majorBidi" w:hAnsiTheme="majorBidi" w:cstheme="majorBidi"/>
          <w:sz w:val="24"/>
          <w:szCs w:val="24"/>
        </w:rPr>
        <w:t>he day after the wedding night</w:t>
      </w:r>
      <w:r w:rsidRPr="000B300B">
        <w:rPr>
          <w:rFonts w:asciiTheme="majorBidi" w:hAnsiTheme="majorBidi" w:cstheme="majorBidi"/>
          <w:b/>
          <w:bCs/>
          <w:sz w:val="24"/>
          <w:szCs w:val="24"/>
        </w:rPr>
        <w:t>.</w:t>
      </w:r>
      <w:r w:rsidR="00077C76" w:rsidRPr="000B300B">
        <w:rPr>
          <w:rStyle w:val="FootnoteReference"/>
          <w:rFonts w:asciiTheme="majorBidi" w:hAnsiTheme="majorBidi" w:cstheme="majorBidi"/>
          <w:b/>
          <w:bCs/>
          <w:sz w:val="24"/>
          <w:szCs w:val="24"/>
        </w:rPr>
        <w:footnoteReference w:id="38"/>
      </w:r>
      <w:r w:rsidRPr="000B300B">
        <w:rPr>
          <w:rFonts w:asciiTheme="majorBidi" w:hAnsiTheme="majorBidi" w:cstheme="majorBidi"/>
          <w:sz w:val="24"/>
          <w:szCs w:val="24"/>
        </w:rPr>
        <w:t xml:space="preserve"> </w:t>
      </w:r>
      <w:r w:rsidR="00A92819" w:rsidRPr="000B300B">
        <w:rPr>
          <w:rFonts w:asciiTheme="majorBidi" w:hAnsiTheme="majorBidi" w:cstheme="majorBidi"/>
          <w:sz w:val="24"/>
          <w:szCs w:val="24"/>
        </w:rPr>
        <w:t xml:space="preserve">The ritual and </w:t>
      </w:r>
      <w:r w:rsidR="007021C2" w:rsidRPr="000B300B">
        <w:rPr>
          <w:rFonts w:asciiTheme="majorBidi" w:hAnsiTheme="majorBidi" w:cstheme="majorBidi"/>
          <w:sz w:val="24"/>
          <w:szCs w:val="24"/>
        </w:rPr>
        <w:t xml:space="preserve">the </w:t>
      </w:r>
      <w:r w:rsidR="00A92819" w:rsidRPr="000B300B">
        <w:rPr>
          <w:rFonts w:asciiTheme="majorBidi" w:hAnsiTheme="majorBidi" w:cstheme="majorBidi"/>
          <w:sz w:val="24"/>
          <w:szCs w:val="24"/>
        </w:rPr>
        <w:t>blessing</w:t>
      </w:r>
      <w:r w:rsidRPr="000B300B">
        <w:rPr>
          <w:rFonts w:asciiTheme="majorBidi" w:hAnsiTheme="majorBidi" w:cstheme="majorBidi"/>
          <w:sz w:val="24"/>
          <w:szCs w:val="24"/>
        </w:rPr>
        <w:t xml:space="preserve"> recited </w:t>
      </w:r>
      <w:r w:rsidR="007021C2" w:rsidRPr="000B300B">
        <w:rPr>
          <w:rFonts w:asciiTheme="majorBidi" w:hAnsiTheme="majorBidi" w:cstheme="majorBidi"/>
          <w:sz w:val="24"/>
          <w:szCs w:val="24"/>
        </w:rPr>
        <w:t>as part of it</w:t>
      </w:r>
      <w:r w:rsidR="00A92819" w:rsidRPr="000B300B">
        <w:rPr>
          <w:rFonts w:asciiTheme="majorBidi" w:hAnsiTheme="majorBidi" w:cstheme="majorBidi"/>
          <w:sz w:val="24"/>
          <w:szCs w:val="24"/>
        </w:rPr>
        <w:t xml:space="preserve"> </w:t>
      </w:r>
      <w:r w:rsidR="00A92819" w:rsidRPr="000B300B">
        <w:rPr>
          <w:rFonts w:asciiTheme="majorBidi" w:hAnsiTheme="majorBidi" w:cstheme="majorBidi"/>
          <w:sz w:val="24"/>
          <w:szCs w:val="24"/>
        </w:rPr>
        <w:lastRenderedPageBreak/>
        <w:t xml:space="preserve">are </w:t>
      </w:r>
      <w:r w:rsidRPr="000B300B">
        <w:rPr>
          <w:rFonts w:asciiTheme="majorBidi" w:hAnsiTheme="majorBidi" w:cstheme="majorBidi"/>
          <w:sz w:val="24"/>
          <w:szCs w:val="24"/>
        </w:rPr>
        <w:t xml:space="preserve">consistent with the late Galilean law forbidding cohabitation during the period of betrothal. </w:t>
      </w:r>
      <w:r w:rsidR="00A92819" w:rsidRPr="000B300B">
        <w:rPr>
          <w:rFonts w:asciiTheme="majorBidi" w:hAnsiTheme="majorBidi" w:cstheme="majorBidi"/>
          <w:sz w:val="24"/>
          <w:szCs w:val="24"/>
        </w:rPr>
        <w:t>O</w:t>
      </w:r>
      <w:r w:rsidRPr="000B300B">
        <w:rPr>
          <w:rFonts w:asciiTheme="majorBidi" w:hAnsiTheme="majorBidi" w:cstheme="majorBidi"/>
          <w:sz w:val="24"/>
          <w:szCs w:val="24"/>
        </w:rPr>
        <w:t xml:space="preserve">nly </w:t>
      </w:r>
      <w:r w:rsidR="00A92819" w:rsidRPr="000B300B">
        <w:rPr>
          <w:rFonts w:asciiTheme="majorBidi" w:hAnsiTheme="majorBidi" w:cstheme="majorBidi"/>
          <w:sz w:val="24"/>
          <w:szCs w:val="24"/>
        </w:rPr>
        <w:t>when</w:t>
      </w:r>
      <w:r w:rsidRPr="000B300B">
        <w:rPr>
          <w:rFonts w:asciiTheme="majorBidi" w:hAnsiTheme="majorBidi" w:cstheme="majorBidi"/>
          <w:sz w:val="24"/>
          <w:szCs w:val="24"/>
        </w:rPr>
        <w:t xml:space="preserve"> the</w:t>
      </w:r>
      <w:r w:rsidR="00B41D3C" w:rsidRPr="000B300B">
        <w:rPr>
          <w:rFonts w:asciiTheme="majorBidi" w:hAnsiTheme="majorBidi" w:cstheme="majorBidi"/>
          <w:sz w:val="24"/>
          <w:szCs w:val="24"/>
        </w:rPr>
        <w:t>re was a</w:t>
      </w:r>
      <w:r w:rsidRPr="000B300B">
        <w:rPr>
          <w:rFonts w:asciiTheme="majorBidi" w:hAnsiTheme="majorBidi" w:cstheme="majorBidi"/>
          <w:sz w:val="24"/>
          <w:szCs w:val="24"/>
        </w:rPr>
        <w:t xml:space="preserve"> prohibition against cohabitation, and </w:t>
      </w:r>
      <w:r w:rsidR="00B41D3C" w:rsidRPr="000B300B">
        <w:rPr>
          <w:rFonts w:asciiTheme="majorBidi" w:hAnsiTheme="majorBidi" w:cstheme="majorBidi"/>
          <w:sz w:val="24"/>
          <w:szCs w:val="24"/>
        </w:rPr>
        <w:t xml:space="preserve">a </w:t>
      </w:r>
      <w:r w:rsidRPr="000B300B">
        <w:rPr>
          <w:rFonts w:asciiTheme="majorBidi" w:hAnsiTheme="majorBidi" w:cstheme="majorBidi"/>
          <w:sz w:val="24"/>
          <w:szCs w:val="24"/>
        </w:rPr>
        <w:t>length</w:t>
      </w:r>
      <w:r w:rsidR="00B41D3C" w:rsidRPr="000B300B">
        <w:rPr>
          <w:rFonts w:asciiTheme="majorBidi" w:hAnsiTheme="majorBidi" w:cstheme="majorBidi"/>
          <w:sz w:val="24"/>
          <w:szCs w:val="24"/>
        </w:rPr>
        <w:t xml:space="preserve">y period of </w:t>
      </w:r>
      <w:r w:rsidRPr="000B300B">
        <w:rPr>
          <w:rFonts w:asciiTheme="majorBidi" w:hAnsiTheme="majorBidi" w:cstheme="majorBidi"/>
          <w:sz w:val="24"/>
          <w:szCs w:val="24"/>
        </w:rPr>
        <w:t>betrothal</w:t>
      </w:r>
      <w:r w:rsidR="00D92117" w:rsidRPr="000B300B">
        <w:rPr>
          <w:rFonts w:asciiTheme="majorBidi" w:hAnsiTheme="majorBidi" w:cstheme="majorBidi"/>
          <w:sz w:val="24"/>
          <w:szCs w:val="24"/>
        </w:rPr>
        <w:t xml:space="preserve"> be</w:t>
      </w:r>
      <w:r w:rsidR="00480C0A" w:rsidRPr="000B300B">
        <w:rPr>
          <w:rFonts w:asciiTheme="majorBidi" w:hAnsiTheme="majorBidi" w:cstheme="majorBidi"/>
          <w:sz w:val="24"/>
          <w:szCs w:val="24"/>
        </w:rPr>
        <w:t xml:space="preserve">tween the betrothal and the </w:t>
      </w:r>
      <w:r w:rsidR="00480C0A" w:rsidRPr="000B300B">
        <w:rPr>
          <w:rFonts w:asciiTheme="majorBidi" w:hAnsiTheme="majorBidi" w:cstheme="majorBidi"/>
          <w:i/>
          <w:iCs/>
          <w:sz w:val="24"/>
          <w:szCs w:val="24"/>
        </w:rPr>
        <w:t>nisu’in</w:t>
      </w:r>
      <w:r w:rsidR="00077C76" w:rsidRPr="000B300B">
        <w:rPr>
          <w:rStyle w:val="FootnoteReference"/>
          <w:rFonts w:asciiTheme="majorBidi" w:hAnsiTheme="majorBidi" w:cstheme="majorBidi"/>
          <w:sz w:val="24"/>
          <w:szCs w:val="24"/>
        </w:rPr>
        <w:footnoteReference w:id="39"/>
      </w:r>
      <w:r w:rsidRPr="000B300B">
        <w:rPr>
          <w:rFonts w:asciiTheme="majorBidi" w:hAnsiTheme="majorBidi" w:cstheme="majorBidi"/>
          <w:sz w:val="24"/>
          <w:szCs w:val="24"/>
        </w:rPr>
        <w:t xml:space="preserve"> </w:t>
      </w:r>
      <w:r w:rsidR="00B41D3C" w:rsidRPr="000B300B">
        <w:rPr>
          <w:rFonts w:asciiTheme="majorBidi" w:hAnsiTheme="majorBidi" w:cstheme="majorBidi"/>
          <w:sz w:val="24"/>
          <w:szCs w:val="24"/>
        </w:rPr>
        <w:t xml:space="preserve">was there concern that a bride might commit adultery. </w:t>
      </w:r>
      <w:r w:rsidRPr="000B300B">
        <w:rPr>
          <w:rFonts w:asciiTheme="majorBidi" w:hAnsiTheme="majorBidi" w:cstheme="majorBidi"/>
          <w:sz w:val="24"/>
          <w:szCs w:val="24"/>
        </w:rPr>
        <w:t xml:space="preserve">As we have seen, </w:t>
      </w:r>
      <w:r w:rsidR="00480C0A" w:rsidRPr="000B300B">
        <w:rPr>
          <w:rFonts w:asciiTheme="majorBidi" w:hAnsiTheme="majorBidi" w:cstheme="majorBidi"/>
          <w:sz w:val="24"/>
          <w:szCs w:val="24"/>
        </w:rPr>
        <w:t xml:space="preserve">while </w:t>
      </w:r>
      <w:r w:rsidRPr="000B300B">
        <w:rPr>
          <w:rFonts w:asciiTheme="majorBidi" w:hAnsiTheme="majorBidi" w:cstheme="majorBidi"/>
          <w:sz w:val="24"/>
          <w:szCs w:val="24"/>
        </w:rPr>
        <w:t xml:space="preserve">the Jerusalem Talmud </w:t>
      </w:r>
      <w:r w:rsidR="00480C0A" w:rsidRPr="000B300B">
        <w:rPr>
          <w:rFonts w:asciiTheme="majorBidi" w:hAnsiTheme="majorBidi" w:cstheme="majorBidi"/>
          <w:sz w:val="24"/>
          <w:szCs w:val="24"/>
        </w:rPr>
        <w:t>d</w:t>
      </w:r>
      <w:r w:rsidR="00C3224B" w:rsidRPr="000B300B">
        <w:rPr>
          <w:rFonts w:asciiTheme="majorBidi" w:hAnsiTheme="majorBidi" w:cstheme="majorBidi"/>
          <w:sz w:val="24"/>
          <w:szCs w:val="24"/>
        </w:rPr>
        <w:t>oes express an objection</w:t>
      </w:r>
      <w:r w:rsidRPr="000B300B">
        <w:rPr>
          <w:rFonts w:asciiTheme="majorBidi" w:hAnsiTheme="majorBidi" w:cstheme="majorBidi"/>
          <w:sz w:val="24"/>
          <w:szCs w:val="24"/>
        </w:rPr>
        <w:t xml:space="preserve"> to the cohabitation of </w:t>
      </w:r>
      <w:r w:rsidR="00E82E59" w:rsidRPr="000B300B">
        <w:rPr>
          <w:rFonts w:asciiTheme="majorBidi" w:hAnsiTheme="majorBidi" w:cstheme="majorBidi"/>
          <w:sz w:val="24"/>
          <w:szCs w:val="24"/>
        </w:rPr>
        <w:t>betrothed</w:t>
      </w:r>
      <w:r w:rsidRPr="000B300B">
        <w:rPr>
          <w:rFonts w:asciiTheme="majorBidi" w:hAnsiTheme="majorBidi" w:cstheme="majorBidi"/>
          <w:sz w:val="24"/>
          <w:szCs w:val="24"/>
        </w:rPr>
        <w:t xml:space="preserve"> couples</w:t>
      </w:r>
      <w:r w:rsidR="00C3224B"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it </w:t>
      </w:r>
      <w:r w:rsidR="00C3224B" w:rsidRPr="000B300B">
        <w:rPr>
          <w:rFonts w:asciiTheme="majorBidi" w:hAnsiTheme="majorBidi" w:cstheme="majorBidi"/>
          <w:sz w:val="24"/>
          <w:szCs w:val="24"/>
        </w:rPr>
        <w:t>also reveals an awareness</w:t>
      </w:r>
      <w:r w:rsidRPr="000B300B">
        <w:rPr>
          <w:rFonts w:asciiTheme="majorBidi" w:hAnsiTheme="majorBidi" w:cstheme="majorBidi"/>
          <w:sz w:val="24"/>
          <w:szCs w:val="24"/>
        </w:rPr>
        <w:t xml:space="preserve"> of the existence of the </w:t>
      </w:r>
      <w:r w:rsidR="00B41D3C" w:rsidRPr="000B300B">
        <w:rPr>
          <w:rFonts w:asciiTheme="majorBidi" w:hAnsiTheme="majorBidi" w:cstheme="majorBidi"/>
          <w:sz w:val="24"/>
          <w:szCs w:val="24"/>
        </w:rPr>
        <w:t>practice</w:t>
      </w:r>
      <w:r w:rsidRPr="000B300B">
        <w:rPr>
          <w:rFonts w:asciiTheme="majorBidi" w:hAnsiTheme="majorBidi" w:cstheme="majorBidi"/>
          <w:sz w:val="24"/>
          <w:szCs w:val="24"/>
        </w:rPr>
        <w:t xml:space="preserve"> even among the rabbinical elite. </w:t>
      </w:r>
      <w:r w:rsidR="00C3224B" w:rsidRPr="000B300B">
        <w:rPr>
          <w:rFonts w:asciiTheme="majorBidi" w:hAnsiTheme="majorBidi" w:cstheme="majorBidi"/>
          <w:sz w:val="24"/>
          <w:szCs w:val="24"/>
        </w:rPr>
        <w:t>T</w:t>
      </w:r>
      <w:r w:rsidRPr="000B300B">
        <w:rPr>
          <w:rFonts w:asciiTheme="majorBidi" w:hAnsiTheme="majorBidi" w:cstheme="majorBidi"/>
          <w:sz w:val="24"/>
          <w:szCs w:val="24"/>
        </w:rPr>
        <w:t>he Babylonian Talmud</w:t>
      </w:r>
      <w:r w:rsidR="00C3224B" w:rsidRPr="000B300B">
        <w:rPr>
          <w:rFonts w:asciiTheme="majorBidi" w:hAnsiTheme="majorBidi" w:cstheme="majorBidi"/>
          <w:sz w:val="24"/>
          <w:szCs w:val="24"/>
        </w:rPr>
        <w:t>, in contrast,</w:t>
      </w:r>
      <w:r w:rsidRPr="000B300B">
        <w:rPr>
          <w:rFonts w:asciiTheme="majorBidi" w:hAnsiTheme="majorBidi" w:cstheme="majorBidi"/>
          <w:sz w:val="24"/>
          <w:szCs w:val="24"/>
        </w:rPr>
        <w:t xml:space="preserve"> </w:t>
      </w:r>
      <w:r w:rsidR="00C3224B" w:rsidRPr="000B300B">
        <w:rPr>
          <w:rFonts w:asciiTheme="majorBidi" w:hAnsiTheme="majorBidi" w:cstheme="majorBidi"/>
          <w:sz w:val="24"/>
          <w:szCs w:val="24"/>
        </w:rPr>
        <w:t>does not express</w:t>
      </w:r>
      <w:r w:rsidRPr="000B300B">
        <w:rPr>
          <w:rFonts w:asciiTheme="majorBidi" w:hAnsiTheme="majorBidi" w:cstheme="majorBidi"/>
          <w:sz w:val="24"/>
          <w:szCs w:val="24"/>
        </w:rPr>
        <w:t xml:space="preserve"> </w:t>
      </w:r>
      <w:r w:rsidR="00C3224B" w:rsidRPr="000B300B">
        <w:rPr>
          <w:rFonts w:asciiTheme="majorBidi" w:hAnsiTheme="majorBidi" w:cstheme="majorBidi"/>
          <w:sz w:val="24"/>
          <w:szCs w:val="24"/>
        </w:rPr>
        <w:t>concern about</w:t>
      </w:r>
      <w:r w:rsidRPr="000B300B">
        <w:rPr>
          <w:rFonts w:asciiTheme="majorBidi" w:hAnsiTheme="majorBidi" w:cstheme="majorBidi"/>
          <w:sz w:val="24"/>
          <w:szCs w:val="24"/>
        </w:rPr>
        <w:t xml:space="preserve"> this possibility at all and did not attach strict legal significance to the absence of </w:t>
      </w:r>
      <w:r w:rsidR="00B41D3C" w:rsidRPr="000B300B">
        <w:rPr>
          <w:rFonts w:asciiTheme="majorBidi" w:hAnsiTheme="majorBidi" w:cstheme="majorBidi"/>
          <w:sz w:val="24"/>
          <w:szCs w:val="24"/>
        </w:rPr>
        <w:t xml:space="preserve">proof of </w:t>
      </w:r>
      <w:r w:rsidRPr="000B300B">
        <w:rPr>
          <w:rFonts w:asciiTheme="majorBidi" w:hAnsiTheme="majorBidi" w:cstheme="majorBidi"/>
          <w:sz w:val="24"/>
          <w:szCs w:val="24"/>
        </w:rPr>
        <w:t>virgin</w:t>
      </w:r>
      <w:r w:rsidR="00B41D3C" w:rsidRPr="000B300B">
        <w:rPr>
          <w:rFonts w:asciiTheme="majorBidi" w:hAnsiTheme="majorBidi" w:cstheme="majorBidi"/>
          <w:sz w:val="24"/>
          <w:szCs w:val="24"/>
        </w:rPr>
        <w:t>ity</w:t>
      </w:r>
      <w:r w:rsidRPr="000B300B">
        <w:rPr>
          <w:rFonts w:asciiTheme="majorBidi" w:hAnsiTheme="majorBidi" w:cstheme="majorBidi"/>
          <w:sz w:val="24"/>
          <w:szCs w:val="24"/>
        </w:rPr>
        <w:t xml:space="preserve">. </w:t>
      </w:r>
      <w:r w:rsidR="00C3224B" w:rsidRPr="000B300B">
        <w:rPr>
          <w:rFonts w:asciiTheme="majorBidi" w:hAnsiTheme="majorBidi" w:cstheme="majorBidi"/>
          <w:sz w:val="24"/>
          <w:szCs w:val="24"/>
        </w:rPr>
        <w:t>The l</w:t>
      </w:r>
      <w:r w:rsidRPr="000B300B">
        <w:rPr>
          <w:rFonts w:asciiTheme="majorBidi" w:hAnsiTheme="majorBidi" w:cstheme="majorBidi"/>
          <w:sz w:val="24"/>
          <w:szCs w:val="24"/>
        </w:rPr>
        <w:t xml:space="preserve">egitimacy </w:t>
      </w:r>
      <w:r w:rsidR="00C3224B" w:rsidRPr="000B300B">
        <w:rPr>
          <w:rFonts w:asciiTheme="majorBidi" w:hAnsiTheme="majorBidi" w:cstheme="majorBidi"/>
          <w:sz w:val="24"/>
          <w:szCs w:val="24"/>
        </w:rPr>
        <w:t>of the</w:t>
      </w:r>
      <w:r w:rsidRPr="000B300B">
        <w:rPr>
          <w:rFonts w:asciiTheme="majorBidi" w:hAnsiTheme="majorBidi" w:cstheme="majorBidi"/>
          <w:sz w:val="24"/>
          <w:szCs w:val="24"/>
        </w:rPr>
        <w:t xml:space="preserve"> </w:t>
      </w:r>
      <w:r w:rsidR="00B41D3C" w:rsidRPr="000B300B">
        <w:rPr>
          <w:rFonts w:asciiTheme="majorBidi" w:hAnsiTheme="majorBidi" w:cstheme="majorBidi"/>
          <w:sz w:val="24"/>
          <w:szCs w:val="24"/>
        </w:rPr>
        <w:t>cohabitation</w:t>
      </w:r>
      <w:r w:rsidRPr="000B300B">
        <w:rPr>
          <w:rFonts w:asciiTheme="majorBidi" w:hAnsiTheme="majorBidi" w:cstheme="majorBidi"/>
          <w:sz w:val="24"/>
          <w:szCs w:val="24"/>
        </w:rPr>
        <w:t xml:space="preserve"> of betrothed</w:t>
      </w:r>
      <w:r w:rsidR="00B41D3C" w:rsidRPr="000B300B">
        <w:rPr>
          <w:rFonts w:asciiTheme="majorBidi" w:hAnsiTheme="majorBidi" w:cstheme="majorBidi"/>
          <w:sz w:val="24"/>
          <w:szCs w:val="24"/>
        </w:rPr>
        <w:t xml:space="preserve"> couples</w:t>
      </w:r>
      <w:r w:rsidRPr="000B300B">
        <w:rPr>
          <w:rFonts w:asciiTheme="majorBidi" w:hAnsiTheme="majorBidi" w:cstheme="majorBidi"/>
          <w:sz w:val="24"/>
          <w:szCs w:val="24"/>
        </w:rPr>
        <w:t xml:space="preserve"> still exists in the </w:t>
      </w:r>
      <w:r w:rsidRPr="000B300B">
        <w:rPr>
          <w:rFonts w:asciiTheme="majorBidi" w:hAnsiTheme="majorBidi" w:cstheme="majorBidi"/>
          <w:i/>
          <w:iCs/>
          <w:sz w:val="24"/>
          <w:szCs w:val="24"/>
        </w:rPr>
        <w:t>Sefer Hama</w:t>
      </w:r>
      <w:r w:rsidR="00C00E25" w:rsidRPr="000B300B">
        <w:rPr>
          <w:rFonts w:asciiTheme="majorBidi" w:hAnsiTheme="majorBidi" w:cstheme="majorBidi"/>
          <w:i/>
          <w:iCs/>
          <w:sz w:val="24"/>
          <w:szCs w:val="24"/>
        </w:rPr>
        <w:t>’</w:t>
      </w:r>
      <w:r w:rsidRPr="000B300B">
        <w:rPr>
          <w:rFonts w:asciiTheme="majorBidi" w:hAnsiTheme="majorBidi" w:cstheme="majorBidi"/>
          <w:i/>
          <w:iCs/>
          <w:sz w:val="24"/>
          <w:szCs w:val="24"/>
        </w:rPr>
        <w:t>asim</w:t>
      </w:r>
      <w:r w:rsidRPr="000B300B">
        <w:rPr>
          <w:rFonts w:asciiTheme="majorBidi" w:hAnsiTheme="majorBidi" w:cstheme="majorBidi"/>
          <w:sz w:val="24"/>
          <w:szCs w:val="24"/>
        </w:rPr>
        <w:t xml:space="preserve"> </w:t>
      </w:r>
      <w:r w:rsidR="00B41D3C" w:rsidRPr="000B300B">
        <w:rPr>
          <w:rFonts w:asciiTheme="majorBidi" w:hAnsiTheme="majorBidi" w:cstheme="majorBidi"/>
          <w:sz w:val="24"/>
          <w:szCs w:val="24"/>
        </w:rPr>
        <w:t xml:space="preserve">which dates to </w:t>
      </w:r>
      <w:r w:rsidRPr="000B300B">
        <w:rPr>
          <w:rFonts w:asciiTheme="majorBidi" w:hAnsiTheme="majorBidi" w:cstheme="majorBidi"/>
          <w:sz w:val="24"/>
          <w:szCs w:val="24"/>
        </w:rPr>
        <w:t>the sixth and seventh centuries.</w:t>
      </w:r>
      <w:r w:rsidR="00077C76" w:rsidRPr="000B300B">
        <w:rPr>
          <w:rStyle w:val="FootnoteReference"/>
          <w:rFonts w:asciiTheme="majorBidi" w:hAnsiTheme="majorBidi" w:cstheme="majorBidi"/>
          <w:sz w:val="24"/>
          <w:szCs w:val="24"/>
        </w:rPr>
        <w:footnoteReference w:id="40"/>
      </w:r>
      <w:r w:rsidRPr="000B300B">
        <w:rPr>
          <w:rFonts w:asciiTheme="majorBidi" w:hAnsiTheme="majorBidi" w:cstheme="majorBidi"/>
          <w:sz w:val="24"/>
          <w:szCs w:val="24"/>
        </w:rPr>
        <w:t xml:space="preserve"> </w:t>
      </w:r>
      <w:r w:rsidR="00C3224B" w:rsidRPr="000B300B">
        <w:rPr>
          <w:rFonts w:asciiTheme="majorBidi" w:hAnsiTheme="majorBidi" w:cstheme="majorBidi"/>
          <w:sz w:val="24"/>
          <w:szCs w:val="24"/>
        </w:rPr>
        <w:t>One must therefore conclude</w:t>
      </w:r>
      <w:r w:rsidRPr="000B300B">
        <w:rPr>
          <w:rFonts w:asciiTheme="majorBidi" w:hAnsiTheme="majorBidi" w:cstheme="majorBidi"/>
          <w:sz w:val="24"/>
          <w:szCs w:val="24"/>
        </w:rPr>
        <w:t xml:space="preserve"> that the </w:t>
      </w:r>
      <w:r w:rsidR="00B41D3C" w:rsidRPr="000B300B">
        <w:rPr>
          <w:rFonts w:asciiTheme="majorBidi" w:hAnsiTheme="majorBidi" w:cstheme="majorBidi"/>
          <w:sz w:val="24"/>
          <w:szCs w:val="24"/>
        </w:rPr>
        <w:t xml:space="preserve">ceremonial confirmation of a </w:t>
      </w:r>
      <w:r w:rsidRPr="000B300B">
        <w:rPr>
          <w:rFonts w:asciiTheme="majorBidi" w:hAnsiTheme="majorBidi" w:cstheme="majorBidi"/>
          <w:sz w:val="24"/>
          <w:szCs w:val="24"/>
        </w:rPr>
        <w:t>bride</w:t>
      </w:r>
      <w:r w:rsidR="00C00E25" w:rsidRPr="000B300B">
        <w:rPr>
          <w:rFonts w:asciiTheme="majorBidi" w:hAnsiTheme="majorBidi" w:cstheme="majorBidi"/>
          <w:sz w:val="24"/>
          <w:szCs w:val="24"/>
        </w:rPr>
        <w:t>’</w:t>
      </w:r>
      <w:r w:rsidRPr="000B300B">
        <w:rPr>
          <w:rFonts w:asciiTheme="majorBidi" w:hAnsiTheme="majorBidi" w:cstheme="majorBidi"/>
          <w:sz w:val="24"/>
          <w:szCs w:val="24"/>
        </w:rPr>
        <w:t xml:space="preserve">s virginity developed at a later </w:t>
      </w:r>
      <w:r w:rsidR="00B41D3C" w:rsidRPr="000B300B">
        <w:rPr>
          <w:rFonts w:asciiTheme="majorBidi" w:hAnsiTheme="majorBidi" w:cstheme="majorBidi"/>
          <w:sz w:val="24"/>
          <w:szCs w:val="24"/>
        </w:rPr>
        <w:t>time and</w:t>
      </w:r>
      <w:r w:rsidRPr="000B300B">
        <w:rPr>
          <w:rFonts w:asciiTheme="majorBidi" w:hAnsiTheme="majorBidi" w:cstheme="majorBidi"/>
          <w:sz w:val="24"/>
          <w:szCs w:val="24"/>
        </w:rPr>
        <w:t xml:space="preserve"> could not have made </w:t>
      </w:r>
      <w:r w:rsidR="00B41D3C" w:rsidRPr="000B300B">
        <w:rPr>
          <w:rFonts w:asciiTheme="majorBidi" w:hAnsiTheme="majorBidi" w:cstheme="majorBidi"/>
          <w:sz w:val="24"/>
          <w:szCs w:val="24"/>
        </w:rPr>
        <w:t>its</w:t>
      </w:r>
      <w:r w:rsidRPr="000B300B">
        <w:rPr>
          <w:rFonts w:asciiTheme="majorBidi" w:hAnsiTheme="majorBidi" w:cstheme="majorBidi"/>
          <w:sz w:val="24"/>
          <w:szCs w:val="24"/>
        </w:rPr>
        <w:t xml:space="preserve"> mark in Talmudic literature. This </w:t>
      </w:r>
      <w:r w:rsidR="00B41D3C" w:rsidRPr="000B300B">
        <w:rPr>
          <w:rFonts w:asciiTheme="majorBidi" w:hAnsiTheme="majorBidi" w:cstheme="majorBidi"/>
          <w:sz w:val="24"/>
          <w:szCs w:val="24"/>
        </w:rPr>
        <w:t>ritual</w:t>
      </w:r>
      <w:r w:rsidRPr="000B300B">
        <w:rPr>
          <w:rFonts w:asciiTheme="majorBidi" w:hAnsiTheme="majorBidi" w:cstheme="majorBidi"/>
          <w:sz w:val="24"/>
          <w:szCs w:val="24"/>
        </w:rPr>
        <w:t xml:space="preserve"> </w:t>
      </w:r>
      <w:r w:rsidR="00C3224B" w:rsidRPr="000B300B">
        <w:rPr>
          <w:rFonts w:asciiTheme="majorBidi" w:hAnsiTheme="majorBidi" w:cstheme="majorBidi"/>
          <w:sz w:val="24"/>
          <w:szCs w:val="24"/>
        </w:rPr>
        <w:t>matches the</w:t>
      </w:r>
      <w:r w:rsidR="00B25ACC" w:rsidRPr="000B300B">
        <w:rPr>
          <w:rFonts w:asciiTheme="majorBidi" w:hAnsiTheme="majorBidi" w:cstheme="majorBidi"/>
          <w:sz w:val="24"/>
          <w:szCs w:val="24"/>
        </w:rPr>
        <w:t xml:space="preserve"> </w:t>
      </w:r>
      <w:r w:rsidRPr="000B300B">
        <w:rPr>
          <w:rFonts w:asciiTheme="majorBidi" w:hAnsiTheme="majorBidi" w:cstheme="majorBidi"/>
          <w:sz w:val="24"/>
          <w:szCs w:val="24"/>
        </w:rPr>
        <w:t xml:space="preserve">late Galilean </w:t>
      </w:r>
      <w:r w:rsidRPr="000B300B">
        <w:rPr>
          <w:rFonts w:asciiTheme="majorBidi" w:hAnsiTheme="majorBidi" w:cstheme="majorBidi"/>
          <w:i/>
          <w:iCs/>
          <w:sz w:val="24"/>
          <w:szCs w:val="24"/>
        </w:rPr>
        <w:t>halakhah</w:t>
      </w:r>
      <w:r w:rsidRPr="000B300B">
        <w:rPr>
          <w:rFonts w:asciiTheme="majorBidi" w:hAnsiTheme="majorBidi" w:cstheme="majorBidi"/>
          <w:sz w:val="24"/>
          <w:szCs w:val="24"/>
        </w:rPr>
        <w:t xml:space="preserve"> </w:t>
      </w:r>
      <w:r w:rsidR="00B25ACC" w:rsidRPr="000B300B">
        <w:rPr>
          <w:rFonts w:asciiTheme="majorBidi" w:hAnsiTheme="majorBidi" w:cstheme="majorBidi"/>
          <w:sz w:val="24"/>
          <w:szCs w:val="24"/>
        </w:rPr>
        <w:t>which</w:t>
      </w:r>
      <w:r w:rsidRPr="000B300B">
        <w:rPr>
          <w:rFonts w:asciiTheme="majorBidi" w:hAnsiTheme="majorBidi" w:cstheme="majorBidi"/>
          <w:sz w:val="24"/>
          <w:szCs w:val="24"/>
        </w:rPr>
        <w:t xml:space="preserve"> became the binding </w:t>
      </w:r>
      <w:r w:rsidR="00B25ACC" w:rsidRPr="000B300B">
        <w:rPr>
          <w:rFonts w:asciiTheme="majorBidi" w:hAnsiTheme="majorBidi" w:cstheme="majorBidi"/>
          <w:sz w:val="24"/>
          <w:szCs w:val="24"/>
        </w:rPr>
        <w:t>norm and</w:t>
      </w:r>
      <w:r w:rsidRPr="000B300B">
        <w:rPr>
          <w:rFonts w:asciiTheme="majorBidi" w:hAnsiTheme="majorBidi" w:cstheme="majorBidi"/>
          <w:sz w:val="24"/>
          <w:szCs w:val="24"/>
        </w:rPr>
        <w:t xml:space="preserve"> </w:t>
      </w:r>
      <w:r w:rsidR="00C3224B" w:rsidRPr="000B300B">
        <w:rPr>
          <w:rFonts w:asciiTheme="majorBidi" w:hAnsiTheme="majorBidi" w:cstheme="majorBidi"/>
          <w:sz w:val="24"/>
          <w:szCs w:val="24"/>
        </w:rPr>
        <w:t xml:space="preserve">the ritual should </w:t>
      </w:r>
      <w:r w:rsidR="00B25ACC" w:rsidRPr="000B300B">
        <w:rPr>
          <w:rFonts w:asciiTheme="majorBidi" w:hAnsiTheme="majorBidi" w:cstheme="majorBidi"/>
          <w:sz w:val="24"/>
          <w:szCs w:val="24"/>
        </w:rPr>
        <w:t xml:space="preserve">not </w:t>
      </w:r>
      <w:r w:rsidR="00323F08" w:rsidRPr="000B300B">
        <w:rPr>
          <w:rFonts w:asciiTheme="majorBidi" w:hAnsiTheme="majorBidi" w:cstheme="majorBidi"/>
          <w:sz w:val="24"/>
          <w:szCs w:val="24"/>
        </w:rPr>
        <w:t xml:space="preserve">be </w:t>
      </w:r>
      <w:r w:rsidR="001E0F60" w:rsidRPr="000B300B">
        <w:rPr>
          <w:rFonts w:asciiTheme="majorBidi" w:hAnsiTheme="majorBidi" w:cstheme="majorBidi"/>
          <w:sz w:val="24"/>
          <w:szCs w:val="24"/>
        </w:rPr>
        <w:t xml:space="preserve">understood as a ritual belonging to </w:t>
      </w:r>
      <w:r w:rsidRPr="000B300B">
        <w:rPr>
          <w:rFonts w:asciiTheme="majorBidi" w:hAnsiTheme="majorBidi" w:cstheme="majorBidi"/>
          <w:sz w:val="24"/>
          <w:szCs w:val="24"/>
        </w:rPr>
        <w:t xml:space="preserve">an esoteric </w:t>
      </w:r>
      <w:r w:rsidR="00B41D3C" w:rsidRPr="000B300B">
        <w:rPr>
          <w:rFonts w:asciiTheme="majorBidi" w:hAnsiTheme="majorBidi" w:cstheme="majorBidi"/>
          <w:sz w:val="24"/>
          <w:szCs w:val="24"/>
        </w:rPr>
        <w:t>offshoot</w:t>
      </w:r>
      <w:r w:rsidRPr="000B300B">
        <w:rPr>
          <w:rFonts w:asciiTheme="majorBidi" w:hAnsiTheme="majorBidi" w:cstheme="majorBidi"/>
          <w:sz w:val="24"/>
          <w:szCs w:val="24"/>
        </w:rPr>
        <w:t xml:space="preserve">. </w:t>
      </w:r>
      <w:r w:rsidR="00381D76" w:rsidRPr="000B300B">
        <w:rPr>
          <w:rFonts w:asciiTheme="majorBidi" w:hAnsiTheme="majorBidi" w:cstheme="majorBidi"/>
          <w:sz w:val="24"/>
          <w:szCs w:val="24"/>
        </w:rPr>
        <w:t xml:space="preserve">It is in this context that we should understand the widespread dissemination of the </w:t>
      </w:r>
      <w:r w:rsidR="00B41D3C" w:rsidRPr="000B300B">
        <w:rPr>
          <w:rFonts w:asciiTheme="majorBidi" w:hAnsiTheme="majorBidi" w:cstheme="majorBidi"/>
          <w:sz w:val="24"/>
          <w:szCs w:val="24"/>
        </w:rPr>
        <w:t>confirmation of virginity</w:t>
      </w:r>
      <w:r w:rsidR="00381D76" w:rsidRPr="000B300B">
        <w:rPr>
          <w:rFonts w:asciiTheme="majorBidi" w:hAnsiTheme="majorBidi" w:cstheme="majorBidi"/>
          <w:sz w:val="24"/>
          <w:szCs w:val="24"/>
        </w:rPr>
        <w:t xml:space="preserve"> ceremony in </w:t>
      </w:r>
      <w:r w:rsidR="00B25ACC" w:rsidRPr="000B300B">
        <w:rPr>
          <w:rFonts w:asciiTheme="majorBidi" w:hAnsiTheme="majorBidi" w:cstheme="majorBidi"/>
          <w:sz w:val="24"/>
          <w:szCs w:val="24"/>
        </w:rPr>
        <w:t xml:space="preserve">the medieval period. </w:t>
      </w:r>
      <w:r w:rsidRPr="000B300B">
        <w:rPr>
          <w:rFonts w:asciiTheme="majorBidi" w:hAnsiTheme="majorBidi" w:cstheme="majorBidi"/>
          <w:sz w:val="24"/>
          <w:szCs w:val="24"/>
        </w:rPr>
        <w:t xml:space="preserve">It also seems related to urbanization trends that reduced the family to a smaller, nuclear unit, </w:t>
      </w:r>
      <w:r w:rsidR="00B25ACC" w:rsidRPr="000B300B">
        <w:rPr>
          <w:rFonts w:asciiTheme="majorBidi" w:hAnsiTheme="majorBidi" w:cstheme="majorBidi"/>
          <w:sz w:val="24"/>
          <w:szCs w:val="24"/>
        </w:rPr>
        <w:t xml:space="preserve">and which called for stricter </w:t>
      </w:r>
      <w:r w:rsidR="00547C7F" w:rsidRPr="000B300B">
        <w:rPr>
          <w:rFonts w:asciiTheme="majorBidi" w:hAnsiTheme="majorBidi" w:cstheme="majorBidi"/>
          <w:sz w:val="24"/>
          <w:szCs w:val="24"/>
        </w:rPr>
        <w:t xml:space="preserve">supervision </w:t>
      </w:r>
      <w:r w:rsidRPr="000B300B">
        <w:rPr>
          <w:rFonts w:asciiTheme="majorBidi" w:hAnsiTheme="majorBidi" w:cstheme="majorBidi"/>
          <w:sz w:val="24"/>
          <w:szCs w:val="24"/>
        </w:rPr>
        <w:t xml:space="preserve">of the </w:t>
      </w:r>
      <w:r w:rsidR="00B25ACC" w:rsidRPr="000B300B">
        <w:rPr>
          <w:rFonts w:asciiTheme="majorBidi" w:hAnsiTheme="majorBidi" w:cstheme="majorBidi"/>
          <w:sz w:val="24"/>
          <w:szCs w:val="24"/>
        </w:rPr>
        <w:t>couple</w:t>
      </w:r>
      <w:r w:rsidR="00547C7F" w:rsidRPr="000B300B">
        <w:rPr>
          <w:rFonts w:asciiTheme="majorBidi" w:hAnsiTheme="majorBidi" w:cstheme="majorBidi"/>
          <w:sz w:val="24"/>
          <w:szCs w:val="24"/>
        </w:rPr>
        <w:t xml:space="preserve"> by outsiders</w:t>
      </w:r>
      <w:r w:rsidRPr="000B300B">
        <w:rPr>
          <w:rFonts w:asciiTheme="majorBidi" w:hAnsiTheme="majorBidi" w:cstheme="majorBidi"/>
          <w:sz w:val="24"/>
          <w:szCs w:val="24"/>
        </w:rPr>
        <w:t>.</w:t>
      </w:r>
      <w:r w:rsidR="00077C76" w:rsidRPr="000B300B">
        <w:rPr>
          <w:rStyle w:val="FootnoteReference"/>
          <w:rFonts w:asciiTheme="majorBidi" w:hAnsiTheme="majorBidi" w:cstheme="majorBidi"/>
          <w:sz w:val="24"/>
          <w:szCs w:val="24"/>
        </w:rPr>
        <w:footnoteReference w:id="41"/>
      </w:r>
    </w:p>
    <w:p w14:paraId="0A90E875" w14:textId="77777777" w:rsidR="00F12795" w:rsidRPr="000B300B" w:rsidRDefault="00F12795" w:rsidP="00D95B5D">
      <w:pPr>
        <w:spacing w:line="360" w:lineRule="auto"/>
        <w:jc w:val="both"/>
        <w:rPr>
          <w:rFonts w:asciiTheme="majorBidi" w:hAnsiTheme="majorBidi" w:cstheme="majorBidi"/>
          <w:sz w:val="24"/>
          <w:szCs w:val="24"/>
        </w:rPr>
      </w:pPr>
    </w:p>
    <w:sectPr w:rsidR="00F12795" w:rsidRPr="000B30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idney Slivko" w:date="2022-02-15T14:24:00Z" w:initials="SS">
    <w:p w14:paraId="392A2099" w14:textId="2C422C98" w:rsidR="00E546B1" w:rsidRDefault="00F12795" w:rsidP="00DA0522">
      <w:pPr>
        <w:pStyle w:val="CommentText"/>
        <w:bidi w:val="0"/>
      </w:pPr>
      <w:r>
        <w:rPr>
          <w:rStyle w:val="CommentReference"/>
        </w:rPr>
        <w:annotationRef/>
      </w:r>
      <w:r w:rsidR="00E546B1">
        <w:t xml:space="preserve">I made several edits on the English to tighten up the language. I DO HAVE ONE QUESTION AND A RECOMMENDATION: </w:t>
      </w:r>
    </w:p>
    <w:p w14:paraId="6FADA250" w14:textId="2C660F0E" w:rsidR="00E546B1" w:rsidRDefault="00E546B1" w:rsidP="00E546B1">
      <w:pPr>
        <w:pStyle w:val="CommentText"/>
        <w:numPr>
          <w:ilvl w:val="0"/>
          <w:numId w:val="1"/>
        </w:numPr>
        <w:bidi w:val="0"/>
      </w:pPr>
      <w:r>
        <w:t xml:space="preserve"> I added and ‘h’ to geniza</w:t>
      </w:r>
    </w:p>
    <w:p w14:paraId="135AEFD0" w14:textId="595394E4" w:rsidR="00E546B1" w:rsidRDefault="00E546B1" w:rsidP="00E546B1">
      <w:pPr>
        <w:pStyle w:val="CommentText"/>
        <w:numPr>
          <w:ilvl w:val="0"/>
          <w:numId w:val="1"/>
        </w:numPr>
        <w:bidi w:val="0"/>
      </w:pPr>
      <w:r>
        <w:t xml:space="preserve"> </w:t>
      </w:r>
      <w:r w:rsidR="00DA0522">
        <w:t xml:space="preserve">Not exactly sure what </w:t>
      </w:r>
      <w:r w:rsidR="001B1DE2">
        <w:t>is meant</w:t>
      </w:r>
      <w:r w:rsidR="00DA0522">
        <w:t xml:space="preserve"> by ‘merrily</w:t>
      </w:r>
      <w:r w:rsidR="00331504">
        <w:t>.’</w:t>
      </w:r>
      <w:r w:rsidR="00DA0522">
        <w:t xml:space="preserve"> I recommend dropping it entirely. </w:t>
      </w:r>
    </w:p>
    <w:p w14:paraId="3C61E91F" w14:textId="1AC78C27" w:rsidR="00DA0522" w:rsidRDefault="00E546B1" w:rsidP="00E546B1">
      <w:pPr>
        <w:pStyle w:val="CommentText"/>
        <w:numPr>
          <w:ilvl w:val="0"/>
          <w:numId w:val="1"/>
        </w:numPr>
        <w:bidi w:val="0"/>
      </w:pPr>
      <w:r>
        <w:t xml:space="preserve"> </w:t>
      </w:r>
      <w:r w:rsidR="00DA0522">
        <w:t xml:space="preserve">I also recommend </w:t>
      </w:r>
      <w:r w:rsidR="001B1DE2">
        <w:t xml:space="preserve">adding a footnote </w:t>
      </w:r>
      <w:r w:rsidR="00DA0522">
        <w:t>explaining the Biblical reference in Deuteronomy</w:t>
      </w:r>
      <w:r>
        <w:t>, which I assume is Deuteronomy 22:15</w:t>
      </w:r>
    </w:p>
  </w:comment>
  <w:comment w:id="3" w:author="שלם יהלום" w:date="2022-02-21T17:31:00Z" w:initials="שי">
    <w:p w14:paraId="069910C5" w14:textId="77777777" w:rsidR="006430C1" w:rsidRDefault="006430C1">
      <w:pPr>
        <w:pStyle w:val="CommentText"/>
        <w:rPr>
          <w:rtl/>
        </w:rPr>
      </w:pPr>
      <w:r>
        <w:rPr>
          <w:rStyle w:val="CommentReference"/>
        </w:rPr>
        <w:annotationRef/>
      </w:r>
      <w:r>
        <w:rPr>
          <w:rFonts w:hint="cs"/>
          <w:rtl/>
        </w:rPr>
        <w:t xml:space="preserve">תשאיר את </w:t>
      </w:r>
      <w:r>
        <w:t xml:space="preserve">merrily </w:t>
      </w:r>
      <w:r>
        <w:rPr>
          <w:rFonts w:hint="cs"/>
          <w:rtl/>
        </w:rPr>
        <w:t xml:space="preserve"> בעיקר</w:t>
      </w:r>
    </w:p>
    <w:p w14:paraId="127D9069" w14:textId="75C44E24" w:rsidR="006430C1" w:rsidRDefault="006430C1">
      <w:pPr>
        <w:pStyle w:val="CommentText"/>
        <w:rPr>
          <w:rtl/>
        </w:rPr>
      </w:pPr>
      <w:r>
        <w:rPr>
          <w:rFonts w:hint="cs"/>
          <w:rtl/>
        </w:rPr>
        <w:t>תוסיף בהערה 12 הפנייה לפרשה בדברים כב יג-כא</w:t>
      </w:r>
    </w:p>
  </w:comment>
  <w:comment w:id="4" w:author="." w:date="2022-02-23T16:21:00Z" w:initials=".">
    <w:p w14:paraId="72C9936C" w14:textId="13056192" w:rsidR="00EE75EA" w:rsidRPr="00C2224B" w:rsidRDefault="00EE75EA">
      <w:pPr>
        <w:pStyle w:val="CommentText"/>
        <w:rPr>
          <w:rFonts w:hint="cs"/>
          <w:rtl/>
        </w:rPr>
      </w:pPr>
      <w:r>
        <w:rPr>
          <w:rStyle w:val="CommentReference"/>
        </w:rPr>
        <w:annotationRef/>
      </w:r>
      <w:r>
        <w:rPr>
          <w:rFonts w:hint="cs"/>
          <w:rtl/>
        </w:rPr>
        <w:t xml:space="preserve">המשפט לא מובן ולא תקין עם </w:t>
      </w:r>
      <w:r>
        <w:t>merrily</w:t>
      </w:r>
      <w:r w:rsidR="00C2224B">
        <w:rPr>
          <w:rFonts w:hint="cs"/>
          <w:rtl/>
        </w:rPr>
        <w:t>. אולי יש כאן טעות?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61E91F" w15:done="0"/>
  <w15:commentEx w15:paraId="127D9069" w15:paraIdParent="3C61E91F" w15:done="0"/>
  <w15:commentEx w15:paraId="72C9936C" w15:paraIdParent="3C61E9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3625" w16cex:dateUtc="2022-02-15T12:24:00Z"/>
  <w16cex:commentExtensible w16cex:durableId="25BE4ADE" w16cex:dateUtc="2022-02-21T15:31:00Z"/>
  <w16cex:commentExtensible w16cex:durableId="25C0DD71" w16cex:dateUtc="2022-02-23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1E91F" w16cid:durableId="25B63625"/>
  <w16cid:commentId w16cid:paraId="127D9069" w16cid:durableId="25BE4ADE"/>
  <w16cid:commentId w16cid:paraId="72C9936C" w16cid:durableId="25C0D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7D1D" w14:textId="77777777" w:rsidR="007D1803" w:rsidRDefault="007D1803" w:rsidP="00F12795">
      <w:pPr>
        <w:spacing w:after="0" w:line="240" w:lineRule="auto"/>
      </w:pPr>
      <w:r>
        <w:separator/>
      </w:r>
    </w:p>
  </w:endnote>
  <w:endnote w:type="continuationSeparator" w:id="0">
    <w:p w14:paraId="771F2C69" w14:textId="77777777" w:rsidR="007D1803" w:rsidRDefault="007D1803" w:rsidP="00F1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1303" w14:textId="77777777" w:rsidR="007D1803" w:rsidRDefault="007D1803" w:rsidP="00F12795">
      <w:pPr>
        <w:spacing w:after="0" w:line="240" w:lineRule="auto"/>
      </w:pPr>
      <w:r>
        <w:separator/>
      </w:r>
    </w:p>
  </w:footnote>
  <w:footnote w:type="continuationSeparator" w:id="0">
    <w:p w14:paraId="1CECD179" w14:textId="77777777" w:rsidR="007D1803" w:rsidRDefault="007D1803" w:rsidP="00F12795">
      <w:pPr>
        <w:spacing w:after="0" w:line="240" w:lineRule="auto"/>
      </w:pPr>
      <w:r>
        <w:continuationSeparator/>
      </w:r>
    </w:p>
  </w:footnote>
  <w:footnote w:id="1">
    <w:p w14:paraId="354B0E64" w14:textId="07D034BA" w:rsidR="00C569A5" w:rsidRDefault="00C569A5" w:rsidP="002A2909">
      <w:pPr>
        <w:pStyle w:val="FootnoteText"/>
      </w:pPr>
      <w:r>
        <w:rPr>
          <w:rStyle w:val="FootnoteReference"/>
        </w:rPr>
        <w:footnoteRef/>
      </w:r>
      <w:r>
        <w:rPr>
          <w:rtl/>
        </w:rPr>
        <w:t xml:space="preserve"> </w:t>
      </w:r>
      <w:r w:rsidRPr="00331504">
        <w:rPr>
          <w:i/>
          <w:iCs/>
        </w:rPr>
        <w:t>Halakhot Gedolot</w:t>
      </w:r>
      <w:r w:rsidRPr="0027581C">
        <w:t>, ed. Ezriel Hildesheimer, Jerusalem: Mekize Nirdamim, 1980, vol. II, p. 226.</w:t>
      </w:r>
    </w:p>
  </w:footnote>
  <w:footnote w:id="2">
    <w:p w14:paraId="7481451D" w14:textId="733967FE" w:rsidR="00C569A5" w:rsidRPr="00E004CF" w:rsidRDefault="00C569A5" w:rsidP="00C569A5">
      <w:pPr>
        <w:pStyle w:val="NoSpacing"/>
        <w:bidi w:val="0"/>
        <w:rPr>
          <w:rFonts w:asciiTheme="minorBidi" w:hAnsiTheme="minorBidi"/>
        </w:rPr>
      </w:pPr>
      <w:r>
        <w:rPr>
          <w:rStyle w:val="FootnoteReference"/>
        </w:rPr>
        <w:footnoteRef/>
      </w:r>
      <w:r>
        <w:rPr>
          <w:rtl/>
        </w:rPr>
        <w:t xml:space="preserve"> </w:t>
      </w:r>
      <w:r w:rsidRPr="00C359B2">
        <w:rPr>
          <w:rFonts w:asciiTheme="minorBidi" w:hAnsiTheme="minorBidi" w:cstheme="minorBidi"/>
        </w:rPr>
        <w:t xml:space="preserve">Israel </w:t>
      </w:r>
      <w:r w:rsidRPr="00C359B2">
        <w:rPr>
          <w:rFonts w:asciiTheme="minorBidi" w:hAnsiTheme="minorBidi"/>
        </w:rPr>
        <w:t xml:space="preserve">M. Ta-Shma, </w:t>
      </w:r>
      <w:r w:rsidR="00323F08">
        <w:rPr>
          <w:rFonts w:asciiTheme="minorBidi" w:hAnsiTheme="minorBidi"/>
        </w:rPr>
        <w:t>‘</w:t>
      </w:r>
      <w:r w:rsidRPr="00C359B2">
        <w:rPr>
          <w:rFonts w:asciiTheme="minorBidi" w:hAnsiTheme="minorBidi"/>
        </w:rPr>
        <w:t>A Maimonides Responsum on the Virginity Blessing</w:t>
      </w:r>
      <w:r w:rsidR="00323F08">
        <w:rPr>
          <w:rFonts w:asciiTheme="minorBidi" w:hAnsiTheme="minorBidi"/>
        </w:rPr>
        <w:t>’</w:t>
      </w:r>
      <w:r>
        <w:rPr>
          <w:rFonts w:asciiTheme="minorBidi" w:hAnsiTheme="minorBidi"/>
        </w:rPr>
        <w:t>,</w:t>
      </w:r>
      <w:r w:rsidRPr="00C359B2">
        <w:rPr>
          <w:rFonts w:asciiTheme="minorBidi" w:hAnsiTheme="minorBidi"/>
        </w:rPr>
        <w:t xml:space="preserve"> </w:t>
      </w:r>
      <w:r w:rsidRPr="00C359B2">
        <w:rPr>
          <w:rFonts w:asciiTheme="minorBidi" w:hAnsiTheme="minorBidi"/>
          <w:i/>
          <w:iCs/>
        </w:rPr>
        <w:t>Maimonidean Studies</w:t>
      </w:r>
      <w:r w:rsidRPr="00C359B2">
        <w:rPr>
          <w:rFonts w:asciiTheme="minorBidi" w:hAnsiTheme="minorBidi"/>
        </w:rPr>
        <w:t xml:space="preserve"> 2 (1991), pp.</w:t>
      </w:r>
      <w:r>
        <w:rPr>
          <w:rFonts w:asciiTheme="minorBidi" w:hAnsiTheme="minorBidi" w:cstheme="minorBidi"/>
        </w:rPr>
        <w:t xml:space="preserve"> 9-12. </w:t>
      </w:r>
      <w:r w:rsidRPr="00E004CF">
        <w:rPr>
          <w:rFonts w:asciiTheme="minorBidi" w:hAnsiTheme="minorBidi"/>
        </w:rPr>
        <w:t xml:space="preserve">Nissan Rubin, </w:t>
      </w:r>
      <w:r w:rsidRPr="00E004CF">
        <w:rPr>
          <w:rFonts w:asciiTheme="minorBidi" w:hAnsiTheme="minorBidi"/>
          <w:i/>
          <w:iCs/>
        </w:rPr>
        <w:t>The Joy of Life: Rites of Bethro</w:t>
      </w:r>
      <w:r w:rsidR="005C2865">
        <w:rPr>
          <w:rFonts w:asciiTheme="minorBidi" w:hAnsiTheme="minorBidi"/>
          <w:i/>
          <w:iCs/>
        </w:rPr>
        <w:t>th</w:t>
      </w:r>
      <w:r w:rsidRPr="00E004CF">
        <w:rPr>
          <w:rFonts w:asciiTheme="minorBidi" w:hAnsiTheme="minorBidi"/>
          <w:i/>
          <w:iCs/>
        </w:rPr>
        <w:t>al and Marriage in the Talmud and Midrash</w:t>
      </w:r>
      <w:r w:rsidRPr="00E004CF">
        <w:rPr>
          <w:rFonts w:asciiTheme="minorBidi" w:hAnsiTheme="minorBidi"/>
        </w:rPr>
        <w:t>, Tel-Aviv: Hakibbu</w:t>
      </w:r>
      <w:r w:rsidR="00E26304">
        <w:rPr>
          <w:rFonts w:asciiTheme="minorBidi" w:hAnsiTheme="minorBidi"/>
        </w:rPr>
        <w:t>ts</w:t>
      </w:r>
      <w:r w:rsidRPr="00E004CF">
        <w:rPr>
          <w:rFonts w:asciiTheme="minorBidi" w:hAnsiTheme="minorBidi"/>
        </w:rPr>
        <w:t xml:space="preserve"> Hameuchad, 2004, p. 258 (Hebrew). Ruth Langer, </w:t>
      </w:r>
      <w:r w:rsidR="00323F08">
        <w:rPr>
          <w:rFonts w:asciiTheme="minorBidi" w:hAnsiTheme="minorBidi"/>
        </w:rPr>
        <w:t>‘</w:t>
      </w:r>
      <w:r w:rsidRPr="00E004CF">
        <w:rPr>
          <w:rFonts w:asciiTheme="minorBidi" w:hAnsiTheme="minorBidi"/>
        </w:rPr>
        <w:t>The Birkat Betulim: A Study of the Jewish Celebration of Bridal Virginity</w:t>
      </w:r>
      <w:r w:rsidR="00323F08">
        <w:rPr>
          <w:rFonts w:asciiTheme="minorBidi" w:hAnsiTheme="minorBidi"/>
        </w:rPr>
        <w:t>’</w:t>
      </w:r>
      <w:r w:rsidRPr="00E004CF">
        <w:rPr>
          <w:rFonts w:asciiTheme="minorBidi" w:hAnsiTheme="minorBidi"/>
        </w:rPr>
        <w:t xml:space="preserve">, </w:t>
      </w:r>
      <w:r w:rsidRPr="00E004CF">
        <w:rPr>
          <w:rFonts w:asciiTheme="minorBidi" w:hAnsiTheme="minorBidi"/>
          <w:i/>
          <w:iCs/>
        </w:rPr>
        <w:t>PAAJR</w:t>
      </w:r>
      <w:r w:rsidRPr="00E004CF">
        <w:rPr>
          <w:rFonts w:asciiTheme="minorBidi" w:hAnsiTheme="minorBidi"/>
        </w:rPr>
        <w:t xml:space="preserve"> 61 (1995), pp. 72-84. </w:t>
      </w:r>
    </w:p>
    <w:p w14:paraId="58F27C56" w14:textId="7D555518" w:rsidR="00FD617E" w:rsidRPr="00E004CF" w:rsidRDefault="00A47057" w:rsidP="00A47057">
      <w:pPr>
        <w:pStyle w:val="NoSpacing"/>
        <w:bidi w:val="0"/>
        <w:rPr>
          <w:rFonts w:asciiTheme="minorBidi" w:hAnsiTheme="minorBidi" w:cstheme="minorBidi"/>
          <w:rtl/>
        </w:rPr>
      </w:pPr>
      <w:r w:rsidRPr="00A47057">
        <w:rPr>
          <w:rFonts w:asciiTheme="minorBidi" w:hAnsiTheme="minorBidi"/>
        </w:rPr>
        <w:t xml:space="preserve">Langer and Ta-Shma argue that although the blessing was recited in Ashkenazi communities, no public ceremony took place. </w:t>
      </w:r>
      <w:r>
        <w:rPr>
          <w:rFonts w:asciiTheme="minorBidi" w:hAnsiTheme="minorBidi"/>
        </w:rPr>
        <w:t>T</w:t>
      </w:r>
      <w:r w:rsidRPr="00A47057">
        <w:rPr>
          <w:rFonts w:asciiTheme="minorBidi" w:hAnsiTheme="minorBidi"/>
        </w:rPr>
        <w:t xml:space="preserve">he following source from Worms points out </w:t>
      </w:r>
      <w:r>
        <w:rPr>
          <w:rFonts w:asciiTheme="minorBidi" w:hAnsiTheme="minorBidi"/>
        </w:rPr>
        <w:t>that during</w:t>
      </w:r>
      <w:r w:rsidRPr="00A47057">
        <w:rPr>
          <w:rFonts w:asciiTheme="minorBidi" w:hAnsiTheme="minorBidi"/>
        </w:rPr>
        <w:t xml:space="preserve"> the Middle Ages the stained sheet was presented to women, and then a public banquet was held</w:t>
      </w:r>
      <w:r w:rsidRPr="00A47057">
        <w:rPr>
          <w:rFonts w:asciiTheme="minorBidi" w:hAnsiTheme="minorBidi"/>
          <w:rtl/>
        </w:rPr>
        <w:t>.</w:t>
      </w:r>
    </w:p>
    <w:p w14:paraId="65194A4F" w14:textId="41B8D99F" w:rsidR="00C569A5" w:rsidRDefault="00C569A5" w:rsidP="00FD617E">
      <w:pPr>
        <w:pStyle w:val="NoSpacing"/>
        <w:bidi w:val="0"/>
        <w:rPr>
          <w:rFonts w:asciiTheme="minorBidi" w:hAnsiTheme="minorBidi" w:cstheme="minorBidi"/>
        </w:rPr>
      </w:pPr>
      <w:r w:rsidRPr="00E004CF">
        <w:rPr>
          <w:rFonts w:asciiTheme="minorBidi" w:hAnsiTheme="minorBidi" w:cstheme="minorBidi"/>
        </w:rPr>
        <w:t>The mother of the bride</w:t>
      </w:r>
      <w:r w:rsidR="00331504">
        <w:rPr>
          <w:rFonts w:asciiTheme="minorBidi" w:hAnsiTheme="minorBidi" w:cstheme="minorBidi"/>
        </w:rPr>
        <w:t xml:space="preserve"> – </w:t>
      </w:r>
      <w:r w:rsidRPr="00E004CF">
        <w:rPr>
          <w:rFonts w:asciiTheme="minorBidi" w:hAnsiTheme="minorBidi" w:cstheme="minorBidi"/>
        </w:rPr>
        <w:t>or, if she ha</w:t>
      </w:r>
      <w:r w:rsidR="00331504">
        <w:rPr>
          <w:rFonts w:asciiTheme="minorBidi" w:hAnsiTheme="minorBidi" w:cstheme="minorBidi"/>
        </w:rPr>
        <w:t>s</w:t>
      </w:r>
      <w:r w:rsidRPr="00E004CF">
        <w:rPr>
          <w:rFonts w:asciiTheme="minorBidi" w:hAnsiTheme="minorBidi" w:cstheme="minorBidi"/>
        </w:rPr>
        <w:t xml:space="preserve"> no mother, the matron of the house where she reside</w:t>
      </w:r>
      <w:r w:rsidR="00331504">
        <w:rPr>
          <w:rFonts w:asciiTheme="minorBidi" w:hAnsiTheme="minorBidi" w:cstheme="minorBidi"/>
        </w:rPr>
        <w:t xml:space="preserve">s – </w:t>
      </w:r>
      <w:r w:rsidRPr="00E004CF">
        <w:rPr>
          <w:rFonts w:asciiTheme="minorBidi" w:hAnsiTheme="minorBidi" w:cstheme="minorBidi"/>
        </w:rPr>
        <w:t>show</w:t>
      </w:r>
      <w:r w:rsidR="00331504">
        <w:rPr>
          <w:rFonts w:asciiTheme="minorBidi" w:hAnsiTheme="minorBidi" w:cstheme="minorBidi"/>
        </w:rPr>
        <w:t>s</w:t>
      </w:r>
      <w:r w:rsidRPr="00E004CF">
        <w:rPr>
          <w:rFonts w:asciiTheme="minorBidi" w:hAnsiTheme="minorBidi" w:cstheme="minorBidi"/>
        </w:rPr>
        <w:t xml:space="preserve"> (the sheet with the blood of) her virginity to the rabbi</w:t>
      </w:r>
      <w:r w:rsidR="00323F08">
        <w:rPr>
          <w:rFonts w:asciiTheme="minorBidi" w:hAnsiTheme="minorBidi" w:cstheme="minorBidi"/>
        </w:rPr>
        <w:t>’</w:t>
      </w:r>
      <w:r w:rsidRPr="00E004CF">
        <w:rPr>
          <w:rFonts w:asciiTheme="minorBidi" w:hAnsiTheme="minorBidi" w:cstheme="minorBidi"/>
        </w:rPr>
        <w:t>s wife or other pious women as proof that she was a virgin. And the night after the consummation of the marriage, the bridegroom purchases fish and hosts a feast to which he invites his kinsmen and the family of the bridegroom and whoever he wishes to, and this serves as proof that she was a virgin</w:t>
      </w:r>
      <w:r>
        <w:rPr>
          <w:rFonts w:asciiTheme="minorBidi" w:hAnsiTheme="minorBidi" w:cstheme="minorBidi"/>
        </w:rPr>
        <w:t xml:space="preserve"> </w:t>
      </w:r>
      <w:r w:rsidRPr="00E004CF">
        <w:rPr>
          <w:rFonts w:asciiTheme="minorBidi" w:hAnsiTheme="minorBidi" w:cstheme="minorBidi"/>
        </w:rPr>
        <w:t>(</w:t>
      </w:r>
      <w:r w:rsidRPr="000F4173">
        <w:rPr>
          <w:rFonts w:asciiTheme="minorBidi" w:hAnsiTheme="minorBidi" w:cstheme="minorBidi"/>
          <w:i/>
          <w:iCs/>
        </w:rPr>
        <w:t>Wormser Minhagbuch des R. Jousep (Juspa) Schammes</w:t>
      </w:r>
      <w:r w:rsidRPr="000F4173">
        <w:rPr>
          <w:rFonts w:asciiTheme="minorBidi" w:hAnsiTheme="minorBidi" w:cstheme="minorBidi"/>
        </w:rPr>
        <w:t xml:space="preserve">, ed. </w:t>
      </w:r>
      <w:r w:rsidRPr="00E004CF">
        <w:rPr>
          <w:rFonts w:asciiTheme="minorBidi" w:hAnsiTheme="minorBidi" w:cstheme="minorBidi"/>
        </w:rPr>
        <w:t>B</w:t>
      </w:r>
      <w:r>
        <w:rPr>
          <w:rFonts w:asciiTheme="minorBidi" w:hAnsiTheme="minorBidi" w:cstheme="minorBidi"/>
        </w:rPr>
        <w:t xml:space="preserve">inyamin </w:t>
      </w:r>
      <w:r w:rsidRPr="00E004CF">
        <w:rPr>
          <w:rFonts w:asciiTheme="minorBidi" w:hAnsiTheme="minorBidi" w:cstheme="minorBidi"/>
        </w:rPr>
        <w:t>S. Hamburger and E</w:t>
      </w:r>
      <w:r>
        <w:rPr>
          <w:rFonts w:asciiTheme="minorBidi" w:hAnsiTheme="minorBidi" w:cstheme="minorBidi"/>
        </w:rPr>
        <w:t xml:space="preserve">ric </w:t>
      </w:r>
      <w:r w:rsidRPr="00E004CF">
        <w:rPr>
          <w:rFonts w:asciiTheme="minorBidi" w:hAnsiTheme="minorBidi" w:cstheme="minorBidi"/>
        </w:rPr>
        <w:t>Zimmer, Jerusalem: Machon Yerushalayim, 1988, vol. II, pp. 59-60).</w:t>
      </w:r>
    </w:p>
    <w:p w14:paraId="05C61374" w14:textId="0E9049F1" w:rsidR="00C569A5" w:rsidRDefault="00331504" w:rsidP="00331504">
      <w:pPr>
        <w:pStyle w:val="NoSpacing"/>
        <w:bidi w:val="0"/>
      </w:pPr>
      <w:r>
        <w:rPr>
          <w:rFonts w:asciiTheme="minorBidi" w:hAnsiTheme="minorBidi" w:cstheme="minorBidi"/>
        </w:rPr>
        <w:t>For s</w:t>
      </w:r>
      <w:r w:rsidR="005C2865">
        <w:rPr>
          <w:rFonts w:asciiTheme="minorBidi" w:hAnsiTheme="minorBidi" w:cstheme="minorBidi"/>
        </w:rPr>
        <w:t>imilar evidence from the Italian region</w:t>
      </w:r>
      <w:r>
        <w:rPr>
          <w:rFonts w:asciiTheme="minorBidi" w:hAnsiTheme="minorBidi" w:cstheme="minorBidi"/>
        </w:rPr>
        <w:t>, see</w:t>
      </w:r>
      <w:r w:rsidR="00C569A5">
        <w:rPr>
          <w:rFonts w:asciiTheme="minorBidi" w:hAnsiTheme="minorBidi"/>
        </w:rPr>
        <w:t xml:space="preserve">: </w:t>
      </w:r>
      <w:r w:rsidR="00C569A5" w:rsidRPr="00352328">
        <w:rPr>
          <w:rFonts w:asciiTheme="minorBidi" w:hAnsiTheme="minorBidi"/>
        </w:rPr>
        <w:t>R</w:t>
      </w:r>
      <w:r w:rsidR="00C569A5">
        <w:rPr>
          <w:rFonts w:asciiTheme="minorBidi" w:hAnsiTheme="minorBidi"/>
        </w:rPr>
        <w:t xml:space="preserve">oni </w:t>
      </w:r>
      <w:r w:rsidR="00C569A5" w:rsidRPr="00352328">
        <w:rPr>
          <w:rFonts w:asciiTheme="minorBidi" w:hAnsiTheme="minorBidi"/>
        </w:rPr>
        <w:t xml:space="preserve">Weinstein, </w:t>
      </w:r>
      <w:r w:rsidR="00C569A5" w:rsidRPr="00352328">
        <w:rPr>
          <w:rFonts w:asciiTheme="minorBidi" w:hAnsiTheme="minorBidi"/>
          <w:i/>
          <w:iCs/>
        </w:rPr>
        <w:t>Marriage Rituals Italian Style: A Historical Anthropological Perspective on Early Modern Italian Jews</w:t>
      </w:r>
      <w:r w:rsidR="00C569A5">
        <w:rPr>
          <w:rFonts w:asciiTheme="minorBidi" w:hAnsiTheme="minorBidi"/>
          <w:i/>
          <w:iCs/>
        </w:rPr>
        <w:t xml:space="preserve">, </w:t>
      </w:r>
      <w:r w:rsidR="00C569A5" w:rsidRPr="00352328">
        <w:rPr>
          <w:rFonts w:asciiTheme="minorBidi" w:hAnsiTheme="minorBidi"/>
        </w:rPr>
        <w:t>Leiden: Brill, 2004, p</w:t>
      </w:r>
      <w:r w:rsidR="00C569A5">
        <w:rPr>
          <w:rFonts w:asciiTheme="minorBidi" w:hAnsiTheme="minorBidi"/>
        </w:rPr>
        <w:t>p</w:t>
      </w:r>
      <w:r w:rsidR="00C569A5" w:rsidRPr="00352328">
        <w:rPr>
          <w:rFonts w:asciiTheme="minorBidi" w:hAnsiTheme="minorBidi"/>
        </w:rPr>
        <w:t>.</w:t>
      </w:r>
      <w:r w:rsidR="00C569A5">
        <w:rPr>
          <w:rFonts w:asciiTheme="minorBidi" w:hAnsiTheme="minorBidi"/>
        </w:rPr>
        <w:t xml:space="preserve"> </w:t>
      </w:r>
      <w:r w:rsidR="00C569A5" w:rsidRPr="00352328">
        <w:rPr>
          <w:rFonts w:asciiTheme="minorBidi" w:hAnsiTheme="minorBidi"/>
        </w:rPr>
        <w:t xml:space="preserve">384-387, 391-398. </w:t>
      </w:r>
    </w:p>
  </w:footnote>
  <w:footnote w:id="3">
    <w:p w14:paraId="635D1C26" w14:textId="50715E7E" w:rsidR="00C569A5" w:rsidRDefault="00C569A5" w:rsidP="002A2909">
      <w:pPr>
        <w:pStyle w:val="FootnoteText"/>
      </w:pPr>
      <w:r>
        <w:rPr>
          <w:rStyle w:val="FootnoteReference"/>
        </w:rPr>
        <w:footnoteRef/>
      </w:r>
      <w:r>
        <w:rPr>
          <w:rtl/>
        </w:rPr>
        <w:t xml:space="preserve"> </w:t>
      </w:r>
      <w:r w:rsidRPr="0084798F">
        <w:t xml:space="preserve">See: Langer, </w:t>
      </w:r>
      <w:r w:rsidR="00323F08">
        <w:t>‘</w:t>
      </w:r>
      <w:r w:rsidRPr="0084798F">
        <w:t>The Birkat Betulim</w:t>
      </w:r>
      <w:r w:rsidR="00323F08">
        <w:t>’</w:t>
      </w:r>
      <w:r>
        <w:t xml:space="preserve">, </w:t>
      </w:r>
      <w:r w:rsidRPr="0084798F">
        <w:t>pp. 55, 67-7</w:t>
      </w:r>
      <w:r>
        <w:t>2</w:t>
      </w:r>
      <w:r w:rsidRPr="0084798F">
        <w:t xml:space="preserve">. </w:t>
      </w:r>
      <w:r>
        <w:t xml:space="preserve">See also: </w:t>
      </w:r>
      <w:r w:rsidRPr="00D33906">
        <w:t xml:space="preserve">Rubin, </w:t>
      </w:r>
      <w:r w:rsidRPr="00D33906">
        <w:rPr>
          <w:i/>
          <w:iCs/>
        </w:rPr>
        <w:t>The Joy of Life</w:t>
      </w:r>
      <w:r>
        <w:t xml:space="preserve">, pp. 259, 261, 305, 314. </w:t>
      </w:r>
    </w:p>
  </w:footnote>
  <w:footnote w:id="4">
    <w:p w14:paraId="3995F8DB" w14:textId="5571D334" w:rsidR="00C569A5" w:rsidRPr="0084798F" w:rsidRDefault="00C569A5" w:rsidP="00C569A5">
      <w:pPr>
        <w:pStyle w:val="NoSpacing"/>
        <w:bidi w:val="0"/>
        <w:rPr>
          <w:rFonts w:asciiTheme="minorBidi" w:hAnsiTheme="minorBidi" w:cstheme="minorBidi"/>
        </w:rPr>
      </w:pPr>
      <w:r>
        <w:rPr>
          <w:rStyle w:val="FootnoteReference"/>
        </w:rPr>
        <w:footnoteRef/>
      </w:r>
      <w:r>
        <w:rPr>
          <w:rtl/>
        </w:rPr>
        <w:t xml:space="preserve"> </w:t>
      </w:r>
      <w:r w:rsidRPr="00240A19">
        <w:rPr>
          <w:rFonts w:asciiTheme="minorBidi" w:hAnsiTheme="minorBidi" w:cstheme="minorBidi"/>
        </w:rPr>
        <w:t>Tosefta Atikta, ed. Chaim M. Horowi</w:t>
      </w:r>
      <w:r w:rsidR="00E26304" w:rsidRPr="00240A19">
        <w:rPr>
          <w:rFonts w:asciiTheme="minorBidi" w:hAnsiTheme="minorBidi" w:cstheme="minorBidi"/>
        </w:rPr>
        <w:t>ts</w:t>
      </w:r>
      <w:r w:rsidRPr="00240A19">
        <w:rPr>
          <w:rFonts w:asciiTheme="minorBidi" w:hAnsiTheme="minorBidi" w:cstheme="minorBidi"/>
        </w:rPr>
        <w:t xml:space="preserve">, Frankfurt a. M. 1890. </w:t>
      </w:r>
      <w:r w:rsidRPr="0084798F">
        <w:rPr>
          <w:rFonts w:asciiTheme="minorBidi" w:hAnsiTheme="minorBidi" w:cstheme="minorBidi"/>
        </w:rPr>
        <w:t xml:space="preserve">P. 41, see also: pp. 7-8. On the attribution of this text to an extra-rabbinic group representing authentic popular custom from the land of Israel, see: </w:t>
      </w:r>
      <w:r w:rsidRPr="0084798F">
        <w:rPr>
          <w:rFonts w:asciiTheme="minorBidi" w:hAnsiTheme="minorBidi" w:cstheme="minorBidi"/>
          <w:shd w:val="clear" w:color="auto" w:fill="FFFFFF"/>
        </w:rPr>
        <w:t xml:space="preserve">Shaul </w:t>
      </w:r>
      <w:r w:rsidRPr="0084798F">
        <w:rPr>
          <w:rStyle w:val="Emphasis"/>
          <w:rFonts w:asciiTheme="minorBidi" w:hAnsiTheme="minorBidi" w:cstheme="minorBidi"/>
          <w:shd w:val="clear" w:color="auto" w:fill="FFFFFF"/>
        </w:rPr>
        <w:t xml:space="preserve">Lieberman, </w:t>
      </w:r>
      <w:r w:rsidRPr="0084798F">
        <w:rPr>
          <w:rFonts w:asciiTheme="minorBidi" w:hAnsiTheme="minorBidi" w:cstheme="minorBidi"/>
          <w:i/>
          <w:iCs/>
        </w:rPr>
        <w:t>Shkiin</w:t>
      </w:r>
      <w:r w:rsidRPr="0084798F">
        <w:rPr>
          <w:rFonts w:asciiTheme="minorBidi" w:hAnsiTheme="minorBidi" w:cstheme="minorBidi"/>
        </w:rPr>
        <w:t xml:space="preserve">, Jerusalem: </w:t>
      </w:r>
      <w:r w:rsidRPr="0084798F">
        <w:rPr>
          <w:rStyle w:val="Emphasis"/>
          <w:rFonts w:asciiTheme="minorBidi" w:hAnsiTheme="minorBidi" w:cstheme="minorBidi"/>
          <w:shd w:val="clear" w:color="auto" w:fill="FFFFFF"/>
        </w:rPr>
        <w:t>Vaherman,</w:t>
      </w:r>
      <w:r w:rsidRPr="0084798F">
        <w:rPr>
          <w:rFonts w:asciiTheme="minorBidi" w:hAnsiTheme="minorBidi" w:cstheme="minorBidi"/>
        </w:rPr>
        <w:t xml:space="preserve"> 1970, p. 22 (Hebrew).</w:t>
      </w:r>
    </w:p>
    <w:p w14:paraId="1E4C905E" w14:textId="5E7D54D1" w:rsidR="00C569A5" w:rsidRDefault="00C569A5" w:rsidP="002A2909">
      <w:pPr>
        <w:pStyle w:val="FootnoteText"/>
      </w:pPr>
      <w:r w:rsidRPr="0084798F">
        <w:t xml:space="preserve">Yedidya Dinary, </w:t>
      </w:r>
      <w:r w:rsidR="00323F08">
        <w:t>‘</w:t>
      </w:r>
      <w:r w:rsidRPr="0084798F">
        <w:t>The Impurity Customs of the Menstruate Woman — Sources and Development</w:t>
      </w:r>
      <w:r w:rsidR="00323F08">
        <w:t>’</w:t>
      </w:r>
      <w:r w:rsidRPr="0084798F">
        <w:t xml:space="preserve">, </w:t>
      </w:r>
      <w:r w:rsidRPr="0084798F">
        <w:rPr>
          <w:i/>
          <w:iCs/>
        </w:rPr>
        <w:t xml:space="preserve">Tarbiz </w:t>
      </w:r>
      <w:r w:rsidRPr="0084798F">
        <w:t>49 (1980), pp. 305, 310 (Hebrew).</w:t>
      </w:r>
    </w:p>
  </w:footnote>
  <w:footnote w:id="5">
    <w:p w14:paraId="5FF5045D" w14:textId="78FC2605" w:rsidR="005D40B4" w:rsidRDefault="005D40B4" w:rsidP="002A2909">
      <w:pPr>
        <w:pStyle w:val="FootnoteText"/>
      </w:pPr>
      <w:r>
        <w:rPr>
          <w:rStyle w:val="FootnoteReference"/>
        </w:rPr>
        <w:footnoteRef/>
      </w:r>
      <w:r>
        <w:rPr>
          <w:rtl/>
        </w:rPr>
        <w:t xml:space="preserve"> </w:t>
      </w:r>
      <w:r w:rsidRPr="0084798F">
        <w:t xml:space="preserve">TS NS 235.190. Other similar versions, see: Langer, </w:t>
      </w:r>
      <w:r w:rsidR="00323F08">
        <w:t>‘</w:t>
      </w:r>
      <w:r w:rsidRPr="0084798F">
        <w:t>The Birkat Betulim</w:t>
      </w:r>
      <w:r w:rsidR="00323F08">
        <w:t>’</w:t>
      </w:r>
      <w:r w:rsidRPr="0084798F">
        <w:t>, pp. 87-94.</w:t>
      </w:r>
    </w:p>
  </w:footnote>
  <w:footnote w:id="6">
    <w:p w14:paraId="7DA21D8A" w14:textId="427D02AE" w:rsidR="005D40B4" w:rsidRPr="0084798F" w:rsidRDefault="005D40B4" w:rsidP="005D40B4">
      <w:pPr>
        <w:pStyle w:val="NoSpacing"/>
        <w:bidi w:val="0"/>
        <w:rPr>
          <w:rFonts w:asciiTheme="minorBidi" w:hAnsiTheme="minorBidi" w:cstheme="minorBidi"/>
        </w:rPr>
      </w:pPr>
      <w:r>
        <w:rPr>
          <w:rStyle w:val="FootnoteReference"/>
        </w:rPr>
        <w:footnoteRef/>
      </w:r>
      <w:r>
        <w:rPr>
          <w:rtl/>
        </w:rPr>
        <w:t xml:space="preserve"> </w:t>
      </w:r>
      <w:r w:rsidRPr="0084798F">
        <w:rPr>
          <w:rFonts w:asciiTheme="minorBidi" w:hAnsiTheme="minorBidi" w:cstheme="minorBidi"/>
        </w:rPr>
        <w:t xml:space="preserve">Langer, </w:t>
      </w:r>
      <w:r w:rsidR="00323F08">
        <w:rPr>
          <w:rFonts w:asciiTheme="minorBidi" w:hAnsiTheme="minorBidi" w:cstheme="minorBidi"/>
        </w:rPr>
        <w:t>‘</w:t>
      </w:r>
      <w:r w:rsidRPr="0084798F">
        <w:rPr>
          <w:rFonts w:asciiTheme="minorBidi" w:hAnsiTheme="minorBidi" w:cstheme="minorBidi"/>
        </w:rPr>
        <w:t>The Birkat Betulim</w:t>
      </w:r>
      <w:r w:rsidR="00323F08">
        <w:rPr>
          <w:rFonts w:asciiTheme="minorBidi" w:hAnsiTheme="minorBidi" w:cstheme="minorBidi"/>
        </w:rPr>
        <w:t>’</w:t>
      </w:r>
      <w:r w:rsidRPr="0084798F">
        <w:rPr>
          <w:rFonts w:asciiTheme="minorBidi" w:hAnsiTheme="minorBidi" w:cstheme="minorBidi"/>
        </w:rPr>
        <w:t>, pp. 87-94.</w:t>
      </w:r>
    </w:p>
    <w:p w14:paraId="08AA688F" w14:textId="6AB47CAD" w:rsidR="005D40B4" w:rsidRDefault="005D40B4" w:rsidP="002A2909">
      <w:pPr>
        <w:pStyle w:val="FootnoteText"/>
      </w:pPr>
      <w:r w:rsidRPr="0084798F">
        <w:rPr>
          <w:rStyle w:val="FootnoteReference"/>
          <w:rFonts w:asciiTheme="minorBidi" w:hAnsiTheme="minorBidi"/>
        </w:rPr>
        <w:footnoteRef/>
      </w:r>
      <w:r w:rsidRPr="0084798F">
        <w:t xml:space="preserve"> </w:t>
      </w:r>
      <w:bookmarkStart w:id="0" w:name="_Hlk94428256"/>
      <w:r w:rsidRPr="0084798F">
        <w:t xml:space="preserve">Langer, </w:t>
      </w:r>
      <w:r w:rsidR="00323F08">
        <w:t>‘</w:t>
      </w:r>
      <w:r w:rsidRPr="0084798F">
        <w:t>The Birkat Betulim</w:t>
      </w:r>
      <w:r w:rsidR="00323F08">
        <w:t>’</w:t>
      </w:r>
      <w:r w:rsidRPr="0084798F">
        <w:t xml:space="preserve">, pp. </w:t>
      </w:r>
      <w:bookmarkEnd w:id="0"/>
      <w:r w:rsidRPr="0084798F">
        <w:t>59, 69-71</w:t>
      </w:r>
    </w:p>
  </w:footnote>
  <w:footnote w:id="7">
    <w:p w14:paraId="0EDB14C2" w14:textId="26580D3D" w:rsidR="000A1621" w:rsidRDefault="000A1621" w:rsidP="002A2909">
      <w:pPr>
        <w:pStyle w:val="FootnoteText"/>
      </w:pPr>
      <w:r>
        <w:rPr>
          <w:rStyle w:val="FootnoteReference"/>
        </w:rPr>
        <w:footnoteRef/>
      </w:r>
      <w:r>
        <w:rPr>
          <w:rtl/>
        </w:rPr>
        <w:t xml:space="preserve"> </w:t>
      </w:r>
      <w:r w:rsidRPr="0084798F">
        <w:t xml:space="preserve">The symbolism of the walnut, with its multiple layers of shell guarding the meat is particularly apt for the virgin bride whose hymen has guarded her virginity, see: Langer, </w:t>
      </w:r>
      <w:r w:rsidR="00323F08">
        <w:t>‘</w:t>
      </w:r>
      <w:r w:rsidRPr="0084798F">
        <w:t>The Birkat Betulim</w:t>
      </w:r>
      <w:r w:rsidR="00323F08">
        <w:t>’</w:t>
      </w:r>
      <w:r w:rsidRPr="0084798F">
        <w:t>, p. 57.</w:t>
      </w:r>
      <w:r>
        <w:t xml:space="preserve"> </w:t>
      </w:r>
      <w:r w:rsidRPr="00C359B2">
        <w:t xml:space="preserve">Ta-Shma, </w:t>
      </w:r>
      <w:r w:rsidR="00323F08">
        <w:t>‘</w:t>
      </w:r>
      <w:r w:rsidRPr="00C359B2">
        <w:t>A Maimonides Responsum on the Virginity Blessing</w:t>
      </w:r>
      <w:r w:rsidR="00323F08">
        <w:t>’</w:t>
      </w:r>
      <w:r>
        <w:t>, p. 10 n. 4.</w:t>
      </w:r>
    </w:p>
  </w:footnote>
  <w:footnote w:id="8">
    <w:p w14:paraId="2D3C1DD2" w14:textId="473E4634" w:rsidR="000A1621" w:rsidRDefault="000A1621" w:rsidP="002A2909">
      <w:pPr>
        <w:pStyle w:val="FootnoteText"/>
      </w:pPr>
      <w:r>
        <w:rPr>
          <w:rStyle w:val="FootnoteReference"/>
        </w:rPr>
        <w:footnoteRef/>
      </w:r>
      <w:r>
        <w:rPr>
          <w:rtl/>
        </w:rPr>
        <w:t xml:space="preserve"> </w:t>
      </w:r>
      <w:r w:rsidRPr="005B7225">
        <w:t>Halakhot Gedolot, vol. II, p. 226.</w:t>
      </w:r>
    </w:p>
  </w:footnote>
  <w:footnote w:id="9">
    <w:p w14:paraId="600BCE65" w14:textId="2842ED9A" w:rsidR="000A1621" w:rsidRDefault="000A1621" w:rsidP="002A2909">
      <w:pPr>
        <w:pStyle w:val="FootnoteText"/>
      </w:pPr>
      <w:r>
        <w:rPr>
          <w:rStyle w:val="FootnoteReference"/>
        </w:rPr>
        <w:footnoteRef/>
      </w:r>
      <w:r>
        <w:rPr>
          <w:rtl/>
        </w:rPr>
        <w:t xml:space="preserve"> </w:t>
      </w:r>
      <w:r w:rsidRPr="005B7225">
        <w:rPr>
          <w:shd w:val="clear" w:color="auto" w:fill="FFFFFF"/>
        </w:rPr>
        <w:t xml:space="preserve">Joseph </w:t>
      </w:r>
      <w:r w:rsidRPr="002A2909">
        <w:t>Yahalom</w:t>
      </w:r>
      <w:r w:rsidRPr="005B7225">
        <w:rPr>
          <w:shd w:val="clear" w:color="auto" w:fill="FFFFFF"/>
        </w:rPr>
        <w:t xml:space="preserve">, </w:t>
      </w:r>
      <w:r w:rsidRPr="00DC48F0">
        <w:rPr>
          <w:shd w:val="clear" w:color="auto" w:fill="FFFFFF"/>
        </w:rPr>
        <w:t>The Poetic Language in the Early Piyyut, Jerusalem</w:t>
      </w:r>
      <w:r w:rsidRPr="005B7225">
        <w:rPr>
          <w:shd w:val="clear" w:color="auto" w:fill="FFFFFF"/>
        </w:rPr>
        <w:t>: </w:t>
      </w:r>
      <w:r w:rsidRPr="00DC48F0">
        <w:rPr>
          <w:rStyle w:val="Emphasis"/>
          <w:rFonts w:ascii="Arial" w:hAnsi="Arial" w:cs="Arial"/>
          <w:i w:val="0"/>
          <w:iCs w:val="0"/>
          <w:shd w:val="clear" w:color="auto" w:fill="FFFFFF"/>
        </w:rPr>
        <w:t>Magnes</w:t>
      </w:r>
      <w:r w:rsidRPr="00DC48F0">
        <w:rPr>
          <w:shd w:val="clear" w:color="auto" w:fill="FFFFFF"/>
        </w:rPr>
        <w:t>, </w:t>
      </w:r>
      <w:r w:rsidRPr="00DC48F0">
        <w:rPr>
          <w:rStyle w:val="Emphasis"/>
          <w:rFonts w:ascii="Arial" w:hAnsi="Arial" w:cs="Arial"/>
          <w:i w:val="0"/>
          <w:iCs w:val="0"/>
          <w:shd w:val="clear" w:color="auto" w:fill="FFFFFF"/>
        </w:rPr>
        <w:t>1985, pp. 86-96</w:t>
      </w:r>
      <w:r w:rsidRPr="005B7225">
        <w:rPr>
          <w:rStyle w:val="Emphasis"/>
          <w:rFonts w:ascii="Arial" w:hAnsi="Arial" w:cs="Arial"/>
          <w:shd w:val="clear" w:color="auto" w:fill="FFFFFF"/>
        </w:rPr>
        <w:t xml:space="preserve">. </w:t>
      </w:r>
    </w:p>
  </w:footnote>
  <w:footnote w:id="10">
    <w:p w14:paraId="28736AFD" w14:textId="79E75E11" w:rsidR="000A1621" w:rsidRDefault="000A1621" w:rsidP="002A2909">
      <w:pPr>
        <w:pStyle w:val="FootnoteText"/>
      </w:pPr>
      <w:r>
        <w:rPr>
          <w:rStyle w:val="FootnoteReference"/>
        </w:rPr>
        <w:footnoteRef/>
      </w:r>
      <w:r>
        <w:rPr>
          <w:rtl/>
        </w:rPr>
        <w:t xml:space="preserve"> </w:t>
      </w:r>
      <w:r w:rsidRPr="0084798F">
        <w:t xml:space="preserve">Ms. </w:t>
      </w:r>
      <w:r w:rsidRPr="002A2909">
        <w:t>Cambridge</w:t>
      </w:r>
      <w:r w:rsidRPr="0084798F">
        <w:t xml:space="preserve"> Or. 1080 1/2, p. 9.</w:t>
      </w:r>
    </w:p>
  </w:footnote>
  <w:footnote w:id="11">
    <w:p w14:paraId="32581014" w14:textId="3645A6FD" w:rsidR="000A1621" w:rsidRDefault="000A1621" w:rsidP="002A2909">
      <w:pPr>
        <w:pStyle w:val="FootnoteText"/>
      </w:pPr>
      <w:r>
        <w:rPr>
          <w:rStyle w:val="FootnoteReference"/>
        </w:rPr>
        <w:footnoteRef/>
      </w:r>
      <w:r>
        <w:rPr>
          <w:rtl/>
        </w:rPr>
        <w:t xml:space="preserve"> </w:t>
      </w:r>
      <w:r w:rsidRPr="0084798F">
        <w:t xml:space="preserve">Ruth </w:t>
      </w:r>
      <w:r w:rsidRPr="002A2909">
        <w:t>Langer</w:t>
      </w:r>
      <w:r w:rsidRPr="0084798F">
        <w:t xml:space="preserve">, </w:t>
      </w:r>
      <w:r w:rsidRPr="0084798F">
        <w:rPr>
          <w:i/>
          <w:iCs/>
        </w:rPr>
        <w:t>The Impact of Custom, History, and Mysticism on the Shaping of Jewish Liturgical Law</w:t>
      </w:r>
      <w:r w:rsidRPr="0084798F">
        <w:t>, Ph.D. diss., Hebrew Union College</w:t>
      </w:r>
      <w:r w:rsidR="00331504">
        <w:t xml:space="preserve"> – </w:t>
      </w:r>
      <w:r w:rsidRPr="0084798F">
        <w:t>Jewish Institute of Religion, 1994, pp. 124-125.</w:t>
      </w:r>
    </w:p>
  </w:footnote>
  <w:footnote w:id="12">
    <w:p w14:paraId="715DEE94" w14:textId="6812DB35" w:rsidR="00F12795" w:rsidRPr="0084798F" w:rsidRDefault="00F12795" w:rsidP="002A2909">
      <w:pPr>
        <w:pStyle w:val="FootnoteText"/>
      </w:pPr>
      <w:r w:rsidRPr="0084798F">
        <w:rPr>
          <w:rStyle w:val="FootnoteReference"/>
          <w:rFonts w:asciiTheme="minorBidi" w:hAnsiTheme="minorBidi" w:cstheme="minorBidi"/>
        </w:rPr>
        <w:footnoteRef/>
      </w:r>
      <w:r w:rsidRPr="0084798F">
        <w:t xml:space="preserve"> </w:t>
      </w:r>
      <w:r w:rsidR="009D24BD">
        <w:t>Deuteronomy 22:13</w:t>
      </w:r>
      <w:r w:rsidR="00D06B38">
        <w:t>-21.</w:t>
      </w:r>
      <w:r w:rsidRPr="0084798F">
        <w:t xml:space="preserve">The piyyut is in Ms. Oxford 2701/9, Bodleian Library Heb. e. 25, pp. 64b-65a. See: Langer, </w:t>
      </w:r>
      <w:r w:rsidR="00323F08">
        <w:t>‘</w:t>
      </w:r>
      <w:r w:rsidRPr="0084798F">
        <w:t>The Birkat Betulim</w:t>
      </w:r>
      <w:r w:rsidR="00323F08">
        <w:t>’</w:t>
      </w:r>
      <w:r w:rsidRPr="0084798F">
        <w:t xml:space="preserve">, pp. 90-93. </w:t>
      </w:r>
    </w:p>
  </w:footnote>
  <w:footnote w:id="13">
    <w:p w14:paraId="470DA352" w14:textId="7BDFACC6" w:rsidR="00F12795" w:rsidRPr="0084798F" w:rsidRDefault="00F12795" w:rsidP="002A2909">
      <w:pPr>
        <w:pStyle w:val="FootnoteText"/>
      </w:pPr>
      <w:r w:rsidRPr="0084798F">
        <w:rPr>
          <w:rStyle w:val="FootnoteReference"/>
          <w:rFonts w:asciiTheme="minorBidi" w:hAnsiTheme="minorBidi" w:cstheme="minorBidi"/>
        </w:rPr>
        <w:footnoteRef/>
      </w:r>
      <w:r w:rsidRPr="0084798F">
        <w:t xml:space="preserve"> See: Jack </w:t>
      </w:r>
      <w:r w:rsidRPr="002A2909">
        <w:t>Goody</w:t>
      </w:r>
      <w:r w:rsidRPr="0084798F">
        <w:t xml:space="preserve">, </w:t>
      </w:r>
      <w:r w:rsidRPr="0084798F">
        <w:rPr>
          <w:i/>
          <w:iCs/>
        </w:rPr>
        <w:t xml:space="preserve">The Oriental, the Ancient and the primitive: </w:t>
      </w:r>
      <w:r w:rsidRPr="005C2865">
        <w:rPr>
          <w:rStyle w:val="1"/>
          <w:rFonts w:asciiTheme="minorBidi" w:hAnsiTheme="minorBidi" w:cstheme="minorBidi"/>
          <w:i/>
          <w:iCs/>
          <w:color w:val="333333"/>
        </w:rPr>
        <w:t>Systems of Marriage and the Family in the Pre-Industrial Societies of Eurasia</w:t>
      </w:r>
      <w:r w:rsidRPr="005C2865">
        <w:rPr>
          <w:rStyle w:val="1"/>
          <w:rFonts w:asciiTheme="minorBidi" w:hAnsiTheme="minorBidi" w:cstheme="minorBidi"/>
          <w:color w:val="333333"/>
        </w:rPr>
        <w:t xml:space="preserve">, </w:t>
      </w:r>
      <w:r w:rsidRPr="005C2865">
        <w:t>Cambri</w:t>
      </w:r>
      <w:r w:rsidRPr="0084798F">
        <w:t xml:space="preserve">dge: Cambridge University Press, 1990, p. 328. Keith Hopkins, </w:t>
      </w:r>
      <w:r w:rsidR="00323F08">
        <w:t>‘</w:t>
      </w:r>
      <w:r w:rsidRPr="0084798F">
        <w:t>Brother-Sister Marriage in Roman Egypt</w:t>
      </w:r>
      <w:r w:rsidR="00323F08">
        <w:t>’</w:t>
      </w:r>
      <w:r w:rsidRPr="0084798F">
        <w:t xml:space="preserve">, </w:t>
      </w:r>
      <w:r w:rsidRPr="0084798F">
        <w:rPr>
          <w:i/>
          <w:iCs/>
        </w:rPr>
        <w:t>Comparative Studies in Society and History</w:t>
      </w:r>
      <w:r w:rsidRPr="0084798F">
        <w:t xml:space="preserve"> 22 (1980), pp. 341-342. Langer, </w:t>
      </w:r>
      <w:r w:rsidR="00323F08">
        <w:t>‘</w:t>
      </w:r>
      <w:r w:rsidRPr="0084798F">
        <w:t>The Birkat Betulim</w:t>
      </w:r>
      <w:r w:rsidR="00323F08">
        <w:t>’</w:t>
      </w:r>
      <w:r w:rsidRPr="0084798F">
        <w:t xml:space="preserve">, p. 71. </w:t>
      </w:r>
    </w:p>
  </w:footnote>
  <w:footnote w:id="14">
    <w:p w14:paraId="2962EAF4" w14:textId="240DC8A7" w:rsidR="000A1621" w:rsidRPr="00EB0A41" w:rsidRDefault="000A1621" w:rsidP="002A2909">
      <w:pPr>
        <w:pStyle w:val="FootnoteText"/>
        <w:rPr>
          <w:vertAlign w:val="superscript"/>
        </w:rPr>
      </w:pPr>
      <w:r>
        <w:rPr>
          <w:rStyle w:val="FootnoteReference"/>
        </w:rPr>
        <w:footnoteRef/>
      </w:r>
      <w:r>
        <w:rPr>
          <w:rtl/>
        </w:rPr>
        <w:t xml:space="preserve"> </w:t>
      </w:r>
      <w:r w:rsidRPr="009A3C82">
        <w:t xml:space="preserve">Conrad B. Kottak, </w:t>
      </w:r>
      <w:r w:rsidRPr="009A3C82">
        <w:rPr>
          <w:i/>
          <w:iCs/>
        </w:rPr>
        <w:t>Anthropology</w:t>
      </w:r>
      <w:r w:rsidRPr="009A3C82">
        <w:t>, New York: Random House, 1974, pp. 309-313.</w:t>
      </w:r>
      <w:r w:rsidRPr="00D33906">
        <w:t xml:space="preserve"> Raymond Firth, </w:t>
      </w:r>
      <w:r w:rsidR="00323F08">
        <w:t>‘</w:t>
      </w:r>
      <w:r w:rsidRPr="00D33906">
        <w:t>The Family in Tikopia</w:t>
      </w:r>
      <w:r w:rsidR="00323F08">
        <w:t>’</w:t>
      </w:r>
      <w:r w:rsidRPr="00D33906">
        <w:t xml:space="preserve">, </w:t>
      </w:r>
      <w:r w:rsidRPr="00D33906">
        <w:rPr>
          <w:i/>
          <w:iCs/>
        </w:rPr>
        <w:t>Comparative Family Systems</w:t>
      </w:r>
      <w:r w:rsidRPr="00D33906">
        <w:t>, ed. M. F. Nimkoff, Boston: Houghton Mifflin, 1965, pp. 105-12</w:t>
      </w:r>
      <w:r>
        <w:t>9</w:t>
      </w:r>
      <w:r w:rsidRPr="00D33906">
        <w:t xml:space="preserve">. Rubin, </w:t>
      </w:r>
      <w:r w:rsidRPr="00D33906">
        <w:rPr>
          <w:i/>
          <w:iCs/>
        </w:rPr>
        <w:t>The Joy of Life</w:t>
      </w:r>
      <w:r>
        <w:rPr>
          <w:i/>
          <w:iCs/>
        </w:rPr>
        <w:t xml:space="preserve">, </w:t>
      </w:r>
      <w:r w:rsidRPr="00D33906">
        <w:t>pp. 255-256</w:t>
      </w:r>
      <w:r>
        <w:t xml:space="preserve">. </w:t>
      </w:r>
      <w:r w:rsidRPr="00867947">
        <w:t xml:space="preserve">Tikva Frymer-Krensky, </w:t>
      </w:r>
      <w:r w:rsidR="00323F08">
        <w:t>‘</w:t>
      </w:r>
      <w:r w:rsidRPr="00867947">
        <w:t>Israelite Law: Personal Status and Family Law</w:t>
      </w:r>
      <w:r w:rsidR="00323F08">
        <w:t>’</w:t>
      </w:r>
      <w:r w:rsidRPr="00867947">
        <w:t>,</w:t>
      </w:r>
      <w:r w:rsidRPr="00D33906">
        <w:t xml:space="preserve"> </w:t>
      </w:r>
      <w:r w:rsidRPr="00867947">
        <w:rPr>
          <w:i/>
          <w:iCs/>
        </w:rPr>
        <w:t>Encyclopedia of Religion</w:t>
      </w:r>
      <w:r w:rsidRPr="00867947">
        <w:t>, VII</w:t>
      </w:r>
      <w:r w:rsidRPr="00D33906">
        <w:t xml:space="preserve">, pp. </w:t>
      </w:r>
      <w:r w:rsidRPr="00867947">
        <w:t>471-</w:t>
      </w:r>
      <w:r w:rsidRPr="00D33906">
        <w:t>47</w:t>
      </w:r>
      <w:r w:rsidRPr="00867947">
        <w:t>2</w:t>
      </w:r>
      <w:r w:rsidRPr="00D33906">
        <w:t xml:space="preserve">. </w:t>
      </w:r>
      <w:r w:rsidRPr="00867947">
        <w:t xml:space="preserve">Alice Schlegel, </w:t>
      </w:r>
      <w:r w:rsidR="00323F08">
        <w:t>‘</w:t>
      </w:r>
      <w:r w:rsidRPr="00867947">
        <w:t>Status, Property, and the Value on Virginity</w:t>
      </w:r>
      <w:r w:rsidR="00323F08">
        <w:t>’</w:t>
      </w:r>
      <w:r w:rsidRPr="00867947">
        <w:t>,</w:t>
      </w:r>
      <w:r w:rsidRPr="00D33906">
        <w:t xml:space="preserve"> </w:t>
      </w:r>
      <w:r w:rsidRPr="00867947">
        <w:rPr>
          <w:i/>
          <w:iCs/>
        </w:rPr>
        <w:t>American Ethnologist</w:t>
      </w:r>
      <w:r w:rsidRPr="00867947">
        <w:t xml:space="preserve"> 18 (1991)</w:t>
      </w:r>
      <w:r w:rsidRPr="00D33906">
        <w:t xml:space="preserve">, pp. </w:t>
      </w:r>
      <w:r w:rsidRPr="00867947">
        <w:t>719- 734.</w:t>
      </w:r>
      <w:r w:rsidRPr="00D33906">
        <w:rPr>
          <w:rStyle w:val="FootnoteReference"/>
          <w:rFonts w:asciiTheme="minorBidi" w:hAnsiTheme="minorBidi"/>
          <w:u w:val="single"/>
        </w:rPr>
        <w:t xml:space="preserve"> </w:t>
      </w:r>
    </w:p>
  </w:footnote>
  <w:footnote w:id="15">
    <w:p w14:paraId="6B31AE6E" w14:textId="154B1BE3" w:rsidR="00F12795" w:rsidRPr="00D33906" w:rsidRDefault="00F12795" w:rsidP="002A2909">
      <w:pPr>
        <w:pStyle w:val="FootnoteText"/>
        <w:rPr>
          <w:rtl/>
        </w:rPr>
      </w:pPr>
      <w:r w:rsidRPr="00D33906">
        <w:rPr>
          <w:rStyle w:val="FootnoteReference"/>
          <w:rFonts w:asciiTheme="minorBidi" w:hAnsiTheme="minorBidi" w:cstheme="minorBidi"/>
        </w:rPr>
        <w:footnoteRef/>
      </w:r>
      <w:r w:rsidRPr="00D33906">
        <w:rPr>
          <w:rtl/>
        </w:rPr>
        <w:t xml:space="preserve"> </w:t>
      </w:r>
      <w:r w:rsidRPr="00D33906">
        <w:rPr>
          <w:i/>
          <w:iCs/>
        </w:rPr>
        <w:t>The Differences Between Babylonian and Palestinian Jews</w:t>
      </w:r>
      <w:r w:rsidRPr="00D33906">
        <w:t>, ed. Mordecai Margulies, Jerusalem: Unknown publisher, 1938, p. 160.</w:t>
      </w:r>
      <w:r w:rsidR="00A47057" w:rsidRPr="00A47057">
        <w:t xml:space="preserve">This practice is repeated in </w:t>
      </w:r>
      <w:r w:rsidR="00A47057">
        <w:t>other</w:t>
      </w:r>
      <w:r w:rsidR="00A47057" w:rsidRPr="00A47057">
        <w:t xml:space="preserve"> sources from the Land of Israel to which Marg</w:t>
      </w:r>
      <w:r w:rsidR="00A47057">
        <w:t>u</w:t>
      </w:r>
      <w:r w:rsidR="00A47057" w:rsidRPr="00A47057">
        <w:t>lies refers</w:t>
      </w:r>
      <w:r w:rsidRPr="00D33906">
        <w:rPr>
          <w:rtl/>
        </w:rPr>
        <w:t xml:space="preserve"> </w:t>
      </w:r>
    </w:p>
  </w:footnote>
  <w:footnote w:id="16">
    <w:p w14:paraId="56A18737" w14:textId="77777777" w:rsidR="00AE1D62" w:rsidRDefault="00AE1D62" w:rsidP="002A2909">
      <w:pPr>
        <w:pStyle w:val="FootnoteText"/>
      </w:pPr>
      <w:r>
        <w:rPr>
          <w:rStyle w:val="FootnoteReference"/>
        </w:rPr>
        <w:footnoteRef/>
      </w:r>
      <w:r>
        <w:rPr>
          <w:rtl/>
        </w:rPr>
        <w:t xml:space="preserve"> </w:t>
      </w:r>
      <w:r>
        <w:t>b</w:t>
      </w:r>
      <w:r w:rsidRPr="0084798F">
        <w:t>Ketubot, 9a.</w:t>
      </w:r>
    </w:p>
  </w:footnote>
  <w:footnote w:id="17">
    <w:p w14:paraId="61B8DE45" w14:textId="3FD76C1C" w:rsidR="00EB0A41" w:rsidRDefault="00EB0A41" w:rsidP="002A2909">
      <w:pPr>
        <w:pStyle w:val="FootnoteText"/>
      </w:pPr>
      <w:r>
        <w:rPr>
          <w:rStyle w:val="FootnoteReference"/>
        </w:rPr>
        <w:footnoteRef/>
      </w:r>
      <w:r>
        <w:rPr>
          <w:rtl/>
        </w:rPr>
        <w:t xml:space="preserve"> </w:t>
      </w:r>
      <w:r>
        <w:t>b</w:t>
      </w:r>
      <w:r w:rsidRPr="0084798F">
        <w:t xml:space="preserve">Ketubot, 11b. </w:t>
      </w:r>
    </w:p>
  </w:footnote>
  <w:footnote w:id="18">
    <w:p w14:paraId="0BFCE110" w14:textId="465B45EA" w:rsidR="00EB0A41" w:rsidRDefault="00EB0A41" w:rsidP="002A2909">
      <w:pPr>
        <w:pStyle w:val="FootnoteText"/>
      </w:pPr>
      <w:r>
        <w:rPr>
          <w:rStyle w:val="FootnoteReference"/>
        </w:rPr>
        <w:footnoteRef/>
      </w:r>
      <w:r>
        <w:rPr>
          <w:rtl/>
        </w:rPr>
        <w:t xml:space="preserve"> </w:t>
      </w:r>
      <w:r>
        <w:t>y</w:t>
      </w:r>
      <w:r w:rsidRPr="0084798F">
        <w:t xml:space="preserve">Ketubot, 1:1, 24d. </w:t>
      </w:r>
    </w:p>
  </w:footnote>
  <w:footnote w:id="19">
    <w:p w14:paraId="3297CCDF" w14:textId="15672976" w:rsidR="00EB0A41" w:rsidRDefault="00EB0A41" w:rsidP="002A2909">
      <w:pPr>
        <w:pStyle w:val="FootnoteText"/>
      </w:pPr>
      <w:r>
        <w:rPr>
          <w:rStyle w:val="FootnoteReference"/>
        </w:rPr>
        <w:footnoteRef/>
      </w:r>
      <w:r>
        <w:rPr>
          <w:rtl/>
        </w:rPr>
        <w:t xml:space="preserve"> </w:t>
      </w:r>
      <w:r w:rsidRPr="002A2909">
        <w:t>yKetubot</w:t>
      </w:r>
      <w:r w:rsidRPr="0084798F">
        <w:t>, 1:1, 24d-25a.</w:t>
      </w:r>
    </w:p>
  </w:footnote>
  <w:footnote w:id="20">
    <w:p w14:paraId="7865FFBB" w14:textId="3695F062" w:rsidR="00EB0A41" w:rsidRDefault="00EB0A41" w:rsidP="002A2909">
      <w:pPr>
        <w:pStyle w:val="FootnoteText"/>
      </w:pPr>
      <w:r>
        <w:rPr>
          <w:rStyle w:val="FootnoteReference"/>
        </w:rPr>
        <w:footnoteRef/>
      </w:r>
      <w:r>
        <w:rPr>
          <w:rtl/>
        </w:rPr>
        <w:t xml:space="preserve"> </w:t>
      </w:r>
      <w:r w:rsidRPr="00A21AF5">
        <w:t>Ta-</w:t>
      </w:r>
      <w:r w:rsidR="001915B4" w:rsidRPr="001915B4">
        <w:t xml:space="preserve"> Shma argued that the Jerusalem Talmud which required a blessing after </w:t>
      </w:r>
      <w:r w:rsidR="00323F08">
        <w:t>‘</w:t>
      </w:r>
      <w:r w:rsidR="001915B4" w:rsidRPr="001915B4">
        <w:t>consummation of marriage by sexual intercourse</w:t>
      </w:r>
      <w:r w:rsidR="00323F08">
        <w:t>’</w:t>
      </w:r>
      <w:r w:rsidR="001915B4" w:rsidRPr="001915B4">
        <w:t xml:space="preserve"> (Berakhot, 9: 3, 14a) refers to the virginity blessing. However, Langer notes that the Jerusalem </w:t>
      </w:r>
      <w:r w:rsidR="001915B4" w:rsidRPr="004857FC">
        <w:t>Talmud</w:t>
      </w:r>
      <w:r w:rsidR="001915B4" w:rsidRPr="001915B4">
        <w:t xml:space="preserve"> refers to blessings for performing an action, which in principle are recited before the act</w:t>
      </w:r>
      <w:r w:rsidR="001915B4">
        <w:t xml:space="preserve">, </w:t>
      </w:r>
      <w:r w:rsidR="001915B4" w:rsidRPr="001915B4">
        <w:t>in contrast to the virginity blessing which is recited after the act.</w:t>
      </w:r>
      <w:r>
        <w:t xml:space="preserve">See: </w:t>
      </w:r>
      <w:r w:rsidRPr="0084798F">
        <w:t xml:space="preserve">Langer, </w:t>
      </w:r>
      <w:r w:rsidR="00323F08">
        <w:t>‘</w:t>
      </w:r>
      <w:r w:rsidRPr="0084798F">
        <w:t>The Birkat Betulim</w:t>
      </w:r>
      <w:r w:rsidR="00323F08">
        <w:t>’</w:t>
      </w:r>
      <w:r w:rsidRPr="0084798F">
        <w:t>, p.</w:t>
      </w:r>
      <w:r>
        <w:t xml:space="preserve"> 55 n. 8.</w:t>
      </w:r>
      <w:r w:rsidRPr="0084798F">
        <w:t xml:space="preserve"> </w:t>
      </w:r>
      <w:r w:rsidRPr="00C359B2">
        <w:t xml:space="preserve">Ta-Shma, </w:t>
      </w:r>
      <w:r w:rsidR="00323F08">
        <w:t>‘</w:t>
      </w:r>
      <w:r w:rsidRPr="00C359B2">
        <w:t>A Maimonides Responsum on the Virginity Blessing</w:t>
      </w:r>
      <w:r w:rsidR="00323F08">
        <w:t>’</w:t>
      </w:r>
      <w:r>
        <w:t>, p. 11 n. 6.</w:t>
      </w:r>
    </w:p>
  </w:footnote>
  <w:footnote w:id="21">
    <w:p w14:paraId="422B0AB7" w14:textId="52FCED82" w:rsidR="00EB0A41" w:rsidRPr="004857FC" w:rsidRDefault="00EB0A41" w:rsidP="002A2909">
      <w:pPr>
        <w:pStyle w:val="FootnoteText"/>
      </w:pPr>
      <w:r>
        <w:rPr>
          <w:rStyle w:val="FootnoteReference"/>
        </w:rPr>
        <w:footnoteRef/>
      </w:r>
      <w:r>
        <w:rPr>
          <w:rtl/>
        </w:rPr>
        <w:t xml:space="preserve"> </w:t>
      </w:r>
      <w:r w:rsidRPr="0084798F">
        <w:t>TS NS 235.190</w:t>
      </w:r>
      <w:r>
        <w:t>.</w:t>
      </w:r>
      <w:r w:rsidR="000B0321">
        <w:t xml:space="preserve"> </w:t>
      </w:r>
      <w:r w:rsidR="001915B4" w:rsidRPr="004857FC">
        <w:t>In other versions there are allusions to Biblical chapter regarding the wayward wife</w:t>
      </w:r>
      <w:r w:rsidR="001915B4" w:rsidRPr="004857FC">
        <w:rPr>
          <w:rtl/>
        </w:rPr>
        <w:t>.</w:t>
      </w:r>
      <w:r w:rsidR="004857FC" w:rsidRPr="004857FC">
        <w:t xml:space="preserve"> </w:t>
      </w:r>
      <w:r w:rsidR="001915B4" w:rsidRPr="004857FC">
        <w:t xml:space="preserve">See: Langer, </w:t>
      </w:r>
      <w:r w:rsidR="00323F08">
        <w:t>‘</w:t>
      </w:r>
      <w:r w:rsidR="001915B4" w:rsidRPr="004857FC">
        <w:t>The Birkat Betulim</w:t>
      </w:r>
      <w:r w:rsidR="00323F08">
        <w:t>’</w:t>
      </w:r>
      <w:r w:rsidR="001915B4" w:rsidRPr="004857FC">
        <w:t>, pp. 61-65, 69, 87-88</w:t>
      </w:r>
      <w:r w:rsidR="001915B4" w:rsidRPr="004857FC">
        <w:rPr>
          <w:rtl/>
        </w:rPr>
        <w:t>.</w:t>
      </w:r>
      <w:r w:rsidR="004857FC" w:rsidRPr="004857FC">
        <w:t xml:space="preserve"> </w:t>
      </w:r>
      <w:r w:rsidR="001915B4" w:rsidRPr="004857FC">
        <w:t xml:space="preserve">Langer linked the mention of the wayward wife chapter to liturgical motifs of the blessing. However, in our opinion, the fear that the non-virgin bride may have committed adultery is a clear halakhic matter. Langer also insisted that the allusions to the wayward wife were preserved in </w:t>
      </w:r>
      <w:r w:rsidR="003772C2">
        <w:t>G</w:t>
      </w:r>
      <w:r w:rsidR="001915B4" w:rsidRPr="004857FC">
        <w:t>enizah passages rather than in printed versions. In our opinion the fear of the wayward wife does not exist in Babylonian law and the language change is understandable</w:t>
      </w:r>
      <w:r w:rsidR="001915B4" w:rsidRPr="004857FC">
        <w:rPr>
          <w:rFonts w:hint="cs"/>
          <w:rtl/>
        </w:rPr>
        <w:t>.</w:t>
      </w:r>
    </w:p>
  </w:footnote>
  <w:footnote w:id="22">
    <w:p w14:paraId="32E35E46" w14:textId="3C8BC66D" w:rsidR="002D6985" w:rsidRDefault="002D6985" w:rsidP="002A2909">
      <w:pPr>
        <w:pStyle w:val="FootnoteText"/>
      </w:pPr>
      <w:r>
        <w:rPr>
          <w:rStyle w:val="FootnoteReference"/>
        </w:rPr>
        <w:footnoteRef/>
      </w:r>
      <w:r>
        <w:rPr>
          <w:rtl/>
        </w:rPr>
        <w:t xml:space="preserve"> </w:t>
      </w:r>
      <w:r>
        <w:t>b</w:t>
      </w:r>
      <w:r w:rsidRPr="0084798F">
        <w:t>Ketubot,</w:t>
      </w:r>
      <w:r>
        <w:t xml:space="preserve"> 6b. See: </w:t>
      </w:r>
      <w:r w:rsidRPr="008D69C4">
        <w:t xml:space="preserve">Rubin, </w:t>
      </w:r>
      <w:r w:rsidRPr="008D69C4">
        <w:rPr>
          <w:i/>
          <w:iCs/>
        </w:rPr>
        <w:t>The Joy of Life</w:t>
      </w:r>
      <w:r>
        <w:rPr>
          <w:i/>
          <w:iCs/>
        </w:rPr>
        <w:t xml:space="preserve">, </w:t>
      </w:r>
      <w:r>
        <w:t>pp. 256-257.</w:t>
      </w:r>
    </w:p>
  </w:footnote>
  <w:footnote w:id="23">
    <w:p w14:paraId="64785CF0" w14:textId="285835FC" w:rsidR="002D6985" w:rsidRPr="005C2865" w:rsidRDefault="002D6985" w:rsidP="00F322F9">
      <w:pPr>
        <w:pStyle w:val="FootnoteText"/>
      </w:pPr>
      <w:r w:rsidRPr="005C2865">
        <w:rPr>
          <w:rStyle w:val="FootnoteReference"/>
          <w:rFonts w:asciiTheme="minorBidi" w:hAnsiTheme="minorBidi"/>
        </w:rPr>
        <w:footnoteRef/>
      </w:r>
      <w:r w:rsidRPr="005C2865">
        <w:rPr>
          <w:rtl/>
        </w:rPr>
        <w:t xml:space="preserve"> </w:t>
      </w:r>
      <w:r w:rsidR="00C85C56" w:rsidRPr="005C2865">
        <w:t xml:space="preserve">See: </w:t>
      </w:r>
      <w:r w:rsidRPr="005C2865">
        <w:t xml:space="preserve">Adiel Schremer, </w:t>
      </w:r>
      <w:r w:rsidRPr="000817AC">
        <w:rPr>
          <w:i/>
          <w:iCs/>
        </w:rPr>
        <w:t>Male and Female He Created Them: Jewish Marriage in the Late Second Temple Mishnah and Talmud Periods</w:t>
      </w:r>
      <w:r w:rsidRPr="005C2865">
        <w:t xml:space="preserve">, Jerusalem: Shazar Center, 2003, pp. 108-111, 113-125 (Hebrew). The Differences Between Babylonian and Palestinian Jews, ed. Margulies, pp. 161-162. </w:t>
      </w:r>
      <w:bookmarkStart w:id="5" w:name="_Hlk96075223"/>
      <w:r w:rsidR="00C85C56" w:rsidRPr="005C2865">
        <w:t>It</w:t>
      </w:r>
      <w:r w:rsidR="000817AC">
        <w:t xml:space="preserve"> is</w:t>
      </w:r>
      <w:r w:rsidR="00C85C56" w:rsidRPr="005C2865">
        <w:t xml:space="preserve"> worth noting that there is a possibility that the mention of the virginity blessing in </w:t>
      </w:r>
      <w:r w:rsidR="00C85C56" w:rsidRPr="000817AC">
        <w:rPr>
          <w:i/>
          <w:iCs/>
        </w:rPr>
        <w:t>Halakhot Gedolot</w:t>
      </w:r>
      <w:r w:rsidR="00C85C56" w:rsidRPr="005C2865">
        <w:t xml:space="preserve"> and other Babylonian sources is a late gloss</w:t>
      </w:r>
      <w:r w:rsidR="00F322F9">
        <w:t xml:space="preserve"> and</w:t>
      </w:r>
      <w:r w:rsidR="00C85C56" w:rsidRPr="005C2865">
        <w:t xml:space="preserve"> the first mention of the confirmation of virginity in the Babylonian Talmud is in the responsum of Hai Gaon</w:t>
      </w:r>
      <w:r w:rsidR="00C85C56" w:rsidRPr="005C2865">
        <w:rPr>
          <w:rtl/>
        </w:rPr>
        <w:t>.</w:t>
      </w:r>
      <w:r w:rsidR="00C85C56" w:rsidRPr="005C2865">
        <w:t xml:space="preserve"> See: Langer, </w:t>
      </w:r>
      <w:r w:rsidR="00323F08">
        <w:t>‘</w:t>
      </w:r>
      <w:r w:rsidR="00C85C56" w:rsidRPr="005C2865">
        <w:t>The Birkat Betulim</w:t>
      </w:r>
      <w:r w:rsidR="00323F08">
        <w:t>’</w:t>
      </w:r>
      <w:r w:rsidR="00C85C56" w:rsidRPr="005C2865">
        <w:t>, pp. 68 n. 40, 72</w:t>
      </w:r>
      <w:r w:rsidR="00C85C56" w:rsidRPr="005C2865">
        <w:rPr>
          <w:rtl/>
        </w:rPr>
        <w:t>.</w:t>
      </w:r>
      <w:r w:rsidR="00F322F9">
        <w:t xml:space="preserve"> </w:t>
      </w:r>
      <w:r w:rsidR="00C85C56" w:rsidRPr="005C2865">
        <w:t xml:space="preserve">Hai Gaon began writing </w:t>
      </w:r>
      <w:r w:rsidR="00F322F9">
        <w:t>responsa</w:t>
      </w:r>
      <w:r w:rsidR="00C85C56" w:rsidRPr="005C2865">
        <w:t xml:space="preserve"> </w:t>
      </w:r>
      <w:r w:rsidR="00F322F9">
        <w:t xml:space="preserve">when he was appointed </w:t>
      </w:r>
      <w:r w:rsidR="00F322F9" w:rsidRPr="00F322F9">
        <w:rPr>
          <w:i/>
          <w:iCs/>
        </w:rPr>
        <w:t>Av Beit Din</w:t>
      </w:r>
      <w:r w:rsidR="00C85C56" w:rsidRPr="005C2865">
        <w:t xml:space="preserve"> in 986 until his death in 1038. </w:t>
      </w:r>
      <w:r w:rsidR="00735D5D">
        <w:t>Th</w:t>
      </w:r>
      <w:r w:rsidR="00C85C56" w:rsidRPr="005C2865">
        <w:t xml:space="preserve">ese data reinforce the assumption that the </w:t>
      </w:r>
      <w:r w:rsidR="00735D5D" w:rsidRPr="005C2865">
        <w:t>the virginity blessing</w:t>
      </w:r>
      <w:r w:rsidR="00735D5D">
        <w:t xml:space="preserve"> did not originate in </w:t>
      </w:r>
      <w:r w:rsidR="00C85C56" w:rsidRPr="005C2865">
        <w:t>Babylonia.</w:t>
      </w:r>
      <w:r w:rsidRPr="005C2865">
        <w:rPr>
          <w:rStyle w:val="FootnoteReference"/>
          <w:rFonts w:asciiTheme="minorBidi" w:eastAsia="Times New Roman" w:hAnsiTheme="minorBidi"/>
          <w:rtl/>
        </w:rPr>
        <w:t xml:space="preserve"> </w:t>
      </w:r>
    </w:p>
    <w:bookmarkEnd w:id="5"/>
  </w:footnote>
  <w:footnote w:id="24">
    <w:p w14:paraId="7BFC9DDE" w14:textId="20317C92" w:rsidR="002D6985" w:rsidRPr="005C2865" w:rsidRDefault="002D6985" w:rsidP="002A2909">
      <w:pPr>
        <w:pStyle w:val="FootnoteText"/>
        <w:rPr>
          <w:rFonts w:cstheme="minorHAnsi"/>
        </w:rPr>
      </w:pPr>
      <w:r w:rsidRPr="005C2865">
        <w:rPr>
          <w:rStyle w:val="FootnoteReference"/>
          <w:rFonts w:asciiTheme="minorBidi" w:hAnsiTheme="minorBidi"/>
        </w:rPr>
        <w:footnoteRef/>
      </w:r>
      <w:r w:rsidRPr="005C2865">
        <w:rPr>
          <w:rtl/>
        </w:rPr>
        <w:t xml:space="preserve"> </w:t>
      </w:r>
      <w:r w:rsidRPr="005C2865">
        <w:rPr>
          <w:color w:val="202122"/>
          <w:shd w:val="clear" w:color="auto" w:fill="FFFFFF"/>
        </w:rPr>
        <w:t xml:space="preserve">Deuteronomy, 24 1. </w:t>
      </w:r>
      <w:r w:rsidRPr="005C2865">
        <w:t xml:space="preserve">See also: Jacob Neubauer, </w:t>
      </w:r>
      <w:r w:rsidRPr="005C2865">
        <w:rPr>
          <w:i/>
          <w:iCs/>
        </w:rPr>
        <w:t>The History of Marriage Laws in Bible and Talmud</w:t>
      </w:r>
      <w:r w:rsidRPr="005C2865">
        <w:t xml:space="preserve">, Jerusalem: Magnes Press, 1994, p. 58 (Hebrew). Raphael Patai, </w:t>
      </w:r>
      <w:r w:rsidRPr="005C2865">
        <w:rPr>
          <w:i/>
          <w:iCs/>
        </w:rPr>
        <w:t>Sex and Family in the Bible and the Middle Eest</w:t>
      </w:r>
      <w:r w:rsidRPr="005C2865">
        <w:t>, New York: Doubleday &amp; Company, 1959, pp. 63-65.</w:t>
      </w:r>
    </w:p>
  </w:footnote>
  <w:footnote w:id="25">
    <w:p w14:paraId="2AF8E89E" w14:textId="11B9586D" w:rsidR="002D6985" w:rsidRDefault="002D6985" w:rsidP="002A2909">
      <w:pPr>
        <w:pStyle w:val="FootnoteText"/>
      </w:pPr>
      <w:r>
        <w:rPr>
          <w:rStyle w:val="FootnoteReference"/>
        </w:rPr>
        <w:footnoteRef/>
      </w:r>
      <w:r>
        <w:rPr>
          <w:rtl/>
        </w:rPr>
        <w:t xml:space="preserve"> </w:t>
      </w:r>
      <w:r w:rsidRPr="0065027F">
        <w:rPr>
          <w:rFonts w:asciiTheme="minorBidi" w:hAnsiTheme="minorBidi"/>
        </w:rPr>
        <w:t>m</w:t>
      </w:r>
      <w:r w:rsidRPr="0065027F">
        <w:rPr>
          <w:shd w:val="clear" w:color="auto" w:fill="FFFFFF"/>
        </w:rPr>
        <w:t>Kiddushin</w:t>
      </w:r>
      <w:r>
        <w:rPr>
          <w:shd w:val="clear" w:color="auto" w:fill="FFFFFF"/>
        </w:rPr>
        <w:t>,1:1.</w:t>
      </w:r>
    </w:p>
  </w:footnote>
  <w:footnote w:id="26">
    <w:p w14:paraId="159CFED9" w14:textId="0AC47B8B" w:rsidR="002D6985" w:rsidRDefault="002D6985" w:rsidP="002A2909">
      <w:pPr>
        <w:pStyle w:val="FootnoteText"/>
      </w:pPr>
      <w:r>
        <w:rPr>
          <w:rStyle w:val="FootnoteReference"/>
        </w:rPr>
        <w:footnoteRef/>
      </w:r>
      <w:r>
        <w:rPr>
          <w:rtl/>
        </w:rPr>
        <w:t xml:space="preserve"> </w:t>
      </w:r>
      <w:r w:rsidRPr="00D33906">
        <w:t xml:space="preserve">Rubin, </w:t>
      </w:r>
      <w:r w:rsidRPr="00D33906">
        <w:rPr>
          <w:i/>
          <w:iCs/>
        </w:rPr>
        <w:t>The Joy of Life</w:t>
      </w:r>
      <w:r>
        <w:t>, pp.</w:t>
      </w:r>
      <w:r>
        <w:rPr>
          <w:shd w:val="clear" w:color="auto" w:fill="FFFFFF"/>
        </w:rPr>
        <w:t xml:space="preserve"> 117-119, 122-123, 257.</w:t>
      </w:r>
    </w:p>
  </w:footnote>
  <w:footnote w:id="27">
    <w:p w14:paraId="2B569044" w14:textId="5B1BBFD0" w:rsidR="002D6985" w:rsidRDefault="002D6985" w:rsidP="002A2909">
      <w:pPr>
        <w:pStyle w:val="FootnoteText"/>
      </w:pPr>
      <w:r>
        <w:rPr>
          <w:rStyle w:val="FootnoteReference"/>
        </w:rPr>
        <w:footnoteRef/>
      </w:r>
      <w:r>
        <w:rPr>
          <w:rtl/>
        </w:rPr>
        <w:t xml:space="preserve"> </w:t>
      </w:r>
      <w:r>
        <w:t>m</w:t>
      </w:r>
      <w:r w:rsidRPr="0084798F">
        <w:t>Ketubot</w:t>
      </w:r>
      <w:r>
        <w:t xml:space="preserve">, 1:5. </w:t>
      </w:r>
    </w:p>
  </w:footnote>
  <w:footnote w:id="28">
    <w:p w14:paraId="1BA83232" w14:textId="59A85366" w:rsidR="002D6985" w:rsidRDefault="002D6985" w:rsidP="002A2909">
      <w:pPr>
        <w:pStyle w:val="FootnoteText"/>
      </w:pPr>
      <w:r>
        <w:rPr>
          <w:rStyle w:val="FootnoteReference"/>
        </w:rPr>
        <w:footnoteRef/>
      </w:r>
      <w:r>
        <w:rPr>
          <w:rtl/>
        </w:rPr>
        <w:t xml:space="preserve"> </w:t>
      </w:r>
      <w:r>
        <w:rPr>
          <w:rFonts w:asciiTheme="minorBidi" w:hAnsiTheme="minorBidi"/>
        </w:rPr>
        <w:t>m</w:t>
      </w:r>
      <w:r>
        <w:rPr>
          <w:shd w:val="clear" w:color="auto" w:fill="FFFFFF"/>
        </w:rPr>
        <w:t>Yevamot, 4:1.</w:t>
      </w:r>
    </w:p>
  </w:footnote>
  <w:footnote w:id="29">
    <w:p w14:paraId="10C888FB" w14:textId="111CF477" w:rsidR="002D6985" w:rsidRPr="000F4173" w:rsidRDefault="002D6985" w:rsidP="002A2909">
      <w:pPr>
        <w:pStyle w:val="FootnoteText"/>
        <w:rPr>
          <w:lang w:val="de-DE"/>
        </w:rPr>
      </w:pPr>
      <w:r>
        <w:rPr>
          <w:rStyle w:val="FootnoteReference"/>
        </w:rPr>
        <w:footnoteRef/>
      </w:r>
      <w:r>
        <w:rPr>
          <w:rtl/>
        </w:rPr>
        <w:t xml:space="preserve"> </w:t>
      </w:r>
      <w:r w:rsidRPr="00ED11FC">
        <w:t xml:space="preserve">yGittin, 8:9, 49d. </w:t>
      </w:r>
      <w:r w:rsidRPr="006B105B">
        <w:rPr>
          <w:i/>
          <w:iCs/>
        </w:rPr>
        <w:t>Midrash Tannaim</w:t>
      </w:r>
      <w:r w:rsidRPr="00ED11FC">
        <w:t xml:space="preserve">, </w:t>
      </w:r>
      <w:r w:rsidRPr="00ED11FC">
        <w:rPr>
          <w:shd w:val="clear" w:color="auto" w:fill="FFFFFF"/>
        </w:rPr>
        <w:t xml:space="preserve">Deuteronomy, 24:1, ed. </w:t>
      </w:r>
      <w:r w:rsidRPr="000F4173">
        <w:rPr>
          <w:shd w:val="clear" w:color="auto" w:fill="FFFFFF"/>
          <w:lang w:val="de-DE"/>
        </w:rPr>
        <w:t xml:space="preserve">David Zvi Hoffmann, Berlin: </w:t>
      </w:r>
      <w:r w:rsidRPr="000F4173">
        <w:rPr>
          <w:color w:val="000000"/>
          <w:shd w:val="clear" w:color="auto" w:fill="FFFFFF"/>
          <w:lang w:val="de-DE"/>
        </w:rPr>
        <w:t>I</w:t>
      </w:r>
      <w:r w:rsidR="00E26304">
        <w:rPr>
          <w:color w:val="000000"/>
          <w:shd w:val="clear" w:color="auto" w:fill="FFFFFF"/>
          <w:lang w:val="de-DE"/>
        </w:rPr>
        <w:t>ts</w:t>
      </w:r>
      <w:r w:rsidRPr="000F4173">
        <w:rPr>
          <w:color w:val="000000"/>
          <w:shd w:val="clear" w:color="auto" w:fill="FFFFFF"/>
          <w:lang w:val="de-DE"/>
        </w:rPr>
        <w:t>kowski,</w:t>
      </w:r>
      <w:r w:rsidRPr="000F4173">
        <w:rPr>
          <w:shd w:val="clear" w:color="auto" w:fill="FFFFFF"/>
          <w:lang w:val="de-DE"/>
        </w:rPr>
        <w:t xml:space="preserve"> 1908, p. 155.</w:t>
      </w:r>
    </w:p>
  </w:footnote>
  <w:footnote w:id="30">
    <w:p w14:paraId="4F8A8A43" w14:textId="629ECB98" w:rsidR="0054426F" w:rsidRPr="00E26304" w:rsidRDefault="0054426F" w:rsidP="002A2909">
      <w:pPr>
        <w:pStyle w:val="FootnoteText"/>
      </w:pPr>
      <w:r>
        <w:rPr>
          <w:rStyle w:val="FootnoteReference"/>
        </w:rPr>
        <w:footnoteRef/>
      </w:r>
      <w:r>
        <w:rPr>
          <w:rtl/>
        </w:rPr>
        <w:t xml:space="preserve"> </w:t>
      </w:r>
      <w:r w:rsidRPr="00240A19">
        <w:t xml:space="preserve">mKetubot, 1:1-2. </w:t>
      </w:r>
      <w:r w:rsidRPr="00E26304">
        <w:rPr>
          <w:shd w:val="clear" w:color="auto" w:fill="FFFFFF"/>
        </w:rPr>
        <w:t>Shmuel Safrai, Ze</w:t>
      </w:r>
      <w:r w:rsidR="00323F08">
        <w:rPr>
          <w:shd w:val="clear" w:color="auto" w:fill="FFFFFF"/>
        </w:rPr>
        <w:t>’</w:t>
      </w:r>
      <w:r w:rsidRPr="00E26304">
        <w:rPr>
          <w:shd w:val="clear" w:color="auto" w:fill="FFFFFF"/>
        </w:rPr>
        <w:t xml:space="preserve">ev Safrai &amp; Chana Safrai, </w:t>
      </w:r>
      <w:r w:rsidRPr="00E26304">
        <w:rPr>
          <w:i/>
          <w:iCs/>
          <w:shd w:val="clear" w:color="auto" w:fill="FFFFFF"/>
        </w:rPr>
        <w:t>Mishnat Erre</w:t>
      </w:r>
      <w:r w:rsidR="00E26304" w:rsidRPr="00E26304">
        <w:rPr>
          <w:i/>
          <w:iCs/>
          <w:shd w:val="clear" w:color="auto" w:fill="FFFFFF"/>
        </w:rPr>
        <w:t>ts</w:t>
      </w:r>
      <w:r w:rsidRPr="00E26304">
        <w:rPr>
          <w:i/>
          <w:iCs/>
          <w:shd w:val="clear" w:color="auto" w:fill="FFFFFF"/>
        </w:rPr>
        <w:t xml:space="preserve"> Israel: Tractate Ketubot – A</w:t>
      </w:r>
      <w:r w:rsidRPr="00E26304">
        <w:rPr>
          <w:shd w:val="clear" w:color="auto" w:fill="FFFFFF"/>
        </w:rPr>
        <w:t>, Jerusalem: Liphshi</w:t>
      </w:r>
      <w:r w:rsidR="00E26304" w:rsidRPr="00E26304">
        <w:rPr>
          <w:shd w:val="clear" w:color="auto" w:fill="FFFFFF"/>
        </w:rPr>
        <w:t>ts</w:t>
      </w:r>
      <w:r w:rsidRPr="00E26304">
        <w:rPr>
          <w:shd w:val="clear" w:color="auto" w:fill="FFFFFF"/>
        </w:rPr>
        <w:t xml:space="preserve"> Publishing, 2013, pp. 94-98, 101, 201.</w:t>
      </w:r>
    </w:p>
  </w:footnote>
  <w:footnote w:id="31">
    <w:p w14:paraId="4BC3EA6A" w14:textId="7D51964D" w:rsidR="0054426F" w:rsidRPr="000F4173" w:rsidRDefault="0054426F" w:rsidP="002A2909">
      <w:pPr>
        <w:pStyle w:val="FootnoteText"/>
        <w:rPr>
          <w:lang w:val="de-DE"/>
        </w:rPr>
      </w:pPr>
      <w:r>
        <w:rPr>
          <w:rStyle w:val="FootnoteReference"/>
        </w:rPr>
        <w:footnoteRef/>
      </w:r>
      <w:r>
        <w:rPr>
          <w:rtl/>
        </w:rPr>
        <w:t xml:space="preserve"> </w:t>
      </w:r>
      <w:r w:rsidRPr="000F4173">
        <w:rPr>
          <w:lang w:val="de-DE"/>
        </w:rPr>
        <w:t xml:space="preserve">tSanhedrin, 10:10, ed. </w:t>
      </w:r>
      <w:r w:rsidRPr="000F4173">
        <w:rPr>
          <w:shd w:val="clear" w:color="auto" w:fill="FFFFFF"/>
          <w:lang w:val="de-DE"/>
        </w:rPr>
        <w:t>Moshe Shmuel </w:t>
      </w:r>
      <w:r w:rsidRPr="000F4173">
        <w:rPr>
          <w:rStyle w:val="Emphasis"/>
          <w:rFonts w:asciiTheme="minorBidi" w:hAnsiTheme="minorBidi"/>
          <w:shd w:val="clear" w:color="auto" w:fill="FFFFFF"/>
          <w:lang w:val="de-DE"/>
        </w:rPr>
        <w:t>Zuckermandel</w:t>
      </w:r>
      <w:r w:rsidRPr="000F4173">
        <w:rPr>
          <w:shd w:val="clear" w:color="auto" w:fill="FFFFFF"/>
          <w:lang w:val="de-DE"/>
        </w:rPr>
        <w:t>,</w:t>
      </w:r>
      <w:r w:rsidRPr="000F4173">
        <w:rPr>
          <w:lang w:val="de-DE"/>
        </w:rPr>
        <w:t xml:space="preserve"> Jerusalem: </w:t>
      </w:r>
      <w:r w:rsidRPr="000F4173">
        <w:rPr>
          <w:color w:val="000000"/>
          <w:shd w:val="clear" w:color="auto" w:fill="FFFFFF"/>
          <w:lang w:val="de-DE"/>
        </w:rPr>
        <w:t>Bamberger &amp; Wahrmann, 1970, p. 431.</w:t>
      </w:r>
    </w:p>
  </w:footnote>
  <w:footnote w:id="32">
    <w:p w14:paraId="68EC842D" w14:textId="24545C69" w:rsidR="0054426F" w:rsidRDefault="0054426F" w:rsidP="002A2909">
      <w:pPr>
        <w:pStyle w:val="FootnoteText"/>
      </w:pPr>
      <w:r>
        <w:rPr>
          <w:rStyle w:val="FootnoteReference"/>
        </w:rPr>
        <w:footnoteRef/>
      </w:r>
      <w:r>
        <w:rPr>
          <w:rtl/>
        </w:rPr>
        <w:t xml:space="preserve"> </w:t>
      </w:r>
      <w:r>
        <w:t>y</w:t>
      </w:r>
      <w:r w:rsidRPr="0084798F">
        <w:t>Ketubot</w:t>
      </w:r>
      <w:r>
        <w:t>, 1:5, 25c.</w:t>
      </w:r>
    </w:p>
  </w:footnote>
  <w:footnote w:id="33">
    <w:p w14:paraId="716A9C40" w14:textId="62C0369C" w:rsidR="0054426F" w:rsidRPr="005C2865" w:rsidRDefault="0054426F" w:rsidP="002A2909">
      <w:pPr>
        <w:pStyle w:val="FootnoteText"/>
      </w:pPr>
      <w:r w:rsidRPr="005C2865">
        <w:rPr>
          <w:rStyle w:val="FootnoteReference"/>
          <w:rFonts w:asciiTheme="minorBidi" w:hAnsiTheme="minorBidi"/>
        </w:rPr>
        <w:footnoteRef/>
      </w:r>
      <w:r w:rsidRPr="005C2865">
        <w:rPr>
          <w:rtl/>
        </w:rPr>
        <w:t xml:space="preserve"> </w:t>
      </w:r>
      <w:r w:rsidRPr="005C2865">
        <w:t xml:space="preserve">Hillel I. Newman, </w:t>
      </w:r>
      <w:r w:rsidRPr="008B3766">
        <w:rPr>
          <w:i/>
          <w:iCs/>
        </w:rPr>
        <w:t>The Ma</w:t>
      </w:r>
      <w:r w:rsidR="00323F08">
        <w:rPr>
          <w:i/>
          <w:iCs/>
        </w:rPr>
        <w:t>’</w:t>
      </w:r>
      <w:r w:rsidRPr="008B3766">
        <w:rPr>
          <w:i/>
          <w:iCs/>
        </w:rPr>
        <w:t>asim of the People of the Land of Israel: Halakhah and History in Byzantine Palestine, # 11</w:t>
      </w:r>
      <w:r w:rsidRPr="005C2865">
        <w:t>, Jerusalem: Yad Ben-Zvi, 2001, p. 136.</w:t>
      </w:r>
    </w:p>
  </w:footnote>
  <w:footnote w:id="34">
    <w:p w14:paraId="1E017B1D" w14:textId="577F2C2D" w:rsidR="0054426F" w:rsidRPr="005C2865" w:rsidRDefault="0054426F" w:rsidP="002A2909">
      <w:pPr>
        <w:pStyle w:val="FootnoteText"/>
      </w:pPr>
      <w:r w:rsidRPr="005C2865">
        <w:rPr>
          <w:rStyle w:val="FootnoteReference"/>
          <w:rFonts w:asciiTheme="minorBidi" w:hAnsiTheme="minorBidi"/>
        </w:rPr>
        <w:footnoteRef/>
      </w:r>
      <w:r w:rsidR="00F166BF" w:rsidRPr="005C2865">
        <w:t xml:space="preserve"> </w:t>
      </w:r>
      <w:r w:rsidR="00F166BF" w:rsidRPr="00F813E0">
        <w:rPr>
          <w:i/>
          <w:iCs/>
        </w:rPr>
        <w:t>Sefer Hama</w:t>
      </w:r>
      <w:r w:rsidR="00323F08">
        <w:rPr>
          <w:i/>
          <w:iCs/>
        </w:rPr>
        <w:t>’</w:t>
      </w:r>
      <w:r w:rsidR="00F166BF" w:rsidRPr="00F813E0">
        <w:rPr>
          <w:i/>
          <w:iCs/>
        </w:rPr>
        <w:t>asim</w:t>
      </w:r>
      <w:r w:rsidR="00F166BF" w:rsidRPr="005C2865">
        <w:t xml:space="preserve"> discusses a betrothed woman who committed adultery and ruled that the child is a bastard. The reasoning for the ruling is bacause there was no evidence of the betrothed couple</w:t>
      </w:r>
      <w:r w:rsidR="00323F08">
        <w:t>’</w:t>
      </w:r>
      <w:r w:rsidR="00F166BF" w:rsidRPr="005C2865">
        <w:t>s cohabiting, it could not be assumed that the child was the result of sexual intercourse between legal partners. It follows that the beit din considered that a husband and a fiancé are legally the same, and it only rejected the child</w:t>
      </w:r>
      <w:r w:rsidR="00323F08">
        <w:t>’</w:t>
      </w:r>
      <w:r w:rsidR="00F166BF" w:rsidRPr="005C2865">
        <w:t xml:space="preserve">s legitimacy because the fiancé claimed: </w:t>
      </w:r>
      <w:r w:rsidR="00323F08">
        <w:t>‘</w:t>
      </w:r>
      <w:r w:rsidR="00F166BF" w:rsidRPr="005C2865">
        <w:t>She is betrothed and was found to be pregnant. She claims it was her fiancé, but the fiancé says I do not know what she is talking about…</w:t>
      </w:r>
      <w:r w:rsidR="00323F08">
        <w:t>’</w:t>
      </w:r>
      <w:r w:rsidR="00F166BF" w:rsidRPr="005C2865">
        <w:t xml:space="preserve"> Because there are no witnesses that that they cohabited, the child is a bastard since they are betrothed. However, had d they been married, the child would have been legitimate since in most instances the wife is with her husband. (</w:t>
      </w:r>
      <w:r w:rsidR="00F166BF" w:rsidRPr="00F813E0">
        <w:rPr>
          <w:i/>
          <w:iCs/>
        </w:rPr>
        <w:t>Sefer Hama</w:t>
      </w:r>
      <w:r w:rsidR="00323F08">
        <w:rPr>
          <w:i/>
          <w:iCs/>
        </w:rPr>
        <w:t>’</w:t>
      </w:r>
      <w:r w:rsidR="00F166BF" w:rsidRPr="00F813E0">
        <w:rPr>
          <w:i/>
          <w:iCs/>
        </w:rPr>
        <w:t>asim</w:t>
      </w:r>
      <w:r w:rsidR="00F166BF" w:rsidRPr="005C2865">
        <w:t xml:space="preserve">, p. 204). In another case, </w:t>
      </w:r>
      <w:r w:rsidR="00F166BF" w:rsidRPr="00323F08">
        <w:rPr>
          <w:i/>
          <w:iCs/>
        </w:rPr>
        <w:t>Sefer Hama</w:t>
      </w:r>
      <w:r w:rsidR="00323F08">
        <w:rPr>
          <w:i/>
          <w:iCs/>
        </w:rPr>
        <w:t>’</w:t>
      </w:r>
      <w:r w:rsidR="00F166BF" w:rsidRPr="00323F08">
        <w:rPr>
          <w:i/>
          <w:iCs/>
        </w:rPr>
        <w:t>asim</w:t>
      </w:r>
      <w:r w:rsidR="00F166BF" w:rsidRPr="005C2865">
        <w:t xml:space="preserve"> discusses the marriage of a woman who can neither hear nor speak, and rules that marriage can be performed vis sexual intercourse. </w:t>
      </w:r>
      <w:r w:rsidR="00323F08">
        <w:t>‘</w:t>
      </w:r>
      <w:r w:rsidR="00F166BF" w:rsidRPr="005C2865">
        <w:t>[In the case of] a girl who cannot hear…or see… or speak… one who wishes to marry her should put [money for marriage] in her hand in front of witnesses, fondle her and embrace her.</w:t>
      </w:r>
      <w:r w:rsidR="00323F08">
        <w:t>’</w:t>
      </w:r>
      <w:r w:rsidR="00F166BF" w:rsidRPr="005C2865">
        <w:t xml:space="preserve"> (Ma</w:t>
      </w:r>
      <w:r w:rsidR="00323F08">
        <w:t>’</w:t>
      </w:r>
      <w:r w:rsidR="00F166BF" w:rsidRPr="005C2865">
        <w:t>aseh Yad, p. 140). Here too there is legitimacy for a sexual relationship at the beginning of the engagement</w:t>
      </w:r>
      <w:r w:rsidR="00F166BF" w:rsidRPr="005C2865">
        <w:rPr>
          <w:rtl/>
        </w:rPr>
        <w:t>.</w:t>
      </w:r>
    </w:p>
  </w:footnote>
  <w:footnote w:id="35">
    <w:p w14:paraId="11C3F4BB" w14:textId="116F18CF" w:rsidR="0054426F" w:rsidRDefault="0054426F" w:rsidP="002A2909">
      <w:pPr>
        <w:pStyle w:val="FootnoteText"/>
      </w:pPr>
      <w:r w:rsidRPr="005C2865">
        <w:rPr>
          <w:rStyle w:val="FootnoteReference"/>
          <w:rFonts w:asciiTheme="minorBidi" w:hAnsiTheme="minorBidi"/>
        </w:rPr>
        <w:footnoteRef/>
      </w:r>
      <w:r w:rsidRPr="005C2865">
        <w:rPr>
          <w:rtl/>
        </w:rPr>
        <w:t xml:space="preserve"> </w:t>
      </w:r>
      <w:r w:rsidRPr="005C2865">
        <w:t>Papyrus Yadin 37- Marriage Contract</w:t>
      </w:r>
      <w:r w:rsidR="00323F08">
        <w:t>’</w:t>
      </w:r>
      <w:r w:rsidRPr="005C2865">
        <w:t xml:space="preserve">, </w:t>
      </w:r>
      <w:r w:rsidRPr="005C2865">
        <w:rPr>
          <w:i/>
          <w:iCs/>
        </w:rPr>
        <w:t>The Documents from the Bar Kokhba Period in the Cave of Letters: Greek Papyri</w:t>
      </w:r>
      <w:r w:rsidRPr="005C2865">
        <w:t xml:space="preserve">, ed. N. Lewis, Jerusalem: Israel Exploration Society, 1989, p. 132. See also: T. Ilan, </w:t>
      </w:r>
      <w:r w:rsidR="00323F08">
        <w:t>‘</w:t>
      </w:r>
      <w:r w:rsidRPr="005C2865">
        <w:t>Premarital Cohabitation in Ancient Judea: the Evidence of the Babatha Archive and the Mishnah (</w:t>
      </w:r>
      <w:r w:rsidRPr="005C2865">
        <w:rPr>
          <w:i/>
          <w:iCs/>
        </w:rPr>
        <w:t>Ketubbot</w:t>
      </w:r>
      <w:r w:rsidRPr="005C2865">
        <w:t xml:space="preserve"> 1.4)</w:t>
      </w:r>
      <w:r w:rsidR="00323F08">
        <w:t>’</w:t>
      </w:r>
      <w:r w:rsidRPr="005C2865">
        <w:t xml:space="preserve">, </w:t>
      </w:r>
      <w:r w:rsidRPr="005C2865">
        <w:rPr>
          <w:i/>
          <w:iCs/>
        </w:rPr>
        <w:t>HTR</w:t>
      </w:r>
      <w:r w:rsidRPr="005C2865">
        <w:t xml:space="preserve"> 86 (1993), pp. 247-264.</w:t>
      </w:r>
    </w:p>
  </w:footnote>
  <w:footnote w:id="36">
    <w:p w14:paraId="681EB3A6" w14:textId="6E1773F8" w:rsidR="00F12795" w:rsidRPr="00DE06BC" w:rsidRDefault="00F12795" w:rsidP="006F2D1C">
      <w:pPr>
        <w:pStyle w:val="FootnoteText"/>
      </w:pPr>
      <w:r w:rsidRPr="00DE06BC">
        <w:rPr>
          <w:rStyle w:val="FootnoteReference"/>
          <w:rFonts w:asciiTheme="minorBidi" w:hAnsiTheme="minorBidi"/>
        </w:rPr>
        <w:footnoteRef/>
      </w:r>
      <w:r w:rsidRPr="00DE06BC">
        <w:rPr>
          <w:rtl/>
        </w:rPr>
        <w:t xml:space="preserve"> </w:t>
      </w:r>
      <w:r w:rsidRPr="006F2D1C">
        <w:t>yKetubot</w:t>
      </w:r>
      <w:r>
        <w:t xml:space="preserve">, 5:3, 29d. See also: </w:t>
      </w:r>
      <w:r w:rsidRPr="008D69C4">
        <w:t xml:space="preserve">Enoch Albek, </w:t>
      </w:r>
      <w:r w:rsidR="00323F08">
        <w:t>‘</w:t>
      </w:r>
      <w:r w:rsidRPr="008D69C4">
        <w:t>Betrothal and Bethrothal Writs</w:t>
      </w:r>
      <w:r w:rsidR="00323F08">
        <w:t>’</w:t>
      </w:r>
      <w:r w:rsidRPr="008D69C4">
        <w:t xml:space="preserve">, </w:t>
      </w:r>
      <w:r w:rsidRPr="008D69C4">
        <w:rPr>
          <w:i/>
          <w:iCs/>
        </w:rPr>
        <w:t>Studies in Memory of Moses Schorr</w:t>
      </w:r>
      <w:r w:rsidRPr="008D69C4">
        <w:t xml:space="preserve">, eds. Louis Ginzberg &amp; Abraham Weiss, New York: The Professor Moses Schorr Memorial Committee, 1944, pp. 12-24. </w:t>
      </w:r>
    </w:p>
  </w:footnote>
  <w:footnote w:id="37">
    <w:p w14:paraId="4F3FF405" w14:textId="30586967" w:rsidR="00077C76" w:rsidRDefault="00077C76" w:rsidP="006F2D1C">
      <w:pPr>
        <w:pStyle w:val="FootnoteText"/>
      </w:pPr>
      <w:r>
        <w:rPr>
          <w:rStyle w:val="FootnoteReference"/>
        </w:rPr>
        <w:footnoteRef/>
      </w:r>
      <w:r>
        <w:rPr>
          <w:rtl/>
        </w:rPr>
        <w:t xml:space="preserve"> </w:t>
      </w:r>
      <w:r w:rsidRPr="000D5E0A">
        <w:t xml:space="preserve">Neubauer, </w:t>
      </w:r>
      <w:r w:rsidRPr="006F2D1C">
        <w:rPr>
          <w:i/>
          <w:iCs/>
        </w:rPr>
        <w:t>The History of Marriage Laws in Bible and Talmud</w:t>
      </w:r>
      <w:r w:rsidRPr="000D5E0A">
        <w:t>,</w:t>
      </w:r>
      <w:r>
        <w:t xml:space="preserve"> pp. 132-135. </w:t>
      </w:r>
    </w:p>
  </w:footnote>
  <w:footnote w:id="38">
    <w:p w14:paraId="145FAFDB" w14:textId="14C8E8D5" w:rsidR="00CD6D40" w:rsidRDefault="00077C76" w:rsidP="006F2D1C">
      <w:pPr>
        <w:pStyle w:val="FootnoteText"/>
        <w:rPr>
          <w:shd w:val="clear" w:color="auto" w:fill="FFFFFF"/>
        </w:rPr>
      </w:pPr>
      <w:r>
        <w:rPr>
          <w:rStyle w:val="FootnoteReference"/>
        </w:rPr>
        <w:footnoteRef/>
      </w:r>
      <w:r>
        <w:rPr>
          <w:rtl/>
        </w:rPr>
        <w:t xml:space="preserve"> </w:t>
      </w:r>
      <w:r w:rsidR="00CD6D40" w:rsidRPr="00CD6D40">
        <w:rPr>
          <w:shd w:val="clear" w:color="auto" w:fill="FFFFFF"/>
        </w:rPr>
        <w:t xml:space="preserve">It seems that when a couple got married via sexual intercourse there was no need to verify virginity. The main reason is the lack of fear that she committed adultery since she was single before they had sex. Moreover, the existence of marriage through sexual intercourse is explained according to two contradictory anthropological models of ancient </w:t>
      </w:r>
      <w:r w:rsidR="00CD6D40" w:rsidRPr="006F2D1C">
        <w:t>agricultural</w:t>
      </w:r>
      <w:r w:rsidR="00CD6D40" w:rsidRPr="00CD6D40">
        <w:rPr>
          <w:shd w:val="clear" w:color="auto" w:fill="FFFFFF"/>
        </w:rPr>
        <w:t xml:space="preserve"> societies. According to one model, the patriarchy, which held complete control over ancestral estate, enforced the legal concept that sexual intercourse was a means for the couple to bond. Ownership of the bride, after paying the bridal price, enabled her to be brought to her designated groom in the interests of the family. This had nothing to do with the free and spontaneous marital relationships. According to the second model, the marriage via sexual intercourse stems precisely from permissive norms prevalent in ancient agricultural societies in which the girls working in the field and pasture could not be supervised. Against this background, marriage via sexual intercourse was often considered legitimate for an existing sexual relationship.</w:t>
      </w:r>
      <w:r w:rsidR="00CD6D40">
        <w:rPr>
          <w:shd w:val="clear" w:color="auto" w:fill="FFFFFF"/>
        </w:rPr>
        <w:t xml:space="preserve"> </w:t>
      </w:r>
    </w:p>
    <w:p w14:paraId="3DA96239" w14:textId="7A98F10B" w:rsidR="00077C76" w:rsidRDefault="00077C76" w:rsidP="002A2909">
      <w:pPr>
        <w:pStyle w:val="FootnoteText"/>
        <w:rPr>
          <w:shd w:val="clear" w:color="auto" w:fill="FFFFFF"/>
          <w:rtl/>
        </w:rPr>
      </w:pPr>
      <w:r w:rsidRPr="00EF0912">
        <w:rPr>
          <w:shd w:val="clear" w:color="auto" w:fill="FFFFFF"/>
        </w:rPr>
        <w:t xml:space="preserve">See: </w:t>
      </w:r>
      <w:r w:rsidRPr="00EF0912">
        <w:t xml:space="preserve">Rubin, </w:t>
      </w:r>
      <w:r w:rsidRPr="00EF0912">
        <w:rPr>
          <w:i/>
          <w:iCs/>
        </w:rPr>
        <w:t>The Joy of Life</w:t>
      </w:r>
      <w:r w:rsidRPr="00EF0912">
        <w:t>, pp.</w:t>
      </w:r>
      <w:r w:rsidRPr="00EF0912">
        <w:rPr>
          <w:shd w:val="clear" w:color="auto" w:fill="FFFFFF"/>
        </w:rPr>
        <w:t xml:space="preserve"> 35, 108-110, 115-119, 167-168, 122-123, 257, 312.</w:t>
      </w:r>
      <w:r w:rsidR="00CD6D40">
        <w:rPr>
          <w:shd w:val="clear" w:color="auto" w:fill="FFFFFF"/>
        </w:rPr>
        <w:t xml:space="preserve"> According to both models there was no need for confirmation of virginity or a link between the virginity blessing and the marriage blessing. </w:t>
      </w:r>
    </w:p>
    <w:p w14:paraId="1657D98D" w14:textId="4FC601DC" w:rsidR="00077C76" w:rsidRDefault="00077C76" w:rsidP="002A2909">
      <w:pPr>
        <w:pStyle w:val="FootnoteText"/>
      </w:pPr>
      <w:r>
        <w:rPr>
          <w:shd w:val="clear" w:color="auto" w:fill="FFFFFF"/>
        </w:rPr>
        <w:t xml:space="preserve">See: </w:t>
      </w:r>
      <w:r w:rsidRPr="00504583">
        <w:t xml:space="preserve">Langer, </w:t>
      </w:r>
      <w:r w:rsidR="00323F08">
        <w:t>‘</w:t>
      </w:r>
      <w:r w:rsidRPr="00504583">
        <w:t>The Birkat Betulim</w:t>
      </w:r>
      <w:r w:rsidR="00323F08">
        <w:t>’</w:t>
      </w:r>
      <w:r w:rsidRPr="00504583">
        <w:t>, p.</w:t>
      </w:r>
      <w:r>
        <w:t xml:space="preserve"> 83.</w:t>
      </w:r>
    </w:p>
  </w:footnote>
  <w:footnote w:id="39">
    <w:p w14:paraId="7C5C97C1" w14:textId="7A963131" w:rsidR="00077C76" w:rsidRDefault="00077C76" w:rsidP="002A2909">
      <w:pPr>
        <w:pStyle w:val="FootnoteText"/>
      </w:pPr>
      <w:r>
        <w:rPr>
          <w:rStyle w:val="FootnoteReference"/>
        </w:rPr>
        <w:footnoteRef/>
      </w:r>
      <w:r>
        <w:rPr>
          <w:rtl/>
        </w:rPr>
        <w:t xml:space="preserve"> </w:t>
      </w:r>
      <w:r w:rsidR="00CD6D40" w:rsidRPr="00CD6D40">
        <w:t>Langer insisted that the explicit allusions to the Biblical chapter on the wayward wife disappeared from the wording of the blessing during the Middle Ages. This, she said, stemmed from the unification of the engagement and marriage ceremonies, which removed the fear of adultery.</w:t>
      </w:r>
      <w:r w:rsidRPr="00504583">
        <w:t xml:space="preserve">See: Langer, </w:t>
      </w:r>
      <w:r w:rsidR="00323F08">
        <w:t>‘</w:t>
      </w:r>
      <w:r w:rsidRPr="00504583">
        <w:t>The Birkat Betulim</w:t>
      </w:r>
      <w:r w:rsidR="00323F08">
        <w:t>’</w:t>
      </w:r>
      <w:r w:rsidRPr="00504583">
        <w:t xml:space="preserve">, pp. 63-64. </w:t>
      </w:r>
    </w:p>
  </w:footnote>
  <w:footnote w:id="40">
    <w:p w14:paraId="6E47A5DF" w14:textId="6EEA2274" w:rsidR="00077C76" w:rsidRDefault="00077C76" w:rsidP="002A2909">
      <w:pPr>
        <w:pStyle w:val="FootnoteText"/>
      </w:pPr>
      <w:r>
        <w:rPr>
          <w:rStyle w:val="FootnoteReference"/>
        </w:rPr>
        <w:footnoteRef/>
      </w:r>
      <w:r>
        <w:rPr>
          <w:rtl/>
        </w:rPr>
        <w:t xml:space="preserve"> </w:t>
      </w:r>
      <w:r w:rsidR="00CD6D40" w:rsidRPr="00CD6D40">
        <w:t>The practice of cohabitation during betrothal continued into later times in Byzantium, which is subject to the halakhah of the land of Israel and the Gaonic period.</w:t>
      </w:r>
      <w:r w:rsidR="00CD6D40">
        <w:t xml:space="preserve"> </w:t>
      </w:r>
      <w:r w:rsidRPr="00A97C37">
        <w:t xml:space="preserve">See: Saul Lieberman, Tosefta Ki-Fshuṭah, New York: The Jewish Theological Seminary of America, 1962, V, p. 1182 n. 83. Rubin, </w:t>
      </w:r>
      <w:r w:rsidRPr="00A97C37">
        <w:rPr>
          <w:i/>
          <w:iCs/>
        </w:rPr>
        <w:t>The Joy of Life</w:t>
      </w:r>
      <w:r w:rsidRPr="00A97C37">
        <w:t>, pp.</w:t>
      </w:r>
      <w:r w:rsidRPr="00A97C37">
        <w:rPr>
          <w:shd w:val="clear" w:color="auto" w:fill="FFFFFF"/>
        </w:rPr>
        <w:t xml:space="preserve"> 165, 379 n. 83.</w:t>
      </w:r>
    </w:p>
  </w:footnote>
  <w:footnote w:id="41">
    <w:p w14:paraId="41EB91EB" w14:textId="2F3FFFC6" w:rsidR="00077C76" w:rsidRDefault="00077C76" w:rsidP="002A2909">
      <w:pPr>
        <w:pStyle w:val="FootnoteText"/>
      </w:pPr>
      <w:r>
        <w:rPr>
          <w:rStyle w:val="FootnoteReference"/>
        </w:rPr>
        <w:footnoteRef/>
      </w:r>
      <w:r>
        <w:rPr>
          <w:rtl/>
        </w:rPr>
        <w:t xml:space="preserve"> </w:t>
      </w:r>
      <w:r w:rsidRPr="00EF0912">
        <w:rPr>
          <w:shd w:val="clear" w:color="auto" w:fill="FFFFFF"/>
        </w:rPr>
        <w:t xml:space="preserve">See: </w:t>
      </w:r>
      <w:r w:rsidRPr="00EF0912">
        <w:t xml:space="preserve">Rubin, </w:t>
      </w:r>
      <w:r w:rsidRPr="00EF0912">
        <w:rPr>
          <w:i/>
          <w:iCs/>
        </w:rPr>
        <w:t>The Joy of Life</w:t>
      </w:r>
      <w:r w:rsidRPr="00EF0912">
        <w:t>, pp.</w:t>
      </w:r>
      <w:r w:rsidRPr="00EF0912">
        <w:rPr>
          <w:shd w:val="clear" w:color="auto" w:fill="FFFFFF"/>
        </w:rPr>
        <w:t xml:space="preserve"> </w:t>
      </w:r>
      <w:r>
        <w:rPr>
          <w:shd w:val="clear" w:color="auto" w:fill="FFFFFF"/>
        </w:rPr>
        <w:t>164-165.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1EBE"/>
    <w:multiLevelType w:val="hybridMultilevel"/>
    <w:tmpl w:val="2A8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dney Slivko">
    <w15:presenceInfo w15:providerId="Windows Live" w15:userId="03c3020920809583"/>
  </w15:person>
  <w15:person w15:author="שלם יהלום">
    <w15:presenceInfo w15:providerId="Windows Live" w15:userId="6661185e0d708542"/>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wNDO0MDU2MLU0NzNS0lEKTi0uzszPAykwrgUAuL9dKSwAAAA="/>
  </w:docVars>
  <w:rsids>
    <w:rsidRoot w:val="00F12795"/>
    <w:rsid w:val="000130EF"/>
    <w:rsid w:val="00050918"/>
    <w:rsid w:val="000633B7"/>
    <w:rsid w:val="00064219"/>
    <w:rsid w:val="00067EAC"/>
    <w:rsid w:val="00071405"/>
    <w:rsid w:val="00077C76"/>
    <w:rsid w:val="000816F5"/>
    <w:rsid w:val="000817AC"/>
    <w:rsid w:val="000A1621"/>
    <w:rsid w:val="000B0321"/>
    <w:rsid w:val="000B300B"/>
    <w:rsid w:val="000B4BDF"/>
    <w:rsid w:val="000C36C4"/>
    <w:rsid w:val="000D26A4"/>
    <w:rsid w:val="000F4173"/>
    <w:rsid w:val="000F6EA6"/>
    <w:rsid w:val="00110AC3"/>
    <w:rsid w:val="00114B03"/>
    <w:rsid w:val="0012120F"/>
    <w:rsid w:val="001218DC"/>
    <w:rsid w:val="00125A81"/>
    <w:rsid w:val="00132D0D"/>
    <w:rsid w:val="001404AD"/>
    <w:rsid w:val="00150002"/>
    <w:rsid w:val="0015082C"/>
    <w:rsid w:val="001537D8"/>
    <w:rsid w:val="00175A5C"/>
    <w:rsid w:val="001915B4"/>
    <w:rsid w:val="001B1DE2"/>
    <w:rsid w:val="001E0F60"/>
    <w:rsid w:val="001F0513"/>
    <w:rsid w:val="001F4501"/>
    <w:rsid w:val="001F4F86"/>
    <w:rsid w:val="00200D80"/>
    <w:rsid w:val="002052D4"/>
    <w:rsid w:val="00206E83"/>
    <w:rsid w:val="00240A19"/>
    <w:rsid w:val="00246152"/>
    <w:rsid w:val="00251980"/>
    <w:rsid w:val="00273284"/>
    <w:rsid w:val="00273349"/>
    <w:rsid w:val="00277D63"/>
    <w:rsid w:val="00284490"/>
    <w:rsid w:val="002A1F11"/>
    <w:rsid w:val="002A2909"/>
    <w:rsid w:val="002D6985"/>
    <w:rsid w:val="002E0E2F"/>
    <w:rsid w:val="002E7C5D"/>
    <w:rsid w:val="002F0F2F"/>
    <w:rsid w:val="003158B6"/>
    <w:rsid w:val="00323F08"/>
    <w:rsid w:val="00331504"/>
    <w:rsid w:val="00341478"/>
    <w:rsid w:val="0034205B"/>
    <w:rsid w:val="003466A1"/>
    <w:rsid w:val="00351B72"/>
    <w:rsid w:val="00376BB0"/>
    <w:rsid w:val="003772C2"/>
    <w:rsid w:val="00381D76"/>
    <w:rsid w:val="00383477"/>
    <w:rsid w:val="003A4B51"/>
    <w:rsid w:val="003C09F4"/>
    <w:rsid w:val="003C288F"/>
    <w:rsid w:val="003C6130"/>
    <w:rsid w:val="003E033B"/>
    <w:rsid w:val="00451C62"/>
    <w:rsid w:val="00453EB4"/>
    <w:rsid w:val="00473A8E"/>
    <w:rsid w:val="00480C0A"/>
    <w:rsid w:val="004857FC"/>
    <w:rsid w:val="00491206"/>
    <w:rsid w:val="00497FCF"/>
    <w:rsid w:val="004B1F7C"/>
    <w:rsid w:val="004B26C0"/>
    <w:rsid w:val="004B5AF6"/>
    <w:rsid w:val="004D731E"/>
    <w:rsid w:val="004E0728"/>
    <w:rsid w:val="00524CC8"/>
    <w:rsid w:val="005275B0"/>
    <w:rsid w:val="00535BD4"/>
    <w:rsid w:val="0054426F"/>
    <w:rsid w:val="005452E4"/>
    <w:rsid w:val="00545C00"/>
    <w:rsid w:val="00547C7F"/>
    <w:rsid w:val="00582551"/>
    <w:rsid w:val="005C2572"/>
    <w:rsid w:val="005C2865"/>
    <w:rsid w:val="005C7A3D"/>
    <w:rsid w:val="005D40B4"/>
    <w:rsid w:val="005D6491"/>
    <w:rsid w:val="005E1564"/>
    <w:rsid w:val="005F210F"/>
    <w:rsid w:val="005F6A6C"/>
    <w:rsid w:val="00600B20"/>
    <w:rsid w:val="0061181A"/>
    <w:rsid w:val="00613C0C"/>
    <w:rsid w:val="00624AF2"/>
    <w:rsid w:val="00633B5C"/>
    <w:rsid w:val="006430C1"/>
    <w:rsid w:val="00651472"/>
    <w:rsid w:val="006618B9"/>
    <w:rsid w:val="0069087D"/>
    <w:rsid w:val="006A4577"/>
    <w:rsid w:val="006B75C3"/>
    <w:rsid w:val="006D0651"/>
    <w:rsid w:val="006D16F5"/>
    <w:rsid w:val="006D1F8D"/>
    <w:rsid w:val="006E0D5C"/>
    <w:rsid w:val="006E3CD2"/>
    <w:rsid w:val="006F2D1C"/>
    <w:rsid w:val="006F34F8"/>
    <w:rsid w:val="007021C2"/>
    <w:rsid w:val="00704963"/>
    <w:rsid w:val="00735D5D"/>
    <w:rsid w:val="007471F9"/>
    <w:rsid w:val="007520E0"/>
    <w:rsid w:val="00776C79"/>
    <w:rsid w:val="00784D88"/>
    <w:rsid w:val="00785FDE"/>
    <w:rsid w:val="0078749A"/>
    <w:rsid w:val="00795A41"/>
    <w:rsid w:val="007A4398"/>
    <w:rsid w:val="007A4AD2"/>
    <w:rsid w:val="007A5473"/>
    <w:rsid w:val="007B6102"/>
    <w:rsid w:val="007C2E00"/>
    <w:rsid w:val="007C52E8"/>
    <w:rsid w:val="007D1803"/>
    <w:rsid w:val="00805DB4"/>
    <w:rsid w:val="00824264"/>
    <w:rsid w:val="00843814"/>
    <w:rsid w:val="00857AA9"/>
    <w:rsid w:val="00857F38"/>
    <w:rsid w:val="008B0004"/>
    <w:rsid w:val="008B3766"/>
    <w:rsid w:val="008C7D16"/>
    <w:rsid w:val="008E666A"/>
    <w:rsid w:val="00922F5C"/>
    <w:rsid w:val="00945C70"/>
    <w:rsid w:val="009470F0"/>
    <w:rsid w:val="009676B6"/>
    <w:rsid w:val="00971FE7"/>
    <w:rsid w:val="00994535"/>
    <w:rsid w:val="00994E07"/>
    <w:rsid w:val="009A67D7"/>
    <w:rsid w:val="009D0FD9"/>
    <w:rsid w:val="009D24BD"/>
    <w:rsid w:val="00A02016"/>
    <w:rsid w:val="00A4590B"/>
    <w:rsid w:val="00A47057"/>
    <w:rsid w:val="00A6025C"/>
    <w:rsid w:val="00A60899"/>
    <w:rsid w:val="00A8253C"/>
    <w:rsid w:val="00A906FF"/>
    <w:rsid w:val="00A92819"/>
    <w:rsid w:val="00A9696A"/>
    <w:rsid w:val="00AA7F54"/>
    <w:rsid w:val="00AB0B35"/>
    <w:rsid w:val="00AB6B08"/>
    <w:rsid w:val="00AC455F"/>
    <w:rsid w:val="00AE1D62"/>
    <w:rsid w:val="00B011F3"/>
    <w:rsid w:val="00B07208"/>
    <w:rsid w:val="00B07FA5"/>
    <w:rsid w:val="00B11CDA"/>
    <w:rsid w:val="00B25ACC"/>
    <w:rsid w:val="00B301F0"/>
    <w:rsid w:val="00B33113"/>
    <w:rsid w:val="00B41D3C"/>
    <w:rsid w:val="00B760A1"/>
    <w:rsid w:val="00BB097B"/>
    <w:rsid w:val="00BD3B98"/>
    <w:rsid w:val="00BD5B56"/>
    <w:rsid w:val="00BD78FB"/>
    <w:rsid w:val="00BE252E"/>
    <w:rsid w:val="00BE5CE2"/>
    <w:rsid w:val="00BF7FCF"/>
    <w:rsid w:val="00C00E25"/>
    <w:rsid w:val="00C01A87"/>
    <w:rsid w:val="00C0471F"/>
    <w:rsid w:val="00C050FB"/>
    <w:rsid w:val="00C1725B"/>
    <w:rsid w:val="00C2224B"/>
    <w:rsid w:val="00C3224B"/>
    <w:rsid w:val="00C411EB"/>
    <w:rsid w:val="00C569A5"/>
    <w:rsid w:val="00C7654C"/>
    <w:rsid w:val="00C80968"/>
    <w:rsid w:val="00C85C56"/>
    <w:rsid w:val="00C87141"/>
    <w:rsid w:val="00C94441"/>
    <w:rsid w:val="00CA69F9"/>
    <w:rsid w:val="00CC4474"/>
    <w:rsid w:val="00CD6D40"/>
    <w:rsid w:val="00CD7997"/>
    <w:rsid w:val="00CE427D"/>
    <w:rsid w:val="00CE572D"/>
    <w:rsid w:val="00D06B38"/>
    <w:rsid w:val="00D3061B"/>
    <w:rsid w:val="00D36E29"/>
    <w:rsid w:val="00D37730"/>
    <w:rsid w:val="00D42EAE"/>
    <w:rsid w:val="00D45936"/>
    <w:rsid w:val="00D46404"/>
    <w:rsid w:val="00D86D1D"/>
    <w:rsid w:val="00D87D71"/>
    <w:rsid w:val="00D92117"/>
    <w:rsid w:val="00D95B5D"/>
    <w:rsid w:val="00DA0522"/>
    <w:rsid w:val="00DB08A0"/>
    <w:rsid w:val="00DB1187"/>
    <w:rsid w:val="00DB613E"/>
    <w:rsid w:val="00DC48F0"/>
    <w:rsid w:val="00DD3AEB"/>
    <w:rsid w:val="00DD464A"/>
    <w:rsid w:val="00DE4C60"/>
    <w:rsid w:val="00DE5B03"/>
    <w:rsid w:val="00E24AF0"/>
    <w:rsid w:val="00E26304"/>
    <w:rsid w:val="00E434E8"/>
    <w:rsid w:val="00E546B1"/>
    <w:rsid w:val="00E65B4D"/>
    <w:rsid w:val="00E779BC"/>
    <w:rsid w:val="00E82A82"/>
    <w:rsid w:val="00E82E59"/>
    <w:rsid w:val="00E966EB"/>
    <w:rsid w:val="00EA5BB6"/>
    <w:rsid w:val="00EA6705"/>
    <w:rsid w:val="00EB0A41"/>
    <w:rsid w:val="00EC36E4"/>
    <w:rsid w:val="00ED419C"/>
    <w:rsid w:val="00EE75EA"/>
    <w:rsid w:val="00EF2195"/>
    <w:rsid w:val="00F10750"/>
    <w:rsid w:val="00F12795"/>
    <w:rsid w:val="00F166BF"/>
    <w:rsid w:val="00F3188C"/>
    <w:rsid w:val="00F322F9"/>
    <w:rsid w:val="00F42E3B"/>
    <w:rsid w:val="00F51049"/>
    <w:rsid w:val="00F754FF"/>
    <w:rsid w:val="00F813E0"/>
    <w:rsid w:val="00F94B43"/>
    <w:rsid w:val="00FA67EC"/>
    <w:rsid w:val="00FC16EF"/>
    <w:rsid w:val="00FD617E"/>
    <w:rsid w:val="00FE5212"/>
    <w:rsid w:val="00FE7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5AB5"/>
  <w15:chartTrackingRefBased/>
  <w15:docId w15:val="{C74F0953-C9D0-4019-BBBA-71084C96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2795"/>
    <w:rPr>
      <w:sz w:val="16"/>
      <w:szCs w:val="16"/>
    </w:rPr>
  </w:style>
  <w:style w:type="paragraph" w:styleId="CommentText">
    <w:name w:val="annotation text"/>
    <w:basedOn w:val="Normal"/>
    <w:link w:val="CommentTextChar"/>
    <w:uiPriority w:val="99"/>
    <w:semiHidden/>
    <w:unhideWhenUsed/>
    <w:rsid w:val="00F12795"/>
    <w:pPr>
      <w:bidi/>
      <w:spacing w:line="240" w:lineRule="auto"/>
    </w:pPr>
    <w:rPr>
      <w:sz w:val="20"/>
      <w:szCs w:val="20"/>
    </w:rPr>
  </w:style>
  <w:style w:type="character" w:customStyle="1" w:styleId="CommentTextChar">
    <w:name w:val="Comment Text Char"/>
    <w:basedOn w:val="DefaultParagraphFont"/>
    <w:link w:val="CommentText"/>
    <w:uiPriority w:val="99"/>
    <w:semiHidden/>
    <w:rsid w:val="00F12795"/>
    <w:rPr>
      <w:sz w:val="20"/>
      <w:szCs w:val="20"/>
    </w:rPr>
  </w:style>
  <w:style w:type="table" w:styleId="TableGrid">
    <w:name w:val="Table Grid"/>
    <w:basedOn w:val="TableNormal"/>
    <w:uiPriority w:val="39"/>
    <w:rsid w:val="00F1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F12795"/>
    <w:rPr>
      <w:vertAlign w:val="superscript"/>
    </w:rPr>
  </w:style>
  <w:style w:type="paragraph" w:customStyle="1" w:styleId="Default">
    <w:name w:val="Default"/>
    <w:rsid w:val="00F12795"/>
    <w:pPr>
      <w:autoSpaceDE w:val="0"/>
      <w:autoSpaceDN w:val="0"/>
      <w:adjustRightInd w:val="0"/>
      <w:spacing w:after="0" w:line="240" w:lineRule="auto"/>
    </w:pPr>
    <w:rPr>
      <w:rFonts w:ascii="Code" w:hAnsi="Code" w:cs="Code"/>
      <w:color w:val="000000"/>
      <w:sz w:val="24"/>
      <w:szCs w:val="24"/>
    </w:rPr>
  </w:style>
  <w:style w:type="character" w:customStyle="1" w:styleId="1">
    <w:name w:val="כותרת משנה1"/>
    <w:basedOn w:val="DefaultParagraphFont"/>
    <w:rsid w:val="00F12795"/>
  </w:style>
  <w:style w:type="paragraph" w:styleId="NoSpacing">
    <w:name w:val="No Spacing"/>
    <w:link w:val="NoSpacingChar"/>
    <w:uiPriority w:val="1"/>
    <w:qFormat/>
    <w:rsid w:val="00F12795"/>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customStyle="1" w:styleId="NoSpacingChar">
    <w:name w:val="No Spacing Char"/>
    <w:link w:val="NoSpacing"/>
    <w:uiPriority w:val="1"/>
    <w:rsid w:val="00F12795"/>
    <w:rPr>
      <w:rFonts w:ascii="Times New Roman" w:eastAsia="Times New Roman" w:hAnsi="Times New Roman" w:cs="Times New Roman"/>
      <w:sz w:val="20"/>
      <w:szCs w:val="20"/>
    </w:rPr>
  </w:style>
  <w:style w:type="paragraph" w:styleId="FootnoteText">
    <w:name w:val="footnote text"/>
    <w:basedOn w:val="Normal"/>
    <w:link w:val="FootnoteTextChar"/>
    <w:unhideWhenUsed/>
    <w:qFormat/>
    <w:rsid w:val="002A2909"/>
    <w:pPr>
      <w:spacing w:after="0" w:line="240" w:lineRule="auto"/>
    </w:pPr>
    <w:rPr>
      <w:rFonts w:asciiTheme="majorBidi" w:hAnsiTheme="majorBidi" w:cstheme="majorBidi"/>
      <w:sz w:val="20"/>
      <w:szCs w:val="20"/>
    </w:rPr>
  </w:style>
  <w:style w:type="character" w:customStyle="1" w:styleId="FootnoteTextChar">
    <w:name w:val="Footnote Text Char"/>
    <w:basedOn w:val="DefaultParagraphFont"/>
    <w:link w:val="FootnoteText"/>
    <w:rsid w:val="002A2909"/>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34205B"/>
    <w:pPr>
      <w:bidi w:val="0"/>
    </w:pPr>
    <w:rPr>
      <w:b/>
      <w:bCs/>
    </w:rPr>
  </w:style>
  <w:style w:type="character" w:customStyle="1" w:styleId="CommentSubjectChar">
    <w:name w:val="Comment Subject Char"/>
    <w:basedOn w:val="CommentTextChar"/>
    <w:link w:val="CommentSubject"/>
    <w:uiPriority w:val="99"/>
    <w:semiHidden/>
    <w:rsid w:val="0034205B"/>
    <w:rPr>
      <w:b/>
      <w:bCs/>
      <w:sz w:val="20"/>
      <w:szCs w:val="20"/>
    </w:rPr>
  </w:style>
  <w:style w:type="character" w:customStyle="1" w:styleId="he">
    <w:name w:val="he"/>
    <w:basedOn w:val="DefaultParagraphFont"/>
    <w:rsid w:val="006A4577"/>
  </w:style>
  <w:style w:type="character" w:styleId="Strong">
    <w:name w:val="Strong"/>
    <w:basedOn w:val="DefaultParagraphFont"/>
    <w:uiPriority w:val="22"/>
    <w:qFormat/>
    <w:rsid w:val="006A4577"/>
    <w:rPr>
      <w:b/>
      <w:bCs/>
    </w:rPr>
  </w:style>
  <w:style w:type="character" w:styleId="Hyperlink">
    <w:name w:val="Hyperlink"/>
    <w:basedOn w:val="DefaultParagraphFont"/>
    <w:uiPriority w:val="99"/>
    <w:semiHidden/>
    <w:unhideWhenUsed/>
    <w:rsid w:val="006A4577"/>
    <w:rPr>
      <w:color w:val="0000FF"/>
      <w:u w:val="single"/>
    </w:rPr>
  </w:style>
  <w:style w:type="character" w:customStyle="1" w:styleId="en">
    <w:name w:val="en"/>
    <w:basedOn w:val="DefaultParagraphFont"/>
    <w:rsid w:val="006A4577"/>
  </w:style>
  <w:style w:type="paragraph" w:styleId="Footer">
    <w:name w:val="footer"/>
    <w:basedOn w:val="Normal"/>
    <w:link w:val="FooterChar"/>
    <w:uiPriority w:val="99"/>
    <w:unhideWhenUsed/>
    <w:rsid w:val="00C569A5"/>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C569A5"/>
  </w:style>
  <w:style w:type="character" w:styleId="Emphasis">
    <w:name w:val="Emphasis"/>
    <w:basedOn w:val="DefaultParagraphFont"/>
    <w:uiPriority w:val="20"/>
    <w:qFormat/>
    <w:rsid w:val="00C569A5"/>
    <w:rPr>
      <w:i/>
      <w:iCs/>
    </w:rPr>
  </w:style>
  <w:style w:type="paragraph" w:styleId="Quote">
    <w:name w:val="Quote"/>
    <w:basedOn w:val="Normal"/>
    <w:next w:val="Normal"/>
    <w:link w:val="QuoteChar"/>
    <w:uiPriority w:val="29"/>
    <w:qFormat/>
    <w:rsid w:val="006B75C3"/>
    <w:pPr>
      <w:spacing w:before="200"/>
      <w:ind w:left="864" w:right="864"/>
      <w:jc w:val="both"/>
    </w:pPr>
    <w:rPr>
      <w:rFonts w:asciiTheme="majorBidi" w:hAnsiTheme="majorBidi" w:cstheme="majorBidi"/>
      <w:sz w:val="24"/>
      <w:szCs w:val="24"/>
    </w:rPr>
  </w:style>
  <w:style w:type="character" w:customStyle="1" w:styleId="QuoteChar">
    <w:name w:val="Quote Char"/>
    <w:basedOn w:val="DefaultParagraphFont"/>
    <w:link w:val="Quote"/>
    <w:uiPriority w:val="29"/>
    <w:rsid w:val="006B75C3"/>
    <w:rPr>
      <w:rFonts w:asciiTheme="majorBidi" w:hAnsiTheme="majorBidi" w:cstheme="majorBidi"/>
      <w:sz w:val="24"/>
      <w:szCs w:val="24"/>
    </w:rPr>
  </w:style>
  <w:style w:type="paragraph" w:styleId="Subtitle">
    <w:name w:val="Subtitle"/>
    <w:basedOn w:val="Normal"/>
    <w:next w:val="Normal"/>
    <w:link w:val="SubtitleChar"/>
    <w:uiPriority w:val="11"/>
    <w:qFormat/>
    <w:rsid w:val="006E0D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0D5C"/>
    <w:rPr>
      <w:rFonts w:eastAsiaTheme="minorEastAsia"/>
      <w:color w:val="5A5A5A" w:themeColor="text1" w:themeTint="A5"/>
      <w:spacing w:val="15"/>
    </w:rPr>
  </w:style>
  <w:style w:type="paragraph" w:styleId="Revision">
    <w:name w:val="Revision"/>
    <w:hidden/>
    <w:uiPriority w:val="99"/>
    <w:semiHidden/>
    <w:rsid w:val="00E96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29A8CE4-976D-47C1-B760-30A93923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3913</Words>
  <Characters>19410</Characters>
  <Application>Microsoft Office Word</Application>
  <DocSecurity>0</DocSecurity>
  <Lines>308</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Slivko</dc:creator>
  <cp:keywords/>
  <dc:description/>
  <cp:lastModifiedBy>.</cp:lastModifiedBy>
  <cp:revision>19</cp:revision>
  <dcterms:created xsi:type="dcterms:W3CDTF">2022-02-21T17:47:00Z</dcterms:created>
  <dcterms:modified xsi:type="dcterms:W3CDTF">2022-02-23T14:31:00Z</dcterms:modified>
</cp:coreProperties>
</file>