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DB9E" w14:textId="77777777" w:rsidR="007349EB" w:rsidRDefault="007349EB">
      <w:pPr>
        <w:jc w:val="center"/>
        <w:rPr>
          <w:rFonts w:ascii="Arial" w:eastAsia="Arial" w:hAnsi="Arial" w:cs="Arial"/>
        </w:rPr>
      </w:pPr>
    </w:p>
    <w:p w14:paraId="21890EF9" w14:textId="77777777" w:rsidR="007349EB" w:rsidRDefault="007349EB">
      <w:pPr>
        <w:rPr>
          <w:rFonts w:ascii="Arial" w:eastAsia="Arial" w:hAnsi="Arial" w:cs="Arial"/>
        </w:rPr>
      </w:pPr>
    </w:p>
    <w:p w14:paraId="22102061" w14:textId="77777777" w:rsidR="007349EB" w:rsidRDefault="007349EB">
      <w:pPr>
        <w:rPr>
          <w:rFonts w:ascii="Arial" w:eastAsia="Arial" w:hAnsi="Arial" w:cs="Arial"/>
        </w:rPr>
      </w:pPr>
    </w:p>
    <w:p w14:paraId="5FB6EC5F" w14:textId="77777777" w:rsidR="007349EB" w:rsidRDefault="007349EB">
      <w:pPr>
        <w:rPr>
          <w:rFonts w:ascii="Arial" w:eastAsia="Arial" w:hAnsi="Arial" w:cs="Arial"/>
        </w:rPr>
      </w:pPr>
    </w:p>
    <w:p w14:paraId="0796EF21" w14:textId="77777777" w:rsidR="007349EB" w:rsidRDefault="007349EB">
      <w:pPr>
        <w:rPr>
          <w:rFonts w:ascii="Arial" w:eastAsia="Arial" w:hAnsi="Arial" w:cs="Arial"/>
        </w:rPr>
      </w:pPr>
    </w:p>
    <w:p w14:paraId="446066B5" w14:textId="77777777" w:rsidR="007349EB" w:rsidRDefault="007349EB">
      <w:pPr>
        <w:rPr>
          <w:rFonts w:ascii="Arial" w:eastAsia="Arial" w:hAnsi="Arial" w:cs="Arial"/>
        </w:rPr>
      </w:pPr>
    </w:p>
    <w:p w14:paraId="4150FD8E" w14:textId="77777777" w:rsidR="007349EB" w:rsidRDefault="007349EB">
      <w:pPr>
        <w:rPr>
          <w:rFonts w:ascii="Arial" w:eastAsia="Arial" w:hAnsi="Arial" w:cs="Arial"/>
        </w:rPr>
      </w:pPr>
    </w:p>
    <w:p w14:paraId="5B1BF538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אוניברסיטת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חיפה</w:t>
      </w:r>
    </w:p>
    <w:p w14:paraId="5A9B4DDE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13072667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הפקולטה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לטיפול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באמצעות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אומנויות</w:t>
      </w:r>
    </w:p>
    <w:p w14:paraId="1458EE59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32BC9743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0803B165" w14:textId="77777777" w:rsidR="007349EB" w:rsidRDefault="007349E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0B9312F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2BA0821C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47AC4230" w14:textId="77777777" w:rsidR="007349EB" w:rsidRDefault="00E80F6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rtl/>
          <w:lang w:bidi="he-IL"/>
        </w:rPr>
        <w:t>עבודה</w:t>
      </w:r>
      <w:r>
        <w:rPr>
          <w:rFonts w:ascii="Arial" w:eastAsia="Arial" w:hAnsi="Arial" w:cs="Arial"/>
          <w:b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b/>
          <w:sz w:val="36"/>
          <w:szCs w:val="36"/>
          <w:rtl/>
          <w:lang w:bidi="he-IL"/>
        </w:rPr>
        <w:t>בנושא</w:t>
      </w:r>
      <w:r>
        <w:rPr>
          <w:rFonts w:ascii="Arial" w:eastAsia="Arial" w:hAnsi="Arial" w:cs="Arial"/>
          <w:b/>
          <w:sz w:val="36"/>
          <w:szCs w:val="36"/>
          <w:rtl/>
        </w:rPr>
        <w:t xml:space="preserve">: </w:t>
      </w:r>
    </w:p>
    <w:p w14:paraId="3674195C" w14:textId="77777777" w:rsidR="007349EB" w:rsidRDefault="007349EB">
      <w:pPr>
        <w:jc w:val="center"/>
        <w:rPr>
          <w:rFonts w:ascii="Arial" w:eastAsia="Arial" w:hAnsi="Arial" w:cs="Arial"/>
          <w:sz w:val="36"/>
          <w:szCs w:val="36"/>
        </w:rPr>
      </w:pPr>
    </w:p>
    <w:p w14:paraId="1EFDA3CF" w14:textId="77777777" w:rsidR="007349EB" w:rsidRDefault="00E80F6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  <w:rtl/>
          <w:lang w:bidi="he-IL"/>
        </w:rPr>
        <w:t>סמליות</w:t>
      </w:r>
    </w:p>
    <w:p w14:paraId="0381F752" w14:textId="77777777" w:rsidR="007349EB" w:rsidRDefault="007349E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BF9C454" w14:textId="77777777" w:rsidR="007349EB" w:rsidRDefault="007349E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7EDA58E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62F506A9" w14:textId="77777777" w:rsidR="007349EB" w:rsidRDefault="007349EB">
      <w:pPr>
        <w:rPr>
          <w:rFonts w:ascii="Arial" w:eastAsia="Arial" w:hAnsi="Arial" w:cs="Arial"/>
          <w:b/>
          <w:sz w:val="28"/>
          <w:szCs w:val="28"/>
        </w:rPr>
      </w:pPr>
    </w:p>
    <w:p w14:paraId="6D0D6592" w14:textId="77777777" w:rsidR="007349EB" w:rsidRDefault="007349EB">
      <w:pPr>
        <w:rPr>
          <w:rFonts w:ascii="Arial" w:eastAsia="Arial" w:hAnsi="Arial" w:cs="Arial"/>
          <w:sz w:val="28"/>
          <w:szCs w:val="28"/>
        </w:rPr>
      </w:pPr>
    </w:p>
    <w:p w14:paraId="35FE8C9F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01658FE6" w14:textId="77777777" w:rsidR="007349EB" w:rsidRDefault="00E80F6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  <w:lang w:bidi="he-IL"/>
        </w:rPr>
        <w:t>מוגש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  <w:lang w:bidi="he-IL"/>
        </w:rPr>
        <w:t>לנעמה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sz w:val="28"/>
          <w:szCs w:val="28"/>
          <w:rtl/>
          <w:lang w:bidi="he-IL"/>
        </w:rPr>
        <w:t>רביד</w:t>
      </w:r>
    </w:p>
    <w:p w14:paraId="304E1FC1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4025079B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67A19824" w14:textId="77777777" w:rsidR="007349EB" w:rsidRDefault="007349EB">
      <w:pPr>
        <w:rPr>
          <w:rFonts w:ascii="Arial" w:eastAsia="Arial" w:hAnsi="Arial" w:cs="Arial"/>
          <w:sz w:val="28"/>
          <w:szCs w:val="28"/>
        </w:rPr>
      </w:pPr>
    </w:p>
    <w:p w14:paraId="3D568288" w14:textId="77777777" w:rsidR="007349EB" w:rsidRDefault="007349EB">
      <w:pPr>
        <w:rPr>
          <w:rFonts w:ascii="Arial" w:eastAsia="Arial" w:hAnsi="Arial" w:cs="Arial"/>
          <w:sz w:val="28"/>
          <w:szCs w:val="28"/>
        </w:rPr>
      </w:pPr>
    </w:p>
    <w:p w14:paraId="3ADA7300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מגישה</w:t>
      </w:r>
      <w:r>
        <w:rPr>
          <w:rFonts w:ascii="Arial" w:eastAsia="Arial" w:hAnsi="Arial" w:cs="Arial"/>
          <w:sz w:val="28"/>
          <w:szCs w:val="28"/>
          <w:rtl/>
        </w:rPr>
        <w:t xml:space="preserve">: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גבריאלה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פיין</w:t>
      </w:r>
    </w:p>
    <w:p w14:paraId="697A8770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1CAAB59F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ת</w:t>
      </w:r>
      <w:r>
        <w:rPr>
          <w:rFonts w:ascii="Arial" w:eastAsia="Arial" w:hAnsi="Arial" w:cs="Arial"/>
          <w:sz w:val="28"/>
          <w:szCs w:val="28"/>
          <w:rtl/>
        </w:rPr>
        <w:t>.</w:t>
      </w:r>
      <w:r>
        <w:rPr>
          <w:rFonts w:ascii="Arial" w:eastAsia="Arial" w:hAnsi="Arial" w:cs="Arial"/>
          <w:sz w:val="28"/>
          <w:szCs w:val="28"/>
          <w:rtl/>
          <w:lang w:bidi="he-IL"/>
        </w:rPr>
        <w:t>ז</w:t>
      </w:r>
      <w:r>
        <w:rPr>
          <w:rFonts w:ascii="Arial" w:eastAsia="Arial" w:hAnsi="Arial" w:cs="Arial"/>
          <w:sz w:val="28"/>
          <w:szCs w:val="28"/>
          <w:rtl/>
        </w:rPr>
        <w:t>.: 332477983</w:t>
      </w:r>
    </w:p>
    <w:p w14:paraId="5C0657BF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                       </w:t>
      </w:r>
    </w:p>
    <w:p w14:paraId="7A61230F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7B8AED22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סמסטר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  <w:lang w:bidi="he-IL"/>
        </w:rPr>
        <w:t>א׳</w:t>
      </w:r>
      <w:r>
        <w:rPr>
          <w:rFonts w:ascii="Arial" w:eastAsia="Arial" w:hAnsi="Arial" w:cs="Arial"/>
          <w:sz w:val="28"/>
          <w:szCs w:val="28"/>
          <w:rtl/>
        </w:rPr>
        <w:t xml:space="preserve">, </w:t>
      </w:r>
      <w:proofErr w:type="spellStart"/>
      <w:r>
        <w:rPr>
          <w:rFonts w:ascii="Arial" w:eastAsia="Arial" w:hAnsi="Arial" w:cs="Arial"/>
          <w:sz w:val="28"/>
          <w:szCs w:val="28"/>
          <w:rtl/>
          <w:lang w:bidi="he-IL"/>
        </w:rPr>
        <w:t>תשפ</w:t>
      </w:r>
      <w:proofErr w:type="spellEnd"/>
      <w:r>
        <w:rPr>
          <w:rFonts w:ascii="Arial" w:eastAsia="Arial" w:hAnsi="Arial" w:cs="Arial"/>
          <w:sz w:val="28"/>
          <w:szCs w:val="28"/>
          <w:rtl/>
        </w:rPr>
        <w:t>"</w:t>
      </w:r>
      <w:r>
        <w:rPr>
          <w:rFonts w:ascii="Arial" w:eastAsia="Arial" w:hAnsi="Arial" w:cs="Arial"/>
          <w:sz w:val="28"/>
          <w:szCs w:val="28"/>
          <w:rtl/>
          <w:lang w:bidi="he-IL"/>
        </w:rPr>
        <w:t>ב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</w:p>
    <w:p w14:paraId="1BB826C4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02B3F8F6" w14:textId="77777777" w:rsidR="007349EB" w:rsidRDefault="00E80F6A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  <w:lang w:bidi="he-IL"/>
        </w:rPr>
        <w:t>ינואר</w:t>
      </w:r>
      <w:r>
        <w:rPr>
          <w:rFonts w:ascii="Arial" w:eastAsia="Arial" w:hAnsi="Arial" w:cs="Arial"/>
          <w:sz w:val="28"/>
          <w:szCs w:val="28"/>
          <w:rtl/>
        </w:rPr>
        <w:t xml:space="preserve"> 2022</w:t>
      </w:r>
    </w:p>
    <w:p w14:paraId="4D629AFB" w14:textId="77777777" w:rsidR="007349EB" w:rsidRDefault="007349EB">
      <w:pPr>
        <w:jc w:val="center"/>
        <w:rPr>
          <w:rFonts w:ascii="Arial" w:eastAsia="Arial" w:hAnsi="Arial" w:cs="Arial"/>
          <w:sz w:val="28"/>
          <w:szCs w:val="28"/>
        </w:rPr>
      </w:pPr>
    </w:p>
    <w:p w14:paraId="5AE07011" w14:textId="77777777" w:rsidR="007349EB" w:rsidRDefault="007349EB">
      <w:pPr>
        <w:rPr>
          <w:rFonts w:ascii="Arial" w:eastAsia="Arial" w:hAnsi="Arial" w:cs="Arial"/>
        </w:rPr>
      </w:pPr>
    </w:p>
    <w:p w14:paraId="6F3827B2" w14:textId="77777777" w:rsidR="007349EB" w:rsidRDefault="007349EB">
      <w:pPr>
        <w:rPr>
          <w:rFonts w:ascii="Arial" w:eastAsia="Arial" w:hAnsi="Arial" w:cs="Arial"/>
        </w:rPr>
      </w:pPr>
    </w:p>
    <w:p w14:paraId="5857CA9A" w14:textId="77777777" w:rsidR="007349EB" w:rsidRDefault="007349EB">
      <w:pPr>
        <w:rPr>
          <w:rFonts w:ascii="Arial" w:eastAsia="Arial" w:hAnsi="Arial" w:cs="Arial"/>
        </w:rPr>
      </w:pPr>
    </w:p>
    <w:p w14:paraId="3B04685D" w14:textId="77777777" w:rsidR="007349EB" w:rsidRDefault="007349EB">
      <w:pPr>
        <w:spacing w:after="160" w:line="360" w:lineRule="auto"/>
        <w:jc w:val="right"/>
        <w:rPr>
          <w:rFonts w:ascii="Arial" w:eastAsia="Arial" w:hAnsi="Arial" w:cs="Arial"/>
        </w:rPr>
      </w:pPr>
    </w:p>
    <w:p w14:paraId="2F67546D" w14:textId="77777777" w:rsidR="00A01298" w:rsidRDefault="00A01298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lang w:bidi="he-IL"/>
        </w:rPr>
      </w:pPr>
    </w:p>
    <w:p w14:paraId="33247946" w14:textId="23E050D8" w:rsidR="007349EB" w:rsidRDefault="00E80F6A" w:rsidP="00D73083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סמליות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בטיפול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סמלים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העולם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הפנימי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לחיצוני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כמזכרת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להביא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העתיד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כגשר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תחום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הקינסטטית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לתחום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הקוגניטיב</w:t>
      </w:r>
      <w:r w:rsidR="006B0A91">
        <w:rPr>
          <w:rFonts w:ascii="David" w:eastAsia="David" w:hAnsi="David" w:cs="David" w:hint="cs"/>
          <w:sz w:val="24"/>
          <w:szCs w:val="24"/>
          <w:rtl/>
          <w:lang w:bidi="he-IL"/>
        </w:rPr>
        <w:t>י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 w:rsidR="00653FC7">
        <w:rPr>
          <w:rFonts w:ascii="David" w:eastAsia="David" w:hAnsi="David" w:cs="David"/>
          <w:sz w:val="24"/>
          <w:szCs w:val="24"/>
          <w:lang w:bidi="he-IL"/>
        </w:rPr>
        <w:t>(</w:t>
      </w:r>
      <w:proofErr w:type="spellStart"/>
      <w:r w:rsidR="00653FC7">
        <w:rPr>
          <w:rFonts w:ascii="David" w:eastAsia="David" w:hAnsi="David" w:cs="David"/>
          <w:sz w:val="24"/>
          <w:szCs w:val="24"/>
          <w:lang w:bidi="he-IL"/>
        </w:rPr>
        <w:t>Schmais</w:t>
      </w:r>
      <w:proofErr w:type="spellEnd"/>
      <w:r w:rsidR="00653FC7">
        <w:rPr>
          <w:rFonts w:ascii="David" w:eastAsia="David" w:hAnsi="David" w:cs="David"/>
          <w:sz w:val="24"/>
          <w:szCs w:val="24"/>
          <w:lang w:bidi="he-IL"/>
        </w:rPr>
        <w:t xml:space="preserve">. 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 w:rsidR="00653FC7">
        <w:rPr>
          <w:rFonts w:ascii="David" w:eastAsia="David" w:hAnsi="David" w:cs="David"/>
          <w:sz w:val="24"/>
          <w:szCs w:val="24"/>
          <w:lang w:bidi="he-IL"/>
        </w:rPr>
        <w:t>1985)</w:t>
      </w:r>
      <w:r w:rsidR="00D73083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מארבעת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העקרונות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העיקריים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בתפיסתה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עיבוד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ברמה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פרשנות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במידת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הצורך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נתפס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בגישתה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כהיבט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הכרחי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בתהליך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הטיפול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לשחרר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פחדים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ורגשות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מודחקים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באמצעות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מאפשרת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מחדש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הבעיה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ולבוא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במגע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עמה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הזר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המוכר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לייצג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הקונפליקטים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ההגנות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אמפתיה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ותמיכה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הופכת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עוצמה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היכול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קונפליקטים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פנימיים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תמיד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צורך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באנליזה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בעיסוק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בנושאים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המתעוררים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הטיפול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להביא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לפתרון</w:t>
      </w:r>
      <w:r w:rsidR="00A01298">
        <w:rPr>
          <w:rFonts w:ascii="David" w:eastAsia="David" w:hAnsi="David" w:cs="David"/>
          <w:sz w:val="24"/>
          <w:szCs w:val="24"/>
          <w:lang w:bidi="he-IL"/>
        </w:rPr>
        <w:t xml:space="preserve"> </w:t>
      </w:r>
      <w:r w:rsidR="00A01298">
        <w:rPr>
          <w:rFonts w:ascii="David" w:eastAsia="David" w:hAnsi="David" w:cs="David" w:hint="cs"/>
          <w:sz w:val="24"/>
          <w:szCs w:val="24"/>
          <w:rtl/>
          <w:lang w:bidi="he-IL"/>
        </w:rPr>
        <w:t>(</w:t>
      </w:r>
      <w:r w:rsidR="00A01298">
        <w:rPr>
          <w:rFonts w:ascii="David" w:eastAsia="David" w:hAnsi="David" w:cs="David"/>
          <w:sz w:val="24"/>
          <w:szCs w:val="24"/>
          <w:lang w:bidi="he-IL"/>
        </w:rPr>
        <w:t>(</w:t>
      </w:r>
      <w:r w:rsidR="00A01298">
        <w:rPr>
          <w:rFonts w:ascii="David" w:eastAsia="David" w:hAnsi="David" w:cs="David" w:hint="cs"/>
          <w:sz w:val="24"/>
          <w:szCs w:val="24"/>
          <w:lang w:bidi="he-IL"/>
        </w:rPr>
        <w:t>L</w:t>
      </w:r>
      <w:r w:rsidR="00A01298">
        <w:rPr>
          <w:rFonts w:ascii="David" w:eastAsia="David" w:hAnsi="David" w:cs="David"/>
          <w:sz w:val="24"/>
          <w:szCs w:val="24"/>
          <w:lang w:bidi="he-IL"/>
        </w:rPr>
        <w:t>evy. 1988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מאפשרת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למטפל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proofErr w:type="gram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בנושאים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השונים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במישור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באופן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יר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6F8A3BF1" w14:textId="77777777" w:rsidR="0057311E" w:rsidRDefault="0057311E" w:rsidP="00D73083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lang w:bidi="he-IL"/>
        </w:rPr>
      </w:pPr>
    </w:p>
    <w:p w14:paraId="194D42D5" w14:textId="7784B999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ס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מתמקדת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בנושא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ספציפי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ספציפית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העולים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חימום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קבוצתי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שמוכרים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לקבוצ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</w:t>
      </w:r>
      <w:r>
        <w:rPr>
          <w:rFonts w:ascii="David" w:eastAsia="David" w:hAnsi="David" w:cs="David"/>
          <w:sz w:val="24"/>
          <w:szCs w:val="24"/>
          <w:rtl/>
        </w:rPr>
        <w:t>;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שנוגעים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ממשתתפיה</w:t>
      </w:r>
      <w:r w:rsidR="00653FC7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 w:rsidR="00653FC7">
        <w:rPr>
          <w:rFonts w:ascii="David" w:eastAsia="David" w:hAnsi="David" w:cs="David"/>
          <w:sz w:val="24"/>
          <w:szCs w:val="24"/>
          <w:lang w:bidi="he-IL"/>
        </w:rPr>
        <w:t>(</w:t>
      </w:r>
      <w:proofErr w:type="spellStart"/>
      <w:r w:rsidR="00653FC7"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Solsvig</w:t>
      </w:r>
      <w:proofErr w:type="spellEnd"/>
      <w:r w:rsidR="00653FC7">
        <w:rPr>
          <w:rFonts w:ascii="Times New Roman" w:eastAsia="Times New Roman" w:hAnsi="Times New Roman" w:cs="Times New Roman"/>
          <w:color w:val="292B2C"/>
          <w:sz w:val="24"/>
          <w:szCs w:val="24"/>
        </w:rPr>
        <w:t>. 2010)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מאפשרת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להציע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באמצעות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התנועה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החווה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המסרים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והלא</w:t>
      </w:r>
      <w:r>
        <w:rPr>
          <w:rFonts w:ascii="David" w:eastAsia="David" w:hAnsi="David" w:cs="David"/>
          <w:sz w:val="24"/>
          <w:szCs w:val="24"/>
          <w:rtl/>
        </w:rPr>
        <w:t>-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מודעים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האמון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המובע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מבטא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ומשתמש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כתמריץ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לחק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 w:rsidR="006B0A91">
        <w:rPr>
          <w:rFonts w:ascii="David" w:eastAsia="David" w:hAnsi="David" w:cs="David" w:hint="cs"/>
          <w:sz w:val="24"/>
          <w:szCs w:val="24"/>
          <w:rtl/>
          <w:lang w:bidi="he-IL"/>
        </w:rPr>
        <w:t>ר</w:t>
      </w:r>
      <w:r w:rsidR="006B0A91">
        <w:rPr>
          <w:rFonts w:ascii="David" w:eastAsia="David" w:hAnsi="David" w:cs="David"/>
          <w:sz w:val="24"/>
          <w:szCs w:val="24"/>
          <w:lang w:bidi="he-IL"/>
        </w:rPr>
        <w:t>.</w:t>
      </w:r>
      <w:r w:rsidR="006B0A91">
        <w:rPr>
          <w:rFonts w:ascii="David" w:eastAsia="David" w:hAnsi="David" w:cs="David"/>
          <w:sz w:val="24"/>
          <w:szCs w:val="24"/>
          <w:lang w:bidi="he-IL"/>
        </w:rPr>
        <w:t xml:space="preserve"> (</w:t>
      </w:r>
      <w:proofErr w:type="spellStart"/>
      <w:r w:rsidR="006B0A91"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Samaritter</w:t>
      </w:r>
      <w:proofErr w:type="spellEnd"/>
      <w:r w:rsidR="006B0A91">
        <w:rPr>
          <w:rFonts w:ascii="Times New Roman" w:eastAsia="Times New Roman" w:hAnsi="Times New Roman" w:cs="Times New Roman"/>
          <w:color w:val="292B2C"/>
          <w:sz w:val="24"/>
          <w:szCs w:val="24"/>
        </w:rPr>
        <w:t>. 2009)</w:t>
      </w:r>
      <w:r w:rsidR="006B0A91">
        <w:rPr>
          <w:rFonts w:ascii="David" w:eastAsia="David" w:hAnsi="David" w:cs="David"/>
          <w:sz w:val="24"/>
          <w:szCs w:val="24"/>
          <w:lang w:bidi="he-IL"/>
        </w:rPr>
        <w:t xml:space="preserve"> </w:t>
      </w:r>
      <w:r w:rsidR="00393BE7">
        <w:rPr>
          <w:rFonts w:ascii="David" w:eastAsia="David" w:hAnsi="David" w:cs="David" w:hint="cs"/>
          <w:sz w:val="24"/>
          <w:szCs w:val="24"/>
          <w:rtl/>
          <w:lang w:bidi="he-IL"/>
        </w:rPr>
        <w:t>לחלופי</w:t>
      </w:r>
      <w:r w:rsidR="00393BE7">
        <w:rPr>
          <w:rFonts w:ascii="David" w:eastAsia="David" w:hAnsi="David" w:cs="David" w:hint="eastAsia"/>
          <w:sz w:val="24"/>
          <w:szCs w:val="24"/>
          <w:rtl/>
          <w:lang w:bidi="he-IL"/>
        </w:rPr>
        <w:t>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proofErr w:type="gramStart"/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proofErr w:type="gram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שיוזמ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הסמליות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שעשתה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</w:t>
      </w:r>
      <w:r>
        <w:rPr>
          <w:rFonts w:ascii="David" w:eastAsia="David" w:hAnsi="David" w:cs="David"/>
          <w:sz w:val="24"/>
          <w:szCs w:val="24"/>
          <w:rtl/>
        </w:rPr>
        <w:t>'</w:t>
      </w:r>
      <w:proofErr w:type="spellStart"/>
      <w:r>
        <w:rPr>
          <w:rFonts w:ascii="David" w:eastAsia="David" w:hAnsi="David" w:cs="David"/>
          <w:sz w:val="24"/>
          <w:szCs w:val="24"/>
          <w:rtl/>
          <w:lang w:bidi="he-IL"/>
        </w:rPr>
        <w:t>ייס</w:t>
      </w:r>
      <w:proofErr w:type="spellEnd"/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לעתים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קרובות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לשפר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המודעות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לתנועתה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סמליות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נותנת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נושאים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ספציפיים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בתקשורת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המטופל</w:t>
      </w:r>
      <w:r>
        <w:rPr>
          <w:rFonts w:ascii="David" w:eastAsia="David" w:hAnsi="David" w:cs="David"/>
          <w:sz w:val="24"/>
          <w:szCs w:val="24"/>
          <w:rtl/>
        </w:rPr>
        <w:t>.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מתעורר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הצורך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9D10CAE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09EA63C4" w14:textId="77777777" w:rsidR="0057311E" w:rsidRDefault="00E80F6A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בסמינר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הקליני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עבדתי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בגמילה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מחיתולים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לוותר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החיתול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חמש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להשתמש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באסלה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וסרב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לסובבים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להחליף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החיתול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מלוכלך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בטיפול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קבוצ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המדריכה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בחרה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להתמקד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בתנועות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הכיווץ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והשחרור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באופן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הנקודתי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לשם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לקחנו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צינורות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החזיקו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בידיהם</w:t>
      </w:r>
      <w:r>
        <w:rPr>
          <w:rFonts w:ascii="David" w:eastAsia="David" w:hAnsi="David" w:cs="David"/>
          <w:sz w:val="24"/>
          <w:szCs w:val="24"/>
          <w:rtl/>
        </w:rPr>
        <w:t xml:space="preserve"> (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להעניק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תמיכה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קבוצתית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וללכד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סביב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המטרה</w:t>
      </w:r>
      <w:r>
        <w:rPr>
          <w:rFonts w:ascii="David" w:eastAsia="David" w:hAnsi="David" w:cs="David"/>
          <w:sz w:val="24"/>
          <w:szCs w:val="24"/>
          <w:rtl/>
        </w:rPr>
        <w:t xml:space="preserve">);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עמדנו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במעגל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וכולם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החזיקו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יחד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בצינורות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לעטוף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ידיהם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ולנסות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ללחוץ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ולהרפות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פעמים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כך</w:t>
      </w:r>
      <w:r w:rsidR="0057311E">
        <w:rPr>
          <w:rFonts w:ascii="David" w:eastAsia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הרימו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המשתתפים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לראשיהם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והורידו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בעודם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מחזיקים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687F5249" w14:textId="77777777" w:rsidR="0057311E" w:rsidRDefault="0057311E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6B586604" w14:textId="77777777" w:rsidR="0057311E" w:rsidRDefault="00E80F6A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העבודה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צפיתי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המדובר</w:t>
      </w:r>
      <w:r>
        <w:rPr>
          <w:rFonts w:ascii="David" w:eastAsia="David" w:hAnsi="David" w:cs="David"/>
          <w:sz w:val="24"/>
          <w:szCs w:val="24"/>
          <w:rtl/>
        </w:rPr>
        <w:t xml:space="preserve">;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כבר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בהתחלה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נראה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בתגובה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להוראה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ומבחינה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פיזית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ניכר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לעטוף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ידיו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</w:t>
      </w:r>
      <w:r w:rsidR="0057311E">
        <w:rPr>
          <w:rFonts w:ascii="David" w:eastAsia="David" w:hAnsi="David" w:cs="David" w:hint="cs"/>
          <w:sz w:val="24"/>
          <w:szCs w:val="24"/>
          <w:rtl/>
          <w:lang w:bidi="he-IL"/>
        </w:rPr>
        <w:t>ל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כשביקשה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להגביר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הלחץ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ראיתי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מצליח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זאת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</w:p>
    <w:p w14:paraId="154CBA34" w14:textId="77777777" w:rsidR="0057311E" w:rsidRDefault="0057311E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1EDB7A79" w14:textId="394E8B8F" w:rsidR="00A01298" w:rsidRDefault="00E80F6A" w:rsidP="0057311E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מכן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כשהרים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לראשו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קודם</w:t>
      </w:r>
      <w:r>
        <w:rPr>
          <w:rFonts w:ascii="David" w:eastAsia="David" w:hAnsi="David" w:cs="David"/>
          <w:sz w:val="24"/>
          <w:szCs w:val="24"/>
          <w:rtl/>
        </w:rPr>
        <w:t xml:space="preserve">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בצינור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הוריד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לגובה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המותניים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המשכנו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לעבוד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אחד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וביקשנו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לקחת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לגודל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ולהחביא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בחלקים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הגוף</w:t>
      </w:r>
      <w:r>
        <w:rPr>
          <w:rFonts w:ascii="David" w:eastAsia="David" w:hAnsi="David" w:cs="David"/>
          <w:sz w:val="24"/>
          <w:szCs w:val="24"/>
          <w:rtl/>
        </w:rPr>
        <w:t xml:space="preserve"> –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בבית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השחי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מאחורי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הלאה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כאן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לאחוז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בחוזקה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לאורך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ולהחזיק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מכווץ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וכמעט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הרפה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פעמים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</w:p>
    <w:p w14:paraId="428BE1F3" w14:textId="77777777" w:rsidR="00A01298" w:rsidRDefault="00A01298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31952767" w14:textId="3B901AC8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כאשר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ניחשה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מקום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המחבוא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הנכון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להרפות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הלחץ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ולהניח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לחזור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לגודלו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המלא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הצליחו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לעשות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זאת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יחסית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הנידון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במעיכת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לכדור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קטן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וכשהסתיר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במקומות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שונים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בגוף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הוראה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שדרשה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לכרוך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ידיו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סביב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גופו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להתמתח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ולגעת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בגב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בעורף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הלאה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לקרב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הספוג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לגוף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לבסוף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נושא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שיחקנו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בבלונים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וניסינו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למעוך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ולהרפות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מהם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לפוצץ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ככל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שהמשכנו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בפעילויות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שכולן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התמקדו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בפעולה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כיווץ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ושחרור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ראינו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שיפור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קל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ובסוף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המפגש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שיפר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מעט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ללחוץ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הבלון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כשהושטנו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אותו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לידיו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באותה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מידת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הצלחה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כשאר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הקבוצה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226045D9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2155589" w14:textId="3CF48F3F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  <w:lang w:bidi="he-IL"/>
        </w:rPr>
        <w:t>יצאתי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המפגש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במחשבה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הנידון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אין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קשר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טוב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גופו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מאוד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כן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חשבתי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שהוא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התקשה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מאוד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לחבק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עצמו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במהלך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כמה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הפעילויות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בעודי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צופה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הרגשתי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חוסר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נוחות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ולצדה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חמלה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הילד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שאיננו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מסוגל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לחבק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עצמו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CB0899F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77F4EAC" w14:textId="25AED7EE" w:rsidR="007349EB" w:rsidRDefault="00E80F6A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מקווה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שחזרה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חוזרת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ונשנית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פעולות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תהדהד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אצלו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גופנית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והן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רגשית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ותאפשר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להפנים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בכיווץ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ובהרפיה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בגמילה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הנובע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ממנו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העיסוק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במישור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יכול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לאפשר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למצוא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פתרון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במישור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הסימבולי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בעזרת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תרגילים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נוספים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שתחילה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יהיו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יוזמתה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המטפלת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ולאחר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יוזמתו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כדי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להמשיך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לפרק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באמצעות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פעולות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סימבוליות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לקוות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שיחוש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יותר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בגופו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כולו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וכן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יפתור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ההיבטים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הרגשיים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המעכבים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תהליך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הגמילה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ויוצרים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הקושי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בסוגרים</w:t>
      </w:r>
      <w:r>
        <w:rPr>
          <w:rFonts w:ascii="David" w:eastAsia="David" w:hAnsi="David" w:cs="David"/>
          <w:sz w:val="24"/>
          <w:szCs w:val="24"/>
          <w:rtl/>
        </w:rPr>
        <w:t xml:space="preserve">.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התהליך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יסייע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לחוש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יותר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בנוח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ביחס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לפעולה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הגופנית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להתעמת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עם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ההגנות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המקשות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עליו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תנועות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ובסופו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של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דבר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אני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מקווה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שיעזור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לו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לפתור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את</w:t>
      </w:r>
      <w:r>
        <w:rPr>
          <w:rFonts w:ascii="David" w:eastAsia="David" w:hAnsi="David" w:cs="David"/>
          <w:sz w:val="24"/>
          <w:szCs w:val="24"/>
          <w:rtl/>
        </w:rPr>
        <w:t xml:space="preserve"> </w:t>
      </w:r>
      <w:r>
        <w:rPr>
          <w:rFonts w:ascii="David" w:eastAsia="David" w:hAnsi="David" w:cs="David"/>
          <w:sz w:val="24"/>
          <w:szCs w:val="24"/>
          <w:rtl/>
          <w:lang w:bidi="he-IL"/>
        </w:rPr>
        <w:t>הקונפליקט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14:paraId="3F9E9616" w14:textId="5B9C6DBB" w:rsidR="00D73083" w:rsidRDefault="00D73083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1B2A7807" w14:textId="474B56E5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30516B6E" w14:textId="3E932571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  <w:rtl/>
        </w:rPr>
      </w:pPr>
    </w:p>
    <w:p w14:paraId="2E1028A8" w14:textId="77777777" w:rsidR="0057311E" w:rsidRDefault="0057311E" w:rsidP="00393BE7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2BC43A9" w14:textId="77777777" w:rsidR="0041290C" w:rsidRDefault="0041290C">
      <w:pPr>
        <w:spacing w:after="160" w:line="480" w:lineRule="auto"/>
        <w:rPr>
          <w:rFonts w:ascii="David" w:eastAsia="David" w:hAnsi="David" w:cs="David"/>
          <w:sz w:val="24"/>
          <w:szCs w:val="24"/>
          <w:rtl/>
        </w:rPr>
      </w:pPr>
    </w:p>
    <w:p w14:paraId="05999DC2" w14:textId="6FE51750" w:rsidR="007349EB" w:rsidRDefault="00E80F6A">
      <w:pPr>
        <w:spacing w:after="160" w:line="48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David"/>
          <w:sz w:val="24"/>
          <w:szCs w:val="24"/>
          <w:rtl/>
        </w:rPr>
        <w:t>ביבליוגרפיה:</w:t>
      </w:r>
    </w:p>
    <w:p w14:paraId="7145D971" w14:textId="77777777" w:rsidR="007349EB" w:rsidRDefault="00E80F6A" w:rsidP="0041290C">
      <w:pPr>
        <w:spacing w:after="160" w:line="360" w:lineRule="auto"/>
        <w:jc w:val="right"/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Schmais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, C. (1985). Healing Processes in Group Dance Therapy.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American Journal of Dance Therapy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.</w:t>
      </w:r>
    </w:p>
    <w:p w14:paraId="1FB3A636" w14:textId="77777777" w:rsidR="007349EB" w:rsidRDefault="00E80F6A" w:rsidP="0041290C">
      <w:pPr>
        <w:spacing w:after="160" w:line="360" w:lineRule="auto"/>
        <w:jc w:val="right"/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Levy, F.  (1988). Dance Movement Therapy, a Healing Art.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National Dance Association, American Alliance for Health, Physical Education, Recreation and Dance.</w:t>
      </w:r>
    </w:p>
    <w:p w14:paraId="49FC174B" w14:textId="77777777" w:rsidR="007349EB" w:rsidRDefault="00E80F6A" w:rsidP="0041290C">
      <w:pPr>
        <w:spacing w:after="160" w:line="360" w:lineRule="auto"/>
        <w:jc w:val="right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Samaritter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, R. (2009). The Use </w:t>
      </w:r>
      <w:proofErr w:type="gram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Of</w:t>
      </w:r>
      <w:proofErr w:type="gram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 Metaphors In Dance Movement Therapy.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 xml:space="preserve">Body, Movement and Dance in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Psychotherapy,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4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 xml:space="preserve">(1), 33–43. </w:t>
      </w:r>
      <w:hyperlink r:id="rId7">
        <w:r>
          <w:rPr>
            <w:rFonts w:ascii="Times New Roman" w:eastAsia="Times New Roman" w:hAnsi="Times New Roman" w:cs="Times New Roman"/>
            <w:color w:val="0275D8"/>
            <w:sz w:val="24"/>
            <w:szCs w:val="24"/>
            <w:highlight w:val="white"/>
          </w:rPr>
          <w:t>https:</w:t>
        </w:r>
        <w:r>
          <w:rPr>
            <w:rFonts w:ascii="Times New Roman" w:eastAsia="Times New Roman" w:hAnsi="Times New Roman" w:cs="Times New Roman"/>
            <w:color w:val="0275D8"/>
            <w:sz w:val="24"/>
            <w:szCs w:val="24"/>
            <w:highlight w:val="white"/>
          </w:rPr>
          <w:t>/</w:t>
        </w:r>
        <w:r>
          <w:rPr>
            <w:rFonts w:ascii="Times New Roman" w:eastAsia="Times New Roman" w:hAnsi="Times New Roman" w:cs="Times New Roman"/>
            <w:color w:val="0275D8"/>
            <w:sz w:val="24"/>
            <w:szCs w:val="24"/>
            <w:highlight w:val="white"/>
          </w:rPr>
          <w:t>/doi.org/10.1080/17432970802682274</w:t>
        </w:r>
      </w:hyperlink>
    </w:p>
    <w:p w14:paraId="6716827E" w14:textId="77777777" w:rsidR="007349EB" w:rsidRDefault="00E80F6A" w:rsidP="0041290C">
      <w:pPr>
        <w:spacing w:after="160" w:line="360" w:lineRule="auto"/>
        <w:jc w:val="right"/>
        <w:rPr>
          <w:rFonts w:ascii="David" w:eastAsia="David" w:hAnsi="David" w:cs="David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Solsvig</w:t>
      </w:r>
      <w:proofErr w:type="spellEnd"/>
      <w:r>
        <w:rPr>
          <w:rFonts w:ascii="Times New Roman" w:eastAsia="Times New Roman" w:hAnsi="Times New Roman" w:cs="Times New Roman"/>
          <w:color w:val="292B2C"/>
          <w:sz w:val="24"/>
          <w:szCs w:val="24"/>
          <w:highlight w:val="white"/>
        </w:rPr>
        <w:t>, S. (2010) Dance/Movement Therapy and Responsive Classroom: A Theoretical Synthesis.</w:t>
      </w:r>
      <w:r>
        <w:rPr>
          <w:rFonts w:ascii="David" w:eastAsia="David" w:hAnsi="David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 xml:space="preserve">Creative Arts Therapies Theses. </w:t>
      </w:r>
      <w:r>
        <w:rPr>
          <w:rFonts w:ascii="Times New Roman" w:eastAsia="Times New Roman" w:hAnsi="Times New Roman" w:cs="Times New Roman"/>
          <w:i/>
          <w:color w:val="292B2C"/>
          <w:sz w:val="24"/>
          <w:szCs w:val="24"/>
          <w:highlight w:val="white"/>
        </w:rPr>
        <w:t>Paper 13.</w:t>
      </w:r>
    </w:p>
    <w:p w14:paraId="65990B57" w14:textId="77777777" w:rsidR="007349EB" w:rsidRDefault="007349EB" w:rsidP="0041290C">
      <w:pPr>
        <w:spacing w:after="160" w:line="360" w:lineRule="auto"/>
        <w:jc w:val="right"/>
        <w:rPr>
          <w:rFonts w:ascii="David" w:eastAsia="David" w:hAnsi="David" w:cs="David"/>
          <w:sz w:val="24"/>
          <w:szCs w:val="24"/>
        </w:rPr>
      </w:pPr>
    </w:p>
    <w:p w14:paraId="3B54F434" w14:textId="77777777" w:rsidR="007349EB" w:rsidRDefault="007349EB">
      <w:pPr>
        <w:spacing w:after="160" w:line="360" w:lineRule="auto"/>
        <w:jc w:val="both"/>
        <w:rPr>
          <w:rFonts w:ascii="David" w:eastAsia="David" w:hAnsi="David" w:cs="David"/>
          <w:sz w:val="24"/>
          <w:szCs w:val="24"/>
        </w:rPr>
      </w:pPr>
    </w:p>
    <w:p w14:paraId="45294270" w14:textId="77777777" w:rsidR="007349EB" w:rsidRDefault="007349EB">
      <w:pPr>
        <w:spacing w:after="160" w:line="360" w:lineRule="auto"/>
        <w:jc w:val="right"/>
        <w:rPr>
          <w:rFonts w:ascii="Arial" w:eastAsia="Arial" w:hAnsi="Arial" w:cs="Arial"/>
        </w:rPr>
      </w:pPr>
    </w:p>
    <w:sectPr w:rsidR="007349E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8DB8" w14:textId="77777777" w:rsidR="00E80F6A" w:rsidRDefault="00E80F6A">
      <w:r>
        <w:separator/>
      </w:r>
    </w:p>
  </w:endnote>
  <w:endnote w:type="continuationSeparator" w:id="0">
    <w:p w14:paraId="54F0746E" w14:textId="77777777" w:rsidR="00E80F6A" w:rsidRDefault="00E8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2A0" w14:textId="77777777" w:rsidR="007349EB" w:rsidRDefault="00E80F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01298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0D399612" w14:textId="77777777" w:rsidR="007349EB" w:rsidRDefault="007349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A1A4" w14:textId="77777777" w:rsidR="00E80F6A" w:rsidRDefault="00E80F6A">
      <w:r>
        <w:separator/>
      </w:r>
    </w:p>
  </w:footnote>
  <w:footnote w:type="continuationSeparator" w:id="0">
    <w:p w14:paraId="1675D751" w14:textId="77777777" w:rsidR="00E80F6A" w:rsidRDefault="00E8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C821" w14:textId="77777777" w:rsidR="007349EB" w:rsidRDefault="00E80F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6A823B" wp14:editId="40131CF3">
          <wp:simplePos x="0" y="0"/>
          <wp:positionH relativeFrom="column">
            <wp:posOffset>-953133</wp:posOffset>
          </wp:positionH>
          <wp:positionV relativeFrom="paragraph">
            <wp:posOffset>-94809</wp:posOffset>
          </wp:positionV>
          <wp:extent cx="1089660" cy="1002665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100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84A7882" wp14:editId="1BFDF217">
          <wp:simplePos x="0" y="0"/>
          <wp:positionH relativeFrom="column">
            <wp:posOffset>5059680</wp:posOffset>
          </wp:positionH>
          <wp:positionV relativeFrom="paragraph">
            <wp:posOffset>-106043</wp:posOffset>
          </wp:positionV>
          <wp:extent cx="963930" cy="1012825"/>
          <wp:effectExtent l="0" t="0" r="0" b="0"/>
          <wp:wrapSquare wrapText="bothSides" distT="0" distB="0" distL="114300" distR="114300"/>
          <wp:docPr id="9" name="image1.jpg" descr="לאתר הקפולטה למדעי הרווחה והבריאו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לאתר הקפולטה למדעי הרווחה והבריאות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93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83D0E2E" wp14:editId="5955F2E5">
          <wp:simplePos x="0" y="0"/>
          <wp:positionH relativeFrom="column">
            <wp:posOffset>447724</wp:posOffset>
          </wp:positionH>
          <wp:positionV relativeFrom="paragraph">
            <wp:posOffset>168275</wp:posOffset>
          </wp:positionV>
          <wp:extent cx="4442466" cy="566225"/>
          <wp:effectExtent l="0" t="0" r="0" b="0"/>
          <wp:wrapSquare wrapText="bothSides" distT="0" distB="0" distL="114300" distR="114300"/>
          <wp:docPr id="10" name="image2.jpg" descr="הפקולטה למדעי הרווחה והבריאות - אוניברסיטת חיפ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הפקולטה למדעי הרווחה והבריאות - אוניברסיטת חיפה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2466" cy="56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EB"/>
    <w:rsid w:val="00393BE7"/>
    <w:rsid w:val="0041290C"/>
    <w:rsid w:val="0057311E"/>
    <w:rsid w:val="00653FC7"/>
    <w:rsid w:val="006B0A91"/>
    <w:rsid w:val="006B2F35"/>
    <w:rsid w:val="007349EB"/>
    <w:rsid w:val="00A01298"/>
    <w:rsid w:val="00D73083"/>
    <w:rsid w:val="00E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0E4D"/>
  <w15:docId w15:val="{8BC24FA9-93A7-4FF2-AA01-B909C503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L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5C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E0"/>
  </w:style>
  <w:style w:type="paragraph" w:styleId="Footer">
    <w:name w:val="footer"/>
    <w:basedOn w:val="Normal"/>
    <w:link w:val="FooterChar"/>
    <w:uiPriority w:val="99"/>
    <w:unhideWhenUsed/>
    <w:rsid w:val="00F35CE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E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74329708026822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vUFXnQr43i5KrHd2XgHczQQqw==">AMUW2mXbYJV6phf1CwD3Pa+jfbUZz5mOe3bp+iNPk7khLqVimKIXMIoibk8E1y0zap/Qmi98VPvRE6YN2h4dv89/6sAeNhSvJvRm5xtaZBYqYbxJqIrxHjY=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 fisher</dc:creator>
  <cp:lastModifiedBy>Avi Staiman</cp:lastModifiedBy>
  <cp:revision>2</cp:revision>
  <dcterms:created xsi:type="dcterms:W3CDTF">2022-01-30T16:09:00Z</dcterms:created>
  <dcterms:modified xsi:type="dcterms:W3CDTF">2022-01-30T16:09:00Z</dcterms:modified>
</cp:coreProperties>
</file>