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64CC6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32"/>
          <w:szCs w:val="32"/>
          <w:rtl/>
          <w:lang w:bidi="he-IL"/>
        </w:rPr>
      </w:pPr>
      <w:r w:rsidRPr="00297048">
        <w:rPr>
          <w:rFonts w:ascii="David" w:hAnsi="David" w:cs="David"/>
          <w:sz w:val="32"/>
          <w:szCs w:val="32"/>
          <w:rtl/>
          <w:lang w:bidi="he-IL"/>
        </w:rPr>
        <w:t>כתבי היד לפרטיהם</w:t>
      </w:r>
    </w:p>
    <w:p w14:paraId="245C12C9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המאה ה-13</w:t>
      </w:r>
    </w:p>
    <w:p w14:paraId="7B496E1A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1</w:t>
      </w: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. כ"י (כתב יד) </w:t>
      </w:r>
      <w:proofErr w:type="spellStart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פארמה</w:t>
      </w:r>
      <w:proofErr w:type="spellEnd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, ספריית </w:t>
      </w:r>
      <w:proofErr w:type="spellStart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פאלאטינה</w:t>
      </w:r>
      <w:proofErr w:type="spellEnd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, 2749.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 לפי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המתכי"ע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(המכון לתצלומי כתב יד עבריים) ספרדי, שנת 1300 בערך. כתב היד הוא העדות הטקסטואלית היחידה של היצירה "מלחמת מצווה".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ריכלר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(</w:t>
      </w:r>
      <w:r w:rsidRPr="00297048">
        <w:rPr>
          <w:rFonts w:ascii="David" w:hAnsi="David" w:cs="David"/>
          <w:sz w:val="24"/>
          <w:szCs w:val="24"/>
          <w:lang w:bidi="he-IL"/>
        </w:rPr>
        <w:t>Richler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) קבע </w:t>
      </w:r>
      <w:r>
        <w:rPr>
          <w:rFonts w:ascii="David" w:hAnsi="David" w:cs="David" w:hint="cs"/>
          <w:sz w:val="24"/>
          <w:szCs w:val="24"/>
          <w:rtl/>
          <w:lang w:bidi="he-IL"/>
        </w:rPr>
        <w:t>לגבי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לכל הקודקס: </w:t>
      </w:r>
    </w:p>
    <w:p w14:paraId="4B11C76B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"תערובת של חומרים שנכתבו במשך כמה עשרות שנים, משנות ה-40 עד שנות ה-70 של המאה ה-13 (...). פ</w:t>
      </w:r>
      <w:r>
        <w:rPr>
          <w:rFonts w:ascii="David" w:hAnsi="David" w:cs="David" w:hint="cs"/>
          <w:sz w:val="24"/>
          <w:szCs w:val="24"/>
          <w:rtl/>
          <w:lang w:bidi="he-IL"/>
        </w:rPr>
        <w:t>וליו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218 הוא פוליו מכתב יד אחר הכולל פרגמנט של המחלוקת של משה בן נחמן עם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פאבלו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כריסטיאני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>".</w:t>
      </w:r>
    </w:p>
    <w:p w14:paraId="041C23F9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עמוד הפוליו </w:t>
      </w:r>
      <w:r w:rsidRPr="00297048">
        <w:rPr>
          <w:rFonts w:ascii="David" w:hAnsi="David" w:cs="David"/>
          <w:sz w:val="24"/>
          <w:szCs w:val="24"/>
          <w:lang w:bidi="he-IL"/>
        </w:rPr>
        <w:t>a-b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218 כתוב בכתב שונה מהשאר. הטקסט מביא חלק מה</w:t>
      </w:r>
      <w:r>
        <w:rPr>
          <w:rFonts w:ascii="David" w:hAnsi="David" w:cs="David" w:hint="cs"/>
          <w:sz w:val="24"/>
          <w:szCs w:val="24"/>
          <w:rtl/>
          <w:lang w:bidi="he-IL"/>
        </w:rPr>
        <w:t>ו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ויכוח על ספר דניאל ט'</w:t>
      </w:r>
      <w:r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כ"ד ואילך. אולם </w:t>
      </w:r>
      <w:r>
        <w:rPr>
          <w:rFonts w:ascii="David" w:hAnsi="David" w:cs="David" w:hint="cs"/>
          <w:sz w:val="24"/>
          <w:szCs w:val="24"/>
          <w:rtl/>
          <w:lang w:bidi="he-IL"/>
        </w:rPr>
        <w:t>לאור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קביעתו של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ריכלר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, השאלה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אם מדובר בעמוד הפוליו הספציפי באמת בטקסט מהמאה ה-13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נותר</w:t>
      </w:r>
      <w:r>
        <w:rPr>
          <w:rFonts w:ascii="David" w:hAnsi="David" w:cs="David" w:hint="cs"/>
          <w:sz w:val="24"/>
          <w:szCs w:val="24"/>
          <w:rtl/>
          <w:lang w:bidi="he-IL"/>
        </w:rPr>
        <w:t>ת כרגע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פתוח</w:t>
      </w:r>
      <w:r>
        <w:rPr>
          <w:rFonts w:ascii="David" w:hAnsi="David" w:cs="David" w:hint="cs"/>
          <w:sz w:val="24"/>
          <w:szCs w:val="24"/>
          <w:rtl/>
          <w:lang w:bidi="he-IL"/>
        </w:rPr>
        <w:t>ה.</w:t>
      </w:r>
    </w:p>
    <w:p w14:paraId="469CC19A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06BC08FD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המאה ה-14</w:t>
      </w:r>
    </w:p>
    <w:p w14:paraId="76B195CB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2. כ"י </w:t>
      </w:r>
      <w:proofErr w:type="spellStart"/>
      <w:r w:rsidRPr="00297048">
        <w:rPr>
          <w:rFonts w:ascii="David" w:hAnsi="David" w:cs="David" w:hint="cs"/>
          <w:b/>
          <w:bCs/>
          <w:sz w:val="24"/>
          <w:szCs w:val="24"/>
          <w:rtl/>
          <w:lang w:bidi="he-IL"/>
        </w:rPr>
        <w:t>קיימברידג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'</w:t>
      </w: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, ספריית האוניברסיטה, תוספת 1224.2.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לפי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המתכי"ע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ביזנטיני, מתוארך </w:t>
      </w:r>
      <w:r>
        <w:rPr>
          <w:rFonts w:ascii="David" w:hAnsi="David" w:cs="David" w:hint="cs"/>
          <w:sz w:val="24"/>
          <w:szCs w:val="24"/>
          <w:rtl/>
          <w:lang w:bidi="he-IL"/>
        </w:rPr>
        <w:t>ל-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1387. הטקסט נמצא ב-</w:t>
      </w:r>
      <w:proofErr w:type="spellStart"/>
      <w:r w:rsidRPr="00297048">
        <w:rPr>
          <w:rFonts w:ascii="David" w:hAnsi="David" w:cs="David"/>
          <w:sz w:val="24"/>
          <w:szCs w:val="24"/>
          <w:lang w:bidi="he-IL"/>
        </w:rPr>
        <w:t>Bl</w:t>
      </w:r>
      <w:proofErr w:type="spellEnd"/>
      <w:r w:rsidRPr="00297048">
        <w:rPr>
          <w:rFonts w:ascii="David" w:hAnsi="David" w:cs="David"/>
          <w:sz w:val="24"/>
          <w:szCs w:val="24"/>
          <w:lang w:bidi="he-IL"/>
        </w:rPr>
        <w:t>. 12a-24b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. רייף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(</w:t>
      </w:r>
      <w:r>
        <w:rPr>
          <w:rFonts w:ascii="David" w:hAnsi="David" w:cs="David"/>
          <w:sz w:val="24"/>
          <w:szCs w:val="24"/>
          <w:lang w:bidi="he-IL"/>
        </w:rPr>
        <w:t>Reif</w:t>
      </w:r>
      <w:r>
        <w:rPr>
          <w:rFonts w:ascii="David" w:hAnsi="David" w:cs="David" w:hint="cs"/>
          <w:sz w:val="24"/>
          <w:szCs w:val="24"/>
          <w:rtl/>
          <w:lang w:bidi="he-IL"/>
        </w:rPr>
        <w:t>)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מפנה לכתב היד תוספת </w:t>
      </w:r>
      <w:r w:rsidRPr="00297048">
        <w:rPr>
          <w:rFonts w:ascii="David" w:hAnsi="David" w:cs="David"/>
          <w:sz w:val="24"/>
          <w:szCs w:val="24"/>
          <w:lang w:bidi="he-IL"/>
        </w:rPr>
        <w:t>1224.1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, אשר מתואר על ידו כ-</w:t>
      </w:r>
      <w:r w:rsidRPr="00297048">
        <w:rPr>
          <w:rFonts w:ascii="David" w:hAnsi="David" w:cs="David"/>
          <w:sz w:val="24"/>
          <w:szCs w:val="24"/>
          <w:lang w:bidi="he-IL"/>
        </w:rPr>
        <w:t>SCR 739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, ו</w:t>
      </w:r>
      <w:r>
        <w:rPr>
          <w:rFonts w:ascii="David" w:hAnsi="David" w:cs="David" w:hint="cs"/>
          <w:sz w:val="24"/>
          <w:szCs w:val="24"/>
          <w:rtl/>
          <w:lang w:bidi="he-IL"/>
        </w:rPr>
        <w:t>ש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לפי דעתו הוא בעל כתב יד דומה,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ואולי אפילו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בעל אותו מחבר כמו 1224.2. אבל ציון המקום וגם מספר השנים אינם נמצאים בתוספת 1224.2, אלא דווקא ב-1224.1. אף על פי כן, רייף מסכים עם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הת</w:t>
      </w:r>
      <w:r>
        <w:rPr>
          <w:rFonts w:ascii="David" w:hAnsi="David" w:cs="David" w:hint="cs"/>
          <w:sz w:val="24"/>
          <w:szCs w:val="24"/>
          <w:rtl/>
          <w:lang w:bidi="he-IL"/>
        </w:rPr>
        <w:t>י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ארוך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של המאה ה-14 ושהפונט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הוא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ביזנטיני גם </w:t>
      </w:r>
      <w:r>
        <w:rPr>
          <w:rFonts w:ascii="David" w:hAnsi="David" w:cs="David" w:hint="cs"/>
          <w:sz w:val="24"/>
          <w:szCs w:val="24"/>
          <w:rtl/>
          <w:lang w:bidi="he-IL"/>
        </w:rPr>
        <w:t>ב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תוספת 1224.2. רייף אינו מתעתק את ציון המקום "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מזיתרא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>" ואינו ממק</w:t>
      </w:r>
      <w:r>
        <w:rPr>
          <w:rFonts w:ascii="David" w:hAnsi="David" w:cs="David" w:hint="cs"/>
          <w:sz w:val="24"/>
          <w:szCs w:val="24"/>
          <w:rtl/>
          <w:lang w:bidi="he-IL"/>
        </w:rPr>
        <w:t>מ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ו. כותרת חיבור רמב"ן היא:</w:t>
      </w:r>
    </w:p>
    <w:p w14:paraId="15CC7C51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הויכוח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שעשה הרב הגדול רב' משה בר' נחמן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ז'צ'ו'ל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>.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60C9F4BC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החיבור מתחיל עם הציטוט מבבלי סנהדרין מ"ג, א'. מציינים</w:t>
      </w:r>
      <w:commentRangeStart w:id="0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שהפולמוסן הנוצרי </w:t>
      </w:r>
      <w:commentRangeEnd w:id="0"/>
      <w:r w:rsidRPr="00297048">
        <w:rPr>
          <w:rStyle w:val="Kommentarzeichen"/>
          <w:rFonts w:ascii="David" w:hAnsi="David" w:cs="David"/>
          <w:sz w:val="24"/>
          <w:szCs w:val="24"/>
          <w:rtl/>
        </w:rPr>
        <w:commentReference w:id="0"/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הוא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פראר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פול. בסוף החיבור חוזרים שלוש פעמים על המשפט:</w:t>
      </w:r>
    </w:p>
    <w:p w14:paraId="3EBEAAD0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[...] באהבה רבה והאלוהים יזכנו לחיי העולם הבא אמן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אמן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33ABB139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החזרה האחרונה מסתיימת במילים:</w:t>
      </w:r>
    </w:p>
    <w:p w14:paraId="5CBAB25E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[...] תם ונשלם.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0159B81D" w14:textId="41F665E9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3. כ"י </w:t>
      </w:r>
      <w:proofErr w:type="spellStart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פארמה</w:t>
      </w:r>
      <w:proofErr w:type="spellEnd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, ספריית </w:t>
      </w:r>
      <w:proofErr w:type="spellStart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פאלאטינה</w:t>
      </w:r>
      <w:proofErr w:type="spellEnd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, 2437.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המכתי"ע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מתאר את כתב היד כאיטלקי, מהמאה ה-14, 14 עמודים בסך הכול. ניתן להוסיף</w:t>
      </w:r>
      <w:r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bidi="he-IL"/>
        </w:rPr>
        <w:t>כמו שטוען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ריכלר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שכתב היד נוצר בתחילת המאה ה-14 וכתוב בכתב יד איטלקי. לפי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ריכלר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הוא מורכב רק מ-12 עמודי פוליו, ולמעשה החיבור כולל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  <w:r>
        <w:rPr>
          <w:rFonts w:ascii="Arial" w:hAnsi="Arial" w:cs="Arial"/>
          <w:sz w:val="24"/>
          <w:szCs w:val="24"/>
          <w:rtl/>
          <w:lang w:bidi="he-IL"/>
        </w:rPr>
        <w:t>⅓</w:t>
      </w:r>
      <w:r w:rsidRPr="00297048">
        <w:rPr>
          <w:rFonts w:ascii="David" w:hAnsi="David" w:cs="David"/>
          <w:sz w:val="24"/>
          <w:szCs w:val="24"/>
          <w:lang w:bidi="he-IL"/>
        </w:rPr>
        <w:t>18</w:t>
      </w:r>
      <w:r w:rsidRPr="00297048">
        <w:rPr>
          <w:rFonts w:ascii="David" w:eastAsiaTheme="minorEastAsia" w:hAnsi="David" w:cs="David"/>
          <w:sz w:val="24"/>
          <w:szCs w:val="24"/>
          <w:rtl/>
          <w:lang w:bidi="he-IL"/>
        </w:rPr>
        <w:t xml:space="preserve"> עמודים. בעותק שיש בידי לא ניתן לקרוא את הכותרת. החיבור מתחיל עם הטקסט של סנהדרין. מציינים ש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הפולמוסן הנוצרי הוא פארי פול. הטקסט מסתיים במילים: [...] והאלוהים יזכנו לחיי העולם הבא אמן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אמן</w:t>
      </w:r>
      <w:proofErr w:type="spellEnd"/>
    </w:p>
    <w:p w14:paraId="69F8DC97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אחרי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חיבור ה"וויכוח" של הרמב"ן </w:t>
      </w:r>
      <w:r>
        <w:rPr>
          <w:rFonts w:ascii="David" w:hAnsi="David" w:cs="David" w:hint="cs"/>
          <w:sz w:val="24"/>
          <w:szCs w:val="24"/>
          <w:rtl/>
          <w:lang w:bidi="he-IL"/>
        </w:rPr>
        <w:t>מופיעה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פרשנו</w:t>
      </w:r>
      <w:bookmarkStart w:id="1" w:name="_GoBack"/>
      <w:bookmarkEnd w:id="1"/>
      <w:r w:rsidRPr="00297048">
        <w:rPr>
          <w:rFonts w:ascii="David" w:hAnsi="David" w:cs="David"/>
          <w:sz w:val="24"/>
          <w:szCs w:val="24"/>
          <w:rtl/>
          <w:lang w:bidi="he-IL"/>
        </w:rPr>
        <w:t>ת לישעיהו נ"ב</w:t>
      </w:r>
      <w:r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י"ג ואילך. נראה לי ששני החיבורים נכתבו </w:t>
      </w:r>
      <w:r>
        <w:rPr>
          <w:rFonts w:ascii="David" w:hAnsi="David" w:cs="David" w:hint="cs"/>
          <w:sz w:val="24"/>
          <w:szCs w:val="24"/>
          <w:rtl/>
          <w:lang w:bidi="he-IL"/>
        </w:rPr>
        <w:t>ב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אותה היד.</w:t>
      </w:r>
    </w:p>
    <w:p w14:paraId="0B338592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4. כ"י פריז, הספרייה הלאומית, עבר' 334/11.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לפי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המכתי"ע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ביזנטיני, המאה ה-14/15, </w:t>
      </w:r>
      <w:r>
        <w:rPr>
          <w:rFonts w:ascii="David" w:hAnsi="David" w:cs="David"/>
          <w:sz w:val="24"/>
          <w:szCs w:val="24"/>
          <w:lang w:bidi="he-IL"/>
        </w:rPr>
        <w:t>a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234-</w:t>
      </w:r>
      <w:r>
        <w:rPr>
          <w:rFonts w:ascii="David" w:hAnsi="David" w:cs="David"/>
          <w:sz w:val="24"/>
          <w:szCs w:val="24"/>
          <w:lang w:bidi="he-IL"/>
        </w:rPr>
        <w:t>a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224. כותרת כתב היד היא:</w:t>
      </w:r>
    </w:p>
    <w:p w14:paraId="5297E284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lastRenderedPageBreak/>
        <w:t>"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ויכוחים שעשה אותם רב' משה [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ב"ר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נחמן ז"ל עם]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פרירפולו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לפני המלך בהיכל.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27D9CFCD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החיבור מתחיל בטקסט של סנהדרין. סוף החיבור הוא:</w:t>
      </w:r>
    </w:p>
    <w:p w14:paraId="6A05A9E3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תמו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הויכוחים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שעשה רב' משה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ב"ר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נחמן ז"ל.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76534F11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750D24B3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b/>
          <w:bCs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המא</w:t>
      </w: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ה</w:t>
      </w: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ה-15/16</w:t>
      </w:r>
    </w:p>
    <w:p w14:paraId="1445EC07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5. כ"י אוקספורד, ספריית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>ה</w:t>
      </w: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בודליאנה</w:t>
      </w:r>
      <w:proofErr w:type="spellEnd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, יצירות, תוספת 36 = </w:t>
      </w:r>
      <w:proofErr w:type="spellStart"/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נויבאואר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 </w:t>
      </w:r>
      <w:r w:rsidRPr="006E5584">
        <w:rPr>
          <w:rFonts w:ascii="David" w:hAnsi="David" w:cs="David" w:hint="cs"/>
          <w:sz w:val="24"/>
          <w:szCs w:val="24"/>
          <w:rtl/>
          <w:lang w:bidi="he-IL"/>
        </w:rPr>
        <w:t>(</w:t>
      </w:r>
      <w:r w:rsidRPr="006E5584">
        <w:rPr>
          <w:rFonts w:ascii="David" w:hAnsi="David" w:cs="David"/>
          <w:sz w:val="24"/>
          <w:szCs w:val="24"/>
          <w:lang w:bidi="he-IL"/>
        </w:rPr>
        <w:t>Neubauer</w:t>
      </w:r>
      <w:r w:rsidRPr="006E5584">
        <w:rPr>
          <w:rFonts w:ascii="David" w:hAnsi="David" w:cs="David" w:hint="cs"/>
          <w:sz w:val="24"/>
          <w:szCs w:val="24"/>
          <w:rtl/>
          <w:lang w:bidi="he-IL"/>
        </w:rPr>
        <w:t>)</w:t>
      </w: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 xml:space="preserve"> 2425/8.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ספרדי, המאה ה-15. קטע מתוך הוויכוח נמצא בעמודים </w:t>
      </w:r>
      <w:r>
        <w:rPr>
          <w:rFonts w:ascii="David" w:hAnsi="David" w:cs="David"/>
          <w:sz w:val="24"/>
          <w:szCs w:val="24"/>
          <w:lang w:bidi="he-IL"/>
        </w:rPr>
        <w:t>69</w:t>
      </w:r>
      <w:r w:rsidRPr="00297048">
        <w:rPr>
          <w:rFonts w:ascii="David" w:hAnsi="David" w:cs="David"/>
          <w:sz w:val="24"/>
          <w:szCs w:val="24"/>
          <w:lang w:bidi="he-IL"/>
        </w:rPr>
        <w:t>a-b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. החיבור </w:t>
      </w:r>
      <w:r>
        <w:rPr>
          <w:rFonts w:ascii="David" w:hAnsi="David" w:cs="David" w:hint="cs"/>
          <w:sz w:val="24"/>
          <w:szCs w:val="24"/>
          <w:rtl/>
          <w:lang w:bidi="he-IL"/>
        </w:rPr>
        <w:t>מכיל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חלק מהוויכוח אודות בראשית מ"ט, י'. מציינים בחיבור שהפולמוסן הנוצרי הוא פרארי פול.</w:t>
      </w:r>
    </w:p>
    <w:p w14:paraId="597C8BE7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b/>
          <w:bCs/>
          <w:sz w:val="24"/>
          <w:szCs w:val="24"/>
          <w:rtl/>
          <w:lang w:bidi="he-IL"/>
        </w:rPr>
        <w:t>6. כ"י סנט פטרסבורג, המכון ללימודי מזרחנות של האקדמיה הרוסית למדעים, 47/3.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לפי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המכתי"ע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ביזנטיני, המאה ה-15/16. </w:t>
      </w:r>
      <w:proofErr w:type="spellStart"/>
      <w:r w:rsidRPr="00297048">
        <w:rPr>
          <w:rFonts w:ascii="David" w:hAnsi="David" w:cs="David"/>
          <w:sz w:val="24"/>
          <w:szCs w:val="24"/>
          <w:lang w:bidi="he-IL"/>
        </w:rPr>
        <w:t>Bl</w:t>
      </w:r>
      <w:proofErr w:type="spellEnd"/>
      <w:r w:rsidRPr="00297048">
        <w:rPr>
          <w:rFonts w:ascii="David" w:hAnsi="David" w:cs="David"/>
          <w:sz w:val="24"/>
          <w:szCs w:val="24"/>
          <w:lang w:bidi="he-IL"/>
        </w:rPr>
        <w:t>. 162b-169a</w:t>
      </w:r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. עבור האוסף של מכון זה ראו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ריכלר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1994, עמוד 98, עדיין תחת השם לנינגרד. על פי הערותיו קיים רק קטלוג שהודפס במכונת כתיבה ברוסית, אולם מכינים כעת קטלוג חדש. כותרת החיבור היא:</w:t>
      </w:r>
    </w:p>
    <w:p w14:paraId="1A100213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הויכוח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אשר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נתוכח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הרב ר' משה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ב"נ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עם פארי פול לפני המלך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732C4E9E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הטקסט של סנהדרין חסר כאן, ה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חיבור </w:t>
      </w:r>
      <w:r w:rsidRPr="00297048">
        <w:rPr>
          <w:rFonts w:ascii="David" w:hAnsi="David" w:cs="David"/>
          <w:sz w:val="24"/>
          <w:szCs w:val="24"/>
          <w:rtl/>
          <w:lang w:bidi="he-IL"/>
        </w:rPr>
        <w:t>מתחיל במילים:</w:t>
      </w:r>
    </w:p>
    <w:p w14:paraId="05D0FAB0" w14:textId="77777777" w:rsidR="00D60E42" w:rsidRPr="00297048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"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צוה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אותי אדוננו במלך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להתוכח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עם פארי פול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יש"ו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 xml:space="preserve"> בפניו ובהיכלו </w:t>
      </w:r>
      <w:proofErr w:type="spellStart"/>
      <w:r w:rsidRPr="00297048">
        <w:rPr>
          <w:rFonts w:ascii="David" w:hAnsi="David" w:cs="David"/>
          <w:sz w:val="24"/>
          <w:szCs w:val="24"/>
          <w:rtl/>
          <w:lang w:bidi="he-IL"/>
        </w:rPr>
        <w:t>בברצלונא</w:t>
      </w:r>
      <w:proofErr w:type="spellEnd"/>
      <w:r w:rsidRPr="00297048">
        <w:rPr>
          <w:rFonts w:ascii="David" w:hAnsi="David" w:cs="David"/>
          <w:sz w:val="24"/>
          <w:szCs w:val="24"/>
          <w:rtl/>
          <w:lang w:bidi="he-IL"/>
        </w:rPr>
        <w:t>.</w:t>
      </w:r>
      <w:r>
        <w:rPr>
          <w:rFonts w:ascii="David" w:hAnsi="David" w:cs="David" w:hint="cs"/>
          <w:sz w:val="24"/>
          <w:szCs w:val="24"/>
          <w:rtl/>
          <w:lang w:bidi="he-IL"/>
        </w:rPr>
        <w:t>"</w:t>
      </w:r>
    </w:p>
    <w:p w14:paraId="3D2DEC02" w14:textId="77777777" w:rsidR="00460DDA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297048">
        <w:rPr>
          <w:rFonts w:ascii="David" w:hAnsi="David" w:cs="David"/>
          <w:sz w:val="24"/>
          <w:szCs w:val="24"/>
          <w:rtl/>
          <w:lang w:bidi="he-IL"/>
        </w:rPr>
        <w:t>7 השורות האחרונות של החיבור הותקנו בכתב מרובע ולכן אולי הוספו על ידי מישהו אחר</w:t>
      </w:r>
      <w:r>
        <w:rPr>
          <w:rFonts w:ascii="David" w:hAnsi="David" w:cs="David" w:hint="cs"/>
          <w:sz w:val="24"/>
          <w:szCs w:val="24"/>
          <w:rtl/>
          <w:lang w:bidi="he-IL"/>
        </w:rPr>
        <w:t>.</w:t>
      </w:r>
    </w:p>
    <w:p w14:paraId="25C3D9CD" w14:textId="77777777" w:rsidR="00D60E42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</w:p>
    <w:p w14:paraId="6587557A" w14:textId="77777777" w:rsidR="00D60E42" w:rsidRPr="00D60E42" w:rsidRDefault="00D60E42" w:rsidP="00D60E42">
      <w:pPr>
        <w:bidi/>
        <w:spacing w:line="360" w:lineRule="auto"/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...</w:t>
      </w:r>
    </w:p>
    <w:sectPr w:rsidR="00D60E42" w:rsidRPr="00D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Roi Bar" w:date="2021-12-24T17:50:00Z" w:initials="R.B.">
    <w:p w14:paraId="74C0728A" w14:textId="77777777" w:rsidR="00D60E42" w:rsidRDefault="00D60E42" w:rsidP="00D60E42">
      <w:pPr>
        <w:pStyle w:val="Kommentartext"/>
        <w:rPr>
          <w:lang w:bidi="he-IL"/>
        </w:rPr>
      </w:pPr>
      <w:r>
        <w:rPr>
          <w:rStyle w:val="Kommentarzeichen"/>
        </w:rPr>
        <w:annotationRef/>
      </w:r>
      <w:r>
        <w:rPr>
          <w:rFonts w:hint="cs"/>
          <w:rtl/>
          <w:lang w:bidi="he-IL"/>
        </w:rPr>
        <w:t xml:space="preserve">הקיצור במקור </w:t>
      </w:r>
    </w:p>
    <w:p w14:paraId="15F713D8" w14:textId="77777777" w:rsidR="00D60E42" w:rsidRDefault="00D60E42" w:rsidP="00D60E42">
      <w:pPr>
        <w:pStyle w:val="Kommentartext"/>
        <w:rPr>
          <w:lang w:bidi="he-IL"/>
        </w:rPr>
      </w:pPr>
      <w:r>
        <w:rPr>
          <w:lang w:bidi="he-IL"/>
        </w:rPr>
        <w:t>PC</w:t>
      </w:r>
    </w:p>
    <w:p w14:paraId="42C0F4C0" w14:textId="77777777" w:rsidR="00D60E42" w:rsidRDefault="00D60E42" w:rsidP="00D60E42">
      <w:pPr>
        <w:pStyle w:val="Kommentartext"/>
        <w:rPr>
          <w:rtl/>
          <w:lang w:bidi="he-IL"/>
        </w:rPr>
      </w:pPr>
      <w:r>
        <w:rPr>
          <w:rFonts w:hint="cs"/>
          <w:rtl/>
          <w:lang w:bidi="he-IL"/>
        </w:rPr>
        <w:t>אינו ברור דיו</w:t>
      </w:r>
    </w:p>
    <w:p w14:paraId="7F7A34D3" w14:textId="77777777" w:rsidR="00D60E42" w:rsidRDefault="00D60E42" w:rsidP="00D60E42">
      <w:pPr>
        <w:pStyle w:val="Kommentartext"/>
        <w:rPr>
          <w:lang w:bidi="he-IL"/>
        </w:rPr>
      </w:pPr>
      <w:r>
        <w:rPr>
          <w:rFonts w:hint="cs"/>
          <w:rtl/>
          <w:lang w:bidi="he-IL"/>
        </w:rPr>
        <w:t>ייתכן שזה</w:t>
      </w:r>
    </w:p>
    <w:p w14:paraId="0E498302" w14:textId="31847648" w:rsidR="00D60E42" w:rsidRDefault="00D60E42" w:rsidP="00D60E42">
      <w:pPr>
        <w:pStyle w:val="Kommentartext"/>
        <w:rPr>
          <w:rtl/>
          <w:lang w:bidi="he-IL"/>
        </w:rPr>
      </w:pPr>
      <w:r>
        <w:rPr>
          <w:lang w:bidi="he-IL"/>
        </w:rPr>
        <w:t xml:space="preserve">Pablo </w:t>
      </w:r>
      <w:proofErr w:type="spellStart"/>
      <w:r>
        <w:rPr>
          <w:lang w:bidi="he-IL"/>
        </w:rPr>
        <w:t>Christiani</w:t>
      </w:r>
      <w:proofErr w:type="spellEnd"/>
      <w:r>
        <w:rPr>
          <w:rFonts w:hint="cs"/>
          <w:rtl/>
          <w:lang w:bidi="he-IL"/>
        </w:rPr>
        <w:t xml:space="preserve"> </w:t>
      </w:r>
    </w:p>
    <w:p w14:paraId="41BA88BD" w14:textId="481EF2BA" w:rsidR="00263A71" w:rsidRDefault="00263A71" w:rsidP="00D60E42">
      <w:pPr>
        <w:pStyle w:val="Kommentartext"/>
        <w:rPr>
          <w:rtl/>
          <w:lang w:bidi="he-IL"/>
        </w:rPr>
      </w:pPr>
      <w:r>
        <w:rPr>
          <w:rFonts w:hint="cs"/>
          <w:rtl/>
          <w:lang w:bidi="he-IL"/>
        </w:rPr>
        <w:t>או פולמוסן נוצרי</w:t>
      </w:r>
    </w:p>
    <w:p w14:paraId="35339D0C" w14:textId="77777777" w:rsidR="00D60E42" w:rsidRDefault="00D60E42" w:rsidP="00D60E42">
      <w:pPr>
        <w:pStyle w:val="Kommentartext"/>
        <w:rPr>
          <w:rtl/>
          <w:lang w:bidi="he-IL"/>
        </w:rPr>
      </w:pPr>
      <w:r>
        <w:rPr>
          <w:rFonts w:hint="cs"/>
          <w:rtl/>
          <w:lang w:bidi="he-IL"/>
        </w:rPr>
        <w:t xml:space="preserve"> הכוונה היא לצד השני בוויכוח. אגב, בהמשך מופיע שמו בתעתיקים שונים, וכך גם במקור.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339D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39D0C" w16cid:durableId="257086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oi Bar">
    <w15:presenceInfo w15:providerId="None" w15:userId="Roi B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42"/>
    <w:rsid w:val="00177523"/>
    <w:rsid w:val="00263A71"/>
    <w:rsid w:val="00460DDA"/>
    <w:rsid w:val="00D6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985"/>
  <w15:chartTrackingRefBased/>
  <w15:docId w15:val="{F4C1D9D9-5F47-4AEF-9201-06F6896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0E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D60E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0E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0E42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 Bar</dc:creator>
  <cp:keywords/>
  <dc:description/>
  <cp:lastModifiedBy>Roi Bar</cp:lastModifiedBy>
  <cp:revision>3</cp:revision>
  <dcterms:created xsi:type="dcterms:W3CDTF">2021-12-26T08:46:00Z</dcterms:created>
  <dcterms:modified xsi:type="dcterms:W3CDTF">2021-12-26T08:58:00Z</dcterms:modified>
</cp:coreProperties>
</file>