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AC327" w14:textId="77777777" w:rsidR="00722AC0" w:rsidRDefault="00EC13B4" w:rsidP="00722AC0">
      <w:pPr>
        <w:bidi w:val="0"/>
        <w:rPr>
          <w:rFonts w:cs="Times New Roman"/>
        </w:rPr>
      </w:pPr>
      <w:r>
        <w:rPr>
          <w:rFonts w:cs="Times New Roman"/>
        </w:rPr>
        <w:t>Prof. Joosten was kind</w:t>
      </w:r>
      <w:bookmarkStart w:id="0" w:name="_GoBack"/>
      <w:bookmarkEnd w:id="0"/>
      <w:r>
        <w:rPr>
          <w:rFonts w:cs="Times New Roman"/>
        </w:rPr>
        <w:t xml:space="preserve"> enough to draw my attention to three further examples in which the Septuagint translates </w:t>
      </w:r>
      <w:r w:rsidRPr="00D21B30">
        <w:rPr>
          <w:rFonts w:hint="cs"/>
          <w:b/>
          <w:bCs/>
          <w:rtl/>
        </w:rPr>
        <w:t>אותו</w:t>
      </w:r>
      <w:r>
        <w:rPr>
          <w:b/>
          <w:bCs/>
        </w:rPr>
        <w:t xml:space="preserve"> </w:t>
      </w:r>
      <w:r>
        <w:t xml:space="preserve">as an independent demonstrative pronoun rather than an object pronoun. Two of these instances appear only in a single witness. See Leviticus 26:39 in Aquila’s recension (for a discussion of the different versions, see </w:t>
      </w:r>
      <w:proofErr w:type="spellStart"/>
      <w:r>
        <w:t>Wevers</w:t>
      </w:r>
      <w:proofErr w:type="spellEnd"/>
      <w:r>
        <w:t xml:space="preserve"> 1997: 459) and Kings I 9:25 in Codex </w:t>
      </w:r>
      <w:proofErr w:type="spellStart"/>
      <w:r>
        <w:t>Alexandrinus</w:t>
      </w:r>
      <w:proofErr w:type="spellEnd"/>
      <w:r>
        <w:t xml:space="preserve">. Both instances entail exegetical difficulties. In Leviticus 26:39, the antecedent of </w:t>
      </w:r>
      <w:r w:rsidRPr="00F67256">
        <w:rPr>
          <w:rFonts w:cs="Times New Roman"/>
          <w:b/>
          <w:bCs/>
          <w:rtl/>
        </w:rPr>
        <w:t>אִתָּם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(which the translator read as </w:t>
      </w:r>
      <w:r w:rsidRPr="005F44B2">
        <w:rPr>
          <w:rFonts w:cs="Times New Roman"/>
          <w:b/>
          <w:bCs/>
          <w:rtl/>
        </w:rPr>
        <w:t>א</w:t>
      </w:r>
      <w:r w:rsidRPr="005F44B2">
        <w:rPr>
          <w:rFonts w:cs="Times New Roman" w:hint="cs"/>
          <w:b/>
          <w:bCs/>
          <w:rtl/>
        </w:rPr>
        <w:t>וֹ</w:t>
      </w:r>
      <w:r w:rsidRPr="005F44B2">
        <w:rPr>
          <w:rFonts w:cs="Times New Roman" w:hint="eastAsia"/>
          <w:b/>
          <w:bCs/>
          <w:rtl/>
        </w:rPr>
        <w:t>תָם</w:t>
      </w:r>
      <w:r>
        <w:rPr>
          <w:rFonts w:cs="Times New Roman"/>
        </w:rPr>
        <w:t xml:space="preserve"> – Milgrom 1991: 2329, cf. Numbers 6:13) is unclear. The interpretation of the verse from Kings remains unclear (</w:t>
      </w:r>
      <w:proofErr w:type="spellStart"/>
      <w:r>
        <w:rPr>
          <w:rFonts w:cs="Times New Roman"/>
        </w:rPr>
        <w:t>Kalimi</w:t>
      </w:r>
      <w:proofErr w:type="spellEnd"/>
      <w:r>
        <w:rPr>
          <w:rFonts w:cs="Times New Roman"/>
        </w:rPr>
        <w:t xml:space="preserve"> 2005: 121-122). In the third instance, Ezekiel 10:22, all the witnesses for the Septuagint translate </w:t>
      </w:r>
      <w:r w:rsidRPr="005F44B2">
        <w:rPr>
          <w:rFonts w:cs="Times New Roman"/>
          <w:b/>
          <w:bCs/>
          <w:rtl/>
        </w:rPr>
        <w:t>וְא</w:t>
      </w:r>
      <w:r w:rsidRPr="005F44B2">
        <w:rPr>
          <w:rFonts w:cs="Times New Roman" w:hint="cs"/>
          <w:b/>
          <w:bCs/>
          <w:rtl/>
        </w:rPr>
        <w:t>וֹ</w:t>
      </w:r>
      <w:r w:rsidRPr="005F44B2">
        <w:rPr>
          <w:rFonts w:cs="Times New Roman" w:hint="eastAsia"/>
          <w:b/>
          <w:bCs/>
          <w:rtl/>
        </w:rPr>
        <w:t>תָם</w:t>
      </w:r>
      <w:r>
        <w:rPr>
          <w:rFonts w:cs="Times New Roman"/>
        </w:rPr>
        <w:t xml:space="preserve"> as a pronoun (‘and they’). The medieval commentators (such as </w:t>
      </w:r>
      <w:r w:rsidR="00722AC0">
        <w:rPr>
          <w:rFonts w:cs="Times New Roman"/>
        </w:rPr>
        <w:t>Kimhi) struggled to interpret the word in its context in the verse, and the explanations offered by modern scholars are also forced (</w:t>
      </w:r>
      <w:proofErr w:type="spellStart"/>
      <w:r w:rsidR="00722AC0">
        <w:rPr>
          <w:rFonts w:cs="Times New Roman"/>
        </w:rPr>
        <w:t>Saydon</w:t>
      </w:r>
      <w:proofErr w:type="spellEnd"/>
      <w:r w:rsidR="00722AC0">
        <w:rPr>
          <w:rFonts w:cs="Times New Roman"/>
        </w:rPr>
        <w:t xml:space="preserve"> 1964: 202).</w:t>
      </w:r>
    </w:p>
    <w:p w14:paraId="2E3D8077" w14:textId="77777777" w:rsidR="00722AC0" w:rsidRDefault="00722AC0" w:rsidP="00722AC0">
      <w:pPr>
        <w:bidi w:val="0"/>
        <w:rPr>
          <w:rFonts w:cs="Times New Roman"/>
        </w:rPr>
      </w:pPr>
      <w:proofErr w:type="gramStart"/>
      <w:r>
        <w:rPr>
          <w:rFonts w:cs="Times New Roman"/>
        </w:rPr>
        <w:t>Thus</w:t>
      </w:r>
      <w:proofErr w:type="gramEnd"/>
      <w:r>
        <w:rPr>
          <w:rFonts w:cs="Times New Roman"/>
        </w:rPr>
        <w:t xml:space="preserve"> all these instances entail significant exegetical difficulties. It is not easy to determine if the attempt to solve the problem on the basis of the context was sufficient to yield a translation that violates the grammar of Biblical Hebrew (perhaps in light of the translator’s familiarity with Greek grammar), or whether influence from the spoken Rabbinic Hebrew</w:t>
      </w:r>
      <w:r w:rsidR="00EC13B4">
        <w:t xml:space="preserve"> </w:t>
      </w:r>
      <w:r>
        <w:t xml:space="preserve">with which the translator was also familiar was required, as Joosten argues. Whatever the case, and as noted, the use of </w:t>
      </w:r>
      <w:r w:rsidRPr="005F44B2">
        <w:rPr>
          <w:rFonts w:cs="Times New Roman"/>
          <w:b/>
          <w:bCs/>
          <w:rtl/>
        </w:rPr>
        <w:t>א</w:t>
      </w:r>
      <w:r w:rsidRPr="005F44B2">
        <w:rPr>
          <w:rFonts w:cs="Times New Roman" w:hint="cs"/>
          <w:b/>
          <w:bCs/>
          <w:rtl/>
        </w:rPr>
        <w:t>וֹ</w:t>
      </w:r>
      <w:r w:rsidRPr="005F44B2">
        <w:rPr>
          <w:rFonts w:cs="Times New Roman" w:hint="eastAsia"/>
          <w:b/>
          <w:bCs/>
          <w:rtl/>
        </w:rPr>
        <w:t>ת</w:t>
      </w:r>
      <w:r>
        <w:rPr>
          <w:rFonts w:cs="Times New Roman" w:hint="cs"/>
          <w:b/>
          <w:bCs/>
          <w:rtl/>
        </w:rPr>
        <w:t>וֹ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as an independent (rather than complementary) pronoun is not documented in the Rabbinic literature prior to the Amoraic period in Palestine (the third and fourth centuries CE).</w:t>
      </w:r>
    </w:p>
    <w:p w14:paraId="08763225" w14:textId="77777777" w:rsidR="00EC13B4" w:rsidRDefault="00EC13B4" w:rsidP="00722AC0">
      <w:pPr>
        <w:bidi w:val="0"/>
      </w:pPr>
      <w:r>
        <w:rPr>
          <w:rFonts w:cs="Times New Roman"/>
        </w:rPr>
        <w:t xml:space="preserve"> </w:t>
      </w:r>
    </w:p>
    <w:sectPr w:rsidR="00EC13B4" w:rsidSect="00623E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75A6F" w14:textId="77777777" w:rsidR="00D33C2D" w:rsidRDefault="00D33C2D" w:rsidP="00205542">
      <w:pPr>
        <w:spacing w:before="0" w:after="0" w:line="240" w:lineRule="auto"/>
      </w:pPr>
      <w:r>
        <w:separator/>
      </w:r>
    </w:p>
  </w:endnote>
  <w:endnote w:type="continuationSeparator" w:id="0">
    <w:p w14:paraId="19DAFA5C" w14:textId="77777777" w:rsidR="00D33C2D" w:rsidRDefault="00D33C2D" w:rsidP="002055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D274B" w14:textId="77777777" w:rsidR="00D33C2D" w:rsidRDefault="00D33C2D" w:rsidP="00205542">
      <w:pPr>
        <w:spacing w:before="0" w:after="0" w:line="240" w:lineRule="auto"/>
      </w:pPr>
      <w:r>
        <w:separator/>
      </w:r>
    </w:p>
  </w:footnote>
  <w:footnote w:type="continuationSeparator" w:id="0">
    <w:p w14:paraId="4F1F1378" w14:textId="77777777" w:rsidR="00D33C2D" w:rsidRDefault="00D33C2D" w:rsidP="0020554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tTQ2Nje3NDE2NjVX0lEKTi0uzszPAykwrAUAEdLdkSwAAAA="/>
  </w:docVars>
  <w:rsids>
    <w:rsidRoot w:val="00910424"/>
    <w:rsid w:val="00000C85"/>
    <w:rsid w:val="000C605E"/>
    <w:rsid w:val="000F359B"/>
    <w:rsid w:val="001078CC"/>
    <w:rsid w:val="00205542"/>
    <w:rsid w:val="00246F50"/>
    <w:rsid w:val="002C1545"/>
    <w:rsid w:val="002E6BD6"/>
    <w:rsid w:val="00345B2A"/>
    <w:rsid w:val="00351EE6"/>
    <w:rsid w:val="003B6077"/>
    <w:rsid w:val="003F09E7"/>
    <w:rsid w:val="00496FA1"/>
    <w:rsid w:val="004F314F"/>
    <w:rsid w:val="00562253"/>
    <w:rsid w:val="00564D17"/>
    <w:rsid w:val="005819CC"/>
    <w:rsid w:val="005F44B2"/>
    <w:rsid w:val="00623E07"/>
    <w:rsid w:val="00691182"/>
    <w:rsid w:val="006B1912"/>
    <w:rsid w:val="00722AC0"/>
    <w:rsid w:val="00754138"/>
    <w:rsid w:val="007650B2"/>
    <w:rsid w:val="007E06D6"/>
    <w:rsid w:val="00822A1F"/>
    <w:rsid w:val="008274D2"/>
    <w:rsid w:val="00910424"/>
    <w:rsid w:val="009572B0"/>
    <w:rsid w:val="00A46285"/>
    <w:rsid w:val="00AD1CAD"/>
    <w:rsid w:val="00AE0440"/>
    <w:rsid w:val="00B33C19"/>
    <w:rsid w:val="00B57821"/>
    <w:rsid w:val="00B670EB"/>
    <w:rsid w:val="00C01FF1"/>
    <w:rsid w:val="00C72017"/>
    <w:rsid w:val="00D045A2"/>
    <w:rsid w:val="00D21B30"/>
    <w:rsid w:val="00D33C2D"/>
    <w:rsid w:val="00D93215"/>
    <w:rsid w:val="00DC64F3"/>
    <w:rsid w:val="00E04808"/>
    <w:rsid w:val="00EA7F40"/>
    <w:rsid w:val="00EC13B4"/>
    <w:rsid w:val="00EF66B3"/>
    <w:rsid w:val="00F6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F4B00"/>
  <w15:docId w15:val="{B8612C49-56E4-4EB3-98E2-D2879B9E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9E7"/>
    <w:pPr>
      <w:bidi/>
      <w:spacing w:before="120" w:after="280" w:line="360" w:lineRule="auto"/>
      <w:jc w:val="both"/>
    </w:pPr>
    <w:rPr>
      <w:rFonts w:asciiTheme="majorBidi" w:hAnsiTheme="majorBid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E0440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AD1CAD"/>
    <w:pPr>
      <w:spacing w:before="0"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1CAD"/>
    <w:rPr>
      <w:rFonts w:cstheme="majorBid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440"/>
    <w:rPr>
      <w:rFonts w:asciiTheme="majorHAnsi" w:eastAsiaTheme="majorEastAsia" w:hAnsiTheme="majorHAnsi" w:cstheme="majorBidi"/>
      <w:bCs/>
      <w:i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0554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359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59B"/>
    <w:rPr>
      <w:rFonts w:asciiTheme="majorBidi" w:hAnsiTheme="majorBid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359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59B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שיקגו" Version="15"/>
</file>

<file path=customXml/itemProps1.xml><?xml version="1.0" encoding="utf-8"?>
<ds:datastoreItem xmlns:ds="http://schemas.openxmlformats.org/officeDocument/2006/customXml" ds:itemID="{A49276F9-74C0-41B4-B058-2A3E5A06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2020-02-20T08:02:00Z</dcterms:created>
  <dcterms:modified xsi:type="dcterms:W3CDTF">2020-02-20T08:02:00Z</dcterms:modified>
</cp:coreProperties>
</file>