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0F" w:rsidRPr="00E37783" w:rsidRDefault="0032190F" w:rsidP="00D45F6D">
      <w:pPr>
        <w:pStyle w:val="Heading1"/>
        <w:spacing w:before="0" w:line="360" w:lineRule="auto"/>
        <w:contextualSpacing/>
        <w:jc w:val="center"/>
        <w:rPr>
          <w:rFonts w:asciiTheme="majorBidi" w:hAnsiTheme="majorBidi" w:cstheme="majorBidi"/>
          <w:b w:val="0"/>
          <w:bCs w:val="0"/>
          <w:color w:val="auto"/>
        </w:rPr>
      </w:pPr>
      <w:bookmarkStart w:id="0" w:name="_GoBack"/>
      <w:bookmarkEnd w:id="0"/>
      <w:r w:rsidRPr="00E37783">
        <w:rPr>
          <w:rFonts w:asciiTheme="majorBidi" w:hAnsiTheme="majorBidi" w:cstheme="majorBidi"/>
          <w:color w:val="auto"/>
        </w:rPr>
        <w:t xml:space="preserve">The Shift from the Biblical Hebrew Far Demonstrative </w:t>
      </w:r>
      <w:r w:rsidRPr="00E37783">
        <w:rPr>
          <w:rFonts w:asciiTheme="majorBidi" w:hAnsiTheme="majorBidi" w:cstheme="majorBidi"/>
          <w:i/>
          <w:iCs/>
          <w:color w:val="auto"/>
        </w:rPr>
        <w:t>ha-hūˀ</w:t>
      </w:r>
    </w:p>
    <w:p w:rsidR="0032190F" w:rsidRPr="00E37783" w:rsidRDefault="0032190F" w:rsidP="00D45F6D">
      <w:pPr>
        <w:pStyle w:val="Heading1"/>
        <w:spacing w:before="0" w:line="360" w:lineRule="auto"/>
        <w:contextualSpacing/>
        <w:jc w:val="center"/>
        <w:rPr>
          <w:rFonts w:asciiTheme="majorBidi" w:hAnsiTheme="majorBidi" w:cstheme="majorBidi"/>
          <w:b w:val="0"/>
          <w:bCs w:val="0"/>
          <w:color w:val="auto"/>
        </w:rPr>
      </w:pPr>
      <w:r w:rsidRPr="00E37783">
        <w:rPr>
          <w:rFonts w:asciiTheme="majorBidi" w:hAnsiTheme="majorBidi" w:cstheme="majorBidi"/>
          <w:color w:val="auto"/>
        </w:rPr>
        <w:t xml:space="preserve">to the Mishnaic Hebrew Object Pronoun </w:t>
      </w:r>
      <w:r w:rsidRPr="00E37783">
        <w:rPr>
          <w:rFonts w:asciiTheme="majorBidi" w:hAnsiTheme="majorBidi" w:cstheme="majorBidi"/>
          <w:i/>
          <w:iCs/>
          <w:color w:val="auto"/>
        </w:rPr>
        <w:t>ˀōṯō</w:t>
      </w:r>
      <w:r w:rsidRPr="00E37783">
        <w:rPr>
          <w:rFonts w:asciiTheme="majorBidi" w:hAnsiTheme="majorBidi" w:cstheme="majorBidi"/>
          <w:color w:val="auto"/>
        </w:rPr>
        <w:br/>
        <w:t>Chanan Ariel, Tel Aviv University</w:t>
      </w:r>
    </w:p>
    <w:p w:rsidR="006D257B" w:rsidRPr="00E37783" w:rsidRDefault="006D257B" w:rsidP="00D45F6D">
      <w:pPr>
        <w:spacing w:after="0" w:line="360" w:lineRule="auto"/>
        <w:jc w:val="left"/>
        <w:rPr>
          <w:rFonts w:asciiTheme="majorBidi" w:hAnsiTheme="majorBidi" w:cstheme="majorBidi"/>
        </w:rPr>
      </w:pPr>
    </w:p>
    <w:p w:rsidR="00E37783" w:rsidRPr="00E37783" w:rsidRDefault="00576688" w:rsidP="00E37783">
      <w:pPr>
        <w:spacing w:line="360" w:lineRule="auto"/>
        <w:rPr>
          <w:rFonts w:asciiTheme="majorBidi" w:hAnsiTheme="majorBidi" w:cstheme="majorBidi"/>
          <w:b/>
          <w:bCs/>
        </w:rPr>
      </w:pPr>
      <w:r w:rsidRPr="00E37783">
        <w:rPr>
          <w:rFonts w:asciiTheme="majorBidi" w:hAnsiTheme="majorBidi" w:cstheme="majorBidi"/>
          <w:b/>
          <w:bCs/>
        </w:rPr>
        <w:t>Abstract</w:t>
      </w:r>
    </w:p>
    <w:p w:rsidR="00576688" w:rsidRPr="00E37783" w:rsidRDefault="00576688" w:rsidP="00E37783">
      <w:pPr>
        <w:spacing w:line="360" w:lineRule="auto"/>
        <w:rPr>
          <w:rFonts w:asciiTheme="majorBidi" w:hAnsiTheme="majorBidi" w:cstheme="majorBidi"/>
          <w:lang w:bidi="ar-JO"/>
        </w:rPr>
      </w:pPr>
      <w:r w:rsidRPr="00E37783">
        <w:rPr>
          <w:rFonts w:asciiTheme="majorBidi" w:hAnsiTheme="majorBidi" w:cstheme="majorBidi"/>
        </w:rPr>
        <w:t xml:space="preserve">One of the most prominent differences between Biblical and Mishnaic Hebrew is the far demonstrative pronoun </w:t>
      </w:r>
      <w:r w:rsidRPr="00E37783">
        <w:rPr>
          <w:rFonts w:asciiTheme="majorBidi" w:hAnsiTheme="majorBidi" w:cstheme="majorBidi" w:hint="cs"/>
          <w:b/>
          <w:bCs/>
          <w:rtl/>
        </w:rPr>
        <w:t>ההוא</w:t>
      </w:r>
      <w:r w:rsidRPr="00E37783">
        <w:rPr>
          <w:rFonts w:asciiTheme="majorBidi" w:hAnsiTheme="majorBidi" w:cstheme="majorBidi"/>
        </w:rPr>
        <w:t xml:space="preserve"> in the Biblical language (e.g. </w:t>
      </w:r>
      <w:r w:rsidRPr="00E37783">
        <w:rPr>
          <w:rFonts w:asciiTheme="majorBidi" w:hAnsiTheme="majorBidi" w:cstheme="majorBidi" w:hint="cs"/>
          <w:rtl/>
          <w:lang w:val="en-GB"/>
        </w:rPr>
        <w:t>האיש ההוא</w:t>
      </w:r>
      <w:r w:rsidRPr="00E37783">
        <w:rPr>
          <w:rFonts w:asciiTheme="majorBidi" w:hAnsiTheme="majorBidi" w:cstheme="majorBidi"/>
          <w:lang w:bidi="ar-JO"/>
        </w:rPr>
        <w:t xml:space="preserve"> – </w:t>
      </w:r>
      <w:r w:rsidR="009E1180" w:rsidRPr="00E37783">
        <w:rPr>
          <w:rFonts w:asciiTheme="majorBidi" w:hAnsiTheme="majorBidi" w:cstheme="majorBidi"/>
          <w:lang w:bidi="ar-JO"/>
        </w:rPr>
        <w:t>‘</w:t>
      </w:r>
      <w:r w:rsidRPr="00E37783">
        <w:rPr>
          <w:rFonts w:asciiTheme="majorBidi" w:hAnsiTheme="majorBidi" w:cstheme="majorBidi"/>
          <w:lang w:bidi="ar-JO"/>
        </w:rPr>
        <w:t>that man</w:t>
      </w:r>
      <w:r w:rsidR="009E1180" w:rsidRPr="00E37783">
        <w:rPr>
          <w:rFonts w:asciiTheme="majorBidi" w:hAnsiTheme="majorBidi" w:cstheme="majorBidi"/>
          <w:lang w:bidi="ar-JO"/>
        </w:rPr>
        <w:t>’</w:t>
      </w:r>
      <w:r w:rsidRPr="00E37783">
        <w:rPr>
          <w:rFonts w:asciiTheme="majorBidi" w:hAnsiTheme="majorBidi" w:cstheme="majorBidi"/>
          <w:lang w:bidi="ar-JO"/>
        </w:rPr>
        <w:t xml:space="preserve">), which in Mishnaic Hebrew becomes </w:t>
      </w:r>
      <w:r w:rsidRPr="00E37783">
        <w:rPr>
          <w:rFonts w:asciiTheme="majorBidi" w:hAnsiTheme="majorBidi" w:cstheme="majorBidi" w:hint="cs"/>
          <w:b/>
          <w:bCs/>
          <w:rtl/>
        </w:rPr>
        <w:t>אותו</w:t>
      </w:r>
      <w:r w:rsidR="00E37783" w:rsidRPr="00E37783">
        <w:rPr>
          <w:rFonts w:asciiTheme="majorBidi" w:hAnsiTheme="majorBidi" w:cstheme="majorBidi" w:hint="cs"/>
          <w:b/>
          <w:bCs/>
        </w:rPr>
        <w:t xml:space="preserve"> </w:t>
      </w:r>
      <w:r w:rsidRPr="00E37783">
        <w:rPr>
          <w:rFonts w:asciiTheme="majorBidi" w:hAnsiTheme="majorBidi" w:cstheme="majorBidi"/>
          <w:lang w:bidi="ar-JO"/>
        </w:rPr>
        <w:t xml:space="preserve">(e.g. </w:t>
      </w:r>
      <w:r w:rsidRPr="00E37783">
        <w:rPr>
          <w:rFonts w:asciiTheme="majorBidi" w:hAnsiTheme="majorBidi" w:cstheme="majorBidi" w:hint="cs"/>
          <w:rtl/>
          <w:lang w:val="en-GB"/>
        </w:rPr>
        <w:t>אותו האיש</w:t>
      </w:r>
      <w:r w:rsidRPr="00E37783">
        <w:rPr>
          <w:rFonts w:asciiTheme="majorBidi" w:hAnsiTheme="majorBidi" w:cstheme="majorBidi"/>
          <w:lang w:bidi="ar-JO"/>
        </w:rPr>
        <w:t xml:space="preserve"> – </w:t>
      </w:r>
      <w:r w:rsidR="009E1180" w:rsidRPr="00E37783">
        <w:rPr>
          <w:rFonts w:asciiTheme="majorBidi" w:hAnsiTheme="majorBidi" w:cstheme="majorBidi"/>
          <w:lang w:bidi="ar-JO"/>
        </w:rPr>
        <w:t>‘</w:t>
      </w:r>
      <w:r w:rsidRPr="00E37783">
        <w:rPr>
          <w:rFonts w:asciiTheme="majorBidi" w:hAnsiTheme="majorBidi" w:cstheme="majorBidi"/>
          <w:lang w:bidi="ar-JO"/>
        </w:rPr>
        <w:t>that man</w:t>
      </w:r>
      <w:r w:rsidR="009E1180" w:rsidRPr="00E37783">
        <w:rPr>
          <w:rFonts w:asciiTheme="majorBidi" w:hAnsiTheme="majorBidi" w:cstheme="majorBidi"/>
          <w:lang w:bidi="ar-JO"/>
        </w:rPr>
        <w:t>’</w:t>
      </w:r>
      <w:r w:rsidRPr="00E37783">
        <w:rPr>
          <w:rFonts w:asciiTheme="majorBidi" w:hAnsiTheme="majorBidi" w:cstheme="majorBidi"/>
          <w:lang w:bidi="ar-JO"/>
        </w:rPr>
        <w:t xml:space="preserve">). Since the mid-nineteenth century, scholars have attempted to offer an explanation for this change. This article reviews the development of the complementary demonstrative pronouns in Hebrew and Aramaic, supporting the suggestion that the dominant factor in this change was Greek influence. The article also offers a possible explanation for the rapid nature of this change and the exclusive use of the new pronoun in Mishnaic Hebrew. </w:t>
      </w:r>
    </w:p>
    <w:p w:rsidR="00576688" w:rsidRPr="00E37783" w:rsidRDefault="00576688" w:rsidP="00576688">
      <w:pPr>
        <w:spacing w:line="360" w:lineRule="auto"/>
        <w:rPr>
          <w:rFonts w:asciiTheme="majorBidi" w:hAnsiTheme="majorBidi" w:cstheme="majorBidi"/>
          <w:lang w:bidi="ar-JO"/>
        </w:rPr>
      </w:pPr>
      <w:r w:rsidRPr="00E37783">
        <w:rPr>
          <w:rFonts w:asciiTheme="majorBidi" w:hAnsiTheme="majorBidi" w:cstheme="majorBidi"/>
          <w:b/>
          <w:bCs/>
          <w:lang w:bidi="ar-JO"/>
        </w:rPr>
        <w:t>1. Introduction – The Extreme Change in the Far Demonstrative Pronoun between Biblical and Mishnaic Hebrew</w:t>
      </w:r>
      <w:r w:rsidRPr="00E37783">
        <w:rPr>
          <w:rFonts w:asciiTheme="majorBidi" w:hAnsiTheme="majorBidi" w:cstheme="majorBidi"/>
          <w:lang w:bidi="ar-JO"/>
        </w:rPr>
        <w:t xml:space="preserve"> </w:t>
      </w:r>
    </w:p>
    <w:p w:rsidR="00433C5C" w:rsidRPr="00E37783" w:rsidRDefault="009457D3" w:rsidP="00D45F6D">
      <w:pPr>
        <w:spacing w:line="360" w:lineRule="auto"/>
        <w:rPr>
          <w:rFonts w:asciiTheme="majorBidi" w:hAnsiTheme="majorBidi" w:cstheme="majorBidi"/>
          <w:lang w:bidi="ar-JO"/>
        </w:rPr>
      </w:pPr>
      <w:r w:rsidRPr="00E37783">
        <w:rPr>
          <w:rFonts w:asciiTheme="majorBidi" w:hAnsiTheme="majorBidi" w:cstheme="majorBidi"/>
        </w:rPr>
        <w:t xml:space="preserve">In Mishnaic Hebrew, the direct object marker </w:t>
      </w:r>
      <w:r w:rsidRPr="00E37783">
        <w:rPr>
          <w:rFonts w:asciiTheme="majorBidi" w:hAnsiTheme="majorBidi" w:cstheme="majorBidi"/>
          <w:b/>
          <w:bCs/>
          <w:rtl/>
        </w:rPr>
        <w:t>את</w:t>
      </w:r>
      <w:r w:rsidRPr="00E37783">
        <w:rPr>
          <w:rFonts w:asciiTheme="majorBidi" w:hAnsiTheme="majorBidi" w:cstheme="majorBidi"/>
          <w:lang w:bidi="ar-JO"/>
        </w:rPr>
        <w:t xml:space="preserve"> is used as a demonstrative in two ways:</w:t>
      </w:r>
      <w:r w:rsidR="006D257B" w:rsidRPr="00E37783">
        <w:rPr>
          <w:rFonts w:asciiTheme="majorBidi" w:hAnsiTheme="majorBidi" w:cstheme="majorBidi"/>
          <w:lang w:bidi="ar-JO"/>
        </w:rPr>
        <w:t xml:space="preserve"> </w:t>
      </w:r>
    </w:p>
    <w:p w:rsidR="00114881" w:rsidRPr="00E37783" w:rsidRDefault="009457D3" w:rsidP="00D45F6D">
      <w:pPr>
        <w:pStyle w:val="E-1"/>
        <w:numPr>
          <w:ilvl w:val="0"/>
          <w:numId w:val="18"/>
        </w:numPr>
        <w:spacing w:line="360" w:lineRule="auto"/>
        <w:rPr>
          <w:rFonts w:asciiTheme="majorBidi" w:hAnsiTheme="majorBidi" w:cstheme="majorBidi"/>
          <w:lang w:bidi="ar-JO"/>
        </w:rPr>
      </w:pPr>
      <w:r w:rsidRPr="00E37783">
        <w:rPr>
          <w:rFonts w:asciiTheme="majorBidi" w:hAnsiTheme="majorBidi" w:cstheme="majorBidi"/>
          <w:lang w:bidi="ar-JO"/>
        </w:rPr>
        <w:t xml:space="preserve">The direct object marker </w:t>
      </w:r>
      <w:bookmarkStart w:id="1" w:name="_Hlk12521754"/>
      <w:r w:rsidRPr="00E37783">
        <w:rPr>
          <w:rFonts w:asciiTheme="majorBidi" w:hAnsiTheme="majorBidi" w:cstheme="majorBidi"/>
          <w:b/>
          <w:bCs/>
          <w:rtl/>
        </w:rPr>
        <w:t>את</w:t>
      </w:r>
      <w:r w:rsidRPr="00E37783">
        <w:rPr>
          <w:rFonts w:asciiTheme="majorBidi" w:hAnsiTheme="majorBidi" w:cstheme="majorBidi"/>
          <w:lang w:bidi="ar-JO"/>
        </w:rPr>
        <w:t xml:space="preserve"> in its undeclined form </w:t>
      </w:r>
      <w:r w:rsidR="00C24B89" w:rsidRPr="00E37783">
        <w:rPr>
          <w:rFonts w:asciiTheme="majorBidi" w:hAnsiTheme="majorBidi" w:cstheme="majorBidi"/>
          <w:lang w:bidi="ar-JO"/>
        </w:rPr>
        <w:t>functions</w:t>
      </w:r>
      <w:r w:rsidRPr="00E37783">
        <w:rPr>
          <w:rFonts w:asciiTheme="majorBidi" w:hAnsiTheme="majorBidi" w:cstheme="majorBidi"/>
          <w:lang w:bidi="ar-JO"/>
        </w:rPr>
        <w:t xml:space="preserve"> as a</w:t>
      </w:r>
      <w:r w:rsidR="00F12A6C" w:rsidRPr="00E37783">
        <w:rPr>
          <w:rFonts w:asciiTheme="majorBidi" w:hAnsiTheme="majorBidi" w:cstheme="majorBidi"/>
          <w:lang w:bidi="ar-JO"/>
        </w:rPr>
        <w:t>n independent</w:t>
      </w:r>
      <w:r w:rsidRPr="00E37783">
        <w:rPr>
          <w:rFonts w:asciiTheme="majorBidi" w:hAnsiTheme="majorBidi" w:cstheme="majorBidi"/>
          <w:lang w:bidi="ar-JO"/>
        </w:rPr>
        <w:t xml:space="preserve"> demonstrative pronoun </w:t>
      </w:r>
      <w:r w:rsidR="00687A6D" w:rsidRPr="00E37783">
        <w:rPr>
          <w:rFonts w:asciiTheme="majorBidi" w:hAnsiTheme="majorBidi" w:cstheme="majorBidi"/>
          <w:lang w:bidi="ar-JO"/>
        </w:rPr>
        <w:t>when used as an antecedent of the relative clause</w:t>
      </w:r>
      <w:bookmarkEnd w:id="1"/>
      <w:r w:rsidRPr="00E37783">
        <w:rPr>
          <w:rFonts w:asciiTheme="majorBidi" w:hAnsiTheme="majorBidi" w:cstheme="majorBidi"/>
          <w:lang w:bidi="ar-JO"/>
        </w:rPr>
        <w:t>,</w:t>
      </w:r>
      <w:r w:rsidR="006656F9" w:rsidRPr="00E37783">
        <w:rPr>
          <w:rStyle w:val="FootnoteReference"/>
          <w:rFonts w:asciiTheme="majorBidi" w:hAnsiTheme="majorBidi" w:cstheme="majorBidi"/>
          <w:sz w:val="24"/>
          <w:szCs w:val="24"/>
          <w:lang w:bidi="ar-JO"/>
        </w:rPr>
        <w:footnoteReference w:id="1"/>
      </w:r>
      <w:r w:rsidR="00002DB8" w:rsidRPr="00E37783">
        <w:rPr>
          <w:rFonts w:asciiTheme="majorBidi" w:hAnsiTheme="majorBidi" w:cstheme="majorBidi"/>
          <w:lang w:bidi="ar-JO"/>
        </w:rPr>
        <w:t xml:space="preserve"> </w:t>
      </w:r>
      <w:r w:rsidRPr="00E37783">
        <w:rPr>
          <w:rFonts w:asciiTheme="majorBidi" w:hAnsiTheme="majorBidi" w:cstheme="majorBidi"/>
          <w:lang w:bidi="ar-JO"/>
        </w:rPr>
        <w:t>as for example:</w:t>
      </w:r>
    </w:p>
    <w:p w:rsidR="006656F9" w:rsidRPr="00E37783" w:rsidRDefault="009457D3" w:rsidP="00AE4587">
      <w:pPr>
        <w:pStyle w:val="E-1"/>
        <w:spacing w:line="360" w:lineRule="auto"/>
        <w:ind w:left="360" w:firstLine="0"/>
        <w:rPr>
          <w:rFonts w:asciiTheme="majorBidi" w:hAnsiTheme="majorBidi" w:cstheme="majorBidi"/>
        </w:rPr>
      </w:pPr>
      <w:bookmarkStart w:id="3" w:name="_Hlk12522802"/>
      <w:r w:rsidRPr="00E37783">
        <w:rPr>
          <w:rFonts w:asciiTheme="majorBidi" w:hAnsiTheme="majorBidi" w:cstheme="majorBidi"/>
          <w:rtl/>
        </w:rPr>
        <w:t xml:space="preserve">אי זה הוא הדופק? </w:t>
      </w:r>
      <w:r w:rsidRPr="00E37783">
        <w:rPr>
          <w:rFonts w:asciiTheme="majorBidi" w:hAnsiTheme="majorBidi" w:cstheme="majorBidi"/>
          <w:b/>
          <w:bCs/>
          <w:rtl/>
        </w:rPr>
        <w:t>את ש</w:t>
      </w:r>
      <w:r w:rsidRPr="00E37783">
        <w:rPr>
          <w:rFonts w:asciiTheme="majorBidi" w:hAnsiTheme="majorBidi" w:cstheme="majorBidi"/>
          <w:rtl/>
        </w:rPr>
        <w:t>הגולל נישען עלי</w:t>
      </w:r>
      <w:r w:rsidR="00B25198" w:rsidRPr="00E37783">
        <w:rPr>
          <w:rFonts w:asciiTheme="majorBidi" w:hAnsiTheme="majorBidi" w:cstheme="majorBidi"/>
          <w:rtl/>
        </w:rPr>
        <w:t>ו</w:t>
      </w:r>
      <w:bookmarkEnd w:id="3"/>
      <w:r w:rsidR="006656F9" w:rsidRPr="00E37783">
        <w:rPr>
          <w:rFonts w:asciiTheme="majorBidi" w:hAnsiTheme="majorBidi" w:cstheme="majorBidi"/>
          <w:rtl/>
          <w:lang w:bidi="ar-JO"/>
        </w:rPr>
        <w:tab/>
      </w:r>
    </w:p>
    <w:p w:rsidR="009457D3" w:rsidRPr="00E37783" w:rsidRDefault="001816B2" w:rsidP="00D45F6D">
      <w:pPr>
        <w:pStyle w:val="E-1"/>
        <w:spacing w:line="360" w:lineRule="auto"/>
        <w:ind w:left="360" w:firstLine="0"/>
        <w:rPr>
          <w:rFonts w:asciiTheme="majorBidi" w:hAnsiTheme="majorBidi" w:cstheme="majorBidi"/>
        </w:rPr>
      </w:pPr>
      <w:r w:rsidRPr="00E37783">
        <w:rPr>
          <w:rFonts w:asciiTheme="majorBidi" w:hAnsiTheme="majorBidi" w:cstheme="majorBidi"/>
        </w:rPr>
        <w:tab/>
      </w:r>
      <w:r w:rsidR="006656F9" w:rsidRPr="00E37783">
        <w:rPr>
          <w:rFonts w:asciiTheme="majorBidi" w:hAnsiTheme="majorBidi" w:cstheme="majorBidi"/>
        </w:rPr>
        <w:t>What is the buttressing stone</w:t>
      </w:r>
      <w:r w:rsidR="006656F9" w:rsidRPr="00E37783">
        <w:rPr>
          <w:rFonts w:asciiTheme="majorBidi" w:hAnsiTheme="majorBidi" w:cstheme="majorBidi"/>
          <w:rtl/>
        </w:rPr>
        <w:t>?</w:t>
      </w:r>
      <w:r w:rsidR="006656F9" w:rsidRPr="00E37783">
        <w:rPr>
          <w:rFonts w:asciiTheme="majorBidi" w:hAnsiTheme="majorBidi" w:cstheme="majorBidi"/>
        </w:rPr>
        <w:t xml:space="preserve"> </w:t>
      </w:r>
      <w:r w:rsidR="006656F9" w:rsidRPr="00E37783">
        <w:rPr>
          <w:rFonts w:asciiTheme="majorBidi" w:hAnsiTheme="majorBidi" w:cstheme="majorBidi"/>
          <w:b/>
          <w:bCs/>
        </w:rPr>
        <w:t>That</w:t>
      </w:r>
      <w:r w:rsidR="006656F9" w:rsidRPr="00E37783">
        <w:rPr>
          <w:rFonts w:asciiTheme="majorBidi" w:hAnsiTheme="majorBidi" w:cstheme="majorBidi"/>
        </w:rPr>
        <w:t xml:space="preserve"> against which the stone leans that seals the </w:t>
      </w:r>
      <w:r w:rsidRPr="00E37783">
        <w:rPr>
          <w:rFonts w:asciiTheme="majorBidi" w:hAnsiTheme="majorBidi" w:cstheme="majorBidi"/>
        </w:rPr>
        <w:tab/>
      </w:r>
      <w:r w:rsidR="006656F9" w:rsidRPr="00E37783">
        <w:rPr>
          <w:rFonts w:asciiTheme="majorBidi" w:hAnsiTheme="majorBidi" w:cstheme="majorBidi"/>
        </w:rPr>
        <w:t>grave. (Mishnah Oholoth 2:4; Danby</w:t>
      </w:r>
      <w:r w:rsidR="00821EDC" w:rsidRPr="00E37783">
        <w:rPr>
          <w:rFonts w:asciiTheme="majorBidi" w:hAnsiTheme="majorBidi" w:cstheme="majorBidi"/>
        </w:rPr>
        <w:t xml:space="preserve"> 1933</w:t>
      </w:r>
      <w:r w:rsidR="006656F9" w:rsidRPr="00E37783">
        <w:rPr>
          <w:rFonts w:asciiTheme="majorBidi" w:hAnsiTheme="majorBidi" w:cstheme="majorBidi"/>
        </w:rPr>
        <w:t>: 652)</w:t>
      </w:r>
      <w:r w:rsidR="006D257B" w:rsidRPr="00E37783">
        <w:rPr>
          <w:rFonts w:asciiTheme="majorBidi" w:hAnsiTheme="majorBidi" w:cstheme="majorBidi"/>
          <w:lang w:bidi="ar-JO"/>
        </w:rPr>
        <w:t xml:space="preserve"> </w:t>
      </w:r>
    </w:p>
    <w:p w:rsidR="009457D3" w:rsidRPr="00E37783" w:rsidRDefault="009457D3" w:rsidP="00D45F6D">
      <w:pPr>
        <w:spacing w:line="360" w:lineRule="auto"/>
        <w:rPr>
          <w:rFonts w:asciiTheme="majorBidi" w:hAnsiTheme="majorBidi" w:cstheme="majorBidi"/>
          <w:lang w:bidi="ar-JO"/>
        </w:rPr>
      </w:pPr>
      <w:r w:rsidRPr="00E37783">
        <w:rPr>
          <w:rFonts w:asciiTheme="majorBidi" w:hAnsiTheme="majorBidi" w:cstheme="majorBidi"/>
          <w:lang w:bidi="ar-JO"/>
        </w:rPr>
        <w:lastRenderedPageBreak/>
        <w:t xml:space="preserve">This </w:t>
      </w:r>
      <w:r w:rsidR="004E4463" w:rsidRPr="00E37783">
        <w:rPr>
          <w:rFonts w:asciiTheme="majorBidi" w:hAnsiTheme="majorBidi" w:cstheme="majorBidi"/>
          <w:lang w:bidi="ar-JO"/>
        </w:rPr>
        <w:t>paper</w:t>
      </w:r>
      <w:r w:rsidRPr="00E37783">
        <w:rPr>
          <w:rFonts w:asciiTheme="majorBidi" w:hAnsiTheme="majorBidi" w:cstheme="majorBidi"/>
          <w:lang w:bidi="ar-JO"/>
        </w:rPr>
        <w:t xml:space="preserve"> is devoted to the use of the </w:t>
      </w:r>
      <w:bookmarkStart w:id="4" w:name="_Hlk12524802"/>
      <w:r w:rsidRPr="00E37783">
        <w:rPr>
          <w:rFonts w:asciiTheme="majorBidi" w:hAnsiTheme="majorBidi" w:cstheme="majorBidi"/>
          <w:lang w:bidi="ar-JO"/>
        </w:rPr>
        <w:t>declined</w:t>
      </w:r>
      <w:bookmarkEnd w:id="4"/>
      <w:r w:rsidRPr="00E37783">
        <w:rPr>
          <w:rFonts w:asciiTheme="majorBidi" w:hAnsiTheme="majorBidi" w:cstheme="majorBidi"/>
          <w:lang w:bidi="ar-JO"/>
        </w:rPr>
        <w:t xml:space="preserve"> </w:t>
      </w:r>
      <w:bookmarkStart w:id="5" w:name="_Hlk12524760"/>
      <w:r w:rsidRPr="00E37783">
        <w:rPr>
          <w:rFonts w:asciiTheme="majorBidi" w:hAnsiTheme="majorBidi" w:cstheme="majorBidi"/>
          <w:lang w:bidi="ar-JO"/>
        </w:rPr>
        <w:t xml:space="preserve">form </w:t>
      </w:r>
      <w:r w:rsidRPr="00E37783">
        <w:rPr>
          <w:rFonts w:asciiTheme="majorBidi" w:hAnsiTheme="majorBidi" w:cstheme="majorBidi"/>
          <w:b/>
          <w:bCs/>
          <w:rtl/>
        </w:rPr>
        <w:t>אותו</w:t>
      </w:r>
      <w:r w:rsidRPr="00E37783">
        <w:rPr>
          <w:rFonts w:asciiTheme="majorBidi" w:hAnsiTheme="majorBidi" w:cstheme="majorBidi"/>
          <w:b/>
          <w:bCs/>
          <w:lang w:bidi="ar-JO"/>
        </w:rPr>
        <w:t xml:space="preserve"> </w:t>
      </w:r>
      <w:r w:rsidRPr="00E37783">
        <w:rPr>
          <w:rFonts w:asciiTheme="majorBidi" w:hAnsiTheme="majorBidi" w:cstheme="majorBidi"/>
          <w:lang w:bidi="ar-JO"/>
        </w:rPr>
        <w:t>as a demonstrative adjective</w:t>
      </w:r>
      <w:bookmarkEnd w:id="5"/>
      <w:r w:rsidR="00F12A6C" w:rsidRPr="00E37783">
        <w:rPr>
          <w:rFonts w:asciiTheme="majorBidi" w:hAnsiTheme="majorBidi" w:cstheme="majorBidi"/>
          <w:lang w:bidi="ar-JO"/>
        </w:rPr>
        <w:t>.</w:t>
      </w:r>
      <w:r w:rsidR="006D257B" w:rsidRPr="00E37783">
        <w:rPr>
          <w:rFonts w:asciiTheme="majorBidi" w:hAnsiTheme="majorBidi" w:cstheme="majorBidi"/>
          <w:lang w:bidi="ar-JO"/>
        </w:rPr>
        <w:t xml:space="preserve"> </w:t>
      </w:r>
    </w:p>
    <w:p w:rsidR="009457D3" w:rsidRPr="00E37783" w:rsidRDefault="009457D3" w:rsidP="00D45F6D">
      <w:pPr>
        <w:pStyle w:val="E-1"/>
        <w:spacing w:line="360" w:lineRule="auto"/>
        <w:rPr>
          <w:rFonts w:asciiTheme="majorBidi" w:hAnsiTheme="majorBidi" w:cstheme="majorBidi"/>
          <w:rtl/>
        </w:rPr>
      </w:pPr>
      <w:r w:rsidRPr="00E37783">
        <w:rPr>
          <w:rFonts w:asciiTheme="majorBidi" w:hAnsiTheme="majorBidi" w:cstheme="majorBidi"/>
          <w:lang w:bidi="ar-JO"/>
        </w:rPr>
        <w:t>B.</w:t>
      </w:r>
      <w:r w:rsidRPr="00E37783">
        <w:rPr>
          <w:rFonts w:asciiTheme="majorBidi" w:hAnsiTheme="majorBidi" w:cstheme="majorBidi"/>
          <w:lang w:bidi="ar-JO"/>
        </w:rPr>
        <w:tab/>
      </w:r>
      <w:r w:rsidR="00BE450B" w:rsidRPr="00E37783">
        <w:rPr>
          <w:rFonts w:asciiTheme="majorBidi" w:hAnsiTheme="majorBidi" w:cstheme="majorBidi"/>
          <w:lang w:bidi="ar-JO"/>
        </w:rPr>
        <w:t xml:space="preserve">The declining form of the direct object marker </w:t>
      </w:r>
      <w:r w:rsidR="00BE450B" w:rsidRPr="00E37783">
        <w:rPr>
          <w:rFonts w:asciiTheme="majorBidi" w:hAnsiTheme="majorBidi" w:cstheme="majorBidi"/>
          <w:b/>
          <w:bCs/>
          <w:rtl/>
        </w:rPr>
        <w:t>אותו</w:t>
      </w:r>
      <w:r w:rsidR="00BE450B" w:rsidRPr="00E37783">
        <w:rPr>
          <w:rFonts w:asciiTheme="majorBidi" w:hAnsiTheme="majorBidi" w:cstheme="majorBidi"/>
          <w:b/>
          <w:bCs/>
        </w:rPr>
        <w:t xml:space="preserve"> </w:t>
      </w:r>
      <w:r w:rsidR="00BE450B" w:rsidRPr="00E37783">
        <w:rPr>
          <w:rFonts w:asciiTheme="majorBidi" w:hAnsiTheme="majorBidi" w:cstheme="majorBidi"/>
        </w:rPr>
        <w:t>(</w:t>
      </w:r>
      <w:r w:rsidR="00BE450B" w:rsidRPr="00E37783">
        <w:rPr>
          <w:rFonts w:asciiTheme="majorBidi" w:hAnsiTheme="majorBidi" w:cstheme="majorBidi"/>
          <w:b/>
          <w:bCs/>
          <w:rtl/>
        </w:rPr>
        <w:t>אותה</w:t>
      </w:r>
      <w:r w:rsidR="00BE450B" w:rsidRPr="00E37783">
        <w:rPr>
          <w:rFonts w:asciiTheme="majorBidi" w:hAnsiTheme="majorBidi" w:cstheme="majorBidi"/>
          <w:lang w:bidi="ar-JO"/>
        </w:rPr>
        <w:t xml:space="preserve">, </w:t>
      </w:r>
      <w:r w:rsidR="00BE450B" w:rsidRPr="00E37783">
        <w:rPr>
          <w:rFonts w:asciiTheme="majorBidi" w:hAnsiTheme="majorBidi" w:cstheme="majorBidi"/>
          <w:b/>
          <w:bCs/>
          <w:rtl/>
        </w:rPr>
        <w:t>אותן</w:t>
      </w:r>
      <w:r w:rsidR="00BE450B" w:rsidRPr="00E37783">
        <w:rPr>
          <w:rFonts w:asciiTheme="majorBidi" w:hAnsiTheme="majorBidi" w:cstheme="majorBidi"/>
          <w:lang w:bidi="ar-JO"/>
        </w:rPr>
        <w:t xml:space="preserve">) replaces the distal </w:t>
      </w:r>
      <w:r w:rsidR="00FF7692" w:rsidRPr="00E37783">
        <w:rPr>
          <w:rFonts w:asciiTheme="majorBidi" w:hAnsiTheme="majorBidi" w:cstheme="majorBidi"/>
          <w:lang w:bidi="ar-JO"/>
        </w:rPr>
        <w:t>demonstrative adjective</w:t>
      </w:r>
      <w:r w:rsidR="00BE450B" w:rsidRPr="00E37783">
        <w:rPr>
          <w:rFonts w:asciiTheme="majorBidi" w:hAnsiTheme="majorBidi" w:cstheme="majorBidi"/>
          <w:lang w:bidi="ar-JO"/>
        </w:rPr>
        <w:t xml:space="preserve"> pronoun </w:t>
      </w:r>
      <w:r w:rsidR="00BE450B" w:rsidRPr="00E37783">
        <w:rPr>
          <w:rFonts w:asciiTheme="majorBidi" w:hAnsiTheme="majorBidi" w:cstheme="majorBidi"/>
          <w:b/>
          <w:bCs/>
          <w:rtl/>
        </w:rPr>
        <w:t>ההוא</w:t>
      </w:r>
      <w:r w:rsidR="00BE450B" w:rsidRPr="00E37783">
        <w:rPr>
          <w:rFonts w:asciiTheme="majorBidi" w:hAnsiTheme="majorBidi" w:cstheme="majorBidi"/>
          <w:b/>
          <w:bCs/>
          <w:lang w:bidi="ar-JO"/>
        </w:rPr>
        <w:t xml:space="preserve"> </w:t>
      </w:r>
      <w:r w:rsidR="00BE450B" w:rsidRPr="00E37783">
        <w:rPr>
          <w:rFonts w:asciiTheme="majorBidi" w:hAnsiTheme="majorBidi" w:cstheme="majorBidi"/>
          <w:lang w:bidi="ar-JO"/>
        </w:rPr>
        <w:t>(</w:t>
      </w:r>
      <w:r w:rsidR="00BE450B" w:rsidRPr="00E37783">
        <w:rPr>
          <w:rFonts w:asciiTheme="majorBidi" w:hAnsiTheme="majorBidi" w:cstheme="majorBidi"/>
          <w:b/>
          <w:bCs/>
          <w:rtl/>
        </w:rPr>
        <w:t>ההיא</w:t>
      </w:r>
      <w:r w:rsidR="00BE450B" w:rsidRPr="00E37783">
        <w:rPr>
          <w:rFonts w:asciiTheme="majorBidi" w:hAnsiTheme="majorBidi" w:cstheme="majorBidi"/>
          <w:lang w:bidi="ar-JO"/>
        </w:rPr>
        <w:t xml:space="preserve">, </w:t>
      </w:r>
      <w:r w:rsidR="00BE450B" w:rsidRPr="00E37783">
        <w:rPr>
          <w:rFonts w:asciiTheme="majorBidi" w:hAnsiTheme="majorBidi" w:cstheme="majorBidi"/>
          <w:b/>
          <w:bCs/>
          <w:rtl/>
        </w:rPr>
        <w:t>ההם</w:t>
      </w:r>
      <w:r w:rsidR="00BE450B" w:rsidRPr="00E37783">
        <w:rPr>
          <w:rFonts w:asciiTheme="majorBidi" w:hAnsiTheme="majorBidi" w:cstheme="majorBidi"/>
          <w:lang w:bidi="ar-JO"/>
        </w:rPr>
        <w:t xml:space="preserve">) in Biblical Hebrew. </w:t>
      </w:r>
      <w:r w:rsidR="00BE450B" w:rsidRPr="00E37783">
        <w:rPr>
          <w:rFonts w:asciiTheme="majorBidi" w:hAnsiTheme="majorBidi" w:cstheme="majorBidi"/>
        </w:rPr>
        <w:t xml:space="preserve">I should note here that in terms of syntactical function, both in Biblical and </w:t>
      </w:r>
      <w:r w:rsidR="00392B8E" w:rsidRPr="00E37783">
        <w:rPr>
          <w:rFonts w:asciiTheme="majorBidi" w:hAnsiTheme="majorBidi" w:cstheme="majorBidi"/>
        </w:rPr>
        <w:t>R</w:t>
      </w:r>
      <w:r w:rsidR="00D7010A" w:rsidRPr="00E37783">
        <w:rPr>
          <w:rFonts w:asciiTheme="majorBidi" w:hAnsiTheme="majorBidi" w:cstheme="majorBidi"/>
        </w:rPr>
        <w:t>abbinic Hebrew</w:t>
      </w:r>
      <w:r w:rsidR="00BE450B" w:rsidRPr="00E37783">
        <w:rPr>
          <w:rFonts w:asciiTheme="majorBidi" w:hAnsiTheme="majorBidi" w:cstheme="majorBidi"/>
        </w:rPr>
        <w:t xml:space="preserve">, the pronouns </w:t>
      </w:r>
      <w:r w:rsidR="00BE450B" w:rsidRPr="00E37783">
        <w:rPr>
          <w:rFonts w:asciiTheme="majorBidi" w:hAnsiTheme="majorBidi" w:cstheme="majorBidi"/>
          <w:b/>
          <w:bCs/>
          <w:rtl/>
        </w:rPr>
        <w:t>הוא</w:t>
      </w:r>
      <w:r w:rsidR="00BE450B" w:rsidRPr="00E37783">
        <w:rPr>
          <w:rFonts w:asciiTheme="majorBidi" w:hAnsiTheme="majorBidi" w:cstheme="majorBidi"/>
          <w:b/>
          <w:bCs/>
          <w:lang w:bidi="ar-JO"/>
        </w:rPr>
        <w:t xml:space="preserve"> </w:t>
      </w:r>
      <w:r w:rsidR="00BE450B" w:rsidRPr="00E37783">
        <w:rPr>
          <w:rFonts w:asciiTheme="majorBidi" w:hAnsiTheme="majorBidi" w:cstheme="majorBidi"/>
          <w:lang w:bidi="ar-JO"/>
        </w:rPr>
        <w:t xml:space="preserve">and </w:t>
      </w:r>
      <w:r w:rsidR="00BE450B" w:rsidRPr="00E37783">
        <w:rPr>
          <w:rFonts w:asciiTheme="majorBidi" w:hAnsiTheme="majorBidi" w:cstheme="majorBidi"/>
          <w:b/>
          <w:bCs/>
          <w:rtl/>
        </w:rPr>
        <w:t>אותו</w:t>
      </w:r>
      <w:r w:rsidR="00BE450B" w:rsidRPr="00E37783">
        <w:rPr>
          <w:rFonts w:asciiTheme="majorBidi" w:hAnsiTheme="majorBidi" w:cstheme="majorBidi"/>
          <w:b/>
          <w:bCs/>
          <w:lang w:bidi="ar-JO"/>
        </w:rPr>
        <w:t xml:space="preserve"> </w:t>
      </w:r>
      <w:r w:rsidR="00BE450B" w:rsidRPr="00E37783">
        <w:rPr>
          <w:rFonts w:asciiTheme="majorBidi" w:hAnsiTheme="majorBidi" w:cstheme="majorBidi"/>
          <w:lang w:bidi="ar-JO"/>
        </w:rPr>
        <w:t>usually express anaphora or identity, and are not indicative pronouns (as distinct from proximal ones).</w:t>
      </w:r>
      <w:r w:rsidR="001816B2" w:rsidRPr="00E37783">
        <w:rPr>
          <w:rStyle w:val="FootnoteReference"/>
          <w:rFonts w:asciiTheme="majorBidi" w:hAnsiTheme="majorBidi" w:cstheme="majorBidi"/>
          <w:lang w:bidi="ar-JO"/>
        </w:rPr>
        <w:footnoteReference w:id="2"/>
      </w:r>
    </w:p>
    <w:p w:rsidR="00BE450B" w:rsidRPr="00E37783" w:rsidRDefault="00BE450B" w:rsidP="00D45F6D">
      <w:pPr>
        <w:spacing w:line="360" w:lineRule="auto"/>
        <w:rPr>
          <w:rFonts w:asciiTheme="majorBidi" w:hAnsiTheme="majorBidi" w:cstheme="majorBidi"/>
        </w:rPr>
      </w:pPr>
      <w:r w:rsidRPr="00E37783">
        <w:rPr>
          <w:rFonts w:asciiTheme="majorBidi" w:hAnsiTheme="majorBidi" w:cstheme="majorBidi"/>
          <w:lang w:bidi="ar-JO"/>
        </w:rPr>
        <w:t xml:space="preserve">A good example of the </w:t>
      </w:r>
      <w:r w:rsidR="004F057B" w:rsidRPr="00E37783">
        <w:rPr>
          <w:rFonts w:asciiTheme="majorBidi" w:hAnsiTheme="majorBidi" w:cstheme="majorBidi"/>
          <w:lang w:bidi="ar-JO"/>
        </w:rPr>
        <w:t>shift</w:t>
      </w:r>
      <w:r w:rsidRPr="00E37783">
        <w:rPr>
          <w:rFonts w:asciiTheme="majorBidi" w:hAnsiTheme="majorBidi" w:cstheme="majorBidi"/>
          <w:lang w:bidi="ar-JO"/>
        </w:rPr>
        <w:t xml:space="preserve"> that occurred between Biblical and </w:t>
      </w:r>
      <w:r w:rsidR="00392B8E" w:rsidRPr="00E37783">
        <w:rPr>
          <w:rFonts w:asciiTheme="majorBidi" w:hAnsiTheme="majorBidi" w:cstheme="majorBidi"/>
          <w:lang w:bidi="ar-JO"/>
        </w:rPr>
        <w:t>R</w:t>
      </w:r>
      <w:r w:rsidR="00D7010A" w:rsidRPr="00E37783">
        <w:rPr>
          <w:rFonts w:asciiTheme="majorBidi" w:hAnsiTheme="majorBidi" w:cstheme="majorBidi"/>
          <w:lang w:bidi="ar-JO"/>
        </w:rPr>
        <w:t>abbinic Hebrew</w:t>
      </w:r>
      <w:r w:rsidRPr="00E37783">
        <w:rPr>
          <w:rFonts w:asciiTheme="majorBidi" w:hAnsiTheme="majorBidi" w:cstheme="majorBidi"/>
          <w:lang w:bidi="ar-JO"/>
        </w:rPr>
        <w:t xml:space="preserve"> can be seen if we compare the wording of the law of </w:t>
      </w:r>
      <w:r w:rsidRPr="00E37783">
        <w:rPr>
          <w:rFonts w:asciiTheme="majorBidi" w:hAnsiTheme="majorBidi" w:cstheme="majorBidi"/>
          <w:i/>
          <w:iCs/>
          <w:lang w:bidi="ar-JO"/>
        </w:rPr>
        <w:t>‘eglah ‘arufah</w:t>
      </w:r>
      <w:r w:rsidR="00D75FB5" w:rsidRPr="00E37783">
        <w:rPr>
          <w:rFonts w:asciiTheme="majorBidi" w:hAnsiTheme="majorBidi" w:cstheme="majorBidi"/>
          <w:lang w:bidi="ar-JO"/>
        </w:rPr>
        <w:t xml:space="preserve"> </w:t>
      </w:r>
      <w:r w:rsidR="00ED4AA8" w:rsidRPr="00E37783">
        <w:rPr>
          <w:rFonts w:asciiTheme="majorBidi" w:hAnsiTheme="majorBidi" w:cstheme="majorBidi"/>
          <w:lang w:bidi="ar-JO"/>
        </w:rPr>
        <w:t xml:space="preserve">(the heifer whose neck is broken) </w:t>
      </w:r>
      <w:r w:rsidRPr="00E37783">
        <w:rPr>
          <w:rFonts w:asciiTheme="majorBidi" w:hAnsiTheme="majorBidi" w:cstheme="majorBidi"/>
          <w:lang w:bidi="ar-JO"/>
        </w:rPr>
        <w:t xml:space="preserve">in the Bible and its Mishnaic presentation. </w:t>
      </w:r>
    </w:p>
    <w:p w:rsidR="002A5E30" w:rsidRPr="00E37783" w:rsidRDefault="00BE450B" w:rsidP="00D45F6D">
      <w:pPr>
        <w:spacing w:line="360" w:lineRule="auto"/>
        <w:rPr>
          <w:rFonts w:asciiTheme="majorBidi" w:hAnsiTheme="majorBidi" w:cstheme="majorBidi"/>
          <w:lang w:bidi="ar-JO"/>
        </w:rPr>
      </w:pPr>
      <w:r w:rsidRPr="00E37783">
        <w:rPr>
          <w:rFonts w:asciiTheme="majorBidi" w:hAnsiTheme="majorBidi" w:cstheme="majorBidi"/>
          <w:lang w:bidi="ar-JO"/>
        </w:rPr>
        <w:t>The Torah states:</w:t>
      </w:r>
    </w:p>
    <w:p w:rsidR="00BE450B" w:rsidRPr="00E37783" w:rsidRDefault="002A5E30" w:rsidP="00AE4587">
      <w:pPr>
        <w:pStyle w:val="Quote"/>
        <w:spacing w:line="360" w:lineRule="auto"/>
        <w:ind w:left="360"/>
        <w:rPr>
          <w:rFonts w:asciiTheme="majorBidi" w:hAnsiTheme="majorBidi" w:cstheme="majorBidi"/>
        </w:rPr>
      </w:pPr>
      <w:bookmarkStart w:id="6" w:name="_Hlk12523088"/>
      <w:r w:rsidRPr="00E37783">
        <w:rPr>
          <w:rFonts w:asciiTheme="majorBidi" w:hAnsiTheme="majorBidi" w:cstheme="majorBidi"/>
          <w:rtl/>
        </w:rPr>
        <w:t xml:space="preserve">וְהָיָה הָעִיר הַקְּרֹבָה אֶל הֶחָלָל וְלָקְחוּ </w:t>
      </w:r>
      <w:r w:rsidRPr="00E37783">
        <w:rPr>
          <w:rFonts w:asciiTheme="majorBidi" w:hAnsiTheme="majorBidi" w:cstheme="majorBidi"/>
          <w:b/>
          <w:bCs/>
          <w:rtl/>
        </w:rPr>
        <w:t>זִקְנֵי הָעִיר הַהִוא</w:t>
      </w:r>
      <w:r w:rsidRPr="00E37783">
        <w:rPr>
          <w:rFonts w:asciiTheme="majorBidi" w:hAnsiTheme="majorBidi" w:cstheme="majorBidi"/>
          <w:rtl/>
        </w:rPr>
        <w:t xml:space="preserve"> עֶגְלַת בָּקָר אֲשֶׁר לֹא עֻבַּד בָּהּ אֲשֶׁר לֹא מָשְׁכָה בְּעֹל. וְהוֹרִדוּ </w:t>
      </w:r>
      <w:r w:rsidRPr="00E37783">
        <w:rPr>
          <w:rFonts w:asciiTheme="majorBidi" w:hAnsiTheme="majorBidi" w:cstheme="majorBidi"/>
          <w:b/>
          <w:bCs/>
          <w:rtl/>
        </w:rPr>
        <w:t>זִקְנֵי הָעִיר הַהִוא</w:t>
      </w:r>
      <w:r w:rsidRPr="00E37783">
        <w:rPr>
          <w:rFonts w:asciiTheme="majorBidi" w:hAnsiTheme="majorBidi" w:cstheme="majorBidi"/>
          <w:rtl/>
        </w:rPr>
        <w:t xml:space="preserve"> אֶת הָעֶגְלָה אֶל נַחַל אֵיתָן... וְכֹל </w:t>
      </w:r>
      <w:r w:rsidRPr="00E37783">
        <w:rPr>
          <w:rFonts w:asciiTheme="majorBidi" w:hAnsiTheme="majorBidi" w:cstheme="majorBidi"/>
          <w:b/>
          <w:bCs/>
          <w:rtl/>
        </w:rPr>
        <w:t>זִקְנֵי הָעִיר הַהִוא</w:t>
      </w:r>
      <w:r w:rsidRPr="00E37783">
        <w:rPr>
          <w:rFonts w:asciiTheme="majorBidi" w:hAnsiTheme="majorBidi" w:cstheme="majorBidi"/>
          <w:rtl/>
        </w:rPr>
        <w:t xml:space="preserve"> הַקְּרֹבִים אֶל הֶחָלָל יִרְחֲצוּ אֶת יְדֵיהֶם עַל הָעֶגְלָה הָעֲרוּפָה בַנָּחַל.</w:t>
      </w:r>
      <w:bookmarkEnd w:id="6"/>
    </w:p>
    <w:p w:rsidR="001816B2" w:rsidRPr="00E37783" w:rsidRDefault="001816B2" w:rsidP="00D45F6D">
      <w:pPr>
        <w:pStyle w:val="ListParagraph"/>
        <w:spacing w:after="0" w:line="360" w:lineRule="auto"/>
        <w:rPr>
          <w:rFonts w:asciiTheme="majorBidi" w:hAnsiTheme="majorBidi" w:cstheme="majorBidi"/>
          <w:rtl/>
        </w:rPr>
      </w:pPr>
      <w:r w:rsidRPr="00E37783">
        <w:rPr>
          <w:rFonts w:asciiTheme="majorBidi" w:hAnsiTheme="majorBidi" w:cstheme="majorBidi"/>
        </w:rPr>
        <w:t xml:space="preserve">And it shall be, that the city which is next unto the slain man, even the elders of </w:t>
      </w:r>
      <w:r w:rsidRPr="00E37783">
        <w:rPr>
          <w:rFonts w:asciiTheme="majorBidi" w:hAnsiTheme="majorBidi" w:cstheme="majorBidi"/>
          <w:b/>
          <w:bCs/>
        </w:rPr>
        <w:t>that city</w:t>
      </w:r>
      <w:r w:rsidRPr="00E37783">
        <w:rPr>
          <w:rFonts w:asciiTheme="majorBidi" w:hAnsiTheme="majorBidi" w:cstheme="majorBidi"/>
        </w:rPr>
        <w:t xml:space="preserve"> shall take an heifer, which hath not been wrought with, and which hath not drawn in the yoke; And the elders of </w:t>
      </w:r>
      <w:r w:rsidRPr="00E37783">
        <w:rPr>
          <w:rFonts w:asciiTheme="majorBidi" w:hAnsiTheme="majorBidi" w:cstheme="majorBidi"/>
          <w:b/>
          <w:bCs/>
        </w:rPr>
        <w:t>that city</w:t>
      </w:r>
      <w:r w:rsidRPr="00E37783">
        <w:rPr>
          <w:rFonts w:asciiTheme="majorBidi" w:hAnsiTheme="majorBidi" w:cstheme="majorBidi"/>
        </w:rPr>
        <w:t xml:space="preserve"> shall bring down the heifer unto a rough valley… And all the elders of </w:t>
      </w:r>
      <w:r w:rsidRPr="00E37783">
        <w:rPr>
          <w:rFonts w:asciiTheme="majorBidi" w:hAnsiTheme="majorBidi" w:cstheme="majorBidi"/>
          <w:b/>
          <w:bCs/>
        </w:rPr>
        <w:t>that city</w:t>
      </w:r>
      <w:r w:rsidRPr="00E37783">
        <w:rPr>
          <w:rFonts w:asciiTheme="majorBidi" w:hAnsiTheme="majorBidi" w:cstheme="majorBidi"/>
        </w:rPr>
        <w:t>, that are next unto the slain man, shall wash their hands over the heifer that is beheaded in the valley. (Deuteronomy 21:3-6; KJV)</w:t>
      </w:r>
    </w:p>
    <w:p w:rsidR="002A5E30" w:rsidRPr="00E37783" w:rsidRDefault="002A5E30" w:rsidP="00D45F6D">
      <w:pPr>
        <w:spacing w:line="360" w:lineRule="auto"/>
        <w:rPr>
          <w:rFonts w:asciiTheme="majorBidi" w:hAnsiTheme="majorBidi" w:cstheme="majorBidi"/>
          <w:lang w:bidi="ar-JO"/>
        </w:rPr>
      </w:pPr>
      <w:r w:rsidRPr="00E37783">
        <w:rPr>
          <w:rFonts w:asciiTheme="majorBidi" w:hAnsiTheme="majorBidi" w:cstheme="majorBidi"/>
          <w:lang w:bidi="ar-JO"/>
        </w:rPr>
        <w:t>Whereas the text in the Mishna reads:</w:t>
      </w:r>
      <w:r w:rsidR="00590BD8" w:rsidRPr="00E37783">
        <w:rPr>
          <w:rFonts w:asciiTheme="majorBidi" w:hAnsiTheme="majorBidi" w:cstheme="majorBidi"/>
          <w:lang w:bidi="ar-JO"/>
        </w:rPr>
        <w:t xml:space="preserve"> </w:t>
      </w:r>
    </w:p>
    <w:p w:rsidR="002A5E30" w:rsidRPr="00E37783" w:rsidRDefault="002A5E30" w:rsidP="00AE4587">
      <w:pPr>
        <w:pStyle w:val="Quote"/>
        <w:spacing w:line="360" w:lineRule="auto"/>
        <w:ind w:left="360"/>
        <w:rPr>
          <w:rFonts w:asciiTheme="majorBidi" w:hAnsiTheme="majorBidi" w:cstheme="majorBidi"/>
        </w:rPr>
      </w:pPr>
      <w:bookmarkStart w:id="7" w:name="_Hlk12525470"/>
      <w:r w:rsidRPr="00E37783">
        <w:rPr>
          <w:rFonts w:asciiTheme="majorBidi" w:hAnsiTheme="majorBidi" w:cstheme="majorBidi"/>
          <w:rtl/>
        </w:rPr>
        <w:t xml:space="preserve">זקני </w:t>
      </w:r>
      <w:r w:rsidRPr="00E37783">
        <w:rPr>
          <w:rFonts w:asciiTheme="majorBidi" w:hAnsiTheme="majorBidi" w:cstheme="majorBidi"/>
          <w:b/>
          <w:bCs/>
          <w:rtl/>
        </w:rPr>
        <w:t>אותה העיר</w:t>
      </w:r>
      <w:r w:rsidRPr="00E37783">
        <w:rPr>
          <w:rFonts w:asciiTheme="majorBidi" w:hAnsiTheme="majorBidi" w:cstheme="majorBidi"/>
          <w:rtl/>
        </w:rPr>
        <w:t xml:space="preserve"> מביאין "עגלת בקר אשר לא עובד בה (ו)אשר לא משכה בעול"</w:t>
      </w:r>
      <w:r w:rsidR="004F057B" w:rsidRPr="00E37783">
        <w:rPr>
          <w:rFonts w:asciiTheme="majorBidi" w:hAnsiTheme="majorBidi" w:cstheme="majorBidi"/>
          <w:rtl/>
        </w:rPr>
        <w:t>...</w:t>
      </w:r>
      <w:r w:rsidRPr="00E37783">
        <w:rPr>
          <w:rFonts w:asciiTheme="majorBidi" w:hAnsiTheme="majorBidi" w:cstheme="majorBidi"/>
          <w:rtl/>
        </w:rPr>
        <w:t xml:space="preserve"> ומורידין אותה "אל נחל איתן"... זקני </w:t>
      </w:r>
      <w:r w:rsidRPr="00E37783">
        <w:rPr>
          <w:rFonts w:asciiTheme="majorBidi" w:hAnsiTheme="majorBidi" w:cstheme="majorBidi"/>
          <w:b/>
          <w:bCs/>
          <w:rtl/>
        </w:rPr>
        <w:t>אותה העיר</w:t>
      </w:r>
      <w:r w:rsidRPr="00E37783">
        <w:rPr>
          <w:rFonts w:asciiTheme="majorBidi" w:hAnsiTheme="majorBidi" w:cstheme="majorBidi"/>
          <w:rtl/>
        </w:rPr>
        <w:t xml:space="preserve"> רוחצין את ידיהן במים במקום עריפתה שלעגלה</w:t>
      </w:r>
      <w:r w:rsidR="00507BAC" w:rsidRPr="00E37783">
        <w:rPr>
          <w:rFonts w:asciiTheme="majorBidi" w:hAnsiTheme="majorBidi" w:cstheme="majorBidi"/>
          <w:rtl/>
        </w:rPr>
        <w:t>.</w:t>
      </w:r>
    </w:p>
    <w:p w:rsidR="001816B2" w:rsidRPr="00E37783" w:rsidRDefault="001816B2" w:rsidP="00D45F6D">
      <w:pPr>
        <w:pStyle w:val="ListParagraph"/>
        <w:spacing w:line="360" w:lineRule="auto"/>
        <w:rPr>
          <w:rFonts w:asciiTheme="majorBidi" w:hAnsiTheme="majorBidi" w:cstheme="majorBidi"/>
        </w:rPr>
      </w:pPr>
      <w:r w:rsidRPr="00E37783">
        <w:rPr>
          <w:rFonts w:asciiTheme="majorBidi" w:hAnsiTheme="majorBidi" w:cstheme="majorBidi"/>
        </w:rPr>
        <w:t xml:space="preserve">the elders of </w:t>
      </w:r>
      <w:r w:rsidRPr="00E37783">
        <w:rPr>
          <w:rFonts w:asciiTheme="majorBidi" w:hAnsiTheme="majorBidi" w:cstheme="majorBidi"/>
          <w:b/>
          <w:bCs/>
        </w:rPr>
        <w:t>that city</w:t>
      </w:r>
      <w:r w:rsidRPr="00E37783">
        <w:rPr>
          <w:rFonts w:asciiTheme="majorBidi" w:hAnsiTheme="majorBidi" w:cstheme="majorBidi"/>
        </w:rPr>
        <w:t xml:space="preserve"> brought a heifer from the herd which had not been wrought with and which had not drawn in the yoke (a blemish does not disqualify </w:t>
      </w:r>
      <w:r w:rsidR="00937DD7" w:rsidRPr="00E37783">
        <w:rPr>
          <w:rFonts w:asciiTheme="majorBidi" w:hAnsiTheme="majorBidi" w:cstheme="majorBidi"/>
        </w:rPr>
        <w:t>it) …</w:t>
      </w:r>
      <w:r w:rsidRPr="00E37783">
        <w:rPr>
          <w:rFonts w:asciiTheme="majorBidi" w:hAnsiTheme="majorBidi" w:cstheme="majorBidi"/>
        </w:rPr>
        <w:t xml:space="preserve"> and they brought it down unto a rugged (etan) valley… The elders of </w:t>
      </w:r>
      <w:r w:rsidRPr="00E37783">
        <w:rPr>
          <w:rFonts w:asciiTheme="majorBidi" w:hAnsiTheme="majorBidi" w:cstheme="majorBidi"/>
          <w:b/>
          <w:bCs/>
        </w:rPr>
        <w:t>that city</w:t>
      </w:r>
      <w:r w:rsidRPr="00E37783">
        <w:rPr>
          <w:rFonts w:asciiTheme="majorBidi" w:hAnsiTheme="majorBidi" w:cstheme="majorBidi"/>
        </w:rPr>
        <w:t xml:space="preserve"> washed their hands in water at the place where the heifer's neck was broken. (Mishnah Sotah 9:5-6; Danby</w:t>
      </w:r>
      <w:r w:rsidR="00BD05E7" w:rsidRPr="00E37783">
        <w:rPr>
          <w:rFonts w:asciiTheme="majorBidi" w:hAnsiTheme="majorBidi" w:cstheme="majorBidi"/>
        </w:rPr>
        <w:t xml:space="preserve"> 1933</w:t>
      </w:r>
      <w:r w:rsidRPr="00E37783">
        <w:rPr>
          <w:rFonts w:asciiTheme="majorBidi" w:hAnsiTheme="majorBidi" w:cstheme="majorBidi"/>
        </w:rPr>
        <w:t>: 304)</w:t>
      </w:r>
    </w:p>
    <w:bookmarkEnd w:id="7"/>
    <w:p w:rsidR="00E87B3F" w:rsidRPr="00E37783" w:rsidRDefault="002D3C1B" w:rsidP="00E87B3F">
      <w:pPr>
        <w:spacing w:line="360" w:lineRule="auto"/>
        <w:rPr>
          <w:rFonts w:asciiTheme="majorBidi" w:hAnsiTheme="majorBidi" w:cstheme="majorBidi"/>
          <w:lang w:bidi="ar-JO"/>
        </w:rPr>
      </w:pPr>
      <w:r w:rsidRPr="00E37783">
        <w:rPr>
          <w:rFonts w:asciiTheme="majorBidi" w:hAnsiTheme="majorBidi" w:cstheme="majorBidi"/>
          <w:lang w:bidi="ar-JO"/>
        </w:rPr>
        <w:lastRenderedPageBreak/>
        <w:t>This is a radical change.</w:t>
      </w:r>
      <w:r w:rsidR="00002DB8" w:rsidRPr="00E37783">
        <w:rPr>
          <w:rFonts w:asciiTheme="majorBidi" w:hAnsiTheme="majorBidi" w:cstheme="majorBidi"/>
          <w:lang w:bidi="ar-JO"/>
        </w:rPr>
        <w:t xml:space="preserve"> </w:t>
      </w:r>
      <w:r w:rsidRPr="00E37783">
        <w:rPr>
          <w:rFonts w:asciiTheme="majorBidi" w:hAnsiTheme="majorBidi" w:cstheme="majorBidi"/>
          <w:lang w:bidi="ar-JO"/>
        </w:rPr>
        <w:t xml:space="preserve">The declined pronoun </w:t>
      </w:r>
      <w:r w:rsidRPr="00E37783">
        <w:rPr>
          <w:rFonts w:asciiTheme="majorBidi" w:hAnsiTheme="majorBidi" w:cstheme="majorBidi"/>
          <w:b/>
          <w:bCs/>
          <w:rtl/>
        </w:rPr>
        <w:t>אות-</w:t>
      </w:r>
      <w:r w:rsidRPr="00E37783">
        <w:rPr>
          <w:rFonts w:asciiTheme="majorBidi" w:hAnsiTheme="majorBidi" w:cstheme="majorBidi"/>
          <w:b/>
          <w:bCs/>
        </w:rPr>
        <w:t xml:space="preserve"> </w:t>
      </w:r>
      <w:r w:rsidRPr="00E37783">
        <w:rPr>
          <w:rFonts w:asciiTheme="majorBidi" w:hAnsiTheme="majorBidi" w:cstheme="majorBidi"/>
        </w:rPr>
        <w:t xml:space="preserve">occurs 67 times in the Mishna (in 56 different </w:t>
      </w:r>
      <w:r w:rsidR="00C03268" w:rsidRPr="00E37783">
        <w:rPr>
          <w:rFonts w:asciiTheme="majorBidi" w:hAnsiTheme="majorBidi" w:cstheme="majorBidi"/>
          <w:i/>
          <w:iCs/>
        </w:rPr>
        <w:t>m</w:t>
      </w:r>
      <w:r w:rsidRPr="00E37783">
        <w:rPr>
          <w:rFonts w:asciiTheme="majorBidi" w:hAnsiTheme="majorBidi" w:cstheme="majorBidi"/>
          <w:i/>
          <w:iCs/>
        </w:rPr>
        <w:t>ishnayot</w:t>
      </w:r>
      <w:r w:rsidRPr="00E37783">
        <w:rPr>
          <w:rFonts w:asciiTheme="majorBidi" w:hAnsiTheme="majorBidi" w:cstheme="majorBidi"/>
        </w:rPr>
        <w:t>),</w:t>
      </w:r>
      <w:r w:rsidR="00002DB8" w:rsidRPr="00E37783">
        <w:rPr>
          <w:rFonts w:asciiTheme="majorBidi" w:hAnsiTheme="majorBidi" w:cstheme="majorBidi"/>
        </w:rPr>
        <w:t xml:space="preserve"> </w:t>
      </w:r>
      <w:r w:rsidRPr="00E37783">
        <w:rPr>
          <w:rFonts w:asciiTheme="majorBidi" w:hAnsiTheme="majorBidi" w:cstheme="majorBidi"/>
        </w:rPr>
        <w:t xml:space="preserve">while the pronouns </w:t>
      </w:r>
      <w:r w:rsidRPr="00E37783">
        <w:rPr>
          <w:rFonts w:asciiTheme="majorBidi" w:hAnsiTheme="majorBidi" w:cstheme="majorBidi"/>
          <w:b/>
          <w:bCs/>
          <w:rtl/>
        </w:rPr>
        <w:t>היא</w:t>
      </w:r>
      <w:r w:rsidRPr="00E37783">
        <w:rPr>
          <w:rFonts w:asciiTheme="majorBidi" w:hAnsiTheme="majorBidi" w:cstheme="majorBidi"/>
          <w:lang w:bidi="ar-JO"/>
        </w:rPr>
        <w:t xml:space="preserve"> and </w:t>
      </w:r>
      <w:r w:rsidRPr="00E37783">
        <w:rPr>
          <w:rFonts w:asciiTheme="majorBidi" w:hAnsiTheme="majorBidi" w:cstheme="majorBidi"/>
          <w:b/>
          <w:bCs/>
          <w:rtl/>
        </w:rPr>
        <w:t>הם</w:t>
      </w:r>
      <w:r w:rsidRPr="00E37783">
        <w:rPr>
          <w:rFonts w:asciiTheme="majorBidi" w:hAnsiTheme="majorBidi" w:cstheme="majorBidi"/>
          <w:lang w:bidi="ar-JO"/>
        </w:rPr>
        <w:t xml:space="preserve"> appear </w:t>
      </w:r>
      <w:r w:rsidR="00C24B89" w:rsidRPr="00E37783">
        <w:rPr>
          <w:rFonts w:asciiTheme="majorBidi" w:hAnsiTheme="majorBidi" w:cstheme="majorBidi"/>
          <w:lang w:bidi="ar-JO"/>
        </w:rPr>
        <w:t>only</w:t>
      </w:r>
      <w:r w:rsidRPr="00E37783">
        <w:rPr>
          <w:rFonts w:asciiTheme="majorBidi" w:hAnsiTheme="majorBidi" w:cstheme="majorBidi"/>
          <w:lang w:bidi="ar-JO"/>
        </w:rPr>
        <w:t xml:space="preserve"> three times (in two </w:t>
      </w:r>
      <w:r w:rsidR="00371440" w:rsidRPr="00E37783">
        <w:rPr>
          <w:rFonts w:asciiTheme="majorBidi" w:hAnsiTheme="majorBidi" w:cstheme="majorBidi"/>
          <w:i/>
          <w:iCs/>
          <w:lang w:bidi="ar-JO"/>
        </w:rPr>
        <w:t>m</w:t>
      </w:r>
      <w:r w:rsidRPr="00E37783">
        <w:rPr>
          <w:rFonts w:asciiTheme="majorBidi" w:hAnsiTheme="majorBidi" w:cstheme="majorBidi"/>
          <w:i/>
          <w:iCs/>
          <w:lang w:bidi="ar-JO"/>
        </w:rPr>
        <w:t>ishnayot</w:t>
      </w:r>
      <w:r w:rsidRPr="00E37783">
        <w:rPr>
          <w:rFonts w:asciiTheme="majorBidi" w:hAnsiTheme="majorBidi" w:cstheme="majorBidi"/>
          <w:lang w:bidi="ar-JO"/>
        </w:rPr>
        <w:t>).</w:t>
      </w:r>
      <w:r w:rsidR="00137469" w:rsidRPr="00E37783">
        <w:rPr>
          <w:rStyle w:val="FootnoteReference"/>
          <w:rFonts w:asciiTheme="majorBidi" w:hAnsiTheme="majorBidi" w:cstheme="majorBidi"/>
          <w:sz w:val="24"/>
          <w:szCs w:val="24"/>
        </w:rPr>
        <w:footnoteReference w:id="3"/>
      </w:r>
      <w:r w:rsidRPr="00E37783">
        <w:rPr>
          <w:rFonts w:asciiTheme="majorBidi" w:hAnsiTheme="majorBidi" w:cstheme="majorBidi"/>
          <w:lang w:bidi="ar-JO"/>
        </w:rPr>
        <w:t xml:space="preserve"> </w:t>
      </w:r>
    </w:p>
    <w:p w:rsidR="009E1180" w:rsidRPr="00E37783" w:rsidRDefault="009E1180" w:rsidP="00E87B3F">
      <w:pPr>
        <w:spacing w:line="360" w:lineRule="auto"/>
        <w:rPr>
          <w:rFonts w:asciiTheme="majorBidi" w:hAnsiTheme="majorBidi" w:cstheme="majorBidi"/>
          <w:b/>
          <w:bCs/>
        </w:rPr>
      </w:pPr>
      <w:r w:rsidRPr="00E37783">
        <w:rPr>
          <w:rFonts w:asciiTheme="majorBidi" w:hAnsiTheme="majorBidi" w:cstheme="majorBidi"/>
          <w:b/>
          <w:bCs/>
          <w:lang w:bidi="ar-JO"/>
        </w:rPr>
        <w:t>2. Documentation of the Change in Sources Preceding the Mishnaic Literature</w:t>
      </w:r>
    </w:p>
    <w:p w:rsidR="00D45F6D" w:rsidRPr="00E37783" w:rsidRDefault="00054F3B" w:rsidP="00D45F6D">
      <w:pPr>
        <w:spacing w:before="120" w:after="280" w:line="360" w:lineRule="auto"/>
        <w:rPr>
          <w:rFonts w:asciiTheme="majorBidi" w:hAnsiTheme="majorBidi" w:cstheme="majorBidi"/>
        </w:rPr>
      </w:pPr>
      <w:r w:rsidRPr="00E37783">
        <w:rPr>
          <w:rFonts w:asciiTheme="majorBidi" w:hAnsiTheme="majorBidi" w:cstheme="majorBidi"/>
        </w:rPr>
        <w:t xml:space="preserve">The </w:t>
      </w:r>
      <w:r w:rsidR="001866C6" w:rsidRPr="00E37783">
        <w:rPr>
          <w:rFonts w:asciiTheme="majorBidi" w:hAnsiTheme="majorBidi" w:cstheme="majorBidi"/>
        </w:rPr>
        <w:t>shift</w:t>
      </w:r>
      <w:r w:rsidRPr="00E37783">
        <w:rPr>
          <w:rFonts w:asciiTheme="majorBidi" w:hAnsiTheme="majorBidi" w:cstheme="majorBidi"/>
        </w:rPr>
        <w:t xml:space="preserve"> from </w:t>
      </w:r>
      <w:r w:rsidRPr="00E37783">
        <w:rPr>
          <w:rFonts w:asciiTheme="majorBidi" w:hAnsiTheme="majorBidi" w:cstheme="majorBidi"/>
          <w:b/>
          <w:bCs/>
          <w:rtl/>
        </w:rPr>
        <w:t>ההוא</w:t>
      </w:r>
      <w:r w:rsidRPr="00E37783">
        <w:rPr>
          <w:rFonts w:asciiTheme="majorBidi" w:hAnsiTheme="majorBidi" w:cstheme="majorBidi"/>
          <w:b/>
          <w:bCs/>
          <w:lang w:bidi="ar-JO"/>
        </w:rPr>
        <w:t xml:space="preserve"> </w:t>
      </w:r>
      <w:r w:rsidRPr="00E37783">
        <w:rPr>
          <w:rFonts w:asciiTheme="majorBidi" w:hAnsiTheme="majorBidi" w:cstheme="majorBidi"/>
          <w:lang w:bidi="ar-JO"/>
        </w:rPr>
        <w:t xml:space="preserve">to </w:t>
      </w:r>
      <w:r w:rsidRPr="00E37783">
        <w:rPr>
          <w:rFonts w:asciiTheme="majorBidi" w:hAnsiTheme="majorBidi" w:cstheme="majorBidi"/>
          <w:b/>
          <w:bCs/>
          <w:rtl/>
        </w:rPr>
        <w:t>אותו</w:t>
      </w:r>
      <w:r w:rsidRPr="00E37783">
        <w:rPr>
          <w:rFonts w:asciiTheme="majorBidi" w:hAnsiTheme="majorBidi" w:cstheme="majorBidi"/>
          <w:b/>
          <w:bCs/>
          <w:lang w:bidi="ar-JO"/>
        </w:rPr>
        <w:t xml:space="preserve"> </w:t>
      </w:r>
      <w:r w:rsidRPr="00E37783">
        <w:rPr>
          <w:rFonts w:asciiTheme="majorBidi" w:hAnsiTheme="majorBidi" w:cstheme="majorBidi"/>
          <w:lang w:bidi="ar-JO"/>
        </w:rPr>
        <w:t xml:space="preserve">is not documented at all prior to </w:t>
      </w:r>
      <w:r w:rsidR="00392B8E" w:rsidRPr="00E37783">
        <w:rPr>
          <w:rFonts w:asciiTheme="majorBidi" w:hAnsiTheme="majorBidi" w:cstheme="majorBidi"/>
          <w:lang w:bidi="ar-JO"/>
        </w:rPr>
        <w:t>Mishnaic</w:t>
      </w:r>
      <w:r w:rsidR="00D7010A" w:rsidRPr="00E37783">
        <w:rPr>
          <w:rFonts w:asciiTheme="majorBidi" w:hAnsiTheme="majorBidi" w:cstheme="majorBidi"/>
          <w:lang w:bidi="ar-JO"/>
        </w:rPr>
        <w:t xml:space="preserve"> Hebrew</w:t>
      </w:r>
      <w:r w:rsidRPr="00E37783">
        <w:rPr>
          <w:rFonts w:asciiTheme="majorBidi" w:hAnsiTheme="majorBidi" w:cstheme="majorBidi"/>
          <w:lang w:bidi="ar-JO"/>
        </w:rPr>
        <w:t xml:space="preserve"> – neither in the Bible, nor </w:t>
      </w:r>
      <w:r w:rsidR="00CC6C85" w:rsidRPr="00E37783">
        <w:rPr>
          <w:rFonts w:asciiTheme="majorBidi" w:hAnsiTheme="majorBidi" w:cstheme="majorBidi"/>
          <w:lang w:bidi="ar-JO"/>
        </w:rPr>
        <w:t>the</w:t>
      </w:r>
      <w:r w:rsidR="004C12CB" w:rsidRPr="00E37783">
        <w:rPr>
          <w:rFonts w:asciiTheme="majorBidi" w:hAnsiTheme="majorBidi" w:cstheme="majorBidi"/>
          <w:lang w:bidi="ar-JO"/>
        </w:rPr>
        <w:t xml:space="preserve"> documents from the Judean Desert</w:t>
      </w:r>
      <w:r w:rsidRPr="00E37783">
        <w:rPr>
          <w:rFonts w:asciiTheme="majorBidi" w:hAnsiTheme="majorBidi" w:cstheme="majorBidi"/>
          <w:lang w:bidi="ar-JO"/>
        </w:rPr>
        <w:t>.</w:t>
      </w:r>
      <w:r w:rsidR="00002DB8" w:rsidRPr="00E37783">
        <w:rPr>
          <w:rFonts w:asciiTheme="majorBidi" w:hAnsiTheme="majorBidi" w:cstheme="majorBidi"/>
          <w:lang w:bidi="ar-JO"/>
        </w:rPr>
        <w:t xml:space="preserve"> </w:t>
      </w:r>
      <w:r w:rsidR="00A978D0" w:rsidRPr="00E37783">
        <w:rPr>
          <w:rFonts w:asciiTheme="majorBidi" w:hAnsiTheme="majorBidi" w:cstheme="majorBidi"/>
          <w:lang w:bidi="ar-JO"/>
        </w:rPr>
        <w:t xml:space="preserve">Józef </w:t>
      </w:r>
      <w:bookmarkStart w:id="8" w:name="_Hlk31016220"/>
      <w:r w:rsidR="00A978D0" w:rsidRPr="00E37783">
        <w:rPr>
          <w:rFonts w:asciiTheme="majorBidi" w:hAnsiTheme="majorBidi" w:cstheme="majorBidi"/>
          <w:lang w:bidi="ar-JO"/>
        </w:rPr>
        <w:t>Milik</w:t>
      </w:r>
      <w:bookmarkEnd w:id="8"/>
      <w:r w:rsidRPr="00E37783">
        <w:rPr>
          <w:rFonts w:asciiTheme="majorBidi" w:hAnsiTheme="majorBidi" w:cstheme="majorBidi"/>
          <w:lang w:bidi="ar-JO"/>
        </w:rPr>
        <w:t xml:space="preserve"> suggest</w:t>
      </w:r>
      <w:r w:rsidR="00455D81" w:rsidRPr="00E37783">
        <w:rPr>
          <w:rFonts w:asciiTheme="majorBidi" w:hAnsiTheme="majorBidi" w:cstheme="majorBidi"/>
          <w:lang w:bidi="ar-JO"/>
        </w:rPr>
        <w:t>ed</w:t>
      </w:r>
      <w:r w:rsidRPr="00E37783">
        <w:rPr>
          <w:rFonts w:asciiTheme="majorBidi" w:hAnsiTheme="majorBidi" w:cstheme="majorBidi"/>
          <w:lang w:bidi="ar-JO"/>
        </w:rPr>
        <w:t xml:space="preserve"> that this </w:t>
      </w:r>
      <w:r w:rsidR="001866C6" w:rsidRPr="00E37783">
        <w:rPr>
          <w:rFonts w:asciiTheme="majorBidi" w:hAnsiTheme="majorBidi" w:cstheme="majorBidi"/>
          <w:lang w:bidi="ar-JO"/>
        </w:rPr>
        <w:t>shift</w:t>
      </w:r>
      <w:r w:rsidRPr="00E37783">
        <w:rPr>
          <w:rFonts w:asciiTheme="majorBidi" w:hAnsiTheme="majorBidi" w:cstheme="majorBidi"/>
          <w:lang w:bidi="ar-JO"/>
        </w:rPr>
        <w:t xml:space="preserve"> is seen in a disjointed fragment from an Aramaic astronomical work found at Qumran. Milik re</w:t>
      </w:r>
      <w:r w:rsidR="001866C6" w:rsidRPr="00E37783">
        <w:rPr>
          <w:rFonts w:asciiTheme="majorBidi" w:hAnsiTheme="majorBidi" w:cstheme="majorBidi"/>
          <w:lang w:bidi="ar-JO"/>
        </w:rPr>
        <w:t>ad</w:t>
      </w:r>
      <w:r w:rsidRPr="00E37783">
        <w:rPr>
          <w:rFonts w:asciiTheme="majorBidi" w:hAnsiTheme="majorBidi" w:cstheme="majorBidi"/>
          <w:lang w:bidi="ar-JO"/>
        </w:rPr>
        <w:t xml:space="preserve"> the relevant </w:t>
      </w:r>
      <w:r w:rsidRPr="00E37783">
        <w:rPr>
          <w:rFonts w:asciiTheme="majorBidi" w:hAnsiTheme="majorBidi" w:cstheme="majorBidi"/>
          <w:color w:val="auto"/>
          <w:lang w:bidi="ar-JO"/>
        </w:rPr>
        <w:t xml:space="preserve">words as </w:t>
      </w:r>
      <w:r w:rsidR="00BD05E7" w:rsidRPr="00E37783">
        <w:rPr>
          <w:rFonts w:asciiTheme="majorBidi" w:hAnsiTheme="majorBidi" w:cstheme="majorBidi" w:hint="cs"/>
          <w:b/>
          <w:bCs/>
          <w:color w:val="auto"/>
          <w:rtl/>
        </w:rPr>
        <w:t>ו</w:t>
      </w:r>
      <w:r w:rsidRPr="00E37783">
        <w:rPr>
          <w:rFonts w:asciiTheme="majorBidi" w:hAnsiTheme="majorBidi" w:cstheme="majorBidi"/>
          <w:b/>
          <w:bCs/>
          <w:color w:val="auto"/>
          <w:rtl/>
        </w:rPr>
        <w:t>באותה בימ֯[מא]</w:t>
      </w:r>
      <w:r w:rsidR="00D45F6D" w:rsidRPr="00E37783">
        <w:rPr>
          <w:rFonts w:asciiTheme="majorBidi" w:hAnsiTheme="majorBidi" w:cstheme="majorBidi"/>
          <w:color w:val="auto"/>
        </w:rPr>
        <w:t xml:space="preserve"> </w:t>
      </w:r>
      <w:r w:rsidR="00D45F6D" w:rsidRPr="00E37783">
        <w:rPr>
          <w:rFonts w:asciiTheme="majorBidi" w:hAnsiTheme="majorBidi" w:cstheme="majorBidi"/>
        </w:rPr>
        <w:t xml:space="preserve">‘and on [the] same da[y]’ / ‘and on that da[y]’ (4Q211 </w:t>
      </w:r>
      <w:r w:rsidR="00946665" w:rsidRPr="00E37783">
        <w:rPr>
          <w:rFonts w:asciiTheme="majorBidi" w:hAnsiTheme="majorBidi" w:cstheme="majorBidi"/>
        </w:rPr>
        <w:t>[</w:t>
      </w:r>
      <w:r w:rsidR="00D45F6D" w:rsidRPr="00E37783">
        <w:rPr>
          <w:rFonts w:asciiTheme="majorBidi" w:hAnsiTheme="majorBidi" w:cstheme="majorBidi"/>
          <w:i/>
          <w:iCs/>
        </w:rPr>
        <w:t>4QAstronomical Enoch</w:t>
      </w:r>
      <w:r w:rsidR="00D45F6D" w:rsidRPr="00E37783">
        <w:rPr>
          <w:rFonts w:asciiTheme="majorBidi" w:hAnsiTheme="majorBidi" w:cstheme="majorBidi"/>
          <w:i/>
          <w:iCs/>
          <w:vertAlign w:val="superscript"/>
        </w:rPr>
        <w:t>d</w:t>
      </w:r>
      <w:r w:rsidR="00D45F6D" w:rsidRPr="00E37783">
        <w:rPr>
          <w:rFonts w:asciiTheme="majorBidi" w:hAnsiTheme="majorBidi" w:cstheme="majorBidi"/>
        </w:rPr>
        <w:t xml:space="preserve"> ar</w:t>
      </w:r>
      <w:r w:rsidR="00946665" w:rsidRPr="00E37783">
        <w:rPr>
          <w:rFonts w:asciiTheme="majorBidi" w:hAnsiTheme="majorBidi" w:cstheme="majorBidi"/>
        </w:rPr>
        <w:t>]</w:t>
      </w:r>
      <w:r w:rsidR="00D45F6D" w:rsidRPr="00E37783">
        <w:rPr>
          <w:rFonts w:asciiTheme="majorBidi" w:hAnsiTheme="majorBidi" w:cstheme="majorBidi"/>
        </w:rPr>
        <w:t>, Frag. 1 iii, Line 4).</w:t>
      </w:r>
      <w:r w:rsidR="00A978D0" w:rsidRPr="00E37783">
        <w:rPr>
          <w:rStyle w:val="FootnoteReference"/>
          <w:rFonts w:asciiTheme="majorBidi" w:hAnsiTheme="majorBidi" w:cstheme="majorBidi"/>
        </w:rPr>
        <w:footnoteReference w:id="4"/>
      </w:r>
    </w:p>
    <w:p w:rsidR="00EE7F4E" w:rsidRPr="00E37783" w:rsidRDefault="009E1180" w:rsidP="00863DAA">
      <w:pPr>
        <w:spacing w:before="120" w:after="280" w:line="360" w:lineRule="auto"/>
        <w:rPr>
          <w:rFonts w:asciiTheme="majorBidi" w:hAnsiTheme="majorBidi" w:cs="Times New Roman"/>
        </w:rPr>
      </w:pPr>
      <w:r w:rsidRPr="00E37783">
        <w:rPr>
          <w:rFonts w:asciiTheme="majorBidi" w:hAnsiTheme="majorBidi" w:cstheme="majorBidi"/>
        </w:rPr>
        <w:t xml:space="preserve">Jan Joosten (2002: 14–16) noted two verses in Numbers (6:13; 33:8) where the Septuagint documents the independent demonstrative pronoun </w:t>
      </w:r>
      <w:r w:rsidRPr="00E37783">
        <w:rPr>
          <w:rFonts w:asciiTheme="majorBidi" w:hAnsiTheme="majorBidi" w:cstheme="majorBidi" w:hint="cs"/>
          <w:rtl/>
          <w:lang w:val="en-GB"/>
        </w:rPr>
        <w:t>אותו</w:t>
      </w:r>
      <w:r w:rsidRPr="00E37783">
        <w:rPr>
          <w:rFonts w:asciiTheme="majorBidi" w:hAnsiTheme="majorBidi" w:cstheme="majorBidi"/>
        </w:rPr>
        <w:t xml:space="preserve">. In Numbers 6:13, the </w:t>
      </w:r>
      <w:r w:rsidR="00863DAA" w:rsidRPr="00E37783">
        <w:rPr>
          <w:rFonts w:asciiTheme="majorBidi" w:hAnsiTheme="majorBidi" w:cstheme="majorBidi"/>
        </w:rPr>
        <w:t>object</w:t>
      </w:r>
      <w:r w:rsidRPr="00E37783">
        <w:rPr>
          <w:rFonts w:asciiTheme="majorBidi" w:hAnsiTheme="majorBidi" w:cstheme="majorBidi"/>
        </w:rPr>
        <w:t xml:space="preserve"> pronoun in the phrase </w:t>
      </w:r>
      <w:r w:rsidRPr="00E37783">
        <w:rPr>
          <w:rFonts w:asciiTheme="majorBidi" w:hAnsiTheme="majorBidi" w:cs="Times New Roman"/>
          <w:rtl/>
        </w:rPr>
        <w:t>יָבִיא אֹתֹו</w:t>
      </w:r>
      <w:r w:rsidRPr="00E37783">
        <w:rPr>
          <w:rFonts w:asciiTheme="majorBidi" w:hAnsiTheme="majorBidi" w:cstheme="majorBidi"/>
        </w:rPr>
        <w:t xml:space="preserve"> (one shall bring him) is translated as αὐτοῦ ‘he himself’. Similarly, in ibid. 33:8 the place name </w:t>
      </w:r>
      <w:r w:rsidRPr="00E37783">
        <w:rPr>
          <w:rFonts w:asciiTheme="majorBidi" w:hAnsiTheme="majorBidi" w:cs="Times New Roman"/>
          <w:rtl/>
        </w:rPr>
        <w:t>אֵתָם</w:t>
      </w:r>
      <w:r w:rsidRPr="00E37783">
        <w:rPr>
          <w:rFonts w:asciiTheme="majorBidi" w:hAnsiTheme="majorBidi" w:cs="Times New Roman"/>
        </w:rPr>
        <w:t xml:space="preserve"> is translated αὐτοὶ ‘they themselves’. Joosten argues that this translation reflects the influence of the spoken Hebrew of the period of the authors of this translation, which already had the </w:t>
      </w:r>
      <w:r w:rsidRPr="00E37783">
        <w:rPr>
          <w:rFonts w:asciiTheme="majorBidi" w:hAnsiTheme="majorBidi" w:cs="Times New Roman"/>
          <w:b/>
          <w:bCs/>
        </w:rPr>
        <w:t xml:space="preserve">independent </w:t>
      </w:r>
      <w:r w:rsidRPr="00E37783">
        <w:rPr>
          <w:rFonts w:asciiTheme="majorBidi" w:hAnsiTheme="majorBidi" w:cs="Times New Roman"/>
        </w:rPr>
        <w:t>demonstrative pronoun "</w:t>
      </w:r>
      <w:r w:rsidRPr="00E37783">
        <w:rPr>
          <w:rFonts w:asciiTheme="majorBidi" w:hAnsiTheme="majorBidi" w:cs="Times New Roman"/>
          <w:rtl/>
        </w:rPr>
        <w:t>אותו</w:t>
      </w:r>
      <w:r w:rsidRPr="00E37783">
        <w:rPr>
          <w:rFonts w:asciiTheme="majorBidi" w:hAnsiTheme="majorBidi" w:cs="Times New Roman"/>
        </w:rPr>
        <w:t xml:space="preserve">". However, the use of the pronouns </w:t>
      </w:r>
      <w:r w:rsidRPr="00E37783">
        <w:rPr>
          <w:rFonts w:asciiTheme="majorBidi" w:hAnsiTheme="majorBidi" w:cs="Times New Roman"/>
          <w:rtl/>
        </w:rPr>
        <w:t>אותו,אותם</w:t>
      </w:r>
      <w:r w:rsidRPr="00E37783">
        <w:rPr>
          <w:rFonts w:asciiTheme="majorBidi" w:hAnsiTheme="majorBidi" w:cs="Times New Roman"/>
        </w:rPr>
        <w:t xml:space="preserve"> as independent demonstrative pronouns is first documented in a Hebrew text only in the language of the Palestinian Amoraites, some five hundred years later, and </w:t>
      </w:r>
      <w:r w:rsidR="00EE7F4E" w:rsidRPr="00E37783">
        <w:rPr>
          <w:rFonts w:asciiTheme="majorBidi" w:hAnsiTheme="majorBidi" w:cs="Times New Roman"/>
        </w:rPr>
        <w:t>is completely absent from the Tannaitic language (see note 1 above).</w:t>
      </w:r>
    </w:p>
    <w:p w:rsidR="00EE7F4E" w:rsidRPr="00E37783" w:rsidRDefault="00EE7F4E" w:rsidP="00863DAA">
      <w:pPr>
        <w:spacing w:before="120" w:after="280" w:line="360" w:lineRule="auto"/>
        <w:rPr>
          <w:rFonts w:asciiTheme="majorBidi" w:hAnsiTheme="majorBidi" w:cs="Times New Roman"/>
          <w:color w:val="auto"/>
        </w:rPr>
      </w:pPr>
      <w:r w:rsidRPr="00E37783">
        <w:rPr>
          <w:rFonts w:asciiTheme="majorBidi" w:hAnsiTheme="majorBidi" w:cs="Times New Roman"/>
        </w:rPr>
        <w:t xml:space="preserve">Accordingly, it would seem that we should consider other possible explanations for these surprising translations. As Joosten himself notes, there is a syntactical difficulty in the first of these verses (the verse has no antecedent to which the anaphoric </w:t>
      </w:r>
      <w:r w:rsidR="00863DAA" w:rsidRPr="00E37783">
        <w:rPr>
          <w:rFonts w:asciiTheme="majorBidi" w:hAnsiTheme="majorBidi" w:cs="Times New Roman"/>
        </w:rPr>
        <w:t>object</w:t>
      </w:r>
      <w:r w:rsidRPr="00E37783">
        <w:rPr>
          <w:rFonts w:asciiTheme="majorBidi" w:hAnsiTheme="majorBidi" w:cs="Times New Roman"/>
        </w:rPr>
        <w:t xml:space="preserve"> pronoun </w:t>
      </w:r>
      <w:r w:rsidRPr="00E37783">
        <w:rPr>
          <w:rFonts w:asciiTheme="majorBidi" w:hAnsiTheme="majorBidi" w:cs="Times New Roman"/>
          <w:rtl/>
        </w:rPr>
        <w:t>אֹתֹו</w:t>
      </w:r>
      <w:r w:rsidRPr="00E37783">
        <w:rPr>
          <w:rFonts w:asciiTheme="majorBidi" w:hAnsiTheme="majorBidi" w:cs="Times New Roman"/>
        </w:rPr>
        <w:t xml:space="preserve"> could refer); this difficulty was resolved in a similar manner in the Tannaitic Halakhic Midrash, </w:t>
      </w:r>
      <w:r w:rsidRPr="00E37783">
        <w:rPr>
          <w:rFonts w:asciiTheme="majorBidi" w:hAnsiTheme="majorBidi" w:cs="Times New Roman"/>
          <w:i/>
          <w:iCs/>
        </w:rPr>
        <w:t>Sifrei</w:t>
      </w:r>
      <w:r w:rsidRPr="00E37783">
        <w:rPr>
          <w:rFonts w:asciiTheme="majorBidi" w:hAnsiTheme="majorBidi" w:cs="Times New Roman"/>
        </w:rPr>
        <w:t>.</w:t>
      </w:r>
      <w:r w:rsidRPr="00E37783">
        <w:rPr>
          <w:rStyle w:val="FootnoteReference"/>
          <w:rFonts w:asciiTheme="majorBidi" w:hAnsiTheme="majorBidi" w:cstheme="majorBidi"/>
          <w:color w:val="auto"/>
          <w:rtl/>
        </w:rPr>
        <w:t xml:space="preserve"> </w:t>
      </w:r>
      <w:r w:rsidRPr="00E37783">
        <w:rPr>
          <w:rStyle w:val="FootnoteReference"/>
          <w:rFonts w:asciiTheme="majorBidi" w:hAnsiTheme="majorBidi" w:cstheme="majorBidi"/>
          <w:color w:val="auto"/>
          <w:rtl/>
        </w:rPr>
        <w:footnoteReference w:id="5"/>
      </w:r>
      <w:r w:rsidRPr="00E37783">
        <w:rPr>
          <w:rFonts w:asciiTheme="majorBidi" w:hAnsiTheme="majorBidi" w:cstheme="majorBidi"/>
          <w:color w:val="auto"/>
        </w:rPr>
        <w:t xml:space="preserve"> In the second instance, it is not impossible that the translators had a version before </w:t>
      </w:r>
      <w:r w:rsidRPr="00E37783">
        <w:rPr>
          <w:rFonts w:asciiTheme="majorBidi" w:hAnsiTheme="majorBidi" w:cstheme="majorBidi"/>
          <w:color w:val="auto"/>
        </w:rPr>
        <w:lastRenderedPageBreak/>
        <w:t xml:space="preserve">them with the form </w:t>
      </w:r>
      <w:r w:rsidRPr="00E37783">
        <w:rPr>
          <w:rFonts w:asciiTheme="majorBidi" w:hAnsiTheme="majorBidi" w:cs="Times New Roman"/>
          <w:color w:val="auto"/>
          <w:rtl/>
        </w:rPr>
        <w:t>אותם</w:t>
      </w:r>
      <w:r w:rsidRPr="00E37783">
        <w:rPr>
          <w:rFonts w:asciiTheme="majorBidi" w:hAnsiTheme="majorBidi" w:cs="Times New Roman"/>
          <w:color w:val="auto"/>
        </w:rPr>
        <w:t xml:space="preserve"> with a </w:t>
      </w:r>
      <w:r w:rsidRPr="00E37783">
        <w:rPr>
          <w:rFonts w:asciiTheme="majorBidi" w:hAnsiTheme="majorBidi" w:cs="Times New Roman"/>
          <w:i/>
          <w:iCs/>
          <w:color w:val="auto"/>
        </w:rPr>
        <w:t>vav</w:t>
      </w:r>
      <w:r w:rsidRPr="00E37783">
        <w:rPr>
          <w:rFonts w:asciiTheme="majorBidi" w:hAnsiTheme="majorBidi" w:cs="Times New Roman"/>
          <w:color w:val="auto"/>
        </w:rPr>
        <w:t xml:space="preserve">, rather than the defective </w:t>
      </w:r>
      <w:r w:rsidRPr="00E37783">
        <w:rPr>
          <w:rFonts w:asciiTheme="majorBidi" w:hAnsiTheme="majorBidi" w:cs="Times New Roman"/>
          <w:color w:val="auto"/>
          <w:rtl/>
        </w:rPr>
        <w:t>אתם</w:t>
      </w:r>
      <w:r w:rsidRPr="00E37783">
        <w:rPr>
          <w:rFonts w:asciiTheme="majorBidi" w:hAnsiTheme="majorBidi" w:cs="Times New Roman"/>
          <w:color w:val="auto"/>
        </w:rPr>
        <w:t xml:space="preserve"> in the Masorah; at least, they may have had such a reading tradition, as can be hypothesized in light of the transliteration in onomasticon of Eusebius.</w:t>
      </w:r>
      <w:r w:rsidRPr="00E37783">
        <w:rPr>
          <w:rStyle w:val="FootnoteReference"/>
          <w:rFonts w:asciiTheme="majorBidi" w:hAnsiTheme="majorBidi" w:cstheme="majorBidi"/>
          <w:color w:val="auto"/>
          <w:rtl/>
        </w:rPr>
        <w:t xml:space="preserve"> </w:t>
      </w:r>
      <w:r w:rsidRPr="00E37783">
        <w:rPr>
          <w:rStyle w:val="FootnoteReference"/>
          <w:rFonts w:asciiTheme="majorBidi" w:hAnsiTheme="majorBidi" w:cstheme="majorBidi"/>
          <w:color w:val="auto"/>
          <w:rtl/>
        </w:rPr>
        <w:footnoteReference w:id="6"/>
      </w:r>
      <w:r w:rsidR="00E37783" w:rsidRPr="00E37783">
        <w:rPr>
          <w:rFonts w:asciiTheme="majorBidi" w:hAnsiTheme="majorBidi" w:cs="Times New Roman"/>
          <w:color w:val="auto"/>
        </w:rPr>
        <w:t xml:space="preserve"> </w:t>
      </w:r>
    </w:p>
    <w:p w:rsidR="00EE7F4E" w:rsidRPr="00E37783" w:rsidRDefault="00E37783" w:rsidP="00E37783">
      <w:pPr>
        <w:spacing w:before="120" w:after="280" w:line="360" w:lineRule="auto"/>
        <w:rPr>
          <w:rFonts w:asciiTheme="majorBidi" w:hAnsiTheme="majorBidi" w:cs="Times New Roman"/>
          <w:b/>
          <w:bCs/>
          <w:color w:val="auto"/>
        </w:rPr>
      </w:pPr>
      <w:r>
        <w:rPr>
          <w:rFonts w:asciiTheme="majorBidi" w:hAnsiTheme="majorBidi" w:cs="Times New Roman"/>
          <w:b/>
          <w:bCs/>
          <w:color w:val="auto"/>
        </w:rPr>
        <w:t>3</w:t>
      </w:r>
      <w:r w:rsidR="00EE7F4E" w:rsidRPr="00E37783">
        <w:rPr>
          <w:rFonts w:asciiTheme="majorBidi" w:hAnsiTheme="majorBidi" w:cs="Times New Roman"/>
          <w:b/>
          <w:bCs/>
          <w:color w:val="auto"/>
        </w:rPr>
        <w:t>. The Research Question and Review of Previous Studies</w:t>
      </w:r>
    </w:p>
    <w:p w:rsidR="00054F3B" w:rsidRPr="00E37783" w:rsidRDefault="00054F3B" w:rsidP="00D45F6D">
      <w:pPr>
        <w:spacing w:line="360" w:lineRule="auto"/>
        <w:rPr>
          <w:rFonts w:asciiTheme="majorBidi" w:hAnsiTheme="majorBidi" w:cstheme="majorBidi"/>
          <w:color w:val="auto"/>
        </w:rPr>
      </w:pPr>
      <w:r w:rsidRPr="00E37783">
        <w:rPr>
          <w:rFonts w:asciiTheme="majorBidi" w:hAnsiTheme="majorBidi" w:cstheme="majorBidi"/>
          <w:color w:val="auto"/>
        </w:rPr>
        <w:t xml:space="preserve">The replacement of the structure </w:t>
      </w:r>
      <w:r w:rsidRPr="00E37783">
        <w:rPr>
          <w:rFonts w:asciiTheme="majorBidi" w:hAnsiTheme="majorBidi" w:cstheme="majorBidi"/>
          <w:b/>
          <w:bCs/>
          <w:color w:val="auto"/>
          <w:rtl/>
        </w:rPr>
        <w:t>האיש ההוא</w:t>
      </w:r>
      <w:r w:rsidRPr="00E37783">
        <w:rPr>
          <w:rFonts w:asciiTheme="majorBidi" w:hAnsiTheme="majorBidi" w:cstheme="majorBidi"/>
          <w:b/>
          <w:bCs/>
          <w:color w:val="auto"/>
          <w:lang w:bidi="ar-JO"/>
        </w:rPr>
        <w:t xml:space="preserve"> </w:t>
      </w:r>
      <w:r w:rsidRPr="00E37783">
        <w:rPr>
          <w:rFonts w:asciiTheme="majorBidi" w:hAnsiTheme="majorBidi" w:cstheme="majorBidi"/>
          <w:color w:val="auto"/>
          <w:lang w:bidi="ar-JO"/>
        </w:rPr>
        <w:t xml:space="preserve">by </w:t>
      </w:r>
      <w:r w:rsidRPr="00E37783">
        <w:rPr>
          <w:rFonts w:asciiTheme="majorBidi" w:hAnsiTheme="majorBidi" w:cstheme="majorBidi"/>
          <w:b/>
          <w:bCs/>
          <w:color w:val="auto"/>
          <w:rtl/>
        </w:rPr>
        <w:t>אותו האיש</w:t>
      </w:r>
      <w:r w:rsidR="00655754" w:rsidRPr="00E37783">
        <w:rPr>
          <w:rFonts w:asciiTheme="majorBidi" w:hAnsiTheme="majorBidi" w:cstheme="majorBidi"/>
          <w:b/>
          <w:bCs/>
          <w:color w:val="auto"/>
        </w:rPr>
        <w:t xml:space="preserve"> </w:t>
      </w:r>
      <w:r w:rsidR="00655754" w:rsidRPr="00E37783">
        <w:rPr>
          <w:rFonts w:asciiTheme="majorBidi" w:hAnsiTheme="majorBidi" w:cstheme="majorBidi"/>
          <w:color w:val="auto"/>
        </w:rPr>
        <w:t>raises three key questions:</w:t>
      </w:r>
      <w:r w:rsidR="00590BD8" w:rsidRPr="00E37783">
        <w:rPr>
          <w:rFonts w:asciiTheme="majorBidi" w:hAnsiTheme="majorBidi" w:cstheme="majorBidi"/>
          <w:color w:val="auto"/>
        </w:rPr>
        <w:t xml:space="preserve"> </w:t>
      </w:r>
    </w:p>
    <w:p w:rsidR="00655754" w:rsidRPr="00E37783" w:rsidRDefault="00655754" w:rsidP="00D45F6D">
      <w:pPr>
        <w:pStyle w:val="E-2"/>
        <w:numPr>
          <w:ilvl w:val="0"/>
          <w:numId w:val="16"/>
        </w:numPr>
        <w:spacing w:line="360" w:lineRule="auto"/>
        <w:rPr>
          <w:rFonts w:asciiTheme="majorBidi" w:hAnsiTheme="majorBidi" w:cstheme="majorBidi"/>
          <w:szCs w:val="24"/>
          <w:lang w:bidi="ar-JO"/>
        </w:rPr>
      </w:pPr>
      <w:r w:rsidRPr="00E37783">
        <w:rPr>
          <w:rFonts w:asciiTheme="majorBidi" w:hAnsiTheme="majorBidi" w:cstheme="majorBidi"/>
          <w:szCs w:val="24"/>
          <w:lang w:bidi="ar-JO"/>
        </w:rPr>
        <w:t>Why does the word order change in Mishnaic Hebrew, so that the demonstrative pronoun now precedes the noun it complements?</w:t>
      </w:r>
      <w:r w:rsidR="00590BD8" w:rsidRPr="00E37783">
        <w:rPr>
          <w:rFonts w:asciiTheme="majorBidi" w:hAnsiTheme="majorBidi" w:cstheme="majorBidi"/>
          <w:szCs w:val="24"/>
          <w:lang w:bidi="ar-JO"/>
        </w:rPr>
        <w:t xml:space="preserve"> </w:t>
      </w:r>
    </w:p>
    <w:p w:rsidR="00655754" w:rsidRPr="00E37783" w:rsidRDefault="00655754" w:rsidP="00D45F6D">
      <w:pPr>
        <w:pStyle w:val="E-2"/>
        <w:numPr>
          <w:ilvl w:val="0"/>
          <w:numId w:val="16"/>
        </w:numPr>
        <w:spacing w:line="360" w:lineRule="auto"/>
        <w:rPr>
          <w:rFonts w:asciiTheme="majorBidi" w:hAnsiTheme="majorBidi" w:cstheme="majorBidi"/>
          <w:szCs w:val="24"/>
        </w:rPr>
      </w:pPr>
      <w:r w:rsidRPr="00E37783">
        <w:rPr>
          <w:rFonts w:asciiTheme="majorBidi" w:hAnsiTheme="majorBidi" w:cstheme="majorBidi"/>
          <w:szCs w:val="24"/>
          <w:lang w:bidi="ar-JO"/>
        </w:rPr>
        <w:t xml:space="preserve">Why was the distal demonstrative pronoun </w:t>
      </w:r>
      <w:r w:rsidR="004F372D" w:rsidRPr="00E37783">
        <w:rPr>
          <w:rFonts w:asciiTheme="majorBidi" w:hAnsiTheme="majorBidi" w:cstheme="majorBidi"/>
          <w:b/>
          <w:bCs/>
          <w:szCs w:val="24"/>
          <w:rtl/>
        </w:rPr>
        <w:t>ההוא</w:t>
      </w:r>
      <w:r w:rsidR="004F372D" w:rsidRPr="00E37783">
        <w:rPr>
          <w:rFonts w:asciiTheme="majorBidi" w:hAnsiTheme="majorBidi" w:cstheme="majorBidi"/>
          <w:b/>
          <w:bCs/>
          <w:szCs w:val="24"/>
          <w:lang w:bidi="ar-JO"/>
        </w:rPr>
        <w:t xml:space="preserve"> </w:t>
      </w:r>
      <w:r w:rsidR="004F372D" w:rsidRPr="00E37783">
        <w:rPr>
          <w:rFonts w:asciiTheme="majorBidi" w:hAnsiTheme="majorBidi" w:cstheme="majorBidi"/>
          <w:szCs w:val="24"/>
          <w:lang w:bidi="ar-JO"/>
        </w:rPr>
        <w:t xml:space="preserve">replaced by the object pronoun </w:t>
      </w:r>
      <w:r w:rsidR="004F372D" w:rsidRPr="00E37783">
        <w:rPr>
          <w:rFonts w:asciiTheme="majorBidi" w:hAnsiTheme="majorBidi" w:cstheme="majorBidi"/>
          <w:b/>
          <w:bCs/>
          <w:szCs w:val="24"/>
          <w:rtl/>
        </w:rPr>
        <w:t>אותו</w:t>
      </w:r>
      <w:r w:rsidR="004F372D" w:rsidRPr="00E37783">
        <w:rPr>
          <w:rFonts w:asciiTheme="majorBidi" w:hAnsiTheme="majorBidi" w:cstheme="majorBidi"/>
          <w:szCs w:val="24"/>
        </w:rPr>
        <w:t>?</w:t>
      </w:r>
      <w:r w:rsidR="00590BD8" w:rsidRPr="00E37783">
        <w:rPr>
          <w:rFonts w:asciiTheme="majorBidi" w:hAnsiTheme="majorBidi" w:cstheme="majorBidi"/>
          <w:szCs w:val="24"/>
        </w:rPr>
        <w:t xml:space="preserve"> </w:t>
      </w:r>
    </w:p>
    <w:p w:rsidR="004F372D" w:rsidRPr="00E37783" w:rsidRDefault="004F372D" w:rsidP="00D45F6D">
      <w:pPr>
        <w:pStyle w:val="E-2"/>
        <w:numPr>
          <w:ilvl w:val="0"/>
          <w:numId w:val="16"/>
        </w:numPr>
        <w:spacing w:line="360" w:lineRule="auto"/>
        <w:rPr>
          <w:rFonts w:asciiTheme="majorBidi" w:hAnsiTheme="majorBidi" w:cstheme="majorBidi"/>
          <w:szCs w:val="24"/>
        </w:rPr>
      </w:pPr>
      <w:r w:rsidRPr="00E37783">
        <w:rPr>
          <w:rFonts w:asciiTheme="majorBidi" w:hAnsiTheme="majorBidi" w:cstheme="majorBidi"/>
          <w:szCs w:val="24"/>
        </w:rPr>
        <w:t>Why was this change so rapid and absolute?</w:t>
      </w:r>
    </w:p>
    <w:p w:rsidR="00655754" w:rsidRPr="00E37783" w:rsidRDefault="004F372D" w:rsidP="00D45F6D">
      <w:pPr>
        <w:spacing w:line="360" w:lineRule="auto"/>
        <w:rPr>
          <w:rFonts w:asciiTheme="majorBidi" w:hAnsiTheme="majorBidi" w:cstheme="majorBidi"/>
          <w:lang w:bidi="ar-JO"/>
        </w:rPr>
      </w:pPr>
      <w:r w:rsidRPr="00E37783">
        <w:rPr>
          <w:rFonts w:asciiTheme="majorBidi" w:hAnsiTheme="majorBidi" w:cstheme="majorBidi"/>
          <w:lang w:bidi="ar-JO"/>
        </w:rPr>
        <w:t>The first two of these questions have been discussed in the research literature since the mid-nineteenth century, but to the best of my knowledge the third question has not been examined. I will briefly review the main opinions in the literature:</w:t>
      </w:r>
    </w:p>
    <w:p w:rsidR="004F372D" w:rsidRPr="00E37783" w:rsidRDefault="004F372D" w:rsidP="00D45F6D">
      <w:pPr>
        <w:spacing w:line="360" w:lineRule="auto"/>
        <w:rPr>
          <w:rFonts w:asciiTheme="majorBidi" w:hAnsiTheme="majorBidi" w:cstheme="majorBidi"/>
          <w:color w:val="auto"/>
        </w:rPr>
      </w:pPr>
      <w:r w:rsidRPr="00E37783">
        <w:rPr>
          <w:rFonts w:asciiTheme="majorBidi" w:hAnsiTheme="majorBidi" w:cstheme="majorBidi"/>
          <w:color w:val="auto"/>
          <w:lang w:bidi="ar-JO"/>
        </w:rPr>
        <w:t xml:space="preserve">Abraham </w:t>
      </w:r>
      <w:bookmarkStart w:id="9" w:name="_Hlk31019751"/>
      <w:r w:rsidRPr="00E37783">
        <w:rPr>
          <w:rFonts w:asciiTheme="majorBidi" w:hAnsiTheme="majorBidi" w:cstheme="majorBidi"/>
          <w:color w:val="auto"/>
          <w:lang w:bidi="ar-JO"/>
        </w:rPr>
        <w:t>Geiger (1845</w:t>
      </w:r>
      <w:r w:rsidR="00010F37" w:rsidRPr="00E37783">
        <w:rPr>
          <w:rFonts w:asciiTheme="majorBidi" w:hAnsiTheme="majorBidi" w:cstheme="majorBidi"/>
          <w:color w:val="auto"/>
          <w:lang w:bidi="ar-JO"/>
        </w:rPr>
        <w:t>: 36</w:t>
      </w:r>
      <w:r w:rsidRPr="00E37783">
        <w:rPr>
          <w:rFonts w:asciiTheme="majorBidi" w:hAnsiTheme="majorBidi" w:cstheme="majorBidi"/>
          <w:color w:val="auto"/>
          <w:lang w:bidi="ar-JO"/>
        </w:rPr>
        <w:t>)</w:t>
      </w:r>
      <w:r w:rsidR="00002DB8" w:rsidRPr="00E37783">
        <w:rPr>
          <w:rFonts w:asciiTheme="majorBidi" w:hAnsiTheme="majorBidi" w:cstheme="majorBidi"/>
          <w:color w:val="auto"/>
          <w:lang w:bidi="ar-JO"/>
        </w:rPr>
        <w:t xml:space="preserve"> </w:t>
      </w:r>
      <w:bookmarkEnd w:id="9"/>
      <w:r w:rsidRPr="00E37783">
        <w:rPr>
          <w:rFonts w:asciiTheme="majorBidi" w:hAnsiTheme="majorBidi" w:cstheme="majorBidi"/>
          <w:color w:val="auto"/>
          <w:lang w:bidi="ar-JO"/>
        </w:rPr>
        <w:t>argued that the change reflected Aramaic influence.</w:t>
      </w:r>
      <w:r w:rsidR="00002DB8" w:rsidRPr="00E37783">
        <w:rPr>
          <w:rFonts w:asciiTheme="majorBidi" w:hAnsiTheme="majorBidi" w:cstheme="majorBidi"/>
          <w:color w:val="auto"/>
          <w:lang w:bidi="ar-JO"/>
        </w:rPr>
        <w:t xml:space="preserve"> </w:t>
      </w:r>
      <w:r w:rsidRPr="00E37783">
        <w:rPr>
          <w:rFonts w:asciiTheme="majorBidi" w:hAnsiTheme="majorBidi" w:cstheme="majorBidi"/>
          <w:color w:val="auto"/>
          <w:lang w:bidi="ar-JO"/>
        </w:rPr>
        <w:t xml:space="preserve">He noted </w:t>
      </w:r>
      <w:r w:rsidR="003958D9" w:rsidRPr="00E37783">
        <w:rPr>
          <w:rFonts w:asciiTheme="majorBidi" w:hAnsiTheme="majorBidi" w:cstheme="majorBidi"/>
          <w:color w:val="auto"/>
          <w:lang w:bidi="ar-JO"/>
        </w:rPr>
        <w:t xml:space="preserve">that </w:t>
      </w:r>
      <w:bookmarkStart w:id="10" w:name="_Hlk12798151"/>
      <w:r w:rsidRPr="00E37783">
        <w:rPr>
          <w:rFonts w:asciiTheme="majorBidi" w:hAnsiTheme="majorBidi" w:cstheme="majorBidi"/>
          <w:color w:val="auto"/>
          <w:lang w:bidi="ar-JO"/>
        </w:rPr>
        <w:t xml:space="preserve">the third person plural pronoun </w:t>
      </w:r>
      <w:r w:rsidR="003958D9" w:rsidRPr="00E37783">
        <w:rPr>
          <w:rFonts w:asciiTheme="majorBidi" w:hAnsiTheme="majorBidi" w:cstheme="majorBidi"/>
          <w:b/>
          <w:bCs/>
          <w:color w:val="auto"/>
          <w:rtl/>
        </w:rPr>
        <w:t>אִנּוּן</w:t>
      </w:r>
      <w:r w:rsidR="003958D9" w:rsidRPr="00E37783">
        <w:rPr>
          <w:rFonts w:asciiTheme="majorBidi" w:hAnsiTheme="majorBidi" w:cstheme="majorBidi"/>
          <w:b/>
          <w:bCs/>
          <w:color w:val="auto"/>
          <w:lang w:bidi="ar-JO"/>
        </w:rPr>
        <w:t xml:space="preserve"> </w:t>
      </w:r>
      <w:r w:rsidR="00F12A6C" w:rsidRPr="00E37783">
        <w:rPr>
          <w:rFonts w:asciiTheme="majorBidi" w:hAnsiTheme="majorBidi" w:cstheme="majorBidi"/>
          <w:color w:val="auto"/>
          <w:lang w:bidi="ar-JO"/>
        </w:rPr>
        <w:t>i</w:t>
      </w:r>
      <w:r w:rsidR="003958D9" w:rsidRPr="00E37783">
        <w:rPr>
          <w:rFonts w:asciiTheme="majorBidi" w:hAnsiTheme="majorBidi" w:cstheme="majorBidi"/>
          <w:color w:val="auto"/>
          <w:lang w:bidi="ar-JO"/>
        </w:rPr>
        <w:t>s used both</w:t>
      </w:r>
      <w:r w:rsidR="00002DB8" w:rsidRPr="00E37783">
        <w:rPr>
          <w:rFonts w:asciiTheme="majorBidi" w:hAnsiTheme="majorBidi" w:cstheme="majorBidi"/>
          <w:color w:val="auto"/>
          <w:lang w:bidi="ar-JO"/>
        </w:rPr>
        <w:t xml:space="preserve"> </w:t>
      </w:r>
      <w:r w:rsidR="003958D9" w:rsidRPr="00E37783">
        <w:rPr>
          <w:rFonts w:asciiTheme="majorBidi" w:hAnsiTheme="majorBidi" w:cstheme="majorBidi"/>
          <w:color w:val="auto"/>
          <w:lang w:bidi="ar-JO"/>
        </w:rPr>
        <w:t>as an object pronoun and</w:t>
      </w:r>
      <w:r w:rsidR="00002DB8" w:rsidRPr="00E37783">
        <w:rPr>
          <w:rFonts w:asciiTheme="majorBidi" w:hAnsiTheme="majorBidi" w:cstheme="majorBidi"/>
          <w:color w:val="auto"/>
          <w:lang w:bidi="ar-JO"/>
        </w:rPr>
        <w:t xml:space="preserve"> </w:t>
      </w:r>
      <w:r w:rsidR="003958D9" w:rsidRPr="00E37783">
        <w:rPr>
          <w:rFonts w:asciiTheme="majorBidi" w:hAnsiTheme="majorBidi" w:cstheme="majorBidi"/>
          <w:color w:val="auto"/>
          <w:lang w:bidi="ar-JO"/>
        </w:rPr>
        <w:t xml:space="preserve">as a </w:t>
      </w:r>
      <w:r w:rsidR="00F12A6C" w:rsidRPr="00E37783">
        <w:rPr>
          <w:rFonts w:asciiTheme="majorBidi" w:hAnsiTheme="majorBidi" w:cstheme="majorBidi"/>
          <w:color w:val="auto"/>
          <w:lang w:bidi="ar-JO"/>
        </w:rPr>
        <w:t>demonstrative adjective</w:t>
      </w:r>
      <w:r w:rsidR="003958D9" w:rsidRPr="00E37783">
        <w:rPr>
          <w:rFonts w:asciiTheme="majorBidi" w:hAnsiTheme="majorBidi" w:cstheme="majorBidi"/>
          <w:color w:val="auto"/>
          <w:lang w:bidi="ar-JO"/>
        </w:rPr>
        <w:t>.</w:t>
      </w:r>
      <w:r w:rsidR="0029426F" w:rsidRPr="00E37783">
        <w:rPr>
          <w:rStyle w:val="FootnoteReference"/>
          <w:rFonts w:asciiTheme="majorBidi" w:hAnsiTheme="majorBidi" w:cstheme="majorBidi"/>
          <w:color w:val="auto"/>
          <w:sz w:val="24"/>
          <w:szCs w:val="24"/>
          <w:lang w:bidi="ar-JO"/>
        </w:rPr>
        <w:footnoteReference w:id="7"/>
      </w:r>
      <w:r w:rsidR="003958D9" w:rsidRPr="00E37783">
        <w:rPr>
          <w:rFonts w:asciiTheme="majorBidi" w:hAnsiTheme="majorBidi" w:cstheme="majorBidi"/>
          <w:color w:val="auto"/>
          <w:lang w:bidi="ar-JO"/>
        </w:rPr>
        <w:t xml:space="preserve"> </w:t>
      </w:r>
      <w:bookmarkEnd w:id="10"/>
    </w:p>
    <w:p w:rsidR="003958D9" w:rsidRPr="00E37783" w:rsidRDefault="003958D9" w:rsidP="00D45F6D">
      <w:pPr>
        <w:spacing w:line="360" w:lineRule="auto"/>
        <w:rPr>
          <w:rFonts w:asciiTheme="majorBidi" w:hAnsiTheme="majorBidi" w:cstheme="majorBidi"/>
          <w:color w:val="auto"/>
          <w:lang w:bidi="ar-JO"/>
        </w:rPr>
      </w:pPr>
      <w:r w:rsidRPr="00E37783">
        <w:rPr>
          <w:rFonts w:asciiTheme="majorBidi" w:hAnsiTheme="majorBidi" w:cstheme="majorBidi"/>
          <w:color w:val="auto"/>
        </w:rPr>
        <w:t>Geiger also noted</w:t>
      </w:r>
      <w:r w:rsidR="00590BD8" w:rsidRPr="00E37783">
        <w:rPr>
          <w:rFonts w:asciiTheme="majorBidi" w:hAnsiTheme="majorBidi" w:cstheme="majorBidi"/>
          <w:lang w:bidi="ar-JO"/>
        </w:rPr>
        <w:t>,</w:t>
      </w:r>
      <w:r w:rsidR="00002DB8" w:rsidRPr="00E37783">
        <w:rPr>
          <w:rFonts w:asciiTheme="majorBidi" w:hAnsiTheme="majorBidi" w:cstheme="majorBidi"/>
          <w:lang w:bidi="ar-JO"/>
        </w:rPr>
        <w:t xml:space="preserve"> </w:t>
      </w:r>
      <w:r w:rsidRPr="00E37783">
        <w:rPr>
          <w:rFonts w:asciiTheme="majorBidi" w:hAnsiTheme="majorBidi" w:cstheme="majorBidi"/>
          <w:color w:val="auto"/>
        </w:rPr>
        <w:t xml:space="preserve">that the use of the declined forms of </w:t>
      </w:r>
      <w:r w:rsidRPr="00E37783">
        <w:rPr>
          <w:rFonts w:asciiTheme="majorBidi" w:hAnsiTheme="majorBidi" w:cstheme="majorBidi"/>
          <w:b/>
          <w:bCs/>
          <w:color w:val="auto"/>
          <w:rtl/>
        </w:rPr>
        <w:t>ית-</w:t>
      </w:r>
      <w:r w:rsidRPr="00E37783">
        <w:rPr>
          <w:rFonts w:asciiTheme="majorBidi" w:hAnsiTheme="majorBidi" w:cstheme="majorBidi"/>
          <w:color w:val="auto"/>
          <w:lang w:bidi="ar-JO"/>
        </w:rPr>
        <w:t xml:space="preserve"> instead of the distal pronoun is documented in Christian Palestinian Aramaic and in Samari</w:t>
      </w:r>
      <w:r w:rsidR="00625CA8" w:rsidRPr="00E37783">
        <w:rPr>
          <w:rFonts w:asciiTheme="majorBidi" w:hAnsiTheme="majorBidi" w:cstheme="majorBidi"/>
          <w:color w:val="auto"/>
          <w:lang w:bidi="ar-JO"/>
        </w:rPr>
        <w:t>t</w:t>
      </w:r>
      <w:r w:rsidRPr="00E37783">
        <w:rPr>
          <w:rFonts w:asciiTheme="majorBidi" w:hAnsiTheme="majorBidi" w:cstheme="majorBidi"/>
          <w:color w:val="auto"/>
          <w:lang w:bidi="ar-JO"/>
        </w:rPr>
        <w:t>an Aramaic.</w:t>
      </w:r>
      <w:r w:rsidR="00564239" w:rsidRPr="00E37783">
        <w:rPr>
          <w:rStyle w:val="FootnoteReference"/>
          <w:rFonts w:asciiTheme="majorBidi" w:hAnsiTheme="majorBidi" w:cstheme="majorBidi"/>
          <w:color w:val="auto"/>
          <w:lang w:bidi="ar-JO"/>
        </w:rPr>
        <w:footnoteReference w:id="8"/>
      </w:r>
      <w:r w:rsidR="00EB5A02" w:rsidRPr="00E37783">
        <w:rPr>
          <w:rFonts w:asciiTheme="majorBidi" w:hAnsiTheme="majorBidi" w:cstheme="majorBidi"/>
          <w:color w:val="auto"/>
          <w:lang w:bidi="ar-JO"/>
        </w:rPr>
        <w:t xml:space="preserve"> </w:t>
      </w:r>
      <w:r w:rsidRPr="00E37783">
        <w:rPr>
          <w:rFonts w:asciiTheme="majorBidi" w:hAnsiTheme="majorBidi" w:cstheme="majorBidi"/>
          <w:color w:val="auto"/>
          <w:lang w:bidi="ar-JO"/>
        </w:rPr>
        <w:t xml:space="preserve">The same use is found in a small number of cases in Galilean Aramaic (such as </w:t>
      </w:r>
      <w:r w:rsidRPr="00E37783">
        <w:rPr>
          <w:rFonts w:asciiTheme="majorBidi" w:hAnsiTheme="majorBidi" w:cstheme="majorBidi"/>
          <w:b/>
          <w:bCs/>
          <w:color w:val="auto"/>
          <w:rtl/>
        </w:rPr>
        <w:t>יתהון כפתיה</w:t>
      </w:r>
      <w:r w:rsidRPr="00E37783">
        <w:rPr>
          <w:rFonts w:asciiTheme="majorBidi" w:hAnsiTheme="majorBidi" w:cstheme="majorBidi"/>
          <w:color w:val="auto"/>
          <w:lang w:bidi="ar-JO"/>
        </w:rPr>
        <w:t xml:space="preserve"> - “those knots”).</w:t>
      </w:r>
      <w:r w:rsidR="0067649A" w:rsidRPr="00E37783">
        <w:rPr>
          <w:rStyle w:val="FootnoteReference"/>
          <w:rFonts w:asciiTheme="majorBidi" w:hAnsiTheme="majorBidi" w:cstheme="majorBidi"/>
          <w:color w:val="auto"/>
          <w:lang w:bidi="ar-JO"/>
        </w:rPr>
        <w:footnoteReference w:id="9"/>
      </w:r>
      <w:r w:rsidRPr="00E37783">
        <w:rPr>
          <w:rFonts w:asciiTheme="majorBidi" w:hAnsiTheme="majorBidi" w:cstheme="majorBidi"/>
          <w:color w:val="auto"/>
          <w:lang w:bidi="ar-JO"/>
        </w:rPr>
        <w:t xml:space="preserve"> </w:t>
      </w:r>
      <w:r w:rsidRPr="00E37783">
        <w:rPr>
          <w:rFonts w:asciiTheme="majorBidi" w:hAnsiTheme="majorBidi" w:cstheme="majorBidi"/>
          <w:color w:val="auto"/>
          <w:lang w:bidi="ar-JO"/>
        </w:rPr>
        <w:lastRenderedPageBreak/>
        <w:t xml:space="preserve">Following Geiger, </w:t>
      </w:r>
      <w:bookmarkStart w:id="11" w:name="_Hlk31019777"/>
      <w:r w:rsidRPr="00E37783">
        <w:rPr>
          <w:rFonts w:asciiTheme="majorBidi" w:hAnsiTheme="majorBidi" w:cstheme="majorBidi"/>
          <w:color w:val="auto"/>
          <w:lang w:bidi="ar-JO"/>
        </w:rPr>
        <w:t>Nöldeke (1868</w:t>
      </w:r>
      <w:r w:rsidR="00010F37" w:rsidRPr="00E37783">
        <w:rPr>
          <w:rFonts w:asciiTheme="majorBidi" w:hAnsiTheme="majorBidi" w:cstheme="majorBidi"/>
          <w:color w:val="auto"/>
          <w:lang w:bidi="ar-JO"/>
        </w:rPr>
        <w:t>: 471</w:t>
      </w:r>
      <w:r w:rsidRPr="00E37783">
        <w:rPr>
          <w:rFonts w:asciiTheme="majorBidi" w:hAnsiTheme="majorBidi" w:cstheme="majorBidi"/>
          <w:color w:val="auto"/>
          <w:lang w:bidi="ar-JO"/>
        </w:rPr>
        <w:t>) and Wright (1890</w:t>
      </w:r>
      <w:r w:rsidR="00010F37" w:rsidRPr="00E37783">
        <w:rPr>
          <w:rFonts w:asciiTheme="majorBidi" w:hAnsiTheme="majorBidi" w:cstheme="majorBidi"/>
          <w:color w:val="auto"/>
          <w:lang w:bidi="ar-JO"/>
        </w:rPr>
        <w:t>: 13</w:t>
      </w:r>
      <w:r w:rsidRPr="00E37783">
        <w:rPr>
          <w:rFonts w:asciiTheme="majorBidi" w:hAnsiTheme="majorBidi" w:cstheme="majorBidi"/>
          <w:color w:val="auto"/>
          <w:lang w:bidi="ar-JO"/>
        </w:rPr>
        <w:t>)</w:t>
      </w:r>
      <w:bookmarkEnd w:id="11"/>
      <w:r w:rsidR="006D2B18" w:rsidRPr="00E37783">
        <w:rPr>
          <w:rFonts w:asciiTheme="majorBidi" w:hAnsiTheme="majorBidi" w:cstheme="majorBidi"/>
          <w:color w:val="auto"/>
          <w:lang w:bidi="ar-JO"/>
        </w:rPr>
        <w:t xml:space="preserve"> suggested that dialects such as Samaritan Aramaic and Christian Aramaic influenced the </w:t>
      </w:r>
      <w:r w:rsidR="00A41A00" w:rsidRPr="00E37783">
        <w:rPr>
          <w:rFonts w:asciiTheme="majorBidi" w:hAnsiTheme="majorBidi" w:cstheme="majorBidi"/>
          <w:color w:val="auto"/>
          <w:lang w:bidi="ar-JO"/>
        </w:rPr>
        <w:t>Mishnaic Hebrew</w:t>
      </w:r>
      <w:r w:rsidR="006D2B18" w:rsidRPr="00E37783">
        <w:rPr>
          <w:rFonts w:asciiTheme="majorBidi" w:hAnsiTheme="majorBidi" w:cstheme="majorBidi"/>
          <w:color w:val="auto"/>
          <w:lang w:bidi="ar-JO"/>
        </w:rPr>
        <w:t xml:space="preserve">. </w:t>
      </w:r>
    </w:p>
    <w:p w:rsidR="006D2B18" w:rsidRPr="00E37783" w:rsidRDefault="006D2B18" w:rsidP="00D45F6D">
      <w:pPr>
        <w:spacing w:line="360" w:lineRule="auto"/>
        <w:rPr>
          <w:rFonts w:asciiTheme="majorBidi" w:hAnsiTheme="majorBidi" w:cstheme="majorBidi"/>
          <w:rtl/>
        </w:rPr>
      </w:pPr>
      <w:r w:rsidRPr="00E37783">
        <w:rPr>
          <w:rFonts w:asciiTheme="majorBidi" w:hAnsiTheme="majorBidi" w:cstheme="majorBidi"/>
          <w:color w:val="auto"/>
          <w:lang w:bidi="ar-JO"/>
        </w:rPr>
        <w:t>The flaw</w:t>
      </w:r>
      <w:r w:rsidR="00002DB8" w:rsidRPr="00E37783">
        <w:rPr>
          <w:rFonts w:asciiTheme="majorBidi" w:hAnsiTheme="majorBidi" w:cstheme="majorBidi"/>
          <w:color w:val="auto"/>
          <w:lang w:bidi="ar-JO"/>
        </w:rPr>
        <w:t xml:space="preserve"> </w:t>
      </w:r>
      <w:r w:rsidRPr="00E37783">
        <w:rPr>
          <w:rFonts w:asciiTheme="majorBidi" w:hAnsiTheme="majorBidi" w:cstheme="majorBidi"/>
          <w:color w:val="auto"/>
          <w:lang w:bidi="ar-JO"/>
        </w:rPr>
        <w:t xml:space="preserve">in the comparison to the object pronoun </w:t>
      </w:r>
      <w:r w:rsidRPr="00E37783">
        <w:rPr>
          <w:rFonts w:asciiTheme="majorBidi" w:hAnsiTheme="majorBidi" w:cstheme="majorBidi"/>
          <w:b/>
          <w:bCs/>
          <w:rtl/>
        </w:rPr>
        <w:t>אִנּוּן</w:t>
      </w:r>
      <w:r w:rsidRPr="00E37783">
        <w:rPr>
          <w:rFonts w:asciiTheme="majorBidi" w:hAnsiTheme="majorBidi" w:cstheme="majorBidi"/>
          <w:b/>
          <w:bCs/>
        </w:rPr>
        <w:t xml:space="preserve"> </w:t>
      </w:r>
      <w:r w:rsidRPr="00E37783">
        <w:rPr>
          <w:rFonts w:asciiTheme="majorBidi" w:hAnsiTheme="majorBidi" w:cstheme="majorBidi"/>
        </w:rPr>
        <w:t xml:space="preserve">is that its use as an object pronoun and a </w:t>
      </w:r>
      <w:r w:rsidR="00FF7692" w:rsidRPr="00E37783">
        <w:rPr>
          <w:rFonts w:asciiTheme="majorBidi" w:hAnsiTheme="majorBidi" w:cstheme="majorBidi"/>
        </w:rPr>
        <w:t>demonstrative adjective</w:t>
      </w:r>
      <w:r w:rsidRPr="00E37783">
        <w:rPr>
          <w:rFonts w:asciiTheme="majorBidi" w:hAnsiTheme="majorBidi" w:cstheme="majorBidi"/>
        </w:rPr>
        <w:t xml:space="preserve"> pronoun is found only in the plural, and not in the singular. It </w:t>
      </w:r>
      <w:r w:rsidR="00D260AE" w:rsidRPr="00E37783">
        <w:rPr>
          <w:rFonts w:asciiTheme="majorBidi" w:hAnsiTheme="majorBidi" w:cstheme="majorBidi"/>
        </w:rPr>
        <w:t>is</w:t>
      </w:r>
      <w:r w:rsidRPr="00E37783">
        <w:rPr>
          <w:rFonts w:asciiTheme="majorBidi" w:hAnsiTheme="majorBidi" w:cstheme="majorBidi"/>
        </w:rPr>
        <w:t xml:space="preserve"> less likely that the plural pronoun, which is relatively rare, would influence the singular pronoun, which is several times more common.</w:t>
      </w:r>
      <w:r w:rsidR="00002DB8" w:rsidRPr="00E37783">
        <w:rPr>
          <w:rFonts w:asciiTheme="majorBidi" w:hAnsiTheme="majorBidi" w:cstheme="majorBidi"/>
          <w:lang w:bidi="ar-JO"/>
        </w:rPr>
        <w:t xml:space="preserve"> </w:t>
      </w:r>
      <w:r w:rsidRPr="00E37783">
        <w:rPr>
          <w:rFonts w:asciiTheme="majorBidi" w:hAnsiTheme="majorBidi" w:cstheme="majorBidi"/>
        </w:rPr>
        <w:t xml:space="preserve">The suggestion that the Aramaic dialects that have a declined form of </w:t>
      </w:r>
      <w:r w:rsidRPr="00E37783">
        <w:rPr>
          <w:rFonts w:asciiTheme="majorBidi" w:hAnsiTheme="majorBidi" w:cstheme="majorBidi"/>
          <w:b/>
          <w:bCs/>
          <w:rtl/>
        </w:rPr>
        <w:t>ית</w:t>
      </w:r>
      <w:r w:rsidRPr="00E37783">
        <w:rPr>
          <w:rFonts w:asciiTheme="majorBidi" w:hAnsiTheme="majorBidi" w:cstheme="majorBidi"/>
          <w:b/>
          <w:bCs/>
          <w:lang w:bidi="ar-JO"/>
        </w:rPr>
        <w:t xml:space="preserve"> </w:t>
      </w:r>
      <w:r w:rsidRPr="00E37783">
        <w:rPr>
          <w:rFonts w:asciiTheme="majorBidi" w:hAnsiTheme="majorBidi" w:cstheme="majorBidi"/>
          <w:lang w:bidi="ar-JO"/>
        </w:rPr>
        <w:t xml:space="preserve">influenced Hebrew is also problematic, since these dialects are later than </w:t>
      </w:r>
      <w:r w:rsidR="00392B8E" w:rsidRPr="00E37783">
        <w:rPr>
          <w:rFonts w:asciiTheme="majorBidi" w:hAnsiTheme="majorBidi" w:cstheme="majorBidi"/>
          <w:lang w:bidi="ar-JO"/>
        </w:rPr>
        <w:t>Mishnaic</w:t>
      </w:r>
      <w:r w:rsidR="00D7010A" w:rsidRPr="00E37783">
        <w:rPr>
          <w:rFonts w:asciiTheme="majorBidi" w:hAnsiTheme="majorBidi" w:cstheme="majorBidi"/>
          <w:lang w:bidi="ar-JO"/>
        </w:rPr>
        <w:t xml:space="preserve"> Hebrew</w:t>
      </w:r>
      <w:r w:rsidRPr="00E37783">
        <w:rPr>
          <w:rFonts w:asciiTheme="majorBidi" w:hAnsiTheme="majorBidi" w:cstheme="majorBidi"/>
          <w:lang w:bidi="ar-JO"/>
        </w:rPr>
        <w:t>.</w:t>
      </w:r>
      <w:r w:rsidR="00002DB8" w:rsidRPr="00E37783">
        <w:rPr>
          <w:rFonts w:asciiTheme="majorBidi" w:hAnsiTheme="majorBidi" w:cstheme="majorBidi"/>
          <w:lang w:bidi="ar-JO"/>
        </w:rPr>
        <w:t xml:space="preserve"> </w:t>
      </w:r>
      <w:r w:rsidRPr="00E37783">
        <w:rPr>
          <w:rFonts w:asciiTheme="majorBidi" w:hAnsiTheme="majorBidi" w:cstheme="majorBidi"/>
          <w:lang w:bidi="ar-JO"/>
        </w:rPr>
        <w:t xml:space="preserve">Moreover, they use the declined form of </w:t>
      </w:r>
      <w:r w:rsidRPr="00E37783">
        <w:rPr>
          <w:rFonts w:asciiTheme="majorBidi" w:hAnsiTheme="majorBidi" w:cstheme="majorBidi"/>
          <w:b/>
          <w:bCs/>
          <w:rtl/>
        </w:rPr>
        <w:t>ית</w:t>
      </w:r>
      <w:r w:rsidRPr="00E37783">
        <w:rPr>
          <w:rFonts w:asciiTheme="majorBidi" w:hAnsiTheme="majorBidi" w:cstheme="majorBidi"/>
          <w:b/>
          <w:bCs/>
        </w:rPr>
        <w:t xml:space="preserve"> </w:t>
      </w:r>
      <w:r w:rsidRPr="00E37783">
        <w:rPr>
          <w:rFonts w:asciiTheme="majorBidi" w:hAnsiTheme="majorBidi" w:cstheme="majorBidi"/>
        </w:rPr>
        <w:t>alongside distal demonstrative pronouns</w:t>
      </w:r>
      <w:r w:rsidR="00002DB8" w:rsidRPr="00E37783">
        <w:rPr>
          <w:rFonts w:asciiTheme="majorBidi" w:hAnsiTheme="majorBidi" w:cstheme="majorBidi"/>
          <w:lang w:bidi="ar-JO"/>
        </w:rPr>
        <w:t xml:space="preserve"> </w:t>
      </w:r>
      <w:r w:rsidR="00ED4AA8" w:rsidRPr="00E37783">
        <w:rPr>
          <w:rFonts w:asciiTheme="majorBidi" w:hAnsiTheme="majorBidi" w:cstheme="majorBidi"/>
        </w:rPr>
        <w:t>and i</w:t>
      </w:r>
      <w:r w:rsidRPr="00E37783">
        <w:rPr>
          <w:rFonts w:asciiTheme="majorBidi" w:hAnsiTheme="majorBidi" w:cstheme="majorBidi"/>
        </w:rPr>
        <w:t xml:space="preserve">n Galilean Aramaic, which has a strong affinity to </w:t>
      </w:r>
      <w:r w:rsidR="00392B8E" w:rsidRPr="00E37783">
        <w:rPr>
          <w:rFonts w:asciiTheme="majorBidi" w:hAnsiTheme="majorBidi" w:cstheme="majorBidi"/>
        </w:rPr>
        <w:t>R</w:t>
      </w:r>
      <w:r w:rsidR="00374625" w:rsidRPr="00E37783">
        <w:rPr>
          <w:rFonts w:asciiTheme="majorBidi" w:hAnsiTheme="majorBidi" w:cstheme="majorBidi"/>
        </w:rPr>
        <w:t>abbinic Hebrew</w:t>
      </w:r>
      <w:r w:rsidRPr="00E37783">
        <w:rPr>
          <w:rFonts w:asciiTheme="majorBidi" w:hAnsiTheme="majorBidi" w:cstheme="majorBidi"/>
        </w:rPr>
        <w:t>, this form is extremely rare;</w:t>
      </w:r>
      <w:r w:rsidR="00002DB8" w:rsidRPr="00E37783">
        <w:rPr>
          <w:rFonts w:asciiTheme="majorBidi" w:hAnsiTheme="majorBidi" w:cstheme="majorBidi"/>
        </w:rPr>
        <w:t xml:space="preserve"> </w:t>
      </w:r>
      <w:r w:rsidRPr="00E37783">
        <w:rPr>
          <w:rFonts w:asciiTheme="majorBidi" w:hAnsiTheme="majorBidi" w:cstheme="majorBidi"/>
        </w:rPr>
        <w:t xml:space="preserve">in </w:t>
      </w:r>
      <w:r w:rsidR="00392B8E" w:rsidRPr="00E37783">
        <w:rPr>
          <w:rFonts w:asciiTheme="majorBidi" w:hAnsiTheme="majorBidi" w:cstheme="majorBidi"/>
        </w:rPr>
        <w:t>Mishnaic</w:t>
      </w:r>
      <w:r w:rsidR="00D7010A" w:rsidRPr="00E37783">
        <w:rPr>
          <w:rFonts w:asciiTheme="majorBidi" w:hAnsiTheme="majorBidi" w:cstheme="majorBidi"/>
        </w:rPr>
        <w:t xml:space="preserve"> Hebrew</w:t>
      </w:r>
      <w:r w:rsidRPr="00E37783">
        <w:rPr>
          <w:rFonts w:asciiTheme="majorBidi" w:hAnsiTheme="majorBidi" w:cstheme="majorBidi"/>
        </w:rPr>
        <w:t xml:space="preserve">, by contrast, </w:t>
      </w:r>
      <w:r w:rsidRPr="00E37783">
        <w:rPr>
          <w:rFonts w:asciiTheme="majorBidi" w:hAnsiTheme="majorBidi" w:cstheme="majorBidi"/>
          <w:b/>
          <w:bCs/>
          <w:rtl/>
        </w:rPr>
        <w:t>אותו</w:t>
      </w:r>
      <w:r w:rsidRPr="00E37783">
        <w:rPr>
          <w:rFonts w:asciiTheme="majorBidi" w:hAnsiTheme="majorBidi" w:cstheme="majorBidi"/>
          <w:lang w:bidi="ar-JO"/>
        </w:rPr>
        <w:t xml:space="preserve"> is the sole form and the grammatical norm.</w:t>
      </w:r>
      <w:r w:rsidR="00590BD8" w:rsidRPr="00E37783">
        <w:rPr>
          <w:rFonts w:asciiTheme="majorBidi" w:hAnsiTheme="majorBidi" w:cstheme="majorBidi"/>
          <w:lang w:bidi="ar-JO"/>
        </w:rPr>
        <w:t xml:space="preserve"> </w:t>
      </w:r>
    </w:p>
    <w:p w:rsidR="002A5E30" w:rsidRPr="00E37783" w:rsidRDefault="006D2B18" w:rsidP="00D45F6D">
      <w:pPr>
        <w:spacing w:line="360" w:lineRule="auto"/>
        <w:rPr>
          <w:rFonts w:asciiTheme="majorBidi" w:hAnsiTheme="majorBidi" w:cstheme="majorBidi"/>
        </w:rPr>
      </w:pPr>
      <w:bookmarkStart w:id="12" w:name="_Hlk31020017"/>
      <w:r w:rsidRPr="00E37783">
        <w:rPr>
          <w:rFonts w:asciiTheme="majorBidi" w:hAnsiTheme="majorBidi" w:cstheme="majorBidi"/>
          <w:lang w:bidi="ar-JO"/>
        </w:rPr>
        <w:t xml:space="preserve">Isaac Hirsch Weiss (1867:4) </w:t>
      </w:r>
      <w:bookmarkEnd w:id="12"/>
      <w:r w:rsidR="00D260AE" w:rsidRPr="00E37783">
        <w:rPr>
          <w:rFonts w:asciiTheme="majorBidi" w:hAnsiTheme="majorBidi" w:cstheme="majorBidi"/>
          <w:lang w:bidi="ar-JO"/>
        </w:rPr>
        <w:t>developed</w:t>
      </w:r>
      <w:r w:rsidRPr="00E37783">
        <w:rPr>
          <w:rFonts w:asciiTheme="majorBidi" w:hAnsiTheme="majorBidi" w:cstheme="majorBidi"/>
          <w:lang w:bidi="ar-JO"/>
        </w:rPr>
        <w:t xml:space="preserve"> Geiger’s argument,</w:t>
      </w:r>
      <w:r w:rsidR="00002DB8" w:rsidRPr="00E37783">
        <w:rPr>
          <w:rFonts w:asciiTheme="majorBidi" w:hAnsiTheme="majorBidi" w:cstheme="majorBidi"/>
          <w:lang w:bidi="ar-JO"/>
        </w:rPr>
        <w:t xml:space="preserve"> </w:t>
      </w:r>
      <w:r w:rsidRPr="00E37783">
        <w:rPr>
          <w:rFonts w:asciiTheme="majorBidi" w:hAnsiTheme="majorBidi" w:cstheme="majorBidi"/>
          <w:lang w:bidi="ar-JO"/>
        </w:rPr>
        <w:t xml:space="preserve">claiming that phrases such as </w:t>
      </w:r>
      <w:r w:rsidRPr="00E37783">
        <w:rPr>
          <w:rFonts w:asciiTheme="majorBidi" w:hAnsiTheme="majorBidi" w:cstheme="majorBidi"/>
          <w:b/>
          <w:bCs/>
          <w:rtl/>
        </w:rPr>
        <w:t>באותו היום</w:t>
      </w:r>
      <w:r w:rsidRPr="00E37783">
        <w:rPr>
          <w:rFonts w:asciiTheme="majorBidi" w:hAnsiTheme="majorBidi" w:cstheme="majorBidi"/>
          <w:b/>
          <w:bCs/>
          <w:lang w:bidi="ar-JO"/>
        </w:rPr>
        <w:t xml:space="preserve"> </w:t>
      </w:r>
      <w:r w:rsidR="00F232DD" w:rsidRPr="00E37783">
        <w:rPr>
          <w:rFonts w:asciiTheme="majorBidi" w:hAnsiTheme="majorBidi" w:cstheme="majorBidi"/>
          <w:lang w:bidi="ar-JO"/>
        </w:rPr>
        <w:t>‘on that day’</w:t>
      </w:r>
      <w:r w:rsidR="00F232DD" w:rsidRPr="00E37783">
        <w:rPr>
          <w:rFonts w:asciiTheme="majorBidi" w:hAnsiTheme="majorBidi" w:cstheme="majorBidi"/>
          <w:b/>
          <w:bCs/>
          <w:lang w:bidi="ar-JO"/>
        </w:rPr>
        <w:t xml:space="preserve"> </w:t>
      </w:r>
      <w:r w:rsidRPr="00E37783">
        <w:rPr>
          <w:rFonts w:asciiTheme="majorBidi" w:hAnsiTheme="majorBidi" w:cstheme="majorBidi"/>
          <w:lang w:bidi="ar-JO"/>
        </w:rPr>
        <w:t xml:space="preserve">also have their origin in the Biblical Aramaic phrases </w:t>
      </w:r>
      <w:r w:rsidR="00403B16" w:rsidRPr="00E37783">
        <w:rPr>
          <w:rFonts w:asciiTheme="majorBidi" w:hAnsiTheme="majorBidi" w:cs="Times New Roman"/>
          <w:b/>
          <w:bCs/>
          <w:rtl/>
        </w:rPr>
        <w:t>בַּהּ שַׁעֲתָא</w:t>
      </w:r>
      <w:r w:rsidR="00403B16" w:rsidRPr="00E37783">
        <w:rPr>
          <w:rFonts w:asciiTheme="majorBidi" w:hAnsiTheme="majorBidi" w:cstheme="majorBidi"/>
        </w:rPr>
        <w:t xml:space="preserve"> (‘at the same moment’ Daniel 3:6);</w:t>
      </w:r>
      <w:r w:rsidR="00E37783" w:rsidRPr="00E37783">
        <w:rPr>
          <w:rFonts w:asciiTheme="majorBidi" w:hAnsiTheme="majorBidi" w:cstheme="majorBidi"/>
        </w:rPr>
        <w:t xml:space="preserve"> </w:t>
      </w:r>
      <w:r w:rsidR="00403B16" w:rsidRPr="00E37783">
        <w:rPr>
          <w:rFonts w:asciiTheme="majorBidi" w:hAnsiTheme="majorBidi" w:cs="Times New Roman"/>
          <w:b/>
          <w:bCs/>
          <w:rtl/>
        </w:rPr>
        <w:t>בֵּהּ זִמְנָא</w:t>
      </w:r>
      <w:r w:rsidR="00403B16" w:rsidRPr="00E37783">
        <w:rPr>
          <w:rFonts w:asciiTheme="majorBidi" w:hAnsiTheme="majorBidi" w:cstheme="majorBidi"/>
          <w:b/>
          <w:bCs/>
        </w:rPr>
        <w:t xml:space="preserve"> </w:t>
      </w:r>
      <w:r w:rsidR="00403B16" w:rsidRPr="00E37783">
        <w:rPr>
          <w:rFonts w:asciiTheme="majorBidi" w:hAnsiTheme="majorBidi" w:cstheme="majorBidi"/>
        </w:rPr>
        <w:t>(‘at the same time’ ibid 4:33)</w:t>
      </w:r>
      <w:r w:rsidRPr="00E37783">
        <w:rPr>
          <w:rFonts w:asciiTheme="majorBidi" w:hAnsiTheme="majorBidi" w:cstheme="majorBidi"/>
        </w:rPr>
        <w:t>.</w:t>
      </w:r>
      <w:r w:rsidR="00002DB8" w:rsidRPr="00E37783">
        <w:rPr>
          <w:rFonts w:asciiTheme="majorBidi" w:hAnsiTheme="majorBidi" w:cstheme="majorBidi"/>
        </w:rPr>
        <w:t xml:space="preserve"> </w:t>
      </w:r>
      <w:r w:rsidRPr="00E37783">
        <w:rPr>
          <w:rFonts w:asciiTheme="majorBidi" w:hAnsiTheme="majorBidi" w:cstheme="majorBidi"/>
        </w:rPr>
        <w:t>However,</w:t>
      </w:r>
      <w:r w:rsidR="00002DB8" w:rsidRPr="00E37783">
        <w:rPr>
          <w:rFonts w:asciiTheme="majorBidi" w:hAnsiTheme="majorBidi" w:cstheme="majorBidi"/>
        </w:rPr>
        <w:t xml:space="preserve"> </w:t>
      </w:r>
      <w:r w:rsidRPr="00E37783">
        <w:rPr>
          <w:rFonts w:asciiTheme="majorBidi" w:hAnsiTheme="majorBidi" w:cstheme="majorBidi"/>
        </w:rPr>
        <w:t xml:space="preserve">Weiss fails to explain why, instead of the expected </w:t>
      </w:r>
      <w:r w:rsidR="004B782B" w:rsidRPr="00E37783">
        <w:rPr>
          <w:rFonts w:asciiTheme="majorBidi" w:hAnsiTheme="majorBidi" w:cstheme="majorBidi"/>
        </w:rPr>
        <w:t xml:space="preserve">structure </w:t>
      </w:r>
      <w:r w:rsidRPr="00E37783">
        <w:rPr>
          <w:rFonts w:asciiTheme="majorBidi" w:hAnsiTheme="majorBidi" w:cstheme="majorBidi"/>
          <w:b/>
          <w:bCs/>
          <w:rtl/>
        </w:rPr>
        <w:t>בו ביום</w:t>
      </w:r>
      <w:r w:rsidRPr="00E37783">
        <w:rPr>
          <w:rFonts w:asciiTheme="majorBidi" w:hAnsiTheme="majorBidi" w:cstheme="majorBidi"/>
          <w:b/>
          <w:bCs/>
          <w:lang w:bidi="ar-JO"/>
        </w:rPr>
        <w:t xml:space="preserve"> </w:t>
      </w:r>
      <w:r w:rsidR="009A00BD" w:rsidRPr="00E37783">
        <w:rPr>
          <w:rFonts w:asciiTheme="majorBidi" w:hAnsiTheme="majorBidi" w:cstheme="majorBidi"/>
          <w:lang w:bidi="ar-JO"/>
        </w:rPr>
        <w:t>‘on that day’</w:t>
      </w:r>
      <w:r w:rsidR="009A00BD" w:rsidRPr="00E37783">
        <w:rPr>
          <w:rFonts w:asciiTheme="majorBidi" w:hAnsiTheme="majorBidi" w:cstheme="majorBidi"/>
          <w:b/>
          <w:bCs/>
          <w:lang w:bidi="ar-JO"/>
        </w:rPr>
        <w:t xml:space="preserve"> </w:t>
      </w:r>
      <w:r w:rsidRPr="00E37783">
        <w:rPr>
          <w:rFonts w:asciiTheme="majorBidi" w:hAnsiTheme="majorBidi" w:cstheme="majorBidi"/>
          <w:lang w:bidi="ar-JO"/>
        </w:rPr>
        <w:t>(</w:t>
      </w:r>
      <w:r w:rsidR="004B782B" w:rsidRPr="00E37783">
        <w:rPr>
          <w:rFonts w:asciiTheme="majorBidi" w:hAnsiTheme="majorBidi" w:cstheme="majorBidi"/>
          <w:lang w:bidi="ar-JO"/>
        </w:rPr>
        <w:t xml:space="preserve">which is </w:t>
      </w:r>
      <w:r w:rsidR="009A00BD" w:rsidRPr="00E37783">
        <w:rPr>
          <w:rFonts w:asciiTheme="majorBidi" w:hAnsiTheme="majorBidi" w:cstheme="majorBidi"/>
          <w:lang w:bidi="ar-JO"/>
        </w:rPr>
        <w:t>common</w:t>
      </w:r>
      <w:r w:rsidR="004B782B" w:rsidRPr="00E37783">
        <w:rPr>
          <w:rFonts w:asciiTheme="majorBidi" w:hAnsiTheme="majorBidi" w:cstheme="majorBidi"/>
          <w:lang w:bidi="ar-JO"/>
        </w:rPr>
        <w:t xml:space="preserve"> in </w:t>
      </w:r>
      <w:r w:rsidR="00392B8E" w:rsidRPr="00E37783">
        <w:rPr>
          <w:rFonts w:asciiTheme="majorBidi" w:hAnsiTheme="majorBidi" w:cstheme="majorBidi"/>
          <w:lang w:bidi="ar-JO"/>
        </w:rPr>
        <w:t>R</w:t>
      </w:r>
      <w:r w:rsidR="00D7010A" w:rsidRPr="00E37783">
        <w:rPr>
          <w:rFonts w:asciiTheme="majorBidi" w:hAnsiTheme="majorBidi" w:cstheme="majorBidi"/>
          <w:lang w:bidi="ar-JO"/>
        </w:rPr>
        <w:t>abbinic Hebrew</w:t>
      </w:r>
      <w:r w:rsidR="004B782B" w:rsidRPr="00E37783">
        <w:rPr>
          <w:rFonts w:asciiTheme="majorBidi" w:hAnsiTheme="majorBidi" w:cstheme="majorBidi"/>
          <w:lang w:bidi="ar-JO"/>
        </w:rPr>
        <w:t xml:space="preserve"> and parallels </w:t>
      </w:r>
      <w:r w:rsidR="004B782B" w:rsidRPr="00E37783">
        <w:rPr>
          <w:rFonts w:asciiTheme="majorBidi" w:hAnsiTheme="majorBidi" w:cstheme="majorBidi"/>
          <w:b/>
          <w:bCs/>
          <w:rtl/>
        </w:rPr>
        <w:t>בֵּהּ בְּלֵילְיָא</w:t>
      </w:r>
      <w:r w:rsidR="009A00BD" w:rsidRPr="00E37783">
        <w:rPr>
          <w:rFonts w:asciiTheme="majorBidi" w:hAnsiTheme="majorBidi" w:cstheme="majorBidi"/>
        </w:rPr>
        <w:t xml:space="preserve"> ‘in the same night’ Daniel 5:30</w:t>
      </w:r>
      <w:r w:rsidR="004B782B" w:rsidRPr="00E37783">
        <w:rPr>
          <w:rFonts w:asciiTheme="majorBidi" w:hAnsiTheme="majorBidi" w:cstheme="majorBidi"/>
        </w:rPr>
        <w:t xml:space="preserve">), or instead of the </w:t>
      </w:r>
      <w:proofErr w:type="spellStart"/>
      <w:r w:rsidR="004B782B" w:rsidRPr="00E37783">
        <w:rPr>
          <w:rFonts w:asciiTheme="majorBidi" w:hAnsiTheme="majorBidi" w:cstheme="majorBidi"/>
        </w:rPr>
        <w:t>untestified</w:t>
      </w:r>
      <w:proofErr w:type="spellEnd"/>
      <w:r w:rsidR="004B782B" w:rsidRPr="00E37783">
        <w:rPr>
          <w:rFonts w:asciiTheme="majorBidi" w:hAnsiTheme="majorBidi" w:cstheme="majorBidi"/>
        </w:rPr>
        <w:t xml:space="preserve"> structure </w:t>
      </w:r>
      <w:r w:rsidR="004B782B" w:rsidRPr="00E37783">
        <w:rPr>
          <w:rFonts w:asciiTheme="majorBidi" w:hAnsiTheme="majorBidi" w:cstheme="majorBidi"/>
          <w:b/>
          <w:bCs/>
          <w:rtl/>
        </w:rPr>
        <w:t>*בו היום</w:t>
      </w:r>
      <w:r w:rsidR="004B782B" w:rsidRPr="00E37783">
        <w:rPr>
          <w:rFonts w:asciiTheme="majorBidi" w:hAnsiTheme="majorBidi" w:cstheme="majorBidi"/>
        </w:rPr>
        <w:t xml:space="preserve">, </w:t>
      </w:r>
      <w:r w:rsidR="00392B8E" w:rsidRPr="00E37783">
        <w:rPr>
          <w:rFonts w:asciiTheme="majorBidi" w:hAnsiTheme="majorBidi" w:cstheme="majorBidi"/>
        </w:rPr>
        <w:t>R</w:t>
      </w:r>
      <w:r w:rsidR="00D7010A" w:rsidRPr="00E37783">
        <w:rPr>
          <w:rFonts w:asciiTheme="majorBidi" w:hAnsiTheme="majorBidi" w:cstheme="majorBidi"/>
        </w:rPr>
        <w:t>abbinic Hebrew</w:t>
      </w:r>
      <w:r w:rsidR="004B782B" w:rsidRPr="00E37783">
        <w:rPr>
          <w:rFonts w:asciiTheme="majorBidi" w:hAnsiTheme="majorBidi" w:cstheme="majorBidi"/>
        </w:rPr>
        <w:t xml:space="preserve"> developed a structure with the object pronoun – </w:t>
      </w:r>
      <w:r w:rsidR="004B782B" w:rsidRPr="00E37783">
        <w:rPr>
          <w:rFonts w:asciiTheme="majorBidi" w:hAnsiTheme="majorBidi" w:cstheme="majorBidi"/>
          <w:b/>
          <w:bCs/>
          <w:rtl/>
        </w:rPr>
        <w:t>באותו היום</w:t>
      </w:r>
      <w:r w:rsidR="004B782B" w:rsidRPr="00E37783">
        <w:rPr>
          <w:rFonts w:asciiTheme="majorBidi" w:hAnsiTheme="majorBidi" w:cstheme="majorBidi"/>
        </w:rPr>
        <w:t>.</w:t>
      </w:r>
      <w:r w:rsidR="008E4BA8" w:rsidRPr="00E37783">
        <w:rPr>
          <w:rFonts w:asciiTheme="majorBidi" w:hAnsiTheme="majorBidi" w:cstheme="majorBidi"/>
          <w:b/>
          <w:bCs/>
        </w:rPr>
        <w:t xml:space="preserve"> </w:t>
      </w:r>
    </w:p>
    <w:p w:rsidR="004B782B" w:rsidRPr="00E37783" w:rsidRDefault="004B782B" w:rsidP="00D45F6D">
      <w:pPr>
        <w:spacing w:line="360" w:lineRule="auto"/>
        <w:rPr>
          <w:rFonts w:asciiTheme="majorBidi" w:hAnsiTheme="majorBidi" w:cstheme="majorBidi"/>
          <w:lang w:bidi="ar-JO"/>
        </w:rPr>
      </w:pPr>
      <w:bookmarkStart w:id="13" w:name="_Hlk31020051"/>
      <w:r w:rsidRPr="00E37783">
        <w:rPr>
          <w:rFonts w:asciiTheme="majorBidi" w:hAnsiTheme="majorBidi" w:cstheme="majorBidi"/>
        </w:rPr>
        <w:t>Moshe Zvi Segal (19</w:t>
      </w:r>
      <w:r w:rsidR="00B65AEC" w:rsidRPr="00E37783">
        <w:rPr>
          <w:rFonts w:asciiTheme="majorBidi" w:hAnsiTheme="majorBidi" w:cstheme="majorBidi"/>
        </w:rPr>
        <w:t>27: 202</w:t>
      </w:r>
      <w:r w:rsidRPr="00E37783">
        <w:rPr>
          <w:rFonts w:asciiTheme="majorBidi" w:hAnsiTheme="majorBidi" w:cstheme="majorBidi"/>
        </w:rPr>
        <w:t xml:space="preserve">) </w:t>
      </w:r>
      <w:bookmarkEnd w:id="13"/>
      <w:r w:rsidRPr="00E37783">
        <w:rPr>
          <w:rFonts w:asciiTheme="majorBidi" w:hAnsiTheme="majorBidi" w:cstheme="majorBidi"/>
        </w:rPr>
        <w:t xml:space="preserve">suggested that this phenomenon </w:t>
      </w:r>
      <w:r w:rsidR="004C12CB" w:rsidRPr="00E37783">
        <w:rPr>
          <w:rFonts w:asciiTheme="majorBidi" w:hAnsiTheme="majorBidi" w:cstheme="majorBidi"/>
        </w:rPr>
        <w:t>has</w:t>
      </w:r>
      <w:r w:rsidRPr="00E37783">
        <w:rPr>
          <w:rFonts w:asciiTheme="majorBidi" w:hAnsiTheme="majorBidi" w:cstheme="majorBidi"/>
        </w:rPr>
        <w:t xml:space="preserve"> its origins in Hebrew, rather than in the Aramaic dialects. He suggested that the use of the object marker </w:t>
      </w:r>
      <w:r w:rsidRPr="00E37783">
        <w:rPr>
          <w:rFonts w:asciiTheme="majorBidi" w:hAnsiTheme="majorBidi" w:cstheme="majorBidi"/>
          <w:b/>
          <w:bCs/>
          <w:rtl/>
        </w:rPr>
        <w:t>את</w:t>
      </w:r>
      <w:r w:rsidRPr="00E37783">
        <w:rPr>
          <w:rFonts w:asciiTheme="majorBidi" w:hAnsiTheme="majorBidi" w:cstheme="majorBidi"/>
          <w:b/>
          <w:bCs/>
          <w:lang w:bidi="ar-JO"/>
        </w:rPr>
        <w:t xml:space="preserve"> </w:t>
      </w:r>
      <w:r w:rsidRPr="00E37783">
        <w:rPr>
          <w:rFonts w:asciiTheme="majorBidi" w:hAnsiTheme="majorBidi" w:cstheme="majorBidi"/>
          <w:lang w:bidi="ar-JO"/>
        </w:rPr>
        <w:t xml:space="preserve">in its undeclined form emerged first as </w:t>
      </w:r>
      <w:r w:rsidR="00C20446" w:rsidRPr="00E37783">
        <w:rPr>
          <w:rFonts w:asciiTheme="majorBidi" w:hAnsiTheme="majorBidi" w:cstheme="majorBidi"/>
          <w:lang w:bidi="ar-JO"/>
        </w:rPr>
        <w:t>an independent demonstrative pronoun</w:t>
      </w:r>
      <w:r w:rsidRPr="00E37783">
        <w:rPr>
          <w:rFonts w:asciiTheme="majorBidi" w:hAnsiTheme="majorBidi" w:cstheme="majorBidi"/>
          <w:lang w:bidi="ar-JO"/>
        </w:rPr>
        <w:t xml:space="preserve"> marking the subject, and that the use of the declined form of </w:t>
      </w:r>
      <w:r w:rsidRPr="00E37783">
        <w:rPr>
          <w:rFonts w:asciiTheme="majorBidi" w:hAnsiTheme="majorBidi" w:cstheme="majorBidi"/>
          <w:b/>
          <w:bCs/>
          <w:rtl/>
        </w:rPr>
        <w:t>אות-</w:t>
      </w:r>
      <w:r w:rsidRPr="00E37783">
        <w:rPr>
          <w:rFonts w:asciiTheme="majorBidi" w:hAnsiTheme="majorBidi" w:cstheme="majorBidi"/>
          <w:b/>
          <w:bCs/>
          <w:lang w:bidi="ar-JO"/>
        </w:rPr>
        <w:t xml:space="preserve"> </w:t>
      </w:r>
      <w:r w:rsidRPr="00E37783">
        <w:rPr>
          <w:rFonts w:asciiTheme="majorBidi" w:hAnsiTheme="majorBidi" w:cstheme="majorBidi"/>
          <w:lang w:bidi="ar-JO"/>
        </w:rPr>
        <w:t xml:space="preserve">then developed as </w:t>
      </w:r>
      <w:r w:rsidR="00C20446" w:rsidRPr="00E37783">
        <w:rPr>
          <w:rFonts w:asciiTheme="majorBidi" w:hAnsiTheme="majorBidi" w:cstheme="majorBidi"/>
          <w:lang w:bidi="ar-JO"/>
        </w:rPr>
        <w:t>a demonstrative adjective</w:t>
      </w:r>
      <w:r w:rsidRPr="00E37783">
        <w:rPr>
          <w:rFonts w:asciiTheme="majorBidi" w:hAnsiTheme="majorBidi" w:cstheme="majorBidi"/>
          <w:lang w:bidi="ar-JO"/>
        </w:rPr>
        <w:t>.</w:t>
      </w:r>
    </w:p>
    <w:p w:rsidR="004B782B" w:rsidRPr="00E37783" w:rsidRDefault="004B782B" w:rsidP="00D45F6D">
      <w:pPr>
        <w:spacing w:line="360" w:lineRule="auto"/>
        <w:rPr>
          <w:rFonts w:asciiTheme="majorBidi" w:hAnsiTheme="majorBidi" w:cstheme="majorBidi"/>
          <w:lang w:bidi="ar-JO"/>
        </w:rPr>
      </w:pPr>
      <w:r w:rsidRPr="00E37783">
        <w:rPr>
          <w:rFonts w:asciiTheme="majorBidi" w:hAnsiTheme="majorBidi" w:cstheme="majorBidi"/>
          <w:lang w:bidi="ar-JO"/>
        </w:rPr>
        <w:t xml:space="preserve">The flaw in Segal’s explanation is that in </w:t>
      </w:r>
      <w:r w:rsidR="00D260AE" w:rsidRPr="00E37783">
        <w:rPr>
          <w:rFonts w:asciiTheme="majorBidi" w:hAnsiTheme="majorBidi" w:cstheme="majorBidi"/>
          <w:lang w:bidi="ar-JO"/>
        </w:rPr>
        <w:t>Tannaitic</w:t>
      </w:r>
      <w:r w:rsidRPr="00E37783">
        <w:rPr>
          <w:rFonts w:asciiTheme="majorBidi" w:hAnsiTheme="majorBidi" w:cstheme="majorBidi"/>
          <w:lang w:bidi="ar-JO"/>
        </w:rPr>
        <w:t xml:space="preserve"> Hebrew there is a sharp formal and syntactic separation between these two pronouns: the former always appears in an undeclined form as the </w:t>
      </w:r>
      <w:r w:rsidR="00C20446" w:rsidRPr="00E37783">
        <w:rPr>
          <w:rFonts w:asciiTheme="majorBidi" w:hAnsiTheme="majorBidi" w:cstheme="majorBidi"/>
          <w:lang w:bidi="ar-JO"/>
        </w:rPr>
        <w:t>antecedent</w:t>
      </w:r>
      <w:r w:rsidRPr="00E37783">
        <w:rPr>
          <w:rFonts w:asciiTheme="majorBidi" w:hAnsiTheme="majorBidi" w:cstheme="majorBidi"/>
          <w:lang w:bidi="ar-JO"/>
        </w:rPr>
        <w:t xml:space="preserve"> of a relative clause, while the latter always appears in a declined form as a</w:t>
      </w:r>
      <w:r w:rsidR="0065246F" w:rsidRPr="00E37783">
        <w:rPr>
          <w:rFonts w:asciiTheme="majorBidi" w:hAnsiTheme="majorBidi" w:cstheme="majorBidi"/>
          <w:lang w:bidi="ar-JO"/>
        </w:rPr>
        <w:t>n</w:t>
      </w:r>
      <w:r w:rsidRPr="00E37783">
        <w:rPr>
          <w:rFonts w:asciiTheme="majorBidi" w:hAnsiTheme="majorBidi" w:cstheme="majorBidi"/>
          <w:lang w:bidi="ar-JO"/>
        </w:rPr>
        <w:t xml:space="preserve"> </w:t>
      </w:r>
      <w:r w:rsidR="0065246F" w:rsidRPr="00E37783">
        <w:rPr>
          <w:rFonts w:asciiTheme="majorBidi" w:hAnsiTheme="majorBidi" w:cstheme="majorBidi"/>
          <w:lang w:bidi="ar-JO"/>
        </w:rPr>
        <w:t>attribute</w:t>
      </w:r>
      <w:r w:rsidRPr="00E37783">
        <w:rPr>
          <w:rFonts w:asciiTheme="majorBidi" w:hAnsiTheme="majorBidi" w:cstheme="majorBidi"/>
          <w:lang w:bidi="ar-JO"/>
        </w:rPr>
        <w:t xml:space="preserve"> not followed by a relative clause.</w:t>
      </w:r>
      <w:r w:rsidR="00002DB8" w:rsidRPr="00E37783">
        <w:rPr>
          <w:rFonts w:asciiTheme="majorBidi" w:hAnsiTheme="majorBidi" w:cstheme="majorBidi"/>
          <w:lang w:bidi="ar-JO"/>
        </w:rPr>
        <w:t xml:space="preserve"> </w:t>
      </w:r>
      <w:r w:rsidRPr="00E37783">
        <w:rPr>
          <w:rFonts w:asciiTheme="majorBidi" w:hAnsiTheme="majorBidi" w:cstheme="majorBidi"/>
          <w:lang w:bidi="ar-JO"/>
        </w:rPr>
        <w:t xml:space="preserve">Had the latter form developed from the former, we would expect to find some overlap between the syntactical functions of the two pronouns. </w:t>
      </w:r>
    </w:p>
    <w:p w:rsidR="00B915EB" w:rsidRPr="00E37783" w:rsidRDefault="004B782B" w:rsidP="00D45F6D">
      <w:pPr>
        <w:spacing w:line="360" w:lineRule="auto"/>
        <w:rPr>
          <w:rFonts w:asciiTheme="majorBidi" w:hAnsiTheme="majorBidi" w:cstheme="majorBidi"/>
        </w:rPr>
      </w:pPr>
      <w:bookmarkStart w:id="14" w:name="_Hlk31020445"/>
      <w:r w:rsidRPr="00E37783">
        <w:rPr>
          <w:rFonts w:asciiTheme="majorBidi" w:hAnsiTheme="majorBidi" w:cstheme="majorBidi"/>
          <w:lang w:bidi="ar-JO"/>
        </w:rPr>
        <w:t>Waltke and O’Connor (1990</w:t>
      </w:r>
      <w:r w:rsidR="00010F37" w:rsidRPr="00E37783">
        <w:rPr>
          <w:rFonts w:asciiTheme="majorBidi" w:hAnsiTheme="majorBidi" w:cstheme="majorBidi"/>
          <w:lang w:bidi="ar-JO"/>
        </w:rPr>
        <w:t>: 1</w:t>
      </w:r>
      <w:r w:rsidR="005461F7" w:rsidRPr="00E37783">
        <w:rPr>
          <w:rFonts w:asciiTheme="majorBidi" w:hAnsiTheme="majorBidi" w:cstheme="majorBidi"/>
          <w:lang w:bidi="ar-JO"/>
        </w:rPr>
        <w:t>78</w:t>
      </w:r>
      <w:r w:rsidRPr="00E37783">
        <w:rPr>
          <w:rFonts w:asciiTheme="majorBidi" w:hAnsiTheme="majorBidi" w:cstheme="majorBidi"/>
          <w:lang w:bidi="ar-JO"/>
        </w:rPr>
        <w:t>)</w:t>
      </w:r>
      <w:bookmarkEnd w:id="14"/>
      <w:r w:rsidRPr="00E37783">
        <w:rPr>
          <w:rFonts w:asciiTheme="majorBidi" w:hAnsiTheme="majorBidi" w:cstheme="majorBidi"/>
          <w:lang w:bidi="ar-JO"/>
        </w:rPr>
        <w:t xml:space="preserve"> followed a similar line of argument, suggesting that the Mishnaic use is the result of the use of </w:t>
      </w:r>
      <w:r w:rsidR="00B915EB" w:rsidRPr="00E37783">
        <w:rPr>
          <w:rFonts w:asciiTheme="majorBidi" w:hAnsiTheme="majorBidi" w:cstheme="majorBidi"/>
          <w:b/>
          <w:bCs/>
          <w:rtl/>
        </w:rPr>
        <w:t>את</w:t>
      </w:r>
      <w:r w:rsidR="00B915EB" w:rsidRPr="00E37783">
        <w:rPr>
          <w:rFonts w:asciiTheme="majorBidi" w:hAnsiTheme="majorBidi" w:cstheme="majorBidi"/>
          <w:b/>
          <w:bCs/>
          <w:lang w:bidi="ar-JO"/>
        </w:rPr>
        <w:t xml:space="preserve"> </w:t>
      </w:r>
      <w:r w:rsidR="00B915EB" w:rsidRPr="00E37783">
        <w:rPr>
          <w:rFonts w:asciiTheme="majorBidi" w:hAnsiTheme="majorBidi" w:cstheme="majorBidi"/>
          <w:lang w:bidi="ar-JO"/>
        </w:rPr>
        <w:t xml:space="preserve">in Biblical Hebrew as an emphatic form. However, the claim that </w:t>
      </w:r>
      <w:r w:rsidR="00B915EB" w:rsidRPr="00E37783">
        <w:rPr>
          <w:rFonts w:asciiTheme="majorBidi" w:hAnsiTheme="majorBidi" w:cstheme="majorBidi"/>
          <w:b/>
          <w:bCs/>
          <w:rtl/>
        </w:rPr>
        <w:t>את</w:t>
      </w:r>
      <w:r w:rsidR="00B915EB" w:rsidRPr="00E37783">
        <w:rPr>
          <w:rFonts w:asciiTheme="majorBidi" w:hAnsiTheme="majorBidi" w:cstheme="majorBidi"/>
          <w:b/>
          <w:bCs/>
        </w:rPr>
        <w:t xml:space="preserve"> </w:t>
      </w:r>
      <w:r w:rsidR="00B915EB" w:rsidRPr="00E37783">
        <w:rPr>
          <w:rFonts w:asciiTheme="majorBidi" w:hAnsiTheme="majorBidi" w:cstheme="majorBidi"/>
        </w:rPr>
        <w:t xml:space="preserve">indeed serves as an emphatic form in Biblical Hebrew is in itself </w:t>
      </w:r>
      <w:r w:rsidR="00B915EB" w:rsidRPr="00E37783">
        <w:rPr>
          <w:rFonts w:asciiTheme="majorBidi" w:hAnsiTheme="majorBidi" w:cstheme="majorBidi"/>
        </w:rPr>
        <w:lastRenderedPageBreak/>
        <w:t xml:space="preserve">controversial. Moreover, it is difficult to explain how the use of undeclined </w:t>
      </w:r>
      <w:r w:rsidR="00B915EB" w:rsidRPr="00E37783">
        <w:rPr>
          <w:rFonts w:asciiTheme="majorBidi" w:hAnsiTheme="majorBidi" w:cstheme="majorBidi"/>
          <w:b/>
          <w:bCs/>
          <w:rtl/>
        </w:rPr>
        <w:t>את</w:t>
      </w:r>
      <w:r w:rsidR="00B915EB" w:rsidRPr="00E37783">
        <w:rPr>
          <w:rFonts w:asciiTheme="majorBidi" w:hAnsiTheme="majorBidi" w:cstheme="majorBidi"/>
          <w:b/>
          <w:bCs/>
        </w:rPr>
        <w:t xml:space="preserve"> </w:t>
      </w:r>
      <w:r w:rsidR="00B915EB" w:rsidRPr="00E37783">
        <w:rPr>
          <w:rFonts w:asciiTheme="majorBidi" w:hAnsiTheme="majorBidi" w:cstheme="majorBidi"/>
        </w:rPr>
        <w:t xml:space="preserve">as an emphatic form in a few exceptional instances in Biblical Hebrew could have totally changed the grammatical rules of the </w:t>
      </w:r>
      <w:r w:rsidR="002B7B80" w:rsidRPr="00E37783">
        <w:rPr>
          <w:rFonts w:asciiTheme="majorBidi" w:hAnsiTheme="majorBidi" w:cstheme="majorBidi"/>
        </w:rPr>
        <w:t>Mishnaic Hebrew</w:t>
      </w:r>
      <w:r w:rsidR="00B915EB" w:rsidRPr="00E37783">
        <w:rPr>
          <w:rFonts w:asciiTheme="majorBidi" w:hAnsiTheme="majorBidi" w:cstheme="majorBidi"/>
        </w:rPr>
        <w:t xml:space="preserve">. </w:t>
      </w:r>
    </w:p>
    <w:p w:rsidR="004B782B" w:rsidRPr="00E37783" w:rsidRDefault="00F7208D" w:rsidP="00FE2F1D">
      <w:pPr>
        <w:spacing w:line="360" w:lineRule="auto"/>
        <w:rPr>
          <w:rFonts w:asciiTheme="majorBidi" w:hAnsiTheme="majorBidi" w:cstheme="majorBidi"/>
        </w:rPr>
      </w:pPr>
      <w:bookmarkStart w:id="15" w:name="_Hlk31020469"/>
      <w:r w:rsidRPr="00E37783">
        <w:rPr>
          <w:rFonts w:asciiTheme="majorBidi" w:hAnsiTheme="majorBidi" w:cstheme="majorBidi"/>
        </w:rPr>
        <w:t xml:space="preserve">Aaron D. </w:t>
      </w:r>
      <w:r w:rsidR="00B915EB" w:rsidRPr="00E37783">
        <w:rPr>
          <w:rFonts w:asciiTheme="majorBidi" w:hAnsiTheme="majorBidi" w:cstheme="majorBidi"/>
        </w:rPr>
        <w:t>Rubin (2005</w:t>
      </w:r>
      <w:r w:rsidR="005461F7" w:rsidRPr="00E37783">
        <w:rPr>
          <w:rFonts w:asciiTheme="majorBidi" w:hAnsiTheme="majorBidi" w:cstheme="majorBidi"/>
        </w:rPr>
        <w:t>: 123</w:t>
      </w:r>
      <w:r w:rsidR="00B915EB" w:rsidRPr="00E37783">
        <w:rPr>
          <w:rFonts w:asciiTheme="majorBidi" w:hAnsiTheme="majorBidi" w:cstheme="majorBidi"/>
        </w:rPr>
        <w:t xml:space="preserve">) </w:t>
      </w:r>
      <w:bookmarkEnd w:id="15"/>
      <w:r w:rsidR="00B915EB" w:rsidRPr="00E37783">
        <w:rPr>
          <w:rFonts w:asciiTheme="majorBidi" w:hAnsiTheme="majorBidi" w:cstheme="majorBidi"/>
        </w:rPr>
        <w:t xml:space="preserve">suggested that this structure emerged due to a reanalysis of sentences such as </w:t>
      </w:r>
      <w:r w:rsidR="00B915EB" w:rsidRPr="00E37783">
        <w:rPr>
          <w:rFonts w:asciiTheme="majorBidi" w:hAnsiTheme="majorBidi" w:cstheme="majorBidi"/>
          <w:rtl/>
        </w:rPr>
        <w:t xml:space="preserve">ראיתי </w:t>
      </w:r>
      <w:r w:rsidR="00B915EB" w:rsidRPr="00E37783">
        <w:rPr>
          <w:rFonts w:asciiTheme="majorBidi" w:hAnsiTheme="majorBidi" w:cstheme="majorBidi"/>
          <w:b/>
          <w:bCs/>
          <w:rtl/>
        </w:rPr>
        <w:t>אותו</w:t>
      </w:r>
      <w:r w:rsidR="00B915EB" w:rsidRPr="00E37783">
        <w:rPr>
          <w:rFonts w:asciiTheme="majorBidi" w:hAnsiTheme="majorBidi" w:cstheme="majorBidi"/>
          <w:rtl/>
        </w:rPr>
        <w:t>, האיש שראית</w:t>
      </w:r>
      <w:r w:rsidR="00FE2F1D" w:rsidRPr="00E37783">
        <w:rPr>
          <w:rFonts w:asciiTheme="majorBidi" w:hAnsiTheme="majorBidi" w:cstheme="majorBidi"/>
        </w:rPr>
        <w:t xml:space="preserve"> (“I saw </w:t>
      </w:r>
      <w:r w:rsidR="00FE2F1D" w:rsidRPr="00E37783">
        <w:rPr>
          <w:rFonts w:asciiTheme="majorBidi" w:hAnsiTheme="majorBidi" w:cstheme="majorBidi"/>
          <w:b/>
          <w:bCs/>
        </w:rPr>
        <w:t>him</w:t>
      </w:r>
      <w:r w:rsidR="00FE2F1D" w:rsidRPr="00E37783">
        <w:rPr>
          <w:rFonts w:asciiTheme="majorBidi" w:hAnsiTheme="majorBidi" w:cstheme="majorBidi"/>
        </w:rPr>
        <w:t>, the man you saw”)</w:t>
      </w:r>
      <w:r w:rsidR="00B915EB" w:rsidRPr="00E37783">
        <w:rPr>
          <w:rFonts w:asciiTheme="majorBidi" w:hAnsiTheme="majorBidi" w:cstheme="majorBidi"/>
        </w:rPr>
        <w:t xml:space="preserve">, which was reanalyzed as </w:t>
      </w:r>
      <w:r w:rsidR="00B915EB" w:rsidRPr="00E37783">
        <w:rPr>
          <w:rFonts w:asciiTheme="majorBidi" w:hAnsiTheme="majorBidi" w:cstheme="majorBidi"/>
          <w:rtl/>
        </w:rPr>
        <w:t xml:space="preserve">ראיתי </w:t>
      </w:r>
      <w:r w:rsidR="00B915EB" w:rsidRPr="00E37783">
        <w:rPr>
          <w:rFonts w:asciiTheme="majorBidi" w:hAnsiTheme="majorBidi" w:cstheme="majorBidi"/>
          <w:b/>
          <w:bCs/>
          <w:rtl/>
        </w:rPr>
        <w:t xml:space="preserve">אותו האיש </w:t>
      </w:r>
      <w:r w:rsidR="00B915EB" w:rsidRPr="00E37783">
        <w:rPr>
          <w:rFonts w:asciiTheme="majorBidi" w:hAnsiTheme="majorBidi" w:cstheme="majorBidi"/>
          <w:rtl/>
        </w:rPr>
        <w:t>שראית</w:t>
      </w:r>
      <w:r w:rsidR="00FE2F1D" w:rsidRPr="00E37783">
        <w:rPr>
          <w:rFonts w:asciiTheme="majorBidi" w:hAnsiTheme="majorBidi" w:cstheme="majorBidi"/>
          <w:lang w:bidi="ar-JO"/>
        </w:rPr>
        <w:t xml:space="preserve"> (“I saw </w:t>
      </w:r>
      <w:r w:rsidR="00FE2F1D" w:rsidRPr="00E37783">
        <w:rPr>
          <w:rFonts w:asciiTheme="majorBidi" w:hAnsiTheme="majorBidi" w:cstheme="majorBidi"/>
          <w:b/>
          <w:bCs/>
          <w:lang w:bidi="ar-JO"/>
        </w:rPr>
        <w:t>that man</w:t>
      </w:r>
      <w:r w:rsidR="00FE2F1D" w:rsidRPr="00E37783">
        <w:rPr>
          <w:rFonts w:asciiTheme="majorBidi" w:hAnsiTheme="majorBidi" w:cstheme="majorBidi"/>
          <w:lang w:bidi="ar-JO"/>
        </w:rPr>
        <w:t xml:space="preserve"> you saw”)</w:t>
      </w:r>
      <w:r w:rsidR="00B915EB" w:rsidRPr="00E37783">
        <w:rPr>
          <w:rFonts w:asciiTheme="majorBidi" w:hAnsiTheme="majorBidi" w:cstheme="majorBidi"/>
          <w:lang w:bidi="ar-JO"/>
        </w:rPr>
        <w:t>.</w:t>
      </w:r>
      <w:r w:rsidR="00B915EB" w:rsidRPr="00E37783">
        <w:rPr>
          <w:rFonts w:asciiTheme="majorBidi" w:hAnsiTheme="majorBidi" w:cstheme="majorBidi"/>
        </w:rPr>
        <w:t xml:space="preserve"> Through a process of grammaticalization, the declined object pronoun </w:t>
      </w:r>
      <w:r w:rsidR="00B915EB" w:rsidRPr="00E37783">
        <w:rPr>
          <w:rFonts w:asciiTheme="majorBidi" w:hAnsiTheme="majorBidi" w:cstheme="majorBidi"/>
          <w:b/>
          <w:bCs/>
          <w:rtl/>
        </w:rPr>
        <w:t>אותו</w:t>
      </w:r>
      <w:r w:rsidR="00B915EB" w:rsidRPr="00E37783">
        <w:rPr>
          <w:rFonts w:asciiTheme="majorBidi" w:hAnsiTheme="majorBidi" w:cstheme="majorBidi"/>
          <w:b/>
          <w:bCs/>
        </w:rPr>
        <w:t xml:space="preserve"> </w:t>
      </w:r>
      <w:r w:rsidR="00B915EB" w:rsidRPr="00E37783">
        <w:rPr>
          <w:rFonts w:asciiTheme="majorBidi" w:hAnsiTheme="majorBidi" w:cstheme="majorBidi"/>
        </w:rPr>
        <w:t xml:space="preserve">then became a demonstrative pronoun. The problem in Rubin’s explanation is that there is no documented instance in Mishnaic Hebrew showing the structure </w:t>
      </w:r>
      <w:r w:rsidR="00B915EB" w:rsidRPr="00E37783">
        <w:rPr>
          <w:rFonts w:asciiTheme="majorBidi" w:hAnsiTheme="majorBidi" w:cstheme="majorBidi"/>
          <w:b/>
          <w:bCs/>
        </w:rPr>
        <w:t>object pronoun + definite noun + relative clause</w:t>
      </w:r>
      <w:r w:rsidR="00B915EB" w:rsidRPr="00E37783">
        <w:rPr>
          <w:rFonts w:asciiTheme="majorBidi" w:hAnsiTheme="majorBidi" w:cstheme="majorBidi"/>
        </w:rPr>
        <w:t>, which according to his reconstruction forms the starting point for this process.</w:t>
      </w:r>
      <w:r w:rsidR="00B915EB" w:rsidRPr="00E37783">
        <w:rPr>
          <w:rStyle w:val="FootnoteReference"/>
          <w:rFonts w:asciiTheme="majorBidi" w:hAnsiTheme="majorBidi" w:cstheme="majorBidi"/>
          <w:sz w:val="24"/>
          <w:szCs w:val="24"/>
        </w:rPr>
        <w:footnoteReference w:id="10"/>
      </w:r>
      <w:r w:rsidR="008E4BA8" w:rsidRPr="00E37783">
        <w:rPr>
          <w:rFonts w:asciiTheme="majorBidi" w:hAnsiTheme="majorBidi" w:cstheme="majorBidi"/>
        </w:rPr>
        <w:t xml:space="preserve"> </w:t>
      </w:r>
    </w:p>
    <w:p w:rsidR="000E6D71" w:rsidRPr="00E37783" w:rsidRDefault="000E6D71" w:rsidP="00E37783">
      <w:pPr>
        <w:spacing w:line="360" w:lineRule="auto"/>
        <w:rPr>
          <w:rFonts w:asciiTheme="majorBidi" w:hAnsiTheme="majorBidi" w:cstheme="majorBidi"/>
          <w:lang w:bidi="ar-JO"/>
        </w:rPr>
      </w:pPr>
      <w:r w:rsidRPr="00E37783">
        <w:rPr>
          <w:rFonts w:asciiTheme="majorBidi" w:hAnsiTheme="majorBidi" w:cstheme="majorBidi"/>
        </w:rPr>
        <w:t xml:space="preserve">Azzan Yadin-Israel (2015: 339) offers a convincing solution. He suggests that the complementary demonstrative pronoun developed due to the syntactical and sonorous similarity to the Greek word αὐτός, which serves as an anaphoric pronoun and pronoun of </w:t>
      </w:r>
      <w:r w:rsidR="00E37783" w:rsidRPr="00E37783">
        <w:rPr>
          <w:rFonts w:asciiTheme="majorBidi" w:hAnsiTheme="majorBidi" w:cstheme="majorBidi"/>
        </w:rPr>
        <w:t>identity</w:t>
      </w:r>
      <w:r w:rsidRPr="00E37783">
        <w:rPr>
          <w:rFonts w:asciiTheme="majorBidi" w:hAnsiTheme="majorBidi" w:cstheme="majorBidi"/>
        </w:rPr>
        <w:t xml:space="preserve">, in a manner similar to the object pronoun </w:t>
      </w:r>
      <w:r w:rsidRPr="00E37783">
        <w:rPr>
          <w:rFonts w:asciiTheme="majorBidi" w:hAnsiTheme="majorBidi" w:cstheme="majorBidi" w:hint="cs"/>
          <w:rtl/>
        </w:rPr>
        <w:t>אותו</w:t>
      </w:r>
      <w:r w:rsidRPr="00E37783">
        <w:rPr>
          <w:rFonts w:asciiTheme="majorBidi" w:hAnsiTheme="majorBidi" w:cstheme="majorBidi"/>
          <w:lang w:bidi="ar-JO"/>
        </w:rPr>
        <w:t xml:space="preserve"> in Mishnaic Hebrew. Yadin-Israel did not offer any evidence for his suggestion. I shall seek to examine his proposal below in light of the developments in Hebrew and Aramaic, and the contact with Greek, and aim to substantiate his argument, while offering an alternative explanation for one of the Mishnayot he discusses.</w:t>
      </w:r>
    </w:p>
    <w:p w:rsidR="000E6D71" w:rsidRPr="00E37783" w:rsidRDefault="00E37783" w:rsidP="00E37783">
      <w:pPr>
        <w:spacing w:line="360" w:lineRule="auto"/>
        <w:rPr>
          <w:rFonts w:asciiTheme="majorBidi" w:hAnsiTheme="majorBidi" w:cstheme="majorBidi"/>
          <w:b/>
          <w:bCs/>
          <w:lang w:bidi="ar-JO"/>
        </w:rPr>
      </w:pPr>
      <w:r>
        <w:rPr>
          <w:rFonts w:asciiTheme="majorBidi" w:hAnsiTheme="majorBidi" w:cstheme="majorBidi"/>
          <w:b/>
          <w:bCs/>
          <w:lang w:bidi="ar-JO"/>
        </w:rPr>
        <w:t>4</w:t>
      </w:r>
      <w:r w:rsidR="000E6D71" w:rsidRPr="00E37783">
        <w:rPr>
          <w:rFonts w:asciiTheme="majorBidi" w:hAnsiTheme="majorBidi" w:cstheme="majorBidi"/>
          <w:b/>
          <w:bCs/>
          <w:lang w:bidi="ar-JO"/>
        </w:rPr>
        <w:t>. Discussion</w:t>
      </w:r>
    </w:p>
    <w:p w:rsidR="000E6D71" w:rsidRPr="00E37783" w:rsidRDefault="000E6D71" w:rsidP="000E6D71">
      <w:pPr>
        <w:spacing w:line="360" w:lineRule="auto"/>
        <w:rPr>
          <w:rFonts w:asciiTheme="majorBidi" w:hAnsiTheme="majorBidi" w:cstheme="majorBidi"/>
          <w:b/>
          <w:bCs/>
          <w:lang w:bidi="ar-JO"/>
        </w:rPr>
      </w:pPr>
      <w:r w:rsidRPr="00E37783">
        <w:rPr>
          <w:rFonts w:asciiTheme="majorBidi" w:hAnsiTheme="majorBidi" w:cstheme="majorBidi"/>
          <w:b/>
          <w:bCs/>
          <w:lang w:bidi="ar-JO"/>
        </w:rPr>
        <w:tab/>
        <w:t>i. Aramaic Influence on the Position of the Complementary Pronoun</w:t>
      </w:r>
    </w:p>
    <w:p w:rsidR="001336D1" w:rsidRPr="00E37783" w:rsidRDefault="001336D1" w:rsidP="00D45F6D">
      <w:pPr>
        <w:spacing w:line="360" w:lineRule="auto"/>
        <w:rPr>
          <w:rFonts w:asciiTheme="majorBidi" w:hAnsiTheme="majorBidi" w:cstheme="majorBidi"/>
        </w:rPr>
      </w:pPr>
      <w:r w:rsidRPr="00E37783">
        <w:rPr>
          <w:rFonts w:asciiTheme="majorBidi" w:hAnsiTheme="majorBidi" w:cstheme="majorBidi"/>
        </w:rPr>
        <w:t xml:space="preserve">In </w:t>
      </w:r>
      <w:r w:rsidR="0065246F" w:rsidRPr="00E37783">
        <w:rPr>
          <w:rFonts w:asciiTheme="majorBidi" w:hAnsiTheme="majorBidi" w:cstheme="majorBidi"/>
        </w:rPr>
        <w:t>Late</w:t>
      </w:r>
      <w:r w:rsidRPr="00E37783">
        <w:rPr>
          <w:rFonts w:asciiTheme="majorBidi" w:hAnsiTheme="majorBidi" w:cstheme="majorBidi"/>
        </w:rPr>
        <w:t xml:space="preserve"> Biblical Hebrew, we find several examples of the use of the distal demonstrative pronoun </w:t>
      </w:r>
      <w:r w:rsidRPr="00E37783">
        <w:rPr>
          <w:rFonts w:asciiTheme="majorBidi" w:hAnsiTheme="majorBidi" w:cstheme="majorBidi"/>
          <w:b/>
          <w:bCs/>
          <w:rtl/>
        </w:rPr>
        <w:t>הוא</w:t>
      </w:r>
      <w:r w:rsidRPr="00E37783">
        <w:rPr>
          <w:rFonts w:asciiTheme="majorBidi" w:hAnsiTheme="majorBidi" w:cstheme="majorBidi"/>
          <w:b/>
          <w:bCs/>
        </w:rPr>
        <w:t xml:space="preserve"> </w:t>
      </w:r>
      <w:r w:rsidRPr="00E37783">
        <w:rPr>
          <w:rFonts w:asciiTheme="majorBidi" w:hAnsiTheme="majorBidi" w:cstheme="majorBidi"/>
        </w:rPr>
        <w:t>before a proper noun. I shall mention two examples here:</w:t>
      </w:r>
    </w:p>
    <w:p w:rsidR="001336D1" w:rsidRPr="00E37783" w:rsidRDefault="001336D1" w:rsidP="00D45F6D">
      <w:pPr>
        <w:pStyle w:val="Quote"/>
        <w:bidi/>
        <w:spacing w:line="360" w:lineRule="auto"/>
        <w:rPr>
          <w:rFonts w:asciiTheme="majorBidi" w:hAnsiTheme="majorBidi" w:cstheme="majorBidi"/>
          <w:rtl/>
        </w:rPr>
      </w:pPr>
      <w:r w:rsidRPr="00E37783">
        <w:rPr>
          <w:rFonts w:asciiTheme="majorBidi" w:hAnsiTheme="majorBidi" w:cstheme="majorBidi"/>
          <w:rtl/>
        </w:rPr>
        <w:t xml:space="preserve">וַיְהִי לִיחִזְקִיָּהוּ עֹשֶׁר וְכָבוֹד הַרְבֵּה מְאֹד ... </w:t>
      </w:r>
      <w:r w:rsidRPr="00E37783">
        <w:rPr>
          <w:rFonts w:asciiTheme="majorBidi" w:hAnsiTheme="majorBidi" w:cstheme="majorBidi"/>
          <w:b/>
          <w:bCs/>
          <w:rtl/>
        </w:rPr>
        <w:t>וְהוּא יְחִזְקִיָּהוּ</w:t>
      </w:r>
      <w:r w:rsidRPr="00E37783">
        <w:rPr>
          <w:rFonts w:asciiTheme="majorBidi" w:hAnsiTheme="majorBidi" w:cstheme="majorBidi"/>
          <w:rtl/>
        </w:rPr>
        <w:t xml:space="preserve"> סָתַם אֶת מוֹצָא מֵימֵי גִיחוֹן הָעֶלְיוֹן.</w:t>
      </w:r>
      <w:r w:rsidR="008E4BA8" w:rsidRPr="00E37783">
        <w:rPr>
          <w:rFonts w:asciiTheme="majorBidi" w:hAnsiTheme="majorBidi" w:cstheme="majorBidi"/>
          <w:rtl/>
        </w:rPr>
        <w:t xml:space="preserve"> </w:t>
      </w:r>
    </w:p>
    <w:p w:rsidR="00487DEE" w:rsidRPr="00E37783" w:rsidRDefault="0041582C" w:rsidP="00487DEE">
      <w:pPr>
        <w:pStyle w:val="Quote"/>
        <w:spacing w:line="360" w:lineRule="auto"/>
        <w:rPr>
          <w:rFonts w:asciiTheme="majorBidi" w:hAnsiTheme="majorBidi" w:cstheme="majorBidi"/>
        </w:rPr>
      </w:pPr>
      <w:r w:rsidRPr="00E37783">
        <w:rPr>
          <w:rFonts w:asciiTheme="majorBidi" w:hAnsiTheme="majorBidi" w:cstheme="majorBidi"/>
        </w:rPr>
        <w:lastRenderedPageBreak/>
        <w:t xml:space="preserve">And Hezekiah had exceeding much riches and honour … </w:t>
      </w:r>
      <w:r w:rsidRPr="00E37783">
        <w:rPr>
          <w:rFonts w:asciiTheme="majorBidi" w:hAnsiTheme="majorBidi" w:cstheme="majorBidi"/>
          <w:b/>
          <w:bCs/>
        </w:rPr>
        <w:t>This same Hezekiah</w:t>
      </w:r>
      <w:r w:rsidRPr="00E37783">
        <w:rPr>
          <w:rFonts w:asciiTheme="majorBidi" w:hAnsiTheme="majorBidi" w:cstheme="majorBidi"/>
        </w:rPr>
        <w:t xml:space="preserve"> also stopped the upper watercourse of Gihon</w:t>
      </w:r>
      <w:r w:rsidR="00487DEE" w:rsidRPr="00E37783">
        <w:rPr>
          <w:rFonts w:asciiTheme="majorBidi" w:hAnsiTheme="majorBidi" w:cstheme="majorBidi"/>
        </w:rPr>
        <w:t xml:space="preserve"> (2 Chronicles 32:27,30 KJV)</w:t>
      </w:r>
    </w:p>
    <w:p w:rsidR="00B37D6A" w:rsidRPr="00E37783" w:rsidRDefault="00B37D6A" w:rsidP="00D45F6D">
      <w:pPr>
        <w:pStyle w:val="Quote"/>
        <w:bidi/>
        <w:spacing w:line="360" w:lineRule="auto"/>
        <w:rPr>
          <w:rFonts w:asciiTheme="majorBidi" w:hAnsiTheme="majorBidi" w:cstheme="majorBidi"/>
          <w:rtl/>
        </w:rPr>
      </w:pPr>
      <w:r w:rsidRPr="00E37783">
        <w:rPr>
          <w:rFonts w:asciiTheme="majorBidi" w:hAnsiTheme="majorBidi" w:cstheme="majorBidi"/>
          <w:rtl/>
        </w:rPr>
        <w:t xml:space="preserve">עֶזְרָא בֶּן שְׂרָיָה ... </w:t>
      </w:r>
      <w:r w:rsidRPr="00E37783">
        <w:rPr>
          <w:rFonts w:asciiTheme="majorBidi" w:hAnsiTheme="majorBidi" w:cstheme="majorBidi"/>
          <w:b/>
          <w:bCs/>
          <w:rtl/>
        </w:rPr>
        <w:t>הוּא עֶזְרָא</w:t>
      </w:r>
      <w:r w:rsidRPr="00E37783">
        <w:rPr>
          <w:rFonts w:asciiTheme="majorBidi" w:hAnsiTheme="majorBidi" w:cstheme="majorBidi"/>
          <w:rtl/>
        </w:rPr>
        <w:t xml:space="preserve"> עָלָה מִבָּבֶל וְהוּא סֹפֵר מָהִיר בְּתוֹרַת מֹשֶׁה.</w:t>
      </w:r>
    </w:p>
    <w:p w:rsidR="0041582C" w:rsidRPr="00E37783" w:rsidRDefault="0041582C" w:rsidP="0041582C">
      <w:pPr>
        <w:pStyle w:val="Quote"/>
        <w:spacing w:line="360" w:lineRule="auto"/>
        <w:rPr>
          <w:rFonts w:asciiTheme="majorBidi" w:hAnsiTheme="majorBidi" w:cstheme="majorBidi"/>
        </w:rPr>
      </w:pPr>
      <w:r w:rsidRPr="00E37783">
        <w:rPr>
          <w:rFonts w:asciiTheme="majorBidi" w:hAnsiTheme="majorBidi" w:cstheme="majorBidi"/>
        </w:rPr>
        <w:t xml:space="preserve">Ezra the son of Seraiah … </w:t>
      </w:r>
      <w:r w:rsidRPr="00E37783">
        <w:rPr>
          <w:rFonts w:asciiTheme="majorBidi" w:hAnsiTheme="majorBidi" w:cstheme="majorBidi"/>
          <w:b/>
          <w:bCs/>
        </w:rPr>
        <w:t>This Ezra</w:t>
      </w:r>
      <w:r w:rsidRPr="00E37783">
        <w:rPr>
          <w:rFonts w:asciiTheme="majorBidi" w:hAnsiTheme="majorBidi" w:cstheme="majorBidi"/>
        </w:rPr>
        <w:t xml:space="preserve"> went up from Babylon; and he was a ready scribe in the law of Moses (Ezra 7:1,6 KJV)</w:t>
      </w:r>
    </w:p>
    <w:p w:rsidR="0093444F" w:rsidRPr="00E37783" w:rsidRDefault="00E13A56" w:rsidP="0093444F">
      <w:pPr>
        <w:pStyle w:val="Quote"/>
        <w:bidi/>
        <w:spacing w:line="360" w:lineRule="auto"/>
        <w:ind w:left="0"/>
        <w:rPr>
          <w:rFonts w:asciiTheme="majorBidi" w:hAnsiTheme="majorBidi" w:cstheme="majorBidi"/>
          <w:rtl/>
        </w:rPr>
      </w:pPr>
      <w:r w:rsidRPr="00E37783">
        <w:rPr>
          <w:rFonts w:asciiTheme="majorBidi" w:hAnsiTheme="majorBidi" w:cstheme="majorBidi"/>
          <w:rtl/>
        </w:rPr>
        <w:t>במקר</w:t>
      </w:r>
      <w:r w:rsidR="00A742DD" w:rsidRPr="00E37783">
        <w:rPr>
          <w:rFonts w:asciiTheme="majorBidi" w:hAnsiTheme="majorBidi" w:cstheme="majorBidi"/>
          <w:rtl/>
        </w:rPr>
        <w:t xml:space="preserve">ה </w:t>
      </w:r>
      <w:r w:rsidRPr="00E37783">
        <w:rPr>
          <w:rFonts w:asciiTheme="majorBidi" w:hAnsiTheme="majorBidi" w:cstheme="majorBidi"/>
          <w:rtl/>
        </w:rPr>
        <w:t>אח</w:t>
      </w:r>
      <w:r w:rsidR="00A742DD" w:rsidRPr="00E37783">
        <w:rPr>
          <w:rFonts w:asciiTheme="majorBidi" w:hAnsiTheme="majorBidi" w:cstheme="majorBidi"/>
          <w:rtl/>
        </w:rPr>
        <w:t>ד לפחות</w:t>
      </w:r>
      <w:r w:rsidRPr="00E37783">
        <w:rPr>
          <w:rFonts w:asciiTheme="majorBidi" w:hAnsiTheme="majorBidi" w:cstheme="majorBidi"/>
          <w:rtl/>
        </w:rPr>
        <w:t xml:space="preserve"> ה-</w:t>
      </w:r>
      <w:r w:rsidRPr="00E37783">
        <w:rPr>
          <w:rFonts w:asciiTheme="majorBidi" w:hAnsiTheme="majorBidi" w:cstheme="majorBidi"/>
        </w:rPr>
        <w:t xml:space="preserve"> demonstrative pronoun</w:t>
      </w:r>
      <w:r w:rsidRPr="00E37783">
        <w:rPr>
          <w:rFonts w:asciiTheme="majorBidi" w:hAnsiTheme="majorBidi" w:cstheme="majorBidi"/>
          <w:rtl/>
        </w:rPr>
        <w:t xml:space="preserve"> </w:t>
      </w:r>
      <w:r w:rsidRPr="00E37783">
        <w:rPr>
          <w:rFonts w:asciiTheme="majorBidi" w:hAnsiTheme="majorBidi" w:cstheme="majorBidi"/>
          <w:b/>
          <w:bCs/>
          <w:rtl/>
        </w:rPr>
        <w:t>הוא</w:t>
      </w:r>
      <w:r w:rsidRPr="00E37783">
        <w:rPr>
          <w:rFonts w:asciiTheme="majorBidi" w:hAnsiTheme="majorBidi" w:cstheme="majorBidi"/>
          <w:rtl/>
        </w:rPr>
        <w:t xml:space="preserve"> בא לפני שם עצם:</w:t>
      </w:r>
    </w:p>
    <w:p w:rsidR="00E13A56" w:rsidRPr="00E37783" w:rsidRDefault="00E13A56" w:rsidP="00E13A56">
      <w:pPr>
        <w:pStyle w:val="Quote"/>
        <w:bidi/>
        <w:spacing w:line="360" w:lineRule="auto"/>
        <w:ind w:left="0"/>
        <w:rPr>
          <w:rFonts w:asciiTheme="majorBidi" w:hAnsiTheme="majorBidi" w:cstheme="majorBidi"/>
          <w:rtl/>
        </w:rPr>
      </w:pPr>
      <w:r w:rsidRPr="00E37783">
        <w:rPr>
          <w:rFonts w:asciiTheme="majorBidi" w:hAnsiTheme="majorBidi" w:cstheme="majorBidi"/>
          <w:rtl/>
        </w:rPr>
        <w:t xml:space="preserve">בְּאָמְרִי לָרָשָׁע רָשָׁע מוֹת תָּמוּת וְלֹא דִבַּרְתָּ לְהַזְהִיר רָשָׁע מִדַּרְכּוֹ </w:t>
      </w:r>
      <w:r w:rsidRPr="00E37783">
        <w:rPr>
          <w:rFonts w:asciiTheme="majorBidi" w:hAnsiTheme="majorBidi" w:cstheme="majorBidi"/>
          <w:b/>
          <w:bCs/>
          <w:rtl/>
        </w:rPr>
        <w:t>הוּא רָשָׁע</w:t>
      </w:r>
      <w:r w:rsidRPr="00E37783">
        <w:rPr>
          <w:rFonts w:asciiTheme="majorBidi" w:hAnsiTheme="majorBidi" w:cstheme="majorBidi"/>
          <w:rtl/>
        </w:rPr>
        <w:t xml:space="preserve"> בַּעֲו‍ֹנוֹ יָמוּת וְדָמוֹ מִיָּדְךָ אֲבַקֵּשׁ.</w:t>
      </w:r>
      <w:r w:rsidRPr="00E37783">
        <w:rPr>
          <w:rStyle w:val="FootnoteReference"/>
          <w:rFonts w:asciiTheme="majorBidi" w:hAnsiTheme="majorBidi" w:cstheme="majorBidi"/>
          <w:rtl/>
        </w:rPr>
        <w:footnoteReference w:id="11"/>
      </w:r>
    </w:p>
    <w:p w:rsidR="0094648B" w:rsidRPr="00E37783" w:rsidRDefault="0094648B" w:rsidP="0094648B">
      <w:pPr>
        <w:pStyle w:val="Quote"/>
        <w:spacing w:line="360" w:lineRule="auto"/>
        <w:ind w:left="0"/>
        <w:rPr>
          <w:rFonts w:asciiTheme="majorBidi" w:hAnsiTheme="majorBidi" w:cstheme="majorBidi"/>
        </w:rPr>
      </w:pPr>
      <w:r w:rsidRPr="00E37783">
        <w:rPr>
          <w:rFonts w:asciiTheme="majorBidi" w:hAnsiTheme="majorBidi" w:cstheme="majorBidi"/>
        </w:rPr>
        <w:t xml:space="preserve">When I say unto the wicked, O wicked man, thou shalt surely die; if thou dost not speak to warn the wicked from his way, </w:t>
      </w:r>
      <w:r w:rsidRPr="00E37783">
        <w:rPr>
          <w:rFonts w:asciiTheme="majorBidi" w:hAnsiTheme="majorBidi" w:cstheme="majorBidi"/>
          <w:b/>
          <w:bCs/>
        </w:rPr>
        <w:t>that wicked man</w:t>
      </w:r>
      <w:r w:rsidRPr="00E37783">
        <w:rPr>
          <w:rFonts w:asciiTheme="majorBidi" w:hAnsiTheme="majorBidi" w:cstheme="majorBidi"/>
        </w:rPr>
        <w:t xml:space="preserve"> shall die in his iniquity; but his blood will I require at thine hand. (Ezekiel 33:8, KJV)</w:t>
      </w:r>
    </w:p>
    <w:p w:rsidR="00FD2C5E" w:rsidRPr="00E37783" w:rsidRDefault="00B37D6A" w:rsidP="00D45F6D">
      <w:pPr>
        <w:spacing w:line="360" w:lineRule="auto"/>
        <w:rPr>
          <w:rFonts w:asciiTheme="majorBidi" w:hAnsiTheme="majorBidi" w:cstheme="majorBidi"/>
          <w:color w:val="auto"/>
        </w:rPr>
      </w:pPr>
      <w:r w:rsidRPr="00E37783">
        <w:rPr>
          <w:rFonts w:asciiTheme="majorBidi" w:hAnsiTheme="majorBidi" w:cstheme="majorBidi"/>
          <w:color w:val="auto"/>
          <w:lang w:bidi="ar-JO"/>
        </w:rPr>
        <w:t xml:space="preserve">The structure in </w:t>
      </w:r>
      <w:r w:rsidR="004E2F7B" w:rsidRPr="00E37783">
        <w:rPr>
          <w:rFonts w:asciiTheme="majorBidi" w:hAnsiTheme="majorBidi" w:cstheme="majorBidi"/>
          <w:color w:val="auto"/>
          <w:lang w:bidi="ar-JO"/>
        </w:rPr>
        <w:t>Late</w:t>
      </w:r>
      <w:r w:rsidRPr="00E37783">
        <w:rPr>
          <w:rFonts w:asciiTheme="majorBidi" w:hAnsiTheme="majorBidi" w:cstheme="majorBidi"/>
          <w:color w:val="auto"/>
          <w:lang w:bidi="ar-JO"/>
        </w:rPr>
        <w:t xml:space="preserve"> Biblical Hebrew is reminiscent of the use of the </w:t>
      </w:r>
      <w:r w:rsidR="00FF7692" w:rsidRPr="00E37783">
        <w:rPr>
          <w:rFonts w:asciiTheme="majorBidi" w:hAnsiTheme="majorBidi" w:cstheme="majorBidi"/>
          <w:color w:val="auto"/>
          <w:lang w:bidi="ar-JO"/>
        </w:rPr>
        <w:t xml:space="preserve">demonstrative adjective </w:t>
      </w:r>
      <w:r w:rsidRPr="00E37783">
        <w:rPr>
          <w:rFonts w:asciiTheme="majorBidi" w:hAnsiTheme="majorBidi" w:cstheme="majorBidi"/>
          <w:color w:val="auto"/>
          <w:lang w:bidi="ar-JO"/>
        </w:rPr>
        <w:t xml:space="preserve">pronoun </w:t>
      </w:r>
      <w:r w:rsidRPr="00E37783">
        <w:rPr>
          <w:rFonts w:asciiTheme="majorBidi" w:hAnsiTheme="majorBidi" w:cstheme="majorBidi"/>
          <w:b/>
          <w:bCs/>
          <w:color w:val="auto"/>
          <w:rtl/>
        </w:rPr>
        <w:t>הוא</w:t>
      </w:r>
      <w:r w:rsidRPr="00E37783">
        <w:rPr>
          <w:rFonts w:asciiTheme="majorBidi" w:hAnsiTheme="majorBidi" w:cstheme="majorBidi"/>
          <w:b/>
          <w:bCs/>
          <w:color w:val="auto"/>
        </w:rPr>
        <w:t xml:space="preserve"> </w:t>
      </w:r>
      <w:r w:rsidRPr="00E37783">
        <w:rPr>
          <w:rFonts w:asciiTheme="majorBidi" w:hAnsiTheme="majorBidi" w:cstheme="majorBidi"/>
          <w:color w:val="auto"/>
        </w:rPr>
        <w:t xml:space="preserve">in </w:t>
      </w:r>
      <w:r w:rsidR="00656C7F" w:rsidRPr="00E37783">
        <w:rPr>
          <w:rFonts w:asciiTheme="majorBidi" w:hAnsiTheme="majorBidi" w:cstheme="majorBidi"/>
          <w:color w:val="auto"/>
        </w:rPr>
        <w:t xml:space="preserve">Biblical </w:t>
      </w:r>
      <w:r w:rsidRPr="00E37783">
        <w:rPr>
          <w:rFonts w:asciiTheme="majorBidi" w:hAnsiTheme="majorBidi" w:cstheme="majorBidi"/>
          <w:color w:val="auto"/>
        </w:rPr>
        <w:t>Aramaic</w:t>
      </w:r>
      <w:r w:rsidR="003A2526" w:rsidRPr="00E37783">
        <w:rPr>
          <w:rFonts w:asciiTheme="majorBidi" w:hAnsiTheme="majorBidi" w:cstheme="majorBidi"/>
          <w:color w:val="auto"/>
        </w:rPr>
        <w:t>:</w:t>
      </w:r>
      <w:r w:rsidR="003E520B" w:rsidRPr="00E37783">
        <w:rPr>
          <w:rFonts w:asciiTheme="majorBidi" w:hAnsiTheme="majorBidi" w:cs="Times New Roman"/>
          <w:color w:val="auto"/>
          <w:rtl/>
        </w:rPr>
        <w:t>הוּא צַלְמָא רֵאשֵׁהּ דִּי דְהַב טָב</w:t>
      </w:r>
      <w:r w:rsidR="00E37783" w:rsidRPr="00E37783">
        <w:rPr>
          <w:rFonts w:asciiTheme="majorBidi" w:hAnsiTheme="majorBidi" w:cs="Times New Roman"/>
          <w:color w:val="auto"/>
        </w:rPr>
        <w:t xml:space="preserve"> </w:t>
      </w:r>
      <w:r w:rsidR="003E520B" w:rsidRPr="00E37783">
        <w:rPr>
          <w:rFonts w:asciiTheme="majorBidi" w:hAnsiTheme="majorBidi" w:cstheme="majorBidi"/>
          <w:color w:val="auto"/>
        </w:rPr>
        <w:t xml:space="preserve">‘As for </w:t>
      </w:r>
      <w:r w:rsidR="003E520B" w:rsidRPr="00E37783">
        <w:rPr>
          <w:rFonts w:asciiTheme="majorBidi" w:hAnsiTheme="majorBidi" w:cstheme="majorBidi"/>
          <w:b/>
          <w:bCs/>
          <w:color w:val="auto"/>
        </w:rPr>
        <w:t>this image</w:t>
      </w:r>
      <w:r w:rsidR="003E520B" w:rsidRPr="00E37783">
        <w:rPr>
          <w:rFonts w:asciiTheme="majorBidi" w:hAnsiTheme="majorBidi" w:cstheme="majorBidi"/>
          <w:color w:val="auto"/>
        </w:rPr>
        <w:t>, its head was of fine gold’ (Daniel 2:32; World English Bible)</w:t>
      </w:r>
      <w:r w:rsidR="003A2526" w:rsidRPr="00E37783">
        <w:rPr>
          <w:rFonts w:asciiTheme="majorBidi" w:hAnsiTheme="majorBidi" w:cstheme="majorBidi"/>
          <w:color w:val="auto"/>
        </w:rPr>
        <w:t>.</w:t>
      </w:r>
      <w:r w:rsidR="003A2526" w:rsidRPr="00E37783">
        <w:rPr>
          <w:rStyle w:val="FootnoteReference"/>
          <w:rFonts w:asciiTheme="majorBidi" w:hAnsiTheme="majorBidi" w:cstheme="majorBidi"/>
          <w:color w:val="auto"/>
          <w:sz w:val="24"/>
          <w:szCs w:val="24"/>
        </w:rPr>
        <w:footnoteReference w:id="12"/>
      </w:r>
      <w:r w:rsidR="006F7406" w:rsidRPr="00E37783">
        <w:rPr>
          <w:rFonts w:asciiTheme="majorBidi" w:hAnsiTheme="majorBidi" w:cstheme="majorBidi"/>
          <w:color w:val="auto"/>
        </w:rPr>
        <w:t xml:space="preserve"> </w:t>
      </w:r>
    </w:p>
    <w:p w:rsidR="00E35993" w:rsidRPr="00E37783" w:rsidRDefault="001217C3" w:rsidP="00E35993">
      <w:pPr>
        <w:spacing w:line="360" w:lineRule="auto"/>
        <w:rPr>
          <w:rFonts w:asciiTheme="majorBidi" w:hAnsiTheme="majorBidi" w:cstheme="majorBidi"/>
          <w:color w:val="auto"/>
        </w:rPr>
      </w:pPr>
      <w:r w:rsidRPr="00E37783">
        <w:rPr>
          <w:rFonts w:asciiTheme="majorBidi" w:hAnsiTheme="majorBidi" w:cstheme="majorBidi"/>
          <w:color w:val="auto"/>
        </w:rPr>
        <w:t xml:space="preserve">The phenomenon of placing the pronoun before the noun to which it refers (prolepsis or cataphora) is well documented in Aramaic. </w:t>
      </w:r>
      <w:r w:rsidR="005B120D" w:rsidRPr="00E37783">
        <w:rPr>
          <w:rFonts w:asciiTheme="majorBidi" w:hAnsiTheme="majorBidi" w:cstheme="majorBidi"/>
          <w:color w:val="auto"/>
        </w:rPr>
        <w:t>From as early as the Imperial Aramaic of the sixth century BCE, we have documentation of a</w:t>
      </w:r>
      <w:r w:rsidR="00E35993" w:rsidRPr="00E37783">
        <w:rPr>
          <w:rFonts w:asciiTheme="majorBidi" w:hAnsiTheme="majorBidi" w:cstheme="majorBidi"/>
          <w:color w:val="auto"/>
        </w:rPr>
        <w:t xml:space="preserve">n independent construct pattern with a proleptic possessive pronoun preceding the construct; this is also documented for Biblical Aramaic in the phrase </w:t>
      </w:r>
      <w:r w:rsidR="00E35993" w:rsidRPr="00E37783">
        <w:rPr>
          <w:rFonts w:asciiTheme="majorBidi" w:hAnsiTheme="majorBidi" w:cstheme="majorBidi"/>
          <w:b/>
          <w:bCs/>
          <w:color w:val="auto"/>
          <w:rtl/>
        </w:rPr>
        <w:t>שְׁמֵהּ דִּי אֱלָהָא</w:t>
      </w:r>
      <w:r w:rsidR="00E35993" w:rsidRPr="00E37783">
        <w:rPr>
          <w:rFonts w:asciiTheme="majorBidi" w:hAnsiTheme="majorBidi" w:cstheme="majorBidi"/>
          <w:b/>
          <w:bCs/>
          <w:color w:val="auto"/>
        </w:rPr>
        <w:t xml:space="preserve"> </w:t>
      </w:r>
      <w:r w:rsidR="00E35993" w:rsidRPr="00E37783">
        <w:rPr>
          <w:rFonts w:asciiTheme="majorBidi" w:hAnsiTheme="majorBidi" w:cstheme="majorBidi"/>
          <w:color w:val="auto"/>
        </w:rPr>
        <w:t>(</w:t>
      </w:r>
      <w:r w:rsidR="009C4030" w:rsidRPr="00E37783">
        <w:rPr>
          <w:rFonts w:asciiTheme="majorBidi" w:hAnsiTheme="majorBidi" w:cstheme="majorBidi"/>
          <w:color w:val="auto"/>
        </w:rPr>
        <w:t>‘the name of God’. lit. ‘</w:t>
      </w:r>
      <w:r w:rsidR="003E520B" w:rsidRPr="00E37783">
        <w:rPr>
          <w:rFonts w:asciiTheme="majorBidi" w:hAnsiTheme="majorBidi" w:cstheme="majorBidi"/>
          <w:color w:val="auto"/>
        </w:rPr>
        <w:t>his name of God</w:t>
      </w:r>
      <w:r w:rsidR="009C4030" w:rsidRPr="00E37783">
        <w:rPr>
          <w:rFonts w:asciiTheme="majorBidi" w:hAnsiTheme="majorBidi" w:cstheme="majorBidi"/>
          <w:color w:val="auto"/>
        </w:rPr>
        <w:t>’</w:t>
      </w:r>
      <w:r w:rsidR="003E520B" w:rsidRPr="00E37783">
        <w:rPr>
          <w:rFonts w:asciiTheme="majorBidi" w:hAnsiTheme="majorBidi" w:cstheme="majorBidi"/>
          <w:color w:val="auto"/>
        </w:rPr>
        <w:t xml:space="preserve"> Daniel 2:20</w:t>
      </w:r>
      <w:r w:rsidR="009C4030" w:rsidRPr="00E37783">
        <w:rPr>
          <w:rFonts w:asciiTheme="majorBidi" w:hAnsiTheme="majorBidi" w:cstheme="majorBidi"/>
          <w:color w:val="auto"/>
        </w:rPr>
        <w:t>)</w:t>
      </w:r>
      <w:r w:rsidR="00E35993" w:rsidRPr="00E37783">
        <w:rPr>
          <w:rFonts w:asciiTheme="majorBidi" w:hAnsiTheme="majorBidi" w:cstheme="majorBidi"/>
          <w:color w:val="auto"/>
        </w:rPr>
        <w:t xml:space="preserve">. In Biblical </w:t>
      </w:r>
      <w:r w:rsidR="00E35993" w:rsidRPr="00E37783">
        <w:rPr>
          <w:rFonts w:asciiTheme="majorBidi" w:hAnsiTheme="majorBidi" w:cstheme="majorBidi"/>
          <w:color w:val="auto"/>
        </w:rPr>
        <w:lastRenderedPageBreak/>
        <w:t xml:space="preserve">Aramaic there is a single instance where the demonstrative pronoun appears before the noun – </w:t>
      </w:r>
      <w:r w:rsidR="00A31AB1" w:rsidRPr="00E37783">
        <w:rPr>
          <w:rFonts w:asciiTheme="majorBidi" w:hAnsiTheme="majorBidi" w:cstheme="majorBidi"/>
          <w:b/>
          <w:bCs/>
          <w:color w:val="auto"/>
          <w:rtl/>
        </w:rPr>
        <w:t>דְנָה בִנְיָנָא</w:t>
      </w:r>
      <w:r w:rsidR="00E37783" w:rsidRPr="00E37783">
        <w:rPr>
          <w:rFonts w:asciiTheme="majorBidi" w:hAnsiTheme="majorBidi" w:cstheme="majorBidi" w:hint="cs"/>
          <w:color w:val="auto"/>
        </w:rPr>
        <w:t xml:space="preserve"> </w:t>
      </w:r>
      <w:r w:rsidR="009C4030" w:rsidRPr="00E37783">
        <w:rPr>
          <w:rFonts w:asciiTheme="majorBidi" w:hAnsiTheme="majorBidi" w:cstheme="majorBidi"/>
          <w:color w:val="auto"/>
        </w:rPr>
        <w:t>‘this building’</w:t>
      </w:r>
      <w:r w:rsidR="009C4030" w:rsidRPr="00E37783">
        <w:t xml:space="preserve"> </w:t>
      </w:r>
      <w:r w:rsidR="009C4030" w:rsidRPr="00E37783">
        <w:rPr>
          <w:rFonts w:asciiTheme="majorBidi" w:hAnsiTheme="majorBidi" w:cstheme="majorBidi"/>
          <w:color w:val="auto"/>
        </w:rPr>
        <w:t>Ezra 5:</w:t>
      </w:r>
      <w:r w:rsidR="00E35993" w:rsidRPr="00E37783">
        <w:rPr>
          <w:rFonts w:asciiTheme="majorBidi" w:hAnsiTheme="majorBidi" w:cstheme="majorBidi"/>
          <w:color w:val="auto"/>
        </w:rPr>
        <w:t>4.</w:t>
      </w:r>
      <w:r w:rsidR="00E57E08" w:rsidRPr="00E37783">
        <w:rPr>
          <w:rStyle w:val="FootnoteReference"/>
          <w:rFonts w:asciiTheme="majorBidi" w:hAnsiTheme="majorBidi" w:cstheme="majorBidi"/>
          <w:color w:val="auto"/>
          <w:rtl/>
        </w:rPr>
        <w:footnoteReference w:id="13"/>
      </w:r>
    </w:p>
    <w:p w:rsidR="008D1BEB" w:rsidRPr="00E37783" w:rsidRDefault="00E35993" w:rsidP="00E35993">
      <w:pPr>
        <w:spacing w:line="360" w:lineRule="auto"/>
        <w:rPr>
          <w:rFonts w:asciiTheme="majorBidi" w:hAnsiTheme="majorBidi" w:cstheme="majorBidi"/>
          <w:color w:val="auto"/>
        </w:rPr>
      </w:pPr>
      <w:r w:rsidRPr="00E37783">
        <w:rPr>
          <w:rFonts w:asciiTheme="majorBidi" w:hAnsiTheme="majorBidi" w:cstheme="majorBidi"/>
          <w:color w:val="auto"/>
        </w:rPr>
        <w:t>H</w:t>
      </w:r>
      <w:r w:rsidR="006F7406" w:rsidRPr="00E37783">
        <w:rPr>
          <w:rFonts w:asciiTheme="majorBidi" w:hAnsiTheme="majorBidi" w:cstheme="majorBidi"/>
          <w:color w:val="auto"/>
        </w:rPr>
        <w:t xml:space="preserve">owever, in most of the instances in which </w:t>
      </w:r>
      <w:r w:rsidR="006F7406" w:rsidRPr="00E37783">
        <w:rPr>
          <w:rFonts w:asciiTheme="majorBidi" w:hAnsiTheme="majorBidi" w:cstheme="majorBidi"/>
          <w:b/>
          <w:bCs/>
          <w:color w:val="auto"/>
          <w:rtl/>
        </w:rPr>
        <w:t>הוא</w:t>
      </w:r>
      <w:r w:rsidR="006F7406" w:rsidRPr="00E37783">
        <w:rPr>
          <w:rFonts w:asciiTheme="majorBidi" w:hAnsiTheme="majorBidi" w:cstheme="majorBidi"/>
          <w:b/>
          <w:bCs/>
          <w:color w:val="auto"/>
        </w:rPr>
        <w:t xml:space="preserve"> </w:t>
      </w:r>
      <w:r w:rsidR="006F7406" w:rsidRPr="00E37783">
        <w:rPr>
          <w:rFonts w:asciiTheme="majorBidi" w:hAnsiTheme="majorBidi" w:cstheme="majorBidi"/>
          <w:color w:val="auto"/>
        </w:rPr>
        <w:t xml:space="preserve">is used as a </w:t>
      </w:r>
      <w:r w:rsidR="00392B8E" w:rsidRPr="00E37783">
        <w:rPr>
          <w:rFonts w:asciiTheme="majorBidi" w:hAnsiTheme="majorBidi" w:cstheme="majorBidi"/>
          <w:color w:val="auto"/>
        </w:rPr>
        <w:t>demonstrative adjective</w:t>
      </w:r>
      <w:r w:rsidR="006F7406" w:rsidRPr="00E37783">
        <w:rPr>
          <w:rFonts w:asciiTheme="majorBidi" w:hAnsiTheme="majorBidi" w:cstheme="majorBidi"/>
          <w:color w:val="auto"/>
        </w:rPr>
        <w:t xml:space="preserve"> pronoun in the Aramaic dialects preceding </w:t>
      </w:r>
      <w:r w:rsidR="00392B8E" w:rsidRPr="00E37783">
        <w:rPr>
          <w:rFonts w:asciiTheme="majorBidi" w:hAnsiTheme="majorBidi" w:cstheme="majorBidi"/>
          <w:color w:val="auto"/>
        </w:rPr>
        <w:t>Mishnaic</w:t>
      </w:r>
      <w:r w:rsidR="002C03FE" w:rsidRPr="00E37783">
        <w:rPr>
          <w:rFonts w:asciiTheme="majorBidi" w:hAnsiTheme="majorBidi" w:cstheme="majorBidi"/>
          <w:color w:val="auto"/>
        </w:rPr>
        <w:t xml:space="preserve"> Hebrew</w:t>
      </w:r>
      <w:r w:rsidR="006F7406" w:rsidRPr="00E37783">
        <w:rPr>
          <w:rFonts w:asciiTheme="majorBidi" w:hAnsiTheme="majorBidi" w:cstheme="majorBidi"/>
          <w:color w:val="auto"/>
        </w:rPr>
        <w:t xml:space="preserve">, it appears after the noun, rather than before it. Moreover, it is even difficult to find nominal clauses containing </w:t>
      </w:r>
      <w:r w:rsidR="006F7406" w:rsidRPr="00E37783">
        <w:rPr>
          <w:rFonts w:asciiTheme="majorBidi" w:hAnsiTheme="majorBidi" w:cstheme="majorBidi"/>
          <w:b/>
          <w:bCs/>
          <w:color w:val="auto"/>
        </w:rPr>
        <w:t xml:space="preserve">noun + </w:t>
      </w:r>
      <w:bookmarkStart w:id="17" w:name="_Hlk12880216"/>
      <w:r w:rsidR="00392B8E" w:rsidRPr="00E37783">
        <w:rPr>
          <w:rFonts w:asciiTheme="majorBidi" w:hAnsiTheme="majorBidi" w:cstheme="majorBidi"/>
          <w:b/>
          <w:bCs/>
          <w:color w:val="auto"/>
        </w:rPr>
        <w:t xml:space="preserve">demonstrative adjective </w:t>
      </w:r>
      <w:bookmarkEnd w:id="17"/>
      <w:r w:rsidR="006F7406" w:rsidRPr="00E37783">
        <w:rPr>
          <w:rFonts w:asciiTheme="majorBidi" w:hAnsiTheme="majorBidi" w:cstheme="majorBidi"/>
          <w:b/>
          <w:bCs/>
          <w:color w:val="auto"/>
          <w:rtl/>
        </w:rPr>
        <w:t>הוא</w:t>
      </w:r>
      <w:r w:rsidR="006F7406" w:rsidRPr="00E37783">
        <w:rPr>
          <w:rFonts w:asciiTheme="majorBidi" w:hAnsiTheme="majorBidi" w:cstheme="majorBidi"/>
          <w:b/>
          <w:bCs/>
          <w:color w:val="auto"/>
          <w:lang w:bidi="ar-JO"/>
        </w:rPr>
        <w:t xml:space="preserve"> </w:t>
      </w:r>
      <w:r w:rsidR="006F7406" w:rsidRPr="00E37783">
        <w:rPr>
          <w:rFonts w:asciiTheme="majorBidi" w:hAnsiTheme="majorBidi" w:cstheme="majorBidi"/>
          <w:color w:val="auto"/>
          <w:lang w:bidi="ar-JO"/>
        </w:rPr>
        <w:t xml:space="preserve">functioning as an object. It is true that in the </w:t>
      </w:r>
      <w:r w:rsidR="002572C5" w:rsidRPr="00E37783">
        <w:rPr>
          <w:rFonts w:asciiTheme="majorBidi" w:hAnsiTheme="majorBidi" w:cstheme="majorBidi"/>
          <w:color w:val="auto"/>
        </w:rPr>
        <w:t>Nabatean Aramaic</w:t>
      </w:r>
      <w:r w:rsidR="006F7406" w:rsidRPr="00E37783">
        <w:rPr>
          <w:rFonts w:asciiTheme="majorBidi" w:hAnsiTheme="majorBidi" w:cstheme="majorBidi"/>
          <w:color w:val="auto"/>
          <w:lang w:bidi="ar-JO"/>
        </w:rPr>
        <w:t>, th</w:t>
      </w:r>
      <w:r w:rsidR="002572C5" w:rsidRPr="00E37783">
        <w:rPr>
          <w:rFonts w:asciiTheme="majorBidi" w:hAnsiTheme="majorBidi" w:cstheme="majorBidi"/>
          <w:color w:val="auto"/>
          <w:lang w:bidi="ar-JO"/>
        </w:rPr>
        <w:t>is</w:t>
      </w:r>
      <w:r w:rsidR="006F7406" w:rsidRPr="00E37783">
        <w:rPr>
          <w:rFonts w:asciiTheme="majorBidi" w:hAnsiTheme="majorBidi" w:cstheme="majorBidi"/>
          <w:color w:val="auto"/>
          <w:lang w:bidi="ar-JO"/>
        </w:rPr>
        <w:t xml:space="preserve"> structure </w:t>
      </w:r>
      <w:r w:rsidR="006F7406" w:rsidRPr="00E37783">
        <w:rPr>
          <w:rFonts w:asciiTheme="majorBidi" w:hAnsiTheme="majorBidi" w:cstheme="majorBidi"/>
          <w:color w:val="auto"/>
        </w:rPr>
        <w:t xml:space="preserve">appears </w:t>
      </w:r>
      <w:r w:rsidR="004E2F7B" w:rsidRPr="00E37783">
        <w:rPr>
          <w:rFonts w:asciiTheme="majorBidi" w:hAnsiTheme="majorBidi" w:cstheme="majorBidi"/>
          <w:color w:val="auto"/>
        </w:rPr>
        <w:t>i</w:t>
      </w:r>
      <w:r w:rsidR="002572C5" w:rsidRPr="00E37783">
        <w:rPr>
          <w:rFonts w:asciiTheme="majorBidi" w:hAnsiTheme="majorBidi" w:cstheme="majorBidi"/>
          <w:color w:val="auto"/>
        </w:rPr>
        <w:t>n the object function</w:t>
      </w:r>
      <w:r w:rsidR="006F7406" w:rsidRPr="00E37783">
        <w:rPr>
          <w:rFonts w:asciiTheme="majorBidi" w:hAnsiTheme="majorBidi" w:cstheme="majorBidi"/>
          <w:color w:val="auto"/>
        </w:rPr>
        <w:t>, as for example</w:t>
      </w:r>
      <w:r w:rsidR="003E709F" w:rsidRPr="00E37783">
        <w:rPr>
          <w:rFonts w:asciiTheme="majorBidi" w:hAnsiTheme="majorBidi" w:cstheme="majorBidi"/>
          <w:color w:val="auto"/>
        </w:rPr>
        <w:t xml:space="preserve">: </w:t>
      </w:r>
      <w:r w:rsidR="003E709F" w:rsidRPr="00E37783">
        <w:rPr>
          <w:rFonts w:asciiTheme="majorBidi" w:hAnsiTheme="majorBidi" w:cstheme="majorBidi"/>
          <w:color w:val="auto"/>
          <w:rtl/>
        </w:rPr>
        <w:t xml:space="preserve">אסמלך בר עבדי כרז </w:t>
      </w:r>
      <w:r w:rsidR="003E709F" w:rsidRPr="00E37783">
        <w:rPr>
          <w:rFonts w:asciiTheme="majorBidi" w:hAnsiTheme="majorBidi" w:cstheme="majorBidi"/>
          <w:b/>
          <w:bCs/>
          <w:color w:val="auto"/>
          <w:rtl/>
        </w:rPr>
        <w:t>גנתא הי</w:t>
      </w:r>
      <w:r w:rsidR="003E709F" w:rsidRPr="00E37783">
        <w:rPr>
          <w:rFonts w:asciiTheme="majorBidi" w:hAnsiTheme="majorBidi" w:cstheme="majorBidi"/>
          <w:color w:val="auto"/>
          <w:rtl/>
        </w:rPr>
        <w:t xml:space="preserve"> ופרע </w:t>
      </w:r>
      <w:r w:rsidR="003E709F" w:rsidRPr="00E37783">
        <w:rPr>
          <w:rFonts w:asciiTheme="majorBidi" w:hAnsiTheme="majorBidi" w:cstheme="majorBidi"/>
          <w:b/>
          <w:bCs/>
          <w:color w:val="auto"/>
          <w:rtl/>
        </w:rPr>
        <w:t>דמי כרוזא הו</w:t>
      </w:r>
      <w:r w:rsidR="008D1BEB" w:rsidRPr="00E37783">
        <w:rPr>
          <w:rFonts w:asciiTheme="majorBidi" w:hAnsiTheme="majorBidi" w:cstheme="majorBidi"/>
          <w:color w:val="auto"/>
        </w:rPr>
        <w:t xml:space="preserve"> </w:t>
      </w:r>
      <w:r w:rsidR="008D1BEB" w:rsidRPr="00E37783">
        <w:rPr>
          <w:rFonts w:asciiTheme="majorBidi" w:hAnsiTheme="majorBidi" w:cstheme="majorBidi"/>
          <w:i/>
          <w:iCs/>
          <w:color w:val="auto"/>
        </w:rPr>
        <w:t>ʼsmlk</w:t>
      </w:r>
      <w:r w:rsidR="008D1BEB" w:rsidRPr="00E37783">
        <w:rPr>
          <w:rFonts w:asciiTheme="majorBidi" w:hAnsiTheme="majorBidi" w:cstheme="majorBidi"/>
          <w:color w:val="auto"/>
        </w:rPr>
        <w:t xml:space="preserve"> son of </w:t>
      </w:r>
      <w:r w:rsidR="008D1BEB" w:rsidRPr="00E37783">
        <w:rPr>
          <w:rFonts w:asciiTheme="majorBidi" w:hAnsiTheme="majorBidi" w:cstheme="majorBidi"/>
          <w:i/>
          <w:iCs/>
          <w:color w:val="auto"/>
        </w:rPr>
        <w:t>ʽbdy</w:t>
      </w:r>
      <w:r w:rsidR="008D1BEB" w:rsidRPr="00E37783">
        <w:rPr>
          <w:rFonts w:asciiTheme="majorBidi" w:hAnsiTheme="majorBidi" w:cstheme="majorBidi"/>
          <w:color w:val="auto"/>
        </w:rPr>
        <w:t xml:space="preserve"> proclaimed that (same) grove and paid off the price of that same (writ of) proclamation (Papyrus Starcky [P. Yadin 36], Lines 17-18; Yardeni 2001:132)</w:t>
      </w:r>
    </w:p>
    <w:p w:rsidR="00B37D6A" w:rsidRPr="00E37783" w:rsidRDefault="004A25DE" w:rsidP="00D45F6D">
      <w:pPr>
        <w:spacing w:line="360" w:lineRule="auto"/>
        <w:rPr>
          <w:rFonts w:asciiTheme="majorBidi" w:hAnsiTheme="majorBidi" w:cstheme="majorBidi"/>
          <w:color w:val="auto"/>
        </w:rPr>
      </w:pPr>
      <w:r w:rsidRPr="00E37783">
        <w:rPr>
          <w:rFonts w:asciiTheme="majorBidi" w:hAnsiTheme="majorBidi" w:cstheme="majorBidi"/>
          <w:color w:val="auto"/>
        </w:rPr>
        <w:t>Still</w:t>
      </w:r>
      <w:r w:rsidR="003E709F" w:rsidRPr="00E37783">
        <w:rPr>
          <w:rFonts w:asciiTheme="majorBidi" w:hAnsiTheme="majorBidi" w:cstheme="majorBidi"/>
          <w:color w:val="auto"/>
        </w:rPr>
        <w:t xml:space="preserve">, even in Nabatean Aramaic </w:t>
      </w:r>
      <w:r w:rsidR="003E709F" w:rsidRPr="00E37783">
        <w:rPr>
          <w:rFonts w:asciiTheme="majorBidi" w:hAnsiTheme="majorBidi" w:cstheme="majorBidi"/>
          <w:b/>
          <w:bCs/>
          <w:color w:val="auto"/>
          <w:rtl/>
        </w:rPr>
        <w:t>הוא</w:t>
      </w:r>
      <w:r w:rsidR="003E709F" w:rsidRPr="00E37783">
        <w:rPr>
          <w:rFonts w:asciiTheme="majorBidi" w:hAnsiTheme="majorBidi" w:cstheme="majorBidi"/>
          <w:b/>
          <w:bCs/>
          <w:color w:val="auto"/>
        </w:rPr>
        <w:t xml:space="preserve"> </w:t>
      </w:r>
      <w:r w:rsidR="003E709F" w:rsidRPr="00E37783">
        <w:rPr>
          <w:rFonts w:asciiTheme="majorBidi" w:hAnsiTheme="majorBidi" w:cstheme="majorBidi"/>
          <w:color w:val="auto"/>
        </w:rPr>
        <w:t xml:space="preserve">is not used as an object pronoun (contrary to the plural </w:t>
      </w:r>
      <w:r w:rsidR="004E2F7B" w:rsidRPr="00E37783">
        <w:rPr>
          <w:rFonts w:asciiTheme="majorBidi" w:hAnsiTheme="majorBidi" w:cstheme="majorBidi"/>
          <w:color w:val="auto"/>
        </w:rPr>
        <w:t xml:space="preserve">demonstrative adjective </w:t>
      </w:r>
      <w:r w:rsidR="003E709F" w:rsidRPr="00E37783">
        <w:rPr>
          <w:rFonts w:asciiTheme="majorBidi" w:hAnsiTheme="majorBidi" w:cstheme="majorBidi"/>
          <w:color w:val="auto"/>
        </w:rPr>
        <w:t xml:space="preserve">pronoun </w:t>
      </w:r>
      <w:r w:rsidR="003E709F" w:rsidRPr="00E37783">
        <w:rPr>
          <w:rFonts w:asciiTheme="majorBidi" w:hAnsiTheme="majorBidi" w:cstheme="majorBidi"/>
          <w:b/>
          <w:bCs/>
          <w:color w:val="auto"/>
          <w:rtl/>
        </w:rPr>
        <w:t>אִנּוּן</w:t>
      </w:r>
      <w:r w:rsidR="003E709F" w:rsidRPr="00E37783">
        <w:rPr>
          <w:rFonts w:asciiTheme="majorBidi" w:hAnsiTheme="majorBidi" w:cstheme="majorBidi"/>
          <w:color w:val="auto"/>
        </w:rPr>
        <w:t>)</w:t>
      </w:r>
      <w:r w:rsidR="002572C5" w:rsidRPr="00E37783">
        <w:rPr>
          <w:rFonts w:asciiTheme="majorBidi" w:hAnsiTheme="majorBidi" w:cstheme="majorBidi"/>
          <w:color w:val="auto"/>
        </w:rPr>
        <w:t>.</w:t>
      </w:r>
      <w:r w:rsidR="002572C5" w:rsidRPr="00E37783">
        <w:rPr>
          <w:rStyle w:val="FootnoteReference"/>
          <w:rFonts w:asciiTheme="majorBidi" w:hAnsiTheme="majorBidi" w:cstheme="majorBidi"/>
          <w:color w:val="auto"/>
          <w:sz w:val="24"/>
          <w:szCs w:val="24"/>
        </w:rPr>
        <w:footnoteReference w:id="14"/>
      </w:r>
      <w:r w:rsidR="002572C5" w:rsidRPr="00E37783">
        <w:rPr>
          <w:rFonts w:asciiTheme="majorBidi" w:hAnsiTheme="majorBidi" w:cstheme="majorBidi"/>
          <w:color w:val="auto"/>
        </w:rPr>
        <w:t xml:space="preserve"> </w:t>
      </w:r>
      <w:r w:rsidR="003E709F" w:rsidRPr="00E37783">
        <w:rPr>
          <w:rFonts w:asciiTheme="majorBidi" w:hAnsiTheme="majorBidi" w:cstheme="majorBidi"/>
          <w:color w:val="auto"/>
        </w:rPr>
        <w:t>Accordingly</w:t>
      </w:r>
      <w:r w:rsidR="002C03FE" w:rsidRPr="00E37783">
        <w:rPr>
          <w:rFonts w:asciiTheme="majorBidi" w:hAnsiTheme="majorBidi" w:cstheme="majorBidi"/>
          <w:color w:val="auto"/>
        </w:rPr>
        <w:t>,</w:t>
      </w:r>
      <w:r w:rsidR="003E709F" w:rsidRPr="00E37783">
        <w:rPr>
          <w:rFonts w:asciiTheme="majorBidi" w:hAnsiTheme="majorBidi" w:cstheme="majorBidi"/>
          <w:color w:val="auto"/>
        </w:rPr>
        <w:t xml:space="preserve"> it is difficult to suggest that the use of the </w:t>
      </w:r>
      <w:r w:rsidR="00112CB4" w:rsidRPr="00E37783">
        <w:rPr>
          <w:rFonts w:asciiTheme="majorBidi" w:hAnsiTheme="majorBidi" w:cstheme="majorBidi"/>
          <w:color w:val="auto"/>
        </w:rPr>
        <w:t>demonstrative adjective</w:t>
      </w:r>
      <w:r w:rsidR="003E709F" w:rsidRPr="00E37783">
        <w:rPr>
          <w:rFonts w:asciiTheme="majorBidi" w:hAnsiTheme="majorBidi" w:cstheme="majorBidi"/>
          <w:color w:val="auto"/>
        </w:rPr>
        <w:t xml:space="preserve"> pronoun </w:t>
      </w:r>
      <w:r w:rsidR="003E709F" w:rsidRPr="00E37783">
        <w:rPr>
          <w:rFonts w:asciiTheme="majorBidi" w:hAnsiTheme="majorBidi" w:cstheme="majorBidi"/>
          <w:b/>
          <w:bCs/>
          <w:color w:val="auto"/>
          <w:rtl/>
        </w:rPr>
        <w:t>אותו</w:t>
      </w:r>
      <w:r w:rsidR="00112CB4" w:rsidRPr="00E37783">
        <w:rPr>
          <w:rFonts w:asciiTheme="majorBidi" w:hAnsiTheme="majorBidi" w:cstheme="majorBidi"/>
          <w:color w:val="auto"/>
        </w:rPr>
        <w:t xml:space="preserve"> in Mishnaic Hebrew</w:t>
      </w:r>
      <w:r w:rsidR="003E709F" w:rsidRPr="00E37783">
        <w:rPr>
          <w:rFonts w:asciiTheme="majorBidi" w:hAnsiTheme="majorBidi" w:cstheme="majorBidi"/>
          <w:color w:val="auto"/>
        </w:rPr>
        <w:t xml:space="preserve"> can be explained solely by reference to Aramaic. </w:t>
      </w:r>
    </w:p>
    <w:p w:rsidR="00917D1E" w:rsidRPr="00E37783" w:rsidRDefault="00545152" w:rsidP="00917D1E">
      <w:pPr>
        <w:spacing w:line="360" w:lineRule="auto"/>
        <w:rPr>
          <w:rFonts w:asciiTheme="majorBidi" w:hAnsiTheme="majorBidi" w:cstheme="majorBidi"/>
          <w:b/>
          <w:bCs/>
          <w:color w:val="auto"/>
        </w:rPr>
      </w:pPr>
      <w:r>
        <w:rPr>
          <w:rFonts w:asciiTheme="majorBidi" w:hAnsiTheme="majorBidi" w:cstheme="majorBidi"/>
          <w:b/>
          <w:bCs/>
          <w:color w:val="auto"/>
        </w:rPr>
        <w:tab/>
        <w:t>i</w:t>
      </w:r>
      <w:r w:rsidR="00917D1E" w:rsidRPr="00E37783">
        <w:rPr>
          <w:rFonts w:asciiTheme="majorBidi" w:hAnsiTheme="majorBidi" w:cstheme="majorBidi"/>
          <w:b/>
          <w:bCs/>
          <w:color w:val="auto"/>
        </w:rPr>
        <w:t xml:space="preserve">i. Support for the Hypothesis of Greek Influence </w:t>
      </w:r>
    </w:p>
    <w:p w:rsidR="003E709F" w:rsidRPr="00E37783" w:rsidRDefault="003E709F" w:rsidP="00D45F6D">
      <w:pPr>
        <w:spacing w:line="360" w:lineRule="auto"/>
        <w:rPr>
          <w:rFonts w:asciiTheme="majorBidi" w:hAnsiTheme="majorBidi" w:cstheme="majorBidi"/>
        </w:rPr>
      </w:pPr>
      <w:bookmarkStart w:id="19" w:name="_Hlk31036975"/>
      <w:r w:rsidRPr="00E37783">
        <w:rPr>
          <w:rFonts w:asciiTheme="majorBidi" w:hAnsiTheme="majorBidi" w:cstheme="majorBidi"/>
          <w:color w:val="auto"/>
        </w:rPr>
        <w:t>Muraoka</w:t>
      </w:r>
      <w:r w:rsidR="00FD2C5E" w:rsidRPr="00E37783">
        <w:rPr>
          <w:rFonts w:asciiTheme="majorBidi" w:hAnsiTheme="majorBidi" w:cstheme="majorBidi"/>
          <w:color w:val="auto"/>
        </w:rPr>
        <w:t xml:space="preserve"> (2016: </w:t>
      </w:r>
      <w:bookmarkEnd w:id="19"/>
      <w:r w:rsidR="00C17D5C" w:rsidRPr="00E37783">
        <w:rPr>
          <w:rFonts w:asciiTheme="majorBidi" w:hAnsiTheme="majorBidi" w:cstheme="majorBidi"/>
          <w:color w:val="auto"/>
        </w:rPr>
        <w:t>74</w:t>
      </w:r>
      <w:r w:rsidR="00FD2C5E" w:rsidRPr="00E37783">
        <w:rPr>
          <w:rFonts w:asciiTheme="majorBidi" w:hAnsiTheme="majorBidi" w:cstheme="majorBidi"/>
          <w:color w:val="auto"/>
        </w:rPr>
        <w:t>)</w:t>
      </w:r>
      <w:r w:rsidRPr="00E37783">
        <w:rPr>
          <w:rFonts w:asciiTheme="majorBidi" w:hAnsiTheme="majorBidi" w:cstheme="majorBidi"/>
          <w:color w:val="auto"/>
        </w:rPr>
        <w:t xml:space="preserve"> noted with extreme brevity that the use of the Greek </w:t>
      </w:r>
      <w:r w:rsidRPr="00E37783">
        <w:rPr>
          <w:rFonts w:asciiTheme="majorBidi" w:hAnsiTheme="majorBidi" w:cstheme="majorBidi"/>
        </w:rPr>
        <w:t xml:space="preserve">αὐτός as a pronoun of identity </w:t>
      </w:r>
      <w:r w:rsidR="00112CB4" w:rsidRPr="00E37783">
        <w:rPr>
          <w:rFonts w:asciiTheme="majorBidi" w:hAnsiTheme="majorBidi" w:cstheme="majorBidi"/>
        </w:rPr>
        <w:t>reminds</w:t>
      </w:r>
      <w:r w:rsidR="00625CA8" w:rsidRPr="00E37783">
        <w:rPr>
          <w:rFonts w:asciiTheme="majorBidi" w:hAnsiTheme="majorBidi" w:cstheme="majorBidi"/>
        </w:rPr>
        <w:t xml:space="preserve"> us of </w:t>
      </w:r>
      <w:r w:rsidRPr="00E37783">
        <w:rPr>
          <w:rFonts w:asciiTheme="majorBidi" w:hAnsiTheme="majorBidi" w:cstheme="majorBidi"/>
        </w:rPr>
        <w:t xml:space="preserve">the use of the object pronoun </w:t>
      </w:r>
      <w:r w:rsidRPr="00E37783">
        <w:rPr>
          <w:rFonts w:asciiTheme="majorBidi" w:hAnsiTheme="majorBidi" w:cstheme="majorBidi"/>
          <w:b/>
          <w:bCs/>
          <w:rtl/>
        </w:rPr>
        <w:t>אותו</w:t>
      </w:r>
      <w:r w:rsidRPr="00E37783">
        <w:rPr>
          <w:rFonts w:asciiTheme="majorBidi" w:hAnsiTheme="majorBidi" w:cstheme="majorBidi"/>
        </w:rPr>
        <w:t xml:space="preserve"> in </w:t>
      </w:r>
      <w:r w:rsidR="00392B8E" w:rsidRPr="00E37783">
        <w:rPr>
          <w:rFonts w:asciiTheme="majorBidi" w:hAnsiTheme="majorBidi" w:cstheme="majorBidi"/>
        </w:rPr>
        <w:t>Mishna</w:t>
      </w:r>
      <w:r w:rsidR="00D7010A" w:rsidRPr="00E37783">
        <w:rPr>
          <w:rFonts w:asciiTheme="majorBidi" w:hAnsiTheme="majorBidi" w:cstheme="majorBidi"/>
        </w:rPr>
        <w:t>ic Hebrew</w:t>
      </w:r>
      <w:r w:rsidRPr="00E37783">
        <w:rPr>
          <w:rFonts w:asciiTheme="majorBidi" w:hAnsiTheme="majorBidi" w:cstheme="majorBidi"/>
        </w:rPr>
        <w:t xml:space="preserve">. He added that the phrase </w:t>
      </w:r>
      <w:r w:rsidRPr="00E37783">
        <w:rPr>
          <w:rFonts w:asciiTheme="majorBidi" w:hAnsiTheme="majorBidi" w:cstheme="majorBidi"/>
          <w:b/>
          <w:bCs/>
          <w:rtl/>
        </w:rPr>
        <w:t>בַּהּ שַׁעֲתָא</w:t>
      </w:r>
      <w:r w:rsidRPr="00E37783">
        <w:rPr>
          <w:rFonts w:asciiTheme="majorBidi" w:hAnsiTheme="majorBidi" w:cstheme="majorBidi"/>
        </w:rPr>
        <w:t xml:space="preserve"> </w:t>
      </w:r>
      <w:r w:rsidR="004A25DE" w:rsidRPr="00E37783">
        <w:rPr>
          <w:rFonts w:asciiTheme="majorBidi" w:hAnsiTheme="majorBidi" w:cstheme="majorBidi"/>
        </w:rPr>
        <w:t xml:space="preserve">‘at the same moment’ </w:t>
      </w:r>
      <w:r w:rsidRPr="00E37783">
        <w:rPr>
          <w:rFonts w:asciiTheme="majorBidi" w:hAnsiTheme="majorBidi" w:cstheme="majorBidi"/>
        </w:rPr>
        <w:t>in Biblical Aramaic (Daniel 3:6, 5:5) is translated by the Septuagint as αὐτῇ τῇ ὥρᾳ</w:t>
      </w:r>
      <w:r w:rsidR="0042165B" w:rsidRPr="00E37783">
        <w:rPr>
          <w:rFonts w:asciiTheme="majorBidi" w:hAnsiTheme="majorBidi" w:cstheme="majorBidi"/>
        </w:rPr>
        <w:t xml:space="preserve">, </w:t>
      </w:r>
      <w:r w:rsidRPr="00E37783">
        <w:rPr>
          <w:rFonts w:asciiTheme="majorBidi" w:hAnsiTheme="majorBidi" w:cstheme="majorBidi"/>
        </w:rPr>
        <w:t>ἐν αὐτῇ τῇ ὥρᾳ ἐξῆλθον.</w:t>
      </w:r>
    </w:p>
    <w:p w:rsidR="00517CB8" w:rsidRPr="00E37783" w:rsidRDefault="003E709F" w:rsidP="00564CE1">
      <w:pPr>
        <w:spacing w:line="360" w:lineRule="auto"/>
        <w:rPr>
          <w:rFonts w:asciiTheme="majorBidi" w:hAnsiTheme="majorBidi" w:cstheme="majorBidi"/>
        </w:rPr>
      </w:pPr>
      <w:r w:rsidRPr="00E37783">
        <w:rPr>
          <w:rFonts w:asciiTheme="majorBidi" w:hAnsiTheme="majorBidi" w:cstheme="majorBidi"/>
        </w:rPr>
        <w:t xml:space="preserve">We may </w:t>
      </w:r>
      <w:r w:rsidR="00914B39" w:rsidRPr="00E37783">
        <w:rPr>
          <w:rFonts w:asciiTheme="majorBidi" w:hAnsiTheme="majorBidi" w:cstheme="majorBidi"/>
        </w:rPr>
        <w:t xml:space="preserve">add </w:t>
      </w:r>
      <w:r w:rsidRPr="00E37783">
        <w:rPr>
          <w:rFonts w:asciiTheme="majorBidi" w:hAnsiTheme="majorBidi" w:cstheme="majorBidi"/>
        </w:rPr>
        <w:t xml:space="preserve">to this that even the instances </w:t>
      </w:r>
      <w:r w:rsidR="009E7169" w:rsidRPr="00E37783">
        <w:rPr>
          <w:rFonts w:asciiTheme="majorBidi" w:hAnsiTheme="majorBidi" w:cstheme="majorBidi"/>
        </w:rPr>
        <w:t>in which</w:t>
      </w:r>
      <w:r w:rsidRPr="00E37783">
        <w:rPr>
          <w:rFonts w:asciiTheme="majorBidi" w:hAnsiTheme="majorBidi" w:cstheme="majorBidi"/>
        </w:rPr>
        <w:t xml:space="preserve"> </w:t>
      </w:r>
      <w:r w:rsidRPr="00E37783">
        <w:rPr>
          <w:rFonts w:asciiTheme="majorBidi" w:hAnsiTheme="majorBidi" w:cstheme="majorBidi"/>
          <w:b/>
          <w:bCs/>
          <w:rtl/>
        </w:rPr>
        <w:t>הוא</w:t>
      </w:r>
      <w:r w:rsidRPr="00E37783">
        <w:rPr>
          <w:rFonts w:asciiTheme="majorBidi" w:hAnsiTheme="majorBidi" w:cstheme="majorBidi"/>
        </w:rPr>
        <w:t xml:space="preserve"> serves as a </w:t>
      </w:r>
      <w:r w:rsidR="00D260AE" w:rsidRPr="00E37783">
        <w:rPr>
          <w:rFonts w:asciiTheme="majorBidi" w:hAnsiTheme="majorBidi" w:cstheme="majorBidi"/>
        </w:rPr>
        <w:t>pronoun</w:t>
      </w:r>
      <w:r w:rsidRPr="00E37783">
        <w:rPr>
          <w:rFonts w:asciiTheme="majorBidi" w:hAnsiTheme="majorBidi" w:cstheme="majorBidi"/>
        </w:rPr>
        <w:t xml:space="preserve"> preceding proper nouns – such </w:t>
      </w:r>
      <w:bookmarkStart w:id="20" w:name="_Hlk12808717"/>
      <w:r w:rsidRPr="00E37783">
        <w:rPr>
          <w:rFonts w:asciiTheme="majorBidi" w:hAnsiTheme="majorBidi" w:cstheme="majorBidi"/>
        </w:rPr>
        <w:t xml:space="preserve">as </w:t>
      </w:r>
      <w:r w:rsidR="00413692" w:rsidRPr="00E37783">
        <w:rPr>
          <w:rFonts w:asciiTheme="majorBidi" w:hAnsiTheme="majorBidi" w:cstheme="majorBidi"/>
          <w:rtl/>
        </w:rPr>
        <w:t>וְהוּא יְחִזְקִיָּהוּ</w:t>
      </w:r>
      <w:r w:rsidRPr="00E37783">
        <w:rPr>
          <w:rFonts w:asciiTheme="majorBidi" w:hAnsiTheme="majorBidi" w:cstheme="majorBidi"/>
        </w:rPr>
        <w:t xml:space="preserve"> </w:t>
      </w:r>
      <w:r w:rsidR="00413692" w:rsidRPr="00E37783">
        <w:rPr>
          <w:rFonts w:asciiTheme="majorBidi" w:hAnsiTheme="majorBidi" w:cstheme="majorBidi"/>
        </w:rPr>
        <w:t xml:space="preserve">and </w:t>
      </w:r>
      <w:r w:rsidR="00413692" w:rsidRPr="00E37783">
        <w:rPr>
          <w:rFonts w:asciiTheme="majorBidi" w:hAnsiTheme="majorBidi" w:cstheme="majorBidi"/>
          <w:rtl/>
        </w:rPr>
        <w:t>הוּא עֶזְרָא</w:t>
      </w:r>
      <w:r w:rsidR="00413692" w:rsidRPr="00E37783">
        <w:rPr>
          <w:rFonts w:asciiTheme="majorBidi" w:hAnsiTheme="majorBidi" w:cstheme="majorBidi"/>
        </w:rPr>
        <w:t>, as mentioned above, were translated by the Septuagint as αὐτὸς ᾿Εζεκίας and αὐτὸς ῎Εσδρας.</w:t>
      </w:r>
      <w:bookmarkEnd w:id="20"/>
    </w:p>
    <w:p w:rsidR="00564CE1" w:rsidRPr="00E37783" w:rsidRDefault="00917D1E" w:rsidP="00917D1E">
      <w:pPr>
        <w:spacing w:line="360" w:lineRule="auto"/>
        <w:rPr>
          <w:rFonts w:asciiTheme="majorBidi" w:hAnsiTheme="majorBidi" w:cstheme="majorBidi"/>
          <w:rtl/>
        </w:rPr>
      </w:pPr>
      <w:r w:rsidRPr="00E37783">
        <w:rPr>
          <w:rFonts w:asciiTheme="majorBidi" w:hAnsiTheme="majorBidi" w:cstheme="majorBidi"/>
        </w:rPr>
        <w:t xml:space="preserve">The proleptic pronoun preceding the indefinite noun in Ezekiel 33:8 mentioned above </w:t>
      </w:r>
      <w:r w:rsidR="001D7373" w:rsidRPr="00E37783">
        <w:rPr>
          <w:rFonts w:asciiTheme="majorBidi" w:hAnsiTheme="majorBidi" w:cstheme="majorBidi"/>
          <w:b/>
          <w:bCs/>
          <w:color w:val="auto"/>
          <w:rtl/>
        </w:rPr>
        <w:t>הוּא רָשָׁע</w:t>
      </w:r>
      <w:r w:rsidR="00E37783" w:rsidRPr="00E37783">
        <w:rPr>
          <w:rFonts w:asciiTheme="majorBidi" w:hAnsiTheme="majorBidi" w:cstheme="majorBidi" w:hint="cs"/>
          <w:color w:val="auto"/>
        </w:rPr>
        <w:t xml:space="preserve"> </w:t>
      </w:r>
      <w:r w:rsidR="004A25DE" w:rsidRPr="00E37783">
        <w:rPr>
          <w:rFonts w:asciiTheme="majorBidi" w:hAnsiTheme="majorBidi" w:cstheme="majorBidi"/>
        </w:rPr>
        <w:t>‘that wicked man’</w:t>
      </w:r>
      <w:r w:rsidRPr="00E37783">
        <w:rPr>
          <w:rFonts w:asciiTheme="majorBidi" w:hAnsiTheme="majorBidi" w:cstheme="majorBidi"/>
        </w:rPr>
        <w:t xml:space="preserve"> was also translated (with the addition of the definite pronoun that is absent in the Masoretic version) </w:t>
      </w:r>
      <w:r w:rsidR="00564CE1" w:rsidRPr="00E37783">
        <w:rPr>
          <w:rFonts w:asciiTheme="majorBidi" w:hAnsiTheme="majorBidi" w:cstheme="majorBidi"/>
        </w:rPr>
        <w:t>αὐτὸς ὁ ἄνομος</w:t>
      </w:r>
      <w:r w:rsidR="00517CB8" w:rsidRPr="00E37783">
        <w:rPr>
          <w:rFonts w:asciiTheme="majorBidi" w:hAnsiTheme="majorBidi" w:cstheme="majorBidi"/>
          <w:rtl/>
        </w:rPr>
        <w:t>.</w:t>
      </w:r>
    </w:p>
    <w:p w:rsidR="00F70725" w:rsidRPr="00E37783" w:rsidRDefault="00413692" w:rsidP="00D45F6D">
      <w:pPr>
        <w:spacing w:line="360" w:lineRule="auto"/>
        <w:rPr>
          <w:rFonts w:asciiTheme="majorBidi" w:hAnsiTheme="majorBidi" w:cstheme="majorBidi"/>
        </w:rPr>
      </w:pPr>
      <w:r w:rsidRPr="00E37783">
        <w:rPr>
          <w:rFonts w:asciiTheme="majorBidi" w:hAnsiTheme="majorBidi" w:cstheme="majorBidi"/>
        </w:rPr>
        <w:lastRenderedPageBreak/>
        <w:t>The use of αὐτός both as an anaphoric pronoun and a pronoun of identity and as an independent pronoun in the oblique cases</w:t>
      </w:r>
      <w:r w:rsidR="001D7373" w:rsidRPr="00E37783">
        <w:rPr>
          <w:rFonts w:asciiTheme="majorBidi" w:hAnsiTheme="majorBidi" w:cstheme="majorBidi"/>
        </w:rPr>
        <w:t xml:space="preserve"> </w:t>
      </w:r>
      <w:r w:rsidR="004A25DE" w:rsidRPr="00E37783">
        <w:rPr>
          <w:rFonts w:asciiTheme="majorBidi" w:hAnsiTheme="majorBidi" w:cstheme="majorBidi"/>
        </w:rPr>
        <w:t>is known from classical Greek,</w:t>
      </w:r>
      <w:r w:rsidR="004A25DE" w:rsidRPr="00E37783">
        <w:rPr>
          <w:rStyle w:val="FootnoteReference"/>
          <w:rFonts w:asciiTheme="majorBidi" w:hAnsiTheme="majorBidi" w:cstheme="majorBidi"/>
        </w:rPr>
        <w:footnoteReference w:id="15"/>
      </w:r>
      <w:r w:rsidR="004A25DE" w:rsidRPr="00E37783">
        <w:rPr>
          <w:rFonts w:asciiTheme="majorBidi" w:hAnsiTheme="majorBidi" w:cstheme="majorBidi"/>
        </w:rPr>
        <w:t xml:space="preserve"> and is documented</w:t>
      </w:r>
      <w:r w:rsidRPr="00E37783">
        <w:rPr>
          <w:rFonts w:asciiTheme="majorBidi" w:hAnsiTheme="majorBidi" w:cstheme="majorBidi"/>
        </w:rPr>
        <w:t xml:space="preserve"> extensively in the Greek documents uncovered in </w:t>
      </w:r>
      <w:r w:rsidR="00FF0863" w:rsidRPr="00E37783">
        <w:rPr>
          <w:rFonts w:asciiTheme="majorBidi" w:hAnsiTheme="majorBidi" w:cstheme="majorBidi"/>
        </w:rPr>
        <w:t xml:space="preserve">Wadi Murabbaʽat </w:t>
      </w:r>
      <w:r w:rsidRPr="00E37783">
        <w:rPr>
          <w:rFonts w:asciiTheme="majorBidi" w:hAnsiTheme="majorBidi" w:cstheme="majorBidi"/>
        </w:rPr>
        <w:t>and in Na</w:t>
      </w:r>
      <w:r w:rsidR="00FF0863" w:rsidRPr="00E37783">
        <w:rPr>
          <w:rFonts w:asciiTheme="majorBidi" w:hAnsiTheme="majorBidi" w:cstheme="majorBidi"/>
        </w:rPr>
        <w:t>ḥ</w:t>
      </w:r>
      <w:r w:rsidRPr="00E37783">
        <w:rPr>
          <w:rFonts w:asciiTheme="majorBidi" w:hAnsiTheme="majorBidi" w:cstheme="majorBidi"/>
        </w:rPr>
        <w:t xml:space="preserve">al </w:t>
      </w:r>
      <w:r w:rsidR="00FF0863" w:rsidRPr="00E37783">
        <w:rPr>
          <w:rFonts w:asciiTheme="majorBidi" w:hAnsiTheme="majorBidi" w:cstheme="majorBidi"/>
        </w:rPr>
        <w:t>Ḥ</w:t>
      </w:r>
      <w:r w:rsidRPr="00E37783">
        <w:rPr>
          <w:rFonts w:asciiTheme="majorBidi" w:hAnsiTheme="majorBidi" w:cstheme="majorBidi"/>
        </w:rPr>
        <w:t>e</w:t>
      </w:r>
      <w:r w:rsidR="00FF0863" w:rsidRPr="00E37783">
        <w:rPr>
          <w:rFonts w:asciiTheme="majorBidi" w:hAnsiTheme="majorBidi" w:cstheme="majorBidi"/>
        </w:rPr>
        <w:t>ḇ</w:t>
      </w:r>
      <w:r w:rsidRPr="00E37783">
        <w:rPr>
          <w:rFonts w:asciiTheme="majorBidi" w:hAnsiTheme="majorBidi" w:cstheme="majorBidi"/>
        </w:rPr>
        <w:t>er, which reflected the contemporary Greek of the Tannaitic period.</w:t>
      </w:r>
    </w:p>
    <w:p w:rsidR="004A25DE" w:rsidRPr="00E37783" w:rsidRDefault="004A25DE" w:rsidP="004A25DE">
      <w:pPr>
        <w:spacing w:line="360" w:lineRule="auto"/>
        <w:rPr>
          <w:rFonts w:asciiTheme="majorBidi" w:hAnsiTheme="majorBidi" w:cstheme="majorBidi"/>
        </w:rPr>
      </w:pPr>
      <w:r w:rsidRPr="00E37783">
        <w:rPr>
          <w:rFonts w:asciiTheme="majorBidi" w:hAnsiTheme="majorBidi" w:cstheme="majorBidi"/>
        </w:rPr>
        <w:t>Here are two examples from the Greek Judean Desert documents:</w:t>
      </w:r>
    </w:p>
    <w:p w:rsidR="004A25DE" w:rsidRPr="00E37783" w:rsidRDefault="001D7373" w:rsidP="004A25DE">
      <w:pPr>
        <w:pStyle w:val="ListParagraph"/>
        <w:numPr>
          <w:ilvl w:val="0"/>
          <w:numId w:val="24"/>
        </w:numPr>
        <w:spacing w:line="360" w:lineRule="auto"/>
        <w:rPr>
          <w:rFonts w:asciiTheme="majorBidi" w:hAnsiTheme="majorBidi" w:cstheme="majorBidi"/>
        </w:rPr>
      </w:pPr>
      <w:r w:rsidRPr="00E37783">
        <w:rPr>
          <w:rFonts w:asciiTheme="majorBidi" w:hAnsiTheme="majorBidi" w:cstheme="majorBidi"/>
        </w:rPr>
        <w:t xml:space="preserve">ὅταν </w:t>
      </w:r>
      <w:proofErr w:type="spellStart"/>
      <w:r w:rsidRPr="00E37783">
        <w:rPr>
          <w:rFonts w:asciiTheme="majorBidi" w:hAnsiTheme="majorBidi" w:cstheme="majorBidi"/>
        </w:rPr>
        <w:t>δὲ</w:t>
      </w:r>
      <w:proofErr w:type="spellEnd"/>
      <w:r w:rsidRPr="00E37783">
        <w:rPr>
          <w:rFonts w:asciiTheme="majorBidi" w:hAnsiTheme="majorBidi" w:cstheme="majorBidi"/>
          <w:rtl/>
          <w:lang w:bidi="ar-JO"/>
        </w:rPr>
        <w:t xml:space="preserve"> </w:t>
      </w:r>
      <w:proofErr w:type="spellStart"/>
      <w:r w:rsidRPr="00E37783">
        <w:rPr>
          <w:rFonts w:asciiTheme="majorBidi" w:hAnsiTheme="majorBidi" w:cstheme="majorBidi"/>
        </w:rPr>
        <w:t>παρα̣νγείλει</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Σελα</w:t>
      </w:r>
      <w:proofErr w:type="spellEnd"/>
      <w:r w:rsidRPr="00E37783">
        <w:rPr>
          <w:rFonts w:asciiTheme="majorBidi" w:hAnsiTheme="majorBidi" w:cstheme="majorBidi"/>
        </w:rPr>
        <w:t>&lt;μ&gt;</w:t>
      </w:r>
      <w:proofErr w:type="spellStart"/>
      <w:r w:rsidRPr="00E37783">
        <w:rPr>
          <w:rFonts w:asciiTheme="majorBidi" w:hAnsiTheme="majorBidi" w:cstheme="majorBidi"/>
        </w:rPr>
        <w:t>ψιοῦς</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τῷ</w:t>
      </w:r>
      <w:proofErr w:type="spellEnd"/>
      <w:r w:rsidRPr="00E37783">
        <w:rPr>
          <w:rFonts w:asciiTheme="majorBidi" w:hAnsiTheme="majorBidi" w:cstheme="majorBidi"/>
        </w:rPr>
        <w:t xml:space="preserve"> </w:t>
      </w:r>
      <w:proofErr w:type="spellStart"/>
      <w:r w:rsidRPr="00E37783">
        <w:rPr>
          <w:rFonts w:asciiTheme="majorBidi" w:hAnsiTheme="majorBidi" w:cstheme="majorBidi"/>
          <w:b/>
          <w:bCs/>
        </w:rPr>
        <w:t>αὐτῷ</w:t>
      </w:r>
      <w:proofErr w:type="spellEnd"/>
      <w:r w:rsidRPr="00E37783">
        <w:rPr>
          <w:rFonts w:asciiTheme="majorBidi" w:hAnsiTheme="majorBidi" w:cstheme="majorBidi"/>
          <w:b/>
          <w:bCs/>
        </w:rPr>
        <w:t xml:space="preserve"> </w:t>
      </w:r>
      <w:proofErr w:type="spellStart"/>
      <w:r w:rsidRPr="00E37783">
        <w:rPr>
          <w:rFonts w:asciiTheme="majorBidi" w:hAnsiTheme="majorBidi" w:cstheme="majorBidi"/>
          <w:b/>
          <w:bCs/>
        </w:rPr>
        <w:t>Ἰούδατι</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τευχιζ</w:t>
      </w:r>
      <w:proofErr w:type="spellEnd"/>
      <w:r w:rsidRPr="00E37783">
        <w:rPr>
          <w:rFonts w:asciiTheme="majorBidi" w:hAnsiTheme="majorBidi" w:cstheme="majorBidi"/>
        </w:rPr>
        <w:t>{ζ}</w:t>
      </w:r>
      <w:proofErr w:type="spellStart"/>
      <w:r w:rsidRPr="00E37783">
        <w:rPr>
          <w:rFonts w:asciiTheme="majorBidi" w:hAnsiTheme="majorBidi" w:cstheme="majorBidi"/>
        </w:rPr>
        <w:t>ει</w:t>
      </w:r>
      <w:proofErr w:type="spellEnd"/>
      <w:r w:rsidRPr="00E37783">
        <w:rPr>
          <w:rFonts w:asciiTheme="majorBidi" w:hAnsiTheme="majorBidi" w:cstheme="majorBidi"/>
        </w:rPr>
        <w:t xml:space="preserve"> </w:t>
      </w:r>
      <w:proofErr w:type="spellStart"/>
      <w:r w:rsidRPr="00E37783">
        <w:rPr>
          <w:rFonts w:asciiTheme="majorBidi" w:hAnsiTheme="majorBidi" w:cstheme="majorBidi"/>
          <w:b/>
          <w:bCs/>
        </w:rPr>
        <w:t>αὐτὴν</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διὰ</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δημο</w:t>
      </w:r>
      <w:proofErr w:type="spellEnd"/>
      <w:r w:rsidRPr="00E37783">
        <w:rPr>
          <w:rFonts w:asciiTheme="majorBidi" w:hAnsiTheme="majorBidi" w:cstheme="majorBidi"/>
          <w:rtl/>
          <w:lang w:bidi="ar-JO"/>
        </w:rPr>
        <w:t>-</w:t>
      </w:r>
      <w:proofErr w:type="spellStart"/>
      <w:r w:rsidRPr="00E37783">
        <w:rPr>
          <w:rFonts w:asciiTheme="majorBidi" w:hAnsiTheme="majorBidi" w:cstheme="majorBidi"/>
        </w:rPr>
        <w:t>σίων</w:t>
      </w:r>
      <w:proofErr w:type="spellEnd"/>
      <w:r w:rsidRPr="00E37783">
        <w:rPr>
          <w:rFonts w:asciiTheme="majorBidi" w:hAnsiTheme="majorBidi" w:cstheme="majorBidi"/>
        </w:rPr>
        <w:t xml:space="preserve">. </w:t>
      </w:r>
    </w:p>
    <w:p w:rsidR="001D7373" w:rsidRPr="00E37783" w:rsidRDefault="001D7373" w:rsidP="004A25DE">
      <w:pPr>
        <w:pStyle w:val="ListParagraph"/>
        <w:spacing w:line="360" w:lineRule="auto"/>
        <w:rPr>
          <w:rFonts w:asciiTheme="majorBidi" w:hAnsiTheme="majorBidi" w:cstheme="majorBidi"/>
        </w:rPr>
      </w:pPr>
      <w:r w:rsidRPr="00E37783">
        <w:rPr>
          <w:rFonts w:asciiTheme="majorBidi" w:hAnsiTheme="majorBidi" w:cstheme="majorBidi"/>
        </w:rPr>
        <w:t xml:space="preserve">And whenever </w:t>
      </w:r>
      <w:proofErr w:type="spellStart"/>
      <w:r w:rsidRPr="00E37783">
        <w:rPr>
          <w:rFonts w:asciiTheme="majorBidi" w:hAnsiTheme="majorBidi" w:cstheme="majorBidi"/>
        </w:rPr>
        <w:t>Shelamzious</w:t>
      </w:r>
      <w:proofErr w:type="spellEnd"/>
      <w:r w:rsidRPr="00E37783">
        <w:rPr>
          <w:rFonts w:asciiTheme="majorBidi" w:hAnsiTheme="majorBidi" w:cstheme="majorBidi"/>
        </w:rPr>
        <w:t xml:space="preserve"> summons the </w:t>
      </w:r>
      <w:r w:rsidRPr="00E37783">
        <w:rPr>
          <w:rFonts w:asciiTheme="majorBidi" w:hAnsiTheme="majorBidi" w:cstheme="majorBidi"/>
          <w:b/>
          <w:bCs/>
        </w:rPr>
        <w:t>said Judah</w:t>
      </w:r>
      <w:r w:rsidRPr="00E37783">
        <w:rPr>
          <w:rFonts w:asciiTheme="majorBidi" w:hAnsiTheme="majorBidi" w:cstheme="majorBidi"/>
        </w:rPr>
        <w:t xml:space="preserve"> he will register </w:t>
      </w:r>
      <w:r w:rsidRPr="00E37783">
        <w:rPr>
          <w:rFonts w:asciiTheme="majorBidi" w:hAnsiTheme="majorBidi" w:cstheme="majorBidi"/>
          <w:b/>
          <w:bCs/>
        </w:rPr>
        <w:t xml:space="preserve">it </w:t>
      </w:r>
      <w:r w:rsidRPr="00E37783">
        <w:rPr>
          <w:rFonts w:asciiTheme="majorBidi" w:hAnsiTheme="majorBidi" w:cstheme="majorBidi"/>
        </w:rPr>
        <w:t xml:space="preserve">with </w:t>
      </w:r>
      <w:proofErr w:type="spellStart"/>
      <w:r w:rsidRPr="00E37783">
        <w:rPr>
          <w:rFonts w:asciiTheme="majorBidi" w:hAnsiTheme="majorBidi" w:cstheme="majorBidi"/>
        </w:rPr>
        <w:t>publc</w:t>
      </w:r>
      <w:proofErr w:type="spellEnd"/>
      <w:r w:rsidRPr="00E37783">
        <w:rPr>
          <w:rFonts w:asciiTheme="majorBidi" w:hAnsiTheme="majorBidi" w:cstheme="majorBidi"/>
        </w:rPr>
        <w:t xml:space="preserve"> authorities. (Papyrus Yadin 19, Outer text, Lines 25-27; Lewis 1989:75)</w:t>
      </w:r>
    </w:p>
    <w:p w:rsidR="001D7373" w:rsidRPr="00E37783" w:rsidRDefault="001D7373" w:rsidP="004A25DE">
      <w:pPr>
        <w:pStyle w:val="ListParagraph"/>
        <w:numPr>
          <w:ilvl w:val="0"/>
          <w:numId w:val="24"/>
        </w:numPr>
        <w:spacing w:line="360" w:lineRule="auto"/>
        <w:rPr>
          <w:rFonts w:asciiTheme="majorBidi" w:hAnsiTheme="majorBidi" w:cstheme="majorBidi"/>
        </w:rPr>
      </w:pPr>
      <w:r w:rsidRPr="00E37783">
        <w:rPr>
          <w:rFonts w:asciiTheme="majorBidi" w:hAnsiTheme="majorBidi" w:cstheme="majorBidi"/>
        </w:rPr>
        <w:t xml:space="preserve">ὃ </w:t>
      </w:r>
      <w:proofErr w:type="spellStart"/>
      <w:r w:rsidRPr="00E37783">
        <w:rPr>
          <w:rFonts w:asciiTheme="majorBidi" w:hAnsiTheme="majorBidi" w:cstheme="majorBidi"/>
        </w:rPr>
        <w:t>ἀργύριον</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ἀποδ̣ώσω</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σοι</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κ̣αλάνδαις</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Ἰαναουαρία̣ις</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τῷ</w:t>
      </w:r>
      <w:proofErr w:type="spellEnd"/>
      <w:r w:rsidRPr="00E37783">
        <w:rPr>
          <w:rFonts w:asciiTheme="majorBidi" w:hAnsiTheme="majorBidi" w:cstheme="majorBidi"/>
        </w:rPr>
        <w:t xml:space="preserve"> </w:t>
      </w:r>
      <w:proofErr w:type="spellStart"/>
      <w:r w:rsidRPr="00E37783">
        <w:rPr>
          <w:rFonts w:asciiTheme="majorBidi" w:hAnsiTheme="majorBidi" w:cstheme="majorBidi"/>
          <w:b/>
          <w:bCs/>
        </w:rPr>
        <w:t>αὐτῷ</w:t>
      </w:r>
      <w:proofErr w:type="spellEnd"/>
      <w:r w:rsidRPr="00E37783">
        <w:rPr>
          <w:rFonts w:asciiTheme="majorBidi" w:hAnsiTheme="majorBidi" w:cstheme="majorBidi"/>
          <w:b/>
          <w:bCs/>
        </w:rPr>
        <w:t xml:space="preserve"> </w:t>
      </w:r>
      <w:proofErr w:type="spellStart"/>
      <w:r w:rsidRPr="00E37783">
        <w:rPr>
          <w:rFonts w:asciiTheme="majorBidi" w:hAnsiTheme="majorBidi" w:cstheme="majorBidi"/>
          <w:b/>
          <w:bCs/>
        </w:rPr>
        <w:t>ἔτει</w:t>
      </w:r>
      <w:proofErr w:type="spellEnd"/>
      <w:r w:rsidRPr="00E37783">
        <w:rPr>
          <w:rFonts w:asciiTheme="majorBidi" w:hAnsiTheme="majorBidi" w:cstheme="majorBidi"/>
          <w:b/>
          <w:bCs/>
        </w:rPr>
        <w:t>̣</w:t>
      </w:r>
      <w:r w:rsidRPr="00E37783">
        <w:rPr>
          <w:rFonts w:asciiTheme="majorBidi" w:hAnsiTheme="majorBidi" w:cstheme="majorBidi"/>
        </w:rPr>
        <w:t xml:space="preserve"> [</w:t>
      </w:r>
      <w:proofErr w:type="spellStart"/>
      <w:r w:rsidRPr="00E37783">
        <w:rPr>
          <w:rFonts w:asciiTheme="majorBidi" w:hAnsiTheme="majorBidi" w:cstheme="majorBidi"/>
        </w:rPr>
        <w:t>τῆς</w:t>
      </w:r>
      <w:proofErr w:type="spellEnd"/>
      <w:r w:rsidRPr="00E37783">
        <w:rPr>
          <w:rFonts w:asciiTheme="majorBidi" w:hAnsiTheme="majorBidi" w:cstheme="majorBidi"/>
        </w:rPr>
        <w:t xml:space="preserve">] </w:t>
      </w:r>
      <w:proofErr w:type="spellStart"/>
      <w:r w:rsidRPr="00E37783">
        <w:rPr>
          <w:rFonts w:asciiTheme="majorBidi" w:hAnsiTheme="majorBidi" w:cstheme="majorBidi"/>
          <w:b/>
          <w:bCs/>
        </w:rPr>
        <w:t>α̣ὐτῆς</w:t>
      </w:r>
      <w:proofErr w:type="spellEnd"/>
      <w:r w:rsidRPr="00E37783">
        <w:rPr>
          <w:rFonts w:asciiTheme="majorBidi" w:hAnsiTheme="majorBidi" w:cstheme="majorBidi"/>
          <w:b/>
          <w:bCs/>
        </w:rPr>
        <w:t xml:space="preserve">̣ </w:t>
      </w:r>
      <w:proofErr w:type="spellStart"/>
      <w:r w:rsidRPr="00E37783">
        <w:rPr>
          <w:rFonts w:asciiTheme="majorBidi" w:hAnsiTheme="majorBidi" w:cstheme="majorBidi"/>
          <w:b/>
          <w:bCs/>
        </w:rPr>
        <w:t>ὑ̣π̣α̣τ̣είας</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τὸν</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δὲ</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τόκον</w:t>
      </w:r>
      <w:proofErr w:type="spellEnd"/>
      <w:r w:rsidRPr="00E37783">
        <w:rPr>
          <w:rFonts w:asciiTheme="majorBidi" w:hAnsiTheme="majorBidi" w:cstheme="majorBidi"/>
          <w:rtl/>
          <w:lang w:bidi="ar-JO"/>
        </w:rPr>
        <w:t xml:space="preserve"> </w:t>
      </w:r>
      <w:proofErr w:type="spellStart"/>
      <w:r w:rsidRPr="00E37783">
        <w:rPr>
          <w:rFonts w:asciiTheme="majorBidi" w:hAnsiTheme="majorBidi" w:cstheme="majorBidi"/>
        </w:rPr>
        <w:t>χορηγήσω</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σοι</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τοῦ</w:t>
      </w:r>
      <w:proofErr w:type="spellEnd"/>
      <w:r w:rsidRPr="00E37783">
        <w:rPr>
          <w:rFonts w:asciiTheme="majorBidi" w:hAnsiTheme="majorBidi" w:cstheme="majorBidi"/>
        </w:rPr>
        <w:t xml:space="preserve"> </w:t>
      </w:r>
      <w:r w:rsidRPr="00E37783">
        <w:rPr>
          <w:rFonts w:asciiTheme="majorBidi" w:hAnsiTheme="majorBidi" w:cstheme="majorBidi"/>
          <w:b/>
          <w:bCs/>
        </w:rPr>
        <w:t xml:space="preserve">αὐτοῦ </w:t>
      </w:r>
      <w:proofErr w:type="spellStart"/>
      <w:r w:rsidRPr="00E37783">
        <w:rPr>
          <w:rFonts w:asciiTheme="majorBidi" w:hAnsiTheme="majorBidi" w:cstheme="majorBidi"/>
          <w:b/>
          <w:bCs/>
        </w:rPr>
        <w:t>ἀργυρίου</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κα̣τ̣ὰ</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μῆνα</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ὡς</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τ̣ῶ</w:t>
      </w:r>
      <w:proofErr w:type="spellEnd"/>
      <w:r w:rsidRPr="00E37783">
        <w:rPr>
          <w:rFonts w:asciiTheme="majorBidi" w:hAnsiTheme="majorBidi" w:cstheme="majorBidi"/>
        </w:rPr>
        <w:t xml:space="preserve">[ν] </w:t>
      </w:r>
      <w:proofErr w:type="spellStart"/>
      <w:r w:rsidRPr="00E37783">
        <w:rPr>
          <w:rFonts w:asciiTheme="majorBidi" w:hAnsiTheme="majorBidi" w:cstheme="majorBidi"/>
        </w:rPr>
        <w:t>ἑκατὸν</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δ̣η</w:t>
      </w:r>
      <w:proofErr w:type="spellEnd"/>
      <w:r w:rsidRPr="00E37783">
        <w:rPr>
          <w:rFonts w:asciiTheme="majorBidi" w:hAnsiTheme="majorBidi" w:cstheme="majorBidi"/>
        </w:rPr>
        <w:t>̣[</w:t>
      </w:r>
      <w:proofErr w:type="spellStart"/>
      <w:r w:rsidRPr="00E37783">
        <w:rPr>
          <w:rFonts w:asciiTheme="majorBidi" w:hAnsiTheme="majorBidi" w:cstheme="majorBidi"/>
        </w:rPr>
        <w:t>να</w:t>
      </w:r>
      <w:proofErr w:type="spellEnd"/>
      <w:r w:rsidRPr="00E37783">
        <w:rPr>
          <w:rFonts w:asciiTheme="majorBidi" w:hAnsiTheme="majorBidi" w:cstheme="majorBidi"/>
        </w:rPr>
        <w:t>]</w:t>
      </w:r>
      <w:proofErr w:type="spellStart"/>
      <w:r w:rsidRPr="00E37783">
        <w:rPr>
          <w:rFonts w:asciiTheme="majorBidi" w:hAnsiTheme="majorBidi" w:cstheme="majorBidi"/>
        </w:rPr>
        <w:t>ρων</w:t>
      </w:r>
      <w:proofErr w:type="spellEnd"/>
      <w:r w:rsidRPr="00E37783">
        <w:rPr>
          <w:rFonts w:asciiTheme="majorBidi" w:hAnsiTheme="majorBidi" w:cstheme="majorBidi"/>
        </w:rPr>
        <w:t xml:space="preserve"> δ[η]</w:t>
      </w:r>
      <w:proofErr w:type="spellStart"/>
      <w:r w:rsidRPr="00E37783">
        <w:rPr>
          <w:rFonts w:asciiTheme="majorBidi" w:hAnsiTheme="majorBidi" w:cstheme="majorBidi"/>
        </w:rPr>
        <w:t>ν̣αρον</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ἕν</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κατὰ</w:t>
      </w:r>
      <w:proofErr w:type="spellEnd"/>
      <w:r w:rsidRPr="00E37783">
        <w:rPr>
          <w:rFonts w:asciiTheme="majorBidi" w:hAnsiTheme="majorBidi" w:cstheme="majorBidi"/>
        </w:rPr>
        <w:t xml:space="preserve"> </w:t>
      </w:r>
      <w:proofErr w:type="spellStart"/>
      <w:r w:rsidRPr="00E37783">
        <w:rPr>
          <w:rFonts w:asciiTheme="majorBidi" w:hAnsiTheme="majorBidi" w:cstheme="majorBidi"/>
        </w:rPr>
        <w:t>μῆνα</w:t>
      </w:r>
      <w:proofErr w:type="spellEnd"/>
      <w:r w:rsidRPr="00E37783">
        <w:rPr>
          <w:rFonts w:asciiTheme="majorBidi" w:hAnsiTheme="majorBidi" w:cstheme="majorBidi"/>
        </w:rPr>
        <w:t xml:space="preserve">. </w:t>
      </w:r>
    </w:p>
    <w:p w:rsidR="001D7373" w:rsidRPr="00E37783" w:rsidRDefault="001D7373" w:rsidP="004A25DE">
      <w:pPr>
        <w:pStyle w:val="ListParagraph"/>
        <w:spacing w:line="360" w:lineRule="auto"/>
        <w:rPr>
          <w:rFonts w:asciiTheme="majorBidi" w:hAnsiTheme="majorBidi" w:cstheme="majorBidi"/>
        </w:rPr>
      </w:pPr>
      <w:r w:rsidRPr="00E37783">
        <w:rPr>
          <w:rFonts w:asciiTheme="majorBidi" w:hAnsiTheme="majorBidi" w:cstheme="majorBidi"/>
        </w:rPr>
        <w:t xml:space="preserve">which money I will repay to you on the kalends of January in the </w:t>
      </w:r>
      <w:r w:rsidRPr="00E37783">
        <w:rPr>
          <w:rFonts w:asciiTheme="majorBidi" w:hAnsiTheme="majorBidi" w:cstheme="majorBidi"/>
          <w:b/>
          <w:bCs/>
        </w:rPr>
        <w:t>same year</w:t>
      </w:r>
      <w:r w:rsidRPr="00E37783">
        <w:rPr>
          <w:rFonts w:asciiTheme="majorBidi" w:hAnsiTheme="majorBidi" w:cstheme="majorBidi"/>
        </w:rPr>
        <w:t xml:space="preserve"> during the </w:t>
      </w:r>
      <w:r w:rsidRPr="00E37783">
        <w:rPr>
          <w:rFonts w:asciiTheme="majorBidi" w:hAnsiTheme="majorBidi" w:cstheme="majorBidi"/>
          <w:b/>
          <w:bCs/>
        </w:rPr>
        <w:t>said consulship</w:t>
      </w:r>
      <w:r w:rsidRPr="00E37783">
        <w:rPr>
          <w:rFonts w:asciiTheme="majorBidi" w:hAnsiTheme="majorBidi" w:cstheme="majorBidi"/>
        </w:rPr>
        <w:t xml:space="preserve">, and the interest of the </w:t>
      </w:r>
      <w:r w:rsidRPr="00E37783">
        <w:rPr>
          <w:rFonts w:asciiTheme="majorBidi" w:hAnsiTheme="majorBidi" w:cstheme="majorBidi"/>
          <w:b/>
          <w:bCs/>
        </w:rPr>
        <w:t>said money</w:t>
      </w:r>
      <w:r w:rsidRPr="00E37783">
        <w:rPr>
          <w:rFonts w:asciiTheme="majorBidi" w:hAnsiTheme="majorBidi" w:cstheme="majorBidi"/>
        </w:rPr>
        <w:t xml:space="preserve"> I will deliver to you monthly at the rate of one denarius per hundred denarii per month. (Papyrus Yadin 11, Outer text, Lines 19-22; Lewis 1989:45)</w:t>
      </w:r>
    </w:p>
    <w:p w:rsidR="00413692" w:rsidRPr="00E37783" w:rsidRDefault="00413692" w:rsidP="00D45F6D">
      <w:pPr>
        <w:spacing w:line="360" w:lineRule="auto"/>
        <w:rPr>
          <w:rFonts w:asciiTheme="majorBidi" w:hAnsiTheme="majorBidi" w:cstheme="majorBidi"/>
        </w:rPr>
      </w:pPr>
      <w:r w:rsidRPr="00E37783">
        <w:rPr>
          <w:rFonts w:asciiTheme="majorBidi" w:hAnsiTheme="majorBidi" w:cstheme="majorBidi"/>
        </w:rPr>
        <w:t xml:space="preserve">The syntactical </w:t>
      </w:r>
      <w:r w:rsidR="00D260AE" w:rsidRPr="00E37783">
        <w:rPr>
          <w:rFonts w:asciiTheme="majorBidi" w:hAnsiTheme="majorBidi" w:cstheme="majorBidi"/>
        </w:rPr>
        <w:t>analogy</w:t>
      </w:r>
      <w:r w:rsidRPr="00E37783">
        <w:rPr>
          <w:rFonts w:asciiTheme="majorBidi" w:hAnsiTheme="majorBidi" w:cstheme="majorBidi"/>
        </w:rPr>
        <w:t xml:space="preserve"> to the Greek is complete in all respects – both in the position of the pronoun and in its double function as an independent object pronoun and a pronoun of identity. Accordingly, this seems to us to offer the best explanation for the change in </w:t>
      </w:r>
      <w:r w:rsidR="00392B8E" w:rsidRPr="00E37783">
        <w:rPr>
          <w:rFonts w:asciiTheme="majorBidi" w:hAnsiTheme="majorBidi" w:cstheme="majorBidi"/>
        </w:rPr>
        <w:t>R</w:t>
      </w:r>
      <w:r w:rsidR="00D7010A" w:rsidRPr="00E37783">
        <w:rPr>
          <w:rFonts w:asciiTheme="majorBidi" w:hAnsiTheme="majorBidi" w:cstheme="majorBidi"/>
        </w:rPr>
        <w:t>abbinic Hebrew</w:t>
      </w:r>
      <w:r w:rsidRPr="00E37783">
        <w:rPr>
          <w:rFonts w:asciiTheme="majorBidi" w:hAnsiTheme="majorBidi" w:cstheme="majorBidi"/>
        </w:rPr>
        <w:t>. It is even possible that the similarity between the sound of the Greek and Hebrew words facilitated the influencing of the Hebrew structure by the Greek one.</w:t>
      </w:r>
    </w:p>
    <w:p w:rsidR="00917D1E" w:rsidRPr="00E37783" w:rsidRDefault="00545152" w:rsidP="00917D1E">
      <w:pPr>
        <w:spacing w:line="360" w:lineRule="auto"/>
        <w:rPr>
          <w:rFonts w:asciiTheme="majorBidi" w:hAnsiTheme="majorBidi" w:cstheme="majorBidi"/>
          <w:b/>
          <w:bCs/>
        </w:rPr>
      </w:pPr>
      <w:r>
        <w:rPr>
          <w:rFonts w:asciiTheme="majorBidi" w:hAnsiTheme="majorBidi" w:cstheme="majorBidi"/>
          <w:b/>
          <w:bCs/>
        </w:rPr>
        <w:tab/>
        <w:t>i</w:t>
      </w:r>
      <w:r w:rsidR="00917D1E" w:rsidRPr="00E37783">
        <w:rPr>
          <w:rFonts w:asciiTheme="majorBidi" w:hAnsiTheme="majorBidi" w:cstheme="majorBidi"/>
          <w:b/>
          <w:bCs/>
        </w:rPr>
        <w:t xml:space="preserve">ii. Additional Instances of Greek Influence on Function Words in Rabbinic Hebrew </w:t>
      </w:r>
    </w:p>
    <w:p w:rsidR="001C3C65" w:rsidRPr="00E37783" w:rsidRDefault="00413692" w:rsidP="00C55268">
      <w:pPr>
        <w:spacing w:line="360" w:lineRule="auto"/>
        <w:rPr>
          <w:rFonts w:asciiTheme="majorBidi" w:hAnsiTheme="majorBidi" w:cstheme="majorBidi"/>
        </w:rPr>
      </w:pPr>
      <w:r w:rsidRPr="00E37783">
        <w:rPr>
          <w:rFonts w:asciiTheme="majorBidi" w:hAnsiTheme="majorBidi" w:cstheme="majorBidi"/>
        </w:rPr>
        <w:t xml:space="preserve">A similar example of Greek influence on Hebrew in the area of pronouns has been </w:t>
      </w:r>
      <w:proofErr w:type="spellStart"/>
      <w:r w:rsidR="007B132E" w:rsidRPr="00E37783">
        <w:rPr>
          <w:rFonts w:asciiTheme="majorBidi" w:hAnsiTheme="majorBidi" w:cstheme="majorBidi"/>
        </w:rPr>
        <w:t>indetif</w:t>
      </w:r>
      <w:r w:rsidRPr="00E37783">
        <w:rPr>
          <w:rFonts w:asciiTheme="majorBidi" w:hAnsiTheme="majorBidi" w:cstheme="majorBidi"/>
        </w:rPr>
        <w:t>ed</w:t>
      </w:r>
      <w:proofErr w:type="spellEnd"/>
      <w:r w:rsidRPr="00E37783">
        <w:rPr>
          <w:rFonts w:asciiTheme="majorBidi" w:hAnsiTheme="majorBidi" w:cstheme="majorBidi"/>
        </w:rPr>
        <w:t xml:space="preserve"> elsewhere. The influence of the Greek pronoun </w:t>
      </w:r>
      <w:proofErr w:type="spellStart"/>
      <w:r w:rsidRPr="00E37783">
        <w:rPr>
          <w:rFonts w:asciiTheme="majorBidi" w:hAnsiTheme="majorBidi" w:cstheme="majorBidi"/>
        </w:rPr>
        <w:t>ἄλλος</w:t>
      </w:r>
      <w:proofErr w:type="spellEnd"/>
      <w:r w:rsidRPr="00E37783">
        <w:rPr>
          <w:rFonts w:asciiTheme="majorBidi" w:hAnsiTheme="majorBidi" w:cstheme="majorBidi"/>
        </w:rPr>
        <w:t xml:space="preserve"> on the use of the pronoun </w:t>
      </w:r>
      <w:r w:rsidRPr="00E37783">
        <w:rPr>
          <w:rFonts w:asciiTheme="majorBidi" w:hAnsiTheme="majorBidi" w:cstheme="majorBidi"/>
          <w:b/>
          <w:bCs/>
          <w:rtl/>
        </w:rPr>
        <w:t>הלה</w:t>
      </w:r>
      <w:r w:rsidRPr="00E37783">
        <w:rPr>
          <w:rFonts w:asciiTheme="majorBidi" w:hAnsiTheme="majorBidi" w:cstheme="majorBidi"/>
        </w:rPr>
        <w:t xml:space="preserve"> in </w:t>
      </w:r>
      <w:r w:rsidR="00D260AE" w:rsidRPr="00E37783">
        <w:rPr>
          <w:rFonts w:asciiTheme="majorBidi" w:hAnsiTheme="majorBidi" w:cstheme="majorBidi"/>
        </w:rPr>
        <w:t>Tannaitic</w:t>
      </w:r>
      <w:r w:rsidRPr="00E37783">
        <w:rPr>
          <w:rFonts w:asciiTheme="majorBidi" w:hAnsiTheme="majorBidi" w:cstheme="majorBidi"/>
        </w:rPr>
        <w:t xml:space="preserve"> Hebrew to mark a change in the subject of the sentence was noted by </w:t>
      </w:r>
      <w:proofErr w:type="spellStart"/>
      <w:r w:rsidR="0015310A" w:rsidRPr="00E37783">
        <w:rPr>
          <w:rFonts w:asciiTheme="majorBidi" w:hAnsiTheme="majorBidi" w:cstheme="majorBidi"/>
          <w:lang w:bidi="ar-JO"/>
        </w:rPr>
        <w:t>Musaphia</w:t>
      </w:r>
      <w:proofErr w:type="spellEnd"/>
      <w:r w:rsidRPr="00E37783">
        <w:rPr>
          <w:rFonts w:asciiTheme="majorBidi" w:hAnsiTheme="majorBidi" w:cstheme="majorBidi"/>
        </w:rPr>
        <w:t xml:space="preserve"> (1655) and discussed by Breuer (2002</w:t>
      </w:r>
      <w:r w:rsidR="00224F12" w:rsidRPr="00E37783">
        <w:rPr>
          <w:rFonts w:asciiTheme="majorBidi" w:hAnsiTheme="majorBidi" w:cstheme="majorBidi"/>
        </w:rPr>
        <w:t>: 215 n. 257</w:t>
      </w:r>
      <w:r w:rsidRPr="00E37783">
        <w:rPr>
          <w:rFonts w:asciiTheme="majorBidi" w:hAnsiTheme="majorBidi" w:cstheme="majorBidi"/>
        </w:rPr>
        <w:t xml:space="preserve">). This instance shows that Greek pronouns may have penetrated, or at least influenced, </w:t>
      </w:r>
      <w:r w:rsidR="00392B8E" w:rsidRPr="00E37783">
        <w:rPr>
          <w:rFonts w:asciiTheme="majorBidi" w:hAnsiTheme="majorBidi" w:cstheme="majorBidi"/>
        </w:rPr>
        <w:t>Mishna</w:t>
      </w:r>
      <w:r w:rsidR="00D7010A" w:rsidRPr="00E37783">
        <w:rPr>
          <w:rFonts w:asciiTheme="majorBidi" w:hAnsiTheme="majorBidi" w:cstheme="majorBidi"/>
        </w:rPr>
        <w:t>ic Hebrew</w:t>
      </w:r>
      <w:r w:rsidRPr="00E37783">
        <w:rPr>
          <w:rFonts w:asciiTheme="majorBidi" w:hAnsiTheme="majorBidi" w:cstheme="majorBidi"/>
        </w:rPr>
        <w:t>.</w:t>
      </w:r>
    </w:p>
    <w:p w:rsidR="00917D1E" w:rsidRPr="00E37783" w:rsidRDefault="00917D1E" w:rsidP="00917D1E">
      <w:pPr>
        <w:spacing w:line="360" w:lineRule="auto"/>
        <w:rPr>
          <w:rFonts w:asciiTheme="majorBidi" w:hAnsiTheme="majorBidi" w:cstheme="majorBidi"/>
        </w:rPr>
      </w:pPr>
      <w:r w:rsidRPr="00E37783">
        <w:rPr>
          <w:rFonts w:asciiTheme="majorBidi" w:hAnsiTheme="majorBidi" w:cstheme="majorBidi"/>
        </w:rPr>
        <w:lastRenderedPageBreak/>
        <w:t xml:space="preserve">Scholars have noted additional function words that show Greek influence. Lieberman (1950: 298-299, after Benveniste 1754; 39a) clarified the phrase </w:t>
      </w:r>
      <w:r w:rsidRPr="00E37783">
        <w:rPr>
          <w:rFonts w:asciiTheme="majorBidi" w:hAnsiTheme="majorBidi" w:cstheme="majorBidi"/>
          <w:b/>
          <w:bCs/>
          <w:rtl/>
        </w:rPr>
        <w:t>בפרוס הפסח</w:t>
      </w:r>
      <w:r w:rsidRPr="00E37783">
        <w:rPr>
          <w:rFonts w:asciiTheme="majorBidi" w:hAnsiTheme="majorBidi" w:cstheme="majorBidi"/>
          <w:b/>
          <w:bCs/>
        </w:rPr>
        <w:t xml:space="preserve"> </w:t>
      </w:r>
      <w:r w:rsidRPr="00E37783">
        <w:rPr>
          <w:rFonts w:asciiTheme="majorBidi" w:hAnsiTheme="majorBidi" w:cstheme="majorBidi"/>
        </w:rPr>
        <w:t xml:space="preserve">(‘before Passover’) in Tannaitic Hebrew in light of the Greek </w:t>
      </w:r>
      <w:proofErr w:type="spellStart"/>
      <w:r w:rsidRPr="00E37783">
        <w:rPr>
          <w:rFonts w:asciiTheme="majorBidi" w:hAnsiTheme="majorBidi" w:cstheme="majorBidi"/>
        </w:rPr>
        <w:t>πρός</w:t>
      </w:r>
      <w:proofErr w:type="spellEnd"/>
      <w:r w:rsidRPr="00E37783">
        <w:rPr>
          <w:rFonts w:asciiTheme="majorBidi" w:hAnsiTheme="majorBidi" w:cstheme="majorBidi"/>
        </w:rPr>
        <w:t xml:space="preserve"> (‘before’). </w:t>
      </w:r>
      <w:proofErr w:type="spellStart"/>
      <w:r w:rsidRPr="00E37783">
        <w:rPr>
          <w:rFonts w:asciiTheme="majorBidi" w:hAnsiTheme="majorBidi" w:cstheme="majorBidi"/>
        </w:rPr>
        <w:t>Bendavid</w:t>
      </w:r>
      <w:proofErr w:type="spellEnd"/>
      <w:r w:rsidRPr="00E37783">
        <w:rPr>
          <w:rFonts w:asciiTheme="majorBidi" w:hAnsiTheme="majorBidi" w:cstheme="majorBidi"/>
        </w:rPr>
        <w:t xml:space="preserve"> 1971:148 argued that the meanings of the conjunction </w:t>
      </w:r>
      <w:r w:rsidRPr="00E37783">
        <w:rPr>
          <w:rFonts w:asciiTheme="majorBidi" w:hAnsiTheme="majorBidi" w:cs="Times New Roman"/>
          <w:b/>
          <w:bCs/>
          <w:rtl/>
        </w:rPr>
        <w:t>אֶלָּא</w:t>
      </w:r>
      <w:r w:rsidRPr="00E37783">
        <w:rPr>
          <w:rFonts w:asciiTheme="majorBidi" w:hAnsiTheme="majorBidi" w:cs="Times New Roman"/>
          <w:b/>
          <w:bCs/>
        </w:rPr>
        <w:t xml:space="preserve"> </w:t>
      </w:r>
      <w:r w:rsidRPr="00E37783">
        <w:rPr>
          <w:rFonts w:asciiTheme="majorBidi" w:hAnsiTheme="majorBidi" w:cs="Times New Roman"/>
        </w:rPr>
        <w:t xml:space="preserve">(‘but’) in the Mishna were influenced by the identical-sounding Greek word </w:t>
      </w:r>
      <w:proofErr w:type="spellStart"/>
      <w:r w:rsidRPr="00E37783">
        <w:rPr>
          <w:rFonts w:asciiTheme="majorBidi" w:hAnsiTheme="majorBidi" w:cstheme="majorBidi"/>
        </w:rPr>
        <w:t>αλλά</w:t>
      </w:r>
      <w:proofErr w:type="spellEnd"/>
      <w:r w:rsidRPr="00E37783">
        <w:rPr>
          <w:rFonts w:asciiTheme="majorBidi" w:hAnsiTheme="majorBidi" w:cstheme="majorBidi"/>
        </w:rPr>
        <w:t>. The common feature linking all these four words is the sonorous similarity between the Greek word and a Hebrew word.</w:t>
      </w:r>
    </w:p>
    <w:p w:rsidR="00917D1E" w:rsidRPr="00E37783" w:rsidRDefault="00545152" w:rsidP="00545152">
      <w:pPr>
        <w:spacing w:line="360" w:lineRule="auto"/>
        <w:rPr>
          <w:rFonts w:asciiTheme="majorBidi" w:hAnsiTheme="majorBidi" w:cstheme="majorBidi"/>
          <w:b/>
          <w:bCs/>
        </w:rPr>
      </w:pPr>
      <w:r>
        <w:rPr>
          <w:rFonts w:asciiTheme="majorBidi" w:hAnsiTheme="majorBidi" w:cstheme="majorBidi"/>
          <w:b/>
          <w:bCs/>
        </w:rPr>
        <w:t>5</w:t>
      </w:r>
      <w:r w:rsidR="00917D1E" w:rsidRPr="00E37783">
        <w:rPr>
          <w:rFonts w:asciiTheme="majorBidi" w:hAnsiTheme="majorBidi" w:cstheme="majorBidi"/>
          <w:b/>
          <w:bCs/>
        </w:rPr>
        <w:t xml:space="preserve">. The Extreme Character of the Change </w:t>
      </w:r>
    </w:p>
    <w:p w:rsidR="00973342" w:rsidRPr="00E37783" w:rsidRDefault="001C3C65" w:rsidP="00917D1E">
      <w:pPr>
        <w:spacing w:line="360" w:lineRule="auto"/>
        <w:rPr>
          <w:rFonts w:asciiTheme="majorBidi" w:hAnsiTheme="majorBidi" w:cstheme="majorBidi"/>
        </w:rPr>
      </w:pPr>
      <w:r w:rsidRPr="00E37783">
        <w:rPr>
          <w:rFonts w:asciiTheme="majorBidi" w:hAnsiTheme="majorBidi" w:cstheme="majorBidi"/>
        </w:rPr>
        <w:t xml:space="preserve">We now face the question: why was this shift so rapid and extreme? </w:t>
      </w:r>
      <w:r w:rsidR="00917D1E" w:rsidRPr="00E37783">
        <w:rPr>
          <w:rFonts w:asciiTheme="majorBidi" w:hAnsiTheme="majorBidi" w:cstheme="majorBidi"/>
        </w:rPr>
        <w:t xml:space="preserve">I will seek to offer two complementary avenues of research that may resolve this problem – genre and </w:t>
      </w:r>
      <w:proofErr w:type="spellStart"/>
      <w:r w:rsidR="00917D1E" w:rsidRPr="00E37783">
        <w:rPr>
          <w:rFonts w:asciiTheme="majorBidi" w:hAnsiTheme="majorBidi" w:cstheme="majorBidi"/>
        </w:rPr>
        <w:t>morphosemantics</w:t>
      </w:r>
      <w:proofErr w:type="spellEnd"/>
      <w:r w:rsidR="00917D1E" w:rsidRPr="00E37783">
        <w:rPr>
          <w:rFonts w:asciiTheme="majorBidi" w:hAnsiTheme="majorBidi" w:cstheme="majorBidi"/>
        </w:rPr>
        <w:t xml:space="preserve">. </w:t>
      </w:r>
    </w:p>
    <w:p w:rsidR="00917D1E" w:rsidRPr="00E37783" w:rsidRDefault="00545152" w:rsidP="00917D1E">
      <w:pPr>
        <w:spacing w:line="360" w:lineRule="auto"/>
        <w:rPr>
          <w:rFonts w:asciiTheme="majorBidi" w:hAnsiTheme="majorBidi" w:cstheme="majorBidi"/>
          <w:b/>
          <w:bCs/>
        </w:rPr>
      </w:pPr>
      <w:r>
        <w:rPr>
          <w:rFonts w:asciiTheme="majorBidi" w:hAnsiTheme="majorBidi" w:cstheme="majorBidi"/>
          <w:b/>
          <w:bCs/>
        </w:rPr>
        <w:tab/>
      </w:r>
      <w:r w:rsidR="00917D1E" w:rsidRPr="00E37783">
        <w:rPr>
          <w:rFonts w:asciiTheme="majorBidi" w:hAnsiTheme="majorBidi" w:cstheme="majorBidi"/>
          <w:b/>
          <w:bCs/>
        </w:rPr>
        <w:t xml:space="preserve">i. </w:t>
      </w:r>
      <w:r w:rsidR="00E0266D" w:rsidRPr="00E37783">
        <w:rPr>
          <w:rFonts w:asciiTheme="majorBidi" w:hAnsiTheme="majorBidi" w:cstheme="majorBidi"/>
          <w:b/>
          <w:bCs/>
        </w:rPr>
        <w:t>The Legal Genre</w:t>
      </w:r>
    </w:p>
    <w:p w:rsidR="00E0266D" w:rsidRPr="00E37783" w:rsidRDefault="00E0266D" w:rsidP="00E0266D">
      <w:pPr>
        <w:spacing w:line="360" w:lineRule="auto"/>
      </w:pPr>
      <w:r w:rsidRPr="00E37783">
        <w:t xml:space="preserve">Crystal and Davy (1961) noted that legal documents are careful to repeat the identification of the characters and of the assets to which they refer in an excessive manner in order to prevent any possibility of ambiguity. An example of this can be found in Papyrus Starcky, mentioned above, which is written in Nabatean Aramaic; the same phenomenon is found in Greek, Palestinian-Aramaic, and Hebrew documents of the period. The heightened use of the pronoun of identity in the legal genre, with which Mishnaic Hebrew has an affinity, may have led to the routine use of the common Greek pronoun. </w:t>
      </w:r>
    </w:p>
    <w:p w:rsidR="00E0266D" w:rsidRPr="00E37783" w:rsidRDefault="00545152" w:rsidP="00E0266D">
      <w:pPr>
        <w:spacing w:line="360" w:lineRule="auto"/>
        <w:rPr>
          <w:b/>
          <w:bCs/>
        </w:rPr>
      </w:pPr>
      <w:r>
        <w:rPr>
          <w:b/>
          <w:bCs/>
        </w:rPr>
        <w:tab/>
      </w:r>
      <w:r w:rsidR="00E0266D" w:rsidRPr="00E37783">
        <w:rPr>
          <w:b/>
          <w:bCs/>
        </w:rPr>
        <w:t>ii. Omission of Definiteness in the Phrase Nucleus + Demonstrative Pronoun</w:t>
      </w:r>
    </w:p>
    <w:p w:rsidR="001C3C65" w:rsidRPr="00E37783" w:rsidRDefault="001C3C65" w:rsidP="001C3C65">
      <w:pPr>
        <w:spacing w:line="360" w:lineRule="auto"/>
        <w:rPr>
          <w:rFonts w:asciiTheme="majorBidi" w:hAnsiTheme="majorBidi" w:cstheme="majorBidi"/>
        </w:rPr>
      </w:pPr>
      <w:r w:rsidRPr="00E37783">
        <w:rPr>
          <w:rFonts w:asciiTheme="majorBidi" w:hAnsiTheme="majorBidi" w:cstheme="majorBidi"/>
        </w:rPr>
        <w:t xml:space="preserve">Perhaps we should liken this shift to another change between Biblical and Rabbinic Hebrew in the field of the definiteness of pronouns. The structure </w:t>
      </w:r>
      <w:bookmarkStart w:id="21" w:name="_Hlk12883616"/>
      <w:r w:rsidRPr="00E37783">
        <w:rPr>
          <w:rFonts w:asciiTheme="majorBidi" w:hAnsiTheme="majorBidi" w:cstheme="majorBidi"/>
          <w:b/>
          <w:bCs/>
        </w:rPr>
        <w:t>indefinite noun + indefinite demonstrative adjective pronoun</w:t>
      </w:r>
      <w:bookmarkEnd w:id="21"/>
      <w:r w:rsidRPr="00E37783">
        <w:rPr>
          <w:rFonts w:asciiTheme="majorBidi" w:hAnsiTheme="majorBidi" w:cstheme="majorBidi"/>
          <w:b/>
          <w:bCs/>
        </w:rPr>
        <w:t xml:space="preserve"> </w:t>
      </w:r>
      <w:r w:rsidRPr="00E37783">
        <w:rPr>
          <w:rFonts w:asciiTheme="majorBidi" w:hAnsiTheme="majorBidi" w:cstheme="majorBidi"/>
        </w:rPr>
        <w:t xml:space="preserve">appears just once in the Bible (Psalm 80:15): </w:t>
      </w:r>
      <w:r w:rsidRPr="00E37783">
        <w:rPr>
          <w:rFonts w:asciiTheme="majorBidi" w:hAnsiTheme="majorBidi" w:cstheme="majorBidi"/>
          <w:rtl/>
        </w:rPr>
        <w:t xml:space="preserve">וּפְקֹד </w:t>
      </w:r>
      <w:r w:rsidRPr="00E37783">
        <w:rPr>
          <w:rFonts w:asciiTheme="majorBidi" w:hAnsiTheme="majorBidi" w:cstheme="majorBidi"/>
          <w:b/>
          <w:bCs/>
          <w:rtl/>
        </w:rPr>
        <w:t>גֶּפֶן זֹאת</w:t>
      </w:r>
      <w:r w:rsidR="00E37783" w:rsidRPr="00E37783">
        <w:rPr>
          <w:rFonts w:asciiTheme="majorBidi" w:hAnsiTheme="majorBidi" w:cstheme="majorBidi"/>
          <w:b/>
          <w:bCs/>
        </w:rPr>
        <w:t xml:space="preserve"> </w:t>
      </w:r>
      <w:r w:rsidRPr="00E37783">
        <w:rPr>
          <w:rFonts w:asciiTheme="majorBidi" w:hAnsiTheme="majorBidi" w:cstheme="majorBidi"/>
        </w:rPr>
        <w:t xml:space="preserve">(“and be mindful of </w:t>
      </w:r>
      <w:r w:rsidRPr="00E37783">
        <w:rPr>
          <w:rFonts w:asciiTheme="majorBidi" w:hAnsiTheme="majorBidi" w:cstheme="majorBidi"/>
          <w:b/>
          <w:bCs/>
        </w:rPr>
        <w:t>this vine</w:t>
      </w:r>
      <w:r w:rsidRPr="00E37783">
        <w:rPr>
          <w:rFonts w:asciiTheme="majorBidi" w:hAnsiTheme="majorBidi" w:cstheme="majorBidi"/>
        </w:rPr>
        <w:t xml:space="preserve">”), but it is, of course, the standard structure in Rabbinic Hebrew. Based on the set of proximal pronouns – </w:t>
      </w:r>
      <w:r w:rsidRPr="00E37783">
        <w:rPr>
          <w:rFonts w:asciiTheme="majorBidi" w:hAnsiTheme="majorBidi" w:cstheme="majorBidi"/>
          <w:b/>
          <w:bCs/>
          <w:rtl/>
        </w:rPr>
        <w:t>איש זה</w:t>
      </w:r>
      <w:r w:rsidRPr="00E37783">
        <w:rPr>
          <w:rFonts w:asciiTheme="majorBidi" w:hAnsiTheme="majorBidi" w:cstheme="majorBidi"/>
        </w:rPr>
        <w:t xml:space="preserve">, </w:t>
      </w:r>
      <w:r w:rsidRPr="00E37783">
        <w:rPr>
          <w:rFonts w:asciiTheme="majorBidi" w:hAnsiTheme="majorBidi" w:cstheme="majorBidi"/>
          <w:b/>
          <w:bCs/>
          <w:rtl/>
        </w:rPr>
        <w:t>אישה זו</w:t>
      </w:r>
      <w:r w:rsidRPr="00E37783">
        <w:rPr>
          <w:rFonts w:asciiTheme="majorBidi" w:hAnsiTheme="majorBidi" w:cstheme="majorBidi"/>
        </w:rPr>
        <w:t xml:space="preserve">, </w:t>
      </w:r>
      <w:r w:rsidRPr="00E37783">
        <w:rPr>
          <w:rFonts w:asciiTheme="majorBidi" w:hAnsiTheme="majorBidi" w:cstheme="majorBidi"/>
          <w:b/>
          <w:bCs/>
          <w:rtl/>
        </w:rPr>
        <w:t>אנשים אילו</w:t>
      </w:r>
      <w:r w:rsidRPr="00E37783">
        <w:rPr>
          <w:rFonts w:asciiTheme="majorBidi" w:hAnsiTheme="majorBidi" w:cstheme="majorBidi"/>
        </w:rPr>
        <w:t xml:space="preserve"> – we would anticipate the following distal set – </w:t>
      </w:r>
      <w:r w:rsidRPr="00E37783">
        <w:rPr>
          <w:rFonts w:asciiTheme="majorBidi" w:hAnsiTheme="majorBidi" w:cstheme="majorBidi"/>
          <w:rtl/>
        </w:rPr>
        <w:t>*</w:t>
      </w:r>
      <w:r w:rsidRPr="00E37783">
        <w:rPr>
          <w:rFonts w:asciiTheme="majorBidi" w:hAnsiTheme="majorBidi" w:cstheme="majorBidi"/>
          <w:b/>
          <w:bCs/>
          <w:rtl/>
        </w:rPr>
        <w:t>איש הוא</w:t>
      </w:r>
      <w:r w:rsidRPr="00E37783">
        <w:rPr>
          <w:rFonts w:asciiTheme="majorBidi" w:hAnsiTheme="majorBidi" w:cstheme="majorBidi"/>
        </w:rPr>
        <w:t xml:space="preserve">, </w:t>
      </w:r>
      <w:r w:rsidRPr="00E37783">
        <w:rPr>
          <w:rFonts w:asciiTheme="majorBidi" w:hAnsiTheme="majorBidi" w:cstheme="majorBidi"/>
          <w:b/>
          <w:bCs/>
          <w:rtl/>
        </w:rPr>
        <w:t>*אישה היא</w:t>
      </w:r>
      <w:r w:rsidRPr="00E37783">
        <w:rPr>
          <w:rFonts w:asciiTheme="majorBidi" w:hAnsiTheme="majorBidi" w:cstheme="majorBidi"/>
        </w:rPr>
        <w:t xml:space="preserve">, </w:t>
      </w:r>
      <w:r w:rsidRPr="00E37783">
        <w:rPr>
          <w:rFonts w:asciiTheme="majorBidi" w:hAnsiTheme="majorBidi" w:cstheme="majorBidi"/>
          <w:b/>
          <w:bCs/>
          <w:rtl/>
        </w:rPr>
        <w:t>*אנשים הן</w:t>
      </w:r>
      <w:r w:rsidRPr="00E37783">
        <w:rPr>
          <w:rFonts w:asciiTheme="majorBidi" w:hAnsiTheme="majorBidi" w:cstheme="majorBidi"/>
        </w:rPr>
        <w:t xml:space="preserve">. However, the absence of the definite article from the demonstrative adjective pronoun is liable to create confusion between </w:t>
      </w:r>
      <w:r w:rsidRPr="00E37783">
        <w:rPr>
          <w:rFonts w:asciiTheme="majorBidi" w:hAnsiTheme="majorBidi" w:cstheme="majorBidi"/>
          <w:b/>
          <w:bCs/>
          <w:rtl/>
        </w:rPr>
        <w:t>הוא</w:t>
      </w:r>
      <w:r w:rsidRPr="00E37783">
        <w:rPr>
          <w:rFonts w:asciiTheme="majorBidi" w:hAnsiTheme="majorBidi" w:cstheme="majorBidi"/>
        </w:rPr>
        <w:t xml:space="preserve"> as a demonstrative adjective pronoun, </w:t>
      </w:r>
      <w:r w:rsidRPr="00E37783">
        <w:rPr>
          <w:rFonts w:asciiTheme="majorBidi" w:hAnsiTheme="majorBidi" w:cstheme="majorBidi"/>
          <w:b/>
          <w:bCs/>
          <w:rtl/>
        </w:rPr>
        <w:t>הוא</w:t>
      </w:r>
      <w:r w:rsidRPr="00E37783">
        <w:rPr>
          <w:rFonts w:asciiTheme="majorBidi" w:hAnsiTheme="majorBidi" w:cstheme="majorBidi"/>
        </w:rPr>
        <w:t xml:space="preserve"> as a independent demonstrative pronoun, and </w:t>
      </w:r>
      <w:r w:rsidRPr="00E37783">
        <w:rPr>
          <w:rFonts w:asciiTheme="majorBidi" w:hAnsiTheme="majorBidi" w:cstheme="majorBidi"/>
          <w:b/>
          <w:bCs/>
          <w:rtl/>
        </w:rPr>
        <w:t>הוא</w:t>
      </w:r>
      <w:r w:rsidRPr="00E37783">
        <w:rPr>
          <w:rFonts w:asciiTheme="majorBidi" w:hAnsiTheme="majorBidi" w:cstheme="majorBidi"/>
        </w:rPr>
        <w:t xml:space="preserve"> as a copula. The use of the new pronoun </w:t>
      </w:r>
      <w:r w:rsidRPr="00E37783">
        <w:rPr>
          <w:rFonts w:asciiTheme="majorBidi" w:hAnsiTheme="majorBidi" w:cstheme="majorBidi"/>
          <w:b/>
          <w:bCs/>
          <w:rtl/>
        </w:rPr>
        <w:t>אותו</w:t>
      </w:r>
      <w:r w:rsidRPr="00E37783">
        <w:rPr>
          <w:rFonts w:asciiTheme="majorBidi" w:hAnsiTheme="majorBidi" w:cstheme="majorBidi"/>
        </w:rPr>
        <w:t xml:space="preserve"> removed this ambiguity and permitted a distinction between the anaphoric pronoun and pronoun of identity and the independent demonstrative pronoun.</w:t>
      </w:r>
    </w:p>
    <w:p w:rsidR="00A103C4" w:rsidRPr="00E37783" w:rsidRDefault="00A103C4" w:rsidP="001C3C65">
      <w:pPr>
        <w:spacing w:line="360" w:lineRule="auto"/>
        <w:rPr>
          <w:rFonts w:asciiTheme="majorBidi" w:hAnsiTheme="majorBidi" w:cstheme="majorBidi"/>
          <w:b/>
          <w:bCs/>
        </w:rPr>
      </w:pPr>
      <w:r w:rsidRPr="00E37783">
        <w:rPr>
          <w:rFonts w:asciiTheme="majorBidi" w:hAnsiTheme="majorBidi" w:cstheme="majorBidi"/>
        </w:rPr>
        <w:lastRenderedPageBreak/>
        <w:tab/>
      </w:r>
      <w:r w:rsidRPr="00E37783">
        <w:rPr>
          <w:rFonts w:asciiTheme="majorBidi" w:hAnsiTheme="majorBidi" w:cstheme="majorBidi"/>
          <w:b/>
          <w:bCs/>
        </w:rPr>
        <w:t>i</w:t>
      </w:r>
      <w:r w:rsidR="00545152">
        <w:rPr>
          <w:rFonts w:asciiTheme="majorBidi" w:hAnsiTheme="majorBidi" w:cstheme="majorBidi"/>
          <w:b/>
          <w:bCs/>
        </w:rPr>
        <w:t>ii</w:t>
      </w:r>
      <w:r w:rsidRPr="00E37783">
        <w:rPr>
          <w:rFonts w:asciiTheme="majorBidi" w:hAnsiTheme="majorBidi" w:cstheme="majorBidi"/>
          <w:b/>
          <w:bCs/>
        </w:rPr>
        <w:t xml:space="preserve">. Mishna Bava </w:t>
      </w:r>
      <w:proofErr w:type="spellStart"/>
      <w:r w:rsidRPr="00E37783">
        <w:rPr>
          <w:rFonts w:asciiTheme="majorBidi" w:hAnsiTheme="majorBidi" w:cstheme="majorBidi"/>
          <w:b/>
          <w:bCs/>
        </w:rPr>
        <w:t>Batra</w:t>
      </w:r>
      <w:proofErr w:type="spellEnd"/>
      <w:r w:rsidRPr="00E37783">
        <w:rPr>
          <w:rFonts w:asciiTheme="majorBidi" w:hAnsiTheme="majorBidi" w:cstheme="majorBidi"/>
          <w:b/>
          <w:bCs/>
        </w:rPr>
        <w:t xml:space="preserve"> 5b</w:t>
      </w:r>
    </w:p>
    <w:p w:rsidR="00A103C4" w:rsidRPr="00E37783" w:rsidRDefault="00A103C4" w:rsidP="00A103C4">
      <w:pPr>
        <w:spacing w:line="360" w:lineRule="auto"/>
        <w:rPr>
          <w:rFonts w:asciiTheme="majorBidi" w:hAnsiTheme="majorBidi" w:cstheme="majorBidi"/>
        </w:rPr>
      </w:pPr>
      <w:r w:rsidRPr="00E37783">
        <w:rPr>
          <w:rFonts w:asciiTheme="majorBidi" w:hAnsiTheme="majorBidi" w:cstheme="majorBidi"/>
        </w:rPr>
        <w:t xml:space="preserve">A good illustration of the syntactic ambiguity created due to the omission of definiteness in the demonstrative pronoun ha-hūˀ &gt; hūˀ can be found in the chain of versions and interpretations relating to a single Mishna in the tractate Bava </w:t>
      </w:r>
      <w:proofErr w:type="spellStart"/>
      <w:r w:rsidRPr="00E37783">
        <w:rPr>
          <w:rFonts w:asciiTheme="majorBidi" w:hAnsiTheme="majorBidi" w:cstheme="majorBidi"/>
        </w:rPr>
        <w:t>Batra</w:t>
      </w:r>
      <w:proofErr w:type="spellEnd"/>
      <w:r w:rsidRPr="00E37783">
        <w:rPr>
          <w:rFonts w:asciiTheme="majorBidi" w:hAnsiTheme="majorBidi" w:cstheme="majorBidi"/>
        </w:rPr>
        <w:t>. In this Mishna, R. Judah discusses the question as to whether someone who sells an ass to his fellow also sells the ass’s trappings. He distinguishes between two instances:</w:t>
      </w:r>
    </w:p>
    <w:p w:rsidR="007670A8" w:rsidRPr="00E37783" w:rsidRDefault="001617A0" w:rsidP="001617A0">
      <w:pPr>
        <w:bidi/>
        <w:spacing w:line="360" w:lineRule="auto"/>
        <w:rPr>
          <w:rFonts w:asciiTheme="majorBidi" w:hAnsiTheme="majorBidi" w:cstheme="majorBidi"/>
          <w:rtl/>
        </w:rPr>
      </w:pPr>
      <w:r w:rsidRPr="00E37783">
        <w:rPr>
          <w:rFonts w:asciiTheme="majorBidi" w:hAnsiTheme="majorBidi" w:cs="Times New Roman"/>
          <w:rtl/>
        </w:rPr>
        <w:t>המוכר את החמור</w:t>
      </w:r>
      <w:r w:rsidRPr="00E37783">
        <w:rPr>
          <w:rFonts w:asciiTheme="majorBidi" w:hAnsiTheme="majorBidi" w:cs="Times New Roman" w:hint="cs"/>
          <w:rtl/>
        </w:rPr>
        <w:t>,</w:t>
      </w:r>
      <w:r w:rsidRPr="00E37783">
        <w:rPr>
          <w:rFonts w:asciiTheme="majorBidi" w:hAnsiTheme="majorBidi" w:cs="Times New Roman"/>
          <w:rtl/>
        </w:rPr>
        <w:t xml:space="preserve"> לא מכר את כליו. נחום המדי או'</w:t>
      </w:r>
      <w:r w:rsidRPr="00E37783">
        <w:rPr>
          <w:rFonts w:asciiTheme="majorBidi" w:hAnsiTheme="majorBidi" w:cs="Times New Roman" w:hint="cs"/>
          <w:rtl/>
        </w:rPr>
        <w:t>:</w:t>
      </w:r>
      <w:r w:rsidRPr="00E37783">
        <w:rPr>
          <w:rFonts w:asciiTheme="majorBidi" w:hAnsiTheme="majorBidi" w:cs="Times New Roman"/>
          <w:rtl/>
        </w:rPr>
        <w:t xml:space="preserve"> מכר את כליו. ר' יהודה אומ'</w:t>
      </w:r>
      <w:r w:rsidRPr="00E37783">
        <w:rPr>
          <w:rFonts w:asciiTheme="majorBidi" w:hAnsiTheme="majorBidi" w:cs="Times New Roman" w:hint="cs"/>
          <w:rtl/>
        </w:rPr>
        <w:t>:</w:t>
      </w:r>
      <w:r w:rsidRPr="00E37783">
        <w:rPr>
          <w:rFonts w:asciiTheme="majorBidi" w:hAnsiTheme="majorBidi" w:cs="Times New Roman"/>
          <w:rtl/>
        </w:rPr>
        <w:t xml:space="preserve"> </w:t>
      </w:r>
      <w:r w:rsidRPr="00E37783">
        <w:rPr>
          <w:rFonts w:asciiTheme="majorBidi" w:hAnsiTheme="majorBidi" w:cs="Times New Roman" w:hint="cs"/>
          <w:rtl/>
        </w:rPr>
        <w:t>פ</w:t>
      </w:r>
      <w:r w:rsidRPr="00E37783">
        <w:rPr>
          <w:rFonts w:asciiTheme="majorBidi" w:hAnsiTheme="majorBidi" w:cs="Times New Roman"/>
          <w:rtl/>
        </w:rPr>
        <w:t>עמים מכורים</w:t>
      </w:r>
      <w:r w:rsidRPr="00E37783">
        <w:rPr>
          <w:rFonts w:asciiTheme="majorBidi" w:hAnsiTheme="majorBidi" w:cs="Times New Roman" w:hint="cs"/>
          <w:rtl/>
        </w:rPr>
        <w:t>,</w:t>
      </w:r>
      <w:r w:rsidRPr="00E37783">
        <w:rPr>
          <w:rFonts w:asciiTheme="majorBidi" w:hAnsiTheme="majorBidi" w:cs="Times New Roman"/>
          <w:rtl/>
        </w:rPr>
        <w:t xml:space="preserve"> ופעמים שאינן מכורין. כיצד</w:t>
      </w:r>
      <w:r w:rsidRPr="00E37783">
        <w:rPr>
          <w:rFonts w:asciiTheme="majorBidi" w:hAnsiTheme="majorBidi" w:cs="Times New Roman" w:hint="cs"/>
          <w:rtl/>
        </w:rPr>
        <w:t>?</w:t>
      </w:r>
      <w:r w:rsidRPr="00E37783">
        <w:rPr>
          <w:rFonts w:asciiTheme="majorBidi" w:hAnsiTheme="majorBidi" w:cs="Times New Roman"/>
          <w:rtl/>
        </w:rPr>
        <w:t xml:space="preserve"> היה חמור לפניו וכליו עליו</w:t>
      </w:r>
      <w:r w:rsidRPr="00E37783">
        <w:rPr>
          <w:rFonts w:asciiTheme="majorBidi" w:hAnsiTheme="majorBidi" w:cs="Times New Roman" w:hint="cs"/>
          <w:rtl/>
        </w:rPr>
        <w:t>,</w:t>
      </w:r>
      <w:r w:rsidRPr="00E37783">
        <w:rPr>
          <w:rFonts w:asciiTheme="majorBidi" w:hAnsiTheme="majorBidi" w:cs="Times New Roman"/>
          <w:rtl/>
        </w:rPr>
        <w:t xml:space="preserve"> אמ' לו</w:t>
      </w:r>
      <w:r w:rsidRPr="00E37783">
        <w:rPr>
          <w:rFonts w:asciiTheme="majorBidi" w:hAnsiTheme="majorBidi" w:cs="Times New Roman" w:hint="cs"/>
          <w:rtl/>
        </w:rPr>
        <w:t>: "</w:t>
      </w:r>
      <w:r w:rsidRPr="00E37783">
        <w:rPr>
          <w:rFonts w:asciiTheme="majorBidi" w:hAnsiTheme="majorBidi" w:cs="Times New Roman"/>
          <w:rtl/>
        </w:rPr>
        <w:t>מכור לי חמורך זו</w:t>
      </w:r>
      <w:r w:rsidRPr="00E37783">
        <w:rPr>
          <w:rFonts w:asciiTheme="majorBidi" w:hAnsiTheme="majorBidi" w:cs="Times New Roman" w:hint="cs"/>
          <w:rtl/>
        </w:rPr>
        <w:t xml:space="preserve">!" </w:t>
      </w:r>
      <w:r w:rsidRPr="00E37783">
        <w:rPr>
          <w:rFonts w:asciiTheme="majorBidi" w:hAnsiTheme="majorBidi" w:cs="Times New Roman"/>
          <w:rtl/>
        </w:rPr>
        <w:t xml:space="preserve">– כיליו מכורים. </w:t>
      </w:r>
      <w:r w:rsidRPr="00E37783">
        <w:rPr>
          <w:rFonts w:asciiTheme="majorBidi" w:hAnsiTheme="majorBidi" w:cs="Times New Roman" w:hint="cs"/>
          <w:rtl/>
        </w:rPr>
        <w:t>"</w:t>
      </w:r>
      <w:r w:rsidRPr="00E37783">
        <w:rPr>
          <w:rFonts w:asciiTheme="majorBidi" w:hAnsiTheme="majorBidi" w:cs="Times New Roman"/>
          <w:rtl/>
        </w:rPr>
        <w:t>חמורך הה(י)[ו]א</w:t>
      </w:r>
      <w:r w:rsidRPr="00E37783">
        <w:rPr>
          <w:rFonts w:asciiTheme="majorBidi" w:hAnsiTheme="majorBidi" w:cs="Times New Roman" w:hint="cs"/>
          <w:rtl/>
        </w:rPr>
        <w:t xml:space="preserve">" </w:t>
      </w:r>
      <w:r w:rsidRPr="00E37783">
        <w:rPr>
          <w:rFonts w:asciiTheme="majorBidi" w:hAnsiTheme="majorBidi" w:cs="Times New Roman"/>
          <w:rtl/>
        </w:rPr>
        <w:t>– אין כליו מכורין.</w:t>
      </w:r>
      <w:r w:rsidR="007670A8" w:rsidRPr="00E37783">
        <w:rPr>
          <w:rFonts w:asciiTheme="majorBidi" w:hAnsiTheme="majorBidi" w:cstheme="majorBidi"/>
          <w:vertAlign w:val="superscript"/>
          <w:rtl/>
        </w:rPr>
        <w:footnoteReference w:id="16"/>
      </w:r>
    </w:p>
    <w:p w:rsidR="007670A8" w:rsidRPr="00E37783" w:rsidRDefault="007670A8" w:rsidP="007670A8">
      <w:pPr>
        <w:spacing w:line="360" w:lineRule="auto"/>
        <w:rPr>
          <w:rFonts w:asciiTheme="majorBidi" w:hAnsiTheme="majorBidi" w:cstheme="majorBidi"/>
        </w:rPr>
      </w:pPr>
      <w:r w:rsidRPr="00E37783">
        <w:rPr>
          <w:rFonts w:asciiTheme="majorBidi" w:hAnsiTheme="majorBidi" w:cstheme="majorBidi"/>
        </w:rPr>
        <w:t>If a man sold an ass he has not sold its trappings. Nahum the Mede</w:t>
      </w:r>
      <w:r w:rsidRPr="00E37783">
        <w:rPr>
          <w:rFonts w:asciiTheme="majorBidi" w:hAnsiTheme="majorBidi" w:cstheme="majorBidi"/>
          <w:rtl/>
        </w:rPr>
        <w:t xml:space="preserve"> </w:t>
      </w:r>
      <w:r w:rsidRPr="00E37783">
        <w:rPr>
          <w:rFonts w:asciiTheme="majorBidi" w:hAnsiTheme="majorBidi" w:cstheme="majorBidi"/>
        </w:rPr>
        <w:t>says : He has sold its trappings also. R. Judah says: Sometimes they are</w:t>
      </w:r>
      <w:r w:rsidRPr="00E37783">
        <w:rPr>
          <w:rFonts w:asciiTheme="majorBidi" w:hAnsiTheme="majorBidi" w:cstheme="majorBidi"/>
          <w:rtl/>
        </w:rPr>
        <w:t xml:space="preserve"> </w:t>
      </w:r>
      <w:r w:rsidRPr="00E37783">
        <w:rPr>
          <w:rFonts w:asciiTheme="majorBidi" w:hAnsiTheme="majorBidi" w:cstheme="majorBidi"/>
        </w:rPr>
        <w:t>sold with it and sometimes not ; thus, if the ass was before him and it bore</w:t>
      </w:r>
      <w:r w:rsidRPr="00E37783">
        <w:rPr>
          <w:rFonts w:asciiTheme="majorBidi" w:hAnsiTheme="majorBidi" w:cstheme="majorBidi"/>
          <w:rtl/>
        </w:rPr>
        <w:t xml:space="preserve"> </w:t>
      </w:r>
      <w:r w:rsidRPr="00E37783">
        <w:rPr>
          <w:rFonts w:asciiTheme="majorBidi" w:hAnsiTheme="majorBidi" w:cstheme="majorBidi"/>
        </w:rPr>
        <w:t>its trappings and he said, 'Sell me this ass of thine', all the trappings are sold too; [but if he said, 'Sell me] that ass of thine', its trappings are not</w:t>
      </w:r>
      <w:r w:rsidRPr="00E37783">
        <w:rPr>
          <w:rFonts w:asciiTheme="majorBidi" w:hAnsiTheme="majorBidi" w:cstheme="majorBidi"/>
          <w:rtl/>
        </w:rPr>
        <w:t xml:space="preserve"> </w:t>
      </w:r>
      <w:r w:rsidRPr="00E37783">
        <w:rPr>
          <w:rFonts w:asciiTheme="majorBidi" w:hAnsiTheme="majorBidi" w:cstheme="majorBidi"/>
        </w:rPr>
        <w:t>sold with it</w:t>
      </w:r>
      <w:r w:rsidRPr="00E37783">
        <w:rPr>
          <w:rFonts w:asciiTheme="majorBidi" w:hAnsiTheme="majorBidi" w:cstheme="majorBidi"/>
          <w:rtl/>
        </w:rPr>
        <w:t>.</w:t>
      </w:r>
      <w:r w:rsidRPr="00E37783">
        <w:rPr>
          <w:rFonts w:asciiTheme="majorBidi" w:hAnsiTheme="majorBidi" w:cstheme="majorBidi"/>
        </w:rPr>
        <w:t xml:space="preserve"> (Danby 1933: )</w:t>
      </w:r>
    </w:p>
    <w:p w:rsidR="00A103C4" w:rsidRPr="00E37783" w:rsidRDefault="00A103C4" w:rsidP="009966A5">
      <w:pPr>
        <w:spacing w:line="360" w:lineRule="auto"/>
        <w:rPr>
          <w:rFonts w:asciiTheme="majorBidi" w:hAnsiTheme="majorBidi" w:cstheme="majorBidi"/>
        </w:rPr>
      </w:pPr>
      <w:r w:rsidRPr="00E37783">
        <w:rPr>
          <w:rFonts w:asciiTheme="majorBidi" w:hAnsiTheme="majorBidi" w:cstheme="majorBidi"/>
        </w:rPr>
        <w:t xml:space="preserve">In all the </w:t>
      </w:r>
      <w:r w:rsidR="009966A5" w:rsidRPr="00E37783">
        <w:rPr>
          <w:rFonts w:asciiTheme="majorBidi" w:hAnsiTheme="majorBidi" w:cstheme="majorBidi"/>
        </w:rPr>
        <w:t>M</w:t>
      </w:r>
      <w:r w:rsidRPr="00E37783">
        <w:rPr>
          <w:rFonts w:asciiTheme="majorBidi" w:hAnsiTheme="majorBidi" w:cstheme="majorBidi"/>
        </w:rPr>
        <w:t xml:space="preserve">ishnaic manuscripts from the Palestinian branch, the form is </w:t>
      </w:r>
      <w:r w:rsidR="00EB772C" w:rsidRPr="00E37783">
        <w:rPr>
          <w:rFonts w:asciiTheme="majorBidi" w:hAnsiTheme="majorBidi" w:cstheme="majorBidi"/>
          <w:rtl/>
        </w:rPr>
        <w:t xml:space="preserve">חמורך </w:t>
      </w:r>
      <w:r w:rsidR="00EB772C" w:rsidRPr="00E37783">
        <w:rPr>
          <w:rFonts w:asciiTheme="majorBidi" w:hAnsiTheme="majorBidi" w:cstheme="majorBidi"/>
          <w:b/>
          <w:bCs/>
          <w:rtl/>
        </w:rPr>
        <w:t>ההיא/ההוא</w:t>
      </w:r>
      <w:r w:rsidR="00EB772C" w:rsidRPr="00E37783">
        <w:rPr>
          <w:rFonts w:asciiTheme="majorBidi" w:hAnsiTheme="majorBidi" w:cstheme="majorBidi"/>
        </w:rPr>
        <w:t>, with a definite pronoun on the complementary demonstrative pronoun.</w:t>
      </w:r>
      <w:r w:rsidR="00EB772C" w:rsidRPr="00E37783">
        <w:rPr>
          <w:rFonts w:asciiTheme="majorBidi" w:hAnsiTheme="majorBidi" w:cstheme="majorBidi"/>
          <w:vertAlign w:val="superscript"/>
          <w:rtl/>
        </w:rPr>
        <w:t xml:space="preserve"> </w:t>
      </w:r>
      <w:r w:rsidR="00EB772C" w:rsidRPr="00E37783">
        <w:rPr>
          <w:rFonts w:asciiTheme="majorBidi" w:hAnsiTheme="majorBidi" w:cstheme="majorBidi"/>
          <w:vertAlign w:val="superscript"/>
          <w:rtl/>
        </w:rPr>
        <w:footnoteReference w:id="17"/>
      </w:r>
      <w:r w:rsidR="00EB772C" w:rsidRPr="00E37783">
        <w:rPr>
          <w:rFonts w:asciiTheme="majorBidi" w:hAnsiTheme="majorBidi" w:cstheme="majorBidi"/>
          <w:vertAlign w:val="superscript"/>
        </w:rPr>
        <w:t xml:space="preserve"> </w:t>
      </w:r>
      <w:r w:rsidR="00EB772C" w:rsidRPr="00E37783">
        <w:rPr>
          <w:rFonts w:asciiTheme="majorBidi" w:hAnsiTheme="majorBidi" w:cstheme="majorBidi"/>
        </w:rPr>
        <w:t xml:space="preserve">Conversely, all the manuscripts from the Babylonian branch (where the text of the Mishna is embedded in the Babylonian Talmud) show the form </w:t>
      </w:r>
      <w:r w:rsidR="00EB772C" w:rsidRPr="00E37783">
        <w:rPr>
          <w:rFonts w:asciiTheme="majorBidi" w:hAnsiTheme="majorBidi" w:cstheme="majorBidi"/>
          <w:rtl/>
        </w:rPr>
        <w:t xml:space="preserve">חמורך </w:t>
      </w:r>
      <w:r w:rsidR="00EB772C" w:rsidRPr="00E37783">
        <w:rPr>
          <w:rFonts w:asciiTheme="majorBidi" w:hAnsiTheme="majorBidi" w:cstheme="majorBidi"/>
          <w:b/>
          <w:bCs/>
          <w:rtl/>
        </w:rPr>
        <w:t>הוא</w:t>
      </w:r>
      <w:r w:rsidR="00EB772C" w:rsidRPr="00E37783">
        <w:rPr>
          <w:rFonts w:asciiTheme="majorBidi" w:hAnsiTheme="majorBidi" w:cstheme="majorBidi"/>
        </w:rPr>
        <w:t>.</w:t>
      </w:r>
      <w:r w:rsidR="00EB772C" w:rsidRPr="00E37783">
        <w:rPr>
          <w:rFonts w:asciiTheme="majorBidi" w:hAnsiTheme="majorBidi" w:cstheme="majorBidi"/>
          <w:vertAlign w:val="superscript"/>
          <w:rtl/>
        </w:rPr>
        <w:t xml:space="preserve"> </w:t>
      </w:r>
      <w:r w:rsidR="00EB772C" w:rsidRPr="00E37783">
        <w:rPr>
          <w:rFonts w:asciiTheme="majorBidi" w:hAnsiTheme="majorBidi" w:cstheme="majorBidi"/>
          <w:vertAlign w:val="superscript"/>
          <w:rtl/>
        </w:rPr>
        <w:footnoteReference w:id="18"/>
      </w:r>
      <w:r w:rsidR="00EB772C" w:rsidRPr="00E37783">
        <w:rPr>
          <w:rFonts w:asciiTheme="majorBidi" w:hAnsiTheme="majorBidi" w:cstheme="majorBidi"/>
          <w:vertAlign w:val="superscript"/>
        </w:rPr>
        <w:t xml:space="preserve"> </w:t>
      </w:r>
      <w:r w:rsidR="00EB772C" w:rsidRPr="00E37783">
        <w:rPr>
          <w:rFonts w:asciiTheme="majorBidi" w:hAnsiTheme="majorBidi" w:cstheme="majorBidi"/>
        </w:rPr>
        <w:t xml:space="preserve">The omission of the definite article from the pronoun in the versions of the Babylonian branch (perhaps under the influence of the absence of definiteness in the demonstrative pronoun in the preceding phrase </w:t>
      </w:r>
      <w:r w:rsidR="00EB772C" w:rsidRPr="00E37783">
        <w:rPr>
          <w:rFonts w:asciiTheme="majorBidi" w:hAnsiTheme="majorBidi" w:cstheme="majorBidi"/>
          <w:rtl/>
        </w:rPr>
        <w:t>חמורך זו</w:t>
      </w:r>
      <w:r w:rsidR="00EB772C" w:rsidRPr="00E37783">
        <w:rPr>
          <w:rFonts w:asciiTheme="majorBidi" w:hAnsiTheme="majorBidi" w:cstheme="majorBidi"/>
        </w:rPr>
        <w:t>) created a difficulty in understanding the text.</w:t>
      </w:r>
    </w:p>
    <w:p w:rsidR="00EB772C" w:rsidRPr="00E37783" w:rsidRDefault="00EB772C" w:rsidP="009966A5">
      <w:pPr>
        <w:spacing w:line="360" w:lineRule="auto"/>
        <w:rPr>
          <w:rFonts w:asciiTheme="majorBidi" w:hAnsiTheme="majorBidi" w:cstheme="majorBidi"/>
        </w:rPr>
      </w:pPr>
      <w:r w:rsidRPr="00E37783">
        <w:rPr>
          <w:rFonts w:asciiTheme="majorBidi" w:hAnsiTheme="majorBidi" w:cstheme="majorBidi"/>
        </w:rPr>
        <w:t xml:space="preserve">The coinage </w:t>
      </w:r>
      <w:r w:rsidRPr="00E37783">
        <w:rPr>
          <w:rFonts w:asciiTheme="majorBidi" w:hAnsiTheme="majorBidi" w:cstheme="majorBidi"/>
          <w:rtl/>
        </w:rPr>
        <w:t>חמורך הה</w:t>
      </w:r>
      <w:r w:rsidRPr="00E37783">
        <w:rPr>
          <w:rFonts w:asciiTheme="majorBidi" w:hAnsiTheme="majorBidi" w:cstheme="majorBidi" w:hint="cs"/>
          <w:rtl/>
        </w:rPr>
        <w:t>י</w:t>
      </w:r>
      <w:r w:rsidRPr="00E37783">
        <w:rPr>
          <w:rFonts w:asciiTheme="majorBidi" w:hAnsiTheme="majorBidi" w:cstheme="majorBidi"/>
          <w:rtl/>
        </w:rPr>
        <w:t>א</w:t>
      </w:r>
      <w:r w:rsidRPr="00E37783">
        <w:rPr>
          <w:rFonts w:asciiTheme="majorBidi" w:hAnsiTheme="majorBidi" w:cstheme="majorBidi"/>
        </w:rPr>
        <w:t xml:space="preserve"> is an elliptical one – it contains only the object of the sentence, and does not include the principal component </w:t>
      </w:r>
      <w:r w:rsidRPr="00E37783">
        <w:rPr>
          <w:rFonts w:asciiTheme="majorBidi" w:hAnsiTheme="majorBidi" w:cstheme="majorBidi"/>
          <w:rtl/>
        </w:rPr>
        <w:t>מכור לי</w:t>
      </w:r>
      <w:r w:rsidRPr="00E37783">
        <w:rPr>
          <w:rFonts w:asciiTheme="majorBidi" w:hAnsiTheme="majorBidi" w:cstheme="majorBidi"/>
        </w:rPr>
        <w:t xml:space="preserve">. As long as the definite article remains on the demonstrative pronoun in the phrase </w:t>
      </w:r>
      <w:r w:rsidRPr="00E37783">
        <w:rPr>
          <w:rFonts w:asciiTheme="majorBidi" w:hAnsiTheme="majorBidi" w:cstheme="majorBidi"/>
          <w:rtl/>
        </w:rPr>
        <w:t xml:space="preserve">חמורך </w:t>
      </w:r>
      <w:r w:rsidRPr="00E37783">
        <w:rPr>
          <w:rFonts w:asciiTheme="majorBidi" w:hAnsiTheme="majorBidi" w:cstheme="majorBidi"/>
          <w:b/>
          <w:bCs/>
          <w:rtl/>
        </w:rPr>
        <w:t>ה</w:t>
      </w:r>
      <w:r w:rsidRPr="00E37783">
        <w:rPr>
          <w:rFonts w:asciiTheme="majorBidi" w:hAnsiTheme="majorBidi" w:cstheme="majorBidi"/>
          <w:rtl/>
        </w:rPr>
        <w:t>הוא</w:t>
      </w:r>
      <w:r w:rsidRPr="00E37783">
        <w:rPr>
          <w:rFonts w:asciiTheme="majorBidi" w:hAnsiTheme="majorBidi" w:cstheme="majorBidi"/>
        </w:rPr>
        <w:t xml:space="preserve">, it was evident that this was not an independent sentence, but rather a nominal phrase forming part of the preceding sentence. However, the form </w:t>
      </w:r>
      <w:r w:rsidRPr="00E37783">
        <w:rPr>
          <w:rFonts w:asciiTheme="majorBidi" w:hAnsiTheme="majorBidi" w:cstheme="majorBidi"/>
          <w:rtl/>
        </w:rPr>
        <w:t>חמורך הוא</w:t>
      </w:r>
      <w:r w:rsidRPr="00E37783">
        <w:rPr>
          <w:rFonts w:asciiTheme="majorBidi" w:hAnsiTheme="majorBidi" w:cstheme="majorBidi"/>
        </w:rPr>
        <w:t xml:space="preserve"> has the appearance of a regular nominal sentence, and accordingly this led the Babylonian Amoraim, and subsequently many </w:t>
      </w:r>
      <w:r w:rsidR="009966A5" w:rsidRPr="00E37783">
        <w:rPr>
          <w:rFonts w:asciiTheme="majorBidi" w:hAnsiTheme="majorBidi" w:cstheme="majorBidi"/>
        </w:rPr>
        <w:t>M</w:t>
      </w:r>
      <w:r w:rsidRPr="00E37783">
        <w:rPr>
          <w:rFonts w:asciiTheme="majorBidi" w:hAnsiTheme="majorBidi" w:cstheme="majorBidi"/>
        </w:rPr>
        <w:t xml:space="preserve">ishnaic </w:t>
      </w:r>
      <w:r w:rsidRPr="00E37783">
        <w:rPr>
          <w:rFonts w:asciiTheme="majorBidi" w:hAnsiTheme="majorBidi" w:cstheme="majorBidi"/>
        </w:rPr>
        <w:lastRenderedPageBreak/>
        <w:t>commentators, to parse the form here as an independent sentence, which in context must be a question sentence</w:t>
      </w:r>
      <w:r w:rsidRPr="00E37783">
        <w:rPr>
          <w:rFonts w:asciiTheme="majorBidi" w:hAnsiTheme="majorBidi" w:cstheme="majorBidi"/>
          <w:vertAlign w:val="superscript"/>
          <w:rtl/>
        </w:rPr>
        <w:footnoteReference w:id="19"/>
      </w:r>
      <w:r w:rsidRPr="00E37783">
        <w:rPr>
          <w:rFonts w:asciiTheme="majorBidi" w:hAnsiTheme="majorBidi" w:cstheme="majorBidi"/>
        </w:rPr>
        <w:t xml:space="preserve"> – the buyer asks the seller whether the ass belongs to the seller. </w:t>
      </w:r>
    </w:p>
    <w:p w:rsidR="007670A8" w:rsidRPr="00E37783" w:rsidRDefault="007670A8" w:rsidP="007670A8">
      <w:pPr>
        <w:spacing w:line="360" w:lineRule="auto"/>
        <w:rPr>
          <w:rFonts w:asciiTheme="majorBidi" w:hAnsiTheme="majorBidi" w:cstheme="majorBidi"/>
        </w:rPr>
      </w:pPr>
      <w:r w:rsidRPr="00E37783">
        <w:rPr>
          <w:rFonts w:asciiTheme="majorBidi" w:hAnsiTheme="majorBidi" w:cstheme="majorBidi"/>
          <w:rtl/>
        </w:rPr>
        <w:t>"ר' יהודה או': פעמים מכורין". מאי שנא רישא ומאי שנא סופא? אמ' רבא: רישא דידע דחמרא דידיה הוא, והאי דקאמ' ליה "זה" משום כליו קא אמ' ליה. סופא דלא ידע דחמארא דידיה הוא, והכי קאמ' ליה: "חמורך הוא שתמכרנו לי?"</w:t>
      </w:r>
    </w:p>
    <w:p w:rsidR="007670A8" w:rsidRPr="00E37783" w:rsidRDefault="007670A8" w:rsidP="007670A8">
      <w:pPr>
        <w:spacing w:line="360" w:lineRule="auto"/>
        <w:rPr>
          <w:rFonts w:asciiTheme="majorBidi" w:hAnsiTheme="majorBidi" w:cstheme="majorBidi"/>
        </w:rPr>
      </w:pPr>
      <w:proofErr w:type="spellStart"/>
      <w:r w:rsidRPr="00E37783">
        <w:rPr>
          <w:rFonts w:asciiTheme="majorBidi" w:hAnsiTheme="majorBidi" w:cstheme="majorBidi"/>
        </w:rPr>
        <w:t>Rava</w:t>
      </w:r>
      <w:proofErr w:type="spellEnd"/>
      <w:r w:rsidRPr="00E37783">
        <w:rPr>
          <w:rFonts w:asciiTheme="majorBidi" w:hAnsiTheme="majorBidi" w:cstheme="majorBidi"/>
        </w:rPr>
        <w:t xml:space="preserve"> said that when the buyer says: </w:t>
      </w:r>
      <w:r w:rsidRPr="00E37783">
        <w:rPr>
          <w:rFonts w:asciiTheme="majorBidi" w:hAnsiTheme="majorBidi" w:cstheme="majorBidi"/>
          <w:b/>
          <w:bCs/>
        </w:rPr>
        <w:t>Sell me this donkey of yours, he knows that the donkey</w:t>
      </w:r>
      <w:r w:rsidRPr="00E37783">
        <w:rPr>
          <w:rFonts w:asciiTheme="majorBidi" w:hAnsiTheme="majorBidi" w:cstheme="majorBidi"/>
        </w:rPr>
        <w:t xml:space="preserve"> </w:t>
      </w:r>
      <w:r w:rsidRPr="00E37783">
        <w:rPr>
          <w:rFonts w:asciiTheme="majorBidi" w:hAnsiTheme="majorBidi" w:cstheme="majorBidi"/>
          <w:b/>
          <w:bCs/>
        </w:rPr>
        <w:t>belongs to</w:t>
      </w:r>
      <w:r w:rsidRPr="00E37783">
        <w:rPr>
          <w:rFonts w:asciiTheme="majorBidi" w:hAnsiTheme="majorBidi" w:cstheme="majorBidi"/>
        </w:rPr>
        <w:t xml:space="preserve"> the seller, </w:t>
      </w:r>
      <w:r w:rsidRPr="00E37783">
        <w:rPr>
          <w:rFonts w:asciiTheme="majorBidi" w:hAnsiTheme="majorBidi" w:cstheme="majorBidi"/>
          <w:b/>
          <w:bCs/>
        </w:rPr>
        <w:t>and</w:t>
      </w:r>
      <w:r w:rsidRPr="00E37783">
        <w:rPr>
          <w:rFonts w:asciiTheme="majorBidi" w:hAnsiTheme="majorBidi" w:cstheme="majorBidi"/>
        </w:rPr>
        <w:t xml:space="preserve"> as for </w:t>
      </w:r>
      <w:r w:rsidRPr="00E37783">
        <w:rPr>
          <w:rFonts w:asciiTheme="majorBidi" w:hAnsiTheme="majorBidi" w:cstheme="majorBidi"/>
          <w:b/>
          <w:bCs/>
        </w:rPr>
        <w:t>that which he said to him: This, he said</w:t>
      </w:r>
      <w:r w:rsidRPr="00E37783">
        <w:rPr>
          <w:rFonts w:asciiTheme="majorBidi" w:hAnsiTheme="majorBidi" w:cstheme="majorBidi"/>
        </w:rPr>
        <w:t xml:space="preserve"> that </w:t>
      </w:r>
      <w:r w:rsidRPr="00E37783">
        <w:rPr>
          <w:rFonts w:asciiTheme="majorBidi" w:hAnsiTheme="majorBidi" w:cstheme="majorBidi"/>
          <w:b/>
          <w:bCs/>
        </w:rPr>
        <w:t>to him due to its vessels</w:t>
      </w:r>
      <w:r w:rsidRPr="00E37783">
        <w:rPr>
          <w:rFonts w:asciiTheme="majorBidi" w:hAnsiTheme="majorBidi" w:cstheme="majorBidi"/>
        </w:rPr>
        <w:t xml:space="preserve">. By contrast, when the buyer says: </w:t>
      </w:r>
      <w:r w:rsidRPr="00E37783">
        <w:rPr>
          <w:rFonts w:asciiTheme="majorBidi" w:hAnsiTheme="majorBidi" w:cstheme="majorBidi"/>
          <w:b/>
          <w:bCs/>
        </w:rPr>
        <w:t>Is the donkey yours</w:t>
      </w:r>
      <w:r w:rsidRPr="00E37783">
        <w:rPr>
          <w:rFonts w:asciiTheme="majorBidi" w:hAnsiTheme="majorBidi" w:cstheme="majorBidi"/>
        </w:rPr>
        <w:t xml:space="preserve">, this indicates </w:t>
      </w:r>
      <w:r w:rsidRPr="00E37783">
        <w:rPr>
          <w:rFonts w:asciiTheme="majorBidi" w:hAnsiTheme="majorBidi" w:cstheme="majorBidi"/>
          <w:b/>
          <w:bCs/>
        </w:rPr>
        <w:t xml:space="preserve">that </w:t>
      </w:r>
      <w:r w:rsidRPr="00E37783">
        <w:rPr>
          <w:rFonts w:asciiTheme="majorBidi" w:hAnsiTheme="majorBidi" w:cstheme="majorBidi"/>
        </w:rPr>
        <w:t xml:space="preserve">the buyer </w:t>
      </w:r>
      <w:r w:rsidRPr="00E37783">
        <w:rPr>
          <w:rFonts w:asciiTheme="majorBidi" w:hAnsiTheme="majorBidi" w:cstheme="majorBidi"/>
          <w:b/>
          <w:bCs/>
        </w:rPr>
        <w:t xml:space="preserve">does not know that the donkey belongs to </w:t>
      </w:r>
      <w:r w:rsidRPr="00E37783">
        <w:rPr>
          <w:rFonts w:asciiTheme="majorBidi" w:hAnsiTheme="majorBidi" w:cstheme="majorBidi"/>
        </w:rPr>
        <w:t xml:space="preserve">the seller, </w:t>
      </w:r>
      <w:r w:rsidRPr="00E37783">
        <w:rPr>
          <w:rFonts w:asciiTheme="majorBidi" w:hAnsiTheme="majorBidi" w:cstheme="majorBidi"/>
          <w:b/>
          <w:bCs/>
        </w:rPr>
        <w:t>and this</w:t>
      </w:r>
      <w:r w:rsidRPr="00E37783">
        <w:rPr>
          <w:rFonts w:asciiTheme="majorBidi" w:hAnsiTheme="majorBidi" w:cstheme="majorBidi"/>
        </w:rPr>
        <w:t xml:space="preserve"> is what </w:t>
      </w:r>
      <w:r w:rsidRPr="00E37783">
        <w:rPr>
          <w:rFonts w:asciiTheme="majorBidi" w:hAnsiTheme="majorBidi" w:cstheme="majorBidi"/>
          <w:b/>
          <w:bCs/>
        </w:rPr>
        <w:t>he is saying to him: Is the donkey yours that you can sell it to me?</w:t>
      </w:r>
      <w:r w:rsidRPr="00E37783">
        <w:rPr>
          <w:rFonts w:asciiTheme="majorBidi" w:hAnsiTheme="majorBidi" w:cstheme="majorBidi"/>
        </w:rPr>
        <w:t xml:space="preserve"> In this case, he is interested only in the donkey and not its vessels</w:t>
      </w:r>
      <w:r w:rsidRPr="00E37783">
        <w:rPr>
          <w:rFonts w:asciiTheme="majorBidi" w:hAnsiTheme="majorBidi" w:cstheme="majorBidi"/>
          <w:rtl/>
        </w:rPr>
        <w:t>.</w:t>
      </w:r>
      <w:r w:rsidRPr="00E37783">
        <w:rPr>
          <w:rFonts w:asciiTheme="majorBidi" w:hAnsiTheme="majorBidi" w:cstheme="majorBidi"/>
        </w:rPr>
        <w:t xml:space="preserve"> (Davidson Talmud)</w:t>
      </w:r>
    </w:p>
    <w:p w:rsidR="00EB772C" w:rsidRPr="00E37783" w:rsidRDefault="00EB772C" w:rsidP="007670A8">
      <w:pPr>
        <w:spacing w:line="360" w:lineRule="auto"/>
        <w:rPr>
          <w:rFonts w:asciiTheme="majorBidi" w:hAnsiTheme="majorBidi" w:cstheme="majorBidi"/>
        </w:rPr>
      </w:pPr>
      <w:r w:rsidRPr="00E37783">
        <w:rPr>
          <w:rFonts w:asciiTheme="majorBidi" w:hAnsiTheme="majorBidi" w:cstheme="majorBidi"/>
        </w:rPr>
        <w:t xml:space="preserve">R. Ishmael Ben </w:t>
      </w:r>
      <w:proofErr w:type="spellStart"/>
      <w:r w:rsidRPr="00E37783">
        <w:rPr>
          <w:rFonts w:asciiTheme="majorBidi" w:hAnsiTheme="majorBidi" w:cstheme="majorBidi"/>
        </w:rPr>
        <w:t>Hakhamon</w:t>
      </w:r>
      <w:proofErr w:type="spellEnd"/>
      <w:r w:rsidRPr="00E37783">
        <w:rPr>
          <w:rFonts w:asciiTheme="majorBidi" w:hAnsiTheme="majorBidi" w:cstheme="majorBidi"/>
        </w:rPr>
        <w:t xml:space="preserve"> (prob. Egypt, thirteenth century), who was familiar with the versions in both the Palestinian and the Babylonian branches, offered two interpretations:</w:t>
      </w:r>
    </w:p>
    <w:p w:rsidR="007670A8" w:rsidRPr="00E37783" w:rsidRDefault="007670A8" w:rsidP="007670A8">
      <w:pPr>
        <w:spacing w:line="360" w:lineRule="auto"/>
        <w:rPr>
          <w:rFonts w:asciiTheme="majorBidi" w:hAnsiTheme="majorBidi" w:cstheme="majorBidi"/>
        </w:rPr>
      </w:pPr>
      <w:r w:rsidRPr="00E37783">
        <w:rPr>
          <w:rFonts w:asciiTheme="majorBidi" w:hAnsiTheme="majorBidi" w:cstheme="majorBidi"/>
          <w:rtl/>
        </w:rPr>
        <w:t xml:space="preserve">"כיצד היה חמור לפניו וכליו עליו, אמ' לו מכור לי חמורך זה, כליו מכורין" – שכיון שידע הלוקח שהיא חמורו, ואמר לו "זה" – לקנות כלים שעליו נתכוין, וקנה כליום שעליו. "חמורך ההוא" – כלומר, חמור פלוני שיש לך. ובקצת נוסחאות של תלמוד כתוב "חמורך הוא זה", שנמצא כמי שלא ידע שהוא חמורו ושאל עליו – אין כליו מכורין, שלא נתכוין זה לקנות הכלים. </w:t>
      </w:r>
    </w:p>
    <w:p w:rsidR="002218F6" w:rsidRPr="00E37783" w:rsidRDefault="002218F6" w:rsidP="002218F6">
      <w:pPr>
        <w:rPr>
          <w:rFonts w:asciiTheme="majorBidi" w:hAnsiTheme="majorBidi" w:cstheme="majorBidi"/>
        </w:rPr>
      </w:pPr>
      <w:r w:rsidRPr="00E37783">
        <w:t xml:space="preserve">‘When the ass was before him and its vessels upon it, he said to him: Sell me this ass of yours, its vessels are sold’, for since the buyer knows that it is his ass, and he says to him </w:t>
      </w:r>
      <w:r w:rsidRPr="00E37783">
        <w:rPr>
          <w:rFonts w:asciiTheme="majorBidi" w:hAnsiTheme="majorBidi" w:cstheme="majorBidi"/>
          <w:rtl/>
        </w:rPr>
        <w:t>זה</w:t>
      </w:r>
      <w:r w:rsidRPr="00E37783">
        <w:rPr>
          <w:rFonts w:asciiTheme="majorBidi" w:hAnsiTheme="majorBidi" w:cstheme="majorBidi"/>
        </w:rPr>
        <w:t xml:space="preserve">, he intended to buy the vessels on it, and he bought the vessels on it. </w:t>
      </w:r>
      <w:r w:rsidRPr="00E37783">
        <w:rPr>
          <w:rFonts w:asciiTheme="majorBidi" w:hAnsiTheme="majorBidi" w:cstheme="majorBidi"/>
          <w:rtl/>
        </w:rPr>
        <w:t>חמורך ההוא</w:t>
      </w:r>
      <w:r w:rsidRPr="00E37783">
        <w:rPr>
          <w:rFonts w:asciiTheme="majorBidi" w:hAnsiTheme="majorBidi" w:cstheme="majorBidi"/>
        </w:rPr>
        <w:t xml:space="preserve"> – that is, a particular ass belonging to you. Some versions of the Talmud have </w:t>
      </w:r>
      <w:r w:rsidRPr="00E37783">
        <w:rPr>
          <w:rFonts w:asciiTheme="majorBidi" w:hAnsiTheme="majorBidi" w:cstheme="majorBidi"/>
          <w:rtl/>
        </w:rPr>
        <w:t>חמורך הוא זה</w:t>
      </w:r>
      <w:r w:rsidRPr="00E37783">
        <w:rPr>
          <w:rFonts w:asciiTheme="majorBidi" w:hAnsiTheme="majorBidi" w:cstheme="majorBidi"/>
        </w:rPr>
        <w:t xml:space="preserve">, which indicates that he did not know that it was his ass, and asked him ‘are the vessels not sold’, since he did not intend to buy the vessels. </w:t>
      </w:r>
    </w:p>
    <w:p w:rsidR="002218F6" w:rsidRPr="00E37783" w:rsidRDefault="002218F6" w:rsidP="002218F6">
      <w:pPr>
        <w:spacing w:line="360" w:lineRule="auto"/>
        <w:rPr>
          <w:rFonts w:asciiTheme="majorBidi" w:hAnsiTheme="majorBidi" w:cstheme="majorBidi"/>
        </w:rPr>
      </w:pPr>
      <w:r w:rsidRPr="00E37783">
        <w:rPr>
          <w:rFonts w:asciiTheme="majorBidi" w:hAnsiTheme="majorBidi" w:cstheme="majorBidi"/>
        </w:rPr>
        <w:t xml:space="preserve">In my opinion, this example offers a good example of the advantage of using the pronoun </w:t>
      </w:r>
      <w:r w:rsidRPr="00E37783">
        <w:rPr>
          <w:rFonts w:asciiTheme="majorBidi" w:hAnsiTheme="majorBidi" w:cstheme="majorBidi"/>
          <w:rtl/>
        </w:rPr>
        <w:t>אותו</w:t>
      </w:r>
      <w:r w:rsidRPr="00E37783">
        <w:rPr>
          <w:rFonts w:asciiTheme="majorBidi" w:hAnsiTheme="majorBidi" w:cstheme="majorBidi"/>
        </w:rPr>
        <w:t xml:space="preserve"> rather than the indefinite pronoun </w:t>
      </w:r>
      <w:r w:rsidRPr="00E37783">
        <w:rPr>
          <w:rFonts w:asciiTheme="majorBidi" w:hAnsiTheme="majorBidi" w:cstheme="majorBidi"/>
          <w:rtl/>
        </w:rPr>
        <w:t>הוא</w:t>
      </w:r>
      <w:r w:rsidRPr="00E37783">
        <w:rPr>
          <w:rFonts w:asciiTheme="majorBidi" w:hAnsiTheme="majorBidi" w:cstheme="majorBidi"/>
        </w:rPr>
        <w:t>.</w:t>
      </w:r>
    </w:p>
    <w:p w:rsidR="002218F6" w:rsidRPr="00E37783" w:rsidRDefault="002218F6" w:rsidP="00545152">
      <w:pPr>
        <w:spacing w:line="360" w:lineRule="auto"/>
        <w:rPr>
          <w:rFonts w:asciiTheme="majorBidi" w:hAnsiTheme="majorBidi" w:cstheme="majorBidi"/>
          <w:b/>
          <w:bCs/>
        </w:rPr>
      </w:pPr>
      <w:r w:rsidRPr="00E37783">
        <w:rPr>
          <w:rFonts w:asciiTheme="majorBidi" w:hAnsiTheme="majorBidi" w:cstheme="majorBidi"/>
        </w:rPr>
        <w:tab/>
      </w:r>
      <w:r w:rsidRPr="00E37783">
        <w:rPr>
          <w:rFonts w:asciiTheme="majorBidi" w:hAnsiTheme="majorBidi" w:cstheme="majorBidi"/>
          <w:b/>
          <w:bCs/>
        </w:rPr>
        <w:t>i</w:t>
      </w:r>
      <w:r w:rsidR="00545152">
        <w:rPr>
          <w:rFonts w:asciiTheme="majorBidi" w:hAnsiTheme="majorBidi" w:cstheme="majorBidi"/>
          <w:b/>
          <w:bCs/>
        </w:rPr>
        <w:t>v</w:t>
      </w:r>
      <w:r w:rsidRPr="00E37783">
        <w:rPr>
          <w:rFonts w:asciiTheme="majorBidi" w:hAnsiTheme="majorBidi" w:cstheme="majorBidi"/>
          <w:b/>
          <w:bCs/>
        </w:rPr>
        <w:t>. Comparison to the Development of the Demonstrative Pronouns in Palestinian Aramaic</w:t>
      </w:r>
    </w:p>
    <w:p w:rsidR="00470999" w:rsidRPr="00E37783" w:rsidRDefault="001C3C65" w:rsidP="00470999">
      <w:pPr>
        <w:spacing w:line="360" w:lineRule="auto"/>
        <w:rPr>
          <w:rFonts w:asciiTheme="majorBidi" w:hAnsiTheme="majorBidi" w:cstheme="majorBidi"/>
        </w:rPr>
      </w:pPr>
      <w:r w:rsidRPr="00E37783">
        <w:rPr>
          <w:rFonts w:asciiTheme="majorBidi" w:hAnsiTheme="majorBidi" w:cstheme="majorBidi"/>
        </w:rPr>
        <w:lastRenderedPageBreak/>
        <w:t xml:space="preserve">This explanation may, perhaps, be supported by an analogous development in the Aramaic dialects used in the Palestinian translations for all the demonstrative pronouns, both proximal and distal. A distinction began to emerge between the demonstrative adjective pronoun, which was preceded by </w:t>
      </w:r>
      <w:r w:rsidRPr="00E37783">
        <w:rPr>
          <w:rFonts w:asciiTheme="majorBidi" w:hAnsiTheme="majorBidi" w:cstheme="majorBidi"/>
          <w:b/>
          <w:bCs/>
          <w:rtl/>
        </w:rPr>
        <w:t>ה</w:t>
      </w:r>
      <w:r w:rsidRPr="00E37783">
        <w:rPr>
          <w:rFonts w:asciiTheme="majorBidi" w:hAnsiTheme="majorBidi" w:cstheme="majorBidi"/>
        </w:rPr>
        <w:t xml:space="preserve"> – such as </w:t>
      </w:r>
      <w:r w:rsidRPr="00E37783">
        <w:rPr>
          <w:rFonts w:asciiTheme="majorBidi" w:hAnsiTheme="majorBidi" w:cstheme="majorBidi"/>
          <w:b/>
          <w:bCs/>
          <w:rtl/>
        </w:rPr>
        <w:t>באורחה הדין</w:t>
      </w:r>
      <w:r w:rsidRPr="00E37783">
        <w:rPr>
          <w:rFonts w:asciiTheme="majorBidi" w:hAnsiTheme="majorBidi" w:cstheme="majorBidi"/>
        </w:rPr>
        <w:t xml:space="preserve"> ("that way"), and the independent pronoun, which remained without </w:t>
      </w:r>
      <w:r w:rsidRPr="00E37783">
        <w:rPr>
          <w:rFonts w:asciiTheme="majorBidi" w:hAnsiTheme="majorBidi" w:cstheme="majorBidi"/>
          <w:b/>
          <w:bCs/>
          <w:rtl/>
        </w:rPr>
        <w:t>ה</w:t>
      </w:r>
      <w:r w:rsidRPr="00E37783">
        <w:rPr>
          <w:rFonts w:asciiTheme="majorBidi" w:hAnsiTheme="majorBidi" w:cstheme="majorBidi"/>
        </w:rPr>
        <w:t xml:space="preserve"> – as for example in </w:t>
      </w:r>
      <w:r w:rsidRPr="00E37783">
        <w:rPr>
          <w:rFonts w:asciiTheme="majorBidi" w:hAnsiTheme="majorBidi" w:cstheme="majorBidi"/>
          <w:b/>
          <w:bCs/>
          <w:rtl/>
        </w:rPr>
        <w:t>דין סימן קיימה</w:t>
      </w:r>
      <w:r w:rsidRPr="00E37783">
        <w:rPr>
          <w:rFonts w:asciiTheme="majorBidi" w:hAnsiTheme="majorBidi" w:cstheme="majorBidi"/>
        </w:rPr>
        <w:t xml:space="preserve"> ("This is the sign of the covenant"). The addition of the </w:t>
      </w:r>
      <w:r w:rsidRPr="00E37783">
        <w:rPr>
          <w:rFonts w:asciiTheme="majorBidi" w:hAnsiTheme="majorBidi" w:cstheme="majorBidi"/>
          <w:b/>
          <w:bCs/>
          <w:rtl/>
        </w:rPr>
        <w:t>ה</w:t>
      </w:r>
      <w:r w:rsidRPr="00E37783">
        <w:rPr>
          <w:rFonts w:asciiTheme="majorBidi" w:hAnsiTheme="majorBidi" w:cstheme="majorBidi"/>
        </w:rPr>
        <w:t xml:space="preserve"> in Aramaic was presumably intended to create a distinction between these different syntactical functions – an independent pronoun as opposed to an adjective pronoun. In Rabbinic Hebrew, which removed the definite article from the demonstrative adjective pronoun, the adjective pronoun </w:t>
      </w:r>
      <w:r w:rsidRPr="00E37783">
        <w:rPr>
          <w:rFonts w:asciiTheme="majorBidi" w:hAnsiTheme="majorBidi" w:cstheme="majorBidi"/>
          <w:b/>
          <w:bCs/>
          <w:rtl/>
        </w:rPr>
        <w:t>הוא</w:t>
      </w:r>
      <w:r w:rsidRPr="00E37783">
        <w:rPr>
          <w:rFonts w:asciiTheme="majorBidi" w:hAnsiTheme="majorBidi" w:cstheme="majorBidi"/>
        </w:rPr>
        <w:t xml:space="preserve"> was replaced by </w:t>
      </w:r>
      <w:r w:rsidRPr="00E37783">
        <w:rPr>
          <w:rFonts w:asciiTheme="majorBidi" w:hAnsiTheme="majorBidi" w:cstheme="majorBidi"/>
          <w:b/>
          <w:bCs/>
          <w:rtl/>
        </w:rPr>
        <w:t>אותו</w:t>
      </w:r>
      <w:r w:rsidRPr="00E37783">
        <w:rPr>
          <w:rFonts w:asciiTheme="majorBidi" w:hAnsiTheme="majorBidi" w:cstheme="majorBidi"/>
        </w:rPr>
        <w:t xml:space="preserve"> in order to distinguish it from the independent pronoun. </w:t>
      </w:r>
      <w:r w:rsidR="00470999" w:rsidRPr="00E37783">
        <w:rPr>
          <w:rFonts w:asciiTheme="majorBidi" w:hAnsiTheme="majorBidi" w:cstheme="majorBidi"/>
        </w:rPr>
        <w:t xml:space="preserve">In any case, </w:t>
      </w:r>
      <w:bookmarkStart w:id="22" w:name="_Hlk12883500"/>
      <w:r w:rsidR="00470999" w:rsidRPr="00E37783">
        <w:rPr>
          <w:rFonts w:asciiTheme="majorBidi" w:hAnsiTheme="majorBidi" w:cstheme="majorBidi"/>
        </w:rPr>
        <w:t xml:space="preserve">the very dramatic change in the field of the definiteness of pronouns </w:t>
      </w:r>
      <w:bookmarkEnd w:id="22"/>
      <w:r w:rsidR="00470999" w:rsidRPr="00E37783">
        <w:rPr>
          <w:rFonts w:asciiTheme="majorBidi" w:hAnsiTheme="majorBidi" w:cstheme="majorBidi"/>
        </w:rPr>
        <w:t>that undermined the Biblical pronouns system certainly facilitated the absorption of the new pronoun from Greek.</w:t>
      </w:r>
    </w:p>
    <w:p w:rsidR="009966A5" w:rsidRPr="00E37783" w:rsidRDefault="009966A5" w:rsidP="00470999">
      <w:pPr>
        <w:spacing w:line="360" w:lineRule="auto"/>
        <w:rPr>
          <w:rFonts w:asciiTheme="majorBidi" w:hAnsiTheme="majorBidi" w:cstheme="majorBidi"/>
          <w:b/>
          <w:bCs/>
        </w:rPr>
      </w:pPr>
      <w:r w:rsidRPr="00E37783">
        <w:rPr>
          <w:rFonts w:asciiTheme="majorBidi" w:hAnsiTheme="majorBidi" w:cstheme="majorBidi"/>
          <w:b/>
          <w:bCs/>
        </w:rPr>
        <w:t>Conclusion</w:t>
      </w:r>
    </w:p>
    <w:p w:rsidR="009966A5" w:rsidRPr="00E37783" w:rsidRDefault="009966A5" w:rsidP="009966A5">
      <w:pPr>
        <w:spacing w:line="360" w:lineRule="auto"/>
        <w:rPr>
          <w:rFonts w:asciiTheme="majorBidi" w:hAnsiTheme="majorBidi" w:cstheme="majorBidi"/>
        </w:rPr>
      </w:pPr>
      <w:r w:rsidRPr="00E37783">
        <w:rPr>
          <w:rFonts w:asciiTheme="majorBidi" w:hAnsiTheme="majorBidi" w:cstheme="majorBidi"/>
        </w:rPr>
        <w:t xml:space="preserve">The change from </w:t>
      </w:r>
      <w:r w:rsidRPr="00E37783">
        <w:rPr>
          <w:rFonts w:asciiTheme="majorBidi" w:hAnsiTheme="majorBidi" w:cstheme="majorBidi"/>
          <w:i/>
          <w:iCs/>
        </w:rPr>
        <w:t>ha-hūˀ</w:t>
      </w:r>
      <w:r w:rsidRPr="00E37783">
        <w:rPr>
          <w:rFonts w:asciiTheme="majorBidi" w:hAnsiTheme="majorBidi" w:cstheme="majorBidi"/>
        </w:rPr>
        <w:t xml:space="preserve"> </w:t>
      </w:r>
      <w:r w:rsidRPr="00E37783">
        <w:rPr>
          <w:rFonts w:asciiTheme="majorBidi" w:hAnsiTheme="majorBidi" w:cstheme="majorBidi"/>
        </w:rPr>
        <w:t xml:space="preserve">to </w:t>
      </w:r>
      <w:r w:rsidRPr="00E37783">
        <w:rPr>
          <w:rFonts w:asciiTheme="majorBidi" w:hAnsiTheme="majorBidi" w:cstheme="majorBidi"/>
          <w:i/>
          <w:iCs/>
        </w:rPr>
        <w:t>ˀōṯō</w:t>
      </w:r>
      <w:r w:rsidRPr="00E37783">
        <w:rPr>
          <w:rFonts w:asciiTheme="majorBidi" w:hAnsiTheme="majorBidi" w:cstheme="majorBidi"/>
        </w:rPr>
        <w:t xml:space="preserve"> is the result of language contact. Aramaic encouraged the prolepsis, but the change in the pronoun reflects the influence of a Greek pronoun with a similar sound and similar syntactical functions, as scholars have shown regarding other function words in Mishnaic Hebrew. </w:t>
      </w:r>
    </w:p>
    <w:p w:rsidR="009966A5" w:rsidRPr="00E37783" w:rsidRDefault="009966A5" w:rsidP="009966A5">
      <w:pPr>
        <w:spacing w:line="360" w:lineRule="auto"/>
        <w:rPr>
          <w:rFonts w:asciiTheme="majorBidi" w:hAnsiTheme="majorBidi" w:cstheme="majorBidi"/>
        </w:rPr>
      </w:pPr>
      <w:r w:rsidRPr="00E37783">
        <w:rPr>
          <w:rFonts w:asciiTheme="majorBidi" w:hAnsiTheme="majorBidi" w:cstheme="majorBidi"/>
        </w:rPr>
        <w:t xml:space="preserve">In light of this conclusion, it would seem that we should separate the discussion of the development of the pronoun </w:t>
      </w:r>
      <w:r w:rsidRPr="00E37783">
        <w:rPr>
          <w:rFonts w:asciiTheme="majorBidi" w:hAnsiTheme="majorBidi" w:cstheme="majorBidi"/>
          <w:b/>
          <w:bCs/>
          <w:rtl/>
        </w:rPr>
        <w:t>את ש</w:t>
      </w:r>
      <w:r w:rsidRPr="00E37783">
        <w:rPr>
          <w:rFonts w:asciiTheme="majorBidi" w:hAnsiTheme="majorBidi" w:cstheme="majorBidi"/>
          <w:b/>
          <w:bCs/>
        </w:rPr>
        <w:t xml:space="preserve"> </w:t>
      </w:r>
      <w:r w:rsidRPr="00E37783">
        <w:rPr>
          <w:rFonts w:asciiTheme="majorBidi" w:hAnsiTheme="majorBidi" w:cstheme="majorBidi"/>
        </w:rPr>
        <w:t>in Tannaitic Hebrew from that of the declined pronoun</w:t>
      </w:r>
      <w:r w:rsidR="00E37783" w:rsidRPr="00E37783">
        <w:rPr>
          <w:rFonts w:asciiTheme="majorBidi" w:hAnsiTheme="majorBidi" w:cstheme="majorBidi"/>
        </w:rPr>
        <w:t xml:space="preserve"> </w:t>
      </w:r>
      <w:r w:rsidRPr="00E37783">
        <w:rPr>
          <w:rFonts w:asciiTheme="majorBidi" w:hAnsiTheme="majorBidi" w:cstheme="majorBidi"/>
          <w:b/>
          <w:bCs/>
          <w:rtl/>
        </w:rPr>
        <w:t>אותו</w:t>
      </w:r>
      <w:r w:rsidRPr="00E37783">
        <w:rPr>
          <w:rFonts w:asciiTheme="majorBidi" w:hAnsiTheme="majorBidi" w:cstheme="majorBidi"/>
        </w:rPr>
        <w:t>+ noun, contrary to the prevailing opinion in earlier studies.</w:t>
      </w:r>
    </w:p>
    <w:p w:rsidR="009966A5" w:rsidRDefault="009966A5" w:rsidP="009966A5">
      <w:pPr>
        <w:spacing w:line="360" w:lineRule="auto"/>
        <w:rPr>
          <w:rFonts w:asciiTheme="majorBidi" w:hAnsiTheme="majorBidi" w:cstheme="majorBidi"/>
        </w:rPr>
      </w:pPr>
      <w:r w:rsidRPr="00E37783">
        <w:rPr>
          <w:rFonts w:asciiTheme="majorBidi" w:hAnsiTheme="majorBidi" w:cstheme="majorBidi"/>
        </w:rPr>
        <w:t xml:space="preserve">The conclusion reached by this article may also have ramifications regarding the question of the definiteness of the nucleus for which the pronoun </w:t>
      </w:r>
      <w:r w:rsidRPr="00E37783">
        <w:rPr>
          <w:rFonts w:asciiTheme="majorBidi" w:hAnsiTheme="majorBidi" w:cstheme="majorBidi"/>
          <w:b/>
          <w:bCs/>
          <w:rtl/>
        </w:rPr>
        <w:t>אותו</w:t>
      </w:r>
      <w:r w:rsidRPr="00E37783">
        <w:rPr>
          <w:rFonts w:asciiTheme="majorBidi" w:hAnsiTheme="majorBidi" w:cstheme="majorBidi"/>
        </w:rPr>
        <w:t xml:space="preserve"> serves as the complement. In light of the situation in Greek and Aramaic, it might have been expected that Mishnaic Hebrew would also show definiteness in the nucleus, contrary to the accepted view in the literature that this definiteness was added due to the need to separate two consecutive stressed syllables. This question should be reexamined in light of all the selected witnesses of the Talmudic literature. However, such a clarification goes beyond the scope of the present article; I hope to discuss it elsewhere.</w:t>
      </w:r>
    </w:p>
    <w:sectPr w:rsidR="009966A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FC" w:rsidRDefault="00F202FC" w:rsidP="002A0DB7">
      <w:r>
        <w:separator/>
      </w:r>
    </w:p>
  </w:endnote>
  <w:endnote w:type="continuationSeparator" w:id="0">
    <w:p w:rsidR="00F202FC" w:rsidRDefault="00F202FC" w:rsidP="002A0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EB" w:rsidRDefault="00AB7B53" w:rsidP="00363211">
    <w:pPr>
      <w:pStyle w:val="Footer"/>
      <w:jc w:val="center"/>
    </w:pPr>
    <w:r>
      <w:fldChar w:fldCharType="begin"/>
    </w:r>
    <w:r w:rsidR="008D1BEB">
      <w:instrText xml:space="preserve"> PAGE   \* MERGEFORMAT </w:instrText>
    </w:r>
    <w:r>
      <w:fldChar w:fldCharType="separate"/>
    </w:r>
    <w:r w:rsidR="00545152">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FC" w:rsidRDefault="00F202FC" w:rsidP="002A0DB7">
      <w:r>
        <w:separator/>
      </w:r>
    </w:p>
  </w:footnote>
  <w:footnote w:type="continuationSeparator" w:id="0">
    <w:p w:rsidR="00F202FC" w:rsidRDefault="00F202FC" w:rsidP="002A0DB7">
      <w:r>
        <w:continuationSeparator/>
      </w:r>
    </w:p>
  </w:footnote>
  <w:footnote w:id="1">
    <w:p w:rsidR="00576688" w:rsidRPr="00E37783" w:rsidRDefault="008D1BEB" w:rsidP="00E37783">
      <w:pPr>
        <w:pStyle w:val="FootnoteText"/>
        <w:spacing w:line="360" w:lineRule="auto"/>
        <w:ind w:left="0" w:firstLine="0"/>
        <w:rPr>
          <w:rFonts w:asciiTheme="majorBidi" w:hAnsiTheme="majorBidi" w:cstheme="majorBidi"/>
          <w:color w:val="auto"/>
          <w:sz w:val="20"/>
          <w:szCs w:val="20"/>
        </w:rPr>
      </w:pPr>
      <w:r w:rsidRPr="00E37783">
        <w:rPr>
          <w:rStyle w:val="FootnoteReference"/>
          <w:rFonts w:asciiTheme="majorBidi" w:hAnsiTheme="majorBidi" w:cstheme="majorBidi"/>
          <w:color w:val="auto"/>
          <w:sz w:val="20"/>
          <w:szCs w:val="20"/>
        </w:rPr>
        <w:footnoteRef/>
      </w:r>
      <w:r w:rsidRPr="00E37783">
        <w:rPr>
          <w:rFonts w:asciiTheme="majorBidi" w:hAnsiTheme="majorBidi" w:cstheme="majorBidi"/>
          <w:color w:val="auto"/>
          <w:sz w:val="20"/>
          <w:szCs w:val="20"/>
        </w:rPr>
        <w:t xml:space="preserve"> This structure may have some limited precedents in the Late Biblical Hebrew, such as </w:t>
      </w:r>
      <w:r w:rsidRPr="00E37783">
        <w:rPr>
          <w:rFonts w:asciiTheme="majorBidi" w:hAnsiTheme="majorBidi" w:cstheme="majorBidi"/>
          <w:color w:val="auto"/>
          <w:sz w:val="20"/>
          <w:szCs w:val="20"/>
          <w:rtl/>
        </w:rPr>
        <w:t xml:space="preserve">וְטוֹב מִשְּׁנֵיהֶם </w:t>
      </w:r>
      <w:r w:rsidRPr="00E37783">
        <w:rPr>
          <w:rFonts w:asciiTheme="majorBidi" w:hAnsiTheme="majorBidi" w:cstheme="majorBidi"/>
          <w:b/>
          <w:bCs/>
          <w:color w:val="auto"/>
          <w:sz w:val="20"/>
          <w:szCs w:val="20"/>
          <w:rtl/>
        </w:rPr>
        <w:t>אֵת</w:t>
      </w:r>
      <w:r w:rsidRPr="00E37783">
        <w:rPr>
          <w:rFonts w:asciiTheme="majorBidi" w:hAnsiTheme="majorBidi" w:cstheme="majorBidi"/>
          <w:color w:val="auto"/>
          <w:sz w:val="20"/>
          <w:szCs w:val="20"/>
          <w:rtl/>
        </w:rPr>
        <w:t xml:space="preserve"> אֲשֶׁר עֲדֶן לֹא הָיָה</w:t>
      </w:r>
      <w:r w:rsidRPr="00E37783">
        <w:rPr>
          <w:rFonts w:asciiTheme="majorBidi" w:hAnsiTheme="majorBidi" w:cstheme="majorBidi"/>
          <w:color w:val="auto"/>
          <w:sz w:val="20"/>
          <w:szCs w:val="20"/>
        </w:rPr>
        <w:t xml:space="preserve"> ‘and happier than either are </w:t>
      </w:r>
      <w:r w:rsidRPr="00E37783">
        <w:rPr>
          <w:rFonts w:asciiTheme="majorBidi" w:hAnsiTheme="majorBidi" w:cstheme="majorBidi"/>
          <w:b/>
          <w:bCs/>
          <w:color w:val="auto"/>
          <w:sz w:val="20"/>
          <w:szCs w:val="20"/>
        </w:rPr>
        <w:t>those</w:t>
      </w:r>
      <w:r w:rsidRPr="00E37783">
        <w:rPr>
          <w:rFonts w:asciiTheme="majorBidi" w:hAnsiTheme="majorBidi" w:cstheme="majorBidi"/>
          <w:color w:val="auto"/>
          <w:sz w:val="20"/>
          <w:szCs w:val="20"/>
        </w:rPr>
        <w:t xml:space="preserve"> </w:t>
      </w:r>
      <w:r w:rsidRPr="00E37783">
        <w:rPr>
          <w:rFonts w:asciiTheme="majorBidi" w:hAnsiTheme="majorBidi" w:cstheme="majorBidi"/>
          <w:b/>
          <w:bCs/>
          <w:color w:val="auto"/>
          <w:sz w:val="20"/>
          <w:szCs w:val="20"/>
        </w:rPr>
        <w:t>who</w:t>
      </w:r>
      <w:r w:rsidRPr="00E37783">
        <w:rPr>
          <w:rFonts w:asciiTheme="majorBidi" w:hAnsiTheme="majorBidi" w:cstheme="majorBidi"/>
          <w:color w:val="auto"/>
          <w:sz w:val="20"/>
          <w:szCs w:val="20"/>
        </w:rPr>
        <w:t xml:space="preserve"> have not yet come into being’ (Ecclesiastes 4:3; </w:t>
      </w:r>
      <w:bookmarkStart w:id="2" w:name="_Hlk31016037"/>
      <w:r w:rsidRPr="00E37783">
        <w:rPr>
          <w:rFonts w:asciiTheme="majorBidi" w:hAnsiTheme="majorBidi" w:cstheme="majorBidi"/>
          <w:color w:val="auto"/>
          <w:sz w:val="20"/>
          <w:szCs w:val="20"/>
        </w:rPr>
        <w:t>NJPS</w:t>
      </w:r>
      <w:bookmarkEnd w:id="2"/>
      <w:r w:rsidRPr="00E37783">
        <w:rPr>
          <w:rFonts w:asciiTheme="majorBidi" w:hAnsiTheme="majorBidi" w:cstheme="majorBidi"/>
          <w:color w:val="auto"/>
          <w:sz w:val="20"/>
          <w:szCs w:val="20"/>
        </w:rPr>
        <w:t>).</w:t>
      </w:r>
      <w:r w:rsidR="00576688" w:rsidRPr="00E37783">
        <w:rPr>
          <w:rFonts w:asciiTheme="majorBidi" w:hAnsiTheme="majorBidi" w:cstheme="majorBidi"/>
          <w:color w:val="auto"/>
          <w:sz w:val="20"/>
          <w:szCs w:val="20"/>
        </w:rPr>
        <w:t xml:space="preserve"> For a comprehensive review of the literature and an updated discussion on the distribution of this structure in the Bible, see </w:t>
      </w:r>
      <w:proofErr w:type="spellStart"/>
      <w:r w:rsidR="00576688" w:rsidRPr="00E37783">
        <w:rPr>
          <w:rFonts w:asciiTheme="majorBidi" w:hAnsiTheme="majorBidi" w:cstheme="majorBidi"/>
          <w:color w:val="auto"/>
          <w:sz w:val="20"/>
          <w:szCs w:val="20"/>
        </w:rPr>
        <w:t>Samet</w:t>
      </w:r>
      <w:proofErr w:type="spellEnd"/>
      <w:r w:rsidR="00576688" w:rsidRPr="00E37783">
        <w:rPr>
          <w:rFonts w:asciiTheme="majorBidi" w:hAnsiTheme="majorBidi" w:cstheme="majorBidi"/>
          <w:color w:val="auto"/>
          <w:sz w:val="20"/>
          <w:szCs w:val="20"/>
        </w:rPr>
        <w:t xml:space="preserve">. </w:t>
      </w:r>
    </w:p>
    <w:p w:rsidR="008D1BEB" w:rsidRPr="00E37783" w:rsidRDefault="008D1BEB" w:rsidP="00E37783">
      <w:pPr>
        <w:pStyle w:val="FootnoteText"/>
        <w:spacing w:line="360" w:lineRule="auto"/>
        <w:ind w:left="0" w:firstLine="0"/>
        <w:rPr>
          <w:rFonts w:asciiTheme="majorBidi" w:hAnsiTheme="majorBidi" w:cstheme="majorBidi"/>
          <w:color w:val="auto"/>
          <w:sz w:val="20"/>
          <w:szCs w:val="20"/>
        </w:rPr>
      </w:pPr>
      <w:r w:rsidRPr="00E37783">
        <w:rPr>
          <w:rFonts w:asciiTheme="majorBidi" w:hAnsiTheme="majorBidi" w:cstheme="majorBidi"/>
          <w:color w:val="auto"/>
          <w:sz w:val="20"/>
          <w:szCs w:val="20"/>
          <w:rtl/>
        </w:rPr>
        <w:t>את</w:t>
      </w:r>
      <w:r w:rsidRPr="00E37783">
        <w:rPr>
          <w:rFonts w:asciiTheme="majorBidi" w:hAnsiTheme="majorBidi" w:cstheme="majorBidi"/>
          <w:color w:val="auto"/>
          <w:sz w:val="20"/>
          <w:szCs w:val="20"/>
        </w:rPr>
        <w:t xml:space="preserve"> </w:t>
      </w:r>
      <w:r w:rsidRPr="00E37783">
        <w:rPr>
          <w:rFonts w:asciiTheme="majorBidi" w:hAnsiTheme="majorBidi" w:cstheme="majorBidi"/>
          <w:color w:val="auto"/>
          <w:sz w:val="20"/>
          <w:szCs w:val="20"/>
          <w:lang w:bidi="ar-JO"/>
        </w:rPr>
        <w:t>as an independent demonstrative pronoun appears in the Tannaitic literature only in its undeclined form, and always before a subordinate clause.</w:t>
      </w:r>
      <w:r w:rsidR="00576688" w:rsidRPr="00E37783">
        <w:rPr>
          <w:rFonts w:asciiTheme="majorBidi" w:hAnsiTheme="majorBidi" w:cstheme="majorBidi"/>
          <w:color w:val="auto"/>
          <w:sz w:val="20"/>
          <w:szCs w:val="20"/>
          <w:lang w:bidi="ar-JO"/>
        </w:rPr>
        <w:t xml:space="preserve"> The use of the declined form of </w:t>
      </w:r>
      <w:r w:rsidR="00576688" w:rsidRPr="00E37783">
        <w:rPr>
          <w:rFonts w:asciiTheme="majorBidi" w:hAnsiTheme="majorBidi" w:cstheme="majorBidi" w:hint="cs"/>
          <w:color w:val="auto"/>
          <w:sz w:val="20"/>
          <w:szCs w:val="20"/>
          <w:rtl/>
          <w:lang w:val="en-GB"/>
        </w:rPr>
        <w:t>את</w:t>
      </w:r>
      <w:r w:rsidR="00576688" w:rsidRPr="00E37783">
        <w:rPr>
          <w:rFonts w:asciiTheme="majorBidi" w:hAnsiTheme="majorBidi" w:cstheme="majorBidi"/>
          <w:color w:val="auto"/>
          <w:sz w:val="20"/>
          <w:szCs w:val="20"/>
          <w:lang w:val="tr-TR"/>
        </w:rPr>
        <w:t xml:space="preserve"> </w:t>
      </w:r>
      <w:r w:rsidR="00576688" w:rsidRPr="00E37783">
        <w:rPr>
          <w:rFonts w:asciiTheme="majorBidi" w:hAnsiTheme="majorBidi" w:cstheme="majorBidi"/>
          <w:color w:val="auto"/>
          <w:sz w:val="20"/>
          <w:szCs w:val="20"/>
          <w:lang w:bidi="ar-JO"/>
        </w:rPr>
        <w:t>(</w:t>
      </w:r>
      <w:proofErr w:type="spellStart"/>
      <w:r w:rsidR="00576688" w:rsidRPr="00E37783">
        <w:rPr>
          <w:rFonts w:asciiTheme="majorBidi" w:hAnsiTheme="majorBidi" w:cstheme="majorBidi"/>
          <w:color w:val="auto"/>
          <w:sz w:val="20"/>
          <w:szCs w:val="20"/>
          <w:lang w:bidi="ar-JO"/>
        </w:rPr>
        <w:t>ot</w:t>
      </w:r>
      <w:proofErr w:type="spellEnd"/>
      <w:r w:rsidR="00576688" w:rsidRPr="00E37783">
        <w:rPr>
          <w:rFonts w:asciiTheme="majorBidi" w:hAnsiTheme="majorBidi" w:cstheme="majorBidi"/>
          <w:color w:val="auto"/>
          <w:sz w:val="20"/>
          <w:szCs w:val="20"/>
          <w:lang w:bidi="ar-JO"/>
        </w:rPr>
        <w:t xml:space="preserve">-) as the nucleus of a clause began only in </w:t>
      </w:r>
      <w:proofErr w:type="spellStart"/>
      <w:r w:rsidR="00576688" w:rsidRPr="00E37783">
        <w:rPr>
          <w:rFonts w:asciiTheme="majorBidi" w:hAnsiTheme="majorBidi" w:cstheme="majorBidi"/>
          <w:color w:val="auto"/>
          <w:sz w:val="20"/>
          <w:szCs w:val="20"/>
          <w:lang w:bidi="ar-JO"/>
        </w:rPr>
        <w:t>Amoraitic</w:t>
      </w:r>
      <w:proofErr w:type="spellEnd"/>
      <w:r w:rsidR="00576688" w:rsidRPr="00E37783">
        <w:rPr>
          <w:rFonts w:asciiTheme="majorBidi" w:hAnsiTheme="majorBidi" w:cstheme="majorBidi"/>
          <w:color w:val="auto"/>
          <w:sz w:val="20"/>
          <w:szCs w:val="20"/>
          <w:lang w:bidi="ar-JO"/>
        </w:rPr>
        <w:t xml:space="preserve"> Hebrew </w:t>
      </w:r>
      <w:r w:rsidRPr="00E37783">
        <w:rPr>
          <w:rFonts w:asciiTheme="majorBidi" w:hAnsiTheme="majorBidi" w:cstheme="majorBidi"/>
          <w:color w:val="auto"/>
          <w:sz w:val="20"/>
          <w:szCs w:val="20"/>
          <w:lang w:bidi="ar-JO"/>
        </w:rPr>
        <w:t>(Breuer 2002: 211–213).</w:t>
      </w:r>
      <w:r w:rsidRPr="00E37783">
        <w:rPr>
          <w:rFonts w:asciiTheme="majorBidi" w:hAnsiTheme="majorBidi" w:cstheme="majorBidi"/>
          <w:color w:val="auto"/>
          <w:sz w:val="20"/>
          <w:szCs w:val="20"/>
        </w:rPr>
        <w:t xml:space="preserve"> </w:t>
      </w:r>
    </w:p>
  </w:footnote>
  <w:footnote w:id="2">
    <w:p w:rsidR="008D1BEB" w:rsidRPr="00E37783" w:rsidRDefault="008D1BEB"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See: </w:t>
      </w:r>
      <w:proofErr w:type="spellStart"/>
      <w:r w:rsidRPr="00E37783">
        <w:rPr>
          <w:rFonts w:asciiTheme="majorBidi" w:hAnsiTheme="majorBidi" w:cstheme="majorBidi"/>
          <w:sz w:val="20"/>
          <w:szCs w:val="20"/>
        </w:rPr>
        <w:t>Azar</w:t>
      </w:r>
      <w:proofErr w:type="spellEnd"/>
      <w:r w:rsidRPr="00E37783">
        <w:rPr>
          <w:rFonts w:asciiTheme="majorBidi" w:hAnsiTheme="majorBidi" w:cstheme="majorBidi"/>
          <w:sz w:val="20"/>
          <w:szCs w:val="20"/>
        </w:rPr>
        <w:t xml:space="preserve"> 1995: 212–213; Oron</w:t>
      </w:r>
      <w:r w:rsidR="00332432" w:rsidRPr="00E37783">
        <w:rPr>
          <w:rFonts w:asciiTheme="majorBidi" w:hAnsiTheme="majorBidi" w:cstheme="majorBidi"/>
          <w:sz w:val="20"/>
          <w:szCs w:val="20"/>
        </w:rPr>
        <w:t xml:space="preserve"> 1990:</w:t>
      </w:r>
      <w:r w:rsidRPr="00E37783">
        <w:rPr>
          <w:rFonts w:asciiTheme="majorBidi" w:hAnsiTheme="majorBidi" w:cstheme="majorBidi"/>
          <w:sz w:val="20"/>
          <w:szCs w:val="20"/>
        </w:rPr>
        <w:t xml:space="preserve"> 28–30; </w:t>
      </w:r>
      <w:proofErr w:type="spellStart"/>
      <w:r w:rsidRPr="00E37783">
        <w:rPr>
          <w:rFonts w:asciiTheme="majorBidi" w:hAnsiTheme="majorBidi" w:cstheme="majorBidi"/>
          <w:sz w:val="20"/>
          <w:szCs w:val="20"/>
        </w:rPr>
        <w:t>Kaddai</w:t>
      </w:r>
      <w:proofErr w:type="spellEnd"/>
      <w:r w:rsidRPr="00E37783">
        <w:rPr>
          <w:rFonts w:asciiTheme="majorBidi" w:hAnsiTheme="majorBidi" w:cstheme="majorBidi"/>
          <w:sz w:val="20"/>
          <w:szCs w:val="20"/>
        </w:rPr>
        <w:t xml:space="preserve"> 1991: 212–213; Breuer 2002: 212.</w:t>
      </w:r>
      <w:r w:rsidRPr="00E37783">
        <w:rPr>
          <w:rFonts w:asciiTheme="majorBidi" w:hAnsiTheme="majorBidi" w:cstheme="majorBidi"/>
          <w:sz w:val="20"/>
          <w:szCs w:val="20"/>
          <w:rtl/>
        </w:rPr>
        <w:t xml:space="preserve"> </w:t>
      </w:r>
    </w:p>
  </w:footnote>
  <w:footnote w:id="3">
    <w:p w:rsidR="008D1BEB" w:rsidRPr="00E37783" w:rsidRDefault="008D1BEB" w:rsidP="00E37783">
      <w:pPr>
        <w:pStyle w:val="FootnoteText"/>
        <w:spacing w:line="360" w:lineRule="auto"/>
        <w:ind w:left="0" w:firstLine="0"/>
        <w:rPr>
          <w:rStyle w:val="FootnoteReference"/>
          <w:rFonts w:asciiTheme="majorBidi" w:hAnsiTheme="majorBidi" w:cstheme="majorBidi"/>
          <w:sz w:val="20"/>
          <w:szCs w:val="20"/>
          <w:vertAlign w:val="baseline"/>
        </w:rPr>
      </w:pPr>
      <w:r w:rsidRPr="00E37783">
        <w:rPr>
          <w:rStyle w:val="FootnoteReference"/>
          <w:rFonts w:asciiTheme="majorBidi" w:hAnsiTheme="majorBidi" w:cstheme="majorBidi"/>
          <w:color w:val="auto"/>
          <w:sz w:val="20"/>
          <w:szCs w:val="20"/>
        </w:rPr>
        <w:footnoteRef/>
      </w:r>
      <w:r w:rsidRPr="00E37783">
        <w:rPr>
          <w:rStyle w:val="FootnoteReference"/>
          <w:rFonts w:asciiTheme="majorBidi" w:hAnsiTheme="majorBidi" w:cstheme="majorBidi"/>
          <w:sz w:val="20"/>
          <w:szCs w:val="20"/>
        </w:rPr>
        <w:t xml:space="preserve"> </w:t>
      </w:r>
      <w:r w:rsidRPr="00E37783">
        <w:rPr>
          <w:rStyle w:val="FootnoteReference"/>
          <w:rFonts w:asciiTheme="majorBidi" w:hAnsiTheme="majorBidi" w:cstheme="majorBidi"/>
          <w:sz w:val="20"/>
          <w:szCs w:val="20"/>
          <w:vertAlign w:val="baseline"/>
        </w:rPr>
        <w:t xml:space="preserve">Apart from the fact that in 95.5% of the instances the pronoun </w:t>
      </w:r>
      <w:r w:rsidRPr="00E37783">
        <w:rPr>
          <w:rStyle w:val="FootnoteReference"/>
          <w:rFonts w:asciiTheme="majorBidi" w:hAnsiTheme="majorBidi" w:cstheme="majorBidi"/>
          <w:b/>
          <w:bCs/>
          <w:sz w:val="20"/>
          <w:szCs w:val="20"/>
          <w:vertAlign w:val="baseline"/>
          <w:rtl/>
        </w:rPr>
        <w:t>אות-</w:t>
      </w:r>
      <w:r w:rsidRPr="00E37783">
        <w:rPr>
          <w:rStyle w:val="FootnoteReference"/>
          <w:rFonts w:asciiTheme="majorBidi" w:hAnsiTheme="majorBidi" w:cstheme="majorBidi"/>
          <w:b/>
          <w:bCs/>
          <w:sz w:val="20"/>
          <w:szCs w:val="20"/>
          <w:vertAlign w:val="baseline"/>
        </w:rPr>
        <w:t xml:space="preserve"> </w:t>
      </w:r>
      <w:r w:rsidRPr="00E37783">
        <w:rPr>
          <w:rStyle w:val="FootnoteReference"/>
          <w:rFonts w:asciiTheme="majorBidi" w:hAnsiTheme="majorBidi" w:cstheme="majorBidi"/>
          <w:sz w:val="20"/>
          <w:szCs w:val="20"/>
          <w:vertAlign w:val="baseline"/>
        </w:rPr>
        <w:t xml:space="preserve">is used, in the three instances in which the Biblical pronoun appears, its use may be regarded as demonstrative (rather than anaphoric or identity-related) </w:t>
      </w:r>
      <w:r w:rsidRPr="00E37783">
        <w:rPr>
          <w:rFonts w:asciiTheme="majorBidi" w:hAnsiTheme="majorBidi" w:cstheme="majorBidi"/>
          <w:sz w:val="20"/>
          <w:szCs w:val="20"/>
        </w:rPr>
        <w:t xml:space="preserve">(Kaddari 1991: 213). An example is </w:t>
      </w:r>
      <w:r w:rsidRPr="00E37783">
        <w:rPr>
          <w:rFonts w:asciiTheme="majorBidi" w:hAnsiTheme="majorBidi" w:cstheme="majorBidi"/>
          <w:sz w:val="20"/>
          <w:szCs w:val="20"/>
          <w:rtl/>
        </w:rPr>
        <w:t>הרי המעות ההם מחוללין על הפירות האילו</w:t>
      </w:r>
      <w:r w:rsidRPr="00E37783">
        <w:rPr>
          <w:rFonts w:asciiTheme="majorBidi" w:hAnsiTheme="majorBidi" w:cstheme="majorBidi"/>
          <w:sz w:val="20"/>
          <w:szCs w:val="20"/>
        </w:rPr>
        <w:t xml:space="preserve"> (‘Let that money be rendered free for common use by [exchange with] this produce’ </w:t>
      </w:r>
      <w:proofErr w:type="spellStart"/>
      <w:r w:rsidRPr="00E37783">
        <w:rPr>
          <w:rFonts w:asciiTheme="majorBidi" w:hAnsiTheme="majorBidi" w:cstheme="majorBidi"/>
          <w:sz w:val="20"/>
          <w:szCs w:val="20"/>
        </w:rPr>
        <w:t>Ma’aser</w:t>
      </w:r>
      <w:proofErr w:type="spellEnd"/>
      <w:r w:rsidRPr="00E37783">
        <w:rPr>
          <w:rFonts w:asciiTheme="majorBidi" w:hAnsiTheme="majorBidi" w:cstheme="majorBidi"/>
          <w:sz w:val="20"/>
          <w:szCs w:val="20"/>
        </w:rPr>
        <w:t xml:space="preserve"> Sheni 3:4; Danby 1933:76).</w:t>
      </w:r>
    </w:p>
  </w:footnote>
  <w:footnote w:id="4">
    <w:p w:rsidR="008D1BEB" w:rsidRPr="00E37783" w:rsidRDefault="008D1BEB" w:rsidP="00E37783">
      <w:pPr>
        <w:pStyle w:val="FootnoteText"/>
        <w:ind w:left="0" w:firstLine="0"/>
        <w:rPr>
          <w:rFonts w:asciiTheme="majorBidi" w:hAnsiTheme="majorBidi" w:cstheme="majorBidi"/>
          <w:sz w:val="20"/>
          <w:szCs w:val="20"/>
          <w:rtl/>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w:t>
      </w:r>
      <w:proofErr w:type="spellStart"/>
      <w:r w:rsidRPr="00E37783">
        <w:rPr>
          <w:rFonts w:asciiTheme="majorBidi" w:hAnsiTheme="majorBidi" w:cstheme="majorBidi"/>
          <w:sz w:val="20"/>
          <w:szCs w:val="20"/>
        </w:rPr>
        <w:t>Milik</w:t>
      </w:r>
      <w:proofErr w:type="spellEnd"/>
      <w:r w:rsidRPr="00E37783">
        <w:rPr>
          <w:rFonts w:asciiTheme="majorBidi" w:hAnsiTheme="majorBidi" w:cstheme="majorBidi"/>
          <w:sz w:val="20"/>
          <w:szCs w:val="20"/>
        </w:rPr>
        <w:t xml:space="preserve"> 1976: 296</w:t>
      </w:r>
      <w:r w:rsidR="00827E13" w:rsidRPr="00E37783">
        <w:rPr>
          <w:rFonts w:asciiTheme="majorBidi" w:hAnsiTheme="majorBidi" w:cstheme="majorBidi"/>
          <w:sz w:val="20"/>
          <w:szCs w:val="20"/>
        </w:rPr>
        <w:t xml:space="preserve">. </w:t>
      </w:r>
      <w:proofErr w:type="spellStart"/>
      <w:r w:rsidR="00827E13" w:rsidRPr="00E37783">
        <w:rPr>
          <w:rFonts w:asciiTheme="majorBidi" w:hAnsiTheme="majorBidi" w:cstheme="majorBidi"/>
          <w:sz w:val="20"/>
          <w:szCs w:val="20"/>
        </w:rPr>
        <w:t>Alexey</w:t>
      </w:r>
      <w:proofErr w:type="spellEnd"/>
      <w:r w:rsidR="00827E13" w:rsidRPr="00E37783">
        <w:rPr>
          <w:rFonts w:asciiTheme="majorBidi" w:hAnsiTheme="majorBidi" w:cstheme="majorBidi"/>
          <w:sz w:val="20"/>
          <w:szCs w:val="20"/>
        </w:rPr>
        <w:t xml:space="preserve"> </w:t>
      </w:r>
      <w:proofErr w:type="spellStart"/>
      <w:r w:rsidR="00827E13" w:rsidRPr="00E37783">
        <w:rPr>
          <w:rFonts w:asciiTheme="majorBidi" w:hAnsiTheme="majorBidi" w:cstheme="majorBidi"/>
          <w:sz w:val="20"/>
          <w:szCs w:val="20"/>
        </w:rPr>
        <w:t>Yuditsky</w:t>
      </w:r>
      <w:proofErr w:type="spellEnd"/>
      <w:r w:rsidR="00827E13" w:rsidRPr="00E37783">
        <w:rPr>
          <w:rFonts w:asciiTheme="majorBidi" w:hAnsiTheme="majorBidi" w:cstheme="majorBidi"/>
          <w:sz w:val="20"/>
          <w:szCs w:val="20"/>
        </w:rPr>
        <w:t xml:space="preserve"> argues that the word should be read as </w:t>
      </w:r>
      <w:r w:rsidR="00827E13" w:rsidRPr="00E37783">
        <w:rPr>
          <w:rFonts w:asciiTheme="majorBidi" w:hAnsiTheme="majorBidi" w:cstheme="majorBidi"/>
          <w:b/>
          <w:bCs/>
          <w:sz w:val="20"/>
          <w:szCs w:val="20"/>
          <w:rtl/>
        </w:rPr>
        <w:t>ומאיתה</w:t>
      </w:r>
      <w:r w:rsidR="00827E13" w:rsidRPr="00E37783">
        <w:rPr>
          <w:rFonts w:asciiTheme="majorBidi" w:hAnsiTheme="majorBidi" w:cstheme="majorBidi"/>
          <w:sz w:val="20"/>
          <w:szCs w:val="20"/>
        </w:rPr>
        <w:t xml:space="preserve">; if this is correct, we should perhaps parse it as an infinitive form of the root </w:t>
      </w:r>
      <w:r w:rsidR="00827E13" w:rsidRPr="00E37783">
        <w:rPr>
          <w:rFonts w:asciiTheme="majorBidi" w:hAnsiTheme="majorBidi" w:cstheme="majorBidi" w:hint="cs"/>
          <w:b/>
          <w:bCs/>
          <w:sz w:val="20"/>
          <w:szCs w:val="20"/>
          <w:rtl/>
          <w:lang w:val="en-GB"/>
        </w:rPr>
        <w:t>את"י</w:t>
      </w:r>
      <w:r w:rsidR="00827E13" w:rsidRPr="00E37783">
        <w:rPr>
          <w:rFonts w:asciiTheme="majorBidi" w:hAnsiTheme="majorBidi" w:cstheme="majorBidi"/>
          <w:b/>
          <w:bCs/>
          <w:sz w:val="20"/>
          <w:szCs w:val="20"/>
          <w:lang w:bidi="ar-JO"/>
        </w:rPr>
        <w:t xml:space="preserve"> </w:t>
      </w:r>
      <w:r w:rsidR="00827E13" w:rsidRPr="00E37783">
        <w:rPr>
          <w:rFonts w:asciiTheme="majorBidi" w:hAnsiTheme="majorBidi" w:cstheme="majorBidi"/>
          <w:sz w:val="20"/>
          <w:szCs w:val="20"/>
          <w:lang w:bidi="ar-JO"/>
        </w:rPr>
        <w:t xml:space="preserve">(cf. the infinitive form </w:t>
      </w:r>
      <w:r w:rsidR="00827E13" w:rsidRPr="00E37783">
        <w:rPr>
          <w:rFonts w:asciiTheme="majorBidi" w:hAnsiTheme="majorBidi" w:cstheme="majorBidi"/>
          <w:b/>
          <w:bCs/>
          <w:sz w:val="20"/>
          <w:szCs w:val="20"/>
          <w:rtl/>
        </w:rPr>
        <w:t>למתה/למתא</w:t>
      </w:r>
      <w:r w:rsidR="00827E13" w:rsidRPr="00E37783">
        <w:rPr>
          <w:rFonts w:asciiTheme="majorBidi" w:hAnsiTheme="majorBidi" w:cstheme="majorBidi"/>
          <w:sz w:val="20"/>
          <w:szCs w:val="20"/>
        </w:rPr>
        <w:t xml:space="preserve">, ibid. 79, and the form </w:t>
      </w:r>
      <w:r w:rsidR="00827E13" w:rsidRPr="00E37783">
        <w:rPr>
          <w:rFonts w:asciiTheme="majorBidi" w:hAnsiTheme="majorBidi" w:cstheme="majorBidi"/>
          <w:b/>
          <w:bCs/>
          <w:sz w:val="20"/>
          <w:szCs w:val="20"/>
          <w:rtl/>
        </w:rPr>
        <w:t>בְמֵיתֵי</w:t>
      </w:r>
      <w:r w:rsidR="00827E13" w:rsidRPr="00E37783">
        <w:rPr>
          <w:rFonts w:asciiTheme="majorBidi" w:hAnsiTheme="majorBidi" w:cstheme="majorBidi"/>
          <w:sz w:val="20"/>
          <w:szCs w:val="20"/>
          <w:rtl/>
        </w:rPr>
        <w:t xml:space="preserve"> אֲחוּכוֹן זְעֵירָא</w:t>
      </w:r>
      <w:r w:rsidR="00827E13" w:rsidRPr="00E37783">
        <w:rPr>
          <w:rFonts w:asciiTheme="majorBidi" w:hAnsiTheme="majorBidi" w:cstheme="majorBidi"/>
          <w:sz w:val="20"/>
          <w:szCs w:val="20"/>
        </w:rPr>
        <w:t xml:space="preserve"> in the Onkelos for Genesis 42:15</w:t>
      </w:r>
      <w:r w:rsidR="00827E13" w:rsidRPr="00E37783">
        <w:rPr>
          <w:rFonts w:asciiTheme="majorBidi" w:hAnsiTheme="majorBidi" w:cstheme="majorBidi"/>
          <w:b/>
          <w:bCs/>
          <w:sz w:val="20"/>
          <w:szCs w:val="20"/>
          <w:rtl/>
        </w:rPr>
        <w:t>בְּבוֹא</w:t>
      </w:r>
      <w:r w:rsidR="00827E13" w:rsidRPr="00E37783">
        <w:rPr>
          <w:rFonts w:asciiTheme="majorBidi" w:hAnsiTheme="majorBidi" w:cstheme="majorBidi"/>
          <w:sz w:val="20"/>
          <w:szCs w:val="20"/>
          <w:rtl/>
        </w:rPr>
        <w:t xml:space="preserve"> אֲחִיכֶם הַקָּטֹן</w:t>
      </w:r>
      <w:r w:rsidR="00E37783" w:rsidRPr="00E37783">
        <w:rPr>
          <w:rFonts w:asciiTheme="majorBidi" w:hAnsiTheme="majorBidi" w:cstheme="majorBidi"/>
          <w:sz w:val="20"/>
          <w:szCs w:val="20"/>
        </w:rPr>
        <w:t xml:space="preserve"> </w:t>
      </w:r>
      <w:r w:rsidR="00827E13" w:rsidRPr="00E37783">
        <w:rPr>
          <w:rFonts w:asciiTheme="majorBidi" w:hAnsiTheme="majorBidi" w:cstheme="majorBidi"/>
          <w:sz w:val="20"/>
          <w:szCs w:val="20"/>
        </w:rPr>
        <w:t>‘by your young brother coming’ [Young's Literal Translation]).</w:t>
      </w:r>
    </w:p>
  </w:footnote>
  <w:footnote w:id="5">
    <w:p w:rsidR="00EE7F4E" w:rsidRPr="00E37783" w:rsidRDefault="00EE7F4E"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See </w:t>
      </w:r>
      <w:proofErr w:type="spellStart"/>
      <w:r w:rsidRPr="00E37783">
        <w:rPr>
          <w:rFonts w:asciiTheme="majorBidi" w:hAnsiTheme="majorBidi" w:cstheme="majorBidi"/>
          <w:sz w:val="20"/>
          <w:szCs w:val="20"/>
        </w:rPr>
        <w:t>Sarfatti</w:t>
      </w:r>
      <w:proofErr w:type="spellEnd"/>
      <w:r w:rsidRPr="00E37783">
        <w:rPr>
          <w:rFonts w:asciiTheme="majorBidi" w:hAnsiTheme="majorBidi" w:cstheme="majorBidi"/>
          <w:sz w:val="20"/>
          <w:szCs w:val="20"/>
        </w:rPr>
        <w:t xml:space="preserve"> 1992:</w:t>
      </w:r>
      <w:r w:rsidRPr="00E37783">
        <w:rPr>
          <w:rFonts w:asciiTheme="majorBidi" w:hAnsiTheme="majorBidi" w:cstheme="majorBidi"/>
          <w:sz w:val="20"/>
          <w:szCs w:val="20"/>
          <w:rtl/>
        </w:rPr>
        <w:t xml:space="preserve"> </w:t>
      </w:r>
      <w:r w:rsidRPr="00E37783">
        <w:rPr>
          <w:rFonts w:asciiTheme="majorBidi" w:hAnsiTheme="majorBidi" w:cstheme="majorBidi"/>
          <w:sz w:val="20"/>
          <w:szCs w:val="20"/>
        </w:rPr>
        <w:t>342.</w:t>
      </w:r>
    </w:p>
  </w:footnote>
  <w:footnote w:id="6">
    <w:p w:rsidR="00EE7F4E" w:rsidRPr="00E37783" w:rsidRDefault="00EE7F4E" w:rsidP="00E37783">
      <w:pPr>
        <w:pStyle w:val="FootnoteText"/>
        <w:ind w:left="0" w:firstLine="0"/>
        <w:rPr>
          <w:rFonts w:asciiTheme="majorBidi" w:hAnsiTheme="majorBidi" w:cstheme="majorBidi"/>
          <w:sz w:val="20"/>
          <w:szCs w:val="20"/>
          <w:rtl/>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See </w:t>
      </w:r>
      <w:proofErr w:type="spellStart"/>
      <w:r w:rsidRPr="00E37783">
        <w:rPr>
          <w:rFonts w:asciiTheme="majorBidi" w:hAnsiTheme="majorBidi" w:cstheme="majorBidi"/>
          <w:sz w:val="20"/>
          <w:szCs w:val="20"/>
        </w:rPr>
        <w:t>Notley</w:t>
      </w:r>
      <w:proofErr w:type="spellEnd"/>
      <w:r w:rsidRPr="00E37783">
        <w:rPr>
          <w:rFonts w:asciiTheme="majorBidi" w:hAnsiTheme="majorBidi" w:cstheme="majorBidi"/>
          <w:sz w:val="20"/>
          <w:szCs w:val="20"/>
        </w:rPr>
        <w:t xml:space="preserve"> and </w:t>
      </w:r>
      <w:proofErr w:type="spellStart"/>
      <w:r w:rsidRPr="00E37783">
        <w:rPr>
          <w:rFonts w:asciiTheme="majorBidi" w:hAnsiTheme="majorBidi" w:cstheme="majorBidi"/>
          <w:sz w:val="20"/>
          <w:szCs w:val="20"/>
        </w:rPr>
        <w:t>Safrai</w:t>
      </w:r>
      <w:proofErr w:type="spellEnd"/>
      <w:r w:rsidRPr="00E37783">
        <w:rPr>
          <w:rFonts w:asciiTheme="majorBidi" w:hAnsiTheme="majorBidi" w:cstheme="majorBidi"/>
          <w:sz w:val="20"/>
          <w:szCs w:val="20"/>
        </w:rPr>
        <w:t xml:space="preserve"> 2005: 91, 133.</w:t>
      </w:r>
    </w:p>
  </w:footnote>
  <w:footnote w:id="7">
    <w:p w:rsidR="008D1BEB" w:rsidRPr="00E37783" w:rsidRDefault="008D1BEB" w:rsidP="00E37783">
      <w:pPr>
        <w:spacing w:line="360" w:lineRule="auto"/>
        <w:rPr>
          <w:rFonts w:asciiTheme="majorBidi" w:hAnsiTheme="majorBidi" w:cstheme="majorBidi"/>
          <w:sz w:val="20"/>
          <w:szCs w:val="20"/>
        </w:rPr>
      </w:pPr>
      <w:r w:rsidRPr="00E37783">
        <w:rPr>
          <w:rStyle w:val="FootnoteReference"/>
          <w:rFonts w:asciiTheme="majorBidi" w:hAnsiTheme="majorBidi" w:cstheme="majorBidi"/>
          <w:color w:val="auto"/>
          <w:sz w:val="20"/>
          <w:szCs w:val="20"/>
        </w:rPr>
        <w:footnoteRef/>
      </w:r>
      <w:r w:rsidR="00EE7F4E" w:rsidRPr="00E37783">
        <w:rPr>
          <w:rFonts w:asciiTheme="majorBidi" w:hAnsiTheme="majorBidi" w:cstheme="majorBidi"/>
          <w:color w:val="auto"/>
          <w:sz w:val="20"/>
          <w:szCs w:val="20"/>
        </w:rPr>
        <w:t xml:space="preserve"> In Biblical Aramaic, </w:t>
      </w:r>
      <w:r w:rsidR="00EE7F4E" w:rsidRPr="00E37783">
        <w:rPr>
          <w:rFonts w:asciiTheme="majorBidi" w:hAnsiTheme="majorBidi" w:cstheme="majorBidi"/>
          <w:b/>
          <w:bCs/>
          <w:sz w:val="20"/>
          <w:szCs w:val="20"/>
          <w:rtl/>
        </w:rPr>
        <w:t>אִנּוּן</w:t>
      </w:r>
      <w:r w:rsidR="00EE7F4E" w:rsidRPr="00E37783">
        <w:rPr>
          <w:rFonts w:asciiTheme="majorBidi" w:hAnsiTheme="majorBidi" w:cstheme="majorBidi"/>
          <w:b/>
          <w:bCs/>
          <w:sz w:val="20"/>
          <w:szCs w:val="20"/>
        </w:rPr>
        <w:t xml:space="preserve"> </w:t>
      </w:r>
      <w:r w:rsidR="00EE7F4E" w:rsidRPr="00E37783">
        <w:rPr>
          <w:rFonts w:asciiTheme="majorBidi" w:hAnsiTheme="majorBidi" w:cstheme="majorBidi"/>
          <w:sz w:val="20"/>
          <w:szCs w:val="20"/>
        </w:rPr>
        <w:t xml:space="preserve">serves as an independent demonstrative pronoun (Ezra 5:4); some scholars have argued that it also serves as a </w:t>
      </w:r>
      <w:r w:rsidR="00863DAA" w:rsidRPr="00E37783">
        <w:rPr>
          <w:rFonts w:asciiTheme="majorBidi" w:hAnsiTheme="majorBidi" w:cstheme="majorBidi"/>
          <w:sz w:val="20"/>
          <w:szCs w:val="20"/>
        </w:rPr>
        <w:t xml:space="preserve">separate object pronoun (Daniel 6:25; see, for example, Bauer &amp; Leander 1927: 70; </w:t>
      </w:r>
      <w:proofErr w:type="spellStart"/>
      <w:r w:rsidR="00863DAA" w:rsidRPr="00E37783">
        <w:rPr>
          <w:rFonts w:asciiTheme="majorBidi" w:hAnsiTheme="majorBidi" w:cstheme="majorBidi"/>
          <w:sz w:val="20"/>
          <w:szCs w:val="20"/>
        </w:rPr>
        <w:t>Fugat</w:t>
      </w:r>
      <w:proofErr w:type="spellEnd"/>
      <w:r w:rsidR="00863DAA" w:rsidRPr="00E37783">
        <w:rPr>
          <w:rFonts w:asciiTheme="majorBidi" w:hAnsiTheme="majorBidi" w:cstheme="majorBidi"/>
          <w:sz w:val="20"/>
          <w:szCs w:val="20"/>
        </w:rPr>
        <w:t xml:space="preserve"> 2008: 107). </w:t>
      </w:r>
      <w:r w:rsidRPr="00E37783">
        <w:rPr>
          <w:rFonts w:asciiTheme="majorBidi" w:hAnsiTheme="majorBidi" w:cstheme="majorBidi"/>
          <w:color w:val="auto"/>
          <w:sz w:val="20"/>
          <w:szCs w:val="20"/>
          <w:lang w:bidi="ar-JO"/>
        </w:rPr>
        <w:t xml:space="preserve">A good illustration of the use of </w:t>
      </w:r>
      <w:r w:rsidR="00F92809" w:rsidRPr="00E37783">
        <w:rPr>
          <w:rFonts w:asciiTheme="majorBidi" w:hAnsiTheme="majorBidi" w:cstheme="majorBidi"/>
          <w:b/>
          <w:bCs/>
          <w:color w:val="auto"/>
          <w:sz w:val="20"/>
          <w:szCs w:val="20"/>
          <w:rtl/>
        </w:rPr>
        <w:t>אִנּוּן</w:t>
      </w:r>
      <w:r w:rsidR="00E37783" w:rsidRPr="00E37783">
        <w:rPr>
          <w:rFonts w:asciiTheme="majorBidi" w:hAnsiTheme="majorBidi" w:cstheme="majorBidi"/>
          <w:b/>
          <w:bCs/>
          <w:color w:val="auto"/>
          <w:sz w:val="20"/>
          <w:szCs w:val="20"/>
        </w:rPr>
        <w:t xml:space="preserve"> </w:t>
      </w:r>
      <w:r w:rsidRPr="00E37783">
        <w:rPr>
          <w:rFonts w:asciiTheme="majorBidi" w:hAnsiTheme="majorBidi" w:cstheme="majorBidi"/>
          <w:color w:val="auto"/>
          <w:sz w:val="20"/>
          <w:szCs w:val="20"/>
          <w:lang w:bidi="ar-JO"/>
        </w:rPr>
        <w:t>as an object pronoun can be found in the Genesis Apocryphon</w:t>
      </w:r>
      <w:r w:rsidR="00BD05E7" w:rsidRPr="00E37783">
        <w:rPr>
          <w:rFonts w:asciiTheme="majorBidi" w:hAnsiTheme="majorBidi" w:cstheme="majorBidi"/>
          <w:color w:val="auto"/>
          <w:sz w:val="20"/>
          <w:szCs w:val="20"/>
          <w:lang w:bidi="ar-JO"/>
        </w:rPr>
        <w:t xml:space="preserve"> 20:20</w:t>
      </w:r>
      <w:r w:rsidRPr="00E37783">
        <w:rPr>
          <w:rFonts w:asciiTheme="majorBidi" w:hAnsiTheme="majorBidi" w:cstheme="majorBidi"/>
          <w:color w:val="auto"/>
          <w:sz w:val="20"/>
          <w:szCs w:val="20"/>
          <w:lang w:bidi="ar-JO"/>
        </w:rPr>
        <w:t xml:space="preserve">: </w:t>
      </w:r>
      <w:r w:rsidRPr="00E37783">
        <w:rPr>
          <w:rFonts w:asciiTheme="majorBidi" w:hAnsiTheme="majorBidi" w:cstheme="majorBidi"/>
          <w:b/>
          <w:bCs/>
          <w:color w:val="auto"/>
          <w:sz w:val="20"/>
          <w:szCs w:val="20"/>
          <w:rtl/>
        </w:rPr>
        <w:t>ואשכח אנון</w:t>
      </w:r>
      <w:r w:rsidRPr="00E37783">
        <w:rPr>
          <w:rFonts w:asciiTheme="majorBidi" w:hAnsiTheme="majorBidi" w:cstheme="majorBidi"/>
          <w:color w:val="auto"/>
          <w:sz w:val="20"/>
          <w:szCs w:val="20"/>
          <w:rtl/>
        </w:rPr>
        <w:t xml:space="preserve"> ... </w:t>
      </w:r>
      <w:r w:rsidRPr="00E37783">
        <w:rPr>
          <w:rFonts w:asciiTheme="majorBidi" w:hAnsiTheme="majorBidi" w:cstheme="majorBidi"/>
          <w:b/>
          <w:bCs/>
          <w:color w:val="auto"/>
          <w:sz w:val="20"/>
          <w:szCs w:val="20"/>
          <w:rtl/>
        </w:rPr>
        <w:t>ותבר אנון</w:t>
      </w:r>
      <w:r w:rsidR="00023C02" w:rsidRPr="00E37783">
        <w:rPr>
          <w:rFonts w:asciiTheme="majorBidi" w:hAnsiTheme="majorBidi" w:cstheme="majorBidi"/>
          <w:color w:val="auto"/>
          <w:sz w:val="20"/>
          <w:szCs w:val="20"/>
        </w:rPr>
        <w:t xml:space="preserve"> ‘and found them … and defeated them’</w:t>
      </w:r>
      <w:r w:rsidRPr="00E37783">
        <w:rPr>
          <w:rFonts w:asciiTheme="majorBidi" w:hAnsiTheme="majorBidi" w:cstheme="majorBidi"/>
          <w:color w:val="auto"/>
          <w:sz w:val="20"/>
          <w:szCs w:val="20"/>
        </w:rPr>
        <w:t xml:space="preserve">. An example of its use as a complement may be found in the Bible: </w:t>
      </w:r>
      <w:r w:rsidRPr="00E37783">
        <w:rPr>
          <w:rFonts w:asciiTheme="majorBidi" w:hAnsiTheme="majorBidi" w:cstheme="majorBidi"/>
          <w:b/>
          <w:bCs/>
          <w:color w:val="auto"/>
          <w:sz w:val="20"/>
          <w:szCs w:val="20"/>
          <w:rtl/>
        </w:rPr>
        <w:t>מַלְכַיָּא אִנּוּן</w:t>
      </w:r>
      <w:r w:rsidR="00023C02" w:rsidRPr="00E37783">
        <w:rPr>
          <w:rFonts w:asciiTheme="majorBidi" w:hAnsiTheme="majorBidi" w:cstheme="majorBidi"/>
          <w:color w:val="auto"/>
          <w:sz w:val="20"/>
          <w:szCs w:val="20"/>
        </w:rPr>
        <w:t xml:space="preserve"> (‘those kings’ Daniel 2:44)</w:t>
      </w:r>
      <w:r w:rsidRPr="00E37783">
        <w:rPr>
          <w:rFonts w:asciiTheme="majorBidi" w:hAnsiTheme="majorBidi" w:cstheme="majorBidi"/>
          <w:color w:val="auto"/>
          <w:sz w:val="20"/>
          <w:szCs w:val="20"/>
        </w:rPr>
        <w:t>.</w:t>
      </w:r>
      <w:r w:rsidR="00863DAA" w:rsidRPr="00E37783">
        <w:rPr>
          <w:rFonts w:asciiTheme="majorBidi" w:hAnsiTheme="majorBidi" w:cstheme="majorBidi"/>
          <w:color w:val="auto"/>
          <w:sz w:val="20"/>
          <w:szCs w:val="20"/>
        </w:rPr>
        <w:t xml:space="preserve"> The pronoun </w:t>
      </w:r>
      <w:r w:rsidR="00863DAA" w:rsidRPr="00E37783">
        <w:rPr>
          <w:rFonts w:asciiTheme="majorBidi" w:hAnsiTheme="majorBidi" w:cs="Times New Roman"/>
          <w:color w:val="auto"/>
          <w:sz w:val="20"/>
          <w:szCs w:val="20"/>
          <w:rtl/>
        </w:rPr>
        <w:t>הִִמּּוֹֹ</w:t>
      </w:r>
      <w:r w:rsidR="00863DAA" w:rsidRPr="00E37783">
        <w:rPr>
          <w:rFonts w:asciiTheme="majorBidi" w:hAnsiTheme="majorBidi" w:cs="Times New Roman"/>
          <w:color w:val="auto"/>
          <w:sz w:val="20"/>
          <w:szCs w:val="20"/>
        </w:rPr>
        <w:t xml:space="preserve"> usually serves in Biblical Aramaic as an object pronoun (as in Ezra 4: 10, 15), though it also appears as an independent subject pronoun (ibid. 5:11). See Bauer &amp; Leander, ibid.</w:t>
      </w:r>
    </w:p>
  </w:footnote>
  <w:footnote w:id="8">
    <w:p w:rsidR="008D1BEB" w:rsidRPr="00E37783" w:rsidRDefault="008D1BEB"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Sokoloff 2014: 168; Tal 2000: 366; idem</w:t>
      </w:r>
      <w:r w:rsidR="00F92809" w:rsidRPr="00E37783">
        <w:rPr>
          <w:rFonts w:asciiTheme="majorBidi" w:hAnsiTheme="majorBidi" w:cstheme="majorBidi"/>
          <w:sz w:val="20"/>
          <w:szCs w:val="20"/>
        </w:rPr>
        <w:t xml:space="preserve"> 1980: </w:t>
      </w:r>
      <w:r w:rsidR="001F23D9" w:rsidRPr="00E37783">
        <w:rPr>
          <w:rFonts w:asciiTheme="majorBidi" w:hAnsiTheme="majorBidi" w:cstheme="majorBidi"/>
          <w:sz w:val="20"/>
          <w:szCs w:val="20"/>
        </w:rPr>
        <w:t>62–63</w:t>
      </w:r>
      <w:r w:rsidRPr="00E37783">
        <w:rPr>
          <w:rFonts w:asciiTheme="majorBidi" w:hAnsiTheme="majorBidi" w:cstheme="majorBidi"/>
          <w:sz w:val="20"/>
          <w:szCs w:val="20"/>
        </w:rPr>
        <w:t xml:space="preserve">; </w:t>
      </w:r>
      <w:proofErr w:type="spellStart"/>
      <w:r w:rsidRPr="00E37783">
        <w:rPr>
          <w:rFonts w:asciiTheme="majorBidi" w:hAnsiTheme="majorBidi" w:cstheme="majorBidi"/>
          <w:sz w:val="20"/>
          <w:szCs w:val="20"/>
        </w:rPr>
        <w:t>Stadel</w:t>
      </w:r>
      <w:proofErr w:type="spellEnd"/>
      <w:r w:rsidRPr="00E37783">
        <w:rPr>
          <w:rFonts w:asciiTheme="majorBidi" w:hAnsiTheme="majorBidi" w:cstheme="majorBidi"/>
          <w:sz w:val="20"/>
          <w:szCs w:val="20"/>
        </w:rPr>
        <w:t xml:space="preserve"> 2013: 44.</w:t>
      </w:r>
    </w:p>
  </w:footnote>
  <w:footnote w:id="9">
    <w:p w:rsidR="008D1BEB" w:rsidRPr="00E37783" w:rsidRDefault="008D1BEB"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Sokoloff 1969: 138; idem 1992: 247. </w:t>
      </w:r>
    </w:p>
  </w:footnote>
  <w:footnote w:id="10">
    <w:p w:rsidR="008D1BEB" w:rsidRPr="00E37783" w:rsidRDefault="008D1BEB" w:rsidP="00E37783">
      <w:pPr>
        <w:pStyle w:val="FootnoteText"/>
        <w:spacing w:line="360" w:lineRule="auto"/>
        <w:ind w:left="0" w:firstLine="0"/>
        <w:rPr>
          <w:rFonts w:asciiTheme="majorBidi" w:hAnsiTheme="majorBidi" w:cstheme="majorBidi"/>
          <w:color w:val="auto"/>
          <w:sz w:val="20"/>
          <w:szCs w:val="20"/>
        </w:rPr>
      </w:pPr>
      <w:r w:rsidRPr="00E37783">
        <w:rPr>
          <w:rStyle w:val="FootnoteReference"/>
          <w:rFonts w:asciiTheme="majorBidi" w:hAnsiTheme="majorBidi" w:cstheme="majorBidi"/>
          <w:color w:val="auto"/>
          <w:sz w:val="20"/>
          <w:szCs w:val="20"/>
        </w:rPr>
        <w:footnoteRef/>
      </w:r>
      <w:r w:rsidRPr="00E37783">
        <w:rPr>
          <w:rFonts w:asciiTheme="majorBidi" w:hAnsiTheme="majorBidi" w:cstheme="majorBidi"/>
          <w:color w:val="auto"/>
          <w:sz w:val="20"/>
          <w:szCs w:val="20"/>
        </w:rPr>
        <w:t xml:space="preserve"> It should be added that in a similar instance in Biblical Hebrew, we find the repetition of the direct subject marker: </w:t>
      </w:r>
      <w:r w:rsidRPr="00E37783">
        <w:rPr>
          <w:rFonts w:asciiTheme="majorBidi" w:hAnsiTheme="majorBidi" w:cstheme="majorBidi"/>
          <w:color w:val="auto"/>
          <w:sz w:val="20"/>
          <w:szCs w:val="20"/>
          <w:rtl/>
        </w:rPr>
        <w:t xml:space="preserve">וְהָיָה הַגּוֹי וְהַמַּמְלָכָה אֲשֶׁר לֹא יַעַבְדוּ </w:t>
      </w:r>
      <w:r w:rsidRPr="00E37783">
        <w:rPr>
          <w:rFonts w:asciiTheme="majorBidi" w:hAnsiTheme="majorBidi" w:cstheme="majorBidi"/>
          <w:b/>
          <w:bCs/>
          <w:color w:val="auto"/>
          <w:sz w:val="20"/>
          <w:szCs w:val="20"/>
          <w:rtl/>
        </w:rPr>
        <w:t>אֹתוֹ אֶת</w:t>
      </w:r>
      <w:r w:rsidRPr="00E37783">
        <w:rPr>
          <w:rFonts w:asciiTheme="majorBidi" w:hAnsiTheme="majorBidi" w:cstheme="majorBidi"/>
          <w:color w:val="auto"/>
          <w:sz w:val="20"/>
          <w:szCs w:val="20"/>
          <w:rtl/>
        </w:rPr>
        <w:t xml:space="preserve"> נְבוּכַדְנֶאצַּר מֶלֶךְ בָּבֶל</w:t>
      </w:r>
      <w:r w:rsidRPr="00E37783">
        <w:rPr>
          <w:rFonts w:asciiTheme="majorBidi" w:hAnsiTheme="majorBidi" w:cstheme="majorBidi"/>
          <w:color w:val="auto"/>
          <w:sz w:val="20"/>
          <w:szCs w:val="20"/>
        </w:rPr>
        <w:t xml:space="preserve"> (“And it shall come to pass, that the nation and the kingdom which will not serve </w:t>
      </w:r>
      <w:r w:rsidRPr="00E37783">
        <w:rPr>
          <w:rFonts w:asciiTheme="majorBidi" w:hAnsiTheme="majorBidi" w:cstheme="majorBidi"/>
          <w:b/>
          <w:bCs/>
          <w:color w:val="auto"/>
          <w:sz w:val="20"/>
          <w:szCs w:val="20"/>
        </w:rPr>
        <w:t>him, the same</w:t>
      </w:r>
      <w:r w:rsidRPr="00E37783">
        <w:rPr>
          <w:rFonts w:asciiTheme="majorBidi" w:hAnsiTheme="majorBidi" w:cstheme="majorBidi"/>
          <w:color w:val="auto"/>
          <w:sz w:val="20"/>
          <w:szCs w:val="20"/>
        </w:rPr>
        <w:t xml:space="preserve"> Nebuchadnezzar king of Babylon” Jeremiah 27:8).</w:t>
      </w:r>
    </w:p>
    <w:p w:rsidR="008D1BEB" w:rsidRPr="00E37783" w:rsidRDefault="00863DAA" w:rsidP="00E37783">
      <w:pPr>
        <w:pStyle w:val="FootnoteText"/>
        <w:spacing w:line="360" w:lineRule="auto"/>
        <w:ind w:left="0" w:firstLine="0"/>
        <w:rPr>
          <w:rFonts w:asciiTheme="majorBidi" w:hAnsiTheme="majorBidi" w:cstheme="majorBidi"/>
          <w:color w:val="auto"/>
          <w:sz w:val="20"/>
          <w:szCs w:val="20"/>
        </w:rPr>
      </w:pPr>
      <w:r w:rsidRPr="00E37783">
        <w:rPr>
          <w:rFonts w:asciiTheme="majorBidi" w:hAnsiTheme="majorBidi" w:cstheme="majorBidi"/>
          <w:color w:val="auto"/>
          <w:sz w:val="20"/>
          <w:szCs w:val="20"/>
        </w:rPr>
        <w:t xml:space="preserve">A partial similarity to the structure reconstructed by Rubin (though without a nucleus in the subordinate clause, cf. note 1 above) can be found in the verse: </w:t>
      </w:r>
      <w:r w:rsidRPr="00E37783">
        <w:rPr>
          <w:rFonts w:asciiTheme="majorBidi" w:hAnsiTheme="majorBidi" w:cs="Times New Roman"/>
          <w:color w:val="auto"/>
          <w:sz w:val="20"/>
          <w:szCs w:val="20"/>
          <w:rtl/>
        </w:rPr>
        <w:t>וַ</w:t>
      </w:r>
      <w:r w:rsidRPr="00E37783">
        <w:rPr>
          <w:rFonts w:asciiTheme="majorBidi" w:hAnsiTheme="majorBidi" w:cs="Times New Roman" w:hint="cs"/>
          <w:color w:val="auto"/>
          <w:sz w:val="20"/>
          <w:szCs w:val="20"/>
          <w:rtl/>
        </w:rPr>
        <w:t>יָּ</w:t>
      </w:r>
      <w:r w:rsidRPr="00E37783">
        <w:rPr>
          <w:rFonts w:asciiTheme="majorBidi" w:hAnsiTheme="majorBidi" w:cs="Times New Roman" w:hint="eastAsia"/>
          <w:color w:val="auto"/>
          <w:sz w:val="20"/>
          <w:szCs w:val="20"/>
          <w:rtl/>
        </w:rPr>
        <w:t>מֶת</w:t>
      </w:r>
      <w:r w:rsidRPr="00E37783">
        <w:rPr>
          <w:rFonts w:asciiTheme="majorBidi" w:hAnsiTheme="majorBidi" w:cs="Times New Roman"/>
          <w:color w:val="auto"/>
          <w:sz w:val="20"/>
          <w:szCs w:val="20"/>
          <w:rtl/>
        </w:rPr>
        <w:t xml:space="preserve"> אֹת</w:t>
      </w:r>
      <w:r w:rsidRPr="00E37783">
        <w:rPr>
          <w:rFonts w:asciiTheme="majorBidi" w:hAnsiTheme="majorBidi" w:cs="Times New Roman" w:hint="cs"/>
          <w:color w:val="auto"/>
          <w:sz w:val="20"/>
          <w:szCs w:val="20"/>
          <w:rtl/>
        </w:rPr>
        <w:t>וֹ</w:t>
      </w:r>
      <w:r w:rsidRPr="00E37783">
        <w:rPr>
          <w:rFonts w:asciiTheme="majorBidi" w:hAnsiTheme="majorBidi" w:cs="Times New Roman"/>
          <w:color w:val="auto"/>
          <w:sz w:val="20"/>
          <w:szCs w:val="20"/>
          <w:rtl/>
        </w:rPr>
        <w:t xml:space="preserve"> אֲ</w:t>
      </w:r>
      <w:r w:rsidRPr="00E37783">
        <w:rPr>
          <w:rFonts w:asciiTheme="majorBidi" w:hAnsiTheme="majorBidi" w:cs="Times New Roman" w:hint="cs"/>
          <w:color w:val="auto"/>
          <w:sz w:val="20"/>
          <w:szCs w:val="20"/>
          <w:rtl/>
        </w:rPr>
        <w:t>שֶׁ</w:t>
      </w:r>
      <w:r w:rsidRPr="00E37783">
        <w:rPr>
          <w:rFonts w:asciiTheme="majorBidi" w:hAnsiTheme="majorBidi" w:cs="Times New Roman" w:hint="eastAsia"/>
          <w:color w:val="auto"/>
          <w:sz w:val="20"/>
          <w:szCs w:val="20"/>
          <w:rtl/>
        </w:rPr>
        <w:t>ר־הִפְקִיד</w:t>
      </w:r>
      <w:r w:rsidRPr="00E37783">
        <w:rPr>
          <w:rFonts w:asciiTheme="majorBidi" w:hAnsiTheme="majorBidi" w:cs="Times New Roman"/>
          <w:color w:val="auto"/>
          <w:sz w:val="20"/>
          <w:szCs w:val="20"/>
          <w:rtl/>
        </w:rPr>
        <w:t xml:space="preserve"> מֶלֶךְ־</w:t>
      </w:r>
      <w:r w:rsidRPr="00E37783">
        <w:rPr>
          <w:rFonts w:asciiTheme="majorBidi" w:hAnsiTheme="majorBidi" w:cs="Times New Roman" w:hint="cs"/>
          <w:color w:val="auto"/>
          <w:sz w:val="20"/>
          <w:szCs w:val="20"/>
          <w:rtl/>
        </w:rPr>
        <w:t>בָּ</w:t>
      </w:r>
      <w:r w:rsidRPr="00E37783">
        <w:rPr>
          <w:rFonts w:asciiTheme="majorBidi" w:hAnsiTheme="majorBidi" w:cs="Times New Roman" w:hint="eastAsia"/>
          <w:color w:val="auto"/>
          <w:sz w:val="20"/>
          <w:szCs w:val="20"/>
          <w:rtl/>
        </w:rPr>
        <w:t>בֶל</w:t>
      </w:r>
      <w:r w:rsidRPr="00E37783">
        <w:rPr>
          <w:rFonts w:asciiTheme="majorBidi" w:hAnsiTheme="majorBidi" w:cs="Times New Roman"/>
          <w:color w:val="auto"/>
          <w:sz w:val="20"/>
          <w:szCs w:val="20"/>
          <w:rtl/>
        </w:rPr>
        <w:t xml:space="preserve"> </w:t>
      </w:r>
      <w:r w:rsidRPr="00E37783">
        <w:rPr>
          <w:rFonts w:asciiTheme="majorBidi" w:hAnsiTheme="majorBidi" w:cs="Times New Roman" w:hint="cs"/>
          <w:color w:val="auto"/>
          <w:sz w:val="20"/>
          <w:szCs w:val="20"/>
          <w:rtl/>
        </w:rPr>
        <w:t>בָּ</w:t>
      </w:r>
      <w:r w:rsidRPr="00E37783">
        <w:rPr>
          <w:rFonts w:asciiTheme="majorBidi" w:hAnsiTheme="majorBidi" w:cs="Times New Roman" w:hint="eastAsia"/>
          <w:color w:val="auto"/>
          <w:sz w:val="20"/>
          <w:szCs w:val="20"/>
          <w:rtl/>
        </w:rPr>
        <w:t>אָרֶץ</w:t>
      </w:r>
      <w:r w:rsidRPr="00E37783">
        <w:rPr>
          <w:rFonts w:asciiTheme="majorBidi" w:hAnsiTheme="majorBidi" w:cstheme="majorBidi"/>
          <w:color w:val="auto"/>
          <w:sz w:val="20"/>
          <w:szCs w:val="20"/>
        </w:rPr>
        <w:t>. ‘and slew him, whom the king of Babylon had made governor over the land’ (Jeremiah 41:2, KJV)</w:t>
      </w:r>
      <w:r w:rsidR="000E6D71" w:rsidRPr="00E37783">
        <w:rPr>
          <w:rFonts w:asciiTheme="majorBidi" w:hAnsiTheme="majorBidi" w:cstheme="majorBidi"/>
          <w:color w:val="auto"/>
          <w:sz w:val="20"/>
          <w:szCs w:val="20"/>
        </w:rPr>
        <w:t>. For a detailed discussion of the prolepsis in Biblical Hebrew, see Kogut 1981-1982.</w:t>
      </w:r>
    </w:p>
  </w:footnote>
  <w:footnote w:id="11">
    <w:p w:rsidR="008D1BEB" w:rsidRPr="00E37783" w:rsidRDefault="008D1BEB" w:rsidP="00E37783">
      <w:pPr>
        <w:pStyle w:val="FootnoteText"/>
        <w:spacing w:line="360" w:lineRule="auto"/>
        <w:ind w:left="0" w:firstLine="0"/>
        <w:rPr>
          <w:rStyle w:val="FootnoteReference"/>
          <w:rFonts w:cstheme="majorBidi"/>
          <w:color w:val="auto"/>
          <w:sz w:val="20"/>
          <w:szCs w:val="20"/>
          <w:vertAlign w:val="baseline"/>
        </w:rPr>
      </w:pPr>
      <w:r w:rsidRPr="00E37783">
        <w:rPr>
          <w:rStyle w:val="FootnoteReference"/>
          <w:rFonts w:asciiTheme="majorBidi" w:hAnsiTheme="majorBidi" w:cstheme="majorBidi"/>
          <w:color w:val="auto"/>
          <w:sz w:val="20"/>
          <w:szCs w:val="20"/>
        </w:rPr>
        <w:footnoteRef/>
      </w:r>
      <w:r w:rsidR="001217C3" w:rsidRPr="00E37783">
        <w:rPr>
          <w:rStyle w:val="FootnoteReference"/>
          <w:rFonts w:cstheme="majorBidi"/>
          <w:color w:val="auto"/>
          <w:sz w:val="20"/>
          <w:szCs w:val="20"/>
        </w:rPr>
        <w:t xml:space="preserve"> </w:t>
      </w:r>
      <w:r w:rsidR="001217C3" w:rsidRPr="00E37783">
        <w:rPr>
          <w:rStyle w:val="FootnoteReference"/>
          <w:rFonts w:cstheme="majorBidi"/>
          <w:color w:val="auto"/>
          <w:sz w:val="20"/>
          <w:szCs w:val="20"/>
          <w:vertAlign w:val="baseline"/>
        </w:rPr>
        <w:t>Some scholars argue that all these instances actually entail an appositional structure (‘he, that is to say: an evil one’) rather than a complementary demonstrative pronoun (for example, see Kogut 1981-1982: 104). Even if these verses originally contained appositional structures, however it will become apparent below that the translators of the Septuagint read a complementary pronoun in all three instances.</w:t>
      </w:r>
      <w:r w:rsidR="00E37783" w:rsidRPr="00E37783">
        <w:rPr>
          <w:rStyle w:val="FootnoteReference"/>
          <w:rFonts w:cstheme="majorBidi"/>
          <w:color w:val="auto"/>
          <w:sz w:val="20"/>
          <w:szCs w:val="20"/>
          <w:vertAlign w:val="baseline"/>
        </w:rPr>
        <w:t xml:space="preserve"> </w:t>
      </w:r>
    </w:p>
  </w:footnote>
  <w:footnote w:id="12">
    <w:p w:rsidR="008D1BEB" w:rsidRPr="00E37783" w:rsidRDefault="008D1BEB" w:rsidP="00E37783">
      <w:pPr>
        <w:pStyle w:val="FootnoteText"/>
        <w:spacing w:line="360" w:lineRule="auto"/>
        <w:ind w:left="0" w:firstLine="0"/>
        <w:rPr>
          <w:rFonts w:asciiTheme="majorBidi" w:hAnsiTheme="majorBidi" w:cstheme="majorBidi"/>
          <w:color w:val="auto"/>
          <w:sz w:val="20"/>
          <w:szCs w:val="20"/>
        </w:rPr>
      </w:pPr>
      <w:r w:rsidRPr="00E37783">
        <w:rPr>
          <w:rStyle w:val="FootnoteReference"/>
          <w:rFonts w:asciiTheme="majorBidi" w:hAnsiTheme="majorBidi" w:cstheme="majorBidi"/>
          <w:color w:val="auto"/>
          <w:sz w:val="20"/>
          <w:szCs w:val="20"/>
        </w:rPr>
        <w:footnoteRef/>
      </w:r>
      <w:r w:rsidRPr="00E37783">
        <w:rPr>
          <w:rFonts w:asciiTheme="majorBidi" w:hAnsiTheme="majorBidi" w:cstheme="majorBidi"/>
          <w:color w:val="auto"/>
          <w:sz w:val="20"/>
          <w:szCs w:val="20"/>
        </w:rPr>
        <w:t xml:space="preserve"> Compare Bauer-Leander </w:t>
      </w:r>
      <w:r w:rsidRPr="00E37783">
        <w:rPr>
          <w:rFonts w:asciiTheme="majorBidi" w:hAnsiTheme="majorBidi" w:cstheme="majorBidi"/>
          <w:color w:val="auto"/>
          <w:sz w:val="20"/>
          <w:szCs w:val="20"/>
          <w:rtl/>
        </w:rPr>
        <w:t>1927</w:t>
      </w:r>
      <w:r w:rsidRPr="00E37783">
        <w:rPr>
          <w:rFonts w:asciiTheme="majorBidi" w:hAnsiTheme="majorBidi" w:cstheme="majorBidi"/>
          <w:color w:val="auto"/>
          <w:sz w:val="20"/>
          <w:szCs w:val="20"/>
        </w:rPr>
        <w:t xml:space="preserve">:268, 270. </w:t>
      </w:r>
      <w:bookmarkStart w:id="16" w:name="_Hlk31034051"/>
      <w:r w:rsidRPr="00E37783">
        <w:rPr>
          <w:rFonts w:asciiTheme="majorBidi" w:hAnsiTheme="majorBidi" w:cstheme="majorBidi"/>
          <w:color w:val="auto"/>
          <w:sz w:val="20"/>
          <w:szCs w:val="20"/>
        </w:rPr>
        <w:t xml:space="preserve">Muraoka (1972: 10; 2011:49; </w:t>
      </w:r>
      <w:proofErr w:type="spellStart"/>
      <w:r w:rsidRPr="00E37783">
        <w:rPr>
          <w:rFonts w:asciiTheme="majorBidi" w:hAnsiTheme="majorBidi" w:cstheme="majorBidi"/>
          <w:color w:val="auto"/>
          <w:sz w:val="20"/>
          <w:szCs w:val="20"/>
        </w:rPr>
        <w:t>Fitzmyer</w:t>
      </w:r>
      <w:proofErr w:type="spellEnd"/>
      <w:r w:rsidRPr="00E37783">
        <w:rPr>
          <w:rFonts w:asciiTheme="majorBidi" w:hAnsiTheme="majorBidi" w:cstheme="majorBidi"/>
          <w:color w:val="auto"/>
          <w:sz w:val="20"/>
          <w:szCs w:val="20"/>
        </w:rPr>
        <w:t xml:space="preserve"> 2004: 212; Pat-El 2012: 98-99) </w:t>
      </w:r>
      <w:bookmarkEnd w:id="16"/>
      <w:r w:rsidRPr="00E37783">
        <w:rPr>
          <w:rFonts w:asciiTheme="majorBidi" w:hAnsiTheme="majorBidi" w:cstheme="majorBidi"/>
          <w:color w:val="auto"/>
          <w:sz w:val="20"/>
          <w:szCs w:val="20"/>
        </w:rPr>
        <w:t xml:space="preserve">argues that in the </w:t>
      </w:r>
      <w:r w:rsidRPr="00E37783">
        <w:rPr>
          <w:rFonts w:asciiTheme="majorBidi" w:hAnsiTheme="majorBidi" w:cstheme="majorBidi"/>
          <w:color w:val="auto"/>
          <w:sz w:val="20"/>
          <w:szCs w:val="20"/>
          <w:lang w:bidi="ar-JO"/>
        </w:rPr>
        <w:t xml:space="preserve">Genesis Apocryphon (20:20) – </w:t>
      </w:r>
      <w:r w:rsidRPr="00E37783">
        <w:rPr>
          <w:rFonts w:asciiTheme="majorBidi" w:hAnsiTheme="majorBidi" w:cstheme="majorBidi"/>
          <w:color w:val="auto"/>
          <w:sz w:val="20"/>
          <w:szCs w:val="20"/>
          <w:rtl/>
        </w:rPr>
        <w:t xml:space="preserve">ארי </w:t>
      </w:r>
      <w:r w:rsidRPr="00E37783">
        <w:rPr>
          <w:rFonts w:asciiTheme="majorBidi" w:hAnsiTheme="majorBidi" w:cstheme="majorBidi"/>
          <w:b/>
          <w:bCs/>
          <w:color w:val="auto"/>
          <w:sz w:val="20"/>
          <w:szCs w:val="20"/>
          <w:rtl/>
        </w:rPr>
        <w:t>הוא רוחא</w:t>
      </w:r>
      <w:r w:rsidRPr="00E37783">
        <w:rPr>
          <w:rFonts w:asciiTheme="majorBidi" w:hAnsiTheme="majorBidi" w:cstheme="majorBidi"/>
          <w:color w:val="auto"/>
          <w:sz w:val="20"/>
          <w:szCs w:val="20"/>
          <w:rtl/>
        </w:rPr>
        <w:t xml:space="preserve"> כתש לכולהון</w:t>
      </w:r>
      <w:r w:rsidRPr="00E37783">
        <w:rPr>
          <w:rFonts w:asciiTheme="majorBidi" w:hAnsiTheme="majorBidi" w:cstheme="majorBidi"/>
          <w:color w:val="auto"/>
          <w:sz w:val="20"/>
          <w:szCs w:val="20"/>
          <w:lang w:bidi="ar-JO"/>
        </w:rPr>
        <w:t xml:space="preserve"> </w:t>
      </w:r>
      <w:r w:rsidR="009749E3" w:rsidRPr="00E37783">
        <w:rPr>
          <w:rFonts w:asciiTheme="majorBidi" w:hAnsiTheme="majorBidi" w:cstheme="majorBidi"/>
          <w:color w:val="auto"/>
          <w:sz w:val="20"/>
          <w:szCs w:val="20"/>
          <w:lang w:bidi="ar-JO"/>
        </w:rPr>
        <w:t xml:space="preserve">‘For the spirit attacked all of them’ </w:t>
      </w:r>
      <w:r w:rsidRPr="00E37783">
        <w:rPr>
          <w:rFonts w:asciiTheme="majorBidi" w:hAnsiTheme="majorBidi" w:cstheme="majorBidi"/>
          <w:color w:val="auto"/>
          <w:sz w:val="20"/>
          <w:szCs w:val="20"/>
          <w:lang w:bidi="ar-JO"/>
        </w:rPr>
        <w:t>– there is a demonstrative adjective pronoun before the noun</w:t>
      </w:r>
      <w:r w:rsidR="009749E3" w:rsidRPr="00E37783">
        <w:rPr>
          <w:rFonts w:asciiTheme="majorBidi" w:hAnsiTheme="majorBidi" w:cstheme="majorBidi"/>
          <w:color w:val="auto"/>
          <w:sz w:val="20"/>
          <w:szCs w:val="20"/>
          <w:lang w:bidi="ar-JO"/>
        </w:rPr>
        <w:t>: ‘that spirit’.</w:t>
      </w:r>
      <w:r w:rsidR="00E35993" w:rsidRPr="00E37783">
        <w:rPr>
          <w:rFonts w:asciiTheme="majorBidi" w:hAnsiTheme="majorBidi" w:cstheme="majorBidi"/>
          <w:color w:val="auto"/>
          <w:sz w:val="20"/>
          <w:szCs w:val="20"/>
          <w:lang w:bidi="ar-JO"/>
        </w:rPr>
        <w:t xml:space="preserve"> (They preferred not to parse </w:t>
      </w:r>
      <w:r w:rsidR="00E35993" w:rsidRPr="00E37783">
        <w:rPr>
          <w:rFonts w:asciiTheme="majorBidi" w:hAnsiTheme="majorBidi" w:cstheme="majorBidi"/>
          <w:color w:val="auto"/>
          <w:sz w:val="20"/>
          <w:szCs w:val="20"/>
          <w:rtl/>
        </w:rPr>
        <w:t>הוא</w:t>
      </w:r>
      <w:r w:rsidR="00E35993" w:rsidRPr="00E37783">
        <w:rPr>
          <w:rFonts w:asciiTheme="majorBidi" w:hAnsiTheme="majorBidi" w:cstheme="majorBidi"/>
          <w:color w:val="auto"/>
          <w:sz w:val="20"/>
          <w:szCs w:val="20"/>
        </w:rPr>
        <w:t xml:space="preserve"> as a past form of the verb </w:t>
      </w:r>
      <w:r w:rsidR="00E35993" w:rsidRPr="00E37783">
        <w:rPr>
          <w:rFonts w:asciiTheme="majorBidi" w:hAnsiTheme="majorBidi" w:cstheme="majorBidi"/>
          <w:color w:val="auto"/>
          <w:sz w:val="20"/>
          <w:szCs w:val="20"/>
          <w:rtl/>
        </w:rPr>
        <w:t>הו"י</w:t>
      </w:r>
      <w:r w:rsidR="00E35993" w:rsidRPr="00E37783">
        <w:rPr>
          <w:rFonts w:asciiTheme="majorBidi" w:hAnsiTheme="majorBidi" w:cstheme="majorBidi"/>
          <w:color w:val="auto"/>
          <w:sz w:val="20"/>
          <w:szCs w:val="20"/>
        </w:rPr>
        <w:t xml:space="preserve">, since they did not find any other instance where the ancillary verb </w:t>
      </w:r>
      <w:r w:rsidR="00E35993" w:rsidRPr="00E37783">
        <w:rPr>
          <w:rFonts w:asciiTheme="majorBidi" w:hAnsiTheme="majorBidi" w:cstheme="majorBidi"/>
          <w:b/>
          <w:bCs/>
          <w:color w:val="auto"/>
          <w:sz w:val="20"/>
          <w:szCs w:val="20"/>
          <w:rtl/>
        </w:rPr>
        <w:t>הוה</w:t>
      </w:r>
      <w:r w:rsidR="00E35993" w:rsidRPr="00E37783">
        <w:rPr>
          <w:rFonts w:asciiTheme="majorBidi" w:hAnsiTheme="majorBidi" w:cstheme="majorBidi"/>
          <w:b/>
          <w:bCs/>
          <w:color w:val="auto"/>
          <w:sz w:val="20"/>
          <w:szCs w:val="20"/>
        </w:rPr>
        <w:t xml:space="preserve"> </w:t>
      </w:r>
      <w:r w:rsidR="00E35993" w:rsidRPr="00E37783">
        <w:rPr>
          <w:rFonts w:asciiTheme="majorBidi" w:hAnsiTheme="majorBidi" w:cstheme="majorBidi"/>
          <w:color w:val="auto"/>
          <w:sz w:val="20"/>
          <w:szCs w:val="20"/>
        </w:rPr>
        <w:t xml:space="preserve">is separated from the main verb by the subject. We should note, though, that equally there is no other instance in Qumran in which the complementary pronoun precedes the noun). </w:t>
      </w:r>
      <w:r w:rsidRPr="00E37783">
        <w:rPr>
          <w:rFonts w:asciiTheme="majorBidi" w:hAnsiTheme="majorBidi" w:cstheme="majorBidi"/>
          <w:color w:val="auto"/>
          <w:sz w:val="20"/>
          <w:szCs w:val="20"/>
          <w:lang w:bidi="ar-JO"/>
        </w:rPr>
        <w:t xml:space="preserve">However, it seems to me that this can better be parsed as the past form of </w:t>
      </w:r>
      <w:r w:rsidRPr="00E37783">
        <w:rPr>
          <w:rFonts w:asciiTheme="majorBidi" w:hAnsiTheme="majorBidi" w:cstheme="majorBidi"/>
          <w:color w:val="auto"/>
          <w:sz w:val="20"/>
          <w:szCs w:val="20"/>
          <w:rtl/>
        </w:rPr>
        <w:t>הו"י</w:t>
      </w:r>
      <w:r w:rsidRPr="00E37783">
        <w:rPr>
          <w:rFonts w:asciiTheme="majorBidi" w:hAnsiTheme="majorBidi" w:cstheme="majorBidi"/>
          <w:color w:val="auto"/>
          <w:sz w:val="20"/>
          <w:szCs w:val="20"/>
          <w:lang w:bidi="ar-JO"/>
        </w:rPr>
        <w:t>: ‘for the wind smote (lit.</w:t>
      </w:r>
      <w:r w:rsidR="009749E3" w:rsidRPr="00E37783">
        <w:rPr>
          <w:rFonts w:asciiTheme="majorBidi" w:hAnsiTheme="majorBidi" w:cstheme="majorBidi"/>
          <w:color w:val="auto"/>
          <w:sz w:val="20"/>
          <w:szCs w:val="20"/>
        </w:rPr>
        <w:t xml:space="preserve"> would sm</w:t>
      </w:r>
      <w:r w:rsidR="00610E5B" w:rsidRPr="00E37783">
        <w:rPr>
          <w:rFonts w:asciiTheme="majorBidi" w:hAnsiTheme="majorBidi" w:cstheme="majorBidi"/>
          <w:color w:val="auto"/>
          <w:sz w:val="20"/>
          <w:szCs w:val="20"/>
        </w:rPr>
        <w:t>i</w:t>
      </w:r>
      <w:r w:rsidR="009749E3" w:rsidRPr="00E37783">
        <w:rPr>
          <w:rFonts w:asciiTheme="majorBidi" w:hAnsiTheme="majorBidi" w:cstheme="majorBidi"/>
          <w:color w:val="auto"/>
          <w:sz w:val="20"/>
          <w:szCs w:val="20"/>
        </w:rPr>
        <w:t>te</w:t>
      </w:r>
      <w:r w:rsidRPr="00E37783">
        <w:rPr>
          <w:rFonts w:asciiTheme="majorBidi" w:hAnsiTheme="majorBidi" w:cstheme="majorBidi"/>
          <w:color w:val="auto"/>
          <w:sz w:val="20"/>
          <w:szCs w:val="20"/>
          <w:lang w:bidi="ar-JO"/>
        </w:rPr>
        <w:t xml:space="preserve">) them all’ paralleling the form in ibid., line 17: </w:t>
      </w:r>
      <w:r w:rsidRPr="00E37783">
        <w:rPr>
          <w:rFonts w:asciiTheme="majorBidi" w:hAnsiTheme="majorBidi" w:cstheme="majorBidi"/>
          <w:color w:val="auto"/>
          <w:sz w:val="20"/>
          <w:szCs w:val="20"/>
          <w:rtl/>
        </w:rPr>
        <w:t>והואת כתשא לה ולכול אנש ביתה</w:t>
      </w:r>
      <w:r w:rsidRPr="00E37783">
        <w:rPr>
          <w:rFonts w:asciiTheme="majorBidi" w:hAnsiTheme="majorBidi" w:cstheme="majorBidi"/>
          <w:color w:val="auto"/>
          <w:sz w:val="20"/>
          <w:szCs w:val="20"/>
        </w:rPr>
        <w:t xml:space="preserve"> ‘and it </w:t>
      </w:r>
      <w:r w:rsidRPr="00E37783">
        <w:rPr>
          <w:rFonts w:asciiTheme="majorBidi" w:hAnsiTheme="majorBidi" w:cstheme="majorBidi"/>
          <w:color w:val="auto"/>
          <w:sz w:val="20"/>
          <w:szCs w:val="20"/>
          <w:lang w:bidi="ar-JO"/>
        </w:rPr>
        <w:t xml:space="preserve">smote (lit. </w:t>
      </w:r>
      <w:r w:rsidR="009749E3" w:rsidRPr="00E37783">
        <w:rPr>
          <w:rFonts w:asciiTheme="majorBidi" w:hAnsiTheme="majorBidi" w:cstheme="majorBidi"/>
          <w:color w:val="auto"/>
          <w:sz w:val="20"/>
          <w:szCs w:val="20"/>
        </w:rPr>
        <w:t>would sm</w:t>
      </w:r>
      <w:r w:rsidR="00610E5B" w:rsidRPr="00E37783">
        <w:rPr>
          <w:rFonts w:asciiTheme="majorBidi" w:hAnsiTheme="majorBidi" w:cstheme="majorBidi"/>
          <w:color w:val="auto"/>
          <w:sz w:val="20"/>
          <w:szCs w:val="20"/>
        </w:rPr>
        <w:t>i</w:t>
      </w:r>
      <w:r w:rsidR="009749E3" w:rsidRPr="00E37783">
        <w:rPr>
          <w:rFonts w:asciiTheme="majorBidi" w:hAnsiTheme="majorBidi" w:cstheme="majorBidi"/>
          <w:color w:val="auto"/>
          <w:sz w:val="20"/>
          <w:szCs w:val="20"/>
        </w:rPr>
        <w:t>te</w:t>
      </w:r>
      <w:r w:rsidRPr="00E37783">
        <w:rPr>
          <w:rFonts w:asciiTheme="majorBidi" w:hAnsiTheme="majorBidi" w:cstheme="majorBidi"/>
          <w:color w:val="auto"/>
          <w:sz w:val="20"/>
          <w:szCs w:val="20"/>
          <w:lang w:bidi="ar-JO"/>
        </w:rPr>
        <w:t xml:space="preserve">) </w:t>
      </w:r>
      <w:r w:rsidRPr="00E37783">
        <w:rPr>
          <w:rFonts w:asciiTheme="majorBidi" w:hAnsiTheme="majorBidi" w:cstheme="majorBidi"/>
          <w:color w:val="auto"/>
          <w:sz w:val="20"/>
          <w:szCs w:val="20"/>
        </w:rPr>
        <w:t>him and all his house’</w:t>
      </w:r>
      <w:r w:rsidR="00E35993" w:rsidRPr="00E37783">
        <w:rPr>
          <w:rFonts w:asciiTheme="majorBidi" w:hAnsiTheme="majorBidi" w:cstheme="majorBidi"/>
          <w:color w:val="auto"/>
          <w:sz w:val="20"/>
          <w:szCs w:val="20"/>
        </w:rPr>
        <w:t xml:space="preserve">. See Yadin &amp; </w:t>
      </w:r>
      <w:proofErr w:type="spellStart"/>
      <w:r w:rsidR="00E35993" w:rsidRPr="00E37783">
        <w:rPr>
          <w:rFonts w:asciiTheme="majorBidi" w:hAnsiTheme="majorBidi" w:cstheme="majorBidi"/>
          <w:color w:val="auto"/>
          <w:sz w:val="20"/>
          <w:szCs w:val="20"/>
        </w:rPr>
        <w:t>Avigad</w:t>
      </w:r>
      <w:proofErr w:type="spellEnd"/>
      <w:r w:rsidR="00E35993" w:rsidRPr="00E37783">
        <w:rPr>
          <w:rFonts w:asciiTheme="majorBidi" w:hAnsiTheme="majorBidi" w:cstheme="majorBidi"/>
          <w:color w:val="auto"/>
          <w:sz w:val="20"/>
          <w:szCs w:val="20"/>
        </w:rPr>
        <w:t xml:space="preserve"> 1956: 44. The scholars who </w:t>
      </w:r>
      <w:r w:rsidR="00917D1E" w:rsidRPr="00E37783">
        <w:rPr>
          <w:rFonts w:asciiTheme="majorBidi" w:hAnsiTheme="majorBidi" w:cstheme="majorBidi"/>
          <w:color w:val="auto"/>
          <w:sz w:val="20"/>
          <w:szCs w:val="20"/>
        </w:rPr>
        <w:t xml:space="preserve">parsed a pronoun here, rather than a verb, did not address this analogy. </w:t>
      </w:r>
    </w:p>
  </w:footnote>
  <w:footnote w:id="13">
    <w:p w:rsidR="008D1BEB" w:rsidRPr="00E37783" w:rsidRDefault="008D1BEB"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00E0266D" w:rsidRPr="00E37783">
        <w:rPr>
          <w:rFonts w:asciiTheme="majorBidi" w:hAnsiTheme="majorBidi" w:cstheme="majorBidi"/>
          <w:sz w:val="20"/>
          <w:szCs w:val="20"/>
        </w:rPr>
        <w:t xml:space="preserve"> Since </w:t>
      </w:r>
      <w:proofErr w:type="spellStart"/>
      <w:r w:rsidR="00E0266D" w:rsidRPr="00E37783">
        <w:rPr>
          <w:rFonts w:asciiTheme="majorBidi" w:hAnsiTheme="majorBidi" w:cstheme="majorBidi"/>
          <w:sz w:val="20"/>
          <w:szCs w:val="20"/>
        </w:rPr>
        <w:t>Kotscher</w:t>
      </w:r>
      <w:proofErr w:type="spellEnd"/>
      <w:r w:rsidR="00E0266D" w:rsidRPr="00E37783">
        <w:rPr>
          <w:rFonts w:asciiTheme="majorBidi" w:hAnsiTheme="majorBidi" w:cstheme="majorBidi"/>
          <w:sz w:val="20"/>
          <w:szCs w:val="20"/>
        </w:rPr>
        <w:t xml:space="preserve"> (971: 104-109), the growth of this phenomenon in Aramaic has conventionally been explained by way of Akkadian influence. For a review of the literature, examples from various Aramaic dialects, and a comprehensive discussion, see Pat-El 2012: 89-132.</w:t>
      </w:r>
      <w:r w:rsidRPr="00E37783">
        <w:rPr>
          <w:rFonts w:asciiTheme="majorBidi" w:hAnsiTheme="majorBidi" w:cstheme="majorBidi"/>
          <w:sz w:val="20"/>
          <w:szCs w:val="20"/>
          <w:rtl/>
        </w:rPr>
        <w:t xml:space="preserve"> </w:t>
      </w:r>
    </w:p>
  </w:footnote>
  <w:footnote w:id="14">
    <w:p w:rsidR="008D1BEB" w:rsidRPr="00E37783" w:rsidRDefault="008D1BEB" w:rsidP="00E37783">
      <w:pPr>
        <w:pStyle w:val="FootnoteText"/>
        <w:spacing w:line="360" w:lineRule="auto"/>
        <w:ind w:left="0" w:firstLine="0"/>
        <w:rPr>
          <w:rFonts w:asciiTheme="majorBidi" w:hAnsiTheme="majorBidi" w:cstheme="majorBidi"/>
          <w:color w:val="auto"/>
          <w:sz w:val="20"/>
          <w:szCs w:val="20"/>
          <w:rtl/>
        </w:rPr>
      </w:pPr>
      <w:r w:rsidRPr="00E37783">
        <w:rPr>
          <w:rStyle w:val="FootnoteReference"/>
          <w:rFonts w:asciiTheme="majorBidi" w:hAnsiTheme="majorBidi" w:cstheme="majorBidi"/>
          <w:color w:val="auto"/>
          <w:sz w:val="20"/>
          <w:szCs w:val="20"/>
        </w:rPr>
        <w:footnoteRef/>
      </w:r>
      <w:r w:rsidRPr="00E37783">
        <w:rPr>
          <w:rFonts w:asciiTheme="majorBidi" w:hAnsiTheme="majorBidi" w:cstheme="majorBidi"/>
          <w:color w:val="auto"/>
          <w:sz w:val="20"/>
          <w:szCs w:val="20"/>
        </w:rPr>
        <w:t xml:space="preserve"> In all the ancient Aramaic dialects we have found only two instances where </w:t>
      </w:r>
      <w:r w:rsidRPr="00E37783">
        <w:rPr>
          <w:rFonts w:asciiTheme="majorBidi" w:hAnsiTheme="majorBidi" w:cstheme="majorBidi"/>
          <w:color w:val="auto"/>
          <w:sz w:val="20"/>
          <w:szCs w:val="20"/>
          <w:rtl/>
        </w:rPr>
        <w:t>הי</w:t>
      </w:r>
      <w:r w:rsidRPr="00E37783">
        <w:rPr>
          <w:rFonts w:asciiTheme="majorBidi" w:hAnsiTheme="majorBidi" w:cstheme="majorBidi"/>
          <w:color w:val="auto"/>
          <w:sz w:val="20"/>
          <w:szCs w:val="20"/>
        </w:rPr>
        <w:t xml:space="preserve"> is used as an independent subject pronoun (</w:t>
      </w:r>
      <w:bookmarkStart w:id="18" w:name="_Hlk31037034"/>
      <w:r w:rsidRPr="00E37783">
        <w:rPr>
          <w:rFonts w:asciiTheme="majorBidi" w:hAnsiTheme="majorBidi" w:cstheme="majorBidi"/>
          <w:color w:val="auto"/>
          <w:sz w:val="20"/>
          <w:szCs w:val="20"/>
        </w:rPr>
        <w:t xml:space="preserve">Muraoka and </w:t>
      </w:r>
      <w:proofErr w:type="spellStart"/>
      <w:r w:rsidRPr="00E37783">
        <w:rPr>
          <w:rFonts w:asciiTheme="majorBidi" w:hAnsiTheme="majorBidi" w:cstheme="majorBidi"/>
          <w:color w:val="auto"/>
          <w:sz w:val="20"/>
          <w:szCs w:val="20"/>
        </w:rPr>
        <w:t>Porten</w:t>
      </w:r>
      <w:proofErr w:type="spellEnd"/>
      <w:r w:rsidRPr="00E37783">
        <w:rPr>
          <w:rFonts w:asciiTheme="majorBidi" w:hAnsiTheme="majorBidi" w:cstheme="majorBidi"/>
          <w:color w:val="auto"/>
          <w:sz w:val="20"/>
          <w:szCs w:val="20"/>
        </w:rPr>
        <w:t xml:space="preserve"> 1998</w:t>
      </w:r>
      <w:bookmarkEnd w:id="18"/>
      <w:r w:rsidRPr="00E37783">
        <w:rPr>
          <w:rFonts w:asciiTheme="majorBidi" w:hAnsiTheme="majorBidi" w:cstheme="majorBidi"/>
          <w:color w:val="auto"/>
          <w:sz w:val="20"/>
          <w:szCs w:val="20"/>
        </w:rPr>
        <w:t>:156 §d)</w:t>
      </w:r>
      <w:r w:rsidR="00E0266D" w:rsidRPr="00E37783">
        <w:rPr>
          <w:rFonts w:asciiTheme="majorBidi" w:hAnsiTheme="majorBidi" w:cstheme="majorBidi"/>
          <w:color w:val="auto"/>
          <w:sz w:val="20"/>
          <w:szCs w:val="20"/>
        </w:rPr>
        <w:t xml:space="preserve">. However, these instances may be parsed as </w:t>
      </w:r>
      <w:r w:rsidRPr="00E37783">
        <w:rPr>
          <w:rFonts w:asciiTheme="majorBidi" w:hAnsiTheme="majorBidi" w:cstheme="majorBidi"/>
          <w:color w:val="auto"/>
          <w:sz w:val="20"/>
          <w:szCs w:val="20"/>
        </w:rPr>
        <w:t>prominence or focus</w:t>
      </w:r>
      <w:r w:rsidR="00A103C4" w:rsidRPr="00E37783">
        <w:rPr>
          <w:rFonts w:asciiTheme="majorBidi" w:hAnsiTheme="majorBidi" w:cstheme="majorBidi"/>
          <w:color w:val="auto"/>
          <w:sz w:val="20"/>
          <w:szCs w:val="20"/>
        </w:rPr>
        <w:t xml:space="preserve">. See Muraoka 2005: 34. </w:t>
      </w:r>
    </w:p>
  </w:footnote>
  <w:footnote w:id="15">
    <w:p w:rsidR="004A25DE" w:rsidRPr="00E37783" w:rsidRDefault="004A25DE"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Pr>
        <w:t xml:space="preserve"> See Smyth 1920: 92–93 (§328). </w:t>
      </w:r>
    </w:p>
  </w:footnote>
  <w:footnote w:id="16">
    <w:p w:rsidR="008D1BEB" w:rsidRPr="00E37783" w:rsidRDefault="008D1BEB"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tl/>
        </w:rPr>
        <w:t xml:space="preserve"> נוסח המשנה לפי </w:t>
      </w:r>
      <w:r w:rsidRPr="00E37783">
        <w:rPr>
          <w:rFonts w:asciiTheme="majorBidi" w:hAnsiTheme="majorBidi" w:cstheme="majorBidi"/>
          <w:sz w:val="20"/>
          <w:szCs w:val="20"/>
        </w:rPr>
        <w:t>Ms Kaufmann A 50</w:t>
      </w:r>
      <w:r w:rsidRPr="00E37783">
        <w:rPr>
          <w:rFonts w:asciiTheme="majorBidi" w:hAnsiTheme="majorBidi" w:cstheme="majorBidi"/>
          <w:sz w:val="20"/>
          <w:szCs w:val="20"/>
          <w:rtl/>
        </w:rPr>
        <w:t>.</w:t>
      </w:r>
    </w:p>
  </w:footnote>
  <w:footnote w:id="17">
    <w:p w:rsidR="00EB772C" w:rsidRPr="00E37783" w:rsidRDefault="00EB772C" w:rsidP="00E37783">
      <w:pPr>
        <w:pStyle w:val="FootnoteText"/>
        <w:ind w:left="0" w:firstLine="0"/>
        <w:rPr>
          <w:rFonts w:asciiTheme="majorBidi" w:hAnsiTheme="majorBidi" w:cstheme="majorBidi"/>
          <w:sz w:val="20"/>
          <w:szCs w:val="20"/>
          <w:rtl/>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tl/>
        </w:rPr>
        <w:t xml:space="preserve"> </w:t>
      </w:r>
      <w:r w:rsidRPr="00E37783">
        <w:rPr>
          <w:rFonts w:asciiTheme="majorBidi" w:hAnsiTheme="majorBidi" w:cstheme="majorBidi"/>
          <w:sz w:val="20"/>
          <w:szCs w:val="20"/>
          <w:rtl/>
        </w:rPr>
        <w:t>כך בכתבי היד:</w:t>
      </w:r>
      <w:r w:rsidR="00E37783" w:rsidRPr="00E37783">
        <w:rPr>
          <w:rFonts w:asciiTheme="majorBidi" w:hAnsiTheme="majorBidi" w:cstheme="majorBidi"/>
          <w:sz w:val="20"/>
          <w:szCs w:val="20"/>
        </w:rPr>
        <w:t xml:space="preserve"> </w:t>
      </w:r>
      <w:r w:rsidRPr="00E37783">
        <w:rPr>
          <w:rFonts w:asciiTheme="majorBidi" w:hAnsiTheme="majorBidi" w:cstheme="majorBidi"/>
          <w:sz w:val="20"/>
          <w:szCs w:val="20"/>
        </w:rPr>
        <w:t xml:space="preserve">Munich 95; Paris 1337; Escorial G 1.3.1; Vatican </w:t>
      </w:r>
      <w:proofErr w:type="spellStart"/>
      <w:r w:rsidRPr="00E37783">
        <w:rPr>
          <w:rFonts w:asciiTheme="majorBidi" w:hAnsiTheme="majorBidi" w:cstheme="majorBidi"/>
          <w:sz w:val="20"/>
          <w:szCs w:val="20"/>
        </w:rPr>
        <w:t>ebr</w:t>
      </w:r>
      <w:proofErr w:type="spellEnd"/>
      <w:r w:rsidRPr="00E37783">
        <w:rPr>
          <w:rFonts w:asciiTheme="majorBidi" w:hAnsiTheme="majorBidi" w:cstheme="majorBidi"/>
          <w:sz w:val="20"/>
          <w:szCs w:val="20"/>
        </w:rPr>
        <w:t>. 115b; Hamburg</w:t>
      </w:r>
      <w:r w:rsidRPr="00E37783">
        <w:rPr>
          <w:rFonts w:asciiTheme="majorBidi" w:hAnsiTheme="majorBidi" w:cstheme="majorBidi"/>
          <w:sz w:val="20"/>
          <w:szCs w:val="20"/>
          <w:rtl/>
        </w:rPr>
        <w:t>.</w:t>
      </w:r>
      <w:r w:rsidRPr="00E37783">
        <w:rPr>
          <w:rFonts w:asciiTheme="majorBidi" w:hAnsiTheme="majorBidi" w:cstheme="majorBidi" w:hint="cs"/>
          <w:sz w:val="20"/>
          <w:szCs w:val="20"/>
          <w:rtl/>
        </w:rPr>
        <w:t xml:space="preserve"> 165</w:t>
      </w:r>
    </w:p>
  </w:footnote>
  <w:footnote w:id="18">
    <w:p w:rsidR="00EB772C" w:rsidRPr="00E37783" w:rsidRDefault="00EB772C" w:rsidP="00E37783">
      <w:pPr>
        <w:pStyle w:val="FootnoteText"/>
        <w:ind w:left="0" w:firstLine="0"/>
        <w:rPr>
          <w:rFonts w:asciiTheme="majorBidi" w:hAnsiTheme="majorBidi" w:cstheme="majorBidi"/>
          <w:sz w:val="20"/>
          <w:szCs w:val="20"/>
          <w:rtl/>
        </w:rPr>
      </w:pPr>
      <w:r w:rsidRPr="00E37783">
        <w:rPr>
          <w:rStyle w:val="FootnoteReference"/>
          <w:rFonts w:asciiTheme="majorBidi" w:hAnsiTheme="majorBidi" w:cstheme="majorBidi"/>
          <w:sz w:val="20"/>
          <w:szCs w:val="20"/>
        </w:rPr>
        <w:footnoteRef/>
      </w:r>
      <w:r w:rsidRPr="00E37783">
        <w:rPr>
          <w:rFonts w:asciiTheme="majorBidi" w:hAnsiTheme="majorBidi" w:cstheme="majorBidi"/>
          <w:sz w:val="20"/>
          <w:szCs w:val="20"/>
          <w:rtl/>
        </w:rPr>
        <w:t xml:space="preserve"> </w:t>
      </w:r>
      <w:r w:rsidRPr="00E37783">
        <w:rPr>
          <w:rFonts w:asciiTheme="majorBidi" w:hAnsiTheme="majorBidi" w:cstheme="majorBidi"/>
          <w:sz w:val="20"/>
          <w:szCs w:val="20"/>
          <w:rtl/>
        </w:rPr>
        <w:t>כך בכתבי היד:</w:t>
      </w:r>
      <w:r w:rsidR="00E37783" w:rsidRPr="00E37783">
        <w:rPr>
          <w:rFonts w:asciiTheme="majorBidi" w:hAnsiTheme="majorBidi" w:cstheme="majorBidi"/>
          <w:sz w:val="20"/>
          <w:szCs w:val="20"/>
        </w:rPr>
        <w:t xml:space="preserve"> </w:t>
      </w:r>
      <w:r w:rsidRPr="00E37783">
        <w:rPr>
          <w:rFonts w:asciiTheme="majorBidi" w:hAnsiTheme="majorBidi" w:cstheme="majorBidi"/>
          <w:sz w:val="20"/>
          <w:szCs w:val="20"/>
        </w:rPr>
        <w:t xml:space="preserve">Munich 95; Paris 1337; Escorial G 1.3.1; Vatican </w:t>
      </w:r>
      <w:proofErr w:type="spellStart"/>
      <w:r w:rsidRPr="00E37783">
        <w:rPr>
          <w:rFonts w:asciiTheme="majorBidi" w:hAnsiTheme="majorBidi" w:cstheme="majorBidi"/>
          <w:sz w:val="20"/>
          <w:szCs w:val="20"/>
        </w:rPr>
        <w:t>ebr</w:t>
      </w:r>
      <w:proofErr w:type="spellEnd"/>
      <w:r w:rsidRPr="00E37783">
        <w:rPr>
          <w:rFonts w:asciiTheme="majorBidi" w:hAnsiTheme="majorBidi" w:cstheme="majorBidi"/>
          <w:sz w:val="20"/>
          <w:szCs w:val="20"/>
        </w:rPr>
        <w:t>. 115b; Hamburg</w:t>
      </w:r>
      <w:r w:rsidRPr="00E37783">
        <w:rPr>
          <w:rFonts w:asciiTheme="majorBidi" w:hAnsiTheme="majorBidi" w:cstheme="majorBidi"/>
          <w:sz w:val="20"/>
          <w:szCs w:val="20"/>
          <w:rtl/>
        </w:rPr>
        <w:t>.</w:t>
      </w:r>
      <w:r w:rsidRPr="00E37783">
        <w:rPr>
          <w:rFonts w:asciiTheme="majorBidi" w:hAnsiTheme="majorBidi" w:cstheme="majorBidi" w:hint="cs"/>
          <w:sz w:val="20"/>
          <w:szCs w:val="20"/>
          <w:rtl/>
        </w:rPr>
        <w:t xml:space="preserve"> 165</w:t>
      </w:r>
    </w:p>
  </w:footnote>
  <w:footnote w:id="19">
    <w:p w:rsidR="00EB772C" w:rsidRPr="00E37783" w:rsidRDefault="00EB772C" w:rsidP="00E37783">
      <w:pPr>
        <w:pStyle w:val="FootnoteText"/>
        <w:ind w:left="0" w:firstLine="0"/>
        <w:rPr>
          <w:rFonts w:asciiTheme="majorBidi" w:hAnsiTheme="majorBidi" w:cstheme="majorBidi"/>
          <w:sz w:val="20"/>
          <w:szCs w:val="20"/>
        </w:rPr>
      </w:pPr>
      <w:r w:rsidRPr="00E37783">
        <w:rPr>
          <w:rStyle w:val="FootnoteReference"/>
          <w:rFonts w:asciiTheme="majorBidi" w:hAnsiTheme="majorBidi" w:cstheme="majorBidi"/>
          <w:sz w:val="20"/>
          <w:szCs w:val="20"/>
        </w:rPr>
        <w:footnoteRef/>
      </w:r>
      <w:r w:rsidR="002218F6" w:rsidRPr="00E37783">
        <w:rPr>
          <w:rFonts w:asciiTheme="majorBidi" w:hAnsiTheme="majorBidi" w:cstheme="majorBidi"/>
          <w:sz w:val="20"/>
          <w:szCs w:val="20"/>
        </w:rPr>
        <w:t xml:space="preserve"> </w:t>
      </w:r>
      <w:proofErr w:type="spellStart"/>
      <w:r w:rsidR="002218F6" w:rsidRPr="00E37783">
        <w:rPr>
          <w:rFonts w:asciiTheme="majorBidi" w:hAnsiTheme="majorBidi" w:cstheme="majorBidi"/>
          <w:sz w:val="20"/>
          <w:szCs w:val="20"/>
        </w:rPr>
        <w:t>Yalon</w:t>
      </w:r>
      <w:proofErr w:type="spellEnd"/>
      <w:r w:rsidR="002218F6" w:rsidRPr="00E37783">
        <w:rPr>
          <w:rFonts w:asciiTheme="majorBidi" w:hAnsiTheme="majorBidi" w:cstheme="majorBidi"/>
          <w:sz w:val="20"/>
          <w:szCs w:val="20"/>
        </w:rPr>
        <w:t xml:space="preserve"> 1971: 106 argued briefly in favor of this position, against Segal 1936: 51, who asserted that </w:t>
      </w:r>
      <w:proofErr w:type="spellStart"/>
      <w:r w:rsidR="002218F6" w:rsidRPr="00E37783">
        <w:rPr>
          <w:rFonts w:asciiTheme="majorBidi" w:hAnsiTheme="majorBidi" w:cstheme="majorBidi"/>
          <w:sz w:val="20"/>
          <w:szCs w:val="20"/>
        </w:rPr>
        <w:t>‘the</w:t>
      </w:r>
      <w:proofErr w:type="spellEnd"/>
      <w:r w:rsidR="002218F6" w:rsidRPr="00E37783">
        <w:rPr>
          <w:rFonts w:asciiTheme="majorBidi" w:hAnsiTheme="majorBidi" w:cstheme="majorBidi"/>
          <w:sz w:val="20"/>
          <w:szCs w:val="20"/>
        </w:rPr>
        <w:t xml:space="preserve"> Gemara did not interpret… according to grammar’. Yadin-Israel 2015:336-337 also </w:t>
      </w:r>
      <w:r w:rsidR="009966A5" w:rsidRPr="00E37783">
        <w:rPr>
          <w:rFonts w:asciiTheme="majorBidi" w:hAnsiTheme="majorBidi" w:cstheme="majorBidi"/>
          <w:sz w:val="20"/>
          <w:szCs w:val="20"/>
        </w:rPr>
        <w:t xml:space="preserve">suggested that the interpretation in the Talmud reflects a misunderstanding of the Tannaitic language during the </w:t>
      </w:r>
      <w:proofErr w:type="spellStart"/>
      <w:r w:rsidR="009966A5" w:rsidRPr="00E37783">
        <w:rPr>
          <w:rFonts w:asciiTheme="majorBidi" w:hAnsiTheme="majorBidi" w:cstheme="majorBidi"/>
          <w:sz w:val="20"/>
          <w:szCs w:val="20"/>
        </w:rPr>
        <w:t>Amoraitic</w:t>
      </w:r>
      <w:proofErr w:type="spellEnd"/>
      <w:r w:rsidR="009966A5" w:rsidRPr="00E37783">
        <w:rPr>
          <w:rFonts w:asciiTheme="majorBidi" w:hAnsiTheme="majorBidi" w:cstheme="majorBidi"/>
          <w:sz w:val="20"/>
          <w:szCs w:val="20"/>
        </w:rPr>
        <w:t xml:space="preserve"> period, rather than a divergence of versions between the Babylonian and Palestinian branches.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7618A"/>
    <w:multiLevelType w:val="hybridMultilevel"/>
    <w:tmpl w:val="0CD225F2"/>
    <w:lvl w:ilvl="0" w:tplc="4FCE03E0">
      <w:numFmt w:val="bullet"/>
      <w:lvlText w:val="•"/>
      <w:lvlJc w:val="left"/>
      <w:pPr>
        <w:ind w:left="987" w:hanging="42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AA5746"/>
    <w:multiLevelType w:val="hybridMultilevel"/>
    <w:tmpl w:val="420ADD7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1">
    <w:nsid w:val="3219172A"/>
    <w:multiLevelType w:val="hybridMultilevel"/>
    <w:tmpl w:val="B4A8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8E21B4"/>
    <w:multiLevelType w:val="hybridMultilevel"/>
    <w:tmpl w:val="BDD05B88"/>
    <w:lvl w:ilvl="0" w:tplc="05BC7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0745F4"/>
    <w:multiLevelType w:val="hybridMultilevel"/>
    <w:tmpl w:val="BEBCD1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37203D6"/>
    <w:multiLevelType w:val="hybridMultilevel"/>
    <w:tmpl w:val="FD1C9F3E"/>
    <w:lvl w:ilvl="0" w:tplc="5A6A0082">
      <w:start w:val="1"/>
      <w:numFmt w:val="upperLetter"/>
      <w:lvlText w:val="%1."/>
      <w:lvlJc w:val="left"/>
      <w:pPr>
        <w:ind w:left="930" w:hanging="57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813299"/>
    <w:multiLevelType w:val="hybridMultilevel"/>
    <w:tmpl w:val="AD68D9A4"/>
    <w:lvl w:ilvl="0" w:tplc="1B2A8D0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FE7B64"/>
    <w:multiLevelType w:val="hybridMultilevel"/>
    <w:tmpl w:val="420ADD7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8"/>
  </w:num>
  <w:num w:numId="3">
    <w:abstractNumId w:val="8"/>
  </w:num>
  <w:num w:numId="4">
    <w:abstractNumId w:val="5"/>
  </w:num>
  <w:num w:numId="5">
    <w:abstractNumId w:val="14"/>
  </w:num>
  <w:num w:numId="6">
    <w:abstractNumId w:val="4"/>
  </w:num>
  <w:num w:numId="7">
    <w:abstractNumId w:val="3"/>
  </w:num>
  <w:num w:numId="8">
    <w:abstractNumId w:val="0"/>
  </w:num>
  <w:num w:numId="9">
    <w:abstractNumId w:val="10"/>
  </w:num>
  <w:num w:numId="10">
    <w:abstractNumId w:val="15"/>
  </w:num>
  <w:num w:numId="11">
    <w:abstractNumId w:val="20"/>
  </w:num>
  <w:num w:numId="12">
    <w:abstractNumId w:val="7"/>
  </w:num>
  <w:num w:numId="13">
    <w:abstractNumId w:val="2"/>
  </w:num>
  <w:num w:numId="14">
    <w:abstractNumId w:val="22"/>
  </w:num>
  <w:num w:numId="15">
    <w:abstractNumId w:val="6"/>
  </w:num>
  <w:num w:numId="16">
    <w:abstractNumId w:val="16"/>
  </w:num>
  <w:num w:numId="17">
    <w:abstractNumId w:val="1"/>
  </w:num>
  <w:num w:numId="18">
    <w:abstractNumId w:val="17"/>
  </w:num>
  <w:num w:numId="19">
    <w:abstractNumId w:val="13"/>
  </w:num>
  <w:num w:numId="20">
    <w:abstractNumId w:val="19"/>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537330"/>
    <w:rsid w:val="00002DB8"/>
    <w:rsid w:val="00002F76"/>
    <w:rsid w:val="00010F37"/>
    <w:rsid w:val="000121F1"/>
    <w:rsid w:val="00013113"/>
    <w:rsid w:val="00013164"/>
    <w:rsid w:val="000163D5"/>
    <w:rsid w:val="000172D1"/>
    <w:rsid w:val="00017F19"/>
    <w:rsid w:val="00021570"/>
    <w:rsid w:val="00022C99"/>
    <w:rsid w:val="000230FE"/>
    <w:rsid w:val="00023C02"/>
    <w:rsid w:val="0002550D"/>
    <w:rsid w:val="00027D61"/>
    <w:rsid w:val="00032B49"/>
    <w:rsid w:val="000336D9"/>
    <w:rsid w:val="00033B89"/>
    <w:rsid w:val="00034169"/>
    <w:rsid w:val="0003584B"/>
    <w:rsid w:val="00035E6B"/>
    <w:rsid w:val="0003652D"/>
    <w:rsid w:val="00036BFE"/>
    <w:rsid w:val="000375E4"/>
    <w:rsid w:val="000449CA"/>
    <w:rsid w:val="00045D64"/>
    <w:rsid w:val="0004637D"/>
    <w:rsid w:val="0004736C"/>
    <w:rsid w:val="00050295"/>
    <w:rsid w:val="000515C8"/>
    <w:rsid w:val="000518B9"/>
    <w:rsid w:val="00051F27"/>
    <w:rsid w:val="00052402"/>
    <w:rsid w:val="00052547"/>
    <w:rsid w:val="00052690"/>
    <w:rsid w:val="000529F6"/>
    <w:rsid w:val="00053776"/>
    <w:rsid w:val="00054F3B"/>
    <w:rsid w:val="0005524E"/>
    <w:rsid w:val="000557F1"/>
    <w:rsid w:val="00055F08"/>
    <w:rsid w:val="00061E5E"/>
    <w:rsid w:val="00065F76"/>
    <w:rsid w:val="00067761"/>
    <w:rsid w:val="000677CA"/>
    <w:rsid w:val="00067BF0"/>
    <w:rsid w:val="00070784"/>
    <w:rsid w:val="00070983"/>
    <w:rsid w:val="00071646"/>
    <w:rsid w:val="00071ABF"/>
    <w:rsid w:val="00071BD8"/>
    <w:rsid w:val="00072A5B"/>
    <w:rsid w:val="00072C64"/>
    <w:rsid w:val="00073C32"/>
    <w:rsid w:val="0007489D"/>
    <w:rsid w:val="00074A35"/>
    <w:rsid w:val="00074B83"/>
    <w:rsid w:val="0007593C"/>
    <w:rsid w:val="00075FDE"/>
    <w:rsid w:val="00080B31"/>
    <w:rsid w:val="000826FF"/>
    <w:rsid w:val="000839CF"/>
    <w:rsid w:val="0008640D"/>
    <w:rsid w:val="0009194C"/>
    <w:rsid w:val="00092E4C"/>
    <w:rsid w:val="00094556"/>
    <w:rsid w:val="000945A9"/>
    <w:rsid w:val="00094B1F"/>
    <w:rsid w:val="00096BE6"/>
    <w:rsid w:val="000A0C50"/>
    <w:rsid w:val="000A1318"/>
    <w:rsid w:val="000A2931"/>
    <w:rsid w:val="000A2ABE"/>
    <w:rsid w:val="000A2C6C"/>
    <w:rsid w:val="000A3A69"/>
    <w:rsid w:val="000A3C2D"/>
    <w:rsid w:val="000A4584"/>
    <w:rsid w:val="000A5332"/>
    <w:rsid w:val="000A6147"/>
    <w:rsid w:val="000A6A00"/>
    <w:rsid w:val="000A7D61"/>
    <w:rsid w:val="000B1656"/>
    <w:rsid w:val="000B1C85"/>
    <w:rsid w:val="000B23E5"/>
    <w:rsid w:val="000B25AD"/>
    <w:rsid w:val="000B2D70"/>
    <w:rsid w:val="000B3269"/>
    <w:rsid w:val="000B4752"/>
    <w:rsid w:val="000B77E5"/>
    <w:rsid w:val="000B7FCD"/>
    <w:rsid w:val="000C0BE7"/>
    <w:rsid w:val="000C3312"/>
    <w:rsid w:val="000C4412"/>
    <w:rsid w:val="000C5151"/>
    <w:rsid w:val="000C559D"/>
    <w:rsid w:val="000C6564"/>
    <w:rsid w:val="000C6A2F"/>
    <w:rsid w:val="000C777F"/>
    <w:rsid w:val="000C7943"/>
    <w:rsid w:val="000D0345"/>
    <w:rsid w:val="000D06B9"/>
    <w:rsid w:val="000D0C85"/>
    <w:rsid w:val="000D3152"/>
    <w:rsid w:val="000D6902"/>
    <w:rsid w:val="000D6DB1"/>
    <w:rsid w:val="000D71C4"/>
    <w:rsid w:val="000D7E15"/>
    <w:rsid w:val="000E09D8"/>
    <w:rsid w:val="000E5510"/>
    <w:rsid w:val="000E6D71"/>
    <w:rsid w:val="000E6DD4"/>
    <w:rsid w:val="000E7014"/>
    <w:rsid w:val="000E7D17"/>
    <w:rsid w:val="000E7ECC"/>
    <w:rsid w:val="000F2334"/>
    <w:rsid w:val="000F2666"/>
    <w:rsid w:val="000F2E6D"/>
    <w:rsid w:val="000F52E5"/>
    <w:rsid w:val="000F537B"/>
    <w:rsid w:val="000F6138"/>
    <w:rsid w:val="000F6B20"/>
    <w:rsid w:val="00100E06"/>
    <w:rsid w:val="00102112"/>
    <w:rsid w:val="00102B8B"/>
    <w:rsid w:val="001037A5"/>
    <w:rsid w:val="00104D2C"/>
    <w:rsid w:val="00104F07"/>
    <w:rsid w:val="0011049B"/>
    <w:rsid w:val="00110576"/>
    <w:rsid w:val="00110AD4"/>
    <w:rsid w:val="00110DCD"/>
    <w:rsid w:val="00112262"/>
    <w:rsid w:val="0011259C"/>
    <w:rsid w:val="00112CB4"/>
    <w:rsid w:val="00113147"/>
    <w:rsid w:val="00114881"/>
    <w:rsid w:val="00116461"/>
    <w:rsid w:val="00116804"/>
    <w:rsid w:val="0011779B"/>
    <w:rsid w:val="00120589"/>
    <w:rsid w:val="0012064A"/>
    <w:rsid w:val="00120D27"/>
    <w:rsid w:val="0012161A"/>
    <w:rsid w:val="001217C3"/>
    <w:rsid w:val="001218A3"/>
    <w:rsid w:val="001219F8"/>
    <w:rsid w:val="0012233C"/>
    <w:rsid w:val="00123D5C"/>
    <w:rsid w:val="0012602E"/>
    <w:rsid w:val="00126515"/>
    <w:rsid w:val="00126FF6"/>
    <w:rsid w:val="001271A3"/>
    <w:rsid w:val="00127DC2"/>
    <w:rsid w:val="00130822"/>
    <w:rsid w:val="00130866"/>
    <w:rsid w:val="00131163"/>
    <w:rsid w:val="0013228D"/>
    <w:rsid w:val="001336D1"/>
    <w:rsid w:val="00133F16"/>
    <w:rsid w:val="00135789"/>
    <w:rsid w:val="00135A81"/>
    <w:rsid w:val="00136604"/>
    <w:rsid w:val="00137469"/>
    <w:rsid w:val="001400FE"/>
    <w:rsid w:val="00140D5E"/>
    <w:rsid w:val="00142483"/>
    <w:rsid w:val="0014548B"/>
    <w:rsid w:val="00145595"/>
    <w:rsid w:val="00145649"/>
    <w:rsid w:val="00145696"/>
    <w:rsid w:val="001466EA"/>
    <w:rsid w:val="00147710"/>
    <w:rsid w:val="0015032F"/>
    <w:rsid w:val="00152452"/>
    <w:rsid w:val="00152D2D"/>
    <w:rsid w:val="0015310A"/>
    <w:rsid w:val="001538D4"/>
    <w:rsid w:val="00154121"/>
    <w:rsid w:val="001550DB"/>
    <w:rsid w:val="00155279"/>
    <w:rsid w:val="0015753B"/>
    <w:rsid w:val="00160907"/>
    <w:rsid w:val="001617A0"/>
    <w:rsid w:val="00161E76"/>
    <w:rsid w:val="0016563B"/>
    <w:rsid w:val="00165C9F"/>
    <w:rsid w:val="001666A6"/>
    <w:rsid w:val="00166CC6"/>
    <w:rsid w:val="0016781F"/>
    <w:rsid w:val="0017116C"/>
    <w:rsid w:val="0017170C"/>
    <w:rsid w:val="00171FFD"/>
    <w:rsid w:val="001722B7"/>
    <w:rsid w:val="00174D28"/>
    <w:rsid w:val="00175A0A"/>
    <w:rsid w:val="00175C9B"/>
    <w:rsid w:val="001767DD"/>
    <w:rsid w:val="00176C9E"/>
    <w:rsid w:val="001816B2"/>
    <w:rsid w:val="0018280B"/>
    <w:rsid w:val="00183616"/>
    <w:rsid w:val="00184D49"/>
    <w:rsid w:val="00185D7D"/>
    <w:rsid w:val="00186206"/>
    <w:rsid w:val="001866C6"/>
    <w:rsid w:val="001866DE"/>
    <w:rsid w:val="00190318"/>
    <w:rsid w:val="00190F30"/>
    <w:rsid w:val="00191C72"/>
    <w:rsid w:val="001925CF"/>
    <w:rsid w:val="00193349"/>
    <w:rsid w:val="0019361A"/>
    <w:rsid w:val="00193BDF"/>
    <w:rsid w:val="00195C71"/>
    <w:rsid w:val="00197236"/>
    <w:rsid w:val="0019747A"/>
    <w:rsid w:val="00197ECE"/>
    <w:rsid w:val="00197FFE"/>
    <w:rsid w:val="001A1BF7"/>
    <w:rsid w:val="001A1C46"/>
    <w:rsid w:val="001A281E"/>
    <w:rsid w:val="001A2E4B"/>
    <w:rsid w:val="001A2F78"/>
    <w:rsid w:val="001A368C"/>
    <w:rsid w:val="001A4FBA"/>
    <w:rsid w:val="001A609C"/>
    <w:rsid w:val="001A66F1"/>
    <w:rsid w:val="001A6BEE"/>
    <w:rsid w:val="001B05CE"/>
    <w:rsid w:val="001B0966"/>
    <w:rsid w:val="001B21BE"/>
    <w:rsid w:val="001B2444"/>
    <w:rsid w:val="001B3A54"/>
    <w:rsid w:val="001B5C52"/>
    <w:rsid w:val="001C3C65"/>
    <w:rsid w:val="001C43CB"/>
    <w:rsid w:val="001C4429"/>
    <w:rsid w:val="001C4FBA"/>
    <w:rsid w:val="001C5576"/>
    <w:rsid w:val="001C6B07"/>
    <w:rsid w:val="001D1F7C"/>
    <w:rsid w:val="001D306E"/>
    <w:rsid w:val="001D3819"/>
    <w:rsid w:val="001D3D7D"/>
    <w:rsid w:val="001D4168"/>
    <w:rsid w:val="001D4381"/>
    <w:rsid w:val="001D5FDC"/>
    <w:rsid w:val="001D6CDC"/>
    <w:rsid w:val="001D6E1D"/>
    <w:rsid w:val="001D705B"/>
    <w:rsid w:val="001D7373"/>
    <w:rsid w:val="001E02F1"/>
    <w:rsid w:val="001E031B"/>
    <w:rsid w:val="001E3FD8"/>
    <w:rsid w:val="001E44A4"/>
    <w:rsid w:val="001E4DF4"/>
    <w:rsid w:val="001E63A5"/>
    <w:rsid w:val="001E718D"/>
    <w:rsid w:val="001E790C"/>
    <w:rsid w:val="001F011C"/>
    <w:rsid w:val="001F23D9"/>
    <w:rsid w:val="001F2873"/>
    <w:rsid w:val="001F3720"/>
    <w:rsid w:val="001F432C"/>
    <w:rsid w:val="001F5B56"/>
    <w:rsid w:val="00200C1C"/>
    <w:rsid w:val="00200F80"/>
    <w:rsid w:val="002018A1"/>
    <w:rsid w:val="002023CD"/>
    <w:rsid w:val="00202F45"/>
    <w:rsid w:val="0020316B"/>
    <w:rsid w:val="002031F5"/>
    <w:rsid w:val="00204A1C"/>
    <w:rsid w:val="00204D16"/>
    <w:rsid w:val="00205737"/>
    <w:rsid w:val="00210B2F"/>
    <w:rsid w:val="0021180D"/>
    <w:rsid w:val="002133B2"/>
    <w:rsid w:val="00213AA2"/>
    <w:rsid w:val="00215667"/>
    <w:rsid w:val="00215D5F"/>
    <w:rsid w:val="002162C2"/>
    <w:rsid w:val="00217594"/>
    <w:rsid w:val="002214B2"/>
    <w:rsid w:val="002218F6"/>
    <w:rsid w:val="0022193E"/>
    <w:rsid w:val="00222476"/>
    <w:rsid w:val="00223583"/>
    <w:rsid w:val="002249F6"/>
    <w:rsid w:val="00224F12"/>
    <w:rsid w:val="00225302"/>
    <w:rsid w:val="00225E1C"/>
    <w:rsid w:val="002272B6"/>
    <w:rsid w:val="0023133F"/>
    <w:rsid w:val="0023234D"/>
    <w:rsid w:val="00235CC2"/>
    <w:rsid w:val="0023645C"/>
    <w:rsid w:val="00236A2B"/>
    <w:rsid w:val="00241388"/>
    <w:rsid w:val="00245375"/>
    <w:rsid w:val="00251385"/>
    <w:rsid w:val="00251EDC"/>
    <w:rsid w:val="002522DD"/>
    <w:rsid w:val="0025346B"/>
    <w:rsid w:val="002535EA"/>
    <w:rsid w:val="00254F58"/>
    <w:rsid w:val="00255131"/>
    <w:rsid w:val="0025515F"/>
    <w:rsid w:val="00255EFA"/>
    <w:rsid w:val="00255F1D"/>
    <w:rsid w:val="002572C5"/>
    <w:rsid w:val="0025746C"/>
    <w:rsid w:val="00261F24"/>
    <w:rsid w:val="00262DA7"/>
    <w:rsid w:val="002630E7"/>
    <w:rsid w:val="0026458D"/>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0FB"/>
    <w:rsid w:val="00285456"/>
    <w:rsid w:val="00286767"/>
    <w:rsid w:val="00290708"/>
    <w:rsid w:val="002914F5"/>
    <w:rsid w:val="00291593"/>
    <w:rsid w:val="00291EAF"/>
    <w:rsid w:val="00291F3E"/>
    <w:rsid w:val="0029426F"/>
    <w:rsid w:val="00294885"/>
    <w:rsid w:val="00295A5B"/>
    <w:rsid w:val="00296B9D"/>
    <w:rsid w:val="00297838"/>
    <w:rsid w:val="002A0DB7"/>
    <w:rsid w:val="002A41CC"/>
    <w:rsid w:val="002A48B3"/>
    <w:rsid w:val="002A5032"/>
    <w:rsid w:val="002A5E30"/>
    <w:rsid w:val="002A6483"/>
    <w:rsid w:val="002A705F"/>
    <w:rsid w:val="002A757B"/>
    <w:rsid w:val="002B0714"/>
    <w:rsid w:val="002B1F2C"/>
    <w:rsid w:val="002B51B5"/>
    <w:rsid w:val="002B7B80"/>
    <w:rsid w:val="002B7D2A"/>
    <w:rsid w:val="002C03FE"/>
    <w:rsid w:val="002C053C"/>
    <w:rsid w:val="002C1D2C"/>
    <w:rsid w:val="002C2563"/>
    <w:rsid w:val="002C2ECF"/>
    <w:rsid w:val="002C3540"/>
    <w:rsid w:val="002C4B4E"/>
    <w:rsid w:val="002C4D8D"/>
    <w:rsid w:val="002C53EF"/>
    <w:rsid w:val="002C7007"/>
    <w:rsid w:val="002C7135"/>
    <w:rsid w:val="002D1A1F"/>
    <w:rsid w:val="002D3924"/>
    <w:rsid w:val="002D3C1B"/>
    <w:rsid w:val="002D6DC4"/>
    <w:rsid w:val="002E0631"/>
    <w:rsid w:val="002E1FC9"/>
    <w:rsid w:val="002E32B5"/>
    <w:rsid w:val="002E5E74"/>
    <w:rsid w:val="002E66F2"/>
    <w:rsid w:val="002E6BA2"/>
    <w:rsid w:val="002E6DA0"/>
    <w:rsid w:val="002E79FA"/>
    <w:rsid w:val="002F16DC"/>
    <w:rsid w:val="002F1C90"/>
    <w:rsid w:val="002F477F"/>
    <w:rsid w:val="002F5AC5"/>
    <w:rsid w:val="0030134C"/>
    <w:rsid w:val="0030136F"/>
    <w:rsid w:val="00304602"/>
    <w:rsid w:val="003057F2"/>
    <w:rsid w:val="003076C9"/>
    <w:rsid w:val="00312D54"/>
    <w:rsid w:val="00314EF6"/>
    <w:rsid w:val="003158D7"/>
    <w:rsid w:val="003162B5"/>
    <w:rsid w:val="003163C6"/>
    <w:rsid w:val="003167BE"/>
    <w:rsid w:val="00316F16"/>
    <w:rsid w:val="00317B69"/>
    <w:rsid w:val="003210F6"/>
    <w:rsid w:val="0032190F"/>
    <w:rsid w:val="00324CDC"/>
    <w:rsid w:val="00325EA5"/>
    <w:rsid w:val="00326482"/>
    <w:rsid w:val="00326F72"/>
    <w:rsid w:val="003316EF"/>
    <w:rsid w:val="00331890"/>
    <w:rsid w:val="00332432"/>
    <w:rsid w:val="00332C05"/>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440"/>
    <w:rsid w:val="00371713"/>
    <w:rsid w:val="00372F5C"/>
    <w:rsid w:val="00372FD2"/>
    <w:rsid w:val="00373606"/>
    <w:rsid w:val="00374625"/>
    <w:rsid w:val="00375452"/>
    <w:rsid w:val="003765FB"/>
    <w:rsid w:val="00376BEC"/>
    <w:rsid w:val="00376E38"/>
    <w:rsid w:val="003774FE"/>
    <w:rsid w:val="00377F8F"/>
    <w:rsid w:val="0038124D"/>
    <w:rsid w:val="00384071"/>
    <w:rsid w:val="003843F3"/>
    <w:rsid w:val="003857C3"/>
    <w:rsid w:val="00385FAD"/>
    <w:rsid w:val="0038677C"/>
    <w:rsid w:val="00390422"/>
    <w:rsid w:val="003917CB"/>
    <w:rsid w:val="00391E96"/>
    <w:rsid w:val="003923F5"/>
    <w:rsid w:val="00392B8E"/>
    <w:rsid w:val="00392F9D"/>
    <w:rsid w:val="003958D9"/>
    <w:rsid w:val="0039601D"/>
    <w:rsid w:val="0039655B"/>
    <w:rsid w:val="0039682E"/>
    <w:rsid w:val="00397289"/>
    <w:rsid w:val="00397DB4"/>
    <w:rsid w:val="003A16D0"/>
    <w:rsid w:val="003A2036"/>
    <w:rsid w:val="003A242A"/>
    <w:rsid w:val="003A2526"/>
    <w:rsid w:val="003A31E5"/>
    <w:rsid w:val="003A77B0"/>
    <w:rsid w:val="003A7ED0"/>
    <w:rsid w:val="003B0BA4"/>
    <w:rsid w:val="003B147F"/>
    <w:rsid w:val="003B4253"/>
    <w:rsid w:val="003B4C37"/>
    <w:rsid w:val="003B5644"/>
    <w:rsid w:val="003B6578"/>
    <w:rsid w:val="003B79D7"/>
    <w:rsid w:val="003C2FFF"/>
    <w:rsid w:val="003C3979"/>
    <w:rsid w:val="003C5BB2"/>
    <w:rsid w:val="003C78E3"/>
    <w:rsid w:val="003D0165"/>
    <w:rsid w:val="003D0EE5"/>
    <w:rsid w:val="003D1A78"/>
    <w:rsid w:val="003D1CFE"/>
    <w:rsid w:val="003D28A3"/>
    <w:rsid w:val="003D3748"/>
    <w:rsid w:val="003E0B6E"/>
    <w:rsid w:val="003E520B"/>
    <w:rsid w:val="003E5916"/>
    <w:rsid w:val="003E6014"/>
    <w:rsid w:val="003E709F"/>
    <w:rsid w:val="003E72BE"/>
    <w:rsid w:val="003E7631"/>
    <w:rsid w:val="003F01AF"/>
    <w:rsid w:val="003F14AE"/>
    <w:rsid w:val="003F1E73"/>
    <w:rsid w:val="003F34E9"/>
    <w:rsid w:val="003F5AFC"/>
    <w:rsid w:val="004015D0"/>
    <w:rsid w:val="0040163F"/>
    <w:rsid w:val="00403537"/>
    <w:rsid w:val="0040367E"/>
    <w:rsid w:val="00403B16"/>
    <w:rsid w:val="00405D2A"/>
    <w:rsid w:val="00406DF6"/>
    <w:rsid w:val="004070E0"/>
    <w:rsid w:val="00407F1C"/>
    <w:rsid w:val="0041023F"/>
    <w:rsid w:val="004105BC"/>
    <w:rsid w:val="00410CF8"/>
    <w:rsid w:val="00412DD3"/>
    <w:rsid w:val="00413692"/>
    <w:rsid w:val="00413847"/>
    <w:rsid w:val="00415298"/>
    <w:rsid w:val="0041582C"/>
    <w:rsid w:val="00415BAB"/>
    <w:rsid w:val="0041639D"/>
    <w:rsid w:val="00416FF4"/>
    <w:rsid w:val="00417E50"/>
    <w:rsid w:val="00420589"/>
    <w:rsid w:val="0042165B"/>
    <w:rsid w:val="00425B85"/>
    <w:rsid w:val="00426F05"/>
    <w:rsid w:val="004314A1"/>
    <w:rsid w:val="00431BF9"/>
    <w:rsid w:val="004321A9"/>
    <w:rsid w:val="00432C3D"/>
    <w:rsid w:val="00433159"/>
    <w:rsid w:val="00433170"/>
    <w:rsid w:val="00433C5C"/>
    <w:rsid w:val="00434717"/>
    <w:rsid w:val="004362B8"/>
    <w:rsid w:val="004374C9"/>
    <w:rsid w:val="00437BE7"/>
    <w:rsid w:val="00440347"/>
    <w:rsid w:val="0044383B"/>
    <w:rsid w:val="004452C8"/>
    <w:rsid w:val="00446D38"/>
    <w:rsid w:val="00447E87"/>
    <w:rsid w:val="004510D8"/>
    <w:rsid w:val="0045280A"/>
    <w:rsid w:val="004536BD"/>
    <w:rsid w:val="004543F5"/>
    <w:rsid w:val="00454580"/>
    <w:rsid w:val="0045480E"/>
    <w:rsid w:val="00455D81"/>
    <w:rsid w:val="004606CA"/>
    <w:rsid w:val="00461821"/>
    <w:rsid w:val="0046186D"/>
    <w:rsid w:val="00462149"/>
    <w:rsid w:val="00463822"/>
    <w:rsid w:val="00464120"/>
    <w:rsid w:val="004648E1"/>
    <w:rsid w:val="004663B6"/>
    <w:rsid w:val="00470999"/>
    <w:rsid w:val="004723F1"/>
    <w:rsid w:val="00472984"/>
    <w:rsid w:val="00472E22"/>
    <w:rsid w:val="00473D38"/>
    <w:rsid w:val="004740A0"/>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DEE"/>
    <w:rsid w:val="00487E9B"/>
    <w:rsid w:val="004902AA"/>
    <w:rsid w:val="00491343"/>
    <w:rsid w:val="0049216E"/>
    <w:rsid w:val="00493281"/>
    <w:rsid w:val="0049377A"/>
    <w:rsid w:val="00495746"/>
    <w:rsid w:val="00497391"/>
    <w:rsid w:val="004A0865"/>
    <w:rsid w:val="004A1773"/>
    <w:rsid w:val="004A1CBE"/>
    <w:rsid w:val="004A1D8C"/>
    <w:rsid w:val="004A1F65"/>
    <w:rsid w:val="004A25DE"/>
    <w:rsid w:val="004A261C"/>
    <w:rsid w:val="004A33F7"/>
    <w:rsid w:val="004A494A"/>
    <w:rsid w:val="004A4DD7"/>
    <w:rsid w:val="004A63EE"/>
    <w:rsid w:val="004B1D86"/>
    <w:rsid w:val="004B3E74"/>
    <w:rsid w:val="004B4A55"/>
    <w:rsid w:val="004B700D"/>
    <w:rsid w:val="004B782B"/>
    <w:rsid w:val="004C0169"/>
    <w:rsid w:val="004C0424"/>
    <w:rsid w:val="004C12CB"/>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0EE7"/>
    <w:rsid w:val="004E2886"/>
    <w:rsid w:val="004E2F7B"/>
    <w:rsid w:val="004E41AB"/>
    <w:rsid w:val="004E4463"/>
    <w:rsid w:val="004E4558"/>
    <w:rsid w:val="004E781B"/>
    <w:rsid w:val="004F057B"/>
    <w:rsid w:val="004F1029"/>
    <w:rsid w:val="004F1E83"/>
    <w:rsid w:val="004F257A"/>
    <w:rsid w:val="004F372D"/>
    <w:rsid w:val="004F4FB0"/>
    <w:rsid w:val="004F7D6A"/>
    <w:rsid w:val="004F7FB5"/>
    <w:rsid w:val="0050011C"/>
    <w:rsid w:val="005008B4"/>
    <w:rsid w:val="005049E1"/>
    <w:rsid w:val="00504B51"/>
    <w:rsid w:val="00505752"/>
    <w:rsid w:val="00505D1D"/>
    <w:rsid w:val="0050651C"/>
    <w:rsid w:val="005075F4"/>
    <w:rsid w:val="005079F6"/>
    <w:rsid w:val="00507BAC"/>
    <w:rsid w:val="00507D11"/>
    <w:rsid w:val="005149A0"/>
    <w:rsid w:val="00516EB8"/>
    <w:rsid w:val="00517CB8"/>
    <w:rsid w:val="00517F59"/>
    <w:rsid w:val="00520275"/>
    <w:rsid w:val="00521905"/>
    <w:rsid w:val="005224F4"/>
    <w:rsid w:val="00524BC3"/>
    <w:rsid w:val="00527EBC"/>
    <w:rsid w:val="00536807"/>
    <w:rsid w:val="00536993"/>
    <w:rsid w:val="00537330"/>
    <w:rsid w:val="005375A7"/>
    <w:rsid w:val="005409A3"/>
    <w:rsid w:val="00542687"/>
    <w:rsid w:val="005448EF"/>
    <w:rsid w:val="005450E4"/>
    <w:rsid w:val="00545152"/>
    <w:rsid w:val="005453D0"/>
    <w:rsid w:val="00545DBD"/>
    <w:rsid w:val="005461F7"/>
    <w:rsid w:val="00547A83"/>
    <w:rsid w:val="0055476C"/>
    <w:rsid w:val="005550C9"/>
    <w:rsid w:val="00560E1C"/>
    <w:rsid w:val="0056263B"/>
    <w:rsid w:val="0056292B"/>
    <w:rsid w:val="00563CD2"/>
    <w:rsid w:val="00563D0B"/>
    <w:rsid w:val="00564239"/>
    <w:rsid w:val="00564774"/>
    <w:rsid w:val="005647F3"/>
    <w:rsid w:val="00564CE1"/>
    <w:rsid w:val="00566AA9"/>
    <w:rsid w:val="005679E2"/>
    <w:rsid w:val="00571FE2"/>
    <w:rsid w:val="00572A1A"/>
    <w:rsid w:val="00573F61"/>
    <w:rsid w:val="00574922"/>
    <w:rsid w:val="00576688"/>
    <w:rsid w:val="00577A56"/>
    <w:rsid w:val="00577C92"/>
    <w:rsid w:val="00580FBF"/>
    <w:rsid w:val="005818DD"/>
    <w:rsid w:val="00581A11"/>
    <w:rsid w:val="00583143"/>
    <w:rsid w:val="00583315"/>
    <w:rsid w:val="0058378E"/>
    <w:rsid w:val="00584119"/>
    <w:rsid w:val="00585506"/>
    <w:rsid w:val="00585DF0"/>
    <w:rsid w:val="00587139"/>
    <w:rsid w:val="00587E3B"/>
    <w:rsid w:val="0059013B"/>
    <w:rsid w:val="00590208"/>
    <w:rsid w:val="00590BD8"/>
    <w:rsid w:val="00591BE5"/>
    <w:rsid w:val="0059299C"/>
    <w:rsid w:val="00592DB6"/>
    <w:rsid w:val="00593BC7"/>
    <w:rsid w:val="005967D3"/>
    <w:rsid w:val="005976F6"/>
    <w:rsid w:val="005A1BAE"/>
    <w:rsid w:val="005A2B77"/>
    <w:rsid w:val="005A2EBB"/>
    <w:rsid w:val="005A432F"/>
    <w:rsid w:val="005A4D27"/>
    <w:rsid w:val="005A5E10"/>
    <w:rsid w:val="005A5F1C"/>
    <w:rsid w:val="005A68C6"/>
    <w:rsid w:val="005A6B55"/>
    <w:rsid w:val="005A6EDB"/>
    <w:rsid w:val="005A74AD"/>
    <w:rsid w:val="005A77CB"/>
    <w:rsid w:val="005B0440"/>
    <w:rsid w:val="005B120D"/>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D7F4B"/>
    <w:rsid w:val="005E2241"/>
    <w:rsid w:val="005E25CD"/>
    <w:rsid w:val="005E6CF6"/>
    <w:rsid w:val="005E7C75"/>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0E5B"/>
    <w:rsid w:val="006114A7"/>
    <w:rsid w:val="006124AB"/>
    <w:rsid w:val="00612828"/>
    <w:rsid w:val="00617E2F"/>
    <w:rsid w:val="00617FC8"/>
    <w:rsid w:val="00621978"/>
    <w:rsid w:val="006219B9"/>
    <w:rsid w:val="00621B17"/>
    <w:rsid w:val="00622872"/>
    <w:rsid w:val="00624827"/>
    <w:rsid w:val="00625A02"/>
    <w:rsid w:val="00625CA8"/>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46F"/>
    <w:rsid w:val="00652636"/>
    <w:rsid w:val="0065276F"/>
    <w:rsid w:val="0065300C"/>
    <w:rsid w:val="00653432"/>
    <w:rsid w:val="0065523B"/>
    <w:rsid w:val="006553A7"/>
    <w:rsid w:val="00655754"/>
    <w:rsid w:val="00656960"/>
    <w:rsid w:val="00656C75"/>
    <w:rsid w:val="00656C7F"/>
    <w:rsid w:val="0066016D"/>
    <w:rsid w:val="00660E24"/>
    <w:rsid w:val="00661364"/>
    <w:rsid w:val="0066365C"/>
    <w:rsid w:val="00663EAE"/>
    <w:rsid w:val="006656F9"/>
    <w:rsid w:val="006659E1"/>
    <w:rsid w:val="006676A6"/>
    <w:rsid w:val="00667CF8"/>
    <w:rsid w:val="00670D70"/>
    <w:rsid w:val="00671093"/>
    <w:rsid w:val="006711DE"/>
    <w:rsid w:val="0067253E"/>
    <w:rsid w:val="0067649A"/>
    <w:rsid w:val="00677C0C"/>
    <w:rsid w:val="00677C8E"/>
    <w:rsid w:val="0068139E"/>
    <w:rsid w:val="00683316"/>
    <w:rsid w:val="0068347E"/>
    <w:rsid w:val="00685755"/>
    <w:rsid w:val="00685953"/>
    <w:rsid w:val="00687A6D"/>
    <w:rsid w:val="006919E2"/>
    <w:rsid w:val="00692252"/>
    <w:rsid w:val="0069346B"/>
    <w:rsid w:val="00694D90"/>
    <w:rsid w:val="00695621"/>
    <w:rsid w:val="00695731"/>
    <w:rsid w:val="00695DE7"/>
    <w:rsid w:val="006A005D"/>
    <w:rsid w:val="006A013E"/>
    <w:rsid w:val="006A0EE9"/>
    <w:rsid w:val="006A32B5"/>
    <w:rsid w:val="006A4741"/>
    <w:rsid w:val="006A4DF8"/>
    <w:rsid w:val="006A5130"/>
    <w:rsid w:val="006A5DAF"/>
    <w:rsid w:val="006A6411"/>
    <w:rsid w:val="006A7C4C"/>
    <w:rsid w:val="006B093B"/>
    <w:rsid w:val="006B3460"/>
    <w:rsid w:val="006B52BA"/>
    <w:rsid w:val="006B63C5"/>
    <w:rsid w:val="006C2498"/>
    <w:rsid w:val="006C4E90"/>
    <w:rsid w:val="006C644E"/>
    <w:rsid w:val="006C6C46"/>
    <w:rsid w:val="006C7317"/>
    <w:rsid w:val="006C7F0D"/>
    <w:rsid w:val="006D0508"/>
    <w:rsid w:val="006D0A67"/>
    <w:rsid w:val="006D17CE"/>
    <w:rsid w:val="006D257B"/>
    <w:rsid w:val="006D2B18"/>
    <w:rsid w:val="006D3794"/>
    <w:rsid w:val="006D3A20"/>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406"/>
    <w:rsid w:val="006F7E82"/>
    <w:rsid w:val="00700072"/>
    <w:rsid w:val="007011FE"/>
    <w:rsid w:val="00702560"/>
    <w:rsid w:val="00702E40"/>
    <w:rsid w:val="00704537"/>
    <w:rsid w:val="0070474D"/>
    <w:rsid w:val="00710843"/>
    <w:rsid w:val="00710AFB"/>
    <w:rsid w:val="0071135A"/>
    <w:rsid w:val="0071202B"/>
    <w:rsid w:val="00712232"/>
    <w:rsid w:val="007130C1"/>
    <w:rsid w:val="00713599"/>
    <w:rsid w:val="0071359D"/>
    <w:rsid w:val="00713DF2"/>
    <w:rsid w:val="007146C2"/>
    <w:rsid w:val="007161AC"/>
    <w:rsid w:val="007167F5"/>
    <w:rsid w:val="00716ED7"/>
    <w:rsid w:val="0071776E"/>
    <w:rsid w:val="00717C8B"/>
    <w:rsid w:val="00720061"/>
    <w:rsid w:val="0072073F"/>
    <w:rsid w:val="0072093D"/>
    <w:rsid w:val="00720E5D"/>
    <w:rsid w:val="007217D5"/>
    <w:rsid w:val="00721A5E"/>
    <w:rsid w:val="0072230A"/>
    <w:rsid w:val="007227B2"/>
    <w:rsid w:val="00726EF7"/>
    <w:rsid w:val="00731198"/>
    <w:rsid w:val="00731CF0"/>
    <w:rsid w:val="0073283A"/>
    <w:rsid w:val="00733F91"/>
    <w:rsid w:val="00734136"/>
    <w:rsid w:val="00737303"/>
    <w:rsid w:val="0073764C"/>
    <w:rsid w:val="00741650"/>
    <w:rsid w:val="007419B8"/>
    <w:rsid w:val="00741A06"/>
    <w:rsid w:val="00741E85"/>
    <w:rsid w:val="00741F8F"/>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6446"/>
    <w:rsid w:val="00757CB0"/>
    <w:rsid w:val="0076429D"/>
    <w:rsid w:val="0076445C"/>
    <w:rsid w:val="007644C3"/>
    <w:rsid w:val="00766358"/>
    <w:rsid w:val="007670A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ED2"/>
    <w:rsid w:val="00791F52"/>
    <w:rsid w:val="0079541A"/>
    <w:rsid w:val="0079581E"/>
    <w:rsid w:val="007959D1"/>
    <w:rsid w:val="00796239"/>
    <w:rsid w:val="007970A8"/>
    <w:rsid w:val="007974DD"/>
    <w:rsid w:val="007974E6"/>
    <w:rsid w:val="00797CAA"/>
    <w:rsid w:val="007A20F8"/>
    <w:rsid w:val="007A2CF8"/>
    <w:rsid w:val="007A2D88"/>
    <w:rsid w:val="007A40B7"/>
    <w:rsid w:val="007A4687"/>
    <w:rsid w:val="007A5491"/>
    <w:rsid w:val="007A5B6C"/>
    <w:rsid w:val="007B0AB6"/>
    <w:rsid w:val="007B0D98"/>
    <w:rsid w:val="007B132E"/>
    <w:rsid w:val="007B2B22"/>
    <w:rsid w:val="007B3AEA"/>
    <w:rsid w:val="007B454D"/>
    <w:rsid w:val="007B49B1"/>
    <w:rsid w:val="007B4A05"/>
    <w:rsid w:val="007B5287"/>
    <w:rsid w:val="007B5539"/>
    <w:rsid w:val="007C12B9"/>
    <w:rsid w:val="007C1C31"/>
    <w:rsid w:val="007C3EB1"/>
    <w:rsid w:val="007C4E47"/>
    <w:rsid w:val="007D09DB"/>
    <w:rsid w:val="007D0F23"/>
    <w:rsid w:val="007D49AA"/>
    <w:rsid w:val="007D5246"/>
    <w:rsid w:val="007D5350"/>
    <w:rsid w:val="007D61E4"/>
    <w:rsid w:val="007D654E"/>
    <w:rsid w:val="007D6886"/>
    <w:rsid w:val="007D6CAA"/>
    <w:rsid w:val="007D70BE"/>
    <w:rsid w:val="007E06A1"/>
    <w:rsid w:val="007E2316"/>
    <w:rsid w:val="007E4167"/>
    <w:rsid w:val="007E6474"/>
    <w:rsid w:val="007F11ED"/>
    <w:rsid w:val="007F22F3"/>
    <w:rsid w:val="007F2423"/>
    <w:rsid w:val="007F2890"/>
    <w:rsid w:val="007F2CD4"/>
    <w:rsid w:val="007F32E5"/>
    <w:rsid w:val="007F3752"/>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53A4"/>
    <w:rsid w:val="00816AE2"/>
    <w:rsid w:val="00820383"/>
    <w:rsid w:val="00821802"/>
    <w:rsid w:val="00821EDC"/>
    <w:rsid w:val="0082201A"/>
    <w:rsid w:val="00823FCF"/>
    <w:rsid w:val="0082410E"/>
    <w:rsid w:val="0082413D"/>
    <w:rsid w:val="00827E13"/>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244"/>
    <w:rsid w:val="00856764"/>
    <w:rsid w:val="00856D97"/>
    <w:rsid w:val="00857962"/>
    <w:rsid w:val="00857A4E"/>
    <w:rsid w:val="00857DF3"/>
    <w:rsid w:val="008613D0"/>
    <w:rsid w:val="0086159D"/>
    <w:rsid w:val="00861C89"/>
    <w:rsid w:val="008623AE"/>
    <w:rsid w:val="008627F3"/>
    <w:rsid w:val="00862E7E"/>
    <w:rsid w:val="0086396D"/>
    <w:rsid w:val="00863DAA"/>
    <w:rsid w:val="008645E8"/>
    <w:rsid w:val="00873C39"/>
    <w:rsid w:val="00874CB3"/>
    <w:rsid w:val="008762AF"/>
    <w:rsid w:val="00876851"/>
    <w:rsid w:val="0088004E"/>
    <w:rsid w:val="00880576"/>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370"/>
    <w:rsid w:val="008B57A4"/>
    <w:rsid w:val="008B6267"/>
    <w:rsid w:val="008B7B29"/>
    <w:rsid w:val="008C0B68"/>
    <w:rsid w:val="008C1E08"/>
    <w:rsid w:val="008C6091"/>
    <w:rsid w:val="008C7467"/>
    <w:rsid w:val="008D0F71"/>
    <w:rsid w:val="008D1BEB"/>
    <w:rsid w:val="008D3300"/>
    <w:rsid w:val="008D34DE"/>
    <w:rsid w:val="008D5EEF"/>
    <w:rsid w:val="008D666D"/>
    <w:rsid w:val="008D6B62"/>
    <w:rsid w:val="008E0D0A"/>
    <w:rsid w:val="008E1167"/>
    <w:rsid w:val="008E12AF"/>
    <w:rsid w:val="008E2479"/>
    <w:rsid w:val="008E2734"/>
    <w:rsid w:val="008E4073"/>
    <w:rsid w:val="008E45E0"/>
    <w:rsid w:val="008E4BA8"/>
    <w:rsid w:val="008E5503"/>
    <w:rsid w:val="008E5A97"/>
    <w:rsid w:val="008E6967"/>
    <w:rsid w:val="008E69FC"/>
    <w:rsid w:val="008E798C"/>
    <w:rsid w:val="008F0145"/>
    <w:rsid w:val="008F064B"/>
    <w:rsid w:val="008F0EF4"/>
    <w:rsid w:val="008F1EDB"/>
    <w:rsid w:val="008F2E1A"/>
    <w:rsid w:val="008F4E94"/>
    <w:rsid w:val="008F5676"/>
    <w:rsid w:val="00901E85"/>
    <w:rsid w:val="009069A2"/>
    <w:rsid w:val="00907D54"/>
    <w:rsid w:val="00907DCB"/>
    <w:rsid w:val="00910B40"/>
    <w:rsid w:val="009134B1"/>
    <w:rsid w:val="0091366E"/>
    <w:rsid w:val="00913F12"/>
    <w:rsid w:val="00914125"/>
    <w:rsid w:val="00914B39"/>
    <w:rsid w:val="00914EA6"/>
    <w:rsid w:val="00916293"/>
    <w:rsid w:val="00917C18"/>
    <w:rsid w:val="00917D1E"/>
    <w:rsid w:val="00920DAF"/>
    <w:rsid w:val="00921464"/>
    <w:rsid w:val="00922E67"/>
    <w:rsid w:val="009321DC"/>
    <w:rsid w:val="0093444F"/>
    <w:rsid w:val="009374B6"/>
    <w:rsid w:val="00937DD7"/>
    <w:rsid w:val="00940549"/>
    <w:rsid w:val="00940766"/>
    <w:rsid w:val="0094255E"/>
    <w:rsid w:val="00942569"/>
    <w:rsid w:val="00942F12"/>
    <w:rsid w:val="009434FD"/>
    <w:rsid w:val="00943A7D"/>
    <w:rsid w:val="00943BEF"/>
    <w:rsid w:val="00943DA8"/>
    <w:rsid w:val="009457D3"/>
    <w:rsid w:val="0094648B"/>
    <w:rsid w:val="00946665"/>
    <w:rsid w:val="00950597"/>
    <w:rsid w:val="00952B67"/>
    <w:rsid w:val="00953C9E"/>
    <w:rsid w:val="00955A36"/>
    <w:rsid w:val="00956BC5"/>
    <w:rsid w:val="00956E04"/>
    <w:rsid w:val="00957715"/>
    <w:rsid w:val="00960AC7"/>
    <w:rsid w:val="00965265"/>
    <w:rsid w:val="0096771C"/>
    <w:rsid w:val="00970325"/>
    <w:rsid w:val="00970719"/>
    <w:rsid w:val="00970DB0"/>
    <w:rsid w:val="00972987"/>
    <w:rsid w:val="00973342"/>
    <w:rsid w:val="009749E3"/>
    <w:rsid w:val="00977316"/>
    <w:rsid w:val="00977B7D"/>
    <w:rsid w:val="00977E16"/>
    <w:rsid w:val="009812BD"/>
    <w:rsid w:val="00983049"/>
    <w:rsid w:val="009833C0"/>
    <w:rsid w:val="009849B9"/>
    <w:rsid w:val="00984DC3"/>
    <w:rsid w:val="00985870"/>
    <w:rsid w:val="00987657"/>
    <w:rsid w:val="00990A64"/>
    <w:rsid w:val="00991D9C"/>
    <w:rsid w:val="009922DD"/>
    <w:rsid w:val="009935A0"/>
    <w:rsid w:val="009942E5"/>
    <w:rsid w:val="009966A5"/>
    <w:rsid w:val="009A00BD"/>
    <w:rsid w:val="009A20AC"/>
    <w:rsid w:val="009A343B"/>
    <w:rsid w:val="009A3FD5"/>
    <w:rsid w:val="009A5F5B"/>
    <w:rsid w:val="009A68EC"/>
    <w:rsid w:val="009B08DF"/>
    <w:rsid w:val="009B1183"/>
    <w:rsid w:val="009B24D5"/>
    <w:rsid w:val="009B33DF"/>
    <w:rsid w:val="009B3CF2"/>
    <w:rsid w:val="009B5113"/>
    <w:rsid w:val="009B5DF4"/>
    <w:rsid w:val="009B604D"/>
    <w:rsid w:val="009B7220"/>
    <w:rsid w:val="009B7487"/>
    <w:rsid w:val="009C17D8"/>
    <w:rsid w:val="009C1F14"/>
    <w:rsid w:val="009C1F68"/>
    <w:rsid w:val="009C31EA"/>
    <w:rsid w:val="009C4030"/>
    <w:rsid w:val="009C4299"/>
    <w:rsid w:val="009C60B7"/>
    <w:rsid w:val="009D00E4"/>
    <w:rsid w:val="009D079B"/>
    <w:rsid w:val="009D2321"/>
    <w:rsid w:val="009D2A6C"/>
    <w:rsid w:val="009D395C"/>
    <w:rsid w:val="009D3D1F"/>
    <w:rsid w:val="009D6EEA"/>
    <w:rsid w:val="009D7C28"/>
    <w:rsid w:val="009E04A9"/>
    <w:rsid w:val="009E1180"/>
    <w:rsid w:val="009E2A91"/>
    <w:rsid w:val="009E3009"/>
    <w:rsid w:val="009E3CAB"/>
    <w:rsid w:val="009E54D6"/>
    <w:rsid w:val="009E5A1B"/>
    <w:rsid w:val="009E7169"/>
    <w:rsid w:val="009F0319"/>
    <w:rsid w:val="009F294E"/>
    <w:rsid w:val="009F2E73"/>
    <w:rsid w:val="009F4CF6"/>
    <w:rsid w:val="009F6A18"/>
    <w:rsid w:val="009F6C49"/>
    <w:rsid w:val="009F6E49"/>
    <w:rsid w:val="00A004E5"/>
    <w:rsid w:val="00A02061"/>
    <w:rsid w:val="00A0382E"/>
    <w:rsid w:val="00A06659"/>
    <w:rsid w:val="00A072D4"/>
    <w:rsid w:val="00A103C4"/>
    <w:rsid w:val="00A103ED"/>
    <w:rsid w:val="00A110A4"/>
    <w:rsid w:val="00A11B8B"/>
    <w:rsid w:val="00A1209F"/>
    <w:rsid w:val="00A130A1"/>
    <w:rsid w:val="00A1382C"/>
    <w:rsid w:val="00A145FD"/>
    <w:rsid w:val="00A14CB0"/>
    <w:rsid w:val="00A15915"/>
    <w:rsid w:val="00A165F5"/>
    <w:rsid w:val="00A16D79"/>
    <w:rsid w:val="00A20B40"/>
    <w:rsid w:val="00A2366E"/>
    <w:rsid w:val="00A25838"/>
    <w:rsid w:val="00A26EA6"/>
    <w:rsid w:val="00A312C5"/>
    <w:rsid w:val="00A31AB1"/>
    <w:rsid w:val="00A367AB"/>
    <w:rsid w:val="00A40D77"/>
    <w:rsid w:val="00A40F65"/>
    <w:rsid w:val="00A41998"/>
    <w:rsid w:val="00A41A00"/>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2DD"/>
    <w:rsid w:val="00A74F91"/>
    <w:rsid w:val="00A753A1"/>
    <w:rsid w:val="00A766A7"/>
    <w:rsid w:val="00A76D99"/>
    <w:rsid w:val="00A80209"/>
    <w:rsid w:val="00A81876"/>
    <w:rsid w:val="00A839EB"/>
    <w:rsid w:val="00A83DAB"/>
    <w:rsid w:val="00A935B2"/>
    <w:rsid w:val="00A937F6"/>
    <w:rsid w:val="00A97713"/>
    <w:rsid w:val="00A97756"/>
    <w:rsid w:val="00A978D0"/>
    <w:rsid w:val="00AA1C3C"/>
    <w:rsid w:val="00AA1D76"/>
    <w:rsid w:val="00AA3F43"/>
    <w:rsid w:val="00AA4D05"/>
    <w:rsid w:val="00AA66EA"/>
    <w:rsid w:val="00AA6F58"/>
    <w:rsid w:val="00AB08D3"/>
    <w:rsid w:val="00AB101A"/>
    <w:rsid w:val="00AB2ABC"/>
    <w:rsid w:val="00AB4177"/>
    <w:rsid w:val="00AB4FE2"/>
    <w:rsid w:val="00AB515E"/>
    <w:rsid w:val="00AB6C90"/>
    <w:rsid w:val="00AB6F04"/>
    <w:rsid w:val="00AB6F1B"/>
    <w:rsid w:val="00AB78AE"/>
    <w:rsid w:val="00AB7B53"/>
    <w:rsid w:val="00AC2A1A"/>
    <w:rsid w:val="00AC3C99"/>
    <w:rsid w:val="00AC730E"/>
    <w:rsid w:val="00AD0BE1"/>
    <w:rsid w:val="00AD0CB3"/>
    <w:rsid w:val="00AD263B"/>
    <w:rsid w:val="00AD4340"/>
    <w:rsid w:val="00AD44F2"/>
    <w:rsid w:val="00AD5928"/>
    <w:rsid w:val="00AD5BDD"/>
    <w:rsid w:val="00AE0C65"/>
    <w:rsid w:val="00AE0E35"/>
    <w:rsid w:val="00AE2729"/>
    <w:rsid w:val="00AE4587"/>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5198"/>
    <w:rsid w:val="00B27148"/>
    <w:rsid w:val="00B31A90"/>
    <w:rsid w:val="00B3254D"/>
    <w:rsid w:val="00B35986"/>
    <w:rsid w:val="00B35BE9"/>
    <w:rsid w:val="00B37643"/>
    <w:rsid w:val="00B379AC"/>
    <w:rsid w:val="00B37D6A"/>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5AEC"/>
    <w:rsid w:val="00B661AE"/>
    <w:rsid w:val="00B666B4"/>
    <w:rsid w:val="00B66DA0"/>
    <w:rsid w:val="00B6746E"/>
    <w:rsid w:val="00B70CCD"/>
    <w:rsid w:val="00B723D6"/>
    <w:rsid w:val="00B73E60"/>
    <w:rsid w:val="00B74457"/>
    <w:rsid w:val="00B74F8B"/>
    <w:rsid w:val="00B74F97"/>
    <w:rsid w:val="00B75F29"/>
    <w:rsid w:val="00B76A8E"/>
    <w:rsid w:val="00B80604"/>
    <w:rsid w:val="00B83DEF"/>
    <w:rsid w:val="00B83FD5"/>
    <w:rsid w:val="00B84C11"/>
    <w:rsid w:val="00B85073"/>
    <w:rsid w:val="00B860C6"/>
    <w:rsid w:val="00B86D27"/>
    <w:rsid w:val="00B8788C"/>
    <w:rsid w:val="00B9143E"/>
    <w:rsid w:val="00B915EB"/>
    <w:rsid w:val="00B92BA6"/>
    <w:rsid w:val="00B9349C"/>
    <w:rsid w:val="00B96B10"/>
    <w:rsid w:val="00B97642"/>
    <w:rsid w:val="00BA07B5"/>
    <w:rsid w:val="00BA2EAB"/>
    <w:rsid w:val="00BA2FD3"/>
    <w:rsid w:val="00BA3942"/>
    <w:rsid w:val="00BA467C"/>
    <w:rsid w:val="00BA4E98"/>
    <w:rsid w:val="00BA5F64"/>
    <w:rsid w:val="00BB01C0"/>
    <w:rsid w:val="00BB1353"/>
    <w:rsid w:val="00BB1BED"/>
    <w:rsid w:val="00BB25FB"/>
    <w:rsid w:val="00BB54FE"/>
    <w:rsid w:val="00BB5930"/>
    <w:rsid w:val="00BC19B8"/>
    <w:rsid w:val="00BC4A1C"/>
    <w:rsid w:val="00BC52E6"/>
    <w:rsid w:val="00BC5713"/>
    <w:rsid w:val="00BC7396"/>
    <w:rsid w:val="00BC7C74"/>
    <w:rsid w:val="00BD02E8"/>
    <w:rsid w:val="00BD0531"/>
    <w:rsid w:val="00BD05E7"/>
    <w:rsid w:val="00BD073C"/>
    <w:rsid w:val="00BD112D"/>
    <w:rsid w:val="00BD293D"/>
    <w:rsid w:val="00BD4A01"/>
    <w:rsid w:val="00BD646C"/>
    <w:rsid w:val="00BD788C"/>
    <w:rsid w:val="00BD7B74"/>
    <w:rsid w:val="00BE27DB"/>
    <w:rsid w:val="00BE3CCF"/>
    <w:rsid w:val="00BE450B"/>
    <w:rsid w:val="00BE49AA"/>
    <w:rsid w:val="00BE5AE7"/>
    <w:rsid w:val="00BE7B4F"/>
    <w:rsid w:val="00BF117C"/>
    <w:rsid w:val="00BF1BED"/>
    <w:rsid w:val="00BF1DA0"/>
    <w:rsid w:val="00BF3555"/>
    <w:rsid w:val="00BF42ED"/>
    <w:rsid w:val="00BF4D8E"/>
    <w:rsid w:val="00BF53E1"/>
    <w:rsid w:val="00BF55FB"/>
    <w:rsid w:val="00BF6BFC"/>
    <w:rsid w:val="00BF7D0B"/>
    <w:rsid w:val="00C0103F"/>
    <w:rsid w:val="00C018E8"/>
    <w:rsid w:val="00C03069"/>
    <w:rsid w:val="00C03268"/>
    <w:rsid w:val="00C04001"/>
    <w:rsid w:val="00C04144"/>
    <w:rsid w:val="00C045ED"/>
    <w:rsid w:val="00C11070"/>
    <w:rsid w:val="00C11292"/>
    <w:rsid w:val="00C11CA5"/>
    <w:rsid w:val="00C11D09"/>
    <w:rsid w:val="00C1251F"/>
    <w:rsid w:val="00C12B3B"/>
    <w:rsid w:val="00C13CE2"/>
    <w:rsid w:val="00C15115"/>
    <w:rsid w:val="00C15F8D"/>
    <w:rsid w:val="00C163C9"/>
    <w:rsid w:val="00C16A56"/>
    <w:rsid w:val="00C174FE"/>
    <w:rsid w:val="00C17691"/>
    <w:rsid w:val="00C17D5C"/>
    <w:rsid w:val="00C20446"/>
    <w:rsid w:val="00C2053F"/>
    <w:rsid w:val="00C20891"/>
    <w:rsid w:val="00C20C54"/>
    <w:rsid w:val="00C20C9F"/>
    <w:rsid w:val="00C22B0B"/>
    <w:rsid w:val="00C23850"/>
    <w:rsid w:val="00C24B89"/>
    <w:rsid w:val="00C308E9"/>
    <w:rsid w:val="00C32503"/>
    <w:rsid w:val="00C33244"/>
    <w:rsid w:val="00C343B6"/>
    <w:rsid w:val="00C435AE"/>
    <w:rsid w:val="00C45A72"/>
    <w:rsid w:val="00C47223"/>
    <w:rsid w:val="00C50DA6"/>
    <w:rsid w:val="00C53047"/>
    <w:rsid w:val="00C54BDC"/>
    <w:rsid w:val="00C54CE7"/>
    <w:rsid w:val="00C54FD9"/>
    <w:rsid w:val="00C55268"/>
    <w:rsid w:val="00C5612D"/>
    <w:rsid w:val="00C56197"/>
    <w:rsid w:val="00C5654C"/>
    <w:rsid w:val="00C57665"/>
    <w:rsid w:val="00C62EE3"/>
    <w:rsid w:val="00C63C72"/>
    <w:rsid w:val="00C64021"/>
    <w:rsid w:val="00C6518C"/>
    <w:rsid w:val="00C65410"/>
    <w:rsid w:val="00C6555E"/>
    <w:rsid w:val="00C66148"/>
    <w:rsid w:val="00C6675D"/>
    <w:rsid w:val="00C67817"/>
    <w:rsid w:val="00C7093D"/>
    <w:rsid w:val="00C70D59"/>
    <w:rsid w:val="00C72F40"/>
    <w:rsid w:val="00C73702"/>
    <w:rsid w:val="00C73A10"/>
    <w:rsid w:val="00C74203"/>
    <w:rsid w:val="00C759C9"/>
    <w:rsid w:val="00C75B9C"/>
    <w:rsid w:val="00C75CE4"/>
    <w:rsid w:val="00C760A7"/>
    <w:rsid w:val="00C7614B"/>
    <w:rsid w:val="00C761A9"/>
    <w:rsid w:val="00C7638D"/>
    <w:rsid w:val="00C77A77"/>
    <w:rsid w:val="00C77D06"/>
    <w:rsid w:val="00C80942"/>
    <w:rsid w:val="00C843C6"/>
    <w:rsid w:val="00C8538F"/>
    <w:rsid w:val="00C907B0"/>
    <w:rsid w:val="00C924C4"/>
    <w:rsid w:val="00C92987"/>
    <w:rsid w:val="00C9343C"/>
    <w:rsid w:val="00C955C0"/>
    <w:rsid w:val="00CA2091"/>
    <w:rsid w:val="00CA26E4"/>
    <w:rsid w:val="00CA4E24"/>
    <w:rsid w:val="00CB0B5C"/>
    <w:rsid w:val="00CB0D25"/>
    <w:rsid w:val="00CB1BF7"/>
    <w:rsid w:val="00CB4729"/>
    <w:rsid w:val="00CB6E75"/>
    <w:rsid w:val="00CC04EB"/>
    <w:rsid w:val="00CC272D"/>
    <w:rsid w:val="00CC29C7"/>
    <w:rsid w:val="00CC29FB"/>
    <w:rsid w:val="00CC4BB2"/>
    <w:rsid w:val="00CC4DFB"/>
    <w:rsid w:val="00CC640E"/>
    <w:rsid w:val="00CC69B4"/>
    <w:rsid w:val="00CC6C85"/>
    <w:rsid w:val="00CD1357"/>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4CBB"/>
    <w:rsid w:val="00D05530"/>
    <w:rsid w:val="00D059AA"/>
    <w:rsid w:val="00D06BB6"/>
    <w:rsid w:val="00D07F25"/>
    <w:rsid w:val="00D10E2F"/>
    <w:rsid w:val="00D1185F"/>
    <w:rsid w:val="00D11EF4"/>
    <w:rsid w:val="00D11FEB"/>
    <w:rsid w:val="00D121FC"/>
    <w:rsid w:val="00D147E1"/>
    <w:rsid w:val="00D14B4B"/>
    <w:rsid w:val="00D17175"/>
    <w:rsid w:val="00D17909"/>
    <w:rsid w:val="00D20669"/>
    <w:rsid w:val="00D22DFE"/>
    <w:rsid w:val="00D23229"/>
    <w:rsid w:val="00D25C0C"/>
    <w:rsid w:val="00D25D41"/>
    <w:rsid w:val="00D260AE"/>
    <w:rsid w:val="00D2618B"/>
    <w:rsid w:val="00D30857"/>
    <w:rsid w:val="00D32A40"/>
    <w:rsid w:val="00D33405"/>
    <w:rsid w:val="00D33FBB"/>
    <w:rsid w:val="00D35300"/>
    <w:rsid w:val="00D37C08"/>
    <w:rsid w:val="00D4052B"/>
    <w:rsid w:val="00D40F39"/>
    <w:rsid w:val="00D41867"/>
    <w:rsid w:val="00D43CF9"/>
    <w:rsid w:val="00D44469"/>
    <w:rsid w:val="00D45F6D"/>
    <w:rsid w:val="00D52112"/>
    <w:rsid w:val="00D537A2"/>
    <w:rsid w:val="00D54D78"/>
    <w:rsid w:val="00D55390"/>
    <w:rsid w:val="00D560CC"/>
    <w:rsid w:val="00D56E49"/>
    <w:rsid w:val="00D6139B"/>
    <w:rsid w:val="00D64225"/>
    <w:rsid w:val="00D65146"/>
    <w:rsid w:val="00D657EC"/>
    <w:rsid w:val="00D65FD3"/>
    <w:rsid w:val="00D67133"/>
    <w:rsid w:val="00D67C06"/>
    <w:rsid w:val="00D7010A"/>
    <w:rsid w:val="00D703B4"/>
    <w:rsid w:val="00D70CD4"/>
    <w:rsid w:val="00D71192"/>
    <w:rsid w:val="00D7160A"/>
    <w:rsid w:val="00D71F5B"/>
    <w:rsid w:val="00D725D4"/>
    <w:rsid w:val="00D742BC"/>
    <w:rsid w:val="00D74408"/>
    <w:rsid w:val="00D74646"/>
    <w:rsid w:val="00D75FB5"/>
    <w:rsid w:val="00D7622A"/>
    <w:rsid w:val="00D765B4"/>
    <w:rsid w:val="00D76F5C"/>
    <w:rsid w:val="00D80F3D"/>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3A3D"/>
    <w:rsid w:val="00DA5DC2"/>
    <w:rsid w:val="00DA675B"/>
    <w:rsid w:val="00DA761D"/>
    <w:rsid w:val="00DB0786"/>
    <w:rsid w:val="00DB2BD5"/>
    <w:rsid w:val="00DB359C"/>
    <w:rsid w:val="00DB684C"/>
    <w:rsid w:val="00DB7941"/>
    <w:rsid w:val="00DC0055"/>
    <w:rsid w:val="00DC0EC5"/>
    <w:rsid w:val="00DC2481"/>
    <w:rsid w:val="00DC45C5"/>
    <w:rsid w:val="00DC550C"/>
    <w:rsid w:val="00DC61D8"/>
    <w:rsid w:val="00DC6550"/>
    <w:rsid w:val="00DC6680"/>
    <w:rsid w:val="00DC73C6"/>
    <w:rsid w:val="00DD06E8"/>
    <w:rsid w:val="00DD325B"/>
    <w:rsid w:val="00DD3C21"/>
    <w:rsid w:val="00DD63F4"/>
    <w:rsid w:val="00DD65B9"/>
    <w:rsid w:val="00DD6984"/>
    <w:rsid w:val="00DD73B7"/>
    <w:rsid w:val="00DD7C2B"/>
    <w:rsid w:val="00DE12C0"/>
    <w:rsid w:val="00DE1980"/>
    <w:rsid w:val="00DE3FB1"/>
    <w:rsid w:val="00DE49BC"/>
    <w:rsid w:val="00DE4E80"/>
    <w:rsid w:val="00DE6738"/>
    <w:rsid w:val="00DE7BC2"/>
    <w:rsid w:val="00DF320B"/>
    <w:rsid w:val="00DF49E7"/>
    <w:rsid w:val="00DF4F5D"/>
    <w:rsid w:val="00DF5031"/>
    <w:rsid w:val="00DF551D"/>
    <w:rsid w:val="00DF5B3C"/>
    <w:rsid w:val="00DF5D33"/>
    <w:rsid w:val="00DF6C0E"/>
    <w:rsid w:val="00E00522"/>
    <w:rsid w:val="00E0205A"/>
    <w:rsid w:val="00E021A6"/>
    <w:rsid w:val="00E0266D"/>
    <w:rsid w:val="00E070F8"/>
    <w:rsid w:val="00E07AAC"/>
    <w:rsid w:val="00E1269C"/>
    <w:rsid w:val="00E13A56"/>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5993"/>
    <w:rsid w:val="00E36085"/>
    <w:rsid w:val="00E37783"/>
    <w:rsid w:val="00E414E8"/>
    <w:rsid w:val="00E41E75"/>
    <w:rsid w:val="00E4250D"/>
    <w:rsid w:val="00E42B80"/>
    <w:rsid w:val="00E4302E"/>
    <w:rsid w:val="00E4474B"/>
    <w:rsid w:val="00E47528"/>
    <w:rsid w:val="00E47EE5"/>
    <w:rsid w:val="00E5260A"/>
    <w:rsid w:val="00E53014"/>
    <w:rsid w:val="00E53AAC"/>
    <w:rsid w:val="00E542C1"/>
    <w:rsid w:val="00E543E2"/>
    <w:rsid w:val="00E563E3"/>
    <w:rsid w:val="00E56816"/>
    <w:rsid w:val="00E56B92"/>
    <w:rsid w:val="00E57335"/>
    <w:rsid w:val="00E57752"/>
    <w:rsid w:val="00E57E08"/>
    <w:rsid w:val="00E61F7A"/>
    <w:rsid w:val="00E64E2A"/>
    <w:rsid w:val="00E65B65"/>
    <w:rsid w:val="00E66CC1"/>
    <w:rsid w:val="00E66DA0"/>
    <w:rsid w:val="00E66F17"/>
    <w:rsid w:val="00E749C9"/>
    <w:rsid w:val="00E757E5"/>
    <w:rsid w:val="00E761DF"/>
    <w:rsid w:val="00E77C21"/>
    <w:rsid w:val="00E8016E"/>
    <w:rsid w:val="00E83645"/>
    <w:rsid w:val="00E8419F"/>
    <w:rsid w:val="00E87AEA"/>
    <w:rsid w:val="00E87B3F"/>
    <w:rsid w:val="00E90A3D"/>
    <w:rsid w:val="00E91D0B"/>
    <w:rsid w:val="00E92C8B"/>
    <w:rsid w:val="00E93B77"/>
    <w:rsid w:val="00E94C4F"/>
    <w:rsid w:val="00E95C9A"/>
    <w:rsid w:val="00E962AD"/>
    <w:rsid w:val="00E9632C"/>
    <w:rsid w:val="00E9679B"/>
    <w:rsid w:val="00E969D3"/>
    <w:rsid w:val="00EA125E"/>
    <w:rsid w:val="00EA147F"/>
    <w:rsid w:val="00EA3E98"/>
    <w:rsid w:val="00EA4747"/>
    <w:rsid w:val="00EA48E4"/>
    <w:rsid w:val="00EA4C94"/>
    <w:rsid w:val="00EA62DA"/>
    <w:rsid w:val="00EB083D"/>
    <w:rsid w:val="00EB4ACA"/>
    <w:rsid w:val="00EB5196"/>
    <w:rsid w:val="00EB5A02"/>
    <w:rsid w:val="00EB5F2A"/>
    <w:rsid w:val="00EB637E"/>
    <w:rsid w:val="00EB673E"/>
    <w:rsid w:val="00EB6866"/>
    <w:rsid w:val="00EB7530"/>
    <w:rsid w:val="00EB772C"/>
    <w:rsid w:val="00EC02AF"/>
    <w:rsid w:val="00EC042D"/>
    <w:rsid w:val="00EC2927"/>
    <w:rsid w:val="00EC6938"/>
    <w:rsid w:val="00ED2D8B"/>
    <w:rsid w:val="00ED4AA8"/>
    <w:rsid w:val="00ED681C"/>
    <w:rsid w:val="00ED727E"/>
    <w:rsid w:val="00EE08F2"/>
    <w:rsid w:val="00EE262A"/>
    <w:rsid w:val="00EE3A71"/>
    <w:rsid w:val="00EE587B"/>
    <w:rsid w:val="00EE75FE"/>
    <w:rsid w:val="00EE7F02"/>
    <w:rsid w:val="00EE7F4E"/>
    <w:rsid w:val="00EF1885"/>
    <w:rsid w:val="00EF30BC"/>
    <w:rsid w:val="00EF3F54"/>
    <w:rsid w:val="00EF4DED"/>
    <w:rsid w:val="00EF5BC2"/>
    <w:rsid w:val="00F001FD"/>
    <w:rsid w:val="00F0118E"/>
    <w:rsid w:val="00F018A2"/>
    <w:rsid w:val="00F028E2"/>
    <w:rsid w:val="00F02929"/>
    <w:rsid w:val="00F02BE7"/>
    <w:rsid w:val="00F03405"/>
    <w:rsid w:val="00F065CD"/>
    <w:rsid w:val="00F06700"/>
    <w:rsid w:val="00F126B7"/>
    <w:rsid w:val="00F1287D"/>
    <w:rsid w:val="00F12A6C"/>
    <w:rsid w:val="00F13EF5"/>
    <w:rsid w:val="00F13F40"/>
    <w:rsid w:val="00F14384"/>
    <w:rsid w:val="00F14F7E"/>
    <w:rsid w:val="00F15123"/>
    <w:rsid w:val="00F17B28"/>
    <w:rsid w:val="00F202FC"/>
    <w:rsid w:val="00F22A68"/>
    <w:rsid w:val="00F22B44"/>
    <w:rsid w:val="00F22F7E"/>
    <w:rsid w:val="00F232DD"/>
    <w:rsid w:val="00F237FE"/>
    <w:rsid w:val="00F2417A"/>
    <w:rsid w:val="00F24466"/>
    <w:rsid w:val="00F2477F"/>
    <w:rsid w:val="00F259B7"/>
    <w:rsid w:val="00F267BA"/>
    <w:rsid w:val="00F27B30"/>
    <w:rsid w:val="00F30200"/>
    <w:rsid w:val="00F3084E"/>
    <w:rsid w:val="00F30E26"/>
    <w:rsid w:val="00F312BB"/>
    <w:rsid w:val="00F338F9"/>
    <w:rsid w:val="00F33CE1"/>
    <w:rsid w:val="00F3547C"/>
    <w:rsid w:val="00F35929"/>
    <w:rsid w:val="00F3735B"/>
    <w:rsid w:val="00F37F66"/>
    <w:rsid w:val="00F40081"/>
    <w:rsid w:val="00F40674"/>
    <w:rsid w:val="00F430DB"/>
    <w:rsid w:val="00F43824"/>
    <w:rsid w:val="00F43E72"/>
    <w:rsid w:val="00F461B5"/>
    <w:rsid w:val="00F47FA7"/>
    <w:rsid w:val="00F50668"/>
    <w:rsid w:val="00F5324D"/>
    <w:rsid w:val="00F57568"/>
    <w:rsid w:val="00F57AA0"/>
    <w:rsid w:val="00F6252D"/>
    <w:rsid w:val="00F632DD"/>
    <w:rsid w:val="00F70725"/>
    <w:rsid w:val="00F7208D"/>
    <w:rsid w:val="00F724AD"/>
    <w:rsid w:val="00F72AC8"/>
    <w:rsid w:val="00F72C22"/>
    <w:rsid w:val="00F75F39"/>
    <w:rsid w:val="00F7624A"/>
    <w:rsid w:val="00F77756"/>
    <w:rsid w:val="00F80BDC"/>
    <w:rsid w:val="00F81C09"/>
    <w:rsid w:val="00F8225F"/>
    <w:rsid w:val="00F82F83"/>
    <w:rsid w:val="00F831FA"/>
    <w:rsid w:val="00F86243"/>
    <w:rsid w:val="00F86E64"/>
    <w:rsid w:val="00F87A6D"/>
    <w:rsid w:val="00F87E88"/>
    <w:rsid w:val="00F91FC0"/>
    <w:rsid w:val="00F91FC8"/>
    <w:rsid w:val="00F92809"/>
    <w:rsid w:val="00F92A5B"/>
    <w:rsid w:val="00F932D2"/>
    <w:rsid w:val="00F934F3"/>
    <w:rsid w:val="00F9496E"/>
    <w:rsid w:val="00F96967"/>
    <w:rsid w:val="00F97715"/>
    <w:rsid w:val="00FA0287"/>
    <w:rsid w:val="00FA0A30"/>
    <w:rsid w:val="00FA0DEC"/>
    <w:rsid w:val="00FA2122"/>
    <w:rsid w:val="00FA73C2"/>
    <w:rsid w:val="00FA7E68"/>
    <w:rsid w:val="00FB1FE0"/>
    <w:rsid w:val="00FB31BB"/>
    <w:rsid w:val="00FB3486"/>
    <w:rsid w:val="00FB35E9"/>
    <w:rsid w:val="00FB42EB"/>
    <w:rsid w:val="00FB4758"/>
    <w:rsid w:val="00FB4B6D"/>
    <w:rsid w:val="00FB638C"/>
    <w:rsid w:val="00FC0D61"/>
    <w:rsid w:val="00FC1271"/>
    <w:rsid w:val="00FC204F"/>
    <w:rsid w:val="00FC356D"/>
    <w:rsid w:val="00FC5362"/>
    <w:rsid w:val="00FC646F"/>
    <w:rsid w:val="00FD18AB"/>
    <w:rsid w:val="00FD1969"/>
    <w:rsid w:val="00FD2C5E"/>
    <w:rsid w:val="00FD598F"/>
    <w:rsid w:val="00FD5F75"/>
    <w:rsid w:val="00FD61A8"/>
    <w:rsid w:val="00FD7188"/>
    <w:rsid w:val="00FD73B5"/>
    <w:rsid w:val="00FD758C"/>
    <w:rsid w:val="00FD7C20"/>
    <w:rsid w:val="00FE0BFA"/>
    <w:rsid w:val="00FE1626"/>
    <w:rsid w:val="00FE2155"/>
    <w:rsid w:val="00FE28FE"/>
    <w:rsid w:val="00FE2999"/>
    <w:rsid w:val="00FE2F1D"/>
    <w:rsid w:val="00FE5ECD"/>
    <w:rsid w:val="00FE618D"/>
    <w:rsid w:val="00FF0863"/>
    <w:rsid w:val="00FF1176"/>
    <w:rsid w:val="00FF366F"/>
    <w:rsid w:val="00FF51DC"/>
    <w:rsid w:val="00FF53B4"/>
    <w:rsid w:val="00FF5F4A"/>
    <w:rsid w:val="00FF69E3"/>
    <w:rsid w:val="00FF6B67"/>
    <w:rsid w:val="00FF7692"/>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2B"/>
    <w:pPr>
      <w:spacing w:after="200" w:line="276" w:lineRule="auto"/>
      <w:jc w:val="both"/>
    </w:pPr>
    <w:rPr>
      <w:rFonts w:eastAsia="Calibri" w:cs="David"/>
      <w:snapToGrid w:val="0"/>
      <w:color w:val="000000"/>
      <w:sz w:val="24"/>
      <w:szCs w:val="24"/>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rPr>
  </w:style>
  <w:style w:type="paragraph" w:styleId="Heading5">
    <w:name w:val="heading 5"/>
    <w:basedOn w:val="Normal"/>
    <w:next w:val="Normal"/>
    <w:qFormat/>
    <w:rsid w:val="00624827"/>
    <w:pPr>
      <w:jc w:val="left"/>
      <w:outlineLvl w:val="4"/>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BE450B"/>
    <w:pPr>
      <w:ind w:left="567" w:hanging="567"/>
    </w:pPr>
  </w:style>
  <w:style w:type="paragraph" w:customStyle="1" w:styleId="E1-JAFI">
    <w:name w:val="E1-JAFI"/>
    <w:basedOn w:val="Normal"/>
    <w:next w:val="Normal"/>
    <w:rsid w:val="002C1D2C"/>
    <w:pPr>
      <w:ind w:left="720" w:hanging="720"/>
    </w:pPr>
    <w:rPr>
      <w:rFonts w:ascii="Tahoma" w:hAnsi="Tahoma" w:cs="Tahoma"/>
      <w:snapToGrid/>
      <w:color w:val="auto"/>
      <w:sz w:val="20"/>
      <w:szCs w:val="20"/>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190318"/>
    <w:pPr>
      <w:ind w:left="1843" w:hanging="425"/>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F1287D"/>
    <w:pPr>
      <w:spacing w:after="0"/>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rPr>
  </w:style>
  <w:style w:type="paragraph" w:customStyle="1" w:styleId="Contributor">
    <w:name w:val="Contributor"/>
    <w:basedOn w:val="Normal"/>
    <w:rsid w:val="004374C9"/>
    <w:pPr>
      <w:jc w:val="center"/>
    </w:pPr>
    <w:rPr>
      <w:rFonts w:ascii="Book Antiqua" w:hAnsi="Book Antiqua" w:cs="Arial"/>
      <w:b/>
      <w:bCs/>
      <w:i/>
      <w:iCs/>
      <w:snapToGrid/>
      <w:color w:val="auto"/>
    </w:rPr>
  </w:style>
  <w:style w:type="paragraph" w:customStyle="1" w:styleId="EngIngred">
    <w:name w:val="EngIngred"/>
    <w:basedOn w:val="Normal"/>
    <w:rsid w:val="004374C9"/>
    <w:pPr>
      <w:jc w:val="left"/>
    </w:pPr>
    <w:rPr>
      <w:rFonts w:ascii="Arial" w:hAnsi="Arial" w:cs="Arial"/>
      <w:snapToGrid/>
      <w:color w:val="auto"/>
    </w:rPr>
  </w:style>
  <w:style w:type="paragraph" w:customStyle="1" w:styleId="EngInstruct">
    <w:name w:val="EngInstruct"/>
    <w:basedOn w:val="Normal"/>
    <w:rsid w:val="004374C9"/>
    <w:pPr>
      <w:jc w:val="left"/>
    </w:pPr>
    <w:rPr>
      <w:rFonts w:ascii="Book Antiqua" w:hAnsi="Book Antiqua" w:cs="Arial"/>
      <w:snapToGrid/>
      <w:color w:val="auto"/>
    </w:rPr>
  </w:style>
  <w:style w:type="paragraph" w:customStyle="1" w:styleId="HebName">
    <w:name w:val="HebName"/>
    <w:basedOn w:val="Normal"/>
    <w:rsid w:val="004374C9"/>
    <w:pPr>
      <w:bidi/>
      <w:jc w:val="center"/>
    </w:pPr>
    <w:rPr>
      <w:rFonts w:cs="Guttman Aharoni"/>
      <w:b/>
      <w:bCs/>
      <w:snapToGrid/>
      <w:szCs w:val="28"/>
    </w:rPr>
  </w:style>
  <w:style w:type="paragraph" w:customStyle="1" w:styleId="HebContrib">
    <w:name w:val="HebContrib"/>
    <w:basedOn w:val="Normal"/>
    <w:rsid w:val="004374C9"/>
    <w:pPr>
      <w:bidi/>
      <w:jc w:val="center"/>
    </w:pPr>
    <w:rPr>
      <w:rFonts w:cs="Guttman Aharoni"/>
      <w:b/>
      <w:bCs/>
      <w:i/>
      <w:iCs/>
      <w:snapToGrid/>
    </w:rPr>
  </w:style>
  <w:style w:type="paragraph" w:customStyle="1" w:styleId="HebIngred">
    <w:name w:val="HebIngred"/>
    <w:basedOn w:val="Normal"/>
    <w:rsid w:val="004374C9"/>
    <w:pPr>
      <w:bidi/>
      <w:jc w:val="left"/>
    </w:pPr>
    <w:rPr>
      <w:rFonts w:ascii="Arial" w:hAnsi="Arial" w:cs="Arial"/>
      <w:snapToGrid/>
    </w:rPr>
  </w:style>
  <w:style w:type="paragraph" w:customStyle="1" w:styleId="HebInstruct">
    <w:name w:val="HebInstruct"/>
    <w:basedOn w:val="Normal"/>
    <w:rsid w:val="004374C9"/>
    <w:pPr>
      <w:bidi/>
      <w:jc w:val="left"/>
    </w:pPr>
    <w:rPr>
      <w:rFonts w:ascii="Tahoma" w:hAnsi="Tahoma" w:cs="Guttman Aharoni"/>
      <w:snapToGrid/>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05873449">
      <w:bodyDiv w:val="1"/>
      <w:marLeft w:val="0"/>
      <w:marRight w:val="0"/>
      <w:marTop w:val="0"/>
      <w:marBottom w:val="0"/>
      <w:divBdr>
        <w:top w:val="none" w:sz="0" w:space="0" w:color="auto"/>
        <w:left w:val="none" w:sz="0" w:space="0" w:color="auto"/>
        <w:bottom w:val="none" w:sz="0" w:space="0" w:color="auto"/>
        <w:right w:val="none" w:sz="0" w:space="0" w:color="auto"/>
      </w:divBdr>
    </w:div>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81289817">
      <w:bodyDiv w:val="1"/>
      <w:marLeft w:val="0"/>
      <w:marRight w:val="0"/>
      <w:marTop w:val="0"/>
      <w:marBottom w:val="0"/>
      <w:divBdr>
        <w:top w:val="none" w:sz="0" w:space="0" w:color="auto"/>
        <w:left w:val="none" w:sz="0" w:space="0" w:color="auto"/>
        <w:bottom w:val="none" w:sz="0" w:space="0" w:color="auto"/>
        <w:right w:val="none" w:sz="0" w:space="0" w:color="auto"/>
      </w:divBdr>
    </w:div>
    <w:div w:id="1457914170">
      <w:bodyDiv w:val="1"/>
      <w:marLeft w:val="0"/>
      <w:marRight w:val="0"/>
      <w:marTop w:val="0"/>
      <w:marBottom w:val="0"/>
      <w:divBdr>
        <w:top w:val="none" w:sz="0" w:space="0" w:color="auto"/>
        <w:left w:val="none" w:sz="0" w:space="0" w:color="auto"/>
        <w:bottom w:val="none" w:sz="0" w:space="0" w:color="auto"/>
        <w:right w:val="none" w:sz="0" w:space="0" w:color="auto"/>
      </w:divBdr>
      <w:divsChild>
        <w:div w:id="1124467675">
          <w:marLeft w:val="0"/>
          <w:marRight w:val="0"/>
          <w:marTop w:val="0"/>
          <w:marBottom w:val="0"/>
          <w:divBdr>
            <w:top w:val="none" w:sz="0" w:space="0" w:color="auto"/>
            <w:left w:val="none" w:sz="0" w:space="0" w:color="auto"/>
            <w:bottom w:val="none" w:sz="0" w:space="0" w:color="auto"/>
            <w:right w:val="none" w:sz="0" w:space="0" w:color="auto"/>
          </w:divBdr>
        </w:div>
        <w:div w:id="1858470010">
          <w:marLeft w:val="0"/>
          <w:marRight w:val="0"/>
          <w:marTop w:val="0"/>
          <w:marBottom w:val="0"/>
          <w:divBdr>
            <w:top w:val="none" w:sz="0" w:space="0" w:color="auto"/>
            <w:left w:val="none" w:sz="0" w:space="0" w:color="auto"/>
            <w:bottom w:val="none" w:sz="0" w:space="0" w:color="auto"/>
            <w:right w:val="none" w:sz="0" w:space="0" w:color="auto"/>
          </w:divBdr>
        </w:div>
        <w:div w:id="1207107640">
          <w:marLeft w:val="0"/>
          <w:marRight w:val="0"/>
          <w:marTop w:val="0"/>
          <w:marBottom w:val="0"/>
          <w:divBdr>
            <w:top w:val="none" w:sz="0" w:space="0" w:color="auto"/>
            <w:left w:val="none" w:sz="0" w:space="0" w:color="auto"/>
            <w:bottom w:val="none" w:sz="0" w:space="0" w:color="auto"/>
            <w:right w:val="none" w:sz="0" w:space="0" w:color="auto"/>
          </w:divBdr>
        </w:div>
        <w:div w:id="2102067592">
          <w:marLeft w:val="0"/>
          <w:marRight w:val="0"/>
          <w:marTop w:val="0"/>
          <w:marBottom w:val="0"/>
          <w:divBdr>
            <w:top w:val="none" w:sz="0" w:space="0" w:color="auto"/>
            <w:left w:val="none" w:sz="0" w:space="0" w:color="auto"/>
            <w:bottom w:val="none" w:sz="0" w:space="0" w:color="auto"/>
            <w:right w:val="none" w:sz="0" w:space="0" w:color="auto"/>
          </w:divBdr>
        </w:div>
      </w:divsChild>
    </w:div>
    <w:div w:id="1509058687">
      <w:bodyDiv w:val="1"/>
      <w:marLeft w:val="0"/>
      <w:marRight w:val="0"/>
      <w:marTop w:val="0"/>
      <w:marBottom w:val="0"/>
      <w:divBdr>
        <w:top w:val="none" w:sz="0" w:space="0" w:color="auto"/>
        <w:left w:val="none" w:sz="0" w:space="0" w:color="auto"/>
        <w:bottom w:val="none" w:sz="0" w:space="0" w:color="auto"/>
        <w:right w:val="none" w:sz="0" w:space="0" w:color="auto"/>
      </w:divBdr>
    </w:div>
    <w:div w:id="19989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6AEE0-7D84-46A7-B0A4-1A5914BC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13</Pages>
  <Words>3811</Words>
  <Characters>21725</Characters>
  <Application>Microsoft Office Word</Application>
  <DocSecurity>0</DocSecurity>
  <Lines>181</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חנן אריאל</dc:creator>
  <cp:lastModifiedBy>Shaul</cp:lastModifiedBy>
  <cp:revision>6</cp:revision>
  <cp:lastPrinted>2020-02-03T08:45:00Z</cp:lastPrinted>
  <dcterms:created xsi:type="dcterms:W3CDTF">2020-02-12T06:05:00Z</dcterms:created>
  <dcterms:modified xsi:type="dcterms:W3CDTF">2020-02-17T15:00:00Z</dcterms:modified>
</cp:coreProperties>
</file>