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2B0CA" w14:textId="77777777" w:rsidR="00EE0607" w:rsidRPr="00197856" w:rsidRDefault="00EE0607" w:rsidP="00B23F2C">
      <w:pPr>
        <w:ind w:firstLine="288"/>
        <w:rPr>
          <w:rtl/>
        </w:rPr>
      </w:pPr>
    </w:p>
    <w:p w14:paraId="5E44D9F2" w14:textId="73101CA3" w:rsidR="00EE0607" w:rsidRPr="00197856" w:rsidRDefault="00EE0607" w:rsidP="003A1037">
      <w:pPr>
        <w:bidi w:val="0"/>
        <w:rPr>
          <w:rtl/>
        </w:rPr>
      </w:pPr>
      <w:commentRangeStart w:id="0"/>
      <w:r w:rsidRPr="00197856">
        <w:rPr>
          <w:lang w:val="en"/>
        </w:rPr>
        <w:t>The</w:t>
      </w:r>
      <w:commentRangeEnd w:id="0"/>
      <w:r w:rsidR="008C1F1E">
        <w:rPr>
          <w:rStyle w:val="CommentReference"/>
        </w:rPr>
        <w:commentReference w:id="0"/>
      </w:r>
      <w:r w:rsidRPr="00197856">
        <w:rPr>
          <w:lang w:val="en"/>
        </w:rPr>
        <w:t xml:space="preserve"> article discusses Nahmanides’ typological </w:t>
      </w:r>
      <w:r w:rsidRPr="00197856">
        <w:rPr>
          <w:lang w:val="en"/>
        </w:rPr>
        <w:t>interpretation</w:t>
      </w:r>
      <w:r w:rsidRPr="00197856">
        <w:rPr>
          <w:lang w:val="en"/>
        </w:rPr>
        <w:t xml:space="preserve"> of Abraham’s encounter with Melchizedek </w:t>
      </w:r>
      <w:r w:rsidRPr="00197856">
        <w:t xml:space="preserve">as recounted in </w:t>
      </w:r>
      <w:r w:rsidRPr="00197856">
        <w:rPr>
          <w:lang w:val="en"/>
        </w:rPr>
        <w:t>Genesis 14:18-20. According to the author, Nahmanides</w:t>
      </w:r>
      <w:r w:rsidRPr="00197856">
        <w:rPr>
          <w:lang w:val="en"/>
        </w:rPr>
        <w:t xml:space="preserve">, </w:t>
      </w:r>
      <w:r w:rsidRPr="00197856">
        <w:rPr>
          <w:highlight w:val="cyan"/>
          <w:lang w:val="en"/>
        </w:rPr>
        <w:t>in his</w:t>
      </w:r>
      <w:r w:rsidRPr="00197856">
        <w:rPr>
          <w:lang w:val="en"/>
        </w:rPr>
        <w:t xml:space="preserve"> </w:t>
      </w:r>
      <w:r w:rsidRPr="00197856">
        <w:rPr>
          <w:highlight w:val="cyan"/>
          <w:lang w:val="en"/>
        </w:rPr>
        <w:t>commentary on the account</w:t>
      </w:r>
      <w:r w:rsidR="00414304" w:rsidRPr="00197856">
        <w:t>,</w:t>
      </w:r>
      <w:r w:rsidRPr="00197856">
        <w:rPr>
          <w:lang w:val="en"/>
        </w:rPr>
        <w:t xml:space="preserve"> </w:t>
      </w:r>
      <w:r w:rsidRPr="00197856">
        <w:rPr>
          <w:lang w:val="en"/>
        </w:rPr>
        <w:t>deviates from his standard exegetical method</w:t>
      </w:r>
      <w:r w:rsidR="00414304" w:rsidRPr="00197856">
        <w:rPr>
          <w:lang w:val="en"/>
        </w:rPr>
        <w:t>;</w:t>
      </w:r>
      <w:r w:rsidRPr="00197856">
        <w:rPr>
          <w:lang w:val="en"/>
        </w:rPr>
        <w:t xml:space="preserve"> </w:t>
      </w:r>
      <w:r w:rsidR="00414304" w:rsidRPr="00197856">
        <w:rPr>
          <w:lang w:val="en"/>
        </w:rPr>
        <w:t>h</w:t>
      </w:r>
      <w:r w:rsidRPr="00197856">
        <w:rPr>
          <w:lang w:val="en"/>
        </w:rPr>
        <w:t>e chooses</w:t>
      </w:r>
      <w:r w:rsidRPr="00197856">
        <w:rPr>
          <w:lang w:val="en"/>
        </w:rPr>
        <w:t xml:space="preserve"> </w:t>
      </w:r>
      <w:r w:rsidRPr="00197856">
        <w:rPr>
          <w:lang w:val="en"/>
        </w:rPr>
        <w:t>to pursue the</w:t>
      </w:r>
      <w:r w:rsidRPr="00197856">
        <w:rPr>
          <w:lang w:val="en"/>
        </w:rPr>
        <w:t xml:space="preserve"> typological approach appearing in the Midrash and Rashi, offering </w:t>
      </w:r>
      <w:r w:rsidRPr="00197856">
        <w:rPr>
          <w:lang w:val="en"/>
        </w:rPr>
        <w:t>his own</w:t>
      </w:r>
      <w:r w:rsidRPr="00197856">
        <w:rPr>
          <w:lang w:val="en"/>
        </w:rPr>
        <w:t xml:space="preserve"> </w:t>
      </w:r>
      <w:commentRangeStart w:id="1"/>
      <w:r w:rsidR="0005382A" w:rsidRPr="00197856">
        <w:rPr>
          <w:lang w:val="en"/>
        </w:rPr>
        <w:t>original</w:t>
      </w:r>
      <w:r w:rsidRPr="00197856">
        <w:rPr>
          <w:lang w:val="en"/>
        </w:rPr>
        <w:t xml:space="preserve"> </w:t>
      </w:r>
      <w:commentRangeEnd w:id="1"/>
      <w:r w:rsidR="0005382A" w:rsidRPr="00197856">
        <w:rPr>
          <w:rStyle w:val="CommentReference"/>
          <w:sz w:val="22"/>
          <w:szCs w:val="22"/>
        </w:rPr>
        <w:commentReference w:id="1"/>
      </w:r>
      <w:r w:rsidRPr="00197856">
        <w:rPr>
          <w:lang w:val="en"/>
        </w:rPr>
        <w:t>interpretation</w:t>
      </w:r>
      <w:r w:rsidRPr="00197856">
        <w:rPr>
          <w:lang w:val="en"/>
        </w:rPr>
        <w:t xml:space="preserve">. The author argues that this deviation represents an </w:t>
      </w:r>
      <w:r w:rsidR="0005382A" w:rsidRPr="00197856">
        <w:t>attempt on Nahmanides part to polemicize, at least implicitly,</w:t>
      </w:r>
      <w:r w:rsidRPr="00197856">
        <w:rPr>
          <w:lang w:val="en"/>
        </w:rPr>
        <w:t xml:space="preserve"> against </w:t>
      </w:r>
      <w:r w:rsidRPr="00197856">
        <w:rPr>
          <w:lang w:val="en"/>
        </w:rPr>
        <w:t>Christological</w:t>
      </w:r>
      <w:r w:rsidRPr="00197856">
        <w:rPr>
          <w:lang w:val="en"/>
        </w:rPr>
        <w:t xml:space="preserve"> conceptions of Melchizedek.</w:t>
      </w:r>
      <w:r w:rsidR="00AC0D77">
        <w:rPr>
          <w:lang w:val="en"/>
        </w:rPr>
        <w:t xml:space="preserve"> </w:t>
      </w:r>
    </w:p>
    <w:p w14:paraId="126A0B55" w14:textId="6EC8EA86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The article offers an original contribution to the issue of </w:t>
      </w:r>
      <w:r w:rsidRPr="00197856">
        <w:rPr>
          <w:lang w:val="en"/>
        </w:rPr>
        <w:t>Nahmanides</w:t>
      </w:r>
      <w:r w:rsidRPr="00197856">
        <w:rPr>
          <w:lang w:val="en"/>
        </w:rPr>
        <w:t xml:space="preserve">’ polemics with Christianity, an aspect of his commentary which </w:t>
      </w:r>
      <w:r w:rsidRPr="00197856">
        <w:rPr>
          <w:lang w:val="en"/>
        </w:rPr>
        <w:t xml:space="preserve">has yet to </w:t>
      </w:r>
      <w:r w:rsidR="00414304" w:rsidRPr="00197856">
        <w:rPr>
          <w:lang w:val="en"/>
        </w:rPr>
        <w:t>receive due consideration in</w:t>
      </w:r>
      <w:r w:rsidRPr="00197856">
        <w:rPr>
          <w:lang w:val="en"/>
        </w:rPr>
        <w:t xml:space="preserve"> </w:t>
      </w:r>
      <w:r w:rsidR="009D687E">
        <w:rPr>
          <w:lang w:val="en"/>
        </w:rPr>
        <w:t xml:space="preserve">the </w:t>
      </w:r>
      <w:r w:rsidRPr="00197856">
        <w:rPr>
          <w:lang w:val="en"/>
        </w:rPr>
        <w:t xml:space="preserve">scholarly literature. </w:t>
      </w:r>
    </w:p>
    <w:p w14:paraId="09417D5F" w14:textId="2210D658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>The article is well organized and addresses its subjects systematically and sequentially.</w:t>
      </w:r>
      <w:r w:rsidR="00AC0D77">
        <w:rPr>
          <w:lang w:val="en"/>
        </w:rPr>
        <w:t xml:space="preserve"> </w:t>
      </w:r>
      <w:r w:rsidRPr="00197856">
        <w:rPr>
          <w:lang w:val="en"/>
        </w:rPr>
        <w:t xml:space="preserve">The methodology and arguments are logical and consistent. The author’s </w:t>
      </w:r>
      <w:r w:rsidR="00414304" w:rsidRPr="00197856">
        <w:rPr>
          <w:lang w:val="en"/>
        </w:rPr>
        <w:t>careful</w:t>
      </w:r>
      <w:r w:rsidRPr="00197856">
        <w:rPr>
          <w:lang w:val="en"/>
        </w:rPr>
        <w:t xml:space="preserve"> and perceptive reading of Nahmanides’ commentary on this </w:t>
      </w:r>
      <w:r w:rsidRPr="00197856">
        <w:rPr>
          <w:lang w:val="en"/>
        </w:rPr>
        <w:t>passage</w:t>
      </w:r>
      <w:r w:rsidRPr="00197856">
        <w:rPr>
          <w:lang w:val="en"/>
        </w:rPr>
        <w:t xml:space="preserve">, and </w:t>
      </w:r>
      <w:commentRangeStart w:id="2"/>
      <w:r w:rsidRPr="00197856">
        <w:rPr>
          <w:lang w:val="en"/>
        </w:rPr>
        <w:t xml:space="preserve">his </w:t>
      </w:r>
      <w:commentRangeEnd w:id="2"/>
      <w:r w:rsidRPr="00197856">
        <w:rPr>
          <w:rStyle w:val="CommentReference"/>
          <w:sz w:val="22"/>
          <w:szCs w:val="22"/>
        </w:rPr>
        <w:commentReference w:id="2"/>
      </w:r>
      <w:r w:rsidRPr="00197856">
        <w:rPr>
          <w:lang w:val="en"/>
        </w:rPr>
        <w:t xml:space="preserve">meticulous comparison to </w:t>
      </w:r>
      <w:r w:rsidR="00414304" w:rsidRPr="00197856">
        <w:rPr>
          <w:lang w:val="en"/>
        </w:rPr>
        <w:t xml:space="preserve">other interpretations earlier in </w:t>
      </w:r>
      <w:r w:rsidR="0005382A" w:rsidRPr="00197856">
        <w:rPr>
          <w:lang w:val="en"/>
        </w:rPr>
        <w:t>the</w:t>
      </w:r>
      <w:r w:rsidR="00414304" w:rsidRPr="00197856">
        <w:rPr>
          <w:lang w:val="en"/>
        </w:rPr>
        <w:t xml:space="preserve"> commentary</w:t>
      </w:r>
      <w:r w:rsidRPr="00197856">
        <w:rPr>
          <w:lang w:val="en"/>
        </w:rPr>
        <w:t>, lead the reader to a</w:t>
      </w:r>
      <w:r w:rsidR="00414304" w:rsidRPr="00197856">
        <w:rPr>
          <w:lang w:val="en"/>
        </w:rPr>
        <w:t>n</w:t>
      </w:r>
      <w:r w:rsidRPr="00197856">
        <w:rPr>
          <w:lang w:val="en"/>
        </w:rPr>
        <w:t xml:space="preserve"> </w:t>
      </w:r>
      <w:r w:rsidR="00414304" w:rsidRPr="00197856">
        <w:rPr>
          <w:lang w:val="en"/>
        </w:rPr>
        <w:t>astute</w:t>
      </w:r>
      <w:r w:rsidRPr="00197856">
        <w:rPr>
          <w:lang w:val="en"/>
        </w:rPr>
        <w:t xml:space="preserve"> </w:t>
      </w:r>
      <w:r w:rsidR="00414304" w:rsidRPr="00197856">
        <w:rPr>
          <w:lang w:val="en"/>
        </w:rPr>
        <w:t xml:space="preserve">and convincing explanation of these differences. </w:t>
      </w:r>
    </w:p>
    <w:p w14:paraId="5E0EC683" w14:textId="7573028A" w:rsidR="00EE0607" w:rsidRPr="00197856" w:rsidRDefault="00EE0607" w:rsidP="00B23F2C">
      <w:pPr>
        <w:bidi w:val="0"/>
        <w:ind w:firstLine="288"/>
      </w:pPr>
      <w:r w:rsidRPr="00197856">
        <w:rPr>
          <w:lang w:val="en"/>
        </w:rPr>
        <w:t xml:space="preserve">The use of primary and secondary sources is comprehensive and certainly reflects the most up-to-date research. Nevertheless, the article would benefit from the addition of some </w:t>
      </w:r>
      <w:r w:rsidR="00414304" w:rsidRPr="00197856">
        <w:rPr>
          <w:lang w:val="en"/>
        </w:rPr>
        <w:t>additional</w:t>
      </w:r>
      <w:r w:rsidRPr="00197856">
        <w:rPr>
          <w:lang w:val="en"/>
        </w:rPr>
        <w:t xml:space="preserve"> sources which would provide an important contribution; see my comments below. </w:t>
      </w:r>
    </w:p>
    <w:p w14:paraId="24E5D7E2" w14:textId="5B472907" w:rsidR="00EE0607" w:rsidRPr="00197856" w:rsidRDefault="00414304" w:rsidP="00B23F2C">
      <w:pPr>
        <w:bidi w:val="0"/>
        <w:ind w:firstLine="288"/>
      </w:pPr>
      <w:proofErr w:type="gramStart"/>
      <w:r w:rsidRPr="00197856">
        <w:rPr>
          <w:lang w:val="en"/>
        </w:rPr>
        <w:t>In light of</w:t>
      </w:r>
      <w:proofErr w:type="gramEnd"/>
      <w:r w:rsidRPr="00197856">
        <w:rPr>
          <w:lang w:val="en"/>
        </w:rPr>
        <w:t xml:space="preserve"> the aforementioned, I</w:t>
      </w:r>
      <w:r w:rsidR="00EE0607" w:rsidRPr="00197856">
        <w:rPr>
          <w:lang w:val="en"/>
        </w:rPr>
        <w:t xml:space="preserve"> recommend </w:t>
      </w:r>
      <w:r w:rsidR="00EE0607" w:rsidRPr="00197856">
        <w:rPr>
          <w:lang w:val="en"/>
        </w:rPr>
        <w:t>that the</w:t>
      </w:r>
      <w:r w:rsidR="00EE0607" w:rsidRPr="00197856">
        <w:rPr>
          <w:lang w:val="en"/>
        </w:rPr>
        <w:t xml:space="preserve"> article be published in </w:t>
      </w:r>
      <w:r w:rsidR="00EE0607" w:rsidRPr="00197856">
        <w:rPr>
          <w:i/>
          <w:iCs/>
          <w:lang w:val="en"/>
        </w:rPr>
        <w:t>JJS</w:t>
      </w:r>
      <w:r w:rsidR="00EE0607" w:rsidRPr="00197856">
        <w:rPr>
          <w:lang w:val="en"/>
        </w:rPr>
        <w:t xml:space="preserve">. </w:t>
      </w:r>
    </w:p>
    <w:p w14:paraId="1833164C" w14:textId="51B8AD62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I must mention that English is not my mother tongue, and I therefore cannot </w:t>
      </w:r>
      <w:r w:rsidR="006E2012">
        <w:rPr>
          <w:lang w:val="en"/>
        </w:rPr>
        <w:t>comment on</w:t>
      </w:r>
      <w:r w:rsidRPr="00197856">
        <w:rPr>
          <w:lang w:val="en"/>
        </w:rPr>
        <w:t xml:space="preserve"> the quality of </w:t>
      </w:r>
      <w:r w:rsidR="0005382A" w:rsidRPr="00197856">
        <w:rPr>
          <w:lang w:val="en"/>
        </w:rPr>
        <w:t xml:space="preserve">the </w:t>
      </w:r>
      <w:r w:rsidR="00414304" w:rsidRPr="00197856">
        <w:rPr>
          <w:lang w:val="en"/>
        </w:rPr>
        <w:t>article’s</w:t>
      </w:r>
      <w:r w:rsidRPr="00197856">
        <w:rPr>
          <w:lang w:val="en"/>
        </w:rPr>
        <w:t xml:space="preserve"> </w:t>
      </w:r>
      <w:r w:rsidR="00414304" w:rsidRPr="00197856">
        <w:rPr>
          <w:lang w:val="en"/>
        </w:rPr>
        <w:t>prose</w:t>
      </w:r>
      <w:r w:rsidR="006E2012">
        <w:rPr>
          <w:lang w:val="en"/>
        </w:rPr>
        <w:t xml:space="preserve"> and style</w:t>
      </w:r>
      <w:r w:rsidRPr="00197856">
        <w:rPr>
          <w:lang w:val="en"/>
        </w:rPr>
        <w:t>.</w:t>
      </w:r>
      <w:r w:rsidR="00AC0D77">
        <w:rPr>
          <w:lang w:val="en"/>
        </w:rPr>
        <w:t xml:space="preserve"> </w:t>
      </w:r>
    </w:p>
    <w:p w14:paraId="7AEB26FD" w14:textId="77777777" w:rsidR="00EE0607" w:rsidRPr="00197856" w:rsidRDefault="00EE0607" w:rsidP="00B23F2C">
      <w:pPr>
        <w:ind w:firstLine="288"/>
        <w:rPr>
          <w:rtl/>
        </w:rPr>
      </w:pPr>
    </w:p>
    <w:p w14:paraId="2A43BFC2" w14:textId="024AC717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Below are some </w:t>
      </w:r>
      <w:r w:rsidR="00F75DCA">
        <w:t>suggestions</w:t>
      </w:r>
      <w:r w:rsidRPr="00197856">
        <w:rPr>
          <w:lang w:val="en"/>
        </w:rPr>
        <w:t xml:space="preserve"> which, </w:t>
      </w:r>
      <w:r w:rsidRPr="00197856">
        <w:rPr>
          <w:highlight w:val="cyan"/>
          <w:lang w:val="en"/>
        </w:rPr>
        <w:t>if implemented</w:t>
      </w:r>
      <w:r w:rsidRPr="00197856">
        <w:rPr>
          <w:lang w:val="en"/>
        </w:rPr>
        <w:t xml:space="preserve">, </w:t>
      </w:r>
      <w:r w:rsidR="005277DC">
        <w:t>may</w:t>
      </w:r>
      <w:r w:rsidRPr="00197856">
        <w:rPr>
          <w:lang w:val="en"/>
        </w:rPr>
        <w:t xml:space="preserve"> improve the </w:t>
      </w:r>
      <w:r w:rsidR="00E2556F">
        <w:rPr>
          <w:lang w:val="en"/>
        </w:rPr>
        <w:t xml:space="preserve">quality of the </w:t>
      </w:r>
      <w:r w:rsidRPr="00197856">
        <w:rPr>
          <w:lang w:val="en"/>
        </w:rPr>
        <w:t xml:space="preserve">article: </w:t>
      </w:r>
    </w:p>
    <w:p w14:paraId="04203518" w14:textId="7D678A03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1. The citation of the passage about Abraham and Melchizedek </w:t>
      </w:r>
      <w:r w:rsidR="00414304" w:rsidRPr="00197856">
        <w:rPr>
          <w:lang w:val="en"/>
        </w:rPr>
        <w:t>(</w:t>
      </w:r>
      <w:r w:rsidRPr="00197856">
        <w:rPr>
          <w:lang w:val="en"/>
        </w:rPr>
        <w:t>in the title and p. 7</w:t>
      </w:r>
      <w:r w:rsidR="00414304" w:rsidRPr="00197856">
        <w:rPr>
          <w:lang w:val="en"/>
        </w:rPr>
        <w:t>)</w:t>
      </w:r>
      <w:r w:rsidRPr="00197856">
        <w:rPr>
          <w:lang w:val="en"/>
        </w:rPr>
        <w:t xml:space="preserve"> is inadequate: the passage should be fully sourced as Gen. 14</w:t>
      </w:r>
      <w:r w:rsidR="00414304" w:rsidRPr="00197856">
        <w:rPr>
          <w:lang w:val="en"/>
        </w:rPr>
        <w:t>:18–20</w:t>
      </w:r>
      <w:r w:rsidRPr="00197856">
        <w:rPr>
          <w:lang w:val="en"/>
        </w:rPr>
        <w:t xml:space="preserve"> and not just as verses 18-</w:t>
      </w:r>
      <w:commentRangeStart w:id="3"/>
      <w:r w:rsidRPr="00197856">
        <w:rPr>
          <w:lang w:val="en"/>
        </w:rPr>
        <w:t>20</w:t>
      </w:r>
      <w:commentRangeEnd w:id="3"/>
      <w:r w:rsidRPr="00197856">
        <w:rPr>
          <w:rStyle w:val="CommentReference"/>
          <w:sz w:val="22"/>
          <w:szCs w:val="22"/>
        </w:rPr>
        <w:commentReference w:id="3"/>
      </w:r>
      <w:r w:rsidRPr="00197856">
        <w:rPr>
          <w:lang w:val="en"/>
        </w:rPr>
        <w:t>.</w:t>
      </w:r>
      <w:r w:rsidR="00AC0D77">
        <w:rPr>
          <w:lang w:val="en"/>
        </w:rPr>
        <w:t xml:space="preserve"> </w:t>
      </w:r>
    </w:p>
    <w:p w14:paraId="62A1955C" w14:textId="4606D29A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2. Note 14: Since the author has enumerated </w:t>
      </w:r>
      <w:r w:rsidRPr="00197856">
        <w:rPr>
          <w:lang w:val="en"/>
        </w:rPr>
        <w:t>many</w:t>
      </w:r>
      <w:commentRangeStart w:id="4"/>
      <w:r w:rsidRPr="00197856">
        <w:t xml:space="preserve"> commentators who adopt</w:t>
      </w:r>
      <w:r w:rsidRPr="00197856">
        <w:rPr>
          <w:lang w:val="en"/>
        </w:rPr>
        <w:t xml:space="preserve"> </w:t>
      </w:r>
      <w:commentRangeEnd w:id="4"/>
      <w:r w:rsidRPr="00197856">
        <w:rPr>
          <w:rStyle w:val="CommentReference"/>
          <w:sz w:val="22"/>
          <w:szCs w:val="22"/>
        </w:rPr>
        <w:commentReference w:id="4"/>
      </w:r>
      <w:proofErr w:type="spellStart"/>
      <w:r w:rsidRPr="00197856">
        <w:rPr>
          <w:lang w:val="en"/>
        </w:rPr>
        <w:t>Rashi’s</w:t>
      </w:r>
      <w:proofErr w:type="spellEnd"/>
      <w:r w:rsidRPr="00197856">
        <w:rPr>
          <w:lang w:val="en"/>
        </w:rPr>
        <w:t xml:space="preserve"> approach, R. Joseph </w:t>
      </w:r>
      <w:proofErr w:type="spellStart"/>
      <w:r w:rsidRPr="00197856">
        <w:rPr>
          <w:lang w:val="en"/>
        </w:rPr>
        <w:t>Bekhor</w:t>
      </w:r>
      <w:proofErr w:type="spellEnd"/>
      <w:r w:rsidRPr="00197856">
        <w:rPr>
          <w:lang w:val="en"/>
        </w:rPr>
        <w:t xml:space="preserve"> Shor and </w:t>
      </w:r>
      <w:proofErr w:type="spellStart"/>
      <w:r w:rsidRPr="00197856">
        <w:rPr>
          <w:lang w:val="en"/>
        </w:rPr>
        <w:t>Radak</w:t>
      </w:r>
      <w:proofErr w:type="spellEnd"/>
      <w:r w:rsidRPr="00197856">
        <w:rPr>
          <w:lang w:val="en"/>
        </w:rPr>
        <w:t xml:space="preserve"> should be mentioned as well. </w:t>
      </w:r>
    </w:p>
    <w:p w14:paraId="6BEBDABD" w14:textId="7692D94E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3. The scholarship on </w:t>
      </w:r>
      <w:r w:rsidRPr="00197856">
        <w:rPr>
          <w:lang w:val="en"/>
        </w:rPr>
        <w:t>Nahmanides</w:t>
      </w:r>
      <w:r w:rsidRPr="00197856">
        <w:rPr>
          <w:lang w:val="en"/>
        </w:rPr>
        <w:t xml:space="preserve"> is extensive; </w:t>
      </w:r>
      <w:r w:rsidRPr="00197856">
        <w:rPr>
          <w:highlight w:val="cyan"/>
          <w:lang w:val="en"/>
        </w:rPr>
        <w:t xml:space="preserve">citing every study ever written about him </w:t>
      </w:r>
      <w:r w:rsidR="00197856" w:rsidRPr="00197856">
        <w:rPr>
          <w:highlight w:val="cyan"/>
          <w:lang w:val="en"/>
        </w:rPr>
        <w:t>would be</w:t>
      </w:r>
      <w:r w:rsidRPr="00197856">
        <w:rPr>
          <w:highlight w:val="cyan"/>
          <w:lang w:val="en"/>
        </w:rPr>
        <w:t xml:space="preserve"> impossibl</w:t>
      </w:r>
      <w:r w:rsidR="00197856" w:rsidRPr="00197856">
        <w:rPr>
          <w:highlight w:val="cyan"/>
          <w:lang w:val="en"/>
        </w:rPr>
        <w:t xml:space="preserve">e in the context of this </w:t>
      </w:r>
      <w:commentRangeStart w:id="5"/>
      <w:r w:rsidR="00197856" w:rsidRPr="00197856">
        <w:rPr>
          <w:highlight w:val="cyan"/>
          <w:lang w:val="en"/>
        </w:rPr>
        <w:t>article</w:t>
      </w:r>
      <w:commentRangeEnd w:id="5"/>
      <w:r w:rsidR="00197856" w:rsidRPr="00197856">
        <w:rPr>
          <w:rStyle w:val="CommentReference"/>
          <w:sz w:val="22"/>
          <w:szCs w:val="22"/>
          <w:rtl/>
        </w:rPr>
        <w:commentReference w:id="5"/>
      </w:r>
      <w:r w:rsidRPr="00197856">
        <w:rPr>
          <w:lang w:val="en"/>
        </w:rPr>
        <w:t>. Nevertheless, for a complete picture, certain important and</w:t>
      </w:r>
      <w:r w:rsidRPr="00197856">
        <w:rPr>
          <w:rFonts w:hint="cs"/>
          <w:rtl/>
          <w:lang w:val="en"/>
        </w:rPr>
        <w:t xml:space="preserve"> </w:t>
      </w:r>
      <w:r w:rsidRPr="00197856">
        <w:rPr>
          <w:highlight w:val="cyan"/>
        </w:rPr>
        <w:t>particularly</w:t>
      </w:r>
      <w:r w:rsidRPr="00197856">
        <w:rPr>
          <w:lang w:val="en"/>
        </w:rPr>
        <w:t xml:space="preserve"> relevant articles should be consulted and considered for inclusion.</w:t>
      </w:r>
    </w:p>
    <w:p w14:paraId="52336937" w14:textId="77777777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>Note 12 could include:</w:t>
      </w:r>
    </w:p>
    <w:p w14:paraId="195833D5" w14:textId="45767310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Marvin Fox, </w:t>
      </w:r>
      <w:r w:rsidRPr="00197856">
        <w:rPr>
          <w:lang w:val="en"/>
        </w:rPr>
        <w:t>“</w:t>
      </w:r>
      <w:r w:rsidRPr="00197856">
        <w:rPr>
          <w:lang w:val="en"/>
        </w:rPr>
        <w:t xml:space="preserve">Nahmanides on the Status of </w:t>
      </w:r>
      <w:proofErr w:type="spellStart"/>
      <w:r w:rsidRPr="00197856">
        <w:rPr>
          <w:lang w:val="en"/>
        </w:rPr>
        <w:t>Aggadot</w:t>
      </w:r>
      <w:proofErr w:type="spellEnd"/>
      <w:r w:rsidRPr="00197856">
        <w:rPr>
          <w:lang w:val="en"/>
        </w:rPr>
        <w:t>: Perspectives on the Disputation at Barcelona, 1263</w:t>
      </w:r>
      <w:r w:rsidRPr="00197856">
        <w:rPr>
          <w:lang w:val="en"/>
        </w:rPr>
        <w:t>”</w:t>
      </w:r>
      <w:r w:rsidRPr="00197856">
        <w:rPr>
          <w:lang w:val="en"/>
        </w:rPr>
        <w:t xml:space="preserve">, </w:t>
      </w:r>
      <w:r w:rsidRPr="00197856">
        <w:rPr>
          <w:i/>
          <w:iCs/>
          <w:lang w:val="en"/>
        </w:rPr>
        <w:t xml:space="preserve">JJS </w:t>
      </w:r>
      <w:r w:rsidRPr="00197856">
        <w:rPr>
          <w:lang w:val="en"/>
        </w:rPr>
        <w:t>40 (1989), pp. 95–109.</w:t>
      </w:r>
    </w:p>
    <w:p w14:paraId="67C9257A" w14:textId="77777777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>Note 32 could include:</w:t>
      </w:r>
    </w:p>
    <w:p w14:paraId="2AAFB4E1" w14:textId="7AE9A642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lastRenderedPageBreak/>
        <w:t xml:space="preserve">Frank Ephraim Talmage, </w:t>
      </w:r>
      <w:r w:rsidRPr="00197856">
        <w:rPr>
          <w:lang w:val="en"/>
        </w:rPr>
        <w:t>“</w:t>
      </w:r>
      <w:r w:rsidRPr="00197856">
        <w:rPr>
          <w:lang w:val="en"/>
        </w:rPr>
        <w:t>An Hebrew polemical treatise, anti-Cathar and anti-Orthodox</w:t>
      </w:r>
      <w:r w:rsidRPr="00197856">
        <w:rPr>
          <w:lang w:val="en"/>
        </w:rPr>
        <w:t>”</w:t>
      </w:r>
      <w:r w:rsidRPr="00197856">
        <w:rPr>
          <w:lang w:val="en"/>
        </w:rPr>
        <w:t xml:space="preserve">, </w:t>
      </w:r>
      <w:r w:rsidRPr="00197856">
        <w:rPr>
          <w:i/>
          <w:iCs/>
          <w:lang w:val="en"/>
        </w:rPr>
        <w:t>Apples of Gold in Settings of Silver: Studies in Medieval Jewish Exegesis and Polemics</w:t>
      </w:r>
      <w:r w:rsidRPr="00197856">
        <w:rPr>
          <w:lang w:val="en"/>
        </w:rPr>
        <w:t xml:space="preserve">, ed. Barry </w:t>
      </w:r>
      <w:proofErr w:type="spellStart"/>
      <w:r w:rsidRPr="00197856">
        <w:rPr>
          <w:lang w:val="en"/>
        </w:rPr>
        <w:t>Dov</w:t>
      </w:r>
      <w:proofErr w:type="spellEnd"/>
      <w:r w:rsidRPr="00197856">
        <w:rPr>
          <w:lang w:val="en"/>
        </w:rPr>
        <w:t xml:space="preserve"> </w:t>
      </w:r>
      <w:proofErr w:type="spellStart"/>
      <w:r w:rsidRPr="00197856">
        <w:rPr>
          <w:lang w:val="en"/>
        </w:rPr>
        <w:t>Walfish</w:t>
      </w:r>
      <w:proofErr w:type="spellEnd"/>
      <w:r w:rsidRPr="00197856">
        <w:rPr>
          <w:lang w:val="en"/>
        </w:rPr>
        <w:t>, Toronto 1999, pp. 212–237 [=</w:t>
      </w:r>
      <w:r w:rsidRPr="00197856">
        <w:rPr>
          <w:i/>
          <w:iCs/>
          <w:lang w:val="en"/>
        </w:rPr>
        <w:t>Harvard Theological Review</w:t>
      </w:r>
      <w:r w:rsidRPr="00197856">
        <w:rPr>
          <w:lang w:val="en"/>
        </w:rPr>
        <w:t> 60, 3 (1967), pp. 323–348].</w:t>
      </w:r>
    </w:p>
    <w:p w14:paraId="31BAE35F" w14:textId="4C5F62CD" w:rsidR="00EE0607" w:rsidRPr="00197856" w:rsidRDefault="00EE0607" w:rsidP="00B23F2C">
      <w:pPr>
        <w:bidi w:val="0"/>
        <w:ind w:firstLine="288"/>
        <w:rPr>
          <w:rtl/>
        </w:rPr>
      </w:pPr>
      <w:r w:rsidRPr="00197856">
        <w:rPr>
          <w:lang w:val="en"/>
        </w:rPr>
        <w:t xml:space="preserve">Note 40: There are other scholars, besides </w:t>
      </w:r>
      <w:commentRangeStart w:id="6"/>
      <w:proofErr w:type="spellStart"/>
      <w:r w:rsidRPr="00197856">
        <w:rPr>
          <w:lang w:val="en"/>
        </w:rPr>
        <w:t>Twito</w:t>
      </w:r>
      <w:commentRangeEnd w:id="6"/>
      <w:proofErr w:type="spellEnd"/>
      <w:r w:rsidR="006204AC">
        <w:rPr>
          <w:rStyle w:val="CommentReference"/>
        </w:rPr>
        <w:commentReference w:id="6"/>
      </w:r>
      <w:r w:rsidRPr="00197856">
        <w:rPr>
          <w:lang w:val="en"/>
        </w:rPr>
        <w:t xml:space="preserve">, who have discussed Nahmanides’ anti-Christian </w:t>
      </w:r>
      <w:r w:rsidR="00414304" w:rsidRPr="00197856">
        <w:rPr>
          <w:lang w:val="en"/>
        </w:rPr>
        <w:t>polemics</w:t>
      </w:r>
      <w:r w:rsidRPr="00197856">
        <w:rPr>
          <w:lang w:val="en"/>
        </w:rPr>
        <w:t xml:space="preserve"> such as:</w:t>
      </w:r>
      <w:r w:rsidR="00AC0D77">
        <w:rPr>
          <w:lang w:val="en"/>
        </w:rPr>
        <w:t xml:space="preserve"> </w:t>
      </w:r>
    </w:p>
    <w:p w14:paraId="69B17FDD" w14:textId="30B91836" w:rsidR="00EE0607" w:rsidRPr="00197856" w:rsidRDefault="00EE0607" w:rsidP="00B23F2C">
      <w:pPr>
        <w:pStyle w:val="a"/>
        <w:bidi w:val="0"/>
        <w:spacing w:line="360" w:lineRule="auto"/>
        <w:ind w:firstLine="288"/>
        <w:rPr>
          <w:sz w:val="22"/>
          <w:szCs w:val="22"/>
        </w:rPr>
      </w:pPr>
      <w:r w:rsidRPr="00197856">
        <w:rPr>
          <w:sz w:val="22"/>
          <w:szCs w:val="22"/>
          <w:lang w:val="en"/>
        </w:rPr>
        <w:t>Mordechai Z.</w:t>
      </w:r>
      <w:r w:rsidRPr="00197856">
        <w:rPr>
          <w:sz w:val="22"/>
          <w:szCs w:val="22"/>
          <w:lang w:val="en"/>
        </w:rPr>
        <w:t xml:space="preserve"> </w:t>
      </w:r>
      <w:r w:rsidRPr="00197856">
        <w:rPr>
          <w:sz w:val="22"/>
          <w:szCs w:val="22"/>
          <w:lang w:val="en"/>
        </w:rPr>
        <w:t xml:space="preserve">Cohen, </w:t>
      </w:r>
      <w:r w:rsidRPr="00197856">
        <w:rPr>
          <w:sz w:val="22"/>
          <w:szCs w:val="22"/>
          <w:lang w:val="en"/>
        </w:rPr>
        <w:t>“</w:t>
      </w:r>
      <w:proofErr w:type="spellStart"/>
      <w:r w:rsidRPr="00197856">
        <w:rPr>
          <w:sz w:val="22"/>
          <w:szCs w:val="22"/>
          <w:lang w:val="en"/>
        </w:rPr>
        <w:t>Nahmanide's</w:t>
      </w:r>
      <w:proofErr w:type="spellEnd"/>
      <w:r w:rsidRPr="00197856">
        <w:rPr>
          <w:sz w:val="22"/>
          <w:szCs w:val="22"/>
          <w:lang w:val="en"/>
        </w:rPr>
        <w:t xml:space="preserve"> Four Senses of Scripture Signification: Jewish and Christian Contexts</w:t>
      </w:r>
      <w:r w:rsidRPr="00197856">
        <w:rPr>
          <w:sz w:val="22"/>
          <w:szCs w:val="22"/>
          <w:lang w:val="en"/>
        </w:rPr>
        <w:t>”</w:t>
      </w:r>
      <w:r w:rsidRPr="00197856">
        <w:rPr>
          <w:sz w:val="22"/>
          <w:szCs w:val="22"/>
          <w:lang w:val="en"/>
        </w:rPr>
        <w:t xml:space="preserve">, </w:t>
      </w:r>
      <w:r w:rsidRPr="00197856">
        <w:rPr>
          <w:i/>
          <w:iCs/>
          <w:sz w:val="22"/>
          <w:szCs w:val="22"/>
          <w:lang w:val="en"/>
        </w:rPr>
        <w:t>Entangled Histories - Knowledge, Authority, and Jewish Culture in the Thirteenth Century</w:t>
      </w:r>
      <w:r w:rsidRPr="00197856">
        <w:rPr>
          <w:sz w:val="22"/>
          <w:szCs w:val="22"/>
          <w:lang w:val="en"/>
        </w:rPr>
        <w:t xml:space="preserve">, eds. </w:t>
      </w:r>
      <w:proofErr w:type="spellStart"/>
      <w:r w:rsidRPr="00197856">
        <w:rPr>
          <w:sz w:val="22"/>
          <w:szCs w:val="22"/>
          <w:lang w:val="en"/>
        </w:rPr>
        <w:t>Elisheva</w:t>
      </w:r>
      <w:proofErr w:type="spellEnd"/>
      <w:r w:rsidRPr="00197856">
        <w:rPr>
          <w:sz w:val="22"/>
          <w:szCs w:val="22"/>
          <w:lang w:val="en"/>
        </w:rPr>
        <w:t xml:space="preserve"> </w:t>
      </w:r>
      <w:proofErr w:type="spellStart"/>
      <w:r w:rsidRPr="00197856">
        <w:rPr>
          <w:sz w:val="22"/>
          <w:szCs w:val="22"/>
          <w:lang w:val="en"/>
        </w:rPr>
        <w:t>Baumgarten</w:t>
      </w:r>
      <w:proofErr w:type="spellEnd"/>
      <w:r w:rsidRPr="00197856">
        <w:rPr>
          <w:sz w:val="22"/>
          <w:szCs w:val="22"/>
          <w:lang w:val="en"/>
        </w:rPr>
        <w:t xml:space="preserve">, Ruth </w:t>
      </w:r>
      <w:proofErr w:type="spellStart"/>
      <w:r w:rsidRPr="00197856">
        <w:rPr>
          <w:sz w:val="22"/>
          <w:szCs w:val="22"/>
          <w:lang w:val="en"/>
        </w:rPr>
        <w:t>Mazo</w:t>
      </w:r>
      <w:proofErr w:type="spellEnd"/>
      <w:r w:rsidRPr="00197856">
        <w:rPr>
          <w:sz w:val="22"/>
          <w:szCs w:val="22"/>
          <w:lang w:val="en"/>
        </w:rPr>
        <w:t xml:space="preserve"> </w:t>
      </w:r>
      <w:proofErr w:type="spellStart"/>
      <w:r w:rsidRPr="00197856">
        <w:rPr>
          <w:sz w:val="22"/>
          <w:szCs w:val="22"/>
          <w:lang w:val="en"/>
        </w:rPr>
        <w:t>Karras</w:t>
      </w:r>
      <w:proofErr w:type="spellEnd"/>
      <w:r w:rsidRPr="00197856">
        <w:rPr>
          <w:sz w:val="22"/>
          <w:szCs w:val="22"/>
          <w:lang w:val="en"/>
        </w:rPr>
        <w:t xml:space="preserve">, </w:t>
      </w:r>
      <w:proofErr w:type="spellStart"/>
      <w:r w:rsidRPr="00197856">
        <w:rPr>
          <w:sz w:val="22"/>
          <w:szCs w:val="22"/>
          <w:lang w:val="en"/>
        </w:rPr>
        <w:t>Kathelin</w:t>
      </w:r>
      <w:proofErr w:type="spellEnd"/>
      <w:r w:rsidRPr="00197856">
        <w:rPr>
          <w:sz w:val="22"/>
          <w:szCs w:val="22"/>
          <w:lang w:val="en"/>
        </w:rPr>
        <w:t xml:space="preserve"> </w:t>
      </w:r>
      <w:proofErr w:type="spellStart"/>
      <w:r w:rsidRPr="00197856">
        <w:rPr>
          <w:sz w:val="22"/>
          <w:szCs w:val="22"/>
          <w:lang w:val="en"/>
        </w:rPr>
        <w:t>Mesler</w:t>
      </w:r>
      <w:proofErr w:type="spellEnd"/>
      <w:r w:rsidRPr="00197856">
        <w:rPr>
          <w:sz w:val="22"/>
          <w:szCs w:val="22"/>
          <w:lang w:val="en"/>
        </w:rPr>
        <w:t xml:space="preserve">, Philadelphia 2016, pp. </w:t>
      </w:r>
      <w:r w:rsidR="00414304" w:rsidRPr="00197856">
        <w:rPr>
          <w:sz w:val="22"/>
          <w:szCs w:val="22"/>
        </w:rPr>
        <w:t>38–</w:t>
      </w:r>
      <w:commentRangeStart w:id="8"/>
      <w:r w:rsidR="00414304" w:rsidRPr="00197856">
        <w:rPr>
          <w:sz w:val="22"/>
          <w:szCs w:val="22"/>
        </w:rPr>
        <w:t>58</w:t>
      </w:r>
      <w:commentRangeEnd w:id="8"/>
      <w:r w:rsidR="00414304" w:rsidRPr="00197856">
        <w:rPr>
          <w:rStyle w:val="CommentReference"/>
          <w:rFonts w:eastAsiaTheme="minorHAnsi"/>
          <w:sz w:val="22"/>
          <w:szCs w:val="22"/>
        </w:rPr>
        <w:commentReference w:id="8"/>
      </w:r>
      <w:r w:rsidR="00414304" w:rsidRPr="00197856">
        <w:rPr>
          <w:sz w:val="22"/>
          <w:szCs w:val="22"/>
        </w:rPr>
        <w:t>.</w:t>
      </w:r>
    </w:p>
    <w:p w14:paraId="59831EA5" w14:textId="77777777" w:rsidR="00EE0607" w:rsidRPr="00197856" w:rsidRDefault="00EE0607" w:rsidP="00B23F2C">
      <w:pPr>
        <w:ind w:firstLine="288"/>
        <w:rPr>
          <w:rtl/>
        </w:rPr>
      </w:pPr>
    </w:p>
    <w:p w14:paraId="163B8639" w14:textId="77777777" w:rsidR="00EE0607" w:rsidRPr="00197856" w:rsidRDefault="00EE0607" w:rsidP="00B23F2C">
      <w:pPr>
        <w:ind w:firstLine="288"/>
      </w:pPr>
    </w:p>
    <w:p w14:paraId="3B9E23E2" w14:textId="77777777" w:rsidR="004E083B" w:rsidRPr="00197856" w:rsidRDefault="004E083B" w:rsidP="00B23F2C">
      <w:pPr>
        <w:ind w:firstLine="288"/>
      </w:pPr>
    </w:p>
    <w:sectPr w:rsidR="004E083B" w:rsidRPr="00197856" w:rsidSect="008945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8-03-12T14:25:00Z" w:initials="AK">
    <w:p w14:paraId="708748CF" w14:textId="28E2C8F6" w:rsidR="008C1F1E" w:rsidRDefault="008C1F1E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מרקר כחול מציין הוספות לצורכי בהירות. </w:t>
      </w:r>
    </w:p>
  </w:comment>
  <w:comment w:id="1" w:author="Avraham Kallenbach" w:date="2018-03-12T14:18:00Z" w:initials="AK">
    <w:p w14:paraId="2BF7E576" w14:textId="4F39AB7A" w:rsidR="0005382A" w:rsidRDefault="0005382A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במקום אלטרנטיבי. </w:t>
      </w:r>
    </w:p>
  </w:comment>
  <w:comment w:id="2" w:author="Avraham Kallenbach" w:date="2018-03-12T14:04:00Z" w:initials="AK">
    <w:p w14:paraId="5A0054D4" w14:textId="46F7B0C8" w:rsidR="00EE0607" w:rsidRDefault="00EE060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ידוע מגדר המגיש? אם לא אז אולי </w:t>
      </w:r>
      <w:r>
        <w:t>his or her</w:t>
      </w:r>
    </w:p>
  </w:comment>
  <w:comment w:id="3" w:author="Avraham Kallenbach" w:date="2018-03-12T14:06:00Z" w:initials="AK">
    <w:p w14:paraId="14E22091" w14:textId="6ED3CCE8" w:rsidR="00EE0607" w:rsidRPr="00EE0607" w:rsidRDefault="00EE06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אם הבנתי כוונתך הכותב </w:t>
      </w:r>
      <w:r>
        <w:rPr>
          <w:rFonts w:hint="cs"/>
          <w:b/>
          <w:bCs/>
          <w:rtl/>
        </w:rPr>
        <w:t xml:space="preserve">רק </w:t>
      </w:r>
      <w:r>
        <w:rPr>
          <w:rFonts w:hint="cs"/>
          <w:rtl/>
        </w:rPr>
        <w:t>כתב מספרי הפסוקים ולא ציין את הפרק ולכן הציטוט פגום.</w:t>
      </w:r>
    </w:p>
  </w:comment>
  <w:comment w:id="4" w:author="Avraham Kallenbach" w:date="2018-03-12T14:07:00Z" w:initials="AK">
    <w:p w14:paraId="44BA8E05" w14:textId="25B79E32" w:rsidR="00EE0607" w:rsidRDefault="00EE0607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אתה כתבת "כל" אבל כל הפואנטה הוא שהכותב לא כלל את כל המפרשים אלא רובם ועליו</w:t>
      </w:r>
      <w:r w:rsidR="00AC0D77">
        <w:rPr>
          <w:rFonts w:hint="cs"/>
          <w:rtl/>
        </w:rPr>
        <w:t xml:space="preserve"> </w:t>
      </w:r>
      <w:r>
        <w:rPr>
          <w:rFonts w:hint="cs"/>
          <w:rtl/>
        </w:rPr>
        <w:t xml:space="preserve">להוסיף </w:t>
      </w:r>
      <w:proofErr w:type="spellStart"/>
      <w:r>
        <w:rPr>
          <w:rFonts w:hint="cs"/>
          <w:rtl/>
        </w:rPr>
        <w:t>ריב"ש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ורד"ק</w:t>
      </w:r>
      <w:proofErr w:type="spellEnd"/>
      <w:r>
        <w:rPr>
          <w:rFonts w:hint="cs"/>
          <w:rtl/>
        </w:rPr>
        <w:t>. האם הבנתי נכון?</w:t>
      </w:r>
    </w:p>
  </w:comment>
  <w:comment w:id="5" w:author="Avraham Kallenbach" w:date="2018-03-12T14:23:00Z" w:initials="AK">
    <w:p w14:paraId="701D935C" w14:textId="4ECF5BB5" w:rsidR="00197856" w:rsidRDefault="0019785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הוספתי כדי לחבר את המשפט הראשון והמשפט השני. </w:t>
      </w:r>
    </w:p>
  </w:comment>
  <w:comment w:id="6" w:author="Avraham Kallenbach" w:date="2018-03-12T14:29:00Z" w:initials="AK">
    <w:p w14:paraId="6DE5B8FE" w14:textId="3593C925" w:rsidR="006204AC" w:rsidRDefault="006204AC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Style w:val="CommentReference"/>
        </w:rPr>
        <w:t>spelling</w:t>
      </w:r>
      <w:bookmarkStart w:id="7" w:name="_GoBack"/>
      <w:bookmarkEnd w:id="7"/>
    </w:p>
  </w:comment>
  <w:comment w:id="8" w:author="Avraham Kallenbach" w:date="2018-03-12T14:12:00Z" w:initials="AK">
    <w:p w14:paraId="47E2A2CA" w14:textId="1A2BB767" w:rsidR="00414304" w:rsidRDefault="0041430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השלמתי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8748CF" w15:done="0"/>
  <w15:commentEx w15:paraId="2BF7E576" w15:done="0"/>
  <w15:commentEx w15:paraId="5A0054D4" w15:done="0"/>
  <w15:commentEx w15:paraId="14E22091" w15:done="0"/>
  <w15:commentEx w15:paraId="44BA8E05" w15:done="0"/>
  <w15:commentEx w15:paraId="701D935C" w15:done="0"/>
  <w15:commentEx w15:paraId="6DE5B8FE" w15:done="0"/>
  <w15:commentEx w15:paraId="47E2A2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8748CF" w16cid:durableId="1E510C5A"/>
  <w16cid:commentId w16cid:paraId="2BF7E576" w16cid:durableId="1E510AD1"/>
  <w16cid:commentId w16cid:paraId="5A0054D4" w16cid:durableId="1E51078A"/>
  <w16cid:commentId w16cid:paraId="14E22091" w16cid:durableId="1E5107E3"/>
  <w16cid:commentId w16cid:paraId="44BA8E05" w16cid:durableId="1E51081E"/>
  <w16cid:commentId w16cid:paraId="701D935C" w16cid:durableId="1E510BC8"/>
  <w16cid:commentId w16cid:paraId="6DE5B8FE" w16cid:durableId="1E510D45"/>
  <w16cid:commentId w16cid:paraId="47E2A2CA" w16cid:durableId="1E51093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16D5"/>
    <w:rsid w:val="0005382A"/>
    <w:rsid w:val="00197856"/>
    <w:rsid w:val="003A1037"/>
    <w:rsid w:val="00414304"/>
    <w:rsid w:val="004E083B"/>
    <w:rsid w:val="00510974"/>
    <w:rsid w:val="005277DC"/>
    <w:rsid w:val="006204AC"/>
    <w:rsid w:val="006E2012"/>
    <w:rsid w:val="007E10EC"/>
    <w:rsid w:val="008C1F1E"/>
    <w:rsid w:val="009D687E"/>
    <w:rsid w:val="00AC0D77"/>
    <w:rsid w:val="00B23F2C"/>
    <w:rsid w:val="00B43AA9"/>
    <w:rsid w:val="00D216D5"/>
    <w:rsid w:val="00E2556F"/>
    <w:rsid w:val="00EE0607"/>
    <w:rsid w:val="00F75DCA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DA61"/>
  <w15:chartTrackingRefBased/>
  <w15:docId w15:val="{FA8FD7C8-0842-41BF-99D5-738C1D4D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607"/>
    <w:pPr>
      <w:bidi/>
      <w:spacing w:after="0" w:line="360" w:lineRule="auto"/>
      <w:jc w:val="both"/>
    </w:pPr>
    <w:rPr>
      <w:rFonts w:ascii="Times New Roman" w:hAnsi="Times New Roman" w:cs="David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ביבליו"/>
    <w:basedOn w:val="Normal"/>
    <w:rsid w:val="00EE0607"/>
    <w:pPr>
      <w:spacing w:line="240" w:lineRule="auto"/>
    </w:pPr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0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607"/>
    <w:rPr>
      <w:rFonts w:ascii="Times New Roman" w:hAnsi="Times New Roman" w:cs="David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607"/>
    <w:rPr>
      <w:rFonts w:ascii="Times New Roman" w:hAnsi="Times New Roman" w:cs="David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07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563</Words>
  <Characters>2640</Characters>
  <Application>Microsoft Office Word</Application>
  <DocSecurity>0</DocSecurity>
  <Lines>42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13</cp:revision>
  <dcterms:created xsi:type="dcterms:W3CDTF">2018-03-12T12:00:00Z</dcterms:created>
  <dcterms:modified xsi:type="dcterms:W3CDTF">2018-03-12T12:29:00Z</dcterms:modified>
</cp:coreProperties>
</file>