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425" w:type="dxa"/>
        <w:tblCellSpacing w:w="0" w:type="dxa"/>
        <w:tblCellMar>
          <w:left w:w="0" w:type="dxa"/>
          <w:right w:w="0" w:type="dxa"/>
        </w:tblCellMar>
        <w:tblLook w:val="04A0" w:firstRow="1" w:lastRow="0" w:firstColumn="1" w:lastColumn="0" w:noHBand="0" w:noVBand="1"/>
      </w:tblPr>
      <w:tblGrid>
        <w:gridCol w:w="7425"/>
      </w:tblGrid>
      <w:tr w:rsidR="00621529" w:rsidRPr="00621529" w14:paraId="5E428310" w14:textId="77777777" w:rsidTr="00621529">
        <w:trPr>
          <w:tblCellSpacing w:w="0" w:type="dxa"/>
        </w:trPr>
        <w:tc>
          <w:tcPr>
            <w:tcW w:w="0" w:type="auto"/>
            <w:vAlign w:val="center"/>
            <w:hideMark/>
          </w:tcPr>
          <w:p w14:paraId="50260960" w14:textId="77777777" w:rsidR="00621529" w:rsidRPr="00621529" w:rsidRDefault="00621529" w:rsidP="00621529">
            <w:pPr>
              <w:spacing w:after="0" w:line="240" w:lineRule="auto"/>
              <w:rPr>
                <w:rFonts w:ascii="Arial" w:eastAsia="Times New Roman" w:hAnsi="Arial" w:cs="Arial"/>
                <w:b/>
                <w:bCs/>
                <w:color w:val="000000"/>
                <w:spacing w:val="-15"/>
                <w:sz w:val="40"/>
                <w:szCs w:val="40"/>
              </w:rPr>
            </w:pPr>
            <w:bookmarkStart w:id="0" w:name="_GoBack"/>
            <w:bookmarkEnd w:id="0"/>
            <w:r>
              <w:rPr>
                <w:rFonts w:ascii="Arial" w:hAnsi="Arial"/>
                <w:b/>
                <w:bCs/>
                <w:color w:val="000000"/>
                <w:sz w:val="52"/>
                <w:szCs w:val="52"/>
              </w:rPr>
              <w:t>Recours pour la suspension des déclarations des banques adressées à l’autorité fiscale</w:t>
            </w:r>
          </w:p>
        </w:tc>
      </w:tr>
    </w:tbl>
    <w:p w14:paraId="38AAD8D3" w14:textId="77777777" w:rsidR="00621529" w:rsidRPr="00621529" w:rsidRDefault="00621529" w:rsidP="00621529">
      <w:pPr>
        <w:bidi/>
        <w:spacing w:after="0" w:line="240" w:lineRule="auto"/>
        <w:rPr>
          <w:rFonts w:ascii="Arial" w:eastAsia="Times New Roman" w:hAnsi="Arial" w:cs="Arial"/>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9026"/>
      </w:tblGrid>
      <w:tr w:rsidR="00621529" w:rsidRPr="00621529" w14:paraId="5C035FD3" w14:textId="77777777" w:rsidTr="00621529">
        <w:trPr>
          <w:trHeight w:val="75"/>
          <w:tblCellSpacing w:w="0" w:type="dxa"/>
        </w:trPr>
        <w:tc>
          <w:tcPr>
            <w:tcW w:w="0" w:type="auto"/>
            <w:vAlign w:val="center"/>
            <w:hideMark/>
          </w:tcPr>
          <w:p w14:paraId="0D4CF298" w14:textId="77777777" w:rsidR="00621529" w:rsidRPr="00621529" w:rsidRDefault="00621529" w:rsidP="00621529">
            <w:pPr>
              <w:bidi/>
              <w:spacing w:after="0" w:line="240" w:lineRule="auto"/>
              <w:rPr>
                <w:rFonts w:ascii="Arial" w:eastAsia="Times New Roman" w:hAnsi="Arial" w:cs="Arial"/>
                <w:color w:val="000000"/>
                <w:sz w:val="27"/>
                <w:szCs w:val="27"/>
              </w:rPr>
            </w:pPr>
          </w:p>
        </w:tc>
      </w:tr>
      <w:tr w:rsidR="00621529" w:rsidRPr="00621529" w14:paraId="744B37E4" w14:textId="77777777" w:rsidTr="00621529">
        <w:trPr>
          <w:tblCellSpacing w:w="0" w:type="dxa"/>
        </w:trPr>
        <w:tc>
          <w:tcPr>
            <w:tcW w:w="0" w:type="auto"/>
            <w:hideMark/>
          </w:tcPr>
          <w:tbl>
            <w:tblPr>
              <w:tblpPr w:leftFromText="45" w:rightFromText="105" w:topFromText="60" w:vertAnchor="text"/>
              <w:tblW w:w="3465" w:type="dxa"/>
              <w:tblCellSpacing w:w="0" w:type="dxa"/>
              <w:tblCellMar>
                <w:left w:w="0" w:type="dxa"/>
                <w:right w:w="0" w:type="dxa"/>
              </w:tblCellMar>
              <w:tblLook w:val="04A0" w:firstRow="1" w:lastRow="0" w:firstColumn="1" w:lastColumn="0" w:noHBand="0" w:noVBand="1"/>
            </w:tblPr>
            <w:tblGrid>
              <w:gridCol w:w="3480"/>
            </w:tblGrid>
            <w:tr w:rsidR="00621529" w:rsidRPr="00621529" w14:paraId="2AE0F964" w14:textId="77777777">
              <w:trPr>
                <w:tblCellSpacing w:w="0" w:type="dxa"/>
              </w:trPr>
              <w:tc>
                <w:tcPr>
                  <w:tcW w:w="0" w:type="auto"/>
                  <w:vAlign w:val="center"/>
                  <w:hideMark/>
                </w:tcPr>
                <w:tbl>
                  <w:tblPr>
                    <w:tblpPr w:leftFromText="45" w:rightFromText="45" w:vertAnchor="text"/>
                    <w:tblW w:w="3465" w:type="dxa"/>
                    <w:tblCellSpacing w:w="0" w:type="dxa"/>
                    <w:tblCellMar>
                      <w:left w:w="0" w:type="dxa"/>
                      <w:right w:w="0" w:type="dxa"/>
                    </w:tblCellMar>
                    <w:tblLook w:val="04A0" w:firstRow="1" w:lastRow="0" w:firstColumn="1" w:lastColumn="0" w:noHBand="0" w:noVBand="1"/>
                  </w:tblPr>
                  <w:tblGrid>
                    <w:gridCol w:w="3480"/>
                  </w:tblGrid>
                  <w:tr w:rsidR="00621529" w:rsidRPr="00621529" w14:paraId="6642F471" w14:textId="77777777">
                    <w:trPr>
                      <w:tblCellSpacing w:w="0" w:type="dxa"/>
                    </w:trPr>
                    <w:tc>
                      <w:tcPr>
                        <w:tcW w:w="0" w:type="auto"/>
                        <w:tcMar>
                          <w:top w:w="0" w:type="dxa"/>
                          <w:left w:w="0" w:type="dxa"/>
                          <w:bottom w:w="0" w:type="dxa"/>
                          <w:right w:w="90" w:type="dxa"/>
                        </w:tcMar>
                        <w:vAlign w:val="center"/>
                        <w:hideMark/>
                      </w:tcPr>
                      <w:tbl>
                        <w:tblPr>
                          <w:tblW w:w="3375" w:type="dxa"/>
                          <w:tblCellSpacing w:w="0" w:type="dxa"/>
                          <w:tblCellMar>
                            <w:left w:w="0" w:type="dxa"/>
                            <w:right w:w="0" w:type="dxa"/>
                          </w:tblCellMar>
                          <w:tblLook w:val="04A0" w:firstRow="1" w:lastRow="0" w:firstColumn="1" w:lastColumn="0" w:noHBand="0" w:noVBand="1"/>
                        </w:tblPr>
                        <w:tblGrid>
                          <w:gridCol w:w="3390"/>
                        </w:tblGrid>
                        <w:tr w:rsidR="00621529" w:rsidRPr="00621529" w14:paraId="30C323BD" w14:textId="77777777">
                          <w:trPr>
                            <w:tblCellSpacing w:w="0" w:type="dxa"/>
                          </w:trPr>
                          <w:tc>
                            <w:tcPr>
                              <w:tcW w:w="0" w:type="auto"/>
                              <w:vAlign w:val="center"/>
                              <w:hideMark/>
                            </w:tcPr>
                            <w:p w14:paraId="087FFABF" w14:textId="77777777" w:rsidR="00621529" w:rsidRPr="00621529" w:rsidRDefault="00621529" w:rsidP="00621529">
                              <w:pPr>
                                <w:spacing w:after="0" w:line="240" w:lineRule="auto"/>
                                <w:rPr>
                                  <w:rFonts w:ascii="Times New Roman" w:eastAsia="Times New Roman" w:hAnsi="Times New Roman" w:cs="Times New Roman"/>
                                  <w:sz w:val="24"/>
                                  <w:szCs w:val="24"/>
                                </w:rPr>
                              </w:pPr>
                              <w:r>
                                <w:rPr>
                                  <w:rFonts w:ascii="Times New Roman" w:hAnsi="Times New Roman"/>
                                  <w:noProof/>
                                  <w:sz w:val="24"/>
                                  <w:szCs w:val="24"/>
                                  <w:lang w:eastAsia="fr-FR" w:bidi="he-IL"/>
                                </w:rPr>
                                <w:drawing>
                                  <wp:inline distT="0" distB="0" distL="0" distR="0" wp14:anchorId="165A6997" wp14:editId="25919056">
                                    <wp:extent cx="2143125" cy="1600200"/>
                                    <wp:effectExtent l="0" t="0" r="9525" b="0"/>
                                    <wp:docPr id="1" name="ctl00_ContentMain_UcArticle1_imgTopLeft" descr="https://www.news1.co.il/uploadimages/NEWSY17-663921535015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Main_UcArticle1_imgTopLeft" descr="https://www.news1.co.il/uploadimages/NEWSY17-6639215350151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p>
                          </w:tc>
                        </w:tr>
                        <w:tr w:rsidR="00621529" w:rsidRPr="00621529" w14:paraId="522DB396" w14:textId="77777777">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3390"/>
                              </w:tblGrid>
                              <w:tr w:rsidR="00621529" w:rsidRPr="00621529" w14:paraId="0D067309" w14:textId="77777777">
                                <w:trPr>
                                  <w:tblCellSpacing w:w="0" w:type="dxa"/>
                                </w:trPr>
                                <w:tc>
                                  <w:tcPr>
                                    <w:tcW w:w="3375" w:type="dxa"/>
                                    <w:shd w:val="clear" w:color="auto" w:fill="808080"/>
                                    <w:tcMar>
                                      <w:top w:w="45" w:type="dxa"/>
                                      <w:left w:w="150" w:type="dxa"/>
                                      <w:bottom w:w="45" w:type="dxa"/>
                                      <w:right w:w="150" w:type="dxa"/>
                                    </w:tcMar>
                                    <w:vAlign w:val="center"/>
                                    <w:hideMark/>
                                  </w:tcPr>
                                  <w:p w14:paraId="493EE5E6" w14:textId="4DDCDC68" w:rsidR="00621529" w:rsidRPr="00621529" w:rsidRDefault="00621529" w:rsidP="00621529">
                                    <w:pPr>
                                      <w:spacing w:after="0" w:line="240" w:lineRule="auto"/>
                                      <w:rPr>
                                        <w:rFonts w:ascii="Times New Roman" w:eastAsia="Times New Roman" w:hAnsi="Times New Roman" w:cs="Times New Roman"/>
                                        <w:sz w:val="24"/>
                                        <w:szCs w:val="24"/>
                                      </w:rPr>
                                    </w:pPr>
                                    <w:r>
                                      <w:rPr>
                                        <w:rFonts w:ascii="Arial" w:hAnsi="Arial"/>
                                        <w:sz w:val="17"/>
                                        <w:szCs w:val="17"/>
                                      </w:rPr>
                                      <w:t xml:space="preserve">« Les employés </w:t>
                                    </w:r>
                                    <w:r w:rsidR="005E419F">
                                      <w:rPr>
                                        <w:rFonts w:ascii="Arial" w:hAnsi="Arial"/>
                                        <w:sz w:val="17"/>
                                        <w:szCs w:val="17"/>
                                      </w:rPr>
                                      <w:t>sont dans l</w:t>
                                    </w:r>
                                    <w:r w:rsidR="00600A05">
                                      <w:rPr>
                                        <w:rFonts w:ascii="Arial" w:hAnsi="Arial"/>
                                        <w:sz w:val="17"/>
                                        <w:szCs w:val="17"/>
                                      </w:rPr>
                                      <w:t>’</w:t>
                                    </w:r>
                                    <w:r w:rsidR="005E419F">
                                      <w:rPr>
                                        <w:rFonts w:ascii="Arial" w:hAnsi="Arial"/>
                                        <w:sz w:val="17"/>
                                        <w:szCs w:val="17"/>
                                      </w:rPr>
                                      <w:t>ignorance</w:t>
                                    </w:r>
                                    <w:r>
                                      <w:rPr>
                                        <w:rFonts w:ascii="Arial" w:hAnsi="Arial"/>
                                        <w:sz w:val="17"/>
                                        <w:szCs w:val="17"/>
                                      </w:rPr>
                                      <w:t> » [photo : Yonatan Zindel, Flash</w:t>
                                    </w:r>
                                    <w:r w:rsidR="002A504C">
                                      <w:rPr>
                                        <w:rFonts w:ascii="Arial" w:hAnsi="Arial"/>
                                        <w:sz w:val="17"/>
                                        <w:szCs w:val="17"/>
                                      </w:rPr>
                                      <w:t> </w:t>
                                    </w:r>
                                    <w:r>
                                      <w:rPr>
                                        <w:rFonts w:ascii="Arial" w:hAnsi="Arial"/>
                                        <w:sz w:val="17"/>
                                        <w:szCs w:val="17"/>
                                      </w:rPr>
                                      <w:t>90]</w:t>
                                    </w:r>
                                  </w:p>
                                </w:tc>
                              </w:tr>
                            </w:tbl>
                            <w:p w14:paraId="4B77E8E0" w14:textId="77777777" w:rsidR="00621529" w:rsidRPr="00621529" w:rsidRDefault="00621529" w:rsidP="00621529">
                              <w:pPr>
                                <w:bidi/>
                                <w:spacing w:after="0" w:line="240" w:lineRule="auto"/>
                                <w:rPr>
                                  <w:rFonts w:ascii="Times New Roman" w:eastAsia="Times New Roman" w:hAnsi="Times New Roman" w:cs="Times New Roman"/>
                                  <w:sz w:val="24"/>
                                  <w:szCs w:val="24"/>
                                </w:rPr>
                              </w:pPr>
                            </w:p>
                          </w:tc>
                        </w:tr>
                        <w:tr w:rsidR="00621529" w:rsidRPr="00621529" w14:paraId="096EEF84" w14:textId="77777777">
                          <w:trPr>
                            <w:trHeight w:val="405"/>
                            <w:tblCellSpacing w:w="0" w:type="dxa"/>
                          </w:trPr>
                          <w:tc>
                            <w:tcPr>
                              <w:tcW w:w="5000" w:type="pct"/>
                              <w:shd w:val="clear" w:color="auto" w:fill="FFFFFF"/>
                              <w:vAlign w:val="center"/>
                              <w:hideMark/>
                            </w:tcPr>
                            <w:p w14:paraId="3E4F7602" w14:textId="77777777" w:rsidR="00621529" w:rsidRPr="00621529" w:rsidRDefault="00D677DE" w:rsidP="00621529">
                              <w:pPr>
                                <w:spacing w:after="0" w:line="240" w:lineRule="auto"/>
                                <w:rPr>
                                  <w:rFonts w:ascii="Times New Roman" w:eastAsia="Times New Roman" w:hAnsi="Times New Roman" w:cs="Times New Roman"/>
                                  <w:sz w:val="24"/>
                                  <w:szCs w:val="24"/>
                                </w:rPr>
                              </w:pPr>
                              <w:r>
                                <w:rPr>
                                  <w:rFonts w:ascii="Times New Roman" w:hAnsi="Times New Roman"/>
                                  <w:sz w:val="24"/>
                                  <w:szCs w:val="24"/>
                                </w:rPr>
                                <w:pict w14:anchorId="3F0A96AC">
                                  <v:rect id="_x0000_i1025" style="width:0;height:2.25pt" o:hralign="right" o:hrstd="t" o:hrnoshade="t" o:hr="t" fillcolor="silver" stroked="f"/>
                                </w:pict>
                              </w:r>
                            </w:p>
                          </w:tc>
                        </w:tr>
                      </w:tbl>
                      <w:p w14:paraId="7FE744AF" w14:textId="77777777" w:rsidR="00621529" w:rsidRPr="00621529" w:rsidRDefault="00621529" w:rsidP="00621529">
                        <w:pPr>
                          <w:bidi/>
                          <w:spacing w:after="0" w:line="240" w:lineRule="auto"/>
                          <w:rPr>
                            <w:rFonts w:ascii="Times New Roman" w:eastAsia="Times New Roman" w:hAnsi="Times New Roman" w:cs="Times New Roman"/>
                            <w:sz w:val="24"/>
                            <w:szCs w:val="24"/>
                            <w:rtl/>
                          </w:rPr>
                        </w:pPr>
                      </w:p>
                    </w:tc>
                  </w:tr>
                </w:tbl>
                <w:p w14:paraId="31A89175" w14:textId="77777777" w:rsidR="00621529" w:rsidRPr="00621529" w:rsidRDefault="00621529" w:rsidP="00621529">
                  <w:pPr>
                    <w:bidi/>
                    <w:spacing w:after="0" w:line="240" w:lineRule="auto"/>
                    <w:rPr>
                      <w:rFonts w:ascii="Times New Roman" w:eastAsia="Times New Roman" w:hAnsi="Times New Roman" w:cs="Times New Roman"/>
                      <w:sz w:val="24"/>
                      <w:szCs w:val="24"/>
                    </w:rPr>
                  </w:pPr>
                </w:p>
              </w:tc>
            </w:tr>
          </w:tbl>
          <w:p w14:paraId="13CC3A89" w14:textId="02E5F5EE" w:rsidR="00621529" w:rsidRPr="00621529" w:rsidRDefault="00621529" w:rsidP="009C498B">
            <w:pPr>
              <w:spacing w:after="300" w:line="240" w:lineRule="atLeast"/>
              <w:rPr>
                <w:rFonts w:ascii="Tahoma" w:eastAsia="Times New Roman" w:hAnsi="Tahoma" w:cs="Tahoma"/>
                <w:color w:val="000000"/>
                <w:sz w:val="17"/>
                <w:szCs w:val="17"/>
              </w:rPr>
            </w:pPr>
            <w:r>
              <w:rPr>
                <w:rFonts w:ascii="Tahoma" w:hAnsi="Tahoma"/>
                <w:b/>
                <w:bCs/>
                <w:color w:val="3F3F3F"/>
                <w:sz w:val="20"/>
                <w:szCs w:val="20"/>
              </w:rPr>
              <w:t xml:space="preserve">Un </w:t>
            </w:r>
            <w:r w:rsidR="009C498B">
              <w:rPr>
                <w:rFonts w:ascii="Tahoma" w:hAnsi="Tahoma"/>
                <w:b/>
                <w:bCs/>
                <w:color w:val="3F3F3F"/>
                <w:sz w:val="20"/>
                <w:szCs w:val="20"/>
              </w:rPr>
              <w:t>cabinet</w:t>
            </w:r>
            <w:r>
              <w:rPr>
                <w:rFonts w:ascii="Tahoma" w:hAnsi="Tahoma"/>
                <w:b/>
                <w:bCs/>
                <w:color w:val="3F3F3F"/>
                <w:sz w:val="20"/>
                <w:szCs w:val="20"/>
              </w:rPr>
              <w:t xml:space="preserve"> </w:t>
            </w:r>
            <w:r w:rsidR="009C498B">
              <w:rPr>
                <w:rFonts w:ascii="Tahoma" w:hAnsi="Tahoma"/>
                <w:b/>
                <w:bCs/>
                <w:color w:val="3F3F3F"/>
                <w:sz w:val="20"/>
                <w:szCs w:val="20"/>
              </w:rPr>
              <w:t>spécialisé</w:t>
            </w:r>
            <w:r w:rsidR="005E419F">
              <w:rPr>
                <w:rFonts w:ascii="Tahoma" w:hAnsi="Tahoma"/>
                <w:b/>
                <w:bCs/>
                <w:color w:val="3F3F3F"/>
                <w:sz w:val="20"/>
                <w:szCs w:val="20"/>
              </w:rPr>
              <w:t xml:space="preserve"> en </w:t>
            </w:r>
            <w:r>
              <w:rPr>
                <w:rFonts w:ascii="Tahoma" w:hAnsi="Tahoma"/>
                <w:b/>
                <w:bCs/>
                <w:color w:val="3F3F3F"/>
                <w:sz w:val="20"/>
                <w:szCs w:val="20"/>
              </w:rPr>
              <w:t xml:space="preserve">fiscalité et </w:t>
            </w:r>
            <w:r w:rsidR="005E419F">
              <w:rPr>
                <w:rFonts w:ascii="Tahoma" w:hAnsi="Tahoma"/>
                <w:b/>
                <w:bCs/>
                <w:color w:val="3F3F3F"/>
                <w:sz w:val="20"/>
                <w:szCs w:val="20"/>
              </w:rPr>
              <w:t>en</w:t>
            </w:r>
            <w:r>
              <w:rPr>
                <w:rFonts w:ascii="Tahoma" w:hAnsi="Tahoma"/>
                <w:b/>
                <w:bCs/>
                <w:color w:val="3F3F3F"/>
                <w:sz w:val="20"/>
                <w:szCs w:val="20"/>
              </w:rPr>
              <w:t xml:space="preserve"> blanchiment de capitaux, principalement pour des immigrants de France, indique qu’un certain chaos prédomine et demande au tribunal d’ordonner la mise en œuvre de principes uniformes et clairs</w:t>
            </w:r>
          </w:p>
          <w:tbl>
            <w:tblPr>
              <w:tblW w:w="0" w:type="auto"/>
              <w:jc w:val="right"/>
              <w:tblCellSpacing w:w="0" w:type="dxa"/>
              <w:tblCellMar>
                <w:left w:w="0" w:type="dxa"/>
                <w:right w:w="0" w:type="dxa"/>
              </w:tblCellMar>
              <w:tblLook w:val="04A0" w:firstRow="1" w:lastRow="0" w:firstColumn="1" w:lastColumn="0" w:noHBand="0" w:noVBand="1"/>
            </w:tblPr>
            <w:tblGrid>
              <w:gridCol w:w="6"/>
            </w:tblGrid>
            <w:tr w:rsidR="00621529" w:rsidRPr="00621529" w14:paraId="7FBF7CE8" w14:textId="77777777">
              <w:trPr>
                <w:trHeight w:val="75"/>
                <w:tblCellSpacing w:w="0" w:type="dxa"/>
                <w:jc w:val="right"/>
              </w:trPr>
              <w:tc>
                <w:tcPr>
                  <w:tcW w:w="0" w:type="auto"/>
                  <w:vAlign w:val="center"/>
                  <w:hideMark/>
                </w:tcPr>
                <w:p w14:paraId="1CEE5F01" w14:textId="77777777" w:rsidR="00621529" w:rsidRPr="00621529" w:rsidRDefault="00621529" w:rsidP="00621529">
                  <w:pPr>
                    <w:bidi/>
                    <w:spacing w:after="0" w:line="240" w:lineRule="auto"/>
                    <w:rPr>
                      <w:rFonts w:ascii="Tahoma" w:eastAsia="Times New Roman" w:hAnsi="Tahoma" w:cs="Tahoma"/>
                      <w:color w:val="000000"/>
                      <w:sz w:val="17"/>
                      <w:szCs w:val="17"/>
                    </w:rPr>
                  </w:pPr>
                </w:p>
              </w:tc>
            </w:tr>
          </w:tbl>
          <w:p w14:paraId="7027BE6C" w14:textId="77777777" w:rsidR="00621529" w:rsidRPr="00621529" w:rsidRDefault="00621529" w:rsidP="00621529">
            <w:pPr>
              <w:bidi/>
              <w:spacing w:after="0" w:line="240" w:lineRule="auto"/>
              <w:rPr>
                <w:rFonts w:ascii="Arial" w:eastAsia="Times New Roman" w:hAnsi="Arial" w:cs="Arial"/>
                <w:vanish/>
                <w:color w:val="000000"/>
                <w:sz w:val="27"/>
                <w:szCs w:val="27"/>
              </w:rPr>
            </w:pPr>
          </w:p>
          <w:p w14:paraId="7D173BFE" w14:textId="77777777" w:rsidR="00621529" w:rsidRPr="00621529" w:rsidRDefault="00621529" w:rsidP="00621529">
            <w:pPr>
              <w:spacing w:after="0" w:line="240" w:lineRule="auto"/>
              <w:rPr>
                <w:rFonts w:ascii="Arial" w:eastAsia="Times New Roman" w:hAnsi="Arial" w:cs="Arial"/>
                <w:color w:val="000000"/>
                <w:sz w:val="27"/>
                <w:szCs w:val="27"/>
              </w:rPr>
            </w:pPr>
            <w:r>
              <w:rPr>
                <w:rFonts w:ascii="Arial" w:hAnsi="Arial"/>
                <w:color w:val="000000"/>
                <w:sz w:val="27"/>
                <w:szCs w:val="27"/>
              </w:rPr>
              <w:t>▪  ▪  ▪</w:t>
            </w:r>
          </w:p>
          <w:p w14:paraId="7F658278" w14:textId="08CBA693" w:rsidR="00621529" w:rsidRPr="00621529" w:rsidRDefault="009C498B" w:rsidP="009C498B">
            <w:pPr>
              <w:spacing w:after="0" w:line="240" w:lineRule="auto"/>
              <w:rPr>
                <w:rFonts w:ascii="Arial" w:eastAsia="Times New Roman" w:hAnsi="Arial" w:cs="Arial"/>
                <w:color w:val="000000"/>
                <w:sz w:val="21"/>
                <w:szCs w:val="21"/>
              </w:rPr>
            </w:pPr>
            <w:r>
              <w:rPr>
                <w:rFonts w:ascii="Arial" w:hAnsi="Arial"/>
                <w:color w:val="000000"/>
                <w:sz w:val="21"/>
                <w:szCs w:val="21"/>
              </w:rPr>
              <w:t>Le cabinet</w:t>
            </w:r>
            <w:r w:rsidR="00621529">
              <w:rPr>
                <w:rFonts w:ascii="Arial" w:hAnsi="Arial"/>
                <w:color w:val="000000"/>
                <w:sz w:val="21"/>
                <w:szCs w:val="21"/>
              </w:rPr>
              <w:t xml:space="preserve"> N.C. Natco Consulting Ltd. </w:t>
            </w:r>
            <w:r>
              <w:rPr>
                <w:rFonts w:ascii="Arial" w:hAnsi="Arial"/>
                <w:color w:val="000000"/>
                <w:sz w:val="21"/>
                <w:szCs w:val="21"/>
              </w:rPr>
              <w:t>affirme</w:t>
            </w:r>
            <w:r w:rsidR="00621529">
              <w:rPr>
                <w:rFonts w:ascii="Arial" w:hAnsi="Arial"/>
                <w:color w:val="000000"/>
                <w:sz w:val="21"/>
                <w:szCs w:val="21"/>
              </w:rPr>
              <w:t xml:space="preserve"> que les banques n’appliquent pas les ordonnances </w:t>
            </w:r>
            <w:r w:rsidR="00600A05">
              <w:rPr>
                <w:rFonts w:ascii="Arial" w:hAnsi="Arial"/>
                <w:color w:val="000000"/>
                <w:sz w:val="21"/>
                <w:szCs w:val="21"/>
              </w:rPr>
              <w:t>sur les</w:t>
            </w:r>
            <w:r w:rsidR="00621529">
              <w:rPr>
                <w:rFonts w:ascii="Arial" w:hAnsi="Arial"/>
                <w:color w:val="000000"/>
                <w:sz w:val="21"/>
                <w:szCs w:val="21"/>
              </w:rPr>
              <w:t xml:space="preserve"> déclaration</w:t>
            </w:r>
            <w:r w:rsidR="00600A05">
              <w:rPr>
                <w:rFonts w:ascii="Arial" w:hAnsi="Arial"/>
                <w:color w:val="000000"/>
                <w:sz w:val="21"/>
                <w:szCs w:val="21"/>
              </w:rPr>
              <w:t>s</w:t>
            </w:r>
            <w:r w:rsidR="00621529">
              <w:rPr>
                <w:rFonts w:ascii="Arial" w:hAnsi="Arial"/>
                <w:color w:val="000000"/>
                <w:sz w:val="21"/>
                <w:szCs w:val="21"/>
              </w:rPr>
              <w:t xml:space="preserve"> de l’autorité fiscale concernant les comptes des résidents étrangers aux fins de transférer des informations financières aux pays de résidence des titulaires des comptes. Selon </w:t>
            </w:r>
            <w:r>
              <w:rPr>
                <w:rFonts w:ascii="Arial" w:hAnsi="Arial"/>
                <w:color w:val="000000"/>
                <w:sz w:val="21"/>
                <w:szCs w:val="21"/>
              </w:rPr>
              <w:t>lui</w:t>
            </w:r>
            <w:r w:rsidR="00621529">
              <w:rPr>
                <w:rFonts w:ascii="Arial" w:hAnsi="Arial"/>
                <w:color w:val="000000"/>
                <w:sz w:val="21"/>
                <w:szCs w:val="21"/>
              </w:rPr>
              <w:t>, il faut contraindre le contrôleur des banques à ordonner aux banques de déterminer des procédures claires et en bonne et due forme, d’organiser des formations pour leurs employés, de superviser l’application des procédures et de protéger la vie privée des clients. </w:t>
            </w:r>
            <w:r w:rsidR="00621529">
              <w:rPr>
                <w:rFonts w:ascii="Arial" w:hAnsi="Arial"/>
                <w:color w:val="000000"/>
                <w:sz w:val="21"/>
                <w:szCs w:val="21"/>
              </w:rPr>
              <w:br/>
            </w:r>
            <w:r w:rsidR="00621529">
              <w:rPr>
                <w:rFonts w:ascii="Arial" w:hAnsi="Arial"/>
                <w:color w:val="000000"/>
                <w:sz w:val="21"/>
                <w:szCs w:val="21"/>
              </w:rPr>
              <w:br/>
            </w:r>
            <w:r>
              <w:rPr>
                <w:rFonts w:ascii="Arial" w:hAnsi="Arial"/>
                <w:color w:val="000000"/>
                <w:sz w:val="21"/>
                <w:szCs w:val="21"/>
              </w:rPr>
              <w:t xml:space="preserve">Le cabinet </w:t>
            </w:r>
            <w:r w:rsidR="002A504C" w:rsidRPr="00600A05">
              <w:rPr>
                <w:rFonts w:ascii="Arial" w:hAnsi="Arial"/>
                <w:color w:val="000000"/>
                <w:sz w:val="21"/>
                <w:szCs w:val="21"/>
              </w:rPr>
              <w:t>s’occupe de conseil</w:t>
            </w:r>
            <w:r w:rsidR="00621529" w:rsidRPr="00600A05">
              <w:rPr>
                <w:rFonts w:ascii="Arial" w:hAnsi="Arial"/>
                <w:color w:val="000000"/>
                <w:sz w:val="21"/>
                <w:szCs w:val="21"/>
              </w:rPr>
              <w:t xml:space="preserve"> en matière fiscale et de </w:t>
            </w:r>
            <w:hyperlink r:id="rId7" w:history="1">
              <w:r w:rsidR="00621529">
                <w:rPr>
                  <w:rFonts w:ascii="Arial" w:hAnsi="Arial"/>
                  <w:color w:val="000000"/>
                  <w:sz w:val="21"/>
                  <w:szCs w:val="21"/>
                  <w:u w:val="single"/>
                  <w:bdr w:val="none" w:sz="0" w:space="0" w:color="auto" w:frame="1"/>
                </w:rPr>
                <w:t>blanchiment de capitaux</w:t>
              </w:r>
            </w:hyperlink>
            <w:r w:rsidR="00621529">
              <w:t xml:space="preserve">, </w:t>
            </w:r>
            <w:r w:rsidR="00621529" w:rsidRPr="00600A05">
              <w:rPr>
                <w:rFonts w:ascii="Arial" w:hAnsi="Arial"/>
                <w:color w:val="000000"/>
                <w:sz w:val="21"/>
                <w:szCs w:val="21"/>
              </w:rPr>
              <w:t xml:space="preserve">et la majorité de ses clients sont des </w:t>
            </w:r>
            <w:r w:rsidR="00600A05" w:rsidRPr="00600A05">
              <w:rPr>
                <w:rFonts w:ascii="Arial" w:hAnsi="Arial"/>
                <w:color w:val="000000"/>
                <w:sz w:val="21"/>
                <w:szCs w:val="21"/>
              </w:rPr>
              <w:t>immigrants</w:t>
            </w:r>
            <w:r w:rsidR="00621529" w:rsidRPr="00600A05">
              <w:rPr>
                <w:rFonts w:ascii="Arial" w:hAnsi="Arial"/>
                <w:color w:val="000000"/>
                <w:sz w:val="21"/>
                <w:szCs w:val="21"/>
              </w:rPr>
              <w:t xml:space="preserve"> de France.</w:t>
            </w:r>
            <w:r w:rsidR="00621529">
              <w:rPr>
                <w:rFonts w:ascii="Arial" w:hAnsi="Arial"/>
                <w:color w:val="000000"/>
                <w:sz w:val="21"/>
                <w:szCs w:val="21"/>
              </w:rPr>
              <w:t xml:space="preserve"> </w:t>
            </w:r>
            <w:r>
              <w:rPr>
                <w:rFonts w:ascii="Arial" w:hAnsi="Arial"/>
                <w:color w:val="000000"/>
                <w:sz w:val="21"/>
                <w:szCs w:val="21"/>
              </w:rPr>
              <w:t>Il</w:t>
            </w:r>
            <w:r w:rsidR="00621529">
              <w:rPr>
                <w:rFonts w:ascii="Arial" w:hAnsi="Arial"/>
                <w:color w:val="000000"/>
                <w:sz w:val="21"/>
                <w:szCs w:val="21"/>
              </w:rPr>
              <w:t xml:space="preserve"> demande (10/07/19) au tribunal de district de Jérusalem d’envoyer une telle directive au contrôleur ou aux banques elles-mêmes (avec l’approbation du contrôleur)</w:t>
            </w:r>
            <w:r w:rsidR="002A504C">
              <w:rPr>
                <w:rFonts w:ascii="Arial" w:hAnsi="Arial"/>
                <w:color w:val="000000"/>
                <w:sz w:val="21"/>
                <w:szCs w:val="21"/>
              </w:rPr>
              <w:t>.</w:t>
            </w:r>
            <w:r w:rsidR="00621529">
              <w:rPr>
                <w:rFonts w:ascii="Arial" w:hAnsi="Arial"/>
                <w:color w:val="000000"/>
                <w:sz w:val="21"/>
                <w:szCs w:val="21"/>
              </w:rPr>
              <w:t xml:space="preserve"> Selon </w:t>
            </w:r>
            <w:r>
              <w:rPr>
                <w:rFonts w:ascii="Arial" w:hAnsi="Arial"/>
                <w:color w:val="000000"/>
                <w:sz w:val="21"/>
                <w:szCs w:val="21"/>
              </w:rPr>
              <w:t>lui</w:t>
            </w:r>
            <w:r w:rsidR="00621529">
              <w:rPr>
                <w:rFonts w:ascii="Arial" w:hAnsi="Arial"/>
                <w:color w:val="000000"/>
                <w:sz w:val="21"/>
                <w:szCs w:val="21"/>
              </w:rPr>
              <w:t>, après la publication des ordonnances sur les déclarations du mois de février de cette année, un chaos s’est produit et chaque banque a adopté une approche différente quant à leur application ; il existe également des différences entre diverses agences d’une même banque. </w:t>
            </w:r>
            <w:r w:rsidR="00621529">
              <w:rPr>
                <w:rFonts w:ascii="Arial" w:hAnsi="Arial"/>
                <w:color w:val="000000"/>
                <w:sz w:val="21"/>
                <w:szCs w:val="21"/>
              </w:rPr>
              <w:br/>
            </w:r>
            <w:r w:rsidR="00621529">
              <w:rPr>
                <w:rFonts w:ascii="Arial" w:hAnsi="Arial"/>
                <w:color w:val="000000"/>
                <w:sz w:val="21"/>
                <w:szCs w:val="21"/>
              </w:rPr>
              <w:br/>
              <w:t xml:space="preserve">En outre, il a été </w:t>
            </w:r>
            <w:r w:rsidR="005E419F">
              <w:rPr>
                <w:rFonts w:ascii="Arial" w:hAnsi="Arial"/>
                <w:color w:val="000000"/>
                <w:sz w:val="21"/>
                <w:szCs w:val="21"/>
              </w:rPr>
              <w:t>invoqué</w:t>
            </w:r>
            <w:r w:rsidR="00621529">
              <w:rPr>
                <w:rFonts w:ascii="Arial" w:hAnsi="Arial"/>
                <w:color w:val="000000"/>
                <w:sz w:val="21"/>
                <w:szCs w:val="21"/>
              </w:rPr>
              <w:t xml:space="preserve"> que les employés des banques ignoraient les ordonnances concernant les déclarations et ne les comprenaient pas, aucune formation ne leur a été fournie, les principes et directives n’ont pas été fixés pour leur application, et s’ils l</w:t>
            </w:r>
            <w:r w:rsidR="002A504C">
              <w:rPr>
                <w:rFonts w:ascii="Arial" w:hAnsi="Arial"/>
                <w:color w:val="000000"/>
                <w:sz w:val="21"/>
                <w:szCs w:val="21"/>
              </w:rPr>
              <w:t>’</w:t>
            </w:r>
            <w:r w:rsidR="00621529">
              <w:rPr>
                <w:rFonts w:ascii="Arial" w:hAnsi="Arial"/>
                <w:color w:val="000000"/>
                <w:sz w:val="21"/>
                <w:szCs w:val="21"/>
              </w:rPr>
              <w:t>ont été, les employés n’en ont pas connaissance et sont inconnus du grand public. Par conséquent, l</w:t>
            </w:r>
            <w:r>
              <w:rPr>
                <w:rFonts w:ascii="Arial" w:hAnsi="Arial"/>
                <w:color w:val="000000"/>
                <w:sz w:val="21"/>
                <w:szCs w:val="21"/>
              </w:rPr>
              <w:t>e requérant</w:t>
            </w:r>
            <w:r w:rsidR="00621529">
              <w:rPr>
                <w:rFonts w:ascii="Arial" w:hAnsi="Arial"/>
                <w:color w:val="000000"/>
                <w:sz w:val="21"/>
                <w:szCs w:val="21"/>
              </w:rPr>
              <w:t xml:space="preserve"> demande d’ordonner l’introduction d’un ordre et d’une méthode dans ce domaine et, d’ici là, de geler l’application des ordonnances sur les déclaration</w:t>
            </w:r>
            <w:r w:rsidR="002A504C">
              <w:rPr>
                <w:rFonts w:ascii="Arial" w:hAnsi="Arial"/>
                <w:color w:val="000000"/>
                <w:sz w:val="21"/>
                <w:szCs w:val="21"/>
              </w:rPr>
              <w:t>s</w:t>
            </w:r>
            <w:r w:rsidR="00621529">
              <w:rPr>
                <w:rFonts w:ascii="Arial" w:hAnsi="Arial"/>
                <w:color w:val="000000"/>
                <w:sz w:val="21"/>
                <w:szCs w:val="21"/>
              </w:rPr>
              <w:t xml:space="preserve"> par les banques. </w:t>
            </w:r>
            <w:r w:rsidR="00621529">
              <w:rPr>
                <w:rFonts w:ascii="Arial" w:hAnsi="Arial"/>
                <w:color w:val="000000"/>
                <w:sz w:val="21"/>
                <w:szCs w:val="21"/>
              </w:rPr>
              <w:br/>
            </w:r>
            <w:r w:rsidR="00621529">
              <w:rPr>
                <w:rFonts w:ascii="Arial" w:hAnsi="Arial"/>
                <w:color w:val="000000"/>
                <w:sz w:val="21"/>
                <w:szCs w:val="21"/>
              </w:rPr>
              <w:br/>
              <w:t>L</w:t>
            </w:r>
            <w:r>
              <w:rPr>
                <w:rFonts w:ascii="Arial" w:hAnsi="Arial"/>
                <w:color w:val="000000"/>
                <w:sz w:val="21"/>
                <w:szCs w:val="21"/>
              </w:rPr>
              <w:t>e</w:t>
            </w:r>
            <w:r w:rsidR="00621529">
              <w:rPr>
                <w:rFonts w:ascii="Arial" w:hAnsi="Arial"/>
                <w:color w:val="000000"/>
                <w:sz w:val="21"/>
                <w:szCs w:val="21"/>
              </w:rPr>
              <w:t xml:space="preserve"> requérant explique que dans la situation actuelle, </w:t>
            </w:r>
            <w:r>
              <w:rPr>
                <w:rFonts w:ascii="Arial" w:hAnsi="Arial"/>
                <w:color w:val="000000"/>
                <w:sz w:val="21"/>
                <w:szCs w:val="21"/>
              </w:rPr>
              <w:t>lui</w:t>
            </w:r>
            <w:r w:rsidR="00621529">
              <w:rPr>
                <w:rFonts w:ascii="Arial" w:hAnsi="Arial"/>
                <w:color w:val="000000"/>
                <w:sz w:val="21"/>
                <w:szCs w:val="21"/>
              </w:rPr>
              <w:t xml:space="preserve"> et ses clients </w:t>
            </w:r>
            <w:r>
              <w:rPr>
                <w:rFonts w:ascii="Arial" w:hAnsi="Arial"/>
                <w:color w:val="000000"/>
                <w:sz w:val="21"/>
                <w:szCs w:val="21"/>
              </w:rPr>
              <w:t>subissent</w:t>
            </w:r>
            <w:r w:rsidR="00621529">
              <w:rPr>
                <w:rFonts w:ascii="Arial" w:hAnsi="Arial"/>
                <w:color w:val="000000"/>
                <w:sz w:val="21"/>
                <w:szCs w:val="21"/>
              </w:rPr>
              <w:t xml:space="preserve"> un grave préjudice. Certains de ses clients sont très âgés, et il est à craindre pour leur vie si leurs noms sont transmis de manière illégale aux autorités fiscales étrangères. Le recours a été déposé par Maître Orly Tal et les réponses du contrôle bancaire et des banques n’ont pas encore été soumises. </w:t>
            </w:r>
          </w:p>
        </w:tc>
      </w:tr>
    </w:tbl>
    <w:p w14:paraId="04AC213D" w14:textId="77777777" w:rsidR="00621529" w:rsidRDefault="00621529" w:rsidP="00621529">
      <w:pPr>
        <w:bidi/>
      </w:pPr>
    </w:p>
    <w:sectPr w:rsidR="00621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4AB1B" w14:textId="77777777" w:rsidR="00D677DE" w:rsidRDefault="00D677DE" w:rsidP="002A504C">
      <w:pPr>
        <w:spacing w:after="0" w:line="240" w:lineRule="auto"/>
      </w:pPr>
      <w:r>
        <w:separator/>
      </w:r>
    </w:p>
  </w:endnote>
  <w:endnote w:type="continuationSeparator" w:id="0">
    <w:p w14:paraId="4C59EE1B" w14:textId="77777777" w:rsidR="00D677DE" w:rsidRDefault="00D677DE" w:rsidP="002A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F173F" w14:textId="77777777" w:rsidR="00D677DE" w:rsidRDefault="00D677DE" w:rsidP="002A504C">
      <w:pPr>
        <w:spacing w:after="0" w:line="240" w:lineRule="auto"/>
      </w:pPr>
      <w:r>
        <w:separator/>
      </w:r>
    </w:p>
  </w:footnote>
  <w:footnote w:type="continuationSeparator" w:id="0">
    <w:p w14:paraId="31300C00" w14:textId="77777777" w:rsidR="00D677DE" w:rsidRDefault="00D677DE" w:rsidP="002A5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wtjQ1MTcyMDMwMDFT0lEKTi0uzszPAykwrAUA7GR2ziwAAAA="/>
  </w:docVars>
  <w:rsids>
    <w:rsidRoot w:val="00621529"/>
    <w:rsid w:val="00176269"/>
    <w:rsid w:val="00192B39"/>
    <w:rsid w:val="002A504C"/>
    <w:rsid w:val="005E419F"/>
    <w:rsid w:val="005E46FD"/>
    <w:rsid w:val="00600A05"/>
    <w:rsid w:val="00621529"/>
    <w:rsid w:val="007868FF"/>
    <w:rsid w:val="009216DC"/>
    <w:rsid w:val="009C498B"/>
    <w:rsid w:val="00D677DE"/>
    <w:rsid w:val="00F344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F0F9"/>
  <w15:docId w15:val="{11C23281-FEB3-40FC-BE1B-F37DB6B3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C7"/>
    <w:rPr>
      <w:rFonts w:ascii="Tahoma" w:hAnsi="Tahoma" w:cs="Tahoma"/>
      <w:sz w:val="16"/>
      <w:szCs w:val="16"/>
    </w:rPr>
  </w:style>
  <w:style w:type="paragraph" w:styleId="Header">
    <w:name w:val="header"/>
    <w:basedOn w:val="Normal"/>
    <w:link w:val="HeaderChar"/>
    <w:uiPriority w:val="99"/>
    <w:unhideWhenUsed/>
    <w:rsid w:val="002A50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504C"/>
  </w:style>
  <w:style w:type="paragraph" w:styleId="Footer">
    <w:name w:val="footer"/>
    <w:basedOn w:val="Normal"/>
    <w:link w:val="FooterChar"/>
    <w:uiPriority w:val="99"/>
    <w:unhideWhenUsed/>
    <w:rsid w:val="002A50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5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143452">
      <w:bodyDiv w:val="1"/>
      <w:marLeft w:val="0"/>
      <w:marRight w:val="0"/>
      <w:marTop w:val="0"/>
      <w:marBottom w:val="0"/>
      <w:divBdr>
        <w:top w:val="none" w:sz="0" w:space="0" w:color="auto"/>
        <w:left w:val="none" w:sz="0" w:space="0" w:color="auto"/>
        <w:bottom w:val="none" w:sz="0" w:space="0" w:color="auto"/>
        <w:right w:val="none" w:sz="0" w:space="0" w:color="auto"/>
      </w:divBdr>
      <w:divsChild>
        <w:div w:id="1029137953">
          <w:marLeft w:val="0"/>
          <w:marRight w:val="0"/>
          <w:marTop w:val="0"/>
          <w:marBottom w:val="0"/>
          <w:divBdr>
            <w:top w:val="none" w:sz="0" w:space="0" w:color="auto"/>
            <w:left w:val="none" w:sz="0" w:space="0" w:color="auto"/>
            <w:bottom w:val="none" w:sz="0" w:space="0" w:color="auto"/>
            <w:right w:val="none" w:sz="0" w:space="0" w:color="auto"/>
          </w:divBdr>
          <w:divsChild>
            <w:div w:id="6013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s1.co.il/TagsSearchResults.aspx?TagID=33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2019-07-17T12:19:00Z</dcterms:created>
  <dcterms:modified xsi:type="dcterms:W3CDTF">2019-07-17T12:19:00Z</dcterms:modified>
</cp:coreProperties>
</file>