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33D30" w14:textId="77777777" w:rsidR="00384A11" w:rsidRDefault="00384A11" w:rsidP="00F44D2B">
      <w:pPr>
        <w:shd w:val="clear" w:color="auto" w:fill="FFFFFF"/>
        <w:spacing w:before="240" w:after="120" w:line="288" w:lineRule="atLeast"/>
        <w:outlineLvl w:val="1"/>
        <w:rPr>
          <w:rFonts w:ascii="Source Sans Pro" w:eastAsia="Times New Roman" w:hAnsi="Source Sans Pro" w:cs="Times New Roman"/>
          <w:color w:val="000000"/>
          <w:sz w:val="45"/>
          <w:szCs w:val="45"/>
          <w:rtl/>
        </w:rPr>
      </w:pPr>
      <w:r>
        <w:rPr>
          <w:rFonts w:ascii="Source Sans Pro" w:eastAsia="Times New Roman" w:hAnsi="Source Sans Pro" w:cs="Times New Roman" w:hint="cs"/>
          <w:color w:val="000000"/>
          <w:sz w:val="45"/>
          <w:szCs w:val="45"/>
          <w:rtl/>
        </w:rPr>
        <w:t>1. הגדרת המושג</w:t>
      </w:r>
    </w:p>
    <w:p w14:paraId="6F8C9EE5" w14:textId="77777777" w:rsidR="00384A11" w:rsidRPr="00FA6B93" w:rsidRDefault="00384A11" w:rsidP="00F44D2B">
      <w:pPr>
        <w:shd w:val="clear" w:color="auto" w:fill="FFFFFF"/>
        <w:spacing w:before="240" w:after="150" w:line="360" w:lineRule="auto"/>
        <w:rPr>
          <w:rFonts w:eastAsia="Times New Roman" w:cs="David"/>
          <w:color w:val="1A1A1A"/>
          <w:sz w:val="24"/>
          <w:szCs w:val="24"/>
          <w:rtl/>
        </w:rPr>
      </w:pPr>
      <w:r w:rsidRPr="00FA6B93">
        <w:rPr>
          <w:rFonts w:eastAsia="Times New Roman" w:cs="David"/>
          <w:color w:val="1A1A1A"/>
          <w:sz w:val="24"/>
          <w:szCs w:val="24"/>
          <w:rtl/>
        </w:rPr>
        <w:t>שוויון מציין התאמה בין קבוצת פרטים שונים החולקים תכונות משותפות לפחות בהיבט אחד, אך לא בכל ההיבטים. האמירה שבני האדם שווים אין משמעותה שהם זהים</w:t>
      </w:r>
      <w:r w:rsidRPr="00FA6B93">
        <w:rPr>
          <w:rFonts w:eastAsia="Times New Roman" w:cs="David" w:hint="cs"/>
          <w:color w:val="1A1A1A"/>
          <w:sz w:val="24"/>
          <w:szCs w:val="24"/>
          <w:rtl/>
        </w:rPr>
        <w:t>,</w:t>
      </w:r>
      <w:r w:rsidRPr="00FA6B93">
        <w:rPr>
          <w:rFonts w:eastAsia="Times New Roman" w:cs="David"/>
          <w:color w:val="1A1A1A"/>
          <w:sz w:val="24"/>
          <w:szCs w:val="24"/>
          <w:rtl/>
        </w:rPr>
        <w:t xml:space="preserve"> ולכן שוויון 'מלא' או 'מוחלט' מכיל סתירה פנימית – שני פרטים לא זהים לעולם לא יהיו שווים באופן מלא. המאמר מנתח ניתוח פילוסופי ופוליטי של המושג</w:t>
      </w:r>
      <w:r w:rsidRPr="00FA6B93">
        <w:rPr>
          <w:rFonts w:eastAsia="Times New Roman" w:cs="David" w:hint="cs"/>
          <w:color w:val="1A1A1A"/>
          <w:sz w:val="24"/>
          <w:szCs w:val="24"/>
          <w:rtl/>
        </w:rPr>
        <w:t xml:space="preserve"> שוויון</w:t>
      </w:r>
      <w:r w:rsidRPr="00FA6B93">
        <w:rPr>
          <w:rFonts w:eastAsia="Times New Roman" w:cs="David"/>
          <w:color w:val="1A1A1A"/>
          <w:sz w:val="24"/>
          <w:szCs w:val="24"/>
          <w:rtl/>
        </w:rPr>
        <w:t xml:space="preserve"> כמכתיב נורמות (</w:t>
      </w:r>
      <w:r w:rsidRPr="00FA6B93">
        <w:rPr>
          <w:rFonts w:eastAsia="Times New Roman" w:cs="David"/>
          <w:color w:val="1A1A1A"/>
          <w:sz w:val="24"/>
          <w:szCs w:val="24"/>
        </w:rPr>
        <w:t>prescriptive</w:t>
      </w:r>
      <w:r w:rsidRPr="00FA6B93">
        <w:rPr>
          <w:rFonts w:eastAsia="Times New Roman" w:cs="David"/>
          <w:color w:val="1A1A1A"/>
          <w:sz w:val="24"/>
          <w:szCs w:val="24"/>
          <w:rtl/>
        </w:rPr>
        <w:t xml:space="preserve">) להבדיל מתיאורי, כלומר מתייחס לשאלה מה סוג השוויון שיש להציע, אם בכלל, למי והיכן. שוויון מעלה </w:t>
      </w:r>
      <w:r w:rsidRPr="00FA6B93">
        <w:rPr>
          <w:rFonts w:eastAsia="Times New Roman" w:cs="David" w:hint="cs"/>
          <w:color w:val="1A1A1A"/>
          <w:sz w:val="24"/>
          <w:szCs w:val="24"/>
          <w:rtl/>
        </w:rPr>
        <w:t>את השאלה</w:t>
      </w:r>
      <w:r w:rsidRPr="00FA6B93">
        <w:rPr>
          <w:rFonts w:eastAsia="Times New Roman" w:cs="David"/>
          <w:color w:val="1A1A1A"/>
          <w:sz w:val="24"/>
          <w:szCs w:val="24"/>
          <w:rtl/>
        </w:rPr>
        <w:t xml:space="preserve"> 'שווה באיזה היבט?' והתשובה </w:t>
      </w:r>
      <w:r w:rsidRPr="00FA6B93">
        <w:rPr>
          <w:rFonts w:eastAsia="Times New Roman" w:cs="David" w:hint="cs"/>
          <w:color w:val="1A1A1A"/>
          <w:sz w:val="24"/>
          <w:szCs w:val="24"/>
          <w:rtl/>
        </w:rPr>
        <w:t>משתנה</w:t>
      </w:r>
      <w:r w:rsidRPr="00FA6B93">
        <w:rPr>
          <w:rFonts w:eastAsia="Times New Roman" w:cs="David"/>
          <w:color w:val="1A1A1A"/>
          <w:sz w:val="24"/>
          <w:szCs w:val="24"/>
          <w:rtl/>
        </w:rPr>
        <w:t xml:space="preserve"> </w:t>
      </w:r>
      <w:r w:rsidRPr="00FA6B93">
        <w:rPr>
          <w:rFonts w:eastAsia="Times New Roman" w:cs="David" w:hint="cs"/>
          <w:color w:val="1A1A1A"/>
          <w:sz w:val="24"/>
          <w:szCs w:val="24"/>
          <w:rtl/>
        </w:rPr>
        <w:t>ממקרה למקרה</w:t>
      </w:r>
      <w:r w:rsidRPr="00FA6B93">
        <w:rPr>
          <w:rFonts w:eastAsia="Times New Roman" w:cs="David"/>
          <w:color w:val="1A1A1A"/>
          <w:sz w:val="24"/>
          <w:szCs w:val="24"/>
          <w:rtl/>
        </w:rPr>
        <w:t xml:space="preserve"> ומעלה תפיסות שונות. על כן כדאי לחשוב על רעיון השוויון או אי-השוויון לא כעיקרון יחיד אלא כקבוצת עקרונות היוצרים את ליבת האגליטריאניזם העכשווי. אך אגליטריאנים סבורים כי משתמע משוויון גם יסוד משותף מוסרי המזכיר לנו את אנושיותנו המשותפת, על אף הבדלים. </w:t>
      </w:r>
    </w:p>
    <w:p w14:paraId="2048868E" w14:textId="77777777" w:rsidR="00384A11" w:rsidRPr="00FA6B93" w:rsidRDefault="00384A11" w:rsidP="00F44D2B">
      <w:pPr>
        <w:shd w:val="clear" w:color="auto" w:fill="FFFFFF"/>
        <w:spacing w:before="240" w:after="120" w:line="288" w:lineRule="atLeast"/>
        <w:outlineLvl w:val="1"/>
        <w:rPr>
          <w:rFonts w:ascii="Source Sans Pro" w:eastAsia="Times New Roman" w:hAnsi="Source Sans Pro" w:cs="Times New Roman"/>
          <w:color w:val="000000"/>
          <w:sz w:val="24"/>
          <w:szCs w:val="24"/>
        </w:rPr>
      </w:pPr>
    </w:p>
    <w:p w14:paraId="742A92A4" w14:textId="77777777" w:rsidR="00384A11" w:rsidRDefault="00384A11" w:rsidP="00F44D2B">
      <w:pPr>
        <w:shd w:val="clear" w:color="auto" w:fill="FFFFFF"/>
        <w:spacing w:before="240" w:after="120" w:line="288" w:lineRule="atLeast"/>
        <w:outlineLvl w:val="1"/>
        <w:rPr>
          <w:rFonts w:ascii="Source Sans Pro" w:eastAsia="Times New Roman" w:hAnsi="Source Sans Pro" w:cs="Times New Roman"/>
          <w:color w:val="000000"/>
          <w:sz w:val="45"/>
          <w:szCs w:val="45"/>
          <w:rtl/>
        </w:rPr>
      </w:pPr>
      <w:r>
        <w:rPr>
          <w:rFonts w:ascii="Source Sans Pro" w:eastAsia="Times New Roman" w:hAnsi="Source Sans Pro" w:cs="Times New Roman" w:hint="cs"/>
          <w:color w:val="000000"/>
          <w:sz w:val="45"/>
          <w:szCs w:val="45"/>
          <w:rtl/>
        </w:rPr>
        <w:t>2. עקרונות שוויון וצדק</w:t>
      </w:r>
    </w:p>
    <w:p w14:paraId="0438691D" w14:textId="70024FA0" w:rsidR="00384A11" w:rsidRPr="006E1DF6" w:rsidRDefault="00384A11" w:rsidP="001D1992">
      <w:pPr>
        <w:shd w:val="clear" w:color="auto" w:fill="FFFFFF"/>
        <w:spacing w:before="240" w:after="150" w:line="360" w:lineRule="auto"/>
        <w:rPr>
          <w:rFonts w:ascii="Times New Roman" w:eastAsia="Times New Roman" w:hAnsi="Times New Roman" w:cs="David"/>
          <w:sz w:val="24"/>
          <w:szCs w:val="24"/>
          <w:rtl/>
        </w:rPr>
      </w:pPr>
      <w:r w:rsidRPr="006E1DF6">
        <w:rPr>
          <w:rFonts w:ascii="Times New Roman" w:eastAsia="Times New Roman" w:hAnsi="Times New Roman" w:cs="David" w:hint="cs"/>
          <w:sz w:val="24"/>
          <w:szCs w:val="24"/>
          <w:rtl/>
        </w:rPr>
        <w:t xml:space="preserve">השוויון כולל כמה מרכיבים שהמונח 'צדק' יכול לחול עליהם </w:t>
      </w:r>
      <w:r w:rsidRPr="006E1DF6">
        <w:rPr>
          <w:rFonts w:ascii="Times New Roman" w:eastAsia="Times New Roman" w:hAnsi="Times New Roman" w:cs="David"/>
          <w:sz w:val="24"/>
          <w:szCs w:val="24"/>
          <w:rtl/>
        </w:rPr>
        <w:t>–</w:t>
      </w:r>
      <w:r w:rsidRPr="006E1DF6">
        <w:rPr>
          <w:rFonts w:ascii="Times New Roman" w:eastAsia="Times New Roman" w:hAnsi="Times New Roman" w:cs="David" w:hint="cs"/>
          <w:sz w:val="24"/>
          <w:szCs w:val="24"/>
          <w:rtl/>
        </w:rPr>
        <w:t xml:space="preserve"> בעיקר פעולות, אנשים, מוסדות חברתיים ונסיבות (למשל חלוקה). הצדק חל רק על פעולות רצוניות ולכן קשור בעיקר לפעולות פרטניות של אנשים. יצירת נסיבות צודקות </w:t>
      </w:r>
      <w:r w:rsidRPr="006E1DF6">
        <w:rPr>
          <w:rFonts w:ascii="Times New Roman" w:eastAsia="Times New Roman" w:hAnsi="Times New Roman" w:cs="David"/>
          <w:sz w:val="24"/>
          <w:szCs w:val="24"/>
          <w:rtl/>
        </w:rPr>
        <w:t>–</w:t>
      </w:r>
      <w:r w:rsidRPr="006E1DF6">
        <w:rPr>
          <w:rFonts w:ascii="Times New Roman" w:eastAsia="Times New Roman" w:hAnsi="Times New Roman" w:cs="David" w:hint="cs"/>
          <w:sz w:val="24"/>
          <w:szCs w:val="24"/>
          <w:rtl/>
        </w:rPr>
        <w:t xml:space="preserve"> כמו חלוקה צודקת </w:t>
      </w:r>
      <w:r w:rsidR="001D1992" w:rsidRPr="006E1DF6">
        <w:rPr>
          <w:rFonts w:ascii="Times New Roman" w:eastAsia="Times New Roman" w:hAnsi="Times New Roman" w:cs="David"/>
          <w:sz w:val="24"/>
          <w:szCs w:val="24"/>
          <w:rtl/>
        </w:rPr>
        <w:t>–</w:t>
      </w:r>
      <w:r w:rsidR="001D1992">
        <w:rPr>
          <w:rFonts w:ascii="Times New Roman" w:eastAsia="Times New Roman" w:hAnsi="Times New Roman" w:cs="David" w:hint="cs"/>
          <w:sz w:val="24"/>
          <w:szCs w:val="24"/>
          <w:rtl/>
        </w:rPr>
        <w:t xml:space="preserve"> </w:t>
      </w:r>
      <w:r w:rsidRPr="006E1DF6">
        <w:rPr>
          <w:rFonts w:ascii="Times New Roman" w:eastAsia="Times New Roman" w:hAnsi="Times New Roman" w:cs="David" w:hint="cs"/>
          <w:sz w:val="24"/>
          <w:szCs w:val="24"/>
          <w:rtl/>
        </w:rPr>
        <w:t xml:space="preserve">היא מעבר ליכולות של היחיד ולכן יש להסתמך על פעולות משותפות וליצור מוסדות ומבנים חברתיים-מדינים. יש פרשנויות שונות לתפקידו של השוויון בתאוריית הצדק והפרק יסקור ארבע גישות שונות לכך.   </w:t>
      </w:r>
    </w:p>
    <w:p w14:paraId="4680908C" w14:textId="77777777" w:rsidR="00384A11" w:rsidRPr="00FA6B93" w:rsidRDefault="00384A11" w:rsidP="00F44D2B">
      <w:pPr>
        <w:shd w:val="clear" w:color="auto" w:fill="FFFFFF"/>
        <w:spacing w:before="240" w:after="120" w:line="288" w:lineRule="atLeast"/>
        <w:outlineLvl w:val="1"/>
        <w:rPr>
          <w:rFonts w:ascii="Source Sans Pro" w:eastAsia="Times New Roman" w:hAnsi="Source Sans Pro" w:cs="Times New Roman"/>
          <w:color w:val="000000"/>
          <w:sz w:val="24"/>
          <w:szCs w:val="24"/>
          <w:rtl/>
        </w:rPr>
      </w:pPr>
    </w:p>
    <w:p w14:paraId="6D8D4177" w14:textId="77777777" w:rsidR="00C8702D" w:rsidRDefault="00C8702D" w:rsidP="00F44D2B">
      <w:pPr>
        <w:shd w:val="clear" w:color="auto" w:fill="FFFFFF"/>
        <w:spacing w:before="240" w:after="150" w:line="288" w:lineRule="atLeast"/>
        <w:outlineLvl w:val="2"/>
        <w:rPr>
          <w:rFonts w:ascii="Source Sans Pro" w:eastAsia="Times New Roman" w:hAnsi="Source Sans Pro" w:cs="Times New Roman"/>
          <w:color w:val="000000"/>
          <w:sz w:val="40"/>
          <w:szCs w:val="40"/>
          <w:rtl/>
        </w:rPr>
      </w:pPr>
      <w:r>
        <w:rPr>
          <w:rFonts w:ascii="Source Sans Pro" w:eastAsia="Times New Roman" w:hAnsi="Source Sans Pro" w:cs="Times New Roman" w:hint="cs"/>
          <w:color w:val="000000"/>
          <w:sz w:val="40"/>
          <w:szCs w:val="40"/>
          <w:rtl/>
        </w:rPr>
        <w:t xml:space="preserve">2.1 שוויון פורמלי </w:t>
      </w:r>
    </w:p>
    <w:p w14:paraId="50B7CD67" w14:textId="47A0E7CE" w:rsidR="00C8702D" w:rsidRPr="006E1DF6" w:rsidRDefault="00C8702D" w:rsidP="00F44D2B">
      <w:pPr>
        <w:shd w:val="clear" w:color="auto" w:fill="FFFFFF"/>
        <w:spacing w:before="240" w:after="150" w:line="360" w:lineRule="auto"/>
        <w:rPr>
          <w:rFonts w:ascii="Times New Roman" w:eastAsia="Times New Roman" w:hAnsi="Times New Roman" w:cs="David"/>
          <w:sz w:val="24"/>
          <w:szCs w:val="24"/>
          <w:rtl/>
        </w:rPr>
      </w:pPr>
      <w:r w:rsidRPr="006E1DF6">
        <w:rPr>
          <w:rFonts w:ascii="Times New Roman" w:eastAsia="Times New Roman" w:hAnsi="Times New Roman" w:cs="David" w:hint="cs"/>
          <w:sz w:val="24"/>
          <w:szCs w:val="24"/>
          <w:rtl/>
        </w:rPr>
        <w:t xml:space="preserve">לפי עיקרון השוויון פורמלי שניסח אריסטו, כאשר לשני אנשים מעמד שווה לפחות בהיבט אחד, יש להתייחס אליהם בצורה שוויונית ביחס להיבט זה. צריכה להיות הצדקה אפשרית כלפי אחרים לשוויון או </w:t>
      </w:r>
      <w:r w:rsidR="00CE2FF3">
        <w:rPr>
          <w:rFonts w:ascii="Times New Roman" w:eastAsia="Times New Roman" w:hAnsi="Times New Roman" w:cs="David" w:hint="cs"/>
          <w:sz w:val="24"/>
          <w:szCs w:val="24"/>
          <w:rtl/>
        </w:rPr>
        <w:t>ל</w:t>
      </w:r>
      <w:bookmarkStart w:id="0" w:name="_GoBack"/>
      <w:bookmarkEnd w:id="0"/>
      <w:r w:rsidRPr="006E1DF6">
        <w:rPr>
          <w:rFonts w:ascii="Times New Roman" w:eastAsia="Times New Roman" w:hAnsi="Times New Roman" w:cs="David" w:hint="cs"/>
          <w:sz w:val="24"/>
          <w:szCs w:val="24"/>
          <w:rtl/>
        </w:rPr>
        <w:t>היעדרו על בסיס תכונות המצב האובייקטיביות בלבד.</w:t>
      </w:r>
    </w:p>
    <w:p w14:paraId="47110E9B" w14:textId="77777777" w:rsidR="004B6E2D" w:rsidRPr="00FA6B93" w:rsidRDefault="004B6E2D" w:rsidP="00FA6B93">
      <w:pPr>
        <w:shd w:val="clear" w:color="auto" w:fill="FFFFFF"/>
        <w:spacing w:before="240" w:after="120" w:line="288" w:lineRule="atLeast"/>
        <w:outlineLvl w:val="1"/>
        <w:rPr>
          <w:rFonts w:ascii="Source Sans Pro" w:eastAsia="Times New Roman" w:hAnsi="Source Sans Pro" w:cs="Times New Roman"/>
          <w:color w:val="000000"/>
          <w:sz w:val="24"/>
          <w:szCs w:val="24"/>
        </w:rPr>
      </w:pPr>
    </w:p>
    <w:p w14:paraId="2AA5C589" w14:textId="77777777" w:rsidR="004B6E2D" w:rsidRDefault="004B6E2D" w:rsidP="00F44D2B">
      <w:pPr>
        <w:shd w:val="clear" w:color="auto" w:fill="FFFFFF"/>
        <w:spacing w:before="240" w:after="150" w:line="288" w:lineRule="atLeast"/>
        <w:outlineLvl w:val="2"/>
        <w:rPr>
          <w:rFonts w:ascii="Source Sans Pro" w:eastAsia="Times New Roman" w:hAnsi="Source Sans Pro" w:cs="Times New Roman"/>
          <w:color w:val="000000"/>
          <w:sz w:val="40"/>
          <w:szCs w:val="40"/>
          <w:rtl/>
        </w:rPr>
      </w:pPr>
      <w:r>
        <w:rPr>
          <w:rFonts w:ascii="Source Sans Pro" w:eastAsia="Times New Roman" w:hAnsi="Source Sans Pro" w:cs="Times New Roman" w:hint="cs"/>
          <w:color w:val="000000"/>
          <w:sz w:val="40"/>
          <w:szCs w:val="40"/>
          <w:rtl/>
        </w:rPr>
        <w:t>2.2 שוויון יחסי</w:t>
      </w:r>
    </w:p>
    <w:p w14:paraId="746A3CA7" w14:textId="3F16687C" w:rsidR="004B6E2D" w:rsidRPr="00C96085" w:rsidRDefault="004B6E2D" w:rsidP="00FA6B93">
      <w:pPr>
        <w:shd w:val="clear" w:color="auto" w:fill="FFFFFF"/>
        <w:spacing w:before="240" w:after="150" w:line="360" w:lineRule="auto"/>
        <w:rPr>
          <w:rFonts w:ascii="Source Sans Pro" w:eastAsia="Times New Roman" w:hAnsi="Source Sans Pro" w:cs="Times New Roman"/>
          <w:color w:val="000000"/>
          <w:sz w:val="40"/>
          <w:szCs w:val="40"/>
          <w:rtl/>
        </w:rPr>
      </w:pPr>
      <w:r w:rsidRPr="006E1DF6">
        <w:rPr>
          <w:rFonts w:ascii="Times New Roman" w:eastAsia="Times New Roman" w:hAnsi="Times New Roman" w:cs="David" w:hint="cs"/>
          <w:sz w:val="24"/>
          <w:szCs w:val="24"/>
          <w:rtl/>
        </w:rPr>
        <w:t xml:space="preserve">לפי אריסטו יש שני סוגי שוויון, מספרי ויחסי. השוויון המספרי לא מבחין בין אנשים ונותן לכולם את אותו היחס, וחלוקה זו אינה תמיד צודקת. בשוויון יחסי, כאשר אנשים אינם שווים במשתנים מסויימים, חלוקה צודקת צריכה להיות באופן יחסי למשתנים אלו, בהתאם לנוסחת חלוקה שבסיומה תהיה לאנשים כמות שווה של אותם משתנים. גם פה מדובר בסכמה ריקה שכדי ללמוד ממנה יש להגדיר אילו תכונות ימלאו את המשתנים. </w:t>
      </w:r>
    </w:p>
    <w:p w14:paraId="2472E776" w14:textId="77777777" w:rsidR="00404311" w:rsidRPr="00C96085" w:rsidRDefault="00404311" w:rsidP="00F44D2B">
      <w:pPr>
        <w:jc w:val="right"/>
        <w:rPr>
          <w:rtl/>
        </w:rPr>
      </w:pPr>
    </w:p>
    <w:sectPr w:rsidR="00404311" w:rsidRPr="00C96085" w:rsidSect="002B24E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Cambria Math"/>
    <w:charset w:val="00"/>
    <w:family w:val="swiss"/>
    <w:pitch w:val="variable"/>
    <w:sig w:usb0="00000001" w:usb1="02000001" w:usb2="00000000" w:usb3="00000000" w:csb0="0000019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8692F"/>
    <w:multiLevelType w:val="multilevel"/>
    <w:tmpl w:val="01FE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22576C"/>
    <w:multiLevelType w:val="multilevel"/>
    <w:tmpl w:val="45543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85"/>
    <w:rsid w:val="001D1992"/>
    <w:rsid w:val="002B24E7"/>
    <w:rsid w:val="002F6949"/>
    <w:rsid w:val="00384A11"/>
    <w:rsid w:val="00404311"/>
    <w:rsid w:val="004A553E"/>
    <w:rsid w:val="004B6E2D"/>
    <w:rsid w:val="00C8702D"/>
    <w:rsid w:val="00C96085"/>
    <w:rsid w:val="00CE2FF3"/>
    <w:rsid w:val="00F44D2B"/>
    <w:rsid w:val="00FA6B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A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16040">
      <w:bodyDiv w:val="1"/>
      <w:marLeft w:val="0"/>
      <w:marRight w:val="0"/>
      <w:marTop w:val="0"/>
      <w:marBottom w:val="0"/>
      <w:divBdr>
        <w:top w:val="none" w:sz="0" w:space="0" w:color="auto"/>
        <w:left w:val="none" w:sz="0" w:space="0" w:color="auto"/>
        <w:bottom w:val="none" w:sz="0" w:space="0" w:color="auto"/>
        <w:right w:val="none" w:sz="0" w:space="0" w:color="auto"/>
      </w:divBdr>
      <w:divsChild>
        <w:div w:id="966006663">
          <w:marLeft w:val="0"/>
          <w:marRight w:val="0"/>
          <w:marTop w:val="0"/>
          <w:marBottom w:val="0"/>
          <w:divBdr>
            <w:top w:val="none" w:sz="0" w:space="0" w:color="auto"/>
            <w:left w:val="none" w:sz="0" w:space="0" w:color="auto"/>
            <w:bottom w:val="none" w:sz="0" w:space="0" w:color="auto"/>
            <w:right w:val="none" w:sz="0" w:space="0" w:color="auto"/>
          </w:divBdr>
        </w:div>
        <w:div w:id="284581067">
          <w:marLeft w:val="0"/>
          <w:marRight w:val="0"/>
          <w:marTop w:val="0"/>
          <w:marBottom w:val="0"/>
          <w:divBdr>
            <w:top w:val="none" w:sz="0" w:space="0" w:color="auto"/>
            <w:left w:val="none" w:sz="0" w:space="0" w:color="auto"/>
            <w:bottom w:val="none" w:sz="0" w:space="0" w:color="auto"/>
            <w:right w:val="none" w:sz="0" w:space="0" w:color="auto"/>
          </w:divBdr>
          <w:divsChild>
            <w:div w:id="133877222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1538</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Orit Krubiner</dc:creator>
  <cp:lastModifiedBy>NOAM</cp:lastModifiedBy>
  <cp:revision>6</cp:revision>
  <dcterms:created xsi:type="dcterms:W3CDTF">2021-02-24T09:21:00Z</dcterms:created>
  <dcterms:modified xsi:type="dcterms:W3CDTF">2021-02-24T09:24:00Z</dcterms:modified>
</cp:coreProperties>
</file>