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02" w:rsidRPr="00026002" w:rsidRDefault="00026002" w:rsidP="00026002">
      <w:pPr>
        <w:rPr>
          <w:rFonts w:cs="Times New Roman"/>
          <w:color w:val="00B0F0"/>
          <w:sz w:val="32"/>
          <w:szCs w:val="32"/>
        </w:rPr>
      </w:pPr>
      <w:r w:rsidRPr="00026002">
        <w:rPr>
          <w:rFonts w:cs="Times New Roman"/>
          <w:color w:val="00B0F0"/>
          <w:sz w:val="32"/>
          <w:szCs w:val="32"/>
        </w:rPr>
        <w:t xml:space="preserve">The Reflection of Middle Arabic in the Syntax of </w:t>
      </w:r>
      <w:r w:rsidR="006B6C4A" w:rsidRPr="00026002">
        <w:rPr>
          <w:rFonts w:cs="Times New Roman"/>
          <w:color w:val="00B0F0"/>
          <w:sz w:val="32"/>
          <w:szCs w:val="32"/>
        </w:rPr>
        <w:t>Maimonides</w:t>
      </w:r>
      <w:r w:rsidRPr="00026002">
        <w:rPr>
          <w:rFonts w:cs="Times New Roman"/>
          <w:color w:val="00B0F0"/>
          <w:sz w:val="32"/>
          <w:szCs w:val="32"/>
        </w:rPr>
        <w:t>’ Mishneh Torah</w:t>
      </w:r>
    </w:p>
    <w:p w:rsidR="00E23A09" w:rsidRPr="000E5228" w:rsidRDefault="00167044" w:rsidP="00026002">
      <w:pPr>
        <w:rPr>
          <w:rFonts w:cs="Times New Roman"/>
          <w:color w:val="00B0F0"/>
        </w:rPr>
      </w:pPr>
      <w:r w:rsidRPr="000E5228">
        <w:rPr>
          <w:rFonts w:cs="Times New Roman"/>
          <w:color w:val="00B0F0"/>
        </w:rPr>
        <w:t>Abstract</w:t>
      </w:r>
    </w:p>
    <w:p w:rsidR="00026002" w:rsidRPr="000E5228" w:rsidRDefault="00026002" w:rsidP="00026002">
      <w:pPr>
        <w:rPr>
          <w:rFonts w:cs="Times New Roman"/>
        </w:rPr>
      </w:pPr>
      <w:r w:rsidRPr="000E5228">
        <w:rPr>
          <w:rFonts w:cs="Times New Roman"/>
        </w:rPr>
        <w:t xml:space="preserve">This article compares two phenomena in the Judeo-Arabic and Hebrew of the Mishneh Torah: (A) The use of the first person plural future </w:t>
      </w:r>
      <w:r w:rsidRPr="000E5228">
        <w:rPr>
          <w:rFonts w:cs="Times New Roman"/>
          <w:i/>
          <w:iCs/>
        </w:rPr>
        <w:t>nqtl</w:t>
      </w:r>
      <w:r w:rsidRPr="000E5228">
        <w:rPr>
          <w:rFonts w:cs="Times New Roman"/>
          <w:i/>
          <w:iCs/>
          <w:rtl/>
        </w:rPr>
        <w:t>/</w:t>
      </w:r>
      <w:r w:rsidRPr="000E5228">
        <w:rPr>
          <w:rFonts w:cs="Times New Roman"/>
          <w:i/>
          <w:iCs/>
        </w:rPr>
        <w:t xml:space="preserve">nqṭl </w:t>
      </w:r>
      <w:r w:rsidRPr="000E5228">
        <w:rPr>
          <w:rFonts w:cs="Times New Roman"/>
        </w:rPr>
        <w:t xml:space="preserve">instead of the first person singular </w:t>
      </w:r>
      <w:r w:rsidRPr="000E5228">
        <w:rPr>
          <w:rFonts w:cs="Times New Roman"/>
          <w:i/>
          <w:iCs/>
        </w:rPr>
        <w:t>ʔqtl/ʔqṭl</w:t>
      </w:r>
      <w:r w:rsidRPr="000E5228">
        <w:rPr>
          <w:rFonts w:cs="Times New Roman"/>
        </w:rPr>
        <w:t xml:space="preserve">; (B) Agreement of the existential verbs </w:t>
      </w:r>
      <w:r w:rsidRPr="000E5228">
        <w:rPr>
          <w:rFonts w:cs="Times New Roman"/>
          <w:i/>
          <w:iCs/>
        </w:rPr>
        <w:t>kâna/haya</w:t>
      </w:r>
      <w:r w:rsidRPr="000E5228">
        <w:rPr>
          <w:rFonts w:cs="Times New Roman"/>
        </w:rPr>
        <w:t xml:space="preserve"> with the object rather than the subject. The article shows the importance of this comparison to study of both Hebrew and Arabic.</w:t>
      </w:r>
    </w:p>
    <w:p w:rsidR="00026002" w:rsidRPr="000E5228" w:rsidRDefault="00026002" w:rsidP="00026002">
      <w:pPr>
        <w:pBdr>
          <w:bottom w:val="dotted" w:sz="24" w:space="1" w:color="auto"/>
        </w:pBdr>
        <w:rPr>
          <w:rFonts w:cs="Times New Roman"/>
          <w:rtl/>
        </w:rPr>
      </w:pPr>
    </w:p>
    <w:p w:rsidR="00026002" w:rsidRPr="000E5228" w:rsidRDefault="00026002" w:rsidP="003E53E6">
      <w:pPr>
        <w:spacing w:before="200"/>
        <w:rPr>
          <w:rFonts w:cs="Times New Roman"/>
          <w:color w:val="00B0F0"/>
        </w:rPr>
      </w:pPr>
      <w:r w:rsidRPr="000E5228">
        <w:rPr>
          <w:rFonts w:cs="Times New Roman"/>
          <w:color w:val="00B0F0"/>
        </w:rPr>
        <w:t xml:space="preserve">Introduction </w:t>
      </w:r>
    </w:p>
    <w:p w:rsidR="00026002" w:rsidRPr="000E5228" w:rsidRDefault="00026002" w:rsidP="003E53E6">
      <w:pPr>
        <w:rPr>
          <w:rFonts w:cs="Times New Roman"/>
        </w:rPr>
      </w:pPr>
      <w:r w:rsidRPr="000E5228">
        <w:rPr>
          <w:rFonts w:cs="Times New Roman"/>
        </w:rPr>
        <w:t xml:space="preserve">In his article on the influence of Middle Arabic on Medieval Hebrew, Blau (1985) noted the need to compare the Hebrew of Medieval Jews not only to Classical Arabic, but also to the Middle Arabic they spoke and wrote. In this article I will seek to present two syntactical phenomena in the Hebrew of Maimonides’ Mishneh Torah that reflect phenomena from his Judeo-Arabic writing and are not characteristic of Classical Arabic. I will seek to show that this comparison contributes not only to our understanding of </w:t>
      </w:r>
      <w:r w:rsidR="003E53E6" w:rsidRPr="000E5228">
        <w:rPr>
          <w:rFonts w:cs="Times New Roman"/>
          <w:highlight w:val="yellow"/>
        </w:rPr>
        <w:t>Arabized</w:t>
      </w:r>
      <w:r w:rsidR="003E53E6" w:rsidRPr="000E5228">
        <w:rPr>
          <w:rFonts w:cs="Times New Roman"/>
        </w:rPr>
        <w:t xml:space="preserve"> Hebrew, but also to a more profound description of Judeo-Arabic.</w:t>
      </w:r>
    </w:p>
    <w:p w:rsidR="003E53E6" w:rsidRPr="000E5228" w:rsidRDefault="003E53E6" w:rsidP="003E53E6">
      <w:pPr>
        <w:spacing w:before="200"/>
        <w:rPr>
          <w:rFonts w:cs="Times New Roman"/>
          <w:color w:val="00B0F0"/>
        </w:rPr>
      </w:pPr>
      <w:r w:rsidRPr="000E5228">
        <w:rPr>
          <w:rFonts w:cs="Times New Roman"/>
          <w:color w:val="00B0F0"/>
        </w:rPr>
        <w:t xml:space="preserve">The Use of the Forms </w:t>
      </w:r>
      <w:r w:rsidRPr="000E5228">
        <w:rPr>
          <w:rFonts w:cs="Times New Roman"/>
          <w:i/>
          <w:iCs/>
          <w:color w:val="00B0F0"/>
        </w:rPr>
        <w:t>nqtl</w:t>
      </w:r>
      <w:r w:rsidRPr="000E5228">
        <w:rPr>
          <w:rFonts w:cs="Times New Roman"/>
          <w:i/>
          <w:iCs/>
          <w:color w:val="00B0F0"/>
          <w:rtl/>
        </w:rPr>
        <w:t>/</w:t>
      </w:r>
      <w:r w:rsidRPr="000E5228">
        <w:rPr>
          <w:rFonts w:cs="Times New Roman"/>
          <w:i/>
          <w:iCs/>
          <w:color w:val="00B0F0"/>
        </w:rPr>
        <w:t>nqṭl</w:t>
      </w:r>
      <w:r w:rsidRPr="000E5228">
        <w:rPr>
          <w:rFonts w:cs="Times New Roman"/>
          <w:color w:val="00B0F0"/>
        </w:rPr>
        <w:t xml:space="preserve"> for the First Person Singular</w:t>
      </w:r>
    </w:p>
    <w:p w:rsidR="003E53E6" w:rsidRPr="000E5228" w:rsidRDefault="003E53E6" w:rsidP="003E53E6">
      <w:pPr>
        <w:rPr>
          <w:rFonts w:cs="Times New Roman"/>
        </w:rPr>
      </w:pPr>
      <w:r w:rsidRPr="000E5228">
        <w:t xml:space="preserve">Researchers of Arabic have noted the replacement of the future singular and plural forms </w:t>
      </w:r>
      <w:r w:rsidRPr="000E5228">
        <w:rPr>
          <w:rFonts w:cs="Times New Roman"/>
          <w:i/>
          <w:iCs/>
        </w:rPr>
        <w:t>nqtl</w:t>
      </w:r>
      <w:r w:rsidRPr="000E5228">
        <w:rPr>
          <w:rFonts w:cs="Times New Roman"/>
          <w:i/>
          <w:iCs/>
          <w:rtl/>
        </w:rPr>
        <w:t>/</w:t>
      </w:r>
      <w:r w:rsidRPr="000E5228">
        <w:rPr>
          <w:rFonts w:cs="Times New Roman"/>
          <w:i/>
          <w:iCs/>
        </w:rPr>
        <w:t>ʔqtl</w:t>
      </w:r>
      <w:r w:rsidRPr="000E5228">
        <w:rPr>
          <w:rFonts w:cs="Times New Roman"/>
        </w:rPr>
        <w:t xml:space="preserve"> by the forms </w:t>
      </w:r>
      <w:r w:rsidRPr="000E5228">
        <w:rPr>
          <w:rFonts w:cs="Times New Roman"/>
          <w:i/>
          <w:iCs/>
        </w:rPr>
        <w:t>nqtl/nqtlû</w:t>
      </w:r>
      <w:r w:rsidRPr="000E5228">
        <w:rPr>
          <w:rFonts w:cs="Times New Roman"/>
        </w:rPr>
        <w:t xml:space="preserve"> in Judeo-Arabic in North Africa and Spain. This phenomenon is also well known in many dialects of Arabic. Joshua Blau claims that the earliest documentation of this phenomenon in any Arabic dialect can be found in the responsa of Rabbi Isaac Alfasi from the eleventh century.</w:t>
      </w:r>
      <w:r w:rsidRPr="000E5228">
        <w:rPr>
          <w:rStyle w:val="FootnoteReference"/>
          <w:sz w:val="24"/>
          <w:szCs w:val="24"/>
        </w:rPr>
        <w:footnoteReference w:id="1"/>
      </w:r>
      <w:r w:rsidRPr="000E5228">
        <w:rPr>
          <w:rFonts w:cs="Times New Roman"/>
        </w:rPr>
        <w:t xml:space="preserve">  </w:t>
      </w:r>
    </w:p>
    <w:p w:rsidR="005E1C5A" w:rsidRPr="000E5228" w:rsidRDefault="003E53E6" w:rsidP="005E1C5A">
      <w:r w:rsidRPr="000E5228">
        <w:lastRenderedPageBreak/>
        <w:t xml:space="preserve">This phenomenon is well documented in Maimonides’ Arabic writing. Hopkins 1993: 243-244 noted that in the autograph of Maimonides’ commentary on the Mishna the author sometimes corrected his own language, replacing the colloquial form </w:t>
      </w:r>
      <w:r w:rsidRPr="000E5228">
        <w:rPr>
          <w:i/>
          <w:iCs/>
        </w:rPr>
        <w:t>nqtl</w:t>
      </w:r>
      <w:r w:rsidRPr="000E5228">
        <w:t xml:space="preserve"> with the classical form </w:t>
      </w:r>
      <w:r w:rsidRPr="000E5228">
        <w:rPr>
          <w:i/>
          <w:iCs/>
        </w:rPr>
        <w:t>ʔqtl</w:t>
      </w:r>
      <w:r w:rsidRPr="000E5228">
        <w:t xml:space="preserve">, as in the following examples: </w:t>
      </w:r>
      <w:r w:rsidR="005E1C5A" w:rsidRPr="000E5228">
        <w:rPr>
          <w:rFonts w:ascii="David" w:hAnsi="David"/>
          <w:b/>
          <w:bCs/>
          <w:color w:val="C00000"/>
          <w:highlight w:val="yellow"/>
          <w:rtl/>
        </w:rPr>
        <w:t>נחרת'</w:t>
      </w:r>
      <w:r w:rsidRPr="000E5228">
        <w:t xml:space="preserve"> </w:t>
      </w:r>
      <w:r w:rsidR="005E1C5A" w:rsidRPr="000E5228">
        <w:t xml:space="preserve">(“I shall sow”) &gt; </w:t>
      </w:r>
      <w:r w:rsidR="005E1C5A" w:rsidRPr="000E5228">
        <w:rPr>
          <w:rFonts w:ascii="David" w:hAnsi="David"/>
          <w:b/>
          <w:bCs/>
          <w:color w:val="C00000"/>
          <w:highlight w:val="yellow"/>
          <w:rtl/>
        </w:rPr>
        <w:t>אחרת'</w:t>
      </w:r>
      <w:r w:rsidR="005E1C5A" w:rsidRPr="000E5228">
        <w:t xml:space="preserve">; </w:t>
      </w:r>
      <w:r w:rsidR="005E1C5A" w:rsidRPr="000E5228">
        <w:rPr>
          <w:rFonts w:ascii="David" w:hAnsi="David"/>
          <w:b/>
          <w:bCs/>
          <w:color w:val="C00000"/>
          <w:highlight w:val="yellow"/>
          <w:rtl/>
        </w:rPr>
        <w:t>לם נבעהא</w:t>
      </w:r>
      <w:r w:rsidRPr="000E5228">
        <w:t xml:space="preserve"> </w:t>
      </w:r>
      <w:r w:rsidR="005E1C5A" w:rsidRPr="000E5228">
        <w:t xml:space="preserve">(“I did not sell it”) &gt; </w:t>
      </w:r>
      <w:r w:rsidR="005E1C5A" w:rsidRPr="000E5228">
        <w:rPr>
          <w:rFonts w:ascii="David" w:hAnsi="David"/>
          <w:b/>
          <w:bCs/>
          <w:color w:val="C00000"/>
          <w:highlight w:val="yellow"/>
          <w:rtl/>
        </w:rPr>
        <w:t>לם אבעהא</w:t>
      </w:r>
      <w:r w:rsidR="005E1C5A" w:rsidRPr="000E5228">
        <w:t>.</w:t>
      </w:r>
    </w:p>
    <w:p w:rsidR="00B1258A" w:rsidRPr="000E5228" w:rsidRDefault="005E1C5A" w:rsidP="005E1C5A">
      <w:pPr>
        <w:rPr>
          <w:rFonts w:cs="Times New Roman"/>
        </w:rPr>
      </w:pPr>
      <w:r w:rsidRPr="000E5228">
        <w:t xml:space="preserve">According to Joshua Blau, the form </w:t>
      </w:r>
      <w:r w:rsidRPr="000E5228">
        <w:rPr>
          <w:i/>
          <w:iCs/>
        </w:rPr>
        <w:t xml:space="preserve">nqtl </w:t>
      </w:r>
      <w:r w:rsidRPr="000E5228">
        <w:t xml:space="preserve">evolved in two stages. Firstly the synthetic structure </w:t>
      </w:r>
      <w:r w:rsidRPr="000E5228">
        <w:rPr>
          <w:i/>
          <w:iCs/>
        </w:rPr>
        <w:t xml:space="preserve">ʔqtl </w:t>
      </w:r>
      <w:r w:rsidRPr="000E5228">
        <w:t xml:space="preserve">was replaced by the analytical structure </w:t>
      </w:r>
      <w:r w:rsidRPr="000E5228">
        <w:rPr>
          <w:rFonts w:cs="Times New Roman"/>
          <w:i/>
          <w:iCs/>
        </w:rPr>
        <w:t>anâ ʔaqtl</w:t>
      </w:r>
      <w:r w:rsidRPr="000E5228">
        <w:rPr>
          <w:rFonts w:cs="Times New Roman"/>
        </w:rPr>
        <w:t>, and subsequently the pronunciation of the consonant /</w:t>
      </w:r>
      <w:r w:rsidRPr="000E5228">
        <w:rPr>
          <w:i/>
          <w:iCs/>
        </w:rPr>
        <w:t xml:space="preserve">ʔ/ </w:t>
      </w:r>
      <w:r w:rsidRPr="000E5228">
        <w:t xml:space="preserve">between the two /a/ vowels was eroded and the first syllable was omitted: </w:t>
      </w:r>
      <w:r w:rsidRPr="000E5228">
        <w:rPr>
          <w:rFonts w:cs="Times New Roman"/>
          <w:i/>
          <w:iCs/>
        </w:rPr>
        <w:t xml:space="preserve">anâ ʔaqtl </w:t>
      </w:r>
      <w:r w:rsidRPr="000E5228">
        <w:rPr>
          <w:rFonts w:cs="Times New Roman"/>
        </w:rPr>
        <w:t xml:space="preserve">&gt; </w:t>
      </w:r>
      <w:r w:rsidRPr="000E5228">
        <w:rPr>
          <w:rFonts w:cs="Times New Roman"/>
          <w:i/>
          <w:iCs/>
        </w:rPr>
        <w:t>nqtl</w:t>
      </w:r>
      <w:commentRangeStart w:id="0"/>
      <w:r w:rsidRPr="000E5228">
        <w:rPr>
          <w:rFonts w:cs="Times New Roman"/>
        </w:rPr>
        <w:t>.</w:t>
      </w:r>
      <w:r w:rsidRPr="000E5228">
        <w:rPr>
          <w:rStyle w:val="FootnoteReference"/>
          <w:sz w:val="24"/>
          <w:szCs w:val="24"/>
        </w:rPr>
        <w:footnoteReference w:id="2"/>
      </w:r>
      <w:commentRangeEnd w:id="0"/>
      <w:r w:rsidR="006B6C4A">
        <w:rPr>
          <w:rStyle w:val="CommentReference"/>
        </w:rPr>
        <w:commentReference w:id="0"/>
      </w:r>
      <w:r w:rsidR="00B1258A" w:rsidRPr="000E5228">
        <w:rPr>
          <w:rFonts w:cs="Times New Roman"/>
        </w:rPr>
        <w:t xml:space="preserve"> </w:t>
      </w:r>
    </w:p>
    <w:p w:rsidR="00EA51CD" w:rsidRPr="000E5228" w:rsidRDefault="00B1258A" w:rsidP="00FD7F78">
      <w:r w:rsidRPr="000E5228">
        <w:t>This phenomenon is also familiar from the Western Aramaic dialects – Galilean Aramaic and Neo-Aramaic in Malula.</w:t>
      </w:r>
      <w:r w:rsidRPr="000E5228">
        <w:rPr>
          <w:rStyle w:val="FootnoteReference"/>
          <w:sz w:val="24"/>
          <w:szCs w:val="24"/>
        </w:rPr>
        <w:footnoteReference w:id="3"/>
      </w:r>
      <w:r w:rsidRPr="000E5228">
        <w:t xml:space="preserve"> </w:t>
      </w:r>
      <w:r w:rsidR="00EA51CD" w:rsidRPr="000E5228">
        <w:t xml:space="preserve">The contact between Galilean Aramaic and Galilean Hebrew led to an interesting phenomenon. Michael Sokoloff showed that the use of the first person plural form </w:t>
      </w:r>
      <w:r w:rsidR="00EA51CD" w:rsidRPr="000E5228">
        <w:rPr>
          <w:i/>
          <w:iCs/>
        </w:rPr>
        <w:t xml:space="preserve">nqṭl </w:t>
      </w:r>
      <w:r w:rsidR="00EA51CD" w:rsidRPr="000E5228">
        <w:t>in Galilean Aramaic led to its use in Galilean Hebrew.</w:t>
      </w:r>
      <w:r w:rsidR="00EA51CD" w:rsidRPr="000E5228">
        <w:rPr>
          <w:rStyle w:val="FootnoteReference"/>
          <w:sz w:val="24"/>
          <w:szCs w:val="24"/>
        </w:rPr>
        <w:footnoteReference w:id="4"/>
      </w:r>
      <w:r w:rsidR="00EA51CD" w:rsidRPr="000E5228">
        <w:t xml:space="preserve"> For example, the Hebrew of Bereshit Rabbah (Noah portion) uses the forms </w:t>
      </w:r>
      <w:r w:rsidR="00EA51CD" w:rsidRPr="000E5228">
        <w:rPr>
          <w:rFonts w:ascii="David" w:hAnsi="David"/>
          <w:b/>
          <w:bCs/>
          <w:color w:val="C00000"/>
          <w:rtl/>
        </w:rPr>
        <w:t>נחתך</w:t>
      </w:r>
      <w:r w:rsidR="00EA51CD" w:rsidRPr="000E5228">
        <w:t xml:space="preserve">, </w:t>
      </w:r>
      <w:r w:rsidR="00EA51CD" w:rsidRPr="000E5228">
        <w:rPr>
          <w:rFonts w:ascii="David" w:hAnsi="David"/>
          <w:b/>
          <w:bCs/>
          <w:color w:val="C00000"/>
          <w:rtl/>
        </w:rPr>
        <w:t>נעכב</w:t>
      </w:r>
      <w:r w:rsidR="00EA51CD" w:rsidRPr="000E5228">
        <w:rPr>
          <w:rFonts w:ascii="David" w:hAnsi="David"/>
          <w:b/>
          <w:bCs/>
          <w:color w:val="C00000"/>
        </w:rPr>
        <w:t xml:space="preserve"> </w:t>
      </w:r>
      <w:r w:rsidR="00FD7F78">
        <w:t>(“we will cut,” “we will refuse”) r</w:t>
      </w:r>
      <w:r w:rsidR="00EA51CD" w:rsidRPr="000E5228">
        <w:t xml:space="preserve">ather than </w:t>
      </w:r>
      <w:r w:rsidR="00EA51CD" w:rsidRPr="000E5228">
        <w:rPr>
          <w:rFonts w:ascii="David" w:hAnsi="David"/>
          <w:color w:val="C00000"/>
          <w:rtl/>
        </w:rPr>
        <w:t>*אחתך</w:t>
      </w:r>
      <w:r w:rsidR="00EA51CD" w:rsidRPr="000E5228">
        <w:t xml:space="preserve">, </w:t>
      </w:r>
      <w:r w:rsidR="00EA51CD" w:rsidRPr="000E5228">
        <w:rPr>
          <w:rFonts w:ascii="David" w:hAnsi="David"/>
          <w:color w:val="C00000"/>
          <w:rtl/>
        </w:rPr>
        <w:t>*אעכב</w:t>
      </w:r>
      <w:r w:rsidR="00FD7F78">
        <w:t xml:space="preserve"> (“I will cut,” “I will refuse”):</w:t>
      </w:r>
      <w:r w:rsidR="00EA51CD" w:rsidRPr="000E5228">
        <w:t xml:space="preserve"> </w:t>
      </w:r>
    </w:p>
    <w:p w:rsidR="00EA51CD" w:rsidRDefault="00EA51CD" w:rsidP="00EA51CD">
      <w:pPr>
        <w:rPr>
          <w:rFonts w:ascii="David" w:hAnsi="David"/>
        </w:rPr>
      </w:pPr>
      <w:r w:rsidRPr="000E5228">
        <w:tab/>
      </w:r>
      <w:r w:rsidRPr="000E5228">
        <w:rPr>
          <w:rFonts w:ascii="David" w:hAnsi="David"/>
          <w:color w:val="C00000"/>
          <w:rtl/>
        </w:rPr>
        <w:t xml:space="preserve">ויאמר לי </w:t>
      </w:r>
      <w:r w:rsidRPr="000E5228">
        <w:rPr>
          <w:rFonts w:ascii="David" w:hAnsi="David"/>
          <w:b/>
          <w:bCs/>
          <w:color w:val="C00000"/>
          <w:rtl/>
        </w:rPr>
        <w:t>שנחתך</w:t>
      </w:r>
      <w:r w:rsidRPr="000E5228">
        <w:rPr>
          <w:rFonts w:ascii="David" w:hAnsi="David"/>
          <w:color w:val="C00000"/>
          <w:rtl/>
        </w:rPr>
        <w:t xml:space="preserve"> אבר מאבריי ולא </w:t>
      </w:r>
      <w:r w:rsidRPr="000E5228">
        <w:rPr>
          <w:rFonts w:ascii="David" w:hAnsi="David"/>
          <w:b/>
          <w:bCs/>
          <w:color w:val="C00000"/>
          <w:rtl/>
        </w:rPr>
        <w:t>נעכב</w:t>
      </w:r>
      <w:r w:rsidRPr="000E5228">
        <w:rPr>
          <w:rFonts w:ascii="David" w:hAnsi="David"/>
          <w:rtl/>
        </w:rPr>
        <w:t>.</w:t>
      </w:r>
    </w:p>
    <w:p w:rsidR="00FD7F78" w:rsidRPr="00C1691E" w:rsidRDefault="00FD7F78" w:rsidP="00EA51CD">
      <w:pPr>
        <w:rPr>
          <w:rFonts w:cs="Times New Roman"/>
          <w:color w:val="auto"/>
        </w:rPr>
      </w:pPr>
      <w:r w:rsidRPr="00C1691E">
        <w:rPr>
          <w:rFonts w:cs="Times New Roman"/>
        </w:rPr>
        <w:lastRenderedPageBreak/>
        <w:tab/>
      </w:r>
      <w:r w:rsidRPr="00C1691E">
        <w:rPr>
          <w:rFonts w:cs="Times New Roman"/>
          <w:color w:val="auto"/>
        </w:rPr>
        <w:t>“And he will bid me to cut off one of his limbs, then I will not refuse”</w:t>
      </w:r>
    </w:p>
    <w:p w:rsidR="00E8755E" w:rsidRPr="000E5228" w:rsidRDefault="00EA51CD" w:rsidP="00E8755E">
      <w:r w:rsidRPr="000E5228">
        <w:t xml:space="preserve">Sokoloff emphasizes that the use of the form </w:t>
      </w:r>
      <w:r w:rsidRPr="000E5228">
        <w:rPr>
          <w:i/>
          <w:iCs/>
        </w:rPr>
        <w:t xml:space="preserve">nqṭl </w:t>
      </w:r>
      <w:r w:rsidRPr="000E5228">
        <w:t xml:space="preserve">for the first person singular is not found in the language of the Tannaim, </w:t>
      </w:r>
      <w:r w:rsidRPr="000E5228">
        <w:rPr>
          <w:highlight w:val="yellow"/>
        </w:rPr>
        <w:t>when Hebrew thrived in the Land of Israel</w:t>
      </w:r>
      <w:r w:rsidRPr="000E5228">
        <w:t xml:space="preserve">. It emerges only during the Ammoraitic period, when the living language become one confined to prayer and study. Accordingly, the Hebrew first person singular form </w:t>
      </w:r>
      <w:r w:rsidRPr="000E5228">
        <w:rPr>
          <w:i/>
          <w:iCs/>
        </w:rPr>
        <w:t xml:space="preserve">nqṭl </w:t>
      </w:r>
      <w:r w:rsidR="00E8755E" w:rsidRPr="000E5228">
        <w:t xml:space="preserve">does not have its origins in a phonetic process leading to the emergence of a new form in the verb system, but rather in the reanalysis of the Aramaic </w:t>
      </w:r>
      <w:r w:rsidR="00E8755E" w:rsidRPr="000E5228">
        <w:rPr>
          <w:i/>
          <w:iCs/>
        </w:rPr>
        <w:t xml:space="preserve">nqṭl </w:t>
      </w:r>
      <w:r w:rsidR="00E8755E" w:rsidRPr="000E5228">
        <w:t>as a plural form. In other words: in Galilean Aramaic this is a morphological phenomenon, whereas in Galilean Hebrew it is a syntactical one.</w:t>
      </w:r>
    </w:p>
    <w:p w:rsidR="00E8755E" w:rsidRPr="000E5228" w:rsidRDefault="00E8755E" w:rsidP="00E8755E">
      <w:r w:rsidRPr="000E5228">
        <w:t xml:space="preserve">The use of </w:t>
      </w:r>
      <w:r w:rsidRPr="000E5228">
        <w:rPr>
          <w:i/>
          <w:iCs/>
        </w:rPr>
        <w:t xml:space="preserve">nqṭl </w:t>
      </w:r>
      <w:r w:rsidRPr="000E5228">
        <w:t>forms for the first person singular is documented in the best manuscripts of the Mishneh Torah, as well as in Shailat’s excellent edition, which is based on these manuscripts. We will present here four examples – three from Sefer Mishpatim and one from Sefer Kinyan, beginning with Sefer Mishpatim:</w:t>
      </w:r>
    </w:p>
    <w:p w:rsidR="00C1691E" w:rsidRDefault="00E8755E" w:rsidP="00C1691E">
      <w:pPr>
        <w:pStyle w:val="E-1"/>
      </w:pPr>
      <w:r w:rsidRPr="000E5228">
        <w:t>A.</w:t>
      </w:r>
      <w:r w:rsidRPr="000E5228">
        <w:tab/>
        <w:t>Borrowing and Depositing 2</w:t>
      </w:r>
      <w:r w:rsidR="00713E17">
        <w:t>:</w:t>
      </w:r>
      <w:r w:rsidRPr="000E5228">
        <w:t xml:space="preserve">7: </w:t>
      </w:r>
      <w:r w:rsidRPr="000E5228">
        <w:rPr>
          <w:rtl/>
          <w:lang w:bidi="he-IL"/>
        </w:rPr>
        <w:t xml:space="preserve">ואם אמר השותף לחבירו: השאיליני היום </w:t>
      </w:r>
      <w:r w:rsidRPr="000E5228">
        <w:rPr>
          <w:b/>
          <w:bCs/>
          <w:rtl/>
          <w:lang w:bidi="he-IL"/>
        </w:rPr>
        <w:t>ונשאילך</w:t>
      </w:r>
      <w:r w:rsidRPr="000E5228">
        <w:rPr>
          <w:rtl/>
          <w:lang w:bidi="he-IL"/>
        </w:rPr>
        <w:t xml:space="preserve"> למחר, אינה שאלה בבעלין</w:t>
      </w:r>
      <w:r w:rsidRPr="000E5228">
        <w:t xml:space="preserve"> </w:t>
      </w:r>
      <w:r w:rsidR="00EA51CD" w:rsidRPr="000E5228">
        <w:t xml:space="preserve">  </w:t>
      </w:r>
      <w:r w:rsidR="00C1691E">
        <w:tab/>
      </w:r>
    </w:p>
    <w:p w:rsidR="000E5228" w:rsidRPr="000E5228" w:rsidRDefault="00E8755E" w:rsidP="00C1691E">
      <w:pPr>
        <w:pStyle w:val="E-1"/>
      </w:pPr>
      <w:r w:rsidRPr="000E5228">
        <w:tab/>
        <w:t xml:space="preserve">The form </w:t>
      </w:r>
      <w:r w:rsidRPr="000E5228">
        <w:rPr>
          <w:b/>
          <w:bCs/>
          <w:color w:val="FF0000"/>
          <w:rtl/>
          <w:lang w:bidi="he-IL"/>
        </w:rPr>
        <w:t>ונשאילך</w:t>
      </w:r>
      <w:r w:rsidRPr="000E5228">
        <w:rPr>
          <w:b/>
          <w:bCs/>
          <w:color w:val="FF0000"/>
          <w:lang w:bidi="he-IL"/>
        </w:rPr>
        <w:t xml:space="preserve"> </w:t>
      </w:r>
      <w:r w:rsidR="00FD7F78">
        <w:t>(“we will make you a loan”) a</w:t>
      </w:r>
      <w:r w:rsidRPr="000E5228">
        <w:t xml:space="preserve">ppears in the Sutro manuscript 132 and in El-Escorial 133. Oxford Hunt 545 and Romi 1480 both have the form </w:t>
      </w:r>
      <w:r w:rsidRPr="000E5228">
        <w:rPr>
          <w:b/>
          <w:bCs/>
          <w:color w:val="FF0000"/>
          <w:rtl/>
          <w:lang w:bidi="he-IL"/>
        </w:rPr>
        <w:t>ו</w:t>
      </w:r>
      <w:r w:rsidR="000E5228" w:rsidRPr="000E5228">
        <w:rPr>
          <w:rFonts w:hint="cs"/>
          <w:b/>
          <w:bCs/>
          <w:color w:val="FF0000"/>
          <w:rtl/>
          <w:lang w:bidi="he-IL"/>
        </w:rPr>
        <w:t>א</w:t>
      </w:r>
      <w:r w:rsidRPr="000E5228">
        <w:rPr>
          <w:b/>
          <w:bCs/>
          <w:color w:val="FF0000"/>
          <w:rtl/>
          <w:lang w:bidi="he-IL"/>
        </w:rPr>
        <w:t>שאילך</w:t>
      </w:r>
      <w:r w:rsidR="00FD7F78">
        <w:t xml:space="preserve"> (“I will make you a loan.”)</w:t>
      </w:r>
    </w:p>
    <w:p w:rsidR="000E5228" w:rsidRPr="000E5228" w:rsidRDefault="000E5228" w:rsidP="00713E17">
      <w:pPr>
        <w:pStyle w:val="E-1"/>
        <w:rPr>
          <w:rFonts w:ascii="David" w:hAnsi="David"/>
          <w:color w:val="C00000"/>
          <w:rtl/>
        </w:rPr>
      </w:pPr>
      <w:r w:rsidRPr="000E5228">
        <w:tab/>
        <w:t xml:space="preserve">It is worth mentioning that this religious law has its origins in the Babylonian Talmud, Baba Metzia 81a. The ruling in the Mishneh Torah summarizes the Talmudic commentary: </w:t>
      </w:r>
      <w:r w:rsidRPr="000E5228">
        <w:rPr>
          <w:rFonts w:ascii="David" w:hAnsi="David"/>
          <w:color w:val="C00000"/>
          <w:highlight w:val="yellow"/>
          <w:rtl/>
        </w:rPr>
        <w:t xml:space="preserve">"תנו רבנן: שמור לי ואשמור לך, </w:t>
      </w:r>
      <w:r w:rsidRPr="000E5228">
        <w:rPr>
          <w:rFonts w:ascii="David" w:hAnsi="David"/>
          <w:b/>
          <w:bCs/>
          <w:color w:val="C00000"/>
          <w:highlight w:val="yellow"/>
          <w:rtl/>
        </w:rPr>
        <w:t>השאילני ואשאילך</w:t>
      </w:r>
      <w:r w:rsidRPr="000E5228">
        <w:rPr>
          <w:rFonts w:ascii="David" w:hAnsi="David"/>
          <w:color w:val="C00000"/>
          <w:highlight w:val="yellow"/>
          <w:rtl/>
        </w:rPr>
        <w:t xml:space="preserve">, שמור לי ואשאילך, השאילני ואשמור לך – כולן נעשין שומרי שכר זה לזה. ואמאי? שמירה בבעלים היא! אמ' רב פפא: דאמ' ליה, שמור לי </w:t>
      </w:r>
      <w:r w:rsidRPr="000E5228">
        <w:rPr>
          <w:rFonts w:ascii="David" w:hAnsi="David"/>
          <w:b/>
          <w:bCs/>
          <w:color w:val="C00000"/>
          <w:highlight w:val="yellow"/>
          <w:rtl/>
        </w:rPr>
        <w:t>היום</w:t>
      </w:r>
      <w:r w:rsidRPr="000E5228">
        <w:rPr>
          <w:rFonts w:ascii="David" w:hAnsi="David"/>
          <w:color w:val="C00000"/>
          <w:highlight w:val="yellow"/>
          <w:rtl/>
        </w:rPr>
        <w:t xml:space="preserve"> ואני אשמור לך </w:t>
      </w:r>
      <w:r w:rsidRPr="000E5228">
        <w:rPr>
          <w:rFonts w:ascii="David" w:hAnsi="David"/>
          <w:b/>
          <w:bCs/>
          <w:color w:val="C00000"/>
          <w:highlight w:val="yellow"/>
          <w:rtl/>
        </w:rPr>
        <w:t>למחר</w:t>
      </w:r>
      <w:r w:rsidRPr="000E5228">
        <w:rPr>
          <w:rFonts w:ascii="David" w:hAnsi="David"/>
          <w:color w:val="C00000"/>
          <w:highlight w:val="yellow"/>
          <w:rtl/>
        </w:rPr>
        <w:t>".</w:t>
      </w:r>
    </w:p>
    <w:p w:rsidR="000E5228" w:rsidRDefault="000E5228" w:rsidP="00FD7F78">
      <w:pPr>
        <w:pStyle w:val="E-1"/>
      </w:pPr>
      <w:r w:rsidRPr="000E5228">
        <w:t xml:space="preserve"> </w:t>
      </w:r>
      <w:r w:rsidR="005E1C5A" w:rsidRPr="000E5228">
        <w:t xml:space="preserve"> </w:t>
      </w:r>
      <w:r w:rsidR="00E8755E" w:rsidRPr="000E5228">
        <w:tab/>
      </w:r>
      <w:r w:rsidRPr="000E5228">
        <w:t xml:space="preserve">Maimonides’ remarks are based on the Talmudic phrase </w:t>
      </w:r>
      <w:r w:rsidRPr="000E5228">
        <w:rPr>
          <w:b/>
          <w:bCs/>
          <w:color w:val="FF0000"/>
          <w:rtl/>
          <w:lang w:bidi="he-IL"/>
        </w:rPr>
        <w:t>השאילני ואשאילך</w:t>
      </w:r>
      <w:r w:rsidR="00FD7F78">
        <w:rPr>
          <w:color w:val="auto"/>
          <w:lang w:bidi="he-IL"/>
        </w:rPr>
        <w:t xml:space="preserve"> (“make me a loan and I will make you a loan,”)</w:t>
      </w:r>
      <w:r w:rsidRPr="000E5228">
        <w:rPr>
          <w:color w:val="auto"/>
          <w:lang w:bidi="he-IL"/>
        </w:rPr>
        <w:t xml:space="preserve"> and</w:t>
      </w:r>
      <w:r>
        <w:rPr>
          <w:color w:val="auto"/>
          <w:lang w:bidi="he-IL"/>
        </w:rPr>
        <w:t xml:space="preserve"> accordingly it is clear that the form </w:t>
      </w:r>
      <w:r w:rsidRPr="000E5228">
        <w:rPr>
          <w:b/>
          <w:bCs/>
          <w:color w:val="FF0000"/>
          <w:rtl/>
          <w:lang w:bidi="he-IL"/>
        </w:rPr>
        <w:t>ונשאילך</w:t>
      </w:r>
      <w:r>
        <w:rPr>
          <w:b/>
          <w:bCs/>
          <w:color w:val="FF0000"/>
          <w:lang w:bidi="he-IL"/>
        </w:rPr>
        <w:t xml:space="preserve"> </w:t>
      </w:r>
      <w:r w:rsidR="00FD7F78">
        <w:t>(“we will make you a loan”) i</w:t>
      </w:r>
      <w:r>
        <w:t xml:space="preserve">n his comments denotes the first person singular, and not </w:t>
      </w:r>
      <w:r>
        <w:lastRenderedPageBreak/>
        <w:t>the first person plural. It is also apparent from the comparison to the Talmud that this form is an innovation by Maimonides himself.</w:t>
      </w:r>
      <w:r>
        <w:rPr>
          <w:rStyle w:val="FootnoteReference"/>
        </w:rPr>
        <w:footnoteReference w:id="5"/>
      </w:r>
    </w:p>
    <w:p w:rsidR="003E53E6" w:rsidRDefault="000E5228" w:rsidP="00713E17">
      <w:pPr>
        <w:pStyle w:val="E-1"/>
      </w:pPr>
      <w:r>
        <w:t>B</w:t>
      </w:r>
      <w:r w:rsidR="00407D08">
        <w:t>.</w:t>
      </w:r>
      <w:r>
        <w:tab/>
      </w:r>
      <w:r w:rsidR="00FD7F78">
        <w:t>Creditor and Debtor</w:t>
      </w:r>
      <w:r>
        <w:t xml:space="preserve"> 6</w:t>
      </w:r>
      <w:r w:rsidR="00713E17">
        <w:t>:</w:t>
      </w:r>
      <w:r>
        <w:t xml:space="preserve">3: </w:t>
      </w:r>
      <w:r w:rsidRPr="000E5228">
        <w:rPr>
          <w:rtl/>
          <w:lang w:bidi="he-IL"/>
        </w:rPr>
        <w:t>הורו רבותי שהמלוה את חבירו ולאחר זמן תבע חובו, ואמר לו הלווה דור בחצירי עד שנחזיר לך חובך, הרי זה אבק רבית</w:t>
      </w:r>
      <w:r w:rsidRPr="000E5228">
        <w:rPr>
          <w:lang w:bidi="he-IL"/>
        </w:rPr>
        <w:t>.</w:t>
      </w:r>
      <w:r w:rsidRPr="000E5228">
        <w:rPr>
          <w:i/>
          <w:iCs/>
        </w:rPr>
        <w:tab/>
      </w:r>
      <w:r w:rsidR="003E53E6" w:rsidRPr="000E5228">
        <w:t xml:space="preserve"> </w:t>
      </w:r>
    </w:p>
    <w:p w:rsidR="00407D08" w:rsidRDefault="000E5228" w:rsidP="00713E17">
      <w:pPr>
        <w:pStyle w:val="E-1"/>
        <w:rPr>
          <w:lang w:val="tr-TR" w:bidi="he-IL"/>
        </w:rPr>
      </w:pPr>
      <w:r>
        <w:tab/>
      </w:r>
      <w:r w:rsidR="009841F4">
        <w:t xml:space="preserve">All the four above-mentioned manuscripts </w:t>
      </w:r>
      <w:r w:rsidR="00407D08">
        <w:t xml:space="preserve">have </w:t>
      </w:r>
      <w:r w:rsidR="00407D08">
        <w:rPr>
          <w:rFonts w:hint="cs"/>
          <w:b/>
          <w:bCs/>
          <w:rtl/>
          <w:lang w:bidi="he-IL"/>
        </w:rPr>
        <w:t>שנחזיר</w:t>
      </w:r>
      <w:r w:rsidR="00407D08">
        <w:rPr>
          <w:b/>
          <w:bCs/>
          <w:lang w:bidi="he-IL"/>
        </w:rPr>
        <w:t xml:space="preserve"> </w:t>
      </w:r>
      <w:r w:rsidR="00407D08">
        <w:rPr>
          <w:lang w:bidi="he-IL"/>
        </w:rPr>
        <w:t xml:space="preserve">here; Romi has </w:t>
      </w:r>
      <w:r w:rsidR="00407D08">
        <w:rPr>
          <w:rFonts w:hint="cs"/>
          <w:b/>
          <w:bCs/>
          <w:rtl/>
          <w:lang w:bidi="he-IL"/>
        </w:rPr>
        <w:t>שאחזיר</w:t>
      </w:r>
      <w:r w:rsidR="00407D08">
        <w:rPr>
          <w:lang w:val="tr-TR" w:bidi="he-IL"/>
        </w:rPr>
        <w:t>.</w:t>
      </w:r>
    </w:p>
    <w:p w:rsidR="000E5228" w:rsidRDefault="00407D08" w:rsidP="00713E17">
      <w:pPr>
        <w:pStyle w:val="E-1"/>
      </w:pPr>
      <w:r>
        <w:t>C.</w:t>
      </w:r>
      <w:r>
        <w:tab/>
      </w:r>
      <w:r w:rsidR="00FD7F78">
        <w:t>Pleading</w:t>
      </w:r>
      <w:r w:rsidR="00DC4919">
        <w:t xml:space="preserve"> 15</w:t>
      </w:r>
      <w:r w:rsidR="00713E17">
        <w:t>:</w:t>
      </w:r>
      <w:r w:rsidR="00DC4919">
        <w:t xml:space="preserve">3: </w:t>
      </w:r>
      <w:r w:rsidR="00DC4919" w:rsidRPr="00DC4919">
        <w:rPr>
          <w:rtl/>
          <w:lang w:bidi="he-IL"/>
        </w:rPr>
        <w:t xml:space="preserve">בא שמעון ונמלך בלוי, ואמ' לו: הרי אני קונה שדה פלונית מראובן בעצתך </w:t>
      </w:r>
      <w:r w:rsidR="00DC4919" w:rsidRPr="00DC4919">
        <w:rPr>
          <w:b/>
          <w:bCs/>
          <w:rtl/>
          <w:lang w:bidi="he-IL"/>
        </w:rPr>
        <w:t>שנקנה</w:t>
      </w:r>
      <w:r w:rsidR="00DC4919" w:rsidRPr="00DC4919">
        <w:rPr>
          <w:rtl/>
          <w:lang w:bidi="he-IL"/>
        </w:rPr>
        <w:t xml:space="preserve"> אותה. ואמ' לוי: לך וקנה, טובה היא</w:t>
      </w:r>
      <w:r w:rsidR="00DC4919" w:rsidRPr="00DC4919">
        <w:t xml:space="preserve">. </w:t>
      </w:r>
      <w:r w:rsidRPr="00DC4919">
        <w:t xml:space="preserve"> </w:t>
      </w:r>
      <w:r w:rsidR="009841F4" w:rsidRPr="00DC4919">
        <w:t xml:space="preserve"> </w:t>
      </w:r>
    </w:p>
    <w:p w:rsidR="003E53E6" w:rsidRDefault="00DC4919" w:rsidP="002407EB">
      <w:pPr>
        <w:pStyle w:val="E-1"/>
      </w:pPr>
      <w:r>
        <w:rPr>
          <w:color w:val="FF0000"/>
        </w:rPr>
        <w:tab/>
      </w:r>
      <w:r w:rsidRPr="00DC4919">
        <w:t>El-Esc</w:t>
      </w:r>
      <w:r>
        <w:t>o</w:t>
      </w:r>
      <w:r w:rsidRPr="00DC4919">
        <w:t xml:space="preserve">rial </w:t>
      </w:r>
      <w:r>
        <w:t xml:space="preserve">is defective here, and the law is presented according to Oxford Hunt. 545. Sutro 132 and 133 also have </w:t>
      </w:r>
      <w:r w:rsidRPr="00DC4919">
        <w:rPr>
          <w:b/>
          <w:bCs/>
          <w:color w:val="FF0000"/>
          <w:rtl/>
          <w:lang w:bidi="he-IL"/>
        </w:rPr>
        <w:t>שנקנה</w:t>
      </w:r>
      <w:r w:rsidR="002407EB">
        <w:t xml:space="preserve"> (“that we will buy it.”)</w:t>
      </w:r>
      <w:r w:rsidRPr="00DC4919">
        <w:t xml:space="preserve"> </w:t>
      </w:r>
      <w:r>
        <w:t xml:space="preserve">In the Romi printed edition, the text reads </w:t>
      </w:r>
      <w:r w:rsidR="002407EB">
        <w:t xml:space="preserve"> </w:t>
      </w:r>
      <w:r w:rsidRPr="00DC4919">
        <w:rPr>
          <w:rFonts w:ascii="David" w:hAnsi="David"/>
          <w:color w:val="FF0000"/>
          <w:rtl/>
        </w:rPr>
        <w:t>אקנה אותה</w:t>
      </w:r>
      <w:r w:rsidR="002407EB" w:rsidRPr="002407EB">
        <w:t xml:space="preserve"> </w:t>
      </w:r>
      <w:commentRangeStart w:id="1"/>
      <w:r w:rsidR="002407EB" w:rsidRPr="00DC4919">
        <w:rPr>
          <w:rFonts w:ascii="David" w:hAnsi="David"/>
          <w:color w:val="FF0000"/>
          <w:rtl/>
        </w:rPr>
        <w:t>ובעצתך</w:t>
      </w:r>
      <w:commentRangeEnd w:id="1"/>
      <w:r w:rsidR="002407EB">
        <w:rPr>
          <w:rStyle w:val="CommentReference"/>
        </w:rPr>
        <w:commentReference w:id="1"/>
      </w:r>
      <w:r w:rsidR="002407EB" w:rsidRPr="00DC4919">
        <w:rPr>
          <w:rFonts w:ascii="David" w:hAnsi="David"/>
          <w:color w:val="FF0000"/>
          <w:rtl/>
        </w:rPr>
        <w:t xml:space="preserve"> </w:t>
      </w:r>
      <w:r w:rsidR="002407EB">
        <w:t>(“and it is upon your advice that I will buy it.”)</w:t>
      </w:r>
    </w:p>
    <w:p w:rsidR="00DC4919" w:rsidRDefault="00DC4919" w:rsidP="00C1691E">
      <w:pPr>
        <w:pStyle w:val="E-1"/>
      </w:pPr>
      <w:r>
        <w:tab/>
        <w:t xml:space="preserve">Shielat 2011 did not offer any explanation for the form that appears in the Laws of Borrowing and Depositing. In the laws of </w:t>
      </w:r>
      <w:r w:rsidR="00FD7F78">
        <w:t>Creditor and Debtor</w:t>
      </w:r>
      <w:r>
        <w:t xml:space="preserve"> (p. 91), he explained that “our Rabbi is sometimes in the custom of using the first person plural (under the influence of the Spanish dialect of Arabic.”) </w:t>
      </w:r>
    </w:p>
    <w:p w:rsidR="00C75719" w:rsidRDefault="00C75719" w:rsidP="00713E17">
      <w:pPr>
        <w:pStyle w:val="E-1"/>
      </w:pPr>
      <w:r>
        <w:tab/>
        <w:t>We now turn to an example from Sefer Kinyan:</w:t>
      </w:r>
    </w:p>
    <w:p w:rsidR="00C75719" w:rsidRDefault="00C75719" w:rsidP="00713E17">
      <w:pPr>
        <w:pStyle w:val="E-1"/>
      </w:pPr>
      <w:r>
        <w:rPr>
          <w:color w:val="auto"/>
        </w:rPr>
        <w:t>D.</w:t>
      </w:r>
      <w:r>
        <w:rPr>
          <w:color w:val="auto"/>
        </w:rPr>
        <w:tab/>
        <w:t>Agents and Partners 10</w:t>
      </w:r>
      <w:r w:rsidR="00713E17">
        <w:rPr>
          <w:color w:val="auto"/>
        </w:rPr>
        <w:t>:</w:t>
      </w:r>
      <w:r>
        <w:rPr>
          <w:color w:val="auto"/>
        </w:rPr>
        <w:t xml:space="preserve">2 </w:t>
      </w:r>
      <w:r w:rsidRPr="00C75719">
        <w:rPr>
          <w:color w:val="auto"/>
          <w:highlight w:val="yellow"/>
        </w:rPr>
        <w:t>(Oxford, Hunt. 612)</w:t>
      </w:r>
      <w:r>
        <w:rPr>
          <w:color w:val="auto"/>
        </w:rPr>
        <w:t xml:space="preserve">: </w:t>
      </w:r>
      <w:r w:rsidRPr="00C75719">
        <w:rPr>
          <w:rtl/>
          <w:lang w:bidi="he-IL"/>
        </w:rPr>
        <w:t>או שאמ' התובע חלקנו על מנת שנשביע אותך שבועת השותפין בכל עת שנרצה ועדיין לא נשבעת לי, ואתה מדחה אותי מיום ליום</w:t>
      </w:r>
      <w:r w:rsidRPr="00C75719">
        <w:t>.</w:t>
      </w:r>
      <w:r>
        <w:tab/>
      </w:r>
    </w:p>
    <w:p w:rsidR="00C75719" w:rsidRDefault="00C75719" w:rsidP="00713E17">
      <w:pPr>
        <w:pStyle w:val="E-1"/>
      </w:pPr>
      <w:r>
        <w:tab/>
        <w:t>Shielat 2013: 181 noted that the printed editions use the singular form, commenting that the form in the manuscripts “is the influence of Spanish Arabic.”</w:t>
      </w:r>
    </w:p>
    <w:p w:rsidR="00C75719" w:rsidRDefault="00C75719" w:rsidP="00C75719">
      <w:pPr>
        <w:rPr>
          <w:rFonts w:cs="Times New Roman"/>
        </w:rPr>
      </w:pPr>
      <w:r>
        <w:rPr>
          <w:color w:val="auto"/>
        </w:rPr>
        <w:t xml:space="preserve">All four laws presented above clearly show the influence of the form </w:t>
      </w:r>
      <w:r>
        <w:rPr>
          <w:i/>
          <w:iCs/>
          <w:color w:val="auto"/>
        </w:rPr>
        <w:t xml:space="preserve">nqtl </w:t>
      </w:r>
      <w:r>
        <w:rPr>
          <w:color w:val="auto"/>
        </w:rPr>
        <w:t xml:space="preserve">for the first person singular in Middle Arabic. The presence of the plural form instead of the singular in Maimonides’ Hebrew probably also suggests that Maimonides, too, did not associate this form with the meaning </w:t>
      </w:r>
      <w:r w:rsidRPr="000E5228">
        <w:rPr>
          <w:rFonts w:cs="Times New Roman"/>
          <w:i/>
          <w:iCs/>
        </w:rPr>
        <w:t>anâ ʔaqtl</w:t>
      </w:r>
      <w:r>
        <w:rPr>
          <w:rFonts w:cs="Times New Roman"/>
        </w:rPr>
        <w:t xml:space="preserve"> but regarded it as a plural. Following the reanalysis of </w:t>
      </w:r>
      <w:r w:rsidRPr="000E5228">
        <w:rPr>
          <w:rFonts w:cs="Times New Roman"/>
          <w:i/>
          <w:iCs/>
        </w:rPr>
        <w:t xml:space="preserve">anâ </w:t>
      </w:r>
      <w:r w:rsidRPr="00C75719">
        <w:rPr>
          <w:rFonts w:cs="Times New Roman"/>
          <w:i/>
          <w:iCs/>
        </w:rPr>
        <w:lastRenderedPageBreak/>
        <w:t>nqtl</w:t>
      </w:r>
      <w:r>
        <w:rPr>
          <w:color w:val="auto"/>
        </w:rPr>
        <w:t xml:space="preserve"> as a plural form, Maimonides occasionally employed the Hebrew plural form </w:t>
      </w:r>
      <w:r w:rsidRPr="000E5228">
        <w:rPr>
          <w:rFonts w:cs="Times New Roman"/>
          <w:i/>
          <w:iCs/>
        </w:rPr>
        <w:t>nqṭl</w:t>
      </w:r>
      <w:r>
        <w:rPr>
          <w:rFonts w:cs="Times New Roman"/>
          <w:i/>
          <w:iCs/>
        </w:rPr>
        <w:t xml:space="preserve"> </w:t>
      </w:r>
      <w:r>
        <w:rPr>
          <w:rFonts w:cs="Times New Roman"/>
        </w:rPr>
        <w:t>in accordance with the (ostensible) use of the plural in his Arabic.</w:t>
      </w:r>
    </w:p>
    <w:p w:rsidR="005E1557" w:rsidRDefault="00C75719" w:rsidP="005E1557">
      <w:pPr>
        <w:rPr>
          <w:rFonts w:cs="Times New Roman"/>
        </w:rPr>
      </w:pPr>
      <w:r>
        <w:rPr>
          <w:rFonts w:cs="Times New Roman"/>
        </w:rPr>
        <w:t xml:space="preserve">The assumption that Maimonides reanalyzed the form </w:t>
      </w:r>
      <w:r w:rsidRPr="00C75719">
        <w:rPr>
          <w:rFonts w:cs="Times New Roman"/>
          <w:i/>
          <w:iCs/>
        </w:rPr>
        <w:t>nqtl</w:t>
      </w:r>
      <w:r>
        <w:rPr>
          <w:rFonts w:cs="Times New Roman"/>
          <w:i/>
          <w:iCs/>
        </w:rPr>
        <w:t xml:space="preserve"> </w:t>
      </w:r>
      <w:r>
        <w:rPr>
          <w:rFonts w:cs="Times New Roman"/>
        </w:rPr>
        <w:t xml:space="preserve">supports Blau’s position concerning the distribution of the first person plural form </w:t>
      </w:r>
      <w:r w:rsidRPr="000E5228">
        <w:rPr>
          <w:rFonts w:cs="Times New Roman"/>
          <w:i/>
          <w:iCs/>
        </w:rPr>
        <w:t>nqtlû</w:t>
      </w:r>
      <w:r>
        <w:rPr>
          <w:rFonts w:cs="Times New Roman"/>
          <w:i/>
          <w:iCs/>
        </w:rPr>
        <w:t xml:space="preserve"> </w:t>
      </w:r>
      <w:r>
        <w:rPr>
          <w:rFonts w:cs="Times New Roman"/>
        </w:rPr>
        <w:t xml:space="preserve">in Judeo-Arabic. </w:t>
      </w:r>
      <w:r w:rsidR="005E1557">
        <w:rPr>
          <w:rFonts w:cs="Times New Roman"/>
        </w:rPr>
        <w:t xml:space="preserve">Blau argues that this plural form did not become widespread, since it is evidently an innovation, whereas the singular form </w:t>
      </w:r>
      <w:r w:rsidR="005E1557">
        <w:rPr>
          <w:rFonts w:cs="Times New Roman"/>
          <w:i/>
          <w:iCs/>
        </w:rPr>
        <w:t>nqtl</w:t>
      </w:r>
      <w:r w:rsidR="005E1557">
        <w:rPr>
          <w:rFonts w:cs="Times New Roman"/>
        </w:rPr>
        <w:t>, despite its character as an innovated form resulting from phonetic change, was reanalyzed as the majestic plural (</w:t>
      </w:r>
      <w:r w:rsidR="005E1557">
        <w:rPr>
          <w:rFonts w:cs="Times New Roman"/>
          <w:i/>
          <w:iCs/>
        </w:rPr>
        <w:t>pluralis maiestatis</w:t>
      </w:r>
      <w:r w:rsidR="005E1557">
        <w:rPr>
          <w:rFonts w:cs="Times New Roman"/>
        </w:rPr>
        <w:t>), and accordingly came into widespread use.</w:t>
      </w:r>
      <w:r w:rsidR="005E1557">
        <w:rPr>
          <w:rStyle w:val="FootnoteReference"/>
        </w:rPr>
        <w:footnoteReference w:id="6"/>
      </w:r>
      <w:r>
        <w:rPr>
          <w:color w:val="auto"/>
        </w:rPr>
        <w:t xml:space="preserve"> </w:t>
      </w:r>
      <w:r w:rsidR="005E1557">
        <w:rPr>
          <w:color w:val="auto"/>
        </w:rPr>
        <w:t xml:space="preserve">The use of the form </w:t>
      </w:r>
      <w:r w:rsidR="005E1557" w:rsidRPr="000E5228">
        <w:rPr>
          <w:rFonts w:cs="Times New Roman"/>
          <w:i/>
          <w:iCs/>
        </w:rPr>
        <w:t>nqṭl</w:t>
      </w:r>
      <w:r w:rsidR="005E1557">
        <w:rPr>
          <w:rFonts w:cs="Times New Roman"/>
          <w:i/>
          <w:iCs/>
        </w:rPr>
        <w:t xml:space="preserve"> </w:t>
      </w:r>
      <w:r w:rsidR="005E1557">
        <w:rPr>
          <w:rFonts w:cs="Times New Roman"/>
        </w:rPr>
        <w:t>in Hebrew under Arabic influence shows that speakers indeed analyzed the form in this manner.</w:t>
      </w:r>
    </w:p>
    <w:p w:rsidR="005E1557" w:rsidRDefault="005E1557" w:rsidP="005E1557">
      <w:pPr>
        <w:spacing w:before="200"/>
        <w:rPr>
          <w:rFonts w:cs="Times New Roman"/>
          <w:color w:val="00B0F0"/>
        </w:rPr>
      </w:pPr>
      <w:r>
        <w:rPr>
          <w:rFonts w:cs="Times New Roman"/>
          <w:color w:val="00B0F0"/>
        </w:rPr>
        <w:t>Agreement with the Object instead of the Subject</w:t>
      </w:r>
    </w:p>
    <w:p w:rsidR="005E1557" w:rsidRDefault="005E1557" w:rsidP="005E1557">
      <w:r>
        <w:t>Joshua Blau presented other examples from Judeo-Arabic in general, and Maimonides’ Arabic in particular, showing agreement of the pronoun with the object rather than the subject. For example:</w:t>
      </w:r>
    </w:p>
    <w:p w:rsidR="005E1557" w:rsidRDefault="005E1557" w:rsidP="002407EB">
      <w:pPr>
        <w:ind w:left="720"/>
        <w:rPr>
          <w:rFonts w:cs="Times New Roman"/>
          <w:color w:val="auto"/>
        </w:rPr>
      </w:pPr>
      <w:r w:rsidRPr="000502CA">
        <w:rPr>
          <w:rFonts w:ascii="David" w:hAnsi="David"/>
          <w:color w:val="C00000"/>
          <w:highlight w:val="yellow"/>
          <w:rtl/>
        </w:rPr>
        <w:t>ומאלך הד'ה אלאנצאף כלהא הן בנאת אלאך'</w:t>
      </w:r>
      <w:r w:rsidRPr="000502CA">
        <w:rPr>
          <w:rFonts w:ascii="David" w:hAnsi="David"/>
          <w:color w:val="C00000"/>
          <w:rtl/>
        </w:rPr>
        <w:t xml:space="preserve"> </w:t>
      </w:r>
      <w:r w:rsidR="002407EB">
        <w:rPr>
          <w:rFonts w:ascii="David" w:hAnsi="David"/>
          <w:color w:val="C00000"/>
        </w:rPr>
        <w:tab/>
      </w:r>
      <w:r w:rsidR="002407EB">
        <w:rPr>
          <w:rFonts w:ascii="David" w:hAnsi="David"/>
          <w:color w:val="C00000"/>
        </w:rPr>
        <w:br/>
      </w:r>
      <w:r w:rsidRPr="005E1557">
        <w:rPr>
          <w:rFonts w:cs="Times New Roman"/>
          <w:color w:val="auto"/>
        </w:rPr>
        <w:t xml:space="preserve">(And </w:t>
      </w:r>
      <w:r>
        <w:rPr>
          <w:rFonts w:cs="Times New Roman"/>
          <w:color w:val="auto"/>
        </w:rPr>
        <w:t>the owner of these halves they are all the brother’s daughters).</w:t>
      </w:r>
      <w:r>
        <w:rPr>
          <w:rStyle w:val="FootnoteReference"/>
          <w:color w:val="auto"/>
        </w:rPr>
        <w:footnoteReference w:id="7"/>
      </w:r>
    </w:p>
    <w:p w:rsidR="005E1557" w:rsidRDefault="005E1557" w:rsidP="0004088A">
      <w:r>
        <w:t xml:space="preserve">This phenomenon </w:t>
      </w:r>
      <w:r w:rsidR="0004088A">
        <w:t>appears once in Sefer Mishpatim:</w:t>
      </w:r>
    </w:p>
    <w:p w:rsidR="0004088A" w:rsidRPr="002407EB" w:rsidRDefault="0004088A" w:rsidP="002407EB">
      <w:pPr>
        <w:rPr>
          <w:color w:val="auto"/>
          <w:lang w:bidi="he-IL"/>
        </w:rPr>
      </w:pPr>
      <w:r>
        <w:tab/>
      </w:r>
      <w:commentRangeStart w:id="2"/>
      <w:r>
        <w:t>Borrowing</w:t>
      </w:r>
      <w:commentRangeEnd w:id="2"/>
      <w:r>
        <w:rPr>
          <w:rStyle w:val="CommentReference"/>
        </w:rPr>
        <w:commentReference w:id="2"/>
      </w:r>
      <w:r>
        <w:t xml:space="preserve"> and </w:t>
      </w:r>
      <w:r w:rsidR="002407EB">
        <w:t xml:space="preserve">Depositing </w:t>
      </w:r>
      <w:r>
        <w:t>2</w:t>
      </w:r>
      <w:r w:rsidR="00713E17">
        <w:t>:</w:t>
      </w:r>
      <w:commentRangeStart w:id="3"/>
      <w:r>
        <w:t>11</w:t>
      </w:r>
      <w:commentRangeEnd w:id="3"/>
      <w:r w:rsidR="00DA4916">
        <w:rPr>
          <w:rStyle w:val="CommentReference"/>
        </w:rPr>
        <w:commentReference w:id="3"/>
      </w:r>
      <w:r>
        <w:t xml:space="preserve">: </w:t>
      </w:r>
      <w:r w:rsidRPr="0004088A">
        <w:rPr>
          <w:color w:val="FF0000"/>
          <w:rtl/>
          <w:lang w:bidi="he-IL"/>
        </w:rPr>
        <w:t xml:space="preserve">כל </w:t>
      </w:r>
      <w:r w:rsidRPr="0004088A">
        <w:rPr>
          <w:b/>
          <w:bCs/>
          <w:color w:val="FF0000"/>
          <w:rtl/>
          <w:lang w:bidi="he-IL"/>
        </w:rPr>
        <w:t>אלו</w:t>
      </w:r>
      <w:r w:rsidRPr="0004088A">
        <w:rPr>
          <w:color w:val="FF0000"/>
          <w:rtl/>
          <w:lang w:bidi="he-IL"/>
        </w:rPr>
        <w:t xml:space="preserve"> ספק שמירה בבעלים </w:t>
      </w:r>
      <w:r w:rsidRPr="0004088A">
        <w:rPr>
          <w:b/>
          <w:bCs/>
          <w:color w:val="FF0000"/>
          <w:rtl/>
          <w:lang w:bidi="he-IL"/>
        </w:rPr>
        <w:t>היא</w:t>
      </w:r>
      <w:r>
        <w:rPr>
          <w:rStyle w:val="FootnoteReference"/>
          <w:b/>
          <w:bCs/>
          <w:color w:val="FF0000"/>
          <w:rtl/>
          <w:lang w:bidi="he-IL"/>
        </w:rPr>
        <w:footnoteReference w:id="8"/>
      </w:r>
      <w:r w:rsidR="002407EB">
        <w:rPr>
          <w:b/>
          <w:bCs/>
          <w:color w:val="FF0000"/>
          <w:lang w:bidi="he-IL"/>
        </w:rPr>
        <w:tab/>
      </w:r>
      <w:r w:rsidR="002407EB">
        <w:rPr>
          <w:b/>
          <w:bCs/>
          <w:color w:val="FF0000"/>
          <w:lang w:bidi="he-IL"/>
        </w:rPr>
        <w:br/>
      </w:r>
      <w:r w:rsidR="002407EB" w:rsidRPr="002407EB">
        <w:rPr>
          <w:color w:val="FF0000"/>
          <w:lang w:bidi="he-IL"/>
        </w:rPr>
        <w:tab/>
      </w:r>
      <w:r w:rsidR="002407EB" w:rsidRPr="002407EB">
        <w:rPr>
          <w:color w:val="auto"/>
          <w:lang w:bidi="he-IL"/>
        </w:rPr>
        <w:t>(In al</w:t>
      </w:r>
      <w:r w:rsidR="002407EB">
        <w:rPr>
          <w:color w:val="auto"/>
          <w:lang w:bidi="he-IL"/>
        </w:rPr>
        <w:t xml:space="preserve">l </w:t>
      </w:r>
      <w:r w:rsidR="002407EB" w:rsidRPr="002407EB">
        <w:rPr>
          <w:b/>
          <w:bCs/>
          <w:color w:val="auto"/>
          <w:lang w:bidi="he-IL"/>
        </w:rPr>
        <w:t>these</w:t>
      </w:r>
      <w:r w:rsidR="002407EB">
        <w:rPr>
          <w:color w:val="auto"/>
          <w:lang w:bidi="he-IL"/>
        </w:rPr>
        <w:t xml:space="preserve"> cases it is doubtful whether </w:t>
      </w:r>
      <w:r w:rsidR="002407EB" w:rsidRPr="002407EB">
        <w:rPr>
          <w:b/>
          <w:bCs/>
          <w:color w:val="auto"/>
          <w:lang w:bidi="he-IL"/>
        </w:rPr>
        <w:t>it is</w:t>
      </w:r>
      <w:r w:rsidR="002407EB">
        <w:rPr>
          <w:color w:val="auto"/>
          <w:lang w:bidi="he-IL"/>
        </w:rPr>
        <w:t xml:space="preserve"> a keeping with the owner)</w:t>
      </w:r>
    </w:p>
    <w:p w:rsidR="00713E17" w:rsidRDefault="00DA4916" w:rsidP="002407EB">
      <w:r>
        <w:lastRenderedPageBreak/>
        <w:t>In  Maimonides’ Hebrew</w:t>
      </w:r>
      <w:r w:rsidR="00713E17">
        <w:t xml:space="preserve"> we find a similar phenomenon in the verbal sentence: in three instances in Sefer Mishpatim, the verb </w:t>
      </w:r>
      <w:r w:rsidR="00713E17">
        <w:rPr>
          <w:rFonts w:hint="cs"/>
          <w:b/>
          <w:bCs/>
          <w:color w:val="FF0000"/>
          <w:rtl/>
          <w:lang w:bidi="he-IL"/>
        </w:rPr>
        <w:t>היה</w:t>
      </w:r>
      <w:r w:rsidR="00713E17">
        <w:t xml:space="preserve"> </w:t>
      </w:r>
      <w:r w:rsidR="002407EB">
        <w:t xml:space="preserve">(“to be”) </w:t>
      </w:r>
      <w:r w:rsidR="00713E17">
        <w:t>agrees with the object rather than the subject:</w:t>
      </w:r>
    </w:p>
    <w:p w:rsidR="005E1557" w:rsidRPr="005D0F09" w:rsidRDefault="00713E17" w:rsidP="00C578F3">
      <w:pPr>
        <w:pStyle w:val="E-1"/>
        <w:rPr>
          <w:i/>
          <w:iCs/>
        </w:rPr>
      </w:pPr>
      <w:r w:rsidRPr="00713E17">
        <w:tab/>
      </w:r>
      <w:r w:rsidR="00C578F3">
        <w:t xml:space="preserve">Hiring </w:t>
      </w:r>
      <w:r w:rsidRPr="00713E17">
        <w:t xml:space="preserve">1:2: </w:t>
      </w:r>
      <w:r w:rsidRPr="00713E17">
        <w:rPr>
          <w:color w:val="FF0000"/>
          <w:rtl/>
        </w:rPr>
        <w:t xml:space="preserve">שומר חנם שנגנב </w:t>
      </w:r>
      <w:r w:rsidRPr="00713E17">
        <w:rPr>
          <w:b/>
          <w:bCs/>
          <w:color w:val="FF0000"/>
          <w:rtl/>
        </w:rPr>
        <w:t>הפקדון</w:t>
      </w:r>
      <w:r w:rsidRPr="00713E17">
        <w:rPr>
          <w:color w:val="FF0000"/>
          <w:rtl/>
        </w:rPr>
        <w:t xml:space="preserve"> ממנו או אבד, ואין צריך לומר אם נאנס </w:t>
      </w:r>
      <w:r w:rsidRPr="00713E17">
        <w:rPr>
          <w:b/>
          <w:bCs/>
          <w:color w:val="FF0000"/>
          <w:rtl/>
        </w:rPr>
        <w:t>הפקדון</w:t>
      </w:r>
      <w:r w:rsidRPr="00713E17">
        <w:rPr>
          <w:color w:val="FF0000"/>
          <w:rtl/>
        </w:rPr>
        <w:t xml:space="preserve"> אונס גדול, כגון </w:t>
      </w:r>
      <w:r w:rsidRPr="00713E17">
        <w:rPr>
          <w:b/>
          <w:bCs/>
          <w:color w:val="FF0000"/>
          <w:rtl/>
        </w:rPr>
        <w:t>שהיתה בהמה</w:t>
      </w:r>
      <w:r w:rsidRPr="00713E17">
        <w:rPr>
          <w:color w:val="FF0000"/>
          <w:rtl/>
        </w:rPr>
        <w:t xml:space="preserve"> ומתה או נשבית – הרי זה נשבע ששמר כדרך השומרין ונפטר.</w:t>
      </w:r>
      <w:r w:rsidR="00DA4916" w:rsidRPr="00713E17">
        <w:t xml:space="preserve"> </w:t>
      </w:r>
      <w:r w:rsidR="002407EB">
        <w:tab/>
      </w:r>
      <w:r w:rsidR="002407EB">
        <w:br/>
      </w:r>
      <w:r w:rsidR="005D0F09">
        <w:t xml:space="preserve">(“A gratuitous bailee from whose possession </w:t>
      </w:r>
      <w:r w:rsidR="005D0F09" w:rsidRPr="005D0F09">
        <w:rPr>
          <w:b/>
          <w:bCs/>
        </w:rPr>
        <w:t>the object bailed</w:t>
      </w:r>
      <w:r w:rsidR="005D0F09">
        <w:t xml:space="preserve"> [</w:t>
      </w:r>
      <w:commentRangeStart w:id="4"/>
      <w:r w:rsidR="005D0F09">
        <w:t>masc</w:t>
      </w:r>
      <w:commentRangeEnd w:id="4"/>
      <w:r w:rsidR="005D0F09">
        <w:rPr>
          <w:rStyle w:val="CommentReference"/>
        </w:rPr>
        <w:commentReference w:id="4"/>
      </w:r>
      <w:r w:rsidR="005D0F09">
        <w:t xml:space="preserve">.] was stolen or lost – and needless to say if it was lost through </w:t>
      </w:r>
      <w:r w:rsidR="005D0F09" w:rsidRPr="005D0F09">
        <w:rPr>
          <w:i/>
          <w:iCs/>
        </w:rPr>
        <w:t>force majeure</w:t>
      </w:r>
      <w:r w:rsidR="005D0F09">
        <w:t xml:space="preserve">, for example </w:t>
      </w:r>
      <w:r w:rsidR="005D0F09" w:rsidRPr="005D0F09">
        <w:rPr>
          <w:b/>
          <w:bCs/>
        </w:rPr>
        <w:t>it was</w:t>
      </w:r>
      <w:r w:rsidR="005D0F09">
        <w:t xml:space="preserve"> [fem.] an animal [fem.] that died or was captured – must swear that he kept the object bailed after the manner of bailees, and he is quit.”) </w:t>
      </w:r>
    </w:p>
    <w:p w:rsidR="00713E17" w:rsidRDefault="002407EB" w:rsidP="005D0F09">
      <w:pPr>
        <w:pStyle w:val="E-1"/>
        <w:rPr>
          <w:rFonts w:ascii="David" w:hAnsi="David"/>
          <w:color w:val="FF0000"/>
        </w:rPr>
      </w:pPr>
      <w:r>
        <w:tab/>
      </w:r>
      <w:r w:rsidR="00713E17">
        <w:rPr>
          <w:rFonts w:cs="Times New Roman"/>
        </w:rPr>
        <w:tab/>
        <w:t xml:space="preserve">Ibid., ibid.: </w:t>
      </w:r>
      <w:r w:rsidR="00713E17" w:rsidRPr="00713E17">
        <w:rPr>
          <w:rFonts w:ascii="David" w:hAnsi="David"/>
          <w:color w:val="FF0000"/>
          <w:rtl/>
        </w:rPr>
        <w:t xml:space="preserve">נושא שכר או השוכר, שניהן דין אחד יש להן: אם נגנב או אבד </w:t>
      </w:r>
      <w:r w:rsidR="00713E17" w:rsidRPr="00713E17">
        <w:rPr>
          <w:rFonts w:ascii="David" w:hAnsi="David"/>
          <w:b/>
          <w:bCs/>
          <w:color w:val="FF0000"/>
          <w:rtl/>
        </w:rPr>
        <w:t>הדבר השכור</w:t>
      </w:r>
      <w:r w:rsidR="00713E17" w:rsidRPr="00713E17">
        <w:rPr>
          <w:rFonts w:ascii="David" w:hAnsi="David"/>
          <w:color w:val="FF0000"/>
          <w:rtl/>
        </w:rPr>
        <w:t xml:space="preserve"> או שנטל שכר על שמירתו – הרי אלו משלמין, ואם אירעו אונס גדול מזה, כגון </w:t>
      </w:r>
      <w:r w:rsidR="00713E17" w:rsidRPr="00713E17">
        <w:rPr>
          <w:rFonts w:ascii="David" w:hAnsi="David"/>
          <w:b/>
          <w:bCs/>
          <w:color w:val="FF0000"/>
          <w:rtl/>
        </w:rPr>
        <w:t>שהיתה</w:t>
      </w:r>
      <w:r w:rsidR="00713E17" w:rsidRPr="00713E17">
        <w:rPr>
          <w:rFonts w:ascii="David" w:hAnsi="David"/>
          <w:color w:val="FF0000"/>
          <w:rtl/>
        </w:rPr>
        <w:t xml:space="preserve"> בהמה ומתה או נשברה או נשבית או נטרפה – הרי אלו נשבעין שנאנסה ופטורין. </w:t>
      </w:r>
    </w:p>
    <w:p w:rsidR="005D0F09" w:rsidRPr="005D0F09" w:rsidRDefault="00713E17" w:rsidP="00C578F3">
      <w:pPr>
        <w:ind w:left="709" w:hanging="709"/>
        <w:rPr>
          <w:rFonts w:cs="Times New Roman"/>
          <w:color w:val="auto"/>
        </w:rPr>
      </w:pPr>
      <w:r>
        <w:rPr>
          <w:rFonts w:ascii="David" w:hAnsi="David"/>
          <w:color w:val="FF0000"/>
        </w:rPr>
        <w:tab/>
      </w:r>
      <w:r w:rsidR="005D0F09">
        <w:rPr>
          <w:rFonts w:cs="Times New Roman"/>
          <w:color w:val="auto"/>
        </w:rPr>
        <w:t xml:space="preserve">(“The bailee for hire and the hirer both are subject to one rule: If the </w:t>
      </w:r>
      <w:r w:rsidR="005D0F09">
        <w:rPr>
          <w:rFonts w:cs="Times New Roman"/>
          <w:b/>
          <w:bCs/>
          <w:color w:val="auto"/>
        </w:rPr>
        <w:t xml:space="preserve">object hired </w:t>
      </w:r>
      <w:r w:rsidR="005D0F09">
        <w:rPr>
          <w:rFonts w:cs="Times New Roman"/>
          <w:color w:val="auto"/>
        </w:rPr>
        <w:t xml:space="preserve">[masc.] or for the keeping of which one received hire, was lost – then they pay for these. But if the loss occurred through a force greater than these, for example </w:t>
      </w:r>
      <w:r w:rsidR="005D0F09">
        <w:rPr>
          <w:rFonts w:cs="Times New Roman"/>
          <w:b/>
          <w:bCs/>
          <w:color w:val="auto"/>
        </w:rPr>
        <w:t xml:space="preserve">it was </w:t>
      </w:r>
      <w:r w:rsidR="005D0F09">
        <w:rPr>
          <w:rFonts w:cs="Times New Roman"/>
          <w:color w:val="auto"/>
        </w:rPr>
        <w:t>[fem.] an animal that died, or was crippled or captured or torn</w:t>
      </w:r>
      <w:r w:rsidR="00C578F3">
        <w:rPr>
          <w:rFonts w:cs="Times New Roman"/>
          <w:color w:val="auto"/>
        </w:rPr>
        <w:t xml:space="preserve"> – then they swear to the force and are quit.”)</w:t>
      </w:r>
      <w:r w:rsidR="005D0F09">
        <w:rPr>
          <w:rFonts w:cs="Times New Roman"/>
          <w:color w:val="auto"/>
        </w:rPr>
        <w:t xml:space="preserve"> </w:t>
      </w:r>
    </w:p>
    <w:p w:rsidR="00713E17" w:rsidRPr="00C578F3" w:rsidRDefault="00C578F3" w:rsidP="00713E17">
      <w:pPr>
        <w:ind w:left="709" w:hanging="709"/>
        <w:rPr>
          <w:rFonts w:cs="Times New Roman"/>
          <w:color w:val="auto"/>
        </w:rPr>
      </w:pPr>
      <w:r>
        <w:rPr>
          <w:rFonts w:cs="Times New Roman"/>
          <w:color w:val="auto"/>
        </w:rPr>
        <w:tab/>
      </w:r>
      <w:r w:rsidR="00713E17" w:rsidRPr="00713E17">
        <w:rPr>
          <w:rFonts w:cs="Times New Roman"/>
          <w:color w:val="auto"/>
        </w:rPr>
        <w:t xml:space="preserve">Ibid., 2:4: </w:t>
      </w:r>
      <w:r w:rsidR="00713E17" w:rsidRPr="00713E17">
        <w:rPr>
          <w:rFonts w:ascii="David" w:hAnsi="David"/>
          <w:color w:val="FF0000"/>
          <w:rtl/>
        </w:rPr>
        <w:t xml:space="preserve">המוסר לחבירו </w:t>
      </w:r>
      <w:r w:rsidR="00713E17" w:rsidRPr="00713E17">
        <w:rPr>
          <w:rFonts w:ascii="David" w:hAnsi="David"/>
          <w:b/>
          <w:bCs/>
          <w:color w:val="FF0000"/>
          <w:rtl/>
        </w:rPr>
        <w:t xml:space="preserve">דבר </w:t>
      </w:r>
      <w:r w:rsidR="00713E17" w:rsidRPr="00713E17">
        <w:rPr>
          <w:rFonts w:ascii="David" w:hAnsi="David"/>
          <w:color w:val="FF0000"/>
          <w:rtl/>
        </w:rPr>
        <w:t xml:space="preserve">המחובר לקרקע לשמור, אפילו </w:t>
      </w:r>
      <w:r w:rsidR="00713E17" w:rsidRPr="00713E17">
        <w:rPr>
          <w:rFonts w:ascii="David" w:hAnsi="David"/>
          <w:b/>
          <w:bCs/>
          <w:color w:val="FF0000"/>
          <w:rtl/>
        </w:rPr>
        <w:t>היו</w:t>
      </w:r>
      <w:r w:rsidR="00713E17" w:rsidRPr="00713E17">
        <w:rPr>
          <w:rFonts w:ascii="David" w:hAnsi="David"/>
          <w:color w:val="FF0000"/>
          <w:rtl/>
        </w:rPr>
        <w:t xml:space="preserve"> ענבים העומדות להבצר, הרי הן כקרקע בדין </w:t>
      </w:r>
      <w:commentRangeStart w:id="5"/>
      <w:r w:rsidR="00713E17" w:rsidRPr="00713E17">
        <w:rPr>
          <w:rFonts w:ascii="David" w:hAnsi="David"/>
          <w:color w:val="FF0000"/>
          <w:rtl/>
        </w:rPr>
        <w:t>השומרין</w:t>
      </w:r>
      <w:commentRangeEnd w:id="5"/>
      <w:r>
        <w:rPr>
          <w:rStyle w:val="CommentReference"/>
        </w:rPr>
        <w:commentReference w:id="5"/>
      </w:r>
      <w:r w:rsidR="00713E17" w:rsidRPr="00713E17">
        <w:rPr>
          <w:rFonts w:ascii="David" w:hAnsi="David"/>
          <w:color w:val="FF0000"/>
          <w:rtl/>
        </w:rPr>
        <w:t>.</w:t>
      </w:r>
      <w:r>
        <w:rPr>
          <w:rFonts w:ascii="David" w:hAnsi="David"/>
          <w:color w:val="FF0000"/>
        </w:rPr>
        <w:tab/>
      </w:r>
      <w:r>
        <w:rPr>
          <w:rFonts w:ascii="David" w:hAnsi="David"/>
          <w:color w:val="FF0000"/>
        </w:rPr>
        <w:tab/>
      </w:r>
      <w:r>
        <w:rPr>
          <w:rFonts w:ascii="David" w:hAnsi="David"/>
          <w:color w:val="FF0000"/>
        </w:rPr>
        <w:br/>
      </w:r>
      <w:r>
        <w:rPr>
          <w:rFonts w:cs="Times New Roman"/>
          <w:color w:val="auto"/>
        </w:rPr>
        <w:t xml:space="preserve">(“If a person gives </w:t>
      </w:r>
      <w:r>
        <w:rPr>
          <w:rFonts w:cs="Times New Roman"/>
          <w:b/>
          <w:bCs/>
          <w:color w:val="auto"/>
        </w:rPr>
        <w:t xml:space="preserve">something </w:t>
      </w:r>
      <w:r>
        <w:rPr>
          <w:rFonts w:cs="Times New Roman"/>
          <w:color w:val="auto"/>
        </w:rPr>
        <w:t xml:space="preserve">[masc. sing.] connected to the ground to his fellow for keeping, even if </w:t>
      </w:r>
      <w:r>
        <w:rPr>
          <w:rFonts w:cs="Times New Roman"/>
          <w:b/>
          <w:bCs/>
          <w:color w:val="auto"/>
        </w:rPr>
        <w:t xml:space="preserve">they were </w:t>
      </w:r>
      <w:r>
        <w:rPr>
          <w:rFonts w:cs="Times New Roman"/>
          <w:color w:val="auto"/>
        </w:rPr>
        <w:t>[masc. pl.] grapes about to be harvested, then they are considered tantamount to land for the laws of keeping.”)</w:t>
      </w:r>
    </w:p>
    <w:p w:rsidR="00713E17" w:rsidRDefault="00713E17" w:rsidP="00C578F3">
      <w:r>
        <w:t xml:space="preserve">In all three instances there is an equation: </w:t>
      </w:r>
      <w:r w:rsidRPr="00713E17">
        <w:rPr>
          <w:rFonts w:ascii="David" w:hAnsi="David"/>
          <w:color w:val="FF0000"/>
          <w:rtl/>
        </w:rPr>
        <w:t>'הפיקדון הייתה בהמה', 'הדבר השכור הייתה בהמה', 'הדבר המחובר היו ענבים'</w:t>
      </w:r>
      <w:r>
        <w:rPr>
          <w:rFonts w:ascii="David" w:hAnsi="David"/>
          <w:color w:val="FF0000"/>
        </w:rPr>
        <w:t xml:space="preserve"> </w:t>
      </w:r>
      <w:r w:rsidR="00C578F3">
        <w:t xml:space="preserve"> (“the object [masc.] bailed was [fem.] an animal [fem.],” “the hired object [masc.] was [fem.] an animal [fem.],” “the fixed thing [masc. sing.] were [pl.]  grapes [masc. pl.]”) </w:t>
      </w:r>
      <w:r w:rsidR="00C578F3" w:rsidRPr="00713E17">
        <w:t>–</w:t>
      </w:r>
      <w:r w:rsidR="00C578F3">
        <w:t xml:space="preserve"> </w:t>
      </w:r>
      <w:r w:rsidRPr="00713E17">
        <w:t xml:space="preserve">in </w:t>
      </w:r>
      <w:r>
        <w:t>other words, the agreement is with the object, rather than the subject.</w:t>
      </w:r>
    </w:p>
    <w:p w:rsidR="00713E17" w:rsidRDefault="00713E17" w:rsidP="00713E17">
      <w:r>
        <w:t xml:space="preserve">Two questions arise here. Firstly, should we analyze the syntactical structure in these two laws as verbal agreement with an object? The first two instances might, at a pinch, be interpreted as independent sentences: “once there was an animal, and it died or was broken.” Secondly, is this syntactical structure influenced by Arabic? The answer to both questions is </w:t>
      </w:r>
      <w:r>
        <w:lastRenderedPageBreak/>
        <w:t>in the positive, as emerges from a comparison between Maimonides’ text as above and his text when interpreting the Mishna on the subject of losses: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3E4F67" w:rsidRPr="000502CA" w:rsidTr="003E4F67">
        <w:tc>
          <w:tcPr>
            <w:tcW w:w="4148" w:type="dxa"/>
          </w:tcPr>
          <w:p w:rsidR="003E4F67" w:rsidRPr="000502CA" w:rsidRDefault="003E4F67" w:rsidP="003E4F67">
            <w:pPr>
              <w:rPr>
                <w:rFonts w:ascii="David" w:hAnsi="David"/>
                <w:highlight w:val="yellow"/>
                <w:rtl/>
              </w:rPr>
            </w:pPr>
            <w:r w:rsidRPr="000502CA">
              <w:rPr>
                <w:rFonts w:ascii="David" w:hAnsi="David"/>
                <w:highlight w:val="yellow"/>
                <w:rtl/>
              </w:rPr>
              <w:t xml:space="preserve">בבא מציעא ב:ז (קאפח 1965:55): עושה ואוכל, ליס יבקי כד'לך לאלאבד, ואנמא לה חד מחדוד בחסב </w:t>
            </w:r>
            <w:r w:rsidRPr="000502CA">
              <w:rPr>
                <w:rFonts w:ascii="David" w:hAnsi="David"/>
                <w:b/>
                <w:bCs/>
                <w:highlight w:val="yellow"/>
                <w:rtl/>
              </w:rPr>
              <w:t>אלשי אלמוג'וד</w:t>
            </w:r>
            <w:r w:rsidRPr="000502CA">
              <w:rPr>
                <w:rFonts w:ascii="David" w:hAnsi="David"/>
                <w:highlight w:val="yellow"/>
                <w:rtl/>
              </w:rPr>
              <w:t>,</w:t>
            </w:r>
          </w:p>
        </w:tc>
        <w:tc>
          <w:tcPr>
            <w:tcW w:w="4148" w:type="dxa"/>
          </w:tcPr>
          <w:p w:rsidR="003E4F67" w:rsidRPr="006A7391" w:rsidRDefault="006A7391" w:rsidP="006A7391">
            <w:pPr>
              <w:rPr>
                <w:rFonts w:cs="Times New Roman"/>
                <w:rtl/>
              </w:rPr>
            </w:pPr>
            <w:r>
              <w:rPr>
                <w:rFonts w:cs="Times New Roman"/>
              </w:rPr>
              <w:t xml:space="preserve">Translation: Does and eats – it will not remain so in perpetuity, but rather it has some limit according to </w:t>
            </w:r>
            <w:r>
              <w:rPr>
                <w:rFonts w:cs="Times New Roman"/>
                <w:b/>
                <w:bCs/>
              </w:rPr>
              <w:t>the thing that exists</w:t>
            </w:r>
            <w:r>
              <w:rPr>
                <w:rFonts w:cs="Times New Roman"/>
              </w:rPr>
              <w:t>,</w:t>
            </w:r>
          </w:p>
        </w:tc>
      </w:tr>
      <w:tr w:rsidR="003E4F67" w:rsidRPr="000502CA" w:rsidTr="003E4F67">
        <w:tc>
          <w:tcPr>
            <w:tcW w:w="4148" w:type="dxa"/>
          </w:tcPr>
          <w:p w:rsidR="003E4F67" w:rsidRPr="000502CA" w:rsidRDefault="003E4F67" w:rsidP="003E4F67">
            <w:pPr>
              <w:rPr>
                <w:rFonts w:ascii="David" w:hAnsi="David"/>
                <w:highlight w:val="yellow"/>
                <w:rtl/>
              </w:rPr>
            </w:pPr>
            <w:r w:rsidRPr="000502CA">
              <w:rPr>
                <w:rFonts w:ascii="David" w:hAnsi="David"/>
                <w:b/>
                <w:bCs/>
                <w:highlight w:val="yellow"/>
                <w:rtl/>
              </w:rPr>
              <w:t xml:space="preserve">אן כאנת בהמה גסה </w:t>
            </w:r>
            <w:r w:rsidRPr="000502CA">
              <w:rPr>
                <w:rFonts w:ascii="David" w:hAnsi="David"/>
                <w:highlight w:val="yellow"/>
                <w:rtl/>
              </w:rPr>
              <w:t>פיתכלף אלאשתגאל בהא שנים עשר חדש...</w:t>
            </w:r>
          </w:p>
        </w:tc>
        <w:tc>
          <w:tcPr>
            <w:tcW w:w="4148" w:type="dxa"/>
          </w:tcPr>
          <w:p w:rsidR="003E4F67" w:rsidRPr="006A7391" w:rsidRDefault="006A7391" w:rsidP="006A7391">
            <w:pPr>
              <w:rPr>
                <w:rFonts w:cs="Times New Roman"/>
                <w:rtl/>
              </w:rPr>
            </w:pPr>
            <w:r>
              <w:rPr>
                <w:rFonts w:cs="Times New Roman"/>
                <w:b/>
                <w:bCs/>
              </w:rPr>
              <w:t xml:space="preserve">If it was a crude animal </w:t>
            </w:r>
            <w:r>
              <w:rPr>
                <w:rFonts w:cs="Times New Roman"/>
              </w:rPr>
              <w:t>he must occupy himself with it for twelve months….</w:t>
            </w:r>
          </w:p>
        </w:tc>
      </w:tr>
      <w:tr w:rsidR="003E4F67" w:rsidRPr="000502CA" w:rsidTr="003E4F67">
        <w:tc>
          <w:tcPr>
            <w:tcW w:w="4148" w:type="dxa"/>
          </w:tcPr>
          <w:p w:rsidR="003E4F67" w:rsidRPr="000502CA" w:rsidRDefault="003E4F67" w:rsidP="003E4F67">
            <w:pPr>
              <w:rPr>
                <w:rFonts w:ascii="David" w:hAnsi="David"/>
                <w:highlight w:val="yellow"/>
                <w:rtl/>
              </w:rPr>
            </w:pPr>
            <w:r w:rsidRPr="000502CA">
              <w:rPr>
                <w:rFonts w:ascii="David" w:hAnsi="David"/>
                <w:b/>
                <w:bCs/>
                <w:highlight w:val="yellow"/>
                <w:rtl/>
              </w:rPr>
              <w:t>ואן כאנת בהמה דקה</w:t>
            </w:r>
            <w:r w:rsidRPr="000502CA">
              <w:rPr>
                <w:rFonts w:ascii="David" w:hAnsi="David"/>
                <w:highlight w:val="yellow"/>
                <w:rtl/>
              </w:rPr>
              <w:t xml:space="preserve"> אעני גנם וג'די ועג'ול ראעיה... יתכלף אן יכ'דמהא ויטעמהא שלשה חדשים.</w:t>
            </w:r>
            <w:r w:rsidRPr="000502CA">
              <w:rPr>
                <w:rFonts w:ascii="David" w:hAnsi="David"/>
                <w:b/>
                <w:bCs/>
                <w:highlight w:val="yellow"/>
                <w:rtl/>
              </w:rPr>
              <w:t xml:space="preserve"> </w:t>
            </w:r>
          </w:p>
        </w:tc>
        <w:tc>
          <w:tcPr>
            <w:tcW w:w="4148" w:type="dxa"/>
          </w:tcPr>
          <w:p w:rsidR="003E4F67" w:rsidRPr="006A7391" w:rsidRDefault="006A7391" w:rsidP="006A7391">
            <w:pPr>
              <w:rPr>
                <w:rFonts w:cs="Times New Roman"/>
                <w:rtl/>
              </w:rPr>
            </w:pPr>
            <w:r>
              <w:rPr>
                <w:rFonts w:cs="Times New Roman"/>
                <w:b/>
                <w:bCs/>
              </w:rPr>
              <w:t>And if it was a delicate animal</w:t>
            </w:r>
            <w:r>
              <w:rPr>
                <w:rFonts w:cs="Times New Roman"/>
              </w:rPr>
              <w:t>, such as sheep and goats and grazing lambs… he must attend to them and feed them for three months.</w:t>
            </w:r>
          </w:p>
        </w:tc>
      </w:tr>
      <w:tr w:rsidR="003E4F67" w:rsidRPr="000502CA" w:rsidTr="003E4F67">
        <w:tc>
          <w:tcPr>
            <w:tcW w:w="4148" w:type="dxa"/>
          </w:tcPr>
          <w:p w:rsidR="003E4F67" w:rsidRPr="000502CA" w:rsidRDefault="003E4F67" w:rsidP="003E4F67">
            <w:pPr>
              <w:rPr>
                <w:rFonts w:ascii="David" w:hAnsi="David"/>
                <w:highlight w:val="yellow"/>
                <w:rtl/>
              </w:rPr>
            </w:pPr>
            <w:r w:rsidRPr="000502CA">
              <w:rPr>
                <w:rFonts w:ascii="David" w:hAnsi="David"/>
                <w:b/>
                <w:bCs/>
                <w:highlight w:val="yellow"/>
                <w:rtl/>
              </w:rPr>
              <w:t>ואן כאן אלשי אלמוג'וד אוזין ותרנגלין כאמלה</w:t>
            </w:r>
            <w:r w:rsidRPr="000502CA">
              <w:rPr>
                <w:rFonts w:ascii="David" w:hAnsi="David"/>
                <w:highlight w:val="yellow"/>
                <w:rtl/>
              </w:rPr>
              <w:t xml:space="preserve"> מטפל בהן שלשים יום.</w:t>
            </w:r>
          </w:p>
        </w:tc>
        <w:tc>
          <w:tcPr>
            <w:tcW w:w="4148" w:type="dxa"/>
          </w:tcPr>
          <w:p w:rsidR="003E4F67" w:rsidRPr="00FD7F78" w:rsidRDefault="006A7391" w:rsidP="00FD7F78">
            <w:pPr>
              <w:rPr>
                <w:rFonts w:cs="Times New Roman"/>
                <w:rtl/>
              </w:rPr>
            </w:pPr>
            <w:r>
              <w:rPr>
                <w:rFonts w:cs="Times New Roman"/>
                <w:b/>
                <w:bCs/>
              </w:rPr>
              <w:t xml:space="preserve">And if the </w:t>
            </w:r>
            <w:r w:rsidR="00FD7F78">
              <w:rPr>
                <w:rFonts w:cs="Times New Roman"/>
                <w:b/>
                <w:bCs/>
              </w:rPr>
              <w:t>thing that exists was geese and large chickens</w:t>
            </w:r>
            <w:r w:rsidR="00FD7F78">
              <w:rPr>
                <w:rFonts w:cs="Times New Roman"/>
              </w:rPr>
              <w:t>, he attends to them for thirty days.</w:t>
            </w:r>
          </w:p>
        </w:tc>
      </w:tr>
    </w:tbl>
    <w:p w:rsidR="00722FD5" w:rsidRDefault="00722FD5" w:rsidP="00722FD5">
      <w:pPr>
        <w:rPr>
          <w:rFonts w:cs="Times New Roman"/>
          <w:color w:val="auto"/>
        </w:rPr>
      </w:pPr>
      <w:r>
        <w:t xml:space="preserve">In this section, the structure </w:t>
      </w:r>
      <w:r w:rsidRPr="000502CA">
        <w:rPr>
          <w:rFonts w:ascii="David" w:hAnsi="David"/>
          <w:color w:val="C00000"/>
          <w:highlight w:val="yellow"/>
          <w:rtl/>
        </w:rPr>
        <w:t xml:space="preserve">בחסב </w:t>
      </w:r>
      <w:r w:rsidRPr="000502CA">
        <w:rPr>
          <w:rFonts w:ascii="David" w:hAnsi="David"/>
          <w:b/>
          <w:bCs/>
          <w:color w:val="C00000"/>
          <w:highlight w:val="yellow"/>
          <w:rtl/>
        </w:rPr>
        <w:t>אלשי אלמוג'וד</w:t>
      </w:r>
      <w:r w:rsidRPr="000502CA">
        <w:rPr>
          <w:rFonts w:ascii="David" w:hAnsi="David"/>
          <w:color w:val="C00000"/>
          <w:highlight w:val="yellow"/>
          <w:rtl/>
        </w:rPr>
        <w:t xml:space="preserve">, </w:t>
      </w:r>
      <w:r w:rsidRPr="000502CA">
        <w:rPr>
          <w:rFonts w:ascii="David" w:hAnsi="David"/>
          <w:b/>
          <w:bCs/>
          <w:color w:val="C00000"/>
          <w:highlight w:val="yellow"/>
          <w:rtl/>
        </w:rPr>
        <w:t>אן כאנת בהמה גסה</w:t>
      </w:r>
      <w:r>
        <w:rPr>
          <w:rFonts w:ascii="David" w:hAnsi="David"/>
          <w:b/>
          <w:bCs/>
          <w:color w:val="C00000"/>
        </w:rPr>
        <w:t xml:space="preserve"> </w:t>
      </w:r>
      <w:r w:rsidRPr="00722FD5">
        <w:rPr>
          <w:rFonts w:cs="Times New Roman"/>
          <w:color w:val="auto"/>
        </w:rPr>
        <w:t>appears</w:t>
      </w:r>
      <w:r>
        <w:rPr>
          <w:rFonts w:cs="Times New Roman"/>
          <w:color w:val="auto"/>
        </w:rPr>
        <w:t xml:space="preserve"> alongside the structure </w:t>
      </w:r>
      <w:r w:rsidRPr="000502CA">
        <w:rPr>
          <w:rFonts w:ascii="David" w:hAnsi="David"/>
          <w:color w:val="C00000"/>
          <w:highlight w:val="yellow"/>
          <w:rtl/>
        </w:rPr>
        <w:t>"</w:t>
      </w:r>
      <w:r w:rsidRPr="000502CA">
        <w:rPr>
          <w:rFonts w:ascii="David" w:hAnsi="David"/>
          <w:b/>
          <w:bCs/>
          <w:color w:val="C00000"/>
          <w:highlight w:val="yellow"/>
          <w:rtl/>
        </w:rPr>
        <w:t>ואן כאן אלשי אלמוג'וד אוזין ותרנגלין כאמלה</w:t>
      </w:r>
      <w:r w:rsidRPr="000502CA">
        <w:rPr>
          <w:rFonts w:ascii="David" w:hAnsi="David"/>
          <w:color w:val="C00000"/>
          <w:rtl/>
        </w:rPr>
        <w:t>"</w:t>
      </w:r>
      <w:r>
        <w:rPr>
          <w:rFonts w:cs="Times New Roman"/>
          <w:color w:val="auto"/>
        </w:rPr>
        <w:t xml:space="preserve">. A comparison of the two structures reveals that the former is an abridged form of the latter, and that in both the subject is </w:t>
      </w:r>
      <w:r w:rsidRPr="000502CA">
        <w:rPr>
          <w:rFonts w:ascii="David" w:hAnsi="David"/>
          <w:b/>
          <w:bCs/>
          <w:color w:val="C00000"/>
          <w:highlight w:val="yellow"/>
          <w:rtl/>
        </w:rPr>
        <w:t>אלשי אלמוג'וד</w:t>
      </w:r>
      <w:r w:rsidRPr="00722FD5">
        <w:rPr>
          <w:rFonts w:cs="Times New Roman"/>
          <w:color w:val="auto"/>
        </w:rPr>
        <w:t xml:space="preserve"> </w:t>
      </w:r>
      <w:r>
        <w:rPr>
          <w:rFonts w:cs="Times New Roman"/>
          <w:color w:val="auto"/>
        </w:rPr>
        <w:t xml:space="preserve">(“the thing that exists.”) Accordingly, the verb </w:t>
      </w:r>
      <w:r w:rsidRPr="000502CA">
        <w:rPr>
          <w:rFonts w:ascii="David" w:hAnsi="David"/>
          <w:b/>
          <w:bCs/>
          <w:color w:val="C00000"/>
          <w:highlight w:val="yellow"/>
          <w:rtl/>
        </w:rPr>
        <w:t>כאנת בהמה</w:t>
      </w:r>
      <w:r>
        <w:rPr>
          <w:rFonts w:cs="Times New Roman"/>
          <w:color w:val="auto"/>
        </w:rPr>
        <w:t xml:space="preserve"> is to be analyzed as a verb agreeing with  the object, and the unusual phenomenon of verbal agreement with  the object should be seen as the result of the influence of Arabic on </w:t>
      </w:r>
      <w:r w:rsidR="006B6C4A">
        <w:rPr>
          <w:rFonts w:cs="Times New Roman"/>
          <w:color w:val="auto"/>
        </w:rPr>
        <w:t>Maimonides</w:t>
      </w:r>
      <w:r>
        <w:rPr>
          <w:rFonts w:cs="Times New Roman"/>
          <w:color w:val="auto"/>
        </w:rPr>
        <w:t>. In this example from the commentary on Bava Metzia, the context is similar to that of the rule in the Laws of Rental, and this provides a solid foundation for its syntactical analysis.</w:t>
      </w:r>
    </w:p>
    <w:p w:rsidR="006A7391" w:rsidRDefault="00322689" w:rsidP="00322689">
      <w:pPr>
        <w:rPr>
          <w:rFonts w:cs="Times New Roman"/>
          <w:color w:val="auto"/>
        </w:rPr>
      </w:pPr>
      <w:r>
        <w:rPr>
          <w:rFonts w:cs="Times New Roman"/>
          <w:color w:val="auto"/>
        </w:rPr>
        <w:t xml:space="preserve">Thus the phenomenon of the agreement of the verb </w:t>
      </w:r>
      <w:r>
        <w:rPr>
          <w:rFonts w:hint="cs"/>
          <w:b/>
          <w:bCs/>
          <w:color w:val="FF0000"/>
          <w:rtl/>
          <w:lang w:bidi="he-IL"/>
        </w:rPr>
        <w:t>היה</w:t>
      </w:r>
      <w:r w:rsidR="00C578F3">
        <w:rPr>
          <w:rFonts w:cs="Times New Roman"/>
          <w:color w:val="auto"/>
        </w:rPr>
        <w:t xml:space="preserve"> (“to be”) w</w:t>
      </w:r>
      <w:r>
        <w:rPr>
          <w:rFonts w:cs="Times New Roman"/>
          <w:color w:val="auto"/>
        </w:rPr>
        <w:t xml:space="preserve">ith the object rather than the subject in the Hebrew of the Mishneh Torah is also documented in the Judeo-Arabic of the commentary on the Mishna, and it emerges that this reflects a </w:t>
      </w:r>
      <w:r w:rsidRPr="00322689">
        <w:rPr>
          <w:rFonts w:cs="Times New Roman"/>
          <w:color w:val="auto"/>
          <w:highlight w:val="yellow"/>
        </w:rPr>
        <w:t xml:space="preserve">linguistic </w:t>
      </w:r>
      <w:commentRangeStart w:id="6"/>
      <w:r w:rsidRPr="00322689">
        <w:rPr>
          <w:rFonts w:cs="Times New Roman"/>
          <w:color w:val="auto"/>
          <w:highlight w:val="yellow"/>
        </w:rPr>
        <w:t>feature</w:t>
      </w:r>
      <w:commentRangeEnd w:id="6"/>
      <w:r w:rsidR="00C578F3">
        <w:rPr>
          <w:rStyle w:val="CommentReference"/>
        </w:rPr>
        <w:commentReference w:id="6"/>
      </w:r>
      <w:r>
        <w:rPr>
          <w:rFonts w:cs="Times New Roman"/>
          <w:color w:val="auto"/>
        </w:rPr>
        <w:t xml:space="preserve"> in Judeo-</w:t>
      </w:r>
      <w:r>
        <w:rPr>
          <w:rFonts w:cs="Times New Roman"/>
          <w:color w:val="auto"/>
        </w:rPr>
        <w:lastRenderedPageBreak/>
        <w:t xml:space="preserve">Arabic. The importance and frequency of this linguistic feature in Judeo-Arabic </w:t>
      </w:r>
      <w:r w:rsidR="006A7391">
        <w:rPr>
          <w:rFonts w:cs="Times New Roman"/>
          <w:color w:val="auto"/>
        </w:rPr>
        <w:t>are clarified by its distribution in Arabic-influenced Hebrew.</w:t>
      </w:r>
    </w:p>
    <w:p w:rsidR="006A7391" w:rsidRDefault="006A7391" w:rsidP="006A7391">
      <w:pPr>
        <w:spacing w:before="200"/>
        <w:rPr>
          <w:rFonts w:cs="Times New Roman"/>
          <w:color w:val="00B0F0"/>
        </w:rPr>
      </w:pPr>
      <w:r>
        <w:rPr>
          <w:rFonts w:cs="Times New Roman"/>
          <w:color w:val="00B0F0"/>
        </w:rPr>
        <w:t>Conclusions</w:t>
      </w:r>
    </w:p>
    <w:p w:rsidR="006A7391" w:rsidRDefault="006A7391" w:rsidP="006A7391">
      <w:pPr>
        <w:rPr>
          <w:rFonts w:cs="Times New Roman"/>
        </w:rPr>
      </w:pPr>
      <w:r>
        <w:rPr>
          <w:rFonts w:cs="Times New Roman"/>
          <w:color w:val="auto"/>
        </w:rPr>
        <w:t xml:space="preserve">The two phenomena discussed above – the use of </w:t>
      </w:r>
      <w:r w:rsidR="00322689">
        <w:rPr>
          <w:rFonts w:cs="Times New Roman"/>
          <w:color w:val="auto"/>
        </w:rPr>
        <w:t xml:space="preserve"> </w:t>
      </w:r>
      <w:r>
        <w:rPr>
          <w:rFonts w:cs="Times New Roman"/>
          <w:color w:val="auto"/>
        </w:rPr>
        <w:t xml:space="preserve">the forms </w:t>
      </w:r>
      <w:r w:rsidRPr="000E5228">
        <w:rPr>
          <w:rFonts w:cs="Times New Roman"/>
          <w:i/>
          <w:iCs/>
        </w:rPr>
        <w:t>nqtl</w:t>
      </w:r>
      <w:r w:rsidRPr="000E5228">
        <w:rPr>
          <w:rFonts w:cs="Times New Roman"/>
          <w:i/>
          <w:iCs/>
          <w:rtl/>
        </w:rPr>
        <w:t>/</w:t>
      </w:r>
      <w:r w:rsidRPr="000E5228">
        <w:rPr>
          <w:rFonts w:cs="Times New Roman"/>
          <w:i/>
          <w:iCs/>
        </w:rPr>
        <w:t xml:space="preserve">nqṭl </w:t>
      </w:r>
      <w:r>
        <w:rPr>
          <w:rFonts w:cs="Times New Roman"/>
        </w:rPr>
        <w:t>for the first person singular in Hebrew and Arabic and a</w:t>
      </w:r>
      <w:r w:rsidRPr="000E5228">
        <w:rPr>
          <w:rFonts w:cs="Times New Roman"/>
        </w:rPr>
        <w:t xml:space="preserve">greement of the existential verbs </w:t>
      </w:r>
      <w:r w:rsidRPr="006A7391">
        <w:rPr>
          <w:rFonts w:cs="Times New Roman"/>
          <w:color w:val="FF0000"/>
        </w:rPr>
        <w:t>kâna/</w:t>
      </w:r>
      <w:r w:rsidRPr="006A7391">
        <w:rPr>
          <w:rFonts w:cs="Times New Roman" w:hint="cs"/>
          <w:color w:val="FF0000"/>
          <w:rtl/>
          <w:lang w:bidi="he-IL"/>
        </w:rPr>
        <w:t>היה</w:t>
      </w:r>
      <w:r>
        <w:rPr>
          <w:rFonts w:cs="Times New Roman"/>
          <w:i/>
          <w:iCs/>
          <w:lang w:bidi="he-IL"/>
        </w:rPr>
        <w:t xml:space="preserve"> </w:t>
      </w:r>
      <w:r w:rsidR="006B6C4A">
        <w:rPr>
          <w:rFonts w:cs="Times New Roman"/>
          <w:lang w:bidi="he-IL"/>
        </w:rPr>
        <w:t xml:space="preserve">(“to be”) </w:t>
      </w:r>
      <w:r w:rsidRPr="000E5228">
        <w:rPr>
          <w:rFonts w:cs="Times New Roman"/>
        </w:rPr>
        <w:t>with the object rather than the subject</w:t>
      </w:r>
      <w:r>
        <w:rPr>
          <w:rFonts w:cs="Times New Roman"/>
        </w:rPr>
        <w:t xml:space="preserve"> – illustrate the importance of a systematic comparison of Medieval Hebrew to Judeo-Arabic. On the one hand, this comparison provides a firm foundation for understanding the background to the phenomena in Hebrew; on the other, it enhances our knowledge about Judeo-Arabic. In the case of the first person plural, this comparison highlights the reanalysis of </w:t>
      </w:r>
      <w:r>
        <w:rPr>
          <w:rFonts w:cs="Times New Roman"/>
          <w:i/>
          <w:iCs/>
        </w:rPr>
        <w:t xml:space="preserve">nqtl </w:t>
      </w:r>
      <w:r>
        <w:rPr>
          <w:rFonts w:cs="Times New Roman"/>
        </w:rPr>
        <w:t>as the first person plural form; in the case of agreement with the subject, it emphasizes the frequency and importance of this phenomenon.</w:t>
      </w:r>
    </w:p>
    <w:p w:rsidR="00713E17" w:rsidRPr="00322689" w:rsidRDefault="006A7391" w:rsidP="006A7391">
      <w:pPr>
        <w:rPr>
          <w:rFonts w:cs="Times New Roman"/>
          <w:color w:val="auto"/>
        </w:rPr>
      </w:pPr>
      <w:r>
        <w:rPr>
          <w:rFonts w:cs="Times New Roman"/>
        </w:rPr>
        <w:t xml:space="preserve"> </w:t>
      </w:r>
    </w:p>
    <w:sectPr w:rsidR="00713E17" w:rsidRPr="00322689" w:rsidSect="00537330">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8-05-22T19:14:00Z" w:initials="S">
    <w:p w:rsidR="006B6C4A" w:rsidRDefault="006B6C4A">
      <w:pPr>
        <w:pStyle w:val="CommentText"/>
        <w:rPr>
          <w:rFonts w:hint="cs"/>
          <w:rtl/>
          <w:lang w:bidi="he-IL"/>
        </w:rPr>
      </w:pPr>
      <w:r>
        <w:rPr>
          <w:rStyle w:val="CommentReference"/>
        </w:rPr>
        <w:annotationRef/>
      </w:r>
      <w:r>
        <w:t xml:space="preserve">Note that I could not find the spelling of the name of the scholar mentioned at the beginning of the footnote here - </w:t>
      </w:r>
      <w:r>
        <w:rPr>
          <w:rFonts w:hint="cs"/>
          <w:rtl/>
          <w:lang w:bidi="he-IL"/>
        </w:rPr>
        <w:t>גלדקה</w:t>
      </w:r>
    </w:p>
  </w:comment>
  <w:comment w:id="1" w:author="Shaul" w:date="2018-05-22T18:44:00Z" w:initials="S">
    <w:p w:rsidR="005D0F09" w:rsidRDefault="005D0F09" w:rsidP="002407EB">
      <w:pPr>
        <w:pStyle w:val="CommentText"/>
      </w:pPr>
      <w:r>
        <w:rPr>
          <w:rStyle w:val="CommentReference"/>
        </w:rPr>
        <w:annotationRef/>
      </w:r>
      <w:r>
        <w:rPr>
          <w:rStyle w:val="CommentReference"/>
        </w:rPr>
        <w:t>This appears in the source in regular black print, but by analogy to all the other quotes I assume the client doesn’t want it translated or transliterated.</w:t>
      </w:r>
    </w:p>
  </w:comment>
  <w:comment w:id="2" w:author="Shaul" w:date="2018-05-22T10:33:00Z" w:initials="S">
    <w:p w:rsidR="005D0F09" w:rsidRDefault="005D0F09">
      <w:pPr>
        <w:pStyle w:val="CommentText"/>
      </w:pPr>
      <w:r>
        <w:rPr>
          <w:rStyle w:val="CommentReference"/>
        </w:rPr>
        <w:annotationRef/>
      </w:r>
      <w:r>
        <w:t>I omitted the inverted commas around the quote as the author doesn’t use those in the other quotes presented in this format and to my mind they only clutter up the text.</w:t>
      </w:r>
    </w:p>
  </w:comment>
  <w:comment w:id="3" w:author="Shaul" w:date="2018-05-22T11:39:00Z" w:initials="S">
    <w:p w:rsidR="005D0F09" w:rsidRDefault="005D0F09">
      <w:pPr>
        <w:pStyle w:val="CommentText"/>
        <w:rPr>
          <w:rFonts w:hint="cs"/>
          <w:rtl/>
          <w:lang w:bidi="he-IL"/>
        </w:rPr>
      </w:pPr>
      <w:r>
        <w:rPr>
          <w:rStyle w:val="CommentReference"/>
        </w:rPr>
        <w:annotationRef/>
      </w:r>
      <w:r>
        <w:t xml:space="preserve">Note that in the footnote the author/client may prefer different terms for </w:t>
      </w:r>
      <w:r>
        <w:rPr>
          <w:rFonts w:hint="cs"/>
          <w:rtl/>
          <w:lang w:bidi="he-IL"/>
        </w:rPr>
        <w:t>סומך/נסמך</w:t>
      </w:r>
    </w:p>
  </w:comment>
  <w:comment w:id="4" w:author="Shaul" w:date="2018-05-22T18:57:00Z" w:initials="S">
    <w:p w:rsidR="005D0F09" w:rsidRDefault="005D0F09" w:rsidP="005D0F09">
      <w:pPr>
        <w:pStyle w:val="CommentText"/>
      </w:pPr>
      <w:r>
        <w:rPr>
          <w:rStyle w:val="CommentReference"/>
        </w:rPr>
        <w:annotationRef/>
      </w:r>
      <w:r>
        <w:t>It seems to me that in order for the English translation to explain the point under discussion, it is necessary to note the salient grammatical feature of the bold words – here, gender.</w:t>
      </w:r>
    </w:p>
  </w:comment>
  <w:comment w:id="5" w:author="Shaul" w:date="2018-05-22T19:08:00Z" w:initials="S">
    <w:p w:rsidR="00C578F3" w:rsidRDefault="00C578F3">
      <w:pPr>
        <w:pStyle w:val="CommentText"/>
      </w:pPr>
      <w:r>
        <w:rPr>
          <w:rStyle w:val="CommentReference"/>
        </w:rPr>
        <w:annotationRef/>
      </w:r>
      <w:r>
        <w:t>This is my translation as I didn’t find this passage in the attached material</w:t>
      </w:r>
    </w:p>
  </w:comment>
  <w:comment w:id="6" w:author="Shaul" w:date="2018-05-22T19:19:00Z" w:initials="S">
    <w:p w:rsidR="00C578F3" w:rsidRPr="00C578F3" w:rsidRDefault="00C578F3" w:rsidP="00424838">
      <w:pPr>
        <w:pStyle w:val="CommentText"/>
        <w:rPr>
          <w:lang w:bidi="he-IL"/>
        </w:rPr>
      </w:pPr>
      <w:r>
        <w:rPr>
          <w:rStyle w:val="CommentReference"/>
        </w:rPr>
        <w:annotationRef/>
      </w:r>
      <w:r>
        <w:t xml:space="preserve">This is my suggestion for </w:t>
      </w:r>
      <w:r>
        <w:rPr>
          <w:rFonts w:hint="cs"/>
          <w:rtl/>
          <w:lang w:bidi="he-IL"/>
        </w:rPr>
        <w:t>קו לשון</w:t>
      </w:r>
      <w:r>
        <w:rPr>
          <w:lang w:bidi="he-IL"/>
        </w:rPr>
        <w:t xml:space="preserve">, which </w:t>
      </w:r>
      <w:r w:rsidR="00424838">
        <w:rPr>
          <w:lang w:bidi="he-IL"/>
        </w:rPr>
        <w:t xml:space="preserve">I’m not familiar with as </w:t>
      </w:r>
      <w:r>
        <w:rPr>
          <w:lang w:bidi="he-IL"/>
        </w:rPr>
        <w:t>a linguistic term</w:t>
      </w:r>
      <w:r w:rsidR="006B6C4A">
        <w:rPr>
          <w:lang w:bidi="he-IL"/>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5C" w:rsidRDefault="0017045C" w:rsidP="00D67133">
      <w:r>
        <w:separator/>
      </w:r>
    </w:p>
  </w:endnote>
  <w:endnote w:type="continuationSeparator" w:id="0">
    <w:p w:rsidR="0017045C" w:rsidRDefault="0017045C" w:rsidP="00D67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5C" w:rsidRDefault="0017045C" w:rsidP="00D67133">
      <w:r>
        <w:separator/>
      </w:r>
    </w:p>
  </w:footnote>
  <w:footnote w:type="continuationSeparator" w:id="0">
    <w:p w:rsidR="0017045C" w:rsidRDefault="0017045C" w:rsidP="00D67133">
      <w:r>
        <w:continuationSeparator/>
      </w:r>
    </w:p>
  </w:footnote>
  <w:footnote w:id="1">
    <w:p w:rsidR="005D0F09" w:rsidRDefault="005D0F09">
      <w:pPr>
        <w:pStyle w:val="FootnoteText"/>
      </w:pPr>
      <w:r>
        <w:rPr>
          <w:rStyle w:val="FootnoteReference"/>
        </w:rPr>
        <w:footnoteRef/>
      </w:r>
      <w:r>
        <w:t xml:space="preserve"> </w:t>
      </w:r>
      <w:r>
        <w:tab/>
        <w:t>For a history of the research and extensive details, including examples, see Blau 1999: 58-60, 119-120; Hopkins 1993: 244, note 72.</w:t>
      </w:r>
    </w:p>
  </w:footnote>
  <w:footnote w:id="2">
    <w:p w:rsidR="005D0F09" w:rsidRDefault="005D0F09" w:rsidP="00B1258A">
      <w:pPr>
        <w:pStyle w:val="FootnoteText"/>
      </w:pPr>
      <w:r>
        <w:rPr>
          <w:rStyle w:val="FootnoteReference"/>
        </w:rPr>
        <w:footnoteRef/>
      </w:r>
      <w:r>
        <w:t xml:space="preserve"> </w:t>
      </w:r>
      <w:r>
        <w:tab/>
      </w:r>
      <w:r w:rsidRPr="005E1C5A">
        <w:rPr>
          <w:highlight w:val="yellow"/>
        </w:rPr>
        <w:t>Gladke</w:t>
      </w:r>
      <w:r>
        <w:t xml:space="preserve"> 1984: 251 considered and rejected this explanation, since he found evidence of the first stage with addition of the detached personal pronoun before the verb (however, Blau 1999: 120 presented early evidence of the addition of personal pronouns before the verb). Fischer 1898: 216 suggested that this form is the product of two analogies: Firstly a first person plural form </w:t>
      </w:r>
      <w:r w:rsidRPr="00A33859">
        <w:rPr>
          <w:i/>
          <w:iCs/>
        </w:rPr>
        <w:t>nqtlû</w:t>
      </w:r>
      <w:r>
        <w:t xml:space="preserve"> was formed by analogy to the second person plural form </w:t>
      </w:r>
      <w:r w:rsidRPr="00A33859">
        <w:rPr>
          <w:i/>
          <w:iCs/>
          <w:highlight w:val="yellow"/>
        </w:rPr>
        <w:t>nqtlû</w:t>
      </w:r>
      <w:r>
        <w:t xml:space="preserve"> [</w:t>
      </w:r>
      <w:r>
        <w:rPr>
          <w:b/>
          <w:bCs/>
          <w:color w:val="FF0000"/>
          <w:highlight w:val="cyan"/>
        </w:rPr>
        <w:t xml:space="preserve">shouldn’t this be </w:t>
      </w:r>
      <w:r w:rsidRPr="00A33859">
        <w:rPr>
          <w:b/>
          <w:bCs/>
          <w:i/>
          <w:iCs/>
          <w:color w:val="FF0000"/>
          <w:highlight w:val="cyan"/>
        </w:rPr>
        <w:t>tqtlû</w:t>
      </w:r>
      <w:r>
        <w:rPr>
          <w:b/>
          <w:bCs/>
          <w:color w:val="FF0000"/>
          <w:highlight w:val="cyan"/>
        </w:rPr>
        <w:t>?</w:t>
      </w:r>
      <w:r w:rsidRPr="00A33859">
        <w:rPr>
          <w:b/>
          <w:bCs/>
          <w:color w:val="FF0000"/>
          <w:highlight w:val="cyan"/>
        </w:rPr>
        <w:t xml:space="preserve"> – trans.</w:t>
      </w:r>
      <w:r>
        <w:t xml:space="preserve">] and the third person plural </w:t>
      </w:r>
      <w:r w:rsidRPr="00A33859">
        <w:rPr>
          <w:i/>
          <w:iCs/>
        </w:rPr>
        <w:t>nqtlû</w:t>
      </w:r>
      <w:r>
        <w:t xml:space="preserve">, and later the first person singular form </w:t>
      </w:r>
      <w:r>
        <w:rPr>
          <w:i/>
          <w:iCs/>
        </w:rPr>
        <w:t xml:space="preserve">nqtl </w:t>
      </w:r>
      <w:r>
        <w:t xml:space="preserve">was formed by analogy to the second person masculine singular </w:t>
      </w:r>
      <w:r>
        <w:rPr>
          <w:i/>
          <w:iCs/>
        </w:rPr>
        <w:t xml:space="preserve">tqtl </w:t>
      </w:r>
      <w:r>
        <w:t xml:space="preserve">and the third person masculine singular </w:t>
      </w:r>
      <w:r>
        <w:rPr>
          <w:i/>
          <w:iCs/>
        </w:rPr>
        <w:t>yqtl</w:t>
      </w:r>
      <w:r>
        <w:t xml:space="preserve">. Blau 1999: 119-120 noted that the weakness of this explanation is that while the singular form </w:t>
      </w:r>
      <w:r>
        <w:rPr>
          <w:i/>
          <w:iCs/>
        </w:rPr>
        <w:t xml:space="preserve">nqtl </w:t>
      </w:r>
      <w:r>
        <w:t xml:space="preserve">is common in many Arabic dialects, the first person plural form </w:t>
      </w:r>
      <w:r w:rsidRPr="00A33859">
        <w:rPr>
          <w:i/>
          <w:iCs/>
        </w:rPr>
        <w:t>nqtlû</w:t>
      </w:r>
      <w:r>
        <w:rPr>
          <w:i/>
          <w:iCs/>
        </w:rPr>
        <w:t xml:space="preserve"> </w:t>
      </w:r>
      <w:r>
        <w:t xml:space="preserve">(which Fischer suggests forms the origin of the first person singular </w:t>
      </w:r>
      <w:r>
        <w:rPr>
          <w:i/>
          <w:iCs/>
        </w:rPr>
        <w:t>nqtl</w:t>
      </w:r>
      <w:r>
        <w:t xml:space="preserve">) is restricted solely to Maghrebian Arabic; even in those Aramaic dialects for which the singular form </w:t>
      </w:r>
      <w:r>
        <w:rPr>
          <w:i/>
          <w:iCs/>
        </w:rPr>
        <w:t xml:space="preserve">nqtl </w:t>
      </w:r>
      <w:r>
        <w:t xml:space="preserve">is testified, there is no evidence of a final vowel in the first person plural. Accordingly, it is more probable that the first person plural form </w:t>
      </w:r>
      <w:r w:rsidRPr="00A33859">
        <w:rPr>
          <w:i/>
          <w:iCs/>
        </w:rPr>
        <w:t>nqtlû</w:t>
      </w:r>
      <w:r>
        <w:rPr>
          <w:i/>
          <w:iCs/>
        </w:rPr>
        <w:t xml:space="preserve"> </w:t>
      </w:r>
      <w:r>
        <w:t xml:space="preserve">developed in order to distinguish this form from the common first person singular form </w:t>
      </w:r>
      <w:r>
        <w:rPr>
          <w:i/>
          <w:iCs/>
        </w:rPr>
        <w:t>nqtl</w:t>
      </w:r>
      <w:r>
        <w:t xml:space="preserve">.    </w:t>
      </w:r>
    </w:p>
  </w:footnote>
  <w:footnote w:id="3">
    <w:p w:rsidR="005D0F09" w:rsidRDefault="005D0F09" w:rsidP="00B1258A">
      <w:pPr>
        <w:pStyle w:val="FootnoteText"/>
      </w:pPr>
      <w:r>
        <w:rPr>
          <w:rStyle w:val="FootnoteReference"/>
        </w:rPr>
        <w:footnoteRef/>
      </w:r>
      <w:r>
        <w:t xml:space="preserve"> </w:t>
      </w:r>
      <w:r>
        <w:tab/>
        <w:t xml:space="preserve">See Blau, ibid. A similar phenomenon is even found in spoken Hebrew: Following the addition of personal pronouns before the first person singular plural, the form </w:t>
      </w:r>
      <w:r w:rsidRPr="00B1258A">
        <w:rPr>
          <w:rFonts w:ascii="David" w:hAnsi="David"/>
          <w:color w:val="C00000"/>
          <w:szCs w:val="20"/>
          <w:rtl/>
        </w:rPr>
        <w:t>אקטול</w:t>
      </w:r>
      <w:r>
        <w:rPr>
          <w:rFonts w:ascii="David" w:hAnsi="David"/>
          <w:color w:val="C00000"/>
          <w:szCs w:val="20"/>
        </w:rPr>
        <w:t xml:space="preserve"> </w:t>
      </w:r>
      <w:r>
        <w:t xml:space="preserve">was replaced by the form </w:t>
      </w:r>
      <w:r w:rsidRPr="00B1258A">
        <w:rPr>
          <w:rFonts w:ascii="David" w:hAnsi="David" w:hint="cs"/>
          <w:color w:val="C00000"/>
          <w:szCs w:val="20"/>
          <w:rtl/>
          <w:lang w:bidi="he-IL"/>
        </w:rPr>
        <w:t>אני יקטול</w:t>
      </w:r>
      <w:r>
        <w:rPr>
          <w:lang w:bidi="he-IL"/>
        </w:rPr>
        <w:t>.</w:t>
      </w:r>
      <w:r>
        <w:t xml:space="preserve"> See Bar-Adon 1959: 150-161.</w:t>
      </w:r>
    </w:p>
  </w:footnote>
  <w:footnote w:id="4">
    <w:p w:rsidR="005D0F09" w:rsidRDefault="005D0F09">
      <w:pPr>
        <w:pStyle w:val="FootnoteText"/>
      </w:pPr>
      <w:r>
        <w:rPr>
          <w:rStyle w:val="FootnoteReference"/>
        </w:rPr>
        <w:footnoteRef/>
      </w:r>
      <w:r>
        <w:t xml:space="preserve"> </w:t>
      </w:r>
      <w:r>
        <w:tab/>
        <w:t>See Sokoloff 1969: 144-148.</w:t>
      </w:r>
    </w:p>
  </w:footnote>
  <w:footnote w:id="5">
    <w:p w:rsidR="005D0F09" w:rsidRDefault="005D0F09" w:rsidP="000E5228">
      <w:pPr>
        <w:pStyle w:val="FootnoteText"/>
      </w:pPr>
      <w:r>
        <w:rPr>
          <w:rStyle w:val="FootnoteReference"/>
        </w:rPr>
        <w:footnoteRef/>
      </w:r>
      <w:r>
        <w:t xml:space="preserve"> </w:t>
      </w:r>
      <w:r>
        <w:tab/>
        <w:t xml:space="preserve">Maimonides was evidently quoting the Gemara from memory, and accordingly changed its phrasing. </w:t>
      </w:r>
    </w:p>
  </w:footnote>
  <w:footnote w:id="6">
    <w:p w:rsidR="005D0F09" w:rsidRDefault="005D0F09">
      <w:pPr>
        <w:pStyle w:val="FootnoteText"/>
      </w:pPr>
      <w:r>
        <w:rPr>
          <w:rStyle w:val="FootnoteReference"/>
        </w:rPr>
        <w:footnoteRef/>
      </w:r>
      <w:r>
        <w:t xml:space="preserve"> </w:t>
      </w:r>
      <w:r>
        <w:tab/>
        <w:t>See Blau 1957: 81.</w:t>
      </w:r>
    </w:p>
  </w:footnote>
  <w:footnote w:id="7">
    <w:p w:rsidR="005D0F09" w:rsidRDefault="005D0F09">
      <w:pPr>
        <w:pStyle w:val="FootnoteText"/>
      </w:pPr>
      <w:r>
        <w:rPr>
          <w:rStyle w:val="FootnoteReference"/>
        </w:rPr>
        <w:footnoteRef/>
      </w:r>
      <w:r>
        <w:t xml:space="preserve"> </w:t>
      </w:r>
      <w:r>
        <w:tab/>
        <w:t>See Blau 1980: 136; Blau 2014: 85.</w:t>
      </w:r>
    </w:p>
  </w:footnote>
  <w:footnote w:id="8">
    <w:p w:rsidR="005D0F09" w:rsidRPr="00DA4916" w:rsidRDefault="005D0F09" w:rsidP="00713E17">
      <w:pPr>
        <w:pStyle w:val="FootnoteText"/>
        <w:rPr>
          <w:rFonts w:asciiTheme="minorHAnsi" w:hAnsiTheme="minorHAnsi"/>
          <w:color w:val="FF0000"/>
          <w:szCs w:val="20"/>
        </w:rPr>
      </w:pPr>
      <w:r>
        <w:rPr>
          <w:rStyle w:val="FootnoteReference"/>
        </w:rPr>
        <w:footnoteRef/>
      </w:r>
      <w:r>
        <w:t xml:space="preserve"> </w:t>
      </w:r>
      <w:r>
        <w:tab/>
        <w:t xml:space="preserve">If the copula were in agreement with the subject, the sentence would read </w:t>
      </w:r>
      <w:r w:rsidRPr="0004088A">
        <w:rPr>
          <w:rFonts w:ascii="David" w:hAnsi="David"/>
          <w:color w:val="FF0000"/>
          <w:szCs w:val="20"/>
        </w:rPr>
        <w:t>*'</w:t>
      </w:r>
      <w:r w:rsidRPr="0004088A">
        <w:rPr>
          <w:rFonts w:ascii="David" w:hAnsi="David"/>
          <w:color w:val="FF0000"/>
          <w:szCs w:val="20"/>
          <w:rtl/>
          <w:lang w:bidi="he-IL"/>
        </w:rPr>
        <w:t xml:space="preserve">כל אלו – ספק שמירה בבעלים </w:t>
      </w:r>
      <w:r w:rsidRPr="0004088A">
        <w:rPr>
          <w:rFonts w:ascii="David" w:hAnsi="David"/>
          <w:b/>
          <w:bCs/>
          <w:color w:val="FF0000"/>
          <w:szCs w:val="20"/>
          <w:rtl/>
          <w:lang w:bidi="he-IL"/>
        </w:rPr>
        <w:t>הן</w:t>
      </w:r>
      <w:r w:rsidRPr="0004088A">
        <w:rPr>
          <w:rFonts w:ascii="David" w:hAnsi="David"/>
          <w:color w:val="FF0000"/>
          <w:szCs w:val="20"/>
          <w:lang w:bidi="he-IL"/>
        </w:rPr>
        <w:t>'</w:t>
      </w:r>
      <w:r w:rsidRPr="0004088A">
        <w:rPr>
          <w:rFonts w:cs="Times New Roman"/>
          <w:color w:val="auto"/>
          <w:szCs w:val="20"/>
          <w:lang w:bidi="he-IL"/>
        </w:rPr>
        <w:t>.</w:t>
      </w:r>
      <w:r>
        <w:rPr>
          <w:rFonts w:cs="Times New Roman"/>
          <w:color w:val="auto"/>
          <w:szCs w:val="20"/>
          <w:lang w:bidi="he-IL"/>
        </w:rPr>
        <w:t xml:space="preserve"> In this law, the pronoun </w:t>
      </w:r>
      <w:r w:rsidRPr="0004088A">
        <w:rPr>
          <w:rFonts w:ascii="David" w:hAnsi="David"/>
          <w:b/>
          <w:bCs/>
          <w:color w:val="FF0000"/>
          <w:szCs w:val="20"/>
          <w:rtl/>
          <w:lang w:bidi="he-IL"/>
        </w:rPr>
        <w:t>ה</w:t>
      </w:r>
      <w:r>
        <w:rPr>
          <w:rFonts w:ascii="David" w:hAnsi="David" w:hint="cs"/>
          <w:b/>
          <w:bCs/>
          <w:color w:val="FF0000"/>
          <w:szCs w:val="20"/>
          <w:rtl/>
          <w:lang w:bidi="he-IL"/>
        </w:rPr>
        <w:t>יא</w:t>
      </w:r>
      <w:r>
        <w:rPr>
          <w:rFonts w:cs="Times New Roman"/>
          <w:color w:val="auto"/>
          <w:szCs w:val="20"/>
          <w:lang w:bidi="he-IL"/>
        </w:rPr>
        <w:t xml:space="preserve"> agrees with the </w:t>
      </w:r>
      <w:r w:rsidRPr="00713E17">
        <w:rPr>
          <w:rFonts w:cs="Times New Roman"/>
          <w:color w:val="auto"/>
          <w:szCs w:val="20"/>
          <w:highlight w:val="yellow"/>
          <w:lang w:bidi="he-IL"/>
        </w:rPr>
        <w:t>governed</w:t>
      </w:r>
      <w:r>
        <w:rPr>
          <w:rFonts w:cs="Times New Roman"/>
          <w:color w:val="auto"/>
          <w:szCs w:val="20"/>
          <w:lang w:bidi="he-IL"/>
        </w:rPr>
        <w:t xml:space="preserve"> </w:t>
      </w:r>
      <w:r>
        <w:rPr>
          <w:rFonts w:ascii="David" w:hAnsi="David" w:hint="cs"/>
          <w:b/>
          <w:bCs/>
          <w:color w:val="FF0000"/>
          <w:szCs w:val="20"/>
          <w:rtl/>
          <w:lang w:bidi="he-IL"/>
        </w:rPr>
        <w:t>שמירה</w:t>
      </w:r>
      <w:r>
        <w:rPr>
          <w:rFonts w:asciiTheme="minorHAnsi" w:hAnsiTheme="minorHAnsi"/>
          <w:b/>
          <w:bCs/>
          <w:color w:val="FF0000"/>
          <w:szCs w:val="20"/>
          <w:lang w:bidi="he-IL"/>
        </w:rPr>
        <w:t xml:space="preserve"> </w:t>
      </w:r>
      <w:r>
        <w:t xml:space="preserve">rather than with the </w:t>
      </w:r>
      <w:r w:rsidRPr="00713E17">
        <w:rPr>
          <w:highlight w:val="yellow"/>
        </w:rPr>
        <w:t>governing</w:t>
      </w:r>
      <w:r>
        <w:t xml:space="preserve"> </w:t>
      </w:r>
      <w:r>
        <w:rPr>
          <w:rFonts w:ascii="David" w:hAnsi="David" w:hint="cs"/>
          <w:b/>
          <w:bCs/>
          <w:color w:val="FF0000"/>
          <w:szCs w:val="20"/>
          <w:rtl/>
          <w:lang w:bidi="he-IL"/>
        </w:rPr>
        <w:t>ספק</w:t>
      </w:r>
      <w:r w:rsidRPr="00DA4916">
        <w:rPr>
          <w:rFonts w:cs="Times New Roman"/>
          <w:color w:val="auto"/>
          <w:szCs w:val="20"/>
          <w:lang w:bidi="he-IL"/>
        </w:rPr>
        <w:t>.</w:t>
      </w:r>
      <w:r>
        <w:rPr>
          <w:rFonts w:cs="Times New Roman"/>
          <w:color w:val="auto"/>
          <w:szCs w:val="20"/>
          <w:lang w:bidi="he-IL"/>
        </w:rPr>
        <w:t xml:space="preserve"> Again, this phenomenon is familiar from Judeo-Arabic. Blau 2014: 85 offered fiver examples of agreement with the complement, though these all appear in the language of those asking the questions rather than in Maimonides’ own language. See also Blau 1980: 136.</w:t>
      </w:r>
      <w:r w:rsidRPr="00DA4916">
        <w:rPr>
          <w:rFonts w:cs="Times New Roman"/>
          <w:color w:val="aut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04F3"/>
    <w:rsid w:val="00021570"/>
    <w:rsid w:val="000230FE"/>
    <w:rsid w:val="00026002"/>
    <w:rsid w:val="00027D61"/>
    <w:rsid w:val="00032B49"/>
    <w:rsid w:val="000336D9"/>
    <w:rsid w:val="00033B89"/>
    <w:rsid w:val="00034169"/>
    <w:rsid w:val="0003584B"/>
    <w:rsid w:val="00035E6B"/>
    <w:rsid w:val="00036970"/>
    <w:rsid w:val="00036BFE"/>
    <w:rsid w:val="000375E4"/>
    <w:rsid w:val="0004088A"/>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5A45"/>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228"/>
    <w:rsid w:val="000E5510"/>
    <w:rsid w:val="000E6DD4"/>
    <w:rsid w:val="000E7014"/>
    <w:rsid w:val="000E7D17"/>
    <w:rsid w:val="000E7ECC"/>
    <w:rsid w:val="000F1BBB"/>
    <w:rsid w:val="000F2334"/>
    <w:rsid w:val="000F2666"/>
    <w:rsid w:val="000F27C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65E8"/>
    <w:rsid w:val="0015753B"/>
    <w:rsid w:val="00160907"/>
    <w:rsid w:val="00161E76"/>
    <w:rsid w:val="00165C9F"/>
    <w:rsid w:val="001666A6"/>
    <w:rsid w:val="00167044"/>
    <w:rsid w:val="0017045C"/>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07E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2689"/>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4F67"/>
    <w:rsid w:val="003E53E6"/>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D08"/>
    <w:rsid w:val="00407F1C"/>
    <w:rsid w:val="00410CF8"/>
    <w:rsid w:val="00412DD3"/>
    <w:rsid w:val="00413847"/>
    <w:rsid w:val="00415298"/>
    <w:rsid w:val="00415BAB"/>
    <w:rsid w:val="0041639D"/>
    <w:rsid w:val="00416FF4"/>
    <w:rsid w:val="00417E50"/>
    <w:rsid w:val="00420589"/>
    <w:rsid w:val="00424838"/>
    <w:rsid w:val="00425B85"/>
    <w:rsid w:val="00426F05"/>
    <w:rsid w:val="004314A1"/>
    <w:rsid w:val="00432C3D"/>
    <w:rsid w:val="00433170"/>
    <w:rsid w:val="00434717"/>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414"/>
    <w:rsid w:val="004E4558"/>
    <w:rsid w:val="004E6143"/>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99E"/>
    <w:rsid w:val="00572A1A"/>
    <w:rsid w:val="00573F61"/>
    <w:rsid w:val="00574922"/>
    <w:rsid w:val="00577A56"/>
    <w:rsid w:val="00580FBF"/>
    <w:rsid w:val="005818DD"/>
    <w:rsid w:val="00583143"/>
    <w:rsid w:val="0058378E"/>
    <w:rsid w:val="00583F20"/>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0F09"/>
    <w:rsid w:val="005D3199"/>
    <w:rsid w:val="005D51EA"/>
    <w:rsid w:val="005D5BA0"/>
    <w:rsid w:val="005D6B9E"/>
    <w:rsid w:val="005D77B2"/>
    <w:rsid w:val="005D7B9F"/>
    <w:rsid w:val="005E1557"/>
    <w:rsid w:val="005E1C5A"/>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A7391"/>
    <w:rsid w:val="006B093B"/>
    <w:rsid w:val="006B52BA"/>
    <w:rsid w:val="006B63C5"/>
    <w:rsid w:val="006B6C4A"/>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07CDF"/>
    <w:rsid w:val="00710AFB"/>
    <w:rsid w:val="0071135A"/>
    <w:rsid w:val="0071202B"/>
    <w:rsid w:val="007130C1"/>
    <w:rsid w:val="00713599"/>
    <w:rsid w:val="0071359D"/>
    <w:rsid w:val="00713DF2"/>
    <w:rsid w:val="00713E17"/>
    <w:rsid w:val="007161AC"/>
    <w:rsid w:val="00716ED7"/>
    <w:rsid w:val="00717C8B"/>
    <w:rsid w:val="00720061"/>
    <w:rsid w:val="0072073F"/>
    <w:rsid w:val="0072093D"/>
    <w:rsid w:val="00720E5D"/>
    <w:rsid w:val="007217D5"/>
    <w:rsid w:val="0072230A"/>
    <w:rsid w:val="00722FD5"/>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917"/>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2E1A"/>
    <w:rsid w:val="008F4E94"/>
    <w:rsid w:val="008F5676"/>
    <w:rsid w:val="008F66C7"/>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6460"/>
    <w:rsid w:val="00977E16"/>
    <w:rsid w:val="00982260"/>
    <w:rsid w:val="00983049"/>
    <w:rsid w:val="009841F4"/>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3859"/>
    <w:rsid w:val="00A367AB"/>
    <w:rsid w:val="00A40D77"/>
    <w:rsid w:val="00A414B6"/>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B5E"/>
    <w:rsid w:val="00B04C3F"/>
    <w:rsid w:val="00B111EA"/>
    <w:rsid w:val="00B1258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691E"/>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578F3"/>
    <w:rsid w:val="00C62EE3"/>
    <w:rsid w:val="00C63C72"/>
    <w:rsid w:val="00C64021"/>
    <w:rsid w:val="00C65410"/>
    <w:rsid w:val="00C6555E"/>
    <w:rsid w:val="00C66148"/>
    <w:rsid w:val="00C6675D"/>
    <w:rsid w:val="00C7093D"/>
    <w:rsid w:val="00C72F40"/>
    <w:rsid w:val="00C73A10"/>
    <w:rsid w:val="00C75719"/>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394B"/>
    <w:rsid w:val="00CC42B3"/>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16C6"/>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1D3"/>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4916"/>
    <w:rsid w:val="00DA5DC2"/>
    <w:rsid w:val="00DA63A4"/>
    <w:rsid w:val="00DA675B"/>
    <w:rsid w:val="00DA761D"/>
    <w:rsid w:val="00DB0786"/>
    <w:rsid w:val="00DB2BD5"/>
    <w:rsid w:val="00DB359C"/>
    <w:rsid w:val="00DB684C"/>
    <w:rsid w:val="00DC0055"/>
    <w:rsid w:val="00DC2481"/>
    <w:rsid w:val="00DC45C5"/>
    <w:rsid w:val="00DC4919"/>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55E"/>
    <w:rsid w:val="00E87AEA"/>
    <w:rsid w:val="00E90A3D"/>
    <w:rsid w:val="00E91D0B"/>
    <w:rsid w:val="00E92C8B"/>
    <w:rsid w:val="00E93B77"/>
    <w:rsid w:val="00E94C4F"/>
    <w:rsid w:val="00E94D6E"/>
    <w:rsid w:val="00E95C9A"/>
    <w:rsid w:val="00E9632C"/>
    <w:rsid w:val="00E969D3"/>
    <w:rsid w:val="00EA125E"/>
    <w:rsid w:val="00EA147F"/>
    <w:rsid w:val="00EA3E98"/>
    <w:rsid w:val="00EA4172"/>
    <w:rsid w:val="00EA4747"/>
    <w:rsid w:val="00EA48E4"/>
    <w:rsid w:val="00EA4C94"/>
    <w:rsid w:val="00EA51CD"/>
    <w:rsid w:val="00EA62DA"/>
    <w:rsid w:val="00EB083D"/>
    <w:rsid w:val="00EB4ACA"/>
    <w:rsid w:val="00EB5196"/>
    <w:rsid w:val="00EB5F2A"/>
    <w:rsid w:val="00EB673E"/>
    <w:rsid w:val="00EB6866"/>
    <w:rsid w:val="00EB7530"/>
    <w:rsid w:val="00EB7C0C"/>
    <w:rsid w:val="00EC02AF"/>
    <w:rsid w:val="00EC042D"/>
    <w:rsid w:val="00EC19D6"/>
    <w:rsid w:val="00EC2927"/>
    <w:rsid w:val="00EC6938"/>
    <w:rsid w:val="00ED2D8B"/>
    <w:rsid w:val="00ED3262"/>
    <w:rsid w:val="00ED681C"/>
    <w:rsid w:val="00ED727E"/>
    <w:rsid w:val="00EE3A71"/>
    <w:rsid w:val="00EE7F02"/>
    <w:rsid w:val="00EF1885"/>
    <w:rsid w:val="00EF30BC"/>
    <w:rsid w:val="00EF4DED"/>
    <w:rsid w:val="00EF5BC2"/>
    <w:rsid w:val="00EF6D78"/>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6DFB"/>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58C"/>
    <w:rsid w:val="00FD7F7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08"/>
    <w:pPr>
      <w:spacing w:before="120" w:after="280"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link w:val="E-1Char"/>
    <w:rsid w:val="00713E17"/>
    <w:pPr>
      <w:ind w:left="709" w:hanging="709"/>
    </w:p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pPr>
  </w:style>
  <w:style w:type="paragraph" w:customStyle="1" w:styleId="E-4">
    <w:name w:val="E-4"/>
    <w:basedOn w:val="E-1"/>
    <w:link w:val="E-4Char"/>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3E53E6"/>
    <w:pPr>
      <w:ind w:left="284" w:hanging="284"/>
      <w:contextualSpacing/>
    </w:pPr>
    <w:rPr>
      <w:sz w:val="20"/>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ind w:left="1701" w:hanging="850"/>
    </w:pPr>
    <w:rPr>
      <w:rFonts w:cs="Miriam"/>
      <w:snapToGrid/>
      <w:color w:val="auto"/>
    </w:rPr>
  </w:style>
  <w:style w:type="paragraph" w:customStyle="1" w:styleId="p3">
    <w:name w:val="p3"/>
    <w:basedOn w:val="Normal"/>
    <w:rsid w:val="002C1D2C"/>
    <w:pPr>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39"/>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paragraph" w:customStyle="1" w:styleId="E6">
    <w:name w:val="E6"/>
    <w:basedOn w:val="E-4"/>
    <w:link w:val="E6Char"/>
    <w:qFormat/>
    <w:rsid w:val="00095A45"/>
    <w:pPr>
      <w:ind w:left="3402" w:hanging="850"/>
    </w:pPr>
  </w:style>
  <w:style w:type="character" w:customStyle="1" w:styleId="E-1Char">
    <w:name w:val="E-1 Char"/>
    <w:basedOn w:val="DefaultParagraphFont"/>
    <w:link w:val="E-1"/>
    <w:rsid w:val="00713E17"/>
    <w:rPr>
      <w:rFonts w:eastAsia="Calibri" w:cs="David"/>
      <w:snapToGrid w:val="0"/>
      <w:color w:val="000000"/>
      <w:sz w:val="24"/>
      <w:szCs w:val="24"/>
      <w:lang w:bidi="ar-SA"/>
    </w:rPr>
  </w:style>
  <w:style w:type="character" w:customStyle="1" w:styleId="E-4Char">
    <w:name w:val="E-4 Char"/>
    <w:basedOn w:val="E-1Char"/>
    <w:link w:val="E-4"/>
    <w:rsid w:val="00095A45"/>
  </w:style>
  <w:style w:type="character" w:customStyle="1" w:styleId="E6Char">
    <w:name w:val="E6 Char"/>
    <w:basedOn w:val="E-4Char"/>
    <w:link w:val="E6"/>
    <w:rsid w:val="00095A45"/>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46E09-555A-4D9E-9EA7-D361511E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8</Pages>
  <Words>2110</Words>
  <Characters>10724</Characters>
  <Application>Microsoft Office Word</Application>
  <DocSecurity>0</DocSecurity>
  <Lines>162</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10</cp:revision>
  <dcterms:created xsi:type="dcterms:W3CDTF">2018-05-22T05:12:00Z</dcterms:created>
  <dcterms:modified xsi:type="dcterms:W3CDTF">2018-05-22T16:19:00Z</dcterms:modified>
</cp:coreProperties>
</file>