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ED88" w14:textId="77777777" w:rsidR="008255C0" w:rsidRDefault="008255C0" w:rsidP="008255C0">
      <w:pPr>
        <w:shd w:val="clear" w:color="auto" w:fill="FFFFFF"/>
        <w:spacing w:after="0" w:line="360" w:lineRule="auto"/>
        <w:rPr>
          <w:rFonts w:ascii="Times New Roman" w:hAnsi="Times New Roman" w:cs="David"/>
          <w:b/>
          <w:bCs/>
          <w:sz w:val="24"/>
          <w:szCs w:val="24"/>
          <w:rtl/>
        </w:rPr>
      </w:pPr>
      <w:r w:rsidRPr="00932614">
        <w:rPr>
          <w:rFonts w:ascii="Times New Roman" w:hAnsi="Times New Roman" w:cs="David"/>
          <w:b/>
          <w:bCs/>
          <w:sz w:val="28"/>
          <w:szCs w:val="28"/>
          <w:rtl/>
        </w:rPr>
        <w:t>תקציר</w:t>
      </w:r>
      <w:r w:rsidRPr="00932614">
        <w:rPr>
          <w:rFonts w:ascii="Times New Roman" w:hAnsi="Times New Roman" w:cs="David"/>
          <w:b/>
          <w:bCs/>
          <w:sz w:val="24"/>
          <w:szCs w:val="24"/>
        </w:rPr>
        <w:t xml:space="preserve"> </w:t>
      </w:r>
    </w:p>
    <w:p w14:paraId="64435CC9" w14:textId="386386A0" w:rsidR="008255C0" w:rsidRPr="00932614" w:rsidRDefault="008255C0" w:rsidP="008255C0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932614">
        <w:rPr>
          <w:rFonts w:ascii="Times New Roman" w:hAnsi="Times New Roman" w:cs="David"/>
          <w:sz w:val="24"/>
          <w:szCs w:val="24"/>
          <w:rtl/>
        </w:rPr>
        <w:t>מחקר זה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בוחן תהליכי הבניית ידע וזהות מקצועית פוליטית בסביבת הכשרה מוסדית. המחקר מבסס עקרונות להערכת ידע פרופסיונלי במ</w:t>
      </w:r>
      <w:r w:rsidR="00EF0F7B">
        <w:rPr>
          <w:rFonts w:ascii="Times New Roman" w:hAnsi="Times New Roman" w:cs="David" w:hint="cs"/>
          <w:sz w:val="24"/>
          <w:szCs w:val="24"/>
          <w:rtl/>
        </w:rPr>
        <w:t>ונחים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של "הבניה", "א</w:t>
      </w:r>
      <w:r>
        <w:rPr>
          <w:rFonts w:ascii="Times New Roman" w:hAnsi="Times New Roman" w:cs="David" w:hint="cs"/>
          <w:sz w:val="24"/>
          <w:szCs w:val="24"/>
          <w:rtl/>
        </w:rPr>
        <w:t>ִ</w:t>
      </w:r>
      <w:r w:rsidRPr="00932614">
        <w:rPr>
          <w:rFonts w:ascii="Times New Roman" w:hAnsi="Times New Roman" w:cs="David" w:hint="cs"/>
          <w:sz w:val="24"/>
          <w:szCs w:val="24"/>
          <w:rtl/>
        </w:rPr>
        <w:t>יו</w:t>
      </w:r>
      <w:r>
        <w:rPr>
          <w:rFonts w:ascii="Times New Roman" w:hAnsi="Times New Roman" w:cs="David" w:hint="cs"/>
          <w:sz w:val="24"/>
          <w:szCs w:val="24"/>
          <w:rtl/>
        </w:rPr>
        <w:t>ּ</w:t>
      </w:r>
      <w:r w:rsidRPr="00932614">
        <w:rPr>
          <w:rFonts w:ascii="Times New Roman" w:hAnsi="Times New Roman" w:cs="David" w:hint="cs"/>
          <w:sz w:val="24"/>
          <w:szCs w:val="24"/>
          <w:rtl/>
        </w:rPr>
        <w:t>ם" ו"הגנה</w:t>
      </w:r>
      <w:r w:rsidRPr="00EF0F7B">
        <w:rPr>
          <w:rFonts w:ascii="Times New Roman" w:hAnsi="Times New Roman" w:cs="David" w:hint="cs"/>
          <w:sz w:val="24"/>
          <w:szCs w:val="24"/>
          <w:rtl/>
        </w:rPr>
        <w:t>" על זהויות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מקצועיות. מסקנות</w:t>
      </w:r>
      <w:r>
        <w:rPr>
          <w:rFonts w:ascii="Times New Roman" w:hAnsi="Times New Roman" w:cs="David" w:hint="cs"/>
          <w:sz w:val="24"/>
          <w:szCs w:val="24"/>
          <w:rtl/>
        </w:rPr>
        <w:t xml:space="preserve"> המחקר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מובאות כהיסק אינדוקטיבי </w:t>
      </w:r>
      <w:r>
        <w:rPr>
          <w:rFonts w:ascii="Times New Roman" w:hAnsi="Times New Roman" w:cs="David" w:hint="cs"/>
          <w:sz w:val="24"/>
          <w:szCs w:val="24"/>
          <w:rtl/>
        </w:rPr>
        <w:t xml:space="preserve">העולה 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מתיאור ביקורתי של הבניית שדה הת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אטרון הקהילתי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 w:rsidRPr="00932614">
        <w:rPr>
          <w:rFonts w:ascii="Times New Roman" w:hAnsi="Times New Roman" w:cs="David" w:hint="cs"/>
          <w:sz w:val="24"/>
          <w:szCs w:val="24"/>
        </w:rPr>
        <w:t>A</w:t>
      </w:r>
      <w:r w:rsidRPr="00932614">
        <w:rPr>
          <w:rFonts w:ascii="Times New Roman" w:hAnsi="Times New Roman" w:cs="David"/>
          <w:sz w:val="24"/>
          <w:szCs w:val="24"/>
        </w:rPr>
        <w:t>pplied Theatre</w:t>
      </w:r>
      <w:r>
        <w:rPr>
          <w:rFonts w:ascii="Times New Roman" w:hAnsi="Times New Roman" w:cs="David" w:hint="cs"/>
          <w:sz w:val="24"/>
          <w:szCs w:val="24"/>
          <w:rtl/>
        </w:rPr>
        <w:t>)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בישראל. </w:t>
      </w:r>
    </w:p>
    <w:p w14:paraId="074B77D2" w14:textId="77777777" w:rsidR="008255C0" w:rsidRPr="00932614" w:rsidRDefault="008255C0" w:rsidP="008255C0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932614">
        <w:rPr>
          <w:rFonts w:ascii="Times New Roman" w:hAnsi="Times New Roman" w:cs="David" w:hint="cs"/>
          <w:sz w:val="24"/>
          <w:szCs w:val="24"/>
          <w:rtl/>
        </w:rPr>
        <w:t>תחום הת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אטרון הקהילתי צמח בישראל בסוף שנות השישים. מייסדיו קשרו את זהותם המקצועית בפרקטיקות מחאה א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מנותיות-חברתיות</w:t>
      </w:r>
      <w:r>
        <w:rPr>
          <w:rFonts w:ascii="Times New Roman" w:hAnsi="Times New Roman" w:cs="David" w:hint="cs"/>
          <w:sz w:val="24"/>
          <w:szCs w:val="24"/>
          <w:rtl/>
        </w:rPr>
        <w:t>, פרקטיקות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שהתפתחו בעולם באותן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32614">
        <w:rPr>
          <w:rFonts w:ascii="Times New Roman" w:hAnsi="Times New Roman" w:cs="David" w:hint="cs"/>
          <w:sz w:val="24"/>
          <w:szCs w:val="24"/>
          <w:rtl/>
        </w:rPr>
        <w:t>שנים ויושמו בישראל עם התעוררות המחאה המזרחית (אלפי, 197</w:t>
      </w:r>
      <w:r>
        <w:rPr>
          <w:rFonts w:ascii="Times New Roman" w:hAnsi="Times New Roman" w:cs="David" w:hint="cs"/>
          <w:sz w:val="24"/>
          <w:szCs w:val="24"/>
          <w:rtl/>
        </w:rPr>
        <w:t>5</w:t>
      </w:r>
      <w:r w:rsidRPr="00932614">
        <w:rPr>
          <w:rFonts w:ascii="Times New Roman" w:hAnsi="Times New Roman" w:cs="David" w:hint="cs"/>
          <w:sz w:val="24"/>
          <w:szCs w:val="24"/>
          <w:rtl/>
        </w:rPr>
        <w:t>,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cs"/>
          <w:sz w:val="24"/>
          <w:szCs w:val="24"/>
          <w:rtl/>
        </w:rPr>
        <w:t>197</w:t>
      </w:r>
      <w:r>
        <w:rPr>
          <w:rFonts w:ascii="Times New Roman" w:hAnsi="Times New Roman" w:cs="David" w:hint="cs"/>
          <w:sz w:val="24"/>
          <w:szCs w:val="24"/>
          <w:rtl/>
        </w:rPr>
        <w:t xml:space="preserve">6; </w:t>
      </w:r>
      <w:r w:rsidRPr="00932614">
        <w:rPr>
          <w:rFonts w:ascii="Times New Roman" w:hAnsi="Times New Roman" w:cs="David" w:hint="cs"/>
          <w:sz w:val="24"/>
          <w:szCs w:val="24"/>
          <w:rtl/>
        </w:rPr>
        <w:t>לב-אלג'ם, 2010</w:t>
      </w:r>
      <w:r>
        <w:rPr>
          <w:rFonts w:ascii="Times New Roman" w:hAnsi="Times New Roman" w:cs="David" w:hint="cs"/>
          <w:sz w:val="24"/>
          <w:szCs w:val="24"/>
          <w:rtl/>
        </w:rPr>
        <w:t xml:space="preserve">; 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מילר, 197</w:t>
      </w:r>
      <w:r>
        <w:rPr>
          <w:rFonts w:ascii="Times New Roman" w:hAnsi="Times New Roman" w:cs="David" w:hint="cs"/>
          <w:sz w:val="24"/>
          <w:szCs w:val="24"/>
          <w:rtl/>
        </w:rPr>
        <w:t>3</w:t>
      </w:r>
      <w:r w:rsidRPr="00932614">
        <w:rPr>
          <w:rFonts w:ascii="Times New Roman" w:hAnsi="Times New Roman" w:cs="David" w:hint="cs"/>
          <w:sz w:val="24"/>
          <w:szCs w:val="24"/>
          <w:rtl/>
        </w:rPr>
        <w:t>, 197</w:t>
      </w:r>
      <w:r>
        <w:rPr>
          <w:rFonts w:ascii="Times New Roman" w:hAnsi="Times New Roman" w:cs="David" w:hint="cs"/>
          <w:sz w:val="24"/>
          <w:szCs w:val="24"/>
          <w:rtl/>
        </w:rPr>
        <w:t>5</w:t>
      </w:r>
      <w:r w:rsidRPr="00932614">
        <w:rPr>
          <w:rFonts w:ascii="Times New Roman" w:hAnsi="Times New Roman" w:cs="David" w:hint="cs"/>
          <w:sz w:val="24"/>
          <w:szCs w:val="24"/>
          <w:rtl/>
        </w:rPr>
        <w:t>). ברוח זו שובצו בלב תאוריית ה"נגד" של התחום המתהווה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cs"/>
          <w:sz w:val="24"/>
          <w:szCs w:val="24"/>
          <w:rtl/>
        </w:rPr>
        <w:t>תהליכי מחאה ת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אטרוניים שנוצרו בשנות השבעים בשכונות </w:t>
      </w:r>
      <w:r>
        <w:rPr>
          <w:rFonts w:ascii="Times New Roman" w:hAnsi="Times New Roman" w:cs="David" w:hint="cs"/>
          <w:sz w:val="24"/>
          <w:szCs w:val="24"/>
          <w:rtl/>
        </w:rPr>
        <w:t>ב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פריפריה של תל-אביב וירושלים. </w:t>
      </w:r>
      <w:r>
        <w:rPr>
          <w:rFonts w:ascii="Times New Roman" w:hAnsi="Times New Roman" w:cs="David" w:hint="cs"/>
          <w:sz w:val="24"/>
          <w:szCs w:val="24"/>
          <w:rtl/>
        </w:rPr>
        <w:t>למרות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זהותה האקטיביסטית זכתה </w:t>
      </w:r>
      <w:r>
        <w:rPr>
          <w:rFonts w:ascii="Times New Roman" w:hAnsi="Times New Roman" w:cs="David" w:hint="cs"/>
          <w:sz w:val="24"/>
          <w:szCs w:val="24"/>
          <w:rtl/>
        </w:rPr>
        <w:t>תאוריה זו ב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סוף שנות השבעים להכרה אקדמית, </w:t>
      </w:r>
      <w:r>
        <w:rPr>
          <w:rFonts w:ascii="Times New Roman" w:hAnsi="Times New Roman" w:cs="David" w:hint="cs"/>
          <w:sz w:val="24"/>
          <w:szCs w:val="24"/>
          <w:rtl/>
        </w:rPr>
        <w:t xml:space="preserve">הכרה </w:t>
      </w:r>
      <w:r w:rsidRPr="00932614">
        <w:rPr>
          <w:rFonts w:ascii="Times New Roman" w:hAnsi="Times New Roman" w:cs="David" w:hint="cs"/>
          <w:sz w:val="24"/>
          <w:szCs w:val="24"/>
          <w:rtl/>
        </w:rPr>
        <w:t>שהתבטאה בפתיחת מסלולי הכשרה חד</w:t>
      </w:r>
      <w:r>
        <w:rPr>
          <w:rFonts w:ascii="Times New Roman" w:hAnsi="Times New Roman" w:cs="David" w:hint="cs"/>
          <w:sz w:val="24"/>
          <w:szCs w:val="24"/>
          <w:rtl/>
        </w:rPr>
        <w:t>-חוגיים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ודו-חוגיים ב</w:t>
      </w:r>
      <w:r>
        <w:rPr>
          <w:rFonts w:ascii="Times New Roman" w:hAnsi="Times New Roman" w:cs="David" w:hint="cs"/>
          <w:sz w:val="24"/>
          <w:szCs w:val="24"/>
          <w:rtl/>
        </w:rPr>
        <w:t>כמה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מוסדות להשכלה גבוהה בישראל. מאז ועד היום הוכשרו באותם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מוסדות עשרות אנשי מקצוע שרכשו את השכלתם הא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מנותית-אקטיביסטית במסגרת ממסדית. </w:t>
      </w:r>
    </w:p>
    <w:p w14:paraId="75405CDF" w14:textId="77777777" w:rsidR="008255C0" w:rsidRPr="00932614" w:rsidRDefault="008255C0" w:rsidP="008255C0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מחקר זה מבקש </w:t>
      </w:r>
      <w:r>
        <w:rPr>
          <w:rFonts w:ascii="Times New Roman" w:hAnsi="Times New Roman" w:cs="David" w:hint="cs"/>
          <w:sz w:val="24"/>
          <w:szCs w:val="24"/>
          <w:rtl/>
        </w:rPr>
        <w:t>לברר את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טיבה של זהות מקצועית אקטיביסטית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מתגבשת בתנאי הכשרה </w:t>
      </w:r>
      <w:r w:rsidRPr="00932614">
        <w:rPr>
          <w:rFonts w:ascii="Times New Roman" w:hAnsi="Times New Roman" w:cs="David"/>
          <w:sz w:val="24"/>
          <w:szCs w:val="24"/>
          <w:rtl/>
        </w:rPr>
        <w:t>ממסדי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ים</w:t>
      </w:r>
      <w:r>
        <w:rPr>
          <w:rFonts w:ascii="Times New Roman" w:hAnsi="Times New Roman" w:cs="David" w:hint="cs"/>
          <w:sz w:val="24"/>
          <w:szCs w:val="24"/>
          <w:rtl/>
        </w:rPr>
        <w:t>.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בשונה ממחקרים שתפסו את הת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אטרון הקהילתי כ"תת שדה" (אוריין, 2008), או כשדה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מספק כלים ייחודיים לחקר קהילות מוחלשות (אלון, 2013</w:t>
      </w:r>
      <w:r>
        <w:rPr>
          <w:rFonts w:ascii="Times New Roman" w:hAnsi="Times New Roman" w:cs="David" w:hint="cs"/>
          <w:sz w:val="24"/>
          <w:szCs w:val="24"/>
          <w:rtl/>
        </w:rPr>
        <w:t xml:space="preserve">; </w:t>
      </w:r>
      <w:r w:rsidRPr="00932614">
        <w:rPr>
          <w:rFonts w:ascii="Times New Roman" w:hAnsi="Times New Roman" w:cs="David" w:hint="cs"/>
          <w:sz w:val="24"/>
          <w:szCs w:val="24"/>
          <w:rtl/>
        </w:rPr>
        <w:t>אלפי, 1983</w:t>
      </w:r>
      <w:r>
        <w:rPr>
          <w:rFonts w:ascii="Times New Roman" w:hAnsi="Times New Roman" w:cs="David" w:hint="cs"/>
          <w:sz w:val="24"/>
          <w:szCs w:val="24"/>
          <w:rtl/>
        </w:rPr>
        <w:t xml:space="preserve">; </w:t>
      </w:r>
      <w:r w:rsidRPr="00932614">
        <w:rPr>
          <w:rFonts w:ascii="Times New Roman" w:hAnsi="Times New Roman" w:cs="David" w:hint="cs"/>
          <w:sz w:val="24"/>
          <w:szCs w:val="24"/>
          <w:rtl/>
        </w:rPr>
        <w:t>ברסלר, 2006</w:t>
      </w:r>
      <w:r>
        <w:rPr>
          <w:rFonts w:ascii="Times New Roman" w:hAnsi="Times New Roman" w:cs="David" w:hint="cs"/>
          <w:sz w:val="24"/>
          <w:szCs w:val="24"/>
          <w:rtl/>
        </w:rPr>
        <w:t xml:space="preserve">; </w:t>
      </w:r>
      <w:r w:rsidRPr="00932614">
        <w:rPr>
          <w:rFonts w:ascii="Times New Roman" w:hAnsi="Times New Roman" w:cs="David" w:hint="cs"/>
          <w:sz w:val="24"/>
          <w:szCs w:val="24"/>
          <w:rtl/>
        </w:rPr>
        <w:t>הריס, 2012</w:t>
      </w:r>
      <w:r>
        <w:rPr>
          <w:rFonts w:ascii="Times New Roman" w:hAnsi="Times New Roman" w:cs="David" w:hint="cs"/>
          <w:sz w:val="24"/>
          <w:szCs w:val="24"/>
          <w:rtl/>
        </w:rPr>
        <w:t xml:space="preserve">; </w:t>
      </w:r>
      <w:r w:rsidRPr="00932614">
        <w:rPr>
          <w:rFonts w:ascii="Times New Roman" w:hAnsi="Times New Roman" w:cs="David" w:hint="cs"/>
          <w:sz w:val="24"/>
          <w:szCs w:val="24"/>
          <w:rtl/>
        </w:rPr>
        <w:t>לב-אלג'ם, 2010</w:t>
      </w:r>
      <w:r>
        <w:rPr>
          <w:rFonts w:ascii="Times New Roman" w:hAnsi="Times New Roman" w:cs="David" w:hint="cs"/>
          <w:sz w:val="24"/>
          <w:szCs w:val="24"/>
          <w:rtl/>
        </w:rPr>
        <w:t xml:space="preserve">; </w:t>
      </w:r>
      <w:r w:rsidRPr="00932614">
        <w:rPr>
          <w:rFonts w:ascii="Times New Roman" w:hAnsi="Times New Roman" w:cs="David" w:hint="cs"/>
          <w:sz w:val="24"/>
          <w:szCs w:val="24"/>
          <w:rtl/>
        </w:rPr>
        <w:t>שם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cs"/>
          <w:sz w:val="24"/>
          <w:szCs w:val="24"/>
          <w:rtl/>
        </w:rPr>
        <w:t>טוב, 2001)</w:t>
      </w:r>
      <w:r>
        <w:rPr>
          <w:rFonts w:ascii="Times New Roman" w:hAnsi="Times New Roman" w:cs="David" w:hint="cs"/>
          <w:sz w:val="24"/>
          <w:szCs w:val="24"/>
          <w:rtl/>
        </w:rPr>
        <w:t>,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המחקר הנוכחי </w:t>
      </w:r>
      <w:r>
        <w:rPr>
          <w:rFonts w:ascii="Times New Roman" w:hAnsi="Times New Roman" w:cs="David" w:hint="cs"/>
          <w:sz w:val="24"/>
          <w:szCs w:val="24"/>
          <w:rtl/>
        </w:rPr>
        <w:t xml:space="preserve">גם מבקש </w:t>
      </w:r>
      <w:r w:rsidRPr="00932614">
        <w:rPr>
          <w:rFonts w:ascii="Times New Roman" w:hAnsi="Times New Roman" w:cs="David" w:hint="cs"/>
          <w:sz w:val="24"/>
          <w:szCs w:val="24"/>
          <w:rtl/>
        </w:rPr>
        <w:t>לתפוס את הת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אטרון הקהילתי כשדה חברתי מובחן וכקורפוס למחקר רפלקטיבי. ברוח זו ו</w:t>
      </w:r>
      <w:r>
        <w:rPr>
          <w:rFonts w:ascii="Times New Roman" w:hAnsi="Times New Roman" w:cs="David" w:hint="cs"/>
          <w:sz w:val="24"/>
          <w:szCs w:val="24"/>
          <w:rtl/>
        </w:rPr>
        <w:t>בהתבסס על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עקרונות המיפוי של "תאוריית השדות החברתיים"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 w:rsidRPr="00932614">
        <w:rPr>
          <w:rFonts w:ascii="Times New Roman" w:hAnsi="Times New Roman" w:cs="David"/>
          <w:sz w:val="24"/>
          <w:szCs w:val="24"/>
        </w:rPr>
        <w:t>Field Theory</w:t>
      </w:r>
      <w:r>
        <w:rPr>
          <w:rFonts w:ascii="Times New Roman" w:hAnsi="Times New Roman" w:cs="David" w:hint="cs"/>
          <w:sz w:val="24"/>
          <w:szCs w:val="24"/>
          <w:rtl/>
        </w:rPr>
        <w:t>),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המחקר</w:t>
      </w:r>
      <w:r w:rsidRPr="0080796F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cs"/>
          <w:sz w:val="24"/>
          <w:szCs w:val="24"/>
          <w:rtl/>
        </w:rPr>
        <w:t>מ</w:t>
      </w:r>
      <w:r>
        <w:rPr>
          <w:rFonts w:ascii="Times New Roman" w:hAnsi="Times New Roman" w:cs="David" w:hint="cs"/>
          <w:sz w:val="24"/>
          <w:szCs w:val="24"/>
          <w:rtl/>
        </w:rPr>
        <w:t>ציג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היסטוריה משותפת לתחום, תהליכי היבדלות, הביטוס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>
        <w:rPr>
          <w:rFonts w:ascii="Times New Roman" w:hAnsi="Times New Roman" w:cs="David"/>
          <w:sz w:val="24"/>
          <w:szCs w:val="24"/>
        </w:rPr>
        <w:t>h</w:t>
      </w:r>
      <w:r w:rsidRPr="00932614">
        <w:rPr>
          <w:rFonts w:ascii="Times New Roman" w:hAnsi="Times New Roman" w:cs="David"/>
          <w:sz w:val="24"/>
          <w:szCs w:val="24"/>
        </w:rPr>
        <w:t>abitus</w:t>
      </w:r>
      <w:r>
        <w:rPr>
          <w:rFonts w:ascii="Times New Roman" w:hAnsi="Times New Roman" w:cs="David" w:hint="cs"/>
          <w:sz w:val="24"/>
          <w:szCs w:val="24"/>
          <w:rtl/>
        </w:rPr>
        <w:t>)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מקצועי ומאבקי סוכנים</w:t>
      </w:r>
      <w:r>
        <w:rPr>
          <w:rFonts w:ascii="Times New Roman" w:hAnsi="Times New Roman" w:cs="David" w:hint="cs"/>
          <w:sz w:val="24"/>
          <w:szCs w:val="24"/>
          <w:rtl/>
        </w:rPr>
        <w:t xml:space="preserve"> בתחום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על מעמד ועל צבירת הון ס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מבולי (</w:t>
      </w:r>
      <w:r w:rsidRPr="00932614">
        <w:rPr>
          <w:rFonts w:ascii="Times New Roman" w:hAnsi="Times New Roman" w:cs="David"/>
          <w:sz w:val="24"/>
          <w:szCs w:val="24"/>
        </w:rPr>
        <w:t>Bourdieu, 198</w:t>
      </w:r>
      <w:r>
        <w:rPr>
          <w:rFonts w:ascii="Times New Roman" w:hAnsi="Times New Roman" w:cs="David"/>
          <w:sz w:val="24"/>
          <w:szCs w:val="24"/>
        </w:rPr>
        <w:t>8</w:t>
      </w:r>
      <w:r w:rsidRPr="00932614">
        <w:rPr>
          <w:rFonts w:ascii="Times New Roman" w:hAnsi="Times New Roman" w:cs="David" w:hint="cs"/>
          <w:sz w:val="24"/>
          <w:szCs w:val="24"/>
          <w:rtl/>
        </w:rPr>
        <w:t>). מ</w:t>
      </w:r>
      <w:r>
        <w:rPr>
          <w:rFonts w:ascii="Times New Roman" w:hAnsi="Times New Roman" w:cs="David" w:hint="cs"/>
          <w:sz w:val="24"/>
          <w:szCs w:val="24"/>
          <w:rtl/>
        </w:rPr>
        <w:t>ִ</w:t>
      </w:r>
      <w:r w:rsidRPr="00932614">
        <w:rPr>
          <w:rFonts w:ascii="Times New Roman" w:hAnsi="Times New Roman" w:cs="David" w:hint="cs"/>
          <w:sz w:val="24"/>
          <w:szCs w:val="24"/>
          <w:rtl/>
        </w:rPr>
        <w:t>סגו</w:t>
      </w:r>
      <w:r>
        <w:rPr>
          <w:rFonts w:ascii="Times New Roman" w:hAnsi="Times New Roman" w:cs="David" w:hint="cs"/>
          <w:sz w:val="24"/>
          <w:szCs w:val="24"/>
          <w:rtl/>
        </w:rPr>
        <w:t>ּ</w:t>
      </w:r>
      <w:r w:rsidRPr="00932614">
        <w:rPr>
          <w:rFonts w:ascii="Times New Roman" w:hAnsi="Times New Roman" w:cs="David" w:hint="cs"/>
          <w:sz w:val="24"/>
          <w:szCs w:val="24"/>
          <w:rtl/>
        </w:rPr>
        <w:t>ר תאורטי משלים של עבודת גבולות ס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מבוליים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>
        <w:rPr>
          <w:rFonts w:ascii="Times New Roman" w:hAnsi="Times New Roman" w:cs="David"/>
          <w:sz w:val="24"/>
          <w:szCs w:val="24"/>
        </w:rPr>
        <w:t>s</w:t>
      </w:r>
      <w:r w:rsidRPr="00932614">
        <w:rPr>
          <w:rFonts w:ascii="Times New Roman" w:hAnsi="Times New Roman" w:cs="David"/>
          <w:sz w:val="24"/>
          <w:szCs w:val="24"/>
        </w:rPr>
        <w:t xml:space="preserve">ymbolic </w:t>
      </w:r>
      <w:r>
        <w:rPr>
          <w:rFonts w:ascii="Times New Roman" w:hAnsi="Times New Roman" w:cs="David"/>
          <w:sz w:val="24"/>
          <w:szCs w:val="24"/>
        </w:rPr>
        <w:t>b</w:t>
      </w:r>
      <w:r w:rsidRPr="00932614">
        <w:rPr>
          <w:rFonts w:ascii="Times New Roman" w:hAnsi="Times New Roman" w:cs="David"/>
          <w:sz w:val="24"/>
          <w:szCs w:val="24"/>
        </w:rPr>
        <w:t>oundaries</w:t>
      </w:r>
      <w:r>
        <w:rPr>
          <w:rFonts w:ascii="Times New Roman" w:hAnsi="Times New Roman" w:cs="David" w:hint="cs"/>
          <w:sz w:val="24"/>
          <w:szCs w:val="24"/>
          <w:rtl/>
        </w:rPr>
        <w:t>)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מציע במחקר מיפוי נוסף של עמדות ייחוסייות בשדה (</w:t>
      </w:r>
      <w:r w:rsidRPr="00932614">
        <w:rPr>
          <w:rFonts w:ascii="Times New Roman" w:hAnsi="Times New Roman" w:cs="David"/>
          <w:sz w:val="24"/>
          <w:szCs w:val="24"/>
        </w:rPr>
        <w:t xml:space="preserve">Lamont </w:t>
      </w:r>
      <w:r>
        <w:rPr>
          <w:rFonts w:ascii="Times New Roman" w:hAnsi="Times New Roman" w:cs="David"/>
          <w:sz w:val="24"/>
          <w:szCs w:val="24"/>
        </w:rPr>
        <w:t xml:space="preserve">&amp; </w:t>
      </w:r>
      <w:proofErr w:type="spellStart"/>
      <w:r w:rsidRPr="00932614">
        <w:rPr>
          <w:rFonts w:ascii="Times New Roman" w:hAnsi="Times New Roman" w:cs="David"/>
          <w:sz w:val="24"/>
          <w:szCs w:val="24"/>
        </w:rPr>
        <w:t>Moln</w:t>
      </w:r>
      <w:r w:rsidRPr="00932614">
        <w:rPr>
          <w:rFonts w:ascii="Times New Roman" w:hAnsi="Times New Roman" w:cs="Times New Roman"/>
          <w:spacing w:val="-5"/>
          <w:sz w:val="24"/>
          <w:szCs w:val="24"/>
        </w:rPr>
        <w:t>á</w:t>
      </w:r>
      <w:r w:rsidRPr="00932614">
        <w:rPr>
          <w:rFonts w:ascii="Times New Roman" w:hAnsi="Times New Roman" w:cs="David"/>
          <w:sz w:val="24"/>
          <w:szCs w:val="24"/>
        </w:rPr>
        <w:t>r</w:t>
      </w:r>
      <w:proofErr w:type="spellEnd"/>
      <w:r>
        <w:rPr>
          <w:rFonts w:ascii="Times New Roman" w:hAnsi="Times New Roman" w:cs="David"/>
          <w:sz w:val="24"/>
          <w:szCs w:val="24"/>
        </w:rPr>
        <w:t>, 2002</w:t>
      </w:r>
      <w:r w:rsidRPr="00932614">
        <w:rPr>
          <w:rFonts w:ascii="Times New Roman" w:hAnsi="Times New Roman" w:cs="David" w:hint="cs"/>
          <w:sz w:val="24"/>
          <w:szCs w:val="24"/>
          <w:rtl/>
        </w:rPr>
        <w:t>). בהקשר של הבניית ידע פרופסיונלי נעשה שימוש ב</w:t>
      </w:r>
      <w:r>
        <w:rPr>
          <w:rFonts w:ascii="Times New Roman" w:hAnsi="Times New Roman" w:cs="David" w:hint="cs"/>
          <w:sz w:val="24"/>
          <w:szCs w:val="24"/>
          <w:rtl/>
        </w:rPr>
        <w:t>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אוריות ביקורתיות </w:t>
      </w:r>
      <w:r>
        <w:rPr>
          <w:rFonts w:ascii="Times New Roman" w:hAnsi="Times New Roman" w:cs="David" w:hint="cs"/>
          <w:sz w:val="24"/>
          <w:szCs w:val="24"/>
          <w:rtl/>
        </w:rPr>
        <w:t xml:space="preserve">בתחום </w:t>
      </w:r>
      <w:r w:rsidRPr="00932614">
        <w:rPr>
          <w:rFonts w:ascii="Times New Roman" w:hAnsi="Times New Roman" w:cs="David" w:hint="cs"/>
          <w:sz w:val="24"/>
          <w:szCs w:val="24"/>
          <w:rtl/>
        </w:rPr>
        <w:t>הסוציולוגיה של הידע והמדע (דלז וג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 w:hint="cs"/>
          <w:sz w:val="24"/>
          <w:szCs w:val="24"/>
          <w:rtl/>
        </w:rPr>
        <w:t>אטרי,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cs"/>
          <w:sz w:val="24"/>
          <w:szCs w:val="24"/>
          <w:rtl/>
        </w:rPr>
        <w:t>2000</w:t>
      </w:r>
      <w:r>
        <w:rPr>
          <w:rFonts w:ascii="Times New Roman" w:hAnsi="Times New Roman" w:cs="David" w:hint="cs"/>
          <w:sz w:val="24"/>
          <w:szCs w:val="24"/>
          <w:rtl/>
        </w:rPr>
        <w:t xml:space="preserve">; </w:t>
      </w:r>
      <w:proofErr w:type="spellStart"/>
      <w:r w:rsidRPr="00932614">
        <w:rPr>
          <w:rFonts w:ascii="Times New Roman" w:hAnsi="Times New Roman" w:cs="David" w:hint="cs"/>
          <w:sz w:val="24"/>
          <w:szCs w:val="24"/>
          <w:rtl/>
        </w:rPr>
        <w:t>ד</w:t>
      </w:r>
      <w:r>
        <w:rPr>
          <w:rFonts w:ascii="Times New Roman" w:hAnsi="Times New Roman" w:cs="David" w:hint="cs"/>
          <w:sz w:val="24"/>
          <w:szCs w:val="24"/>
          <w:rtl/>
        </w:rPr>
        <w:t>עו</w:t>
      </w:r>
      <w:r w:rsidRPr="00932614">
        <w:rPr>
          <w:rFonts w:ascii="Times New Roman" w:hAnsi="Times New Roman" w:cs="David" w:hint="cs"/>
          <w:sz w:val="24"/>
          <w:szCs w:val="24"/>
          <w:rtl/>
        </w:rPr>
        <w:t>אל</w:t>
      </w:r>
      <w:proofErr w:type="spellEnd"/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ולוסקי, 2001</w:t>
      </w:r>
      <w:r>
        <w:rPr>
          <w:rFonts w:ascii="Times New Roman" w:hAnsi="Times New Roman" w:cs="David" w:hint="cs"/>
          <w:sz w:val="24"/>
          <w:szCs w:val="24"/>
          <w:rtl/>
        </w:rPr>
        <w:t xml:space="preserve">; </w:t>
      </w:r>
      <w:r w:rsidRPr="00932614">
        <w:rPr>
          <w:rFonts w:ascii="Times New Roman" w:hAnsi="Times New Roman" w:cs="David" w:hint="cs"/>
          <w:sz w:val="24"/>
          <w:szCs w:val="24"/>
          <w:rtl/>
        </w:rPr>
        <w:t>ק</w:t>
      </w:r>
      <w:r w:rsidRPr="00932614">
        <w:rPr>
          <w:rFonts w:ascii="Times New Roman" w:hAnsi="Times New Roman" w:cs="David"/>
          <w:sz w:val="24"/>
          <w:szCs w:val="24"/>
          <w:rtl/>
        </w:rPr>
        <w:t>וּ</w:t>
      </w:r>
      <w:r w:rsidRPr="00932614">
        <w:rPr>
          <w:rFonts w:ascii="Times New Roman" w:hAnsi="Times New Roman" w:cs="David" w:hint="cs"/>
          <w:sz w:val="24"/>
          <w:szCs w:val="24"/>
          <w:rtl/>
        </w:rPr>
        <w:t>ן, 2005</w:t>
      </w:r>
      <w:r>
        <w:rPr>
          <w:rFonts w:ascii="Times New Roman" w:hAnsi="Times New Roman" w:cs="David" w:hint="cs"/>
          <w:sz w:val="24"/>
          <w:szCs w:val="24"/>
          <w:rtl/>
        </w:rPr>
        <w:t xml:space="preserve">/1962; </w:t>
      </w:r>
      <w:r>
        <w:rPr>
          <w:rFonts w:ascii="Times New Roman" w:hAnsi="Times New Roman" w:cs="David"/>
          <w:sz w:val="24"/>
          <w:szCs w:val="24"/>
        </w:rPr>
        <w:t>L</w:t>
      </w:r>
      <w:r w:rsidRPr="00932614">
        <w:rPr>
          <w:rFonts w:ascii="Times New Roman" w:hAnsi="Times New Roman" w:cs="David"/>
          <w:sz w:val="24"/>
          <w:szCs w:val="24"/>
        </w:rPr>
        <w:t xml:space="preserve">atour </w:t>
      </w:r>
      <w:r>
        <w:rPr>
          <w:rFonts w:ascii="Times New Roman" w:hAnsi="Times New Roman" w:cs="David"/>
          <w:sz w:val="24"/>
          <w:szCs w:val="24"/>
        </w:rPr>
        <w:t>&amp;</w:t>
      </w:r>
      <w:r w:rsidRPr="00932614">
        <w:rPr>
          <w:rFonts w:ascii="Times New Roman" w:hAnsi="Times New Roman" w:cs="David"/>
          <w:sz w:val="24"/>
          <w:szCs w:val="24"/>
        </w:rPr>
        <w:t xml:space="preserve"> Woolgar, 1979</w:t>
      </w:r>
      <w:r>
        <w:rPr>
          <w:rFonts w:ascii="Times New Roman" w:hAnsi="Times New Roman" w:cs="David" w:hint="cs"/>
          <w:sz w:val="24"/>
          <w:szCs w:val="24"/>
          <w:rtl/>
        </w:rPr>
        <w:t>),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ובהקשר של הבניית זהות מקצועית נעשה שימוש בגישה התופסת את הקונפליקט ככלי לחקר זהויות אישיות, חברתיות ומקצועיות (אריקסון, 1979</w:t>
      </w:r>
      <w:r>
        <w:rPr>
          <w:rFonts w:ascii="Times New Roman" w:hAnsi="Times New Roman" w:cs="David" w:hint="cs"/>
          <w:sz w:val="24"/>
          <w:szCs w:val="24"/>
          <w:rtl/>
        </w:rPr>
        <w:t xml:space="preserve">; </w:t>
      </w:r>
      <w:r w:rsidRPr="00932614">
        <w:rPr>
          <w:rFonts w:ascii="Times New Roman" w:hAnsi="Times New Roman" w:cs="David" w:hint="cs"/>
          <w:sz w:val="24"/>
          <w:szCs w:val="24"/>
          <w:rtl/>
        </w:rPr>
        <w:t>דר, 2012</w:t>
      </w:r>
      <w:r>
        <w:rPr>
          <w:rFonts w:ascii="Times New Roman" w:hAnsi="Times New Roman" w:cs="David" w:hint="cs"/>
          <w:sz w:val="24"/>
          <w:szCs w:val="24"/>
          <w:rtl/>
        </w:rPr>
        <w:t>;</w:t>
      </w:r>
      <w:r>
        <w:rPr>
          <w:rFonts w:ascii="Times New Roman" w:hAnsi="Times New Roman" w:cs="David"/>
          <w:sz w:val="24"/>
          <w:szCs w:val="24"/>
        </w:rPr>
        <w:t xml:space="preserve">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ויניקוט, </w:t>
      </w:r>
      <w:r>
        <w:rPr>
          <w:rFonts w:ascii="Times New Roman" w:hAnsi="Times New Roman" w:cs="David" w:hint="cs"/>
          <w:sz w:val="24"/>
          <w:szCs w:val="24"/>
          <w:rtl/>
        </w:rPr>
        <w:t xml:space="preserve">1995; </w:t>
      </w:r>
      <w:r w:rsidRPr="00932614">
        <w:rPr>
          <w:rFonts w:ascii="Times New Roman" w:hAnsi="Times New Roman" w:cs="David" w:hint="cs"/>
          <w:sz w:val="24"/>
          <w:szCs w:val="24"/>
          <w:rtl/>
        </w:rPr>
        <w:t>כהנא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ורפופורט</w:t>
      </w:r>
      <w:proofErr w:type="spellEnd"/>
      <w:r w:rsidRPr="00932614">
        <w:rPr>
          <w:rFonts w:ascii="Times New Roman" w:hAnsi="Times New Roman" w:cs="David" w:hint="cs"/>
          <w:sz w:val="24"/>
          <w:szCs w:val="24"/>
          <w:rtl/>
        </w:rPr>
        <w:t>, 2007</w:t>
      </w:r>
      <w:r>
        <w:rPr>
          <w:rFonts w:ascii="Times New Roman" w:hAnsi="Times New Roman" w:cs="David" w:hint="cs"/>
          <w:sz w:val="24"/>
          <w:szCs w:val="24"/>
          <w:rtl/>
        </w:rPr>
        <w:t xml:space="preserve">;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פרויד, </w:t>
      </w:r>
      <w:r>
        <w:rPr>
          <w:rFonts w:ascii="Times New Roman" w:hAnsi="Times New Roman" w:cs="David" w:hint="cs"/>
          <w:sz w:val="24"/>
          <w:szCs w:val="24"/>
          <w:rtl/>
        </w:rPr>
        <w:t>2003/</w:t>
      </w:r>
      <w:r w:rsidRPr="00932614">
        <w:rPr>
          <w:rFonts w:ascii="Times New Roman" w:hAnsi="Times New Roman" w:cs="David" w:hint="cs"/>
          <w:sz w:val="24"/>
          <w:szCs w:val="24"/>
          <w:rtl/>
        </w:rPr>
        <w:t>1909</w:t>
      </w:r>
      <w:r>
        <w:rPr>
          <w:rFonts w:ascii="Times New Roman" w:hAnsi="Times New Roman" w:cs="David" w:hint="cs"/>
          <w:sz w:val="24"/>
          <w:szCs w:val="24"/>
          <w:rtl/>
        </w:rPr>
        <w:t xml:space="preserve">;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שץ-אופנהיימר 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 w:hint="cs"/>
          <w:sz w:val="24"/>
          <w:szCs w:val="24"/>
          <w:rtl/>
        </w:rPr>
        <w:t>דביר, 2010</w:t>
      </w:r>
      <w:r>
        <w:rPr>
          <w:rFonts w:ascii="Times New Roman" w:hAnsi="Times New Roman" w:cs="David" w:hint="cs"/>
          <w:sz w:val="24"/>
          <w:szCs w:val="24"/>
          <w:rtl/>
        </w:rPr>
        <w:t>;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/>
          <w:sz w:val="24"/>
          <w:szCs w:val="24"/>
        </w:rPr>
        <w:t>Bucher et al.,</w:t>
      </w:r>
      <w:r>
        <w:rPr>
          <w:rFonts w:ascii="Times New Roman" w:hAnsi="Times New Roman" w:cs="David"/>
          <w:sz w:val="24"/>
          <w:szCs w:val="24"/>
        </w:rPr>
        <w:t xml:space="preserve"> 2016</w:t>
      </w:r>
      <w:r>
        <w:rPr>
          <w:rFonts w:ascii="Times New Roman" w:hAnsi="Times New Roman" w:cs="David" w:hint="cs"/>
          <w:sz w:val="24"/>
          <w:szCs w:val="24"/>
          <w:rtl/>
        </w:rPr>
        <w:t>)</w:t>
      </w:r>
      <w:r w:rsidRPr="00932614">
        <w:rPr>
          <w:rFonts w:ascii="Times New Roman" w:hAnsi="Times New Roman" w:cs="David" w:hint="cs"/>
          <w:sz w:val="24"/>
          <w:szCs w:val="24"/>
          <w:rtl/>
        </w:rPr>
        <w:t>.</w:t>
      </w:r>
    </w:p>
    <w:p w14:paraId="4137CFF2" w14:textId="77777777" w:rsidR="008255C0" w:rsidRPr="00932614" w:rsidRDefault="008255C0" w:rsidP="008255C0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932614">
        <w:rPr>
          <w:rFonts w:ascii="Times New Roman" w:hAnsi="Times New Roman" w:cs="David"/>
          <w:b/>
          <w:bCs/>
          <w:sz w:val="24"/>
          <w:szCs w:val="24"/>
          <w:rtl/>
        </w:rPr>
        <w:t>שאלות המחקר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cs"/>
          <w:sz w:val="24"/>
          <w:szCs w:val="24"/>
          <w:rtl/>
        </w:rPr>
        <w:t>ביקשו לבחון</w:t>
      </w:r>
      <w:r>
        <w:rPr>
          <w:rFonts w:ascii="Times New Roman" w:hAnsi="Times New Roman" w:cs="David" w:hint="cs"/>
          <w:sz w:val="24"/>
          <w:szCs w:val="24"/>
          <w:rtl/>
        </w:rPr>
        <w:t xml:space="preserve"> כמה נושאים: מה הם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המאפיינים המבניים של שדה הת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אטרון הקהילתי בישראל (</w:t>
      </w:r>
      <w:r w:rsidRPr="00932614">
        <w:rPr>
          <w:rFonts w:ascii="Times New Roman" w:hAnsi="Times New Roman" w:cs="David"/>
          <w:sz w:val="24"/>
          <w:szCs w:val="24"/>
          <w:rtl/>
        </w:rPr>
        <w:t>שחקנים מרכזיים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, </w:t>
      </w:r>
      <w:r w:rsidRPr="00932614">
        <w:rPr>
          <w:rFonts w:ascii="Times New Roman" w:hAnsi="Times New Roman" w:cs="David"/>
          <w:sz w:val="24"/>
          <w:szCs w:val="24"/>
          <w:rtl/>
        </w:rPr>
        <w:t>משאבים מועדפים</w:t>
      </w:r>
      <w:r w:rsidRPr="00932614">
        <w:rPr>
          <w:rFonts w:ascii="Times New Roman" w:hAnsi="Times New Roman" w:cs="David" w:hint="cs"/>
          <w:sz w:val="24"/>
          <w:szCs w:val="24"/>
          <w:rtl/>
        </w:rPr>
        <w:t>,</w:t>
      </w:r>
      <w:r w:rsidRPr="00932614">
        <w:rPr>
          <w:rFonts w:ascii="Times New Roman" w:hAnsi="Times New Roman" w:cs="David"/>
          <w:sz w:val="24"/>
          <w:szCs w:val="24"/>
          <w:rtl/>
        </w:rPr>
        <w:t> היררכיות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, מאבקים, הרגלים מתגמלים, </w:t>
      </w:r>
      <w:r w:rsidRPr="00932614">
        <w:rPr>
          <w:rFonts w:ascii="Times New Roman" w:hAnsi="Times New Roman" w:cs="David"/>
          <w:sz w:val="24"/>
          <w:szCs w:val="24"/>
          <w:rtl/>
        </w:rPr>
        <w:t>מוסדות ה</w:t>
      </w:r>
      <w:r w:rsidRPr="00932614">
        <w:rPr>
          <w:rFonts w:ascii="Times New Roman" w:hAnsi="Times New Roman" w:cs="David" w:hint="cs"/>
          <w:sz w:val="24"/>
          <w:szCs w:val="24"/>
          <w:rtl/>
        </w:rPr>
        <w:t>כשרה,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אגודות</w:t>
      </w:r>
      <w:r w:rsidRPr="00932614">
        <w:rPr>
          <w:rFonts w:ascii="Times New Roman" w:hAnsi="Times New Roman" w:cs="David" w:hint="cs"/>
          <w:sz w:val="24"/>
          <w:szCs w:val="24"/>
          <w:rtl/>
        </w:rPr>
        <w:t>,</w:t>
      </w:r>
      <w:r w:rsidRPr="00932614">
        <w:rPr>
          <w:rFonts w:ascii="Times New Roman" w:hAnsi="Times New Roman" w:cs="David"/>
          <w:sz w:val="24"/>
          <w:szCs w:val="24"/>
          <w:rtl/>
        </w:rPr>
        <w:t> כינוסים</w:t>
      </w:r>
      <w:r>
        <w:rPr>
          <w:rFonts w:ascii="Times New Roman" w:hAnsi="Times New Roman" w:cs="David" w:hint="cs"/>
          <w:sz w:val="24"/>
          <w:szCs w:val="24"/>
          <w:rtl/>
        </w:rPr>
        <w:t xml:space="preserve">, </w:t>
      </w:r>
      <w:r w:rsidRPr="00932614">
        <w:rPr>
          <w:rFonts w:ascii="Times New Roman" w:hAnsi="Times New Roman" w:cs="David" w:hint="cs"/>
          <w:sz w:val="24"/>
          <w:szCs w:val="24"/>
          <w:rtl/>
        </w:rPr>
        <w:t>יצרני משמעות)</w:t>
      </w:r>
      <w:r>
        <w:rPr>
          <w:rFonts w:ascii="Times New Roman" w:hAnsi="Times New Roman" w:cs="David" w:hint="cs"/>
          <w:sz w:val="24"/>
          <w:szCs w:val="24"/>
          <w:rtl/>
        </w:rPr>
        <w:t>.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מ</w:t>
      </w:r>
      <w:r>
        <w:rPr>
          <w:rFonts w:ascii="Times New Roman" w:hAnsi="Times New Roman" w:cs="David" w:hint="cs"/>
          <w:sz w:val="24"/>
          <w:szCs w:val="24"/>
          <w:rtl/>
        </w:rPr>
        <w:t xml:space="preserve">ה </w:t>
      </w:r>
      <w:r w:rsidRPr="00932614">
        <w:rPr>
          <w:rFonts w:ascii="Times New Roman" w:hAnsi="Times New Roman" w:cs="David" w:hint="cs"/>
          <w:sz w:val="24"/>
          <w:szCs w:val="24"/>
          <w:rtl/>
        </w:rPr>
        <w:t>הם אופני הבניית הידע של התחום</w:t>
      </w:r>
      <w:r>
        <w:rPr>
          <w:rFonts w:ascii="Times New Roman" w:hAnsi="Times New Roman" w:cs="David" w:hint="cs"/>
          <w:sz w:val="24"/>
          <w:szCs w:val="24"/>
          <w:rtl/>
        </w:rPr>
        <w:t>,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וכיצד הוא מפרש את הק</w:t>
      </w:r>
      <w:r>
        <w:rPr>
          <w:rFonts w:ascii="Times New Roman" w:hAnsi="Times New Roman" w:cs="David" w:hint="cs"/>
          <w:sz w:val="24"/>
          <w:szCs w:val="24"/>
          <w:rtl/>
        </w:rPr>
        <w:t>ֶ</w:t>
      </w:r>
      <w:r w:rsidRPr="00932614">
        <w:rPr>
          <w:rFonts w:ascii="Times New Roman" w:hAnsi="Times New Roman" w:cs="David" w:hint="cs"/>
          <w:sz w:val="24"/>
          <w:szCs w:val="24"/>
          <w:rtl/>
        </w:rPr>
        <w:t>שר בין א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מנות</w:t>
      </w:r>
      <w:r>
        <w:rPr>
          <w:rFonts w:ascii="Times New Roman" w:hAnsi="Times New Roman" w:cs="David" w:hint="cs"/>
          <w:sz w:val="24"/>
          <w:szCs w:val="24"/>
          <w:rtl/>
        </w:rPr>
        <w:t>,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אקטיביזם ומקצועיות? מה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סוג האתגרים והא</w:t>
      </w:r>
      <w:r>
        <w:rPr>
          <w:rFonts w:ascii="Times New Roman" w:hAnsi="Times New Roman" w:cs="David" w:hint="cs"/>
          <w:sz w:val="24"/>
          <w:szCs w:val="24"/>
          <w:rtl/>
        </w:rPr>
        <w:t>ִ</w:t>
      </w:r>
      <w:r w:rsidRPr="00932614">
        <w:rPr>
          <w:rFonts w:ascii="Times New Roman" w:hAnsi="Times New Roman" w:cs="David" w:hint="cs"/>
          <w:sz w:val="24"/>
          <w:szCs w:val="24"/>
          <w:rtl/>
        </w:rPr>
        <w:t>יו</w:t>
      </w:r>
      <w:r>
        <w:rPr>
          <w:rFonts w:ascii="Times New Roman" w:hAnsi="Times New Roman" w:cs="David" w:hint="cs"/>
          <w:sz w:val="24"/>
          <w:szCs w:val="24"/>
          <w:rtl/>
        </w:rPr>
        <w:t>ּ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מים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 w:rsidRPr="00932614">
        <w:rPr>
          <w:rFonts w:ascii="Times New Roman" w:hAnsi="Times New Roman" w:cs="David" w:hint="cs"/>
          <w:sz w:val="24"/>
          <w:szCs w:val="24"/>
          <w:rtl/>
        </w:rPr>
        <w:t>הפנימיים והחיצוניים</w:t>
      </w:r>
      <w:r>
        <w:rPr>
          <w:rFonts w:ascii="Times New Roman" w:hAnsi="Times New Roman" w:cs="David" w:hint="cs"/>
          <w:sz w:val="24"/>
          <w:szCs w:val="24"/>
          <w:rtl/>
        </w:rPr>
        <w:t>)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על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הזהות המקצועית של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cs"/>
          <w:sz w:val="24"/>
          <w:szCs w:val="24"/>
          <w:rtl/>
        </w:rPr>
        <w:t>הסוכנים</w:t>
      </w:r>
      <w:r>
        <w:rPr>
          <w:rFonts w:ascii="Times New Roman" w:hAnsi="Times New Roman" w:cs="David" w:hint="cs"/>
          <w:sz w:val="24"/>
          <w:szCs w:val="24"/>
          <w:rtl/>
        </w:rPr>
        <w:t>,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וכיצד הם מתגוננים מפניה</w:t>
      </w:r>
      <w:r>
        <w:rPr>
          <w:rFonts w:ascii="Times New Roman" w:hAnsi="Times New Roman" w:cs="David" w:hint="cs"/>
          <w:sz w:val="24"/>
          <w:szCs w:val="24"/>
          <w:rtl/>
        </w:rPr>
        <w:t>ם</w:t>
      </w:r>
      <w:r w:rsidRPr="00932614">
        <w:rPr>
          <w:rFonts w:ascii="Times New Roman" w:hAnsi="Times New Roman" w:cs="David" w:hint="cs"/>
          <w:sz w:val="24"/>
          <w:szCs w:val="24"/>
          <w:rtl/>
        </w:rPr>
        <w:t>? כיצד מתמקמים סוכנים בשדה</w:t>
      </w:r>
      <w:r>
        <w:rPr>
          <w:rFonts w:ascii="Times New Roman" w:hAnsi="Times New Roman" w:cs="David" w:hint="cs"/>
          <w:sz w:val="24"/>
          <w:szCs w:val="24"/>
          <w:rtl/>
        </w:rPr>
        <w:t>,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וכיצד הם משפרים בתוכו את מעמדם? כיצד </w:t>
      </w:r>
      <w:r>
        <w:rPr>
          <w:rFonts w:ascii="Times New Roman" w:hAnsi="Times New Roman" w:cs="David" w:hint="cs"/>
          <w:sz w:val="24"/>
          <w:szCs w:val="24"/>
          <w:rtl/>
        </w:rPr>
        <w:t xml:space="preserve">הסוכנים 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משפיעים על תפיסת</w:t>
      </w:r>
      <w:r>
        <w:rPr>
          <w:rFonts w:ascii="Times New Roman" w:hAnsi="Times New Roman" w:cs="David" w:hint="cs"/>
          <w:sz w:val="24"/>
          <w:szCs w:val="24"/>
          <w:rtl/>
        </w:rPr>
        <w:t>ם של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במא</w:t>
      </w:r>
      <w:r>
        <w:rPr>
          <w:rFonts w:ascii="Times New Roman" w:hAnsi="Times New Roman" w:cs="David" w:hint="cs"/>
          <w:sz w:val="24"/>
          <w:szCs w:val="24"/>
          <w:rtl/>
        </w:rPr>
        <w:t>ֵ</w:t>
      </w:r>
      <w:r w:rsidRPr="00932614">
        <w:rPr>
          <w:rFonts w:ascii="Times New Roman" w:hAnsi="Times New Roman" w:cs="David" w:hint="cs"/>
          <w:sz w:val="24"/>
          <w:szCs w:val="24"/>
          <w:rtl/>
        </w:rPr>
        <w:t>י ת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אטרון קהילתי בישראל את זהותם המקצועית? 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מה אפשר ללמוד מכל אלה על הק</w:t>
      </w:r>
      <w:r>
        <w:rPr>
          <w:rFonts w:ascii="Times New Roman" w:hAnsi="Times New Roman" w:cs="David" w:hint="cs"/>
          <w:sz w:val="24"/>
          <w:szCs w:val="24"/>
          <w:rtl/>
        </w:rPr>
        <w:t>ֶ</w:t>
      </w:r>
      <w:r w:rsidRPr="00932614">
        <w:rPr>
          <w:rFonts w:ascii="Times New Roman" w:hAnsi="Times New Roman" w:cs="David" w:hint="cs"/>
          <w:sz w:val="24"/>
          <w:szCs w:val="24"/>
          <w:rtl/>
        </w:rPr>
        <w:t>שר בין אקטיביזם לבין הבניה ממוסדת של ידע מקצועי וזהות פרופסיונלית</w:t>
      </w:r>
      <w:r>
        <w:rPr>
          <w:rFonts w:ascii="Times New Roman" w:hAnsi="Times New Roman" w:cs="David" w:hint="cs"/>
          <w:sz w:val="24"/>
          <w:szCs w:val="24"/>
          <w:rtl/>
        </w:rPr>
        <w:t>?</w:t>
      </w:r>
    </w:p>
    <w:p w14:paraId="1531575A" w14:textId="77777777" w:rsidR="008255C0" w:rsidRPr="00932614" w:rsidRDefault="008255C0" w:rsidP="008255C0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932614">
        <w:rPr>
          <w:rFonts w:ascii="Times New Roman" w:hAnsi="Times New Roman" w:cs="David" w:hint="cs"/>
          <w:b/>
          <w:bCs/>
          <w:sz w:val="24"/>
          <w:szCs w:val="24"/>
          <w:rtl/>
        </w:rPr>
        <w:lastRenderedPageBreak/>
        <w:t>שיטת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המחקר </w:t>
      </w:r>
      <w:r>
        <w:rPr>
          <w:rFonts w:ascii="Times New Roman" w:hAnsi="Times New Roman" w:cs="David" w:hint="cs"/>
          <w:sz w:val="24"/>
          <w:szCs w:val="24"/>
          <w:rtl/>
        </w:rPr>
        <w:t>התבססה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על מחקר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נרטיבי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>
        <w:rPr>
          <w:rFonts w:ascii="Times New Roman" w:hAnsi="Times New Roman" w:cs="David"/>
          <w:sz w:val="24"/>
          <w:szCs w:val="24"/>
        </w:rPr>
        <w:t>n</w:t>
      </w:r>
      <w:r w:rsidRPr="00932614">
        <w:rPr>
          <w:rFonts w:ascii="Times New Roman" w:hAnsi="Times New Roman" w:cs="David"/>
          <w:sz w:val="24"/>
          <w:szCs w:val="24"/>
        </w:rPr>
        <w:t>arrative inquiry</w:t>
      </w:r>
      <w:r>
        <w:rPr>
          <w:rFonts w:ascii="Times New Roman" w:hAnsi="Times New Roman" w:cs="David" w:hint="cs"/>
          <w:sz w:val="24"/>
          <w:szCs w:val="24"/>
          <w:rtl/>
        </w:rPr>
        <w:t>), גישה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מזוהה עם מסורת המחקר האיכותנית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>
        <w:rPr>
          <w:rFonts w:ascii="Times New Roman" w:hAnsi="Times New Roman" w:cs="David"/>
          <w:sz w:val="24"/>
          <w:szCs w:val="24"/>
        </w:rPr>
        <w:t>q</w:t>
      </w:r>
      <w:r w:rsidRPr="00932614">
        <w:rPr>
          <w:rFonts w:ascii="Times New Roman" w:hAnsi="Times New Roman" w:cs="David"/>
          <w:sz w:val="24"/>
          <w:szCs w:val="24"/>
        </w:rPr>
        <w:t xml:space="preserve">ualitive </w:t>
      </w:r>
      <w:r>
        <w:rPr>
          <w:rFonts w:ascii="Times New Roman" w:hAnsi="Times New Roman" w:cs="David"/>
          <w:sz w:val="24"/>
          <w:szCs w:val="24"/>
        </w:rPr>
        <w:t>r</w:t>
      </w:r>
      <w:r w:rsidRPr="00932614">
        <w:rPr>
          <w:rFonts w:ascii="Times New Roman" w:hAnsi="Times New Roman" w:cs="David"/>
          <w:sz w:val="24"/>
          <w:szCs w:val="24"/>
        </w:rPr>
        <w:t>esearch</w:t>
      </w:r>
      <w:r>
        <w:rPr>
          <w:rFonts w:ascii="Times New Roman" w:hAnsi="Times New Roman" w:cs="David" w:hint="cs"/>
          <w:sz w:val="24"/>
          <w:szCs w:val="24"/>
          <w:rtl/>
        </w:rPr>
        <w:t>)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(שלסקי </w:t>
      </w:r>
      <w:proofErr w:type="spellStart"/>
      <w:r w:rsidRPr="00932614">
        <w:rPr>
          <w:rFonts w:ascii="Times New Roman" w:hAnsi="Times New Roman" w:cs="David" w:hint="cs"/>
          <w:sz w:val="24"/>
          <w:szCs w:val="24"/>
          <w:rtl/>
        </w:rPr>
        <w:t>ואלפרט</w:t>
      </w:r>
      <w:proofErr w:type="spellEnd"/>
      <w:r w:rsidRPr="00932614">
        <w:rPr>
          <w:rFonts w:ascii="Times New Roman" w:hAnsi="Times New Roman" w:cs="David" w:hint="cs"/>
          <w:sz w:val="24"/>
          <w:szCs w:val="24"/>
          <w:rtl/>
        </w:rPr>
        <w:t>, 2007</w:t>
      </w:r>
      <w:r>
        <w:rPr>
          <w:rFonts w:ascii="Times New Roman" w:hAnsi="Times New Roman" w:cs="David" w:hint="cs"/>
          <w:sz w:val="24"/>
          <w:szCs w:val="24"/>
          <w:rtl/>
        </w:rPr>
        <w:t xml:space="preserve">;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תובל-משיח </w:t>
      </w:r>
      <w:proofErr w:type="spellStart"/>
      <w:r w:rsidRPr="00932614">
        <w:rPr>
          <w:rFonts w:ascii="Times New Roman" w:hAnsi="Times New Roman" w:cs="David" w:hint="cs"/>
          <w:sz w:val="24"/>
          <w:szCs w:val="24"/>
          <w:rtl/>
        </w:rPr>
        <w:t>וספקטור</w:t>
      </w:r>
      <w:proofErr w:type="spellEnd"/>
      <w:r w:rsidRPr="00932614">
        <w:rPr>
          <w:rFonts w:ascii="Times New Roman" w:hAnsi="Times New Roman" w:cs="David" w:hint="cs"/>
          <w:sz w:val="24"/>
          <w:szCs w:val="24"/>
          <w:rtl/>
        </w:rPr>
        <w:t>-מרזל, 2010</w:t>
      </w:r>
      <w:r w:rsidRPr="00932614">
        <w:rPr>
          <w:rFonts w:ascii="Times New Roman" w:hAnsi="Times New Roman" w:cs="David"/>
          <w:sz w:val="24"/>
          <w:szCs w:val="24"/>
        </w:rPr>
        <w:t>(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>
        <w:rPr>
          <w:rFonts w:ascii="Times New Roman" w:hAnsi="Times New Roman" w:cs="David" w:hint="cs"/>
          <w:sz w:val="24"/>
          <w:szCs w:val="24"/>
          <w:rtl/>
        </w:rPr>
        <w:t>בהתאם לכך נבחן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קורפוס משולב של נרטיבים ראשוניים </w:t>
      </w:r>
      <w:r>
        <w:rPr>
          <w:rFonts w:ascii="Times New Roman" w:hAnsi="Times New Roman" w:cs="David" w:hint="cs"/>
          <w:sz w:val="24"/>
          <w:szCs w:val="24"/>
          <w:rtl/>
        </w:rPr>
        <w:t xml:space="preserve">אשר </w:t>
      </w:r>
      <w:r w:rsidRPr="00932614">
        <w:rPr>
          <w:rFonts w:ascii="Times New Roman" w:hAnsi="Times New Roman" w:cs="David" w:hint="cs"/>
          <w:sz w:val="24"/>
          <w:szCs w:val="24"/>
          <w:rtl/>
        </w:rPr>
        <w:t>כלל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16 ראיונות עומק חצי מוב</w:t>
      </w:r>
      <w:r>
        <w:rPr>
          <w:rFonts w:ascii="Times New Roman" w:hAnsi="Times New Roman" w:cs="David" w:hint="cs"/>
          <w:sz w:val="24"/>
          <w:szCs w:val="24"/>
          <w:rtl/>
        </w:rPr>
        <w:t>ְ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נים </w:t>
      </w:r>
      <w:r>
        <w:rPr>
          <w:rFonts w:ascii="Times New Roman" w:hAnsi="Times New Roman" w:cs="David" w:hint="cs"/>
          <w:sz w:val="24"/>
          <w:szCs w:val="24"/>
          <w:rtl/>
        </w:rPr>
        <w:t>עם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אנשי מקצוע, ו</w:t>
      </w:r>
      <w:r>
        <w:rPr>
          <w:rFonts w:ascii="Times New Roman" w:hAnsi="Times New Roman" w:cs="David" w:hint="cs"/>
          <w:sz w:val="24"/>
          <w:szCs w:val="24"/>
          <w:rtl/>
        </w:rPr>
        <w:t xml:space="preserve">אלה </w:t>
      </w:r>
      <w:r w:rsidRPr="00932614">
        <w:rPr>
          <w:rFonts w:ascii="Times New Roman" w:hAnsi="Times New Roman" w:cs="David" w:hint="cs"/>
          <w:sz w:val="24"/>
          <w:szCs w:val="24"/>
          <w:rtl/>
        </w:rPr>
        <w:t>עומת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עם נרטיבים משניים </w:t>
      </w:r>
      <w:r>
        <w:rPr>
          <w:rFonts w:ascii="Times New Roman" w:hAnsi="Times New Roman" w:cs="David" w:hint="cs"/>
          <w:sz w:val="24"/>
          <w:szCs w:val="24"/>
          <w:rtl/>
        </w:rPr>
        <w:t>ש</w:t>
      </w:r>
      <w:r w:rsidRPr="00932614">
        <w:rPr>
          <w:rFonts w:ascii="Times New Roman" w:hAnsi="Times New Roman" w:cs="David" w:hint="cs"/>
          <w:sz w:val="24"/>
          <w:szCs w:val="24"/>
          <w:rtl/>
        </w:rPr>
        <w:t>כ</w:t>
      </w:r>
      <w:r>
        <w:rPr>
          <w:rFonts w:ascii="Times New Roman" w:hAnsi="Times New Roman" w:cs="David" w:hint="cs"/>
          <w:sz w:val="24"/>
          <w:szCs w:val="24"/>
          <w:rtl/>
        </w:rPr>
        <w:t>ָּ</w:t>
      </w:r>
      <w:r w:rsidRPr="00932614">
        <w:rPr>
          <w:rFonts w:ascii="Times New Roman" w:hAnsi="Times New Roman" w:cs="David" w:hint="cs"/>
          <w:sz w:val="24"/>
          <w:szCs w:val="24"/>
          <w:rtl/>
        </w:rPr>
        <w:t>לל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מסמכים מהשיח ה"רשמי" שנקשר בהבניית הת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אטרון הקהילתי ובהתמסדותו (שקדי, 2010</w:t>
      </w:r>
      <w:r>
        <w:rPr>
          <w:rFonts w:ascii="Times New Roman" w:hAnsi="Times New Roman" w:cs="David" w:hint="cs"/>
          <w:sz w:val="24"/>
          <w:szCs w:val="24"/>
          <w:rtl/>
        </w:rPr>
        <w:t>, עמ' 349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). ממצאי המחקר נבחנו לפי עקרונות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ניתוח של </w:t>
      </w:r>
      <w:r w:rsidRPr="00932614">
        <w:rPr>
          <w:rFonts w:ascii="Times New Roman" w:hAnsi="Times New Roman" w:cs="David" w:hint="cs"/>
          <w:sz w:val="24"/>
          <w:szCs w:val="24"/>
          <w:rtl/>
        </w:rPr>
        <w:t>"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תאוריה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מעוגנת </w:t>
      </w:r>
      <w:r>
        <w:rPr>
          <w:rFonts w:ascii="Times New Roman" w:hAnsi="Times New Roman" w:cs="David" w:hint="cs"/>
          <w:sz w:val="24"/>
          <w:szCs w:val="24"/>
          <w:rtl/>
        </w:rPr>
        <w:t>ב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נרטיבים" (שם), ענף </w:t>
      </w:r>
      <w:r>
        <w:rPr>
          <w:rFonts w:ascii="Times New Roman" w:hAnsi="Times New Roman" w:cs="David" w:hint="cs"/>
          <w:sz w:val="24"/>
          <w:szCs w:val="24"/>
          <w:rtl/>
        </w:rPr>
        <w:t xml:space="preserve">של </w:t>
      </w:r>
      <w:r w:rsidRPr="00932614">
        <w:rPr>
          <w:rFonts w:ascii="Times New Roman" w:hAnsi="Times New Roman" w:cs="David" w:hint="cs"/>
          <w:sz w:val="24"/>
          <w:szCs w:val="24"/>
          <w:rtl/>
        </w:rPr>
        <w:t>מ</w:t>
      </w:r>
      <w:r>
        <w:rPr>
          <w:rFonts w:ascii="Times New Roman" w:hAnsi="Times New Roman" w:cs="David" w:hint="cs"/>
          <w:sz w:val="24"/>
          <w:szCs w:val="24"/>
          <w:rtl/>
        </w:rPr>
        <w:t>תודולוגיית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המחקר </w:t>
      </w:r>
      <w:r>
        <w:rPr>
          <w:rFonts w:ascii="Times New Roman" w:hAnsi="Times New Roman" w:cs="David" w:hint="cs"/>
          <w:sz w:val="24"/>
          <w:szCs w:val="24"/>
          <w:rtl/>
        </w:rPr>
        <w:t>"</w:t>
      </w:r>
      <w:r w:rsidRPr="00932614">
        <w:rPr>
          <w:rFonts w:ascii="Times New Roman" w:hAnsi="Times New Roman" w:cs="David" w:hint="cs"/>
          <w:sz w:val="24"/>
          <w:szCs w:val="24"/>
          <w:rtl/>
        </w:rPr>
        <w:t>תאוריה המעוגנת בשדה</w:t>
      </w:r>
      <w:r>
        <w:rPr>
          <w:rFonts w:ascii="Times New Roman" w:hAnsi="Times New Roman" w:cs="David" w:hint="cs"/>
          <w:sz w:val="24"/>
          <w:szCs w:val="24"/>
          <w:rtl/>
        </w:rPr>
        <w:t>"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 w:rsidRPr="00932614">
        <w:rPr>
          <w:rFonts w:ascii="Times New Roman" w:hAnsi="Times New Roman" w:cs="David"/>
          <w:sz w:val="24"/>
          <w:szCs w:val="24"/>
        </w:rPr>
        <w:t>grounded theory</w:t>
      </w:r>
      <w:r>
        <w:rPr>
          <w:rFonts w:ascii="Times New Roman" w:hAnsi="Times New Roman" w:cs="David" w:hint="cs"/>
          <w:sz w:val="24"/>
          <w:szCs w:val="24"/>
          <w:rtl/>
        </w:rPr>
        <w:t>)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(</w:t>
      </w:r>
      <w:proofErr w:type="spellStart"/>
      <w:r w:rsidRPr="00932614">
        <w:rPr>
          <w:rFonts w:ascii="Times New Roman" w:hAnsi="Times New Roman" w:cs="David" w:hint="cs"/>
          <w:sz w:val="24"/>
          <w:szCs w:val="24"/>
          <w:rtl/>
        </w:rPr>
        <w:t>גבתון</w:t>
      </w:r>
      <w:proofErr w:type="spellEnd"/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, 2001). ברוח עקרונות אלה </w:t>
      </w:r>
      <w:r>
        <w:rPr>
          <w:rFonts w:ascii="Times New Roman" w:hAnsi="Times New Roman" w:cs="David" w:hint="cs"/>
          <w:sz w:val="24"/>
          <w:szCs w:val="24"/>
          <w:rtl/>
        </w:rPr>
        <w:t>נערכו ב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נרטיבים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32614">
        <w:rPr>
          <w:rFonts w:ascii="Times New Roman" w:hAnsi="Times New Roman" w:cs="David" w:hint="cs"/>
          <w:sz w:val="24"/>
          <w:szCs w:val="24"/>
          <w:rtl/>
        </w:rPr>
        <w:t>ראשונ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ים ו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משניים תהליכים ספירליים של פ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רוק, מי</w:t>
      </w:r>
      <w:r w:rsidRPr="00932614">
        <w:rPr>
          <w:rFonts w:ascii="Times New Roman" w:hAnsi="Times New Roman" w:cs="David"/>
          <w:sz w:val="24"/>
          <w:szCs w:val="24"/>
          <w:rtl/>
        </w:rPr>
        <w:t>וּ</w:t>
      </w:r>
      <w:r w:rsidRPr="00932614">
        <w:rPr>
          <w:rFonts w:ascii="Times New Roman" w:hAnsi="Times New Roman" w:cs="David" w:hint="cs"/>
          <w:sz w:val="24"/>
          <w:szCs w:val="24"/>
          <w:rtl/>
        </w:rPr>
        <w:t>ן תמטי, ש</w:t>
      </w:r>
      <w:r>
        <w:rPr>
          <w:rFonts w:ascii="Times New Roman" w:hAnsi="Times New Roman" w:cs="David" w:hint="cs"/>
          <w:sz w:val="24"/>
          <w:szCs w:val="24"/>
          <w:rtl/>
        </w:rPr>
        <w:t>ִׁ</w:t>
      </w:r>
      <w:r w:rsidRPr="00932614"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/>
          <w:sz w:val="24"/>
          <w:szCs w:val="24"/>
          <w:rtl/>
        </w:rPr>
        <w:t>וּ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ם, זיהוי דפוסים וחלוקה לקטגוריות (שקדי, </w:t>
      </w:r>
      <w:r>
        <w:rPr>
          <w:rFonts w:ascii="Times New Roman" w:hAnsi="Times New Roman" w:cs="David" w:hint="cs"/>
          <w:sz w:val="24"/>
          <w:szCs w:val="24"/>
          <w:rtl/>
        </w:rPr>
        <w:t>2010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). הקטגוריות עברו תהליכי </w:t>
      </w:r>
      <w:proofErr w:type="spellStart"/>
      <w:r w:rsidRPr="00932614">
        <w:rPr>
          <w:rFonts w:ascii="Times New Roman" w:hAnsi="Times New Roman" w:cs="David" w:hint="cs"/>
          <w:sz w:val="24"/>
          <w:szCs w:val="24"/>
          <w:rtl/>
        </w:rPr>
        <w:t>תאורטיזציה</w:t>
      </w:r>
      <w:proofErr w:type="spellEnd"/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באמצעות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קישור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לספרות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מחקר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ב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תחומי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הסוציולוגיה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של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התרבות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,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הסוציולוגיה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של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הא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מנות</w:t>
      </w:r>
      <w:r w:rsidRPr="00932614">
        <w:rPr>
          <w:rFonts w:ascii="Times New Roman" w:hAnsi="Times New Roman" w:cs="David" w:hint="cs"/>
          <w:sz w:val="24"/>
          <w:szCs w:val="24"/>
          <w:rtl/>
        </w:rPr>
        <w:t>,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הסוציולוגיה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של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הידע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והמדע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, הסוציולוגיה של המקצועות, הפסיכולוגיה של הבניית ה"עצמי"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והחינוך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הבלתי</w:t>
      </w:r>
      <w:r>
        <w:rPr>
          <w:rFonts w:ascii="Times New Roman" w:hAnsi="Times New Roman" w:cs="David" w:hint="cs"/>
          <w:sz w:val="24"/>
          <w:szCs w:val="24"/>
          <w:rtl/>
        </w:rPr>
        <w:t>-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פורמלי</w:t>
      </w:r>
      <w:r w:rsidRPr="00932614">
        <w:rPr>
          <w:rFonts w:ascii="Times New Roman" w:hAnsi="Times New Roman" w:cs="David"/>
          <w:sz w:val="24"/>
          <w:szCs w:val="24"/>
          <w:rtl/>
        </w:rPr>
        <w:t>.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התאוריה ש</w:t>
      </w:r>
      <w:r>
        <w:rPr>
          <w:rFonts w:ascii="Times New Roman" w:hAnsi="Times New Roman" w:cs="David" w:hint="cs"/>
          <w:sz w:val="24"/>
          <w:szCs w:val="24"/>
          <w:rtl/>
        </w:rPr>
        <w:t>גובשה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מציעה תובנות תלויות ה</w:t>
      </w:r>
      <w:r>
        <w:rPr>
          <w:rFonts w:ascii="Times New Roman" w:hAnsi="Times New Roman" w:cs="David" w:hint="cs"/>
          <w:sz w:val="24"/>
          <w:szCs w:val="24"/>
          <w:rtl/>
        </w:rPr>
        <w:t>ֶ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קשר </w:t>
      </w:r>
      <w:r>
        <w:rPr>
          <w:rFonts w:ascii="Times New Roman" w:hAnsi="Times New Roman" w:cs="David" w:hint="cs"/>
          <w:sz w:val="24"/>
          <w:szCs w:val="24"/>
          <w:rtl/>
        </w:rPr>
        <w:t>באשר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ל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מאפייני השדה של הת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אטרון הקהילתי בישראל ולתהליכי הבניית הידע והזהות המקצועית שלו.</w:t>
      </w:r>
    </w:p>
    <w:p w14:paraId="20F0C268" w14:textId="60B2CDAC" w:rsidR="008255C0" w:rsidRPr="00932614" w:rsidRDefault="008255C0" w:rsidP="008255C0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932614">
        <w:rPr>
          <w:rFonts w:ascii="Times New Roman" w:hAnsi="Times New Roman" w:cs="David" w:hint="cs"/>
          <w:b/>
          <w:bCs/>
          <w:sz w:val="24"/>
          <w:szCs w:val="24"/>
          <w:rtl/>
        </w:rPr>
        <w:t>ממצאי המחקר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מגוללים את סיפור הבניית השדה של הת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אטרון הקהילתי בישראל על רקע הפרדוקס שנקשר בהסדרתו. לב ההסדרה נמצא בתהליכי אקדמיזציה שמוקמו "על מפתן השדה" ועיצבו עבורו "קוד מקצועי מפוצל" ו"הביטוס מקצועי דואלי". </w:t>
      </w:r>
      <w:r w:rsidRPr="00932614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הקוד המקצועי המפוצל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כלל ארבע עמדות 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יחוסיות</w:t>
      </w:r>
      <w:proofErr w:type="spellEnd"/>
      <w:r w:rsidRPr="00932614">
        <w:rPr>
          <w:rFonts w:ascii="Times New Roman" w:hAnsi="Times New Roman" w:cs="David" w:hint="cs"/>
          <w:sz w:val="24"/>
          <w:szCs w:val="24"/>
          <w:rtl/>
        </w:rPr>
        <w:t>: א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מנותית, חינוכית, טיפולית ואקטיביסטית.</w:t>
      </w:r>
      <w:r w:rsidRPr="00932614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ההביטוס המקצועי הדואלי </w:t>
      </w:r>
      <w:r>
        <w:rPr>
          <w:rFonts w:ascii="Times New Roman" w:hAnsi="Times New Roman" w:cs="David" w:hint="cs"/>
          <w:sz w:val="24"/>
          <w:szCs w:val="24"/>
          <w:rtl/>
        </w:rPr>
        <w:t>הת</w:t>
      </w:r>
      <w:r w:rsidRPr="00932614">
        <w:rPr>
          <w:rFonts w:ascii="Times New Roman" w:hAnsi="Times New Roman" w:cs="David" w:hint="cs"/>
          <w:sz w:val="24"/>
          <w:szCs w:val="24"/>
          <w:rtl/>
        </w:rPr>
        <w:t>אפיין בגבולות מקצועיים חדירים של מקצועיות</w:t>
      </w:r>
      <w:r>
        <w:rPr>
          <w:rFonts w:ascii="Times New Roman" w:hAnsi="Times New Roman" w:cs="David" w:hint="cs"/>
          <w:sz w:val="24"/>
          <w:szCs w:val="24"/>
          <w:rtl/>
        </w:rPr>
        <w:t xml:space="preserve">: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היא גם פורמלית וגם בלתי פורמלית, גם חתרנית וגם ממוסדת. יצרני המשמעות של התחום הוסיפו לדואליות </w:t>
      </w:r>
      <w:r>
        <w:rPr>
          <w:rFonts w:ascii="Times New Roman" w:hAnsi="Times New Roman" w:cs="David" w:hint="cs"/>
          <w:sz w:val="24"/>
          <w:szCs w:val="24"/>
          <w:rtl/>
        </w:rPr>
        <w:t>הזו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מדדי הערכה מקוטבים שפענחו את תוצרי השדה ב</w:t>
      </w:r>
      <w:r>
        <w:rPr>
          <w:rFonts w:ascii="Times New Roman" w:hAnsi="Times New Roman" w:cs="David" w:hint="cs"/>
          <w:sz w:val="24"/>
          <w:szCs w:val="24"/>
          <w:rtl/>
        </w:rPr>
        <w:t xml:space="preserve">אמצעות הצגת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ערכים חתרניים וממסדיים, מקצועיים וחובבנים. </w:t>
      </w:r>
      <w:r>
        <w:rPr>
          <w:rFonts w:ascii="Times New Roman" w:hAnsi="Times New Roman" w:cs="David" w:hint="cs"/>
          <w:sz w:val="24"/>
          <w:szCs w:val="24"/>
          <w:rtl/>
        </w:rPr>
        <w:t>בד בבד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התלכדו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יצרני משמעות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של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התחום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סביב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קריאה </w:t>
      </w:r>
      <w:r>
        <w:rPr>
          <w:rFonts w:ascii="Times New Roman" w:hAnsi="Times New Roman" w:cs="David" w:hint="cs"/>
          <w:sz w:val="24"/>
          <w:szCs w:val="24"/>
          <w:rtl/>
        </w:rPr>
        <w:t>להכרה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בערכו המינורי של התחום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כתנאי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לפענ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וח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ראוי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של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תוצריו</w:t>
      </w:r>
      <w:r w:rsidRPr="00932614">
        <w:rPr>
          <w:rFonts w:ascii="Times New Roman" w:hAnsi="Times New Roman" w:cs="David" w:hint="cs"/>
          <w:sz w:val="24"/>
          <w:szCs w:val="24"/>
          <w:rtl/>
        </w:rPr>
        <w:t>. ממצא זה הו</w:t>
      </w:r>
      <w:r>
        <w:rPr>
          <w:rFonts w:ascii="Times New Roman" w:hAnsi="Times New Roman" w:cs="David" w:hint="cs"/>
          <w:sz w:val="24"/>
          <w:szCs w:val="24"/>
          <w:rtl/>
        </w:rPr>
        <w:t>א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ייחודי בהשוואה לשדות תרבותיים אחרים בישראל</w:t>
      </w:r>
      <w:r>
        <w:rPr>
          <w:rFonts w:ascii="Times New Roman" w:hAnsi="Times New Roman" w:cs="David" w:hint="cs"/>
          <w:sz w:val="24"/>
          <w:szCs w:val="24"/>
          <w:rtl/>
        </w:rPr>
        <w:t>,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ש</w:t>
      </w:r>
      <w:r>
        <w:rPr>
          <w:rFonts w:ascii="Times New Roman" w:hAnsi="Times New Roman" w:cs="David" w:hint="cs"/>
          <w:sz w:val="24"/>
          <w:szCs w:val="24"/>
          <w:rtl/>
        </w:rPr>
        <w:t xml:space="preserve">כן אלה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קשרו את הבקיאות בתוצריהם באיכויות </w:t>
      </w:r>
      <w:r>
        <w:rPr>
          <w:rFonts w:ascii="Times New Roman" w:hAnsi="Times New Roman" w:cs="David" w:hint="cs"/>
          <w:sz w:val="24"/>
          <w:szCs w:val="24"/>
          <w:rtl/>
        </w:rPr>
        <w:t xml:space="preserve">של </w:t>
      </w:r>
      <w:r w:rsidRPr="00932614">
        <w:rPr>
          <w:rFonts w:ascii="Times New Roman" w:hAnsi="Times New Roman" w:cs="David" w:hint="cs"/>
          <w:sz w:val="24"/>
          <w:szCs w:val="24"/>
          <w:rtl/>
        </w:rPr>
        <w:t>תחכום ואנינות טעם (ירושלמי, 2013</w:t>
      </w:r>
      <w:r>
        <w:rPr>
          <w:rFonts w:ascii="Times New Roman" w:hAnsi="Times New Roman" w:cs="David" w:hint="cs"/>
          <w:sz w:val="24"/>
          <w:szCs w:val="24"/>
          <w:rtl/>
        </w:rPr>
        <w:t xml:space="preserve">; </w:t>
      </w:r>
      <w:r w:rsidRPr="00932614">
        <w:rPr>
          <w:rFonts w:ascii="Times New Roman" w:hAnsi="Times New Roman" w:cs="David" w:hint="cs"/>
          <w:sz w:val="24"/>
          <w:szCs w:val="24"/>
          <w:rtl/>
        </w:rPr>
        <w:t>רגב, 199</w:t>
      </w:r>
      <w:r>
        <w:rPr>
          <w:rFonts w:ascii="Times New Roman" w:hAnsi="Times New Roman" w:cs="David" w:hint="cs"/>
          <w:sz w:val="24"/>
          <w:szCs w:val="24"/>
          <w:rtl/>
        </w:rPr>
        <w:t xml:space="preserve">0;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רנד, 2015).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ה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עדר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מחקר רפלק</w:t>
      </w:r>
      <w:r>
        <w:rPr>
          <w:rFonts w:ascii="Times New Roman" w:hAnsi="Times New Roman" w:cs="David" w:hint="cs"/>
          <w:sz w:val="24"/>
          <w:szCs w:val="24"/>
          <w:rtl/>
        </w:rPr>
        <w:t>ט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יבי </w:t>
      </w:r>
      <w:r>
        <w:rPr>
          <w:rFonts w:ascii="Times New Roman" w:hAnsi="Times New Roman" w:cs="David" w:hint="cs"/>
          <w:sz w:val="24"/>
          <w:szCs w:val="24"/>
          <w:rtl/>
        </w:rPr>
        <w:t xml:space="preserve">על </w:t>
      </w:r>
      <w:r w:rsidRPr="00932614">
        <w:rPr>
          <w:rFonts w:ascii="Times New Roman" w:hAnsi="Times New Roman" w:cs="David"/>
          <w:sz w:val="24"/>
          <w:szCs w:val="24"/>
          <w:rtl/>
        </w:rPr>
        <w:t>אודות תהליכי הבניית הידע של התחום ה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ותיר 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סתירות תאורטיות, ערכיות ופרקטיות באזורים של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ידע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מקצועי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סמוי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>
        <w:rPr>
          <w:rFonts w:ascii="Times New Roman" w:hAnsi="Times New Roman" w:cs="David"/>
          <w:sz w:val="24"/>
          <w:szCs w:val="24"/>
        </w:rPr>
        <w:t>t</w:t>
      </w:r>
      <w:r w:rsidRPr="00932614">
        <w:rPr>
          <w:rFonts w:ascii="Times New Roman" w:hAnsi="Times New Roman" w:cs="David"/>
          <w:sz w:val="24"/>
          <w:szCs w:val="24"/>
        </w:rPr>
        <w:t xml:space="preserve">acit </w:t>
      </w:r>
      <w:r>
        <w:rPr>
          <w:rFonts w:ascii="Times New Roman" w:hAnsi="Times New Roman" w:cs="David"/>
          <w:sz w:val="24"/>
          <w:szCs w:val="24"/>
        </w:rPr>
        <w:t>k</w:t>
      </w:r>
      <w:r w:rsidRPr="00932614">
        <w:rPr>
          <w:rFonts w:ascii="Times New Roman" w:hAnsi="Times New Roman" w:cs="David"/>
          <w:sz w:val="24"/>
          <w:szCs w:val="24"/>
        </w:rPr>
        <w:t>nowledge</w:t>
      </w:r>
      <w:r>
        <w:rPr>
          <w:rFonts w:ascii="Times New Roman" w:hAnsi="Times New Roman" w:cs="David" w:hint="cs"/>
          <w:sz w:val="24"/>
          <w:szCs w:val="24"/>
          <w:rtl/>
        </w:rPr>
        <w:t>)</w:t>
      </w:r>
      <w:r w:rsidRPr="00932614">
        <w:rPr>
          <w:rFonts w:ascii="Times New Roman" w:hAnsi="Times New Roman" w:cs="David"/>
          <w:sz w:val="24"/>
          <w:szCs w:val="24"/>
          <w:rtl/>
        </w:rPr>
        <w:t>.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 xml:space="preserve">נמצא כי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חוסר היכולת של </w:t>
      </w:r>
      <w:r w:rsidRPr="00EF0F7B">
        <w:rPr>
          <w:rFonts w:ascii="Times New Roman" w:hAnsi="Times New Roman" w:cs="David" w:hint="cs"/>
          <w:sz w:val="24"/>
          <w:szCs w:val="24"/>
          <w:rtl/>
        </w:rPr>
        <w:t>הסוכנים לתדע</w:t>
      </w:r>
      <w:r w:rsidR="00EF0F7B" w:rsidRPr="00EF0F7B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EF0F7B">
        <w:rPr>
          <w:rFonts w:ascii="Times New Roman" w:hAnsi="Times New Roman" w:cs="David" w:hint="cs"/>
          <w:sz w:val="24"/>
          <w:szCs w:val="24"/>
          <w:rtl/>
        </w:rPr>
        <w:t>[</w:t>
      </w:r>
      <w:r w:rsidR="00EF0F7B" w:rsidRPr="00EF0F7B">
        <w:rPr>
          <w:rFonts w:ascii="Times New Roman" w:hAnsi="Times New Roman" w:cs="David"/>
          <w:sz w:val="24"/>
          <w:szCs w:val="24"/>
        </w:rPr>
        <w:t>conscientization</w:t>
      </w:r>
      <w:r w:rsidR="00EF0F7B" w:rsidRPr="00EF0F7B">
        <w:rPr>
          <w:rFonts w:ascii="Times New Roman" w:hAnsi="Times New Roman" w:cs="David" w:hint="cs"/>
          <w:sz w:val="24"/>
          <w:szCs w:val="24"/>
          <w:rtl/>
        </w:rPr>
        <w:t xml:space="preserve">] </w:t>
      </w:r>
      <w:r w:rsidRPr="00EF0F7B">
        <w:rPr>
          <w:rFonts w:ascii="Times New Roman" w:hAnsi="Times New Roman" w:cs="David" w:hint="cs"/>
          <w:sz w:val="24"/>
          <w:szCs w:val="24"/>
          <w:rtl/>
        </w:rPr>
        <w:t>את הסתירות מזה ולהתלכד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סביב קוד מקצועי מוסכם </w:t>
      </w:r>
      <w:r>
        <w:rPr>
          <w:rFonts w:ascii="Times New Roman" w:hAnsi="Times New Roman" w:cs="David" w:hint="cs"/>
          <w:sz w:val="24"/>
          <w:szCs w:val="24"/>
          <w:rtl/>
        </w:rPr>
        <w:t>מזה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מעכב תהליכי התאגדות מקצועיים. </w:t>
      </w:r>
      <w:r>
        <w:rPr>
          <w:rFonts w:ascii="Times New Roman" w:hAnsi="Times New Roman" w:cs="David" w:hint="cs"/>
          <w:sz w:val="24"/>
          <w:szCs w:val="24"/>
          <w:rtl/>
        </w:rPr>
        <w:t>אין פלא אפוא ש</w:t>
      </w:r>
      <w:r w:rsidRPr="00932614">
        <w:rPr>
          <w:rFonts w:ascii="Times New Roman" w:hAnsi="Times New Roman" w:cs="David" w:hint="cs"/>
          <w:sz w:val="24"/>
          <w:szCs w:val="24"/>
          <w:rtl/>
        </w:rPr>
        <w:t>במחקר</w:t>
      </w:r>
      <w:r>
        <w:rPr>
          <w:rFonts w:ascii="Times New Roman" w:hAnsi="Times New Roman" w:cs="David" w:hint="cs"/>
          <w:sz w:val="24"/>
          <w:szCs w:val="24"/>
          <w:rtl/>
        </w:rPr>
        <w:t xml:space="preserve"> הנוכחי ה</w:t>
      </w:r>
      <w:r w:rsidRPr="00932614">
        <w:rPr>
          <w:rFonts w:ascii="Times New Roman" w:hAnsi="Times New Roman" w:cs="David" w:hint="cs"/>
          <w:sz w:val="24"/>
          <w:szCs w:val="24"/>
          <w:rtl/>
        </w:rPr>
        <w:t>עדויות לקיומו של ת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אטרון קהילתי כשדה מקצועי מובחן</w:t>
      </w:r>
      <w:r>
        <w:rPr>
          <w:rFonts w:ascii="Times New Roman" w:hAnsi="Times New Roman" w:cs="David" w:hint="cs"/>
          <w:sz w:val="24"/>
          <w:szCs w:val="24"/>
          <w:rtl/>
        </w:rPr>
        <w:t xml:space="preserve"> היו חלקיות</w:t>
      </w:r>
      <w:r w:rsidRPr="00932614">
        <w:rPr>
          <w:rFonts w:ascii="Times New Roman" w:hAnsi="Times New Roman" w:cs="David" w:hint="cs"/>
          <w:sz w:val="24"/>
          <w:szCs w:val="24"/>
          <w:rtl/>
        </w:rPr>
        <w:t>.</w:t>
      </w:r>
    </w:p>
    <w:p w14:paraId="4F5ED7C9" w14:textId="77777777" w:rsidR="008255C0" w:rsidRPr="00932614" w:rsidRDefault="008255C0" w:rsidP="008255C0">
      <w:pPr>
        <w:spacing w:line="360" w:lineRule="auto"/>
        <w:jc w:val="both"/>
        <w:rPr>
          <w:rFonts w:ascii="Times New Roman" w:hAnsi="Times New Roman" w:cs="Times New Roman"/>
          <w:spacing w:val="-5"/>
          <w:sz w:val="24"/>
          <w:szCs w:val="24"/>
          <w:rtl/>
        </w:rPr>
      </w:pP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הממצאים </w:t>
      </w:r>
      <w:r>
        <w:rPr>
          <w:rFonts w:ascii="Times New Roman" w:hAnsi="Times New Roman" w:cs="David" w:hint="cs"/>
          <w:sz w:val="24"/>
          <w:szCs w:val="24"/>
          <w:rtl/>
        </w:rPr>
        <w:t>באשר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ל</w:t>
      </w:r>
      <w:r w:rsidRPr="00932614">
        <w:rPr>
          <w:rFonts w:ascii="Times New Roman" w:hAnsi="Times New Roman" w:cs="David" w:hint="cs"/>
          <w:sz w:val="24"/>
          <w:szCs w:val="24"/>
          <w:rtl/>
        </w:rPr>
        <w:t>הבניית הזהות המקצועית של במא</w:t>
      </w:r>
      <w:r>
        <w:rPr>
          <w:rFonts w:ascii="Times New Roman" w:hAnsi="Times New Roman" w:cs="David" w:hint="cs"/>
          <w:sz w:val="24"/>
          <w:szCs w:val="24"/>
          <w:rtl/>
        </w:rPr>
        <w:t>ֵ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י תיאטרון קהילתי נבחנו מבעד לחמישה מערכי קריאה של קונפליקטים, </w:t>
      </w:r>
      <w:r>
        <w:rPr>
          <w:rFonts w:ascii="Times New Roman" w:hAnsi="Times New Roman" w:cs="David" w:hint="cs"/>
          <w:sz w:val="24"/>
          <w:szCs w:val="24"/>
          <w:rtl/>
        </w:rPr>
        <w:t xml:space="preserve">מערכים </w:t>
      </w:r>
      <w:r w:rsidRPr="00932614">
        <w:rPr>
          <w:rFonts w:ascii="Times New Roman" w:hAnsi="Times New Roman" w:cs="David" w:hint="cs"/>
          <w:sz w:val="24"/>
          <w:szCs w:val="24"/>
          <w:rtl/>
        </w:rPr>
        <w:t>שהגיבו לאירועי מיקרו ומאקרו בשדה. מערכי הקריאה כללו מאבקי התפתחות וה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בדלות של ה"עצמי" (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ויניקוט, </w:t>
      </w:r>
      <w:r>
        <w:rPr>
          <w:rFonts w:ascii="Times New Roman" w:hAnsi="Times New Roman" w:cs="David" w:hint="cs"/>
          <w:sz w:val="24"/>
          <w:szCs w:val="24"/>
          <w:rtl/>
        </w:rPr>
        <w:t>1995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;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פרויד, </w:t>
      </w:r>
      <w:r>
        <w:rPr>
          <w:rFonts w:ascii="Times New Roman" w:hAnsi="Times New Roman" w:cs="David" w:hint="cs"/>
          <w:sz w:val="24"/>
          <w:szCs w:val="24"/>
          <w:rtl/>
        </w:rPr>
        <w:t>2003/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1909), עימות מורטורי עם ציוויים חברתיים </w:t>
      </w:r>
      <w:r w:rsidRPr="00932614">
        <w:rPr>
          <w:rFonts w:ascii="Times New Roman" w:hAnsi="Times New Roman" w:cs="David"/>
          <w:sz w:val="24"/>
          <w:szCs w:val="24"/>
          <w:rtl/>
        </w:rPr>
        <w:t>(</w:t>
      </w:r>
      <w:r w:rsidRPr="00932614">
        <w:rPr>
          <w:rFonts w:ascii="Times New Roman" w:hAnsi="Times New Roman" w:cs="David" w:hint="cs"/>
          <w:sz w:val="24"/>
          <w:szCs w:val="24"/>
          <w:rtl/>
        </w:rPr>
        <w:t>דר, 2012</w:t>
      </w:r>
      <w:r>
        <w:rPr>
          <w:rFonts w:ascii="Times New Roman" w:hAnsi="Times New Roman" w:cs="David" w:hint="cs"/>
          <w:sz w:val="24"/>
          <w:szCs w:val="24"/>
          <w:rtl/>
        </w:rPr>
        <w:t xml:space="preserve">; </w:t>
      </w:r>
      <w:r w:rsidRPr="00932614">
        <w:rPr>
          <w:rFonts w:ascii="Times New Roman" w:hAnsi="Times New Roman" w:cs="David" w:hint="cs"/>
          <w:sz w:val="24"/>
          <w:szCs w:val="24"/>
          <w:rtl/>
        </w:rPr>
        <w:t>כהנא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ורפופורט</w:t>
      </w:r>
      <w:proofErr w:type="spellEnd"/>
      <w:r w:rsidRPr="00932614">
        <w:rPr>
          <w:rFonts w:ascii="Times New Roman" w:hAnsi="Times New Roman" w:cs="David" w:hint="cs"/>
          <w:sz w:val="24"/>
          <w:szCs w:val="24"/>
          <w:rtl/>
        </w:rPr>
        <w:t>, 2007</w:t>
      </w:r>
      <w:r>
        <w:rPr>
          <w:rFonts w:ascii="Times New Roman" w:hAnsi="Times New Roman" w:cs="David" w:hint="cs"/>
          <w:sz w:val="24"/>
          <w:szCs w:val="24"/>
          <w:rtl/>
        </w:rPr>
        <w:t xml:space="preserve">; </w:t>
      </w:r>
      <w:r w:rsidRPr="00932614">
        <w:rPr>
          <w:rFonts w:ascii="Times New Roman" w:hAnsi="Times New Roman" w:cs="David"/>
          <w:sz w:val="24"/>
          <w:szCs w:val="24"/>
        </w:rPr>
        <w:t>Erikson, 195</w:t>
      </w:r>
      <w:r>
        <w:rPr>
          <w:rFonts w:ascii="Times New Roman" w:hAnsi="Times New Roman" w:cs="David"/>
          <w:sz w:val="24"/>
          <w:szCs w:val="24"/>
        </w:rPr>
        <w:t>6</w:t>
      </w:r>
      <w:r w:rsidRPr="00932614">
        <w:rPr>
          <w:rFonts w:ascii="Times New Roman" w:hAnsi="Times New Roman" w:cs="David" w:hint="cs"/>
          <w:sz w:val="24"/>
          <w:szCs w:val="24"/>
          <w:rtl/>
        </w:rPr>
        <w:t>), מאבקי סוכנים על משאבי השדה (</w:t>
      </w:r>
      <w:proofErr w:type="spellStart"/>
      <w:r w:rsidRPr="00932614">
        <w:rPr>
          <w:rFonts w:ascii="Times New Roman" w:hAnsi="Times New Roman" w:cs="David" w:hint="cs"/>
          <w:sz w:val="24"/>
          <w:szCs w:val="24"/>
          <w:rtl/>
        </w:rPr>
        <w:t>בורד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יה</w:t>
      </w:r>
      <w:proofErr w:type="spellEnd"/>
      <w:r w:rsidRPr="00932614">
        <w:rPr>
          <w:rFonts w:ascii="Times New Roman" w:hAnsi="Times New Roman" w:cs="David" w:hint="cs"/>
          <w:sz w:val="24"/>
          <w:szCs w:val="24"/>
          <w:rtl/>
        </w:rPr>
        <w:t>, 2005</w:t>
      </w:r>
      <w:r>
        <w:rPr>
          <w:rFonts w:ascii="Times New Roman" w:hAnsi="Times New Roman" w:cs="David" w:hint="cs"/>
          <w:sz w:val="24"/>
          <w:szCs w:val="24"/>
          <w:rtl/>
        </w:rPr>
        <w:t>א</w:t>
      </w:r>
      <w:r w:rsidRPr="00932614">
        <w:rPr>
          <w:rFonts w:ascii="Times New Roman" w:hAnsi="Times New Roman" w:cs="David" w:hint="cs"/>
          <w:sz w:val="24"/>
          <w:szCs w:val="24"/>
          <w:rtl/>
        </w:rPr>
        <w:t>), מאבקים על סוג ידע מבסס מקצועיות (ק</w:t>
      </w:r>
      <w:r w:rsidRPr="00932614">
        <w:rPr>
          <w:rFonts w:ascii="Times New Roman" w:hAnsi="Times New Roman" w:cs="David"/>
          <w:sz w:val="24"/>
          <w:szCs w:val="24"/>
          <w:rtl/>
        </w:rPr>
        <w:t>וּ</w:t>
      </w:r>
      <w:r w:rsidRPr="00932614">
        <w:rPr>
          <w:rFonts w:ascii="Times New Roman" w:hAnsi="Times New Roman" w:cs="David" w:hint="cs"/>
          <w:sz w:val="24"/>
          <w:szCs w:val="24"/>
          <w:rtl/>
        </w:rPr>
        <w:t>ן, 2005</w:t>
      </w:r>
      <w:r>
        <w:rPr>
          <w:rFonts w:ascii="Times New Roman" w:hAnsi="Times New Roman" w:cs="David" w:hint="cs"/>
          <w:sz w:val="24"/>
          <w:szCs w:val="24"/>
          <w:rtl/>
        </w:rPr>
        <w:t>/1962</w:t>
      </w:r>
      <w:r w:rsidRPr="00932614">
        <w:rPr>
          <w:rFonts w:ascii="Times New Roman" w:hAnsi="Times New Roman" w:cs="David" w:hint="cs"/>
          <w:sz w:val="24"/>
          <w:szCs w:val="24"/>
          <w:rtl/>
        </w:rPr>
        <w:t>) ומאבקים על מ</w:t>
      </w:r>
      <w:r>
        <w:rPr>
          <w:rFonts w:ascii="Times New Roman" w:hAnsi="Times New Roman" w:cs="David" w:hint="cs"/>
          <w:sz w:val="24"/>
          <w:szCs w:val="24"/>
          <w:rtl/>
        </w:rPr>
        <w:t>ִ</w:t>
      </w:r>
      <w:r w:rsidRPr="00932614">
        <w:rPr>
          <w:rFonts w:ascii="Times New Roman" w:hAnsi="Times New Roman" w:cs="David" w:hint="cs"/>
          <w:sz w:val="24"/>
          <w:szCs w:val="24"/>
          <w:rtl/>
        </w:rPr>
        <w:t>סגו</w:t>
      </w:r>
      <w:r>
        <w:rPr>
          <w:rFonts w:ascii="Times New Roman" w:hAnsi="Times New Roman" w:cs="David" w:hint="cs"/>
          <w:sz w:val="24"/>
          <w:szCs w:val="24"/>
          <w:rtl/>
        </w:rPr>
        <w:t>ּ</w:t>
      </w:r>
      <w:r w:rsidRPr="00932614">
        <w:rPr>
          <w:rFonts w:ascii="Times New Roman" w:hAnsi="Times New Roman" w:cs="David" w:hint="cs"/>
          <w:sz w:val="24"/>
          <w:szCs w:val="24"/>
          <w:rtl/>
        </w:rPr>
        <w:t>ר המשמעות המושקעת במקצוע</w:t>
      </w:r>
      <w:r>
        <w:rPr>
          <w:rFonts w:ascii="Times New Roman" w:hAnsi="Times New Roman" w:cs="David" w:hint="cs"/>
          <w:sz w:val="24"/>
          <w:szCs w:val="24"/>
          <w:rtl/>
        </w:rPr>
        <w:t xml:space="preserve"> (</w:t>
      </w:r>
      <w:r w:rsidRPr="00932614">
        <w:rPr>
          <w:rFonts w:ascii="Times New Roman" w:hAnsi="Times New Roman" w:cs="David"/>
          <w:sz w:val="24"/>
          <w:szCs w:val="24"/>
        </w:rPr>
        <w:t xml:space="preserve">Bucher et al., 2016; Lamont </w:t>
      </w:r>
      <w:r>
        <w:rPr>
          <w:rFonts w:ascii="Times New Roman" w:hAnsi="Times New Roman" w:cs="David"/>
          <w:sz w:val="24"/>
          <w:szCs w:val="24"/>
        </w:rPr>
        <w:t>&amp;</w:t>
      </w:r>
      <w:r w:rsidRPr="00932614">
        <w:rPr>
          <w:rFonts w:ascii="Times New Roman" w:hAnsi="Times New Roman" w:cs="David"/>
          <w:sz w:val="24"/>
          <w:szCs w:val="24"/>
        </w:rPr>
        <w:t xml:space="preserve"> </w:t>
      </w:r>
      <w:proofErr w:type="spellStart"/>
      <w:r w:rsidRPr="00932614">
        <w:rPr>
          <w:rFonts w:ascii="Times New Roman" w:hAnsi="Times New Roman" w:cs="David"/>
          <w:sz w:val="24"/>
          <w:szCs w:val="24"/>
        </w:rPr>
        <w:t>Moln</w:t>
      </w:r>
      <w:r w:rsidRPr="00932614">
        <w:rPr>
          <w:rFonts w:ascii="Times New Roman" w:hAnsi="Times New Roman" w:cs="Times New Roman"/>
          <w:spacing w:val="-5"/>
          <w:sz w:val="24"/>
          <w:szCs w:val="24"/>
        </w:rPr>
        <w:t>á</w:t>
      </w:r>
      <w:r w:rsidRPr="00932614">
        <w:rPr>
          <w:rFonts w:ascii="Times New Roman" w:hAnsi="Times New Roman" w:cs="David"/>
          <w:sz w:val="24"/>
          <w:szCs w:val="24"/>
        </w:rPr>
        <w:t>r</w:t>
      </w:r>
      <w:proofErr w:type="spellEnd"/>
      <w:r w:rsidRPr="00932614">
        <w:rPr>
          <w:rFonts w:ascii="Times New Roman" w:hAnsi="Times New Roman" w:cs="David"/>
          <w:sz w:val="24"/>
          <w:szCs w:val="24"/>
        </w:rPr>
        <w:t>, 2002</w:t>
      </w:r>
      <w:r>
        <w:rPr>
          <w:rFonts w:ascii="Times New Roman" w:hAnsi="Times New Roman" w:cs="David" w:hint="cs"/>
          <w:sz w:val="24"/>
          <w:szCs w:val="24"/>
          <w:rtl/>
        </w:rPr>
        <w:t>)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>
        <w:rPr>
          <w:rFonts w:ascii="Times New Roman" w:hAnsi="Times New Roman" w:cs="David" w:hint="cs"/>
          <w:sz w:val="24"/>
          <w:szCs w:val="24"/>
          <w:rtl/>
        </w:rPr>
        <w:t>ב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ניתוח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ממצא</w:t>
      </w:r>
      <w:r>
        <w:rPr>
          <w:rFonts w:ascii="Times New Roman" w:hAnsi="Times New Roman" w:cs="David" w:hint="cs"/>
          <w:sz w:val="24"/>
          <w:szCs w:val="24"/>
          <w:rtl/>
        </w:rPr>
        <w:t>ים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נמצא כי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/>
          <w:b/>
          <w:bCs/>
          <w:sz w:val="24"/>
          <w:szCs w:val="24"/>
          <w:rtl/>
        </w:rPr>
        <w:t>הבחירה בת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י</w:t>
      </w:r>
      <w:r w:rsidRPr="00932614">
        <w:rPr>
          <w:rFonts w:ascii="Times New Roman" w:hAnsi="Times New Roman" w:cs="David"/>
          <w:b/>
          <w:bCs/>
          <w:sz w:val="24"/>
          <w:szCs w:val="24"/>
          <w:rtl/>
        </w:rPr>
        <w:t xml:space="preserve">אטרון הקהילתי 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מ</w:t>
      </w:r>
      <w:r w:rsidRPr="00932614">
        <w:rPr>
          <w:rFonts w:ascii="Times New Roman" w:hAnsi="Times New Roman" w:cs="David" w:hint="eastAsia"/>
          <w:b/>
          <w:bCs/>
          <w:sz w:val="24"/>
          <w:szCs w:val="24"/>
          <w:rtl/>
        </w:rPr>
        <w:t>אפשרת</w:t>
      </w:r>
      <w:r w:rsidRPr="00932614">
        <w:rPr>
          <w:rFonts w:ascii="Times New Roman" w:hAnsi="Times New Roman" w:cs="David"/>
          <w:b/>
          <w:bCs/>
          <w:sz w:val="24"/>
          <w:szCs w:val="24"/>
          <w:rtl/>
        </w:rPr>
        <w:t xml:space="preserve"> להשה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ו</w:t>
      </w:r>
      <w:r w:rsidRPr="00932614">
        <w:rPr>
          <w:rFonts w:ascii="Times New Roman" w:hAnsi="Times New Roman" w:cs="David"/>
          <w:b/>
          <w:bCs/>
          <w:sz w:val="24"/>
          <w:szCs w:val="24"/>
          <w:rtl/>
        </w:rPr>
        <w:t xml:space="preserve">ת 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את </w:t>
      </w:r>
      <w:r w:rsidRPr="00932614">
        <w:rPr>
          <w:rFonts w:ascii="Times New Roman" w:hAnsi="Times New Roman" w:cs="David" w:hint="eastAsia"/>
          <w:b/>
          <w:bCs/>
          <w:sz w:val="24"/>
          <w:szCs w:val="24"/>
          <w:rtl/>
        </w:rPr>
        <w:t>ההשתלבות</w:t>
      </w:r>
      <w:r w:rsidRPr="00932614">
        <w:rPr>
          <w:rFonts w:ascii="Times New Roman" w:hAnsi="Times New Roman" w:cs="David"/>
          <w:b/>
          <w:bCs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b/>
          <w:bCs/>
          <w:sz w:val="24"/>
          <w:szCs w:val="24"/>
          <w:rtl/>
        </w:rPr>
        <w:t>ה</w:t>
      </w:r>
      <w:r w:rsidRPr="00932614">
        <w:rPr>
          <w:rFonts w:ascii="Times New Roman" w:hAnsi="Times New Roman" w:cs="David"/>
          <w:b/>
          <w:bCs/>
          <w:sz w:val="24"/>
          <w:szCs w:val="24"/>
          <w:rtl/>
        </w:rPr>
        <w:t xml:space="preserve">"מקובלת" </w:t>
      </w:r>
      <w:r w:rsidRPr="00932614">
        <w:rPr>
          <w:rFonts w:ascii="Times New Roman" w:hAnsi="Times New Roman" w:cs="David" w:hint="eastAsia"/>
          <w:b/>
          <w:bCs/>
          <w:sz w:val="24"/>
          <w:szCs w:val="24"/>
          <w:rtl/>
        </w:rPr>
        <w:t>בעולם</w:t>
      </w:r>
      <w:r w:rsidRPr="00932614">
        <w:rPr>
          <w:rFonts w:ascii="Times New Roman" w:hAnsi="Times New Roman" w:cs="David"/>
          <w:b/>
          <w:bCs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b/>
          <w:bCs/>
          <w:sz w:val="24"/>
          <w:szCs w:val="24"/>
          <w:rtl/>
        </w:rPr>
        <w:t>המקצועות</w:t>
      </w:r>
      <w:r w:rsidRPr="00932614">
        <w:rPr>
          <w:rFonts w:ascii="Times New Roman" w:hAnsi="Times New Roman" w:cs="David"/>
          <w:b/>
          <w:bCs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b/>
          <w:bCs/>
          <w:sz w:val="24"/>
          <w:szCs w:val="24"/>
          <w:rtl/>
        </w:rPr>
        <w:t>ה</w:t>
      </w:r>
      <w:r w:rsidRPr="00932614">
        <w:rPr>
          <w:rFonts w:ascii="Times New Roman" w:hAnsi="Times New Roman" w:cs="David"/>
          <w:b/>
          <w:bCs/>
          <w:sz w:val="24"/>
          <w:szCs w:val="24"/>
          <w:rtl/>
        </w:rPr>
        <w:t>"מז'ורי"</w:t>
      </w:r>
      <w:r w:rsidRPr="00932614">
        <w:rPr>
          <w:rFonts w:ascii="Times New Roman" w:hAnsi="Times New Roman" w:cs="David"/>
          <w:sz w:val="24"/>
          <w:szCs w:val="24"/>
          <w:rtl/>
        </w:rPr>
        <w:t>.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העיסוק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ב</w:t>
      </w:r>
      <w:r w:rsidRPr="00932614">
        <w:rPr>
          <w:rFonts w:ascii="Times New Roman" w:hAnsi="Times New Roman" w:cs="David" w:hint="cs"/>
          <w:sz w:val="24"/>
          <w:szCs w:val="24"/>
          <w:rtl/>
        </w:rPr>
        <w:t>ת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אטרון הקהילתי </w:t>
      </w:r>
      <w:r>
        <w:rPr>
          <w:rFonts w:ascii="Times New Roman" w:hAnsi="Times New Roman" w:cs="David" w:hint="cs"/>
          <w:sz w:val="24"/>
          <w:szCs w:val="24"/>
          <w:rtl/>
        </w:rPr>
        <w:t xml:space="preserve">נתפס </w:t>
      </w:r>
      <w:r w:rsidRPr="00932614">
        <w:rPr>
          <w:rFonts w:ascii="Times New Roman" w:hAnsi="Times New Roman" w:cs="David" w:hint="cs"/>
          <w:sz w:val="24"/>
          <w:szCs w:val="24"/>
          <w:rtl/>
        </w:rPr>
        <w:t>כ</w:t>
      </w:r>
      <w:r>
        <w:rPr>
          <w:rFonts w:ascii="Times New Roman" w:hAnsi="Times New Roman" w:cs="David" w:hint="cs"/>
          <w:sz w:val="24"/>
          <w:szCs w:val="24"/>
          <w:rtl/>
        </w:rPr>
        <w:t>מקצוע ה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מאפשר קיום נדיר של </w:t>
      </w:r>
      <w:r>
        <w:rPr>
          <w:rFonts w:ascii="Times New Roman" w:hAnsi="Times New Roman" w:cs="David" w:hint="cs"/>
          <w:sz w:val="24"/>
          <w:szCs w:val="24"/>
          <w:rtl/>
        </w:rPr>
        <w:t>"</w:t>
      </w:r>
      <w:r w:rsidRPr="00932614">
        <w:rPr>
          <w:rFonts w:ascii="Times New Roman" w:hAnsi="Times New Roman" w:cs="David" w:hint="cs"/>
          <w:sz w:val="24"/>
          <w:szCs w:val="24"/>
          <w:rtl/>
        </w:rPr>
        <w:t>עצמי</w:t>
      </w:r>
      <w:r>
        <w:rPr>
          <w:rFonts w:ascii="Times New Roman" w:hAnsi="Times New Roman" w:cs="David" w:hint="cs"/>
          <w:sz w:val="24"/>
          <w:szCs w:val="24"/>
          <w:rtl/>
        </w:rPr>
        <w:t>"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בוגר 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 w:hint="cs"/>
          <w:sz w:val="24"/>
          <w:szCs w:val="24"/>
          <w:rtl/>
        </w:rPr>
        <w:t>אותנטי</w:t>
      </w:r>
      <w:r>
        <w:rPr>
          <w:rFonts w:ascii="Times New Roman" w:hAnsi="Times New Roman" w:cs="David" w:hint="cs"/>
          <w:sz w:val="24"/>
          <w:szCs w:val="24"/>
          <w:rtl/>
        </w:rPr>
        <w:t xml:space="preserve"> אשר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מסוגל להתגבר על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משקעי עבר אישיים וקהילתיים. </w:t>
      </w:r>
      <w:r w:rsidRPr="00932614">
        <w:rPr>
          <w:rFonts w:ascii="Times New Roman" w:hAnsi="Times New Roman" w:cs="David" w:hint="cs"/>
          <w:sz w:val="24"/>
          <w:szCs w:val="24"/>
          <w:rtl/>
        </w:rPr>
        <w:lastRenderedPageBreak/>
        <w:t xml:space="preserve">ההכרה בסגולות הנדירות של המקצוע בוטאה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ב</w:t>
      </w:r>
      <w:r w:rsidRPr="00932614">
        <w:rPr>
          <w:rFonts w:ascii="Times New Roman" w:hAnsi="Times New Roman" w:cs="David" w:hint="eastAsia"/>
          <w:b/>
          <w:bCs/>
          <w:sz w:val="24"/>
          <w:szCs w:val="24"/>
          <w:rtl/>
        </w:rPr>
        <w:t>כריתת</w:t>
      </w:r>
      <w:r w:rsidRPr="00932614">
        <w:rPr>
          <w:rFonts w:ascii="Times New Roman" w:hAnsi="Times New Roman" w:cs="David"/>
          <w:b/>
          <w:bCs/>
          <w:sz w:val="24"/>
          <w:szCs w:val="24"/>
          <w:rtl/>
        </w:rPr>
        <w:t xml:space="preserve"> "ברית </w:t>
      </w:r>
      <w:r w:rsidRPr="00932614">
        <w:rPr>
          <w:rFonts w:ascii="Times New Roman" w:hAnsi="Times New Roman" w:cs="David" w:hint="eastAsia"/>
          <w:b/>
          <w:bCs/>
          <w:sz w:val="24"/>
          <w:szCs w:val="24"/>
          <w:rtl/>
        </w:rPr>
        <w:t>ראשונים</w:t>
      </w:r>
      <w:r w:rsidRPr="00932614">
        <w:rPr>
          <w:rFonts w:ascii="Times New Roman" w:hAnsi="Times New Roman" w:cs="David"/>
          <w:b/>
          <w:bCs/>
          <w:sz w:val="24"/>
          <w:szCs w:val="24"/>
          <w:rtl/>
        </w:rPr>
        <w:t>"</w:t>
      </w:r>
      <w:r w:rsidRPr="00932614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עם המקצוע המיטיב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. ברית זו השפיעה על הבניית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זהות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מקצועית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סימביוטית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("המקצוע הוא אני")</w:t>
      </w:r>
      <w:r>
        <w:rPr>
          <w:rFonts w:ascii="Times New Roman" w:hAnsi="Times New Roman" w:cs="David" w:hint="cs"/>
          <w:sz w:val="24"/>
          <w:szCs w:val="24"/>
          <w:rtl/>
        </w:rPr>
        <w:t xml:space="preserve"> ו</w:t>
      </w:r>
      <w:r w:rsidRPr="00932614">
        <w:rPr>
          <w:rFonts w:ascii="Times New Roman" w:hAnsi="Times New Roman" w:cs="David" w:hint="cs"/>
          <w:sz w:val="24"/>
          <w:szCs w:val="24"/>
          <w:rtl/>
        </w:rPr>
        <w:t>הגבירה את הפגיעו</w:t>
      </w:r>
      <w:r>
        <w:rPr>
          <w:rFonts w:ascii="Times New Roman" w:hAnsi="Times New Roman" w:cs="David" w:hint="cs"/>
          <w:sz w:val="24"/>
          <w:szCs w:val="24"/>
          <w:rtl/>
        </w:rPr>
        <w:t>ּ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ת של הסוכנים </w:t>
      </w:r>
      <w:r>
        <w:rPr>
          <w:rFonts w:ascii="Times New Roman" w:hAnsi="Times New Roman" w:cs="David" w:hint="cs"/>
          <w:sz w:val="24"/>
          <w:szCs w:val="24"/>
          <w:rtl/>
        </w:rPr>
        <w:t>ל</w:t>
      </w:r>
      <w:r w:rsidRPr="00932614">
        <w:rPr>
          <w:rFonts w:ascii="Times New Roman" w:hAnsi="Times New Roman" w:cs="David" w:hint="cs"/>
          <w:sz w:val="24"/>
          <w:szCs w:val="24"/>
          <w:rtl/>
        </w:rPr>
        <w:t>נוכח "פלישות מציאו</w:t>
      </w:r>
      <w:r>
        <w:rPr>
          <w:rFonts w:ascii="Times New Roman" w:hAnsi="Times New Roman" w:cs="David" w:hint="cs"/>
          <w:sz w:val="24"/>
          <w:szCs w:val="24"/>
          <w:rtl/>
        </w:rPr>
        <w:t>ּ</w:t>
      </w:r>
      <w:r w:rsidRPr="00932614">
        <w:rPr>
          <w:rFonts w:ascii="Times New Roman" w:hAnsi="Times New Roman" w:cs="David" w:hint="cs"/>
          <w:sz w:val="24"/>
          <w:szCs w:val="24"/>
          <w:rtl/>
        </w:rPr>
        <w:t>ת" שאיימו עליה. האיומים כללו ידע מקצועי לא מתודע, שפה מקצועית מסווגת, ת</w:t>
      </w:r>
      <w:r>
        <w:rPr>
          <w:rFonts w:ascii="Times New Roman" w:hAnsi="Times New Roman" w:cs="David" w:hint="cs"/>
          <w:sz w:val="24"/>
          <w:szCs w:val="24"/>
          <w:rtl/>
        </w:rPr>
        <w:t>ִ</w:t>
      </w:r>
      <w:r w:rsidRPr="00932614">
        <w:rPr>
          <w:rFonts w:ascii="Times New Roman" w:hAnsi="Times New Roman" w:cs="David" w:hint="cs"/>
          <w:sz w:val="24"/>
          <w:szCs w:val="24"/>
          <w:rtl/>
        </w:rPr>
        <w:t>גמו</w:t>
      </w:r>
      <w:r>
        <w:rPr>
          <w:rFonts w:ascii="Times New Roman" w:hAnsi="Times New Roman" w:cs="David" w:hint="cs"/>
          <w:sz w:val="24"/>
          <w:szCs w:val="24"/>
          <w:rtl/>
        </w:rPr>
        <w:t>ּ</w:t>
      </w:r>
      <w:r w:rsidRPr="00932614">
        <w:rPr>
          <w:rFonts w:ascii="Times New Roman" w:hAnsi="Times New Roman" w:cs="David" w:hint="cs"/>
          <w:sz w:val="24"/>
          <w:szCs w:val="24"/>
          <w:rtl/>
        </w:rPr>
        <w:t>ל ס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מבולי נמוך, ה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עדר ב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טחון תעסוקתי, בדידות, התאגדות כושלת, מאבקי סוכנים, שחיקה וערעור ה</w:t>
      </w:r>
      <w:r>
        <w:rPr>
          <w:rFonts w:ascii="Times New Roman" w:hAnsi="Times New Roman" w:cs="David" w:hint="cs"/>
          <w:sz w:val="24"/>
          <w:szCs w:val="24"/>
          <w:rtl/>
        </w:rPr>
        <w:t>"</w:t>
      </w:r>
      <w:r w:rsidRPr="00932614">
        <w:rPr>
          <w:rFonts w:ascii="Times New Roman" w:hAnsi="Times New Roman" w:cs="David" w:hint="cs"/>
          <w:sz w:val="24"/>
          <w:szCs w:val="24"/>
          <w:rtl/>
        </w:rPr>
        <w:t>עצמי</w:t>
      </w:r>
      <w:r>
        <w:rPr>
          <w:rFonts w:ascii="Times New Roman" w:hAnsi="Times New Roman" w:cs="David" w:hint="cs"/>
          <w:sz w:val="24"/>
          <w:szCs w:val="24"/>
          <w:rtl/>
        </w:rPr>
        <w:t>"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. קיומם </w:t>
      </w:r>
      <w:r>
        <w:rPr>
          <w:rFonts w:ascii="Times New Roman" w:hAnsi="Times New Roman" w:cs="David" w:hint="cs"/>
          <w:sz w:val="24"/>
          <w:szCs w:val="24"/>
          <w:rtl/>
        </w:rPr>
        <w:t>קרא תיגר על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ברית הראשונים </w:t>
      </w:r>
      <w:r>
        <w:rPr>
          <w:rFonts w:ascii="Times New Roman" w:hAnsi="Times New Roman" w:cs="David" w:hint="cs"/>
          <w:sz w:val="24"/>
          <w:szCs w:val="24"/>
          <w:rtl/>
        </w:rPr>
        <w:t xml:space="preserve">והעמיד אותם </w:t>
      </w:r>
      <w:r w:rsidRPr="00932614">
        <w:rPr>
          <w:rFonts w:ascii="Times New Roman" w:hAnsi="Times New Roman" w:cs="David" w:hint="cs"/>
          <w:sz w:val="24"/>
          <w:szCs w:val="24"/>
          <w:rtl/>
        </w:rPr>
        <w:t>ב</w:t>
      </w:r>
      <w:r>
        <w:rPr>
          <w:rFonts w:ascii="Times New Roman" w:hAnsi="Times New Roman" w:cs="David" w:hint="cs"/>
          <w:sz w:val="24"/>
          <w:szCs w:val="24"/>
          <w:rtl/>
        </w:rPr>
        <w:t xml:space="preserve">פני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דילמת נאמנות: </w:t>
      </w:r>
      <w:r>
        <w:rPr>
          <w:rFonts w:ascii="Times New Roman" w:hAnsi="Times New Roman" w:cs="David" w:hint="cs"/>
          <w:sz w:val="24"/>
          <w:szCs w:val="24"/>
          <w:rtl/>
        </w:rPr>
        <w:t xml:space="preserve">האם </w:t>
      </w:r>
      <w:r w:rsidRPr="00932614">
        <w:rPr>
          <w:rFonts w:ascii="Times New Roman" w:hAnsi="Times New Roman" w:cs="David" w:hint="cs"/>
          <w:sz w:val="24"/>
          <w:szCs w:val="24"/>
          <w:rtl/>
        </w:rPr>
        <w:t>להגן על הזהות המקצועית (</w:t>
      </w:r>
      <w:r>
        <w:rPr>
          <w:rFonts w:ascii="Times New Roman" w:hAnsi="Times New Roman" w:cs="David" w:hint="cs"/>
          <w:sz w:val="24"/>
          <w:szCs w:val="24"/>
          <w:rtl/>
        </w:rPr>
        <w:t xml:space="preserve">זו 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מזוהה עם ה</w:t>
      </w:r>
      <w:r>
        <w:rPr>
          <w:rFonts w:ascii="Times New Roman" w:hAnsi="Times New Roman" w:cs="David" w:hint="cs"/>
          <w:sz w:val="24"/>
          <w:szCs w:val="24"/>
          <w:rtl/>
        </w:rPr>
        <w:t>"</w:t>
      </w:r>
      <w:r w:rsidRPr="00932614">
        <w:rPr>
          <w:rFonts w:ascii="Times New Roman" w:hAnsi="Times New Roman" w:cs="David" w:hint="cs"/>
          <w:sz w:val="24"/>
          <w:szCs w:val="24"/>
          <w:rtl/>
        </w:rPr>
        <w:t>עצמי</w:t>
      </w:r>
      <w:r>
        <w:rPr>
          <w:rFonts w:ascii="Times New Roman" w:hAnsi="Times New Roman" w:cs="David" w:hint="cs"/>
          <w:sz w:val="24"/>
          <w:szCs w:val="24"/>
          <w:rtl/>
        </w:rPr>
        <w:t>"</w:t>
      </w:r>
      <w:r w:rsidRPr="00932614">
        <w:rPr>
          <w:rFonts w:ascii="Times New Roman" w:hAnsi="Times New Roman" w:cs="David" w:hint="cs"/>
          <w:sz w:val="24"/>
          <w:szCs w:val="24"/>
          <w:rtl/>
        </w:rPr>
        <w:t>) או להיפרד ממנה? בשלבים הראשונים</w:t>
      </w:r>
      <w:r w:rsidRPr="002374E0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הבניית הזהות המקצועית כתוצר של הדילמה בחרה לתחזק את ברית הראשונים הרגרסיבית </w:t>
      </w:r>
      <w:r>
        <w:rPr>
          <w:rFonts w:ascii="Times New Roman" w:hAnsi="Times New Roman" w:cs="David" w:hint="cs"/>
          <w:sz w:val="24"/>
          <w:szCs w:val="24"/>
          <w:rtl/>
        </w:rPr>
        <w:t>באמצעות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/>
          <w:sz w:val="24"/>
          <w:szCs w:val="24"/>
          <w:rtl/>
        </w:rPr>
        <w:t>אסטרטגיות הגנה יצירתיות</w:t>
      </w:r>
      <w:r w:rsidRPr="00932614">
        <w:rPr>
          <w:rFonts w:ascii="Times New Roman" w:hAnsi="Times New Roman" w:cs="David" w:hint="cs"/>
          <w:sz w:val="24"/>
          <w:szCs w:val="24"/>
          <w:rtl/>
        </w:rPr>
        <w:t>. האסטרטגיות</w:t>
      </w:r>
      <w:r>
        <w:rPr>
          <w:rFonts w:ascii="Times New Roman" w:hAnsi="Times New Roman" w:cs="David" w:hint="cs"/>
          <w:sz w:val="24"/>
          <w:szCs w:val="24"/>
          <w:rtl/>
        </w:rPr>
        <w:t xml:space="preserve"> האלו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/>
          <w:sz w:val="24"/>
          <w:szCs w:val="24"/>
          <w:rtl/>
        </w:rPr>
        <w:t>כללו שיח רציונלי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/>
          <w:sz w:val="24"/>
          <w:szCs w:val="24"/>
          <w:rtl/>
        </w:rPr>
        <w:t>התמעוטי, ייסוד רשתות תמיכה בלתי פורמליות, מורטוריו</w:t>
      </w:r>
      <w:r>
        <w:rPr>
          <w:rFonts w:ascii="Times New Roman" w:hAnsi="Times New Roman" w:cs="David" w:hint="cs"/>
          <w:sz w:val="24"/>
          <w:szCs w:val="24"/>
          <w:rtl/>
        </w:rPr>
        <w:t>ּ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ת שאינה קצובה בזמן, שיח מינורי </w:t>
      </w:r>
      <w:r w:rsidRPr="00932614">
        <w:rPr>
          <w:rFonts w:ascii="Times New Roman" w:hAnsi="Times New Roman" w:cs="David" w:hint="cs"/>
          <w:sz w:val="24"/>
          <w:szCs w:val="24"/>
          <w:rtl/>
        </w:rPr>
        <w:t>שנשא ונתן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עם סיווגים מופנמים ו"דרישות גבול"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>
        <w:rPr>
          <w:rFonts w:ascii="Times New Roman" w:hAnsi="Times New Roman" w:cs="David"/>
          <w:sz w:val="24"/>
          <w:szCs w:val="24"/>
        </w:rPr>
        <w:t>b</w:t>
      </w:r>
      <w:r w:rsidRPr="00932614">
        <w:rPr>
          <w:rFonts w:ascii="Times New Roman" w:hAnsi="Times New Roman" w:cs="David"/>
          <w:sz w:val="24"/>
          <w:szCs w:val="24"/>
        </w:rPr>
        <w:t>oundary claims</w:t>
      </w:r>
      <w:r>
        <w:rPr>
          <w:rFonts w:ascii="Times New Roman" w:hAnsi="Times New Roman" w:cs="David" w:hint="cs"/>
          <w:sz w:val="24"/>
          <w:szCs w:val="24"/>
          <w:rtl/>
        </w:rPr>
        <w:t>)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להשוואת תנאי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עבודה </w:t>
      </w:r>
      <w:r>
        <w:rPr>
          <w:rFonts w:ascii="Times New Roman" w:hAnsi="Times New Roman" w:cs="David" w:hint="cs"/>
          <w:sz w:val="24"/>
          <w:szCs w:val="24"/>
          <w:rtl/>
        </w:rPr>
        <w:t>לאלה של העוסקים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ב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מקצועות אחרים</w:t>
      </w:r>
      <w:r>
        <w:rPr>
          <w:rFonts w:ascii="Times New Roman" w:hAnsi="Times New Roman" w:cs="David" w:hint="cs"/>
          <w:sz w:val="24"/>
          <w:szCs w:val="24"/>
          <w:rtl/>
        </w:rPr>
        <w:t>,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כמו </w:t>
      </w:r>
      <w:r>
        <w:rPr>
          <w:rFonts w:ascii="Times New Roman" w:hAnsi="Times New Roman" w:cs="David" w:hint="cs"/>
          <w:sz w:val="24"/>
          <w:szCs w:val="24"/>
          <w:rtl/>
        </w:rPr>
        <w:t xml:space="preserve">למשל </w:t>
      </w:r>
      <w:r w:rsidRPr="00932614">
        <w:rPr>
          <w:rFonts w:ascii="Times New Roman" w:hAnsi="Times New Roman" w:cs="David" w:hint="cs"/>
          <w:sz w:val="24"/>
          <w:szCs w:val="24"/>
          <w:rtl/>
        </w:rPr>
        <w:t>במאים בת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אטרון הממוסד 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אנשי חינוך וטיפול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 w:rsidRPr="00932614">
        <w:rPr>
          <w:rFonts w:ascii="Times New Roman" w:hAnsi="Times New Roman" w:cs="David"/>
          <w:sz w:val="24"/>
          <w:szCs w:val="24"/>
        </w:rPr>
        <w:t>Bucher et al., 2016</w:t>
      </w:r>
      <w:r>
        <w:rPr>
          <w:rFonts w:ascii="Times New Roman" w:hAnsi="Times New Roman" w:cs="David" w:hint="cs"/>
          <w:sz w:val="24"/>
          <w:szCs w:val="24"/>
          <w:rtl/>
        </w:rPr>
        <w:t>)</w:t>
      </w:r>
      <w:r w:rsidRPr="00932614">
        <w:rPr>
          <w:rFonts w:ascii="Times New Roman" w:hAnsi="Times New Roman" w:cs="David"/>
          <w:sz w:val="24"/>
          <w:szCs w:val="24"/>
          <w:rtl/>
        </w:rPr>
        <w:t>.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אסטרטגיות ההגנה אפשרו ל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סוכנים לשמור על חלקים מפנטזיית ברית הראשונים </w:t>
      </w:r>
      <w:r>
        <w:rPr>
          <w:rFonts w:ascii="Times New Roman" w:hAnsi="Times New Roman" w:cs="David" w:hint="cs"/>
          <w:sz w:val="24"/>
          <w:szCs w:val="24"/>
          <w:rtl/>
        </w:rPr>
        <w:t xml:space="preserve">אשר הם </w:t>
      </w:r>
      <w:r w:rsidRPr="00932614">
        <w:rPr>
          <w:rFonts w:ascii="Times New Roman" w:hAnsi="Times New Roman" w:cs="David"/>
          <w:sz w:val="24"/>
          <w:szCs w:val="24"/>
          <w:rtl/>
        </w:rPr>
        <w:t>ייחסו לזהותם המקצועית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, </w:t>
      </w:r>
      <w:r>
        <w:rPr>
          <w:rFonts w:ascii="Times New Roman" w:hAnsi="Times New Roman" w:cs="David" w:hint="cs"/>
          <w:sz w:val="24"/>
          <w:szCs w:val="24"/>
          <w:rtl/>
        </w:rPr>
        <w:t xml:space="preserve">זהות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שנתפסה 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כמשהה </w:t>
      </w:r>
      <w:r w:rsidRPr="00932614">
        <w:rPr>
          <w:rFonts w:ascii="Times New Roman" w:hAnsi="Times New Roman" w:cs="David" w:hint="cs"/>
          <w:sz w:val="24"/>
          <w:szCs w:val="24"/>
          <w:rtl/>
        </w:rPr>
        <w:t>הסללות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לסדר הנורמטיבי של המקצועות ומאפשרת המשך בירור מורטורי של זהותם</w:t>
      </w:r>
      <w:r w:rsidRPr="00932614">
        <w:rPr>
          <w:rFonts w:ascii="Times New Roman" w:hAnsi="Times New Roman" w:cs="David" w:hint="cs"/>
          <w:sz w:val="24"/>
          <w:szCs w:val="24"/>
          <w:rtl/>
        </w:rPr>
        <w:t>.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 xml:space="preserve">לעומת זאת </w:t>
      </w:r>
      <w:r w:rsidRPr="00932614">
        <w:rPr>
          <w:rFonts w:ascii="Times New Roman" w:hAnsi="Times New Roman" w:cs="David"/>
          <w:sz w:val="24"/>
          <w:szCs w:val="24"/>
          <w:rtl/>
        </w:rPr>
        <w:t>השקע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סימביוטית </w:t>
      </w:r>
      <w:r>
        <w:rPr>
          <w:rFonts w:ascii="Times New Roman" w:hAnsi="Times New Roman" w:cs="David" w:hint="cs"/>
          <w:sz w:val="24"/>
          <w:szCs w:val="24"/>
          <w:rtl/>
        </w:rPr>
        <w:t xml:space="preserve">שלהם 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במקצועם </w:t>
      </w:r>
      <w:r>
        <w:rPr>
          <w:rFonts w:ascii="Times New Roman" w:hAnsi="Times New Roman" w:cs="David" w:hint="cs"/>
          <w:sz w:val="24"/>
          <w:szCs w:val="24"/>
          <w:rtl/>
        </w:rPr>
        <w:t xml:space="preserve">גרמה להם להיות 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פגיעים בניהול משא ומתן </w:t>
      </w:r>
      <w:r>
        <w:rPr>
          <w:rFonts w:ascii="Times New Roman" w:hAnsi="Times New Roman" w:cs="David" w:hint="cs"/>
          <w:sz w:val="24"/>
          <w:szCs w:val="24"/>
          <w:rtl/>
        </w:rPr>
        <w:t xml:space="preserve">על </w:t>
      </w:r>
      <w:r w:rsidRPr="00932614">
        <w:rPr>
          <w:rFonts w:ascii="Times New Roman" w:hAnsi="Times New Roman" w:cs="David"/>
          <w:sz w:val="24"/>
          <w:szCs w:val="24"/>
          <w:rtl/>
        </w:rPr>
        <w:t>אודות תנאי עבודתם והתפתחותם המקצועית. ה"עצמי"</w:t>
      </w:r>
      <w:r>
        <w:rPr>
          <w:rFonts w:ascii="Times New Roman" w:hAnsi="Times New Roman" w:cs="David" w:hint="cs"/>
          <w:sz w:val="24"/>
          <w:szCs w:val="24"/>
          <w:rtl/>
        </w:rPr>
        <w:t xml:space="preserve"> היה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לסוכן חברתי ש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דיכא את התפתחותו המקצועית </w:t>
      </w:r>
      <w:r>
        <w:rPr>
          <w:rFonts w:ascii="Times New Roman" w:hAnsi="Times New Roman" w:cs="David" w:hint="cs"/>
          <w:sz w:val="24"/>
          <w:szCs w:val="24"/>
          <w:rtl/>
        </w:rPr>
        <w:t>ל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נוכח הכוח שהופעל עליו והופנם על ידו. </w:t>
      </w:r>
    </w:p>
    <w:p w14:paraId="04892938" w14:textId="77777777" w:rsidR="008255C0" w:rsidRPr="00932614" w:rsidRDefault="008255C0" w:rsidP="008255C0">
      <w:pPr>
        <w:spacing w:line="360" w:lineRule="auto"/>
        <w:jc w:val="both"/>
        <w:rPr>
          <w:rFonts w:ascii="Times New Roman" w:hAnsi="Times New Roman" w:cs="David"/>
          <w:b/>
          <w:bCs/>
          <w:sz w:val="24"/>
          <w:szCs w:val="24"/>
          <w:rtl/>
        </w:rPr>
      </w:pPr>
      <w:r w:rsidRPr="00932614">
        <w:rPr>
          <w:rFonts w:ascii="Times New Roman" w:hAnsi="Times New Roman" w:cs="David" w:hint="cs"/>
          <w:sz w:val="24"/>
          <w:szCs w:val="24"/>
          <w:rtl/>
        </w:rPr>
        <w:t>עוד נחשף כי תאוריית ה"נגד" של הת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אטרון הקהילתי עברה טרנספורמציה</w:t>
      </w:r>
      <w:r>
        <w:rPr>
          <w:rFonts w:ascii="Times New Roman" w:hAnsi="Times New Roman" w:cs="David" w:hint="cs"/>
          <w:sz w:val="24"/>
          <w:szCs w:val="24"/>
          <w:rtl/>
        </w:rPr>
        <w:t xml:space="preserve"> והתאפיינה במשא ומתן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 xml:space="preserve">על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מבעיה הפוליטיים </w:t>
      </w:r>
      <w:r>
        <w:rPr>
          <w:rFonts w:ascii="Times New Roman" w:hAnsi="Times New Roman" w:cs="David" w:hint="cs"/>
          <w:sz w:val="24"/>
          <w:szCs w:val="24"/>
          <w:rtl/>
        </w:rPr>
        <w:t>ל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נוכח תנאים </w:t>
      </w:r>
      <w:r>
        <w:rPr>
          <w:rFonts w:ascii="Times New Roman" w:hAnsi="Times New Roman" w:cs="David" w:hint="cs"/>
          <w:sz w:val="24"/>
          <w:szCs w:val="24"/>
          <w:rtl/>
        </w:rPr>
        <w:t>מזדמנ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ים בסביבה המוסדית. </w:t>
      </w:r>
      <w:r>
        <w:rPr>
          <w:rFonts w:ascii="Times New Roman" w:hAnsi="Times New Roman" w:cs="David" w:hint="cs"/>
          <w:sz w:val="24"/>
          <w:szCs w:val="24"/>
          <w:rtl/>
        </w:rPr>
        <w:t xml:space="preserve">מבעים </w:t>
      </w:r>
      <w:r w:rsidRPr="00932614">
        <w:rPr>
          <w:rFonts w:ascii="Times New Roman" w:hAnsi="Times New Roman" w:cs="David" w:hint="cs"/>
          <w:sz w:val="24"/>
          <w:szCs w:val="24"/>
          <w:rtl/>
        </w:rPr>
        <w:t>אלה אופיינו במחקר כ"מינוריים" (התמעוטיים)</w:t>
      </w:r>
      <w:r>
        <w:rPr>
          <w:rFonts w:ascii="Times New Roman" w:hAnsi="Times New Roman" w:cs="David" w:hint="cs"/>
          <w:sz w:val="24"/>
          <w:szCs w:val="24"/>
          <w:rtl/>
        </w:rPr>
        <w:t>,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ל</w:t>
      </w:r>
      <w:r>
        <w:rPr>
          <w:rFonts w:ascii="Times New Roman" w:hAnsi="Times New Roman" w:cs="David" w:hint="cs"/>
          <w:sz w:val="24"/>
          <w:szCs w:val="24"/>
          <w:rtl/>
        </w:rPr>
        <w:t xml:space="preserve">פי </w:t>
      </w:r>
      <w:r w:rsidRPr="00932614">
        <w:rPr>
          <w:rFonts w:ascii="Times New Roman" w:hAnsi="Times New Roman" w:cs="David" w:hint="cs"/>
          <w:sz w:val="24"/>
          <w:szCs w:val="24"/>
          <w:rtl/>
        </w:rPr>
        <w:t>שיטתם של דלז וגואטרי</w:t>
      </w:r>
      <w:r w:rsidRPr="00932614">
        <w:rPr>
          <w:rFonts w:ascii="Times New Roman" w:hAnsi="Times New Roman" w:cs="David"/>
          <w:sz w:val="24"/>
          <w:szCs w:val="24"/>
          <w:rtl/>
        </w:rPr>
        <w:t>,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ו</w:t>
      </w:r>
      <w:r>
        <w:rPr>
          <w:rFonts w:ascii="Times New Roman" w:hAnsi="Times New Roman" w:cs="David" w:hint="cs"/>
          <w:sz w:val="24"/>
          <w:szCs w:val="24"/>
          <w:rtl/>
        </w:rPr>
        <w:t xml:space="preserve">הם 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מו</w:t>
      </w:r>
      <w:r>
        <w:rPr>
          <w:rFonts w:ascii="Times New Roman" w:hAnsi="Times New Roman" w:cs="David" w:hint="cs"/>
          <w:sz w:val="24"/>
          <w:szCs w:val="24"/>
          <w:rtl/>
        </w:rPr>
        <w:t>ינ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ו לחמש פרקטיקות </w:t>
      </w:r>
      <w:r>
        <w:rPr>
          <w:rFonts w:ascii="Times New Roman" w:hAnsi="Times New Roman" w:cs="David" w:hint="cs"/>
          <w:sz w:val="24"/>
          <w:szCs w:val="24"/>
          <w:rtl/>
        </w:rPr>
        <w:t>של הבניית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זהות מקצועית שהוגדרו בהשראת המושג "משטרי ערך"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 w:rsidRPr="00932614">
        <w:rPr>
          <w:rFonts w:ascii="Times New Roman" w:hAnsi="Times New Roman" w:cs="David"/>
          <w:sz w:val="24"/>
          <w:szCs w:val="24"/>
        </w:rPr>
        <w:t>regimes of value</w:t>
      </w:r>
      <w:r>
        <w:rPr>
          <w:rFonts w:ascii="Times New Roman" w:hAnsi="Times New Roman" w:cs="David" w:hint="cs"/>
          <w:sz w:val="24"/>
          <w:szCs w:val="24"/>
          <w:rtl/>
        </w:rPr>
        <w:t>)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של פראו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 w:rsidRPr="00932614">
        <w:rPr>
          <w:rFonts w:ascii="Times New Roman" w:hAnsi="Times New Roman" w:cs="David" w:hint="cs"/>
          <w:sz w:val="24"/>
          <w:szCs w:val="24"/>
        </w:rPr>
        <w:t>F</w:t>
      </w:r>
      <w:r w:rsidRPr="00932614">
        <w:rPr>
          <w:rFonts w:ascii="Times New Roman" w:hAnsi="Times New Roman" w:cs="David"/>
          <w:sz w:val="24"/>
          <w:szCs w:val="24"/>
        </w:rPr>
        <w:t>row</w:t>
      </w:r>
      <w:r>
        <w:rPr>
          <w:rFonts w:ascii="Times New Roman" w:hAnsi="Times New Roman" w:cs="David" w:hint="cs"/>
          <w:sz w:val="24"/>
          <w:szCs w:val="24"/>
          <w:rtl/>
        </w:rPr>
        <w:t>)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. ניתוח זה הניח את היסודות להבניית תאוריה מחקרית מעוגנת ממצאים: </w:t>
      </w:r>
      <w:r w:rsidRPr="00932614">
        <w:rPr>
          <w:rFonts w:ascii="Times New Roman" w:hAnsi="Times New Roman" w:cs="David"/>
          <w:b/>
          <w:bCs/>
          <w:sz w:val="24"/>
          <w:szCs w:val="24"/>
          <w:rtl/>
        </w:rPr>
        <w:t>"</w:t>
      </w:r>
      <w:r w:rsidRPr="00932614">
        <w:rPr>
          <w:rFonts w:ascii="Times New Roman" w:hAnsi="Times New Roman" w:cs="David" w:hint="cs"/>
          <w:b/>
          <w:bCs/>
          <w:sz w:val="24"/>
          <w:szCs w:val="24"/>
          <w:rtl/>
        </w:rPr>
        <w:t>משטרי הערך המינורי כ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ַ</w:t>
      </w:r>
      <w:r w:rsidRPr="00932614">
        <w:rPr>
          <w:rFonts w:ascii="Times New Roman" w:hAnsi="Times New Roman" w:cs="David" w:hint="cs"/>
          <w:b/>
          <w:bCs/>
          <w:sz w:val="24"/>
          <w:szCs w:val="24"/>
          <w:rtl/>
        </w:rPr>
        <w:t>מבנ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ֵ</w:t>
      </w:r>
      <w:r w:rsidRPr="00932614">
        <w:rPr>
          <w:rFonts w:ascii="Times New Roman" w:hAnsi="Times New Roman" w:cs="David" w:hint="cs"/>
          <w:b/>
          <w:bCs/>
          <w:sz w:val="24"/>
          <w:szCs w:val="24"/>
          <w:rtl/>
        </w:rPr>
        <w:t>י זהות מקצועית"</w:t>
      </w:r>
      <w:r w:rsidRPr="00932614">
        <w:rPr>
          <w:rFonts w:ascii="Times New Roman" w:hAnsi="Times New Roman" w:cs="David" w:hint="cs"/>
          <w:sz w:val="24"/>
          <w:szCs w:val="24"/>
          <w:rtl/>
        </w:rPr>
        <w:t>.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</w:p>
    <w:p w14:paraId="1CFEEBBD" w14:textId="77777777" w:rsidR="008255C0" w:rsidRPr="00932614" w:rsidRDefault="008255C0" w:rsidP="008255C0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932614">
        <w:rPr>
          <w:rFonts w:ascii="Times New Roman" w:hAnsi="Times New Roman" w:cs="David" w:hint="cs"/>
          <w:sz w:val="24"/>
          <w:szCs w:val="24"/>
          <w:rtl/>
        </w:rPr>
        <w:t>"משטרי הערך המינורי" פ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רשו את הממד ה"פוליטי" של המקצוע כהפנמת ה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גיון של "מילוט" מהסדרה ממסדית מז'ורית. הם התבטאו כ"רעיון"</w:t>
      </w:r>
      <w:r>
        <w:rPr>
          <w:rFonts w:ascii="Times New Roman" w:hAnsi="Times New Roman" w:cs="David" w:hint="cs"/>
          <w:sz w:val="24"/>
          <w:szCs w:val="24"/>
          <w:rtl/>
        </w:rPr>
        <w:t>,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כ</w:t>
      </w:r>
      <w:r>
        <w:rPr>
          <w:rFonts w:ascii="Times New Roman" w:hAnsi="Times New Roman" w:cs="David" w:hint="cs"/>
          <w:sz w:val="24"/>
          <w:szCs w:val="24"/>
          <w:rtl/>
        </w:rPr>
        <w:t>"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תכונה" </w:t>
      </w:r>
      <w:proofErr w:type="spellStart"/>
      <w:r w:rsidRPr="00932614">
        <w:rPr>
          <w:rFonts w:ascii="Times New Roman" w:hAnsi="Times New Roman" w:cs="David" w:hint="cs"/>
          <w:sz w:val="24"/>
          <w:szCs w:val="24"/>
          <w:rtl/>
        </w:rPr>
        <w:t>ו</w:t>
      </w:r>
      <w:r>
        <w:rPr>
          <w:rFonts w:ascii="Times New Roman" w:hAnsi="Times New Roman" w:cs="David" w:hint="cs"/>
          <w:sz w:val="24"/>
          <w:szCs w:val="24"/>
          <w:rtl/>
        </w:rPr>
        <w:t>כ</w:t>
      </w:r>
      <w:r w:rsidRPr="00932614">
        <w:rPr>
          <w:rFonts w:ascii="Times New Roman" w:hAnsi="Times New Roman" w:cs="David" w:hint="cs"/>
          <w:sz w:val="24"/>
          <w:szCs w:val="24"/>
          <w:rtl/>
        </w:rPr>
        <w:t>"אסטרטגיית</w:t>
      </w:r>
      <w:proofErr w:type="spellEnd"/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הגנה" מפני אלימות סימבולית שהופנתה </w:t>
      </w:r>
      <w:r>
        <w:rPr>
          <w:rFonts w:ascii="Times New Roman" w:hAnsi="Times New Roman" w:cs="David" w:hint="cs"/>
          <w:sz w:val="24"/>
          <w:szCs w:val="24"/>
          <w:rtl/>
        </w:rPr>
        <w:t>אל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הזהות המקצועית המוחלשת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מבחינה א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מנותית ו</w:t>
      </w:r>
      <w:r>
        <w:rPr>
          <w:rFonts w:ascii="Times New Roman" w:hAnsi="Times New Roman" w:cs="David" w:hint="cs"/>
          <w:sz w:val="24"/>
          <w:szCs w:val="24"/>
          <w:rtl/>
        </w:rPr>
        <w:t xml:space="preserve">מבחינה </w:t>
      </w:r>
      <w:r w:rsidRPr="00932614">
        <w:rPr>
          <w:rFonts w:ascii="Times New Roman" w:hAnsi="Times New Roman" w:cs="David" w:hint="cs"/>
          <w:sz w:val="24"/>
          <w:szCs w:val="24"/>
          <w:rtl/>
        </w:rPr>
        <w:t>חברתית</w:t>
      </w:r>
      <w:r>
        <w:rPr>
          <w:rFonts w:ascii="Times New Roman" w:hAnsi="Times New Roman" w:cs="David" w:hint="cs"/>
          <w:sz w:val="24"/>
          <w:szCs w:val="24"/>
          <w:rtl/>
        </w:rPr>
        <w:t>)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הערכים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ה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מינוריים "מושטרו" בתחום בשיח מקצועי רציונלי ודוגמטי. </w:t>
      </w:r>
      <w:bookmarkStart w:id="0" w:name="_Hlk123470448"/>
      <w:r w:rsidRPr="00932614">
        <w:rPr>
          <w:rFonts w:ascii="Times New Roman" w:hAnsi="Times New Roman" w:cs="David" w:hint="cs"/>
          <w:sz w:val="24"/>
          <w:szCs w:val="24"/>
          <w:rtl/>
        </w:rPr>
        <w:t>ב</w:t>
      </w:r>
      <w:r>
        <w:rPr>
          <w:rFonts w:ascii="Times New Roman" w:hAnsi="Times New Roman" w:cs="David" w:hint="cs"/>
          <w:sz w:val="24"/>
          <w:szCs w:val="24"/>
          <w:rtl/>
        </w:rPr>
        <w:t>ד בבד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הם </w:t>
      </w:r>
      <w:r>
        <w:rPr>
          <w:rFonts w:ascii="Times New Roman" w:hAnsi="Times New Roman" w:cs="David" w:hint="cs"/>
          <w:sz w:val="24"/>
          <w:szCs w:val="24"/>
          <w:rtl/>
        </w:rPr>
        <w:t>קראו תיגר על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גישות שגורות המייחסו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proofErr w:type="spellStart"/>
      <w:r w:rsidRPr="00932614">
        <w:rPr>
          <w:rFonts w:ascii="Times New Roman" w:hAnsi="Times New Roman" w:cs="David" w:hint="cs"/>
          <w:sz w:val="24"/>
          <w:szCs w:val="24"/>
          <w:rtl/>
        </w:rPr>
        <w:t>ל"</w:t>
      </w:r>
      <w:r w:rsidRPr="00932614">
        <w:rPr>
          <w:rFonts w:ascii="Times New Roman" w:hAnsi="Times New Roman" w:cs="David"/>
          <w:sz w:val="24"/>
          <w:szCs w:val="24"/>
          <w:rtl/>
        </w:rPr>
        <w:t>מקצ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ועיו</w:t>
      </w:r>
      <w:r>
        <w:rPr>
          <w:rFonts w:ascii="Times New Roman" w:hAnsi="Times New Roman" w:cs="David" w:hint="cs"/>
          <w:sz w:val="24"/>
          <w:szCs w:val="24"/>
          <w:rtl/>
        </w:rPr>
        <w:t>ּ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ת</w:t>
      </w:r>
      <w:proofErr w:type="spellEnd"/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" </w:t>
      </w:r>
      <w:r>
        <w:rPr>
          <w:rFonts w:ascii="Times New Roman" w:hAnsi="Times New Roman" w:cs="David" w:hint="cs"/>
          <w:sz w:val="24"/>
          <w:szCs w:val="24"/>
          <w:rtl/>
        </w:rPr>
        <w:t xml:space="preserve">ערך 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מז'ורי או מינורי</w:t>
      </w:r>
      <w:bookmarkEnd w:id="0"/>
      <w:r w:rsidRPr="00932614">
        <w:rPr>
          <w:rFonts w:ascii="Times New Roman" w:hAnsi="Times New Roman" w:cs="David" w:hint="cs"/>
          <w:sz w:val="24"/>
          <w:szCs w:val="24"/>
          <w:rtl/>
        </w:rPr>
        <w:t>. קיומם של משטרי הערך המינורי א</w:t>
      </w:r>
      <w:r>
        <w:rPr>
          <w:rFonts w:ascii="Times New Roman" w:hAnsi="Times New Roman" w:cs="David" w:hint="cs"/>
          <w:sz w:val="24"/>
          <w:szCs w:val="24"/>
          <w:rtl/>
        </w:rPr>
        <w:t>ִ</w:t>
      </w:r>
      <w:r w:rsidRPr="00932614">
        <w:rPr>
          <w:rFonts w:ascii="Times New Roman" w:hAnsi="Times New Roman" w:cs="David" w:hint="cs"/>
          <w:sz w:val="24"/>
          <w:szCs w:val="24"/>
          <w:rtl/>
        </w:rPr>
        <w:t>פשר לסוכנים להאריך את הברית הסימביוטית ש</w:t>
      </w:r>
      <w:r>
        <w:rPr>
          <w:rFonts w:ascii="Times New Roman" w:hAnsi="Times New Roman" w:cs="David" w:hint="cs"/>
          <w:sz w:val="24"/>
          <w:szCs w:val="24"/>
          <w:rtl/>
        </w:rPr>
        <w:t xml:space="preserve">הם </w:t>
      </w:r>
      <w:r w:rsidRPr="00932614">
        <w:rPr>
          <w:rFonts w:ascii="Times New Roman" w:hAnsi="Times New Roman" w:cs="David" w:hint="cs"/>
          <w:sz w:val="24"/>
          <w:szCs w:val="24"/>
          <w:rtl/>
        </w:rPr>
        <w:t>כרתו עם מקצועם, אולם תחזוקת</w:t>
      </w:r>
      <w:r>
        <w:rPr>
          <w:rFonts w:ascii="Times New Roman" w:hAnsi="Times New Roman" w:cs="David" w:hint="cs"/>
          <w:sz w:val="24"/>
          <w:szCs w:val="24"/>
          <w:rtl/>
        </w:rPr>
        <w:t xml:space="preserve"> הברית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לאורך זמן </w:t>
      </w:r>
      <w:r w:rsidRPr="00932614">
        <w:rPr>
          <w:rFonts w:ascii="Times New Roman" w:hAnsi="Times New Roman" w:cs="David"/>
          <w:sz w:val="24"/>
          <w:szCs w:val="24"/>
          <w:rtl/>
        </w:rPr>
        <w:t>שחקה רבים מה</w:t>
      </w:r>
      <w:r w:rsidRPr="00932614">
        <w:rPr>
          <w:rFonts w:ascii="Times New Roman" w:hAnsi="Times New Roman" w:cs="David" w:hint="cs"/>
          <w:sz w:val="24"/>
          <w:szCs w:val="24"/>
          <w:rtl/>
        </w:rPr>
        <w:t>ם</w:t>
      </w:r>
      <w:r>
        <w:rPr>
          <w:rFonts w:ascii="Times New Roman" w:hAnsi="Times New Roman" w:cs="David" w:hint="cs"/>
          <w:sz w:val="24"/>
          <w:szCs w:val="24"/>
          <w:rtl/>
        </w:rPr>
        <w:t xml:space="preserve"> –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 xml:space="preserve">הללו 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נאלצו לתבוע </w:t>
      </w:r>
      <w:r>
        <w:rPr>
          <w:rFonts w:ascii="Times New Roman" w:hAnsi="Times New Roman" w:cs="David" w:hint="cs"/>
          <w:sz w:val="24"/>
          <w:szCs w:val="24"/>
          <w:rtl/>
        </w:rPr>
        <w:t xml:space="preserve">קביעת </w:t>
      </w:r>
      <w:r w:rsidRPr="00932614">
        <w:rPr>
          <w:rFonts w:ascii="Times New Roman" w:hAnsi="Times New Roman" w:cs="David" w:hint="cs"/>
          <w:sz w:val="24"/>
          <w:szCs w:val="24"/>
          <w:rtl/>
        </w:rPr>
        <w:t>ג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בול </w:t>
      </w:r>
      <w:r>
        <w:rPr>
          <w:rFonts w:ascii="Times New Roman" w:hAnsi="Times New Roman" w:cs="David" w:hint="cs"/>
          <w:sz w:val="24"/>
          <w:szCs w:val="24"/>
          <w:rtl/>
        </w:rPr>
        <w:t>לנוכח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ה</w:t>
      </w:r>
      <w:r w:rsidRPr="00932614">
        <w:rPr>
          <w:rFonts w:ascii="Times New Roman" w:hAnsi="Times New Roman" w:cs="David" w:hint="cs"/>
          <w:sz w:val="24"/>
          <w:szCs w:val="24"/>
          <w:rtl/>
        </w:rPr>
        <w:t>תוקפנות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ש</w:t>
      </w:r>
      <w:r>
        <w:rPr>
          <w:rFonts w:ascii="Times New Roman" w:hAnsi="Times New Roman" w:cs="David" w:hint="cs"/>
          <w:sz w:val="24"/>
          <w:szCs w:val="24"/>
          <w:rtl/>
        </w:rPr>
        <w:t xml:space="preserve">הם </w:t>
      </w:r>
      <w:r w:rsidRPr="00932614">
        <w:rPr>
          <w:rFonts w:ascii="Times New Roman" w:hAnsi="Times New Roman" w:cs="David"/>
          <w:sz w:val="24"/>
          <w:szCs w:val="24"/>
          <w:rtl/>
        </w:rPr>
        <w:t>חוו מסביבתם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וגם מעצמם</w:t>
      </w:r>
      <w:r w:rsidRPr="00932614">
        <w:rPr>
          <w:rFonts w:ascii="Times New Roman" w:hAnsi="Times New Roman" w:cs="David"/>
          <w:sz w:val="24"/>
          <w:szCs w:val="24"/>
          <w:rtl/>
        </w:rPr>
        <w:t>.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הצורך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להתגונן </w:t>
      </w:r>
      <w:r w:rsidRPr="00932614">
        <w:rPr>
          <w:rFonts w:ascii="Times New Roman" w:hAnsi="Times New Roman" w:cs="David"/>
          <w:sz w:val="24"/>
          <w:szCs w:val="24"/>
          <w:rtl/>
        </w:rPr>
        <w:t>מ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פני </w:t>
      </w:r>
      <w:r w:rsidRPr="00932614">
        <w:rPr>
          <w:rFonts w:ascii="Times New Roman" w:hAnsi="Times New Roman" w:cs="David"/>
          <w:sz w:val="24"/>
          <w:szCs w:val="24"/>
          <w:rtl/>
        </w:rPr>
        <w:t>האלימות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הסימבולי</w:t>
      </w:r>
      <w:r w:rsidRPr="00932614">
        <w:rPr>
          <w:rFonts w:ascii="Times New Roman" w:hAnsi="Times New Roman" w:cs="David" w:hint="eastAsia"/>
          <w:sz w:val="24"/>
          <w:szCs w:val="24"/>
          <w:rtl/>
        </w:rPr>
        <w:t>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שהופנתה </w:t>
      </w:r>
      <w:r>
        <w:rPr>
          <w:rFonts w:ascii="Times New Roman" w:hAnsi="Times New Roman" w:cs="David" w:hint="cs"/>
          <w:sz w:val="24"/>
          <w:szCs w:val="24"/>
          <w:rtl/>
        </w:rPr>
        <w:t>אל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מקצועם</w:t>
      </w:r>
      <w:r>
        <w:rPr>
          <w:rFonts w:ascii="Times New Roman" w:hAnsi="Times New Roman" w:cs="David" w:hint="cs"/>
          <w:sz w:val="24"/>
          <w:szCs w:val="24"/>
          <w:rtl/>
        </w:rPr>
        <w:t>,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גרם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ל</w:t>
      </w:r>
      <w:r w:rsidRPr="00932614">
        <w:rPr>
          <w:rFonts w:ascii="Times New Roman" w:hAnsi="Times New Roman" w:cs="David"/>
          <w:sz w:val="24"/>
          <w:szCs w:val="24"/>
          <w:rtl/>
        </w:rPr>
        <w:t>חלק מהמרואיינים לה</w:t>
      </w:r>
      <w:r>
        <w:rPr>
          <w:rFonts w:ascii="Times New Roman" w:hAnsi="Times New Roman" w:cs="David" w:hint="cs"/>
          <w:sz w:val="24"/>
          <w:szCs w:val="24"/>
          <w:rtl/>
        </w:rPr>
        <w:t>גביר א</w:t>
      </w:r>
      <w:r w:rsidRPr="00932614">
        <w:rPr>
          <w:rFonts w:ascii="Times New Roman" w:hAnsi="Times New Roman" w:cs="David"/>
          <w:sz w:val="24"/>
          <w:szCs w:val="24"/>
          <w:rtl/>
        </w:rPr>
        <w:t>ת התמעוטם המקצועית</w:t>
      </w:r>
      <w:r>
        <w:rPr>
          <w:rFonts w:ascii="Times New Roman" w:hAnsi="Times New Roman" w:cs="David" w:hint="cs"/>
          <w:sz w:val="24"/>
          <w:szCs w:val="24"/>
          <w:rtl/>
        </w:rPr>
        <w:t>.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אחר</w:t>
      </w:r>
      <w:r>
        <w:rPr>
          <w:rFonts w:ascii="Times New Roman" w:hAnsi="Times New Roman" w:cs="David" w:hint="cs"/>
          <w:sz w:val="24"/>
          <w:szCs w:val="24"/>
          <w:rtl/>
        </w:rPr>
        <w:t>ים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בחר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Pr="00932614">
        <w:rPr>
          <w:rFonts w:ascii="Times New Roman" w:hAnsi="Times New Roman" w:cs="David"/>
          <w:sz w:val="24"/>
          <w:szCs w:val="24"/>
          <w:rtl/>
        </w:rPr>
        <w:t xml:space="preserve"> לעזוב את המקצוע לטובת מקצועות שהתפרשו בעיניהם כחלק מהסדר המז'ורי של המקצועות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. </w:t>
      </w:r>
    </w:p>
    <w:p w14:paraId="7AA67372" w14:textId="019CEA04" w:rsidR="008255C0" w:rsidRPr="00932614" w:rsidRDefault="008255C0" w:rsidP="008255C0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ארבע </w:t>
      </w:r>
      <w:r w:rsidRPr="00932614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מסקנות אינדוקטיביות 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עלו</w:t>
      </w:r>
      <w:r w:rsidRPr="00932614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מ</w:t>
      </w:r>
      <w:r w:rsidRPr="00932614">
        <w:rPr>
          <w:rFonts w:ascii="Times New Roman" w:hAnsi="Times New Roman" w:cs="David" w:hint="cs"/>
          <w:b/>
          <w:bCs/>
          <w:sz w:val="24"/>
          <w:szCs w:val="24"/>
          <w:rtl/>
        </w:rPr>
        <w:t>המחקר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: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 w:rsidRPr="00932614">
        <w:rPr>
          <w:rFonts w:ascii="Times New Roman" w:hAnsi="Times New Roman" w:cs="David" w:hint="cs"/>
          <w:sz w:val="24"/>
          <w:szCs w:val="24"/>
          <w:rtl/>
        </w:rPr>
        <w:t>1) התפתחות קהילת ידע של מקצוע פוליטי בסביבה מוסדית מוגבלת בזמן ובפוטנציה</w:t>
      </w:r>
      <w:r>
        <w:rPr>
          <w:rFonts w:ascii="Times New Roman" w:hAnsi="Times New Roman" w:cs="David" w:hint="cs"/>
          <w:sz w:val="24"/>
          <w:szCs w:val="24"/>
          <w:rtl/>
        </w:rPr>
        <w:t>;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2) "משטרי הערך המינורי" מאריכים לזמן מוגבל </w:t>
      </w:r>
      <w:r>
        <w:rPr>
          <w:rFonts w:ascii="Times New Roman" w:hAnsi="Times New Roman" w:cs="David" w:hint="cs"/>
          <w:sz w:val="24"/>
          <w:szCs w:val="24"/>
          <w:rtl/>
        </w:rPr>
        <w:t>את ה</w:t>
      </w:r>
      <w:r w:rsidRPr="00932614">
        <w:rPr>
          <w:rFonts w:ascii="Times New Roman" w:hAnsi="Times New Roman" w:cs="David" w:hint="cs"/>
          <w:sz w:val="24"/>
          <w:szCs w:val="24"/>
          <w:rtl/>
        </w:rPr>
        <w:t>קיום של תחום פוליטי בסביבה מוסדית</w:t>
      </w:r>
      <w:r>
        <w:rPr>
          <w:rFonts w:ascii="Times New Roman" w:hAnsi="Times New Roman" w:cs="David" w:hint="cs"/>
          <w:sz w:val="24"/>
          <w:szCs w:val="24"/>
          <w:rtl/>
        </w:rPr>
        <w:t>;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3) פיצול פרשני של ערך מקצועי, הביטוס ושפה מקצועית </w:t>
      </w:r>
      <w:r w:rsidRPr="00932614">
        <w:rPr>
          <w:rFonts w:ascii="Times New Roman" w:hAnsi="Times New Roman" w:cs="David" w:hint="cs"/>
          <w:sz w:val="24"/>
          <w:szCs w:val="24"/>
          <w:rtl/>
        </w:rPr>
        <w:lastRenderedPageBreak/>
        <w:t>מאריכים לזמן מוגבל את קיום המקצוע הפוליטי בסביבה המוסדית</w:t>
      </w:r>
      <w:r>
        <w:rPr>
          <w:rFonts w:ascii="Times New Roman" w:hAnsi="Times New Roman" w:cs="David" w:hint="cs"/>
          <w:sz w:val="24"/>
          <w:szCs w:val="24"/>
          <w:rtl/>
        </w:rPr>
        <w:t>;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>(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4) ידע סמוי של מקצוע יכול לאיים על הבניה ותחזוקה של זהות מקצועית חיונית. </w:t>
      </w:r>
    </w:p>
    <w:p w14:paraId="5EA7C8AF" w14:textId="77777777" w:rsidR="008255C0" w:rsidRPr="00932614" w:rsidRDefault="008255C0" w:rsidP="008255C0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ברוח זו קוראות </w:t>
      </w:r>
      <w:r w:rsidRPr="00932614">
        <w:rPr>
          <w:rFonts w:ascii="Times New Roman" w:hAnsi="Times New Roman" w:cs="David" w:hint="cs"/>
          <w:b/>
          <w:bCs/>
          <w:sz w:val="24"/>
          <w:szCs w:val="24"/>
          <w:rtl/>
        </w:rPr>
        <w:t>מסקנותיו היישומיות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של חיבור זה להעמ</w:t>
      </w:r>
      <w:r>
        <w:rPr>
          <w:rFonts w:ascii="Times New Roman" w:hAnsi="Times New Roman" w:cs="David" w:hint="cs"/>
          <w:sz w:val="24"/>
          <w:szCs w:val="24"/>
          <w:rtl/>
        </w:rPr>
        <w:t>י</w:t>
      </w:r>
      <w:r w:rsidRPr="00932614">
        <w:rPr>
          <w:rFonts w:ascii="Times New Roman" w:hAnsi="Times New Roman" w:cs="David" w:hint="cs"/>
          <w:sz w:val="24"/>
          <w:szCs w:val="24"/>
          <w:rtl/>
        </w:rPr>
        <w:t>ק</w:t>
      </w:r>
      <w:r>
        <w:rPr>
          <w:rFonts w:ascii="Times New Roman" w:hAnsi="Times New Roman" w:cs="David" w:hint="cs"/>
          <w:sz w:val="24"/>
          <w:szCs w:val="24"/>
          <w:rtl/>
        </w:rPr>
        <w:t xml:space="preserve"> א</w:t>
      </w:r>
      <w:r w:rsidRPr="00932614">
        <w:rPr>
          <w:rFonts w:ascii="Times New Roman" w:hAnsi="Times New Roman" w:cs="David" w:hint="cs"/>
          <w:sz w:val="24"/>
          <w:szCs w:val="24"/>
          <w:rtl/>
        </w:rPr>
        <w:t>ת המחקר הרפלק</w:t>
      </w:r>
      <w:r>
        <w:rPr>
          <w:rFonts w:ascii="Times New Roman" w:hAnsi="Times New Roman" w:cs="David" w:hint="cs"/>
          <w:sz w:val="24"/>
          <w:szCs w:val="24"/>
          <w:rtl/>
        </w:rPr>
        <w:t>ט</w:t>
      </w:r>
      <w:r w:rsidRPr="00932614">
        <w:rPr>
          <w:rFonts w:ascii="Times New Roman" w:hAnsi="Times New Roman" w:cs="David" w:hint="cs"/>
          <w:sz w:val="24"/>
          <w:szCs w:val="24"/>
          <w:rtl/>
        </w:rPr>
        <w:t>יבי של התחום ולחש</w:t>
      </w:r>
      <w:r>
        <w:rPr>
          <w:rFonts w:ascii="Times New Roman" w:hAnsi="Times New Roman" w:cs="David" w:hint="cs"/>
          <w:sz w:val="24"/>
          <w:szCs w:val="24"/>
          <w:rtl/>
        </w:rPr>
        <w:t>וף א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ת תהליכי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932614">
        <w:rPr>
          <w:rFonts w:ascii="Times New Roman" w:hAnsi="Times New Roman" w:cs="David" w:hint="cs"/>
          <w:sz w:val="24"/>
          <w:szCs w:val="24"/>
          <w:rtl/>
        </w:rPr>
        <w:t>הבני</w:t>
      </w:r>
      <w:r>
        <w:rPr>
          <w:rFonts w:ascii="Times New Roman" w:hAnsi="Times New Roman" w:cs="David" w:hint="cs"/>
          <w:sz w:val="24"/>
          <w:szCs w:val="24"/>
          <w:rtl/>
        </w:rPr>
        <w:t>ה של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ידע מקצועי בצורה ביקורתית. התאמת תאוריות מסורתיות של אמנות חברתית למציאות עכשווית, </w:t>
      </w:r>
      <w:r>
        <w:rPr>
          <w:rFonts w:ascii="Times New Roman" w:hAnsi="Times New Roman" w:cs="David" w:hint="cs"/>
          <w:sz w:val="24"/>
          <w:szCs w:val="24"/>
          <w:rtl/>
        </w:rPr>
        <w:t>בד בב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ד </w:t>
      </w:r>
      <w:r>
        <w:rPr>
          <w:rFonts w:ascii="Times New Roman" w:hAnsi="Times New Roman" w:cs="David" w:hint="cs"/>
          <w:sz w:val="24"/>
          <w:szCs w:val="24"/>
          <w:rtl/>
        </w:rPr>
        <w:t xml:space="preserve">עם 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מיפוי והמש</w:t>
      </w:r>
      <w:r>
        <w:rPr>
          <w:rFonts w:ascii="Times New Roman" w:hAnsi="Times New Roman" w:cs="David" w:hint="cs"/>
          <w:sz w:val="24"/>
          <w:szCs w:val="24"/>
          <w:rtl/>
        </w:rPr>
        <w:t>ָׂ</w:t>
      </w:r>
      <w:r w:rsidRPr="00932614">
        <w:rPr>
          <w:rFonts w:ascii="Times New Roman" w:hAnsi="Times New Roman" w:cs="David" w:hint="cs"/>
          <w:sz w:val="24"/>
          <w:szCs w:val="24"/>
          <w:rtl/>
        </w:rPr>
        <w:t>ג</w:t>
      </w:r>
      <w:r>
        <w:rPr>
          <w:rFonts w:ascii="Times New Roman" w:hAnsi="Times New Roman" w:cs="David" w:hint="cs"/>
          <w:sz w:val="24"/>
          <w:szCs w:val="24"/>
          <w:rtl/>
        </w:rPr>
        <w:t>ה של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פרדוקסים מוב</w:t>
      </w:r>
      <w:r>
        <w:rPr>
          <w:rFonts w:ascii="Times New Roman" w:hAnsi="Times New Roman" w:cs="David" w:hint="cs"/>
          <w:sz w:val="24"/>
          <w:szCs w:val="24"/>
          <w:rtl/>
        </w:rPr>
        <w:t>ְ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נים בתחום, יוכלו לצמצם חלקים סמויים </w:t>
      </w:r>
      <w:r>
        <w:rPr>
          <w:rFonts w:ascii="Times New Roman" w:hAnsi="Times New Roman" w:cs="David" w:hint="cs"/>
          <w:sz w:val="24"/>
          <w:szCs w:val="24"/>
          <w:rtl/>
        </w:rPr>
        <w:t xml:space="preserve">של 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הידע הפרופסיונלי ולהפוך אותו מגורם "מאיים" לגורם </w:t>
      </w:r>
      <w:r>
        <w:rPr>
          <w:rFonts w:ascii="Times New Roman" w:hAnsi="Times New Roman" w:cs="David" w:hint="cs"/>
          <w:sz w:val="24"/>
          <w:szCs w:val="24"/>
          <w:rtl/>
        </w:rPr>
        <w:t xml:space="preserve">אשר </w:t>
      </w:r>
      <w:r w:rsidRPr="00932614">
        <w:rPr>
          <w:rFonts w:ascii="Times New Roman" w:hAnsi="Times New Roman" w:cs="David" w:hint="cs"/>
          <w:sz w:val="24"/>
          <w:szCs w:val="24"/>
          <w:rtl/>
        </w:rPr>
        <w:t>מגבה תהליכי הבני</w:t>
      </w:r>
      <w:r>
        <w:rPr>
          <w:rFonts w:ascii="Times New Roman" w:hAnsi="Times New Roman" w:cs="David" w:hint="cs"/>
          <w:sz w:val="24"/>
          <w:szCs w:val="24"/>
          <w:rtl/>
        </w:rPr>
        <w:t>ה של</w:t>
      </w:r>
      <w:r w:rsidRPr="00932614">
        <w:rPr>
          <w:rFonts w:ascii="Times New Roman" w:hAnsi="Times New Roman" w:cs="David" w:hint="cs"/>
          <w:sz w:val="24"/>
          <w:szCs w:val="24"/>
          <w:rtl/>
        </w:rPr>
        <w:t xml:space="preserve"> מומחיו</w:t>
      </w:r>
      <w:r>
        <w:rPr>
          <w:rFonts w:ascii="Times New Roman" w:hAnsi="Times New Roman" w:cs="David" w:hint="cs"/>
          <w:sz w:val="24"/>
          <w:szCs w:val="24"/>
          <w:rtl/>
        </w:rPr>
        <w:t>ּ</w:t>
      </w:r>
      <w:r w:rsidRPr="00932614">
        <w:rPr>
          <w:rFonts w:ascii="Times New Roman" w:hAnsi="Times New Roman" w:cs="David" w:hint="cs"/>
          <w:sz w:val="24"/>
          <w:szCs w:val="24"/>
          <w:rtl/>
        </w:rPr>
        <w:t>ת וזהות מקצועית.</w:t>
      </w:r>
    </w:p>
    <w:p w14:paraId="65CACD8B" w14:textId="77777777" w:rsidR="00D804AF" w:rsidRDefault="00D804AF"/>
    <w:sectPr w:rsidR="00D804AF" w:rsidSect="00073E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C0"/>
    <w:rsid w:val="00073E55"/>
    <w:rsid w:val="007468C7"/>
    <w:rsid w:val="008255C0"/>
    <w:rsid w:val="00D804AF"/>
    <w:rsid w:val="00E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56905"/>
  <w15:chartTrackingRefBased/>
  <w15:docId w15:val="{CCE4CBF8-820B-442F-8074-35B8E9CE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5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1488</Words>
  <Characters>7440</Characters>
  <Application>Microsoft Office Word</Application>
  <DocSecurity>0</DocSecurity>
  <Lines>62</Lines>
  <Paragraphs>17</Paragraphs>
  <ScaleCrop>false</ScaleCrop>
  <Company/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Shmulik Avidar</dc:creator>
  <cp:keywords/>
  <dc:description/>
  <cp:lastModifiedBy>אוהד לוז</cp:lastModifiedBy>
  <cp:revision>2</cp:revision>
  <dcterms:created xsi:type="dcterms:W3CDTF">2023-01-06T08:51:00Z</dcterms:created>
  <dcterms:modified xsi:type="dcterms:W3CDTF">2023-01-06T08:51:00Z</dcterms:modified>
</cp:coreProperties>
</file>