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1D794" w14:textId="2911F0FE" w:rsidR="00AF1686" w:rsidRPr="004A2B71" w:rsidRDefault="005A6DE7" w:rsidP="004A2B71">
      <w:pPr>
        <w:pStyle w:val="Title"/>
      </w:pPr>
      <w:r w:rsidRPr="004A2B71">
        <w:t>Clarifying</w:t>
      </w:r>
      <w:r w:rsidR="00DE7913" w:rsidRPr="004A2B71">
        <w:t xml:space="preserve"> Ibn Ezra</w:t>
      </w:r>
      <w:r w:rsidR="007E36A3" w:rsidRPr="004A2B71">
        <w:t xml:space="preserve">’ </w:t>
      </w:r>
      <w:r w:rsidR="000835DB" w:rsidRPr="004A2B71">
        <w:t>D</w:t>
      </w:r>
      <w:r w:rsidR="007E36A3" w:rsidRPr="004A2B71">
        <w:t>irective</w:t>
      </w:r>
      <w:r w:rsidRPr="004A2B71">
        <w:t xml:space="preserve"> to</w:t>
      </w:r>
      <w:r w:rsidR="00DE7913" w:rsidRPr="004A2B71">
        <w:t xml:space="preserve"> </w:t>
      </w:r>
      <w:r w:rsidR="000835DB" w:rsidRPr="004A2B71">
        <w:t>N</w:t>
      </w:r>
      <w:r w:rsidR="00DE7913" w:rsidRPr="004A2B71">
        <w:t xml:space="preserve">ot </w:t>
      </w:r>
      <w:r w:rsidR="000835DB" w:rsidRPr="004A2B71">
        <w:t>P</w:t>
      </w:r>
      <w:r w:rsidRPr="004A2B71">
        <w:t xml:space="preserve">ause </w:t>
      </w:r>
      <w:r w:rsidR="00DE7913" w:rsidRPr="004A2B71">
        <w:t xml:space="preserve">at the </w:t>
      </w:r>
      <w:r w:rsidR="000835DB" w:rsidRPr="004A2B71">
        <w:t>E</w:t>
      </w:r>
      <w:r w:rsidR="00DE7913" w:rsidRPr="004A2B71">
        <w:t xml:space="preserve">nd of </w:t>
      </w:r>
      <w:commentRangeStart w:id="0"/>
      <w:commentRangeStart w:id="1"/>
      <w:r w:rsidR="00DE7913" w:rsidRPr="004A2B71">
        <w:t xml:space="preserve">a </w:t>
      </w:r>
      <w:r w:rsidR="000835DB" w:rsidRPr="004A2B71">
        <w:t>V</w:t>
      </w:r>
      <w:r w:rsidR="00DE7913" w:rsidRPr="004A2B71">
        <w:t>erse</w:t>
      </w:r>
      <w:commentRangeEnd w:id="0"/>
      <w:r w:rsidR="00A271FB">
        <w:rPr>
          <w:rStyle w:val="CommentReference"/>
          <w:b w:val="0"/>
          <w:bCs w:val="0"/>
        </w:rPr>
        <w:commentReference w:id="0"/>
      </w:r>
      <w:commentRangeEnd w:id="1"/>
      <w:r w:rsidR="00957C0F">
        <w:rPr>
          <w:rStyle w:val="CommentReference"/>
          <w:b w:val="0"/>
          <w:bCs w:val="0"/>
        </w:rPr>
        <w:commentReference w:id="1"/>
      </w:r>
    </w:p>
    <w:p w14:paraId="0A9278E5" w14:textId="7DE8C0C1" w:rsidR="00DE7913" w:rsidRDefault="007E36A3" w:rsidP="004A2B71">
      <w:r>
        <w:t>Glossing the verse “T</w:t>
      </w:r>
      <w:r w:rsidRPr="007E36A3">
        <w:t>he Jews ordained, and took upon them, and upon their seed</w:t>
      </w:r>
      <w:r>
        <w:t xml:space="preserve">… </w:t>
      </w:r>
      <w:r w:rsidRPr="007E36A3">
        <w:t>that they would keep these two days according to the writing thereof, and according to the appointed time thereof, every year</w:t>
      </w:r>
      <w:r>
        <w:t>” (Est 9:27), Ibn Ezra wrote in his first commentary:</w:t>
      </w:r>
    </w:p>
    <w:p w14:paraId="6F9448E3" w14:textId="3D0A5DBA" w:rsidR="005B21DF" w:rsidRDefault="007E36A3" w:rsidP="004A2B71">
      <w:pPr>
        <w:pStyle w:val="Quote"/>
      </w:pPr>
      <w:r w:rsidRPr="007E36A3">
        <w:t>Its meaning is: The scroll of Esther shall be read.</w:t>
      </w:r>
      <w:r>
        <w:rPr>
          <w:lang w:val="en-US"/>
        </w:rPr>
        <w:t xml:space="preserve"> </w:t>
      </w:r>
      <w:bookmarkStart w:id="2" w:name="_Hlk86651424"/>
      <w:r w:rsidR="005413D1">
        <w:rPr>
          <w:lang w:val="en-US"/>
        </w:rPr>
        <w:t xml:space="preserve">Since </w:t>
      </w:r>
      <w:r w:rsidR="00153C02" w:rsidRPr="007E36A3">
        <w:t>Ezra the Scribe</w:t>
      </w:r>
      <w:r w:rsidR="00726ED6">
        <w:rPr>
          <w:lang w:val="en-US"/>
        </w:rPr>
        <w:t>,</w:t>
      </w:r>
      <w:r w:rsidR="00153C02" w:rsidRPr="007E36A3">
        <w:t xml:space="preserve"> who </w:t>
      </w:r>
      <w:r w:rsidR="004A2B71">
        <w:rPr>
          <w:lang w:val="en-US"/>
        </w:rPr>
        <w:t>was</w:t>
      </w:r>
      <w:r w:rsidR="00153C02" w:rsidRPr="007E36A3">
        <w:t xml:space="preserve"> many years </w:t>
      </w:r>
      <w:r w:rsidR="00C467BA">
        <w:rPr>
          <w:lang w:val="en-US"/>
        </w:rPr>
        <w:t>later</w:t>
      </w:r>
      <w:r w:rsidR="00A65687">
        <w:rPr>
          <w:lang w:val="en-US"/>
        </w:rPr>
        <w:t>,</w:t>
      </w:r>
      <w:r w:rsidR="00C467BA">
        <w:rPr>
          <w:lang w:val="en-US"/>
        </w:rPr>
        <w:t xml:space="preserve"> </w:t>
      </w:r>
      <w:r w:rsidR="004A2B71">
        <w:t>demarcated</w:t>
      </w:r>
      <w:r w:rsidR="00153C02" w:rsidRPr="007E36A3">
        <w:t xml:space="preserve"> </w:t>
      </w:r>
      <w:r w:rsidR="004A2B71">
        <w:t>the verses</w:t>
      </w:r>
      <w:r w:rsidR="005413D1">
        <w:rPr>
          <w:lang w:val="en-US"/>
        </w:rPr>
        <w:t xml:space="preserve">, </w:t>
      </w:r>
      <w:proofErr w:type="spellStart"/>
      <w:r w:rsidR="005413D1">
        <w:rPr>
          <w:lang w:val="en-US"/>
        </w:rPr>
        <w:t>t</w:t>
      </w:r>
      <w:r w:rsidRPr="007E36A3">
        <w:t>he</w:t>
      </w:r>
      <w:proofErr w:type="spellEnd"/>
      <w:r w:rsidRPr="007E36A3">
        <w:t xml:space="preserve"> </w:t>
      </w:r>
      <w:r w:rsidR="009D486E">
        <w:rPr>
          <w:lang w:val="en-US"/>
        </w:rPr>
        <w:t>S</w:t>
      </w:r>
      <w:r w:rsidRPr="007E36A3">
        <w:t xml:space="preserve">ages </w:t>
      </w:r>
      <w:r w:rsidR="00021E73">
        <w:rPr>
          <w:lang w:val="en-US"/>
        </w:rPr>
        <w:t xml:space="preserve">instructed that the reader </w:t>
      </w:r>
      <w:r w:rsidRPr="007E36A3">
        <w:t>should not stop at the end of a verse.</w:t>
      </w:r>
      <w:bookmarkEnd w:id="2"/>
      <w:r w:rsidR="005B21DF">
        <w:rPr>
          <w:rStyle w:val="FootnoteReference"/>
        </w:rPr>
        <w:footnoteReference w:id="1"/>
      </w:r>
    </w:p>
    <w:p w14:paraId="284D243F" w14:textId="1CDEBD37" w:rsidR="00565522" w:rsidRDefault="005B21DF" w:rsidP="004A2B71">
      <w:r w:rsidRPr="005A6DE7">
        <w:t xml:space="preserve">According to </w:t>
      </w:r>
      <w:r w:rsidR="005A6DE7">
        <w:t>this</w:t>
      </w:r>
      <w:r w:rsidRPr="005A6DE7">
        <w:t xml:space="preserve">, given the command to do all that is written in the Megillah, there is an obligation to </w:t>
      </w:r>
      <w:r w:rsidR="005A6DE7">
        <w:t xml:space="preserve">actually </w:t>
      </w:r>
      <w:r w:rsidRPr="005A6DE7">
        <w:t>read it</w:t>
      </w:r>
      <w:r w:rsidR="005A6DE7">
        <w:t>,</w:t>
      </w:r>
      <w:r w:rsidRPr="005A6DE7">
        <w:t xml:space="preserve"> and not just recite it by heart or speak about it.</w:t>
      </w:r>
      <w:commentRangeStart w:id="3"/>
      <w:commentRangeStart w:id="4"/>
      <w:r>
        <w:rPr>
          <w:rStyle w:val="FootnoteReference"/>
        </w:rPr>
        <w:footnoteReference w:id="2"/>
      </w:r>
      <w:commentRangeEnd w:id="3"/>
      <w:r w:rsidR="00FF0242">
        <w:rPr>
          <w:rStyle w:val="CommentReference"/>
        </w:rPr>
        <w:commentReference w:id="3"/>
      </w:r>
      <w:commentRangeEnd w:id="4"/>
      <w:r w:rsidR="00A271FB">
        <w:rPr>
          <w:rStyle w:val="CommentReference"/>
          <w:rtl/>
        </w:rPr>
        <w:commentReference w:id="4"/>
      </w:r>
      <w:r w:rsidR="00FF0242" w:rsidRPr="005A6DE7">
        <w:t xml:space="preserve"> </w:t>
      </w:r>
      <w:r w:rsidR="00C839AB">
        <w:t>Ibn Ezra</w:t>
      </w:r>
      <w:r w:rsidR="00FF0242">
        <w:t xml:space="preserve"> parenthetically added </w:t>
      </w:r>
      <w:r w:rsidR="005A6DE7">
        <w:t>a</w:t>
      </w:r>
      <w:r w:rsidR="00FF0242">
        <w:t xml:space="preserve"> detail pertaining to the reading of the Megillah</w:t>
      </w:r>
      <w:r w:rsidR="005A6DE7">
        <w:t>;</w:t>
      </w:r>
      <w:r w:rsidR="00FF0242">
        <w:t xml:space="preserve"> his </w:t>
      </w:r>
      <w:r w:rsidR="005C44B1">
        <w:t>statement,</w:t>
      </w:r>
      <w:r w:rsidR="00FF0242">
        <w:t xml:space="preserve"> </w:t>
      </w:r>
      <w:r w:rsidR="005C44B1">
        <w:t>however, is</w:t>
      </w:r>
      <w:r w:rsidR="00FF0242">
        <w:t xml:space="preserve"> very obscure, requiring the interpretation of Bible scholars. These scholars offer several </w:t>
      </w:r>
      <w:r w:rsidR="001E712E">
        <w:t xml:space="preserve">ways of understanding </w:t>
      </w:r>
      <w:r w:rsidR="005C44B1">
        <w:t>this statement</w:t>
      </w:r>
      <w:r w:rsidR="001E712E">
        <w:t>, as well as different versions of his commentary.</w:t>
      </w:r>
      <w:r w:rsidR="00CB70CE">
        <w:t xml:space="preserve"> </w:t>
      </w:r>
      <w:r w:rsidR="004A2B71">
        <w:t>Surprisingly,</w:t>
      </w:r>
      <w:r w:rsidR="001E712E">
        <w:t xml:space="preserve"> none of the scholars attended to the halakhic</w:t>
      </w:r>
      <w:r w:rsidR="00AD1882">
        <w:t xml:space="preserve"> scholars</w:t>
      </w:r>
      <w:r w:rsidR="001E712E">
        <w:t xml:space="preserve"> who dealt with </w:t>
      </w:r>
      <w:r w:rsidR="004A2B71">
        <w:t>Ibn Ezra’s</w:t>
      </w:r>
      <w:r w:rsidR="001E712E">
        <w:t xml:space="preserve"> writings and attempted to explain them, in such a way as may shed light on at least some</w:t>
      </w:r>
      <w:r w:rsidR="005A6DE7">
        <w:t xml:space="preserve"> of his</w:t>
      </w:r>
      <w:r w:rsidR="001E712E">
        <w:t xml:space="preserve"> </w:t>
      </w:r>
      <w:r w:rsidR="00AD1882">
        <w:t>statement</w:t>
      </w:r>
      <w:r w:rsidR="001E712E">
        <w:t xml:space="preserve">. The first </w:t>
      </w:r>
      <w:r w:rsidR="00AD1882">
        <w:t>halakhic scholar</w:t>
      </w:r>
      <w:r w:rsidR="001E712E">
        <w:t xml:space="preserve"> who mentioned Ibn Ezra’s commentary on </w:t>
      </w:r>
      <w:proofErr w:type="spellStart"/>
      <w:r w:rsidR="001E712E" w:rsidRPr="005A6DE7">
        <w:rPr>
          <w:i/>
          <w:iCs/>
        </w:rPr>
        <w:t>Megillat</w:t>
      </w:r>
      <w:proofErr w:type="spellEnd"/>
      <w:r w:rsidR="001E712E" w:rsidRPr="005A6DE7">
        <w:rPr>
          <w:i/>
          <w:iCs/>
        </w:rPr>
        <w:t xml:space="preserve"> Esther</w:t>
      </w:r>
      <w:r w:rsidR="001E712E">
        <w:t xml:space="preserve"> was R. </w:t>
      </w:r>
      <w:r w:rsidR="00176A1F">
        <w:t>Yosef</w:t>
      </w:r>
      <w:r w:rsidR="001E712E">
        <w:t xml:space="preserve"> Caro in his book </w:t>
      </w:r>
      <w:r w:rsidR="001E712E">
        <w:rPr>
          <w:i/>
          <w:iCs/>
        </w:rPr>
        <w:t>Beit Yosef</w:t>
      </w:r>
      <w:r w:rsidR="001E712E">
        <w:t>,</w:t>
      </w:r>
      <w:r w:rsidR="001E712E">
        <w:rPr>
          <w:rStyle w:val="FootnoteReference"/>
        </w:rPr>
        <w:footnoteReference w:id="3"/>
      </w:r>
      <w:r w:rsidR="001E712E">
        <w:t xml:space="preserve"> </w:t>
      </w:r>
      <w:r w:rsidR="00565522">
        <w:t xml:space="preserve">and </w:t>
      </w:r>
      <w:r w:rsidR="005A6DE7">
        <w:t xml:space="preserve">he was followed by </w:t>
      </w:r>
      <w:r w:rsidR="00565522">
        <w:t xml:space="preserve">several other halakhic sages </w:t>
      </w:r>
      <w:r w:rsidR="005A6DE7">
        <w:t xml:space="preserve">who tried to </w:t>
      </w:r>
      <w:r w:rsidR="00565522">
        <w:t xml:space="preserve">elucidate it. This paper aims to present a wide range of varied explanations of </w:t>
      </w:r>
      <w:r w:rsidR="004A2B71">
        <w:t>Ibn Ezra’s</w:t>
      </w:r>
      <w:r w:rsidR="00565522">
        <w:t xml:space="preserve"> words, and by </w:t>
      </w:r>
      <w:r w:rsidR="005A6DE7">
        <w:t xml:space="preserve">so </w:t>
      </w:r>
      <w:r w:rsidR="00565522">
        <w:t>doing, to contribute to a better understanding of the issue.</w:t>
      </w:r>
      <w:r w:rsidR="00565522">
        <w:rPr>
          <w:rStyle w:val="FootnoteReference"/>
        </w:rPr>
        <w:footnoteReference w:id="4"/>
      </w:r>
    </w:p>
    <w:p w14:paraId="248AE8E0" w14:textId="7D40C9FA" w:rsidR="00565522" w:rsidRDefault="00AD1882" w:rsidP="004A2B71">
      <w:pPr>
        <w:pStyle w:val="Heading1"/>
      </w:pPr>
      <w:r>
        <w:t xml:space="preserve">The </w:t>
      </w:r>
      <w:r w:rsidR="00565522">
        <w:t xml:space="preserve">Difficulties </w:t>
      </w:r>
      <w:r w:rsidR="00F55B1D">
        <w:t>W</w:t>
      </w:r>
      <w:r w:rsidR="00565522">
        <w:t xml:space="preserve">hich </w:t>
      </w:r>
      <w:r w:rsidR="00B72580">
        <w:t>A</w:t>
      </w:r>
      <w:r w:rsidR="00565522">
        <w:t xml:space="preserve">rise from Ibn Ezra’s </w:t>
      </w:r>
      <w:r w:rsidR="00F31095">
        <w:t>Directive</w:t>
      </w:r>
    </w:p>
    <w:p w14:paraId="2625811B" w14:textId="3EB8B2C6" w:rsidR="00565522" w:rsidRDefault="00565522" w:rsidP="004A2B71">
      <w:r>
        <w:t xml:space="preserve">Commentaries on </w:t>
      </w:r>
      <w:r w:rsidR="004A2B71">
        <w:t>Ibn Ezra’s</w:t>
      </w:r>
      <w:r>
        <w:t xml:space="preserve"> works, as well as </w:t>
      </w:r>
      <w:r w:rsidR="005A6DE7">
        <w:t xml:space="preserve">halakhic </w:t>
      </w:r>
      <w:r w:rsidR="004A2B71">
        <w:t>scholars</w:t>
      </w:r>
      <w:r w:rsidR="005A6DE7">
        <w:t xml:space="preserve"> and </w:t>
      </w:r>
      <w:r>
        <w:t xml:space="preserve">scholars of his </w:t>
      </w:r>
      <w:r w:rsidR="004A2B71">
        <w:t>commentary</w:t>
      </w:r>
      <w:r>
        <w:t xml:space="preserve"> all struggled with several difficulties which his </w:t>
      </w:r>
      <w:r w:rsidR="00F31095">
        <w:t>directive</w:t>
      </w:r>
      <w:r>
        <w:t xml:space="preserve"> present</w:t>
      </w:r>
      <w:r w:rsidR="00F31095">
        <w:t>s</w:t>
      </w:r>
      <w:r>
        <w:t>. I will first list these difficulties, and then discuss each of them separately:</w:t>
      </w:r>
    </w:p>
    <w:p w14:paraId="69AACF16" w14:textId="3F9787F7" w:rsidR="00565522" w:rsidRDefault="00565522" w:rsidP="004A2B71">
      <w:pPr>
        <w:pStyle w:val="ListParagraph"/>
        <w:numPr>
          <w:ilvl w:val="0"/>
          <w:numId w:val="1"/>
        </w:numPr>
      </w:pPr>
      <w:r>
        <w:lastRenderedPageBreak/>
        <w:t>“</w:t>
      </w:r>
      <w:r w:rsidR="004A2B71">
        <w:t xml:space="preserve">Since </w:t>
      </w:r>
      <w:r w:rsidR="004A2B71" w:rsidRPr="007E36A3">
        <w:t>Ezra the Scribe</w:t>
      </w:r>
      <w:r w:rsidR="004A2B71">
        <w:t>…</w:t>
      </w:r>
      <w:r w:rsidR="004A2B71" w:rsidRPr="007E36A3">
        <w:t xml:space="preserve"> </w:t>
      </w:r>
      <w:r w:rsidR="004A2B71">
        <w:t>demarcated</w:t>
      </w:r>
      <w:r w:rsidR="004A2B71" w:rsidRPr="007E36A3">
        <w:t xml:space="preserve"> </w:t>
      </w:r>
      <w:r w:rsidR="004A2B71">
        <w:t>the verses</w:t>
      </w:r>
      <w:r>
        <w:t xml:space="preserve">”: Nowhere in the writings of the Sages is </w:t>
      </w:r>
      <w:r w:rsidR="00F83C70">
        <w:t xml:space="preserve">the demarcation of the verses explicitly attributed to Ezra the Scribe. The only reference to the breaking up of verses is attributed to </w:t>
      </w:r>
      <w:r w:rsidR="004A2B71">
        <w:t>Moses</w:t>
      </w:r>
      <w:r w:rsidR="00F83C70">
        <w:t>: “Any verse that Mos</w:t>
      </w:r>
      <w:r w:rsidR="004A2B71">
        <w:t>es</w:t>
      </w:r>
      <w:r w:rsidR="00F83C70">
        <w:t xml:space="preserve"> did not demarcate we do not demarcate, and Shmuel said that we do demarcate.”</w:t>
      </w:r>
      <w:r w:rsidR="00F83C70">
        <w:rPr>
          <w:rStyle w:val="FootnoteReference"/>
        </w:rPr>
        <w:footnoteReference w:id="5"/>
      </w:r>
    </w:p>
    <w:p w14:paraId="35D9F4D8" w14:textId="2244951A" w:rsidR="00F83C70" w:rsidRDefault="00F83C70" w:rsidP="004A2B71">
      <w:pPr>
        <w:pStyle w:val="ListParagraph"/>
        <w:numPr>
          <w:ilvl w:val="0"/>
          <w:numId w:val="1"/>
        </w:numPr>
      </w:pPr>
      <w:r>
        <w:t>“W</w:t>
      </w:r>
      <w:r w:rsidRPr="007E36A3">
        <w:t xml:space="preserve">ho </w:t>
      </w:r>
      <w:r w:rsidR="004A2B71">
        <w:t>was</w:t>
      </w:r>
      <w:r w:rsidR="004A2B71" w:rsidRPr="007E36A3">
        <w:t xml:space="preserve"> many years </w:t>
      </w:r>
      <w:r w:rsidR="004A2B71">
        <w:t>later</w:t>
      </w:r>
      <w:r>
        <w:t>”: Ezra did not live many years after Mordechai and Esther. Mordechai and Esther lived and were active at the end of the seventy years of the First Temple exile, and Ezra lived at the beginning of the Second Temple period.</w:t>
      </w:r>
      <w:r>
        <w:rPr>
          <w:rStyle w:val="FootnoteReference"/>
        </w:rPr>
        <w:footnoteReference w:id="6"/>
      </w:r>
    </w:p>
    <w:p w14:paraId="16AA2CA5" w14:textId="763D6C30" w:rsidR="00F83C70" w:rsidRDefault="00F83C70" w:rsidP="004A2B71">
      <w:pPr>
        <w:pStyle w:val="ListParagraph"/>
        <w:numPr>
          <w:ilvl w:val="0"/>
          <w:numId w:val="1"/>
        </w:numPr>
      </w:pPr>
      <w:r>
        <w:t>“</w:t>
      </w:r>
      <w:r w:rsidR="004A2B71">
        <w:t>T</w:t>
      </w:r>
      <w:r w:rsidR="004A2B71" w:rsidRPr="007E36A3">
        <w:t xml:space="preserve">he </w:t>
      </w:r>
      <w:r w:rsidR="004A2B71">
        <w:t>S</w:t>
      </w:r>
      <w:r w:rsidR="004A2B71" w:rsidRPr="007E36A3">
        <w:t xml:space="preserve">ages </w:t>
      </w:r>
      <w:r w:rsidR="004A2B71">
        <w:t xml:space="preserve">instructed that the reader </w:t>
      </w:r>
      <w:r w:rsidR="004A2B71" w:rsidRPr="007E36A3">
        <w:t>should not stop at the end of a verse</w:t>
      </w:r>
      <w:r>
        <w:t>”: It seems that Ibn Ezra’s dictum pertains to all the verses of the Megillah</w:t>
      </w:r>
      <w:r w:rsidR="00F31095">
        <w:t>; however</w:t>
      </w:r>
      <w:r>
        <w:t>, the only case where the Sages of the Talmud apply this</w:t>
      </w:r>
      <w:r w:rsidR="00F31095">
        <w:t xml:space="preserve"> rule</w:t>
      </w:r>
      <w:r>
        <w:t xml:space="preserve"> is </w:t>
      </w:r>
      <w:r w:rsidR="004A2B71">
        <w:t>concerning</w:t>
      </w:r>
      <w:r>
        <w:t xml:space="preserve"> the </w:t>
      </w:r>
      <w:r w:rsidR="002126A2">
        <w:t xml:space="preserve">continuous </w:t>
      </w:r>
      <w:r>
        <w:t xml:space="preserve">recitation of the ten sons of Haman </w:t>
      </w:r>
      <w:r w:rsidR="002126A2">
        <w:t>without pause between the verses.</w:t>
      </w:r>
      <w:r w:rsidR="002126A2">
        <w:rPr>
          <w:rStyle w:val="FootnoteReference"/>
        </w:rPr>
        <w:footnoteReference w:id="7"/>
      </w:r>
    </w:p>
    <w:p w14:paraId="63764B67" w14:textId="492C47D4" w:rsidR="002126A2" w:rsidRDefault="00FB4096" w:rsidP="004A2B71">
      <w:pPr>
        <w:pStyle w:val="ListParagraph"/>
        <w:numPr>
          <w:ilvl w:val="0"/>
          <w:numId w:val="1"/>
        </w:numPr>
      </w:pPr>
      <w:r>
        <w:t xml:space="preserve">The logical connection between the two parts of Ibn Ezra’s sentence is unclear. What </w:t>
      </w:r>
      <w:r w:rsidR="00F31095">
        <w:t xml:space="preserve">connects </w:t>
      </w:r>
      <w:r>
        <w:t>the Sages</w:t>
      </w:r>
      <w:r w:rsidR="00F31095">
        <w:t>’ motivation</w:t>
      </w:r>
      <w:r>
        <w:t xml:space="preserve"> to ignore Ezra’s </w:t>
      </w:r>
      <w:r w:rsidR="004A2B71">
        <w:t>demarcation of the verses</w:t>
      </w:r>
      <w:r>
        <w:t xml:space="preserve"> and read the Megillah without stopping at the end of the verse, </w:t>
      </w:r>
      <w:r w:rsidR="00F31095">
        <w:t>to</w:t>
      </w:r>
      <w:r>
        <w:t xml:space="preserve"> the fact that he “</w:t>
      </w:r>
      <w:r w:rsidR="004A2B71">
        <w:t>was</w:t>
      </w:r>
      <w:r>
        <w:t xml:space="preserve"> many years </w:t>
      </w:r>
      <w:r w:rsidR="004A2B71">
        <w:t>later?”</w:t>
      </w:r>
    </w:p>
    <w:p w14:paraId="7B3425C9" w14:textId="29992B0C" w:rsidR="00206AF8" w:rsidRDefault="00FB4096" w:rsidP="004A2B71">
      <w:pPr>
        <w:pStyle w:val="ListParagraph"/>
        <w:numPr>
          <w:ilvl w:val="0"/>
          <w:numId w:val="1"/>
        </w:numPr>
      </w:pPr>
      <w:r>
        <w:t>The authority of the one who demarcates the verses</w:t>
      </w:r>
      <w:r w:rsidR="00F31095">
        <w:t xml:space="preserve">: </w:t>
      </w:r>
      <w:r w:rsidR="00C839AB">
        <w:t>Ibn Ezra</w:t>
      </w:r>
      <w:r>
        <w:t xml:space="preserve"> attributes weighty exegetical significance to the demarcation of the verses.</w:t>
      </w:r>
      <w:commentRangeStart w:id="5"/>
      <w:commentRangeStart w:id="6"/>
      <w:r>
        <w:rPr>
          <w:rStyle w:val="FootnoteReference"/>
        </w:rPr>
        <w:footnoteReference w:id="8"/>
      </w:r>
      <w:commentRangeEnd w:id="5"/>
      <w:r w:rsidR="00206AF8">
        <w:rPr>
          <w:rStyle w:val="CommentReference"/>
        </w:rPr>
        <w:commentReference w:id="5"/>
      </w:r>
      <w:commentRangeEnd w:id="6"/>
      <w:r w:rsidR="00936A39">
        <w:rPr>
          <w:rStyle w:val="CommentReference"/>
        </w:rPr>
        <w:commentReference w:id="6"/>
      </w:r>
      <w:r w:rsidR="00206AF8">
        <w:t xml:space="preserve"> In two of his books</w:t>
      </w:r>
      <w:r w:rsidR="004A2B71">
        <w:t>,</w:t>
      </w:r>
      <w:r w:rsidR="00206AF8">
        <w:t xml:space="preserve"> he expanded upon this and even </w:t>
      </w:r>
      <w:r w:rsidR="004A2B71">
        <w:t>criticized</w:t>
      </w:r>
      <w:r w:rsidR="00206AF8">
        <w:t xml:space="preserve"> R. Saadia Gaon and R. Moshe Ibn </w:t>
      </w:r>
      <w:proofErr w:type="spellStart"/>
      <w:r w:rsidR="00206AF8">
        <w:t>Gikatilla</w:t>
      </w:r>
      <w:proofErr w:type="spellEnd"/>
      <w:r w:rsidR="00206AF8">
        <w:t xml:space="preserve"> </w:t>
      </w:r>
      <w:r w:rsidR="004A2B71">
        <w:t>for</w:t>
      </w:r>
      <w:r w:rsidR="00206AF8">
        <w:t xml:space="preserve"> </w:t>
      </w:r>
      <w:r w:rsidR="004A2B71">
        <w:t>interpreting</w:t>
      </w:r>
      <w:r w:rsidR="00206AF8">
        <w:t xml:space="preserve"> verses while ignoring the break</w:t>
      </w:r>
      <w:r w:rsidR="00F31095">
        <w:t>s</w:t>
      </w:r>
      <w:r w:rsidR="00206AF8">
        <w:t xml:space="preserve"> between the</w:t>
      </w:r>
      <w:r w:rsidR="00F31095">
        <w:t>m</w:t>
      </w:r>
      <w:r w:rsidR="00BC4954">
        <w:t>.</w:t>
      </w:r>
      <w:r w:rsidR="00BC4954">
        <w:rPr>
          <w:rStyle w:val="FootnoteReference"/>
        </w:rPr>
        <w:footnoteReference w:id="9"/>
      </w:r>
      <w:r w:rsidR="00BC4954">
        <w:t xml:space="preserve"> How</w:t>
      </w:r>
      <w:r w:rsidR="00F31095">
        <w:t>, then,</w:t>
      </w:r>
      <w:r w:rsidR="00BC4954">
        <w:t xml:space="preserve"> does </w:t>
      </w:r>
      <w:r w:rsidR="004A2B71">
        <w:t>Ibn Ezra</w:t>
      </w:r>
      <w:r w:rsidR="00BC4954">
        <w:t xml:space="preserve"> accept this blatant deviation </w:t>
      </w:r>
      <w:r w:rsidR="00F31095">
        <w:t xml:space="preserve">[in the case of the Megillah] </w:t>
      </w:r>
      <w:r w:rsidR="00BC4954">
        <w:t>without noting it</w:t>
      </w:r>
      <w:r w:rsidR="00F31095">
        <w:t>?</w:t>
      </w:r>
      <w:r w:rsidR="00BC4954">
        <w:rPr>
          <w:rStyle w:val="FootnoteReference"/>
        </w:rPr>
        <w:footnoteReference w:id="10"/>
      </w:r>
    </w:p>
    <w:p w14:paraId="49DA96BF" w14:textId="5F790DCA" w:rsidR="004D1D44" w:rsidRPr="004D1D44" w:rsidRDefault="004D1D44" w:rsidP="004A2B71">
      <w:r>
        <w:lastRenderedPageBreak/>
        <w:t xml:space="preserve">We will now discuss each of these questions and present the various approaches </w:t>
      </w:r>
      <w:r w:rsidR="00873767">
        <w:t>taken by</w:t>
      </w:r>
      <w:r>
        <w:t xml:space="preserve"> Bible scholars and halakhic </w:t>
      </w:r>
      <w:r w:rsidR="004A2B71">
        <w:t>scholars</w:t>
      </w:r>
      <w:r>
        <w:t xml:space="preserve"> on this issue.</w:t>
      </w:r>
    </w:p>
    <w:p w14:paraId="7280BBBF" w14:textId="0CF067E1" w:rsidR="00565522" w:rsidRDefault="00D95CEE" w:rsidP="004A2B71">
      <w:pPr>
        <w:pStyle w:val="Heading1"/>
      </w:pPr>
      <w:r>
        <w:t xml:space="preserve">Ezra </w:t>
      </w:r>
      <w:r w:rsidR="0037082A">
        <w:t>D</w:t>
      </w:r>
      <w:r>
        <w:t xml:space="preserve">emarcated the </w:t>
      </w:r>
      <w:r w:rsidR="0037082A">
        <w:t>V</w:t>
      </w:r>
      <w:r>
        <w:t>erses of the Bible</w:t>
      </w:r>
    </w:p>
    <w:p w14:paraId="246D2939" w14:textId="273CE0D0" w:rsidR="00D95CEE" w:rsidRDefault="00D95CEE" w:rsidP="004A2B71">
      <w:r>
        <w:t>When noting the source for Ibn Ezra’s assertion that Ezra demarcated the verses, Uriel Simon referenced the Talmud</w:t>
      </w:r>
      <w:r w:rsidR="004A2B71">
        <w:t xml:space="preserve"> passage</w:t>
      </w:r>
      <w:r>
        <w:t xml:space="preserve"> in </w:t>
      </w:r>
      <w:r w:rsidRPr="00D95CEE">
        <w:rPr>
          <w:i/>
          <w:iCs/>
        </w:rPr>
        <w:t>Megillah</w:t>
      </w:r>
      <w:r>
        <w:t xml:space="preserve"> (3a) and </w:t>
      </w:r>
      <w:r w:rsidRPr="00D95CEE">
        <w:rPr>
          <w:i/>
          <w:iCs/>
        </w:rPr>
        <w:t>Nedarim</w:t>
      </w:r>
      <w:r>
        <w:t xml:space="preserve"> (37b):</w:t>
      </w:r>
      <w:commentRangeStart w:id="7"/>
      <w:commentRangeStart w:id="8"/>
      <w:commentRangeStart w:id="9"/>
      <w:r>
        <w:rPr>
          <w:rStyle w:val="FootnoteReference"/>
        </w:rPr>
        <w:footnoteReference w:id="11"/>
      </w:r>
      <w:commentRangeEnd w:id="7"/>
      <w:r w:rsidR="00D94DDE">
        <w:rPr>
          <w:rStyle w:val="CommentReference"/>
        </w:rPr>
        <w:commentReference w:id="7"/>
      </w:r>
      <w:commentRangeEnd w:id="8"/>
      <w:r w:rsidR="006352EB">
        <w:rPr>
          <w:rStyle w:val="CommentReference"/>
        </w:rPr>
        <w:commentReference w:id="8"/>
      </w:r>
      <w:commentRangeEnd w:id="9"/>
      <w:r w:rsidR="008366B2">
        <w:rPr>
          <w:rStyle w:val="CommentReference"/>
        </w:rPr>
        <w:commentReference w:id="9"/>
      </w:r>
    </w:p>
    <w:p w14:paraId="22BFABE5" w14:textId="3D911189" w:rsidR="000330E9" w:rsidRDefault="000330E9" w:rsidP="004A2B71">
      <w:pPr>
        <w:rPr>
          <w:lang w:val="en"/>
        </w:rPr>
      </w:pPr>
      <w:commentRangeStart w:id="10"/>
      <w:commentRangeStart w:id="11"/>
      <w:commentRangeStart w:id="12"/>
      <w:r w:rsidRPr="000330E9">
        <w:rPr>
          <w:lang w:val="en"/>
        </w:rPr>
        <w:t xml:space="preserve">This is as Rav </w:t>
      </w:r>
      <w:proofErr w:type="spellStart"/>
      <w:r w:rsidRPr="000330E9">
        <w:rPr>
          <w:lang w:val="en"/>
        </w:rPr>
        <w:t>Ika</w:t>
      </w:r>
      <w:proofErr w:type="spellEnd"/>
      <w:r w:rsidRPr="000330E9">
        <w:rPr>
          <w:lang w:val="en"/>
        </w:rPr>
        <w:t xml:space="preserve"> bar </w:t>
      </w:r>
      <w:proofErr w:type="spellStart"/>
      <w:r w:rsidRPr="000330E9">
        <w:rPr>
          <w:lang w:val="en"/>
        </w:rPr>
        <w:t>Avin</w:t>
      </w:r>
      <w:proofErr w:type="spellEnd"/>
      <w:r w:rsidRPr="000330E9">
        <w:rPr>
          <w:lang w:val="en"/>
        </w:rPr>
        <w:t xml:space="preserve"> said… that Rav said: What is </w:t>
      </w:r>
      <w:r w:rsidR="004A2B71">
        <w:rPr>
          <w:lang w:val="en"/>
        </w:rPr>
        <w:t>[</w:t>
      </w:r>
      <w:r w:rsidRPr="000330E9">
        <w:rPr>
          <w:lang w:val="en"/>
        </w:rPr>
        <w:t>the meaning of</w:t>
      </w:r>
      <w:r w:rsidR="004A2B71">
        <w:rPr>
          <w:lang w:val="en"/>
        </w:rPr>
        <w:t>]</w:t>
      </w:r>
      <w:r w:rsidRPr="000330E9">
        <w:rPr>
          <w:lang w:val="en"/>
        </w:rPr>
        <w:t xml:space="preserve"> that which is written: “</w:t>
      </w:r>
      <w:bookmarkStart w:id="13" w:name="_Hlk86669502"/>
      <w:r w:rsidRPr="000330E9">
        <w:rPr>
          <w:lang w:val="en"/>
        </w:rPr>
        <w:t>And they read in the book, in the Torah of God, distinctly; and they gave the sense, and caused them to understand the reading</w:t>
      </w:r>
      <w:bookmarkEnd w:id="13"/>
      <w:r w:rsidRPr="000330E9">
        <w:rPr>
          <w:lang w:val="en"/>
        </w:rPr>
        <w:t>” (</w:t>
      </w:r>
      <w:proofErr w:type="spellStart"/>
      <w:r w:rsidRPr="000330E9">
        <w:rPr>
          <w:lang w:val="en"/>
        </w:rPr>
        <w:t>Neh</w:t>
      </w:r>
      <w:proofErr w:type="spellEnd"/>
      <w:r w:rsidRPr="000330E9">
        <w:rPr>
          <w:lang w:val="en"/>
        </w:rPr>
        <w:t xml:space="preserve"> 8:8)? </w:t>
      </w:r>
      <w:r w:rsidR="004A2B71">
        <w:rPr>
          <w:lang w:val="en"/>
        </w:rPr>
        <w:t>[</w:t>
      </w:r>
      <w:r w:rsidRPr="000330E9">
        <w:rPr>
          <w:lang w:val="en"/>
        </w:rPr>
        <w:t>The Gemara explains:</w:t>
      </w:r>
      <w:r w:rsidR="004A2B71">
        <w:rPr>
          <w:lang w:val="en"/>
        </w:rPr>
        <w:t>]</w:t>
      </w:r>
      <w:r w:rsidRPr="000330E9">
        <w:rPr>
          <w:lang w:val="en"/>
        </w:rPr>
        <w:t xml:space="preserve"> “They read in the book, in the Torah of </w:t>
      </w:r>
      <w:proofErr w:type="spellStart"/>
      <w:r w:rsidRPr="000330E9">
        <w:rPr>
          <w:lang w:val="en"/>
        </w:rPr>
        <w:t>God”</w:t>
      </w:r>
      <w:r w:rsidR="004A2B71">
        <w:rPr>
          <w:lang w:val="en"/>
        </w:rPr>
        <w:t>⸺</w:t>
      </w:r>
      <w:r w:rsidRPr="000330E9">
        <w:rPr>
          <w:lang w:val="en"/>
        </w:rPr>
        <w:t>that</w:t>
      </w:r>
      <w:proofErr w:type="spellEnd"/>
      <w:r w:rsidRPr="000330E9">
        <w:rPr>
          <w:lang w:val="en"/>
        </w:rPr>
        <w:t xml:space="preserve"> is the Bible. “</w:t>
      </w:r>
      <w:proofErr w:type="spellStart"/>
      <w:r w:rsidRPr="000330E9">
        <w:rPr>
          <w:lang w:val="en"/>
        </w:rPr>
        <w:t>Distinctly”</w:t>
      </w:r>
      <w:r w:rsidR="004A2B71">
        <w:rPr>
          <w:lang w:val="en"/>
        </w:rPr>
        <w:t>⸺</w:t>
      </w:r>
      <w:r w:rsidRPr="000330E9">
        <w:rPr>
          <w:lang w:val="en"/>
        </w:rPr>
        <w:t>that</w:t>
      </w:r>
      <w:proofErr w:type="spellEnd"/>
      <w:r w:rsidRPr="000330E9">
        <w:rPr>
          <w:lang w:val="en"/>
        </w:rPr>
        <w:t xml:space="preserve"> is the Aramaic translation. “And they gave the </w:t>
      </w:r>
      <w:proofErr w:type="spellStart"/>
      <w:r w:rsidRPr="000330E9">
        <w:rPr>
          <w:lang w:val="en"/>
        </w:rPr>
        <w:t>sense”</w:t>
      </w:r>
      <w:r w:rsidR="004A2B71">
        <w:rPr>
          <w:lang w:val="en"/>
        </w:rPr>
        <w:t>⸺</w:t>
      </w:r>
      <w:r w:rsidR="00873767">
        <w:rPr>
          <w:lang w:val="en"/>
        </w:rPr>
        <w:t>this</w:t>
      </w:r>
      <w:proofErr w:type="spellEnd"/>
      <w:r w:rsidR="00873767">
        <w:rPr>
          <w:lang w:val="en"/>
        </w:rPr>
        <w:t xml:space="preserve"> is</w:t>
      </w:r>
      <w:r w:rsidRPr="000330E9">
        <w:rPr>
          <w:lang w:val="en"/>
        </w:rPr>
        <w:t xml:space="preserve"> </w:t>
      </w:r>
      <w:r w:rsidR="004A2B71">
        <w:rPr>
          <w:lang w:val="en"/>
        </w:rPr>
        <w:t>[</w:t>
      </w:r>
      <w:r w:rsidRPr="000330E9">
        <w:rPr>
          <w:lang w:val="en"/>
        </w:rPr>
        <w:t>the division into</w:t>
      </w:r>
      <w:r w:rsidR="004A2B71">
        <w:rPr>
          <w:lang w:val="en"/>
        </w:rPr>
        <w:t>] the</w:t>
      </w:r>
      <w:r w:rsidRPr="000330E9">
        <w:rPr>
          <w:lang w:val="en"/>
        </w:rPr>
        <w:t xml:space="preserve"> verses.</w:t>
      </w:r>
      <w:commentRangeEnd w:id="10"/>
      <w:r>
        <w:rPr>
          <w:rStyle w:val="CommentReference"/>
        </w:rPr>
        <w:commentReference w:id="10"/>
      </w:r>
      <w:commentRangeEnd w:id="11"/>
      <w:r w:rsidR="006352EB">
        <w:rPr>
          <w:rStyle w:val="CommentReference"/>
        </w:rPr>
        <w:commentReference w:id="11"/>
      </w:r>
      <w:commentRangeEnd w:id="12"/>
      <w:r w:rsidR="008366B2">
        <w:rPr>
          <w:rStyle w:val="CommentReference"/>
          <w:rtl/>
        </w:rPr>
        <w:commentReference w:id="12"/>
      </w:r>
    </w:p>
    <w:p w14:paraId="0322EA26" w14:textId="4FD15AEA" w:rsidR="00CF2EA3" w:rsidRDefault="000330E9" w:rsidP="004A2B71">
      <w:pPr>
        <w:pStyle w:val="Quote"/>
      </w:pPr>
      <w:commentRangeStart w:id="14"/>
      <w:r>
        <w:t>“And the</w:t>
      </w:r>
      <w:r w:rsidR="005E62EF">
        <w:t>y</w:t>
      </w:r>
      <w:r>
        <w:t xml:space="preserve"> </w:t>
      </w:r>
      <w:commentRangeEnd w:id="14"/>
      <w:r w:rsidR="006352EB">
        <w:rPr>
          <w:rStyle w:val="CommentReference"/>
          <w:lang w:val="en-US"/>
        </w:rPr>
        <w:commentReference w:id="14"/>
      </w:r>
      <w:r>
        <w:t xml:space="preserve">gave the </w:t>
      </w:r>
      <w:proofErr w:type="spellStart"/>
      <w:r>
        <w:t>sense</w:t>
      </w:r>
      <w:r w:rsidR="004A2B71">
        <w:t>⸺</w:t>
      </w:r>
      <w:r>
        <w:t>th</w:t>
      </w:r>
      <w:r w:rsidR="00873767">
        <w:t>is</w:t>
      </w:r>
      <w:proofErr w:type="spellEnd"/>
      <w:r w:rsidR="00873767">
        <w:t xml:space="preserve"> is</w:t>
      </w:r>
      <w:r>
        <w:t xml:space="preserve"> the division into </w:t>
      </w:r>
      <w:r w:rsidR="004A2B71">
        <w:t xml:space="preserve">the </w:t>
      </w:r>
      <w:r>
        <w:t>verses” means that Ezra read according to the demarcation of the verses.</w:t>
      </w:r>
      <w:r>
        <w:rPr>
          <w:rStyle w:val="FootnoteReference"/>
          <w:lang w:val="en-US"/>
        </w:rPr>
        <w:footnoteReference w:id="12"/>
      </w:r>
      <w:r w:rsidR="00CF2EA3">
        <w:t xml:space="preserve"> However, this refers only to verses in the Torah and not the </w:t>
      </w:r>
      <w:r w:rsidR="00873767">
        <w:t>rest of the</w:t>
      </w:r>
      <w:r w:rsidR="00CF2EA3">
        <w:t xml:space="preserve"> Bible, as is written: “T</w:t>
      </w:r>
      <w:r w:rsidR="00CF2EA3" w:rsidRPr="00CF2EA3">
        <w:t>he entire people assembled</w:t>
      </w:r>
      <w:r w:rsidR="00CF2EA3">
        <w:t xml:space="preserve">… </w:t>
      </w:r>
      <w:r w:rsidR="00CF2EA3" w:rsidRPr="00CF2EA3">
        <w:t xml:space="preserve">and they asked Ezra the </w:t>
      </w:r>
      <w:r w:rsidR="009B67BC">
        <w:t>S</w:t>
      </w:r>
      <w:r w:rsidR="00CF2EA3" w:rsidRPr="00CF2EA3">
        <w:t>cribe to bring the scroll of the Teaching of Moses</w:t>
      </w:r>
      <w:r w:rsidR="00CF2EA3">
        <w:t xml:space="preserve">… [and] </w:t>
      </w:r>
      <w:r w:rsidR="00CF2EA3" w:rsidRPr="00CF2EA3">
        <w:t>Ezra the priest brought the Teaching before the congregation</w:t>
      </w:r>
      <w:r w:rsidR="00CF2EA3">
        <w:t>… [</w:t>
      </w:r>
      <w:r w:rsidR="00CF2EA3" w:rsidRPr="004A2B71">
        <w:t>and</w:t>
      </w:r>
      <w:r w:rsidR="00CF2EA3">
        <w:t>] h</w:t>
      </w:r>
      <w:r w:rsidR="00CF2EA3" w:rsidRPr="00CF2EA3">
        <w:t>e read from it</w:t>
      </w:r>
      <w:r w:rsidR="00CF2EA3">
        <w:t>… [and] t</w:t>
      </w:r>
      <w:r w:rsidR="00CF2EA3" w:rsidRPr="00CF2EA3">
        <w:t>hey read from the scroll of the Teaching of God, translating it and giving the sense; so they understood the reading</w:t>
      </w:r>
      <w:r w:rsidR="00CF2EA3">
        <w:t>” (</w:t>
      </w:r>
      <w:proofErr w:type="spellStart"/>
      <w:r w:rsidR="00CF2EA3">
        <w:t>Neh</w:t>
      </w:r>
      <w:proofErr w:type="spellEnd"/>
      <w:r w:rsidR="00CF2EA3">
        <w:t xml:space="preserve"> 8:1-8).</w:t>
      </w:r>
      <w:r w:rsidR="00CF2EA3">
        <w:rPr>
          <w:rStyle w:val="FootnoteReference"/>
        </w:rPr>
        <w:footnoteReference w:id="13"/>
      </w:r>
      <w:r w:rsidR="00CF2EA3">
        <w:t xml:space="preserve"> It seems that this is what motivated a number of Sages to determine that Ezra did not demarcate the verses, but rather reconstructed the demarcation made by </w:t>
      </w:r>
      <w:r w:rsidR="00CF2EA3" w:rsidRPr="00CF2EA3">
        <w:t>Moshe, as noted in the Gemara, “the people forgot them and then re</w:t>
      </w:r>
      <w:r w:rsidR="00D66F67">
        <w:t>-</w:t>
      </w:r>
      <w:r w:rsidR="00CF2EA3" w:rsidRPr="00CF2EA3">
        <w:t>established them” (</w:t>
      </w:r>
      <w:r w:rsidR="00CF2EA3">
        <w:t>BT</w:t>
      </w:r>
      <w:r w:rsidR="00CF2EA3">
        <w:rPr>
          <w:i/>
          <w:iCs/>
        </w:rPr>
        <w:t xml:space="preserve"> Megillah</w:t>
      </w:r>
      <w:r w:rsidR="00CF2EA3">
        <w:t xml:space="preserve"> 3a).</w:t>
      </w:r>
      <w:commentRangeStart w:id="15"/>
      <w:commentRangeStart w:id="16"/>
      <w:r w:rsidR="00D46B3C">
        <w:rPr>
          <w:rStyle w:val="FootnoteReference"/>
          <w:lang w:val="en-US"/>
        </w:rPr>
        <w:footnoteReference w:id="14"/>
      </w:r>
      <w:commentRangeEnd w:id="15"/>
      <w:r w:rsidR="00D46B3C">
        <w:rPr>
          <w:rStyle w:val="CommentReference"/>
        </w:rPr>
        <w:commentReference w:id="15"/>
      </w:r>
      <w:commentRangeEnd w:id="16"/>
      <w:r w:rsidR="00273883">
        <w:rPr>
          <w:rStyle w:val="CommentReference"/>
          <w:rtl/>
          <w:lang w:val="en-US"/>
        </w:rPr>
        <w:commentReference w:id="16"/>
      </w:r>
    </w:p>
    <w:p w14:paraId="32638BF6" w14:textId="26B144B9" w:rsidR="00D46B3C" w:rsidRDefault="00C839AB" w:rsidP="004A2B71">
      <w:r>
        <w:lastRenderedPageBreak/>
        <w:t>Ibn Ezra</w:t>
      </w:r>
      <w:r w:rsidR="00D46B3C">
        <w:t xml:space="preserve"> was not alone in this matter. R. Isaac Abravanel</w:t>
      </w:r>
      <w:r w:rsidR="004A2B71">
        <w:t xml:space="preserve"> also wr</w:t>
      </w:r>
      <w:r w:rsidR="00D46B3C">
        <w:t xml:space="preserve">ote in several places that the division of the verses was </w:t>
      </w:r>
      <w:r w:rsidR="00D94DDE">
        <w:t>carried out by</w:t>
      </w:r>
      <w:r w:rsidR="00D46B3C">
        <w:t xml:space="preserve"> Ezra the Scribe: </w:t>
      </w:r>
      <w:commentRangeStart w:id="17"/>
      <w:commentRangeStart w:id="18"/>
      <w:commentRangeStart w:id="19"/>
      <w:r w:rsidR="00D46B3C">
        <w:t>“</w:t>
      </w:r>
      <w:r w:rsidR="00D66F67">
        <w:t>And before Ezra started to punctuate and cantillate and demarcate the verses</w:t>
      </w:r>
      <w:r w:rsidR="004A2B71">
        <w:t>;</w:t>
      </w:r>
      <w:r w:rsidR="00D66F67">
        <w:t>”</w:t>
      </w:r>
      <w:r w:rsidR="00874A47">
        <w:rPr>
          <w:rStyle w:val="FootnoteReference"/>
        </w:rPr>
        <w:footnoteReference w:id="15"/>
      </w:r>
      <w:r w:rsidR="00D66F67">
        <w:t xml:space="preserve"> “And Ezra also taught Israel the punctuation and cantillation and demarcation of verses, and thus preserved and prevented them from any fail</w:t>
      </w:r>
      <w:r w:rsidR="004A2B71">
        <w:t>ure</w:t>
      </w:r>
      <w:r w:rsidR="00D66F67">
        <w:t xml:space="preserve"> and mistake.”</w:t>
      </w:r>
      <w:r w:rsidR="00586E99">
        <w:rPr>
          <w:rStyle w:val="FootnoteReference"/>
        </w:rPr>
        <w:footnoteReference w:id="16"/>
      </w:r>
      <w:r w:rsidR="00D66F67">
        <w:t xml:space="preserve"> </w:t>
      </w:r>
      <w:commentRangeEnd w:id="17"/>
      <w:r w:rsidR="007C1D24">
        <w:rPr>
          <w:rStyle w:val="CommentReference"/>
          <w:rtl/>
        </w:rPr>
        <w:commentReference w:id="17"/>
      </w:r>
      <w:commentRangeEnd w:id="18"/>
      <w:r w:rsidR="0017502D">
        <w:rPr>
          <w:rStyle w:val="CommentReference"/>
          <w:rtl/>
        </w:rPr>
        <w:commentReference w:id="18"/>
      </w:r>
      <w:commentRangeEnd w:id="19"/>
      <w:r w:rsidR="004238BF">
        <w:rPr>
          <w:rStyle w:val="CommentReference"/>
        </w:rPr>
        <w:commentReference w:id="19"/>
      </w:r>
      <w:r w:rsidR="00D66F67">
        <w:t xml:space="preserve">It seems that those who attribute the demarcation (or the reconstruction) of the verses to Ezra, also expanded his activities </w:t>
      </w:r>
      <w:r w:rsidR="00AA3F8B">
        <w:t>(</w:t>
      </w:r>
      <w:r w:rsidR="00D66F67">
        <w:t>as described in the book of Nehemiah</w:t>
      </w:r>
      <w:r w:rsidR="00AA3F8B">
        <w:t>,</w:t>
      </w:r>
      <w:r w:rsidR="00D66F67">
        <w:t xml:space="preserve"> and the aforementioned </w:t>
      </w:r>
      <w:r w:rsidR="007C1D24">
        <w:t>passages in the Talmud</w:t>
      </w:r>
      <w:r w:rsidR="00AA3F8B">
        <w:t>)</w:t>
      </w:r>
      <w:r w:rsidR="00D66F67">
        <w:t xml:space="preserve"> to the entire Bible</w:t>
      </w:r>
      <w:r w:rsidR="007C1D24">
        <w:t>,</w:t>
      </w:r>
      <w:r w:rsidR="00D66F67">
        <w:t xml:space="preserve"> and not </w:t>
      </w:r>
      <w:r w:rsidR="004A2B71">
        <w:t>only</w:t>
      </w:r>
      <w:r w:rsidR="00D66F67">
        <w:t xml:space="preserve"> the Pentateuch.</w:t>
      </w:r>
    </w:p>
    <w:p w14:paraId="057FE0B6" w14:textId="32DDA164" w:rsidR="00D66F67" w:rsidRDefault="00811105" w:rsidP="004A2B71">
      <w:pPr>
        <w:pStyle w:val="Heading1"/>
      </w:pPr>
      <w:r>
        <w:t>“…</w:t>
      </w:r>
      <w:r w:rsidR="004A2B71">
        <w:t>(who</w:t>
      </w:r>
      <w:r w:rsidR="004A2B71" w:rsidRPr="007E36A3">
        <w:t xml:space="preserve"> </w:t>
      </w:r>
      <w:r w:rsidR="004A2B71">
        <w:t>was) [and not]</w:t>
      </w:r>
      <w:r w:rsidR="004A2B71" w:rsidRPr="007E36A3">
        <w:t xml:space="preserve"> many years </w:t>
      </w:r>
      <w:r w:rsidR="004A2B71">
        <w:t>later</w:t>
      </w:r>
      <w:r>
        <w:t>”</w:t>
      </w:r>
    </w:p>
    <w:p w14:paraId="6CEC185D" w14:textId="690319AB" w:rsidR="00D25E67" w:rsidRPr="00CF2EA3" w:rsidRDefault="004A2B71" w:rsidP="004A2B71">
      <w:r>
        <w:t>Ibn Ezra’s</w:t>
      </w:r>
      <w:r w:rsidR="00811105">
        <w:t xml:space="preserve"> </w:t>
      </w:r>
      <w:r>
        <w:t>statement</w:t>
      </w:r>
      <w:r w:rsidR="00811105">
        <w:t xml:space="preserve"> cited above </w:t>
      </w:r>
      <w:commentRangeStart w:id="20"/>
      <w:commentRangeStart w:id="21"/>
      <w:r w:rsidR="00811105">
        <w:t xml:space="preserve">was </w:t>
      </w:r>
      <w:r>
        <w:t xml:space="preserve">a translation of the version </w:t>
      </w:r>
      <w:commentRangeEnd w:id="20"/>
      <w:r w:rsidR="000F6473">
        <w:rPr>
          <w:rStyle w:val="CommentReference"/>
        </w:rPr>
        <w:commentReference w:id="20"/>
      </w:r>
      <w:commentRangeEnd w:id="21"/>
      <w:r w:rsidR="001E090A">
        <w:rPr>
          <w:rStyle w:val="CommentReference"/>
          <w:rtl/>
        </w:rPr>
        <w:commentReference w:id="21"/>
      </w:r>
      <w:r>
        <w:t xml:space="preserve">that appears in </w:t>
      </w:r>
      <w:proofErr w:type="spellStart"/>
      <w:r w:rsidR="00811105">
        <w:t>Mishali</w:t>
      </w:r>
      <w:proofErr w:type="spellEnd"/>
      <w:r w:rsidR="00811105">
        <w:t xml:space="preserve"> and </w:t>
      </w:r>
      <w:proofErr w:type="spellStart"/>
      <w:r w:rsidR="00811105">
        <w:t>Zippor’s</w:t>
      </w:r>
      <w:proofErr w:type="spellEnd"/>
      <w:r w:rsidR="00811105">
        <w:t xml:space="preserve"> </w:t>
      </w:r>
      <w:r w:rsidR="0024353B">
        <w:t>diplomatic critical</w:t>
      </w:r>
      <w:r w:rsidR="00811105">
        <w:t xml:space="preserve"> edition,</w:t>
      </w:r>
      <w:commentRangeStart w:id="22"/>
      <w:commentRangeStart w:id="23"/>
      <w:commentRangeStart w:id="24"/>
      <w:r w:rsidR="00811105">
        <w:rPr>
          <w:rStyle w:val="FootnoteReference"/>
        </w:rPr>
        <w:footnoteReference w:id="17"/>
      </w:r>
      <w:commentRangeEnd w:id="22"/>
      <w:r w:rsidR="0049001B">
        <w:rPr>
          <w:rStyle w:val="CommentReference"/>
        </w:rPr>
        <w:commentReference w:id="22"/>
      </w:r>
      <w:commentRangeEnd w:id="23"/>
      <w:r w:rsidR="000F6473">
        <w:rPr>
          <w:rStyle w:val="CommentReference"/>
        </w:rPr>
        <w:commentReference w:id="23"/>
      </w:r>
      <w:commentRangeEnd w:id="24"/>
      <w:r w:rsidR="00536751">
        <w:rPr>
          <w:rStyle w:val="CommentReference"/>
        </w:rPr>
        <w:commentReference w:id="24"/>
      </w:r>
      <w:r w:rsidR="00811105">
        <w:t xml:space="preserve"> </w:t>
      </w:r>
      <w:r w:rsidR="0024353B">
        <w:t>comparing</w:t>
      </w:r>
      <w:r w:rsidR="00811105">
        <w:t xml:space="preserve"> fourteen manuscripts.</w:t>
      </w:r>
      <w:r w:rsidR="0049001B">
        <w:t xml:space="preserve"> A close examination of the </w:t>
      </w:r>
      <w:r>
        <w:t>textual apparatus</w:t>
      </w:r>
      <w:r w:rsidR="0049001B">
        <w:t xml:space="preserve"> </w:t>
      </w:r>
      <w:r>
        <w:t>for</w:t>
      </w:r>
      <w:r w:rsidR="0049001B">
        <w:t xml:space="preserve"> this verse shows that this time they decided to deviate from the </w:t>
      </w:r>
      <w:r>
        <w:t xml:space="preserve">textual version that appears in the base </w:t>
      </w:r>
      <w:r w:rsidR="0049001B">
        <w:t xml:space="preserve">manuscript and </w:t>
      </w:r>
      <w:r>
        <w:t>used</w:t>
      </w:r>
      <w:r w:rsidR="0049001B">
        <w:t xml:space="preserve"> the phrasing </w:t>
      </w:r>
      <w:r>
        <w:t>from</w:t>
      </w:r>
      <w:r w:rsidR="0049001B">
        <w:t xml:space="preserve"> other </w:t>
      </w:r>
      <w:commentRangeStart w:id="25"/>
      <w:r w:rsidR="0049001B">
        <w:t>manuscripts</w:t>
      </w:r>
      <w:commentRangeEnd w:id="25"/>
      <w:r w:rsidR="000F6473">
        <w:rPr>
          <w:rStyle w:val="CommentReference"/>
        </w:rPr>
        <w:commentReference w:id="25"/>
      </w:r>
      <w:r w:rsidR="0049001B">
        <w:t xml:space="preserve">. </w:t>
      </w:r>
      <w:r>
        <w:t xml:space="preserve">The version </w:t>
      </w:r>
      <w:r w:rsidR="0049001B">
        <w:t xml:space="preserve">in their </w:t>
      </w:r>
      <w:r>
        <w:t>base</w:t>
      </w:r>
      <w:r w:rsidR="0049001B">
        <w:t xml:space="preserve"> manuscript</w:t>
      </w:r>
      <w:r>
        <w:t xml:space="preserve"> </w:t>
      </w:r>
      <w:r w:rsidR="0049001B">
        <w:t xml:space="preserve">was: “and </w:t>
      </w:r>
      <w:r>
        <w:t xml:space="preserve">who </w:t>
      </w:r>
      <w:r w:rsidR="0049001B">
        <w:t>was not many years after”</w:t>
      </w:r>
      <w:r>
        <w:t>;</w:t>
      </w:r>
      <w:r w:rsidR="0049001B">
        <w:t xml:space="preserve"> they changed the word </w:t>
      </w:r>
      <w:proofErr w:type="spellStart"/>
      <w:r w:rsidRPr="004A2B71">
        <w:rPr>
          <w:i/>
          <w:iCs/>
        </w:rPr>
        <w:t>ve</w:t>
      </w:r>
      <w:proofErr w:type="spellEnd"/>
      <w:r w:rsidRPr="004A2B71">
        <w:rPr>
          <w:i/>
          <w:iCs/>
        </w:rPr>
        <w:t>-lo</w:t>
      </w:r>
      <w:r>
        <w:t xml:space="preserve"> [and [was]</w:t>
      </w:r>
      <w:r w:rsidR="0049001B">
        <w:t xml:space="preserve"> not</w:t>
      </w:r>
      <w:r>
        <w:t>]</w:t>
      </w:r>
      <w:r w:rsidR="0049001B">
        <w:t xml:space="preserve"> to the word </w:t>
      </w:r>
      <w:proofErr w:type="spellStart"/>
      <w:r w:rsidRPr="004A2B71">
        <w:rPr>
          <w:i/>
          <w:iCs/>
        </w:rPr>
        <w:t>ve</w:t>
      </w:r>
      <w:proofErr w:type="spellEnd"/>
      <w:r w:rsidRPr="004A2B71">
        <w:rPr>
          <w:i/>
          <w:iCs/>
        </w:rPr>
        <w:t>-hu</w:t>
      </w:r>
      <w:r>
        <w:t xml:space="preserve"> [who was],</w:t>
      </w:r>
      <w:r w:rsidR="0049001B">
        <w:t xml:space="preserve"> </w:t>
      </w:r>
      <w:r>
        <w:t>rendering the sentence</w:t>
      </w:r>
      <w:r w:rsidR="0049001B">
        <w:t>: “</w:t>
      </w:r>
      <w:r>
        <w:t>who was many years later</w:t>
      </w:r>
      <w:r w:rsidR="0049001B">
        <w:t>.” However, this version</w:t>
      </w:r>
      <w:r w:rsidR="00176A1F">
        <w:t xml:space="preserve"> raises the difficulty noted above (question 2), and, as they wrote: “Indeed, there is some difficulty… according to the widespread </w:t>
      </w:r>
      <w:r>
        <w:t xml:space="preserve">understanding </w:t>
      </w:r>
      <w:r w:rsidR="00176A1F">
        <w:t>regarding Mordechai’s era, and therefore the time when the Megillah was written, Ezra lived and was active not long after.”</w:t>
      </w:r>
      <w:r w:rsidR="00176A1F">
        <w:rPr>
          <w:rStyle w:val="FootnoteReference"/>
        </w:rPr>
        <w:footnoteReference w:id="18"/>
      </w:r>
    </w:p>
    <w:p w14:paraId="798B9FB2" w14:textId="6AAA3959" w:rsidR="000330E9" w:rsidRDefault="00AA3F8B" w:rsidP="004A2B71">
      <w:r>
        <w:t>In contrast</w:t>
      </w:r>
      <w:r w:rsidR="00176A1F">
        <w:t xml:space="preserve"> to the </w:t>
      </w:r>
      <w:commentRangeStart w:id="26"/>
      <w:r w:rsidR="00176A1F">
        <w:t>direction</w:t>
      </w:r>
      <w:commentRangeEnd w:id="26"/>
      <w:r w:rsidR="000F6473">
        <w:rPr>
          <w:rStyle w:val="CommentReference"/>
        </w:rPr>
        <w:commentReference w:id="26"/>
      </w:r>
      <w:r w:rsidR="00176A1F">
        <w:t xml:space="preserve"> taken by </w:t>
      </w:r>
      <w:proofErr w:type="spellStart"/>
      <w:r w:rsidR="00176A1F">
        <w:t>Mishali</w:t>
      </w:r>
      <w:proofErr w:type="spellEnd"/>
      <w:r w:rsidR="00176A1F">
        <w:t xml:space="preserve"> and </w:t>
      </w:r>
      <w:proofErr w:type="spellStart"/>
      <w:r w:rsidR="00176A1F">
        <w:t>Zippor</w:t>
      </w:r>
      <w:proofErr w:type="spellEnd"/>
      <w:r w:rsidR="00176A1F">
        <w:t xml:space="preserve">, others who </w:t>
      </w:r>
      <w:r>
        <w:t>examined</w:t>
      </w:r>
      <w:r w:rsidR="00176A1F">
        <w:t xml:space="preserve"> </w:t>
      </w:r>
      <w:r w:rsidR="004A2B71">
        <w:t>Ibn Ezra’s</w:t>
      </w:r>
      <w:r w:rsidR="00176A1F">
        <w:t xml:space="preserve"> </w:t>
      </w:r>
      <w:r w:rsidR="004A2B71">
        <w:t>statement</w:t>
      </w:r>
      <w:r w:rsidR="00176A1F">
        <w:t xml:space="preserve"> wrote: “and </w:t>
      </w:r>
      <w:r w:rsidR="004A2B71">
        <w:t>[was] not many years later</w:t>
      </w:r>
      <w:r w:rsidR="00176A1F">
        <w:t xml:space="preserve">.” This is found in R. Yosef Caro’s </w:t>
      </w:r>
      <w:r w:rsidR="004A2B71">
        <w:t>quotation</w:t>
      </w:r>
      <w:r w:rsidR="00176A1F">
        <w:t xml:space="preserve"> of </w:t>
      </w:r>
      <w:r w:rsidR="004A2B71">
        <w:t>Ibn Ezra’s</w:t>
      </w:r>
      <w:r w:rsidR="00176A1F">
        <w:t xml:space="preserve"> words in the laws of Megillah, </w:t>
      </w:r>
      <w:r w:rsidR="00614181">
        <w:t>as well as in the discussions of</w:t>
      </w:r>
      <w:r w:rsidR="00176A1F">
        <w:t xml:space="preserve"> all the halakhic </w:t>
      </w:r>
      <w:r w:rsidR="004A2B71">
        <w:t>scholars</w:t>
      </w:r>
      <w:r w:rsidR="00176A1F">
        <w:t xml:space="preserve"> who followed him. This version is also brought in </w:t>
      </w:r>
      <w:proofErr w:type="spellStart"/>
      <w:r w:rsidR="00176A1F">
        <w:rPr>
          <w:i/>
          <w:iCs/>
        </w:rPr>
        <w:t>Mikraot</w:t>
      </w:r>
      <w:proofErr w:type="spellEnd"/>
      <w:r w:rsidR="00176A1F">
        <w:rPr>
          <w:i/>
          <w:iCs/>
        </w:rPr>
        <w:t xml:space="preserve"> </w:t>
      </w:r>
      <w:proofErr w:type="spellStart"/>
      <w:r w:rsidR="00176A1F">
        <w:rPr>
          <w:i/>
          <w:iCs/>
        </w:rPr>
        <w:t>Gedolot</w:t>
      </w:r>
      <w:proofErr w:type="spellEnd"/>
      <w:r w:rsidR="00176A1F">
        <w:rPr>
          <w:i/>
          <w:iCs/>
        </w:rPr>
        <w:t xml:space="preserve"> </w:t>
      </w:r>
      <w:proofErr w:type="spellStart"/>
      <w:r w:rsidR="00176A1F">
        <w:rPr>
          <w:i/>
          <w:iCs/>
        </w:rPr>
        <w:t>HaKeter</w:t>
      </w:r>
      <w:proofErr w:type="spellEnd"/>
      <w:r w:rsidR="00176A1F">
        <w:t xml:space="preserve"> and </w:t>
      </w:r>
      <w:r w:rsidR="00614181">
        <w:t>is</w:t>
      </w:r>
      <w:r w:rsidR="00176A1F">
        <w:t xml:space="preserve"> favored by Simon, based on an earlier edition.</w:t>
      </w:r>
      <w:r w:rsidR="00176A1F">
        <w:rPr>
          <w:rStyle w:val="FootnoteReference"/>
        </w:rPr>
        <w:footnoteReference w:id="19"/>
      </w:r>
    </w:p>
    <w:p w14:paraId="08E47551" w14:textId="51A6BB8E" w:rsidR="00176A1F" w:rsidRPr="000330E9" w:rsidRDefault="00176A1F" w:rsidP="004A2B71">
      <w:r>
        <w:t>The version of Ibn Ezra</w:t>
      </w:r>
      <w:r w:rsidR="004A2B71">
        <w:t>’s text</w:t>
      </w:r>
      <w:r>
        <w:t xml:space="preserve"> which R. Haim </w:t>
      </w:r>
      <w:proofErr w:type="spellStart"/>
      <w:r>
        <w:t>Benvenisti</w:t>
      </w:r>
      <w:proofErr w:type="spellEnd"/>
      <w:r>
        <w:t xml:space="preserve"> consulted, without much success at elucidating, stated “and </w:t>
      </w:r>
      <w:r w:rsidR="004A2B71">
        <w:t>was not many years later</w:t>
      </w:r>
      <w:r>
        <w:t xml:space="preserve">.” However, he notes that he found a gloss in </w:t>
      </w:r>
      <w:r>
        <w:lastRenderedPageBreak/>
        <w:t xml:space="preserve">the manuscript </w:t>
      </w:r>
      <w:r w:rsidR="004A2B71">
        <w:t>that</w:t>
      </w:r>
      <w:r>
        <w:t xml:space="preserve"> added the word “but”: “and </w:t>
      </w:r>
      <w:r w:rsidR="004A2B71">
        <w:t>was not</w:t>
      </w:r>
      <w:r>
        <w:t xml:space="preserve"> </w:t>
      </w:r>
      <w:r w:rsidRPr="00614181">
        <w:rPr>
          <w:i/>
          <w:iCs/>
        </w:rPr>
        <w:t>but</w:t>
      </w:r>
      <w:r>
        <w:t xml:space="preserve"> many years after.”</w:t>
      </w:r>
      <w:r w:rsidR="003828EF">
        <w:t xml:space="preserve"> This only reinforces the problem, as he wrote:</w:t>
      </w:r>
      <w:r w:rsidR="003828EF">
        <w:rPr>
          <w:rStyle w:val="FootnoteReference"/>
        </w:rPr>
        <w:footnoteReference w:id="20"/>
      </w:r>
    </w:p>
    <w:p w14:paraId="3844FB88" w14:textId="3AAC2A11" w:rsidR="000330E9" w:rsidRPr="003828EF" w:rsidRDefault="003828EF" w:rsidP="000F6473">
      <w:pPr>
        <w:ind w:left="720"/>
      </w:pPr>
      <w:r>
        <w:t xml:space="preserve">And I found a gloss in the manuscript, </w:t>
      </w:r>
      <w:r w:rsidR="00614181">
        <w:t>“</w:t>
      </w:r>
      <w:r>
        <w:t>and</w:t>
      </w:r>
      <w:r w:rsidR="004A2B71">
        <w:t xml:space="preserve"> was </w:t>
      </w:r>
      <w:r w:rsidR="000631E5">
        <w:t>not</w:t>
      </w:r>
      <w:r>
        <w:t xml:space="preserve"> but many years </w:t>
      </w:r>
      <w:r w:rsidR="004A2B71">
        <w:t>later</w:t>
      </w:r>
      <w:r>
        <w:t>.</w:t>
      </w:r>
      <w:r w:rsidR="00614181">
        <w:t>”</w:t>
      </w:r>
      <w:r>
        <w:t xml:space="preserve"> </w:t>
      </w:r>
      <w:r w:rsidR="004A2B71">
        <w:t>Besides the fact that</w:t>
      </w:r>
      <w:r>
        <w:t xml:space="preserve"> </w:t>
      </w:r>
      <w:r w:rsidR="004A2B71">
        <w:t>in Ibn Ezra’s</w:t>
      </w:r>
      <w:r>
        <w:t xml:space="preserve"> commentary the word </w:t>
      </w:r>
      <w:r w:rsidR="00614181">
        <w:t>“</w:t>
      </w:r>
      <w:r>
        <w:t>but</w:t>
      </w:r>
      <w:r w:rsidR="00614181">
        <w:t>”</w:t>
      </w:r>
      <w:r w:rsidR="004A2B71">
        <w:t xml:space="preserve"> is not written, </w:t>
      </w:r>
      <w:r>
        <w:t xml:space="preserve">Ezra </w:t>
      </w:r>
      <w:r w:rsidR="004A2B71">
        <w:t>was not</w:t>
      </w:r>
      <w:r w:rsidR="00614181">
        <w:t xml:space="preserve"> </w:t>
      </w:r>
      <w:r>
        <w:t>many years after Mordechai but was rather a contemporary, and even if the events of the Megillah occurred before Ezra demarcated the verses it would only be a short time before, as Ahasuerus was after Belshazzar and our Sages said that he counted and was mistaken,</w:t>
      </w:r>
      <w:r>
        <w:rPr>
          <w:rStyle w:val="FootnoteReference"/>
        </w:rPr>
        <w:footnoteReference w:id="21"/>
      </w:r>
      <w:r>
        <w:t xml:space="preserve"> and </w:t>
      </w:r>
      <w:r w:rsidR="00614181">
        <w:t xml:space="preserve">Ezra established </w:t>
      </w:r>
      <w:r>
        <w:t>the verse demarcations at the beginning of the Second Temple period when Nehemiah built the Temple, as is written “</w:t>
      </w:r>
      <w:r w:rsidRPr="000330E9">
        <w:rPr>
          <w:lang w:val="en"/>
        </w:rPr>
        <w:t>And they read in the book, in the Torah of God, distinctly; and they gave the sense, and caused them to understand the reading</w:t>
      </w:r>
      <w:r>
        <w:rPr>
          <w:lang w:val="en"/>
        </w:rPr>
        <w:t>,” and from this verse</w:t>
      </w:r>
      <w:r w:rsidR="004A2B71">
        <w:rPr>
          <w:lang w:val="en"/>
        </w:rPr>
        <w:t>,</w:t>
      </w:r>
      <w:r>
        <w:rPr>
          <w:lang w:val="en"/>
        </w:rPr>
        <w:t xml:space="preserve"> our Sages learned in the first chapter of </w:t>
      </w:r>
      <w:r>
        <w:rPr>
          <w:i/>
          <w:iCs/>
          <w:lang w:val="en"/>
        </w:rPr>
        <w:t>Megillah</w:t>
      </w:r>
      <w:r>
        <w:rPr>
          <w:lang w:val="en"/>
        </w:rPr>
        <w:t xml:space="preserve"> “and they gave the </w:t>
      </w:r>
      <w:proofErr w:type="spellStart"/>
      <w:r>
        <w:rPr>
          <w:lang w:val="en"/>
        </w:rPr>
        <w:t>sense”</w:t>
      </w:r>
      <w:r w:rsidR="004A2B71">
        <w:rPr>
          <w:lang w:val="en"/>
        </w:rPr>
        <w:t>⸺</w:t>
      </w:r>
      <w:r>
        <w:rPr>
          <w:lang w:val="en"/>
        </w:rPr>
        <w:t>these</w:t>
      </w:r>
      <w:proofErr w:type="spellEnd"/>
      <w:r>
        <w:rPr>
          <w:lang w:val="en"/>
        </w:rPr>
        <w:t xml:space="preserve"> are the verses. And Rashi wrote: These are the verses, the way they are demarcated. And how could there be many years between the time of the Megillah and the time during which Ezra demarcated the verses</w:t>
      </w:r>
      <w:r w:rsidR="004A2B71">
        <w:rPr>
          <w:lang w:val="en"/>
        </w:rPr>
        <w:t>;</w:t>
      </w:r>
      <w:r>
        <w:rPr>
          <w:lang w:val="en"/>
        </w:rPr>
        <w:t xml:space="preserve"> just the opposite</w:t>
      </w:r>
      <w:r w:rsidR="004A2B71">
        <w:rPr>
          <w:lang w:val="en"/>
        </w:rPr>
        <w:t>,</w:t>
      </w:r>
      <w:r>
        <w:rPr>
          <w:lang w:val="en"/>
        </w:rPr>
        <w:t xml:space="preserve"> it would have been better to not write any gloss and leave the version as it was, “and </w:t>
      </w:r>
      <w:r w:rsidR="004A2B71">
        <w:rPr>
          <w:lang w:val="en"/>
        </w:rPr>
        <w:t>was</w:t>
      </w:r>
      <w:r w:rsidR="000631E5">
        <w:rPr>
          <w:lang w:val="en"/>
        </w:rPr>
        <w:t xml:space="preserve"> not</w:t>
      </w:r>
      <w:r>
        <w:rPr>
          <w:lang w:val="en"/>
        </w:rPr>
        <w:t xml:space="preserve"> many years </w:t>
      </w:r>
      <w:r w:rsidR="004A2B71">
        <w:rPr>
          <w:lang w:val="en"/>
        </w:rPr>
        <w:t>later</w:t>
      </w:r>
      <w:r>
        <w:rPr>
          <w:lang w:val="en"/>
        </w:rPr>
        <w:t>,” for this is the truth.</w:t>
      </w:r>
    </w:p>
    <w:p w14:paraId="03675A37" w14:textId="6F62C351" w:rsidR="002F7014" w:rsidRDefault="00BF1B14" w:rsidP="004A2B71">
      <w:pPr>
        <w:rPr>
          <w:rtl/>
        </w:rPr>
      </w:pPr>
      <w:r>
        <w:t xml:space="preserve">The addition of “but” also appears in R. </w:t>
      </w:r>
      <w:proofErr w:type="spellStart"/>
      <w:r>
        <w:t>Shlomo</w:t>
      </w:r>
      <w:proofErr w:type="spellEnd"/>
      <w:r>
        <w:t xml:space="preserve"> </w:t>
      </w:r>
      <w:proofErr w:type="spellStart"/>
      <w:r>
        <w:t>Alkabetz’</w:t>
      </w:r>
      <w:r w:rsidR="004A2B71">
        <w:t>s</w:t>
      </w:r>
      <w:proofErr w:type="spellEnd"/>
      <w:r>
        <w:t xml:space="preserve"> edition of Ibn Ezra</w:t>
      </w:r>
      <w:r w:rsidR="004A2B71">
        <w:t>’s statement</w:t>
      </w:r>
      <w:r>
        <w:t>.</w:t>
      </w:r>
      <w:r>
        <w:rPr>
          <w:rStyle w:val="FootnoteReference"/>
        </w:rPr>
        <w:footnoteReference w:id="22"/>
      </w:r>
      <w:r>
        <w:t xml:space="preserve"> </w:t>
      </w:r>
      <w:r w:rsidR="00614181">
        <w:t xml:space="preserve">To </w:t>
      </w:r>
      <w:r w:rsidR="004A2B71">
        <w:t xml:space="preserve">avoid the difficulty expressed by </w:t>
      </w:r>
      <w:r>
        <w:t xml:space="preserve">R. Haim </w:t>
      </w:r>
      <w:proofErr w:type="spellStart"/>
      <w:r>
        <w:t>Benvenisti</w:t>
      </w:r>
      <w:proofErr w:type="spellEnd"/>
      <w:r>
        <w:t xml:space="preserve">, the </w:t>
      </w:r>
      <w:proofErr w:type="spellStart"/>
      <w:r>
        <w:t>Maharitz</w:t>
      </w:r>
      <w:proofErr w:type="spellEnd"/>
      <w:r>
        <w:rPr>
          <w:rStyle w:val="FootnoteReference"/>
        </w:rPr>
        <w:footnoteReference w:id="23"/>
      </w:r>
      <w:r>
        <w:t xml:space="preserve"> wrote that </w:t>
      </w:r>
      <w:r w:rsidR="004A2B71">
        <w:t>the statement referred to</w:t>
      </w:r>
      <w:r>
        <w:t xml:space="preserve"> the time when the books of the Bible were written. </w:t>
      </w:r>
      <w:r w:rsidR="00614181">
        <w:t>This</w:t>
      </w:r>
      <w:r>
        <w:t xml:space="preserve"> means that much time had passed since the biblical books were written, and therefore, Ezra needed to reconstruct the demarcation of the verses as this was </w:t>
      </w:r>
      <w:r w:rsidRPr="004A2B71">
        <w:t>forgotten</w:t>
      </w:r>
      <w:r>
        <w:t>.</w:t>
      </w:r>
      <w:r>
        <w:rPr>
          <w:rStyle w:val="FootnoteReference"/>
        </w:rPr>
        <w:footnoteReference w:id="24"/>
      </w:r>
      <w:r>
        <w:t xml:space="preserve"> R. Yosef </w:t>
      </w:r>
      <w:proofErr w:type="spellStart"/>
      <w:r>
        <w:t>Iskapa’s</w:t>
      </w:r>
      <w:proofErr w:type="spellEnd"/>
      <w:r>
        <w:t xml:space="preserve"> version of </w:t>
      </w:r>
      <w:r w:rsidR="004A2B71">
        <w:t>Ibn Ezra</w:t>
      </w:r>
      <w:r>
        <w:t xml:space="preserve"> also had “and </w:t>
      </w:r>
      <w:r w:rsidR="004A2B71">
        <w:t>was not</w:t>
      </w:r>
      <w:r w:rsidR="00614181">
        <w:t xml:space="preserve"> </w:t>
      </w:r>
      <w:r>
        <w:t>many years after</w:t>
      </w:r>
      <w:r w:rsidR="004A2B71">
        <w:t>.</w:t>
      </w:r>
      <w:r>
        <w:t>”</w:t>
      </w:r>
      <w:r w:rsidR="004A2B71">
        <w:t xml:space="preserve"> </w:t>
      </w:r>
      <w:commentRangeStart w:id="27"/>
      <w:commentRangeStart w:id="28"/>
      <w:r w:rsidR="004A2B71">
        <w:t>W</w:t>
      </w:r>
      <w:r>
        <w:t>ithout glossing, he wrote: “meaning,</w:t>
      </w:r>
      <w:r w:rsidR="00233E38">
        <w:rPr>
          <w:rFonts w:hint="cs"/>
          <w:rtl/>
        </w:rPr>
        <w:t xml:space="preserve"> </w:t>
      </w:r>
      <w:r>
        <w:t xml:space="preserve">and </w:t>
      </w:r>
      <w:r w:rsidR="000631E5">
        <w:t>lived not</w:t>
      </w:r>
      <w:r>
        <w:t xml:space="preserve"> but after many years since the Megillah was written.”</w:t>
      </w:r>
      <w:r>
        <w:rPr>
          <w:rStyle w:val="FootnoteReference"/>
        </w:rPr>
        <w:footnoteReference w:id="25"/>
      </w:r>
      <w:commentRangeEnd w:id="27"/>
      <w:r w:rsidR="004A2B71">
        <w:rPr>
          <w:rStyle w:val="CommentReference"/>
        </w:rPr>
        <w:commentReference w:id="27"/>
      </w:r>
      <w:commentRangeEnd w:id="28"/>
      <w:r w:rsidR="00E471FD">
        <w:rPr>
          <w:rStyle w:val="CommentReference"/>
        </w:rPr>
        <w:commentReference w:id="28"/>
      </w:r>
    </w:p>
    <w:p w14:paraId="7E45717C" w14:textId="68807545" w:rsidR="00233E38" w:rsidRDefault="00233E38" w:rsidP="004A2B71">
      <w:r>
        <w:t xml:space="preserve">All this leads to the conclusion that it is preferable to adopt the version of the excellent manuscript </w:t>
      </w:r>
      <w:r w:rsidR="00D54DC8">
        <w:t>which</w:t>
      </w:r>
      <w:r>
        <w:t xml:space="preserve"> </w:t>
      </w:r>
      <w:proofErr w:type="spellStart"/>
      <w:r>
        <w:t>Mishali</w:t>
      </w:r>
      <w:proofErr w:type="spellEnd"/>
      <w:r>
        <w:t xml:space="preserve"> and </w:t>
      </w:r>
      <w:proofErr w:type="spellStart"/>
      <w:r>
        <w:t>Zippor</w:t>
      </w:r>
      <w:proofErr w:type="spellEnd"/>
      <w:r>
        <w:t xml:space="preserve"> </w:t>
      </w:r>
      <w:r w:rsidR="00D54DC8">
        <w:t xml:space="preserve">chose </w:t>
      </w:r>
      <w:r>
        <w:t xml:space="preserve">as </w:t>
      </w:r>
      <w:r w:rsidR="004A2B71">
        <w:t xml:space="preserve">the </w:t>
      </w:r>
      <w:r>
        <w:t xml:space="preserve">basis for their edition, </w:t>
      </w:r>
      <w:r w:rsidR="004A2B71">
        <w:t>which</w:t>
      </w:r>
      <w:r>
        <w:t xml:space="preserve"> is the version also </w:t>
      </w:r>
      <w:commentRangeStart w:id="29"/>
      <w:commentRangeStart w:id="30"/>
      <w:r>
        <w:t xml:space="preserve">preferred by Simon and used by </w:t>
      </w:r>
      <w:proofErr w:type="spellStart"/>
      <w:r>
        <w:rPr>
          <w:i/>
          <w:iCs/>
        </w:rPr>
        <w:t>Mikraot</w:t>
      </w:r>
      <w:proofErr w:type="spellEnd"/>
      <w:r>
        <w:rPr>
          <w:i/>
          <w:iCs/>
        </w:rPr>
        <w:t xml:space="preserve"> </w:t>
      </w:r>
      <w:proofErr w:type="spellStart"/>
      <w:r>
        <w:rPr>
          <w:i/>
          <w:iCs/>
        </w:rPr>
        <w:t>Gedolot</w:t>
      </w:r>
      <w:proofErr w:type="spellEnd"/>
      <w:r>
        <w:rPr>
          <w:i/>
          <w:iCs/>
        </w:rPr>
        <w:t xml:space="preserve"> </w:t>
      </w:r>
      <w:proofErr w:type="spellStart"/>
      <w:r>
        <w:rPr>
          <w:i/>
          <w:iCs/>
        </w:rPr>
        <w:t>haKeter</w:t>
      </w:r>
      <w:commentRangeEnd w:id="29"/>
      <w:proofErr w:type="spellEnd"/>
      <w:r w:rsidR="00D54DC8">
        <w:rPr>
          <w:rStyle w:val="CommentReference"/>
        </w:rPr>
        <w:commentReference w:id="29"/>
      </w:r>
      <w:commentRangeEnd w:id="30"/>
      <w:r w:rsidR="00E471FD">
        <w:rPr>
          <w:rStyle w:val="CommentReference"/>
        </w:rPr>
        <w:commentReference w:id="30"/>
      </w:r>
      <w:r>
        <w:t xml:space="preserve">. This version is also identical </w:t>
      </w:r>
      <w:r>
        <w:lastRenderedPageBreak/>
        <w:t xml:space="preserve">to the one </w:t>
      </w:r>
      <w:r w:rsidR="004A2B71">
        <w:t>cited</w:t>
      </w:r>
      <w:r>
        <w:t xml:space="preserve"> by R. Yosef Caro and </w:t>
      </w:r>
      <w:r w:rsidR="004A2B71">
        <w:t>subsequent</w:t>
      </w:r>
      <w:r>
        <w:t xml:space="preserve"> halakhic </w:t>
      </w:r>
      <w:r w:rsidR="004A2B71">
        <w:t>scholars</w:t>
      </w:r>
      <w:r>
        <w:t xml:space="preserve"> and was also the version used by R. Haim </w:t>
      </w:r>
      <w:proofErr w:type="spellStart"/>
      <w:r>
        <w:t>Benvenisti</w:t>
      </w:r>
      <w:proofErr w:type="spellEnd"/>
      <w:r>
        <w:t xml:space="preserve">, a version </w:t>
      </w:r>
      <w:r w:rsidR="004A2B71">
        <w:t>that</w:t>
      </w:r>
      <w:r>
        <w:t xml:space="preserve"> most </w:t>
      </w:r>
      <w:r w:rsidR="004A2B71">
        <w:t>likely</w:t>
      </w:r>
      <w:r>
        <w:t xml:space="preserve"> reflects the historical truth.</w:t>
      </w:r>
    </w:p>
    <w:p w14:paraId="3A165A0D" w14:textId="29D3356B" w:rsidR="00233E38" w:rsidRDefault="004A2B71" w:rsidP="004A2B71">
      <w:pPr>
        <w:pStyle w:val="Heading1"/>
      </w:pPr>
      <w:r>
        <w:t>T</w:t>
      </w:r>
      <w:r w:rsidRPr="007E36A3">
        <w:t xml:space="preserve">he </w:t>
      </w:r>
      <w:r>
        <w:t>S</w:t>
      </w:r>
      <w:r w:rsidRPr="007E36A3">
        <w:t xml:space="preserve">ages </w:t>
      </w:r>
      <w:r w:rsidR="000A3A4A">
        <w:t>I</w:t>
      </w:r>
      <w:r>
        <w:t xml:space="preserve">nstructed </w:t>
      </w:r>
      <w:r w:rsidR="000A3A4A">
        <w:t>T</w:t>
      </w:r>
      <w:r>
        <w:t xml:space="preserve">hat the </w:t>
      </w:r>
      <w:r w:rsidR="000A3A4A">
        <w:t>R</w:t>
      </w:r>
      <w:r>
        <w:t xml:space="preserve">eader </w:t>
      </w:r>
      <w:r w:rsidR="000A3A4A">
        <w:t>S</w:t>
      </w:r>
      <w:r w:rsidRPr="007E36A3">
        <w:t xml:space="preserve">hould </w:t>
      </w:r>
      <w:r w:rsidR="000A3A4A">
        <w:t>N</w:t>
      </w:r>
      <w:r w:rsidRPr="007E36A3">
        <w:t xml:space="preserve">ot </w:t>
      </w:r>
      <w:r w:rsidR="000A3A4A">
        <w:t>S</w:t>
      </w:r>
      <w:r w:rsidRPr="007E36A3">
        <w:t xml:space="preserve">top at the </w:t>
      </w:r>
      <w:r w:rsidR="000A3A4A">
        <w:t>E</w:t>
      </w:r>
      <w:r w:rsidRPr="007E36A3">
        <w:t xml:space="preserve">nd of a </w:t>
      </w:r>
      <w:r w:rsidR="000A3A4A">
        <w:t>V</w:t>
      </w:r>
      <w:r w:rsidRPr="007E36A3">
        <w:t>erse</w:t>
      </w:r>
    </w:p>
    <w:p w14:paraId="186742D0" w14:textId="3E003D1D" w:rsidR="009D486E" w:rsidRDefault="009D486E" w:rsidP="004A2B71">
      <w:r>
        <w:t>We will no</w:t>
      </w:r>
      <w:r w:rsidR="004A2B71">
        <w:t>w</w:t>
      </w:r>
      <w:r>
        <w:t xml:space="preserve"> discuss the main difficulty </w:t>
      </w:r>
      <w:r w:rsidR="004A2B71">
        <w:t>with</w:t>
      </w:r>
      <w:r>
        <w:t xml:space="preserve"> </w:t>
      </w:r>
      <w:r w:rsidR="004A2B71">
        <w:t>Ibn Ezra’s</w:t>
      </w:r>
      <w:r>
        <w:t xml:space="preserve"> </w:t>
      </w:r>
      <w:r w:rsidR="004A2B71">
        <w:t>statement</w:t>
      </w:r>
      <w:r>
        <w:t xml:space="preserve"> (question 3): Where did the Sages say to not stop at the end of a verse, and why</w:t>
      </w:r>
      <w:r w:rsidR="00D54DC8">
        <w:rPr>
          <w:rFonts w:hint="cs"/>
          <w:rtl/>
        </w:rPr>
        <w:t>?</w:t>
      </w:r>
      <w:r>
        <w:t xml:space="preserve"> </w:t>
      </w:r>
      <w:proofErr w:type="spellStart"/>
      <w:r>
        <w:t>Mishali</w:t>
      </w:r>
      <w:proofErr w:type="spellEnd"/>
      <w:r>
        <w:t xml:space="preserve"> and </w:t>
      </w:r>
      <w:proofErr w:type="spellStart"/>
      <w:r>
        <w:t>Zippor</w:t>
      </w:r>
      <w:proofErr w:type="spellEnd"/>
      <w:r>
        <w:t xml:space="preserve"> understood that this refers to the known </w:t>
      </w:r>
      <w:r w:rsidR="00EE67BE">
        <w:t>custom</w:t>
      </w:r>
      <w:r>
        <w:t xml:space="preserve"> of reading the names of Haman’s ten sons with one breath.</w:t>
      </w:r>
      <w:r>
        <w:rPr>
          <w:rStyle w:val="FootnoteReference"/>
        </w:rPr>
        <w:footnoteReference w:id="26"/>
      </w:r>
      <w:r>
        <w:t xml:space="preserve"> Even though the list of Haman’s sons is written over three verses, they are read in one breath without </w:t>
      </w:r>
      <w:r w:rsidR="00D54DC8">
        <w:t>pausing</w:t>
      </w:r>
      <w:r>
        <w:t xml:space="preserve"> between the verses. In addition to this possibility, </w:t>
      </w:r>
      <w:proofErr w:type="spellStart"/>
      <w:r>
        <w:t>Mishali</w:t>
      </w:r>
      <w:proofErr w:type="spellEnd"/>
      <w:r>
        <w:t xml:space="preserve"> and </w:t>
      </w:r>
      <w:proofErr w:type="spellStart"/>
      <w:r>
        <w:t>Zippor</w:t>
      </w:r>
      <w:proofErr w:type="spellEnd"/>
      <w:r>
        <w:t xml:space="preserve"> also suggest the possibility of a continuous reading of Haman’s ten sons including two other words: the word </w:t>
      </w:r>
      <w:proofErr w:type="spellStart"/>
      <w:r>
        <w:rPr>
          <w:i/>
          <w:iCs/>
        </w:rPr>
        <w:t>ish</w:t>
      </w:r>
      <w:proofErr w:type="spellEnd"/>
      <w:r>
        <w:t xml:space="preserve">, “men,” which concludes the verse preceding the list of sons, and the word </w:t>
      </w:r>
      <w:r>
        <w:rPr>
          <w:i/>
          <w:iCs/>
        </w:rPr>
        <w:t>‘</w:t>
      </w:r>
      <w:proofErr w:type="spellStart"/>
      <w:r>
        <w:rPr>
          <w:i/>
          <w:iCs/>
        </w:rPr>
        <w:t>aseret</w:t>
      </w:r>
      <w:proofErr w:type="spellEnd"/>
      <w:r>
        <w:t xml:space="preserve">, “the ten,” found at the beginning of the verse </w:t>
      </w:r>
      <w:r w:rsidR="00B54922">
        <w:t>following</w:t>
      </w:r>
      <w:r>
        <w:t xml:space="preserve"> this list</w:t>
      </w:r>
      <w:r w:rsidR="00B54922">
        <w:t xml:space="preserve">. These words bracket the poetic form of Haman’s ten sons, and are therefore read together with them in one breath without pausing at the end of </w:t>
      </w:r>
      <w:r w:rsidR="00D54DC8">
        <w:t>each</w:t>
      </w:r>
      <w:r w:rsidR="00B54922">
        <w:t xml:space="preserve"> verse.</w:t>
      </w:r>
      <w:r w:rsidR="00B54922">
        <w:rPr>
          <w:rStyle w:val="FootnoteReference"/>
        </w:rPr>
        <w:footnoteReference w:id="27"/>
      </w:r>
      <w:r w:rsidR="00B54922">
        <w:t xml:space="preserve"> This yields a continuous reading of about five verses. In addition, they suggested that </w:t>
      </w:r>
      <w:r w:rsidR="004A2B71">
        <w:t>Ibn Ezra’s</w:t>
      </w:r>
      <w:r w:rsidR="00B54922">
        <w:t xml:space="preserve"> intention was to also continuously read verse</w:t>
      </w:r>
      <w:r w:rsidR="00A90731">
        <w:t xml:space="preserve">s </w:t>
      </w:r>
      <w:r w:rsidR="00D54DC8">
        <w:t>whose subject matter</w:t>
      </w:r>
      <w:r w:rsidR="00A90731">
        <w:t xml:space="preserve"> continues past the end of a verse, such as verses 9:30-31.</w:t>
      </w:r>
    </w:p>
    <w:p w14:paraId="3819514D" w14:textId="1A2376C3" w:rsidR="00A90731" w:rsidRDefault="00A90731" w:rsidP="004A2B71">
      <w:r>
        <w:t>In</w:t>
      </w:r>
      <w:r w:rsidR="00D54DC8">
        <w:t xml:space="preserve"> th</w:t>
      </w:r>
      <w:r w:rsidR="004A2B71">
        <w:t>eir appendices,</w:t>
      </w:r>
      <w:r w:rsidRPr="00A90731">
        <w:rPr>
          <w:rStyle w:val="FootnoteReference"/>
        </w:rPr>
        <w:footnoteReference w:id="28"/>
      </w:r>
      <w:r w:rsidRPr="00A90731">
        <w:t xml:space="preserve"> </w:t>
      </w:r>
      <w:r>
        <w:t xml:space="preserve">they </w:t>
      </w:r>
      <w:r w:rsidR="004A2B71">
        <w:t>d</w:t>
      </w:r>
      <w:r>
        <w:t>iscuss this matter</w:t>
      </w:r>
      <w:r w:rsidR="004A2B71">
        <w:t xml:space="preserve"> further</w:t>
      </w:r>
      <w:r w:rsidR="00D54DC8">
        <w:t>,</w:t>
      </w:r>
      <w:r>
        <w:t xml:space="preserve"> and </w:t>
      </w:r>
      <w:r w:rsidR="004A2B71">
        <w:t>cited</w:t>
      </w:r>
      <w:r>
        <w:t xml:space="preserve"> other versions which contradicted the one </w:t>
      </w:r>
      <w:r w:rsidR="004A2B71">
        <w:t>used in</w:t>
      </w:r>
      <w:r>
        <w:t xml:space="preserve"> their edition: </w:t>
      </w:r>
      <w:r w:rsidR="004A2B71">
        <w:t>“</w:t>
      </w:r>
      <w:r w:rsidR="00D54DC8">
        <w:t>T</w:t>
      </w:r>
      <w:r>
        <w:t xml:space="preserve">he Sages said to not stop </w:t>
      </w:r>
      <w:r>
        <w:rPr>
          <w:i/>
          <w:iCs/>
        </w:rPr>
        <w:t>but</w:t>
      </w:r>
      <w:r>
        <w:t xml:space="preserve"> at the end of the verse.</w:t>
      </w:r>
      <w:r w:rsidR="00D54DC8">
        <w:t>”</w:t>
      </w:r>
      <w:r>
        <w:rPr>
          <w:rStyle w:val="FootnoteReference"/>
        </w:rPr>
        <w:footnoteReference w:id="29"/>
      </w:r>
      <w:r w:rsidR="00D54DC8">
        <w:t xml:space="preserve"> They claim that </w:t>
      </w:r>
      <w:r>
        <w:t xml:space="preserve">though these versions support </w:t>
      </w:r>
      <w:r w:rsidR="004A2B71">
        <w:t>Ibn Ezra’s</w:t>
      </w:r>
      <w:r>
        <w:t xml:space="preserve"> method of </w:t>
      </w:r>
      <w:r w:rsidR="00E57D98">
        <w:t xml:space="preserve">insisting </w:t>
      </w:r>
      <w:r w:rsidR="00D54DC8">
        <w:t>upon</w:t>
      </w:r>
      <w:r w:rsidR="00E57D98">
        <w:t xml:space="preserve"> the demarcation of verses, they contradict the Sages who explicitly said to not stop between the verses listing Haman’s ten sons.</w:t>
      </w:r>
    </w:p>
    <w:p w14:paraId="04F21F90" w14:textId="08A1D3C2" w:rsidR="0037082A" w:rsidRDefault="0037082A" w:rsidP="004A2B71">
      <w:r>
        <w:lastRenderedPageBreak/>
        <w:t>Others accepted this version,</w:t>
      </w:r>
      <w:r>
        <w:rPr>
          <w:rStyle w:val="FootnoteReference"/>
        </w:rPr>
        <w:footnoteReference w:id="30"/>
      </w:r>
      <w:r w:rsidR="00870CAA">
        <w:t xml:space="preserve"> and there were even those who posited a typographical error in the other version.</w:t>
      </w:r>
      <w:r w:rsidR="00870CAA">
        <w:rPr>
          <w:rStyle w:val="FootnoteReference"/>
        </w:rPr>
        <w:footnoteReference w:id="31"/>
      </w:r>
      <w:r w:rsidR="00870CAA">
        <w:t xml:space="preserve"> However</w:t>
      </w:r>
      <w:r w:rsidR="004A2B71">
        <w:t>,</w:t>
      </w:r>
      <w:r w:rsidR="00870CAA">
        <w:t xml:space="preserve"> this version is difficult, as it would mean no difference between </w:t>
      </w:r>
      <w:r w:rsidR="006B033F">
        <w:t xml:space="preserve">the way we are to </w:t>
      </w:r>
      <w:r w:rsidR="00870CAA">
        <w:t xml:space="preserve">read the Megillah and </w:t>
      </w:r>
      <w:r w:rsidR="006B033F">
        <w:t xml:space="preserve">the way we </w:t>
      </w:r>
      <w:r w:rsidR="00870CAA">
        <w:t>read the rest of the Bible. Therefore, they suggested that the difference lies in the fact that the demarcation of verses in the Megillah is not dependent only upon Ezra’s wisdom, but also on his chronological proximity to Esther (Simon)</w:t>
      </w:r>
      <w:r w:rsidR="004A2B71">
        <w:t>;</w:t>
      </w:r>
      <w:r w:rsidR="00870CAA">
        <w:t xml:space="preserve"> or that the innovation is that even though it is termed an </w:t>
      </w:r>
      <w:proofErr w:type="spellStart"/>
      <w:r w:rsidR="00870CAA">
        <w:rPr>
          <w:i/>
          <w:iCs/>
        </w:rPr>
        <w:t>iggeret</w:t>
      </w:r>
      <w:proofErr w:type="spellEnd"/>
      <w:r w:rsidR="00870CAA">
        <w:t xml:space="preserve"> (</w:t>
      </w:r>
      <w:r w:rsidR="0006185D">
        <w:t>missive), and was sent to all the provinces of the kingdom without a prior tradition of reading it continuously, it should be read continuously as one reads the rest of the Bible (Rosenberg), even though they were already used to doing so (</w:t>
      </w:r>
      <w:proofErr w:type="spellStart"/>
      <w:r w:rsidR="0006185D">
        <w:rPr>
          <w:rFonts w:hint="cs"/>
        </w:rPr>
        <w:t>K</w:t>
      </w:r>
      <w:r w:rsidR="0006185D">
        <w:t>armi</w:t>
      </w:r>
      <w:proofErr w:type="spellEnd"/>
      <w:r w:rsidR="0006185D">
        <w:t xml:space="preserve">); or, even though </w:t>
      </w:r>
      <w:r w:rsidR="004A2B71">
        <w:t>Ibn Ezra</w:t>
      </w:r>
      <w:r w:rsidR="0006185D">
        <w:t xml:space="preserve"> claims that there </w:t>
      </w:r>
      <w:commentRangeStart w:id="31"/>
      <w:commentRangeStart w:id="32"/>
      <w:r w:rsidR="0006185D">
        <w:t xml:space="preserve">are “ten verses which should be appended to the adjacent ones and one should not stop between them,” </w:t>
      </w:r>
      <w:commentRangeEnd w:id="31"/>
      <w:r w:rsidR="004A2B71">
        <w:rPr>
          <w:rStyle w:val="CommentReference"/>
        </w:rPr>
        <w:commentReference w:id="31"/>
      </w:r>
      <w:commentRangeEnd w:id="32"/>
      <w:r w:rsidR="00BA61C5">
        <w:rPr>
          <w:rStyle w:val="CommentReference"/>
        </w:rPr>
        <w:commentReference w:id="32"/>
      </w:r>
      <w:r w:rsidR="0006185D">
        <w:t xml:space="preserve">one should still stop between them as </w:t>
      </w:r>
      <w:r w:rsidR="006B033F">
        <w:t>one does with</w:t>
      </w:r>
      <w:r w:rsidR="0006185D">
        <w:t xml:space="preserve"> other verses </w:t>
      </w:r>
      <w:r w:rsidR="006B033F">
        <w:t>of</w:t>
      </w:r>
      <w:r w:rsidR="0006185D">
        <w:t xml:space="preserve"> the Bible (</w:t>
      </w:r>
      <w:proofErr w:type="spellStart"/>
      <w:r w:rsidR="0006185D">
        <w:t>Sherim</w:t>
      </w:r>
      <w:proofErr w:type="spellEnd"/>
      <w:r w:rsidR="0006185D">
        <w:t>).</w:t>
      </w:r>
    </w:p>
    <w:p w14:paraId="22794F37" w14:textId="477224D0" w:rsidR="0006185D" w:rsidRDefault="004A2B71" w:rsidP="004A2B71">
      <w:r>
        <w:t>I</w:t>
      </w:r>
      <w:r w:rsidR="0006185D">
        <w:t xml:space="preserve">t is difficult to accept </w:t>
      </w:r>
      <w:r w:rsidR="00F94C77">
        <w:t xml:space="preserve">both </w:t>
      </w:r>
      <w:r w:rsidR="0006185D">
        <w:t xml:space="preserve">the opinions of those who limit the application of </w:t>
      </w:r>
      <w:r>
        <w:t>Ibn Ezra’s</w:t>
      </w:r>
      <w:r w:rsidR="0006185D">
        <w:t xml:space="preserve"> </w:t>
      </w:r>
      <w:r>
        <w:t>statement</w:t>
      </w:r>
      <w:r w:rsidR="0006185D">
        <w:t xml:space="preserve"> to the rea</w:t>
      </w:r>
      <w:r w:rsidR="00F94C77">
        <w:t xml:space="preserve">ding of Haman’s ten sons, as well as those who compare the reading of the Megillah to the reading of the rest of the Bible. It seems that Ibn Ezra </w:t>
      </w:r>
      <w:r>
        <w:t>advocated</w:t>
      </w:r>
      <w:r w:rsidR="00F94C77">
        <w:t xml:space="preserve"> a different and unique reading of all the verses of the Megillah. Indeed, viewing </w:t>
      </w:r>
      <w:r>
        <w:t>Ibn Ezra’s</w:t>
      </w:r>
      <w:r w:rsidR="00F94C77">
        <w:t xml:space="preserve"> </w:t>
      </w:r>
      <w:r>
        <w:t>statement</w:t>
      </w:r>
      <w:r w:rsidR="00F94C77">
        <w:t xml:space="preserve"> within the context brought by R. Yosef Caro clearly shows that Ibn Ezra intended a methodical and fixed reading of all the verses in the Megillah, while taking care to not </w:t>
      </w:r>
      <w:r w:rsidR="006B033F">
        <w:t>pause</w:t>
      </w:r>
      <w:r w:rsidR="00F94C77">
        <w:t xml:space="preserve"> at the end of the verses, but rather to connect the verses to each other as one who “reads a missive.” R. Yosef Caro wrote his opinion following R. </w:t>
      </w:r>
      <w:proofErr w:type="spellStart"/>
      <w:r w:rsidR="00F94C77">
        <w:t>Natan’s</w:t>
      </w:r>
      <w:proofErr w:type="spellEnd"/>
      <w:r w:rsidR="00F94C77">
        <w:t xml:space="preserve"> directive</w:t>
      </w:r>
      <w:r w:rsidRPr="004A2B71">
        <w:t xml:space="preserve"> </w:t>
      </w:r>
      <w:r>
        <w:t>to stop this custom</w:t>
      </w:r>
      <w:r w:rsidR="00F94C77">
        <w:t xml:space="preserve">, as quoted by R. Yaakov </w:t>
      </w:r>
      <w:proofErr w:type="spellStart"/>
      <w:r w:rsidR="00F94C77">
        <w:t>Ba’al</w:t>
      </w:r>
      <w:proofErr w:type="spellEnd"/>
      <w:r w:rsidR="00F94C77">
        <w:t xml:space="preserve"> </w:t>
      </w:r>
      <w:proofErr w:type="spellStart"/>
      <w:r w:rsidR="00F94C77">
        <w:t>HaTurim</w:t>
      </w:r>
      <w:proofErr w:type="spellEnd"/>
      <w:r w:rsidR="006B033F">
        <w:t>:</w:t>
      </w:r>
      <w:r w:rsidR="00F94C77">
        <w:rPr>
          <w:rStyle w:val="FootnoteReference"/>
        </w:rPr>
        <w:footnoteReference w:id="32"/>
      </w:r>
    </w:p>
    <w:p w14:paraId="2B34D6B7" w14:textId="44A6E596" w:rsidR="00F94C77" w:rsidRDefault="005E2101" w:rsidP="00A71467">
      <w:pPr>
        <w:ind w:left="720"/>
      </w:pPr>
      <w:r>
        <w:t xml:space="preserve">According to R. </w:t>
      </w:r>
      <w:proofErr w:type="spellStart"/>
      <w:r>
        <w:t>Natan</w:t>
      </w:r>
      <w:proofErr w:type="spellEnd"/>
      <w:r>
        <w:t xml:space="preserve">, one who reads </w:t>
      </w:r>
      <w:proofErr w:type="spellStart"/>
      <w:r>
        <w:rPr>
          <w:i/>
          <w:iCs/>
        </w:rPr>
        <w:t>Megillat</w:t>
      </w:r>
      <w:proofErr w:type="spellEnd"/>
      <w:r>
        <w:rPr>
          <w:i/>
          <w:iCs/>
        </w:rPr>
        <w:t xml:space="preserve"> Esther</w:t>
      </w:r>
      <w:r>
        <w:t xml:space="preserve"> in public should do so consecutively as </w:t>
      </w:r>
      <w:r w:rsidR="004A2B71">
        <w:t xml:space="preserve">if </w:t>
      </w:r>
      <w:r>
        <w:t>he is reading a missive</w:t>
      </w:r>
      <w:r w:rsidR="004A2B71">
        <w:t xml:space="preserve">; </w:t>
      </w:r>
      <w:r>
        <w:t>only Haman’s ten sons and the word</w:t>
      </w:r>
      <w:r w:rsidR="004A2B71">
        <w:t xml:space="preserve"> </w:t>
      </w:r>
      <w:r>
        <w:rPr>
          <w:i/>
          <w:iCs/>
        </w:rPr>
        <w:t>‘</w:t>
      </w:r>
      <w:proofErr w:type="spellStart"/>
      <w:r>
        <w:rPr>
          <w:i/>
          <w:iCs/>
        </w:rPr>
        <w:t>aseret</w:t>
      </w:r>
      <w:proofErr w:type="spellEnd"/>
      <w:r>
        <w:rPr>
          <w:i/>
          <w:iCs/>
        </w:rPr>
        <w:t xml:space="preserve"> </w:t>
      </w:r>
      <w:r>
        <w:t>(</w:t>
      </w:r>
      <w:r w:rsidR="006B033F">
        <w:t>“</w:t>
      </w:r>
      <w:r>
        <w:t>the ten,</w:t>
      </w:r>
      <w:r w:rsidR="006B033F">
        <w:t>”</w:t>
      </w:r>
      <w:r>
        <w:t xml:space="preserve"> Est 9:10) need to be read in one breath, therefore he is permitted to stop between the other verses.</w:t>
      </w:r>
      <w:r>
        <w:rPr>
          <w:rStyle w:val="FootnoteReference"/>
        </w:rPr>
        <w:footnoteReference w:id="33"/>
      </w:r>
    </w:p>
    <w:p w14:paraId="0E9600C0" w14:textId="021F6DDF" w:rsidR="005E2101" w:rsidRDefault="005E2101" w:rsidP="004A2B71">
      <w:r>
        <w:lastRenderedPageBreak/>
        <w:t xml:space="preserve">R. Yosef Caro first explained R. </w:t>
      </w:r>
      <w:proofErr w:type="spellStart"/>
      <w:r>
        <w:t>Natan’s</w:t>
      </w:r>
      <w:proofErr w:type="spellEnd"/>
      <w:r>
        <w:t xml:space="preserve"> </w:t>
      </w:r>
      <w:r w:rsidR="004A2B71">
        <w:t>statement</w:t>
      </w:r>
      <w:r>
        <w:t>, and</w:t>
      </w:r>
      <w:r w:rsidR="00655BDF">
        <w:t>,</w:t>
      </w:r>
      <w:r>
        <w:t xml:space="preserve"> as was his custom, also </w:t>
      </w:r>
      <w:r w:rsidR="00655BDF">
        <w:t>listed additional</w:t>
      </w:r>
      <w:r>
        <w:t xml:space="preserve"> opinions on this matter:</w:t>
      </w:r>
    </w:p>
    <w:p w14:paraId="56CF1D2C" w14:textId="68D95086" w:rsidR="005E2101" w:rsidRDefault="005E2101" w:rsidP="004A2B71">
      <w:pPr>
        <w:pStyle w:val="Quote"/>
      </w:pPr>
      <w:r>
        <w:t xml:space="preserve">According to R. </w:t>
      </w:r>
      <w:proofErr w:type="spellStart"/>
      <w:r>
        <w:t>Natan</w:t>
      </w:r>
      <w:proofErr w:type="spellEnd"/>
      <w:r>
        <w:t>… this means that there is no need to read the end of each verse and the beginning of each verse in one breath…</w:t>
      </w:r>
    </w:p>
    <w:p w14:paraId="73F31C0A" w14:textId="3EFD3EA5" w:rsidR="005E2101" w:rsidRDefault="005E2101" w:rsidP="004A2B71">
      <w:pPr>
        <w:pStyle w:val="Quote"/>
      </w:pPr>
      <w:r>
        <w:t xml:space="preserve">And the </w:t>
      </w:r>
      <w:proofErr w:type="spellStart"/>
      <w:r>
        <w:t>Rokea</w:t>
      </w:r>
      <w:r w:rsidR="00655BDF">
        <w:t>ḥ</w:t>
      </w:r>
      <w:proofErr w:type="spellEnd"/>
      <w:r>
        <w:t xml:space="preserve"> (236) wrote of the </w:t>
      </w:r>
      <w:r w:rsidR="00EE67BE">
        <w:t>custom</w:t>
      </w:r>
      <w:r>
        <w:t xml:space="preserve"> to not breath</w:t>
      </w:r>
      <w:r w:rsidR="00EE67BE">
        <w:t>e</w:t>
      </w:r>
      <w:r>
        <w:t xml:space="preserve"> between the verses as it is called an </w:t>
      </w:r>
      <w:proofErr w:type="spellStart"/>
      <w:r>
        <w:rPr>
          <w:i/>
          <w:iCs/>
        </w:rPr>
        <w:t>iggeret</w:t>
      </w:r>
      <w:proofErr w:type="spellEnd"/>
      <w:r>
        <w:t xml:space="preserve"> (</w:t>
      </w:r>
      <w:r w:rsidR="00655BDF">
        <w:t>“</w:t>
      </w:r>
      <w:r>
        <w:t>missive,</w:t>
      </w:r>
      <w:r w:rsidR="00655BDF">
        <w:t>”</w:t>
      </w:r>
      <w:r>
        <w:t xml:space="preserve"> Est 9:26).</w:t>
      </w:r>
      <w:commentRangeStart w:id="33"/>
      <w:commentRangeStart w:id="34"/>
      <w:r>
        <w:rPr>
          <w:rStyle w:val="FootnoteReference"/>
          <w:lang w:val="en-US"/>
        </w:rPr>
        <w:footnoteReference w:id="34"/>
      </w:r>
      <w:commentRangeEnd w:id="33"/>
      <w:r w:rsidR="00A26304">
        <w:rPr>
          <w:rStyle w:val="CommentReference"/>
        </w:rPr>
        <w:commentReference w:id="33"/>
      </w:r>
      <w:commentRangeEnd w:id="34"/>
      <w:r w:rsidR="00E373E5">
        <w:rPr>
          <w:rStyle w:val="CommentReference"/>
          <w:rtl/>
          <w:lang w:val="en-US"/>
        </w:rPr>
        <w:commentReference w:id="34"/>
      </w:r>
    </w:p>
    <w:p w14:paraId="506D2D2B" w14:textId="0929D1BC" w:rsidR="00A26304" w:rsidRPr="00A26304" w:rsidRDefault="00A26304" w:rsidP="004A2B71">
      <w:pPr>
        <w:pStyle w:val="Quote"/>
      </w:pPr>
      <w:r>
        <w:t xml:space="preserve">And in </w:t>
      </w:r>
      <w:proofErr w:type="spellStart"/>
      <w:r>
        <w:rPr>
          <w:i/>
          <w:iCs/>
        </w:rPr>
        <w:t>Shibbolei</w:t>
      </w:r>
      <w:proofErr w:type="spellEnd"/>
      <w:r>
        <w:rPr>
          <w:i/>
          <w:iCs/>
        </w:rPr>
        <w:t xml:space="preserve"> </w:t>
      </w:r>
      <w:proofErr w:type="spellStart"/>
      <w:r>
        <w:rPr>
          <w:i/>
          <w:iCs/>
        </w:rPr>
        <w:t>HaLeket</w:t>
      </w:r>
      <w:proofErr w:type="spellEnd"/>
      <w:r>
        <w:t xml:space="preserve"> (198): R. Yeshaya deduced from the </w:t>
      </w:r>
      <w:proofErr w:type="spellStart"/>
      <w:r w:rsidR="004A2B71">
        <w:rPr>
          <w:i/>
          <w:iCs/>
        </w:rPr>
        <w:t>baraita</w:t>
      </w:r>
      <w:proofErr w:type="spellEnd"/>
      <w:r>
        <w:t xml:space="preserve"> (BT </w:t>
      </w:r>
      <w:r>
        <w:rPr>
          <w:i/>
          <w:iCs/>
        </w:rPr>
        <w:t>Megillah</w:t>
      </w:r>
      <w:r>
        <w:t xml:space="preserve"> </w:t>
      </w:r>
      <w:proofErr w:type="spellStart"/>
      <w:r>
        <w:t>21b</w:t>
      </w:r>
      <w:proofErr w:type="spellEnd"/>
      <w:r>
        <w:t xml:space="preserve">) that they would translate it, they would read one verse until the end and then translate and then read the next verse, </w:t>
      </w:r>
      <w:r w:rsidR="00EE67BE">
        <w:t>and not</w:t>
      </w:r>
      <w:r>
        <w:t xml:space="preserve"> as </w:t>
      </w:r>
      <w:r w:rsidR="004A2B71">
        <w:t xml:space="preserve">is </w:t>
      </w:r>
      <w:r w:rsidR="00EE67BE">
        <w:t xml:space="preserve">our </w:t>
      </w:r>
      <w:r w:rsidR="004A2B71">
        <w:t>practice</w:t>
      </w:r>
      <w:r w:rsidR="00EE67BE">
        <w:t xml:space="preserve"> to not stop at the end of a verse.</w:t>
      </w:r>
    </w:p>
    <w:p w14:paraId="61DA9FD2" w14:textId="144D554F" w:rsidR="00F94C77" w:rsidRDefault="00EE67BE" w:rsidP="004A2B71">
      <w:pPr>
        <w:pStyle w:val="Quote"/>
      </w:pPr>
      <w:r>
        <w:t xml:space="preserve">And Rabbi Avraham Ibn Ezra wrote in his commentary on Esther (9:27): “Since Ezra the Scribe demarcated the verses, and he was not many years after, our </w:t>
      </w:r>
      <w:r w:rsidR="00D11731">
        <w:t>forefathers</w:t>
      </w:r>
      <w:r>
        <w:t xml:space="preserve"> may they rest in peace ruled that the reader not stop at the end of the verse.”</w:t>
      </w:r>
    </w:p>
    <w:p w14:paraId="53D84EFC" w14:textId="59CABA4D" w:rsidR="00EE67BE" w:rsidRDefault="00EE67BE" w:rsidP="004A2B71">
      <w:r>
        <w:t xml:space="preserve">After explaining that according to R. </w:t>
      </w:r>
      <w:proofErr w:type="spellStart"/>
      <w:r>
        <w:t>Natan</w:t>
      </w:r>
      <w:proofErr w:type="spellEnd"/>
      <w:r>
        <w:t xml:space="preserve"> there is no need to make sure to connect the verses of the Megillah without </w:t>
      </w:r>
      <w:r w:rsidR="00655BDF">
        <w:t>pausing</w:t>
      </w:r>
      <w:r>
        <w:t xml:space="preserve"> between the</w:t>
      </w:r>
      <w:r w:rsidR="00655BDF">
        <w:t>m</w:t>
      </w:r>
      <w:r>
        <w:t xml:space="preserve">, R. Yosef Caro </w:t>
      </w:r>
      <w:r w:rsidR="004A2B71">
        <w:t>cited</w:t>
      </w:r>
      <w:r>
        <w:t xml:space="preserve"> the opinion of the </w:t>
      </w:r>
      <w:proofErr w:type="spellStart"/>
      <w:r>
        <w:t>Rokea</w:t>
      </w:r>
      <w:r w:rsidR="00655BDF">
        <w:t>ḥ</w:t>
      </w:r>
      <w:proofErr w:type="spellEnd"/>
      <w:r>
        <w:t xml:space="preserve"> who encourages upholding this custom, and the opinion of the </w:t>
      </w:r>
      <w:proofErr w:type="spellStart"/>
      <w:r>
        <w:rPr>
          <w:i/>
          <w:iCs/>
        </w:rPr>
        <w:t>Shibbolei</w:t>
      </w:r>
      <w:proofErr w:type="spellEnd"/>
      <w:r>
        <w:rPr>
          <w:i/>
          <w:iCs/>
        </w:rPr>
        <w:t xml:space="preserve"> </w:t>
      </w:r>
      <w:proofErr w:type="spellStart"/>
      <w:r>
        <w:rPr>
          <w:i/>
          <w:iCs/>
        </w:rPr>
        <w:t>Leket</w:t>
      </w:r>
      <w:proofErr w:type="spellEnd"/>
      <w:r>
        <w:t xml:space="preserve"> which reflects the custom of his day to </w:t>
      </w:r>
      <w:r w:rsidR="00651556">
        <w:t>read continuously (although he seems to agree with R. Yeshaya who rejects this practice)</w:t>
      </w:r>
      <w:r>
        <w:t>.</w:t>
      </w:r>
      <w:r w:rsidR="00651556">
        <w:rPr>
          <w:rStyle w:val="FootnoteReference"/>
        </w:rPr>
        <w:footnoteReference w:id="35"/>
      </w:r>
      <w:r w:rsidR="00651556">
        <w:t xml:space="preserve"> Immediately after, he </w:t>
      </w:r>
      <w:r w:rsidR="004A2B71">
        <w:t>cited</w:t>
      </w:r>
      <w:r w:rsidR="00651556">
        <w:t xml:space="preserve"> the opinion of Ibn Ezra who posits that this custom should be upheld – “Our Sages may they rest in peace ruled that the reader not stop at the end of the verse.” There is no doubt that R. Yosef Caro understood that the custom mentioned here by </w:t>
      </w:r>
      <w:r w:rsidR="004A2B71">
        <w:t>Ibn Ezra</w:t>
      </w:r>
      <w:r w:rsidR="00651556">
        <w:t xml:space="preserve"> was not the reading of Haman’s ten sons in one breath, but a systematic linking of all the verses in the Megillah as one who reads an </w:t>
      </w:r>
      <w:proofErr w:type="spellStart"/>
      <w:r w:rsidR="00651556">
        <w:rPr>
          <w:i/>
          <w:iCs/>
        </w:rPr>
        <w:t>iggeret</w:t>
      </w:r>
      <w:proofErr w:type="spellEnd"/>
      <w:r w:rsidR="00651556">
        <w:t xml:space="preserve">, which is different from </w:t>
      </w:r>
      <w:r w:rsidR="004A2B71">
        <w:t>how</w:t>
      </w:r>
      <w:r w:rsidR="00651556">
        <w:t xml:space="preserve"> one reads the rest of the Bible.</w:t>
      </w:r>
    </w:p>
    <w:p w14:paraId="55640646" w14:textId="6FC79A77" w:rsidR="00651556" w:rsidRDefault="00651556" w:rsidP="004A2B71">
      <w:r>
        <w:t xml:space="preserve">R. </w:t>
      </w:r>
      <w:proofErr w:type="spellStart"/>
      <w:r>
        <w:t>Yoel</w:t>
      </w:r>
      <w:proofErr w:type="spellEnd"/>
      <w:r>
        <w:t xml:space="preserve"> </w:t>
      </w:r>
      <w:proofErr w:type="spellStart"/>
      <w:r>
        <w:t>Sirkis</w:t>
      </w:r>
      <w:proofErr w:type="spellEnd"/>
      <w:r>
        <w:t xml:space="preserve"> (</w:t>
      </w:r>
      <w:proofErr w:type="spellStart"/>
      <w:r>
        <w:rPr>
          <w:i/>
          <w:iCs/>
        </w:rPr>
        <w:t>Bayyit</w:t>
      </w:r>
      <w:proofErr w:type="spellEnd"/>
      <w:r>
        <w:rPr>
          <w:i/>
          <w:iCs/>
        </w:rPr>
        <w:t xml:space="preserve"> </w:t>
      </w:r>
      <w:proofErr w:type="spellStart"/>
      <w:r w:rsidR="00655BDF">
        <w:rPr>
          <w:i/>
          <w:iCs/>
        </w:rPr>
        <w:t>Ḥ</w:t>
      </w:r>
      <w:r>
        <w:rPr>
          <w:i/>
          <w:iCs/>
        </w:rPr>
        <w:t>adash</w:t>
      </w:r>
      <w:proofErr w:type="spellEnd"/>
      <w:r>
        <w:t xml:space="preserve">, ibid.) understood that this is what the halakhic discussion was focused on, and he wished to </w:t>
      </w:r>
      <w:r w:rsidR="004A2B71">
        <w:t>deny</w:t>
      </w:r>
      <w:r>
        <w:t xml:space="preserve"> the validity of this custom. In his opinion, one should not </w:t>
      </w:r>
      <w:r w:rsidR="004A2B71">
        <w:t>follow this practice</w:t>
      </w:r>
      <w:r>
        <w:t xml:space="preserve">, as R. </w:t>
      </w:r>
      <w:proofErr w:type="spellStart"/>
      <w:r>
        <w:t>Natan</w:t>
      </w:r>
      <w:proofErr w:type="spellEnd"/>
      <w:r>
        <w:t xml:space="preserve"> explicitly said that only the verses of Haman’s ten sons should </w:t>
      </w:r>
      <w:r>
        <w:lastRenderedPageBreak/>
        <w:t xml:space="preserve">be attached to the word </w:t>
      </w:r>
      <w:r>
        <w:rPr>
          <w:i/>
          <w:iCs/>
        </w:rPr>
        <w:t>‘</w:t>
      </w:r>
      <w:proofErr w:type="spellStart"/>
      <w:r>
        <w:rPr>
          <w:i/>
          <w:iCs/>
        </w:rPr>
        <w:t>aseret</w:t>
      </w:r>
      <w:proofErr w:type="spellEnd"/>
      <w:r>
        <w:t xml:space="preserve"> which follows them, meaning that there is no need to </w:t>
      </w:r>
      <w:r w:rsidR="00D2777E">
        <w:t>continuously read</w:t>
      </w:r>
      <w:r>
        <w:t xml:space="preserve"> </w:t>
      </w:r>
      <w:r w:rsidR="00D2777E">
        <w:t xml:space="preserve">any </w:t>
      </w:r>
      <w:r>
        <w:t>verses other than these.</w:t>
      </w:r>
    </w:p>
    <w:p w14:paraId="5ECD85F8" w14:textId="1A06F562" w:rsidR="00D2777E" w:rsidRPr="00C31D9F" w:rsidRDefault="00D2777E" w:rsidP="004A2B71">
      <w:r>
        <w:t xml:space="preserve">This </w:t>
      </w:r>
      <w:r w:rsidR="00655BDF">
        <w:t>practice</w:t>
      </w:r>
      <w:r>
        <w:t xml:space="preserve"> is </w:t>
      </w:r>
      <w:r w:rsidR="00655BDF">
        <w:t>at present upheld</w:t>
      </w:r>
      <w:r>
        <w:t xml:space="preserve"> only </w:t>
      </w:r>
      <w:r w:rsidR="00655BDF">
        <w:t>by</w:t>
      </w:r>
      <w:r>
        <w:t xml:space="preserve"> Yemenites, </w:t>
      </w:r>
      <w:r w:rsidR="00655BDF">
        <w:t>whose</w:t>
      </w:r>
      <w:r>
        <w:t xml:space="preserve"> rabbis defended the </w:t>
      </w:r>
      <w:r w:rsidR="00655BDF">
        <w:t xml:space="preserve">custom’s </w:t>
      </w:r>
      <w:r>
        <w:t xml:space="preserve">validity and settled the difficulties raised by the </w:t>
      </w:r>
      <w:proofErr w:type="spellStart"/>
      <w:r w:rsidR="009305D2">
        <w:rPr>
          <w:i/>
          <w:iCs/>
        </w:rPr>
        <w:t>Shibbolei</w:t>
      </w:r>
      <w:proofErr w:type="spellEnd"/>
      <w:r w:rsidR="009305D2">
        <w:rPr>
          <w:i/>
          <w:iCs/>
        </w:rPr>
        <w:t xml:space="preserve"> </w:t>
      </w:r>
      <w:proofErr w:type="spellStart"/>
      <w:r w:rsidR="009305D2">
        <w:rPr>
          <w:i/>
          <w:iCs/>
        </w:rPr>
        <w:t>Leket</w:t>
      </w:r>
      <w:proofErr w:type="spellEnd"/>
      <w:r w:rsidR="009305D2">
        <w:t xml:space="preserve"> and the </w:t>
      </w:r>
      <w:r w:rsidR="009305D2">
        <w:rPr>
          <w:i/>
          <w:iCs/>
        </w:rPr>
        <w:t xml:space="preserve">Bayit </w:t>
      </w:r>
      <w:proofErr w:type="spellStart"/>
      <w:r w:rsidR="009305D2">
        <w:rPr>
          <w:i/>
          <w:iCs/>
        </w:rPr>
        <w:t>Hadash</w:t>
      </w:r>
      <w:proofErr w:type="spellEnd"/>
      <w:r w:rsidR="009305D2">
        <w:t>.</w:t>
      </w:r>
      <w:commentRangeStart w:id="35"/>
      <w:commentRangeStart w:id="36"/>
      <w:r w:rsidR="009305D2">
        <w:rPr>
          <w:rStyle w:val="FootnoteReference"/>
        </w:rPr>
        <w:footnoteReference w:id="36"/>
      </w:r>
      <w:commentRangeEnd w:id="35"/>
      <w:r w:rsidR="009305D2">
        <w:rPr>
          <w:rStyle w:val="CommentReference"/>
        </w:rPr>
        <w:commentReference w:id="35"/>
      </w:r>
      <w:commentRangeEnd w:id="36"/>
      <w:r w:rsidR="00B87D22">
        <w:rPr>
          <w:rStyle w:val="CommentReference"/>
        </w:rPr>
        <w:commentReference w:id="36"/>
      </w:r>
      <w:r w:rsidR="00C31D9F">
        <w:t xml:space="preserve"> This custom dates back to the time of the </w:t>
      </w:r>
      <w:r w:rsidR="00C31D9F" w:rsidRPr="00655BDF">
        <w:t>Geonim</w:t>
      </w:r>
      <w:r w:rsidR="00C31D9F">
        <w:t xml:space="preserve"> and the great Sages of France, and there is no doubt that this is what Ibn Ezra intended. The </w:t>
      </w:r>
      <w:r w:rsidR="00C31D9F" w:rsidRPr="00655BDF">
        <w:t>Geonim</w:t>
      </w:r>
      <w:r w:rsidR="00C31D9F">
        <w:t xml:space="preserve"> write: “R. </w:t>
      </w:r>
      <w:proofErr w:type="spellStart"/>
      <w:r w:rsidR="00C31D9F">
        <w:t>Yehudah</w:t>
      </w:r>
      <w:proofErr w:type="spellEnd"/>
      <w:r w:rsidR="00C31D9F">
        <w:t xml:space="preserve"> son of </w:t>
      </w:r>
      <w:proofErr w:type="spellStart"/>
      <w:r w:rsidR="00C31D9F">
        <w:t>Rabbeinu</w:t>
      </w:r>
      <w:proofErr w:type="spellEnd"/>
      <w:r w:rsidR="00C31D9F">
        <w:t xml:space="preserve"> </w:t>
      </w:r>
      <w:proofErr w:type="spellStart"/>
      <w:r w:rsidR="00C31D9F">
        <w:t>Yitz</w:t>
      </w:r>
      <w:r w:rsidR="00655BDF">
        <w:t>ḥ</w:t>
      </w:r>
      <w:r w:rsidR="00C31D9F">
        <w:t>ak</w:t>
      </w:r>
      <w:proofErr w:type="spellEnd"/>
      <w:r w:rsidR="00C31D9F">
        <w:t xml:space="preserve"> said.</w:t>
      </w:r>
      <w:r w:rsidR="00655BDF">
        <w:t>.</w:t>
      </w:r>
      <w:r w:rsidR="00C31D9F">
        <w:t xml:space="preserve">. This was his father’s custom, after leaving the synagogue he would read the Megillah out of a </w:t>
      </w:r>
      <w:r w:rsidR="004A2B71">
        <w:t>scroll</w:t>
      </w:r>
      <w:r w:rsidR="00C31D9F">
        <w:t xml:space="preserve">, and would not stop at the end of a verse but rather start reading the next verse, and then pause. And proof of this is </w:t>
      </w:r>
      <w:r w:rsidR="0049706E">
        <w:t>‘</w:t>
      </w:r>
      <w:r w:rsidR="00C31D9F">
        <w:t xml:space="preserve">Five hundred men… and </w:t>
      </w:r>
      <w:proofErr w:type="spellStart"/>
      <w:r w:rsidR="00C31D9F">
        <w:t>Vayzatha</w:t>
      </w:r>
      <w:proofErr w:type="spellEnd"/>
      <w:r w:rsidR="00C31D9F">
        <w:t xml:space="preserve"> </w:t>
      </w:r>
      <w:r w:rsidR="00C31D9F">
        <w:rPr>
          <w:i/>
          <w:iCs/>
        </w:rPr>
        <w:t>‘</w:t>
      </w:r>
      <w:proofErr w:type="spellStart"/>
      <w:r w:rsidR="00C31D9F">
        <w:rPr>
          <w:i/>
          <w:iCs/>
        </w:rPr>
        <w:t>aseret</w:t>
      </w:r>
      <w:proofErr w:type="spellEnd"/>
      <w:r w:rsidR="00C31D9F">
        <w:t>’” (Est 9:6-10).</w:t>
      </w:r>
      <w:r w:rsidR="00C31D9F">
        <w:rPr>
          <w:rStyle w:val="FootnoteReference"/>
        </w:rPr>
        <w:footnoteReference w:id="37"/>
      </w:r>
      <w:r w:rsidR="00C31D9F">
        <w:t xml:space="preserve"> This custom is also mentioned by a student of Rashi and </w:t>
      </w:r>
      <w:r w:rsidR="00655BDF">
        <w:t>by</w:t>
      </w:r>
      <w:r w:rsidR="00C31D9F">
        <w:t xml:space="preserve"> several of the early Spanish Sages.</w:t>
      </w:r>
      <w:r w:rsidR="00C31D9F">
        <w:rPr>
          <w:rStyle w:val="FootnoteReference"/>
        </w:rPr>
        <w:footnoteReference w:id="38"/>
      </w:r>
    </w:p>
    <w:p w14:paraId="39FDD687" w14:textId="0700B2A8" w:rsidR="00E65043" w:rsidRDefault="00D11731" w:rsidP="004A2B71">
      <w:r>
        <w:t>In the version of Ibn Ezra</w:t>
      </w:r>
      <w:r w:rsidR="004A2B71">
        <w:t>’s statement</w:t>
      </w:r>
      <w:r>
        <w:t xml:space="preserve"> </w:t>
      </w:r>
      <w:r w:rsidR="004A2B71">
        <w:t>quoted</w:t>
      </w:r>
      <w:r>
        <w:t xml:space="preserve"> by R. Yosef Caro, this custom was attributed to “our forefathers” and not to “the Sages,” and it seems that this refers to the </w:t>
      </w:r>
      <w:r w:rsidRPr="00655BDF">
        <w:t>Geonim</w:t>
      </w:r>
      <w:r>
        <w:t xml:space="preserve"> and the aforementioned Sages. Although most versions attribute this custom to “our Sages,” </w:t>
      </w:r>
      <w:r w:rsidR="004A2B71">
        <w:t xml:space="preserve">it appears </w:t>
      </w:r>
      <w:r>
        <w:t xml:space="preserve">that </w:t>
      </w:r>
      <w:r w:rsidR="004A2B71">
        <w:t>Ibn Ezra</w:t>
      </w:r>
      <w:r>
        <w:t xml:space="preserve"> did not verbally differentiate between </w:t>
      </w:r>
      <w:r w:rsidR="004A2B71">
        <w:t>the</w:t>
      </w:r>
      <w:r>
        <w:t xml:space="preserve"> </w:t>
      </w:r>
      <w:r w:rsidR="004A2B71">
        <w:t>s</w:t>
      </w:r>
      <w:r>
        <w:t>ages</w:t>
      </w:r>
      <w:r w:rsidR="004A2B71">
        <w:t xml:space="preserve"> of the Talmud</w:t>
      </w:r>
      <w:r>
        <w:t xml:space="preserve"> and </w:t>
      </w:r>
      <w:r w:rsidR="00655BDF">
        <w:t xml:space="preserve">the </w:t>
      </w:r>
      <w:commentRangeStart w:id="37"/>
      <w:commentRangeStart w:id="38"/>
      <w:r>
        <w:t>early</w:t>
      </w:r>
      <w:r w:rsidR="00164A3A">
        <w:t xml:space="preserve"> Rabbis</w:t>
      </w:r>
      <w:commentRangeEnd w:id="37"/>
      <w:r w:rsidR="00164A3A">
        <w:rPr>
          <w:rStyle w:val="CommentReference"/>
        </w:rPr>
        <w:commentReference w:id="37"/>
      </w:r>
      <w:commentRangeEnd w:id="38"/>
      <w:r w:rsidR="00014308">
        <w:rPr>
          <w:rStyle w:val="CommentReference"/>
        </w:rPr>
        <w:commentReference w:id="38"/>
      </w:r>
      <w:r w:rsidR="00164A3A">
        <w:t>.</w:t>
      </w:r>
    </w:p>
    <w:p w14:paraId="02A800D4" w14:textId="28ED243E" w:rsidR="00164A3A" w:rsidRDefault="00164A3A" w:rsidP="004A2B71">
      <w:pPr>
        <w:pStyle w:val="Heading1"/>
      </w:pPr>
      <w:r>
        <w:t>The Logi</w:t>
      </w:r>
      <w:r w:rsidR="004A2B71">
        <w:t xml:space="preserve">c </w:t>
      </w:r>
      <w:r>
        <w:t xml:space="preserve">of </w:t>
      </w:r>
      <w:r w:rsidR="004A2B71">
        <w:t>the</w:t>
      </w:r>
      <w:r>
        <w:t xml:space="preserve"> </w:t>
      </w:r>
      <w:r w:rsidR="000835DB">
        <w:t>Directive</w:t>
      </w:r>
    </w:p>
    <w:p w14:paraId="0345FCAD" w14:textId="1800802E" w:rsidR="00164A3A" w:rsidRDefault="00956ED2" w:rsidP="004A2B71">
      <w:r>
        <w:t xml:space="preserve">The </w:t>
      </w:r>
      <w:r w:rsidR="000835DB">
        <w:t xml:space="preserve">relationship of </w:t>
      </w:r>
      <w:r>
        <w:t xml:space="preserve">cause and effect in </w:t>
      </w:r>
      <w:r w:rsidR="004A2B71">
        <w:t>Ibn Ezra’s</w:t>
      </w:r>
      <w:r>
        <w:t xml:space="preserve"> </w:t>
      </w:r>
      <w:r w:rsidR="000835DB">
        <w:t>directive</w:t>
      </w:r>
      <w:r>
        <w:t xml:space="preserve"> challenged all those who approached this issue (question 4). R. Haim </w:t>
      </w:r>
      <w:proofErr w:type="spellStart"/>
      <w:r>
        <w:t>Benvenisti</w:t>
      </w:r>
      <w:proofErr w:type="spellEnd"/>
      <w:r>
        <w:t xml:space="preserve"> was the first to discuss it, writing that he did not understand </w:t>
      </w:r>
      <w:r w:rsidR="004A2B71">
        <w:t>its</w:t>
      </w:r>
      <w:r>
        <w:t xml:space="preserve"> meaning: “However, in any case</w:t>
      </w:r>
      <w:r w:rsidR="004A2B71">
        <w:t>,</w:t>
      </w:r>
      <w:r>
        <w:t xml:space="preserve"> I find it difficult, that Ezra demarcated not only the verses of the Megillah but </w:t>
      </w:r>
      <w:r w:rsidR="000835DB">
        <w:t xml:space="preserve">also </w:t>
      </w:r>
      <w:r>
        <w:t xml:space="preserve">those of the entire Bible, and why did he rule that only in </w:t>
      </w:r>
      <w:proofErr w:type="spellStart"/>
      <w:r>
        <w:rPr>
          <w:i/>
          <w:iCs/>
        </w:rPr>
        <w:t>Megillat</w:t>
      </w:r>
      <w:proofErr w:type="spellEnd"/>
      <w:r>
        <w:rPr>
          <w:i/>
          <w:iCs/>
        </w:rPr>
        <w:t xml:space="preserve"> Esther</w:t>
      </w:r>
      <w:r>
        <w:t xml:space="preserve">, and not in the rest of the Bible, should </w:t>
      </w:r>
      <w:r w:rsidR="000835DB">
        <w:t xml:space="preserve">one </w:t>
      </w:r>
      <w:r>
        <w:t>not stop between verses</w:t>
      </w:r>
      <w:r w:rsidR="004A2B71">
        <w:t>?</w:t>
      </w:r>
      <w:r>
        <w:t xml:space="preserve"> In the end, I did not fully understand </w:t>
      </w:r>
      <w:r w:rsidR="004A2B71">
        <w:t>Ibn Ezra’s</w:t>
      </w:r>
      <w:r>
        <w:t xml:space="preserve"> position on this matter.”</w:t>
      </w:r>
      <w:r>
        <w:rPr>
          <w:rStyle w:val="FootnoteReference"/>
        </w:rPr>
        <w:footnoteReference w:id="39"/>
      </w:r>
      <w:r>
        <w:t xml:space="preserve"> It seems that he understood that according to </w:t>
      </w:r>
      <w:r w:rsidR="004A2B71">
        <w:t>Ibn Ezra</w:t>
      </w:r>
      <w:r w:rsidR="00EE5FAE">
        <w:t xml:space="preserve">, </w:t>
      </w:r>
      <w:r w:rsidR="004A2B71">
        <w:t xml:space="preserve">it was </w:t>
      </w:r>
      <w:r w:rsidR="00EE5FAE">
        <w:t xml:space="preserve">Ezra </w:t>
      </w:r>
      <w:r w:rsidR="000835DB">
        <w:t>the Scribe</w:t>
      </w:r>
      <w:r w:rsidR="004A2B71">
        <w:t>,</w:t>
      </w:r>
      <w:r w:rsidR="000835DB">
        <w:t xml:space="preserve"> </w:t>
      </w:r>
      <w:r w:rsidR="00EE5FAE">
        <w:t>who demarcated the verses of the entire Bible</w:t>
      </w:r>
      <w:r w:rsidR="004A2B71">
        <w:t>, who</w:t>
      </w:r>
      <w:r w:rsidR="00EE5FAE">
        <w:t xml:space="preserve"> ruled to not </w:t>
      </w:r>
      <w:r w:rsidR="0006268F">
        <w:t>pause</w:t>
      </w:r>
      <w:r w:rsidR="00EE5FAE">
        <w:t xml:space="preserve"> at the end of the verses in the Megillah. According to </w:t>
      </w:r>
      <w:r w:rsidR="00EE5FAE">
        <w:lastRenderedPageBreak/>
        <w:t>this explanation, our Sages ruled to heed Ezra and to not stop between the verses of the Megillah.</w:t>
      </w:r>
    </w:p>
    <w:p w14:paraId="5C759C5E" w14:textId="64EE1344" w:rsidR="00EE5FAE" w:rsidRDefault="00EE5FAE" w:rsidP="004A2B71">
      <w:r>
        <w:t xml:space="preserve">Aron </w:t>
      </w:r>
      <w:proofErr w:type="spellStart"/>
      <w:r>
        <w:t>Gumperz</w:t>
      </w:r>
      <w:proofErr w:type="spellEnd"/>
      <w:r>
        <w:t xml:space="preserve"> took this in an entirely different direction, writing that since this verse is “uncommonly” long, </w:t>
      </w:r>
      <w:r w:rsidR="004A2B71">
        <w:t xml:space="preserve">Ibn Ezra </w:t>
      </w:r>
      <w:r>
        <w:t xml:space="preserve">therefore noted that one should stop after the words </w:t>
      </w:r>
      <w:proofErr w:type="spellStart"/>
      <w:r>
        <w:rPr>
          <w:i/>
          <w:iCs/>
        </w:rPr>
        <w:t>ve</w:t>
      </w:r>
      <w:proofErr w:type="spellEnd"/>
      <w:r>
        <w:rPr>
          <w:i/>
          <w:iCs/>
        </w:rPr>
        <w:t xml:space="preserve">-lo </w:t>
      </w:r>
      <w:proofErr w:type="spellStart"/>
      <w:r>
        <w:rPr>
          <w:i/>
          <w:iCs/>
        </w:rPr>
        <w:t>ya’avor</w:t>
      </w:r>
      <w:proofErr w:type="spellEnd"/>
      <w:r>
        <w:t xml:space="preserve"> (‘that it not be altered’), but our Sages did not want to do other than what Ezra, who lived in a time proximal to Mordechai, ruled, “and anyone who was proximal to the author of a book understands his words and intentions better than later ones.”</w:t>
      </w:r>
      <w:r>
        <w:rPr>
          <w:rStyle w:val="FootnoteReference"/>
        </w:rPr>
        <w:footnoteReference w:id="40"/>
      </w:r>
    </w:p>
    <w:p w14:paraId="0AD95815" w14:textId="5B9A7944" w:rsidR="002B7C5E" w:rsidRDefault="002B7C5E" w:rsidP="004A2B71">
      <w:r>
        <w:t>These</w:t>
      </w:r>
      <w:r w:rsidR="002D12A6">
        <w:t xml:space="preserve"> two</w:t>
      </w:r>
      <w:r>
        <w:t xml:space="preserve"> explanations of </w:t>
      </w:r>
      <w:r w:rsidR="004A2B71">
        <w:t>Ibn Ezra’s statement</w:t>
      </w:r>
      <w:r>
        <w:t xml:space="preserve"> are unusual. As mentioned above, </w:t>
      </w:r>
      <w:proofErr w:type="spellStart"/>
      <w:r>
        <w:t>Mishali</w:t>
      </w:r>
      <w:proofErr w:type="spellEnd"/>
      <w:r>
        <w:t xml:space="preserve"> and </w:t>
      </w:r>
      <w:proofErr w:type="spellStart"/>
      <w:r>
        <w:t>Zippor</w:t>
      </w:r>
      <w:proofErr w:type="spellEnd"/>
      <w:r>
        <w:t xml:space="preserve"> </w:t>
      </w:r>
      <w:r w:rsidR="004A2B71">
        <w:t>argued that it referred only to</w:t>
      </w:r>
      <w:r>
        <w:t xml:space="preserve"> the reading of Haman’s sons. According to them, Ibn Ezra</w:t>
      </w:r>
      <w:r w:rsidR="004A2B71">
        <w:t xml:space="preserve"> contended</w:t>
      </w:r>
      <w:r>
        <w:t xml:space="preserve"> that since Mordechai was not the one who demarcated the verses of the Megillah, a task completed only later on by Ezra, the Sages did not </w:t>
      </w:r>
      <w:r w:rsidR="0006268F">
        <w:t>consider it</w:t>
      </w:r>
      <w:r>
        <w:t xml:space="preserve"> imperative to break up the verses listing Haman’s ten sons</w:t>
      </w:r>
      <w:r w:rsidR="0006268F">
        <w:t>,</w:t>
      </w:r>
      <w:r>
        <w:t xml:space="preserve"> and therefore ruled that </w:t>
      </w:r>
      <w:r w:rsidR="0006268F">
        <w:t>the verses listing Haman’s sons</w:t>
      </w:r>
      <w:r>
        <w:t xml:space="preserve"> should be read in one continuum.</w:t>
      </w:r>
    </w:p>
    <w:p w14:paraId="64608C2B" w14:textId="61787359" w:rsidR="002B7C5E" w:rsidRDefault="002B7C5E" w:rsidP="004A2B71">
      <w:r>
        <w:t xml:space="preserve">R. Moshe </w:t>
      </w:r>
      <w:proofErr w:type="spellStart"/>
      <w:r>
        <w:t>Amarilio</w:t>
      </w:r>
      <w:proofErr w:type="spellEnd"/>
      <w:r>
        <w:t xml:space="preserve"> took a different stance, similar to the one brought in the previous section, </w:t>
      </w:r>
      <w:r w:rsidR="0006268F">
        <w:t xml:space="preserve">positing </w:t>
      </w:r>
      <w:r>
        <w:t xml:space="preserve">that </w:t>
      </w:r>
      <w:r w:rsidR="004A2B71">
        <w:t>Ibn Ezra’s</w:t>
      </w:r>
      <w:r>
        <w:t xml:space="preserve"> </w:t>
      </w:r>
      <w:r w:rsidR="004A2B71">
        <w:t>statement applied</w:t>
      </w:r>
      <w:r>
        <w:t xml:space="preserve"> to the reading of the entire Megillah:</w:t>
      </w:r>
      <w:r>
        <w:rPr>
          <w:rStyle w:val="FootnoteReference"/>
        </w:rPr>
        <w:footnoteReference w:id="41"/>
      </w:r>
    </w:p>
    <w:p w14:paraId="1A90E443" w14:textId="2BF3F59E" w:rsidR="00FD68D1" w:rsidRDefault="002B7C5E" w:rsidP="004A2B71">
      <w:pPr>
        <w:pStyle w:val="Quote"/>
      </w:pPr>
      <w:r>
        <w:t xml:space="preserve">And it seems that this is what it means, that when it says </w:t>
      </w:r>
      <w:proofErr w:type="spellStart"/>
      <w:r>
        <w:rPr>
          <w:i/>
          <w:iCs/>
        </w:rPr>
        <w:t>k</w:t>
      </w:r>
      <w:r w:rsidR="004A2B71">
        <w:rPr>
          <w:i/>
          <w:iCs/>
        </w:rPr>
        <w:t>e</w:t>
      </w:r>
      <w:r>
        <w:rPr>
          <w:i/>
          <w:iCs/>
        </w:rPr>
        <w:t>khtavam</w:t>
      </w:r>
      <w:proofErr w:type="spellEnd"/>
      <w:r>
        <w:t xml:space="preserve"> (</w:t>
      </w:r>
      <w:r w:rsidR="00FD68D1">
        <w:t xml:space="preserve">‘according to the writing thereof’), this means that the Megillah should be read as it is written, without breaks between the verses, and the reason is that since it is </w:t>
      </w:r>
      <w:r w:rsidR="004A2B71">
        <w:t>taught</w:t>
      </w:r>
      <w:r w:rsidR="00FD68D1">
        <w:t xml:space="preserve"> th</w:t>
      </w:r>
      <w:r w:rsidR="0006268F">
        <w:t>at</w:t>
      </w:r>
      <w:r w:rsidR="00FD68D1">
        <w:t xml:space="preserve"> Ezra demarcated the verses of the Torah, meaning that it was forgotten and then reconstructed, and as it says in the first chapter of </w:t>
      </w:r>
      <w:r w:rsidR="00FD68D1">
        <w:rPr>
          <w:i/>
          <w:iCs/>
        </w:rPr>
        <w:t>Megillah</w:t>
      </w:r>
      <w:r w:rsidR="00FD68D1">
        <w:t xml:space="preserve"> (3a), and if so then if there is an obligation to stop the verses in the Megillah similar to those in the Torah, why did Mordechai, who was proximal to Ezra, not explicitly decree this, for we cannot say that this was forgotten as Ezra was not many years after Mordechai.</w:t>
      </w:r>
    </w:p>
    <w:p w14:paraId="6F91956B" w14:textId="1A90B54B" w:rsidR="00FD68D1" w:rsidRDefault="00FD68D1" w:rsidP="004A2B71">
      <w:r>
        <w:t xml:space="preserve">R. Moshe opines that Ezra’s demarcation of the verses of the Bible is only a reconstruction of the original demarcation which took place at the time the texts were written. However, Ezra did this for all the verses of the Bible except for those of </w:t>
      </w:r>
      <w:proofErr w:type="spellStart"/>
      <w:r>
        <w:rPr>
          <w:i/>
          <w:iCs/>
        </w:rPr>
        <w:t>Megillat</w:t>
      </w:r>
      <w:proofErr w:type="spellEnd"/>
      <w:r>
        <w:rPr>
          <w:i/>
          <w:iCs/>
        </w:rPr>
        <w:t xml:space="preserve"> Esther</w:t>
      </w:r>
      <w:r>
        <w:t>, since the Megillah says “according to the writing thereof,” meaning the way they were written</w:t>
      </w:r>
      <w:r w:rsidR="0006268F">
        <w:t>,</w:t>
      </w:r>
      <w:r>
        <w:t xml:space="preserve"> without </w:t>
      </w:r>
      <w:r>
        <w:lastRenderedPageBreak/>
        <w:t>demarcation. However, this explanation is difficult because it</w:t>
      </w:r>
      <w:r w:rsidR="0006268F">
        <w:t xml:space="preserve"> does not appear</w:t>
      </w:r>
      <w:r>
        <w:t xml:space="preserve"> in the text. If this opinion were correct, then </w:t>
      </w:r>
      <w:r w:rsidR="004A2B71">
        <w:t>Ibn Ezra</w:t>
      </w:r>
      <w:r>
        <w:t xml:space="preserve"> should have written that “since Ezra the Scribe demarcated the verses [and did not demarcate the verses of the Megillah].”</w:t>
      </w:r>
    </w:p>
    <w:p w14:paraId="1B8C9494" w14:textId="6C168B7F" w:rsidR="00FD68D1" w:rsidRDefault="00FD68D1" w:rsidP="004A2B71">
      <w:r>
        <w:t xml:space="preserve">R. Yosef </w:t>
      </w:r>
      <w:proofErr w:type="spellStart"/>
      <w:r>
        <w:t>Iskapa</w:t>
      </w:r>
      <w:proofErr w:type="spellEnd"/>
      <w:r>
        <w:t xml:space="preserve"> also maintain</w:t>
      </w:r>
      <w:r w:rsidR="0006268F">
        <w:t>ed</w:t>
      </w:r>
      <w:r>
        <w:t xml:space="preserve"> that Ezra reconstructed </w:t>
      </w:r>
      <w:r w:rsidR="0006268F">
        <w:t>an</w:t>
      </w:r>
      <w:r>
        <w:t xml:space="preserve"> earlier demarcation of the verses. However, since Ezra did so long after the bo</w:t>
      </w:r>
      <w:r w:rsidR="0006268F">
        <w:t>o</w:t>
      </w:r>
      <w:r>
        <w:t>ks were written, therefore</w:t>
      </w:r>
      <w:r w:rsidR="00DC474C">
        <w:t xml:space="preserve"> “our </w:t>
      </w:r>
      <w:commentRangeStart w:id="39"/>
      <w:commentRangeStart w:id="40"/>
      <w:r w:rsidR="00DC474C">
        <w:t xml:space="preserve">holy </w:t>
      </w:r>
      <w:commentRangeEnd w:id="39"/>
      <w:r w:rsidR="00DC474C">
        <w:rPr>
          <w:rStyle w:val="CommentReference"/>
        </w:rPr>
        <w:commentReference w:id="39"/>
      </w:r>
      <w:commentRangeEnd w:id="40"/>
      <w:r w:rsidR="005A40F3">
        <w:rPr>
          <w:rStyle w:val="CommentReference"/>
        </w:rPr>
        <w:commentReference w:id="40"/>
      </w:r>
      <w:r w:rsidR="00DC474C">
        <w:t>forefathers ruled that the reader should not stop at the end of the verse</w:t>
      </w:r>
      <w:r w:rsidR="00C35895">
        <w:t>.”</w:t>
      </w:r>
      <w:r w:rsidR="00C35895">
        <w:rPr>
          <w:rStyle w:val="FootnoteReference"/>
        </w:rPr>
        <w:footnoteReference w:id="42"/>
      </w:r>
      <w:r w:rsidR="00C35895">
        <w:t xml:space="preserve"> </w:t>
      </w:r>
      <w:r w:rsidR="0006268F">
        <w:t>I</w:t>
      </w:r>
      <w:r w:rsidR="00C35895">
        <w:t xml:space="preserve">n what way are the verses of the Megillah different than the verses of the rest of the Bible, where we do make sure to stop at the end of the verses? R. Yosef responds: “And I say that </w:t>
      </w:r>
      <w:r w:rsidR="004A2B71">
        <w:t>concerning</w:t>
      </w:r>
      <w:r w:rsidR="00C35895">
        <w:t xml:space="preserve"> the Torah </w:t>
      </w:r>
      <w:r w:rsidR="004A2B71">
        <w:t>that was</w:t>
      </w:r>
      <w:r w:rsidR="00C35895">
        <w:t xml:space="preserve"> given at Sinai, </w:t>
      </w:r>
      <w:r w:rsidR="004A2B71">
        <w:t>it was</w:t>
      </w:r>
      <w:r w:rsidR="00C35895">
        <w:t xml:space="preserve"> given with punctuation and cantillation marks as everything was given at Sinai. But the</w:t>
      </w:r>
      <w:r w:rsidR="0006268F">
        <w:t>se</w:t>
      </w:r>
      <w:r w:rsidR="00C35895">
        <w:t xml:space="preserve"> were forgotten, and Ezra reconstructed them.” His explanation is difficult, as it does not explain why the Sages chose to ignore Ezra’s opinion regarding the demarcation. R. Mordechai </w:t>
      </w:r>
      <w:proofErr w:type="spellStart"/>
      <w:r w:rsidR="00C35895">
        <w:t>Karmi</w:t>
      </w:r>
      <w:proofErr w:type="spellEnd"/>
      <w:r w:rsidR="00C35895">
        <w:t xml:space="preserve"> </w:t>
      </w:r>
      <w:r w:rsidR="004A2B71">
        <w:t>commented on R. Yosef’s explanation</w:t>
      </w:r>
      <w:r w:rsidR="00C35895">
        <w:t>, “and his words are not clear.”</w:t>
      </w:r>
      <w:r w:rsidR="00C35895">
        <w:rPr>
          <w:rStyle w:val="FootnoteReference"/>
        </w:rPr>
        <w:footnoteReference w:id="43"/>
      </w:r>
    </w:p>
    <w:p w14:paraId="6380B059" w14:textId="571FF5A1" w:rsidR="00A7619E" w:rsidRDefault="00A7619E" w:rsidP="004A2B71">
      <w:r>
        <w:t xml:space="preserve">R. Reuven </w:t>
      </w:r>
      <w:proofErr w:type="spellStart"/>
      <w:r>
        <w:t>Mizra</w:t>
      </w:r>
      <w:r w:rsidR="0006268F">
        <w:t>ḥ</w:t>
      </w:r>
      <w:r>
        <w:t>i</w:t>
      </w:r>
      <w:proofErr w:type="spellEnd"/>
      <w:r>
        <w:t xml:space="preserve"> wrote a similar explanation, </w:t>
      </w:r>
      <w:r w:rsidR="004A2B71">
        <w:t xml:space="preserve">except that according to him, </w:t>
      </w:r>
      <w:r>
        <w:t xml:space="preserve">Ezra reconstructed the demarcation of all the verses </w:t>
      </w:r>
      <w:r w:rsidRPr="0006268F">
        <w:rPr>
          <w:i/>
          <w:iCs/>
        </w:rPr>
        <w:t>other</w:t>
      </w:r>
      <w:r>
        <w:t xml:space="preserve"> than those of the Megillah, because there was no need for it:</w:t>
      </w:r>
      <w:r>
        <w:rPr>
          <w:rStyle w:val="FootnoteReference"/>
        </w:rPr>
        <w:footnoteReference w:id="44"/>
      </w:r>
    </w:p>
    <w:p w14:paraId="5FD96770" w14:textId="69B39F4F" w:rsidR="00A7619E" w:rsidRDefault="0057761F" w:rsidP="004A2B71">
      <w:pPr>
        <w:pStyle w:val="Quote"/>
      </w:pPr>
      <w:r>
        <w:t>And in my humble opinion, I think that the words of R. Ibn Ezra are clear in an</w:t>
      </w:r>
      <w:r w:rsidR="004A2B71">
        <w:t>d</w:t>
      </w:r>
      <w:r>
        <w:t xml:space="preserve"> of themselves, and there is no need for dangerous ways or any </w:t>
      </w:r>
      <w:r w:rsidR="004A2B71">
        <w:t>emendation. The meaning is</w:t>
      </w:r>
      <w:r>
        <w:t xml:space="preserve"> that </w:t>
      </w:r>
      <w:r w:rsidR="004A2B71">
        <w:t>many</w:t>
      </w:r>
      <w:r>
        <w:t xml:space="preserve"> days and years passed from the Torah and the Prophets and the Writings until Ezra the Scribe came, and the demarcation of the verses was forgotten from Israel, and Ezra </w:t>
      </w:r>
      <w:r w:rsidR="004A2B71">
        <w:t>reconstructed [them]</w:t>
      </w:r>
      <w:r>
        <w:t xml:space="preserve"> with God’s good grace</w:t>
      </w:r>
      <w:r w:rsidR="004A2B71">
        <w:t>.</w:t>
      </w:r>
      <w:r>
        <w:t xml:space="preserve"> </w:t>
      </w:r>
      <w:r w:rsidR="004A2B71">
        <w:t>However,</w:t>
      </w:r>
      <w:r>
        <w:t xml:space="preserve"> </w:t>
      </w:r>
      <w:r w:rsidR="004A2B71">
        <w:t xml:space="preserve">concerning </w:t>
      </w:r>
      <w:r>
        <w:t xml:space="preserve">the Megillah, not many days </w:t>
      </w:r>
      <w:r w:rsidR="004A2B71">
        <w:t xml:space="preserve">had </w:t>
      </w:r>
      <w:r>
        <w:t xml:space="preserve">passed as it was </w:t>
      </w:r>
      <w:r w:rsidR="00933BA0">
        <w:t>[written] proximal</w:t>
      </w:r>
      <w:r>
        <w:t xml:space="preserve"> to his time, all of Israel knew the demarcation of the verses, and </w:t>
      </w:r>
      <w:r w:rsidR="004A2B71">
        <w:t xml:space="preserve">he did not need to provide </w:t>
      </w:r>
      <w:r>
        <w:t xml:space="preserve">a [new] demarcation as it was already well-known in </w:t>
      </w:r>
      <w:r w:rsidR="004A2B71">
        <w:t>his</w:t>
      </w:r>
      <w:r>
        <w:t xml:space="preserve"> time, and since he did not demarcate them, our Sages ruled that the reader should not stop, since Ezra the Scribe did not demarcate them, and this seems simple to me.</w:t>
      </w:r>
    </w:p>
    <w:p w14:paraId="1E8424E7" w14:textId="300E0A0A" w:rsidR="0057761F" w:rsidRDefault="0057761F" w:rsidP="004A2B71">
      <w:r>
        <w:lastRenderedPageBreak/>
        <w:t xml:space="preserve">According to this explanation, since Ezra did not demarcate the verses, our Sages ruled to not read the Megillah according to the demarcation of the verses, but rather to read it continuously. </w:t>
      </w:r>
      <w:r w:rsidR="004A2B71">
        <w:t xml:space="preserve">This </w:t>
      </w:r>
      <w:r>
        <w:t>require</w:t>
      </w:r>
      <w:r w:rsidR="004A2B71">
        <w:t>s</w:t>
      </w:r>
      <w:r>
        <w:t xml:space="preserve"> clarification, as the </w:t>
      </w:r>
      <w:proofErr w:type="spellStart"/>
      <w:r>
        <w:t>Maharitz</w:t>
      </w:r>
      <w:proofErr w:type="spellEnd"/>
      <w:r>
        <w:t xml:space="preserve"> wrote in the name of his son, R. Avraham:</w:t>
      </w:r>
      <w:r>
        <w:rPr>
          <w:rStyle w:val="FootnoteReference"/>
        </w:rPr>
        <w:footnoteReference w:id="45"/>
      </w:r>
    </w:p>
    <w:p w14:paraId="0C5A2157" w14:textId="49152417" w:rsidR="0057761F" w:rsidRDefault="00786754" w:rsidP="004A2B71">
      <w:pPr>
        <w:pStyle w:val="Quote"/>
      </w:pPr>
      <w:r>
        <w:t xml:space="preserve">And each time I read the book </w:t>
      </w:r>
      <w:proofErr w:type="spellStart"/>
      <w:r>
        <w:rPr>
          <w:i/>
          <w:iCs/>
        </w:rPr>
        <w:t>Ma’ayan</w:t>
      </w:r>
      <w:proofErr w:type="spellEnd"/>
      <w:r>
        <w:rPr>
          <w:i/>
          <w:iCs/>
        </w:rPr>
        <w:t xml:space="preserve"> </w:t>
      </w:r>
      <w:proofErr w:type="spellStart"/>
      <w:r>
        <w:rPr>
          <w:i/>
          <w:iCs/>
        </w:rPr>
        <w:t>Ganim</w:t>
      </w:r>
      <w:proofErr w:type="spellEnd"/>
      <w:r>
        <w:t xml:space="preserve"> my son Avraham, may God protect him, </w:t>
      </w:r>
      <w:r w:rsidR="004A2B71">
        <w:t>raised the difficulty</w:t>
      </w:r>
      <w:r>
        <w:t xml:space="preserve"> why </w:t>
      </w:r>
      <w:r w:rsidR="004A2B71">
        <w:t xml:space="preserve">we </w:t>
      </w:r>
      <w:r>
        <w:t xml:space="preserve">do not </w:t>
      </w:r>
      <w:proofErr w:type="spellStart"/>
      <w:r>
        <w:t>sto</w:t>
      </w:r>
      <w:r w:rsidR="004A2B71">
        <w:t>p⸺</w:t>
      </w:r>
      <w:r w:rsidR="00D302FC">
        <w:t>if</w:t>
      </w:r>
      <w:proofErr w:type="spellEnd"/>
      <w:r>
        <w:t xml:space="preserve"> the reason </w:t>
      </w:r>
      <w:r w:rsidR="00D302FC">
        <w:t xml:space="preserve">is </w:t>
      </w:r>
      <w:r>
        <w:t>that Ezra did not demarcate the verses because the demarcation was still remembered, then in the days of Ezra they did stop, and if so we should also stop as we do in the other verses of the Bible. And this requires further study.</w:t>
      </w:r>
    </w:p>
    <w:p w14:paraId="5F5F0A39" w14:textId="1E8678CC" w:rsidR="00786754" w:rsidRDefault="00786754" w:rsidP="004A2B71">
      <w:pPr>
        <w:pStyle w:val="Quote"/>
      </w:pPr>
      <w:r>
        <w:t xml:space="preserve">It is possible that since Ezra himself did not demarcate them, then we should not stop even though Mordechai demarcated them, as we follow Ezra’s amendment. An example of this is as is written in </w:t>
      </w:r>
      <w:r>
        <w:rPr>
          <w:i/>
          <w:iCs/>
        </w:rPr>
        <w:t>Berakhot</w:t>
      </w:r>
      <w:r>
        <w:t xml:space="preserve"> (</w:t>
      </w:r>
      <w:proofErr w:type="spellStart"/>
      <w:r>
        <w:t>12b</w:t>
      </w:r>
      <w:proofErr w:type="spellEnd"/>
      <w:r>
        <w:t xml:space="preserve">), </w:t>
      </w:r>
      <w:r w:rsidR="00B975BF">
        <w:t xml:space="preserve">that any portion of the Torah which Moshe did not demarcate – we do not demarcate, and the Gemara in </w:t>
      </w:r>
      <w:r w:rsidR="00B975BF">
        <w:rPr>
          <w:i/>
          <w:iCs/>
        </w:rPr>
        <w:t>Megillah</w:t>
      </w:r>
      <w:r w:rsidR="00B975BF">
        <w:t xml:space="preserve"> (22)</w:t>
      </w:r>
      <w:r>
        <w:t xml:space="preserve"> </w:t>
      </w:r>
      <w:r w:rsidR="00B975BF">
        <w:t>also says that any verse that Moshe did not demarcate we do not demarcate</w:t>
      </w:r>
      <w:r w:rsidR="004A2B71">
        <w:t>,</w:t>
      </w:r>
      <w:r w:rsidR="00B975BF">
        <w:t xml:space="preserve"> and </w:t>
      </w:r>
      <w:r w:rsidR="004A2B71">
        <w:rPr>
          <w:lang w:val="en-US"/>
        </w:rPr>
        <w:t>examine</w:t>
      </w:r>
      <w:r w:rsidR="00B975BF">
        <w:t xml:space="preserve"> this.</w:t>
      </w:r>
    </w:p>
    <w:p w14:paraId="77C20499" w14:textId="27D4F5F0" w:rsidR="00B975BF" w:rsidRDefault="00AD5953" w:rsidP="004A2B71">
      <w:r>
        <w:t>This explanation is significant</w:t>
      </w:r>
      <w:r w:rsidR="00D302FC">
        <w:t xml:space="preserve"> and bears an</w:t>
      </w:r>
      <w:r>
        <w:t xml:space="preserve"> important halakhic implication. Since we follow the amendment of Ezra the Scribe, there is no need to read the verses other than according to his demarcations, not even </w:t>
      </w:r>
      <w:r w:rsidR="00D302FC">
        <w:t>according to</w:t>
      </w:r>
      <w:r>
        <w:t xml:space="preserve"> the demarcation</w:t>
      </w:r>
      <w:r w:rsidR="00D302FC">
        <w:t>s</w:t>
      </w:r>
      <w:r>
        <w:t xml:space="preserve"> set by Mordechai and Esther, the authors of the Megillah.</w:t>
      </w:r>
    </w:p>
    <w:p w14:paraId="68D884F8" w14:textId="783B5062" w:rsidR="00AD5953" w:rsidRDefault="00AD5953" w:rsidP="004A2B71">
      <w:r>
        <w:t xml:space="preserve">Another way to settle this question was </w:t>
      </w:r>
      <w:r w:rsidR="004A2B71">
        <w:t>suggested</w:t>
      </w:r>
      <w:r>
        <w:t xml:space="preserve"> by R</w:t>
      </w:r>
      <w:r w:rsidR="004A2B71">
        <w:t>abbi</w:t>
      </w:r>
      <w:r>
        <w:t xml:space="preserve"> D.B. Rosenberg and R</w:t>
      </w:r>
      <w:r w:rsidR="004A2B71">
        <w:t>abbi</w:t>
      </w:r>
      <w:r>
        <w:t xml:space="preserve"> A. </w:t>
      </w:r>
      <w:proofErr w:type="spellStart"/>
      <w:r>
        <w:t>Zilber</w:t>
      </w:r>
      <w:proofErr w:type="spellEnd"/>
      <w:r w:rsidR="00D302FC">
        <w:t>. They write that</w:t>
      </w:r>
      <w:r>
        <w:t xml:space="preserve"> several years before Ezra demarcated the verses of the Megillah, the custom was to read it as an </w:t>
      </w:r>
      <w:proofErr w:type="spellStart"/>
      <w:r>
        <w:rPr>
          <w:i/>
          <w:iCs/>
        </w:rPr>
        <w:t>iggeret</w:t>
      </w:r>
      <w:proofErr w:type="spellEnd"/>
      <w:r>
        <w:t xml:space="preserve"> – a missive – without an oral tradition or a demarcation of the verses. Therefore, even after Ezra demarcated the verses, we should not deviate from the earlier custom but should </w:t>
      </w:r>
      <w:r w:rsidR="00D302FC">
        <w:t xml:space="preserve">continue to </w:t>
      </w:r>
      <w:r>
        <w:t xml:space="preserve">read it as an </w:t>
      </w:r>
      <w:proofErr w:type="spellStart"/>
      <w:r>
        <w:rPr>
          <w:i/>
          <w:iCs/>
        </w:rPr>
        <w:t>iggeret</w:t>
      </w:r>
      <w:proofErr w:type="spellEnd"/>
      <w:r>
        <w:t>.</w:t>
      </w:r>
      <w:r>
        <w:rPr>
          <w:rStyle w:val="FootnoteReference"/>
        </w:rPr>
        <w:footnoteReference w:id="46"/>
      </w:r>
    </w:p>
    <w:p w14:paraId="4F4EADE4" w14:textId="08BC18F5" w:rsidR="006902F5" w:rsidRDefault="006902F5" w:rsidP="004A2B71">
      <w:pPr>
        <w:pStyle w:val="Heading1"/>
      </w:pPr>
      <w:r>
        <w:t>The Validity of the Demarcation of the Verses</w:t>
      </w:r>
    </w:p>
    <w:p w14:paraId="331617D7" w14:textId="61C9ADFE" w:rsidR="006902F5" w:rsidRDefault="006902F5" w:rsidP="004A2B71">
      <w:r>
        <w:lastRenderedPageBreak/>
        <w:t xml:space="preserve">As mentioned above, </w:t>
      </w:r>
      <w:r w:rsidR="004A2B71">
        <w:t>Ibn Ezra</w:t>
      </w:r>
      <w:r>
        <w:t xml:space="preserve"> </w:t>
      </w:r>
      <w:r w:rsidR="004A2B71">
        <w:t>felt obligated</w:t>
      </w:r>
      <w:r>
        <w:t xml:space="preserve"> to explain verses based on their demarcation.</w:t>
      </w:r>
      <w:r>
        <w:rPr>
          <w:rStyle w:val="FootnoteReference"/>
        </w:rPr>
        <w:footnoteReference w:id="47"/>
      </w:r>
      <w:r>
        <w:t xml:space="preserve"> However, it seems that </w:t>
      </w:r>
      <w:r w:rsidR="004A2B71">
        <w:t>Ibn Ezra</w:t>
      </w:r>
      <w:r>
        <w:t xml:space="preserve"> distinguished between reading for exegesis, and reading for a ceremonial or ritual purpose. An exegetical reading necessitates the demarcation of verses, whereas a ceremonial reading is less constrained. An example of this can </w:t>
      </w:r>
      <w:r w:rsidR="00D302FC">
        <w:t xml:space="preserve">also </w:t>
      </w:r>
      <w:r>
        <w:t xml:space="preserve">be found in his </w:t>
      </w:r>
      <w:r>
        <w:rPr>
          <w:i/>
          <w:iCs/>
        </w:rPr>
        <w:t>piyyutim</w:t>
      </w:r>
      <w:r>
        <w:t xml:space="preserve"> (liturgical poetry). Although </w:t>
      </w:r>
      <w:r w:rsidR="004A2B71">
        <w:t>Ibn Ezra</w:t>
      </w:r>
      <w:r>
        <w:t xml:space="preserve"> tended to </w:t>
      </w:r>
      <w:r w:rsidR="004A2B71">
        <w:t>explain</w:t>
      </w:r>
      <w:r>
        <w:t xml:space="preserve"> the verses based on the </w:t>
      </w:r>
      <w:proofErr w:type="spellStart"/>
      <w:r>
        <w:rPr>
          <w:i/>
          <w:iCs/>
        </w:rPr>
        <w:t>p</w:t>
      </w:r>
      <w:r w:rsidR="004A2B71">
        <w:rPr>
          <w:i/>
          <w:iCs/>
        </w:rPr>
        <w:t>e</w:t>
      </w:r>
      <w:r>
        <w:rPr>
          <w:i/>
          <w:iCs/>
        </w:rPr>
        <w:t>shat</w:t>
      </w:r>
      <w:proofErr w:type="spellEnd"/>
      <w:r>
        <w:t xml:space="preserve"> (the simple, or literal, reading)</w:t>
      </w:r>
      <w:r w:rsidR="00FC6B14">
        <w:t xml:space="preserve"> without relying upon </w:t>
      </w:r>
      <w:r w:rsidR="00FC6B14">
        <w:rPr>
          <w:i/>
          <w:iCs/>
        </w:rPr>
        <w:t>midrashim</w:t>
      </w:r>
      <w:r w:rsidR="00FC6B14">
        <w:t xml:space="preserve"> (homiletical exegesis), when composing his liturgical poems he allowed himself to compose them using a homiletical approach, even though this </w:t>
      </w:r>
      <w:r w:rsidR="00D302FC">
        <w:t xml:space="preserve">sometimes </w:t>
      </w:r>
      <w:r w:rsidR="00FC6B14">
        <w:t>contradict</w:t>
      </w:r>
      <w:r w:rsidR="00D302FC">
        <w:t>ed</w:t>
      </w:r>
      <w:r w:rsidR="00FC6B14">
        <w:t xml:space="preserve"> his opinion in his exegesis of </w:t>
      </w:r>
      <w:proofErr w:type="spellStart"/>
      <w:r w:rsidR="00FC6B14">
        <w:rPr>
          <w:i/>
          <w:iCs/>
        </w:rPr>
        <w:t>p</w:t>
      </w:r>
      <w:r w:rsidR="004A2B71">
        <w:rPr>
          <w:i/>
          <w:iCs/>
        </w:rPr>
        <w:t>e</w:t>
      </w:r>
      <w:r w:rsidR="00FC6B14">
        <w:rPr>
          <w:i/>
          <w:iCs/>
        </w:rPr>
        <w:t>shat</w:t>
      </w:r>
      <w:proofErr w:type="spellEnd"/>
      <w:r w:rsidR="00FC6B14">
        <w:t>.</w:t>
      </w:r>
      <w:r w:rsidR="00FC6B14">
        <w:rPr>
          <w:rStyle w:val="FootnoteReference"/>
        </w:rPr>
        <w:footnoteReference w:id="48"/>
      </w:r>
    </w:p>
    <w:p w14:paraId="6F2C2304" w14:textId="447A8E08" w:rsidR="00B307A3" w:rsidRDefault="00B307A3" w:rsidP="004A2B71">
      <w:pPr>
        <w:pStyle w:val="Heading1"/>
      </w:pPr>
      <w:r>
        <w:t>Conclusion</w:t>
      </w:r>
    </w:p>
    <w:p w14:paraId="744BA767" w14:textId="66421470" w:rsidR="004A2B71" w:rsidRDefault="00B307A3" w:rsidP="004A2B71">
      <w:r>
        <w:t xml:space="preserve">It seems that the correct version of </w:t>
      </w:r>
      <w:r w:rsidR="004A2B71">
        <w:t>Ibn Ezra’s</w:t>
      </w:r>
      <w:r>
        <w:t xml:space="preserve"> </w:t>
      </w:r>
      <w:r w:rsidR="004A2B71">
        <w:t>statement</w:t>
      </w:r>
      <w:r>
        <w:t xml:space="preserve"> is:</w:t>
      </w:r>
    </w:p>
    <w:p w14:paraId="4FBF4215" w14:textId="77777777" w:rsidR="004A2B71" w:rsidRDefault="004A2B71" w:rsidP="004A2B71">
      <w:pPr>
        <w:pStyle w:val="Quote"/>
      </w:pPr>
      <w:r>
        <w:rPr>
          <w:lang w:val="en-US"/>
        </w:rPr>
        <w:t xml:space="preserve">Since </w:t>
      </w:r>
      <w:r w:rsidRPr="007E36A3">
        <w:t>Ezra the Scribe</w:t>
      </w:r>
      <w:r>
        <w:rPr>
          <w:lang w:val="en-US"/>
        </w:rPr>
        <w:t>,</w:t>
      </w:r>
      <w:r w:rsidRPr="007E36A3">
        <w:t xml:space="preserve"> </w:t>
      </w:r>
      <w:r>
        <w:t>and he was not</w:t>
      </w:r>
      <w:r w:rsidRPr="007E36A3">
        <w:t xml:space="preserve"> many years </w:t>
      </w:r>
      <w:r>
        <w:rPr>
          <w:lang w:val="en-US"/>
        </w:rPr>
        <w:t>later,</w:t>
      </w:r>
      <w:r w:rsidRPr="007E36A3">
        <w:t xml:space="preserve"> </w:t>
      </w:r>
      <w:r>
        <w:t>demarcated</w:t>
      </w:r>
      <w:r w:rsidRPr="007E36A3">
        <w:t xml:space="preserve"> </w:t>
      </w:r>
      <w:r>
        <w:t>the verses</w:t>
      </w:r>
      <w:r>
        <w:rPr>
          <w:lang w:val="en-US"/>
        </w:rPr>
        <w:t xml:space="preserve">, </w:t>
      </w:r>
      <w:proofErr w:type="spellStart"/>
      <w:r>
        <w:rPr>
          <w:lang w:val="en-US"/>
        </w:rPr>
        <w:t>t</w:t>
      </w:r>
      <w:r w:rsidRPr="007E36A3">
        <w:t>he</w:t>
      </w:r>
      <w:proofErr w:type="spellEnd"/>
      <w:r w:rsidRPr="007E36A3">
        <w:t xml:space="preserve"> </w:t>
      </w:r>
      <w:r>
        <w:rPr>
          <w:lang w:val="en-US"/>
        </w:rPr>
        <w:t>S</w:t>
      </w:r>
      <w:r w:rsidRPr="007E36A3">
        <w:t xml:space="preserve">ages </w:t>
      </w:r>
      <w:r>
        <w:rPr>
          <w:lang w:val="en-US"/>
        </w:rPr>
        <w:t xml:space="preserve">instructed that the reader </w:t>
      </w:r>
      <w:r w:rsidRPr="007E36A3">
        <w:t>should not stop at the end of a verse</w:t>
      </w:r>
      <w:r>
        <w:t>.</w:t>
      </w:r>
    </w:p>
    <w:p w14:paraId="2CA7975C" w14:textId="0910E295" w:rsidR="00B307A3" w:rsidRPr="00B307A3" w:rsidRDefault="00B307A3" w:rsidP="004A2B71">
      <w:r>
        <w:t>This means that Ezra reconstructed the demarcation of the verses of the Bible</w:t>
      </w:r>
      <w:r w:rsidR="000631E5">
        <w:t>. H</w:t>
      </w:r>
      <w:r>
        <w:t xml:space="preserve">owever, whether or not this included also the demarcation of the verses of the Megillah, our forefathers </w:t>
      </w:r>
      <w:r w:rsidR="000631E5">
        <w:t xml:space="preserve">in any case </w:t>
      </w:r>
      <w:r>
        <w:t>ruled to not read the entire Megillah according to the demarcation of the verses. The reason for this is that if it was Mordechai, and not Ezra, who demarcated the verses of the Megillah</w:t>
      </w:r>
      <w:r w:rsidR="004A2B71">
        <w:t xml:space="preserve"> and</w:t>
      </w:r>
      <w:r>
        <w:t xml:space="preserve"> we follow the </w:t>
      </w:r>
      <w:r w:rsidR="004A2B71">
        <w:t>decree</w:t>
      </w:r>
      <w:r>
        <w:t xml:space="preserve"> of Ezra</w:t>
      </w:r>
      <w:r w:rsidR="004A2B71">
        <w:t>.</w:t>
      </w:r>
      <w:r>
        <w:t xml:space="preserve"> </w:t>
      </w:r>
      <w:r w:rsidR="004A2B71">
        <w:t>I</w:t>
      </w:r>
      <w:r>
        <w:t xml:space="preserve">f </w:t>
      </w:r>
      <w:r w:rsidR="004A2B71">
        <w:t xml:space="preserve">it was </w:t>
      </w:r>
      <w:r>
        <w:t xml:space="preserve">Ezra </w:t>
      </w:r>
      <w:r w:rsidR="004A2B71">
        <w:t>who</w:t>
      </w:r>
      <w:r>
        <w:t xml:space="preserve"> </w:t>
      </w:r>
      <w:r w:rsidR="004A2B71">
        <w:t>in fact</w:t>
      </w:r>
      <w:r>
        <w:t xml:space="preserve"> demarcated the verses of the Megillah</w:t>
      </w:r>
      <w:r w:rsidR="004A2B71">
        <w:t>,</w:t>
      </w:r>
      <w:r>
        <w:t xml:space="preserve"> since it says </w:t>
      </w:r>
      <w:proofErr w:type="spellStart"/>
      <w:r w:rsidRPr="00B307A3">
        <w:rPr>
          <w:i/>
          <w:iCs/>
        </w:rPr>
        <w:t>k</w:t>
      </w:r>
      <w:r w:rsidR="004A2B71">
        <w:rPr>
          <w:i/>
          <w:iCs/>
        </w:rPr>
        <w:t>e</w:t>
      </w:r>
      <w:r w:rsidRPr="00B307A3">
        <w:rPr>
          <w:i/>
          <w:iCs/>
        </w:rPr>
        <w:t>khtavam</w:t>
      </w:r>
      <w:proofErr w:type="spellEnd"/>
      <w:r w:rsidRPr="00B307A3">
        <w:t xml:space="preserve"> (</w:t>
      </w:r>
      <w:r w:rsidR="000631E5">
        <w:t>“</w:t>
      </w:r>
      <w:r w:rsidRPr="00B307A3">
        <w:t>according to the writing thereof</w:t>
      </w:r>
      <w:r>
        <w:t>,</w:t>
      </w:r>
      <w:r w:rsidR="000631E5">
        <w:t>”</w:t>
      </w:r>
      <w:r>
        <w:t xml:space="preserve"> without the demarcation of the verses), or since over several years the custom was to read it as an </w:t>
      </w:r>
      <w:proofErr w:type="spellStart"/>
      <w:r>
        <w:rPr>
          <w:i/>
          <w:iCs/>
        </w:rPr>
        <w:t>iggeret</w:t>
      </w:r>
      <w:proofErr w:type="spellEnd"/>
      <w:r>
        <w:t xml:space="preserve"> without heeding the demarcation of the verses, our forefathers ruled that we continue this early custom of reading it as an </w:t>
      </w:r>
      <w:proofErr w:type="spellStart"/>
      <w:r>
        <w:rPr>
          <w:i/>
          <w:iCs/>
        </w:rPr>
        <w:t>iggeret</w:t>
      </w:r>
      <w:proofErr w:type="spellEnd"/>
      <w:r>
        <w:t xml:space="preserve"> – and not according to the demarcations.</w:t>
      </w:r>
    </w:p>
    <w:sectPr w:rsidR="00B307A3" w:rsidRPr="00B307A3">
      <w:foot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קאפח יוחנן, הרב דר" w:date="2021-11-16T07:43:00Z" w:initials="קיהד">
    <w:p w14:paraId="7E618945" w14:textId="5A07BB16" w:rsidR="00A271FB" w:rsidRDefault="00A271FB">
      <w:pPr>
        <w:pStyle w:val="CommentText"/>
        <w:rPr>
          <w:rStyle w:val="CommentReference"/>
          <w:rtl/>
        </w:rPr>
      </w:pPr>
      <w:r>
        <w:rPr>
          <w:rStyle w:val="CommentReference"/>
        </w:rPr>
        <w:annotationRef/>
      </w:r>
      <w:r>
        <w:rPr>
          <w:rStyle w:val="CommentReference"/>
          <w:rFonts w:hint="cs"/>
          <w:rtl/>
        </w:rPr>
        <w:t xml:space="preserve">האם לא נכון יותר לתרגם </w:t>
      </w:r>
      <w:r>
        <w:rPr>
          <w:rStyle w:val="CommentReference"/>
        </w:rPr>
        <w:t xml:space="preserve"> the verse? </w:t>
      </w:r>
    </w:p>
    <w:p w14:paraId="75A12829" w14:textId="37F25B9E" w:rsidR="00A271FB" w:rsidRDefault="00A271FB">
      <w:pPr>
        <w:pStyle w:val="CommentText"/>
        <w:rPr>
          <w:rtl/>
        </w:rPr>
      </w:pPr>
      <w:r>
        <w:rPr>
          <w:rStyle w:val="CommentReference"/>
          <w:rFonts w:hint="cs"/>
          <w:rtl/>
        </w:rPr>
        <w:t>וכן בהמשך בסוף הציטוט.</w:t>
      </w:r>
    </w:p>
  </w:comment>
  <w:comment w:id="1" w:author="Josh Amaru" w:date="2021-11-18T13:41:00Z" w:initials="JA">
    <w:p w14:paraId="30012CEA" w14:textId="296A35C6" w:rsidR="00957C0F" w:rsidRDefault="00957C0F" w:rsidP="00A65687">
      <w:pPr>
        <w:pStyle w:val="CommentText"/>
        <w:bidi/>
        <w:rPr>
          <w:rFonts w:hint="cs"/>
          <w:rtl/>
        </w:rPr>
      </w:pPr>
      <w:r>
        <w:rPr>
          <w:rStyle w:val="CommentReference"/>
        </w:rPr>
        <w:annotationRef/>
      </w:r>
      <w:r>
        <w:rPr>
          <w:rFonts w:hint="cs"/>
          <w:rtl/>
        </w:rPr>
        <w:t>לדעתי לא.  בעברית משתמש</w:t>
      </w:r>
      <w:r w:rsidR="00A65687">
        <w:rPr>
          <w:rFonts w:hint="cs"/>
          <w:rtl/>
        </w:rPr>
        <w:t>ים ביידוע במקומות שלא מתאים באנגלית</w:t>
      </w:r>
    </w:p>
  </w:comment>
  <w:comment w:id="3" w:author="mailshelnava@gmail.com" w:date="2021-11-01T08:56:00Z" w:initials="m">
    <w:p w14:paraId="0CCA6539" w14:textId="69B74862" w:rsidR="00A271FB" w:rsidRDefault="00FF0242" w:rsidP="00A271FB">
      <w:pPr>
        <w:pStyle w:val="CommentText"/>
        <w:bidi/>
        <w:rPr>
          <w:rtl/>
        </w:rPr>
      </w:pPr>
      <w:r>
        <w:rPr>
          <w:rStyle w:val="CommentReference"/>
        </w:rPr>
        <w:annotationRef/>
      </w:r>
      <w:r>
        <w:rPr>
          <w:rFonts w:hint="cs"/>
          <w:rtl/>
        </w:rPr>
        <w:t>שים לב שתרגמתי את התרגום הארמי, מקווה שזה בסדר ככה</w:t>
      </w:r>
    </w:p>
  </w:comment>
  <w:comment w:id="4" w:author="קאפח יוחנן, הרב דר" w:date="2021-11-16T07:44:00Z" w:initials="קיהד">
    <w:p w14:paraId="1B053163" w14:textId="34A98FFF" w:rsidR="00A271FB" w:rsidRDefault="00A271FB" w:rsidP="00A65687">
      <w:pPr>
        <w:pStyle w:val="CommentText"/>
        <w:bidi/>
      </w:pPr>
      <w:r>
        <w:rPr>
          <w:rStyle w:val="CommentReference"/>
        </w:rPr>
        <w:annotationRef/>
      </w:r>
      <w:r>
        <w:rPr>
          <w:rFonts w:hint="cs"/>
          <w:rtl/>
        </w:rPr>
        <w:t>את מתכוונת לארמית שכתובה בהערה? אני לא יודע מה לומר. לכאורה זה תלוי בהנחיות של כתב העת.</w:t>
      </w:r>
    </w:p>
  </w:comment>
  <w:comment w:id="5" w:author="mailshelnava@gmail.com" w:date="2021-11-01T09:49:00Z" w:initials="m">
    <w:p w14:paraId="5AEF5980" w14:textId="24FA1B6D" w:rsidR="00206AF8" w:rsidRDefault="00206AF8" w:rsidP="004A2B71">
      <w:pPr>
        <w:pStyle w:val="CommentText"/>
        <w:bidi/>
        <w:rPr>
          <w:rtl/>
        </w:rPr>
      </w:pPr>
      <w:r>
        <w:rPr>
          <w:rStyle w:val="CommentReference"/>
        </w:rPr>
        <w:annotationRef/>
      </w:r>
      <w:r>
        <w:rPr>
          <w:rFonts w:hint="cs"/>
          <w:rtl/>
        </w:rPr>
        <w:t xml:space="preserve">שים לב שתרגמתי </w:t>
      </w:r>
      <w:r w:rsidR="00F31095">
        <w:rPr>
          <w:rFonts w:hint="cs"/>
          <w:rtl/>
        </w:rPr>
        <w:t>בהערת השוליים</w:t>
      </w:r>
      <w:r>
        <w:rPr>
          <w:rFonts w:hint="cs"/>
          <w:rtl/>
        </w:rPr>
        <w:t xml:space="preserve"> הרבה מדברי </w:t>
      </w:r>
      <w:proofErr w:type="spellStart"/>
      <w:r>
        <w:rPr>
          <w:rFonts w:hint="cs"/>
          <w:rtl/>
        </w:rPr>
        <w:t>האב"ע</w:t>
      </w:r>
      <w:proofErr w:type="spellEnd"/>
      <w:r>
        <w:rPr>
          <w:rFonts w:hint="cs"/>
          <w:rtl/>
        </w:rPr>
        <w:t xml:space="preserve"> אבל אני לא בטוחה שהבנתי אותם נכון, אז כדאי לבדוק. וגם, כדאי לבדוק את מספרי העמ</w:t>
      </w:r>
      <w:r w:rsidR="00F31095">
        <w:rPr>
          <w:rFonts w:hint="cs"/>
          <w:rtl/>
        </w:rPr>
        <w:t>ו</w:t>
      </w:r>
      <w:r>
        <w:rPr>
          <w:rFonts w:hint="cs"/>
          <w:rtl/>
        </w:rPr>
        <w:t>דים</w:t>
      </w:r>
      <w:r w:rsidR="00F31095">
        <w:rPr>
          <w:rFonts w:hint="cs"/>
          <w:rtl/>
        </w:rPr>
        <w:t xml:space="preserve"> בהערת השוליים</w:t>
      </w:r>
      <w:r>
        <w:rPr>
          <w:rFonts w:hint="cs"/>
          <w:rtl/>
        </w:rPr>
        <w:t xml:space="preserve"> </w:t>
      </w:r>
      <w:r>
        <w:rPr>
          <w:rtl/>
        </w:rPr>
        <w:t>–</w:t>
      </w:r>
      <w:r>
        <w:rPr>
          <w:rFonts w:hint="cs"/>
          <w:rtl/>
        </w:rPr>
        <w:t xml:space="preserve"> גם בעברית</w:t>
      </w:r>
    </w:p>
  </w:comment>
  <w:comment w:id="6" w:author="קאפח יוחנן, הרב דר" w:date="2021-11-16T08:11:00Z" w:initials="קיהד">
    <w:p w14:paraId="60761A3B" w14:textId="1F75127F" w:rsidR="00936A39" w:rsidRDefault="00936A39">
      <w:pPr>
        <w:pStyle w:val="CommentText"/>
        <w:rPr>
          <w:rtl/>
        </w:rPr>
      </w:pPr>
      <w:r>
        <w:rPr>
          <w:rStyle w:val="CommentReference"/>
        </w:rPr>
        <w:annotationRef/>
      </w:r>
      <w:r>
        <w:rPr>
          <w:rFonts w:hint="cs"/>
          <w:rtl/>
        </w:rPr>
        <w:t>למיטב הבנתי באנגלית אני חושב שהבנת נכון.</w:t>
      </w:r>
    </w:p>
    <w:p w14:paraId="6953586B" w14:textId="55FCA378" w:rsidR="00936A39" w:rsidRDefault="00936A39">
      <w:pPr>
        <w:pStyle w:val="CommentText"/>
      </w:pPr>
      <w:r>
        <w:rPr>
          <w:rFonts w:hint="cs"/>
          <w:rtl/>
        </w:rPr>
        <w:t xml:space="preserve">ביחס למספרי העמודים צריך להיות כתוב </w:t>
      </w:r>
      <w:proofErr w:type="spellStart"/>
      <w:r>
        <w:rPr>
          <w:rFonts w:hint="cs"/>
          <w:rtl/>
        </w:rPr>
        <w:t>עג</w:t>
      </w:r>
      <w:proofErr w:type="spellEnd"/>
      <w:r>
        <w:rPr>
          <w:rFonts w:hint="cs"/>
          <w:rtl/>
        </w:rPr>
        <w:t xml:space="preserve"> עמוד א </w:t>
      </w:r>
      <w:r>
        <w:rPr>
          <w:rtl/>
        </w:rPr>
        <w:t>–</w:t>
      </w:r>
      <w:r>
        <w:rPr>
          <w:rFonts w:hint="cs"/>
          <w:rtl/>
        </w:rPr>
        <w:t xml:space="preserve"> עד עמוד א.</w:t>
      </w:r>
    </w:p>
  </w:comment>
  <w:comment w:id="7" w:author="mailshelnava@gmail.com" w:date="2021-11-03T13:50:00Z" w:initials="m">
    <w:p w14:paraId="5585C7CA" w14:textId="61D83C3F" w:rsidR="00D94DDE" w:rsidRPr="00D94DDE" w:rsidRDefault="00D94DDE" w:rsidP="004A2B71">
      <w:pPr>
        <w:pStyle w:val="CommentText"/>
        <w:bidi/>
        <w:rPr>
          <w:rtl/>
        </w:rPr>
      </w:pPr>
      <w:r>
        <w:rPr>
          <w:rStyle w:val="CommentReference"/>
        </w:rPr>
        <w:annotationRef/>
      </w:r>
      <w:r>
        <w:rPr>
          <w:rFonts w:hint="cs"/>
          <w:rtl/>
        </w:rPr>
        <w:t>מה זה ה-</w:t>
      </w:r>
      <w:r>
        <w:t xml:space="preserve">(An) </w:t>
      </w:r>
      <w:r>
        <w:rPr>
          <w:rFonts w:hint="cs"/>
          <w:rtl/>
        </w:rPr>
        <w:t xml:space="preserve"> בהערת השוליים?</w:t>
      </w:r>
    </w:p>
  </w:comment>
  <w:comment w:id="8" w:author="קאפח יוחנן, הרב דר" w:date="2021-11-16T08:58:00Z" w:initials="קיהד">
    <w:p w14:paraId="138612FC" w14:textId="621CC8CB" w:rsidR="006352EB" w:rsidRDefault="006352EB" w:rsidP="006352EB">
      <w:pPr>
        <w:pStyle w:val="CommentText"/>
        <w:rPr>
          <w:rtl/>
        </w:rPr>
      </w:pPr>
      <w:r>
        <w:rPr>
          <w:rStyle w:val="CommentReference"/>
        </w:rPr>
        <w:annotationRef/>
      </w:r>
      <w:r>
        <w:rPr>
          <w:rFonts w:hint="cs"/>
          <w:rtl/>
        </w:rPr>
        <w:t xml:space="preserve">היכן רשום </w:t>
      </w:r>
      <w:r>
        <w:t>(An)</w:t>
      </w:r>
      <w:r>
        <w:rPr>
          <w:rFonts w:hint="cs"/>
          <w:rtl/>
        </w:rPr>
        <w:t>?</w:t>
      </w:r>
    </w:p>
    <w:p w14:paraId="054FEF50" w14:textId="3AAAFD3B" w:rsidR="006352EB" w:rsidRDefault="006352EB" w:rsidP="006352EB">
      <w:pPr>
        <w:pStyle w:val="CommentText"/>
      </w:pPr>
      <w:r>
        <w:rPr>
          <w:rFonts w:hint="cs"/>
          <w:rtl/>
        </w:rPr>
        <w:t>לא רואה</w:t>
      </w:r>
    </w:p>
    <w:p w14:paraId="4CC19C12" w14:textId="66363EEB" w:rsidR="006352EB" w:rsidRDefault="006352EB" w:rsidP="00B663D9">
      <w:pPr>
        <w:pStyle w:val="CommentText"/>
        <w:bidi/>
      </w:pPr>
      <w:r>
        <w:rPr>
          <w:rFonts w:hint="cs"/>
          <w:rtl/>
        </w:rPr>
        <w:t xml:space="preserve">אגב, פ' זה כמובן פרק, אני מקווה שזה תרגום נכון של </w:t>
      </w:r>
      <w:r>
        <w:t>section</w:t>
      </w:r>
    </w:p>
  </w:comment>
  <w:comment w:id="9" w:author="Josh Amaru" w:date="2021-11-18T15:50:00Z" w:initials="JA">
    <w:p w14:paraId="02792EE9" w14:textId="39358325" w:rsidR="008366B2" w:rsidRDefault="008366B2">
      <w:pPr>
        <w:pStyle w:val="CommentText"/>
      </w:pPr>
      <w:r>
        <w:rPr>
          <w:rStyle w:val="CommentReference"/>
        </w:rPr>
        <w:annotationRef/>
      </w:r>
      <w:r>
        <w:t>fixed</w:t>
      </w:r>
    </w:p>
  </w:comment>
  <w:comment w:id="10" w:author="mailshelnava@gmail.com" w:date="2021-11-01T10:22:00Z" w:initials="m">
    <w:p w14:paraId="141064C3" w14:textId="0D48B69F" w:rsidR="000330E9" w:rsidRPr="000330E9" w:rsidRDefault="000330E9" w:rsidP="004A2B71">
      <w:pPr>
        <w:pStyle w:val="CommentText"/>
        <w:bidi/>
        <w:rPr>
          <w:rtl/>
        </w:rPr>
      </w:pPr>
      <w:r>
        <w:rPr>
          <w:rStyle w:val="CommentReference"/>
        </w:rPr>
        <w:annotationRef/>
      </w:r>
      <w:r>
        <w:rPr>
          <w:rFonts w:hint="cs"/>
          <w:rtl/>
        </w:rPr>
        <w:t>התרגום מ-</w:t>
      </w:r>
      <w:proofErr w:type="spellStart"/>
      <w:r>
        <w:t>Sefaria</w:t>
      </w:r>
      <w:proofErr w:type="spellEnd"/>
    </w:p>
  </w:comment>
  <w:comment w:id="11" w:author="קאפח יוחנן, הרב דר" w:date="2021-11-16T09:03:00Z" w:initials="קיהד">
    <w:p w14:paraId="6EA9EF76" w14:textId="46A177B2" w:rsidR="006352EB" w:rsidRDefault="006352EB" w:rsidP="00AB4052">
      <w:pPr>
        <w:pStyle w:val="CommentText"/>
        <w:bidi/>
        <w:rPr>
          <w:rtl/>
        </w:rPr>
      </w:pPr>
      <w:r>
        <w:rPr>
          <w:rStyle w:val="CommentReference"/>
        </w:rPr>
        <w:annotationRef/>
      </w:r>
      <w:r>
        <w:rPr>
          <w:rFonts w:hint="cs"/>
          <w:rtl/>
        </w:rPr>
        <w:t xml:space="preserve">זה אכן תרגום של </w:t>
      </w:r>
      <w:proofErr w:type="spellStart"/>
      <w:r>
        <w:rPr>
          <w:rFonts w:hint="cs"/>
          <w:rtl/>
        </w:rPr>
        <w:t>הגמ</w:t>
      </w:r>
      <w:proofErr w:type="spellEnd"/>
      <w:r>
        <w:rPr>
          <w:rFonts w:hint="cs"/>
          <w:rtl/>
        </w:rPr>
        <w:t>'.אני מעריך שזה מקובל עליכם מבחינת איכות האנגלית.</w:t>
      </w:r>
    </w:p>
  </w:comment>
  <w:comment w:id="12" w:author="Josh Amaru" w:date="2021-11-18T15:50:00Z" w:initials="JA">
    <w:p w14:paraId="153FDD9E" w14:textId="50FFDAC9" w:rsidR="008366B2" w:rsidRDefault="008366B2">
      <w:pPr>
        <w:pStyle w:val="CommentText"/>
      </w:pPr>
      <w:r>
        <w:rPr>
          <w:rStyle w:val="CommentReference"/>
        </w:rPr>
        <w:annotationRef/>
      </w:r>
      <w:r>
        <w:rPr>
          <w:rFonts w:hint="cs"/>
        </w:rPr>
        <w:t>I</w:t>
      </w:r>
      <w:r>
        <w:t>t’s fine</w:t>
      </w:r>
    </w:p>
  </w:comment>
  <w:comment w:id="14" w:author="קאפח יוחנן, הרב דר" w:date="2021-11-16T09:04:00Z" w:initials="קיהד">
    <w:p w14:paraId="0E744C6C" w14:textId="749CE578" w:rsidR="006352EB" w:rsidRDefault="006352EB" w:rsidP="0061337C">
      <w:pPr>
        <w:pStyle w:val="CommentText"/>
        <w:bidi/>
        <w:rPr>
          <w:rtl/>
        </w:rPr>
      </w:pPr>
      <w:r>
        <w:rPr>
          <w:rStyle w:val="CommentReference"/>
        </w:rPr>
        <w:annotationRef/>
      </w:r>
      <w:r>
        <w:rPr>
          <w:rFonts w:hint="cs"/>
          <w:rtl/>
        </w:rPr>
        <w:t xml:space="preserve">זה לא צריך להיות </w:t>
      </w:r>
      <w:proofErr w:type="spellStart"/>
      <w:r>
        <w:rPr>
          <w:rFonts w:hint="cs"/>
          <w:rtl/>
        </w:rPr>
        <w:t>מוזח</w:t>
      </w:r>
      <w:proofErr w:type="spellEnd"/>
    </w:p>
  </w:comment>
  <w:comment w:id="15" w:author="mailshelnava@gmail.com" w:date="2021-11-01T12:50:00Z" w:initials="m">
    <w:p w14:paraId="5058A1A4" w14:textId="54913337" w:rsidR="00D46B3C" w:rsidRPr="00D94DDE" w:rsidRDefault="00D46B3C" w:rsidP="004A2B71">
      <w:pPr>
        <w:pStyle w:val="CommentText"/>
        <w:bidi/>
        <w:rPr>
          <w:rtl/>
        </w:rPr>
      </w:pPr>
      <w:r>
        <w:rPr>
          <w:rStyle w:val="CommentReference"/>
        </w:rPr>
        <w:annotationRef/>
      </w:r>
      <w:r w:rsidR="00D94DDE">
        <w:rPr>
          <w:rFonts w:hint="cs"/>
          <w:rtl/>
        </w:rPr>
        <w:t xml:space="preserve">ובהערת השוליים: האם זה לא חיים משה </w:t>
      </w:r>
      <w:proofErr w:type="spellStart"/>
      <w:r w:rsidR="00D94DDE">
        <w:rPr>
          <w:rFonts w:hint="cs"/>
          <w:rtl/>
        </w:rPr>
        <w:t>אמריליו</w:t>
      </w:r>
      <w:proofErr w:type="spellEnd"/>
      <w:r w:rsidR="00D94DDE">
        <w:rPr>
          <w:rFonts w:hint="cs"/>
          <w:rtl/>
        </w:rPr>
        <w:t>?</w:t>
      </w:r>
    </w:p>
  </w:comment>
  <w:comment w:id="16" w:author="קאפח יוחנן, הרב דר" w:date="2021-11-16T09:15:00Z" w:initials="קיהד">
    <w:p w14:paraId="5F55ED0C" w14:textId="5F929AEB" w:rsidR="00273883" w:rsidRDefault="00273883">
      <w:pPr>
        <w:pStyle w:val="CommentText"/>
      </w:pPr>
      <w:r>
        <w:rPr>
          <w:rStyle w:val="CommentReference"/>
        </w:rPr>
        <w:annotationRef/>
      </w:r>
      <w:proofErr w:type="spellStart"/>
      <w:r>
        <w:rPr>
          <w:rFonts w:hint="cs"/>
          <w:rtl/>
        </w:rPr>
        <w:t>צודקת.תודה</w:t>
      </w:r>
      <w:proofErr w:type="spellEnd"/>
    </w:p>
  </w:comment>
  <w:comment w:id="17" w:author="mailshelnava@gmail.com" w:date="2021-11-01T12:59:00Z" w:initials="m">
    <w:p w14:paraId="74275CD3" w14:textId="364BF94A" w:rsidR="007C1D24" w:rsidRPr="007C1D24" w:rsidRDefault="007C1D24" w:rsidP="004A2B71">
      <w:pPr>
        <w:pStyle w:val="CommentText"/>
        <w:bidi/>
        <w:rPr>
          <w:rtl/>
        </w:rPr>
      </w:pPr>
      <w:r>
        <w:rPr>
          <w:rStyle w:val="CommentReference"/>
        </w:rPr>
        <w:annotationRef/>
      </w:r>
      <w:r>
        <w:rPr>
          <w:rFonts w:hint="cs"/>
          <w:rtl/>
        </w:rPr>
        <w:t>כיון שאני לא ציטטי את האברבנאל בעברית, אני לא יודעת מה נכון לשים בהערות השוליים 15-16</w:t>
      </w:r>
      <w:r w:rsidR="00AA3F8B">
        <w:rPr>
          <w:rFonts w:hint="cs"/>
          <w:rtl/>
        </w:rPr>
        <w:t>, איפה שאתה הפנית למהדורה ממנה לקוח הציטוט</w:t>
      </w:r>
    </w:p>
  </w:comment>
  <w:comment w:id="18" w:author="קאפח יוחנן, הרב דר" w:date="2021-11-16T09:41:00Z" w:initials="קיהד">
    <w:p w14:paraId="349F5CBB" w14:textId="00477396" w:rsidR="0017502D" w:rsidRDefault="0017502D">
      <w:pPr>
        <w:pStyle w:val="CommentText"/>
      </w:pPr>
      <w:r>
        <w:rPr>
          <w:rStyle w:val="CommentReference"/>
        </w:rPr>
        <w:annotationRef/>
      </w:r>
      <w:r>
        <w:rPr>
          <w:rFonts w:hint="cs"/>
          <w:rtl/>
        </w:rPr>
        <w:t>לא הבנתי. לקחת ממהדורה באנגלית? אם כן צייני אותה. אם לא, אז את המהדורה אליה אני הפניתי.</w:t>
      </w:r>
    </w:p>
  </w:comment>
  <w:comment w:id="19" w:author="Josh Amaru" w:date="2021-11-18T14:20:00Z" w:initials="JA">
    <w:p w14:paraId="3688E4B7" w14:textId="6C946728" w:rsidR="004238BF" w:rsidRDefault="004238BF">
      <w:pPr>
        <w:pStyle w:val="CommentText"/>
        <w:rPr>
          <w:rFonts w:hint="cs"/>
          <w:rtl/>
        </w:rPr>
      </w:pPr>
      <w:r>
        <w:rPr>
          <w:rStyle w:val="CommentReference"/>
        </w:rPr>
        <w:annotationRef/>
      </w:r>
      <w:r w:rsidR="001E090A">
        <w:rPr>
          <w:rFonts w:hint="cs"/>
          <w:rtl/>
        </w:rPr>
        <w:t>תוקן</w:t>
      </w:r>
    </w:p>
  </w:comment>
  <w:comment w:id="20" w:author="קאפח יוחנן, הרב דר [2]" w:date="2021-11-17T07:51:00Z" w:initials="קיהד">
    <w:p w14:paraId="700CEE31" w14:textId="232F1610" w:rsidR="000F6473" w:rsidRDefault="000F6473">
      <w:pPr>
        <w:pStyle w:val="CommentText"/>
      </w:pPr>
      <w:r>
        <w:rPr>
          <w:rStyle w:val="CommentReference"/>
        </w:rPr>
        <w:annotationRef/>
      </w:r>
      <w:r>
        <w:rPr>
          <w:rFonts w:hint="cs"/>
          <w:rtl/>
        </w:rPr>
        <w:t>האם זה תרגום של: לקוח ממהדורתם.</w:t>
      </w:r>
      <w:r>
        <w:rPr>
          <w:rFonts w:hint="cs"/>
        </w:rPr>
        <w:t xml:space="preserve"> </w:t>
      </w:r>
    </w:p>
  </w:comment>
  <w:comment w:id="21" w:author="Josh Amaru" w:date="2021-11-18T14:21:00Z" w:initials="JA">
    <w:p w14:paraId="14466CF5" w14:textId="3E67BE0A" w:rsidR="001E090A" w:rsidRDefault="001E090A" w:rsidP="00482E78">
      <w:pPr>
        <w:pStyle w:val="CommentText"/>
        <w:bidi/>
      </w:pPr>
      <w:r>
        <w:rPr>
          <w:rStyle w:val="CommentReference"/>
        </w:rPr>
        <w:annotationRef/>
      </w:r>
      <w:r w:rsidR="00EB7AC5">
        <w:rPr>
          <w:rFonts w:hint="cs"/>
          <w:rtl/>
        </w:rPr>
        <w:t>כתוב שזה תרגום ממה שכתוב שם.  זה לא לקוח באופן ישיר.</w:t>
      </w:r>
    </w:p>
  </w:comment>
  <w:comment w:id="22" w:author="mailshelnava@gmail.com" w:date="2021-11-01T13:47:00Z" w:initials="m">
    <w:p w14:paraId="413E520B" w14:textId="7774B3F7" w:rsidR="0049001B" w:rsidRDefault="0049001B" w:rsidP="004A2B71">
      <w:pPr>
        <w:pStyle w:val="CommentText"/>
        <w:rPr>
          <w:rtl/>
        </w:rPr>
      </w:pPr>
      <w:r>
        <w:rPr>
          <w:rStyle w:val="CommentReference"/>
        </w:rPr>
        <w:annotationRef/>
      </w:r>
      <w:r>
        <w:rPr>
          <w:rFonts w:hint="cs"/>
          <w:rtl/>
        </w:rPr>
        <w:t>תרגום שלי</w:t>
      </w:r>
    </w:p>
  </w:comment>
  <w:comment w:id="23" w:author="קאפח יוחנן, הרב דר [2]" w:date="2021-11-17T07:47:00Z" w:initials="קיהד">
    <w:p w14:paraId="2004F7F7" w14:textId="0CF12CDD" w:rsidR="000F6473" w:rsidRDefault="000F6473">
      <w:pPr>
        <w:pStyle w:val="CommentText"/>
      </w:pPr>
      <w:r>
        <w:rPr>
          <w:rStyle w:val="CommentReference"/>
        </w:rPr>
        <w:annotationRef/>
      </w:r>
      <w:r>
        <w:rPr>
          <w:rFonts w:hint="cs"/>
          <w:rtl/>
        </w:rPr>
        <w:t xml:space="preserve">אני חושב שהמונח הוא </w:t>
      </w:r>
      <w:r>
        <w:t>critical edition</w:t>
      </w:r>
    </w:p>
  </w:comment>
  <w:comment w:id="24" w:author="Josh Amaru" w:date="2021-11-18T15:49:00Z" w:initials="JA">
    <w:p w14:paraId="5997EDB0" w14:textId="071749C8" w:rsidR="00536751" w:rsidRDefault="00536751">
      <w:pPr>
        <w:pStyle w:val="CommentText"/>
        <w:rPr>
          <w:rFonts w:hint="cs"/>
          <w:rtl/>
        </w:rPr>
      </w:pPr>
      <w:r>
        <w:rPr>
          <w:rStyle w:val="CommentReference"/>
        </w:rPr>
        <w:annotationRef/>
      </w:r>
      <w:r w:rsidR="00467D95">
        <w:t>Diplomatic critical edition</w:t>
      </w:r>
      <w:proofErr w:type="gramStart"/>
      <w:r w:rsidR="00467D95">
        <w:t xml:space="preserve">.  </w:t>
      </w:r>
      <w:proofErr w:type="gramEnd"/>
      <w:r w:rsidR="00467D95">
        <w:rPr>
          <w:rFonts w:hint="cs"/>
          <w:rtl/>
        </w:rPr>
        <w:t>תיקנתי בפנים</w:t>
      </w:r>
    </w:p>
  </w:comment>
  <w:comment w:id="25" w:author="קאפח יוחנן, הרב דר [2]" w:date="2021-11-17T07:47:00Z" w:initials="קיהד">
    <w:p w14:paraId="1B52E4EB" w14:textId="367A8EC2" w:rsidR="000F6473" w:rsidRDefault="000F6473">
      <w:pPr>
        <w:pStyle w:val="CommentText"/>
        <w:rPr>
          <w:rtl/>
        </w:rPr>
      </w:pPr>
      <w:r>
        <w:rPr>
          <w:rStyle w:val="CommentReference"/>
        </w:rPr>
        <w:annotationRef/>
      </w:r>
      <w:r>
        <w:rPr>
          <w:rFonts w:hint="cs"/>
          <w:rtl/>
        </w:rPr>
        <w:t>נשמטה מכאן הערת שוליים, הערה מס' 18</w:t>
      </w:r>
    </w:p>
  </w:comment>
  <w:comment w:id="26" w:author="קאפח יוחנן, הרב דר [2]" w:date="2021-11-17T07:52:00Z" w:initials="קיהד">
    <w:p w14:paraId="606E33FC" w14:textId="46B63CB2" w:rsidR="000F6473" w:rsidRDefault="000F6473">
      <w:pPr>
        <w:pStyle w:val="CommentText"/>
        <w:rPr>
          <w:rtl/>
        </w:rPr>
      </w:pPr>
      <w:r>
        <w:rPr>
          <w:rStyle w:val="CommentReference"/>
        </w:rPr>
        <w:annotationRef/>
      </w:r>
      <w:r>
        <w:rPr>
          <w:rFonts w:hint="cs"/>
          <w:rtl/>
        </w:rPr>
        <w:t>זה תרגום של: הערכה?</w:t>
      </w:r>
    </w:p>
  </w:comment>
  <w:comment w:id="27" w:author="Josh Amaru" w:date="2021-11-11T14:27:00Z" w:initials="JA">
    <w:p w14:paraId="718825E7" w14:textId="5ACB81CD" w:rsidR="004A2B71" w:rsidRPr="004A2B71" w:rsidRDefault="004A2B71" w:rsidP="004A2B71">
      <w:pPr>
        <w:pStyle w:val="CommentText"/>
        <w:bidi/>
        <w:rPr>
          <w:rtl/>
        </w:rPr>
      </w:pPr>
      <w:r>
        <w:rPr>
          <w:rStyle w:val="CommentReference"/>
        </w:rPr>
        <w:annotationRef/>
      </w:r>
      <w:r>
        <w:rPr>
          <w:rFonts w:hint="cs"/>
          <w:rtl/>
        </w:rPr>
        <w:t>מכאן משמע שהוא סבר שעזרא היה מאוחר יותר מהמגילה</w:t>
      </w:r>
    </w:p>
  </w:comment>
  <w:comment w:id="28" w:author="קאפח יוחנן, הרב דר [2]" w:date="2021-11-17T13:07:00Z" w:initials="קיהד">
    <w:p w14:paraId="6CB81861" w14:textId="13742DE8" w:rsidR="00E471FD" w:rsidRDefault="00E471FD">
      <w:pPr>
        <w:pStyle w:val="CommentText"/>
        <w:rPr>
          <w:rtl/>
        </w:rPr>
      </w:pPr>
      <w:r>
        <w:rPr>
          <w:rStyle w:val="CommentReference"/>
        </w:rPr>
        <w:annotationRef/>
      </w:r>
      <w:r>
        <w:rPr>
          <w:rFonts w:hint="cs"/>
          <w:rtl/>
        </w:rPr>
        <w:t>כמובן, אבל לא 'זמן רב' אחרי המגילה</w:t>
      </w:r>
    </w:p>
  </w:comment>
  <w:comment w:id="29" w:author="mailshelnava@gmail.com" w:date="2021-11-03T14:17:00Z" w:initials="m">
    <w:p w14:paraId="73553719" w14:textId="29BD9009" w:rsidR="00D54DC8" w:rsidRDefault="00D54DC8" w:rsidP="004A2B71">
      <w:pPr>
        <w:pStyle w:val="CommentText"/>
        <w:rPr>
          <w:rtl/>
        </w:rPr>
      </w:pPr>
      <w:r>
        <w:rPr>
          <w:rStyle w:val="CommentReference"/>
        </w:rPr>
        <w:annotationRef/>
      </w:r>
      <w:r>
        <w:rPr>
          <w:rFonts w:hint="cs"/>
          <w:rtl/>
        </w:rPr>
        <w:t>זה זהה למה שכתוב בתחילת העמוד הקודם, לא?</w:t>
      </w:r>
    </w:p>
  </w:comment>
  <w:comment w:id="30" w:author="קאפח יוחנן, הרב דר [2]" w:date="2021-11-17T13:10:00Z" w:initials="קיהד">
    <w:p w14:paraId="6B11E1B0" w14:textId="2FD9B2B1" w:rsidR="00E471FD" w:rsidRDefault="00E471FD" w:rsidP="00325246">
      <w:pPr>
        <w:pStyle w:val="CommentText"/>
        <w:bidi/>
        <w:rPr>
          <w:rtl/>
        </w:rPr>
      </w:pPr>
      <w:r>
        <w:rPr>
          <w:rStyle w:val="CommentReference"/>
        </w:rPr>
        <w:annotationRef/>
      </w:r>
      <w:r>
        <w:rPr>
          <w:rFonts w:hint="cs"/>
          <w:rtl/>
        </w:rPr>
        <w:t>נכון. אולי כדאי להוסיף 'כנזכר לעיל'.</w:t>
      </w:r>
    </w:p>
  </w:comment>
  <w:comment w:id="31" w:author="Josh Amaru" w:date="2021-11-11T14:42:00Z" w:initials="JA">
    <w:p w14:paraId="436C9558" w14:textId="3D7D67C7" w:rsidR="004A2B71" w:rsidRDefault="004A2B71" w:rsidP="004A2B71">
      <w:pPr>
        <w:pStyle w:val="CommentText"/>
        <w:bidi/>
        <w:rPr>
          <w:rtl/>
        </w:rPr>
      </w:pPr>
      <w:r>
        <w:rPr>
          <w:rStyle w:val="CommentReference"/>
        </w:rPr>
        <w:annotationRef/>
      </w:r>
      <w:r>
        <w:rPr>
          <w:rFonts w:hint="cs"/>
          <w:rtl/>
        </w:rPr>
        <w:t>למעלה ציינת שאבן עזרא חולק על רס"ג בעניין זה</w:t>
      </w:r>
    </w:p>
  </w:comment>
  <w:comment w:id="32" w:author="קאפח יוחנן, הרב דר [2]" w:date="2021-11-17T13:59:00Z" w:initials="קיהד">
    <w:p w14:paraId="00094C0F" w14:textId="2B7B6314" w:rsidR="00BA61C5" w:rsidRDefault="00BA61C5">
      <w:pPr>
        <w:pStyle w:val="CommentText"/>
        <w:rPr>
          <w:rtl/>
        </w:rPr>
      </w:pPr>
      <w:r>
        <w:rPr>
          <w:rStyle w:val="CommentReference"/>
        </w:rPr>
        <w:annotationRef/>
      </w:r>
      <w:r>
        <w:rPr>
          <w:rFonts w:hint="cs"/>
          <w:rtl/>
        </w:rPr>
        <w:t>הכוונה שהם נראים דבקים אבל אין ראוי לפסוק בהם</w:t>
      </w:r>
    </w:p>
  </w:comment>
  <w:comment w:id="33" w:author="mailshelnava@gmail.com" w:date="2021-11-02T09:59:00Z" w:initials="m">
    <w:p w14:paraId="26D0F68A" w14:textId="5429CFCF" w:rsidR="00A26304" w:rsidRDefault="00A26304" w:rsidP="004A2B71">
      <w:pPr>
        <w:pStyle w:val="CommentText"/>
        <w:rPr>
          <w:rtl/>
        </w:rPr>
      </w:pPr>
      <w:r>
        <w:rPr>
          <w:rStyle w:val="CommentReference"/>
        </w:rPr>
        <w:annotationRef/>
      </w:r>
      <w:proofErr w:type="spellStart"/>
      <w:r>
        <w:rPr>
          <w:rFonts w:hint="cs"/>
          <w:rtl/>
        </w:rPr>
        <w:t>שיז</w:t>
      </w:r>
      <w:proofErr w:type="spellEnd"/>
      <w:r>
        <w:rPr>
          <w:rFonts w:hint="cs"/>
          <w:rtl/>
        </w:rPr>
        <w:t xml:space="preserve"> בהערות זה שנה, או סעיף?</w:t>
      </w:r>
    </w:p>
  </w:comment>
  <w:comment w:id="34" w:author="קאפח יוחנן, הרב דר [2]" w:date="2021-11-17T14:35:00Z" w:initials="קיהד">
    <w:p w14:paraId="637765A7" w14:textId="77777777" w:rsidR="00E373E5" w:rsidRDefault="00E373E5">
      <w:pPr>
        <w:pStyle w:val="CommentText"/>
        <w:rPr>
          <w:rtl/>
        </w:rPr>
      </w:pPr>
      <w:r>
        <w:rPr>
          <w:rStyle w:val="CommentReference"/>
        </w:rPr>
        <w:annotationRef/>
      </w:r>
      <w:r>
        <w:rPr>
          <w:rFonts w:hint="cs"/>
          <w:rtl/>
        </w:rPr>
        <w:t xml:space="preserve">שנה. </w:t>
      </w:r>
    </w:p>
    <w:p w14:paraId="224C818E" w14:textId="0D5DD314" w:rsidR="00E373E5" w:rsidRDefault="00E373E5">
      <w:pPr>
        <w:pStyle w:val="CommentText"/>
      </w:pPr>
      <w:r>
        <w:rPr>
          <w:rFonts w:hint="cs"/>
          <w:rtl/>
        </w:rPr>
        <w:t xml:space="preserve">עמ' לו, סי' </w:t>
      </w:r>
      <w:proofErr w:type="spellStart"/>
      <w:r>
        <w:rPr>
          <w:rFonts w:hint="cs"/>
          <w:rtl/>
        </w:rPr>
        <w:t>רלז</w:t>
      </w:r>
      <w:proofErr w:type="spellEnd"/>
    </w:p>
  </w:comment>
  <w:comment w:id="35" w:author="mailshelnava@gmail.com" w:date="2021-11-02T10:28:00Z" w:initials="m">
    <w:p w14:paraId="6F22B8F6" w14:textId="55398CAD" w:rsidR="009305D2" w:rsidRPr="009305D2" w:rsidRDefault="009305D2" w:rsidP="004A2B71">
      <w:pPr>
        <w:pStyle w:val="CommentText"/>
        <w:bidi/>
        <w:rPr>
          <w:rtl/>
        </w:rPr>
      </w:pPr>
      <w:r>
        <w:rPr>
          <w:rStyle w:val="CommentReference"/>
        </w:rPr>
        <w:annotationRef/>
      </w:r>
      <w:r>
        <w:rPr>
          <w:rFonts w:hint="cs"/>
          <w:rtl/>
        </w:rPr>
        <w:t xml:space="preserve">בהערה כתבת "הנ"ל, שו"ת פעולת צדיק", והפנית להערה 24. אולם בהערה 24 כתבת ש"פעולת צדיק" נכתב ע"י ר. </w:t>
      </w:r>
      <w:proofErr w:type="spellStart"/>
      <w:r>
        <w:rPr>
          <w:rFonts w:hint="cs"/>
          <w:rtl/>
        </w:rPr>
        <w:t>צאלח</w:t>
      </w:r>
      <w:proofErr w:type="spellEnd"/>
      <w:r>
        <w:rPr>
          <w:rFonts w:hint="cs"/>
          <w:rtl/>
        </w:rPr>
        <w:t>... אז לא הבנתי</w:t>
      </w:r>
    </w:p>
  </w:comment>
  <w:comment w:id="36" w:author="קאפח יוחנן, הרב דר [2]" w:date="2021-11-17T14:48:00Z" w:initials="קיהד">
    <w:p w14:paraId="2CBF7DA9" w14:textId="6274D65C" w:rsidR="00B87D22" w:rsidRDefault="00B87D22">
      <w:pPr>
        <w:pStyle w:val="CommentText"/>
        <w:rPr>
          <w:rtl/>
        </w:rPr>
      </w:pPr>
      <w:r>
        <w:rPr>
          <w:rStyle w:val="CommentReference"/>
        </w:rPr>
        <w:annotationRef/>
      </w:r>
      <w:proofErr w:type="spellStart"/>
      <w:r>
        <w:rPr>
          <w:rFonts w:hint="cs"/>
          <w:rtl/>
        </w:rPr>
        <w:t>מהרי"ץ</w:t>
      </w:r>
      <w:proofErr w:type="spellEnd"/>
      <w:r>
        <w:rPr>
          <w:rFonts w:hint="cs"/>
          <w:rtl/>
        </w:rPr>
        <w:t xml:space="preserve">=מורינו הרב ר' </w:t>
      </w:r>
      <w:proofErr w:type="spellStart"/>
      <w:r>
        <w:rPr>
          <w:rFonts w:hint="cs"/>
          <w:rtl/>
        </w:rPr>
        <w:t>יחייא</w:t>
      </w:r>
      <w:proofErr w:type="spellEnd"/>
      <w:r>
        <w:rPr>
          <w:rFonts w:hint="cs"/>
          <w:rtl/>
        </w:rPr>
        <w:t xml:space="preserve"> </w:t>
      </w:r>
      <w:proofErr w:type="spellStart"/>
      <w:r>
        <w:rPr>
          <w:rFonts w:hint="cs"/>
          <w:rtl/>
        </w:rPr>
        <w:t>צאלח</w:t>
      </w:r>
      <w:proofErr w:type="spellEnd"/>
      <w:r>
        <w:rPr>
          <w:rFonts w:hint="cs"/>
          <w:rtl/>
        </w:rPr>
        <w:t>. חיבר את שו"ת פעולת צדיק, ואת הסידור '</w:t>
      </w:r>
      <w:proofErr w:type="spellStart"/>
      <w:r>
        <w:rPr>
          <w:rFonts w:hint="cs"/>
          <w:rtl/>
        </w:rPr>
        <w:t>תכאלאל</w:t>
      </w:r>
      <w:proofErr w:type="spellEnd"/>
      <w:r>
        <w:rPr>
          <w:rFonts w:hint="cs"/>
          <w:rtl/>
        </w:rPr>
        <w:t xml:space="preserve"> עץ חיים'.</w:t>
      </w:r>
    </w:p>
  </w:comment>
  <w:comment w:id="37" w:author="mailshelnava@gmail.com" w:date="2021-11-02T10:53:00Z" w:initials="m">
    <w:p w14:paraId="66232D92" w14:textId="165802C3" w:rsidR="00164A3A" w:rsidRDefault="00164A3A" w:rsidP="004A2B71">
      <w:pPr>
        <w:pStyle w:val="CommentText"/>
        <w:bidi/>
        <w:rPr>
          <w:rtl/>
        </w:rPr>
      </w:pPr>
      <w:r>
        <w:rPr>
          <w:rStyle w:val="CommentReference"/>
        </w:rPr>
        <w:annotationRef/>
      </w:r>
      <w:r>
        <w:rPr>
          <w:rFonts w:hint="cs"/>
          <w:rtl/>
        </w:rPr>
        <w:t>עד עתה כתבת "חכמים קדמונים" ולא השתמשת בתואר "רבותינו". אולי כדאי לבדוק, שזה לא יבלבל</w:t>
      </w:r>
    </w:p>
  </w:comment>
  <w:comment w:id="38" w:author="קאפח יוחנן, הרב דר [2]" w:date="2021-11-17T14:53:00Z" w:initials="קיהד">
    <w:p w14:paraId="5273C152" w14:textId="7DB3BA4C" w:rsidR="00014308" w:rsidRDefault="00014308">
      <w:pPr>
        <w:pStyle w:val="CommentText"/>
        <w:rPr>
          <w:rtl/>
        </w:rPr>
      </w:pPr>
      <w:r>
        <w:rPr>
          <w:rStyle w:val="CommentReference"/>
        </w:rPr>
        <w:annotationRef/>
      </w:r>
      <w:r>
        <w:rPr>
          <w:rFonts w:hint="cs"/>
          <w:rtl/>
        </w:rPr>
        <w:t>צודקת. אנא החליפי ל'חכמים הקדמונים'</w:t>
      </w:r>
    </w:p>
  </w:comment>
  <w:comment w:id="39" w:author="mailshelnava@gmail.com" w:date="2021-11-02T12:15:00Z" w:initials="m">
    <w:p w14:paraId="21E779E7" w14:textId="633210DB" w:rsidR="00DC474C" w:rsidRPr="00DC474C" w:rsidRDefault="00DC474C" w:rsidP="004A2B71">
      <w:pPr>
        <w:pStyle w:val="CommentText"/>
        <w:bidi/>
        <w:rPr>
          <w:rtl/>
        </w:rPr>
      </w:pPr>
      <w:r>
        <w:rPr>
          <w:rStyle w:val="CommentReference"/>
        </w:rPr>
        <w:annotationRef/>
      </w:r>
      <w:r>
        <w:rPr>
          <w:rFonts w:hint="cs"/>
          <w:rtl/>
        </w:rPr>
        <w:t>כאן "הקדושים", לעיל "עליהם השלום"</w:t>
      </w:r>
    </w:p>
  </w:comment>
  <w:comment w:id="40" w:author="קאפח יוחנן, הרב דר [2]" w:date="2021-11-17T15:16:00Z" w:initials="קיהד">
    <w:p w14:paraId="288852D2" w14:textId="33C1FB68" w:rsidR="005A40F3" w:rsidRDefault="005A40F3">
      <w:pPr>
        <w:pStyle w:val="CommentText"/>
        <w:rPr>
          <w:rtl/>
        </w:rPr>
      </w:pPr>
      <w:r>
        <w:rPr>
          <w:rStyle w:val="CommentReference"/>
        </w:rPr>
        <w:annotationRef/>
      </w:r>
      <w:r>
        <w:rPr>
          <w:rFonts w:hint="cs"/>
          <w:rtl/>
        </w:rPr>
        <w:t>נכון. כך הופיע בנוסח שאצלו, בשונה מאחרים.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A12829" w15:done="0"/>
  <w15:commentEx w15:paraId="30012CEA" w15:paraIdParent="75A12829" w15:done="0"/>
  <w15:commentEx w15:paraId="0CCA6539" w15:done="0"/>
  <w15:commentEx w15:paraId="1B053163" w15:paraIdParent="0CCA6539" w15:done="0"/>
  <w15:commentEx w15:paraId="5AEF5980" w15:done="0"/>
  <w15:commentEx w15:paraId="6953586B" w15:paraIdParent="5AEF5980" w15:done="0"/>
  <w15:commentEx w15:paraId="5585C7CA" w15:done="0"/>
  <w15:commentEx w15:paraId="4CC19C12" w15:paraIdParent="5585C7CA" w15:done="0"/>
  <w15:commentEx w15:paraId="02792EE9" w15:paraIdParent="5585C7CA" w15:done="0"/>
  <w15:commentEx w15:paraId="141064C3" w15:done="0"/>
  <w15:commentEx w15:paraId="6EA9EF76" w15:paraIdParent="141064C3" w15:done="0"/>
  <w15:commentEx w15:paraId="153FDD9E" w15:paraIdParent="141064C3" w15:done="0"/>
  <w15:commentEx w15:paraId="0E744C6C" w15:done="0"/>
  <w15:commentEx w15:paraId="5058A1A4" w15:done="0"/>
  <w15:commentEx w15:paraId="5F55ED0C" w15:paraIdParent="5058A1A4" w15:done="0"/>
  <w15:commentEx w15:paraId="74275CD3" w15:done="0"/>
  <w15:commentEx w15:paraId="349F5CBB" w15:paraIdParent="74275CD3" w15:done="0"/>
  <w15:commentEx w15:paraId="3688E4B7" w15:paraIdParent="74275CD3" w15:done="0"/>
  <w15:commentEx w15:paraId="700CEE31" w15:done="0"/>
  <w15:commentEx w15:paraId="14466CF5" w15:paraIdParent="700CEE31" w15:done="0"/>
  <w15:commentEx w15:paraId="413E520B" w15:done="0"/>
  <w15:commentEx w15:paraId="2004F7F7" w15:paraIdParent="413E520B" w15:done="0"/>
  <w15:commentEx w15:paraId="5997EDB0" w15:paraIdParent="413E520B" w15:done="0"/>
  <w15:commentEx w15:paraId="1B52E4EB" w15:done="0"/>
  <w15:commentEx w15:paraId="606E33FC" w15:done="0"/>
  <w15:commentEx w15:paraId="718825E7" w15:done="0"/>
  <w15:commentEx w15:paraId="6CB81861" w15:paraIdParent="718825E7" w15:done="0"/>
  <w15:commentEx w15:paraId="73553719" w15:done="0"/>
  <w15:commentEx w15:paraId="6B11E1B0" w15:paraIdParent="73553719" w15:done="0"/>
  <w15:commentEx w15:paraId="436C9558" w15:done="0"/>
  <w15:commentEx w15:paraId="00094C0F" w15:paraIdParent="436C9558" w15:done="0"/>
  <w15:commentEx w15:paraId="26D0F68A" w15:done="0"/>
  <w15:commentEx w15:paraId="224C818E" w15:paraIdParent="26D0F68A" w15:done="0"/>
  <w15:commentEx w15:paraId="6F22B8F6" w15:done="0"/>
  <w15:commentEx w15:paraId="2CBF7DA9" w15:paraIdParent="6F22B8F6" w15:done="0"/>
  <w15:commentEx w15:paraId="66232D92" w15:done="0"/>
  <w15:commentEx w15:paraId="5273C152" w15:paraIdParent="66232D92" w15:done="0"/>
  <w15:commentEx w15:paraId="21E779E7" w15:done="0"/>
  <w15:commentEx w15:paraId="288852D2" w15:paraIdParent="21E779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31C4" w16cex:dateUtc="2021-11-16T05:43:00Z"/>
  <w16cex:commentExtensible w16cex:durableId="2540D6AC" w16cex:dateUtc="2021-11-18T11:41:00Z"/>
  <w16cex:commentExtensible w16cex:durableId="253F31C6" w16cex:dateUtc="2021-11-01T06:56:00Z"/>
  <w16cex:commentExtensible w16cex:durableId="253F31C7" w16cex:dateUtc="2021-11-16T05:44:00Z"/>
  <w16cex:commentExtensible w16cex:durableId="252A369E" w16cex:dateUtc="2021-11-01T07:49:00Z"/>
  <w16cex:commentExtensible w16cex:durableId="253F31C9" w16cex:dateUtc="2021-11-16T06:11:00Z"/>
  <w16cex:commentExtensible w16cex:durableId="252D1230" w16cex:dateUtc="2021-11-03T11:50:00Z"/>
  <w16cex:commentExtensible w16cex:durableId="253F31CB" w16cex:dateUtc="2021-11-16T06:58:00Z"/>
  <w16cex:commentExtensible w16cex:durableId="2540F4DD" w16cex:dateUtc="2021-11-18T13:50:00Z"/>
  <w16cex:commentExtensible w16cex:durableId="252A3E82" w16cex:dateUtc="2021-11-01T08:22:00Z"/>
  <w16cex:commentExtensible w16cex:durableId="253F31CD" w16cex:dateUtc="2021-11-16T07:03:00Z"/>
  <w16cex:commentExtensible w16cex:durableId="2540F4CB" w16cex:dateUtc="2021-11-18T13:50:00Z"/>
  <w16cex:commentExtensible w16cex:durableId="253F31CE" w16cex:dateUtc="2021-11-16T07:04:00Z"/>
  <w16cex:commentExtensible w16cex:durableId="252A60FD" w16cex:dateUtc="2021-11-01T10:50:00Z"/>
  <w16cex:commentExtensible w16cex:durableId="253F31D0" w16cex:dateUtc="2021-11-16T07:15:00Z"/>
  <w16cex:commentExtensible w16cex:durableId="252A6319" w16cex:dateUtc="2021-11-01T10:59:00Z"/>
  <w16cex:commentExtensible w16cex:durableId="253F31D2" w16cex:dateUtc="2021-11-16T07:41:00Z"/>
  <w16cex:commentExtensible w16cex:durableId="2540DFBD" w16cex:dateUtc="2021-11-18T12:20:00Z"/>
  <w16cex:commentExtensible w16cex:durableId="253F3309" w16cex:dateUtc="2021-11-17T05:51:00Z"/>
  <w16cex:commentExtensible w16cex:durableId="2540DFDC" w16cex:dateUtc="2021-11-18T12:21:00Z"/>
  <w16cex:commentExtensible w16cex:durableId="252A6E6D" w16cex:dateUtc="2021-11-01T11:47:00Z"/>
  <w16cex:commentExtensible w16cex:durableId="253F3204" w16cex:dateUtc="2021-11-17T05:47:00Z"/>
  <w16cex:commentExtensible w16cex:durableId="2540F49F" w16cex:dateUtc="2021-11-18T13:49:00Z"/>
  <w16cex:commentExtensible w16cex:durableId="253F322C" w16cex:dateUtc="2021-11-17T05:47:00Z"/>
  <w16cex:commentExtensible w16cex:durableId="253F332C" w16cex:dateUtc="2021-11-17T05:52:00Z"/>
  <w16cex:commentExtensible w16cex:durableId="2537A6EC" w16cex:dateUtc="2021-11-11T12:27:00Z"/>
  <w16cex:commentExtensible w16cex:durableId="253F7D0C" w16cex:dateUtc="2021-11-17T11:07:00Z"/>
  <w16cex:commentExtensible w16cex:durableId="252D185E" w16cex:dateUtc="2021-11-03T12:17:00Z"/>
  <w16cex:commentExtensible w16cex:durableId="253F7DB2" w16cex:dateUtc="2021-11-17T11:10:00Z"/>
  <w16cex:commentExtensible w16cex:durableId="2537AA4E" w16cex:dateUtc="2021-11-11T12:42:00Z"/>
  <w16cex:commentExtensible w16cex:durableId="253F8943" w16cex:dateUtc="2021-11-17T11:59:00Z"/>
  <w16cex:commentExtensible w16cex:durableId="252B8A91" w16cex:dateUtc="2021-11-02T07:59:00Z"/>
  <w16cex:commentExtensible w16cex:durableId="253F91C8" w16cex:dateUtc="2021-11-17T12:35:00Z"/>
  <w16cex:commentExtensible w16cex:durableId="252B9137" w16cex:dateUtc="2021-11-02T08:28:00Z"/>
  <w16cex:commentExtensible w16cex:durableId="253F94A4" w16cex:dateUtc="2021-11-17T12:48:00Z"/>
  <w16cex:commentExtensible w16cex:durableId="252B9729" w16cex:dateUtc="2021-11-02T08:53:00Z"/>
  <w16cex:commentExtensible w16cex:durableId="253F95E9" w16cex:dateUtc="2021-11-17T12:53:00Z"/>
  <w16cex:commentExtensible w16cex:durableId="252BAA79" w16cex:dateUtc="2021-11-02T10:15:00Z"/>
  <w16cex:commentExtensible w16cex:durableId="253F9B45" w16cex:dateUtc="2021-11-17T1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A12829" w16cid:durableId="253F31C4"/>
  <w16cid:commentId w16cid:paraId="30012CEA" w16cid:durableId="2540D6AC"/>
  <w16cid:commentId w16cid:paraId="0CCA6539" w16cid:durableId="253F31C6"/>
  <w16cid:commentId w16cid:paraId="1B053163" w16cid:durableId="253F31C7"/>
  <w16cid:commentId w16cid:paraId="5AEF5980" w16cid:durableId="252A369E"/>
  <w16cid:commentId w16cid:paraId="6953586B" w16cid:durableId="253F31C9"/>
  <w16cid:commentId w16cid:paraId="5585C7CA" w16cid:durableId="252D1230"/>
  <w16cid:commentId w16cid:paraId="4CC19C12" w16cid:durableId="253F31CB"/>
  <w16cid:commentId w16cid:paraId="02792EE9" w16cid:durableId="2540F4DD"/>
  <w16cid:commentId w16cid:paraId="141064C3" w16cid:durableId="252A3E82"/>
  <w16cid:commentId w16cid:paraId="6EA9EF76" w16cid:durableId="253F31CD"/>
  <w16cid:commentId w16cid:paraId="153FDD9E" w16cid:durableId="2540F4CB"/>
  <w16cid:commentId w16cid:paraId="0E744C6C" w16cid:durableId="253F31CE"/>
  <w16cid:commentId w16cid:paraId="5058A1A4" w16cid:durableId="252A60FD"/>
  <w16cid:commentId w16cid:paraId="5F55ED0C" w16cid:durableId="253F31D0"/>
  <w16cid:commentId w16cid:paraId="74275CD3" w16cid:durableId="252A6319"/>
  <w16cid:commentId w16cid:paraId="349F5CBB" w16cid:durableId="253F31D2"/>
  <w16cid:commentId w16cid:paraId="3688E4B7" w16cid:durableId="2540DFBD"/>
  <w16cid:commentId w16cid:paraId="700CEE31" w16cid:durableId="253F3309"/>
  <w16cid:commentId w16cid:paraId="14466CF5" w16cid:durableId="2540DFDC"/>
  <w16cid:commentId w16cid:paraId="413E520B" w16cid:durableId="252A6E6D"/>
  <w16cid:commentId w16cid:paraId="2004F7F7" w16cid:durableId="253F3204"/>
  <w16cid:commentId w16cid:paraId="5997EDB0" w16cid:durableId="2540F49F"/>
  <w16cid:commentId w16cid:paraId="1B52E4EB" w16cid:durableId="253F322C"/>
  <w16cid:commentId w16cid:paraId="606E33FC" w16cid:durableId="253F332C"/>
  <w16cid:commentId w16cid:paraId="718825E7" w16cid:durableId="2537A6EC"/>
  <w16cid:commentId w16cid:paraId="6CB81861" w16cid:durableId="253F7D0C"/>
  <w16cid:commentId w16cid:paraId="73553719" w16cid:durableId="252D185E"/>
  <w16cid:commentId w16cid:paraId="6B11E1B0" w16cid:durableId="253F7DB2"/>
  <w16cid:commentId w16cid:paraId="436C9558" w16cid:durableId="2537AA4E"/>
  <w16cid:commentId w16cid:paraId="00094C0F" w16cid:durableId="253F8943"/>
  <w16cid:commentId w16cid:paraId="26D0F68A" w16cid:durableId="252B8A91"/>
  <w16cid:commentId w16cid:paraId="224C818E" w16cid:durableId="253F91C8"/>
  <w16cid:commentId w16cid:paraId="6F22B8F6" w16cid:durableId="252B9137"/>
  <w16cid:commentId w16cid:paraId="2CBF7DA9" w16cid:durableId="253F94A4"/>
  <w16cid:commentId w16cid:paraId="66232D92" w16cid:durableId="252B9729"/>
  <w16cid:commentId w16cid:paraId="5273C152" w16cid:durableId="253F95E9"/>
  <w16cid:commentId w16cid:paraId="21E779E7" w16cid:durableId="252BAA79"/>
  <w16cid:commentId w16cid:paraId="288852D2" w16cid:durableId="253F9B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D4349" w14:textId="77777777" w:rsidR="00141A49" w:rsidRDefault="00141A49" w:rsidP="004A2B71">
      <w:r>
        <w:separator/>
      </w:r>
    </w:p>
  </w:endnote>
  <w:endnote w:type="continuationSeparator" w:id="0">
    <w:p w14:paraId="10ACF6AE" w14:textId="77777777" w:rsidR="00141A49" w:rsidRDefault="00141A49" w:rsidP="004A2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775431"/>
      <w:docPartObj>
        <w:docPartGallery w:val="Page Numbers (Bottom of Page)"/>
        <w:docPartUnique/>
      </w:docPartObj>
    </w:sdtPr>
    <w:sdtEndPr>
      <w:rPr>
        <w:cs/>
      </w:rPr>
    </w:sdtEndPr>
    <w:sdtContent>
      <w:p w14:paraId="2F7A03B7" w14:textId="2DDE5A3D" w:rsidR="003E251D" w:rsidRDefault="003E251D">
        <w:pPr>
          <w:pStyle w:val="Footer"/>
          <w:jc w:val="center"/>
          <w:rPr>
            <w:cs/>
          </w:rPr>
        </w:pPr>
        <w:r>
          <w:fldChar w:fldCharType="begin"/>
        </w:r>
        <w:r>
          <w:rPr>
            <w:cs/>
          </w:rPr>
          <w:instrText>PAGE   \* MERGEFORMAT</w:instrText>
        </w:r>
        <w:r>
          <w:fldChar w:fldCharType="separate"/>
        </w:r>
        <w:r w:rsidR="006A48CC" w:rsidRPr="006A48CC">
          <w:rPr>
            <w:noProof/>
            <w:lang w:val="he-IL"/>
          </w:rPr>
          <w:t>13</w:t>
        </w:r>
        <w:r>
          <w:fldChar w:fldCharType="end"/>
        </w:r>
      </w:p>
    </w:sdtContent>
  </w:sdt>
  <w:p w14:paraId="188DB235" w14:textId="77777777" w:rsidR="003E251D" w:rsidRDefault="003E2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AC273" w14:textId="77777777" w:rsidR="00141A49" w:rsidRDefault="00141A49" w:rsidP="004A2B71">
      <w:r>
        <w:separator/>
      </w:r>
    </w:p>
  </w:footnote>
  <w:footnote w:type="continuationSeparator" w:id="0">
    <w:p w14:paraId="4470D361" w14:textId="77777777" w:rsidR="00141A49" w:rsidRDefault="00141A49" w:rsidP="004A2B71">
      <w:r>
        <w:continuationSeparator/>
      </w:r>
    </w:p>
  </w:footnote>
  <w:footnote w:id="1">
    <w:p w14:paraId="2FC5D2BA" w14:textId="30F281D8" w:rsidR="005B21DF" w:rsidRPr="006B033F" w:rsidRDefault="005B21DF" w:rsidP="004A2B71">
      <w:pPr>
        <w:pStyle w:val="FootnoteText"/>
      </w:pPr>
      <w:r w:rsidRPr="006B033F">
        <w:rPr>
          <w:rStyle w:val="FootnoteReference"/>
        </w:rPr>
        <w:footnoteRef/>
      </w:r>
      <w:r w:rsidRPr="006B033F">
        <w:t xml:space="preserve"> </w:t>
      </w:r>
      <w:r w:rsidR="00A271FB">
        <w:t xml:space="preserve"> </w:t>
      </w:r>
      <w:r w:rsidR="00A271FB" w:rsidRPr="00A271FB">
        <w:rPr>
          <w:highlight w:val="yellow"/>
        </w:rPr>
        <w:t>[</w:t>
      </w:r>
      <w:r w:rsidR="00A271FB" w:rsidRPr="00A271FB">
        <w:rPr>
          <w:rFonts w:hint="cs"/>
          <w:highlight w:val="yellow"/>
          <w:rtl/>
        </w:rPr>
        <w:t>מה זה?</w:t>
      </w:r>
      <w:r w:rsidR="00A271FB" w:rsidRPr="00A271FB">
        <w:rPr>
          <w:highlight w:val="yellow"/>
        </w:rPr>
        <w:t>]</w:t>
      </w:r>
      <w:r w:rsidR="00021E73" w:rsidRPr="00A271FB">
        <w:rPr>
          <w:highlight w:val="yellow"/>
        </w:rPr>
        <w:t xml:space="preserve">The </w:t>
      </w:r>
      <w:r w:rsidR="005F7FC0" w:rsidRPr="00A271FB">
        <w:rPr>
          <w:highlight w:val="yellow"/>
        </w:rPr>
        <w:t>pa</w:t>
      </w:r>
      <w:r w:rsidR="004A2B71" w:rsidRPr="00A271FB">
        <w:rPr>
          <w:highlight w:val="yellow"/>
        </w:rPr>
        <w:t>s</w:t>
      </w:r>
      <w:r w:rsidR="005F7FC0" w:rsidRPr="00A271FB">
        <w:rPr>
          <w:highlight w:val="yellow"/>
        </w:rPr>
        <w:t xml:space="preserve">sage is a translation by Academic Language Experts </w:t>
      </w:r>
      <w:r w:rsidR="007431CF" w:rsidRPr="00A271FB">
        <w:rPr>
          <w:highlight w:val="yellow"/>
        </w:rPr>
        <w:t>of</w:t>
      </w:r>
      <w:r w:rsidR="005F7FC0" w:rsidRPr="00A271FB">
        <w:rPr>
          <w:highlight w:val="yellow"/>
        </w:rPr>
        <w:t xml:space="preserve"> the text</w:t>
      </w:r>
      <w:r w:rsidR="005F7FC0">
        <w:t xml:space="preserve"> in </w:t>
      </w:r>
      <w:r w:rsidR="005F7FC0" w:rsidRPr="006B033F">
        <w:t xml:space="preserve">A. </w:t>
      </w:r>
      <w:proofErr w:type="spellStart"/>
      <w:r w:rsidR="005F7FC0" w:rsidRPr="006B033F">
        <w:t>Mishali</w:t>
      </w:r>
      <w:proofErr w:type="spellEnd"/>
      <w:r w:rsidR="005F7FC0" w:rsidRPr="006B033F">
        <w:t xml:space="preserve"> and M. </w:t>
      </w:r>
      <w:proofErr w:type="spellStart"/>
      <w:r w:rsidR="005F7FC0" w:rsidRPr="006B033F">
        <w:t>Zippor</w:t>
      </w:r>
      <w:proofErr w:type="spellEnd"/>
      <w:r w:rsidR="005F7FC0" w:rsidRPr="006B033F">
        <w:t xml:space="preserve">, </w:t>
      </w:r>
      <w:proofErr w:type="spellStart"/>
      <w:r w:rsidR="005F7FC0" w:rsidRPr="006B033F">
        <w:rPr>
          <w:i/>
          <w:iCs/>
        </w:rPr>
        <w:t>Shnei</w:t>
      </w:r>
      <w:proofErr w:type="spellEnd"/>
      <w:r w:rsidR="005F7FC0" w:rsidRPr="006B033F">
        <w:rPr>
          <w:i/>
          <w:iCs/>
        </w:rPr>
        <w:t xml:space="preserve"> </w:t>
      </w:r>
      <w:proofErr w:type="spellStart"/>
      <w:r w:rsidR="005F7FC0" w:rsidRPr="006B033F">
        <w:rPr>
          <w:i/>
          <w:iCs/>
        </w:rPr>
        <w:t>Perushei</w:t>
      </w:r>
      <w:proofErr w:type="spellEnd"/>
      <w:r w:rsidR="005F7FC0" w:rsidRPr="006B033F">
        <w:rPr>
          <w:i/>
          <w:iCs/>
        </w:rPr>
        <w:t xml:space="preserve"> R. Avraham Ibn Ezra ‘al </w:t>
      </w:r>
      <w:proofErr w:type="spellStart"/>
      <w:r w:rsidR="005F7FC0" w:rsidRPr="006B033F">
        <w:rPr>
          <w:i/>
          <w:iCs/>
        </w:rPr>
        <w:t>Megillat</w:t>
      </w:r>
      <w:proofErr w:type="spellEnd"/>
      <w:r w:rsidR="005F7FC0" w:rsidRPr="006B033F">
        <w:rPr>
          <w:i/>
          <w:iCs/>
        </w:rPr>
        <w:t xml:space="preserve"> Esther</w:t>
      </w:r>
      <w:r w:rsidR="005F7FC0" w:rsidRPr="006B033F">
        <w:t>, Ramat Gan (2019)</w:t>
      </w:r>
      <w:r w:rsidR="005F7FC0">
        <w:t xml:space="preserve">. </w:t>
      </w:r>
    </w:p>
  </w:footnote>
  <w:footnote w:id="2">
    <w:p w14:paraId="04244372" w14:textId="369D7E07" w:rsidR="005B21DF" w:rsidRPr="006B033F" w:rsidRDefault="005B21DF" w:rsidP="004A2B71">
      <w:pPr>
        <w:pStyle w:val="FootnoteText"/>
      </w:pPr>
      <w:r w:rsidRPr="006B033F">
        <w:rPr>
          <w:rStyle w:val="FootnoteReference"/>
        </w:rPr>
        <w:footnoteRef/>
      </w:r>
      <w:r w:rsidRPr="006B033F">
        <w:t xml:space="preserve"> A. </w:t>
      </w:r>
      <w:proofErr w:type="spellStart"/>
      <w:r w:rsidRPr="006B033F">
        <w:t>Mishali</w:t>
      </w:r>
      <w:proofErr w:type="spellEnd"/>
      <w:r w:rsidRPr="006B033F">
        <w:t xml:space="preserve"> and M. </w:t>
      </w:r>
      <w:proofErr w:type="spellStart"/>
      <w:r w:rsidRPr="006B033F">
        <w:t>Zippor</w:t>
      </w:r>
      <w:proofErr w:type="spellEnd"/>
      <w:r w:rsidRPr="006B033F">
        <w:t xml:space="preserve">, </w:t>
      </w:r>
      <w:proofErr w:type="spellStart"/>
      <w:r w:rsidRPr="006B033F">
        <w:rPr>
          <w:i/>
          <w:iCs/>
        </w:rPr>
        <w:t>Shnei</w:t>
      </w:r>
      <w:proofErr w:type="spellEnd"/>
      <w:r w:rsidRPr="006B033F">
        <w:rPr>
          <w:i/>
          <w:iCs/>
        </w:rPr>
        <w:t xml:space="preserve"> </w:t>
      </w:r>
      <w:proofErr w:type="spellStart"/>
      <w:r w:rsidRPr="006B033F">
        <w:rPr>
          <w:i/>
          <w:iCs/>
        </w:rPr>
        <w:t>Perushei</w:t>
      </w:r>
      <w:proofErr w:type="spellEnd"/>
      <w:r w:rsidRPr="006B033F">
        <w:rPr>
          <w:i/>
          <w:iCs/>
        </w:rPr>
        <w:t xml:space="preserve"> R. Avraha</w:t>
      </w:r>
      <w:r w:rsidR="00265998" w:rsidRPr="006B033F">
        <w:rPr>
          <w:i/>
          <w:iCs/>
        </w:rPr>
        <w:t>m</w:t>
      </w:r>
      <w:r w:rsidRPr="006B033F">
        <w:rPr>
          <w:i/>
          <w:iCs/>
        </w:rPr>
        <w:t xml:space="preserve"> Ibn Ezra</w:t>
      </w:r>
      <w:r w:rsidR="007431CF">
        <w:rPr>
          <w:i/>
          <w:iCs/>
        </w:rPr>
        <w:t>,</w:t>
      </w:r>
      <w:r w:rsidRPr="006B033F">
        <w:t xml:space="preserve"> p. 104. In his second commentary,</w:t>
      </w:r>
      <w:r w:rsidR="005A6DE7" w:rsidRPr="006B033F">
        <w:t xml:space="preserve"> </w:t>
      </w:r>
      <w:r w:rsidRPr="006B033F">
        <w:t xml:space="preserve">Ibn Ezra wrote: “According to the writing thereof – this </w:t>
      </w:r>
      <w:r w:rsidR="00FF0242" w:rsidRPr="006B033F">
        <w:t>implies reading the Megillah.” The Jerusalem Talmud (</w:t>
      </w:r>
      <w:r w:rsidR="00FF0242" w:rsidRPr="006B033F">
        <w:rPr>
          <w:i/>
          <w:iCs/>
        </w:rPr>
        <w:t>Megillah</w:t>
      </w:r>
      <w:r w:rsidR="00FF0242" w:rsidRPr="006B033F">
        <w:t xml:space="preserve">, beginning of </w:t>
      </w:r>
      <w:proofErr w:type="spellStart"/>
      <w:r w:rsidR="00FF0242" w:rsidRPr="006B033F">
        <w:t>ch.</w:t>
      </w:r>
      <w:proofErr w:type="spellEnd"/>
      <w:r w:rsidR="00FF0242" w:rsidRPr="006B033F">
        <w:t xml:space="preserve"> 2) learns from this verse several issues pertaining to the reading of the Megillah, such as: to not read it out of order, to not read it by heart, and to not read it in translation. The </w:t>
      </w:r>
      <w:r w:rsidR="00FF0242" w:rsidRPr="006B033F">
        <w:rPr>
          <w:i/>
          <w:iCs/>
        </w:rPr>
        <w:t>Targum</w:t>
      </w:r>
      <w:r w:rsidR="00FF0242" w:rsidRPr="006B033F">
        <w:t xml:space="preserve"> on the Megillah writes: “According to the writing thereof… to read this scroll… in their places of worship.”</w:t>
      </w:r>
    </w:p>
  </w:footnote>
  <w:footnote w:id="3">
    <w:p w14:paraId="7BBAFB4D" w14:textId="24315A18" w:rsidR="001E712E" w:rsidRPr="006B033F" w:rsidRDefault="001E712E" w:rsidP="004A2B71">
      <w:pPr>
        <w:pStyle w:val="FootnoteText"/>
      </w:pPr>
      <w:r w:rsidRPr="006B033F">
        <w:rPr>
          <w:rStyle w:val="FootnoteReference"/>
        </w:rPr>
        <w:footnoteRef/>
      </w:r>
      <w:r w:rsidRPr="006B033F">
        <w:t xml:space="preserve"> R. </w:t>
      </w:r>
      <w:r w:rsidR="00176A1F" w:rsidRPr="006B033F">
        <w:t>Yosef</w:t>
      </w:r>
      <w:r w:rsidRPr="006B033F">
        <w:t xml:space="preserve"> Caro, in: </w:t>
      </w:r>
      <w:proofErr w:type="spellStart"/>
      <w:r w:rsidRPr="006B033F">
        <w:rPr>
          <w:i/>
          <w:iCs/>
        </w:rPr>
        <w:t>Arba’a</w:t>
      </w:r>
      <w:proofErr w:type="spellEnd"/>
      <w:r w:rsidRPr="006B033F">
        <w:rPr>
          <w:i/>
          <w:iCs/>
        </w:rPr>
        <w:t xml:space="preserve"> </w:t>
      </w:r>
      <w:proofErr w:type="spellStart"/>
      <w:r w:rsidRPr="006B033F">
        <w:rPr>
          <w:i/>
          <w:iCs/>
        </w:rPr>
        <w:t>Turim</w:t>
      </w:r>
      <w:proofErr w:type="spellEnd"/>
      <w:r w:rsidRPr="006B033F">
        <w:rPr>
          <w:i/>
          <w:iCs/>
        </w:rPr>
        <w:t xml:space="preserve"> </w:t>
      </w:r>
      <w:proofErr w:type="spellStart"/>
      <w:r w:rsidRPr="006B033F">
        <w:rPr>
          <w:i/>
          <w:iCs/>
        </w:rPr>
        <w:t>haShalem</w:t>
      </w:r>
      <w:proofErr w:type="spellEnd"/>
      <w:r w:rsidRPr="006B033F">
        <w:t xml:space="preserve">, </w:t>
      </w:r>
      <w:proofErr w:type="spellStart"/>
      <w:r w:rsidRPr="006B033F">
        <w:t>Mosdot</w:t>
      </w:r>
      <w:proofErr w:type="spellEnd"/>
      <w:r w:rsidRPr="006B033F">
        <w:t xml:space="preserve"> </w:t>
      </w:r>
      <w:proofErr w:type="spellStart"/>
      <w:r w:rsidRPr="006B033F">
        <w:t>Shirat</w:t>
      </w:r>
      <w:proofErr w:type="spellEnd"/>
      <w:r w:rsidRPr="006B033F">
        <w:t xml:space="preserve"> Devora, Jerusalem</w:t>
      </w:r>
      <w:r w:rsidR="00870CAA" w:rsidRPr="006B033F">
        <w:t xml:space="preserve"> (</w:t>
      </w:r>
      <w:r w:rsidRPr="006B033F">
        <w:t>1999</w:t>
      </w:r>
      <w:r w:rsidR="00870CAA" w:rsidRPr="006B033F">
        <w:t>)</w:t>
      </w:r>
      <w:r w:rsidRPr="006B033F">
        <w:t xml:space="preserve">, </w:t>
      </w:r>
      <w:r w:rsidRPr="006B033F">
        <w:rPr>
          <w:i/>
          <w:iCs/>
        </w:rPr>
        <w:t xml:space="preserve">Beit Yosef, </w:t>
      </w:r>
      <w:proofErr w:type="spellStart"/>
      <w:r w:rsidRPr="006B033F">
        <w:rPr>
          <w:i/>
          <w:iCs/>
        </w:rPr>
        <w:t>Ora</w:t>
      </w:r>
      <w:r w:rsidR="005A6DE7" w:rsidRPr="006B033F">
        <w:rPr>
          <w:i/>
          <w:iCs/>
        </w:rPr>
        <w:t>ḥ</w:t>
      </w:r>
      <w:proofErr w:type="spellEnd"/>
      <w:r w:rsidRPr="006B033F">
        <w:rPr>
          <w:i/>
          <w:iCs/>
        </w:rPr>
        <w:t xml:space="preserve"> </w:t>
      </w:r>
      <w:proofErr w:type="spellStart"/>
      <w:r w:rsidR="005A6DE7" w:rsidRPr="006B033F">
        <w:rPr>
          <w:i/>
          <w:iCs/>
        </w:rPr>
        <w:t>Ḥ</w:t>
      </w:r>
      <w:r w:rsidRPr="006B033F">
        <w:rPr>
          <w:i/>
          <w:iCs/>
        </w:rPr>
        <w:t>ayyim</w:t>
      </w:r>
      <w:proofErr w:type="spellEnd"/>
      <w:r w:rsidRPr="006B033F">
        <w:t>, 5, 690, 15, p. 659.</w:t>
      </w:r>
    </w:p>
  </w:footnote>
  <w:footnote w:id="4">
    <w:p w14:paraId="2C831FD3" w14:textId="3CC0A8A1" w:rsidR="00565522" w:rsidRPr="006B033F" w:rsidRDefault="00565522" w:rsidP="004A2B71">
      <w:pPr>
        <w:pStyle w:val="FootnoteText"/>
      </w:pPr>
      <w:r w:rsidRPr="006B033F">
        <w:rPr>
          <w:rStyle w:val="FootnoteReference"/>
        </w:rPr>
        <w:footnoteRef/>
      </w:r>
      <w:r w:rsidRPr="006B033F">
        <w:t xml:space="preserve"> Of course, this also acknowledges the contribution of the halak</w:t>
      </w:r>
      <w:r w:rsidR="005A6DE7" w:rsidRPr="006B033F">
        <w:t>h</w:t>
      </w:r>
      <w:r w:rsidRPr="006B033F">
        <w:t xml:space="preserve">ic </w:t>
      </w:r>
      <w:r w:rsidR="004A2B71">
        <w:t>scholars</w:t>
      </w:r>
      <w:r w:rsidRPr="006B033F">
        <w:t xml:space="preserve"> to the study of the Bible and its exegetes. I will dedicate a separate article </w:t>
      </w:r>
      <w:r w:rsidR="005A6DE7" w:rsidRPr="006B033F">
        <w:t>to a discussion of</w:t>
      </w:r>
      <w:r w:rsidRPr="006B033F">
        <w:t xml:space="preserve"> this issue.</w:t>
      </w:r>
    </w:p>
  </w:footnote>
  <w:footnote w:id="5">
    <w:p w14:paraId="0A288550" w14:textId="4DA51C48" w:rsidR="00F83C70" w:rsidRPr="006B033F" w:rsidRDefault="00F83C70" w:rsidP="004A2B71">
      <w:pPr>
        <w:pStyle w:val="FootnoteText"/>
      </w:pPr>
      <w:r w:rsidRPr="006B033F">
        <w:rPr>
          <w:rStyle w:val="FootnoteReference"/>
        </w:rPr>
        <w:footnoteRef/>
      </w:r>
      <w:r w:rsidRPr="006B033F">
        <w:t xml:space="preserve"> BT </w:t>
      </w:r>
      <w:r w:rsidRPr="006B033F">
        <w:rPr>
          <w:i/>
          <w:iCs/>
        </w:rPr>
        <w:t>Megillah</w:t>
      </w:r>
      <w:r w:rsidRPr="006B033F">
        <w:t xml:space="preserve"> 22a.</w:t>
      </w:r>
    </w:p>
  </w:footnote>
  <w:footnote w:id="6">
    <w:p w14:paraId="2331FB6A" w14:textId="5AE94578" w:rsidR="00F83C70" w:rsidRPr="006B033F" w:rsidRDefault="00F83C70" w:rsidP="004A2B71">
      <w:pPr>
        <w:pStyle w:val="FootnoteText"/>
      </w:pPr>
      <w:r w:rsidRPr="006B033F">
        <w:rPr>
          <w:rStyle w:val="FootnoteReference"/>
        </w:rPr>
        <w:footnoteRef/>
      </w:r>
      <w:r w:rsidRPr="006B033F">
        <w:t xml:space="preserve"> This difficulty was also noted by: R. Haim </w:t>
      </w:r>
      <w:proofErr w:type="spellStart"/>
      <w:r w:rsidRPr="006B033F">
        <w:t>Benv</w:t>
      </w:r>
      <w:r w:rsidR="00176A1F" w:rsidRPr="006B033F">
        <w:t>en</w:t>
      </w:r>
      <w:r w:rsidRPr="006B033F">
        <w:t>isti</w:t>
      </w:r>
      <w:proofErr w:type="spellEnd"/>
      <w:r w:rsidRPr="006B033F">
        <w:t xml:space="preserve">, </w:t>
      </w:r>
      <w:proofErr w:type="spellStart"/>
      <w:r w:rsidRPr="006B033F">
        <w:rPr>
          <w:i/>
          <w:iCs/>
        </w:rPr>
        <w:t>Knesses</w:t>
      </w:r>
      <w:proofErr w:type="spellEnd"/>
      <w:r w:rsidRPr="006B033F">
        <w:rPr>
          <w:i/>
          <w:iCs/>
        </w:rPr>
        <w:t xml:space="preserve"> </w:t>
      </w:r>
      <w:proofErr w:type="spellStart"/>
      <w:r w:rsidRPr="006B033F">
        <w:rPr>
          <w:i/>
          <w:iCs/>
        </w:rPr>
        <w:t>HaGedolah</w:t>
      </w:r>
      <w:proofErr w:type="spellEnd"/>
      <w:r w:rsidRPr="006B033F">
        <w:t xml:space="preserve">, 3, </w:t>
      </w:r>
      <w:proofErr w:type="spellStart"/>
      <w:r w:rsidRPr="006B033F">
        <w:rPr>
          <w:i/>
          <w:iCs/>
        </w:rPr>
        <w:t>Makhon</w:t>
      </w:r>
      <w:proofErr w:type="spellEnd"/>
      <w:r w:rsidRPr="006B033F">
        <w:rPr>
          <w:i/>
          <w:iCs/>
        </w:rPr>
        <w:t xml:space="preserve"> </w:t>
      </w:r>
      <w:proofErr w:type="spellStart"/>
      <w:r w:rsidRPr="006B033F">
        <w:rPr>
          <w:i/>
          <w:iCs/>
        </w:rPr>
        <w:t>haKtav</w:t>
      </w:r>
      <w:proofErr w:type="spellEnd"/>
      <w:r w:rsidRPr="006B033F">
        <w:t xml:space="preserve">, Jerusalem </w:t>
      </w:r>
      <w:r w:rsidR="00870CAA" w:rsidRPr="006B033F">
        <w:t>(</w:t>
      </w:r>
      <w:r w:rsidRPr="006B033F">
        <w:t>1990</w:t>
      </w:r>
      <w:r w:rsidR="00870CAA" w:rsidRPr="006B033F">
        <w:t>)</w:t>
      </w:r>
      <w:r w:rsidRPr="006B033F">
        <w:t xml:space="preserve">, </w:t>
      </w:r>
      <w:proofErr w:type="spellStart"/>
      <w:r w:rsidRPr="006B033F">
        <w:rPr>
          <w:i/>
          <w:iCs/>
        </w:rPr>
        <w:t>Ora</w:t>
      </w:r>
      <w:r w:rsidR="00F31095" w:rsidRPr="006B033F">
        <w:rPr>
          <w:i/>
          <w:iCs/>
        </w:rPr>
        <w:t>ḥ</w:t>
      </w:r>
      <w:proofErr w:type="spellEnd"/>
      <w:r w:rsidRPr="006B033F">
        <w:rPr>
          <w:i/>
          <w:iCs/>
        </w:rPr>
        <w:t xml:space="preserve"> </w:t>
      </w:r>
      <w:proofErr w:type="spellStart"/>
      <w:r w:rsidR="00F31095" w:rsidRPr="006B033F">
        <w:rPr>
          <w:i/>
          <w:iCs/>
        </w:rPr>
        <w:t>Ḥ</w:t>
      </w:r>
      <w:r w:rsidRPr="006B033F">
        <w:rPr>
          <w:i/>
          <w:iCs/>
        </w:rPr>
        <w:t>ayyim</w:t>
      </w:r>
      <w:proofErr w:type="spellEnd"/>
      <w:r w:rsidRPr="006B033F">
        <w:t xml:space="preserve">, p. 522; </w:t>
      </w:r>
      <w:proofErr w:type="spellStart"/>
      <w:r w:rsidRPr="006B033F">
        <w:t>Mishali</w:t>
      </w:r>
      <w:proofErr w:type="spellEnd"/>
      <w:r w:rsidRPr="006B033F">
        <w:t xml:space="preserve"> and </w:t>
      </w:r>
      <w:proofErr w:type="spellStart"/>
      <w:r w:rsidRPr="006B033F">
        <w:t>Zippor</w:t>
      </w:r>
      <w:proofErr w:type="spellEnd"/>
      <w:r w:rsidR="00B72580" w:rsidRPr="006B033F">
        <w:t>,</w:t>
      </w:r>
      <w:r w:rsidRPr="006B033F">
        <w:t xml:space="preserve"> </w:t>
      </w:r>
      <w:proofErr w:type="spellStart"/>
      <w:r w:rsidR="00265998" w:rsidRPr="006B033F">
        <w:rPr>
          <w:i/>
          <w:iCs/>
        </w:rPr>
        <w:t>Shnei</w:t>
      </w:r>
      <w:proofErr w:type="spellEnd"/>
      <w:r w:rsidR="00265998" w:rsidRPr="006B033F">
        <w:rPr>
          <w:i/>
          <w:iCs/>
        </w:rPr>
        <w:t xml:space="preserve"> </w:t>
      </w:r>
      <w:proofErr w:type="spellStart"/>
      <w:r w:rsidR="00265998" w:rsidRPr="006B033F">
        <w:rPr>
          <w:i/>
          <w:iCs/>
        </w:rPr>
        <w:t>Perushei</w:t>
      </w:r>
      <w:proofErr w:type="spellEnd"/>
      <w:r w:rsidR="00265998" w:rsidRPr="006B033F">
        <w:rPr>
          <w:i/>
          <w:iCs/>
        </w:rPr>
        <w:t>,</w:t>
      </w:r>
      <w:r w:rsidR="00265998" w:rsidRPr="006B033F">
        <w:t xml:space="preserve"> p. 183</w:t>
      </w:r>
      <w:r w:rsidR="00B72580" w:rsidRPr="006B033F">
        <w:t>;</w:t>
      </w:r>
      <w:r w:rsidRPr="006B033F">
        <w:t xml:space="preserve"> and further mentions below.</w:t>
      </w:r>
    </w:p>
  </w:footnote>
  <w:footnote w:id="7">
    <w:p w14:paraId="034A7F73" w14:textId="4BC2F33B" w:rsidR="002126A2" w:rsidRPr="006B033F" w:rsidRDefault="002126A2" w:rsidP="004A2B71">
      <w:pPr>
        <w:pStyle w:val="FootnoteText"/>
      </w:pPr>
      <w:r w:rsidRPr="006B033F">
        <w:rPr>
          <w:rStyle w:val="FootnoteReference"/>
        </w:rPr>
        <w:footnoteRef/>
      </w:r>
      <w:r w:rsidRPr="006B033F">
        <w:t xml:space="preserve"> BT </w:t>
      </w:r>
      <w:r w:rsidRPr="006B033F">
        <w:rPr>
          <w:i/>
          <w:iCs/>
        </w:rPr>
        <w:t>Megillah</w:t>
      </w:r>
      <w:r w:rsidRPr="006B033F">
        <w:t xml:space="preserve"> 16b.</w:t>
      </w:r>
    </w:p>
  </w:footnote>
  <w:footnote w:id="8">
    <w:p w14:paraId="178E5480" w14:textId="288470FE" w:rsidR="00FB4096" w:rsidRPr="006B033F" w:rsidRDefault="00FB4096" w:rsidP="00A14940">
      <w:pPr>
        <w:pStyle w:val="FootnoteText"/>
      </w:pPr>
      <w:r w:rsidRPr="006B033F">
        <w:rPr>
          <w:rStyle w:val="FootnoteReference"/>
        </w:rPr>
        <w:footnoteRef/>
      </w:r>
      <w:r w:rsidRPr="006B033F">
        <w:t xml:space="preserve"> Abraham Ibn Ezra, </w:t>
      </w:r>
      <w:proofErr w:type="spellStart"/>
      <w:r w:rsidRPr="006B033F">
        <w:rPr>
          <w:i/>
          <w:iCs/>
        </w:rPr>
        <w:t>Sefer</w:t>
      </w:r>
      <w:proofErr w:type="spellEnd"/>
      <w:r w:rsidRPr="006B033F">
        <w:rPr>
          <w:i/>
          <w:iCs/>
        </w:rPr>
        <w:t xml:space="preserve"> </w:t>
      </w:r>
      <w:proofErr w:type="spellStart"/>
      <w:r w:rsidRPr="006B033F">
        <w:rPr>
          <w:i/>
          <w:iCs/>
        </w:rPr>
        <w:t>Moznayim</w:t>
      </w:r>
      <w:proofErr w:type="spellEnd"/>
      <w:r w:rsidRPr="006B033F">
        <w:t xml:space="preserve">, eds. Lorenzo Jiménez </w:t>
      </w:r>
      <w:proofErr w:type="spellStart"/>
      <w:r w:rsidRPr="006B033F">
        <w:t>Patón</w:t>
      </w:r>
      <w:proofErr w:type="spellEnd"/>
      <w:r w:rsidRPr="006B033F">
        <w:t xml:space="preserve"> and </w:t>
      </w:r>
      <w:proofErr w:type="spellStart"/>
      <w:r w:rsidRPr="006B033F">
        <w:t>Ángel</w:t>
      </w:r>
      <w:proofErr w:type="spellEnd"/>
      <w:r w:rsidRPr="006B033F">
        <w:t xml:space="preserve"> </w:t>
      </w:r>
      <w:proofErr w:type="spellStart"/>
      <w:r w:rsidRPr="006B033F">
        <w:t>Sáenz-Badillos</w:t>
      </w:r>
      <w:proofErr w:type="spellEnd"/>
      <w:r w:rsidRPr="006B033F">
        <w:t>, Cordoba</w:t>
      </w:r>
      <w:r w:rsidR="00870CAA" w:rsidRPr="006B033F">
        <w:t xml:space="preserve"> (</w:t>
      </w:r>
      <w:r w:rsidRPr="006B033F">
        <w:t>2002</w:t>
      </w:r>
      <w:r w:rsidR="00870CAA" w:rsidRPr="006B033F">
        <w:t>)</w:t>
      </w:r>
      <w:r w:rsidRPr="006B033F">
        <w:t>, p. 13</w:t>
      </w:r>
      <w:r w:rsidR="00DD6D58">
        <w:t xml:space="preserve"> </w:t>
      </w:r>
      <w:r w:rsidR="00DD6D58" w:rsidRPr="00DD6D58">
        <w:rPr>
          <w:highlight w:val="yellow"/>
          <w:rtl/>
        </w:rPr>
        <w:t xml:space="preserve">(מהד' </w:t>
      </w:r>
      <w:r w:rsidR="00DD6D58" w:rsidRPr="00DD6D58">
        <w:rPr>
          <w:rFonts w:hint="cs"/>
          <w:highlight w:val="yellow"/>
          <w:rtl/>
        </w:rPr>
        <w:t xml:space="preserve">שאול </w:t>
      </w:r>
      <w:r w:rsidR="00DD6D58" w:rsidRPr="00DD6D58">
        <w:rPr>
          <w:highlight w:val="yellow"/>
          <w:rtl/>
        </w:rPr>
        <w:t xml:space="preserve">גודמן, </w:t>
      </w:r>
      <w:r w:rsidR="00DD6D58" w:rsidRPr="00DD6D58">
        <w:rPr>
          <w:rFonts w:hint="cs"/>
          <w:highlight w:val="yellow"/>
          <w:rtl/>
        </w:rPr>
        <w:t xml:space="preserve">ירושלים תשע"ו, </w:t>
      </w:r>
      <w:r w:rsidR="00DD6D58" w:rsidRPr="00DD6D58">
        <w:rPr>
          <w:highlight w:val="yellow"/>
          <w:rtl/>
        </w:rPr>
        <w:t xml:space="preserve">עמ' </w:t>
      </w:r>
      <w:proofErr w:type="spellStart"/>
      <w:r w:rsidR="00DD6D58" w:rsidRPr="00DD6D58">
        <w:rPr>
          <w:highlight w:val="yellow"/>
          <w:rtl/>
        </w:rPr>
        <w:t>יח</w:t>
      </w:r>
      <w:proofErr w:type="spellEnd"/>
      <w:r w:rsidR="00DD6D58" w:rsidRPr="00DD6D58">
        <w:rPr>
          <w:highlight w:val="yellow"/>
          <w:rtl/>
        </w:rPr>
        <w:t>):</w:t>
      </w:r>
      <w:r w:rsidRPr="006B033F">
        <w:t xml:space="preserve">: “And before all these mentioned are possible, I warn you to follow the cantillations, and </w:t>
      </w:r>
      <w:r w:rsidR="00F31095" w:rsidRPr="006B033F">
        <w:t>to</w:t>
      </w:r>
      <w:r w:rsidRPr="006B033F">
        <w:t xml:space="preserve"> not heed any explanation that is not according to the cantillations. And to not pay attention to the </w:t>
      </w:r>
      <w:r w:rsidR="004A2B71">
        <w:t>ten</w:t>
      </w:r>
      <w:r w:rsidRPr="006B033F">
        <w:t xml:space="preserve"> verses </w:t>
      </w:r>
      <w:r w:rsidR="004A2B71">
        <w:t>mentioned by</w:t>
      </w:r>
      <w:r w:rsidRPr="006B033F">
        <w:t xml:space="preserve"> one of the Geonim (=R. Saadia Gaon) that are connected to the verses that follow them</w:t>
      </w:r>
      <w:r w:rsidR="004A2B71">
        <w:t>;</w:t>
      </w:r>
      <w:r w:rsidR="00206AF8" w:rsidRPr="006B033F">
        <w:t xml:space="preserve"> all are correct, demarcated </w:t>
      </w:r>
      <w:r w:rsidR="004A2B71">
        <w:t>appropriately</w:t>
      </w:r>
      <w:r w:rsidR="00206AF8" w:rsidRPr="006B033F">
        <w:t xml:space="preserve">. And in </w:t>
      </w:r>
      <w:proofErr w:type="spellStart"/>
      <w:r w:rsidR="00206AF8" w:rsidRPr="006B033F">
        <w:rPr>
          <w:i/>
          <w:iCs/>
        </w:rPr>
        <w:t>Sefer</w:t>
      </w:r>
      <w:proofErr w:type="spellEnd"/>
      <w:r w:rsidR="00206AF8" w:rsidRPr="006B033F">
        <w:rPr>
          <w:i/>
          <w:iCs/>
        </w:rPr>
        <w:t xml:space="preserve"> </w:t>
      </w:r>
      <w:proofErr w:type="spellStart"/>
      <w:r w:rsidR="00873767" w:rsidRPr="006B033F">
        <w:rPr>
          <w:i/>
          <w:iCs/>
        </w:rPr>
        <w:t>Ṣaḥ</w:t>
      </w:r>
      <w:r w:rsidR="00206AF8" w:rsidRPr="006B033F">
        <w:rPr>
          <w:i/>
          <w:iCs/>
        </w:rPr>
        <w:t>ot</w:t>
      </w:r>
      <w:proofErr w:type="spellEnd"/>
      <w:r w:rsidR="00206AF8" w:rsidRPr="006B033F">
        <w:t xml:space="preserve"> (Carlos del Valle Rodríguez, </w:t>
      </w:r>
      <w:proofErr w:type="spellStart"/>
      <w:r w:rsidR="00206AF8" w:rsidRPr="006B033F">
        <w:rPr>
          <w:i/>
          <w:iCs/>
        </w:rPr>
        <w:t>Sefer</w:t>
      </w:r>
      <w:proofErr w:type="spellEnd"/>
      <w:r w:rsidR="00206AF8" w:rsidRPr="006B033F">
        <w:rPr>
          <w:i/>
          <w:iCs/>
        </w:rPr>
        <w:t xml:space="preserve"> </w:t>
      </w:r>
      <w:proofErr w:type="spellStart"/>
      <w:r w:rsidR="00873767" w:rsidRPr="006B033F">
        <w:rPr>
          <w:i/>
          <w:iCs/>
        </w:rPr>
        <w:t>Ṣ</w:t>
      </w:r>
      <w:r w:rsidR="00206AF8" w:rsidRPr="006B033F">
        <w:rPr>
          <w:i/>
          <w:iCs/>
        </w:rPr>
        <w:t>a</w:t>
      </w:r>
      <w:r w:rsidR="00873767" w:rsidRPr="006B033F">
        <w:rPr>
          <w:i/>
          <w:iCs/>
        </w:rPr>
        <w:t>ḥ</w:t>
      </w:r>
      <w:r w:rsidR="00206AF8" w:rsidRPr="006B033F">
        <w:rPr>
          <w:i/>
          <w:iCs/>
        </w:rPr>
        <w:t>ot</w:t>
      </w:r>
      <w:proofErr w:type="spellEnd"/>
      <w:r w:rsidR="00206AF8" w:rsidRPr="006B033F">
        <w:rPr>
          <w:i/>
          <w:iCs/>
        </w:rPr>
        <w:t xml:space="preserve"> de Abraham Ibn Ezra – Edition </w:t>
      </w:r>
      <w:proofErr w:type="spellStart"/>
      <w:r w:rsidR="00206AF8" w:rsidRPr="006B033F">
        <w:rPr>
          <w:i/>
          <w:iCs/>
        </w:rPr>
        <w:t>critica</w:t>
      </w:r>
      <w:proofErr w:type="spellEnd"/>
      <w:r w:rsidR="00206AF8" w:rsidRPr="006B033F">
        <w:rPr>
          <w:i/>
          <w:iCs/>
        </w:rPr>
        <w:t xml:space="preserve"> y version </w:t>
      </w:r>
      <w:proofErr w:type="spellStart"/>
      <w:r w:rsidR="00873767" w:rsidRPr="006B033F">
        <w:rPr>
          <w:i/>
          <w:iCs/>
        </w:rPr>
        <w:t>C</w:t>
      </w:r>
      <w:r w:rsidR="00206AF8" w:rsidRPr="006B033F">
        <w:rPr>
          <w:i/>
          <w:iCs/>
        </w:rPr>
        <w:t>astellana</w:t>
      </w:r>
      <w:proofErr w:type="spellEnd"/>
      <w:r w:rsidR="00206AF8" w:rsidRPr="006B033F">
        <w:t xml:space="preserve">, Salamanca </w:t>
      </w:r>
      <w:r w:rsidR="00870CAA" w:rsidRPr="006B033F">
        <w:t>(</w:t>
      </w:r>
      <w:r w:rsidR="00206AF8" w:rsidRPr="006B033F">
        <w:t>1977</w:t>
      </w:r>
      <w:r w:rsidR="00870CAA" w:rsidRPr="006B033F">
        <w:t>)</w:t>
      </w:r>
      <w:r w:rsidR="00206AF8" w:rsidRPr="006B033F">
        <w:t xml:space="preserve">, </w:t>
      </w:r>
      <w:r w:rsidR="00870CAA" w:rsidRPr="006B033F">
        <w:t>p</w:t>
      </w:r>
      <w:r w:rsidR="00206AF8" w:rsidRPr="006B033F">
        <w:t xml:space="preserve">p. </w:t>
      </w:r>
      <w:proofErr w:type="spellStart"/>
      <w:r w:rsidR="00B663D9">
        <w:rPr>
          <w:rFonts w:hint="cs"/>
          <w:rtl/>
        </w:rPr>
        <w:t>עג</w:t>
      </w:r>
      <w:proofErr w:type="spellEnd"/>
      <w:r w:rsidR="00B663D9">
        <w:rPr>
          <w:rFonts w:hint="cs"/>
          <w:rtl/>
        </w:rPr>
        <w:t xml:space="preserve"> עמוד א </w:t>
      </w:r>
      <w:r w:rsidR="00B663D9">
        <w:rPr>
          <w:rtl/>
        </w:rPr>
        <w:t>–</w:t>
      </w:r>
      <w:r w:rsidR="00B663D9">
        <w:rPr>
          <w:rFonts w:hint="cs"/>
          <w:rtl/>
        </w:rPr>
        <w:t xml:space="preserve"> עד עמוד א</w:t>
      </w:r>
      <w:r w:rsidR="00206AF8" w:rsidRPr="006B033F">
        <w:t xml:space="preserve">; and in the del Valle Rodriguez edition, p. 192) he wrote: “There are many commentators who lead the </w:t>
      </w:r>
      <w:proofErr w:type="spellStart"/>
      <w:r w:rsidR="00206AF8" w:rsidRPr="006B033F">
        <w:t>demarcator</w:t>
      </w:r>
      <w:proofErr w:type="spellEnd"/>
      <w:r w:rsidR="00873767" w:rsidRPr="006B033F">
        <w:t xml:space="preserve"> astray</w:t>
      </w:r>
      <w:r w:rsidR="00206AF8" w:rsidRPr="006B033F">
        <w:t>, and they spoke incorrectly… all this occurred because the</w:t>
      </w:r>
      <w:r w:rsidR="00873767" w:rsidRPr="006B033F">
        <w:t>y</w:t>
      </w:r>
      <w:r w:rsidR="00206AF8" w:rsidRPr="006B033F">
        <w:t xml:space="preserve"> found a single opinion stating that there are ten verses in the Bible which should be appended to the adjacent ones. And I wonder greatly, how the </w:t>
      </w:r>
      <w:proofErr w:type="spellStart"/>
      <w:r w:rsidR="00206AF8" w:rsidRPr="006B033F">
        <w:t>demarcator</w:t>
      </w:r>
      <w:proofErr w:type="spellEnd"/>
      <w:r w:rsidR="00206AF8" w:rsidRPr="006B033F">
        <w:t xml:space="preserve"> erred, even though he be Ezra the Scribe. And the principle is – there was never one as wise as the one who demarcated…”</w:t>
      </w:r>
    </w:p>
  </w:footnote>
  <w:footnote w:id="9">
    <w:p w14:paraId="12BF32BA" w14:textId="5FB9915B" w:rsidR="00BC4954" w:rsidRPr="006B033F" w:rsidRDefault="00BC4954" w:rsidP="004A2B71">
      <w:pPr>
        <w:pStyle w:val="FootnoteText"/>
      </w:pPr>
      <w:r w:rsidRPr="006B033F">
        <w:rPr>
          <w:rStyle w:val="FootnoteReference"/>
        </w:rPr>
        <w:footnoteRef/>
      </w:r>
      <w:r w:rsidRPr="006B033F">
        <w:t xml:space="preserve"> See Uriel Simon, </w:t>
      </w:r>
      <w:proofErr w:type="spellStart"/>
      <w:r w:rsidRPr="006B033F">
        <w:t>Ozen</w:t>
      </w:r>
      <w:proofErr w:type="spellEnd"/>
      <w:r w:rsidRPr="006B033F">
        <w:t xml:space="preserve"> </w:t>
      </w:r>
      <w:proofErr w:type="spellStart"/>
      <w:r w:rsidRPr="006B033F">
        <w:t>Milim</w:t>
      </w:r>
      <w:proofErr w:type="spellEnd"/>
      <w:r w:rsidRPr="006B033F">
        <w:t xml:space="preserve"> </w:t>
      </w:r>
      <w:proofErr w:type="spellStart"/>
      <w:r w:rsidRPr="006B033F">
        <w:t>Tiv</w:t>
      </w:r>
      <w:r w:rsidR="00873767" w:rsidRPr="006B033F">
        <w:t>ḥ</w:t>
      </w:r>
      <w:r w:rsidRPr="006B033F">
        <w:t>an</w:t>
      </w:r>
      <w:proofErr w:type="spellEnd"/>
      <w:r w:rsidRPr="006B033F">
        <w:t xml:space="preserve"> – </w:t>
      </w:r>
      <w:proofErr w:type="spellStart"/>
      <w:r w:rsidRPr="006B033F">
        <w:t>Me</w:t>
      </w:r>
      <w:r w:rsidR="00873767" w:rsidRPr="006B033F">
        <w:t>ḥ</w:t>
      </w:r>
      <w:r w:rsidRPr="006B033F">
        <w:t>karim</w:t>
      </w:r>
      <w:proofErr w:type="spellEnd"/>
      <w:r w:rsidRPr="006B033F">
        <w:t xml:space="preserve"> </w:t>
      </w:r>
      <w:proofErr w:type="spellStart"/>
      <w:r w:rsidRPr="006B033F">
        <w:t>b’darko</w:t>
      </w:r>
      <w:proofErr w:type="spellEnd"/>
      <w:r w:rsidRPr="006B033F">
        <w:t xml:space="preserve"> </w:t>
      </w:r>
      <w:proofErr w:type="spellStart"/>
      <w:r w:rsidRPr="006B033F">
        <w:t>haparshanit</w:t>
      </w:r>
      <w:proofErr w:type="spellEnd"/>
      <w:r w:rsidRPr="006B033F">
        <w:t xml:space="preserve"> </w:t>
      </w:r>
      <w:proofErr w:type="spellStart"/>
      <w:r w:rsidRPr="006B033F">
        <w:t>shel</w:t>
      </w:r>
      <w:proofErr w:type="spellEnd"/>
      <w:r w:rsidRPr="006B033F">
        <w:t xml:space="preserve"> R. Ibn Ezra, Ramat Gan</w:t>
      </w:r>
      <w:r w:rsidR="00870CAA" w:rsidRPr="006B033F">
        <w:t xml:space="preserve"> (</w:t>
      </w:r>
      <w:r w:rsidRPr="006B033F">
        <w:t>2017</w:t>
      </w:r>
      <w:r w:rsidR="00870CAA" w:rsidRPr="006B033F">
        <w:t>)</w:t>
      </w:r>
      <w:r w:rsidRPr="006B033F">
        <w:t>, pp. 195-197.</w:t>
      </w:r>
    </w:p>
  </w:footnote>
  <w:footnote w:id="10">
    <w:p w14:paraId="178A4E91" w14:textId="6F96127C" w:rsidR="00BC4954" w:rsidRPr="006B033F" w:rsidRDefault="00BC4954" w:rsidP="004A2B71">
      <w:pPr>
        <w:pStyle w:val="FootnoteText"/>
      </w:pPr>
      <w:r w:rsidRPr="006B033F">
        <w:rPr>
          <w:rStyle w:val="FootnoteReference"/>
        </w:rPr>
        <w:footnoteRef/>
      </w:r>
      <w:r w:rsidR="004A2B71">
        <w:t xml:space="preserve"> W</w:t>
      </w:r>
      <w:r w:rsidRPr="006B033F">
        <w:t xml:space="preserve">e should note that despite </w:t>
      </w:r>
      <w:r w:rsidR="00873767" w:rsidRPr="006B033F">
        <w:t>these</w:t>
      </w:r>
      <w:r w:rsidRPr="006B033F">
        <w:t xml:space="preserve"> declarations, in several places the Ibn Ezra deviated from his rule and explained matters </w:t>
      </w:r>
      <w:r w:rsidR="00873767" w:rsidRPr="006B033F">
        <w:t>as against</w:t>
      </w:r>
      <w:r w:rsidRPr="006B033F">
        <w:t xml:space="preserve"> the cantillations. See Simcha </w:t>
      </w:r>
      <w:proofErr w:type="spellStart"/>
      <w:r w:rsidRPr="006B033F">
        <w:t>Kogut</w:t>
      </w:r>
      <w:proofErr w:type="spellEnd"/>
      <w:r w:rsidRPr="006B033F">
        <w:t xml:space="preserve">, </w:t>
      </w:r>
      <w:proofErr w:type="spellStart"/>
      <w:r w:rsidRPr="006B033F">
        <w:rPr>
          <w:i/>
          <w:iCs/>
        </w:rPr>
        <w:t>HaM</w:t>
      </w:r>
      <w:r w:rsidR="00873767" w:rsidRPr="006B033F">
        <w:rPr>
          <w:i/>
          <w:iCs/>
        </w:rPr>
        <w:t>i</w:t>
      </w:r>
      <w:r w:rsidRPr="006B033F">
        <w:rPr>
          <w:i/>
          <w:iCs/>
        </w:rPr>
        <w:t>kra</w:t>
      </w:r>
      <w:proofErr w:type="spellEnd"/>
      <w:r w:rsidRPr="006B033F">
        <w:rPr>
          <w:i/>
          <w:iCs/>
        </w:rPr>
        <w:t xml:space="preserve"> </w:t>
      </w:r>
      <w:proofErr w:type="spellStart"/>
      <w:r w:rsidRPr="006B033F">
        <w:rPr>
          <w:i/>
          <w:iCs/>
        </w:rPr>
        <w:t>bein</w:t>
      </w:r>
      <w:proofErr w:type="spellEnd"/>
      <w:r w:rsidRPr="006B033F">
        <w:rPr>
          <w:i/>
          <w:iCs/>
        </w:rPr>
        <w:t xml:space="preserve"> </w:t>
      </w:r>
      <w:proofErr w:type="spellStart"/>
      <w:r w:rsidRPr="006B033F">
        <w:rPr>
          <w:i/>
          <w:iCs/>
        </w:rPr>
        <w:t>Te’amim</w:t>
      </w:r>
      <w:proofErr w:type="spellEnd"/>
      <w:r w:rsidRPr="006B033F">
        <w:rPr>
          <w:i/>
          <w:iCs/>
        </w:rPr>
        <w:t xml:space="preserve"> </w:t>
      </w:r>
      <w:proofErr w:type="spellStart"/>
      <w:r w:rsidRPr="006B033F">
        <w:rPr>
          <w:i/>
          <w:iCs/>
        </w:rPr>
        <w:t>l’Parshanut</w:t>
      </w:r>
      <w:proofErr w:type="spellEnd"/>
      <w:r w:rsidRPr="006B033F">
        <w:rPr>
          <w:i/>
          <w:iCs/>
        </w:rPr>
        <w:t xml:space="preserve">: </w:t>
      </w:r>
      <w:proofErr w:type="spellStart"/>
      <w:r w:rsidRPr="006B033F">
        <w:rPr>
          <w:i/>
          <w:iCs/>
        </w:rPr>
        <w:t>B</w:t>
      </w:r>
      <w:r w:rsidR="00873767" w:rsidRPr="006B033F">
        <w:rPr>
          <w:i/>
          <w:iCs/>
        </w:rPr>
        <w:t>ḥ</w:t>
      </w:r>
      <w:r w:rsidRPr="006B033F">
        <w:rPr>
          <w:i/>
          <w:iCs/>
        </w:rPr>
        <w:t>inah</w:t>
      </w:r>
      <w:proofErr w:type="spellEnd"/>
      <w:r w:rsidRPr="006B033F">
        <w:rPr>
          <w:i/>
          <w:iCs/>
        </w:rPr>
        <w:t xml:space="preserve"> </w:t>
      </w:r>
      <w:proofErr w:type="spellStart"/>
      <w:r w:rsidRPr="006B033F">
        <w:rPr>
          <w:i/>
          <w:iCs/>
        </w:rPr>
        <w:t>leshonit</w:t>
      </w:r>
      <w:proofErr w:type="spellEnd"/>
      <w:r w:rsidRPr="006B033F">
        <w:rPr>
          <w:i/>
          <w:iCs/>
        </w:rPr>
        <w:t xml:space="preserve"> </w:t>
      </w:r>
      <w:proofErr w:type="spellStart"/>
      <w:r w:rsidRPr="006B033F">
        <w:rPr>
          <w:i/>
          <w:iCs/>
        </w:rPr>
        <w:t>v’inyanit</w:t>
      </w:r>
      <w:proofErr w:type="spellEnd"/>
      <w:r w:rsidRPr="006B033F">
        <w:rPr>
          <w:i/>
          <w:iCs/>
        </w:rPr>
        <w:t xml:space="preserve"> </w:t>
      </w:r>
      <w:proofErr w:type="spellStart"/>
      <w:r w:rsidRPr="006B033F">
        <w:rPr>
          <w:i/>
          <w:iCs/>
        </w:rPr>
        <w:t>shel</w:t>
      </w:r>
      <w:proofErr w:type="spellEnd"/>
      <w:r w:rsidRPr="006B033F">
        <w:rPr>
          <w:i/>
          <w:iCs/>
        </w:rPr>
        <w:t xml:space="preserve"> </w:t>
      </w:r>
      <w:proofErr w:type="spellStart"/>
      <w:r w:rsidRPr="006B033F">
        <w:rPr>
          <w:i/>
          <w:iCs/>
        </w:rPr>
        <w:t>zikot</w:t>
      </w:r>
      <w:proofErr w:type="spellEnd"/>
      <w:r w:rsidRPr="006B033F">
        <w:rPr>
          <w:i/>
          <w:iCs/>
        </w:rPr>
        <w:t xml:space="preserve"> </w:t>
      </w:r>
      <w:proofErr w:type="spellStart"/>
      <w:r w:rsidRPr="006B033F">
        <w:rPr>
          <w:i/>
          <w:iCs/>
        </w:rPr>
        <w:t>uma</w:t>
      </w:r>
      <w:r w:rsidR="00873767" w:rsidRPr="006B033F">
        <w:rPr>
          <w:i/>
          <w:iCs/>
        </w:rPr>
        <w:t>ḥ</w:t>
      </w:r>
      <w:r w:rsidRPr="006B033F">
        <w:rPr>
          <w:i/>
          <w:iCs/>
        </w:rPr>
        <w:t>lokot</w:t>
      </w:r>
      <w:proofErr w:type="spellEnd"/>
      <w:r w:rsidRPr="006B033F">
        <w:rPr>
          <w:i/>
          <w:iCs/>
        </w:rPr>
        <w:t xml:space="preserve"> </w:t>
      </w:r>
      <w:proofErr w:type="spellStart"/>
      <w:r w:rsidRPr="006B033F">
        <w:rPr>
          <w:i/>
          <w:iCs/>
        </w:rPr>
        <w:t>bein</w:t>
      </w:r>
      <w:proofErr w:type="spellEnd"/>
      <w:r w:rsidRPr="006B033F">
        <w:rPr>
          <w:i/>
          <w:iCs/>
        </w:rPr>
        <w:t xml:space="preserve"> </w:t>
      </w:r>
      <w:proofErr w:type="spellStart"/>
      <w:r w:rsidRPr="006B033F">
        <w:rPr>
          <w:i/>
          <w:iCs/>
        </w:rPr>
        <w:t>parshanut</w:t>
      </w:r>
      <w:proofErr w:type="spellEnd"/>
      <w:r w:rsidRPr="006B033F">
        <w:rPr>
          <w:i/>
          <w:iCs/>
        </w:rPr>
        <w:t xml:space="preserve"> </w:t>
      </w:r>
      <w:proofErr w:type="spellStart"/>
      <w:r w:rsidRPr="006B033F">
        <w:rPr>
          <w:i/>
          <w:iCs/>
        </w:rPr>
        <w:t>hate’amim</w:t>
      </w:r>
      <w:proofErr w:type="spellEnd"/>
      <w:r w:rsidRPr="006B033F">
        <w:rPr>
          <w:i/>
          <w:iCs/>
        </w:rPr>
        <w:t xml:space="preserve"> </w:t>
      </w:r>
      <w:proofErr w:type="spellStart"/>
      <w:r w:rsidRPr="006B033F">
        <w:rPr>
          <w:i/>
          <w:iCs/>
        </w:rPr>
        <w:t>l</w:t>
      </w:r>
      <w:r w:rsidR="00D94DDE" w:rsidRPr="006B033F">
        <w:rPr>
          <w:i/>
          <w:iCs/>
        </w:rPr>
        <w:t>a</w:t>
      </w:r>
      <w:r w:rsidRPr="006B033F">
        <w:rPr>
          <w:i/>
          <w:iCs/>
        </w:rPr>
        <w:t>parshanut</w:t>
      </w:r>
      <w:proofErr w:type="spellEnd"/>
      <w:r w:rsidRPr="006B033F">
        <w:rPr>
          <w:i/>
          <w:iCs/>
        </w:rPr>
        <w:t xml:space="preserve"> </w:t>
      </w:r>
      <w:proofErr w:type="spellStart"/>
      <w:r w:rsidRPr="006B033F">
        <w:rPr>
          <w:i/>
          <w:iCs/>
        </w:rPr>
        <w:t>hamesortit</w:t>
      </w:r>
      <w:proofErr w:type="spellEnd"/>
      <w:r w:rsidRPr="006B033F">
        <w:t xml:space="preserve">, Jerusalem </w:t>
      </w:r>
      <w:r w:rsidR="00870CAA" w:rsidRPr="006B033F">
        <w:t>(</w:t>
      </w:r>
      <w:r w:rsidRPr="006B033F">
        <w:t>1994</w:t>
      </w:r>
      <w:r w:rsidR="00870CAA" w:rsidRPr="006B033F">
        <w:t>)</w:t>
      </w:r>
      <w:r w:rsidRPr="006B033F">
        <w:t xml:space="preserve">, pp. 196-230; Simon, </w:t>
      </w:r>
      <w:proofErr w:type="spellStart"/>
      <w:r w:rsidRPr="006B033F">
        <w:rPr>
          <w:i/>
          <w:iCs/>
        </w:rPr>
        <w:t>Ozen</w:t>
      </w:r>
      <w:proofErr w:type="spellEnd"/>
      <w:r w:rsidRPr="006B033F">
        <w:rPr>
          <w:i/>
          <w:iCs/>
        </w:rPr>
        <w:t xml:space="preserve"> </w:t>
      </w:r>
      <w:proofErr w:type="spellStart"/>
      <w:r w:rsidRPr="006B033F">
        <w:rPr>
          <w:i/>
          <w:iCs/>
        </w:rPr>
        <w:t>Milim</w:t>
      </w:r>
      <w:proofErr w:type="spellEnd"/>
      <w:r w:rsidRPr="006B033F">
        <w:t>, p. 196.</w:t>
      </w:r>
    </w:p>
  </w:footnote>
  <w:footnote w:id="11">
    <w:p w14:paraId="2FA43AA1" w14:textId="11ADA8C0" w:rsidR="00D95CEE" w:rsidRPr="006B033F" w:rsidRDefault="00D95CEE" w:rsidP="004A2B71">
      <w:pPr>
        <w:pStyle w:val="FootnoteText"/>
      </w:pPr>
      <w:r w:rsidRPr="006B033F">
        <w:rPr>
          <w:rStyle w:val="FootnoteReference"/>
        </w:rPr>
        <w:footnoteRef/>
      </w:r>
      <w:r w:rsidRPr="006B033F">
        <w:t xml:space="preserve"> Simon</w:t>
      </w:r>
      <w:r w:rsidR="00B72580" w:rsidRPr="006B033F">
        <w:t>,</w:t>
      </w:r>
      <w:r w:rsidRPr="006B033F">
        <w:t xml:space="preserve"> </w:t>
      </w:r>
      <w:proofErr w:type="spellStart"/>
      <w:r w:rsidR="00265998" w:rsidRPr="006B033F">
        <w:rPr>
          <w:i/>
          <w:iCs/>
        </w:rPr>
        <w:t>Ozen</w:t>
      </w:r>
      <w:proofErr w:type="spellEnd"/>
      <w:r w:rsidR="00265998" w:rsidRPr="006B033F">
        <w:rPr>
          <w:i/>
          <w:iCs/>
        </w:rPr>
        <w:t xml:space="preserve"> </w:t>
      </w:r>
      <w:proofErr w:type="spellStart"/>
      <w:r w:rsidR="00265998" w:rsidRPr="006B033F">
        <w:rPr>
          <w:i/>
          <w:iCs/>
        </w:rPr>
        <w:t>Milim</w:t>
      </w:r>
      <w:proofErr w:type="spellEnd"/>
      <w:r w:rsidR="00265998" w:rsidRPr="006B033F">
        <w:t>, p. 197</w:t>
      </w:r>
      <w:r w:rsidRPr="006B033F">
        <w:t>. Of course, Simon was not the first to make this connection</w:t>
      </w:r>
      <w:r w:rsidR="00D94DDE" w:rsidRPr="006B033F">
        <w:t>;</w:t>
      </w:r>
      <w:r w:rsidRPr="006B033F">
        <w:t xml:space="preserve"> earlier scholars also viewed these passages as </w:t>
      </w:r>
      <w:r w:rsidR="00D94DDE" w:rsidRPr="006B033F">
        <w:t xml:space="preserve">the </w:t>
      </w:r>
      <w:r w:rsidRPr="006B033F">
        <w:t>Ibn Ezra’s source. For example, R. Eliyahu Ba</w:t>
      </w:r>
      <w:r w:rsidR="00D94DDE" w:rsidRPr="006B033F">
        <w:t>ḥ</w:t>
      </w:r>
      <w:r w:rsidRPr="006B033F">
        <w:t>ur, who wrote</w:t>
      </w:r>
      <w:r w:rsidR="001E1D68">
        <w:t xml:space="preserve"> (</w:t>
      </w:r>
      <w:proofErr w:type="spellStart"/>
      <w:r w:rsidR="001E1D68">
        <w:t>Yedidya</w:t>
      </w:r>
      <w:proofErr w:type="spellEnd"/>
      <w:r w:rsidR="001E1D68">
        <w:t xml:space="preserve"> </w:t>
      </w:r>
      <w:proofErr w:type="spellStart"/>
      <w:r w:rsidR="001E1D68">
        <w:t>Shlomo</w:t>
      </w:r>
      <w:proofErr w:type="spellEnd"/>
      <w:r w:rsidR="001E1D68">
        <w:t xml:space="preserve"> Rafael </w:t>
      </w:r>
      <w:proofErr w:type="spellStart"/>
      <w:r w:rsidR="001E1D68">
        <w:t>Nor</w:t>
      </w:r>
      <w:r w:rsidR="001E1D68">
        <w:rPr>
          <w:rFonts w:ascii="Calibri" w:hAnsi="Calibri" w:cs="Calibri"/>
        </w:rPr>
        <w:t>ẓ</w:t>
      </w:r>
      <w:r w:rsidR="001E1D68">
        <w:t>i</w:t>
      </w:r>
      <w:proofErr w:type="spellEnd"/>
      <w:r w:rsidR="001E1D68">
        <w:t xml:space="preserve">, </w:t>
      </w:r>
      <w:proofErr w:type="spellStart"/>
      <w:r w:rsidR="001E1D68">
        <w:rPr>
          <w:i/>
          <w:iCs/>
        </w:rPr>
        <w:t>Minḥat</w:t>
      </w:r>
      <w:proofErr w:type="spellEnd"/>
      <w:r w:rsidR="001E1D68">
        <w:rPr>
          <w:i/>
          <w:iCs/>
        </w:rPr>
        <w:t xml:space="preserve"> Shai ‘al </w:t>
      </w:r>
      <w:proofErr w:type="spellStart"/>
      <w:r w:rsidR="001E1D68">
        <w:rPr>
          <w:i/>
          <w:iCs/>
        </w:rPr>
        <w:t>Ḥamishah</w:t>
      </w:r>
      <w:proofErr w:type="spellEnd"/>
      <w:r w:rsidR="001E1D68">
        <w:rPr>
          <w:i/>
          <w:iCs/>
        </w:rPr>
        <w:t xml:space="preserve"> </w:t>
      </w:r>
      <w:proofErr w:type="spellStart"/>
      <w:r w:rsidR="001E1D68">
        <w:rPr>
          <w:i/>
          <w:iCs/>
        </w:rPr>
        <w:t>Ḥumshei</w:t>
      </w:r>
      <w:proofErr w:type="spellEnd"/>
      <w:r w:rsidR="001E1D68">
        <w:rPr>
          <w:i/>
          <w:iCs/>
        </w:rPr>
        <w:t xml:space="preserve"> Torah</w:t>
      </w:r>
      <w:r w:rsidR="001E1D68">
        <w:t xml:space="preserve">, compiled by </w:t>
      </w:r>
      <w:proofErr w:type="spellStart"/>
      <w:r w:rsidR="001E1D68">
        <w:t>Zvi</w:t>
      </w:r>
      <w:proofErr w:type="spellEnd"/>
      <w:r w:rsidR="001E1D68">
        <w:t xml:space="preserve"> </w:t>
      </w:r>
      <w:proofErr w:type="spellStart"/>
      <w:r w:rsidR="001E1D68">
        <w:t>Be</w:t>
      </w:r>
      <w:r w:rsidR="001E1D68">
        <w:rPr>
          <w:rFonts w:ascii="Calibri" w:hAnsi="Calibri" w:cs="Calibri"/>
        </w:rPr>
        <w:t>ẓ</w:t>
      </w:r>
      <w:r w:rsidR="001E1D68">
        <w:t>er</w:t>
      </w:r>
      <w:proofErr w:type="spellEnd"/>
      <w:r w:rsidR="001E1D68">
        <w:t xml:space="preserve">, ed. Yosef </w:t>
      </w:r>
      <w:proofErr w:type="spellStart"/>
      <w:r w:rsidR="001E1D68">
        <w:t>Ofer</w:t>
      </w:r>
      <w:proofErr w:type="spellEnd"/>
      <w:r w:rsidR="001E1D68">
        <w:t xml:space="preserve">, Jerusalem [2005], on </w:t>
      </w:r>
      <w:proofErr w:type="spellStart"/>
      <w:r w:rsidR="001E1D68">
        <w:t>Deut</w:t>
      </w:r>
      <w:proofErr w:type="spellEnd"/>
      <w:r w:rsidR="001E1D68">
        <w:t xml:space="preserve"> 31:16)</w:t>
      </w:r>
      <w:r w:rsidR="00D94DDE" w:rsidRPr="006B033F">
        <w:t xml:space="preserve">: </w:t>
      </w:r>
      <w:r w:rsidR="000330E9" w:rsidRPr="006B033F">
        <w:t xml:space="preserve">“We accept that any verse that Ezra did not demarcate we do not demarcate, as proved in the </w:t>
      </w:r>
      <w:r w:rsidR="00AA2369">
        <w:t>chapter</w:t>
      </w:r>
      <w:r w:rsidR="000330E9" w:rsidRPr="006B033F">
        <w:t xml:space="preserve"> of </w:t>
      </w:r>
      <w:proofErr w:type="spellStart"/>
      <w:r w:rsidR="00260AC6">
        <w:rPr>
          <w:i/>
          <w:iCs/>
        </w:rPr>
        <w:t>e</w:t>
      </w:r>
      <w:r w:rsidR="000330E9" w:rsidRPr="006B033F">
        <w:rPr>
          <w:i/>
          <w:iCs/>
        </w:rPr>
        <w:t>in</w:t>
      </w:r>
      <w:proofErr w:type="spellEnd"/>
      <w:r w:rsidR="000330E9" w:rsidRPr="006B033F">
        <w:rPr>
          <w:i/>
          <w:iCs/>
        </w:rPr>
        <w:t xml:space="preserve"> </w:t>
      </w:r>
      <w:proofErr w:type="spellStart"/>
      <w:r w:rsidR="000330E9" w:rsidRPr="006B033F">
        <w:rPr>
          <w:i/>
          <w:iCs/>
        </w:rPr>
        <w:t>bein</w:t>
      </w:r>
      <w:proofErr w:type="spellEnd"/>
      <w:r w:rsidR="000330E9" w:rsidRPr="006B033F">
        <w:rPr>
          <w:i/>
          <w:iCs/>
        </w:rPr>
        <w:t xml:space="preserve"> </w:t>
      </w:r>
      <w:proofErr w:type="spellStart"/>
      <w:r w:rsidR="000330E9" w:rsidRPr="006B033F">
        <w:rPr>
          <w:i/>
          <w:iCs/>
        </w:rPr>
        <w:t>hamudar</w:t>
      </w:r>
      <w:proofErr w:type="spellEnd"/>
      <w:r w:rsidR="000330E9" w:rsidRPr="006B033F">
        <w:t xml:space="preserve">.” It </w:t>
      </w:r>
      <w:r w:rsidR="00260AC6">
        <w:t>appears</w:t>
      </w:r>
      <w:r w:rsidR="000330E9" w:rsidRPr="006B033F">
        <w:t xml:space="preserve"> that he </w:t>
      </w:r>
      <w:r w:rsidR="00260AC6">
        <w:t>is referring</w:t>
      </w:r>
      <w:r w:rsidR="000330E9" w:rsidRPr="006B033F">
        <w:t xml:space="preserve"> to the issue discussed in </w:t>
      </w:r>
      <w:r w:rsidR="00C93EE3">
        <w:t>that</w:t>
      </w:r>
      <w:r w:rsidR="000330E9" w:rsidRPr="006B033F">
        <w:t xml:space="preserve"> </w:t>
      </w:r>
      <w:r w:rsidR="00260AC6">
        <w:t>chapter</w:t>
      </w:r>
      <w:r w:rsidR="000330E9" w:rsidRPr="006B033F">
        <w:t xml:space="preserve"> of </w:t>
      </w:r>
      <w:proofErr w:type="spellStart"/>
      <w:r w:rsidR="000330E9" w:rsidRPr="006B033F">
        <w:rPr>
          <w:i/>
          <w:iCs/>
        </w:rPr>
        <w:t>Nedarim</w:t>
      </w:r>
      <w:proofErr w:type="spellEnd"/>
      <w:r w:rsidR="000330E9" w:rsidRPr="006B033F">
        <w:t>. On the other hand, see ibid. n. 26: “</w:t>
      </w:r>
      <w:proofErr w:type="spellStart"/>
      <w:r w:rsidR="008D01AB">
        <w:t>Nor</w:t>
      </w:r>
      <w:r w:rsidR="008D01AB">
        <w:rPr>
          <w:rFonts w:ascii="Calibri" w:hAnsi="Calibri" w:cs="Calibri"/>
        </w:rPr>
        <w:t>ẓ</w:t>
      </w:r>
      <w:r w:rsidR="008D01AB">
        <w:t>i</w:t>
      </w:r>
      <w:proofErr w:type="spellEnd"/>
      <w:r w:rsidR="008D01AB" w:rsidRPr="006B033F">
        <w:t xml:space="preserve"> </w:t>
      </w:r>
      <w:r w:rsidR="008D01AB">
        <w:t>may</w:t>
      </w:r>
      <w:r w:rsidR="000330E9" w:rsidRPr="006B033F">
        <w:t xml:space="preserve"> have </w:t>
      </w:r>
      <w:r w:rsidR="0061337C">
        <w:t>been referring</w:t>
      </w:r>
      <w:r w:rsidR="000330E9" w:rsidRPr="006B033F">
        <w:t xml:space="preserve"> to the dictum ‘Any verse that Moshe [</w:t>
      </w:r>
      <w:proofErr w:type="spellStart"/>
      <w:r w:rsidR="000330E9" w:rsidRPr="006B033F">
        <w:t>Rabbeinu</w:t>
      </w:r>
      <w:proofErr w:type="spellEnd"/>
      <w:r w:rsidR="000330E9" w:rsidRPr="006B033F">
        <w:t>] did not demarcate, we do not demarcate’ (BT</w:t>
      </w:r>
      <w:r w:rsidR="000330E9" w:rsidRPr="006B033F">
        <w:rPr>
          <w:i/>
          <w:iCs/>
        </w:rPr>
        <w:t xml:space="preserve"> Megillah</w:t>
      </w:r>
      <w:r w:rsidR="000330E9" w:rsidRPr="006B033F">
        <w:t xml:space="preserve"> 22a and </w:t>
      </w:r>
      <w:r w:rsidR="000330E9" w:rsidRPr="006B033F">
        <w:rPr>
          <w:i/>
          <w:iCs/>
        </w:rPr>
        <w:t>Taanit</w:t>
      </w:r>
      <w:r w:rsidR="000330E9" w:rsidRPr="006B033F">
        <w:t xml:space="preserve"> 27b).”</w:t>
      </w:r>
    </w:p>
  </w:footnote>
  <w:footnote w:id="12">
    <w:p w14:paraId="697D54EA" w14:textId="6D467813" w:rsidR="000330E9" w:rsidRPr="006B033F" w:rsidRDefault="000330E9" w:rsidP="004A2B71">
      <w:pPr>
        <w:pStyle w:val="FootnoteText"/>
        <w:rPr>
          <w:rtl/>
        </w:rPr>
      </w:pPr>
      <w:r w:rsidRPr="006B033F">
        <w:rPr>
          <w:rStyle w:val="FootnoteReference"/>
        </w:rPr>
        <w:footnoteRef/>
      </w:r>
      <w:r w:rsidRPr="006B033F">
        <w:t xml:space="preserve"> This is as Rashi explained (ibid.): </w:t>
      </w:r>
      <w:r w:rsidR="00D94DDE" w:rsidRPr="006B033F">
        <w:t>“</w:t>
      </w:r>
      <w:proofErr w:type="spellStart"/>
      <w:r w:rsidR="00D94DDE" w:rsidRPr="006B033F">
        <w:rPr>
          <w:i/>
          <w:iCs/>
        </w:rPr>
        <w:t>Eilu</w:t>
      </w:r>
      <w:proofErr w:type="spellEnd"/>
      <w:r w:rsidR="00D94DDE" w:rsidRPr="006B033F">
        <w:rPr>
          <w:i/>
          <w:iCs/>
        </w:rPr>
        <w:t xml:space="preserve"> </w:t>
      </w:r>
      <w:proofErr w:type="spellStart"/>
      <w:r w:rsidR="00D94DDE" w:rsidRPr="006B033F">
        <w:rPr>
          <w:i/>
          <w:iCs/>
        </w:rPr>
        <w:t>hapsukim</w:t>
      </w:r>
      <w:proofErr w:type="spellEnd"/>
      <w:r w:rsidR="00D94DDE" w:rsidRPr="006B033F">
        <w:rPr>
          <w:i/>
          <w:iCs/>
        </w:rPr>
        <w:t xml:space="preserve"> –</w:t>
      </w:r>
      <w:r w:rsidR="00D94DDE" w:rsidRPr="006B033F">
        <w:t>‘</w:t>
      </w:r>
      <w:r w:rsidRPr="006B033F">
        <w:t>These verses</w:t>
      </w:r>
      <w:r w:rsidR="00D94DDE" w:rsidRPr="006B033F">
        <w:t>’</w:t>
      </w:r>
      <w:r w:rsidRPr="006B033F">
        <w:t xml:space="preserve"> – </w:t>
      </w:r>
      <w:r w:rsidR="00D94DDE" w:rsidRPr="006B033F">
        <w:t>the way</w:t>
      </w:r>
      <w:r w:rsidRPr="006B033F">
        <w:t xml:space="preserve"> they are demarcated,” and so also R. Nissim (</w:t>
      </w:r>
      <w:r w:rsidRPr="006B033F">
        <w:rPr>
          <w:i/>
          <w:iCs/>
        </w:rPr>
        <w:t>Nedarim</w:t>
      </w:r>
      <w:r w:rsidRPr="006B033F">
        <w:t>, ibid.): “</w:t>
      </w:r>
      <w:r w:rsidR="005E62EF" w:rsidRPr="006B033F">
        <w:t>And they gave the sense</w:t>
      </w:r>
      <w:r w:rsidR="00D94DDE" w:rsidRPr="006B033F">
        <w:t>: T</w:t>
      </w:r>
      <w:r w:rsidR="005E62EF" w:rsidRPr="006B033F">
        <w:t>h</w:t>
      </w:r>
      <w:r w:rsidR="00D94DDE" w:rsidRPr="006B033F">
        <w:t>is is the division</w:t>
      </w:r>
      <w:r w:rsidR="005E62EF" w:rsidRPr="006B033F">
        <w:t xml:space="preserve"> into verses. The markings which mark a stop between the verses</w:t>
      </w:r>
      <w:r w:rsidR="00D94DDE" w:rsidRPr="006B033F">
        <w:t>. A</w:t>
      </w:r>
      <w:r w:rsidR="005E62EF" w:rsidRPr="006B033F">
        <w:t xml:space="preserve">nd they are called ‘giving the sense’ because they allow the person to understand the Bible according to the cantillations.” It seems that the letter </w:t>
      </w:r>
      <w:proofErr w:type="spellStart"/>
      <w:r w:rsidR="005E62EF" w:rsidRPr="006B033F">
        <w:rPr>
          <w:i/>
          <w:iCs/>
        </w:rPr>
        <w:t>peh</w:t>
      </w:r>
      <w:proofErr w:type="spellEnd"/>
      <w:r w:rsidR="005E62EF" w:rsidRPr="006B033F">
        <w:t xml:space="preserve"> in the word </w:t>
      </w:r>
      <w:proofErr w:type="spellStart"/>
      <w:r w:rsidR="00870CAA" w:rsidRPr="006B033F">
        <w:rPr>
          <w:i/>
          <w:iCs/>
        </w:rPr>
        <w:t>pesukim</w:t>
      </w:r>
      <w:proofErr w:type="spellEnd"/>
      <w:r w:rsidR="005E62EF" w:rsidRPr="006B033F">
        <w:t xml:space="preserve"> should be marked with a </w:t>
      </w:r>
      <w:r w:rsidR="005E62EF" w:rsidRPr="006B033F">
        <w:rPr>
          <w:i/>
          <w:iCs/>
        </w:rPr>
        <w:t xml:space="preserve">hirik </w:t>
      </w:r>
      <w:r w:rsidR="005E62EF" w:rsidRPr="006B033F">
        <w:t xml:space="preserve">– </w:t>
      </w:r>
      <w:proofErr w:type="spellStart"/>
      <w:r w:rsidR="005E62EF" w:rsidRPr="006B033F">
        <w:rPr>
          <w:i/>
          <w:iCs/>
        </w:rPr>
        <w:t>eilu</w:t>
      </w:r>
      <w:proofErr w:type="spellEnd"/>
      <w:r w:rsidR="005E62EF" w:rsidRPr="006B033F">
        <w:rPr>
          <w:i/>
          <w:iCs/>
        </w:rPr>
        <w:t xml:space="preserve"> </w:t>
      </w:r>
      <w:proofErr w:type="spellStart"/>
      <w:r w:rsidR="005E62EF" w:rsidRPr="006B033F">
        <w:rPr>
          <w:i/>
          <w:iCs/>
        </w:rPr>
        <w:t>hapisukim</w:t>
      </w:r>
      <w:proofErr w:type="spellEnd"/>
      <w:r w:rsidR="005E62EF" w:rsidRPr="006B033F">
        <w:t>.</w:t>
      </w:r>
    </w:p>
  </w:footnote>
  <w:footnote w:id="13">
    <w:p w14:paraId="0A9E0E17" w14:textId="61379C8B" w:rsidR="00CF2EA3" w:rsidRPr="006B033F" w:rsidRDefault="00CF2EA3" w:rsidP="004A2B71">
      <w:pPr>
        <w:pStyle w:val="FootnoteText"/>
      </w:pPr>
      <w:r w:rsidRPr="006B033F">
        <w:rPr>
          <w:rStyle w:val="FootnoteReference"/>
        </w:rPr>
        <w:footnoteRef/>
      </w:r>
      <w:r w:rsidRPr="006B033F">
        <w:t xml:space="preserve"> </w:t>
      </w:r>
      <w:proofErr w:type="spellStart"/>
      <w:r w:rsidRPr="006B033F">
        <w:t>Mishali</w:t>
      </w:r>
      <w:proofErr w:type="spellEnd"/>
      <w:r w:rsidRPr="006B033F">
        <w:t xml:space="preserve"> and </w:t>
      </w:r>
      <w:proofErr w:type="spellStart"/>
      <w:r w:rsidRPr="006B033F">
        <w:t>Zippor</w:t>
      </w:r>
      <w:proofErr w:type="spellEnd"/>
      <w:r w:rsidR="00265998" w:rsidRPr="006B033F">
        <w:t xml:space="preserve"> (</w:t>
      </w:r>
      <w:proofErr w:type="spellStart"/>
      <w:r w:rsidR="00265998" w:rsidRPr="006B033F">
        <w:rPr>
          <w:i/>
          <w:iCs/>
        </w:rPr>
        <w:t>Shnei</w:t>
      </w:r>
      <w:proofErr w:type="spellEnd"/>
      <w:r w:rsidR="00265998" w:rsidRPr="006B033F">
        <w:rPr>
          <w:i/>
          <w:iCs/>
        </w:rPr>
        <w:t xml:space="preserve"> </w:t>
      </w:r>
      <w:proofErr w:type="spellStart"/>
      <w:r w:rsidR="00265998" w:rsidRPr="006B033F">
        <w:rPr>
          <w:i/>
          <w:iCs/>
        </w:rPr>
        <w:t>Perushei</w:t>
      </w:r>
      <w:proofErr w:type="spellEnd"/>
      <w:r w:rsidR="00265998" w:rsidRPr="006B033F">
        <w:t>, p. 184)</w:t>
      </w:r>
      <w:r w:rsidRPr="006B033F">
        <w:t xml:space="preserve"> noted this as well.</w:t>
      </w:r>
    </w:p>
  </w:footnote>
  <w:footnote w:id="14">
    <w:p w14:paraId="4B0D78FE" w14:textId="006BFB37" w:rsidR="00D46B3C" w:rsidRPr="006B033F" w:rsidRDefault="00D46B3C" w:rsidP="004A2B71">
      <w:pPr>
        <w:pStyle w:val="FootnoteText"/>
      </w:pPr>
      <w:r w:rsidRPr="006B033F">
        <w:rPr>
          <w:rStyle w:val="FootnoteReference"/>
        </w:rPr>
        <w:footnoteRef/>
      </w:r>
      <w:r w:rsidRPr="006B033F">
        <w:t xml:space="preserve"> See, for example, R. Yeshaya </w:t>
      </w:r>
      <w:proofErr w:type="spellStart"/>
      <w:r w:rsidRPr="006B033F">
        <w:t>Mitrani</w:t>
      </w:r>
      <w:proofErr w:type="spellEnd"/>
      <w:r w:rsidRPr="006B033F">
        <w:t xml:space="preserve"> (</w:t>
      </w:r>
      <w:proofErr w:type="spellStart"/>
      <w:r w:rsidRPr="006B033F">
        <w:t>Neh</w:t>
      </w:r>
      <w:proofErr w:type="spellEnd"/>
      <w:r w:rsidRPr="006B033F">
        <w:t xml:space="preserve"> 8:8): “And they read in the book, in the Law of God – this </w:t>
      </w:r>
      <w:r w:rsidR="00AA3F8B" w:rsidRPr="006B033F">
        <w:t>means that they read it</w:t>
      </w:r>
      <w:r w:rsidRPr="006B033F">
        <w:t xml:space="preserve"> in Hebrew… and they gave the sense - these are the verses… to teach you that all were given to Moshe at Sinai, and were forgotten in the exile, and were re-founded by Ezra and his faction. This is how our Sages interpreted it.” Many </w:t>
      </w:r>
      <w:r w:rsidRPr="00E667F1">
        <w:rPr>
          <w:highlight w:val="yellow"/>
        </w:rPr>
        <w:t>Sages</w:t>
      </w:r>
      <w:r w:rsidR="00E667F1" w:rsidRPr="00E667F1">
        <w:rPr>
          <w:rFonts w:hint="cs"/>
          <w:highlight w:val="yellow"/>
          <w:rtl/>
        </w:rPr>
        <w:t>(חכמים כאן הכוונה לתלמידי חכמים)</w:t>
      </w:r>
      <w:r w:rsidRPr="006B033F">
        <w:t xml:space="preserve"> took this line, see also the words of R. Moshe </w:t>
      </w:r>
      <w:proofErr w:type="spellStart"/>
      <w:r w:rsidR="00D94DDE" w:rsidRPr="006B033F">
        <w:t>Amarilio</w:t>
      </w:r>
      <w:proofErr w:type="spellEnd"/>
      <w:r w:rsidRPr="006B033F">
        <w:t xml:space="preserve">, R. Yosef </w:t>
      </w:r>
      <w:proofErr w:type="spellStart"/>
      <w:proofErr w:type="gramStart"/>
      <w:r w:rsidRPr="006B033F">
        <w:t>Iskapa</w:t>
      </w:r>
      <w:proofErr w:type="spellEnd"/>
      <w:proofErr w:type="gramEnd"/>
      <w:r w:rsidRPr="006B033F">
        <w:t xml:space="preserve"> and others, in the section “The logical reasoning of his words,” below.</w:t>
      </w:r>
    </w:p>
  </w:footnote>
  <w:footnote w:id="15">
    <w:p w14:paraId="3DB50DE5" w14:textId="58F1BE10" w:rsidR="00874A47" w:rsidRDefault="00874A47">
      <w:pPr>
        <w:pStyle w:val="FootnoteText"/>
      </w:pPr>
      <w:r>
        <w:rPr>
          <w:rStyle w:val="FootnoteReference"/>
        </w:rPr>
        <w:footnoteRef/>
      </w:r>
      <w:r>
        <w:t xml:space="preserve"> </w:t>
      </w:r>
      <w:r w:rsidR="00B05DE5">
        <w:t xml:space="preserve">Don </w:t>
      </w:r>
      <w:proofErr w:type="spellStart"/>
      <w:r w:rsidR="00B05DE5">
        <w:t>Yitzḥak</w:t>
      </w:r>
      <w:proofErr w:type="spellEnd"/>
      <w:r w:rsidR="00B05DE5">
        <w:t xml:space="preserve"> Abarbanel, </w:t>
      </w:r>
      <w:r w:rsidR="00B05DE5" w:rsidRPr="00411B69">
        <w:rPr>
          <w:i/>
          <w:iCs/>
        </w:rPr>
        <w:t>Commentary on the Book of Jeremiah</w:t>
      </w:r>
      <w:r w:rsidR="00B05DE5">
        <w:t xml:space="preserve">, </w:t>
      </w:r>
      <w:r w:rsidR="004238BF">
        <w:t xml:space="preserve">[Hebrew] </w:t>
      </w:r>
      <w:r w:rsidR="00B05DE5">
        <w:t>Ye</w:t>
      </w:r>
      <w:r w:rsidR="00411B69">
        <w:t xml:space="preserve">huda </w:t>
      </w:r>
      <w:proofErr w:type="spellStart"/>
      <w:r w:rsidR="00411B69">
        <w:t>Shaviv</w:t>
      </w:r>
      <w:proofErr w:type="spellEnd"/>
      <w:r w:rsidR="00411B69">
        <w:t>, ed.,</w:t>
      </w:r>
      <w:r w:rsidR="00296373">
        <w:t xml:space="preserve"> Jerusalem</w:t>
      </w:r>
      <w:r w:rsidR="006B03AE">
        <w:t xml:space="preserve"> (2014), “Introduction to the Commentary</w:t>
      </w:r>
      <w:r w:rsidR="004238BF">
        <w:t>,</w:t>
      </w:r>
      <w:r w:rsidR="006B03AE">
        <w:t>”</w:t>
      </w:r>
      <w:r w:rsidR="001A7D8A">
        <w:t xml:space="preserve"> </w:t>
      </w:r>
      <w:r w:rsidR="002E4117">
        <w:t>pp</w:t>
      </w:r>
      <w:r w:rsidR="002E4117" w:rsidRPr="002E4117">
        <w:rPr>
          <w:highlight w:val="yellow"/>
        </w:rPr>
        <w:t>. ??</w:t>
      </w:r>
    </w:p>
  </w:footnote>
  <w:footnote w:id="16">
    <w:p w14:paraId="79A63177" w14:textId="5CA4BA38" w:rsidR="00586E99" w:rsidRDefault="00586E99" w:rsidP="004238BF">
      <w:pPr>
        <w:pStyle w:val="FootnoteText"/>
      </w:pPr>
      <w:r>
        <w:rPr>
          <w:rStyle w:val="FootnoteReference"/>
        </w:rPr>
        <w:footnoteRef/>
      </w:r>
      <w:r w:rsidR="00691FBC">
        <w:t xml:space="preserve"> Don </w:t>
      </w:r>
      <w:proofErr w:type="spellStart"/>
      <w:r w:rsidR="00691FBC">
        <w:t>Yitzḥak</w:t>
      </w:r>
      <w:proofErr w:type="spellEnd"/>
      <w:r w:rsidR="00691FBC">
        <w:t xml:space="preserve"> Abarbanel</w:t>
      </w:r>
      <w:r w:rsidR="00691FBC">
        <w:t xml:space="preserve">, Introduction to </w:t>
      </w:r>
      <w:proofErr w:type="spellStart"/>
      <w:r w:rsidR="006C42D1" w:rsidRPr="006C42D1">
        <w:rPr>
          <w:i/>
          <w:iCs/>
        </w:rPr>
        <w:t>Naḥalat</w:t>
      </w:r>
      <w:proofErr w:type="spellEnd"/>
      <w:r w:rsidR="006C42D1" w:rsidRPr="006C42D1">
        <w:rPr>
          <w:i/>
          <w:iCs/>
        </w:rPr>
        <w:t xml:space="preserve"> Avot</w:t>
      </w:r>
      <w:r w:rsidR="00D4463D">
        <w:t xml:space="preserve"> Commentary on </w:t>
      </w:r>
      <w:r w:rsidR="00D4463D" w:rsidRPr="00D4463D">
        <w:rPr>
          <w:i/>
          <w:iCs/>
        </w:rPr>
        <w:t>Avot</w:t>
      </w:r>
      <w:r w:rsidR="00303508">
        <w:rPr>
          <w:i/>
          <w:iCs/>
        </w:rPr>
        <w:t xml:space="preserve">, </w:t>
      </w:r>
      <w:r w:rsidR="004238BF">
        <w:t xml:space="preserve">[Hebrew] </w:t>
      </w:r>
      <w:proofErr w:type="spellStart"/>
      <w:r w:rsidR="00303508">
        <w:t>Feldheim</w:t>
      </w:r>
      <w:proofErr w:type="spellEnd"/>
      <w:r w:rsidR="00303508">
        <w:t xml:space="preserve"> edition, Jerusalem-New York (</w:t>
      </w:r>
      <w:r w:rsidR="004238BF">
        <w:t>2006), p. 30</w:t>
      </w:r>
      <w:proofErr w:type="gramStart"/>
      <w:r w:rsidR="004238BF">
        <w:t xml:space="preserve">. </w:t>
      </w:r>
      <w:r>
        <w:t xml:space="preserve"> </w:t>
      </w:r>
      <w:proofErr w:type="gramEnd"/>
    </w:p>
  </w:footnote>
  <w:footnote w:id="17">
    <w:p w14:paraId="125ED922" w14:textId="15FA8296" w:rsidR="00811105" w:rsidRPr="006B033F" w:rsidRDefault="00811105" w:rsidP="004A2B71">
      <w:pPr>
        <w:pStyle w:val="FootnoteText"/>
      </w:pPr>
      <w:r w:rsidRPr="006B033F">
        <w:rPr>
          <w:rStyle w:val="FootnoteReference"/>
        </w:rPr>
        <w:footnoteRef/>
      </w:r>
      <w:r w:rsidRPr="006B033F">
        <w:t xml:space="preserve"> “This means that the </w:t>
      </w:r>
      <w:r w:rsidR="004A2B71">
        <w:t>text</w:t>
      </w:r>
      <w:r w:rsidRPr="006B033F">
        <w:t xml:space="preserve"> precisely reflects the version </w:t>
      </w:r>
      <w:r w:rsidR="004A2B71">
        <w:t xml:space="preserve">found in </w:t>
      </w:r>
      <w:r w:rsidRPr="006B033F">
        <w:t>the manuscript chosen as source, except for necessary emendations which were based on other manuscripts” (</w:t>
      </w:r>
      <w:proofErr w:type="spellStart"/>
      <w:r w:rsidRPr="006B033F">
        <w:t>Mishali</w:t>
      </w:r>
      <w:proofErr w:type="spellEnd"/>
      <w:r w:rsidRPr="006B033F">
        <w:t xml:space="preserve"> and </w:t>
      </w:r>
      <w:proofErr w:type="spellStart"/>
      <w:r w:rsidRPr="006B033F">
        <w:t>Zippor</w:t>
      </w:r>
      <w:proofErr w:type="spellEnd"/>
      <w:r w:rsidRPr="006B033F">
        <w:t>,</w:t>
      </w:r>
      <w:r w:rsidR="00AA3F8B" w:rsidRPr="006B033F">
        <w:t xml:space="preserve"> </w:t>
      </w:r>
      <w:proofErr w:type="spellStart"/>
      <w:r w:rsidR="00AA3F8B" w:rsidRPr="006B033F">
        <w:rPr>
          <w:i/>
          <w:iCs/>
        </w:rPr>
        <w:t>Shnei</w:t>
      </w:r>
      <w:proofErr w:type="spellEnd"/>
      <w:r w:rsidR="00AA3F8B" w:rsidRPr="006B033F">
        <w:rPr>
          <w:i/>
          <w:iCs/>
        </w:rPr>
        <w:t xml:space="preserve"> </w:t>
      </w:r>
      <w:proofErr w:type="spellStart"/>
      <w:r w:rsidR="00AA3F8B" w:rsidRPr="006B033F">
        <w:rPr>
          <w:i/>
          <w:iCs/>
        </w:rPr>
        <w:t>Perushei</w:t>
      </w:r>
      <w:proofErr w:type="spellEnd"/>
      <w:r w:rsidRPr="006B033F">
        <w:t>, p. 30).</w:t>
      </w:r>
    </w:p>
  </w:footnote>
  <w:footnote w:id="18">
    <w:p w14:paraId="4A6F63F5" w14:textId="69B78BA1" w:rsidR="00176A1F" w:rsidRPr="006B033F" w:rsidRDefault="00176A1F" w:rsidP="004A2B71">
      <w:pPr>
        <w:pStyle w:val="FootnoteText"/>
      </w:pPr>
      <w:r w:rsidRPr="006B033F">
        <w:rPr>
          <w:rStyle w:val="FootnoteReference"/>
        </w:rPr>
        <w:footnoteRef/>
      </w:r>
      <w:r w:rsidRPr="006B033F">
        <w:t xml:space="preserve"> See above, n</w:t>
      </w:r>
      <w:r w:rsidR="00265998" w:rsidRPr="006B033F">
        <w:t>.</w:t>
      </w:r>
      <w:r w:rsidRPr="006B033F">
        <w:t xml:space="preserve"> 6.</w:t>
      </w:r>
    </w:p>
  </w:footnote>
  <w:footnote w:id="19">
    <w:p w14:paraId="76C076DB" w14:textId="3F121C6A" w:rsidR="00176A1F" w:rsidRPr="006B033F" w:rsidRDefault="00176A1F" w:rsidP="004A2B71">
      <w:pPr>
        <w:pStyle w:val="FootnoteText"/>
      </w:pPr>
      <w:r w:rsidRPr="006B033F">
        <w:rPr>
          <w:rStyle w:val="FootnoteReference"/>
        </w:rPr>
        <w:footnoteRef/>
      </w:r>
      <w:r w:rsidRPr="006B033F">
        <w:t xml:space="preserve"> Simon,</w:t>
      </w:r>
      <w:r w:rsidR="00B72580" w:rsidRPr="006B033F">
        <w:t xml:space="preserve"> </w:t>
      </w:r>
      <w:proofErr w:type="spellStart"/>
      <w:r w:rsidR="00B72580" w:rsidRPr="006B033F">
        <w:rPr>
          <w:i/>
          <w:iCs/>
        </w:rPr>
        <w:t>Ozen</w:t>
      </w:r>
      <w:proofErr w:type="spellEnd"/>
      <w:r w:rsidR="00B72580" w:rsidRPr="006B033F">
        <w:rPr>
          <w:i/>
          <w:iCs/>
        </w:rPr>
        <w:t xml:space="preserve"> </w:t>
      </w:r>
      <w:proofErr w:type="spellStart"/>
      <w:r w:rsidR="00B72580" w:rsidRPr="006B033F">
        <w:rPr>
          <w:i/>
          <w:iCs/>
        </w:rPr>
        <w:t>Milim</w:t>
      </w:r>
      <w:proofErr w:type="spellEnd"/>
      <w:r w:rsidR="00B72580" w:rsidRPr="006B033F">
        <w:rPr>
          <w:i/>
          <w:iCs/>
        </w:rPr>
        <w:t>,</w:t>
      </w:r>
      <w:r w:rsidRPr="006B033F">
        <w:t>, p. 196.</w:t>
      </w:r>
    </w:p>
  </w:footnote>
  <w:footnote w:id="20">
    <w:p w14:paraId="60E687D1" w14:textId="58504E11" w:rsidR="003828EF" w:rsidRPr="006B033F" w:rsidRDefault="003828EF" w:rsidP="004A2B71">
      <w:pPr>
        <w:pStyle w:val="FootnoteText"/>
      </w:pPr>
      <w:r w:rsidRPr="006B033F">
        <w:rPr>
          <w:rStyle w:val="FootnoteReference"/>
        </w:rPr>
        <w:footnoteRef/>
      </w:r>
      <w:r w:rsidRPr="006B033F">
        <w:t xml:space="preserve"> </w:t>
      </w:r>
      <w:proofErr w:type="spellStart"/>
      <w:r w:rsidR="00B72580" w:rsidRPr="006B033F">
        <w:t>Benvenisti</w:t>
      </w:r>
      <w:proofErr w:type="spellEnd"/>
      <w:r w:rsidR="00B72580" w:rsidRPr="006B033F">
        <w:t xml:space="preserve">, </w:t>
      </w:r>
      <w:proofErr w:type="spellStart"/>
      <w:r w:rsidRPr="006B033F">
        <w:t>Knesses</w:t>
      </w:r>
      <w:proofErr w:type="spellEnd"/>
      <w:r w:rsidRPr="006B033F">
        <w:t xml:space="preserve"> </w:t>
      </w:r>
      <w:proofErr w:type="spellStart"/>
      <w:r w:rsidRPr="006B033F">
        <w:t>HaGedolah</w:t>
      </w:r>
      <w:proofErr w:type="spellEnd"/>
      <w:r w:rsidR="00B72580" w:rsidRPr="006B033F">
        <w:t>,</w:t>
      </w:r>
      <w:r w:rsidRPr="006B033F">
        <w:t xml:space="preserve"> </w:t>
      </w:r>
      <w:proofErr w:type="spellStart"/>
      <w:r w:rsidRPr="006B033F">
        <w:t>Ora</w:t>
      </w:r>
      <w:r w:rsidR="00614181" w:rsidRPr="006B033F">
        <w:t>ḥ</w:t>
      </w:r>
      <w:proofErr w:type="spellEnd"/>
      <w:r w:rsidRPr="006B033F">
        <w:t xml:space="preserve"> </w:t>
      </w:r>
      <w:proofErr w:type="spellStart"/>
      <w:r w:rsidR="00614181" w:rsidRPr="006B033F">
        <w:t>Ḥ</w:t>
      </w:r>
      <w:r w:rsidRPr="006B033F">
        <w:t>ayyim</w:t>
      </w:r>
      <w:proofErr w:type="spellEnd"/>
      <w:r w:rsidRPr="006B033F">
        <w:t>, p. 522.</w:t>
      </w:r>
    </w:p>
  </w:footnote>
  <w:footnote w:id="21">
    <w:p w14:paraId="38F4CC8C" w14:textId="6CFCFD2D" w:rsidR="003828EF" w:rsidRPr="006B033F" w:rsidRDefault="003828EF" w:rsidP="004A2B71">
      <w:pPr>
        <w:pStyle w:val="FootnoteText"/>
      </w:pPr>
      <w:r w:rsidRPr="006B033F">
        <w:rPr>
          <w:rStyle w:val="FootnoteReference"/>
        </w:rPr>
        <w:footnoteRef/>
      </w:r>
      <w:r w:rsidRPr="006B033F">
        <w:t xml:space="preserve"> See BT </w:t>
      </w:r>
      <w:r w:rsidRPr="006B033F">
        <w:rPr>
          <w:i/>
          <w:iCs/>
        </w:rPr>
        <w:t>Megillah</w:t>
      </w:r>
      <w:r w:rsidRPr="006B033F">
        <w:t xml:space="preserve"> 11b.</w:t>
      </w:r>
    </w:p>
  </w:footnote>
  <w:footnote w:id="22">
    <w:p w14:paraId="15311305" w14:textId="402EEE8C" w:rsidR="00BF1B14" w:rsidRPr="006B033F" w:rsidRDefault="00BF1B14" w:rsidP="004A2B71">
      <w:pPr>
        <w:pStyle w:val="FootnoteText"/>
      </w:pPr>
      <w:r w:rsidRPr="006B033F">
        <w:rPr>
          <w:rStyle w:val="FootnoteReference"/>
        </w:rPr>
        <w:footnoteRef/>
      </w:r>
      <w:r w:rsidRPr="006B033F">
        <w:t xml:space="preserve"> See R. </w:t>
      </w:r>
      <w:proofErr w:type="spellStart"/>
      <w:r w:rsidRPr="006B033F">
        <w:t>Shlomo</w:t>
      </w:r>
      <w:proofErr w:type="spellEnd"/>
      <w:r w:rsidRPr="006B033F">
        <w:t xml:space="preserve"> </w:t>
      </w:r>
      <w:proofErr w:type="spellStart"/>
      <w:r w:rsidRPr="006B033F">
        <w:t>Alkabetz</w:t>
      </w:r>
      <w:proofErr w:type="spellEnd"/>
      <w:r w:rsidRPr="006B033F">
        <w:t xml:space="preserve">, </w:t>
      </w:r>
      <w:proofErr w:type="spellStart"/>
      <w:r w:rsidRPr="006B033F">
        <w:rPr>
          <w:i/>
          <w:iCs/>
        </w:rPr>
        <w:t>Manot</w:t>
      </w:r>
      <w:proofErr w:type="spellEnd"/>
      <w:r w:rsidRPr="006B033F">
        <w:rPr>
          <w:i/>
          <w:iCs/>
        </w:rPr>
        <w:t xml:space="preserve"> </w:t>
      </w:r>
      <w:proofErr w:type="spellStart"/>
      <w:r w:rsidRPr="006B033F">
        <w:rPr>
          <w:i/>
          <w:iCs/>
        </w:rPr>
        <w:t>haLevi</w:t>
      </w:r>
      <w:proofErr w:type="spellEnd"/>
      <w:r w:rsidRPr="006B033F">
        <w:rPr>
          <w:i/>
          <w:iCs/>
        </w:rPr>
        <w:t xml:space="preserve"> ‘al </w:t>
      </w:r>
      <w:proofErr w:type="spellStart"/>
      <w:r w:rsidRPr="006B033F">
        <w:rPr>
          <w:i/>
          <w:iCs/>
        </w:rPr>
        <w:t>Megillat</w:t>
      </w:r>
      <w:proofErr w:type="spellEnd"/>
      <w:r w:rsidRPr="006B033F">
        <w:rPr>
          <w:i/>
          <w:iCs/>
        </w:rPr>
        <w:t xml:space="preserve"> Esther</w:t>
      </w:r>
      <w:r w:rsidRPr="006B033F">
        <w:t xml:space="preserve">, Haim </w:t>
      </w:r>
      <w:proofErr w:type="spellStart"/>
      <w:r w:rsidRPr="006B033F">
        <w:t>Yudah</w:t>
      </w:r>
      <w:proofErr w:type="spellEnd"/>
      <w:r w:rsidRPr="006B033F">
        <w:t xml:space="preserve"> Friedman edition, Beit Shemesh </w:t>
      </w:r>
      <w:r w:rsidR="00870CAA" w:rsidRPr="006B033F">
        <w:t>(</w:t>
      </w:r>
      <w:r w:rsidRPr="006B033F">
        <w:t>2014</w:t>
      </w:r>
      <w:r w:rsidR="00870CAA" w:rsidRPr="006B033F">
        <w:t>)</w:t>
      </w:r>
      <w:r w:rsidRPr="006B033F">
        <w:t>, clause 9, 27 pp. 339-340.</w:t>
      </w:r>
    </w:p>
  </w:footnote>
  <w:footnote w:id="23">
    <w:p w14:paraId="489AF5B9" w14:textId="46730DB8" w:rsidR="00BF1B14" w:rsidRPr="006B033F" w:rsidRDefault="00BF1B14" w:rsidP="004A2B71">
      <w:pPr>
        <w:pStyle w:val="FootnoteText"/>
      </w:pPr>
      <w:r w:rsidRPr="006B033F">
        <w:rPr>
          <w:rStyle w:val="FootnoteReference"/>
        </w:rPr>
        <w:footnoteRef/>
      </w:r>
      <w:r w:rsidRPr="006B033F">
        <w:t xml:space="preserve"> R. </w:t>
      </w:r>
      <w:proofErr w:type="spellStart"/>
      <w:r w:rsidRPr="006B033F">
        <w:t>Yi</w:t>
      </w:r>
      <w:r w:rsidR="00614181" w:rsidRPr="006B033F">
        <w:t>ḥ</w:t>
      </w:r>
      <w:r w:rsidRPr="006B033F">
        <w:t>yah</w:t>
      </w:r>
      <w:proofErr w:type="spellEnd"/>
      <w:r w:rsidRPr="006B033F">
        <w:t xml:space="preserve"> </w:t>
      </w:r>
      <w:proofErr w:type="spellStart"/>
      <w:r w:rsidR="00614181" w:rsidRPr="006B033F">
        <w:t>Ṣ</w:t>
      </w:r>
      <w:r w:rsidRPr="006B033F">
        <w:t>ala</w:t>
      </w:r>
      <w:r w:rsidR="00614181" w:rsidRPr="006B033F">
        <w:t>ḥ</w:t>
      </w:r>
      <w:proofErr w:type="spellEnd"/>
      <w:r w:rsidRPr="006B033F">
        <w:t xml:space="preserve">, </w:t>
      </w:r>
      <w:r w:rsidR="00E471FD" w:rsidRPr="00E471FD">
        <w:rPr>
          <w:rFonts w:hint="cs"/>
          <w:highlight w:val="yellow"/>
          <w:rtl/>
        </w:rPr>
        <w:t>לא צריך להוסיף 'שו"ת'?</w:t>
      </w:r>
      <w:proofErr w:type="spellStart"/>
      <w:r w:rsidRPr="006B033F">
        <w:rPr>
          <w:i/>
          <w:iCs/>
        </w:rPr>
        <w:t>Pe’ulat</w:t>
      </w:r>
      <w:proofErr w:type="spellEnd"/>
      <w:r w:rsidRPr="006B033F">
        <w:rPr>
          <w:i/>
          <w:iCs/>
        </w:rPr>
        <w:t xml:space="preserve"> Tzaddik</w:t>
      </w:r>
      <w:r w:rsidRPr="006B033F">
        <w:t xml:space="preserve">, 2, </w:t>
      </w:r>
      <w:proofErr w:type="spellStart"/>
      <w:r w:rsidRPr="006B033F">
        <w:t>Bnei</w:t>
      </w:r>
      <w:proofErr w:type="spellEnd"/>
      <w:r w:rsidRPr="006B033F">
        <w:t xml:space="preserve"> </w:t>
      </w:r>
      <w:proofErr w:type="spellStart"/>
      <w:r w:rsidRPr="006B033F">
        <w:t>Brak</w:t>
      </w:r>
      <w:proofErr w:type="spellEnd"/>
      <w:r w:rsidRPr="006B033F">
        <w:t xml:space="preserve"> </w:t>
      </w:r>
      <w:r w:rsidR="00870CAA" w:rsidRPr="006B033F">
        <w:t>(</w:t>
      </w:r>
      <w:r w:rsidRPr="006B033F">
        <w:t>2003</w:t>
      </w:r>
      <w:r w:rsidR="00870CAA" w:rsidRPr="006B033F">
        <w:t>)</w:t>
      </w:r>
      <w:r w:rsidRPr="006B033F">
        <w:t>, 150, p. 205.</w:t>
      </w:r>
    </w:p>
  </w:footnote>
  <w:footnote w:id="24">
    <w:p w14:paraId="34359145" w14:textId="5452F86A" w:rsidR="00BF1B14" w:rsidRPr="006B033F" w:rsidRDefault="00BF1B14" w:rsidP="004A2B71">
      <w:pPr>
        <w:pStyle w:val="FootnoteText"/>
      </w:pPr>
      <w:r w:rsidRPr="006B033F">
        <w:rPr>
          <w:rStyle w:val="FootnoteReference"/>
        </w:rPr>
        <w:footnoteRef/>
      </w:r>
      <w:r w:rsidRPr="006B033F">
        <w:t xml:space="preserve"> This is similar to </w:t>
      </w:r>
      <w:proofErr w:type="spellStart"/>
      <w:r w:rsidRPr="006B033F">
        <w:t>Mishali</w:t>
      </w:r>
      <w:proofErr w:type="spellEnd"/>
      <w:r w:rsidRPr="006B033F">
        <w:t xml:space="preserve"> and </w:t>
      </w:r>
      <w:proofErr w:type="spellStart"/>
      <w:r w:rsidRPr="006B033F">
        <w:t>Zippor</w:t>
      </w:r>
      <w:proofErr w:type="spellEnd"/>
      <w:r w:rsidRPr="006B033F">
        <w:t xml:space="preserve">, </w:t>
      </w:r>
      <w:proofErr w:type="spellStart"/>
      <w:r w:rsidR="00B72580" w:rsidRPr="006B033F">
        <w:rPr>
          <w:i/>
          <w:iCs/>
        </w:rPr>
        <w:t>Shnei</w:t>
      </w:r>
      <w:proofErr w:type="spellEnd"/>
      <w:r w:rsidR="00B72580" w:rsidRPr="006B033F">
        <w:rPr>
          <w:i/>
          <w:iCs/>
        </w:rPr>
        <w:t xml:space="preserve"> </w:t>
      </w:r>
      <w:proofErr w:type="spellStart"/>
      <w:r w:rsidR="00B72580" w:rsidRPr="006B033F">
        <w:rPr>
          <w:i/>
          <w:iCs/>
        </w:rPr>
        <w:t>Perushei</w:t>
      </w:r>
      <w:proofErr w:type="spellEnd"/>
      <w:r w:rsidRPr="006B033F">
        <w:t>, p. 183.</w:t>
      </w:r>
    </w:p>
  </w:footnote>
  <w:footnote w:id="25">
    <w:p w14:paraId="604B05E6" w14:textId="175353E5" w:rsidR="00BF1B14" w:rsidRPr="006B033F" w:rsidRDefault="00BF1B14" w:rsidP="004A2B71">
      <w:pPr>
        <w:pStyle w:val="FootnoteText"/>
        <w:rPr>
          <w:rtl/>
        </w:rPr>
      </w:pPr>
      <w:r w:rsidRPr="006B033F">
        <w:rPr>
          <w:rStyle w:val="FootnoteReference"/>
        </w:rPr>
        <w:footnoteRef/>
      </w:r>
      <w:r w:rsidRPr="006B033F">
        <w:t xml:space="preserve"> R. Yosef </w:t>
      </w:r>
      <w:proofErr w:type="spellStart"/>
      <w:r w:rsidRPr="006B033F">
        <w:t>Iskapa</w:t>
      </w:r>
      <w:proofErr w:type="spellEnd"/>
      <w:r w:rsidRPr="006B033F">
        <w:t xml:space="preserve">, </w:t>
      </w:r>
      <w:r w:rsidRPr="006B033F">
        <w:rPr>
          <w:i/>
          <w:iCs/>
        </w:rPr>
        <w:t>Rosh Yosef</w:t>
      </w:r>
      <w:r w:rsidRPr="006B033F">
        <w:t xml:space="preserve">, Izmir </w:t>
      </w:r>
      <w:r w:rsidR="00870CAA" w:rsidRPr="006B033F">
        <w:t>(</w:t>
      </w:r>
      <w:r w:rsidR="00233E38" w:rsidRPr="006B033F">
        <w:t>1658</w:t>
      </w:r>
      <w:r w:rsidR="00870CAA" w:rsidRPr="006B033F">
        <w:t>)</w:t>
      </w:r>
      <w:r w:rsidR="00233E38" w:rsidRPr="006B033F">
        <w:rPr>
          <w:i/>
          <w:iCs/>
        </w:rPr>
        <w:t xml:space="preserve">, </w:t>
      </w:r>
      <w:proofErr w:type="spellStart"/>
      <w:r w:rsidR="00233E38" w:rsidRPr="006B033F">
        <w:rPr>
          <w:i/>
          <w:iCs/>
        </w:rPr>
        <w:t>Hilkhot</w:t>
      </w:r>
      <w:proofErr w:type="spellEnd"/>
      <w:r w:rsidR="00233E38" w:rsidRPr="006B033F">
        <w:rPr>
          <w:i/>
          <w:iCs/>
        </w:rPr>
        <w:t xml:space="preserve"> Megillah</w:t>
      </w:r>
      <w:r w:rsidR="00233E38" w:rsidRPr="006B033F">
        <w:t>, p. 80.</w:t>
      </w:r>
    </w:p>
  </w:footnote>
  <w:footnote w:id="26">
    <w:p w14:paraId="602D9DF6" w14:textId="32EC6568" w:rsidR="009D486E" w:rsidRPr="006B033F" w:rsidRDefault="009D486E" w:rsidP="004A2B71">
      <w:pPr>
        <w:pStyle w:val="FootnoteText"/>
        <w:rPr>
          <w:rtl/>
        </w:rPr>
      </w:pPr>
      <w:r w:rsidRPr="006B033F">
        <w:rPr>
          <w:rStyle w:val="FootnoteReference"/>
        </w:rPr>
        <w:footnoteRef/>
      </w:r>
      <w:r w:rsidRPr="006B033F">
        <w:t xml:space="preserve"> This is </w:t>
      </w:r>
      <w:r w:rsidR="00AD3096" w:rsidRPr="006B033F">
        <w:t>found</w:t>
      </w:r>
      <w:r w:rsidRPr="006B033F">
        <w:t xml:space="preserve"> in BT </w:t>
      </w:r>
      <w:r w:rsidRPr="006B033F">
        <w:rPr>
          <w:i/>
          <w:iCs/>
        </w:rPr>
        <w:t>Megillah</w:t>
      </w:r>
      <w:r w:rsidRPr="006B033F">
        <w:t xml:space="preserve"> </w:t>
      </w:r>
      <w:proofErr w:type="spellStart"/>
      <w:r w:rsidRPr="006B033F">
        <w:t>16b</w:t>
      </w:r>
      <w:proofErr w:type="spellEnd"/>
      <w:r w:rsidRPr="006B033F">
        <w:t xml:space="preserve">: “‘And </w:t>
      </w:r>
      <w:proofErr w:type="spellStart"/>
      <w:r w:rsidRPr="006B033F">
        <w:t>Parshandatha</w:t>
      </w:r>
      <w:proofErr w:type="spellEnd"/>
      <w:r w:rsidRPr="006B033F">
        <w:t xml:space="preserve">…and </w:t>
      </w:r>
      <w:proofErr w:type="spellStart"/>
      <w:r w:rsidRPr="006B033F">
        <w:t>Vaizatha</w:t>
      </w:r>
      <w:proofErr w:type="spellEnd"/>
      <w:r w:rsidRPr="006B033F">
        <w:t>, the ten sons of Haman’ (Est 9:6–10). Rav Adda from Jaffa said: When reading the Megillah, the names of the ten sons of Haman and the word ‘ten’ must be said in one breath. What is the reason for this? It is that their souls all departed together.”</w:t>
      </w:r>
    </w:p>
  </w:footnote>
  <w:footnote w:id="27">
    <w:p w14:paraId="4C69A7B8" w14:textId="77D2C3C3" w:rsidR="00B54922" w:rsidRPr="006B033F" w:rsidRDefault="00B54922" w:rsidP="004A2B71">
      <w:pPr>
        <w:pStyle w:val="FootnoteText"/>
      </w:pPr>
      <w:r w:rsidRPr="006B033F">
        <w:rPr>
          <w:rStyle w:val="FootnoteReference"/>
        </w:rPr>
        <w:footnoteRef/>
      </w:r>
      <w:r w:rsidRPr="006B033F">
        <w:t xml:space="preserve"> At the end of their discussion, </w:t>
      </w:r>
      <w:proofErr w:type="spellStart"/>
      <w:r w:rsidRPr="006B033F">
        <w:t>Mishali</w:t>
      </w:r>
      <w:proofErr w:type="spellEnd"/>
      <w:r w:rsidRPr="006B033F">
        <w:t xml:space="preserve"> and </w:t>
      </w:r>
      <w:proofErr w:type="spellStart"/>
      <w:r w:rsidRPr="006B033F">
        <w:t>Zippor</w:t>
      </w:r>
      <w:proofErr w:type="spellEnd"/>
      <w:r w:rsidRPr="006B033F">
        <w:t xml:space="preserve"> referenced </w:t>
      </w:r>
      <w:proofErr w:type="spellStart"/>
      <w:r w:rsidRPr="006B033F">
        <w:rPr>
          <w:i/>
          <w:iCs/>
        </w:rPr>
        <w:t>Ma</w:t>
      </w:r>
      <w:r w:rsidR="00D54DC8" w:rsidRPr="006B033F">
        <w:rPr>
          <w:i/>
          <w:iCs/>
        </w:rPr>
        <w:t>ḥ</w:t>
      </w:r>
      <w:r w:rsidRPr="006B033F">
        <w:rPr>
          <w:i/>
          <w:iCs/>
        </w:rPr>
        <w:t>zor</w:t>
      </w:r>
      <w:proofErr w:type="spellEnd"/>
      <w:r w:rsidRPr="006B033F">
        <w:rPr>
          <w:i/>
          <w:iCs/>
        </w:rPr>
        <w:t xml:space="preserve"> </w:t>
      </w:r>
      <w:proofErr w:type="spellStart"/>
      <w:r w:rsidRPr="006B033F">
        <w:rPr>
          <w:i/>
          <w:iCs/>
        </w:rPr>
        <w:t>Vitri</w:t>
      </w:r>
      <w:proofErr w:type="spellEnd"/>
      <w:r w:rsidRPr="006B033F">
        <w:t xml:space="preserve"> and </w:t>
      </w:r>
      <w:proofErr w:type="spellStart"/>
      <w:r w:rsidRPr="006B033F">
        <w:rPr>
          <w:i/>
          <w:iCs/>
        </w:rPr>
        <w:t>Ma’aseh</w:t>
      </w:r>
      <w:proofErr w:type="spellEnd"/>
      <w:r w:rsidRPr="006B033F">
        <w:rPr>
          <w:i/>
          <w:iCs/>
        </w:rPr>
        <w:t xml:space="preserve"> </w:t>
      </w:r>
      <w:proofErr w:type="spellStart"/>
      <w:r w:rsidRPr="006B033F">
        <w:rPr>
          <w:i/>
          <w:iCs/>
        </w:rPr>
        <w:t>haGeonim</w:t>
      </w:r>
      <w:proofErr w:type="spellEnd"/>
      <w:r w:rsidRPr="006B033F">
        <w:t xml:space="preserve"> brought below, but it seems that they intend to </w:t>
      </w:r>
      <w:r w:rsidR="00D54DC8" w:rsidRPr="006B033F">
        <w:t>not offer</w:t>
      </w:r>
      <w:r w:rsidRPr="006B033F">
        <w:t xml:space="preserve"> other possibilities but rather to reinforce the source of the </w:t>
      </w:r>
      <w:r w:rsidR="00EE67BE" w:rsidRPr="006B033F">
        <w:t>custom</w:t>
      </w:r>
      <w:r w:rsidRPr="006B033F">
        <w:t xml:space="preserve"> of reading the names of Haman’s ten sons, written over several verses, in one continuum.</w:t>
      </w:r>
    </w:p>
  </w:footnote>
  <w:footnote w:id="28">
    <w:p w14:paraId="494138AD" w14:textId="0CA13706" w:rsidR="00A90731" w:rsidRPr="006B033F" w:rsidRDefault="00A90731" w:rsidP="004A2B71">
      <w:pPr>
        <w:pStyle w:val="FootnoteText"/>
        <w:rPr>
          <w:rtl/>
        </w:rPr>
      </w:pPr>
      <w:r w:rsidRPr="006B033F">
        <w:rPr>
          <w:rStyle w:val="FootnoteReference"/>
        </w:rPr>
        <w:footnoteRef/>
      </w:r>
      <w:r w:rsidRPr="006B033F">
        <w:t xml:space="preserve"> </w:t>
      </w:r>
      <w:proofErr w:type="spellStart"/>
      <w:r w:rsidRPr="006B033F">
        <w:t>Mishali</w:t>
      </w:r>
      <w:proofErr w:type="spellEnd"/>
      <w:r w:rsidRPr="006B033F">
        <w:t xml:space="preserve"> and </w:t>
      </w:r>
      <w:proofErr w:type="spellStart"/>
      <w:r w:rsidRPr="006B033F">
        <w:t>Zippor</w:t>
      </w:r>
      <w:proofErr w:type="spellEnd"/>
      <w:r w:rsidRPr="006B033F">
        <w:t xml:space="preserve">, </w:t>
      </w:r>
      <w:proofErr w:type="spellStart"/>
      <w:r w:rsidR="00B72580" w:rsidRPr="006B033F">
        <w:rPr>
          <w:i/>
          <w:iCs/>
        </w:rPr>
        <w:t>Shnei</w:t>
      </w:r>
      <w:proofErr w:type="spellEnd"/>
      <w:r w:rsidR="00B72580" w:rsidRPr="006B033F">
        <w:rPr>
          <w:i/>
          <w:iCs/>
        </w:rPr>
        <w:t xml:space="preserve"> </w:t>
      </w:r>
      <w:proofErr w:type="spellStart"/>
      <w:r w:rsidR="00B72580" w:rsidRPr="006B033F">
        <w:rPr>
          <w:i/>
          <w:iCs/>
        </w:rPr>
        <w:t>Perushei</w:t>
      </w:r>
      <w:proofErr w:type="spellEnd"/>
      <w:r w:rsidRPr="006B033F">
        <w:t>, pp. 183-184.</w:t>
      </w:r>
    </w:p>
  </w:footnote>
  <w:footnote w:id="29">
    <w:p w14:paraId="516890F0" w14:textId="08E36610" w:rsidR="00A90731" w:rsidRPr="006B033F" w:rsidRDefault="00A90731" w:rsidP="004A2B71">
      <w:pPr>
        <w:pStyle w:val="FootnoteText"/>
      </w:pPr>
      <w:r w:rsidRPr="006B033F">
        <w:rPr>
          <w:rStyle w:val="FootnoteReference"/>
        </w:rPr>
        <w:footnoteRef/>
      </w:r>
      <w:r w:rsidRPr="006B033F">
        <w:t xml:space="preserve"> An alternative suggestion was brought (ibid.) in the name of Aharon Mondschein, who in a private conversation suggested, by conjecture, to add the word </w:t>
      </w:r>
      <w:proofErr w:type="spellStart"/>
      <w:r w:rsidRPr="006B033F">
        <w:rPr>
          <w:i/>
          <w:iCs/>
        </w:rPr>
        <w:t>she’lo</w:t>
      </w:r>
      <w:proofErr w:type="spellEnd"/>
      <w:r w:rsidRPr="006B033F">
        <w:t xml:space="preserve"> – ‘not at’ – that the reader should not stop [not at] the end of the verse.</w:t>
      </w:r>
    </w:p>
  </w:footnote>
  <w:footnote w:id="30">
    <w:p w14:paraId="7B125872" w14:textId="551610E6" w:rsidR="0037082A" w:rsidRPr="006B033F" w:rsidRDefault="0037082A" w:rsidP="004A2B71">
      <w:pPr>
        <w:pStyle w:val="FootnoteText"/>
      </w:pPr>
      <w:r w:rsidRPr="006B033F">
        <w:rPr>
          <w:rStyle w:val="FootnoteReference"/>
        </w:rPr>
        <w:footnoteRef/>
      </w:r>
      <w:r w:rsidRPr="006B033F">
        <w:t xml:space="preserve"> Simon, </w:t>
      </w:r>
      <w:proofErr w:type="spellStart"/>
      <w:r w:rsidRPr="006B033F">
        <w:rPr>
          <w:i/>
          <w:iCs/>
        </w:rPr>
        <w:t>Ozen</w:t>
      </w:r>
      <w:proofErr w:type="spellEnd"/>
      <w:r w:rsidRPr="006B033F">
        <w:rPr>
          <w:i/>
          <w:iCs/>
        </w:rPr>
        <w:t xml:space="preserve"> </w:t>
      </w:r>
      <w:proofErr w:type="spellStart"/>
      <w:r w:rsidRPr="006B033F">
        <w:rPr>
          <w:i/>
          <w:iCs/>
        </w:rPr>
        <w:t>Milim</w:t>
      </w:r>
      <w:proofErr w:type="spellEnd"/>
      <w:r w:rsidRPr="006B033F">
        <w:t xml:space="preserve">, p. 197; </w:t>
      </w:r>
      <w:proofErr w:type="spellStart"/>
      <w:r w:rsidRPr="006B033F">
        <w:t>Dov</w:t>
      </w:r>
      <w:proofErr w:type="spellEnd"/>
      <w:r w:rsidRPr="006B033F">
        <w:t xml:space="preserve"> </w:t>
      </w:r>
      <w:proofErr w:type="spellStart"/>
      <w:r w:rsidRPr="006B033F">
        <w:t>Berush</w:t>
      </w:r>
      <w:proofErr w:type="spellEnd"/>
      <w:r w:rsidRPr="006B033F">
        <w:t xml:space="preserve"> Rosenberg, </w:t>
      </w:r>
      <w:proofErr w:type="spellStart"/>
      <w:r w:rsidRPr="006B033F">
        <w:rPr>
          <w:i/>
          <w:iCs/>
        </w:rPr>
        <w:t>Davar</w:t>
      </w:r>
      <w:proofErr w:type="spellEnd"/>
      <w:r w:rsidRPr="006B033F">
        <w:rPr>
          <w:i/>
          <w:iCs/>
        </w:rPr>
        <w:t xml:space="preserve"> Tov</w:t>
      </w:r>
      <w:r w:rsidRPr="006B033F">
        <w:t xml:space="preserve">, Jerusalem (2001), p. 361; R. Mordechai </w:t>
      </w:r>
      <w:proofErr w:type="spellStart"/>
      <w:r w:rsidR="0006185D" w:rsidRPr="006B033F">
        <w:t>K</w:t>
      </w:r>
      <w:r w:rsidRPr="006B033F">
        <w:t>armi</w:t>
      </w:r>
      <w:proofErr w:type="spellEnd"/>
      <w:r w:rsidRPr="006B033F">
        <w:t xml:space="preserve">, </w:t>
      </w:r>
      <w:proofErr w:type="spellStart"/>
      <w:r w:rsidRPr="006B033F">
        <w:rPr>
          <w:i/>
          <w:iCs/>
        </w:rPr>
        <w:t>Maamar</w:t>
      </w:r>
      <w:proofErr w:type="spellEnd"/>
      <w:r w:rsidRPr="006B033F">
        <w:rPr>
          <w:i/>
          <w:iCs/>
        </w:rPr>
        <w:t xml:space="preserve"> Mordechai</w:t>
      </w:r>
      <w:r w:rsidRPr="006B033F">
        <w:t xml:space="preserve">, </w:t>
      </w:r>
      <w:proofErr w:type="spellStart"/>
      <w:r w:rsidRPr="006B033F">
        <w:rPr>
          <w:i/>
          <w:iCs/>
        </w:rPr>
        <w:t>Ora</w:t>
      </w:r>
      <w:r w:rsidR="006B033F">
        <w:rPr>
          <w:i/>
          <w:iCs/>
        </w:rPr>
        <w:t>ḥ</w:t>
      </w:r>
      <w:proofErr w:type="spellEnd"/>
      <w:r w:rsidRPr="006B033F">
        <w:rPr>
          <w:i/>
          <w:iCs/>
        </w:rPr>
        <w:t xml:space="preserve"> </w:t>
      </w:r>
      <w:proofErr w:type="spellStart"/>
      <w:r w:rsidR="006B033F">
        <w:rPr>
          <w:i/>
          <w:iCs/>
        </w:rPr>
        <w:t>Ḥ</w:t>
      </w:r>
      <w:r w:rsidRPr="006B033F">
        <w:rPr>
          <w:i/>
          <w:iCs/>
        </w:rPr>
        <w:t>ayyim</w:t>
      </w:r>
      <w:proofErr w:type="spellEnd"/>
      <w:r w:rsidRPr="006B033F">
        <w:t xml:space="preserve"> 690, 10 (he believes that this was the intention of the proofreader mentioned by R. Haim </w:t>
      </w:r>
      <w:proofErr w:type="spellStart"/>
      <w:r w:rsidRPr="006B033F">
        <w:t>Benvenisti</w:t>
      </w:r>
      <w:proofErr w:type="spellEnd"/>
      <w:r w:rsidRPr="006B033F">
        <w:t xml:space="preserve"> in adding the word ‘but’, and he added it in the wrong place); in the commentary </w:t>
      </w:r>
      <w:proofErr w:type="spellStart"/>
      <w:r w:rsidRPr="006B033F">
        <w:rPr>
          <w:i/>
          <w:iCs/>
        </w:rPr>
        <w:t>Pitu</w:t>
      </w:r>
      <w:r w:rsidR="00655BDF">
        <w:rPr>
          <w:i/>
          <w:iCs/>
        </w:rPr>
        <w:t>ḥ</w:t>
      </w:r>
      <w:r w:rsidRPr="006B033F">
        <w:rPr>
          <w:i/>
          <w:iCs/>
        </w:rPr>
        <w:t>ei</w:t>
      </w:r>
      <w:proofErr w:type="spellEnd"/>
      <w:r w:rsidRPr="006B033F">
        <w:rPr>
          <w:i/>
          <w:iCs/>
        </w:rPr>
        <w:t xml:space="preserve"> </w:t>
      </w:r>
      <w:proofErr w:type="spellStart"/>
      <w:r w:rsidR="00655BDF">
        <w:rPr>
          <w:i/>
          <w:iCs/>
        </w:rPr>
        <w:t>Ḥ</w:t>
      </w:r>
      <w:r w:rsidRPr="006B033F">
        <w:rPr>
          <w:i/>
          <w:iCs/>
        </w:rPr>
        <w:t>otam</w:t>
      </w:r>
      <w:proofErr w:type="spellEnd"/>
      <w:r w:rsidRPr="006B033F">
        <w:t xml:space="preserve">, in: Rafael </w:t>
      </w:r>
      <w:proofErr w:type="spellStart"/>
      <w:r w:rsidRPr="006B033F">
        <w:t>Firschtental</w:t>
      </w:r>
      <w:proofErr w:type="spellEnd"/>
      <w:r w:rsidRPr="006B033F">
        <w:t xml:space="preserve">, </w:t>
      </w:r>
      <w:proofErr w:type="spellStart"/>
      <w:r w:rsidRPr="006B033F">
        <w:rPr>
          <w:i/>
          <w:iCs/>
        </w:rPr>
        <w:t>Kol</w:t>
      </w:r>
      <w:proofErr w:type="spellEnd"/>
      <w:r w:rsidRPr="006B033F">
        <w:rPr>
          <w:i/>
          <w:iCs/>
        </w:rPr>
        <w:t xml:space="preserve"> </w:t>
      </w:r>
      <w:proofErr w:type="spellStart"/>
      <w:r w:rsidRPr="006B033F">
        <w:rPr>
          <w:i/>
          <w:iCs/>
        </w:rPr>
        <w:t>Sasson</w:t>
      </w:r>
      <w:proofErr w:type="spellEnd"/>
      <w:r w:rsidRPr="006B033F">
        <w:t xml:space="preserve">, </w:t>
      </w:r>
      <w:proofErr w:type="spellStart"/>
      <w:r w:rsidRPr="006B033F">
        <w:t>Krotoszyn</w:t>
      </w:r>
      <w:proofErr w:type="spellEnd"/>
      <w:r w:rsidR="00870CAA" w:rsidRPr="006B033F">
        <w:t xml:space="preserve"> (1839), p. 31b: “and it was not many years after that our Sages ruled that the reader not stop but at the end of a verse.”</w:t>
      </w:r>
    </w:p>
  </w:footnote>
  <w:footnote w:id="31">
    <w:p w14:paraId="48DD347C" w14:textId="08C87920" w:rsidR="00870CAA" w:rsidRPr="006B033F" w:rsidRDefault="00870CAA" w:rsidP="004A2B71">
      <w:pPr>
        <w:pStyle w:val="FootnoteText"/>
      </w:pPr>
      <w:r w:rsidRPr="006B033F">
        <w:rPr>
          <w:rStyle w:val="FootnoteReference"/>
        </w:rPr>
        <w:footnoteRef/>
      </w:r>
      <w:r w:rsidRPr="006B033F">
        <w:t xml:space="preserve"> Yitzhak </w:t>
      </w:r>
      <w:proofErr w:type="spellStart"/>
      <w:r w:rsidRPr="006B033F">
        <w:t>Sherim</w:t>
      </w:r>
      <w:proofErr w:type="spellEnd"/>
      <w:r w:rsidRPr="006B033F">
        <w:t xml:space="preserve">, </w:t>
      </w:r>
      <w:proofErr w:type="spellStart"/>
      <w:r w:rsidRPr="006B033F">
        <w:rPr>
          <w:i/>
          <w:iCs/>
        </w:rPr>
        <w:t>Hadar</w:t>
      </w:r>
      <w:proofErr w:type="spellEnd"/>
      <w:r w:rsidRPr="006B033F">
        <w:rPr>
          <w:i/>
          <w:iCs/>
        </w:rPr>
        <w:t xml:space="preserve"> Azar, </w:t>
      </w:r>
      <w:proofErr w:type="spellStart"/>
      <w:r w:rsidR="00655BDF">
        <w:rPr>
          <w:i/>
          <w:iCs/>
        </w:rPr>
        <w:t>Ḥ</w:t>
      </w:r>
      <w:r w:rsidRPr="006B033F">
        <w:rPr>
          <w:i/>
          <w:iCs/>
        </w:rPr>
        <w:t>amesh</w:t>
      </w:r>
      <w:proofErr w:type="spellEnd"/>
      <w:r w:rsidRPr="006B033F">
        <w:rPr>
          <w:i/>
          <w:iCs/>
        </w:rPr>
        <w:t xml:space="preserve"> </w:t>
      </w:r>
      <w:proofErr w:type="spellStart"/>
      <w:r w:rsidRPr="006B033F">
        <w:rPr>
          <w:i/>
          <w:iCs/>
        </w:rPr>
        <w:t>Megillot</w:t>
      </w:r>
      <w:proofErr w:type="spellEnd"/>
      <w:r w:rsidRPr="006B033F">
        <w:t>, Izmir (1865), p. 118b.</w:t>
      </w:r>
    </w:p>
  </w:footnote>
  <w:footnote w:id="32">
    <w:p w14:paraId="6B8DB6D1" w14:textId="2F47689A" w:rsidR="00F94C77" w:rsidRPr="006B033F" w:rsidRDefault="00F94C77" w:rsidP="004A2B71">
      <w:pPr>
        <w:pStyle w:val="FootnoteText"/>
      </w:pPr>
      <w:r w:rsidRPr="006B033F">
        <w:rPr>
          <w:rStyle w:val="FootnoteReference"/>
        </w:rPr>
        <w:footnoteRef/>
      </w:r>
      <w:r w:rsidRPr="006B033F">
        <w:t xml:space="preserve"> </w:t>
      </w:r>
      <w:r w:rsidR="00C35895" w:rsidRPr="006B033F">
        <w:t>Caro, Beit Yosef</w:t>
      </w:r>
      <w:r w:rsidRPr="006B033F">
        <w:t>.</w:t>
      </w:r>
    </w:p>
  </w:footnote>
  <w:footnote w:id="33">
    <w:p w14:paraId="4091ACF8" w14:textId="5A4FA4CC" w:rsidR="005E2101" w:rsidRPr="006B033F" w:rsidRDefault="005E2101" w:rsidP="004A2B71">
      <w:pPr>
        <w:pStyle w:val="FootnoteText"/>
      </w:pPr>
      <w:r w:rsidRPr="006B033F">
        <w:rPr>
          <w:rStyle w:val="FootnoteReference"/>
        </w:rPr>
        <w:footnoteRef/>
      </w:r>
      <w:r w:rsidRPr="006B033F">
        <w:t xml:space="preserve"> See the footnotes ibid. (n. 16), where it is written: “In the Mantua, Spain, and </w:t>
      </w:r>
      <w:proofErr w:type="spellStart"/>
      <w:r w:rsidRPr="006B033F">
        <w:t>Saloniki</w:t>
      </w:r>
      <w:proofErr w:type="spellEnd"/>
      <w:r w:rsidRPr="006B033F">
        <w:t xml:space="preserve"> editions, and in the manuscript, the version is ‘R. </w:t>
      </w:r>
      <w:proofErr w:type="spellStart"/>
      <w:r w:rsidRPr="006B033F">
        <w:t>Natronai</w:t>
      </w:r>
      <w:proofErr w:type="spellEnd"/>
      <w:r w:rsidRPr="006B033F">
        <w:t>’…”</w:t>
      </w:r>
    </w:p>
  </w:footnote>
  <w:footnote w:id="34">
    <w:p w14:paraId="00FE2AB5" w14:textId="02857B5B" w:rsidR="005E2101" w:rsidRPr="006B033F" w:rsidRDefault="005E2101" w:rsidP="004A2B71">
      <w:pPr>
        <w:pStyle w:val="FootnoteText"/>
      </w:pPr>
      <w:r w:rsidRPr="006B033F">
        <w:rPr>
          <w:rStyle w:val="FootnoteReference"/>
        </w:rPr>
        <w:footnoteRef/>
      </w:r>
      <w:r w:rsidRPr="006B033F">
        <w:t xml:space="preserve"> R. Elazar of Worms, </w:t>
      </w:r>
      <w:r w:rsidRPr="006B033F">
        <w:rPr>
          <w:i/>
          <w:iCs/>
        </w:rPr>
        <w:t xml:space="preserve">The </w:t>
      </w:r>
      <w:proofErr w:type="spellStart"/>
      <w:r w:rsidRPr="006B033F">
        <w:rPr>
          <w:i/>
          <w:iCs/>
        </w:rPr>
        <w:t>Rokea</w:t>
      </w:r>
      <w:r w:rsidR="00655BDF">
        <w:rPr>
          <w:i/>
          <w:iCs/>
        </w:rPr>
        <w:t>ḥ</w:t>
      </w:r>
      <w:proofErr w:type="spellEnd"/>
      <w:r w:rsidRPr="006B033F">
        <w:t>, Cremona</w:t>
      </w:r>
      <w:r w:rsidR="00A26304" w:rsidRPr="006B033F">
        <w:t xml:space="preserve">, </w:t>
      </w:r>
      <w:r w:rsidR="004A2B71">
        <w:t>(1556):</w:t>
      </w:r>
      <w:r w:rsidR="00A26304" w:rsidRPr="006B033F">
        <w:t xml:space="preserve"> “The </w:t>
      </w:r>
      <w:r w:rsidR="00EE67BE" w:rsidRPr="006B033F">
        <w:t>custom</w:t>
      </w:r>
      <w:r w:rsidR="00A26304" w:rsidRPr="006B033F">
        <w:t xml:space="preserve"> is </w:t>
      </w:r>
      <w:r w:rsidR="00EE67BE" w:rsidRPr="006B033F">
        <w:t xml:space="preserve">to </w:t>
      </w:r>
      <w:r w:rsidR="00A26304" w:rsidRPr="006B033F">
        <w:t>not breath</w:t>
      </w:r>
      <w:r w:rsidR="00EE67BE" w:rsidRPr="006B033F">
        <w:t>e</w:t>
      </w:r>
      <w:r w:rsidR="00A26304" w:rsidRPr="006B033F">
        <w:t xml:space="preserve"> between verses because it is called and </w:t>
      </w:r>
      <w:proofErr w:type="spellStart"/>
      <w:r w:rsidR="00A26304" w:rsidRPr="006B033F">
        <w:rPr>
          <w:i/>
          <w:iCs/>
        </w:rPr>
        <w:t>iggeret</w:t>
      </w:r>
      <w:proofErr w:type="spellEnd"/>
      <w:r w:rsidR="00A26304" w:rsidRPr="006B033F">
        <w:t>.”</w:t>
      </w:r>
    </w:p>
  </w:footnote>
  <w:footnote w:id="35">
    <w:p w14:paraId="3388CB6D" w14:textId="28FCAD96" w:rsidR="00651556" w:rsidRPr="006B033F" w:rsidRDefault="00651556" w:rsidP="004A2B71">
      <w:pPr>
        <w:pStyle w:val="FootnoteText"/>
      </w:pPr>
      <w:r w:rsidRPr="006B033F">
        <w:rPr>
          <w:rStyle w:val="FootnoteReference"/>
        </w:rPr>
        <w:footnoteRef/>
      </w:r>
      <w:r w:rsidRPr="006B033F">
        <w:t xml:space="preserve"> The </w:t>
      </w:r>
      <w:proofErr w:type="spellStart"/>
      <w:r w:rsidRPr="006B033F">
        <w:rPr>
          <w:i/>
          <w:iCs/>
        </w:rPr>
        <w:t>Shibbolei</w:t>
      </w:r>
      <w:proofErr w:type="spellEnd"/>
      <w:r w:rsidRPr="006B033F">
        <w:rPr>
          <w:i/>
          <w:iCs/>
        </w:rPr>
        <w:t xml:space="preserve"> </w:t>
      </w:r>
      <w:proofErr w:type="spellStart"/>
      <w:r w:rsidRPr="006B033F">
        <w:rPr>
          <w:i/>
          <w:iCs/>
        </w:rPr>
        <w:t>Leket</w:t>
      </w:r>
      <w:proofErr w:type="spellEnd"/>
      <w:r w:rsidRPr="006B033F">
        <w:t xml:space="preserve"> was written by R. Zedekiah ben Avraham </w:t>
      </w:r>
      <w:proofErr w:type="spellStart"/>
      <w:r w:rsidRPr="006B033F">
        <w:t>HaRofe</w:t>
      </w:r>
      <w:proofErr w:type="spellEnd"/>
      <w:r w:rsidRPr="006B033F">
        <w:t>, 13</w:t>
      </w:r>
      <w:r w:rsidRPr="006B033F">
        <w:rPr>
          <w:vertAlign w:val="superscript"/>
        </w:rPr>
        <w:t>th</w:t>
      </w:r>
      <w:r w:rsidRPr="006B033F">
        <w:t xml:space="preserve"> c. Italy.</w:t>
      </w:r>
    </w:p>
  </w:footnote>
  <w:footnote w:id="36">
    <w:p w14:paraId="564DA1AC" w14:textId="70D54842" w:rsidR="009305D2" w:rsidRPr="006B033F" w:rsidRDefault="009305D2" w:rsidP="004A2B71">
      <w:pPr>
        <w:pStyle w:val="FootnoteText"/>
        <w:rPr>
          <w:rtl/>
        </w:rPr>
      </w:pPr>
      <w:r w:rsidRPr="006B033F">
        <w:rPr>
          <w:rStyle w:val="FootnoteReference"/>
        </w:rPr>
        <w:footnoteRef/>
      </w:r>
      <w:r w:rsidRPr="006B033F">
        <w:t xml:space="preserve"> See </w:t>
      </w:r>
      <w:proofErr w:type="spellStart"/>
      <w:r w:rsidRPr="006B033F">
        <w:t>Maharitz</w:t>
      </w:r>
      <w:proofErr w:type="spellEnd"/>
      <w:r w:rsidRPr="006B033F">
        <w:t xml:space="preserve">, </w:t>
      </w:r>
      <w:proofErr w:type="spellStart"/>
      <w:r w:rsidRPr="006B033F">
        <w:rPr>
          <w:i/>
          <w:iCs/>
        </w:rPr>
        <w:t>Ta</w:t>
      </w:r>
      <w:r w:rsidR="0006268F">
        <w:rPr>
          <w:i/>
          <w:iCs/>
        </w:rPr>
        <w:t>k</w:t>
      </w:r>
      <w:r w:rsidRPr="006B033F">
        <w:rPr>
          <w:i/>
          <w:iCs/>
        </w:rPr>
        <w:t>hl’el</w:t>
      </w:r>
      <w:proofErr w:type="spellEnd"/>
      <w:r w:rsidRPr="006B033F">
        <w:rPr>
          <w:i/>
          <w:iCs/>
        </w:rPr>
        <w:t xml:space="preserve"> </w:t>
      </w:r>
      <w:r w:rsidR="0006268F">
        <w:rPr>
          <w:i/>
          <w:iCs/>
        </w:rPr>
        <w:t>‘</w:t>
      </w:r>
      <w:r w:rsidRPr="006B033F">
        <w:rPr>
          <w:i/>
          <w:iCs/>
        </w:rPr>
        <w:t xml:space="preserve">Etz </w:t>
      </w:r>
      <w:proofErr w:type="spellStart"/>
      <w:r w:rsidR="0006268F">
        <w:rPr>
          <w:i/>
          <w:iCs/>
        </w:rPr>
        <w:t>Ḥ</w:t>
      </w:r>
      <w:r w:rsidRPr="006B033F">
        <w:rPr>
          <w:i/>
          <w:iCs/>
        </w:rPr>
        <w:t>ayyim</w:t>
      </w:r>
      <w:proofErr w:type="spellEnd"/>
      <w:r w:rsidRPr="006B033F">
        <w:t xml:space="preserve">, at the end of the section dealing with Purim (166, 2); </w:t>
      </w:r>
      <w:proofErr w:type="spellStart"/>
      <w:r w:rsidR="0006268F">
        <w:t>Ṣ</w:t>
      </w:r>
      <w:r w:rsidRPr="006B033F">
        <w:t>ala</w:t>
      </w:r>
      <w:r w:rsidR="0006268F">
        <w:t>ḥ</w:t>
      </w:r>
      <w:proofErr w:type="spellEnd"/>
      <w:r w:rsidRPr="006B033F">
        <w:t xml:space="preserve">, </w:t>
      </w:r>
      <w:proofErr w:type="spellStart"/>
      <w:r w:rsidRPr="006B033F">
        <w:rPr>
          <w:i/>
          <w:iCs/>
        </w:rPr>
        <w:t>Pe’ulat</w:t>
      </w:r>
      <w:proofErr w:type="spellEnd"/>
      <w:r w:rsidRPr="006B033F">
        <w:rPr>
          <w:i/>
          <w:iCs/>
        </w:rPr>
        <w:t xml:space="preserve"> Tzaddik</w:t>
      </w:r>
      <w:r w:rsidRPr="006B033F">
        <w:t xml:space="preserve">; R. </w:t>
      </w:r>
      <w:proofErr w:type="spellStart"/>
      <w:r w:rsidRPr="006B033F">
        <w:t>Shlomo</w:t>
      </w:r>
      <w:proofErr w:type="spellEnd"/>
      <w:r w:rsidRPr="006B033F">
        <w:t xml:space="preserve"> </w:t>
      </w:r>
      <w:proofErr w:type="spellStart"/>
      <w:r w:rsidRPr="006B033F">
        <w:t>Kora</w:t>
      </w:r>
      <w:r w:rsidR="0006268F">
        <w:t>ḥ</w:t>
      </w:r>
      <w:proofErr w:type="spellEnd"/>
      <w:r w:rsidRPr="006B033F">
        <w:t xml:space="preserve">, </w:t>
      </w:r>
      <w:r w:rsidRPr="006B033F">
        <w:rPr>
          <w:i/>
          <w:iCs/>
        </w:rPr>
        <w:t>‘</w:t>
      </w:r>
      <w:proofErr w:type="spellStart"/>
      <w:r w:rsidRPr="006B033F">
        <w:rPr>
          <w:i/>
          <w:iCs/>
        </w:rPr>
        <w:t>Arikhat</w:t>
      </w:r>
      <w:proofErr w:type="spellEnd"/>
      <w:r w:rsidRPr="006B033F">
        <w:rPr>
          <w:i/>
          <w:iCs/>
        </w:rPr>
        <w:t xml:space="preserve"> </w:t>
      </w:r>
      <w:proofErr w:type="spellStart"/>
      <w:r w:rsidRPr="006B033F">
        <w:rPr>
          <w:i/>
          <w:iCs/>
        </w:rPr>
        <w:t>haShul</w:t>
      </w:r>
      <w:r w:rsidR="0006268F">
        <w:rPr>
          <w:i/>
          <w:iCs/>
        </w:rPr>
        <w:t>ḥ</w:t>
      </w:r>
      <w:r w:rsidRPr="006B033F">
        <w:rPr>
          <w:i/>
          <w:iCs/>
        </w:rPr>
        <w:t>an</w:t>
      </w:r>
      <w:proofErr w:type="spellEnd"/>
      <w:r w:rsidRPr="006B033F">
        <w:t xml:space="preserve">, 9 (1930), 7, p. 190; R. </w:t>
      </w:r>
      <w:proofErr w:type="spellStart"/>
      <w:r w:rsidRPr="006B033F">
        <w:t>Yizhak</w:t>
      </w:r>
      <w:proofErr w:type="spellEnd"/>
      <w:r w:rsidRPr="006B033F">
        <w:t xml:space="preserve"> </w:t>
      </w:r>
      <w:proofErr w:type="spellStart"/>
      <w:r w:rsidRPr="006B033F">
        <w:t>Rasabi</w:t>
      </w:r>
      <w:proofErr w:type="spellEnd"/>
      <w:r w:rsidRPr="006B033F">
        <w:t xml:space="preserve">, </w:t>
      </w:r>
      <w:proofErr w:type="spellStart"/>
      <w:r w:rsidRPr="006B033F">
        <w:rPr>
          <w:i/>
          <w:iCs/>
        </w:rPr>
        <w:t>Shul</w:t>
      </w:r>
      <w:r w:rsidR="0006268F">
        <w:rPr>
          <w:i/>
          <w:iCs/>
        </w:rPr>
        <w:t>ḥ</w:t>
      </w:r>
      <w:r w:rsidRPr="006B033F">
        <w:rPr>
          <w:i/>
          <w:iCs/>
        </w:rPr>
        <w:t>an</w:t>
      </w:r>
      <w:proofErr w:type="spellEnd"/>
      <w:r w:rsidRPr="006B033F">
        <w:rPr>
          <w:i/>
          <w:iCs/>
        </w:rPr>
        <w:t xml:space="preserve"> ‘</w:t>
      </w:r>
      <w:proofErr w:type="spellStart"/>
      <w:r w:rsidRPr="006B033F">
        <w:rPr>
          <w:i/>
          <w:iCs/>
        </w:rPr>
        <w:t>Arukh</w:t>
      </w:r>
      <w:proofErr w:type="spellEnd"/>
      <w:r w:rsidRPr="006B033F">
        <w:rPr>
          <w:i/>
          <w:iCs/>
        </w:rPr>
        <w:t xml:space="preserve"> </w:t>
      </w:r>
      <w:proofErr w:type="spellStart"/>
      <w:r w:rsidRPr="006B033F">
        <w:rPr>
          <w:i/>
          <w:iCs/>
        </w:rPr>
        <w:t>haMekutzar</w:t>
      </w:r>
      <w:proofErr w:type="spellEnd"/>
      <w:r w:rsidRPr="006B033F">
        <w:t xml:space="preserve">, </w:t>
      </w:r>
      <w:proofErr w:type="spellStart"/>
      <w:r w:rsidRPr="006B033F">
        <w:rPr>
          <w:i/>
          <w:iCs/>
        </w:rPr>
        <w:t>Mo’adim</w:t>
      </w:r>
      <w:proofErr w:type="spellEnd"/>
      <w:r w:rsidRPr="006B033F">
        <w:t xml:space="preserve"> (1930), 122, 13, p. 279; R. Yosef </w:t>
      </w:r>
      <w:proofErr w:type="spellStart"/>
      <w:r w:rsidRPr="006B033F">
        <w:t>haCohen</w:t>
      </w:r>
      <w:proofErr w:type="spellEnd"/>
      <w:r w:rsidRPr="006B033F">
        <w:t xml:space="preserve"> </w:t>
      </w:r>
      <w:r w:rsidR="0006268F">
        <w:t>‘</w:t>
      </w:r>
      <w:r w:rsidRPr="006B033F">
        <w:t xml:space="preserve">Araki and Adam bin Nun, </w:t>
      </w:r>
      <w:proofErr w:type="spellStart"/>
      <w:r w:rsidRPr="006B033F">
        <w:rPr>
          <w:i/>
          <w:iCs/>
        </w:rPr>
        <w:t>Iggeret</w:t>
      </w:r>
      <w:proofErr w:type="spellEnd"/>
      <w:r w:rsidRPr="006B033F">
        <w:rPr>
          <w:i/>
          <w:iCs/>
        </w:rPr>
        <w:t xml:space="preserve"> </w:t>
      </w:r>
      <w:proofErr w:type="spellStart"/>
      <w:r w:rsidRPr="006B033F">
        <w:rPr>
          <w:i/>
          <w:iCs/>
        </w:rPr>
        <w:t>haPurim</w:t>
      </w:r>
      <w:proofErr w:type="spellEnd"/>
      <w:r w:rsidRPr="006B033F">
        <w:t xml:space="preserve">, </w:t>
      </w:r>
      <w:proofErr w:type="spellStart"/>
      <w:r w:rsidRPr="006B033F">
        <w:t>Bnei</w:t>
      </w:r>
      <w:proofErr w:type="spellEnd"/>
      <w:r w:rsidRPr="006B033F">
        <w:t xml:space="preserve"> </w:t>
      </w:r>
      <w:proofErr w:type="spellStart"/>
      <w:r w:rsidRPr="006B033F">
        <w:t>Brak</w:t>
      </w:r>
      <w:proofErr w:type="spellEnd"/>
      <w:r w:rsidRPr="006B033F">
        <w:t xml:space="preserve"> (2013), pp. 129-131.</w:t>
      </w:r>
    </w:p>
  </w:footnote>
  <w:footnote w:id="37">
    <w:p w14:paraId="3B01EA22" w14:textId="689ED6C2" w:rsidR="00C31D9F" w:rsidRPr="006B033F" w:rsidRDefault="00C31D9F" w:rsidP="004A2B71">
      <w:pPr>
        <w:pStyle w:val="FootnoteText"/>
      </w:pPr>
      <w:r w:rsidRPr="006B033F">
        <w:rPr>
          <w:rStyle w:val="FootnoteReference"/>
        </w:rPr>
        <w:footnoteRef/>
      </w:r>
      <w:r w:rsidRPr="006B033F">
        <w:t xml:space="preserve"> </w:t>
      </w:r>
      <w:proofErr w:type="spellStart"/>
      <w:r w:rsidRPr="006B033F">
        <w:rPr>
          <w:i/>
          <w:iCs/>
        </w:rPr>
        <w:t>Ma’aseh</w:t>
      </w:r>
      <w:proofErr w:type="spellEnd"/>
      <w:r w:rsidRPr="006B033F">
        <w:rPr>
          <w:i/>
          <w:iCs/>
        </w:rPr>
        <w:t xml:space="preserve"> </w:t>
      </w:r>
      <w:proofErr w:type="spellStart"/>
      <w:r w:rsidRPr="006B033F">
        <w:rPr>
          <w:i/>
          <w:iCs/>
        </w:rPr>
        <w:t>haGeonim</w:t>
      </w:r>
      <w:proofErr w:type="spellEnd"/>
      <w:r w:rsidRPr="006B033F">
        <w:t xml:space="preserve">, Epstein and </w:t>
      </w:r>
      <w:proofErr w:type="spellStart"/>
      <w:r w:rsidRPr="006B033F">
        <w:t>Freimanen</w:t>
      </w:r>
      <w:proofErr w:type="spellEnd"/>
      <w:r w:rsidRPr="006B033F">
        <w:t xml:space="preserve"> edition</w:t>
      </w:r>
      <w:r w:rsidRPr="006B033F">
        <w:rPr>
          <w:i/>
          <w:iCs/>
        </w:rPr>
        <w:t xml:space="preserve">, </w:t>
      </w:r>
      <w:r w:rsidRPr="006B033F">
        <w:t>Berlin (1910), 56, p. 45.</w:t>
      </w:r>
    </w:p>
  </w:footnote>
  <w:footnote w:id="38">
    <w:p w14:paraId="486570B0" w14:textId="1BE8C8E9" w:rsidR="00C31D9F" w:rsidRPr="006B033F" w:rsidRDefault="00C31D9F" w:rsidP="004A2B71">
      <w:pPr>
        <w:pStyle w:val="FootnoteText"/>
      </w:pPr>
      <w:r w:rsidRPr="006B033F">
        <w:rPr>
          <w:rStyle w:val="FootnoteReference"/>
        </w:rPr>
        <w:footnoteRef/>
      </w:r>
      <w:r w:rsidRPr="006B033F">
        <w:t xml:space="preserve"> R. </w:t>
      </w:r>
      <w:proofErr w:type="spellStart"/>
      <w:r w:rsidRPr="006B033F">
        <w:t>Simchah</w:t>
      </w:r>
      <w:proofErr w:type="spellEnd"/>
      <w:r w:rsidRPr="006B033F">
        <w:t xml:space="preserve">, a student of Rashi, wrote: “And one is permitted to stop wherever he wishes, both at the end of a verse and in the middle of a verse, and such is the custom in two </w:t>
      </w:r>
      <w:r w:rsidRPr="006B033F">
        <w:rPr>
          <w:i/>
          <w:iCs/>
        </w:rPr>
        <w:t>yeshivot</w:t>
      </w:r>
      <w:r w:rsidRPr="006B033F">
        <w:t xml:space="preserve"> (places of learning), and also R. Amram Gaon the headmaster said this, as well as R. </w:t>
      </w:r>
      <w:proofErr w:type="spellStart"/>
      <w:r w:rsidRPr="006B033F">
        <w:t>Yehudai</w:t>
      </w:r>
      <w:proofErr w:type="spellEnd"/>
      <w:r w:rsidRPr="006B033F">
        <w:t xml:space="preserve"> Gaon” (</w:t>
      </w:r>
      <w:proofErr w:type="spellStart"/>
      <w:r w:rsidRPr="006B033F">
        <w:rPr>
          <w:i/>
          <w:iCs/>
        </w:rPr>
        <w:t>Ma</w:t>
      </w:r>
      <w:r w:rsidR="0006268F">
        <w:rPr>
          <w:i/>
          <w:iCs/>
        </w:rPr>
        <w:t>ḥ</w:t>
      </w:r>
      <w:r w:rsidRPr="006B033F">
        <w:rPr>
          <w:i/>
          <w:iCs/>
        </w:rPr>
        <w:t>zor</w:t>
      </w:r>
      <w:proofErr w:type="spellEnd"/>
      <w:r w:rsidRPr="006B033F">
        <w:rPr>
          <w:i/>
          <w:iCs/>
        </w:rPr>
        <w:t xml:space="preserve"> </w:t>
      </w:r>
      <w:proofErr w:type="spellStart"/>
      <w:r w:rsidRPr="006B033F">
        <w:rPr>
          <w:i/>
          <w:iCs/>
        </w:rPr>
        <w:t>Vitri</w:t>
      </w:r>
      <w:proofErr w:type="spellEnd"/>
      <w:r w:rsidRPr="006B033F">
        <w:t xml:space="preserve">, Shimon </w:t>
      </w:r>
      <w:proofErr w:type="spellStart"/>
      <w:r w:rsidRPr="006B033F">
        <w:t>haLevi</w:t>
      </w:r>
      <w:proofErr w:type="spellEnd"/>
      <w:r w:rsidRPr="006B033F">
        <w:t xml:space="preserve"> </w:t>
      </w:r>
      <w:proofErr w:type="spellStart"/>
      <w:r w:rsidRPr="006B033F">
        <w:t>Ish</w:t>
      </w:r>
      <w:proofErr w:type="spellEnd"/>
      <w:r w:rsidRPr="006B033F">
        <w:t xml:space="preserve"> Horovitz edition, Nierenberg</w:t>
      </w:r>
      <w:r w:rsidR="00D11731" w:rsidRPr="006B033F">
        <w:t>, 1923, 247, p. 213).</w:t>
      </w:r>
    </w:p>
  </w:footnote>
  <w:footnote w:id="39">
    <w:p w14:paraId="72597A2D" w14:textId="5DDD7B83" w:rsidR="00956ED2" w:rsidRPr="006B033F" w:rsidRDefault="00956ED2" w:rsidP="004A2B71">
      <w:pPr>
        <w:pStyle w:val="FootnoteText"/>
      </w:pPr>
      <w:r w:rsidRPr="006B033F">
        <w:rPr>
          <w:rStyle w:val="FootnoteReference"/>
        </w:rPr>
        <w:footnoteRef/>
      </w:r>
      <w:r w:rsidRPr="006B033F">
        <w:t xml:space="preserve"> </w:t>
      </w:r>
      <w:proofErr w:type="spellStart"/>
      <w:r w:rsidRPr="006B033F">
        <w:t>Knesses</w:t>
      </w:r>
      <w:proofErr w:type="spellEnd"/>
      <w:r w:rsidRPr="006B033F">
        <w:t xml:space="preserve"> </w:t>
      </w:r>
      <w:proofErr w:type="spellStart"/>
      <w:r w:rsidRPr="006B033F">
        <w:t>haGedolah</w:t>
      </w:r>
      <w:proofErr w:type="spellEnd"/>
      <w:r w:rsidRPr="006B033F">
        <w:t xml:space="preserve">, </w:t>
      </w:r>
      <w:proofErr w:type="spellStart"/>
      <w:r w:rsidRPr="006B033F">
        <w:t>Ora</w:t>
      </w:r>
      <w:r w:rsidR="0006268F">
        <w:t>ḥ</w:t>
      </w:r>
      <w:proofErr w:type="spellEnd"/>
      <w:r w:rsidRPr="006B033F">
        <w:t xml:space="preserve"> </w:t>
      </w:r>
      <w:proofErr w:type="spellStart"/>
      <w:r w:rsidR="0006268F">
        <w:t>Ḥ</w:t>
      </w:r>
      <w:r w:rsidRPr="006B033F">
        <w:t>ayyim</w:t>
      </w:r>
      <w:proofErr w:type="spellEnd"/>
      <w:r w:rsidRPr="006B033F">
        <w:t>, p. 522.</w:t>
      </w:r>
    </w:p>
  </w:footnote>
  <w:footnote w:id="40">
    <w:p w14:paraId="61F08798" w14:textId="5A5FF924" w:rsidR="00EE5FAE" w:rsidRPr="006B033F" w:rsidRDefault="00EE5FAE" w:rsidP="004A2B71">
      <w:pPr>
        <w:pStyle w:val="FootnoteText"/>
      </w:pPr>
      <w:r w:rsidRPr="006B033F">
        <w:rPr>
          <w:rStyle w:val="FootnoteReference"/>
        </w:rPr>
        <w:footnoteRef/>
      </w:r>
      <w:r w:rsidRPr="006B033F">
        <w:t xml:space="preserve"> Aron Emmerich </w:t>
      </w:r>
      <w:proofErr w:type="spellStart"/>
      <w:r w:rsidRPr="006B033F">
        <w:t>Gumperz</w:t>
      </w:r>
      <w:proofErr w:type="spellEnd"/>
      <w:r w:rsidRPr="006B033F">
        <w:t xml:space="preserve">, </w:t>
      </w:r>
      <w:proofErr w:type="spellStart"/>
      <w:r w:rsidRPr="006B033F">
        <w:rPr>
          <w:i/>
          <w:iCs/>
        </w:rPr>
        <w:t>Migaleh</w:t>
      </w:r>
      <w:proofErr w:type="spellEnd"/>
      <w:r w:rsidRPr="006B033F">
        <w:rPr>
          <w:i/>
          <w:iCs/>
        </w:rPr>
        <w:t xml:space="preserve"> Sod</w:t>
      </w:r>
      <w:r w:rsidRPr="006B033F">
        <w:t xml:space="preserve">, Lvov (1911), p. 48. His commentary was also copied by </w:t>
      </w:r>
      <w:proofErr w:type="spellStart"/>
      <w:r w:rsidRPr="006B033F">
        <w:t>Shlomo</w:t>
      </w:r>
      <w:proofErr w:type="spellEnd"/>
      <w:r w:rsidRPr="006B033F">
        <w:t xml:space="preserve"> </w:t>
      </w:r>
      <w:proofErr w:type="spellStart"/>
      <w:r w:rsidRPr="006B033F">
        <w:t>Zalman</w:t>
      </w:r>
      <w:proofErr w:type="spellEnd"/>
      <w:r w:rsidRPr="006B033F">
        <w:t xml:space="preserve"> Stern, </w:t>
      </w:r>
      <w:proofErr w:type="spellStart"/>
      <w:r w:rsidRPr="006B033F">
        <w:rPr>
          <w:i/>
          <w:iCs/>
        </w:rPr>
        <w:t>K’tonet</w:t>
      </w:r>
      <w:proofErr w:type="spellEnd"/>
      <w:r w:rsidRPr="006B033F">
        <w:rPr>
          <w:i/>
          <w:iCs/>
        </w:rPr>
        <w:t xml:space="preserve"> Pa</w:t>
      </w:r>
      <w:r w:rsidR="0006268F">
        <w:rPr>
          <w:i/>
          <w:iCs/>
        </w:rPr>
        <w:t>s</w:t>
      </w:r>
      <w:r w:rsidRPr="006B033F">
        <w:rPr>
          <w:i/>
          <w:iCs/>
        </w:rPr>
        <w:t xml:space="preserve">sim – </w:t>
      </w:r>
      <w:proofErr w:type="spellStart"/>
      <w:r w:rsidRPr="006B033F">
        <w:rPr>
          <w:i/>
          <w:iCs/>
        </w:rPr>
        <w:t>Gedulat</w:t>
      </w:r>
      <w:proofErr w:type="spellEnd"/>
      <w:r w:rsidRPr="006B033F">
        <w:rPr>
          <w:i/>
          <w:iCs/>
        </w:rPr>
        <w:t xml:space="preserve"> Mordechai</w:t>
      </w:r>
      <w:r w:rsidRPr="006B033F">
        <w:t xml:space="preserve"> (still in manuscript form, the National Library of Israel, no. F4571).</w:t>
      </w:r>
    </w:p>
  </w:footnote>
  <w:footnote w:id="41">
    <w:p w14:paraId="7DF78D38" w14:textId="3FFB42B0" w:rsidR="002B7C5E" w:rsidRPr="006B033F" w:rsidRDefault="002B7C5E" w:rsidP="004A2B71">
      <w:pPr>
        <w:pStyle w:val="FootnoteText"/>
      </w:pPr>
      <w:r w:rsidRPr="006B033F">
        <w:rPr>
          <w:rStyle w:val="FootnoteReference"/>
        </w:rPr>
        <w:footnoteRef/>
      </w:r>
      <w:r w:rsidRPr="006B033F">
        <w:t xml:space="preserve"> R. Moshe </w:t>
      </w:r>
      <w:proofErr w:type="spellStart"/>
      <w:r w:rsidRPr="006B033F">
        <w:t>Amarilio</w:t>
      </w:r>
      <w:proofErr w:type="spellEnd"/>
      <w:r w:rsidRPr="006B033F">
        <w:t xml:space="preserve">, </w:t>
      </w:r>
      <w:proofErr w:type="spellStart"/>
      <w:r w:rsidRPr="006B033F">
        <w:rPr>
          <w:i/>
          <w:iCs/>
        </w:rPr>
        <w:t>D’var</w:t>
      </w:r>
      <w:proofErr w:type="spellEnd"/>
      <w:r w:rsidRPr="006B033F">
        <w:rPr>
          <w:i/>
          <w:iCs/>
        </w:rPr>
        <w:t xml:space="preserve"> Moshe, </w:t>
      </w:r>
      <w:proofErr w:type="spellStart"/>
      <w:r w:rsidRPr="006B033F">
        <w:t>Salonik</w:t>
      </w:r>
      <w:proofErr w:type="spellEnd"/>
      <w:r w:rsidRPr="006B033F">
        <w:t xml:space="preserve"> (1642), 48, p. 31.</w:t>
      </w:r>
    </w:p>
  </w:footnote>
  <w:footnote w:id="42">
    <w:p w14:paraId="5BEEE064" w14:textId="17A21A2B" w:rsidR="00C35895" w:rsidRPr="006B033F" w:rsidRDefault="00C35895" w:rsidP="004A2B71">
      <w:pPr>
        <w:pStyle w:val="FootnoteText"/>
      </w:pPr>
      <w:r w:rsidRPr="006B033F">
        <w:rPr>
          <w:rStyle w:val="FootnoteReference"/>
        </w:rPr>
        <w:footnoteRef/>
      </w:r>
      <w:r w:rsidRPr="006B033F">
        <w:t xml:space="preserve"> </w:t>
      </w:r>
      <w:proofErr w:type="spellStart"/>
      <w:r w:rsidRPr="006B033F">
        <w:t>Iskapa</w:t>
      </w:r>
      <w:proofErr w:type="spellEnd"/>
      <w:r w:rsidRPr="006B033F">
        <w:t xml:space="preserve">, </w:t>
      </w:r>
      <w:r w:rsidRPr="006B033F">
        <w:rPr>
          <w:i/>
          <w:iCs/>
        </w:rPr>
        <w:t>Rosh Yosef</w:t>
      </w:r>
      <w:r w:rsidRPr="006B033F">
        <w:t>.</w:t>
      </w:r>
    </w:p>
  </w:footnote>
  <w:footnote w:id="43">
    <w:p w14:paraId="7C4E1CEF" w14:textId="22DAAEFB" w:rsidR="00C35895" w:rsidRPr="006B033F" w:rsidRDefault="00C35895" w:rsidP="004A2B71">
      <w:pPr>
        <w:pStyle w:val="FootnoteText"/>
      </w:pPr>
      <w:r w:rsidRPr="006B033F">
        <w:rPr>
          <w:rStyle w:val="FootnoteReference"/>
        </w:rPr>
        <w:footnoteRef/>
      </w:r>
      <w:r w:rsidRPr="006B033F">
        <w:t xml:space="preserve"> </w:t>
      </w:r>
      <w:proofErr w:type="spellStart"/>
      <w:r w:rsidRPr="006B033F">
        <w:t>Karmi</w:t>
      </w:r>
      <w:proofErr w:type="spellEnd"/>
      <w:r w:rsidRPr="006B033F">
        <w:t xml:space="preserve">, </w:t>
      </w:r>
      <w:proofErr w:type="spellStart"/>
      <w:r w:rsidRPr="006B033F">
        <w:t>Maamar</w:t>
      </w:r>
      <w:proofErr w:type="spellEnd"/>
      <w:r w:rsidRPr="006B033F">
        <w:t xml:space="preserve"> Mordechai.</w:t>
      </w:r>
    </w:p>
  </w:footnote>
  <w:footnote w:id="44">
    <w:p w14:paraId="666DFFB6" w14:textId="3A46C463" w:rsidR="00A7619E" w:rsidRPr="006B033F" w:rsidRDefault="00A7619E" w:rsidP="004A2B71">
      <w:pPr>
        <w:pStyle w:val="FootnoteText"/>
      </w:pPr>
      <w:r w:rsidRPr="006B033F">
        <w:rPr>
          <w:rStyle w:val="FootnoteReference"/>
        </w:rPr>
        <w:footnoteRef/>
      </w:r>
      <w:r w:rsidRPr="006B033F">
        <w:t xml:space="preserve"> R. Reuven </w:t>
      </w:r>
      <w:proofErr w:type="spellStart"/>
      <w:r w:rsidRPr="006B033F">
        <w:t>Mizra</w:t>
      </w:r>
      <w:r w:rsidR="00D302FC">
        <w:t>ḥ</w:t>
      </w:r>
      <w:r w:rsidRPr="006B033F">
        <w:t>i</w:t>
      </w:r>
      <w:proofErr w:type="spellEnd"/>
      <w:r w:rsidRPr="006B033F">
        <w:t xml:space="preserve">, </w:t>
      </w:r>
      <w:proofErr w:type="spellStart"/>
      <w:r w:rsidRPr="006B033F">
        <w:rPr>
          <w:i/>
          <w:iCs/>
        </w:rPr>
        <w:t>Ma’ayan</w:t>
      </w:r>
      <w:proofErr w:type="spellEnd"/>
      <w:r w:rsidRPr="006B033F">
        <w:rPr>
          <w:i/>
          <w:iCs/>
        </w:rPr>
        <w:t xml:space="preserve"> </w:t>
      </w:r>
      <w:proofErr w:type="spellStart"/>
      <w:r w:rsidRPr="006B033F">
        <w:rPr>
          <w:i/>
          <w:iCs/>
        </w:rPr>
        <w:t>Ganim</w:t>
      </w:r>
      <w:proofErr w:type="spellEnd"/>
      <w:r w:rsidRPr="006B033F">
        <w:t>, Constantinop</w:t>
      </w:r>
      <w:r w:rsidR="00D302FC">
        <w:t>l</w:t>
      </w:r>
      <w:r w:rsidRPr="006B033F">
        <w:t>e (1720), 23, 1.</w:t>
      </w:r>
    </w:p>
  </w:footnote>
  <w:footnote w:id="45">
    <w:p w14:paraId="290EEBC6" w14:textId="1021E8D3" w:rsidR="0057761F" w:rsidRPr="006B033F" w:rsidRDefault="0057761F" w:rsidP="004A2B71">
      <w:pPr>
        <w:pStyle w:val="FootnoteText"/>
      </w:pPr>
      <w:r w:rsidRPr="006B033F">
        <w:rPr>
          <w:rStyle w:val="FootnoteReference"/>
        </w:rPr>
        <w:footnoteRef/>
      </w:r>
      <w:r w:rsidRPr="006B033F">
        <w:t xml:space="preserve"> R. </w:t>
      </w:r>
      <w:proofErr w:type="spellStart"/>
      <w:r w:rsidRPr="006B033F">
        <w:t>Yi</w:t>
      </w:r>
      <w:r w:rsidR="00D302FC">
        <w:t>ḥ</w:t>
      </w:r>
      <w:r w:rsidRPr="006B033F">
        <w:t>yah</w:t>
      </w:r>
      <w:proofErr w:type="spellEnd"/>
      <w:r w:rsidRPr="006B033F">
        <w:t xml:space="preserve"> </w:t>
      </w:r>
      <w:proofErr w:type="spellStart"/>
      <w:r w:rsidR="00D302FC">
        <w:t>Ṣ</w:t>
      </w:r>
      <w:r w:rsidRPr="006B033F">
        <w:t>ala</w:t>
      </w:r>
      <w:r w:rsidR="00D302FC">
        <w:t>ḥ</w:t>
      </w:r>
      <w:proofErr w:type="spellEnd"/>
      <w:r w:rsidRPr="006B033F">
        <w:rPr>
          <w:i/>
          <w:iCs/>
        </w:rPr>
        <w:t xml:space="preserve">, </w:t>
      </w:r>
      <w:proofErr w:type="spellStart"/>
      <w:r w:rsidRPr="006B033F">
        <w:rPr>
          <w:i/>
          <w:iCs/>
        </w:rPr>
        <w:t>Pe’ulat</w:t>
      </w:r>
      <w:proofErr w:type="spellEnd"/>
      <w:r w:rsidRPr="006B033F">
        <w:rPr>
          <w:i/>
          <w:iCs/>
        </w:rPr>
        <w:t xml:space="preserve"> Tzaddik</w:t>
      </w:r>
      <w:r w:rsidRPr="006B033F">
        <w:t>.</w:t>
      </w:r>
    </w:p>
  </w:footnote>
  <w:footnote w:id="46">
    <w:p w14:paraId="15990091" w14:textId="7E185881" w:rsidR="00AD5953" w:rsidRPr="006B033F" w:rsidRDefault="00AD5953" w:rsidP="004A2B71">
      <w:pPr>
        <w:pStyle w:val="FootnoteText"/>
      </w:pPr>
      <w:r w:rsidRPr="006B033F">
        <w:rPr>
          <w:rStyle w:val="FootnoteReference"/>
        </w:rPr>
        <w:footnoteRef/>
      </w:r>
      <w:r w:rsidRPr="006B033F">
        <w:t xml:space="preserve"> Rosenberg,</w:t>
      </w:r>
      <w:r w:rsidRPr="006B033F">
        <w:rPr>
          <w:i/>
          <w:iCs/>
        </w:rPr>
        <w:t xml:space="preserve"> </w:t>
      </w:r>
      <w:proofErr w:type="spellStart"/>
      <w:r w:rsidRPr="006B033F">
        <w:rPr>
          <w:i/>
          <w:iCs/>
        </w:rPr>
        <w:t>Davar</w:t>
      </w:r>
      <w:proofErr w:type="spellEnd"/>
      <w:r w:rsidRPr="006B033F">
        <w:rPr>
          <w:i/>
          <w:iCs/>
        </w:rPr>
        <w:t xml:space="preserve"> Tov</w:t>
      </w:r>
      <w:r w:rsidRPr="006B033F">
        <w:t xml:space="preserve">. He believes that it is therefore clear why the Ibn Ezra, in R. Yosef Caro’s version, says “our forefathers ruled” and not our Sages. R. A. </w:t>
      </w:r>
      <w:proofErr w:type="spellStart"/>
      <w:r w:rsidRPr="006B033F">
        <w:t>Zilber</w:t>
      </w:r>
      <w:proofErr w:type="spellEnd"/>
      <w:r w:rsidRPr="006B033F">
        <w:t xml:space="preserve"> base</w:t>
      </w:r>
      <w:r w:rsidR="004A2B71">
        <w:t>s</w:t>
      </w:r>
      <w:r w:rsidRPr="006B033F">
        <w:t xml:space="preserve"> his </w:t>
      </w:r>
      <w:r w:rsidR="004A2B71">
        <w:t>interpretation</w:t>
      </w:r>
      <w:r w:rsidRPr="006B033F">
        <w:t xml:space="preserve"> upon a hairsplitting analysis: “And it is possible that we need to clarify according to what R. </w:t>
      </w:r>
      <w:proofErr w:type="spellStart"/>
      <w:r w:rsidRPr="006B033F">
        <w:t>Y.Z</w:t>
      </w:r>
      <w:proofErr w:type="spellEnd"/>
      <w:r w:rsidRPr="006B033F">
        <w:t xml:space="preserve">. </w:t>
      </w:r>
      <w:proofErr w:type="spellStart"/>
      <w:r w:rsidRPr="006B033F">
        <w:t>HaLevi</w:t>
      </w:r>
      <w:proofErr w:type="spellEnd"/>
      <w:r w:rsidRPr="006B033F">
        <w:t xml:space="preserve"> wrote, that there are two </w:t>
      </w:r>
      <w:r w:rsidR="00D2095A" w:rsidRPr="006B033F">
        <w:t>issues</w:t>
      </w:r>
      <w:r w:rsidRPr="006B033F">
        <w:t xml:space="preserve"> concerning the writing of the Megillah</w:t>
      </w:r>
      <w:r w:rsidR="00D2095A" w:rsidRPr="006B033F">
        <w:t xml:space="preserve">, and that at first it was written to be read out loud, and later the Men of the Great Assembly included it in the holy writings [=the Bible]. And it is possible that at first the verses of the Megillah were not demarcated, and afterwards, when it was inserted in the holy writings, Ezra determined the demarcations as we have it today, and this is perhaps the way to explain the words of the Ibn Ezra.” (R. Aryeh </w:t>
      </w:r>
      <w:proofErr w:type="spellStart"/>
      <w:r w:rsidR="00D2095A" w:rsidRPr="006B033F">
        <w:t>Zilber</w:t>
      </w:r>
      <w:proofErr w:type="spellEnd"/>
      <w:r w:rsidR="00D2095A" w:rsidRPr="006B033F">
        <w:t xml:space="preserve">, </w:t>
      </w:r>
      <w:r w:rsidR="00D2095A" w:rsidRPr="006B033F">
        <w:rPr>
          <w:i/>
          <w:iCs/>
        </w:rPr>
        <w:t xml:space="preserve">Az </w:t>
      </w:r>
      <w:proofErr w:type="spellStart"/>
      <w:r w:rsidR="00D2095A" w:rsidRPr="006B033F">
        <w:rPr>
          <w:i/>
          <w:iCs/>
        </w:rPr>
        <w:t>Yashir</w:t>
      </w:r>
      <w:proofErr w:type="spellEnd"/>
      <w:r w:rsidR="00D2095A" w:rsidRPr="006B033F">
        <w:t>, Jerusalem [2009], p. 409).</w:t>
      </w:r>
    </w:p>
  </w:footnote>
  <w:footnote w:id="47">
    <w:p w14:paraId="032B00B8" w14:textId="1C5C33CC" w:rsidR="006902F5" w:rsidRPr="006B033F" w:rsidRDefault="006902F5" w:rsidP="004A2B71">
      <w:pPr>
        <w:pStyle w:val="FootnoteText"/>
      </w:pPr>
      <w:r w:rsidRPr="006B033F">
        <w:rPr>
          <w:rStyle w:val="FootnoteReference"/>
        </w:rPr>
        <w:footnoteRef/>
      </w:r>
      <w:r w:rsidRPr="006B033F">
        <w:t xml:space="preserve"> Ibn Ezra, </w:t>
      </w:r>
      <w:proofErr w:type="spellStart"/>
      <w:r w:rsidRPr="004A2B71">
        <w:rPr>
          <w:i/>
          <w:iCs/>
        </w:rPr>
        <w:t>Sefer</w:t>
      </w:r>
      <w:proofErr w:type="spellEnd"/>
      <w:r w:rsidRPr="004A2B71">
        <w:rPr>
          <w:i/>
          <w:iCs/>
        </w:rPr>
        <w:t xml:space="preserve"> </w:t>
      </w:r>
      <w:proofErr w:type="spellStart"/>
      <w:r w:rsidRPr="004A2B71">
        <w:rPr>
          <w:i/>
          <w:iCs/>
        </w:rPr>
        <w:t>Moznayim</w:t>
      </w:r>
      <w:proofErr w:type="spellEnd"/>
      <w:r w:rsidRPr="006B033F">
        <w:t>.</w:t>
      </w:r>
    </w:p>
  </w:footnote>
  <w:footnote w:id="48">
    <w:p w14:paraId="33760682" w14:textId="657770FF" w:rsidR="00FC6B14" w:rsidRPr="006B033F" w:rsidRDefault="00FC6B14" w:rsidP="004A2B71">
      <w:pPr>
        <w:pStyle w:val="FootnoteText"/>
      </w:pPr>
      <w:r w:rsidRPr="006B033F">
        <w:rPr>
          <w:rStyle w:val="FootnoteReference"/>
        </w:rPr>
        <w:footnoteRef/>
      </w:r>
      <w:r w:rsidRPr="006B033F">
        <w:t xml:space="preserve"> As demonstrated by Miriam </w:t>
      </w:r>
      <w:proofErr w:type="spellStart"/>
      <w:r w:rsidRPr="006B033F">
        <w:t>Sklarz</w:t>
      </w:r>
      <w:proofErr w:type="spellEnd"/>
      <w:r w:rsidRPr="006B033F">
        <w:t>, “</w:t>
      </w:r>
      <w:proofErr w:type="spellStart"/>
      <w:r w:rsidRPr="006B033F">
        <w:rPr>
          <w:i/>
          <w:iCs/>
        </w:rPr>
        <w:t>Hashlakhat</w:t>
      </w:r>
      <w:proofErr w:type="spellEnd"/>
      <w:r w:rsidRPr="006B033F">
        <w:rPr>
          <w:i/>
          <w:iCs/>
        </w:rPr>
        <w:t xml:space="preserve"> Avraham </w:t>
      </w:r>
      <w:proofErr w:type="spellStart"/>
      <w:r w:rsidRPr="006B033F">
        <w:rPr>
          <w:i/>
          <w:iCs/>
        </w:rPr>
        <w:t>l’Kivshan</w:t>
      </w:r>
      <w:proofErr w:type="spellEnd"/>
      <w:r w:rsidRPr="006B033F">
        <w:rPr>
          <w:i/>
          <w:iCs/>
        </w:rPr>
        <w:t xml:space="preserve"> ha-</w:t>
      </w:r>
      <w:proofErr w:type="spellStart"/>
      <w:r w:rsidRPr="006B033F">
        <w:rPr>
          <w:i/>
          <w:iCs/>
        </w:rPr>
        <w:t>Esh</w:t>
      </w:r>
      <w:proofErr w:type="spellEnd"/>
      <w:r w:rsidRPr="006B033F">
        <w:rPr>
          <w:i/>
          <w:iCs/>
        </w:rPr>
        <w:t xml:space="preserve"> </w:t>
      </w:r>
      <w:proofErr w:type="spellStart"/>
      <w:r w:rsidRPr="006B033F">
        <w:rPr>
          <w:i/>
          <w:iCs/>
        </w:rPr>
        <w:t>b’Kitveihem</w:t>
      </w:r>
      <w:proofErr w:type="spellEnd"/>
      <w:r w:rsidRPr="006B033F">
        <w:rPr>
          <w:i/>
          <w:iCs/>
        </w:rPr>
        <w:t xml:space="preserve"> </w:t>
      </w:r>
      <w:proofErr w:type="spellStart"/>
      <w:r w:rsidRPr="006B033F">
        <w:rPr>
          <w:i/>
          <w:iCs/>
        </w:rPr>
        <w:t>shel</w:t>
      </w:r>
      <w:proofErr w:type="spellEnd"/>
      <w:r w:rsidRPr="006B033F">
        <w:rPr>
          <w:i/>
          <w:iCs/>
        </w:rPr>
        <w:t xml:space="preserve"> R. Ibn Ezra </w:t>
      </w:r>
      <w:proofErr w:type="spellStart"/>
      <w:r w:rsidRPr="006B033F">
        <w:rPr>
          <w:i/>
          <w:iCs/>
        </w:rPr>
        <w:t>v’Ramban</w:t>
      </w:r>
      <w:proofErr w:type="spellEnd"/>
      <w:r w:rsidRPr="006B033F">
        <w:t xml:space="preserve">,” </w:t>
      </w:r>
      <w:proofErr w:type="spellStart"/>
      <w:r w:rsidRPr="006B033F">
        <w:rPr>
          <w:i/>
          <w:iCs/>
        </w:rPr>
        <w:t>Oreshet</w:t>
      </w:r>
      <w:proofErr w:type="spellEnd"/>
      <w:r w:rsidRPr="006B033F">
        <w:t xml:space="preserve"> 3 (2012), pp. 23-33</w:t>
      </w:r>
      <w:r w:rsidR="0027117B" w:rsidRPr="006B033F">
        <w:t xml:space="preserve"> [referencing pp. 28-29].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35466F"/>
    <w:multiLevelType w:val="hybridMultilevel"/>
    <w:tmpl w:val="0B6A29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קאפח יוחנן, הרב דר">
    <w15:presenceInfo w15:providerId="AD" w15:userId="S-1-5-21-583907252-1214440339-839522115-8629"/>
  </w15:person>
  <w15:person w15:author="Josh Amaru">
    <w15:presenceInfo w15:providerId="None" w15:userId="Josh Amaru"/>
  </w15:person>
  <w15:person w15:author="mailshelnava@gmail.com">
    <w15:presenceInfo w15:providerId="Windows Live" w15:userId="715df37715c88971"/>
  </w15:person>
  <w15:person w15:author="קאפח יוחנן, הרב דר [2]">
    <w15:presenceInfo w15:providerId="AD" w15:userId="S::ykapah@orot.ac.il::0fd4cf07-5703-4f1d-8432-399b21a51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wtDQzMTQ1MTQzMDNQ0lEKTi0uzszPAykwqgUA559onCwAAAA="/>
  </w:docVars>
  <w:rsids>
    <w:rsidRoot w:val="002C64DD"/>
    <w:rsid w:val="00014308"/>
    <w:rsid w:val="00021E73"/>
    <w:rsid w:val="000330E9"/>
    <w:rsid w:val="0006185D"/>
    <w:rsid w:val="0006268F"/>
    <w:rsid w:val="000631E5"/>
    <w:rsid w:val="000746B8"/>
    <w:rsid w:val="00081152"/>
    <w:rsid w:val="000835DB"/>
    <w:rsid w:val="000A3A4A"/>
    <w:rsid w:val="000F6473"/>
    <w:rsid w:val="00141A49"/>
    <w:rsid w:val="00153C02"/>
    <w:rsid w:val="00164A3A"/>
    <w:rsid w:val="0017502D"/>
    <w:rsid w:val="00176A1F"/>
    <w:rsid w:val="001A7D8A"/>
    <w:rsid w:val="001E090A"/>
    <w:rsid w:val="001E1D68"/>
    <w:rsid w:val="001E712E"/>
    <w:rsid w:val="00206AF8"/>
    <w:rsid w:val="002126A2"/>
    <w:rsid w:val="00233E38"/>
    <w:rsid w:val="0024353B"/>
    <w:rsid w:val="00260AC6"/>
    <w:rsid w:val="00265998"/>
    <w:rsid w:val="0027117B"/>
    <w:rsid w:val="00273883"/>
    <w:rsid w:val="00296373"/>
    <w:rsid w:val="002B7C5E"/>
    <w:rsid w:val="002C593D"/>
    <w:rsid w:val="002C64DD"/>
    <w:rsid w:val="002D12A6"/>
    <w:rsid w:val="002E4117"/>
    <w:rsid w:val="002F7014"/>
    <w:rsid w:val="00303508"/>
    <w:rsid w:val="00325246"/>
    <w:rsid w:val="00367206"/>
    <w:rsid w:val="0037082A"/>
    <w:rsid w:val="003828EF"/>
    <w:rsid w:val="003E251D"/>
    <w:rsid w:val="00411B69"/>
    <w:rsid w:val="004238BF"/>
    <w:rsid w:val="00467D95"/>
    <w:rsid w:val="00482E78"/>
    <w:rsid w:val="0049001B"/>
    <w:rsid w:val="0049706E"/>
    <w:rsid w:val="00497825"/>
    <w:rsid w:val="004A2B71"/>
    <w:rsid w:val="004D1D44"/>
    <w:rsid w:val="004F7F0E"/>
    <w:rsid w:val="00536751"/>
    <w:rsid w:val="005413D1"/>
    <w:rsid w:val="00565522"/>
    <w:rsid w:val="0057761F"/>
    <w:rsid w:val="00586E99"/>
    <w:rsid w:val="005A40F3"/>
    <w:rsid w:val="005A6DE7"/>
    <w:rsid w:val="005B21DF"/>
    <w:rsid w:val="005C44B1"/>
    <w:rsid w:val="005E2101"/>
    <w:rsid w:val="005E62EF"/>
    <w:rsid w:val="005F7FC0"/>
    <w:rsid w:val="0061337C"/>
    <w:rsid w:val="00614181"/>
    <w:rsid w:val="0063086C"/>
    <w:rsid w:val="006352EB"/>
    <w:rsid w:val="00651556"/>
    <w:rsid w:val="00655BDF"/>
    <w:rsid w:val="00656129"/>
    <w:rsid w:val="006902F5"/>
    <w:rsid w:val="00691FBC"/>
    <w:rsid w:val="006A48CC"/>
    <w:rsid w:val="006B033F"/>
    <w:rsid w:val="006B03AE"/>
    <w:rsid w:val="006C42D1"/>
    <w:rsid w:val="00726ED6"/>
    <w:rsid w:val="007431CF"/>
    <w:rsid w:val="00772424"/>
    <w:rsid w:val="00786754"/>
    <w:rsid w:val="007C1D24"/>
    <w:rsid w:val="007E36A3"/>
    <w:rsid w:val="00811105"/>
    <w:rsid w:val="008366B2"/>
    <w:rsid w:val="00870CAA"/>
    <w:rsid w:val="00873767"/>
    <w:rsid w:val="00874A47"/>
    <w:rsid w:val="008752B2"/>
    <w:rsid w:val="008D01AB"/>
    <w:rsid w:val="0090747B"/>
    <w:rsid w:val="009305D2"/>
    <w:rsid w:val="00933BA0"/>
    <w:rsid w:val="00936A39"/>
    <w:rsid w:val="00956ED2"/>
    <w:rsid w:val="00957C0F"/>
    <w:rsid w:val="009B67BC"/>
    <w:rsid w:val="009D486E"/>
    <w:rsid w:val="00A142CD"/>
    <w:rsid w:val="00A14940"/>
    <w:rsid w:val="00A26304"/>
    <w:rsid w:val="00A271FB"/>
    <w:rsid w:val="00A65687"/>
    <w:rsid w:val="00A71467"/>
    <w:rsid w:val="00A7619E"/>
    <w:rsid w:val="00A90731"/>
    <w:rsid w:val="00AA2369"/>
    <w:rsid w:val="00AA3F8B"/>
    <w:rsid w:val="00AB4052"/>
    <w:rsid w:val="00AD1882"/>
    <w:rsid w:val="00AD3096"/>
    <w:rsid w:val="00AD5953"/>
    <w:rsid w:val="00AF1686"/>
    <w:rsid w:val="00B02E10"/>
    <w:rsid w:val="00B05DE5"/>
    <w:rsid w:val="00B307A3"/>
    <w:rsid w:val="00B54922"/>
    <w:rsid w:val="00B663D9"/>
    <w:rsid w:val="00B72580"/>
    <w:rsid w:val="00B87D22"/>
    <w:rsid w:val="00B975BF"/>
    <w:rsid w:val="00BA61C5"/>
    <w:rsid w:val="00BC4954"/>
    <w:rsid w:val="00BF1B14"/>
    <w:rsid w:val="00C31D9F"/>
    <w:rsid w:val="00C35895"/>
    <w:rsid w:val="00C467BA"/>
    <w:rsid w:val="00C839AB"/>
    <w:rsid w:val="00C93EE3"/>
    <w:rsid w:val="00CB70CE"/>
    <w:rsid w:val="00CF2EA3"/>
    <w:rsid w:val="00D11731"/>
    <w:rsid w:val="00D2095A"/>
    <w:rsid w:val="00D25E67"/>
    <w:rsid w:val="00D2777E"/>
    <w:rsid w:val="00D302FC"/>
    <w:rsid w:val="00D4463D"/>
    <w:rsid w:val="00D46B3C"/>
    <w:rsid w:val="00D47780"/>
    <w:rsid w:val="00D54DC8"/>
    <w:rsid w:val="00D66F67"/>
    <w:rsid w:val="00D94DDE"/>
    <w:rsid w:val="00D95CEE"/>
    <w:rsid w:val="00DB24A3"/>
    <w:rsid w:val="00DC474C"/>
    <w:rsid w:val="00DD6D58"/>
    <w:rsid w:val="00DD7249"/>
    <w:rsid w:val="00DE7913"/>
    <w:rsid w:val="00E373E5"/>
    <w:rsid w:val="00E471FD"/>
    <w:rsid w:val="00E57D98"/>
    <w:rsid w:val="00E65043"/>
    <w:rsid w:val="00E667F1"/>
    <w:rsid w:val="00EB7AC5"/>
    <w:rsid w:val="00EE5FAE"/>
    <w:rsid w:val="00EE67BE"/>
    <w:rsid w:val="00F250E2"/>
    <w:rsid w:val="00F31095"/>
    <w:rsid w:val="00F55B1D"/>
    <w:rsid w:val="00F622D0"/>
    <w:rsid w:val="00F83C70"/>
    <w:rsid w:val="00F94C77"/>
    <w:rsid w:val="00FB4096"/>
    <w:rsid w:val="00FC6B14"/>
    <w:rsid w:val="00FD68D1"/>
    <w:rsid w:val="00FF02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010F9"/>
  <w15:chartTrackingRefBased/>
  <w15:docId w15:val="{C3BA9440-F98E-4E7A-9875-43CBE0E5D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B71"/>
    <w:pPr>
      <w:spacing w:line="360" w:lineRule="auto"/>
      <w:jc w:val="both"/>
    </w:pPr>
    <w:rPr>
      <w:rFonts w:asciiTheme="majorBidi" w:hAnsiTheme="majorBidi" w:cstheme="majorBidi"/>
      <w:sz w:val="24"/>
      <w:szCs w:val="24"/>
    </w:rPr>
  </w:style>
  <w:style w:type="paragraph" w:styleId="Heading1">
    <w:name w:val="heading 1"/>
    <w:basedOn w:val="Normal"/>
    <w:next w:val="Normal"/>
    <w:link w:val="Heading1Char"/>
    <w:uiPriority w:val="9"/>
    <w:qFormat/>
    <w:rsid w:val="004A2B71"/>
    <w:p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B21DF"/>
    <w:pPr>
      <w:spacing w:after="0" w:line="240" w:lineRule="auto"/>
    </w:pPr>
    <w:rPr>
      <w:sz w:val="20"/>
      <w:szCs w:val="20"/>
    </w:rPr>
  </w:style>
  <w:style w:type="character" w:customStyle="1" w:styleId="FootnoteTextChar">
    <w:name w:val="Footnote Text Char"/>
    <w:basedOn w:val="DefaultParagraphFont"/>
    <w:link w:val="FootnoteText"/>
    <w:uiPriority w:val="99"/>
    <w:rsid w:val="005B21DF"/>
    <w:rPr>
      <w:sz w:val="20"/>
      <w:szCs w:val="20"/>
    </w:rPr>
  </w:style>
  <w:style w:type="character" w:styleId="FootnoteReference">
    <w:name w:val="footnote reference"/>
    <w:basedOn w:val="DefaultParagraphFont"/>
    <w:uiPriority w:val="99"/>
    <w:semiHidden/>
    <w:unhideWhenUsed/>
    <w:rsid w:val="005B21DF"/>
    <w:rPr>
      <w:vertAlign w:val="superscript"/>
    </w:rPr>
  </w:style>
  <w:style w:type="character" w:styleId="Hyperlink">
    <w:name w:val="Hyperlink"/>
    <w:basedOn w:val="DefaultParagraphFont"/>
    <w:uiPriority w:val="99"/>
    <w:unhideWhenUsed/>
    <w:rsid w:val="005B21DF"/>
    <w:rPr>
      <w:color w:val="0563C1" w:themeColor="hyperlink"/>
      <w:u w:val="single"/>
    </w:rPr>
  </w:style>
  <w:style w:type="character" w:customStyle="1" w:styleId="1">
    <w:name w:val="אזכור לא מזוהה1"/>
    <w:basedOn w:val="DefaultParagraphFont"/>
    <w:uiPriority w:val="99"/>
    <w:semiHidden/>
    <w:unhideWhenUsed/>
    <w:rsid w:val="005B21DF"/>
    <w:rPr>
      <w:color w:val="605E5C"/>
      <w:shd w:val="clear" w:color="auto" w:fill="E1DFDD"/>
    </w:rPr>
  </w:style>
  <w:style w:type="character" w:styleId="CommentReference">
    <w:name w:val="annotation reference"/>
    <w:basedOn w:val="DefaultParagraphFont"/>
    <w:uiPriority w:val="99"/>
    <w:semiHidden/>
    <w:unhideWhenUsed/>
    <w:rsid w:val="00FF0242"/>
    <w:rPr>
      <w:sz w:val="16"/>
      <w:szCs w:val="16"/>
    </w:rPr>
  </w:style>
  <w:style w:type="paragraph" w:styleId="CommentText">
    <w:name w:val="annotation text"/>
    <w:basedOn w:val="Normal"/>
    <w:link w:val="CommentTextChar"/>
    <w:uiPriority w:val="99"/>
    <w:unhideWhenUsed/>
    <w:rsid w:val="00FF0242"/>
    <w:pPr>
      <w:spacing w:line="240" w:lineRule="auto"/>
    </w:pPr>
    <w:rPr>
      <w:sz w:val="20"/>
      <w:szCs w:val="20"/>
    </w:rPr>
  </w:style>
  <w:style w:type="character" w:customStyle="1" w:styleId="CommentTextChar">
    <w:name w:val="Comment Text Char"/>
    <w:basedOn w:val="DefaultParagraphFont"/>
    <w:link w:val="CommentText"/>
    <w:uiPriority w:val="99"/>
    <w:rsid w:val="00FF0242"/>
    <w:rPr>
      <w:sz w:val="20"/>
      <w:szCs w:val="20"/>
    </w:rPr>
  </w:style>
  <w:style w:type="paragraph" w:styleId="CommentSubject">
    <w:name w:val="annotation subject"/>
    <w:basedOn w:val="CommentText"/>
    <w:next w:val="CommentText"/>
    <w:link w:val="CommentSubjectChar"/>
    <w:uiPriority w:val="99"/>
    <w:semiHidden/>
    <w:unhideWhenUsed/>
    <w:rsid w:val="00FF0242"/>
    <w:rPr>
      <w:b/>
      <w:bCs/>
    </w:rPr>
  </w:style>
  <w:style w:type="character" w:customStyle="1" w:styleId="CommentSubjectChar">
    <w:name w:val="Comment Subject Char"/>
    <w:basedOn w:val="CommentTextChar"/>
    <w:link w:val="CommentSubject"/>
    <w:uiPriority w:val="99"/>
    <w:semiHidden/>
    <w:rsid w:val="00FF0242"/>
    <w:rPr>
      <w:b/>
      <w:bCs/>
      <w:sz w:val="20"/>
      <w:szCs w:val="20"/>
    </w:rPr>
  </w:style>
  <w:style w:type="paragraph" w:styleId="ListParagraph">
    <w:name w:val="List Paragraph"/>
    <w:basedOn w:val="Normal"/>
    <w:uiPriority w:val="34"/>
    <w:qFormat/>
    <w:rsid w:val="00565522"/>
    <w:pPr>
      <w:ind w:left="720"/>
      <w:contextualSpacing/>
    </w:pPr>
  </w:style>
  <w:style w:type="character" w:customStyle="1" w:styleId="Heading1Char">
    <w:name w:val="Heading 1 Char"/>
    <w:basedOn w:val="DefaultParagraphFont"/>
    <w:link w:val="Heading1"/>
    <w:uiPriority w:val="9"/>
    <w:rsid w:val="004A2B71"/>
    <w:rPr>
      <w:rFonts w:asciiTheme="majorBidi" w:hAnsiTheme="majorBidi" w:cstheme="majorBidi"/>
      <w:b/>
      <w:bCs/>
      <w:sz w:val="24"/>
      <w:szCs w:val="24"/>
      <w:lang w:val="en-US"/>
    </w:rPr>
  </w:style>
  <w:style w:type="paragraph" w:styleId="Title">
    <w:name w:val="Title"/>
    <w:basedOn w:val="Normal"/>
    <w:next w:val="Normal"/>
    <w:link w:val="TitleChar"/>
    <w:uiPriority w:val="10"/>
    <w:qFormat/>
    <w:rsid w:val="004A2B71"/>
    <w:pPr>
      <w:jc w:val="center"/>
    </w:pPr>
    <w:rPr>
      <w:b/>
      <w:bCs/>
      <w:sz w:val="28"/>
      <w:szCs w:val="28"/>
    </w:rPr>
  </w:style>
  <w:style w:type="character" w:customStyle="1" w:styleId="TitleChar">
    <w:name w:val="Title Char"/>
    <w:basedOn w:val="DefaultParagraphFont"/>
    <w:link w:val="Title"/>
    <w:uiPriority w:val="10"/>
    <w:rsid w:val="004A2B71"/>
    <w:rPr>
      <w:rFonts w:asciiTheme="majorBidi" w:hAnsiTheme="majorBidi" w:cstheme="majorBidi"/>
      <w:b/>
      <w:bCs/>
      <w:sz w:val="28"/>
      <w:szCs w:val="28"/>
      <w:lang w:val="en-US"/>
    </w:rPr>
  </w:style>
  <w:style w:type="paragraph" w:styleId="Quote">
    <w:name w:val="Quote"/>
    <w:basedOn w:val="Normal"/>
    <w:next w:val="Normal"/>
    <w:link w:val="QuoteChar"/>
    <w:uiPriority w:val="29"/>
    <w:qFormat/>
    <w:rsid w:val="004A2B71"/>
    <w:pPr>
      <w:ind w:left="720" w:right="720"/>
    </w:pPr>
    <w:rPr>
      <w:lang w:val="en"/>
    </w:rPr>
  </w:style>
  <w:style w:type="character" w:customStyle="1" w:styleId="QuoteChar">
    <w:name w:val="Quote Char"/>
    <w:basedOn w:val="DefaultParagraphFont"/>
    <w:link w:val="Quote"/>
    <w:uiPriority w:val="29"/>
    <w:rsid w:val="004A2B71"/>
    <w:rPr>
      <w:rFonts w:asciiTheme="majorBidi" w:hAnsiTheme="majorBidi" w:cstheme="majorBidi"/>
      <w:sz w:val="24"/>
      <w:szCs w:val="24"/>
      <w:lang w:val="en"/>
    </w:rPr>
  </w:style>
  <w:style w:type="paragraph" w:styleId="BalloonText">
    <w:name w:val="Balloon Text"/>
    <w:basedOn w:val="Normal"/>
    <w:link w:val="BalloonTextChar"/>
    <w:uiPriority w:val="99"/>
    <w:semiHidden/>
    <w:unhideWhenUsed/>
    <w:rsid w:val="00A271FB"/>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271FB"/>
    <w:rPr>
      <w:rFonts w:ascii="Tahoma" w:hAnsi="Tahoma" w:cs="Tahoma"/>
      <w:sz w:val="18"/>
      <w:szCs w:val="18"/>
    </w:rPr>
  </w:style>
  <w:style w:type="paragraph" w:styleId="Header">
    <w:name w:val="header"/>
    <w:basedOn w:val="Normal"/>
    <w:link w:val="HeaderChar"/>
    <w:uiPriority w:val="99"/>
    <w:unhideWhenUsed/>
    <w:rsid w:val="003E251D"/>
    <w:pPr>
      <w:tabs>
        <w:tab w:val="center" w:pos="4153"/>
        <w:tab w:val="right" w:pos="8306"/>
      </w:tabs>
      <w:spacing w:after="0" w:line="240" w:lineRule="auto"/>
    </w:pPr>
  </w:style>
  <w:style w:type="character" w:customStyle="1" w:styleId="HeaderChar">
    <w:name w:val="Header Char"/>
    <w:basedOn w:val="DefaultParagraphFont"/>
    <w:link w:val="Header"/>
    <w:uiPriority w:val="99"/>
    <w:rsid w:val="003E251D"/>
    <w:rPr>
      <w:rFonts w:asciiTheme="majorBidi" w:hAnsiTheme="majorBidi" w:cstheme="majorBidi"/>
      <w:sz w:val="24"/>
      <w:szCs w:val="24"/>
    </w:rPr>
  </w:style>
  <w:style w:type="paragraph" w:styleId="Footer">
    <w:name w:val="footer"/>
    <w:basedOn w:val="Normal"/>
    <w:link w:val="FooterChar"/>
    <w:uiPriority w:val="99"/>
    <w:unhideWhenUsed/>
    <w:rsid w:val="003E251D"/>
    <w:pPr>
      <w:tabs>
        <w:tab w:val="center" w:pos="4153"/>
        <w:tab w:val="right" w:pos="8306"/>
      </w:tabs>
      <w:spacing w:after="0" w:line="240" w:lineRule="auto"/>
    </w:pPr>
  </w:style>
  <w:style w:type="character" w:customStyle="1" w:styleId="FooterChar">
    <w:name w:val="Footer Char"/>
    <w:basedOn w:val="DefaultParagraphFont"/>
    <w:link w:val="Footer"/>
    <w:uiPriority w:val="99"/>
    <w:rsid w:val="003E251D"/>
    <w:rPr>
      <w:rFonts w:asciiTheme="majorBidi" w:hAnsiTheme="majorBid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972700">
      <w:bodyDiv w:val="1"/>
      <w:marLeft w:val="0"/>
      <w:marRight w:val="0"/>
      <w:marTop w:val="0"/>
      <w:marBottom w:val="0"/>
      <w:divBdr>
        <w:top w:val="none" w:sz="0" w:space="0" w:color="auto"/>
        <w:left w:val="none" w:sz="0" w:space="0" w:color="auto"/>
        <w:bottom w:val="none" w:sz="0" w:space="0" w:color="auto"/>
        <w:right w:val="none" w:sz="0" w:space="0" w:color="auto"/>
      </w:divBdr>
      <w:divsChild>
        <w:div w:id="2108260004">
          <w:marLeft w:val="0"/>
          <w:marRight w:val="0"/>
          <w:marTop w:val="48"/>
          <w:marBottom w:val="0"/>
          <w:divBdr>
            <w:top w:val="none" w:sz="0" w:space="0" w:color="auto"/>
            <w:left w:val="none" w:sz="0" w:space="0" w:color="auto"/>
            <w:bottom w:val="none" w:sz="0" w:space="0" w:color="auto"/>
            <w:right w:val="none" w:sz="0" w:space="0" w:color="auto"/>
          </w:divBdr>
        </w:div>
      </w:divsChild>
    </w:div>
    <w:div w:id="965815483">
      <w:bodyDiv w:val="1"/>
      <w:marLeft w:val="0"/>
      <w:marRight w:val="0"/>
      <w:marTop w:val="0"/>
      <w:marBottom w:val="0"/>
      <w:divBdr>
        <w:top w:val="none" w:sz="0" w:space="0" w:color="auto"/>
        <w:left w:val="none" w:sz="0" w:space="0" w:color="auto"/>
        <w:bottom w:val="none" w:sz="0" w:space="0" w:color="auto"/>
        <w:right w:val="none" w:sz="0" w:space="0" w:color="auto"/>
      </w:divBdr>
    </w:div>
    <w:div w:id="1256475068">
      <w:bodyDiv w:val="1"/>
      <w:marLeft w:val="0"/>
      <w:marRight w:val="0"/>
      <w:marTop w:val="0"/>
      <w:marBottom w:val="0"/>
      <w:divBdr>
        <w:top w:val="none" w:sz="0" w:space="0" w:color="auto"/>
        <w:left w:val="none" w:sz="0" w:space="0" w:color="auto"/>
        <w:bottom w:val="none" w:sz="0" w:space="0" w:color="auto"/>
        <w:right w:val="none" w:sz="0" w:space="0" w:color="auto"/>
      </w:divBdr>
      <w:divsChild>
        <w:div w:id="1541628526">
          <w:marLeft w:val="0"/>
          <w:marRight w:val="0"/>
          <w:marTop w:val="0"/>
          <w:marBottom w:val="0"/>
          <w:divBdr>
            <w:top w:val="none" w:sz="0" w:space="0" w:color="auto"/>
            <w:left w:val="none" w:sz="0" w:space="0" w:color="auto"/>
            <w:bottom w:val="none" w:sz="0" w:space="0" w:color="auto"/>
            <w:right w:val="none" w:sz="0" w:space="0" w:color="auto"/>
          </w:divBdr>
        </w:div>
        <w:div w:id="1312054134">
          <w:marLeft w:val="0"/>
          <w:marRight w:val="0"/>
          <w:marTop w:val="0"/>
          <w:marBottom w:val="0"/>
          <w:divBdr>
            <w:top w:val="none" w:sz="0" w:space="0" w:color="auto"/>
            <w:left w:val="none" w:sz="0" w:space="0" w:color="auto"/>
            <w:bottom w:val="none" w:sz="0" w:space="0" w:color="auto"/>
            <w:right w:val="none" w:sz="0" w:space="0" w:color="auto"/>
          </w:divBdr>
        </w:div>
        <w:div w:id="1785690528">
          <w:marLeft w:val="0"/>
          <w:marRight w:val="0"/>
          <w:marTop w:val="0"/>
          <w:marBottom w:val="0"/>
          <w:divBdr>
            <w:top w:val="none" w:sz="0" w:space="0" w:color="auto"/>
            <w:left w:val="none" w:sz="0" w:space="0" w:color="auto"/>
            <w:bottom w:val="none" w:sz="0" w:space="0" w:color="auto"/>
            <w:right w:val="none" w:sz="0" w:space="0" w:color="auto"/>
          </w:divBdr>
        </w:div>
        <w:div w:id="173351611">
          <w:marLeft w:val="0"/>
          <w:marRight w:val="0"/>
          <w:marTop w:val="0"/>
          <w:marBottom w:val="0"/>
          <w:divBdr>
            <w:top w:val="none" w:sz="0" w:space="0" w:color="auto"/>
            <w:left w:val="none" w:sz="0" w:space="0" w:color="auto"/>
            <w:bottom w:val="none" w:sz="0" w:space="0" w:color="auto"/>
            <w:right w:val="none" w:sz="0" w:space="0" w:color="auto"/>
          </w:divBdr>
        </w:div>
        <w:div w:id="1975065445">
          <w:marLeft w:val="0"/>
          <w:marRight w:val="0"/>
          <w:marTop w:val="0"/>
          <w:marBottom w:val="0"/>
          <w:divBdr>
            <w:top w:val="none" w:sz="0" w:space="0" w:color="auto"/>
            <w:left w:val="none" w:sz="0" w:space="0" w:color="auto"/>
            <w:bottom w:val="none" w:sz="0" w:space="0" w:color="auto"/>
            <w:right w:val="none" w:sz="0" w:space="0" w:color="auto"/>
          </w:divBdr>
        </w:div>
        <w:div w:id="212540365">
          <w:marLeft w:val="0"/>
          <w:marRight w:val="0"/>
          <w:marTop w:val="0"/>
          <w:marBottom w:val="0"/>
          <w:divBdr>
            <w:top w:val="none" w:sz="0" w:space="0" w:color="auto"/>
            <w:left w:val="none" w:sz="0" w:space="0" w:color="auto"/>
            <w:bottom w:val="none" w:sz="0" w:space="0" w:color="auto"/>
            <w:right w:val="none" w:sz="0" w:space="0" w:color="auto"/>
          </w:divBdr>
        </w:div>
        <w:div w:id="224335295">
          <w:marLeft w:val="0"/>
          <w:marRight w:val="0"/>
          <w:marTop w:val="0"/>
          <w:marBottom w:val="0"/>
          <w:divBdr>
            <w:top w:val="none" w:sz="0" w:space="0" w:color="auto"/>
            <w:left w:val="none" w:sz="0" w:space="0" w:color="auto"/>
            <w:bottom w:val="none" w:sz="0" w:space="0" w:color="auto"/>
            <w:right w:val="none" w:sz="0" w:space="0" w:color="auto"/>
          </w:divBdr>
        </w:div>
        <w:div w:id="1305088330">
          <w:marLeft w:val="0"/>
          <w:marRight w:val="0"/>
          <w:marTop w:val="0"/>
          <w:marBottom w:val="0"/>
          <w:divBdr>
            <w:top w:val="none" w:sz="0" w:space="0" w:color="auto"/>
            <w:left w:val="none" w:sz="0" w:space="0" w:color="auto"/>
            <w:bottom w:val="none" w:sz="0" w:space="0" w:color="auto"/>
            <w:right w:val="none" w:sz="0" w:space="0" w:color="auto"/>
          </w:divBdr>
        </w:div>
      </w:divsChild>
    </w:div>
    <w:div w:id="2133401220">
      <w:bodyDiv w:val="1"/>
      <w:marLeft w:val="0"/>
      <w:marRight w:val="0"/>
      <w:marTop w:val="0"/>
      <w:marBottom w:val="0"/>
      <w:divBdr>
        <w:top w:val="none" w:sz="0" w:space="0" w:color="auto"/>
        <w:left w:val="none" w:sz="0" w:space="0" w:color="auto"/>
        <w:bottom w:val="none" w:sz="0" w:space="0" w:color="auto"/>
        <w:right w:val="none" w:sz="0" w:space="0" w:color="auto"/>
      </w:divBdr>
      <w:divsChild>
        <w:div w:id="788742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2167C-0F1E-48A9-A481-6AC5FA9E0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3610</TotalTime>
  <Pages>13</Pages>
  <Words>4357</Words>
  <Characters>21005</Characters>
  <Application>Microsoft Office Word</Application>
  <DocSecurity>0</DocSecurity>
  <Lines>295</Lines>
  <Paragraphs>49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mailshelnava@gmail.com</dc:creator>
  <cp:keywords/>
  <dc:description/>
  <cp:lastModifiedBy>Josh Amaru</cp:lastModifiedBy>
  <cp:revision>101</cp:revision>
  <cp:lastPrinted>2021-11-15T09:07:00Z</cp:lastPrinted>
  <dcterms:created xsi:type="dcterms:W3CDTF">2021-10-30T18:02:00Z</dcterms:created>
  <dcterms:modified xsi:type="dcterms:W3CDTF">2021-11-18T13:51:00Z</dcterms:modified>
</cp:coreProperties>
</file>