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ED35" w14:textId="5CE7B975" w:rsidR="00851D0E" w:rsidRPr="00A623A4" w:rsidRDefault="00EB3003" w:rsidP="00057E0D">
      <w:pPr>
        <w:spacing w:line="276" w:lineRule="auto"/>
        <w:rPr>
          <w:rFonts w:asciiTheme="minorBidi" w:hAnsiTheme="minorBidi"/>
          <w:b/>
          <w:bCs/>
          <w:rtl/>
        </w:rPr>
      </w:pPr>
      <w:r>
        <w:rPr>
          <w:rStyle w:val="af0"/>
          <w:rFonts w:asciiTheme="minorBidi" w:hAnsiTheme="minorBidi"/>
          <w:b/>
          <w:bCs/>
        </w:rPr>
        <w:endnoteReference w:id="1"/>
      </w:r>
    </w:p>
    <w:tbl>
      <w:tblPr>
        <w:tblStyle w:val="a7"/>
        <w:tblW w:w="0" w:type="auto"/>
        <w:tblLook w:val="04A0" w:firstRow="1" w:lastRow="0" w:firstColumn="1" w:lastColumn="0" w:noHBand="0" w:noVBand="1"/>
      </w:tblPr>
      <w:tblGrid>
        <w:gridCol w:w="4675"/>
        <w:gridCol w:w="4675"/>
      </w:tblGrid>
      <w:tr w:rsidR="00A623A4" w:rsidRPr="00A623A4" w14:paraId="34B68EF6" w14:textId="77777777" w:rsidTr="00E60E97">
        <w:trPr>
          <w:tblHeader/>
        </w:trPr>
        <w:tc>
          <w:tcPr>
            <w:tcW w:w="4675" w:type="dxa"/>
            <w:shd w:val="clear" w:color="auto" w:fill="D9E2F3" w:themeFill="accent1" w:themeFillTint="33"/>
          </w:tcPr>
          <w:p w14:paraId="3AFAD6E8"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14:paraId="44135527"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14:paraId="1124BFB1" w14:textId="77777777" w:rsidTr="004E1C22">
        <w:tc>
          <w:tcPr>
            <w:tcW w:w="4675" w:type="dxa"/>
          </w:tcPr>
          <w:p w14:paraId="2ACE7367" w14:textId="77777777" w:rsidR="00CE5210" w:rsidRPr="00C11F76" w:rsidRDefault="00CE5210" w:rsidP="00CE5210">
            <w:pPr>
              <w:shd w:val="clear" w:color="auto" w:fill="FFFFFF"/>
              <w:spacing w:line="537" w:lineRule="atLeast"/>
              <w:rPr>
                <w:rFonts w:ascii="Times New Roman" w:eastAsia="Times New Roman" w:hAnsi="Times New Roman" w:cs="Times New Roman"/>
                <w:color w:val="2E2E2E"/>
                <w:sz w:val="43"/>
                <w:szCs w:val="43"/>
                <w:lang w:bidi="ar-SA"/>
              </w:rPr>
            </w:pPr>
            <w:r w:rsidRPr="00C11F76">
              <w:rPr>
                <w:rFonts w:ascii="Times New Roman" w:eastAsia="Times New Roman" w:hAnsi="Times New Roman" w:cs="Times New Roman"/>
                <w:color w:val="2E2E2E"/>
                <w:sz w:val="43"/>
                <w:szCs w:val="43"/>
                <w:lang w:bidi="ar-SA"/>
              </w:rPr>
              <w:t>Dr.</w:t>
            </w:r>
            <w:r>
              <w:rPr>
                <w:rFonts w:ascii="Times New Roman" w:eastAsia="Times New Roman" w:hAnsi="Times New Roman" w:cs="Times New Roman"/>
                <w:color w:val="2E2E2E"/>
                <w:sz w:val="43"/>
                <w:szCs w:val="43"/>
                <w:lang w:bidi="ar-SA"/>
              </w:rPr>
              <w:t xml:space="preserve"> </w:t>
            </w:r>
            <w:r w:rsidRPr="00C11F76">
              <w:rPr>
                <w:rFonts w:ascii="Times New Roman" w:eastAsia="Times New Roman" w:hAnsi="Times New Roman" w:cs="Times New Roman"/>
                <w:color w:val="2E2E2E"/>
                <w:sz w:val="43"/>
                <w:szCs w:val="43"/>
                <w:lang w:bidi="ar-SA"/>
              </w:rPr>
              <w:t>Sandra Jacobs</w:t>
            </w:r>
          </w:p>
          <w:p w14:paraId="4D2E0A0A" w14:textId="77777777" w:rsidR="00CE5210" w:rsidRPr="00C11F76" w:rsidRDefault="00CE5210" w:rsidP="00CE5210">
            <w:pPr>
              <w:shd w:val="clear" w:color="auto" w:fill="FFFFFF"/>
              <w:spacing w:line="333" w:lineRule="atLeast"/>
              <w:rPr>
                <w:rFonts w:ascii="Times New Roman" w:eastAsia="Times New Roman" w:hAnsi="Times New Roman" w:cs="Times New Roman"/>
                <w:color w:val="777777"/>
                <w:lang w:bidi="ar-SA"/>
              </w:rPr>
            </w:pPr>
            <w:r w:rsidRPr="00C11F76">
              <w:rPr>
                <w:rFonts w:ascii="Times New Roman" w:eastAsia="Times New Roman" w:hAnsi="Times New Roman" w:cs="Times New Roman"/>
                <w:color w:val="777777"/>
                <w:lang w:bidi="ar-SA"/>
              </w:rPr>
              <w:t>King's College, London</w:t>
            </w:r>
          </w:p>
          <w:p w14:paraId="5A974C61" w14:textId="77777777" w:rsidR="00A623A4" w:rsidRPr="00E60E97" w:rsidRDefault="00A623A4" w:rsidP="00057E0D">
            <w:pPr>
              <w:spacing w:line="276" w:lineRule="auto"/>
              <w:rPr>
                <w:rFonts w:asciiTheme="minorBidi" w:hAnsiTheme="minorBidi"/>
                <w:b/>
                <w:bCs/>
              </w:rPr>
            </w:pPr>
          </w:p>
        </w:tc>
        <w:tc>
          <w:tcPr>
            <w:tcW w:w="4675" w:type="dxa"/>
          </w:tcPr>
          <w:p w14:paraId="3AA346C5" w14:textId="77777777" w:rsidR="00365C76" w:rsidRPr="006C108F" w:rsidRDefault="00365C76" w:rsidP="00365C76">
            <w:pPr>
              <w:rPr>
                <w:rFonts w:ascii="David" w:hAnsi="David" w:cs="David"/>
                <w:sz w:val="32"/>
                <w:szCs w:val="32"/>
                <w:rtl/>
              </w:rPr>
            </w:pPr>
            <w:r w:rsidRPr="006C108F">
              <w:rPr>
                <w:rFonts w:ascii="David" w:hAnsi="David" w:cs="David"/>
                <w:sz w:val="32"/>
                <w:szCs w:val="32"/>
                <w:rtl/>
              </w:rPr>
              <w:t xml:space="preserve">ד"ר סנדרה </w:t>
            </w:r>
            <w:proofErr w:type="spellStart"/>
            <w:r w:rsidRPr="006C108F">
              <w:rPr>
                <w:rFonts w:ascii="David" w:hAnsi="David" w:cs="David"/>
                <w:sz w:val="32"/>
                <w:szCs w:val="32"/>
                <w:rtl/>
              </w:rPr>
              <w:t>ג'ייקובס</w:t>
            </w:r>
            <w:proofErr w:type="spellEnd"/>
          </w:p>
          <w:p w14:paraId="24DEBA00" w14:textId="77777777" w:rsidR="00365C76" w:rsidRPr="006C108F" w:rsidRDefault="00365C76" w:rsidP="00365C76">
            <w:pPr>
              <w:rPr>
                <w:rFonts w:ascii="David" w:hAnsi="David" w:cs="David"/>
                <w:sz w:val="24"/>
                <w:szCs w:val="24"/>
                <w:rtl/>
              </w:rPr>
            </w:pPr>
            <w:proofErr w:type="spellStart"/>
            <w:r w:rsidRPr="006C108F">
              <w:rPr>
                <w:rFonts w:ascii="David" w:hAnsi="David" w:cs="David"/>
                <w:sz w:val="24"/>
                <w:szCs w:val="24"/>
                <w:rtl/>
              </w:rPr>
              <w:t>קינגס</w:t>
            </w:r>
            <w:proofErr w:type="spellEnd"/>
            <w:r w:rsidRPr="006C108F">
              <w:rPr>
                <w:rFonts w:ascii="David" w:hAnsi="David" w:cs="David"/>
                <w:sz w:val="24"/>
                <w:szCs w:val="24"/>
                <w:rtl/>
              </w:rPr>
              <w:t xml:space="preserve"> </w:t>
            </w:r>
            <w:proofErr w:type="spellStart"/>
            <w:r w:rsidRPr="006C108F">
              <w:rPr>
                <w:rFonts w:ascii="David" w:hAnsi="David" w:cs="David"/>
                <w:sz w:val="24"/>
                <w:szCs w:val="24"/>
                <w:rtl/>
              </w:rPr>
              <w:t>קולג</w:t>
            </w:r>
            <w:proofErr w:type="spellEnd"/>
            <w:r w:rsidRPr="006C108F">
              <w:rPr>
                <w:rFonts w:ascii="David" w:hAnsi="David" w:cs="David"/>
                <w:sz w:val="24"/>
                <w:szCs w:val="24"/>
                <w:rtl/>
              </w:rPr>
              <w:t>'</w:t>
            </w:r>
            <w:r>
              <w:rPr>
                <w:rFonts w:ascii="David" w:hAnsi="David" w:cs="David" w:hint="cs"/>
                <w:sz w:val="24"/>
                <w:szCs w:val="24"/>
                <w:rtl/>
              </w:rPr>
              <w:t>,</w:t>
            </w:r>
            <w:r w:rsidRPr="006C108F">
              <w:rPr>
                <w:rFonts w:ascii="David" w:hAnsi="David" w:cs="David"/>
                <w:sz w:val="24"/>
                <w:szCs w:val="24"/>
                <w:rtl/>
              </w:rPr>
              <w:t xml:space="preserve"> לונדון</w:t>
            </w:r>
          </w:p>
          <w:p w14:paraId="795A1D58" w14:textId="77777777" w:rsidR="00A623A4" w:rsidRDefault="00A623A4" w:rsidP="004E1C22">
            <w:pPr>
              <w:bidi/>
              <w:spacing w:line="276" w:lineRule="auto"/>
              <w:rPr>
                <w:rFonts w:asciiTheme="minorBidi" w:hAnsiTheme="minorBidi"/>
                <w:rtl/>
              </w:rPr>
            </w:pPr>
          </w:p>
        </w:tc>
      </w:tr>
      <w:tr w:rsidR="004E1C22" w14:paraId="074F4EE3" w14:textId="77777777" w:rsidTr="004E1C22">
        <w:tc>
          <w:tcPr>
            <w:tcW w:w="4675" w:type="dxa"/>
          </w:tcPr>
          <w:p w14:paraId="5E9A0EB2" w14:textId="77777777" w:rsidR="00CE5210" w:rsidRPr="00C11F76" w:rsidRDefault="00CE5210" w:rsidP="00CE5210">
            <w:pPr>
              <w:shd w:val="clear" w:color="auto" w:fill="FFFFFF"/>
              <w:spacing w:after="107" w:line="333" w:lineRule="atLeast"/>
              <w:rPr>
                <w:rFonts w:ascii="Times New Roman" w:eastAsia="Times New Roman" w:hAnsi="Times New Roman" w:cs="Times New Roman"/>
                <w:color w:val="333333"/>
                <w:sz w:val="18"/>
                <w:szCs w:val="18"/>
                <w:lang w:bidi="ar-SA"/>
              </w:rPr>
            </w:pPr>
            <w:r w:rsidRPr="00C11F76">
              <w:rPr>
                <w:rFonts w:ascii="Times New Roman" w:eastAsia="Times New Roman" w:hAnsi="Times New Roman" w:cs="Times New Roman"/>
                <w:color w:val="333333"/>
                <w:sz w:val="18"/>
                <w:lang w:bidi="ar-SA"/>
              </w:rPr>
              <w:t>Dr. Sandra Jacobs </w:t>
            </w:r>
            <w:r w:rsidRPr="00C11F76">
              <w:rPr>
                <w:rFonts w:ascii="Times New Roman" w:eastAsia="Times New Roman" w:hAnsi="Times New Roman" w:cs="Times New Roman"/>
                <w:color w:val="333333"/>
                <w:sz w:val="18"/>
                <w:szCs w:val="18"/>
                <w:lang w:bidi="ar-SA"/>
              </w:rPr>
              <w:t>was awarded her doctorate on physical disfigurement and corporal punishment in ancient Hebrew and cuneiform legal sources in 2010, supervised by Bernard Jackson, at the University of Manchester. Her research was published as </w:t>
            </w:r>
            <w:r w:rsidRPr="00C11F76">
              <w:rPr>
                <w:rFonts w:ascii="Times New Roman" w:eastAsia="Times New Roman" w:hAnsi="Times New Roman" w:cs="Times New Roman"/>
                <w:i/>
                <w:iCs/>
                <w:color w:val="333333"/>
                <w:sz w:val="18"/>
                <w:lang w:bidi="ar-SA"/>
              </w:rPr>
              <w:t>The Body as Property: Physical Disfigurement in Biblical Law </w:t>
            </w:r>
            <w:r w:rsidRPr="00C11F76">
              <w:rPr>
                <w:rFonts w:ascii="Times New Roman" w:eastAsia="Times New Roman" w:hAnsi="Times New Roman" w:cs="Times New Roman"/>
                <w:color w:val="333333"/>
                <w:sz w:val="18"/>
                <w:szCs w:val="18"/>
                <w:lang w:bidi="ar-SA"/>
              </w:rPr>
              <w:t xml:space="preserve">(London and New York: Bloomsbury Academic Press, 2014 </w:t>
            </w:r>
            <w:proofErr w:type="spellStart"/>
            <w:r w:rsidRPr="00C11F76">
              <w:rPr>
                <w:rFonts w:ascii="Times New Roman" w:eastAsia="Times New Roman" w:hAnsi="Times New Roman" w:cs="Times New Roman"/>
                <w:color w:val="333333"/>
                <w:sz w:val="18"/>
                <w:szCs w:val="18"/>
                <w:lang w:bidi="ar-SA"/>
              </w:rPr>
              <w:t>repr</w:t>
            </w:r>
            <w:proofErr w:type="spellEnd"/>
            <w:r w:rsidRPr="00C11F76">
              <w:rPr>
                <w:rFonts w:ascii="Times New Roman" w:eastAsia="Times New Roman" w:hAnsi="Times New Roman" w:cs="Times New Roman"/>
                <w:color w:val="333333"/>
                <w:sz w:val="18"/>
                <w:szCs w:val="18"/>
                <w:lang w:bidi="ar-SA"/>
              </w:rPr>
              <w:t>. in 2015). From 2010-2016 she worked as Book Review Editor for </w:t>
            </w:r>
            <w:r w:rsidRPr="00C11F76">
              <w:rPr>
                <w:rFonts w:ascii="Times New Roman" w:eastAsia="Times New Roman" w:hAnsi="Times New Roman" w:cs="Times New Roman"/>
                <w:i/>
                <w:iCs/>
                <w:color w:val="333333"/>
                <w:sz w:val="18"/>
                <w:lang w:bidi="ar-SA"/>
              </w:rPr>
              <w:t>Strata: The Bulletin of the Anglo-Israel Archaeological </w:t>
            </w:r>
            <w:r w:rsidRPr="00C11F76">
              <w:rPr>
                <w:rFonts w:ascii="Times New Roman" w:eastAsia="Times New Roman" w:hAnsi="Times New Roman" w:cs="Times New Roman"/>
                <w:color w:val="333333"/>
                <w:sz w:val="18"/>
                <w:szCs w:val="18"/>
                <w:lang w:bidi="ar-SA"/>
              </w:rPr>
              <w:t>Society. During 2016-2019 she worked on the Leverhulme International Network project, </w:t>
            </w:r>
            <w:r w:rsidRPr="00C11F76">
              <w:rPr>
                <w:rFonts w:ascii="Times New Roman" w:eastAsia="Times New Roman" w:hAnsi="Times New Roman" w:cs="Times New Roman"/>
                <w:i/>
                <w:iCs/>
                <w:color w:val="333333"/>
                <w:sz w:val="18"/>
                <w:lang w:bidi="ar-SA"/>
              </w:rPr>
              <w:t>Dispersed Qumran Cave Artefacts and Archives,</w:t>
            </w:r>
            <w:r w:rsidRPr="00C11F76">
              <w:rPr>
                <w:rFonts w:ascii="Times New Roman" w:eastAsia="Times New Roman" w:hAnsi="Times New Roman" w:cs="Times New Roman"/>
                <w:color w:val="333333"/>
                <w:sz w:val="18"/>
                <w:szCs w:val="18"/>
                <w:lang w:bidi="ar-SA"/>
              </w:rPr>
              <w:t xml:space="preserve"> at King’s College, London, where she is currently a Visiting Research Fellow. She continues also to teach at Leo </w:t>
            </w:r>
            <w:proofErr w:type="spellStart"/>
            <w:r w:rsidRPr="00C11F76">
              <w:rPr>
                <w:rFonts w:ascii="Times New Roman" w:eastAsia="Times New Roman" w:hAnsi="Times New Roman" w:cs="Times New Roman"/>
                <w:color w:val="333333"/>
                <w:sz w:val="18"/>
                <w:szCs w:val="18"/>
                <w:lang w:bidi="ar-SA"/>
              </w:rPr>
              <w:t>Baeck</w:t>
            </w:r>
            <w:proofErr w:type="spellEnd"/>
            <w:r w:rsidRPr="00C11F76">
              <w:rPr>
                <w:rFonts w:ascii="Times New Roman" w:eastAsia="Times New Roman" w:hAnsi="Times New Roman" w:cs="Times New Roman"/>
                <w:color w:val="333333"/>
                <w:sz w:val="18"/>
                <w:szCs w:val="18"/>
                <w:lang w:bidi="ar-SA"/>
              </w:rPr>
              <w:t xml:space="preserve"> College, London.</w:t>
            </w:r>
          </w:p>
          <w:p w14:paraId="49DAB38E" w14:textId="77777777" w:rsidR="004E1C22" w:rsidRPr="004E1C22" w:rsidRDefault="004E1C22" w:rsidP="00057E0D">
            <w:pPr>
              <w:spacing w:line="276" w:lineRule="auto"/>
              <w:rPr>
                <w:rFonts w:asciiTheme="minorBidi" w:hAnsiTheme="minorBidi"/>
              </w:rPr>
            </w:pPr>
          </w:p>
        </w:tc>
        <w:tc>
          <w:tcPr>
            <w:tcW w:w="4675" w:type="dxa"/>
          </w:tcPr>
          <w:p w14:paraId="265B94BF" w14:textId="5BD8DBC8" w:rsidR="00C04BAF" w:rsidRDefault="00C04BAF" w:rsidP="003B7085">
            <w:pPr>
              <w:spacing w:line="480" w:lineRule="auto"/>
              <w:jc w:val="right"/>
              <w:rPr>
                <w:rFonts w:ascii="David" w:hAnsi="David" w:cs="David"/>
                <w:sz w:val="24"/>
                <w:szCs w:val="24"/>
              </w:rPr>
            </w:pPr>
            <w:r>
              <w:rPr>
                <w:rFonts w:ascii="David" w:hAnsi="David" w:cs="David" w:hint="cs"/>
                <w:sz w:val="24"/>
                <w:szCs w:val="24"/>
                <w:rtl/>
              </w:rPr>
              <w:t xml:space="preserve">ב-2010 הוענק </w:t>
            </w:r>
            <w:r w:rsidRPr="006C108F">
              <w:rPr>
                <w:rFonts w:ascii="David" w:hAnsi="David" w:cs="David"/>
                <w:sz w:val="24"/>
                <w:szCs w:val="24"/>
                <w:rtl/>
              </w:rPr>
              <w:t xml:space="preserve">לד"ר סנדרה </w:t>
            </w:r>
            <w:proofErr w:type="spellStart"/>
            <w:r w:rsidRPr="006C108F">
              <w:rPr>
                <w:rFonts w:ascii="David" w:hAnsi="David" w:cs="David"/>
                <w:sz w:val="24"/>
                <w:szCs w:val="24"/>
                <w:rtl/>
              </w:rPr>
              <w:t>ג'ייקובס</w:t>
            </w:r>
            <w:proofErr w:type="spellEnd"/>
            <w:r w:rsidRPr="006C108F">
              <w:rPr>
                <w:rFonts w:ascii="David" w:hAnsi="David" w:cs="David"/>
                <w:sz w:val="24"/>
                <w:szCs w:val="24"/>
                <w:rtl/>
              </w:rPr>
              <w:t xml:space="preserve"> </w:t>
            </w:r>
            <w:r>
              <w:rPr>
                <w:rFonts w:ascii="David" w:hAnsi="David" w:cs="David" w:hint="cs"/>
                <w:sz w:val="24"/>
                <w:szCs w:val="24"/>
                <w:rtl/>
              </w:rPr>
              <w:t>תואר דוקטור</w:t>
            </w:r>
            <w:r w:rsidRPr="006C108F">
              <w:rPr>
                <w:rFonts w:ascii="David" w:hAnsi="David" w:cs="David"/>
                <w:sz w:val="24"/>
                <w:szCs w:val="24"/>
                <w:rtl/>
              </w:rPr>
              <w:t xml:space="preserve"> </w:t>
            </w:r>
            <w:r>
              <w:rPr>
                <w:rFonts w:ascii="David" w:hAnsi="David" w:cs="David" w:hint="cs"/>
                <w:sz w:val="24"/>
                <w:szCs w:val="24"/>
                <w:rtl/>
              </w:rPr>
              <w:t xml:space="preserve">עבור מחקרה </w:t>
            </w:r>
            <w:r w:rsidRPr="006C108F">
              <w:rPr>
                <w:rFonts w:ascii="David" w:hAnsi="David" w:cs="David"/>
                <w:sz w:val="24"/>
                <w:szCs w:val="24"/>
                <w:rtl/>
              </w:rPr>
              <w:t xml:space="preserve">בנושא השחתה פיזית וענישה גופנית במקורות משפטיים </w:t>
            </w:r>
            <w:r>
              <w:rPr>
                <w:rFonts w:ascii="David" w:hAnsi="David" w:cs="David" w:hint="cs"/>
                <w:sz w:val="24"/>
                <w:szCs w:val="24"/>
                <w:rtl/>
              </w:rPr>
              <w:t xml:space="preserve">עתיקים עבריים </w:t>
            </w:r>
            <w:proofErr w:type="spellStart"/>
            <w:r>
              <w:rPr>
                <w:rFonts w:ascii="David" w:hAnsi="David" w:cs="David" w:hint="cs"/>
                <w:sz w:val="24"/>
                <w:szCs w:val="24"/>
                <w:rtl/>
              </w:rPr>
              <w:t>וקוניפורמיים</w:t>
            </w:r>
            <w:proofErr w:type="spellEnd"/>
            <w:r>
              <w:rPr>
                <w:rFonts w:ascii="David" w:hAnsi="David" w:cs="David" w:hint="cs"/>
                <w:sz w:val="24"/>
                <w:szCs w:val="24"/>
                <w:rtl/>
              </w:rPr>
              <w:t xml:space="preserve"> </w:t>
            </w:r>
            <w:r w:rsidRPr="006C108F">
              <w:rPr>
                <w:rFonts w:ascii="David" w:hAnsi="David" w:cs="David"/>
                <w:sz w:val="24"/>
                <w:szCs w:val="24"/>
                <w:rtl/>
              </w:rPr>
              <w:t>בהנחיית ברנרד ג'קסון באוניברסיטת מ</w:t>
            </w:r>
            <w:r>
              <w:rPr>
                <w:rFonts w:ascii="David" w:hAnsi="David" w:cs="David" w:hint="cs"/>
                <w:sz w:val="24"/>
                <w:szCs w:val="24"/>
                <w:rtl/>
              </w:rPr>
              <w:t>נצ'סטר.</w:t>
            </w:r>
            <w:r w:rsidRPr="006C108F">
              <w:rPr>
                <w:rFonts w:ascii="David" w:hAnsi="David" w:cs="David"/>
                <w:sz w:val="24"/>
                <w:szCs w:val="24"/>
                <w:rtl/>
              </w:rPr>
              <w:t xml:space="preserve"> תחומי המחקר שלה הם הפרה-היסטוריה של המשפט המקראי, גוף האדם והשחתתו הפיזית בטקסטים מתקופות המקרא ובית שני</w:t>
            </w:r>
            <w:r w:rsidR="0027272B">
              <w:rPr>
                <w:rFonts w:ascii="David" w:hAnsi="David" w:cs="David" w:hint="cs"/>
                <w:sz w:val="24"/>
                <w:szCs w:val="24"/>
                <w:rtl/>
              </w:rPr>
              <w:t xml:space="preserve"> </w:t>
            </w:r>
            <w:proofErr w:type="spellStart"/>
            <w:r w:rsidR="0027272B">
              <w:rPr>
                <w:rFonts w:ascii="David" w:hAnsi="David" w:cs="David" w:hint="cs"/>
                <w:sz w:val="24"/>
                <w:szCs w:val="24"/>
                <w:rtl/>
              </w:rPr>
              <w:t>ופעלנות</w:t>
            </w:r>
            <w:proofErr w:type="spellEnd"/>
            <w:r w:rsidR="0027272B">
              <w:rPr>
                <w:rFonts w:ascii="David" w:hAnsi="David" w:cs="David" w:hint="cs"/>
                <w:sz w:val="24"/>
                <w:szCs w:val="24"/>
                <w:rtl/>
              </w:rPr>
              <w:t xml:space="preserve"> </w:t>
            </w:r>
            <w:r w:rsidRPr="006C108F">
              <w:rPr>
                <w:rFonts w:ascii="David" w:hAnsi="David" w:cs="David"/>
                <w:sz w:val="24"/>
                <w:szCs w:val="24"/>
                <w:rtl/>
              </w:rPr>
              <w:t>נשית במקורות מתקופת המקרא ותחילת ממלכת יהודה.</w:t>
            </w:r>
            <w:r>
              <w:rPr>
                <w:rFonts w:ascii="David" w:hAnsi="David" w:cs="David" w:hint="cs"/>
                <w:sz w:val="24"/>
                <w:szCs w:val="24"/>
                <w:rtl/>
              </w:rPr>
              <w:t xml:space="preserve"> </w:t>
            </w:r>
          </w:p>
          <w:p w14:paraId="22661D15" w14:textId="77777777" w:rsidR="00C04BAF" w:rsidRDefault="00C04BAF" w:rsidP="003B7085">
            <w:pPr>
              <w:spacing w:line="480" w:lineRule="auto"/>
              <w:jc w:val="right"/>
              <w:rPr>
                <w:rFonts w:ascii="David" w:hAnsi="David" w:cs="David"/>
                <w:sz w:val="24"/>
                <w:szCs w:val="24"/>
                <w:rtl/>
              </w:rPr>
            </w:pPr>
          </w:p>
          <w:p w14:paraId="662728A6" w14:textId="77777777" w:rsidR="004E1C22" w:rsidRDefault="004E1C22" w:rsidP="00E60E97">
            <w:pPr>
              <w:bidi/>
              <w:spacing w:line="276" w:lineRule="auto"/>
              <w:rPr>
                <w:rFonts w:asciiTheme="minorBidi" w:hAnsiTheme="minorBidi"/>
                <w:rtl/>
              </w:rPr>
            </w:pPr>
          </w:p>
        </w:tc>
      </w:tr>
      <w:tr w:rsidR="004E1C22" w14:paraId="5792B0CB" w14:textId="77777777" w:rsidTr="004E1C22">
        <w:tc>
          <w:tcPr>
            <w:tcW w:w="4675" w:type="dxa"/>
          </w:tcPr>
          <w:p w14:paraId="37C0486B" w14:textId="77777777" w:rsidR="00CE5210" w:rsidRPr="00C11F76" w:rsidRDefault="00CE5210" w:rsidP="00CE5210">
            <w:pPr>
              <w:shd w:val="clear" w:color="auto" w:fill="FFFFFF"/>
              <w:spacing w:after="450" w:line="1050" w:lineRule="atLeast"/>
              <w:jc w:val="center"/>
              <w:outlineLvl w:val="0"/>
              <w:rPr>
                <w:rFonts w:ascii="Times New Roman" w:eastAsia="Times New Roman" w:hAnsi="Times New Roman" w:cs="Times New Roman"/>
                <w:color w:val="333333"/>
                <w:kern w:val="36"/>
                <w:sz w:val="60"/>
                <w:szCs w:val="60"/>
                <w:lang w:bidi="ar-SA"/>
              </w:rPr>
            </w:pPr>
            <w:r w:rsidRPr="00C11F76">
              <w:rPr>
                <w:rFonts w:ascii="Times New Roman" w:eastAsia="Times New Roman" w:hAnsi="Times New Roman" w:cs="Times New Roman"/>
                <w:color w:val="333333"/>
                <w:kern w:val="36"/>
                <w:sz w:val="60"/>
                <w:szCs w:val="60"/>
                <w:lang w:bidi="ar-SA"/>
              </w:rPr>
              <w:t>Deathblows to a Pregnant Woman – What Restitution Was Required?</w:t>
            </w:r>
          </w:p>
          <w:p w14:paraId="258126E4" w14:textId="77777777" w:rsidR="00CE5210" w:rsidRPr="00C11F76" w:rsidRDefault="00CE5210" w:rsidP="00CE5210">
            <w:pPr>
              <w:shd w:val="clear" w:color="auto" w:fill="FFFFFF"/>
              <w:spacing w:after="150" w:line="555" w:lineRule="atLeast"/>
              <w:rPr>
                <w:rFonts w:ascii="Times New Roman" w:eastAsia="Times New Roman" w:hAnsi="Times New Roman" w:cs="Times New Roman"/>
                <w:color w:val="333333"/>
                <w:sz w:val="30"/>
                <w:szCs w:val="30"/>
                <w:lang w:bidi="ar-SA"/>
              </w:rPr>
            </w:pPr>
            <w:r w:rsidRPr="00C11F76">
              <w:rPr>
                <w:rFonts w:ascii="Times New Roman" w:eastAsia="Times New Roman" w:hAnsi="Times New Roman" w:cs="Times New Roman"/>
                <w:color w:val="333333"/>
                <w:sz w:val="30"/>
                <w:szCs w:val="30"/>
                <w:lang w:bidi="ar-SA"/>
              </w:rPr>
              <w:lastRenderedPageBreak/>
              <w:t>The requirement of a “life for a life,” recalling the </w:t>
            </w:r>
            <w:r w:rsidRPr="00C11F76">
              <w:rPr>
                <w:rFonts w:ascii="Times New Roman" w:eastAsia="Times New Roman" w:hAnsi="Times New Roman" w:cs="Times New Roman"/>
                <w:i/>
                <w:iCs/>
                <w:color w:val="333333"/>
                <w:sz w:val="30"/>
                <w:lang w:bidi="ar-SA"/>
              </w:rPr>
              <w:t>lex talionis</w:t>
            </w:r>
            <w:r w:rsidRPr="00C11F76">
              <w:rPr>
                <w:rFonts w:ascii="Times New Roman" w:eastAsia="Times New Roman" w:hAnsi="Times New Roman" w:cs="Times New Roman"/>
                <w:color w:val="333333"/>
                <w:sz w:val="30"/>
                <w:szCs w:val="30"/>
                <w:lang w:bidi="ar-SA"/>
              </w:rPr>
              <w:t>, is provided when a man accidentally kills a pregnant woman in a brawl. While this consequence is generally explained as capital punishment or monetary repayment, its legal formulation in the Covenant Collection is suggestive of live, human, substitution.</w:t>
            </w:r>
          </w:p>
          <w:p w14:paraId="66BDCDDF" w14:textId="77777777" w:rsidR="00CE5210" w:rsidRPr="00C11F76" w:rsidRDefault="00CE5210" w:rsidP="00CE5210">
            <w:pPr>
              <w:shd w:val="clear" w:color="auto" w:fill="FFFFFF"/>
              <w:rPr>
                <w:rFonts w:ascii="Times New Roman" w:eastAsia="Times New Roman" w:hAnsi="Times New Roman" w:cs="Times New Roman"/>
                <w:color w:val="2E2E2E"/>
                <w:sz w:val="23"/>
                <w:szCs w:val="23"/>
                <w:lang w:bidi="ar-SA"/>
              </w:rPr>
            </w:pPr>
            <w:r w:rsidRPr="00C11F76">
              <w:rPr>
                <w:rFonts w:ascii="Times New Roman" w:eastAsia="Times New Roman" w:hAnsi="Times New Roman" w:cs="Times New Roman"/>
                <w:color w:val="333333"/>
                <w:sz w:val="23"/>
                <w:szCs w:val="23"/>
                <w:lang w:bidi="ar-SA"/>
              </w:rPr>
              <w:fldChar w:fldCharType="begin"/>
            </w:r>
            <w:r w:rsidRPr="00C11F76">
              <w:rPr>
                <w:rFonts w:ascii="Times New Roman" w:eastAsia="Times New Roman" w:hAnsi="Times New Roman" w:cs="Times New Roman"/>
                <w:color w:val="333333"/>
                <w:sz w:val="23"/>
                <w:szCs w:val="23"/>
                <w:lang w:bidi="ar-SA"/>
              </w:rPr>
              <w:instrText xml:space="preserve"> HYPERLINK "https://www.thetorah.com/author/sandra-jacobs" </w:instrText>
            </w:r>
            <w:r w:rsidRPr="00C11F76">
              <w:rPr>
                <w:rFonts w:ascii="Times New Roman" w:eastAsia="Times New Roman" w:hAnsi="Times New Roman" w:cs="Times New Roman"/>
                <w:color w:val="333333"/>
                <w:sz w:val="23"/>
                <w:szCs w:val="23"/>
                <w:lang w:bidi="ar-SA"/>
              </w:rPr>
              <w:fldChar w:fldCharType="separate"/>
            </w:r>
          </w:p>
          <w:p w14:paraId="1A8FC413" w14:textId="77777777" w:rsidR="00CE5210" w:rsidRPr="00C11F76" w:rsidRDefault="00CE5210" w:rsidP="00CE5210">
            <w:pPr>
              <w:shd w:val="clear" w:color="auto" w:fill="FFFFFF"/>
              <w:spacing w:line="540" w:lineRule="atLeast"/>
              <w:ind w:right="240"/>
              <w:rPr>
                <w:rFonts w:ascii="Times New Roman" w:eastAsia="Times New Roman" w:hAnsi="Times New Roman" w:cs="Times New Roman"/>
                <w:sz w:val="30"/>
                <w:szCs w:val="30"/>
                <w:lang w:bidi="ar-SA"/>
              </w:rPr>
            </w:pPr>
            <w:r w:rsidRPr="00C11F76">
              <w:rPr>
                <w:rFonts w:ascii="Times New Roman" w:eastAsia="Times New Roman" w:hAnsi="Times New Roman" w:cs="Times New Roman"/>
                <w:color w:val="2E2E2E"/>
                <w:sz w:val="30"/>
                <w:szCs w:val="30"/>
                <w:lang w:bidi="ar-SA"/>
              </w:rPr>
              <w:t>Dr.</w:t>
            </w:r>
            <w:r>
              <w:rPr>
                <w:rFonts w:ascii="Times New Roman" w:eastAsia="Times New Roman" w:hAnsi="Times New Roman" w:cs="Times New Roman"/>
                <w:sz w:val="30"/>
                <w:szCs w:val="30"/>
                <w:lang w:bidi="ar-SA"/>
              </w:rPr>
              <w:t xml:space="preserve"> </w:t>
            </w:r>
            <w:r w:rsidRPr="00C11F76">
              <w:rPr>
                <w:rFonts w:ascii="Times New Roman" w:eastAsia="Times New Roman" w:hAnsi="Times New Roman" w:cs="Times New Roman"/>
                <w:color w:val="2E2E2E"/>
                <w:sz w:val="30"/>
                <w:szCs w:val="30"/>
                <w:lang w:bidi="ar-SA"/>
              </w:rPr>
              <w:t>Sandra Jacobs</w:t>
            </w:r>
          </w:p>
          <w:p w14:paraId="08920122" w14:textId="1861BB23" w:rsidR="004E1C22" w:rsidRPr="004E1C22" w:rsidRDefault="00CE5210" w:rsidP="00CE5210">
            <w:pPr>
              <w:spacing w:line="276" w:lineRule="auto"/>
              <w:rPr>
                <w:rFonts w:asciiTheme="minorBidi" w:hAnsiTheme="minorBidi"/>
              </w:rPr>
            </w:pPr>
            <w:r w:rsidRPr="00C11F76">
              <w:rPr>
                <w:rFonts w:ascii="Times New Roman" w:eastAsia="Times New Roman" w:hAnsi="Times New Roman" w:cs="Times New Roman"/>
                <w:color w:val="333333"/>
                <w:sz w:val="23"/>
                <w:szCs w:val="23"/>
                <w:lang w:bidi="ar-SA"/>
              </w:rPr>
              <w:fldChar w:fldCharType="end"/>
            </w:r>
          </w:p>
        </w:tc>
        <w:tc>
          <w:tcPr>
            <w:tcW w:w="4675" w:type="dxa"/>
          </w:tcPr>
          <w:p w14:paraId="6F6ACD34" w14:textId="77777777" w:rsidR="00C04BAF" w:rsidRDefault="00C04BAF" w:rsidP="00C04BAF">
            <w:pPr>
              <w:spacing w:line="360" w:lineRule="auto"/>
              <w:jc w:val="center"/>
              <w:rPr>
                <w:rFonts w:ascii="David" w:hAnsi="David" w:cs="David"/>
                <w:sz w:val="40"/>
                <w:szCs w:val="40"/>
                <w:rtl/>
              </w:rPr>
            </w:pPr>
          </w:p>
          <w:p w14:paraId="4FCE94A3" w14:textId="77777777" w:rsidR="00C04BAF" w:rsidRDefault="00C04BAF" w:rsidP="00C04BAF">
            <w:pPr>
              <w:spacing w:line="360" w:lineRule="auto"/>
              <w:jc w:val="center"/>
              <w:rPr>
                <w:rFonts w:ascii="David" w:hAnsi="David" w:cs="David"/>
                <w:sz w:val="40"/>
                <w:szCs w:val="40"/>
                <w:rtl/>
              </w:rPr>
            </w:pPr>
          </w:p>
          <w:p w14:paraId="18A5693E" w14:textId="77777777" w:rsidR="00C04BAF" w:rsidRDefault="00C04BAF" w:rsidP="00C04BAF">
            <w:pPr>
              <w:spacing w:line="360" w:lineRule="auto"/>
              <w:jc w:val="center"/>
              <w:rPr>
                <w:rFonts w:ascii="David" w:hAnsi="David" w:cs="David"/>
                <w:sz w:val="40"/>
                <w:szCs w:val="40"/>
                <w:rtl/>
              </w:rPr>
            </w:pPr>
          </w:p>
          <w:p w14:paraId="0858A3B0" w14:textId="77777777" w:rsidR="00C04BAF" w:rsidRDefault="00C04BAF" w:rsidP="00C04BAF">
            <w:pPr>
              <w:spacing w:line="360" w:lineRule="auto"/>
              <w:jc w:val="center"/>
              <w:rPr>
                <w:rFonts w:ascii="David" w:hAnsi="David" w:cs="David"/>
                <w:sz w:val="40"/>
                <w:szCs w:val="40"/>
                <w:rtl/>
              </w:rPr>
            </w:pPr>
          </w:p>
          <w:p w14:paraId="56F63106" w14:textId="1CC3386E" w:rsidR="00C04BAF" w:rsidRPr="00C04BAF" w:rsidRDefault="00C04BAF" w:rsidP="00C04BAF">
            <w:pPr>
              <w:spacing w:line="360" w:lineRule="auto"/>
              <w:jc w:val="center"/>
              <w:rPr>
                <w:rFonts w:ascii="David" w:hAnsi="David" w:cs="David"/>
                <w:sz w:val="48"/>
                <w:szCs w:val="48"/>
                <w:rtl/>
              </w:rPr>
            </w:pPr>
            <w:r w:rsidRPr="00C04BAF">
              <w:rPr>
                <w:rFonts w:ascii="David" w:hAnsi="David" w:cs="David"/>
                <w:sz w:val="48"/>
                <w:szCs w:val="48"/>
                <w:rtl/>
              </w:rPr>
              <w:t xml:space="preserve">מכות מוות לאישה הרה – </w:t>
            </w:r>
            <w:r w:rsidRPr="00C04BAF">
              <w:rPr>
                <w:rFonts w:ascii="David" w:hAnsi="David" w:cs="David" w:hint="cs"/>
                <w:sz w:val="48"/>
                <w:szCs w:val="48"/>
                <w:rtl/>
              </w:rPr>
              <w:t>מה היה</w:t>
            </w:r>
            <w:r w:rsidRPr="00C04BAF">
              <w:rPr>
                <w:rFonts w:ascii="David" w:hAnsi="David" w:cs="David"/>
                <w:sz w:val="48"/>
                <w:szCs w:val="48"/>
                <w:rtl/>
              </w:rPr>
              <w:t xml:space="preserve"> </w:t>
            </w:r>
            <w:r w:rsidRPr="00C04BAF">
              <w:rPr>
                <w:rFonts w:ascii="David" w:hAnsi="David" w:cs="David" w:hint="cs"/>
                <w:sz w:val="48"/>
                <w:szCs w:val="48"/>
                <w:rtl/>
              </w:rPr>
              <w:t>ה</w:t>
            </w:r>
            <w:r w:rsidRPr="00C04BAF">
              <w:rPr>
                <w:rFonts w:ascii="David" w:hAnsi="David" w:cs="David"/>
                <w:sz w:val="48"/>
                <w:szCs w:val="48"/>
                <w:rtl/>
              </w:rPr>
              <w:t xml:space="preserve">פיצוי </w:t>
            </w:r>
            <w:r w:rsidRPr="00C04BAF">
              <w:rPr>
                <w:rFonts w:ascii="David" w:hAnsi="David" w:cs="David" w:hint="cs"/>
                <w:sz w:val="48"/>
                <w:szCs w:val="48"/>
                <w:rtl/>
              </w:rPr>
              <w:t>שנ</w:t>
            </w:r>
            <w:r w:rsidRPr="00C04BAF">
              <w:rPr>
                <w:rFonts w:ascii="David" w:hAnsi="David" w:cs="David"/>
                <w:sz w:val="48"/>
                <w:szCs w:val="48"/>
                <w:rtl/>
              </w:rPr>
              <w:t>דרש?</w:t>
            </w:r>
          </w:p>
          <w:p w14:paraId="2AB5255D" w14:textId="77777777" w:rsidR="00C04BAF" w:rsidRPr="00C04BAF" w:rsidRDefault="00C04BAF" w:rsidP="00C04BAF">
            <w:pPr>
              <w:spacing w:line="480" w:lineRule="auto"/>
              <w:jc w:val="center"/>
              <w:rPr>
                <w:rFonts w:ascii="David" w:hAnsi="David" w:cs="David"/>
                <w:sz w:val="48"/>
                <w:szCs w:val="48"/>
                <w:rtl/>
              </w:rPr>
            </w:pPr>
          </w:p>
          <w:p w14:paraId="64421E56" w14:textId="77777777" w:rsidR="004E1C22" w:rsidRDefault="004E1C22" w:rsidP="004E1C22">
            <w:pPr>
              <w:bidi/>
              <w:spacing w:line="276" w:lineRule="auto"/>
              <w:rPr>
                <w:rFonts w:asciiTheme="minorBidi" w:hAnsiTheme="minorBidi"/>
                <w:rtl/>
              </w:rPr>
            </w:pPr>
          </w:p>
        </w:tc>
      </w:tr>
      <w:tr w:rsidR="004E1C22" w14:paraId="5D4F281D" w14:textId="77777777" w:rsidTr="004E1C22">
        <w:tc>
          <w:tcPr>
            <w:tcW w:w="4675" w:type="dxa"/>
          </w:tcPr>
          <w:p w14:paraId="319536A3" w14:textId="3ABB2AAA" w:rsidR="00CE34EA" w:rsidRPr="004E1C22" w:rsidRDefault="00CE5210" w:rsidP="004E1C22">
            <w:pPr>
              <w:spacing w:line="276" w:lineRule="auto"/>
              <w:rPr>
                <w:rFonts w:asciiTheme="minorBidi" w:hAnsiTheme="minorBidi"/>
              </w:rPr>
            </w:pPr>
            <w:r w:rsidRPr="00C11F76">
              <w:rPr>
                <w:rFonts w:ascii="Times New Roman" w:eastAsia="Times New Roman" w:hAnsi="Times New Roman" w:cs="Times New Roman"/>
                <w:color w:val="000000"/>
                <w:sz w:val="38"/>
                <w:szCs w:val="38"/>
                <w:lang w:bidi="ar-SA"/>
              </w:rPr>
              <w:t>Exodus 21:22-25: Accidental Injuries in a Public Brawl</w:t>
            </w:r>
          </w:p>
        </w:tc>
        <w:tc>
          <w:tcPr>
            <w:tcW w:w="4675" w:type="dxa"/>
          </w:tcPr>
          <w:p w14:paraId="42BCD1F3" w14:textId="77777777" w:rsidR="004B101B" w:rsidRPr="009D79C7" w:rsidRDefault="004B101B" w:rsidP="0027272B">
            <w:pPr>
              <w:spacing w:line="360" w:lineRule="auto"/>
              <w:jc w:val="center"/>
              <w:rPr>
                <w:rFonts w:ascii="David" w:hAnsi="David" w:cs="David"/>
                <w:sz w:val="32"/>
                <w:szCs w:val="32"/>
                <w:rtl/>
              </w:rPr>
            </w:pPr>
            <w:r w:rsidRPr="009D79C7">
              <w:rPr>
                <w:rFonts w:ascii="David" w:hAnsi="David" w:cs="David"/>
                <w:sz w:val="32"/>
                <w:szCs w:val="32"/>
                <w:rtl/>
              </w:rPr>
              <w:t xml:space="preserve">שמות </w:t>
            </w:r>
            <w:proofErr w:type="spellStart"/>
            <w:r w:rsidRPr="009D79C7">
              <w:rPr>
                <w:rFonts w:ascii="David" w:hAnsi="David" w:cs="David"/>
                <w:sz w:val="32"/>
                <w:szCs w:val="32"/>
                <w:rtl/>
              </w:rPr>
              <w:t>כא:</w:t>
            </w:r>
            <w:r>
              <w:rPr>
                <w:rFonts w:ascii="David" w:hAnsi="David" w:cs="David" w:hint="cs"/>
                <w:sz w:val="32"/>
                <w:szCs w:val="32"/>
                <w:rtl/>
              </w:rPr>
              <w:t>כב</w:t>
            </w:r>
            <w:proofErr w:type="spellEnd"/>
            <w:r w:rsidRPr="009D79C7">
              <w:rPr>
                <w:rFonts w:ascii="David" w:hAnsi="David" w:cs="David"/>
                <w:sz w:val="32"/>
                <w:szCs w:val="32"/>
                <w:rtl/>
              </w:rPr>
              <w:t>–</w:t>
            </w:r>
            <w:r>
              <w:rPr>
                <w:rFonts w:ascii="David" w:hAnsi="David" w:cs="David" w:hint="cs"/>
                <w:sz w:val="32"/>
                <w:szCs w:val="32"/>
                <w:rtl/>
              </w:rPr>
              <w:t>כה</w:t>
            </w:r>
            <w:r w:rsidRPr="009D79C7">
              <w:rPr>
                <w:rFonts w:ascii="David" w:hAnsi="David" w:cs="David"/>
                <w:sz w:val="32"/>
                <w:szCs w:val="32"/>
                <w:rtl/>
              </w:rPr>
              <w:t xml:space="preserve">: פציעות </w:t>
            </w:r>
            <w:r w:rsidRPr="009D79C7">
              <w:rPr>
                <w:rFonts w:ascii="David" w:hAnsi="David" w:cs="David" w:hint="cs"/>
                <w:sz w:val="32"/>
                <w:szCs w:val="32"/>
                <w:rtl/>
              </w:rPr>
              <w:t>בשגגה</w:t>
            </w:r>
            <w:r w:rsidRPr="009D79C7">
              <w:rPr>
                <w:rFonts w:ascii="David" w:hAnsi="David" w:cs="David"/>
                <w:sz w:val="32"/>
                <w:szCs w:val="32"/>
                <w:rtl/>
              </w:rPr>
              <w:t xml:space="preserve"> בקטטה פומבית</w:t>
            </w:r>
          </w:p>
          <w:p w14:paraId="445DCB5B" w14:textId="77777777" w:rsidR="004E1C22" w:rsidRDefault="004E1C22" w:rsidP="004E1C22">
            <w:pPr>
              <w:bidi/>
              <w:spacing w:line="276" w:lineRule="auto"/>
              <w:rPr>
                <w:rFonts w:asciiTheme="minorBidi" w:hAnsiTheme="minorBidi"/>
                <w:rtl/>
              </w:rPr>
            </w:pPr>
          </w:p>
        </w:tc>
      </w:tr>
      <w:tr w:rsidR="00EB3003" w14:paraId="601BA127" w14:textId="77777777" w:rsidTr="004E1C22">
        <w:tc>
          <w:tcPr>
            <w:tcW w:w="4675" w:type="dxa"/>
          </w:tcPr>
          <w:p w14:paraId="5FCDC467" w14:textId="77777777" w:rsidR="00CE5210" w:rsidRPr="00C11F76" w:rsidRDefault="00CE5210" w:rsidP="00CE5210">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The </w:t>
            </w:r>
            <w:proofErr w:type="spellStart"/>
            <w:r w:rsidRPr="00C11F76">
              <w:rPr>
                <w:rFonts w:ascii="Times New Roman" w:eastAsia="Times New Roman" w:hAnsi="Times New Roman" w:cs="Times New Roman"/>
                <w:color w:val="000000"/>
                <w:sz w:val="26"/>
                <w:szCs w:val="26"/>
                <w:lang w:bidi="ar-SA"/>
              </w:rPr>
              <w:t>talionic</w:t>
            </w:r>
            <w:proofErr w:type="spellEnd"/>
            <w:r w:rsidRPr="00C11F76">
              <w:rPr>
                <w:rFonts w:ascii="Times New Roman" w:eastAsia="Times New Roman" w:hAnsi="Times New Roman" w:cs="Times New Roman"/>
                <w:color w:val="000000"/>
                <w:sz w:val="26"/>
                <w:szCs w:val="26"/>
                <w:lang w:bidi="ar-SA"/>
              </w:rPr>
              <w:t xml:space="preserve"> principle (often referred to by the Latin, </w:t>
            </w:r>
            <w:proofErr w:type="spellStart"/>
            <w:r w:rsidRPr="00C11F76">
              <w:rPr>
                <w:rFonts w:ascii="Times New Roman" w:eastAsia="Times New Roman" w:hAnsi="Times New Roman" w:cs="Times New Roman"/>
                <w:i/>
                <w:iCs/>
                <w:color w:val="000000"/>
                <w:sz w:val="26"/>
                <w:lang w:bidi="ar-SA"/>
              </w:rPr>
              <w:t>ius</w:t>
            </w:r>
            <w:proofErr w:type="spellEnd"/>
            <w:r w:rsidRPr="00C11F76">
              <w:rPr>
                <w:rFonts w:ascii="Times New Roman" w:eastAsia="Times New Roman" w:hAnsi="Times New Roman" w:cs="Times New Roman"/>
                <w:i/>
                <w:iCs/>
                <w:color w:val="000000"/>
                <w:sz w:val="26"/>
                <w:lang w:bidi="ar-SA"/>
              </w:rPr>
              <w:t xml:space="preserve"> talionis,</w:t>
            </w:r>
            <w:r w:rsidRPr="00C11F76">
              <w:rPr>
                <w:rFonts w:ascii="Times New Roman" w:eastAsia="Times New Roman" w:hAnsi="Times New Roman" w:cs="Times New Roman"/>
                <w:color w:val="000000"/>
                <w:sz w:val="26"/>
                <w:szCs w:val="26"/>
                <w:lang w:bidi="ar-SA"/>
              </w:rPr>
              <w:t> based on its use in Roman law),</w:t>
            </w:r>
            <w:r w:rsidRPr="00C11F76">
              <w:rPr>
                <w:rFonts w:ascii="Times New Roman" w:eastAsia="Times New Roman" w:hAnsi="Times New Roman" w:cs="Times New Roman"/>
                <w:color w:val="B22222"/>
                <w:sz w:val="23"/>
                <w:szCs w:val="23"/>
                <w:vertAlign w:val="superscript"/>
                <w:lang w:bidi="ar-SA"/>
              </w:rPr>
              <w:t>[1]</w:t>
            </w:r>
            <w:r w:rsidRPr="00C11F76">
              <w:rPr>
                <w:rFonts w:ascii="Times New Roman" w:eastAsia="Times New Roman" w:hAnsi="Times New Roman" w:cs="Times New Roman"/>
                <w:color w:val="000000"/>
                <w:sz w:val="26"/>
                <w:szCs w:val="26"/>
                <w:lang w:bidi="ar-SA"/>
              </w:rPr>
              <w:t xml:space="preserve"> appears in the Torah’s “wisdom laws” of </w:t>
            </w:r>
            <w:proofErr w:type="spellStart"/>
            <w:r w:rsidRPr="00C11F76">
              <w:rPr>
                <w:rFonts w:ascii="Times New Roman" w:eastAsia="Times New Roman" w:hAnsi="Times New Roman" w:cs="Times New Roman"/>
                <w:color w:val="000000"/>
                <w:sz w:val="26"/>
                <w:szCs w:val="26"/>
                <w:rtl/>
              </w:rPr>
              <w:t>מִּשְׁפָּטִים</w:t>
            </w:r>
            <w:proofErr w:type="spellEnd"/>
            <w:r w:rsidRPr="00C11F76">
              <w:rPr>
                <w:rFonts w:ascii="Times New Roman" w:eastAsia="Times New Roman" w:hAnsi="Times New Roman" w:cs="Times New Roman"/>
                <w:color w:val="000000"/>
                <w:sz w:val="26"/>
                <w:szCs w:val="26"/>
                <w:lang w:bidi="ar-SA"/>
              </w:rPr>
              <w:t xml:space="preserve"> in the case of homicide, where a pregnant woman is accidentally killed in a fight.</w:t>
            </w:r>
            <w:r w:rsidRPr="00C11F76">
              <w:rPr>
                <w:rFonts w:ascii="Times New Roman" w:eastAsia="Times New Roman" w:hAnsi="Times New Roman" w:cs="Times New Roman"/>
                <w:color w:val="B22222"/>
                <w:sz w:val="23"/>
                <w:szCs w:val="23"/>
                <w:vertAlign w:val="superscript"/>
                <w:lang w:bidi="ar-SA"/>
              </w:rPr>
              <w:t>[2]</w:t>
            </w:r>
            <w:r w:rsidRPr="00C11F76">
              <w:rPr>
                <w:rFonts w:ascii="Times New Roman" w:eastAsia="Times New Roman" w:hAnsi="Times New Roman" w:cs="Times New Roman"/>
                <w:color w:val="000000"/>
                <w:sz w:val="26"/>
                <w:szCs w:val="26"/>
                <w:lang w:bidi="ar-SA"/>
              </w:rPr>
              <w:t xml:space="preserve"> This scenario features also in the legal collections of the ancient Near East, where </w:t>
            </w:r>
            <w:r w:rsidRPr="00C11F76">
              <w:rPr>
                <w:rFonts w:ascii="Times New Roman" w:eastAsia="Times New Roman" w:hAnsi="Times New Roman" w:cs="Times New Roman"/>
                <w:color w:val="000000"/>
                <w:sz w:val="26"/>
                <w:szCs w:val="26"/>
                <w:lang w:bidi="ar-SA"/>
              </w:rPr>
              <w:lastRenderedPageBreak/>
              <w:t>“a diversity of enforceable rules” existed to redress such losses.</w:t>
            </w:r>
            <w:r w:rsidRPr="00C11F76">
              <w:rPr>
                <w:rFonts w:ascii="Times New Roman" w:eastAsia="Times New Roman" w:hAnsi="Times New Roman" w:cs="Times New Roman"/>
                <w:color w:val="B22222"/>
                <w:sz w:val="23"/>
                <w:szCs w:val="23"/>
                <w:vertAlign w:val="superscript"/>
                <w:lang w:bidi="ar-SA"/>
              </w:rPr>
              <w:t>[3]</w:t>
            </w:r>
          </w:p>
          <w:p w14:paraId="237FA9C1" w14:textId="77777777" w:rsidR="00CE5210" w:rsidRPr="004E1C22" w:rsidRDefault="00CE5210" w:rsidP="004E1C22">
            <w:pPr>
              <w:spacing w:line="276" w:lineRule="auto"/>
              <w:rPr>
                <w:rFonts w:asciiTheme="minorBidi" w:hAnsiTheme="minorBidi"/>
              </w:rPr>
            </w:pPr>
          </w:p>
        </w:tc>
        <w:tc>
          <w:tcPr>
            <w:tcW w:w="4675" w:type="dxa"/>
          </w:tcPr>
          <w:p w14:paraId="79519D14" w14:textId="3EBC67D2" w:rsidR="00EB3003" w:rsidRPr="0027272B" w:rsidRDefault="0027272B" w:rsidP="008D52C3">
            <w:pPr>
              <w:bidi/>
              <w:spacing w:line="480" w:lineRule="auto"/>
              <w:rPr>
                <w:rFonts w:ascii="David" w:eastAsia="Calibri" w:hAnsi="David" w:cs="David"/>
                <w:sz w:val="24"/>
                <w:szCs w:val="24"/>
                <w:rtl/>
              </w:rPr>
            </w:pPr>
            <w:r w:rsidRPr="0027272B">
              <w:rPr>
                <w:rFonts w:ascii="David" w:eastAsia="Calibri" w:hAnsi="David" w:cs="David"/>
                <w:sz w:val="24"/>
                <w:szCs w:val="24"/>
                <w:rtl/>
              </w:rPr>
              <w:lastRenderedPageBreak/>
              <w:t xml:space="preserve">העיקרון </w:t>
            </w:r>
            <w:proofErr w:type="spellStart"/>
            <w:r w:rsidRPr="0027272B">
              <w:rPr>
                <w:rFonts w:ascii="David" w:eastAsia="Calibri" w:hAnsi="David" w:cs="David"/>
                <w:sz w:val="24"/>
                <w:szCs w:val="24"/>
                <w:rtl/>
              </w:rPr>
              <w:t>הטליוני</w:t>
            </w:r>
            <w:proofErr w:type="spellEnd"/>
            <w:r w:rsidRPr="0027272B">
              <w:rPr>
                <w:rFonts w:ascii="David" w:eastAsia="Calibri" w:hAnsi="David" w:cs="David" w:hint="cs"/>
                <w:sz w:val="24"/>
                <w:szCs w:val="24"/>
                <w:rtl/>
              </w:rPr>
              <w:t xml:space="preserve"> (מידה כנגד מידה)</w:t>
            </w:r>
            <w:r w:rsidRPr="0027272B">
              <w:rPr>
                <w:rFonts w:ascii="David" w:eastAsia="Calibri" w:hAnsi="David" w:cs="David"/>
                <w:sz w:val="24"/>
                <w:szCs w:val="24"/>
                <w:rtl/>
              </w:rPr>
              <w:t xml:space="preserve"> </w:t>
            </w:r>
            <w:r w:rsidRPr="0027272B">
              <w:rPr>
                <w:rFonts w:ascii="David" w:eastAsia="Calibri" w:hAnsi="David" w:cs="David" w:hint="cs"/>
                <w:sz w:val="24"/>
                <w:szCs w:val="24"/>
                <w:rtl/>
              </w:rPr>
              <w:t>(</w:t>
            </w:r>
            <w:r w:rsidRPr="0027272B">
              <w:rPr>
                <w:rFonts w:ascii="David" w:eastAsia="Calibri" w:hAnsi="David" w:cs="David"/>
                <w:sz w:val="24"/>
                <w:szCs w:val="24"/>
                <w:rtl/>
              </w:rPr>
              <w:t xml:space="preserve">המוזכר לעיתים קרובות </w:t>
            </w:r>
            <w:r w:rsidRPr="0027272B">
              <w:rPr>
                <w:rFonts w:ascii="David" w:eastAsia="Calibri" w:hAnsi="David" w:cs="David" w:hint="cs"/>
                <w:sz w:val="24"/>
                <w:szCs w:val="24"/>
                <w:rtl/>
              </w:rPr>
              <w:t>ב</w:t>
            </w:r>
            <w:r w:rsidRPr="0027272B">
              <w:rPr>
                <w:rFonts w:ascii="David" w:eastAsia="Calibri" w:hAnsi="David" w:cs="David"/>
                <w:sz w:val="24"/>
                <w:szCs w:val="24"/>
                <w:rtl/>
              </w:rPr>
              <w:t xml:space="preserve">מונח הלטיני </w:t>
            </w:r>
            <w:proofErr w:type="spellStart"/>
            <w:r w:rsidRPr="0027272B">
              <w:rPr>
                <w:rFonts w:ascii="David" w:eastAsia="Calibri" w:hAnsi="David" w:cs="David"/>
                <w:i/>
                <w:iCs/>
                <w:sz w:val="24"/>
                <w:szCs w:val="24"/>
              </w:rPr>
              <w:t>ius</w:t>
            </w:r>
            <w:proofErr w:type="spellEnd"/>
            <w:r w:rsidRPr="0027272B">
              <w:rPr>
                <w:rFonts w:ascii="David" w:eastAsia="Calibri" w:hAnsi="David" w:cs="David"/>
                <w:i/>
                <w:iCs/>
                <w:sz w:val="24"/>
                <w:szCs w:val="24"/>
              </w:rPr>
              <w:t xml:space="preserve"> talionis</w:t>
            </w:r>
            <w:r w:rsidRPr="0027272B">
              <w:rPr>
                <w:rFonts w:ascii="David" w:eastAsia="Calibri" w:hAnsi="David" w:cs="David"/>
                <w:sz w:val="24"/>
                <w:szCs w:val="24"/>
                <w:rtl/>
              </w:rPr>
              <w:t xml:space="preserve"> </w:t>
            </w:r>
            <w:r w:rsidRPr="0027272B">
              <w:rPr>
                <w:rFonts w:ascii="David" w:eastAsia="Calibri" w:hAnsi="David" w:cs="David" w:hint="cs"/>
                <w:sz w:val="24"/>
                <w:szCs w:val="24"/>
                <w:rtl/>
              </w:rPr>
              <w:t>בגלל השימוש בו</w:t>
            </w:r>
            <w:r w:rsidRPr="0027272B">
              <w:rPr>
                <w:rFonts w:ascii="David" w:eastAsia="Calibri" w:hAnsi="David" w:cs="David"/>
                <w:sz w:val="24"/>
                <w:szCs w:val="24"/>
                <w:rtl/>
              </w:rPr>
              <w:t xml:space="preserve"> ב</w:t>
            </w:r>
            <w:r w:rsidRPr="0027272B">
              <w:rPr>
                <w:rFonts w:ascii="David" w:eastAsia="Calibri" w:hAnsi="David" w:cs="David" w:hint="cs"/>
                <w:sz w:val="24"/>
                <w:szCs w:val="24"/>
                <w:rtl/>
              </w:rPr>
              <w:t>חוק</w:t>
            </w:r>
            <w:r w:rsidRPr="0027272B">
              <w:rPr>
                <w:rFonts w:ascii="David" w:eastAsia="Calibri" w:hAnsi="David" w:cs="David"/>
                <w:sz w:val="24"/>
                <w:szCs w:val="24"/>
                <w:rtl/>
              </w:rPr>
              <w:t xml:space="preserve"> הרומי)</w:t>
            </w:r>
            <w:r w:rsidR="00EB3003" w:rsidRPr="0027272B">
              <w:rPr>
                <w:rFonts w:ascii="David" w:eastAsia="Calibri" w:hAnsi="David" w:cs="David"/>
                <w:sz w:val="24"/>
                <w:szCs w:val="24"/>
                <w:vertAlign w:val="superscript"/>
                <w:rtl/>
              </w:rPr>
              <w:endnoteReference w:id="2"/>
            </w:r>
            <w:r w:rsidR="00EB3003" w:rsidRPr="0027272B">
              <w:rPr>
                <w:rFonts w:ascii="David" w:eastAsia="Calibri" w:hAnsi="David" w:cs="David"/>
                <w:sz w:val="24"/>
                <w:szCs w:val="24"/>
                <w:rtl/>
              </w:rPr>
              <w:t xml:space="preserve"> מופיע ב"חוקי החוכמה" של </w:t>
            </w:r>
            <w:r w:rsidR="00EB3003" w:rsidRPr="0027272B">
              <w:rPr>
                <w:rFonts w:ascii="David" w:eastAsia="Calibri" w:hAnsi="David" w:cs="David" w:hint="cs"/>
                <w:sz w:val="24"/>
                <w:szCs w:val="24"/>
                <w:rtl/>
              </w:rPr>
              <w:t>ה</w:t>
            </w:r>
            <w:r w:rsidR="00EB3003" w:rsidRPr="0027272B">
              <w:rPr>
                <w:rFonts w:ascii="David" w:eastAsia="Calibri" w:hAnsi="David" w:cs="David"/>
                <w:sz w:val="24"/>
                <w:szCs w:val="24"/>
                <w:rtl/>
              </w:rPr>
              <w:t xml:space="preserve">תורה </w:t>
            </w:r>
            <w:r w:rsidR="00EB3003" w:rsidRPr="0027272B">
              <w:rPr>
                <w:rFonts w:ascii="David" w:eastAsia="Calibri" w:hAnsi="David" w:cs="David" w:hint="cs"/>
                <w:sz w:val="24"/>
                <w:szCs w:val="24"/>
                <w:rtl/>
              </w:rPr>
              <w:t xml:space="preserve">בפרשת משפטים </w:t>
            </w:r>
            <w:r w:rsidR="00EB3003" w:rsidRPr="0027272B">
              <w:rPr>
                <w:rFonts w:ascii="David" w:eastAsia="Calibri" w:hAnsi="David" w:cs="David"/>
                <w:sz w:val="24"/>
                <w:szCs w:val="24"/>
                <w:rtl/>
              </w:rPr>
              <w:t>במקרה של הריגה, כאשר אישה הרה נהרגת בשוגג בקטטה.</w:t>
            </w:r>
            <w:r w:rsidR="00EB3003" w:rsidRPr="0027272B">
              <w:rPr>
                <w:rFonts w:ascii="David" w:eastAsia="Calibri" w:hAnsi="David" w:cs="David"/>
                <w:sz w:val="24"/>
                <w:szCs w:val="24"/>
                <w:vertAlign w:val="superscript"/>
                <w:rtl/>
              </w:rPr>
              <w:endnoteReference w:id="3"/>
            </w:r>
            <w:r w:rsidR="00EB3003" w:rsidRPr="0027272B">
              <w:rPr>
                <w:rFonts w:ascii="David" w:eastAsia="Calibri" w:hAnsi="David" w:cs="David"/>
                <w:sz w:val="24"/>
                <w:szCs w:val="24"/>
                <w:rtl/>
              </w:rPr>
              <w:t xml:space="preserve"> תרחיש זה מופיע גם באוספים המשפטיים של המזרח הקרוב העתיק, שם </w:t>
            </w:r>
            <w:r w:rsidR="00EB3003" w:rsidRPr="0027272B">
              <w:rPr>
                <w:rFonts w:ascii="David" w:eastAsia="Calibri" w:hAnsi="David" w:cs="David" w:hint="cs"/>
                <w:sz w:val="24"/>
                <w:szCs w:val="24"/>
                <w:rtl/>
              </w:rPr>
              <w:t>נהגו</w:t>
            </w:r>
            <w:r w:rsidR="00EB3003" w:rsidRPr="0027272B">
              <w:rPr>
                <w:rFonts w:ascii="David" w:eastAsia="Calibri" w:hAnsi="David" w:cs="David"/>
                <w:sz w:val="24"/>
                <w:szCs w:val="24"/>
                <w:rtl/>
              </w:rPr>
              <w:t xml:space="preserve"> "מגוון כללים הניתנים לאכיפה" כדי לפצות </w:t>
            </w:r>
            <w:r w:rsidR="00EB3003" w:rsidRPr="0027272B">
              <w:rPr>
                <w:rFonts w:ascii="David" w:eastAsia="Calibri" w:hAnsi="David" w:cs="David" w:hint="cs"/>
                <w:sz w:val="24"/>
                <w:szCs w:val="24"/>
                <w:rtl/>
              </w:rPr>
              <w:t xml:space="preserve">על </w:t>
            </w:r>
            <w:r w:rsidR="00EB3003" w:rsidRPr="0027272B">
              <w:rPr>
                <w:rFonts w:ascii="David" w:eastAsia="Calibri" w:hAnsi="David" w:cs="David"/>
                <w:sz w:val="24"/>
                <w:szCs w:val="24"/>
                <w:rtl/>
              </w:rPr>
              <w:t>נזקים כ</w:t>
            </w:r>
            <w:r w:rsidR="00EB3003" w:rsidRPr="0027272B">
              <w:rPr>
                <w:rFonts w:ascii="David" w:eastAsia="Calibri" w:hAnsi="David" w:cs="David" w:hint="cs"/>
                <w:sz w:val="24"/>
                <w:szCs w:val="24"/>
                <w:rtl/>
              </w:rPr>
              <w:t xml:space="preserve">גון </w:t>
            </w:r>
            <w:r w:rsidR="00EB3003" w:rsidRPr="0027272B">
              <w:rPr>
                <w:rFonts w:ascii="David" w:eastAsia="Calibri" w:hAnsi="David" w:cs="David"/>
                <w:sz w:val="24"/>
                <w:szCs w:val="24"/>
                <w:rtl/>
              </w:rPr>
              <w:t>אלה.</w:t>
            </w:r>
            <w:r w:rsidR="00EB3003" w:rsidRPr="0027272B">
              <w:rPr>
                <w:rFonts w:ascii="David" w:eastAsia="Calibri" w:hAnsi="David" w:cs="David"/>
                <w:sz w:val="24"/>
                <w:szCs w:val="24"/>
                <w:vertAlign w:val="superscript"/>
                <w:rtl/>
              </w:rPr>
              <w:endnoteReference w:id="4"/>
            </w:r>
          </w:p>
          <w:p w14:paraId="4B03F848" w14:textId="77777777" w:rsidR="00EB3003" w:rsidRPr="0027272B" w:rsidRDefault="00EB3003" w:rsidP="0027272B">
            <w:pPr>
              <w:bidi/>
              <w:spacing w:line="360" w:lineRule="auto"/>
              <w:rPr>
                <w:rFonts w:ascii="David" w:eastAsia="Calibri" w:hAnsi="David" w:cs="David"/>
                <w:sz w:val="28"/>
                <w:szCs w:val="28"/>
                <w:rtl/>
              </w:rPr>
            </w:pPr>
          </w:p>
          <w:p w14:paraId="3EF002A2" w14:textId="77777777" w:rsidR="00EB3003" w:rsidRDefault="00EB3003" w:rsidP="003B7085">
            <w:pPr>
              <w:spacing w:line="480" w:lineRule="auto"/>
              <w:jc w:val="right"/>
              <w:rPr>
                <w:rFonts w:ascii="David" w:hAnsi="David" w:cs="David"/>
                <w:sz w:val="28"/>
                <w:szCs w:val="28"/>
                <w:rtl/>
              </w:rPr>
            </w:pPr>
          </w:p>
          <w:p w14:paraId="73A01A3E" w14:textId="77777777" w:rsidR="00EB3003" w:rsidRDefault="00EB3003" w:rsidP="004E1C22">
            <w:pPr>
              <w:bidi/>
              <w:spacing w:line="276" w:lineRule="auto"/>
              <w:rPr>
                <w:rFonts w:asciiTheme="minorBidi" w:hAnsiTheme="minorBidi"/>
                <w:rtl/>
              </w:rPr>
            </w:pPr>
          </w:p>
        </w:tc>
      </w:tr>
      <w:tr w:rsidR="00EB3003" w14:paraId="29AEEF00" w14:textId="77777777" w:rsidTr="004E1C22">
        <w:tc>
          <w:tcPr>
            <w:tcW w:w="4675" w:type="dxa"/>
          </w:tcPr>
          <w:p w14:paraId="3816CD6C" w14:textId="77777777" w:rsidR="00EB3003" w:rsidRPr="00C11F76" w:rsidRDefault="00EB3003" w:rsidP="00CE5210">
            <w:pPr>
              <w:shd w:val="clear" w:color="auto" w:fill="FFFFFF"/>
              <w:spacing w:before="300" w:after="150" w:line="450" w:lineRule="atLeast"/>
              <w:outlineLvl w:val="2"/>
              <w:rPr>
                <w:rFonts w:ascii="Times New Roman" w:eastAsia="Times New Roman" w:hAnsi="Times New Roman" w:cs="Times New Roman"/>
                <w:color w:val="000000"/>
                <w:sz w:val="32"/>
                <w:szCs w:val="32"/>
                <w:lang w:bidi="ar-SA"/>
              </w:rPr>
            </w:pPr>
            <w:r w:rsidRPr="00C11F76">
              <w:rPr>
                <w:rFonts w:ascii="Times New Roman" w:eastAsia="Times New Roman" w:hAnsi="Times New Roman" w:cs="Times New Roman"/>
                <w:color w:val="000000"/>
                <w:sz w:val="32"/>
                <w:szCs w:val="32"/>
                <w:lang w:bidi="ar-SA"/>
              </w:rPr>
              <w:lastRenderedPageBreak/>
              <w:t>Financial Compensation for Miscarriage</w:t>
            </w:r>
          </w:p>
          <w:p w14:paraId="580A5A81" w14:textId="77777777" w:rsidR="00EB3003" w:rsidRPr="004E1C22" w:rsidRDefault="00EB3003" w:rsidP="004E1C22">
            <w:pPr>
              <w:spacing w:line="276" w:lineRule="auto"/>
              <w:rPr>
                <w:rFonts w:asciiTheme="minorBidi" w:hAnsiTheme="minorBidi"/>
              </w:rPr>
            </w:pPr>
          </w:p>
        </w:tc>
        <w:tc>
          <w:tcPr>
            <w:tcW w:w="4675" w:type="dxa"/>
          </w:tcPr>
          <w:p w14:paraId="1616A748" w14:textId="77777777" w:rsidR="00EB3003" w:rsidRDefault="00EB3003" w:rsidP="003B7085">
            <w:pPr>
              <w:spacing w:line="360" w:lineRule="auto"/>
              <w:jc w:val="center"/>
              <w:rPr>
                <w:rFonts w:ascii="David" w:hAnsi="David" w:cs="David"/>
                <w:sz w:val="28"/>
                <w:szCs w:val="28"/>
                <w:rtl/>
              </w:rPr>
            </w:pPr>
          </w:p>
          <w:p w14:paraId="6968AF20" w14:textId="367087CD" w:rsidR="00EB3003" w:rsidRDefault="00EB3003" w:rsidP="003B7085">
            <w:pPr>
              <w:spacing w:line="360" w:lineRule="auto"/>
              <w:jc w:val="center"/>
              <w:rPr>
                <w:rFonts w:ascii="David" w:hAnsi="David" w:cs="David"/>
                <w:sz w:val="28"/>
                <w:szCs w:val="28"/>
              </w:rPr>
            </w:pPr>
            <w:r w:rsidRPr="0080299B">
              <w:rPr>
                <w:rFonts w:ascii="David" w:hAnsi="David" w:cs="David"/>
                <w:sz w:val="28"/>
                <w:szCs w:val="28"/>
                <w:rtl/>
              </w:rPr>
              <w:t>פיצוי כספי עבור הפלה</w:t>
            </w:r>
          </w:p>
          <w:p w14:paraId="286E9C57" w14:textId="77777777" w:rsidR="00EB3003" w:rsidRPr="0080299B" w:rsidRDefault="00EB3003" w:rsidP="004B101B">
            <w:pPr>
              <w:spacing w:line="360" w:lineRule="auto"/>
              <w:rPr>
                <w:rFonts w:ascii="David" w:hAnsi="David" w:cs="David"/>
                <w:sz w:val="28"/>
                <w:szCs w:val="28"/>
              </w:rPr>
            </w:pPr>
          </w:p>
          <w:p w14:paraId="203EF0F7" w14:textId="77777777" w:rsidR="00EB3003" w:rsidRDefault="00EB3003" w:rsidP="004E1C22">
            <w:pPr>
              <w:bidi/>
              <w:spacing w:line="276" w:lineRule="auto"/>
              <w:rPr>
                <w:rFonts w:asciiTheme="minorBidi" w:hAnsiTheme="minorBidi"/>
                <w:rtl/>
              </w:rPr>
            </w:pPr>
          </w:p>
        </w:tc>
      </w:tr>
      <w:tr w:rsidR="00EB3003" w14:paraId="2D08AA14" w14:textId="77777777" w:rsidTr="004E1C22">
        <w:tc>
          <w:tcPr>
            <w:tcW w:w="4675" w:type="dxa"/>
          </w:tcPr>
          <w:p w14:paraId="3DF4419F" w14:textId="77777777" w:rsidR="00EB3003" w:rsidRPr="00C11F76" w:rsidRDefault="00EB3003" w:rsidP="00CE5210">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The accidental injury of a pregnant woman in a public brawl was of particular significance in the monumental legal collections of Mesopotamia, where the life of a married women together with her unborn child, represented the highest single individual loss an average adult male householder could sustain, outside of his fixed assets.</w:t>
            </w:r>
          </w:p>
          <w:p w14:paraId="122B9737" w14:textId="77777777" w:rsidR="00EB3003" w:rsidRPr="004E1C22" w:rsidRDefault="00EB3003" w:rsidP="004E1C22">
            <w:pPr>
              <w:spacing w:line="276" w:lineRule="auto"/>
              <w:rPr>
                <w:rFonts w:asciiTheme="minorBidi" w:hAnsiTheme="minorBidi"/>
              </w:rPr>
            </w:pPr>
          </w:p>
        </w:tc>
        <w:tc>
          <w:tcPr>
            <w:tcW w:w="4675" w:type="dxa"/>
          </w:tcPr>
          <w:p w14:paraId="33468F77" w14:textId="67FD475E" w:rsidR="00EB3003" w:rsidRPr="006C108F" w:rsidRDefault="00EB3003" w:rsidP="008D52C3">
            <w:pPr>
              <w:bidi/>
              <w:spacing w:line="480" w:lineRule="auto"/>
              <w:rPr>
                <w:rFonts w:ascii="David" w:hAnsi="David" w:cs="David"/>
                <w:sz w:val="24"/>
                <w:szCs w:val="24"/>
                <w:rtl/>
              </w:rPr>
            </w:pPr>
            <w:r>
              <w:rPr>
                <w:rFonts w:ascii="David" w:hAnsi="David" w:cs="David" w:hint="cs"/>
                <w:sz w:val="24"/>
                <w:szCs w:val="24"/>
                <w:rtl/>
              </w:rPr>
              <w:t>ל</w:t>
            </w:r>
            <w:r w:rsidRPr="006C108F">
              <w:rPr>
                <w:rFonts w:ascii="David" w:hAnsi="David" w:cs="David"/>
                <w:sz w:val="24"/>
                <w:szCs w:val="24"/>
                <w:rtl/>
              </w:rPr>
              <w:t xml:space="preserve">פציעה בשוגג של אישה הרה בקטטה פומבית הייתה חשיבות מיוחדת </w:t>
            </w:r>
            <w:r>
              <w:rPr>
                <w:rFonts w:ascii="David" w:hAnsi="David" w:cs="David" w:hint="cs"/>
                <w:sz w:val="24"/>
                <w:szCs w:val="24"/>
                <w:rtl/>
              </w:rPr>
              <w:t>ב</w:t>
            </w:r>
            <w:r w:rsidRPr="006C108F">
              <w:rPr>
                <w:rFonts w:ascii="David" w:hAnsi="David" w:cs="David"/>
                <w:sz w:val="24"/>
                <w:szCs w:val="24"/>
                <w:rtl/>
              </w:rPr>
              <w:t>אוספים המשפטיים ה</w:t>
            </w:r>
            <w:r>
              <w:rPr>
                <w:rFonts w:ascii="David" w:hAnsi="David" w:cs="David" w:hint="cs"/>
                <w:sz w:val="24"/>
                <w:szCs w:val="24"/>
                <w:rtl/>
              </w:rPr>
              <w:t>מרשימים</w:t>
            </w:r>
            <w:r w:rsidRPr="006C108F">
              <w:rPr>
                <w:rFonts w:ascii="David" w:hAnsi="David" w:cs="David"/>
                <w:sz w:val="24"/>
                <w:szCs w:val="24"/>
                <w:rtl/>
              </w:rPr>
              <w:t xml:space="preserve"> של מסופוטמיה, ש</w:t>
            </w:r>
            <w:r>
              <w:rPr>
                <w:rFonts w:ascii="David" w:hAnsi="David" w:cs="David" w:hint="cs"/>
                <w:sz w:val="24"/>
                <w:szCs w:val="24"/>
                <w:rtl/>
              </w:rPr>
              <w:t>בהם</w:t>
            </w:r>
            <w:r w:rsidRPr="006C108F">
              <w:rPr>
                <w:rFonts w:ascii="David" w:hAnsi="David" w:cs="David"/>
                <w:sz w:val="24"/>
                <w:szCs w:val="24"/>
                <w:rtl/>
              </w:rPr>
              <w:t xml:space="preserve"> </w:t>
            </w:r>
            <w:r>
              <w:rPr>
                <w:rFonts w:ascii="David" w:hAnsi="David" w:cs="David" w:hint="cs"/>
                <w:sz w:val="24"/>
                <w:szCs w:val="24"/>
                <w:rtl/>
              </w:rPr>
              <w:t>קיפוח</w:t>
            </w:r>
            <w:r w:rsidRPr="006C108F">
              <w:rPr>
                <w:rFonts w:ascii="David" w:hAnsi="David" w:cs="David"/>
                <w:sz w:val="24"/>
                <w:szCs w:val="24"/>
                <w:rtl/>
              </w:rPr>
              <w:t xml:space="preserve"> חיי</w:t>
            </w:r>
            <w:r>
              <w:rPr>
                <w:rFonts w:ascii="David" w:hAnsi="David" w:cs="David" w:hint="cs"/>
                <w:sz w:val="24"/>
                <w:szCs w:val="24"/>
                <w:rtl/>
              </w:rPr>
              <w:t>ה</w:t>
            </w:r>
            <w:r w:rsidRPr="006C108F">
              <w:rPr>
                <w:rFonts w:ascii="David" w:hAnsi="David" w:cs="David"/>
                <w:sz w:val="24"/>
                <w:szCs w:val="24"/>
                <w:rtl/>
              </w:rPr>
              <w:t xml:space="preserve"> של אישה נשואה יחד עם עוברה </w:t>
            </w:r>
            <w:r>
              <w:rPr>
                <w:rFonts w:ascii="David" w:hAnsi="David" w:cs="David" w:hint="cs"/>
                <w:sz w:val="24"/>
                <w:szCs w:val="24"/>
                <w:rtl/>
              </w:rPr>
              <w:t>סימל</w:t>
            </w:r>
            <w:r w:rsidRPr="006C108F">
              <w:rPr>
                <w:rFonts w:ascii="David" w:hAnsi="David" w:cs="David"/>
                <w:sz w:val="24"/>
                <w:szCs w:val="24"/>
                <w:rtl/>
              </w:rPr>
              <w:t xml:space="preserve"> את האובדן היחיד הגדול ביותר שבעל בית זכר בוגר ממוצע יכול </w:t>
            </w:r>
            <w:r>
              <w:rPr>
                <w:rFonts w:ascii="David" w:hAnsi="David" w:cs="David" w:hint="cs"/>
                <w:sz w:val="24"/>
                <w:szCs w:val="24"/>
                <w:rtl/>
              </w:rPr>
              <w:t xml:space="preserve">היה </w:t>
            </w:r>
            <w:r w:rsidRPr="006C108F">
              <w:rPr>
                <w:rFonts w:ascii="David" w:hAnsi="David" w:cs="David"/>
                <w:sz w:val="24"/>
                <w:szCs w:val="24"/>
                <w:rtl/>
              </w:rPr>
              <w:t>לשאת, פרט לנכסיו הקבועים.</w:t>
            </w:r>
          </w:p>
          <w:p w14:paraId="2D54E602" w14:textId="77777777" w:rsidR="00EB3003" w:rsidRDefault="00EB3003" w:rsidP="00BC7A46">
            <w:pPr>
              <w:spacing w:line="480" w:lineRule="auto"/>
              <w:jc w:val="right"/>
              <w:rPr>
                <w:rFonts w:asciiTheme="minorBidi" w:hAnsiTheme="minorBidi"/>
                <w:rtl/>
              </w:rPr>
            </w:pPr>
          </w:p>
        </w:tc>
      </w:tr>
      <w:tr w:rsidR="00EB3003" w14:paraId="4176C351" w14:textId="77777777" w:rsidTr="004E1C22">
        <w:tc>
          <w:tcPr>
            <w:tcW w:w="4675" w:type="dxa"/>
          </w:tcPr>
          <w:p w14:paraId="5CD093CE" w14:textId="77777777" w:rsidR="00EB3003" w:rsidRPr="00C11F76" w:rsidRDefault="00EB3003" w:rsidP="00CE5210">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As was the case elsewhere in biblical law such assaults were perceived as an infringement of male property rights, rather than an attack on the personhood of the woman.</w:t>
            </w:r>
            <w:r w:rsidRPr="00C11F76">
              <w:rPr>
                <w:rFonts w:ascii="Times New Roman" w:eastAsia="Times New Roman" w:hAnsi="Times New Roman" w:cs="Times New Roman"/>
                <w:color w:val="B22222"/>
                <w:sz w:val="23"/>
                <w:szCs w:val="23"/>
                <w:vertAlign w:val="superscript"/>
                <w:lang w:bidi="ar-SA"/>
              </w:rPr>
              <w:t>[4]</w:t>
            </w:r>
            <w:r w:rsidRPr="00C11F76">
              <w:rPr>
                <w:rFonts w:ascii="Times New Roman" w:eastAsia="Times New Roman" w:hAnsi="Times New Roman" w:cs="Times New Roman"/>
                <w:color w:val="000000"/>
                <w:sz w:val="26"/>
                <w:szCs w:val="26"/>
                <w:lang w:bidi="ar-SA"/>
              </w:rPr>
              <w:t> In the NJPS translation of Exodus 21:23, the words [bracketed] are not individually represented in the Hebrew:</w:t>
            </w:r>
          </w:p>
          <w:p w14:paraId="48C320E0" w14:textId="77777777" w:rsidR="00EB3003" w:rsidRPr="00C11F76" w:rsidRDefault="00EB3003" w:rsidP="00CE5210">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rtl/>
              </w:rPr>
              <w:lastRenderedPageBreak/>
              <w:t xml:space="preserve">וְכִי יִנָּצוּ אֲנָשִׁים וְנָגְפוּ </w:t>
            </w:r>
            <w:proofErr w:type="spellStart"/>
            <w:r w:rsidRPr="00C11F76">
              <w:rPr>
                <w:rFonts w:ascii="Times New Roman" w:eastAsia="Times New Roman" w:hAnsi="Times New Roman" w:cs="Times New Roman"/>
                <w:color w:val="000000"/>
                <w:sz w:val="26"/>
                <w:szCs w:val="26"/>
                <w:rtl/>
              </w:rPr>
              <w:t>אִשָּׁה</w:t>
            </w:r>
            <w:proofErr w:type="spellEnd"/>
            <w:r w:rsidRPr="00C11F76">
              <w:rPr>
                <w:rFonts w:ascii="Times New Roman" w:eastAsia="Times New Roman" w:hAnsi="Times New Roman" w:cs="Times New Roman"/>
                <w:color w:val="000000"/>
                <w:sz w:val="26"/>
                <w:szCs w:val="26"/>
                <w:rtl/>
              </w:rPr>
              <w:t xml:space="preserve"> הָרָה וְיָצְאוּ יְלָדֶיהָ וְלֹא יִהְיֶה אָסוֹן עָנוֹשׁ </w:t>
            </w:r>
            <w:proofErr w:type="spellStart"/>
            <w:r w:rsidRPr="00C11F76">
              <w:rPr>
                <w:rFonts w:ascii="Times New Roman" w:eastAsia="Times New Roman" w:hAnsi="Times New Roman" w:cs="Times New Roman"/>
                <w:color w:val="000000"/>
                <w:sz w:val="26"/>
                <w:szCs w:val="26"/>
                <w:rtl/>
              </w:rPr>
              <w:t>יֵעָנֵש</w:t>
            </w:r>
            <w:proofErr w:type="spellEnd"/>
            <w:r w:rsidRPr="00C11F76">
              <w:rPr>
                <w:rFonts w:ascii="Times New Roman" w:eastAsia="Times New Roman" w:hAnsi="Times New Roman" w:cs="Times New Roman"/>
                <w:color w:val="000000"/>
                <w:sz w:val="26"/>
                <w:szCs w:val="26"/>
                <w:rtl/>
              </w:rPr>
              <w:t xml:space="preserve">ׁ וְנָתַן </w:t>
            </w:r>
            <w:proofErr w:type="spellStart"/>
            <w:r w:rsidRPr="00C11F76">
              <w:rPr>
                <w:rFonts w:ascii="Times New Roman" w:eastAsia="Times New Roman" w:hAnsi="Times New Roman" w:cs="Times New Roman"/>
                <w:color w:val="000000"/>
                <w:sz w:val="26"/>
                <w:szCs w:val="26"/>
                <w:rtl/>
              </w:rPr>
              <w:t>בִּפְלִלִים</w:t>
            </w:r>
            <w:proofErr w:type="spellEnd"/>
          </w:p>
          <w:p w14:paraId="00D0FF74" w14:textId="77777777" w:rsidR="00EB3003" w:rsidRPr="00C11F76" w:rsidRDefault="00EB3003" w:rsidP="00CE5210">
            <w:pPr>
              <w:shd w:val="clear" w:color="auto" w:fill="FFFFFF"/>
              <w:spacing w:line="420" w:lineRule="atLeast"/>
              <w:rPr>
                <w:rFonts w:ascii="Times New Roman" w:eastAsia="Times New Roman" w:hAnsi="Times New Roman" w:cs="Times New Roman"/>
                <w:color w:val="000000"/>
                <w:sz w:val="23"/>
                <w:szCs w:val="23"/>
                <w:rtl/>
                <w:lang w:bidi="ar-SA"/>
              </w:rPr>
            </w:pPr>
            <w:r w:rsidRPr="00C11F76">
              <w:rPr>
                <w:rFonts w:ascii="Times New Roman" w:eastAsia="Times New Roman" w:hAnsi="Times New Roman" w:cs="Times New Roman"/>
                <w:color w:val="000000"/>
                <w:sz w:val="23"/>
                <w:szCs w:val="23"/>
                <w:lang w:bidi="ar-SA"/>
              </w:rPr>
              <w:t> </w:t>
            </w:r>
          </w:p>
          <w:p w14:paraId="4C30AAD1" w14:textId="77777777" w:rsidR="00EB3003" w:rsidRDefault="00EB3003" w:rsidP="00CE5210">
            <w:pPr>
              <w:shd w:val="clear" w:color="auto" w:fill="FFFFFF"/>
              <w:spacing w:line="465" w:lineRule="atLeast"/>
              <w:textAlignment w:val="top"/>
              <w:rPr>
                <w:rFonts w:ascii="Times New Roman" w:eastAsia="Times New Roman" w:hAnsi="Times New Roman" w:cs="Times New Roman"/>
                <w:color w:val="000000"/>
                <w:sz w:val="23"/>
                <w:szCs w:val="23"/>
                <w:lang w:bidi="ar-SA"/>
              </w:rPr>
            </w:pPr>
            <w:bookmarkStart w:id="0" w:name="_Hlk90897002"/>
            <w:r w:rsidRPr="00C11F76">
              <w:rPr>
                <w:rFonts w:ascii="Times New Roman" w:eastAsia="Times New Roman" w:hAnsi="Times New Roman" w:cs="Times New Roman"/>
                <w:color w:val="000000"/>
                <w:sz w:val="23"/>
                <w:szCs w:val="23"/>
                <w:lang w:bidi="ar-SA"/>
              </w:rPr>
              <w:t xml:space="preserve">When men fight and one of them pushes a pregnant woman and a </w:t>
            </w:r>
            <w:proofErr w:type="gramStart"/>
            <w:r w:rsidRPr="00C11F76">
              <w:rPr>
                <w:rFonts w:ascii="Times New Roman" w:eastAsia="Times New Roman" w:hAnsi="Times New Roman" w:cs="Times New Roman"/>
                <w:color w:val="000000"/>
                <w:sz w:val="23"/>
                <w:szCs w:val="23"/>
                <w:lang w:bidi="ar-SA"/>
              </w:rPr>
              <w:t>miscarriage results</w:t>
            </w:r>
            <w:proofErr w:type="gramEnd"/>
            <w:r w:rsidRPr="00C11F76">
              <w:rPr>
                <w:rFonts w:ascii="Times New Roman" w:eastAsia="Times New Roman" w:hAnsi="Times New Roman" w:cs="Times New Roman"/>
                <w:color w:val="000000"/>
                <w:sz w:val="23"/>
                <w:szCs w:val="23"/>
                <w:lang w:bidi="ar-SA"/>
              </w:rPr>
              <w:t xml:space="preserve"> (literally, “her child comes out”) but no [other] damage ensues, the one responsible he shall be fined, [according] as the woman’s husband may exact from him the payment to be based on reckoning.</w:t>
            </w:r>
          </w:p>
          <w:p w14:paraId="021603A6" w14:textId="77777777" w:rsidR="00EB3003" w:rsidRPr="00C11F76" w:rsidRDefault="00EB3003" w:rsidP="00CE5210">
            <w:pPr>
              <w:shd w:val="clear" w:color="auto" w:fill="FFFFFF"/>
              <w:spacing w:line="465" w:lineRule="atLeast"/>
              <w:textAlignment w:val="top"/>
              <w:rPr>
                <w:rFonts w:ascii="Times New Roman" w:eastAsia="Times New Roman" w:hAnsi="Times New Roman" w:cs="Times New Roman"/>
                <w:color w:val="000000"/>
                <w:sz w:val="23"/>
                <w:szCs w:val="23"/>
                <w:lang w:bidi="ar-SA"/>
              </w:rPr>
            </w:pPr>
          </w:p>
          <w:bookmarkEnd w:id="0"/>
          <w:p w14:paraId="3E63491E" w14:textId="77777777" w:rsidR="00EB3003" w:rsidRPr="004E1C22" w:rsidRDefault="00EB3003" w:rsidP="004E1C22">
            <w:pPr>
              <w:spacing w:line="276" w:lineRule="auto"/>
              <w:rPr>
                <w:rFonts w:asciiTheme="minorBidi" w:hAnsiTheme="minorBidi"/>
                <w:lang w:bidi="ar-SA"/>
              </w:rPr>
            </w:pPr>
          </w:p>
        </w:tc>
        <w:tc>
          <w:tcPr>
            <w:tcW w:w="4675" w:type="dxa"/>
          </w:tcPr>
          <w:p w14:paraId="2059BD3F" w14:textId="77777777" w:rsidR="00EB3003" w:rsidRPr="000E5D49" w:rsidRDefault="00EB3003" w:rsidP="000E5D49">
            <w:pPr>
              <w:bidi/>
              <w:spacing w:line="480" w:lineRule="auto"/>
              <w:rPr>
                <w:rFonts w:ascii="David" w:eastAsia="Calibri" w:hAnsi="David" w:cs="David"/>
                <w:sz w:val="24"/>
                <w:szCs w:val="24"/>
                <w:rtl/>
              </w:rPr>
            </w:pPr>
            <w:r w:rsidRPr="000E5D49">
              <w:rPr>
                <w:rFonts w:ascii="David" w:eastAsia="Calibri" w:hAnsi="David" w:cs="David"/>
                <w:sz w:val="24"/>
                <w:szCs w:val="24"/>
                <w:rtl/>
              </w:rPr>
              <w:lastRenderedPageBreak/>
              <w:t>כמו במקרים אחרים בחוק המקראי, נתפסו תקיפות אלה כהפר</w:t>
            </w:r>
            <w:r w:rsidRPr="000E5D49">
              <w:rPr>
                <w:rFonts w:ascii="David" w:eastAsia="Calibri" w:hAnsi="David" w:cs="David" w:hint="cs"/>
                <w:sz w:val="24"/>
                <w:szCs w:val="24"/>
                <w:rtl/>
              </w:rPr>
              <w:t>ת</w:t>
            </w:r>
            <w:r w:rsidRPr="000E5D49">
              <w:rPr>
                <w:rFonts w:ascii="David" w:eastAsia="Calibri" w:hAnsi="David" w:cs="David"/>
                <w:sz w:val="24"/>
                <w:szCs w:val="24"/>
                <w:rtl/>
              </w:rPr>
              <w:t xml:space="preserve"> זכויות הקניין של הזכר ולא </w:t>
            </w:r>
            <w:r w:rsidRPr="000E5D49">
              <w:rPr>
                <w:rFonts w:ascii="David" w:eastAsia="Calibri" w:hAnsi="David" w:cs="David" w:hint="cs"/>
                <w:sz w:val="24"/>
                <w:szCs w:val="24"/>
                <w:rtl/>
              </w:rPr>
              <w:t>כ</w:t>
            </w:r>
            <w:r w:rsidRPr="000E5D49">
              <w:rPr>
                <w:rFonts w:ascii="David" w:eastAsia="Calibri" w:hAnsi="David" w:cs="David"/>
                <w:sz w:val="24"/>
                <w:szCs w:val="24"/>
                <w:rtl/>
              </w:rPr>
              <w:t>תקיפת עצמיותה של האישה.</w:t>
            </w:r>
            <w:r w:rsidRPr="000E5D49">
              <w:rPr>
                <w:rFonts w:ascii="David" w:eastAsia="Calibri" w:hAnsi="David" w:cs="David"/>
                <w:sz w:val="24"/>
                <w:szCs w:val="24"/>
                <w:vertAlign w:val="superscript"/>
                <w:rtl/>
              </w:rPr>
              <w:endnoteReference w:id="5"/>
            </w:r>
            <w:r w:rsidRPr="000E5D49">
              <w:rPr>
                <w:rFonts w:ascii="David" w:eastAsia="Calibri" w:hAnsi="David" w:cs="David"/>
                <w:sz w:val="24"/>
                <w:szCs w:val="24"/>
                <w:rtl/>
              </w:rPr>
              <w:t xml:space="preserve"> בתרגום </w:t>
            </w:r>
            <w:r w:rsidRPr="000E5D49">
              <w:rPr>
                <w:rFonts w:ascii="David" w:eastAsia="Calibri" w:hAnsi="David" w:cs="David"/>
                <w:sz w:val="24"/>
                <w:szCs w:val="24"/>
              </w:rPr>
              <w:t>NJPS</w:t>
            </w:r>
            <w:r w:rsidRPr="000E5D49">
              <w:rPr>
                <w:rFonts w:ascii="David" w:eastAsia="Calibri" w:hAnsi="David" w:cs="David"/>
                <w:sz w:val="24"/>
                <w:szCs w:val="24"/>
                <w:rtl/>
              </w:rPr>
              <w:t xml:space="preserve"> של שמות </w:t>
            </w:r>
            <w:proofErr w:type="spellStart"/>
            <w:r w:rsidRPr="000E5D49">
              <w:rPr>
                <w:rFonts w:ascii="David" w:eastAsia="Calibri" w:hAnsi="David" w:cs="David"/>
                <w:sz w:val="24"/>
                <w:szCs w:val="24"/>
                <w:rtl/>
              </w:rPr>
              <w:t>כא:</w:t>
            </w:r>
            <w:r w:rsidRPr="000E5D49">
              <w:rPr>
                <w:rFonts w:ascii="David" w:eastAsia="Calibri" w:hAnsi="David" w:cs="David" w:hint="cs"/>
                <w:sz w:val="24"/>
                <w:szCs w:val="24"/>
                <w:rtl/>
              </w:rPr>
              <w:t>כב</w:t>
            </w:r>
            <w:proofErr w:type="spellEnd"/>
            <w:r w:rsidRPr="000E5D49">
              <w:rPr>
                <w:rFonts w:ascii="David" w:eastAsia="Calibri" w:hAnsi="David" w:cs="David"/>
                <w:sz w:val="24"/>
                <w:szCs w:val="24"/>
                <w:rtl/>
              </w:rPr>
              <w:t xml:space="preserve">, המילים </w:t>
            </w:r>
            <w:r w:rsidRPr="000E5D49">
              <w:rPr>
                <w:rFonts w:ascii="David" w:eastAsia="Calibri" w:hAnsi="David" w:cs="David" w:hint="cs"/>
                <w:sz w:val="24"/>
                <w:szCs w:val="24"/>
                <w:rtl/>
              </w:rPr>
              <w:t>(</w:t>
            </w:r>
            <w:r w:rsidRPr="000E5D49">
              <w:rPr>
                <w:rFonts w:ascii="David" w:eastAsia="Calibri" w:hAnsi="David" w:cs="David"/>
                <w:sz w:val="24"/>
                <w:szCs w:val="24"/>
                <w:rtl/>
              </w:rPr>
              <w:t>המופיעות בסוגריים</w:t>
            </w:r>
            <w:r w:rsidRPr="000E5D49">
              <w:rPr>
                <w:rFonts w:ascii="David" w:eastAsia="Calibri" w:hAnsi="David" w:cs="David" w:hint="cs"/>
                <w:sz w:val="24"/>
                <w:szCs w:val="24"/>
                <w:rtl/>
              </w:rPr>
              <w:t>)</w:t>
            </w:r>
            <w:r w:rsidRPr="000E5D49">
              <w:rPr>
                <w:rFonts w:ascii="David" w:eastAsia="Calibri" w:hAnsi="David" w:cs="David"/>
                <w:sz w:val="24"/>
                <w:szCs w:val="24"/>
                <w:rtl/>
              </w:rPr>
              <w:t xml:space="preserve"> אינן מיוצגות </w:t>
            </w:r>
            <w:r w:rsidRPr="000E5D49">
              <w:rPr>
                <w:rFonts w:ascii="David" w:eastAsia="Calibri" w:hAnsi="David" w:cs="David" w:hint="cs"/>
                <w:sz w:val="24"/>
                <w:szCs w:val="24"/>
                <w:rtl/>
              </w:rPr>
              <w:t xml:space="preserve">בנפרד </w:t>
            </w:r>
            <w:r w:rsidRPr="000E5D49">
              <w:rPr>
                <w:rFonts w:ascii="David" w:eastAsia="Calibri" w:hAnsi="David" w:cs="David"/>
                <w:sz w:val="24"/>
                <w:szCs w:val="24"/>
                <w:rtl/>
              </w:rPr>
              <w:t>בטקסט העברי:</w:t>
            </w:r>
          </w:p>
          <w:p w14:paraId="0F2A6DFB" w14:textId="009690D5" w:rsidR="00EB3003" w:rsidRPr="0083041D" w:rsidRDefault="00EB3003" w:rsidP="003B7085">
            <w:pPr>
              <w:shd w:val="clear" w:color="auto" w:fill="FFFFFF"/>
              <w:spacing w:after="100" w:line="465" w:lineRule="atLeast"/>
              <w:jc w:val="right"/>
              <w:textAlignment w:val="top"/>
              <w:rPr>
                <w:rFonts w:ascii="Times New Roman" w:eastAsia="Times New Roman" w:hAnsi="Times New Roman" w:cs="Times New Roman"/>
                <w:color w:val="000000"/>
                <w:sz w:val="26"/>
                <w:szCs w:val="26"/>
                <w:lang w:eastAsia="zh-CN"/>
              </w:rPr>
            </w:pPr>
            <w:r w:rsidRPr="0083041D">
              <w:rPr>
                <w:rFonts w:ascii="Times New Roman" w:eastAsia="Times New Roman" w:hAnsi="Times New Roman" w:cs="Times New Roman"/>
                <w:color w:val="000000"/>
                <w:sz w:val="26"/>
                <w:szCs w:val="26"/>
                <w:rtl/>
                <w:lang w:eastAsia="zh-CN"/>
              </w:rPr>
              <w:t xml:space="preserve">כִי יִנָּצוּ אֲנָשִׁים וְנָגְפוּ </w:t>
            </w:r>
            <w:proofErr w:type="spellStart"/>
            <w:r w:rsidRPr="0083041D">
              <w:rPr>
                <w:rFonts w:ascii="Times New Roman" w:eastAsia="Times New Roman" w:hAnsi="Times New Roman" w:cs="Times New Roman"/>
                <w:color w:val="000000"/>
                <w:sz w:val="26"/>
                <w:szCs w:val="26"/>
                <w:rtl/>
                <w:lang w:eastAsia="zh-CN"/>
              </w:rPr>
              <w:t>אִשָּׁה</w:t>
            </w:r>
            <w:proofErr w:type="spellEnd"/>
            <w:r w:rsidRPr="0083041D">
              <w:rPr>
                <w:rFonts w:ascii="Times New Roman" w:eastAsia="Times New Roman" w:hAnsi="Times New Roman" w:cs="Times New Roman"/>
                <w:color w:val="000000"/>
                <w:sz w:val="26"/>
                <w:szCs w:val="26"/>
                <w:rtl/>
                <w:lang w:eastAsia="zh-CN"/>
              </w:rPr>
              <w:t xml:space="preserve"> הָרָה וְיָצְאוּ יְלָדֶיהָ וְלֹא יִהְיֶה אָסוֹן עָנוֹשׁ </w:t>
            </w:r>
            <w:proofErr w:type="spellStart"/>
            <w:r w:rsidRPr="0083041D">
              <w:rPr>
                <w:rFonts w:ascii="Times New Roman" w:eastAsia="Times New Roman" w:hAnsi="Times New Roman" w:cs="Times New Roman"/>
                <w:color w:val="000000"/>
                <w:sz w:val="26"/>
                <w:szCs w:val="26"/>
                <w:rtl/>
                <w:lang w:eastAsia="zh-CN"/>
              </w:rPr>
              <w:t>יֵעָנֵש</w:t>
            </w:r>
            <w:proofErr w:type="spellEnd"/>
            <w:r w:rsidRPr="0083041D">
              <w:rPr>
                <w:rFonts w:ascii="Times New Roman" w:eastAsia="Times New Roman" w:hAnsi="Times New Roman" w:cs="Times New Roman"/>
                <w:color w:val="000000"/>
                <w:sz w:val="26"/>
                <w:szCs w:val="26"/>
                <w:rtl/>
                <w:lang w:eastAsia="zh-CN"/>
              </w:rPr>
              <w:t xml:space="preserve">ׁ וְנָתַן </w:t>
            </w:r>
            <w:proofErr w:type="spellStart"/>
            <w:r w:rsidRPr="0083041D">
              <w:rPr>
                <w:rFonts w:ascii="Times New Roman" w:eastAsia="Times New Roman" w:hAnsi="Times New Roman" w:cs="Times New Roman"/>
                <w:color w:val="000000"/>
                <w:sz w:val="26"/>
                <w:szCs w:val="26"/>
                <w:rtl/>
                <w:lang w:eastAsia="zh-CN"/>
              </w:rPr>
              <w:t>בִּפְלִלִים</w:t>
            </w:r>
            <w:proofErr w:type="spellEnd"/>
            <w:r>
              <w:rPr>
                <w:rFonts w:ascii="Times New Roman" w:eastAsia="Times New Roman" w:hAnsi="Times New Roman" w:cs="Times New Roman" w:hint="cs"/>
                <w:color w:val="000000"/>
                <w:sz w:val="26"/>
                <w:szCs w:val="26"/>
                <w:rtl/>
                <w:lang w:eastAsia="zh-CN"/>
              </w:rPr>
              <w:t>.</w:t>
            </w:r>
          </w:p>
          <w:p w14:paraId="69C9FD23" w14:textId="77777777" w:rsidR="00EB3003" w:rsidRPr="0083041D" w:rsidRDefault="00EB3003" w:rsidP="003B7085">
            <w:pPr>
              <w:spacing w:line="360" w:lineRule="auto"/>
              <w:jc w:val="right"/>
              <w:rPr>
                <w:rFonts w:ascii="David" w:hAnsi="David" w:cs="David"/>
                <w:sz w:val="24"/>
                <w:szCs w:val="24"/>
                <w:rtl/>
              </w:rPr>
            </w:pPr>
          </w:p>
          <w:p w14:paraId="01F8D101" w14:textId="77777777" w:rsidR="00EB3003" w:rsidRDefault="00EB3003" w:rsidP="004E1C22">
            <w:pPr>
              <w:bidi/>
              <w:spacing w:line="276" w:lineRule="auto"/>
              <w:rPr>
                <w:rFonts w:asciiTheme="minorBidi" w:hAnsiTheme="minorBidi"/>
                <w:rtl/>
              </w:rPr>
            </w:pPr>
          </w:p>
        </w:tc>
      </w:tr>
      <w:tr w:rsidR="00EB3003" w14:paraId="1937D3B2" w14:textId="77777777" w:rsidTr="004E1C22">
        <w:tc>
          <w:tcPr>
            <w:tcW w:w="4675" w:type="dxa"/>
          </w:tcPr>
          <w:p w14:paraId="402F9B7B" w14:textId="77777777" w:rsidR="00EB3003" w:rsidRPr="00C11F76" w:rsidRDefault="00EB3003" w:rsidP="00CE5210">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Here if the woman lost her unborn child in the affray, her assailant had to pay a fine to her husband, which was subject to adjudication—possibly by an elder—and where the assessed amount was “based on reckoning.”</w:t>
            </w:r>
          </w:p>
          <w:p w14:paraId="487BD491" w14:textId="77777777" w:rsidR="00EB3003" w:rsidRPr="004E1C22" w:rsidRDefault="00EB3003" w:rsidP="004E1C22">
            <w:pPr>
              <w:spacing w:line="276" w:lineRule="auto"/>
              <w:rPr>
                <w:rFonts w:asciiTheme="minorBidi" w:hAnsiTheme="minorBidi"/>
              </w:rPr>
            </w:pPr>
          </w:p>
        </w:tc>
        <w:tc>
          <w:tcPr>
            <w:tcW w:w="4675" w:type="dxa"/>
          </w:tcPr>
          <w:p w14:paraId="064C5ED4" w14:textId="1408728B" w:rsidR="00EB3003" w:rsidRDefault="00EB3003" w:rsidP="003B7085">
            <w:pPr>
              <w:shd w:val="clear" w:color="auto" w:fill="FFFFFF"/>
              <w:spacing w:line="480" w:lineRule="auto"/>
              <w:jc w:val="right"/>
              <w:textAlignment w:val="top"/>
              <w:rPr>
                <w:rFonts w:ascii="David" w:eastAsia="Times New Roman" w:hAnsi="David" w:cs="David"/>
                <w:color w:val="000000"/>
                <w:sz w:val="24"/>
                <w:szCs w:val="24"/>
                <w:rtl/>
                <w:lang w:eastAsia="zh-CN"/>
              </w:rPr>
            </w:pPr>
            <w:r w:rsidRPr="006C108F">
              <w:rPr>
                <w:rFonts w:ascii="David" w:eastAsia="Times New Roman" w:hAnsi="David" w:cs="David"/>
                <w:color w:val="000000"/>
                <w:sz w:val="24"/>
                <w:szCs w:val="24"/>
                <w:rtl/>
                <w:lang w:eastAsia="zh-CN"/>
              </w:rPr>
              <w:t xml:space="preserve">במקרה שלפנינו, אם </w:t>
            </w:r>
            <w:r>
              <w:rPr>
                <w:rFonts w:ascii="David" w:eastAsia="Times New Roman" w:hAnsi="David" w:cs="David" w:hint="cs"/>
                <w:color w:val="000000"/>
                <w:sz w:val="24"/>
                <w:szCs w:val="24"/>
                <w:rtl/>
                <w:lang w:eastAsia="zh-CN"/>
              </w:rPr>
              <w:t xml:space="preserve">איבדה </w:t>
            </w:r>
            <w:r w:rsidRPr="006C108F">
              <w:rPr>
                <w:rFonts w:ascii="David" w:eastAsia="Times New Roman" w:hAnsi="David" w:cs="David"/>
                <w:color w:val="000000"/>
                <w:sz w:val="24"/>
                <w:szCs w:val="24"/>
                <w:rtl/>
                <w:lang w:eastAsia="zh-CN"/>
              </w:rPr>
              <w:t>הא</w:t>
            </w:r>
            <w:r>
              <w:rPr>
                <w:rFonts w:ascii="David" w:eastAsia="Times New Roman" w:hAnsi="David" w:cs="David" w:hint="cs"/>
                <w:color w:val="000000"/>
                <w:sz w:val="24"/>
                <w:szCs w:val="24"/>
                <w:rtl/>
                <w:lang w:eastAsia="zh-CN"/>
              </w:rPr>
              <w:t>י</w:t>
            </w:r>
            <w:r w:rsidRPr="006C108F">
              <w:rPr>
                <w:rFonts w:ascii="David" w:eastAsia="Times New Roman" w:hAnsi="David" w:cs="David"/>
                <w:color w:val="000000"/>
                <w:sz w:val="24"/>
                <w:szCs w:val="24"/>
                <w:rtl/>
                <w:lang w:eastAsia="zh-CN"/>
              </w:rPr>
              <w:t>שה את עוברה בקטטה,</w:t>
            </w:r>
            <w:r>
              <w:rPr>
                <w:rFonts w:ascii="David" w:eastAsia="Times New Roman" w:hAnsi="David" w:cs="David" w:hint="cs"/>
                <w:color w:val="000000"/>
                <w:sz w:val="24"/>
                <w:szCs w:val="24"/>
                <w:rtl/>
                <w:lang w:eastAsia="zh-CN"/>
              </w:rPr>
              <w:t xml:space="preserve"> </w:t>
            </w:r>
            <w:r w:rsidRPr="006C108F">
              <w:rPr>
                <w:rFonts w:ascii="David" w:eastAsia="Times New Roman" w:hAnsi="David" w:cs="David"/>
                <w:color w:val="000000"/>
                <w:sz w:val="24"/>
                <w:szCs w:val="24"/>
                <w:rtl/>
                <w:lang w:eastAsia="zh-CN"/>
              </w:rPr>
              <w:t xml:space="preserve">התוקף </w:t>
            </w:r>
            <w:r>
              <w:rPr>
                <w:rFonts w:ascii="David" w:eastAsia="Times New Roman" w:hAnsi="David" w:cs="David" w:hint="cs"/>
                <w:color w:val="000000"/>
                <w:sz w:val="24"/>
                <w:szCs w:val="24"/>
                <w:rtl/>
                <w:lang w:eastAsia="zh-CN"/>
              </w:rPr>
              <w:t xml:space="preserve">שלה היה מחויב </w:t>
            </w:r>
            <w:r w:rsidRPr="006C108F">
              <w:rPr>
                <w:rFonts w:ascii="David" w:eastAsia="Times New Roman" w:hAnsi="David" w:cs="David"/>
                <w:color w:val="000000"/>
                <w:sz w:val="24"/>
                <w:szCs w:val="24"/>
                <w:rtl/>
                <w:lang w:eastAsia="zh-CN"/>
              </w:rPr>
              <w:t xml:space="preserve">לשלם לבעלה קנס </w:t>
            </w:r>
            <w:r>
              <w:rPr>
                <w:rFonts w:ascii="David" w:eastAsia="Times New Roman" w:hAnsi="David" w:cs="David" w:hint="cs"/>
                <w:color w:val="000000"/>
                <w:sz w:val="24"/>
                <w:szCs w:val="24"/>
                <w:rtl/>
                <w:lang w:eastAsia="zh-CN"/>
              </w:rPr>
              <w:t xml:space="preserve">אשר היה </w:t>
            </w:r>
            <w:r w:rsidRPr="006C108F">
              <w:rPr>
                <w:rFonts w:ascii="David" w:eastAsia="Times New Roman" w:hAnsi="David" w:cs="David"/>
                <w:color w:val="000000"/>
                <w:sz w:val="24"/>
                <w:szCs w:val="24"/>
                <w:rtl/>
                <w:lang w:eastAsia="zh-CN"/>
              </w:rPr>
              <w:t xml:space="preserve">נתון לפסיקה – אולי בידי אחד הזקנים – </w:t>
            </w:r>
            <w:r>
              <w:rPr>
                <w:rFonts w:ascii="David" w:eastAsia="Times New Roman" w:hAnsi="David" w:cs="David" w:hint="cs"/>
                <w:color w:val="000000"/>
                <w:sz w:val="24"/>
                <w:szCs w:val="24"/>
                <w:rtl/>
                <w:lang w:eastAsia="zh-CN"/>
              </w:rPr>
              <w:t>ו</w:t>
            </w:r>
            <w:r w:rsidRPr="006C108F">
              <w:rPr>
                <w:rFonts w:ascii="David" w:eastAsia="Times New Roman" w:hAnsi="David" w:cs="David"/>
                <w:color w:val="000000"/>
                <w:sz w:val="24"/>
                <w:szCs w:val="24"/>
                <w:rtl/>
                <w:lang w:eastAsia="zh-CN"/>
              </w:rPr>
              <w:t>הסכום המשוער "התבסס על התחשבנות".</w:t>
            </w:r>
          </w:p>
          <w:p w14:paraId="51969751" w14:textId="77777777" w:rsidR="00EB3003" w:rsidRDefault="00EB3003" w:rsidP="004E1C22">
            <w:pPr>
              <w:bidi/>
              <w:spacing w:line="276" w:lineRule="auto"/>
              <w:rPr>
                <w:rFonts w:asciiTheme="minorBidi" w:hAnsiTheme="minorBidi"/>
                <w:rtl/>
              </w:rPr>
            </w:pPr>
          </w:p>
        </w:tc>
      </w:tr>
      <w:tr w:rsidR="00EB3003" w14:paraId="1A086C73" w14:textId="77777777" w:rsidTr="004E1C22">
        <w:tc>
          <w:tcPr>
            <w:tcW w:w="4675" w:type="dxa"/>
          </w:tcPr>
          <w:p w14:paraId="6DDE6933" w14:textId="77777777" w:rsidR="00EB3003" w:rsidRPr="00C11F76" w:rsidRDefault="00EB3003" w:rsidP="001612B2">
            <w:pPr>
              <w:shd w:val="clear" w:color="auto" w:fill="FFFFFF"/>
              <w:spacing w:before="300" w:after="150" w:line="450" w:lineRule="atLeast"/>
              <w:outlineLvl w:val="2"/>
              <w:rPr>
                <w:rFonts w:ascii="Times New Roman" w:eastAsia="Times New Roman" w:hAnsi="Times New Roman" w:cs="Times New Roman"/>
                <w:color w:val="000000"/>
                <w:sz w:val="32"/>
                <w:szCs w:val="32"/>
                <w:lang w:bidi="ar-SA"/>
              </w:rPr>
            </w:pPr>
            <w:r w:rsidRPr="00C11F76">
              <w:rPr>
                <w:rFonts w:ascii="Times New Roman" w:eastAsia="Times New Roman" w:hAnsi="Times New Roman" w:cs="Times New Roman"/>
                <w:color w:val="000000"/>
                <w:sz w:val="32"/>
                <w:szCs w:val="32"/>
                <w:lang w:bidi="ar-SA"/>
              </w:rPr>
              <w:t>Liability and Restitution for the Mother’s Death</w:t>
            </w:r>
          </w:p>
          <w:p w14:paraId="7D73D7EC" w14:textId="77777777" w:rsidR="00EB3003" w:rsidRPr="004E1C22" w:rsidRDefault="00EB3003" w:rsidP="004E1C22">
            <w:pPr>
              <w:spacing w:line="276" w:lineRule="auto"/>
              <w:rPr>
                <w:rFonts w:asciiTheme="minorBidi" w:hAnsiTheme="minorBidi"/>
              </w:rPr>
            </w:pPr>
          </w:p>
        </w:tc>
        <w:tc>
          <w:tcPr>
            <w:tcW w:w="4675" w:type="dxa"/>
          </w:tcPr>
          <w:p w14:paraId="3BDDA7C0" w14:textId="77777777" w:rsidR="00EB3003" w:rsidRDefault="00EB3003" w:rsidP="004E1C22">
            <w:pPr>
              <w:bidi/>
              <w:spacing w:line="276" w:lineRule="auto"/>
              <w:rPr>
                <w:rFonts w:ascii="David" w:eastAsia="Times New Roman" w:hAnsi="David" w:cs="David"/>
                <w:color w:val="000000"/>
                <w:sz w:val="32"/>
                <w:szCs w:val="32"/>
                <w:rtl/>
                <w:lang w:eastAsia="zh-CN"/>
              </w:rPr>
            </w:pPr>
          </w:p>
          <w:p w14:paraId="602F84D9" w14:textId="4C6438A3" w:rsidR="00EB3003" w:rsidRDefault="00EB3003" w:rsidP="003B7085">
            <w:pPr>
              <w:bidi/>
              <w:spacing w:line="276" w:lineRule="auto"/>
              <w:jc w:val="center"/>
              <w:rPr>
                <w:rFonts w:asciiTheme="minorBidi" w:hAnsiTheme="minorBidi"/>
                <w:rtl/>
              </w:rPr>
            </w:pPr>
            <w:r w:rsidRPr="006C108F">
              <w:rPr>
                <w:rFonts w:ascii="David" w:eastAsia="Times New Roman" w:hAnsi="David" w:cs="David"/>
                <w:color w:val="000000"/>
                <w:sz w:val="32"/>
                <w:szCs w:val="32"/>
                <w:rtl/>
                <w:lang w:eastAsia="zh-CN"/>
              </w:rPr>
              <w:t>אחריות ופיצוי עבור מות האם</w:t>
            </w:r>
          </w:p>
        </w:tc>
      </w:tr>
      <w:tr w:rsidR="00EB3003" w14:paraId="3A18B621" w14:textId="77777777" w:rsidTr="004E1C22">
        <w:tc>
          <w:tcPr>
            <w:tcW w:w="4675" w:type="dxa"/>
          </w:tcPr>
          <w:p w14:paraId="50D87473" w14:textId="77777777" w:rsidR="00EB3003" w:rsidRPr="00C11F76" w:rsidRDefault="00EB3003" w:rsidP="00A6439F">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The focus then shifts to the injuries sustained by the mother, which are </w:t>
            </w:r>
            <w:r w:rsidRPr="00C11F76">
              <w:rPr>
                <w:rFonts w:ascii="Times New Roman" w:eastAsia="Times New Roman" w:hAnsi="Times New Roman" w:cs="Times New Roman"/>
                <w:color w:val="000000"/>
                <w:sz w:val="26"/>
                <w:szCs w:val="26"/>
                <w:lang w:bidi="ar-SA"/>
              </w:rPr>
              <w:lastRenderedPageBreak/>
              <w:t>differentiated as fatal (</w:t>
            </w:r>
            <w:proofErr w:type="spellStart"/>
            <w:r w:rsidRPr="00C11F76">
              <w:rPr>
                <w:rFonts w:ascii="Times New Roman" w:eastAsia="Times New Roman" w:hAnsi="Times New Roman" w:cs="Times New Roman"/>
                <w:color w:val="000000"/>
                <w:sz w:val="26"/>
                <w:szCs w:val="26"/>
                <w:lang w:bidi="ar-SA"/>
              </w:rPr>
              <w:t>Exod</w:t>
            </w:r>
            <w:proofErr w:type="spellEnd"/>
            <w:r w:rsidRPr="00C11F76">
              <w:rPr>
                <w:rFonts w:ascii="Times New Roman" w:eastAsia="Times New Roman" w:hAnsi="Times New Roman" w:cs="Times New Roman"/>
                <w:color w:val="000000"/>
                <w:sz w:val="26"/>
                <w:szCs w:val="26"/>
                <w:lang w:bidi="ar-SA"/>
              </w:rPr>
              <w:t xml:space="preserve"> 21.23) and non-fatal (</w:t>
            </w:r>
            <w:proofErr w:type="spellStart"/>
            <w:r w:rsidRPr="00C11F76">
              <w:rPr>
                <w:rFonts w:ascii="Times New Roman" w:eastAsia="Times New Roman" w:hAnsi="Times New Roman" w:cs="Times New Roman"/>
                <w:color w:val="000000"/>
                <w:sz w:val="26"/>
                <w:szCs w:val="26"/>
                <w:lang w:bidi="ar-SA"/>
              </w:rPr>
              <w:t>Exod</w:t>
            </w:r>
            <w:proofErr w:type="spellEnd"/>
            <w:r w:rsidRPr="00C11F76">
              <w:rPr>
                <w:rFonts w:ascii="Times New Roman" w:eastAsia="Times New Roman" w:hAnsi="Times New Roman" w:cs="Times New Roman"/>
                <w:color w:val="000000"/>
                <w:sz w:val="26"/>
                <w:szCs w:val="26"/>
                <w:lang w:bidi="ar-SA"/>
              </w:rPr>
              <w:t xml:space="preserve"> 21.24),</w:t>
            </w:r>
            <w:r w:rsidRPr="00C11F76">
              <w:rPr>
                <w:rFonts w:ascii="Times New Roman" w:eastAsia="Times New Roman" w:hAnsi="Times New Roman" w:cs="Times New Roman"/>
                <w:color w:val="B22222"/>
                <w:sz w:val="23"/>
                <w:szCs w:val="23"/>
                <w:vertAlign w:val="superscript"/>
                <w:lang w:bidi="ar-SA"/>
              </w:rPr>
              <w:t>[5]</w:t>
            </w:r>
            <w:r w:rsidRPr="00C11F76">
              <w:rPr>
                <w:rFonts w:ascii="Times New Roman" w:eastAsia="Times New Roman" w:hAnsi="Times New Roman" w:cs="Times New Roman"/>
                <w:color w:val="000000"/>
                <w:sz w:val="26"/>
                <w:szCs w:val="26"/>
                <w:lang w:bidi="ar-SA"/>
              </w:rPr>
              <w:t> as follows:</w:t>
            </w:r>
          </w:p>
          <w:p w14:paraId="1AF846CE" w14:textId="77777777" w:rsidR="00EB3003" w:rsidRPr="00C11F76" w:rsidRDefault="00EB3003" w:rsidP="00A6439F">
            <w:pPr>
              <w:numPr>
                <w:ilvl w:val="0"/>
                <w:numId w:val="1"/>
              </w:numPr>
              <w:shd w:val="clear" w:color="auto" w:fill="FFFFFF"/>
              <w:spacing w:before="100" w:beforeAutospacing="1" w:after="105"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b/>
                <w:bCs/>
                <w:color w:val="000000"/>
                <w:sz w:val="26"/>
                <w:lang w:bidi="ar-SA"/>
              </w:rPr>
              <w:t xml:space="preserve">Liability for the Loss of Life of the </w:t>
            </w:r>
            <w:proofErr w:type="gramStart"/>
            <w:r w:rsidRPr="00C11F76">
              <w:rPr>
                <w:rFonts w:ascii="Times New Roman" w:eastAsia="Times New Roman" w:hAnsi="Times New Roman" w:cs="Times New Roman"/>
                <w:b/>
                <w:bCs/>
                <w:color w:val="000000"/>
                <w:sz w:val="26"/>
                <w:lang w:bidi="ar-SA"/>
              </w:rPr>
              <w:t>Mother</w:t>
            </w:r>
            <w:proofErr w:type="gramEnd"/>
          </w:p>
          <w:p w14:paraId="41C11D4F" w14:textId="77777777" w:rsidR="00EB3003" w:rsidRPr="00C11F76" w:rsidRDefault="00EB3003" w:rsidP="00A6439F">
            <w:pPr>
              <w:shd w:val="clear" w:color="auto" w:fill="FFFFFF"/>
              <w:bidi/>
              <w:spacing w:after="100" w:line="465" w:lineRule="atLeast"/>
              <w:textAlignment w:val="top"/>
              <w:rPr>
                <w:rFonts w:ascii="Times New Roman" w:eastAsia="Times New Roman" w:hAnsi="Times New Roman" w:cs="Times New Roman"/>
                <w:color w:val="000000"/>
                <w:sz w:val="26"/>
                <w:szCs w:val="26"/>
                <w:lang w:bidi="ar-SA"/>
              </w:rPr>
            </w:pPr>
            <w:bookmarkStart w:id="1" w:name="_Hlk90898523"/>
            <w:r w:rsidRPr="00C11F76">
              <w:rPr>
                <w:rFonts w:ascii="Times New Roman" w:eastAsia="Times New Roman" w:hAnsi="Times New Roman" w:cs="Times New Roman"/>
                <w:color w:val="000000"/>
                <w:sz w:val="19"/>
                <w:szCs w:val="19"/>
                <w:vertAlign w:val="superscript"/>
                <w:rtl/>
              </w:rPr>
              <w:t xml:space="preserve">שמות </w:t>
            </w:r>
            <w:proofErr w:type="spellStart"/>
            <w:r w:rsidRPr="00C11F76">
              <w:rPr>
                <w:rFonts w:ascii="Times New Roman" w:eastAsia="Times New Roman" w:hAnsi="Times New Roman" w:cs="Times New Roman"/>
                <w:color w:val="000000"/>
                <w:sz w:val="19"/>
                <w:szCs w:val="19"/>
                <w:vertAlign w:val="superscript"/>
                <w:rtl/>
              </w:rPr>
              <w:t>כא:כג</w:t>
            </w:r>
            <w:proofErr w:type="spellEnd"/>
            <w:r w:rsidRPr="00C11F76">
              <w:rPr>
                <w:rFonts w:ascii="Times New Roman" w:eastAsia="Times New Roman" w:hAnsi="Times New Roman" w:cs="Times New Roman"/>
                <w:color w:val="000000"/>
                <w:sz w:val="26"/>
                <w:szCs w:val="26"/>
                <w:rtl/>
                <w:lang w:bidi="ar-SA"/>
              </w:rPr>
              <w:t> </w:t>
            </w:r>
            <w:r w:rsidRPr="00C11F76">
              <w:rPr>
                <w:rFonts w:ascii="Times New Roman" w:eastAsia="Times New Roman" w:hAnsi="Times New Roman" w:cs="Times New Roman"/>
                <w:color w:val="000000"/>
                <w:sz w:val="26"/>
                <w:szCs w:val="26"/>
                <w:rtl/>
              </w:rPr>
              <w:t xml:space="preserve">וְאִם אָסוֹן יִהְיֶה </w:t>
            </w:r>
            <w:proofErr w:type="spellStart"/>
            <w:r w:rsidRPr="00C11F76">
              <w:rPr>
                <w:rFonts w:ascii="Times New Roman" w:eastAsia="Times New Roman" w:hAnsi="Times New Roman" w:cs="Times New Roman"/>
                <w:color w:val="000000"/>
                <w:sz w:val="26"/>
                <w:szCs w:val="26"/>
                <w:rtl/>
              </w:rPr>
              <w:t>וְנָתַתָּה</w:t>
            </w:r>
            <w:proofErr w:type="spellEnd"/>
            <w:r w:rsidRPr="00C11F76">
              <w:rPr>
                <w:rFonts w:ascii="Times New Roman" w:eastAsia="Times New Roman" w:hAnsi="Times New Roman" w:cs="Times New Roman"/>
                <w:color w:val="000000"/>
                <w:sz w:val="26"/>
                <w:szCs w:val="26"/>
                <w:rtl/>
              </w:rPr>
              <w:t xml:space="preserve"> נֶפֶשׁ תַּחַת נָפֶשׁ.</w:t>
            </w:r>
          </w:p>
          <w:bookmarkEnd w:id="1"/>
          <w:p w14:paraId="2898F963" w14:textId="77777777" w:rsidR="00EB3003" w:rsidRPr="00C11F76" w:rsidRDefault="00EB3003" w:rsidP="00A6439F">
            <w:pPr>
              <w:shd w:val="clear" w:color="auto" w:fill="FFFFFF"/>
              <w:spacing w:line="465" w:lineRule="atLeast"/>
              <w:textAlignment w:val="top"/>
              <w:rPr>
                <w:rFonts w:ascii="Times New Roman" w:eastAsia="Times New Roman" w:hAnsi="Times New Roman" w:cs="Times New Roman"/>
                <w:color w:val="000000"/>
                <w:sz w:val="23"/>
                <w:szCs w:val="23"/>
                <w:lang w:bidi="ar-SA"/>
              </w:rPr>
            </w:pPr>
            <w:proofErr w:type="spellStart"/>
            <w:r w:rsidRPr="00C11F76">
              <w:rPr>
                <w:rFonts w:ascii="Times New Roman" w:eastAsia="Times New Roman" w:hAnsi="Times New Roman" w:cs="Times New Roman"/>
                <w:color w:val="000000"/>
                <w:sz w:val="17"/>
                <w:szCs w:val="17"/>
                <w:vertAlign w:val="superscript"/>
                <w:lang w:bidi="ar-SA"/>
              </w:rPr>
              <w:t>Exod</w:t>
            </w:r>
            <w:proofErr w:type="spellEnd"/>
            <w:r w:rsidRPr="00C11F76">
              <w:rPr>
                <w:rFonts w:ascii="Times New Roman" w:eastAsia="Times New Roman" w:hAnsi="Times New Roman" w:cs="Times New Roman"/>
                <w:color w:val="000000"/>
                <w:sz w:val="17"/>
                <w:szCs w:val="17"/>
                <w:vertAlign w:val="superscript"/>
                <w:lang w:bidi="ar-SA"/>
              </w:rPr>
              <w:t xml:space="preserve"> 21:23</w:t>
            </w:r>
            <w:r w:rsidRPr="00C11F76">
              <w:rPr>
                <w:rFonts w:ascii="Times New Roman" w:eastAsia="Times New Roman" w:hAnsi="Times New Roman" w:cs="Times New Roman"/>
                <w:color w:val="000000"/>
                <w:sz w:val="23"/>
                <w:szCs w:val="23"/>
                <w:lang w:bidi="ar-SA"/>
              </w:rPr>
              <w:t> But if [other] damage ensues, you will give a life for a life.</w:t>
            </w:r>
          </w:p>
          <w:p w14:paraId="7B3CFEB5" w14:textId="77777777" w:rsidR="00EB3003" w:rsidRPr="004E1C22" w:rsidRDefault="00EB3003" w:rsidP="004E1C22">
            <w:pPr>
              <w:spacing w:line="276" w:lineRule="auto"/>
              <w:rPr>
                <w:rFonts w:asciiTheme="minorBidi" w:hAnsiTheme="minorBidi"/>
              </w:rPr>
            </w:pPr>
          </w:p>
        </w:tc>
        <w:tc>
          <w:tcPr>
            <w:tcW w:w="4675" w:type="dxa"/>
          </w:tcPr>
          <w:p w14:paraId="4809DC94" w14:textId="22EBB425" w:rsidR="00EB3003" w:rsidRPr="006C108F" w:rsidRDefault="00EB3003" w:rsidP="00AF1425">
            <w:pPr>
              <w:shd w:val="clear" w:color="auto" w:fill="FFFFFF"/>
              <w:spacing w:line="465" w:lineRule="atLeast"/>
              <w:jc w:val="right"/>
              <w:textAlignment w:val="top"/>
              <w:rPr>
                <w:rFonts w:ascii="David" w:eastAsia="Times New Roman" w:hAnsi="David" w:cs="David"/>
                <w:color w:val="000000"/>
                <w:sz w:val="24"/>
                <w:szCs w:val="24"/>
                <w:rtl/>
                <w:lang w:eastAsia="zh-CN"/>
              </w:rPr>
            </w:pPr>
            <w:r w:rsidRPr="006C108F">
              <w:rPr>
                <w:rFonts w:ascii="David" w:eastAsia="Times New Roman" w:hAnsi="David" w:cs="David"/>
                <w:color w:val="000000"/>
                <w:sz w:val="24"/>
                <w:szCs w:val="24"/>
                <w:rtl/>
                <w:lang w:eastAsia="zh-CN"/>
              </w:rPr>
              <w:lastRenderedPageBreak/>
              <w:t xml:space="preserve">לאחר מכן </w:t>
            </w:r>
            <w:r>
              <w:rPr>
                <w:rFonts w:ascii="David" w:eastAsia="Times New Roman" w:hAnsi="David" w:cs="David" w:hint="cs"/>
                <w:color w:val="000000"/>
                <w:sz w:val="24"/>
                <w:szCs w:val="24"/>
                <w:rtl/>
                <w:lang w:eastAsia="zh-CN"/>
              </w:rPr>
              <w:t>עוברת תשומת הלב</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 xml:space="preserve">אל </w:t>
            </w:r>
            <w:r w:rsidRPr="006C108F">
              <w:rPr>
                <w:rFonts w:ascii="David" w:eastAsia="Times New Roman" w:hAnsi="David" w:cs="David"/>
                <w:color w:val="000000"/>
                <w:sz w:val="24"/>
                <w:szCs w:val="24"/>
                <w:rtl/>
                <w:lang w:eastAsia="zh-CN"/>
              </w:rPr>
              <w:t xml:space="preserve">פציעות האם המובחנות כקטלניות (שמות </w:t>
            </w:r>
            <w:proofErr w:type="spellStart"/>
            <w:r w:rsidRPr="006C108F">
              <w:rPr>
                <w:rFonts w:ascii="David" w:eastAsia="Times New Roman" w:hAnsi="David" w:cs="David"/>
                <w:color w:val="000000"/>
                <w:sz w:val="24"/>
                <w:szCs w:val="24"/>
                <w:rtl/>
                <w:lang w:eastAsia="zh-CN"/>
              </w:rPr>
              <w:t>כא:</w:t>
            </w:r>
            <w:r>
              <w:rPr>
                <w:rFonts w:ascii="David" w:eastAsia="Times New Roman" w:hAnsi="David" w:cs="David" w:hint="cs"/>
                <w:color w:val="000000"/>
                <w:sz w:val="24"/>
                <w:szCs w:val="24"/>
                <w:rtl/>
                <w:lang w:eastAsia="zh-CN"/>
              </w:rPr>
              <w:t>כג</w:t>
            </w:r>
            <w:proofErr w:type="spellEnd"/>
            <w:r w:rsidRPr="006C108F">
              <w:rPr>
                <w:rFonts w:ascii="David" w:eastAsia="Times New Roman" w:hAnsi="David" w:cs="David"/>
                <w:color w:val="000000"/>
                <w:sz w:val="24"/>
                <w:szCs w:val="24"/>
                <w:rtl/>
                <w:lang w:eastAsia="zh-CN"/>
              </w:rPr>
              <w:t xml:space="preserve">) ולא קטלניות (שמות </w:t>
            </w:r>
            <w:proofErr w:type="spellStart"/>
            <w:r w:rsidRPr="006C108F">
              <w:rPr>
                <w:rFonts w:ascii="David" w:eastAsia="Times New Roman" w:hAnsi="David" w:cs="David"/>
                <w:color w:val="000000"/>
                <w:sz w:val="24"/>
                <w:szCs w:val="24"/>
                <w:rtl/>
                <w:lang w:eastAsia="zh-CN"/>
              </w:rPr>
              <w:t>כא:</w:t>
            </w:r>
            <w:r>
              <w:rPr>
                <w:rFonts w:ascii="David" w:eastAsia="Times New Roman" w:hAnsi="David" w:cs="David" w:hint="cs"/>
                <w:color w:val="000000"/>
                <w:sz w:val="24"/>
                <w:szCs w:val="24"/>
                <w:rtl/>
                <w:lang w:eastAsia="zh-CN"/>
              </w:rPr>
              <w:t>כד</w:t>
            </w:r>
            <w:proofErr w:type="spellEnd"/>
            <w:r w:rsidRPr="006C108F">
              <w:rPr>
                <w:rFonts w:ascii="David" w:eastAsia="Times New Roman" w:hAnsi="David" w:cs="David"/>
                <w:color w:val="000000"/>
                <w:sz w:val="24"/>
                <w:szCs w:val="24"/>
                <w:rtl/>
                <w:lang w:eastAsia="zh-CN"/>
              </w:rPr>
              <w:t>),</w:t>
            </w:r>
            <w:r w:rsidRPr="006C108F">
              <w:rPr>
                <w:rStyle w:val="af0"/>
                <w:rFonts w:ascii="David" w:eastAsia="Times New Roman" w:hAnsi="David" w:cs="David"/>
                <w:color w:val="000000"/>
                <w:sz w:val="24"/>
                <w:szCs w:val="24"/>
                <w:rtl/>
                <w:lang w:eastAsia="zh-CN"/>
              </w:rPr>
              <w:endnoteReference w:id="6"/>
            </w:r>
            <w:r w:rsidRPr="006C108F">
              <w:rPr>
                <w:rFonts w:ascii="David" w:eastAsia="Times New Roman" w:hAnsi="David" w:cs="David"/>
                <w:color w:val="000000"/>
                <w:sz w:val="24"/>
                <w:szCs w:val="24"/>
                <w:rtl/>
                <w:lang w:eastAsia="zh-CN"/>
              </w:rPr>
              <w:t xml:space="preserve"> כדלהלן:</w:t>
            </w:r>
          </w:p>
          <w:p w14:paraId="3D600823" w14:textId="77777777" w:rsidR="00EB3003" w:rsidRPr="006C108F" w:rsidRDefault="00EB3003" w:rsidP="00B90E25">
            <w:pPr>
              <w:pStyle w:val="aa"/>
              <w:numPr>
                <w:ilvl w:val="0"/>
                <w:numId w:val="7"/>
              </w:numPr>
              <w:shd w:val="clear" w:color="auto" w:fill="FFFFFF"/>
              <w:bidi/>
              <w:spacing w:after="100" w:line="465" w:lineRule="atLeast"/>
              <w:jc w:val="both"/>
              <w:textAlignment w:val="top"/>
              <w:rPr>
                <w:rFonts w:ascii="David" w:eastAsia="Times New Roman" w:hAnsi="David" w:cs="David"/>
                <w:b/>
                <w:bCs/>
                <w:color w:val="000000"/>
                <w:sz w:val="28"/>
                <w:szCs w:val="28"/>
                <w:rtl/>
                <w:lang w:eastAsia="zh-CN"/>
              </w:rPr>
            </w:pPr>
            <w:r w:rsidRPr="006C108F">
              <w:rPr>
                <w:rFonts w:ascii="David" w:eastAsia="Times New Roman" w:hAnsi="David" w:cs="David"/>
                <w:b/>
                <w:bCs/>
                <w:color w:val="000000"/>
                <w:sz w:val="28"/>
                <w:szCs w:val="28"/>
                <w:rtl/>
                <w:lang w:eastAsia="zh-CN"/>
              </w:rPr>
              <w:t>אחריות לאובדן חיי האם</w:t>
            </w:r>
          </w:p>
          <w:p w14:paraId="2824EF8C" w14:textId="77777777" w:rsidR="00EB3003" w:rsidRPr="006C108F" w:rsidRDefault="00EB3003" w:rsidP="00B90E25">
            <w:pPr>
              <w:shd w:val="clear" w:color="auto" w:fill="FFFFFF"/>
              <w:spacing w:after="100" w:line="465" w:lineRule="atLeast"/>
              <w:jc w:val="right"/>
              <w:textAlignment w:val="top"/>
              <w:rPr>
                <w:rFonts w:ascii="David" w:eastAsia="Times New Roman" w:hAnsi="David" w:cs="David"/>
                <w:color w:val="000000"/>
                <w:sz w:val="24"/>
                <w:szCs w:val="24"/>
                <w:rtl/>
                <w:lang w:eastAsia="zh-CN"/>
              </w:rPr>
            </w:pPr>
            <w:r w:rsidRPr="006C108F">
              <w:rPr>
                <w:rFonts w:ascii="David" w:eastAsia="Times New Roman" w:hAnsi="David" w:cs="David"/>
                <w:color w:val="000000"/>
                <w:sz w:val="24"/>
                <w:szCs w:val="24"/>
                <w:vertAlign w:val="superscript"/>
                <w:rtl/>
                <w:lang w:eastAsia="zh-CN"/>
              </w:rPr>
              <w:lastRenderedPageBreak/>
              <w:t xml:space="preserve"> שמות </w:t>
            </w:r>
            <w:proofErr w:type="spellStart"/>
            <w:r w:rsidRPr="006C108F">
              <w:rPr>
                <w:rFonts w:ascii="David" w:eastAsia="Times New Roman" w:hAnsi="David" w:cs="David"/>
                <w:color w:val="000000"/>
                <w:sz w:val="24"/>
                <w:szCs w:val="24"/>
                <w:vertAlign w:val="superscript"/>
                <w:rtl/>
                <w:lang w:eastAsia="zh-CN"/>
              </w:rPr>
              <w:t>כא:כג</w:t>
            </w:r>
            <w:proofErr w:type="spellEnd"/>
            <w:r w:rsidRPr="006C108F">
              <w:rPr>
                <w:rFonts w:ascii="David" w:eastAsia="Times New Roman" w:hAnsi="David" w:cs="David"/>
                <w:color w:val="000000"/>
                <w:sz w:val="24"/>
                <w:szCs w:val="24"/>
                <w:rtl/>
                <w:lang w:eastAsia="zh-CN" w:bidi="ar-SA"/>
              </w:rPr>
              <w:t> </w:t>
            </w:r>
            <w:r w:rsidRPr="006C108F">
              <w:rPr>
                <w:rFonts w:ascii="David" w:eastAsia="Times New Roman" w:hAnsi="David" w:cs="David"/>
                <w:color w:val="000000"/>
                <w:sz w:val="24"/>
                <w:szCs w:val="24"/>
                <w:rtl/>
                <w:lang w:eastAsia="zh-CN"/>
              </w:rPr>
              <w:t xml:space="preserve">וְאִם אָסוֹן יִהְיֶה </w:t>
            </w:r>
            <w:proofErr w:type="spellStart"/>
            <w:r w:rsidRPr="006C108F">
              <w:rPr>
                <w:rFonts w:ascii="David" w:eastAsia="Times New Roman" w:hAnsi="David" w:cs="David"/>
                <w:color w:val="000000"/>
                <w:sz w:val="24"/>
                <w:szCs w:val="24"/>
                <w:rtl/>
                <w:lang w:eastAsia="zh-CN"/>
              </w:rPr>
              <w:t>וְנָתַתָּה</w:t>
            </w:r>
            <w:proofErr w:type="spellEnd"/>
            <w:r w:rsidRPr="006C108F">
              <w:rPr>
                <w:rFonts w:ascii="David" w:eastAsia="Times New Roman" w:hAnsi="David" w:cs="David"/>
                <w:color w:val="000000"/>
                <w:sz w:val="24"/>
                <w:szCs w:val="24"/>
                <w:rtl/>
                <w:lang w:eastAsia="zh-CN"/>
              </w:rPr>
              <w:t xml:space="preserve"> נֶפֶשׁ תַּחַת נָפֶשׁ.</w:t>
            </w:r>
          </w:p>
          <w:p w14:paraId="6E04680D" w14:textId="77777777" w:rsidR="00EB3003" w:rsidRDefault="00EB3003" w:rsidP="004E1C22">
            <w:pPr>
              <w:bidi/>
              <w:spacing w:line="276" w:lineRule="auto"/>
              <w:rPr>
                <w:rFonts w:asciiTheme="minorBidi" w:hAnsiTheme="minorBidi"/>
                <w:rtl/>
              </w:rPr>
            </w:pPr>
          </w:p>
        </w:tc>
      </w:tr>
      <w:tr w:rsidR="00EB3003" w14:paraId="76AD2BC5" w14:textId="77777777" w:rsidTr="004E1C22">
        <w:tc>
          <w:tcPr>
            <w:tcW w:w="4675" w:type="dxa"/>
          </w:tcPr>
          <w:p w14:paraId="6010D204" w14:textId="77777777" w:rsidR="00EB3003" w:rsidRPr="00C11F76" w:rsidRDefault="00EB3003" w:rsidP="00A6439F">
            <w:pPr>
              <w:numPr>
                <w:ilvl w:val="0"/>
                <w:numId w:val="2"/>
              </w:numPr>
              <w:shd w:val="clear" w:color="auto" w:fill="FFFFFF"/>
              <w:spacing w:before="100" w:beforeAutospacing="1" w:after="105"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b/>
                <w:bCs/>
                <w:color w:val="000000"/>
                <w:sz w:val="26"/>
                <w:lang w:bidi="ar-SA"/>
              </w:rPr>
              <w:lastRenderedPageBreak/>
              <w:t xml:space="preserve">Liability for Non-Fatal Physical Injuries of the </w:t>
            </w:r>
            <w:proofErr w:type="gramStart"/>
            <w:r w:rsidRPr="00C11F76">
              <w:rPr>
                <w:rFonts w:ascii="Times New Roman" w:eastAsia="Times New Roman" w:hAnsi="Times New Roman" w:cs="Times New Roman"/>
                <w:b/>
                <w:bCs/>
                <w:color w:val="000000"/>
                <w:sz w:val="26"/>
                <w:lang w:bidi="ar-SA"/>
              </w:rPr>
              <w:t>Mother</w:t>
            </w:r>
            <w:proofErr w:type="gramEnd"/>
            <w:r w:rsidRPr="00C11F76">
              <w:rPr>
                <w:rFonts w:ascii="Times New Roman" w:eastAsia="Times New Roman" w:hAnsi="Times New Roman" w:cs="Times New Roman"/>
                <w:color w:val="000000"/>
                <w:sz w:val="26"/>
                <w:szCs w:val="26"/>
                <w:lang w:bidi="ar-SA"/>
              </w:rPr>
              <w:t> </w:t>
            </w:r>
          </w:p>
          <w:p w14:paraId="0055BC66" w14:textId="77777777" w:rsidR="00EB3003" w:rsidRPr="00C11F76" w:rsidRDefault="00EB3003" w:rsidP="00A6439F">
            <w:pPr>
              <w:shd w:val="clear" w:color="auto" w:fill="FFFFFF"/>
              <w:bidi/>
              <w:spacing w:before="100" w:beforeAutospacing="1" w:after="105" w:line="465" w:lineRule="atLeast"/>
              <w:ind w:left="720"/>
              <w:textAlignment w:val="top"/>
              <w:rPr>
                <w:rFonts w:ascii="Times New Roman" w:eastAsia="Times New Roman" w:hAnsi="Times New Roman" w:cs="Times New Roman"/>
                <w:color w:val="000000"/>
                <w:sz w:val="26"/>
                <w:szCs w:val="26"/>
                <w:lang w:bidi="ar-SA"/>
              </w:rPr>
            </w:pPr>
            <w:bookmarkStart w:id="2" w:name="_Hlk90898622"/>
            <w:r w:rsidRPr="00C11F76">
              <w:rPr>
                <w:rFonts w:ascii="Times New Roman" w:eastAsia="Times New Roman" w:hAnsi="Times New Roman" w:cs="Times New Roman"/>
                <w:color w:val="000000"/>
                <w:sz w:val="19"/>
                <w:szCs w:val="19"/>
                <w:vertAlign w:val="superscript"/>
                <w:rtl/>
              </w:rPr>
              <w:t xml:space="preserve">שמות </w:t>
            </w:r>
            <w:proofErr w:type="spellStart"/>
            <w:r w:rsidRPr="00C11F76">
              <w:rPr>
                <w:rFonts w:ascii="Times New Roman" w:eastAsia="Times New Roman" w:hAnsi="Times New Roman" w:cs="Times New Roman"/>
                <w:color w:val="000000"/>
                <w:sz w:val="19"/>
                <w:szCs w:val="19"/>
                <w:vertAlign w:val="superscript"/>
                <w:rtl/>
              </w:rPr>
              <w:t>כא:כד</w:t>
            </w:r>
            <w:proofErr w:type="spellEnd"/>
            <w:r w:rsidRPr="00C11F76">
              <w:rPr>
                <w:rFonts w:ascii="Times New Roman" w:eastAsia="Times New Roman" w:hAnsi="Times New Roman" w:cs="Times New Roman"/>
                <w:color w:val="000000"/>
                <w:sz w:val="26"/>
                <w:szCs w:val="26"/>
                <w:rtl/>
                <w:lang w:bidi="ar-SA"/>
              </w:rPr>
              <w:t> </w:t>
            </w:r>
            <w:r w:rsidRPr="00C11F76">
              <w:rPr>
                <w:rFonts w:ascii="Times New Roman" w:eastAsia="Times New Roman" w:hAnsi="Times New Roman" w:cs="Times New Roman"/>
                <w:color w:val="000000"/>
                <w:sz w:val="26"/>
                <w:szCs w:val="26"/>
                <w:rtl/>
              </w:rPr>
              <w:t>עַיִן תַּחַת עַיִן שֵׁן תַּחַת שֵׁן יָד תַּחַת יָד רֶגֶל תַּחַת רָגֶל.</w:t>
            </w:r>
            <w:r w:rsidRPr="00C11F76">
              <w:rPr>
                <w:rFonts w:ascii="Times New Roman" w:eastAsia="Times New Roman" w:hAnsi="Times New Roman" w:cs="Times New Roman"/>
                <w:color w:val="000000"/>
                <w:sz w:val="26"/>
                <w:szCs w:val="26"/>
                <w:rtl/>
                <w:lang w:bidi="ar-SA"/>
              </w:rPr>
              <w:t> </w:t>
            </w:r>
            <w:proofErr w:type="spellStart"/>
            <w:r w:rsidRPr="00C11F76">
              <w:rPr>
                <w:rFonts w:ascii="Times New Roman" w:eastAsia="Times New Roman" w:hAnsi="Times New Roman" w:cs="Times New Roman"/>
                <w:color w:val="000000"/>
                <w:sz w:val="19"/>
                <w:szCs w:val="19"/>
                <w:vertAlign w:val="superscript"/>
                <w:rtl/>
              </w:rPr>
              <w:t>כא:כה</w:t>
            </w:r>
            <w:proofErr w:type="spellEnd"/>
            <w:r w:rsidRPr="00C11F76">
              <w:rPr>
                <w:rFonts w:ascii="Times New Roman" w:eastAsia="Times New Roman" w:hAnsi="Times New Roman" w:cs="Times New Roman"/>
                <w:color w:val="000000"/>
                <w:sz w:val="26"/>
                <w:szCs w:val="26"/>
                <w:rtl/>
                <w:lang w:bidi="ar-SA"/>
              </w:rPr>
              <w:t> </w:t>
            </w:r>
            <w:proofErr w:type="spellStart"/>
            <w:r w:rsidRPr="00C11F76">
              <w:rPr>
                <w:rFonts w:ascii="Times New Roman" w:eastAsia="Times New Roman" w:hAnsi="Times New Roman" w:cs="Times New Roman"/>
                <w:color w:val="000000"/>
                <w:sz w:val="26"/>
                <w:szCs w:val="26"/>
                <w:rtl/>
              </w:rPr>
              <w:t>כְּוִיָּה</w:t>
            </w:r>
            <w:proofErr w:type="spellEnd"/>
            <w:r w:rsidRPr="00C11F76">
              <w:rPr>
                <w:rFonts w:ascii="Times New Roman" w:eastAsia="Times New Roman" w:hAnsi="Times New Roman" w:cs="Times New Roman"/>
                <w:color w:val="000000"/>
                <w:sz w:val="26"/>
                <w:szCs w:val="26"/>
                <w:rtl/>
              </w:rPr>
              <w:t xml:space="preserve"> תַּחַת </w:t>
            </w:r>
            <w:proofErr w:type="spellStart"/>
            <w:r w:rsidRPr="00C11F76">
              <w:rPr>
                <w:rFonts w:ascii="Times New Roman" w:eastAsia="Times New Roman" w:hAnsi="Times New Roman" w:cs="Times New Roman"/>
                <w:color w:val="000000"/>
                <w:sz w:val="26"/>
                <w:szCs w:val="26"/>
                <w:rtl/>
              </w:rPr>
              <w:t>כְּוִיָּה</w:t>
            </w:r>
            <w:proofErr w:type="spellEnd"/>
            <w:r w:rsidRPr="00C11F76">
              <w:rPr>
                <w:rFonts w:ascii="Times New Roman" w:eastAsia="Times New Roman" w:hAnsi="Times New Roman" w:cs="Times New Roman"/>
                <w:color w:val="000000"/>
                <w:sz w:val="26"/>
                <w:szCs w:val="26"/>
                <w:rtl/>
              </w:rPr>
              <w:t xml:space="preserve"> פֶּצַע תַּחַת פָּצַע חַבּוּרָה תַּחַת חַבּוּרָה.</w:t>
            </w:r>
          </w:p>
          <w:p w14:paraId="74293978" w14:textId="77777777" w:rsidR="00EB3003" w:rsidRPr="00C11F76" w:rsidRDefault="00EB3003" w:rsidP="00A6439F">
            <w:pPr>
              <w:shd w:val="clear" w:color="auto" w:fill="FFFFFF"/>
              <w:spacing w:before="100" w:beforeAutospacing="1" w:after="105" w:line="465" w:lineRule="atLeast"/>
              <w:ind w:left="720"/>
              <w:rPr>
                <w:rFonts w:ascii="Times New Roman" w:eastAsia="Times New Roman" w:hAnsi="Times New Roman" w:cs="Times New Roman"/>
                <w:color w:val="000000"/>
                <w:sz w:val="26"/>
                <w:szCs w:val="26"/>
                <w:rtl/>
                <w:lang w:bidi="ar-SA"/>
              </w:rPr>
            </w:pPr>
            <w:r w:rsidRPr="00C11F76">
              <w:rPr>
                <w:rFonts w:ascii="Times New Roman" w:eastAsia="Times New Roman" w:hAnsi="Times New Roman" w:cs="Times New Roman"/>
                <w:color w:val="000000"/>
                <w:sz w:val="26"/>
                <w:szCs w:val="26"/>
                <w:lang w:bidi="ar-SA"/>
              </w:rPr>
              <w:t> </w:t>
            </w:r>
          </w:p>
          <w:bookmarkEnd w:id="2"/>
          <w:p w14:paraId="6C8E9512" w14:textId="77777777" w:rsidR="00EB3003" w:rsidRDefault="00EB3003" w:rsidP="00A6439F">
            <w:pPr>
              <w:shd w:val="clear" w:color="auto" w:fill="FFFFFF"/>
              <w:spacing w:before="100" w:beforeAutospacing="1" w:after="105" w:line="465" w:lineRule="atLeast"/>
              <w:ind w:left="720"/>
              <w:textAlignment w:val="top"/>
              <w:rPr>
                <w:rFonts w:ascii="Times New Roman" w:eastAsia="Times New Roman" w:hAnsi="Times New Roman" w:cs="Times New Roman"/>
                <w:color w:val="000000"/>
                <w:sz w:val="23"/>
                <w:szCs w:val="23"/>
                <w:lang w:bidi="ar-SA"/>
              </w:rPr>
            </w:pPr>
            <w:proofErr w:type="spellStart"/>
            <w:r w:rsidRPr="00C11F76">
              <w:rPr>
                <w:rFonts w:ascii="Times New Roman" w:eastAsia="Times New Roman" w:hAnsi="Times New Roman" w:cs="Times New Roman"/>
                <w:color w:val="000000"/>
                <w:sz w:val="17"/>
                <w:szCs w:val="17"/>
                <w:vertAlign w:val="superscript"/>
                <w:lang w:bidi="ar-SA"/>
              </w:rPr>
              <w:t>Exod</w:t>
            </w:r>
            <w:proofErr w:type="spellEnd"/>
            <w:r w:rsidRPr="00C11F76">
              <w:rPr>
                <w:rFonts w:ascii="Times New Roman" w:eastAsia="Times New Roman" w:hAnsi="Times New Roman" w:cs="Times New Roman"/>
                <w:color w:val="000000"/>
                <w:sz w:val="17"/>
                <w:szCs w:val="17"/>
                <w:vertAlign w:val="superscript"/>
                <w:lang w:bidi="ar-SA"/>
              </w:rPr>
              <w:t xml:space="preserve"> 21:24</w:t>
            </w:r>
            <w:r w:rsidRPr="00C11F76">
              <w:rPr>
                <w:rFonts w:ascii="Times New Roman" w:eastAsia="Times New Roman" w:hAnsi="Times New Roman" w:cs="Times New Roman"/>
                <w:color w:val="000000"/>
                <w:sz w:val="23"/>
                <w:szCs w:val="23"/>
                <w:lang w:bidi="ar-SA"/>
              </w:rPr>
              <w:t> Eye for eye; tooth for tooth; hand for hand; foot for foot; </w:t>
            </w:r>
            <w:r w:rsidRPr="00C11F76">
              <w:rPr>
                <w:rFonts w:ascii="Times New Roman" w:eastAsia="Times New Roman" w:hAnsi="Times New Roman" w:cs="Times New Roman"/>
                <w:color w:val="000000"/>
                <w:sz w:val="17"/>
                <w:szCs w:val="17"/>
                <w:vertAlign w:val="superscript"/>
                <w:lang w:bidi="ar-SA"/>
              </w:rPr>
              <w:t>21:25</w:t>
            </w:r>
            <w:r w:rsidRPr="00C11F76">
              <w:rPr>
                <w:rFonts w:ascii="Times New Roman" w:eastAsia="Times New Roman" w:hAnsi="Times New Roman" w:cs="Times New Roman"/>
                <w:color w:val="000000"/>
                <w:sz w:val="23"/>
                <w:szCs w:val="23"/>
                <w:lang w:bidi="ar-SA"/>
              </w:rPr>
              <w:t> burn for burn; wound for wound; bruise for bruise.</w:t>
            </w:r>
          </w:p>
          <w:p w14:paraId="34F9D218" w14:textId="77777777" w:rsidR="00EB3003" w:rsidRPr="00C11F76" w:rsidRDefault="00EB3003" w:rsidP="00A6439F">
            <w:pPr>
              <w:shd w:val="clear" w:color="auto" w:fill="FFFFFF"/>
              <w:spacing w:before="100" w:beforeAutospacing="1" w:after="105" w:line="465" w:lineRule="atLeast"/>
              <w:ind w:left="720"/>
              <w:textAlignment w:val="top"/>
              <w:rPr>
                <w:rFonts w:ascii="Times New Roman" w:eastAsia="Times New Roman" w:hAnsi="Times New Roman" w:cs="Times New Roman"/>
                <w:color w:val="000000"/>
                <w:sz w:val="23"/>
                <w:szCs w:val="23"/>
                <w:lang w:bidi="ar-SA"/>
              </w:rPr>
            </w:pPr>
          </w:p>
          <w:p w14:paraId="133B6725" w14:textId="77777777" w:rsidR="00EB3003" w:rsidRPr="004E1C22" w:rsidRDefault="00EB3003" w:rsidP="004E1C22">
            <w:pPr>
              <w:spacing w:line="276" w:lineRule="auto"/>
              <w:rPr>
                <w:rFonts w:asciiTheme="minorBidi" w:hAnsiTheme="minorBidi"/>
              </w:rPr>
            </w:pPr>
          </w:p>
        </w:tc>
        <w:tc>
          <w:tcPr>
            <w:tcW w:w="4675" w:type="dxa"/>
          </w:tcPr>
          <w:p w14:paraId="67759949" w14:textId="77777777" w:rsidR="00EB3003" w:rsidRPr="006C108F" w:rsidRDefault="00EB3003" w:rsidP="00AF1425">
            <w:pPr>
              <w:pStyle w:val="aa"/>
              <w:numPr>
                <w:ilvl w:val="0"/>
                <w:numId w:val="7"/>
              </w:numPr>
              <w:shd w:val="clear" w:color="auto" w:fill="FFFFFF"/>
              <w:bidi/>
              <w:spacing w:before="100" w:beforeAutospacing="1" w:after="105" w:line="465" w:lineRule="atLeast"/>
              <w:textAlignment w:val="top"/>
              <w:rPr>
                <w:rFonts w:ascii="David" w:eastAsia="Times New Roman" w:hAnsi="David" w:cs="David"/>
                <w:b/>
                <w:bCs/>
                <w:color w:val="000000"/>
                <w:sz w:val="28"/>
                <w:szCs w:val="28"/>
                <w:vertAlign w:val="superscript"/>
                <w:rtl/>
                <w:lang w:eastAsia="zh-CN"/>
              </w:rPr>
            </w:pPr>
            <w:r w:rsidRPr="006C108F">
              <w:rPr>
                <w:rFonts w:ascii="David" w:eastAsia="Times New Roman" w:hAnsi="David" w:cs="David"/>
                <w:b/>
                <w:bCs/>
                <w:color w:val="000000"/>
                <w:sz w:val="28"/>
                <w:szCs w:val="28"/>
                <w:rtl/>
                <w:lang w:eastAsia="zh-CN"/>
              </w:rPr>
              <w:t>אחריות לפציעות לא קטלניות של האם</w:t>
            </w:r>
          </w:p>
          <w:p w14:paraId="258684D3" w14:textId="77777777" w:rsidR="00EB3003" w:rsidRPr="006C108F" w:rsidRDefault="00EB3003" w:rsidP="00B90E25">
            <w:pPr>
              <w:shd w:val="clear" w:color="auto" w:fill="FFFFFF"/>
              <w:spacing w:before="100" w:beforeAutospacing="1" w:after="105" w:line="465" w:lineRule="atLeast"/>
              <w:jc w:val="right"/>
              <w:textAlignment w:val="top"/>
              <w:rPr>
                <w:rFonts w:ascii="David" w:eastAsia="Times New Roman" w:hAnsi="David" w:cs="David"/>
                <w:color w:val="000000"/>
                <w:sz w:val="24"/>
                <w:szCs w:val="24"/>
                <w:rtl/>
                <w:lang w:eastAsia="zh-CN" w:bidi="ar-SA"/>
              </w:rPr>
            </w:pPr>
            <w:r w:rsidRPr="006C108F">
              <w:rPr>
                <w:rFonts w:ascii="David" w:eastAsia="Times New Roman" w:hAnsi="David" w:cs="David"/>
                <w:color w:val="000000"/>
                <w:sz w:val="19"/>
                <w:szCs w:val="19"/>
                <w:vertAlign w:val="superscript"/>
                <w:rtl/>
                <w:lang w:eastAsia="zh-CN"/>
              </w:rPr>
              <w:t xml:space="preserve"> שמות </w:t>
            </w:r>
            <w:proofErr w:type="spellStart"/>
            <w:r w:rsidRPr="006C108F">
              <w:rPr>
                <w:rFonts w:ascii="David" w:eastAsia="Times New Roman" w:hAnsi="David" w:cs="David"/>
                <w:color w:val="000000"/>
                <w:sz w:val="19"/>
                <w:szCs w:val="19"/>
                <w:vertAlign w:val="superscript"/>
                <w:rtl/>
                <w:lang w:eastAsia="zh-CN"/>
              </w:rPr>
              <w:t>כא:כד</w:t>
            </w:r>
            <w:proofErr w:type="spellEnd"/>
            <w:r w:rsidRPr="006C108F">
              <w:rPr>
                <w:rFonts w:ascii="David" w:eastAsia="Times New Roman" w:hAnsi="David" w:cs="David"/>
                <w:color w:val="000000"/>
                <w:sz w:val="26"/>
                <w:szCs w:val="26"/>
                <w:rtl/>
                <w:lang w:eastAsia="zh-CN" w:bidi="ar-SA"/>
              </w:rPr>
              <w:t> </w:t>
            </w:r>
            <w:r w:rsidRPr="006C108F">
              <w:rPr>
                <w:rFonts w:ascii="David" w:eastAsia="Times New Roman" w:hAnsi="David" w:cs="David"/>
                <w:color w:val="000000"/>
                <w:sz w:val="26"/>
                <w:szCs w:val="26"/>
                <w:rtl/>
                <w:lang w:eastAsia="zh-CN"/>
              </w:rPr>
              <w:t>עַיִן תַּחַת עַיִן שֵׁן תַּחַת שֵׁן יָד תַּחַת יָד רֶגֶל תַּחַת רָגֶל.</w:t>
            </w:r>
            <w:r w:rsidRPr="006C108F">
              <w:rPr>
                <w:rFonts w:ascii="David" w:eastAsia="Times New Roman" w:hAnsi="David" w:cs="David"/>
                <w:color w:val="000000"/>
                <w:sz w:val="26"/>
                <w:szCs w:val="26"/>
                <w:rtl/>
                <w:lang w:eastAsia="zh-CN" w:bidi="ar-SA"/>
              </w:rPr>
              <w:t> </w:t>
            </w:r>
            <w:proofErr w:type="spellStart"/>
            <w:r w:rsidRPr="006C108F">
              <w:rPr>
                <w:rFonts w:ascii="David" w:eastAsia="Times New Roman" w:hAnsi="David" w:cs="David"/>
                <w:color w:val="000000"/>
                <w:sz w:val="19"/>
                <w:szCs w:val="19"/>
                <w:vertAlign w:val="superscript"/>
                <w:rtl/>
                <w:lang w:eastAsia="zh-CN"/>
              </w:rPr>
              <w:t>כא:כה</w:t>
            </w:r>
            <w:proofErr w:type="spellEnd"/>
            <w:r w:rsidRPr="006C108F">
              <w:rPr>
                <w:rFonts w:ascii="David" w:eastAsia="Times New Roman" w:hAnsi="David" w:cs="David"/>
                <w:color w:val="000000"/>
                <w:sz w:val="26"/>
                <w:szCs w:val="26"/>
                <w:rtl/>
                <w:lang w:eastAsia="zh-CN" w:bidi="ar-SA"/>
              </w:rPr>
              <w:t> </w:t>
            </w:r>
            <w:proofErr w:type="spellStart"/>
            <w:r w:rsidRPr="006C108F">
              <w:rPr>
                <w:rFonts w:ascii="David" w:eastAsia="Times New Roman" w:hAnsi="David" w:cs="David"/>
                <w:color w:val="000000"/>
                <w:sz w:val="26"/>
                <w:szCs w:val="26"/>
                <w:rtl/>
                <w:lang w:eastAsia="zh-CN"/>
              </w:rPr>
              <w:t>כְּוִיָּה</w:t>
            </w:r>
            <w:proofErr w:type="spellEnd"/>
            <w:r w:rsidRPr="006C108F">
              <w:rPr>
                <w:rFonts w:ascii="David" w:eastAsia="Times New Roman" w:hAnsi="David" w:cs="David"/>
                <w:color w:val="000000"/>
                <w:sz w:val="26"/>
                <w:szCs w:val="26"/>
                <w:rtl/>
                <w:lang w:eastAsia="zh-CN"/>
              </w:rPr>
              <w:t xml:space="preserve"> תַּחַת </w:t>
            </w:r>
            <w:proofErr w:type="spellStart"/>
            <w:r w:rsidRPr="006C108F">
              <w:rPr>
                <w:rFonts w:ascii="David" w:eastAsia="Times New Roman" w:hAnsi="David" w:cs="David"/>
                <w:color w:val="000000"/>
                <w:sz w:val="26"/>
                <w:szCs w:val="26"/>
                <w:rtl/>
                <w:lang w:eastAsia="zh-CN"/>
              </w:rPr>
              <w:t>כְּוִיָּה</w:t>
            </w:r>
            <w:proofErr w:type="spellEnd"/>
            <w:r w:rsidRPr="006C108F">
              <w:rPr>
                <w:rFonts w:ascii="David" w:eastAsia="Times New Roman" w:hAnsi="David" w:cs="David"/>
                <w:color w:val="000000"/>
                <w:sz w:val="26"/>
                <w:szCs w:val="26"/>
                <w:rtl/>
                <w:lang w:eastAsia="zh-CN"/>
              </w:rPr>
              <w:t xml:space="preserve"> פֶּצַע תַּחַת פָּצַע חַבּוּרָה תַּחַת חַבּוּרָה.</w:t>
            </w:r>
          </w:p>
          <w:p w14:paraId="68F0BDC5" w14:textId="77777777" w:rsidR="00EB3003" w:rsidRDefault="00EB3003" w:rsidP="004E1C22">
            <w:pPr>
              <w:bidi/>
              <w:spacing w:line="276" w:lineRule="auto"/>
              <w:rPr>
                <w:rFonts w:asciiTheme="minorBidi" w:hAnsiTheme="minorBidi"/>
                <w:rtl/>
                <w:lang w:bidi="ar-SA"/>
              </w:rPr>
            </w:pPr>
          </w:p>
        </w:tc>
      </w:tr>
      <w:tr w:rsidR="00EB3003" w14:paraId="0286DBF1" w14:textId="77777777" w:rsidTr="004E1C22">
        <w:tc>
          <w:tcPr>
            <w:tcW w:w="4675" w:type="dxa"/>
          </w:tcPr>
          <w:p w14:paraId="0272919A" w14:textId="77777777" w:rsidR="00EB3003" w:rsidRPr="00C11F76" w:rsidRDefault="00EB3003" w:rsidP="00A6439F">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Leaving aside the woman’s non-fatal injuries, what exactly was meant by the requirement “you will give a life for a life”?</w:t>
            </w:r>
          </w:p>
          <w:p w14:paraId="130251B7" w14:textId="77777777" w:rsidR="00EB3003" w:rsidRPr="004E1C22" w:rsidRDefault="00EB3003" w:rsidP="004E1C22">
            <w:pPr>
              <w:spacing w:line="276" w:lineRule="auto"/>
              <w:rPr>
                <w:rFonts w:asciiTheme="minorBidi" w:hAnsiTheme="minorBidi"/>
              </w:rPr>
            </w:pPr>
          </w:p>
        </w:tc>
        <w:tc>
          <w:tcPr>
            <w:tcW w:w="4675" w:type="dxa"/>
          </w:tcPr>
          <w:p w14:paraId="76B48CF4" w14:textId="77777777" w:rsidR="00EB3003" w:rsidRDefault="00EB3003" w:rsidP="00B90E25">
            <w:pPr>
              <w:shd w:val="clear" w:color="auto" w:fill="FFFFFF"/>
              <w:spacing w:before="100" w:beforeAutospacing="1" w:after="105" w:line="480" w:lineRule="auto"/>
              <w:jc w:val="right"/>
              <w:textAlignment w:val="top"/>
              <w:rPr>
                <w:rFonts w:ascii="David" w:eastAsia="Times New Roman" w:hAnsi="David" w:cs="David"/>
                <w:color w:val="000000"/>
                <w:sz w:val="24"/>
                <w:szCs w:val="24"/>
                <w:rtl/>
                <w:lang w:eastAsia="zh-CN"/>
              </w:rPr>
            </w:pPr>
          </w:p>
          <w:p w14:paraId="24FC03FB" w14:textId="6B73098F" w:rsidR="00EB3003" w:rsidRPr="006C108F" w:rsidRDefault="00EB3003" w:rsidP="00B90E25">
            <w:pPr>
              <w:shd w:val="clear" w:color="auto" w:fill="FFFFFF"/>
              <w:spacing w:before="100" w:beforeAutospacing="1" w:after="105" w:line="480" w:lineRule="auto"/>
              <w:jc w:val="right"/>
              <w:textAlignment w:val="top"/>
              <w:rPr>
                <w:rFonts w:ascii="David" w:eastAsia="Times New Roman" w:hAnsi="David" w:cs="David"/>
                <w:color w:val="000000"/>
                <w:sz w:val="24"/>
                <w:szCs w:val="24"/>
                <w:rtl/>
                <w:lang w:eastAsia="zh-CN"/>
              </w:rPr>
            </w:pPr>
            <w:r>
              <w:rPr>
                <w:rFonts w:ascii="David" w:eastAsia="Times New Roman" w:hAnsi="David" w:cs="David" w:hint="cs"/>
                <w:color w:val="000000"/>
                <w:sz w:val="24"/>
                <w:szCs w:val="24"/>
                <w:rtl/>
                <w:lang w:eastAsia="zh-CN"/>
              </w:rPr>
              <w:t>לבד מן ה</w:t>
            </w:r>
            <w:r w:rsidRPr="006C108F">
              <w:rPr>
                <w:rFonts w:ascii="David" w:eastAsia="Times New Roman" w:hAnsi="David" w:cs="David"/>
                <w:color w:val="000000"/>
                <w:sz w:val="24"/>
                <w:szCs w:val="24"/>
                <w:rtl/>
                <w:lang w:eastAsia="zh-CN"/>
              </w:rPr>
              <w:t>פציעות הלא קטלניות של האם, מה בדיוק הייתה כוונ</w:t>
            </w:r>
            <w:r>
              <w:rPr>
                <w:rFonts w:ascii="David" w:eastAsia="Times New Roman" w:hAnsi="David" w:cs="David" w:hint="cs"/>
                <w:color w:val="000000"/>
                <w:sz w:val="24"/>
                <w:szCs w:val="24"/>
                <w:rtl/>
                <w:lang w:eastAsia="zh-CN"/>
              </w:rPr>
              <w:t>ת</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דרישה "</w:t>
            </w:r>
            <w:proofErr w:type="spellStart"/>
            <w:r w:rsidRPr="006C108F">
              <w:rPr>
                <w:rFonts w:ascii="David" w:eastAsia="Times New Roman" w:hAnsi="David" w:cs="David"/>
                <w:color w:val="000000"/>
                <w:sz w:val="24"/>
                <w:szCs w:val="24"/>
                <w:rtl/>
                <w:lang w:eastAsia="zh-CN"/>
              </w:rPr>
              <w:t>ונתתה</w:t>
            </w:r>
            <w:proofErr w:type="spellEnd"/>
            <w:r w:rsidRPr="006C108F">
              <w:rPr>
                <w:rFonts w:ascii="David" w:eastAsia="Times New Roman" w:hAnsi="David" w:cs="David"/>
                <w:color w:val="000000"/>
                <w:sz w:val="24"/>
                <w:szCs w:val="24"/>
                <w:rtl/>
                <w:lang w:eastAsia="zh-CN"/>
              </w:rPr>
              <w:t xml:space="preserve"> נפש תחת נפש"?</w:t>
            </w:r>
          </w:p>
          <w:p w14:paraId="5B05A48F" w14:textId="77777777" w:rsidR="00EB3003" w:rsidRDefault="00EB3003" w:rsidP="004E1C22">
            <w:pPr>
              <w:bidi/>
              <w:spacing w:line="276" w:lineRule="auto"/>
              <w:rPr>
                <w:rFonts w:asciiTheme="minorBidi" w:hAnsiTheme="minorBidi"/>
                <w:rtl/>
              </w:rPr>
            </w:pPr>
          </w:p>
        </w:tc>
      </w:tr>
      <w:tr w:rsidR="00EB3003" w14:paraId="2C5ED80C" w14:textId="77777777" w:rsidTr="004E1C22">
        <w:tc>
          <w:tcPr>
            <w:tcW w:w="4675" w:type="dxa"/>
          </w:tcPr>
          <w:p w14:paraId="74472AA4" w14:textId="77777777" w:rsidR="00EB3003" w:rsidRPr="00C11F76" w:rsidRDefault="00EB3003" w:rsidP="00A6439F">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C11F76">
              <w:rPr>
                <w:rFonts w:ascii="Times New Roman" w:eastAsia="Times New Roman" w:hAnsi="Times New Roman" w:cs="Times New Roman"/>
                <w:color w:val="000000"/>
                <w:sz w:val="38"/>
                <w:szCs w:val="38"/>
                <w:lang w:bidi="ar-SA"/>
              </w:rPr>
              <w:t>Interpretation 1—Capital Punishment: The Killer is Killed</w:t>
            </w:r>
          </w:p>
          <w:p w14:paraId="649C0DF1" w14:textId="77777777" w:rsidR="00EB3003" w:rsidRPr="004E1C22" w:rsidRDefault="00EB3003" w:rsidP="004E1C22">
            <w:pPr>
              <w:spacing w:line="276" w:lineRule="auto"/>
              <w:rPr>
                <w:rFonts w:asciiTheme="minorBidi" w:hAnsiTheme="minorBidi"/>
              </w:rPr>
            </w:pPr>
          </w:p>
        </w:tc>
        <w:tc>
          <w:tcPr>
            <w:tcW w:w="4675" w:type="dxa"/>
          </w:tcPr>
          <w:p w14:paraId="18E6D2FA" w14:textId="77777777" w:rsidR="00EB3003" w:rsidRDefault="00EB3003" w:rsidP="00666FA3">
            <w:pPr>
              <w:shd w:val="clear" w:color="auto" w:fill="FFFFFF"/>
              <w:spacing w:before="100" w:beforeAutospacing="1" w:after="105" w:line="465" w:lineRule="atLeast"/>
              <w:textAlignment w:val="top"/>
              <w:rPr>
                <w:rFonts w:ascii="David" w:eastAsia="Times New Roman" w:hAnsi="David" w:cs="David"/>
                <w:color w:val="000000"/>
                <w:sz w:val="32"/>
                <w:szCs w:val="32"/>
                <w:rtl/>
                <w:lang w:eastAsia="zh-CN"/>
              </w:rPr>
            </w:pPr>
          </w:p>
          <w:p w14:paraId="39A07258" w14:textId="59792E01" w:rsidR="00EB3003" w:rsidRPr="004E171A" w:rsidRDefault="00EB3003" w:rsidP="00B90E25">
            <w:pPr>
              <w:shd w:val="clear" w:color="auto" w:fill="FFFFFF"/>
              <w:spacing w:before="100" w:beforeAutospacing="1" w:after="105" w:line="465" w:lineRule="atLeast"/>
              <w:jc w:val="center"/>
              <w:textAlignment w:val="top"/>
              <w:rPr>
                <w:rFonts w:ascii="David" w:eastAsia="Times New Roman" w:hAnsi="David" w:cs="David"/>
                <w:color w:val="000000"/>
                <w:sz w:val="32"/>
                <w:szCs w:val="32"/>
                <w:rtl/>
                <w:lang w:eastAsia="zh-CN"/>
              </w:rPr>
            </w:pPr>
            <w:r w:rsidRPr="004E171A">
              <w:rPr>
                <w:rFonts w:ascii="David" w:eastAsia="Times New Roman" w:hAnsi="David" w:cs="David"/>
                <w:color w:val="000000"/>
                <w:sz w:val="32"/>
                <w:szCs w:val="32"/>
                <w:rtl/>
                <w:lang w:eastAsia="zh-CN"/>
              </w:rPr>
              <w:t>פרשנות 1–עונש מוות: הרוצח נרצח</w:t>
            </w:r>
          </w:p>
          <w:p w14:paraId="51CFCFAC" w14:textId="77777777" w:rsidR="00EB3003" w:rsidRDefault="00EB3003" w:rsidP="004E1C22">
            <w:pPr>
              <w:bidi/>
              <w:spacing w:line="276" w:lineRule="auto"/>
              <w:rPr>
                <w:rFonts w:asciiTheme="minorBidi" w:hAnsiTheme="minorBidi"/>
                <w:rtl/>
              </w:rPr>
            </w:pPr>
          </w:p>
        </w:tc>
      </w:tr>
      <w:tr w:rsidR="00EB3003" w14:paraId="1E432BFE" w14:textId="77777777" w:rsidTr="004E1C22">
        <w:tc>
          <w:tcPr>
            <w:tcW w:w="4675" w:type="dxa"/>
          </w:tcPr>
          <w:p w14:paraId="7C1737A7" w14:textId="77777777" w:rsidR="00EB3003" w:rsidRPr="00C11F76" w:rsidRDefault="00EB3003" w:rsidP="00A6439F">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The common explanation of this law is that the assailant is to receive the same assault as he inflicted, i.e., he was to be killed. The same would hold for any other injury inflicted upon the woman as the subsequent eye, tooth, foot, injuries imply. This, however, is highly problematic because elsewhere in the Covenant Collection, capital punishment was required for intentional murder, rather than manslaughter (</w:t>
            </w:r>
            <w:proofErr w:type="spellStart"/>
            <w:r w:rsidRPr="00C11F76">
              <w:rPr>
                <w:rFonts w:ascii="Times New Roman" w:eastAsia="Times New Roman" w:hAnsi="Times New Roman" w:cs="Times New Roman"/>
                <w:color w:val="000000"/>
                <w:sz w:val="26"/>
                <w:szCs w:val="26"/>
                <w:lang w:bidi="ar-SA"/>
              </w:rPr>
              <w:t>Exod</w:t>
            </w:r>
            <w:proofErr w:type="spellEnd"/>
            <w:r w:rsidRPr="00C11F76">
              <w:rPr>
                <w:rFonts w:ascii="Times New Roman" w:eastAsia="Times New Roman" w:hAnsi="Times New Roman" w:cs="Times New Roman"/>
                <w:color w:val="000000"/>
                <w:sz w:val="26"/>
                <w:szCs w:val="26"/>
                <w:lang w:bidi="ar-SA"/>
              </w:rPr>
              <w:t xml:space="preserve"> 21:12–14).</w:t>
            </w:r>
            <w:r w:rsidRPr="00C11F76">
              <w:rPr>
                <w:rFonts w:ascii="Times New Roman" w:eastAsia="Times New Roman" w:hAnsi="Times New Roman" w:cs="Times New Roman"/>
                <w:color w:val="B22222"/>
                <w:sz w:val="23"/>
                <w:szCs w:val="23"/>
                <w:vertAlign w:val="superscript"/>
                <w:lang w:bidi="ar-SA"/>
              </w:rPr>
              <w:t>[6]</w:t>
            </w:r>
            <w:r w:rsidRPr="00C11F76">
              <w:rPr>
                <w:rFonts w:ascii="Times New Roman" w:eastAsia="Times New Roman" w:hAnsi="Times New Roman" w:cs="Times New Roman"/>
                <w:color w:val="000000"/>
                <w:sz w:val="26"/>
                <w:szCs w:val="26"/>
                <w:lang w:bidi="ar-SA"/>
              </w:rPr>
              <w:t xml:space="preserve"> Moreover, if the assailant’s own life was to be taken, this would have been stated as </w:t>
            </w:r>
            <w:r w:rsidRPr="00C11F76">
              <w:rPr>
                <w:rFonts w:ascii="Times New Roman" w:eastAsia="Times New Roman" w:hAnsi="Times New Roman" w:cs="Times New Roman"/>
                <w:color w:val="000000"/>
                <w:sz w:val="26"/>
                <w:szCs w:val="26"/>
                <w:rtl/>
              </w:rPr>
              <w:t>מוֹת יוּמָת</w:t>
            </w:r>
            <w:r w:rsidRPr="00C11F76">
              <w:rPr>
                <w:rFonts w:ascii="Times New Roman" w:eastAsia="Times New Roman" w:hAnsi="Times New Roman" w:cs="Times New Roman"/>
                <w:color w:val="000000"/>
                <w:sz w:val="26"/>
                <w:szCs w:val="26"/>
                <w:lang w:bidi="ar-SA"/>
              </w:rPr>
              <w:t xml:space="preserve"> “he shall be put to death</w:t>
            </w:r>
            <w:proofErr w:type="gramStart"/>
            <w:r w:rsidRPr="00C11F76">
              <w:rPr>
                <w:rFonts w:ascii="Times New Roman" w:eastAsia="Times New Roman" w:hAnsi="Times New Roman" w:cs="Times New Roman"/>
                <w:color w:val="000000"/>
                <w:sz w:val="26"/>
                <w:szCs w:val="26"/>
                <w:lang w:bidi="ar-SA"/>
              </w:rPr>
              <w:t>.”</w:t>
            </w:r>
            <w:r w:rsidRPr="00C11F76">
              <w:rPr>
                <w:rFonts w:ascii="Times New Roman" w:eastAsia="Times New Roman" w:hAnsi="Times New Roman" w:cs="Times New Roman"/>
                <w:color w:val="B22222"/>
                <w:sz w:val="23"/>
                <w:szCs w:val="23"/>
                <w:vertAlign w:val="superscript"/>
                <w:lang w:bidi="ar-SA"/>
              </w:rPr>
              <w:t>[</w:t>
            </w:r>
            <w:proofErr w:type="gramEnd"/>
            <w:r w:rsidRPr="00C11F76">
              <w:rPr>
                <w:rFonts w:ascii="Times New Roman" w:eastAsia="Times New Roman" w:hAnsi="Times New Roman" w:cs="Times New Roman"/>
                <w:color w:val="B22222"/>
                <w:sz w:val="23"/>
                <w:szCs w:val="23"/>
                <w:vertAlign w:val="superscript"/>
                <w:lang w:bidi="ar-SA"/>
              </w:rPr>
              <w:t>7]</w:t>
            </w:r>
          </w:p>
          <w:p w14:paraId="1F84F1B6" w14:textId="77777777" w:rsidR="00EB3003" w:rsidRPr="004E1C22" w:rsidRDefault="00EB3003" w:rsidP="004E1C22">
            <w:pPr>
              <w:spacing w:line="276" w:lineRule="auto"/>
              <w:rPr>
                <w:rFonts w:asciiTheme="minorBidi" w:hAnsiTheme="minorBidi"/>
              </w:rPr>
            </w:pPr>
          </w:p>
        </w:tc>
        <w:tc>
          <w:tcPr>
            <w:tcW w:w="4675" w:type="dxa"/>
          </w:tcPr>
          <w:p w14:paraId="5140ED62" w14:textId="77777777" w:rsidR="00EB3003" w:rsidRDefault="00EB3003" w:rsidP="004E1C22">
            <w:pPr>
              <w:bidi/>
              <w:spacing w:line="276" w:lineRule="auto"/>
              <w:rPr>
                <w:rFonts w:asciiTheme="minorBidi" w:hAnsiTheme="minorBidi"/>
                <w:rtl/>
              </w:rPr>
            </w:pPr>
          </w:p>
          <w:p w14:paraId="7730DAA3" w14:textId="77777777" w:rsidR="00EB3003" w:rsidRPr="005D6242" w:rsidRDefault="00EB3003" w:rsidP="005D6242">
            <w:pPr>
              <w:shd w:val="clear" w:color="auto" w:fill="FFFFFF"/>
              <w:bidi/>
              <w:spacing w:before="100" w:beforeAutospacing="1" w:after="105" w:line="465" w:lineRule="atLeast"/>
              <w:textAlignment w:val="top"/>
              <w:rPr>
                <w:rFonts w:ascii="David" w:eastAsia="Times New Roman" w:hAnsi="David" w:cs="David"/>
                <w:color w:val="000000"/>
                <w:sz w:val="24"/>
                <w:szCs w:val="24"/>
                <w:rtl/>
                <w:lang w:eastAsia="zh-CN"/>
              </w:rPr>
            </w:pPr>
            <w:r w:rsidRPr="005D6242">
              <w:rPr>
                <w:rFonts w:ascii="David" w:eastAsia="Times New Roman" w:hAnsi="David" w:cs="David"/>
                <w:color w:val="000000"/>
                <w:sz w:val="24"/>
                <w:szCs w:val="24"/>
                <w:rtl/>
                <w:lang w:eastAsia="zh-CN"/>
              </w:rPr>
              <w:t xml:space="preserve">ההסבר הרווח לחוק זה הוא </w:t>
            </w:r>
            <w:r w:rsidRPr="005D6242">
              <w:rPr>
                <w:rFonts w:ascii="David" w:eastAsia="Times New Roman" w:hAnsi="David" w:cs="David" w:hint="cs"/>
                <w:color w:val="000000"/>
                <w:sz w:val="24"/>
                <w:szCs w:val="24"/>
                <w:rtl/>
                <w:lang w:eastAsia="zh-CN"/>
              </w:rPr>
              <w:t>שעל ה</w:t>
            </w:r>
            <w:r w:rsidRPr="005D6242">
              <w:rPr>
                <w:rFonts w:ascii="David" w:eastAsia="Times New Roman" w:hAnsi="David" w:cs="David"/>
                <w:color w:val="000000"/>
                <w:sz w:val="24"/>
                <w:szCs w:val="24"/>
                <w:rtl/>
                <w:lang w:eastAsia="zh-CN"/>
              </w:rPr>
              <w:t xml:space="preserve">תוקף </w:t>
            </w:r>
            <w:r w:rsidRPr="005D6242">
              <w:rPr>
                <w:rFonts w:ascii="David" w:eastAsia="Times New Roman" w:hAnsi="David" w:cs="David" w:hint="cs"/>
                <w:color w:val="000000"/>
                <w:sz w:val="24"/>
                <w:szCs w:val="24"/>
                <w:rtl/>
                <w:lang w:eastAsia="zh-CN"/>
              </w:rPr>
              <w:t>להיענש ב</w:t>
            </w:r>
            <w:r w:rsidRPr="005D6242">
              <w:rPr>
                <w:rFonts w:ascii="David" w:eastAsia="Times New Roman" w:hAnsi="David" w:cs="David"/>
                <w:color w:val="000000"/>
                <w:sz w:val="24"/>
                <w:szCs w:val="24"/>
                <w:rtl/>
                <w:lang w:eastAsia="zh-CN"/>
              </w:rPr>
              <w:t xml:space="preserve">אותה פגיעה שהוא פגע, כלומר, </w:t>
            </w:r>
            <w:r w:rsidRPr="005D6242">
              <w:rPr>
                <w:rFonts w:ascii="David" w:eastAsia="Times New Roman" w:hAnsi="David" w:cs="David" w:hint="cs"/>
                <w:color w:val="000000"/>
                <w:sz w:val="24"/>
                <w:szCs w:val="24"/>
                <w:rtl/>
                <w:lang w:eastAsia="zh-CN"/>
              </w:rPr>
              <w:t>הוא יומת</w:t>
            </w:r>
            <w:r w:rsidRPr="005D6242">
              <w:rPr>
                <w:rFonts w:ascii="David" w:eastAsia="Times New Roman" w:hAnsi="David" w:cs="David"/>
                <w:color w:val="000000"/>
                <w:sz w:val="24"/>
                <w:szCs w:val="24"/>
                <w:rtl/>
                <w:lang w:eastAsia="zh-CN"/>
              </w:rPr>
              <w:t>. כך גם לגבי כל פ</w:t>
            </w:r>
            <w:r w:rsidRPr="005D6242">
              <w:rPr>
                <w:rFonts w:ascii="David" w:eastAsia="Times New Roman" w:hAnsi="David" w:cs="David" w:hint="cs"/>
                <w:color w:val="000000"/>
                <w:sz w:val="24"/>
                <w:szCs w:val="24"/>
                <w:rtl/>
                <w:lang w:eastAsia="zh-CN"/>
              </w:rPr>
              <w:t>ג</w:t>
            </w:r>
            <w:r w:rsidRPr="005D6242">
              <w:rPr>
                <w:rFonts w:ascii="David" w:eastAsia="Times New Roman" w:hAnsi="David" w:cs="David"/>
                <w:color w:val="000000"/>
                <w:sz w:val="24"/>
                <w:szCs w:val="24"/>
                <w:rtl/>
                <w:lang w:eastAsia="zh-CN"/>
              </w:rPr>
              <w:t xml:space="preserve">יעה אחרת </w:t>
            </w:r>
            <w:r w:rsidRPr="005D6242">
              <w:rPr>
                <w:rFonts w:ascii="David" w:eastAsia="Times New Roman" w:hAnsi="David" w:cs="David" w:hint="cs"/>
                <w:color w:val="000000"/>
                <w:sz w:val="24"/>
                <w:szCs w:val="24"/>
                <w:rtl/>
                <w:lang w:eastAsia="zh-CN"/>
              </w:rPr>
              <w:t>ב</w:t>
            </w:r>
            <w:r w:rsidRPr="005D6242">
              <w:rPr>
                <w:rFonts w:ascii="David" w:eastAsia="Times New Roman" w:hAnsi="David" w:cs="David"/>
                <w:color w:val="000000"/>
                <w:sz w:val="24"/>
                <w:szCs w:val="24"/>
                <w:rtl/>
                <w:lang w:eastAsia="zh-CN"/>
              </w:rPr>
              <w:t>אישה כפי שמרמז</w:t>
            </w:r>
            <w:r w:rsidRPr="005D6242">
              <w:rPr>
                <w:rFonts w:ascii="David" w:eastAsia="Times New Roman" w:hAnsi="David" w:cs="David" w:hint="cs"/>
                <w:color w:val="000000"/>
                <w:sz w:val="24"/>
                <w:szCs w:val="24"/>
                <w:rtl/>
                <w:lang w:eastAsia="zh-CN"/>
              </w:rPr>
              <w:t>ות</w:t>
            </w:r>
            <w:r w:rsidRPr="005D6242">
              <w:rPr>
                <w:rFonts w:ascii="David" w:eastAsia="Times New Roman" w:hAnsi="David" w:cs="David"/>
                <w:color w:val="000000"/>
                <w:sz w:val="24"/>
                <w:szCs w:val="24"/>
                <w:rtl/>
                <w:lang w:eastAsia="zh-CN"/>
              </w:rPr>
              <w:t xml:space="preserve"> לנו </w:t>
            </w:r>
            <w:r w:rsidRPr="005D6242">
              <w:rPr>
                <w:rFonts w:ascii="David" w:eastAsia="Times New Roman" w:hAnsi="David" w:cs="David" w:hint="cs"/>
                <w:color w:val="000000"/>
                <w:sz w:val="24"/>
                <w:szCs w:val="24"/>
                <w:rtl/>
                <w:lang w:eastAsia="zh-CN"/>
              </w:rPr>
              <w:t xml:space="preserve">בהמשך </w:t>
            </w:r>
            <w:r w:rsidRPr="005D6242">
              <w:rPr>
                <w:rFonts w:ascii="David" w:eastAsia="Times New Roman" w:hAnsi="David" w:cs="David"/>
                <w:color w:val="000000"/>
                <w:sz w:val="24"/>
                <w:szCs w:val="24"/>
                <w:rtl/>
                <w:lang w:eastAsia="zh-CN"/>
              </w:rPr>
              <w:t>פגיע</w:t>
            </w:r>
            <w:r w:rsidRPr="005D6242">
              <w:rPr>
                <w:rFonts w:ascii="David" w:eastAsia="Times New Roman" w:hAnsi="David" w:cs="David" w:hint="cs"/>
                <w:color w:val="000000"/>
                <w:sz w:val="24"/>
                <w:szCs w:val="24"/>
                <w:rtl/>
                <w:lang w:eastAsia="zh-CN"/>
              </w:rPr>
              <w:t>ות</w:t>
            </w:r>
            <w:r w:rsidRPr="005D6242">
              <w:rPr>
                <w:rFonts w:ascii="David" w:eastAsia="Times New Roman" w:hAnsi="David" w:cs="David"/>
                <w:color w:val="000000"/>
                <w:sz w:val="24"/>
                <w:szCs w:val="24"/>
                <w:rtl/>
                <w:lang w:eastAsia="zh-CN"/>
              </w:rPr>
              <w:t xml:space="preserve"> עין, שן ורגל. אולם </w:t>
            </w:r>
            <w:r w:rsidRPr="005D6242">
              <w:rPr>
                <w:rFonts w:ascii="David" w:eastAsia="Times New Roman" w:hAnsi="David" w:cs="David" w:hint="cs"/>
                <w:color w:val="000000"/>
                <w:sz w:val="24"/>
                <w:szCs w:val="24"/>
                <w:rtl/>
                <w:lang w:eastAsia="zh-CN"/>
              </w:rPr>
              <w:t>יש קושי רב ב</w:t>
            </w:r>
            <w:r w:rsidRPr="005D6242">
              <w:rPr>
                <w:rFonts w:ascii="David" w:eastAsia="Times New Roman" w:hAnsi="David" w:cs="David"/>
                <w:color w:val="000000"/>
                <w:sz w:val="24"/>
                <w:szCs w:val="24"/>
                <w:rtl/>
                <w:lang w:eastAsia="zh-CN"/>
              </w:rPr>
              <w:t>ה</w:t>
            </w:r>
            <w:r w:rsidRPr="005D6242">
              <w:rPr>
                <w:rFonts w:ascii="David" w:eastAsia="Times New Roman" w:hAnsi="David" w:cs="David" w:hint="cs"/>
                <w:color w:val="000000"/>
                <w:sz w:val="24"/>
                <w:szCs w:val="24"/>
                <w:rtl/>
                <w:lang w:eastAsia="zh-CN"/>
              </w:rPr>
              <w:t>ס</w:t>
            </w:r>
            <w:r w:rsidRPr="005D6242">
              <w:rPr>
                <w:rFonts w:ascii="David" w:eastAsia="Times New Roman" w:hAnsi="David" w:cs="David"/>
                <w:color w:val="000000"/>
                <w:sz w:val="24"/>
                <w:szCs w:val="24"/>
                <w:rtl/>
                <w:lang w:eastAsia="zh-CN"/>
              </w:rPr>
              <w:t xml:space="preserve">בר </w:t>
            </w:r>
            <w:r w:rsidRPr="005D6242">
              <w:rPr>
                <w:rFonts w:ascii="David" w:eastAsia="Times New Roman" w:hAnsi="David" w:cs="David" w:hint="cs"/>
                <w:color w:val="000000"/>
                <w:sz w:val="24"/>
                <w:szCs w:val="24"/>
                <w:rtl/>
                <w:lang w:eastAsia="zh-CN"/>
              </w:rPr>
              <w:t>זה</w:t>
            </w:r>
            <w:r w:rsidRPr="005D6242">
              <w:rPr>
                <w:rFonts w:ascii="David" w:eastAsia="Times New Roman" w:hAnsi="David" w:cs="David"/>
                <w:color w:val="000000"/>
                <w:sz w:val="24"/>
                <w:szCs w:val="24"/>
                <w:rtl/>
                <w:lang w:eastAsia="zh-CN"/>
              </w:rPr>
              <w:t xml:space="preserve"> מפני ש</w:t>
            </w:r>
            <w:r w:rsidRPr="005D6242">
              <w:rPr>
                <w:rFonts w:ascii="David" w:eastAsia="Times New Roman" w:hAnsi="David" w:cs="David" w:hint="cs"/>
                <w:color w:val="000000"/>
                <w:sz w:val="24"/>
                <w:szCs w:val="24"/>
                <w:rtl/>
                <w:lang w:eastAsia="zh-CN"/>
              </w:rPr>
              <w:t>ב</w:t>
            </w:r>
            <w:r w:rsidRPr="005D6242">
              <w:rPr>
                <w:rFonts w:ascii="David" w:eastAsia="Times New Roman" w:hAnsi="David" w:cs="David"/>
                <w:color w:val="000000"/>
                <w:sz w:val="24"/>
                <w:szCs w:val="24"/>
                <w:rtl/>
                <w:lang w:eastAsia="zh-CN"/>
              </w:rPr>
              <w:t>מקומות</w:t>
            </w:r>
            <w:r w:rsidRPr="005D6242">
              <w:rPr>
                <w:rFonts w:ascii="David" w:eastAsia="Times New Roman" w:hAnsi="David" w:cs="David" w:hint="cs"/>
                <w:color w:val="000000"/>
                <w:sz w:val="24"/>
                <w:szCs w:val="24"/>
                <w:rtl/>
                <w:lang w:eastAsia="zh-CN"/>
              </w:rPr>
              <w:t xml:space="preserve"> אחרים</w:t>
            </w:r>
            <w:r w:rsidRPr="005D6242">
              <w:rPr>
                <w:rFonts w:ascii="David" w:eastAsia="Times New Roman" w:hAnsi="David" w:cs="David"/>
                <w:color w:val="000000"/>
                <w:sz w:val="24"/>
                <w:szCs w:val="24"/>
                <w:rtl/>
                <w:lang w:eastAsia="zh-CN"/>
              </w:rPr>
              <w:t xml:space="preserve"> ב-</w:t>
            </w:r>
            <w:r w:rsidRPr="005D6242">
              <w:rPr>
                <w:rFonts w:ascii="David" w:eastAsia="Times New Roman" w:hAnsi="David" w:cs="David"/>
                <w:color w:val="000000"/>
                <w:sz w:val="24"/>
                <w:szCs w:val="24"/>
                <w:lang w:eastAsia="zh-CN"/>
              </w:rPr>
              <w:t>Covenant Collection</w:t>
            </w:r>
            <w:r w:rsidRPr="005D6242">
              <w:rPr>
                <w:rFonts w:ascii="David" w:eastAsia="Times New Roman" w:hAnsi="David" w:cs="David"/>
                <w:color w:val="000000"/>
                <w:sz w:val="24"/>
                <w:szCs w:val="24"/>
                <w:rtl/>
                <w:lang w:eastAsia="zh-CN"/>
              </w:rPr>
              <w:t xml:space="preserve"> נדרש עונש מוות עבור רצח בכוונה תחילה ולא עבור הריגה (שמות </w:t>
            </w:r>
            <w:proofErr w:type="spellStart"/>
            <w:r w:rsidRPr="005D6242">
              <w:rPr>
                <w:rFonts w:ascii="David" w:eastAsia="Times New Roman" w:hAnsi="David" w:cs="David"/>
                <w:color w:val="000000"/>
                <w:sz w:val="24"/>
                <w:szCs w:val="24"/>
                <w:rtl/>
                <w:lang w:eastAsia="zh-CN"/>
              </w:rPr>
              <w:t>כא:</w:t>
            </w:r>
            <w:r w:rsidRPr="005D6242">
              <w:rPr>
                <w:rFonts w:ascii="David" w:eastAsia="Times New Roman" w:hAnsi="David" w:cs="David" w:hint="cs"/>
                <w:color w:val="000000"/>
                <w:sz w:val="24"/>
                <w:szCs w:val="24"/>
                <w:rtl/>
                <w:lang w:eastAsia="zh-CN"/>
              </w:rPr>
              <w:t>יב</w:t>
            </w:r>
            <w:proofErr w:type="spellEnd"/>
            <w:r w:rsidRPr="005D6242">
              <w:rPr>
                <w:rFonts w:ascii="David" w:eastAsia="Times New Roman" w:hAnsi="David" w:cs="David"/>
                <w:color w:val="000000"/>
                <w:sz w:val="24"/>
                <w:szCs w:val="24"/>
                <w:rtl/>
                <w:lang w:eastAsia="zh-CN"/>
              </w:rPr>
              <w:t>–</w:t>
            </w:r>
            <w:r w:rsidRPr="005D6242">
              <w:rPr>
                <w:rFonts w:ascii="David" w:eastAsia="Times New Roman" w:hAnsi="David" w:cs="David" w:hint="cs"/>
                <w:color w:val="000000"/>
                <w:sz w:val="24"/>
                <w:szCs w:val="24"/>
                <w:rtl/>
                <w:lang w:eastAsia="zh-CN"/>
              </w:rPr>
              <w:t>יד</w:t>
            </w:r>
            <w:r w:rsidRPr="005D6242">
              <w:rPr>
                <w:rFonts w:ascii="David" w:eastAsia="Times New Roman" w:hAnsi="David" w:cs="David"/>
                <w:color w:val="000000"/>
                <w:sz w:val="24"/>
                <w:szCs w:val="24"/>
                <w:rtl/>
                <w:lang w:eastAsia="zh-CN"/>
              </w:rPr>
              <w:t>).</w:t>
            </w:r>
            <w:r w:rsidRPr="005D6242">
              <w:rPr>
                <w:rFonts w:ascii="David" w:eastAsia="Times New Roman" w:hAnsi="David" w:cs="David"/>
                <w:color w:val="000000"/>
                <w:sz w:val="24"/>
                <w:szCs w:val="24"/>
                <w:vertAlign w:val="superscript"/>
                <w:rtl/>
                <w:lang w:eastAsia="zh-CN"/>
              </w:rPr>
              <w:endnoteReference w:id="7"/>
            </w:r>
            <w:r w:rsidRPr="005D6242">
              <w:rPr>
                <w:rFonts w:ascii="David" w:eastAsia="Times New Roman" w:hAnsi="David" w:cs="David"/>
                <w:color w:val="000000"/>
                <w:sz w:val="24"/>
                <w:szCs w:val="24"/>
                <w:rtl/>
                <w:lang w:eastAsia="zh-CN"/>
              </w:rPr>
              <w:t xml:space="preserve"> </w:t>
            </w:r>
            <w:r w:rsidRPr="005D6242">
              <w:rPr>
                <w:rFonts w:ascii="David" w:eastAsia="Times New Roman" w:hAnsi="David" w:cs="David" w:hint="cs"/>
                <w:color w:val="000000"/>
                <w:sz w:val="24"/>
                <w:szCs w:val="24"/>
                <w:rtl/>
                <w:lang w:eastAsia="zh-CN"/>
              </w:rPr>
              <w:t>יתר על כן</w:t>
            </w:r>
            <w:r w:rsidRPr="005D6242">
              <w:rPr>
                <w:rFonts w:ascii="David" w:eastAsia="Times New Roman" w:hAnsi="David" w:cs="David"/>
                <w:color w:val="000000"/>
                <w:sz w:val="24"/>
                <w:szCs w:val="24"/>
                <w:rtl/>
                <w:lang w:eastAsia="zh-CN"/>
              </w:rPr>
              <w:t>, אם יש להרוג את התוקף</w:t>
            </w:r>
            <w:r w:rsidRPr="005D6242">
              <w:rPr>
                <w:rFonts w:ascii="David" w:eastAsia="Times New Roman" w:hAnsi="David" w:cs="David" w:hint="cs"/>
                <w:color w:val="000000"/>
                <w:sz w:val="24"/>
                <w:szCs w:val="24"/>
                <w:rtl/>
                <w:lang w:eastAsia="zh-CN"/>
              </w:rPr>
              <w:t xml:space="preserve"> עצמו</w:t>
            </w:r>
            <w:r w:rsidRPr="005D6242">
              <w:rPr>
                <w:rFonts w:ascii="David" w:eastAsia="Times New Roman" w:hAnsi="David" w:cs="David"/>
                <w:color w:val="000000"/>
                <w:sz w:val="24"/>
                <w:szCs w:val="24"/>
                <w:rtl/>
                <w:lang w:eastAsia="zh-CN"/>
              </w:rPr>
              <w:t>, הניסוח היה אמור להיות "מות יומת".</w:t>
            </w:r>
            <w:r w:rsidRPr="005D6242">
              <w:rPr>
                <w:rFonts w:ascii="David" w:eastAsia="Times New Roman" w:hAnsi="David" w:cs="David"/>
                <w:color w:val="000000"/>
                <w:sz w:val="24"/>
                <w:szCs w:val="24"/>
                <w:vertAlign w:val="superscript"/>
                <w:rtl/>
                <w:lang w:eastAsia="zh-CN"/>
              </w:rPr>
              <w:endnoteReference w:id="8"/>
            </w:r>
          </w:p>
          <w:p w14:paraId="4A39962D" w14:textId="16DA56CE" w:rsidR="00EB3003" w:rsidRPr="00666FA3" w:rsidRDefault="00EB3003" w:rsidP="00666FA3">
            <w:pPr>
              <w:bidi/>
              <w:ind w:firstLine="720"/>
              <w:rPr>
                <w:rFonts w:asciiTheme="minorBidi" w:hAnsiTheme="minorBidi"/>
                <w:rtl/>
              </w:rPr>
            </w:pPr>
          </w:p>
        </w:tc>
      </w:tr>
      <w:tr w:rsidR="00EB3003" w14:paraId="36A3AD17" w14:textId="77777777" w:rsidTr="004E1C22">
        <w:tc>
          <w:tcPr>
            <w:tcW w:w="4675" w:type="dxa"/>
          </w:tcPr>
          <w:p w14:paraId="67B6EB66" w14:textId="77777777" w:rsidR="00EB3003" w:rsidRPr="00C11F76" w:rsidRDefault="00EB3003" w:rsidP="00A6439F">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C11F76">
              <w:rPr>
                <w:rFonts w:ascii="Times New Roman" w:eastAsia="Times New Roman" w:hAnsi="Times New Roman" w:cs="Times New Roman"/>
                <w:color w:val="000000"/>
                <w:sz w:val="38"/>
                <w:szCs w:val="38"/>
                <w:lang w:bidi="ar-SA"/>
              </w:rPr>
              <w:t>Interpretation 2—Monetary Compensation</w:t>
            </w:r>
          </w:p>
          <w:p w14:paraId="2021558C" w14:textId="77777777" w:rsidR="00EB3003" w:rsidRPr="004E1C22" w:rsidRDefault="00EB3003" w:rsidP="004E1C22">
            <w:pPr>
              <w:spacing w:line="276" w:lineRule="auto"/>
              <w:rPr>
                <w:rFonts w:asciiTheme="minorBidi" w:hAnsiTheme="minorBidi"/>
              </w:rPr>
            </w:pPr>
          </w:p>
        </w:tc>
        <w:tc>
          <w:tcPr>
            <w:tcW w:w="4675" w:type="dxa"/>
          </w:tcPr>
          <w:p w14:paraId="5262D95D" w14:textId="77777777" w:rsidR="00EB3003" w:rsidRDefault="00EB3003" w:rsidP="00666FA3">
            <w:pPr>
              <w:shd w:val="clear" w:color="auto" w:fill="FFFFFF"/>
              <w:spacing w:before="100" w:beforeAutospacing="1" w:after="105" w:line="465" w:lineRule="atLeast"/>
              <w:jc w:val="center"/>
              <w:textAlignment w:val="top"/>
              <w:rPr>
                <w:rFonts w:ascii="David" w:eastAsia="Times New Roman" w:hAnsi="David" w:cs="David"/>
                <w:color w:val="000000"/>
                <w:sz w:val="32"/>
                <w:szCs w:val="32"/>
                <w:rtl/>
                <w:lang w:eastAsia="zh-CN"/>
              </w:rPr>
            </w:pPr>
          </w:p>
          <w:p w14:paraId="3CD81AB3" w14:textId="7FB809F4" w:rsidR="00EB3003" w:rsidRPr="00F4307D" w:rsidRDefault="00EB3003" w:rsidP="00666FA3">
            <w:pPr>
              <w:shd w:val="clear" w:color="auto" w:fill="FFFFFF"/>
              <w:spacing w:before="100" w:beforeAutospacing="1" w:after="105" w:line="465" w:lineRule="atLeast"/>
              <w:jc w:val="center"/>
              <w:textAlignment w:val="top"/>
              <w:rPr>
                <w:rFonts w:ascii="David" w:eastAsia="Times New Roman" w:hAnsi="David" w:cs="David"/>
                <w:color w:val="000000"/>
                <w:sz w:val="32"/>
                <w:szCs w:val="32"/>
                <w:rtl/>
                <w:lang w:eastAsia="zh-CN"/>
              </w:rPr>
            </w:pPr>
            <w:r w:rsidRPr="00F4307D">
              <w:rPr>
                <w:rFonts w:ascii="David" w:eastAsia="Times New Roman" w:hAnsi="David" w:cs="David"/>
                <w:color w:val="000000"/>
                <w:sz w:val="32"/>
                <w:szCs w:val="32"/>
                <w:rtl/>
                <w:lang w:eastAsia="zh-CN"/>
              </w:rPr>
              <w:t>פרשנות 2–פיצוי כספי</w:t>
            </w:r>
          </w:p>
          <w:p w14:paraId="39DB8C57" w14:textId="77777777" w:rsidR="00EB3003" w:rsidRDefault="00EB3003" w:rsidP="004E1C22">
            <w:pPr>
              <w:bidi/>
              <w:spacing w:line="276" w:lineRule="auto"/>
              <w:rPr>
                <w:rFonts w:asciiTheme="minorBidi" w:hAnsiTheme="minorBidi"/>
                <w:rtl/>
              </w:rPr>
            </w:pPr>
          </w:p>
        </w:tc>
      </w:tr>
      <w:tr w:rsidR="00EB3003" w14:paraId="7B29E176" w14:textId="77777777" w:rsidTr="004E1C22">
        <w:tc>
          <w:tcPr>
            <w:tcW w:w="4675" w:type="dxa"/>
          </w:tcPr>
          <w:p w14:paraId="234CBC85" w14:textId="77777777" w:rsidR="00EB3003" w:rsidRPr="00C11F76" w:rsidRDefault="00EB3003" w:rsidP="00A6439F">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lastRenderedPageBreak/>
              <w:t>The rabbinic view holds that “a life for a life” denotes monetary compensation.</w:t>
            </w:r>
            <w:r w:rsidRPr="00C11F76">
              <w:rPr>
                <w:rFonts w:ascii="Times New Roman" w:eastAsia="Times New Roman" w:hAnsi="Times New Roman" w:cs="Times New Roman"/>
                <w:color w:val="B22222"/>
                <w:sz w:val="23"/>
                <w:szCs w:val="23"/>
                <w:vertAlign w:val="superscript"/>
                <w:lang w:bidi="ar-SA"/>
              </w:rPr>
              <w:t>[8]</w:t>
            </w:r>
            <w:r w:rsidRPr="00C11F76">
              <w:rPr>
                <w:rFonts w:ascii="Times New Roman" w:eastAsia="Times New Roman" w:hAnsi="Times New Roman" w:cs="Times New Roman"/>
                <w:color w:val="000000"/>
                <w:sz w:val="26"/>
                <w:szCs w:val="26"/>
                <w:lang w:bidi="ar-SA"/>
              </w:rPr>
              <w:t xml:space="preserve"> Likewise, Brandeis University’s David Wright, argues that the use of the root </w:t>
            </w:r>
            <w:proofErr w:type="spellStart"/>
            <w:r w:rsidRPr="00C11F76">
              <w:rPr>
                <w:rFonts w:ascii="Times New Roman" w:eastAsia="Times New Roman" w:hAnsi="Times New Roman" w:cs="Times New Roman"/>
                <w:color w:val="000000"/>
                <w:sz w:val="26"/>
                <w:szCs w:val="26"/>
                <w:rtl/>
              </w:rPr>
              <w:t>נ.ת.נ</w:t>
            </w:r>
            <w:proofErr w:type="spellEnd"/>
            <w:r w:rsidRPr="00C11F76">
              <w:rPr>
                <w:rFonts w:ascii="Times New Roman" w:eastAsia="Times New Roman" w:hAnsi="Times New Roman" w:cs="Times New Roman"/>
                <w:color w:val="000000"/>
                <w:sz w:val="26"/>
                <w:szCs w:val="26"/>
                <w:lang w:bidi="ar-SA"/>
              </w:rPr>
              <w:t xml:space="preserve"> (“to give”) demonstrates that this is really a requirement for financial compensation.</w:t>
            </w:r>
            <w:r w:rsidRPr="00C11F76">
              <w:rPr>
                <w:rFonts w:ascii="Times New Roman" w:eastAsia="Times New Roman" w:hAnsi="Times New Roman" w:cs="Times New Roman"/>
                <w:color w:val="B22222"/>
                <w:sz w:val="23"/>
                <w:szCs w:val="23"/>
                <w:vertAlign w:val="superscript"/>
                <w:lang w:bidi="ar-SA"/>
              </w:rPr>
              <w:t>[9]</w:t>
            </w:r>
            <w:r w:rsidRPr="00C11F76">
              <w:rPr>
                <w:rFonts w:ascii="Times New Roman" w:eastAsia="Times New Roman" w:hAnsi="Times New Roman" w:cs="Times New Roman"/>
                <w:color w:val="000000"/>
                <w:sz w:val="26"/>
                <w:szCs w:val="26"/>
                <w:lang w:bidi="ar-SA"/>
              </w:rPr>
              <w:t xml:space="preserve"> Yet if this was intended, the law would have stated, “but if [other] damage ensues, the one responsible he shall be fined” as was explicit in </w:t>
            </w:r>
            <w:proofErr w:type="spellStart"/>
            <w:r w:rsidRPr="00C11F76">
              <w:rPr>
                <w:rFonts w:ascii="Times New Roman" w:eastAsia="Times New Roman" w:hAnsi="Times New Roman" w:cs="Times New Roman"/>
                <w:color w:val="000000"/>
                <w:sz w:val="26"/>
                <w:szCs w:val="26"/>
                <w:lang w:bidi="ar-SA"/>
              </w:rPr>
              <w:t>Exod</w:t>
            </w:r>
            <w:proofErr w:type="spellEnd"/>
            <w:r w:rsidRPr="00C11F76">
              <w:rPr>
                <w:rFonts w:ascii="Times New Roman" w:eastAsia="Times New Roman" w:hAnsi="Times New Roman" w:cs="Times New Roman"/>
                <w:color w:val="000000"/>
                <w:sz w:val="26"/>
                <w:szCs w:val="26"/>
                <w:lang w:bidi="ar-SA"/>
              </w:rPr>
              <w:t xml:space="preserve"> 21:22, where the assailant was fined for the loss of the unborn child. This would be the appropriate biblical language if, indeed, monetary compensation was intended.</w:t>
            </w:r>
            <w:r w:rsidRPr="00C11F76">
              <w:rPr>
                <w:rFonts w:ascii="Times New Roman" w:eastAsia="Times New Roman" w:hAnsi="Times New Roman" w:cs="Times New Roman"/>
                <w:color w:val="B22222"/>
                <w:sz w:val="23"/>
                <w:szCs w:val="23"/>
                <w:vertAlign w:val="superscript"/>
                <w:lang w:bidi="ar-SA"/>
              </w:rPr>
              <w:t>[10]</w:t>
            </w:r>
          </w:p>
          <w:p w14:paraId="4FDE4726" w14:textId="77777777" w:rsidR="00EB3003" w:rsidRPr="004E1C22" w:rsidRDefault="00EB3003" w:rsidP="004E1C22">
            <w:pPr>
              <w:spacing w:line="276" w:lineRule="auto"/>
              <w:rPr>
                <w:rFonts w:asciiTheme="minorBidi" w:hAnsiTheme="minorBidi"/>
              </w:rPr>
            </w:pPr>
          </w:p>
        </w:tc>
        <w:tc>
          <w:tcPr>
            <w:tcW w:w="4675" w:type="dxa"/>
          </w:tcPr>
          <w:p w14:paraId="2DB73E09" w14:textId="7C2BAD1C" w:rsidR="00EB3003" w:rsidRPr="006C108F" w:rsidRDefault="00EB3003" w:rsidP="00062C69">
            <w:pPr>
              <w:shd w:val="clear" w:color="auto" w:fill="FFFFFF"/>
              <w:spacing w:before="100" w:beforeAutospacing="1" w:after="105" w:line="480" w:lineRule="auto"/>
              <w:jc w:val="right"/>
              <w:textAlignment w:val="top"/>
              <w:rPr>
                <w:rFonts w:ascii="David" w:eastAsia="Times New Roman" w:hAnsi="David" w:cs="David"/>
                <w:color w:val="000000"/>
                <w:sz w:val="24"/>
                <w:szCs w:val="24"/>
                <w:rtl/>
                <w:lang w:eastAsia="zh-CN"/>
              </w:rPr>
            </w:pPr>
            <w:r w:rsidRPr="006C108F">
              <w:rPr>
                <w:rFonts w:ascii="David" w:eastAsia="Times New Roman" w:hAnsi="David" w:cs="David"/>
                <w:color w:val="000000"/>
                <w:sz w:val="24"/>
                <w:szCs w:val="24"/>
                <w:rtl/>
                <w:lang w:eastAsia="zh-CN"/>
              </w:rPr>
              <w:t xml:space="preserve">העמדה הרבנית </w:t>
            </w:r>
            <w:r>
              <w:rPr>
                <w:rFonts w:ascii="David" w:eastAsia="Times New Roman" w:hAnsi="David" w:cs="David" w:hint="cs"/>
                <w:color w:val="000000"/>
                <w:sz w:val="24"/>
                <w:szCs w:val="24"/>
                <w:rtl/>
                <w:lang w:eastAsia="zh-CN"/>
              </w:rPr>
              <w:t>גורסת</w:t>
            </w:r>
            <w:r w:rsidRPr="006C108F">
              <w:rPr>
                <w:rFonts w:ascii="David" w:eastAsia="Times New Roman" w:hAnsi="David" w:cs="David"/>
                <w:color w:val="000000"/>
                <w:sz w:val="24"/>
                <w:szCs w:val="24"/>
                <w:rtl/>
                <w:lang w:eastAsia="zh-CN"/>
              </w:rPr>
              <w:t xml:space="preserve"> ש"נפש תחת נפש" פירוש</w:t>
            </w:r>
            <w:r>
              <w:rPr>
                <w:rFonts w:ascii="David" w:eastAsia="Times New Roman" w:hAnsi="David" w:cs="David" w:hint="cs"/>
                <w:color w:val="000000"/>
                <w:sz w:val="24"/>
                <w:szCs w:val="24"/>
                <w:rtl/>
                <w:lang w:eastAsia="zh-CN"/>
              </w:rPr>
              <w:t>ו</w:t>
            </w:r>
            <w:r w:rsidRPr="006C108F">
              <w:rPr>
                <w:rFonts w:ascii="David" w:eastAsia="Times New Roman" w:hAnsi="David" w:cs="David"/>
                <w:color w:val="000000"/>
                <w:sz w:val="24"/>
                <w:szCs w:val="24"/>
                <w:rtl/>
                <w:lang w:eastAsia="zh-CN"/>
              </w:rPr>
              <w:t xml:space="preserve"> פיצוי כספי.</w:t>
            </w:r>
            <w:r w:rsidRPr="006C108F">
              <w:rPr>
                <w:rStyle w:val="af0"/>
                <w:rFonts w:ascii="David" w:eastAsia="Times New Roman" w:hAnsi="David" w:cs="David"/>
                <w:color w:val="000000"/>
                <w:sz w:val="24"/>
                <w:szCs w:val="24"/>
                <w:rtl/>
                <w:lang w:eastAsia="zh-CN"/>
              </w:rPr>
              <w:endnoteReference w:id="9"/>
            </w:r>
            <w:r w:rsidRPr="006C108F">
              <w:rPr>
                <w:rFonts w:ascii="David" w:eastAsia="Times New Roman" w:hAnsi="David" w:cs="David"/>
                <w:color w:val="000000"/>
                <w:sz w:val="24"/>
                <w:szCs w:val="24"/>
                <w:rtl/>
                <w:lang w:eastAsia="zh-CN"/>
              </w:rPr>
              <w:t xml:space="preserve"> בדומה, טוען דיוויד </w:t>
            </w:r>
            <w:proofErr w:type="spellStart"/>
            <w:r w:rsidRPr="006C108F">
              <w:rPr>
                <w:rFonts w:ascii="David" w:eastAsia="Times New Roman" w:hAnsi="David" w:cs="David"/>
                <w:color w:val="000000"/>
                <w:sz w:val="24"/>
                <w:szCs w:val="24"/>
                <w:rtl/>
                <w:lang w:eastAsia="zh-CN"/>
              </w:rPr>
              <w:t>רייט</w:t>
            </w:r>
            <w:proofErr w:type="spellEnd"/>
            <w:r w:rsidRPr="006C108F">
              <w:rPr>
                <w:rFonts w:ascii="David" w:eastAsia="Times New Roman" w:hAnsi="David" w:cs="David"/>
                <w:color w:val="000000"/>
                <w:sz w:val="24"/>
                <w:szCs w:val="24"/>
                <w:rtl/>
                <w:lang w:eastAsia="zh-CN"/>
              </w:rPr>
              <w:t xml:space="preserve"> מאוניברסיטת </w:t>
            </w:r>
            <w:proofErr w:type="spellStart"/>
            <w:r w:rsidRPr="006C108F">
              <w:rPr>
                <w:rFonts w:ascii="David" w:eastAsia="Times New Roman" w:hAnsi="David" w:cs="David"/>
                <w:color w:val="000000"/>
                <w:sz w:val="24"/>
                <w:szCs w:val="24"/>
                <w:rtl/>
                <w:lang w:eastAsia="zh-CN"/>
              </w:rPr>
              <w:t>ברנדייס</w:t>
            </w:r>
            <w:proofErr w:type="spellEnd"/>
            <w:r w:rsidRPr="006C108F">
              <w:rPr>
                <w:rFonts w:ascii="David" w:eastAsia="Times New Roman" w:hAnsi="David" w:cs="David"/>
                <w:color w:val="000000"/>
                <w:sz w:val="24"/>
                <w:szCs w:val="24"/>
                <w:rtl/>
                <w:lang w:eastAsia="zh-CN"/>
              </w:rPr>
              <w:t xml:space="preserve"> שהשימוש בשורש </w:t>
            </w:r>
            <w:proofErr w:type="spellStart"/>
            <w:r w:rsidRPr="006C108F">
              <w:rPr>
                <w:rFonts w:ascii="David" w:eastAsia="Times New Roman" w:hAnsi="David" w:cs="David"/>
                <w:color w:val="000000"/>
                <w:sz w:val="24"/>
                <w:szCs w:val="24"/>
                <w:rtl/>
                <w:lang w:eastAsia="zh-CN"/>
              </w:rPr>
              <w:t>נת</w:t>
            </w:r>
            <w:r>
              <w:rPr>
                <w:rFonts w:ascii="David" w:eastAsia="Times New Roman" w:hAnsi="David" w:cs="David" w:hint="cs"/>
                <w:color w:val="000000"/>
                <w:sz w:val="24"/>
                <w:szCs w:val="24"/>
                <w:rtl/>
                <w:lang w:eastAsia="zh-CN"/>
              </w:rPr>
              <w:t>"</w:t>
            </w:r>
            <w:r w:rsidRPr="006C108F">
              <w:rPr>
                <w:rFonts w:ascii="David" w:eastAsia="Times New Roman" w:hAnsi="David" w:cs="David"/>
                <w:color w:val="000000"/>
                <w:sz w:val="24"/>
                <w:szCs w:val="24"/>
                <w:rtl/>
                <w:lang w:eastAsia="zh-CN"/>
              </w:rPr>
              <w:t>נ</w:t>
            </w:r>
            <w:proofErr w:type="spellEnd"/>
            <w:r>
              <w:rPr>
                <w:rFonts w:ascii="David" w:eastAsia="Times New Roman" w:hAnsi="David" w:cs="David" w:hint="cs"/>
                <w:color w:val="000000"/>
                <w:sz w:val="24"/>
                <w:szCs w:val="24"/>
                <w:rtl/>
                <w:lang w:eastAsia="zh-CN"/>
              </w:rPr>
              <w:t xml:space="preserve"> </w:t>
            </w:r>
            <w:r w:rsidRPr="006C108F">
              <w:rPr>
                <w:rFonts w:ascii="David" w:eastAsia="Times New Roman" w:hAnsi="David" w:cs="David"/>
                <w:color w:val="000000"/>
                <w:sz w:val="24"/>
                <w:szCs w:val="24"/>
                <w:rtl/>
                <w:lang w:eastAsia="zh-CN"/>
              </w:rPr>
              <w:t>מ</w:t>
            </w:r>
            <w:r>
              <w:rPr>
                <w:rFonts w:ascii="David" w:eastAsia="Times New Roman" w:hAnsi="David" w:cs="David" w:hint="cs"/>
                <w:color w:val="000000"/>
                <w:sz w:val="24"/>
                <w:szCs w:val="24"/>
                <w:rtl/>
                <w:lang w:eastAsia="zh-CN"/>
              </w:rPr>
              <w:t>דגים</w:t>
            </w:r>
            <w:r w:rsidRPr="006C108F">
              <w:rPr>
                <w:rFonts w:ascii="David" w:eastAsia="Times New Roman" w:hAnsi="David" w:cs="David"/>
                <w:color w:val="000000"/>
                <w:sz w:val="24"/>
                <w:szCs w:val="24"/>
                <w:rtl/>
                <w:lang w:eastAsia="zh-CN"/>
              </w:rPr>
              <w:t xml:space="preserve"> שמדובר </w:t>
            </w:r>
            <w:r>
              <w:rPr>
                <w:rFonts w:ascii="David" w:eastAsia="Times New Roman" w:hAnsi="David" w:cs="David" w:hint="cs"/>
                <w:color w:val="000000"/>
                <w:sz w:val="24"/>
                <w:szCs w:val="24"/>
                <w:rtl/>
                <w:lang w:eastAsia="zh-CN"/>
              </w:rPr>
              <w:t>למעשה בדרישה</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ל</w:t>
            </w:r>
            <w:r w:rsidRPr="006C108F">
              <w:rPr>
                <w:rFonts w:ascii="David" w:eastAsia="Times New Roman" w:hAnsi="David" w:cs="David"/>
                <w:color w:val="000000"/>
                <w:sz w:val="24"/>
                <w:szCs w:val="24"/>
                <w:rtl/>
                <w:lang w:eastAsia="zh-CN"/>
              </w:rPr>
              <w:t>פיצוי כספי.</w:t>
            </w:r>
            <w:r w:rsidRPr="006C108F">
              <w:rPr>
                <w:rStyle w:val="af0"/>
                <w:rFonts w:ascii="David" w:eastAsia="Times New Roman" w:hAnsi="David" w:cs="David"/>
                <w:color w:val="000000"/>
                <w:sz w:val="24"/>
                <w:szCs w:val="24"/>
                <w:rtl/>
                <w:lang w:eastAsia="zh-CN"/>
              </w:rPr>
              <w:endnoteReference w:id="10"/>
            </w:r>
            <w:r w:rsidRPr="006C108F">
              <w:rPr>
                <w:rFonts w:ascii="David" w:eastAsia="Times New Roman" w:hAnsi="David" w:cs="David"/>
                <w:color w:val="000000"/>
                <w:sz w:val="24"/>
                <w:szCs w:val="24"/>
                <w:rtl/>
                <w:lang w:eastAsia="zh-CN"/>
              </w:rPr>
              <w:t xml:space="preserve"> אולם </w:t>
            </w:r>
            <w:r>
              <w:rPr>
                <w:rFonts w:ascii="David" w:eastAsia="Times New Roman" w:hAnsi="David" w:cs="David" w:hint="cs"/>
                <w:color w:val="000000"/>
                <w:sz w:val="24"/>
                <w:szCs w:val="24"/>
                <w:rtl/>
                <w:lang w:eastAsia="zh-CN"/>
              </w:rPr>
              <w:t>אם</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 xml:space="preserve">זו </w:t>
            </w:r>
            <w:r w:rsidRPr="006C108F">
              <w:rPr>
                <w:rFonts w:ascii="David" w:eastAsia="Times New Roman" w:hAnsi="David" w:cs="David"/>
                <w:color w:val="000000"/>
                <w:sz w:val="24"/>
                <w:szCs w:val="24"/>
                <w:rtl/>
                <w:lang w:eastAsia="zh-CN"/>
              </w:rPr>
              <w:t>הייתה כוונ</w:t>
            </w:r>
            <w:r>
              <w:rPr>
                <w:rFonts w:ascii="David" w:eastAsia="Times New Roman" w:hAnsi="David" w:cs="David" w:hint="cs"/>
                <w:color w:val="000000"/>
                <w:sz w:val="24"/>
                <w:szCs w:val="24"/>
                <w:rtl/>
                <w:lang w:eastAsia="zh-CN"/>
              </w:rPr>
              <w:t>ת הדברים</w:t>
            </w:r>
            <w:r w:rsidRPr="006C108F">
              <w:rPr>
                <w:rFonts w:ascii="David" w:eastAsia="Times New Roman" w:hAnsi="David" w:cs="David"/>
                <w:color w:val="000000"/>
                <w:sz w:val="24"/>
                <w:szCs w:val="24"/>
                <w:rtl/>
                <w:lang w:eastAsia="zh-CN"/>
              </w:rPr>
              <w:t>, החוק היה קובע "אך אם נגרם נזק [אחר]</w:t>
            </w:r>
            <w:r>
              <w:rPr>
                <w:rFonts w:ascii="David" w:eastAsia="Times New Roman" w:hAnsi="David" w:cs="David" w:hint="cs"/>
                <w:color w:val="000000"/>
                <w:sz w:val="24"/>
                <w:szCs w:val="24"/>
                <w:rtl/>
                <w:lang w:eastAsia="zh-CN"/>
              </w:rPr>
              <w:t>,</w:t>
            </w:r>
            <w:r w:rsidRPr="006C108F">
              <w:rPr>
                <w:rFonts w:ascii="David" w:eastAsia="Times New Roman" w:hAnsi="David" w:cs="David"/>
                <w:color w:val="000000"/>
                <w:sz w:val="24"/>
                <w:szCs w:val="24"/>
                <w:rtl/>
                <w:lang w:eastAsia="zh-CN"/>
              </w:rPr>
              <w:t xml:space="preserve"> ה</w:t>
            </w:r>
            <w:r>
              <w:rPr>
                <w:rFonts w:ascii="David" w:eastAsia="Times New Roman" w:hAnsi="David" w:cs="David" w:hint="cs"/>
                <w:color w:val="000000"/>
                <w:sz w:val="24"/>
                <w:szCs w:val="24"/>
                <w:rtl/>
                <w:lang w:eastAsia="zh-CN"/>
              </w:rPr>
              <w:t xml:space="preserve">אדם </w:t>
            </w:r>
            <w:r w:rsidRPr="006C108F">
              <w:rPr>
                <w:rFonts w:ascii="David" w:eastAsia="Times New Roman" w:hAnsi="David" w:cs="David"/>
                <w:color w:val="000000"/>
                <w:sz w:val="24"/>
                <w:szCs w:val="24"/>
                <w:rtl/>
                <w:lang w:eastAsia="zh-CN"/>
              </w:rPr>
              <w:t>אחראי הוא אשר ייקנס" כפי שנ</w:t>
            </w:r>
            <w:r>
              <w:rPr>
                <w:rFonts w:ascii="David" w:eastAsia="Times New Roman" w:hAnsi="David" w:cs="David" w:hint="cs"/>
                <w:color w:val="000000"/>
                <w:sz w:val="24"/>
                <w:szCs w:val="24"/>
                <w:rtl/>
                <w:lang w:eastAsia="zh-CN"/>
              </w:rPr>
              <w:t>אמר</w:t>
            </w:r>
            <w:r w:rsidRPr="006C108F">
              <w:rPr>
                <w:rFonts w:ascii="David" w:eastAsia="Times New Roman" w:hAnsi="David" w:cs="David"/>
                <w:color w:val="000000"/>
                <w:sz w:val="24"/>
                <w:szCs w:val="24"/>
                <w:rtl/>
                <w:lang w:eastAsia="zh-CN"/>
              </w:rPr>
              <w:t xml:space="preserve"> במפורש בשמות </w:t>
            </w:r>
            <w:proofErr w:type="spellStart"/>
            <w:r w:rsidRPr="006C108F">
              <w:rPr>
                <w:rFonts w:ascii="David" w:eastAsia="Times New Roman" w:hAnsi="David" w:cs="David"/>
                <w:color w:val="000000"/>
                <w:sz w:val="24"/>
                <w:szCs w:val="24"/>
                <w:rtl/>
                <w:lang w:eastAsia="zh-CN"/>
              </w:rPr>
              <w:t>כא:</w:t>
            </w:r>
            <w:r>
              <w:rPr>
                <w:rFonts w:ascii="David" w:eastAsia="Times New Roman" w:hAnsi="David" w:cs="David" w:hint="cs"/>
                <w:color w:val="000000"/>
                <w:sz w:val="24"/>
                <w:szCs w:val="24"/>
                <w:rtl/>
                <w:lang w:eastAsia="zh-CN"/>
              </w:rPr>
              <w:t>כב</w:t>
            </w:r>
            <w:proofErr w:type="spellEnd"/>
            <w:r w:rsidRPr="006C108F">
              <w:rPr>
                <w:rFonts w:ascii="David" w:eastAsia="Times New Roman" w:hAnsi="David" w:cs="David"/>
                <w:color w:val="000000"/>
                <w:sz w:val="24"/>
                <w:szCs w:val="24"/>
                <w:rtl/>
                <w:lang w:eastAsia="zh-CN"/>
              </w:rPr>
              <w:t>, שם נקנס התוקף ב</w:t>
            </w:r>
            <w:r>
              <w:rPr>
                <w:rFonts w:ascii="David" w:eastAsia="Times New Roman" w:hAnsi="David" w:cs="David" w:hint="cs"/>
                <w:color w:val="000000"/>
                <w:sz w:val="24"/>
                <w:szCs w:val="24"/>
                <w:rtl/>
                <w:lang w:eastAsia="zh-CN"/>
              </w:rPr>
              <w:t>של</w:t>
            </w:r>
            <w:r w:rsidRPr="006C108F">
              <w:rPr>
                <w:rFonts w:ascii="David" w:eastAsia="Times New Roman" w:hAnsi="David" w:cs="David"/>
                <w:color w:val="000000"/>
                <w:sz w:val="24"/>
                <w:szCs w:val="24"/>
                <w:rtl/>
                <w:lang w:eastAsia="zh-CN"/>
              </w:rPr>
              <w:t xml:space="preserve"> אובדן העובר. כך היה אמור להיות </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 xml:space="preserve">ניסוח </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 xml:space="preserve">מקראי </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 xml:space="preserve">מתאים אם אכן </w:t>
            </w:r>
            <w:r>
              <w:rPr>
                <w:rFonts w:ascii="David" w:eastAsia="Times New Roman" w:hAnsi="David" w:cs="David" w:hint="cs"/>
                <w:color w:val="000000"/>
                <w:sz w:val="24"/>
                <w:szCs w:val="24"/>
                <w:rtl/>
                <w:lang w:eastAsia="zh-CN"/>
              </w:rPr>
              <w:t>היה מדובר</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ב</w:t>
            </w:r>
            <w:r w:rsidRPr="006C108F">
              <w:rPr>
                <w:rFonts w:ascii="David" w:eastAsia="Times New Roman" w:hAnsi="David" w:cs="David"/>
                <w:color w:val="000000"/>
                <w:sz w:val="24"/>
                <w:szCs w:val="24"/>
                <w:rtl/>
                <w:lang w:eastAsia="zh-CN"/>
              </w:rPr>
              <w:t>פיצוי כספי.</w:t>
            </w:r>
            <w:r w:rsidRPr="006C108F">
              <w:rPr>
                <w:rStyle w:val="af0"/>
                <w:rFonts w:ascii="David" w:eastAsia="Times New Roman" w:hAnsi="David" w:cs="David"/>
                <w:color w:val="000000"/>
                <w:sz w:val="24"/>
                <w:szCs w:val="24"/>
                <w:rtl/>
                <w:lang w:eastAsia="zh-CN"/>
              </w:rPr>
              <w:endnoteReference w:id="11"/>
            </w:r>
          </w:p>
          <w:p w14:paraId="1D5C5B5E" w14:textId="77777777" w:rsidR="00EB3003" w:rsidRDefault="00EB3003" w:rsidP="004E1C22">
            <w:pPr>
              <w:bidi/>
              <w:spacing w:line="276" w:lineRule="auto"/>
              <w:rPr>
                <w:rFonts w:asciiTheme="minorBidi" w:hAnsiTheme="minorBidi"/>
                <w:rtl/>
              </w:rPr>
            </w:pPr>
          </w:p>
        </w:tc>
      </w:tr>
      <w:tr w:rsidR="00EB3003" w14:paraId="2BD5A090" w14:textId="77777777" w:rsidTr="004E1C22">
        <w:tc>
          <w:tcPr>
            <w:tcW w:w="4675" w:type="dxa"/>
          </w:tcPr>
          <w:p w14:paraId="1A47A223" w14:textId="77777777" w:rsidR="00EB3003" w:rsidRPr="00C11F76" w:rsidRDefault="00EB3003" w:rsidP="00A6439F">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C11F76">
              <w:rPr>
                <w:rFonts w:ascii="Times New Roman" w:eastAsia="Times New Roman" w:hAnsi="Times New Roman" w:cs="Times New Roman"/>
                <w:color w:val="000000"/>
                <w:sz w:val="38"/>
                <w:szCs w:val="38"/>
                <w:lang w:bidi="ar-SA"/>
              </w:rPr>
              <w:t>Interpretation 3— Vicarious Life Substitution</w:t>
            </w:r>
          </w:p>
          <w:p w14:paraId="20410C9E" w14:textId="77777777" w:rsidR="00EB3003" w:rsidRPr="004E1C22" w:rsidRDefault="00EB3003" w:rsidP="004E1C22">
            <w:pPr>
              <w:spacing w:line="276" w:lineRule="auto"/>
              <w:rPr>
                <w:rFonts w:asciiTheme="minorBidi" w:hAnsiTheme="minorBidi"/>
              </w:rPr>
            </w:pPr>
          </w:p>
        </w:tc>
        <w:tc>
          <w:tcPr>
            <w:tcW w:w="4675" w:type="dxa"/>
          </w:tcPr>
          <w:p w14:paraId="54CBB49C" w14:textId="77777777" w:rsidR="00EB3003" w:rsidRDefault="00EB3003" w:rsidP="00666FA3">
            <w:pPr>
              <w:shd w:val="clear" w:color="auto" w:fill="FFFFFF"/>
              <w:spacing w:before="100" w:beforeAutospacing="1" w:after="105" w:line="465" w:lineRule="atLeast"/>
              <w:jc w:val="center"/>
              <w:textAlignment w:val="top"/>
              <w:rPr>
                <w:rFonts w:ascii="David" w:eastAsia="Times New Roman" w:hAnsi="David" w:cs="David"/>
                <w:color w:val="000000"/>
                <w:sz w:val="32"/>
                <w:szCs w:val="32"/>
                <w:rtl/>
                <w:lang w:eastAsia="zh-CN"/>
              </w:rPr>
            </w:pPr>
          </w:p>
          <w:p w14:paraId="32705D0F" w14:textId="4B1DE449" w:rsidR="00EB3003" w:rsidRPr="00107AED" w:rsidRDefault="00EB3003" w:rsidP="00666FA3">
            <w:pPr>
              <w:shd w:val="clear" w:color="auto" w:fill="FFFFFF"/>
              <w:spacing w:before="100" w:beforeAutospacing="1" w:after="105" w:line="465" w:lineRule="atLeast"/>
              <w:jc w:val="center"/>
              <w:textAlignment w:val="top"/>
              <w:rPr>
                <w:rFonts w:ascii="David" w:eastAsia="Times New Roman" w:hAnsi="David" w:cs="David"/>
                <w:color w:val="000000"/>
                <w:sz w:val="32"/>
                <w:szCs w:val="32"/>
                <w:lang w:eastAsia="zh-CN"/>
              </w:rPr>
            </w:pPr>
            <w:r w:rsidRPr="00107AED">
              <w:rPr>
                <w:rFonts w:ascii="David" w:eastAsia="Times New Roman" w:hAnsi="David" w:cs="David"/>
                <w:color w:val="000000"/>
                <w:sz w:val="32"/>
                <w:szCs w:val="32"/>
                <w:rtl/>
                <w:lang w:eastAsia="zh-CN"/>
              </w:rPr>
              <w:t>פרשנות 3–</w:t>
            </w:r>
            <w:r>
              <w:rPr>
                <w:rFonts w:ascii="David" w:eastAsia="Times New Roman" w:hAnsi="David" w:cs="David" w:hint="cs"/>
                <w:color w:val="000000"/>
                <w:sz w:val="32"/>
                <w:szCs w:val="32"/>
                <w:rtl/>
                <w:lang w:eastAsia="zh-CN"/>
              </w:rPr>
              <w:t>ממלא מקום חי</w:t>
            </w:r>
          </w:p>
          <w:p w14:paraId="7A8DC543" w14:textId="77777777" w:rsidR="00EB3003" w:rsidRDefault="00EB3003" w:rsidP="004E1C22">
            <w:pPr>
              <w:bidi/>
              <w:spacing w:line="276" w:lineRule="auto"/>
              <w:rPr>
                <w:rFonts w:asciiTheme="minorBidi" w:hAnsiTheme="minorBidi"/>
                <w:rtl/>
              </w:rPr>
            </w:pPr>
          </w:p>
        </w:tc>
      </w:tr>
      <w:tr w:rsidR="00EB3003" w14:paraId="53D63A28" w14:textId="77777777" w:rsidTr="004E1C22">
        <w:tc>
          <w:tcPr>
            <w:tcW w:w="4675" w:type="dxa"/>
          </w:tcPr>
          <w:p w14:paraId="40EA2D61" w14:textId="77777777" w:rsidR="00EB3003" w:rsidRPr="00C11F76" w:rsidRDefault="00EB3003" w:rsidP="005120C1">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A third approach is suggested in the broader framework of legal traditions, where the eminent German-Jewish historian of ancient law, David Daube (1909–1999), maintained that Exodus </w:t>
            </w:r>
            <w:r w:rsidRPr="00C11F76">
              <w:rPr>
                <w:rFonts w:ascii="Times New Roman" w:eastAsia="Times New Roman" w:hAnsi="Times New Roman" w:cs="Times New Roman"/>
                <w:color w:val="000000"/>
                <w:sz w:val="26"/>
                <w:szCs w:val="26"/>
                <w:lang w:bidi="ar-SA"/>
              </w:rPr>
              <w:lastRenderedPageBreak/>
              <w:t xml:space="preserve">21:23 meant ‘”in place of,” or “because of,” so that </w:t>
            </w:r>
            <w:r w:rsidRPr="00C11F76">
              <w:rPr>
                <w:rFonts w:ascii="Times New Roman" w:eastAsia="Times New Roman" w:hAnsi="Times New Roman" w:cs="Times New Roman"/>
                <w:color w:val="000000"/>
                <w:sz w:val="26"/>
                <w:szCs w:val="26"/>
                <w:rtl/>
              </w:rPr>
              <w:t>נֶפֶשׁ תַּחַת נָפֶשׁ</w:t>
            </w:r>
            <w:r w:rsidRPr="00C11F76">
              <w:rPr>
                <w:rFonts w:ascii="Times New Roman" w:eastAsia="Times New Roman" w:hAnsi="Times New Roman" w:cs="Times New Roman"/>
                <w:color w:val="000000"/>
                <w:sz w:val="26"/>
                <w:szCs w:val="26"/>
                <w:lang w:bidi="ar-SA"/>
              </w:rPr>
              <w:t>, (“a life for a life,”) denoted “a life in place of a life.” This, he maintained, implied human substitution as a form of compensation.</w:t>
            </w:r>
            <w:r w:rsidRPr="00C11F76">
              <w:rPr>
                <w:rFonts w:ascii="Times New Roman" w:eastAsia="Times New Roman" w:hAnsi="Times New Roman" w:cs="Times New Roman"/>
                <w:color w:val="B22222"/>
                <w:sz w:val="23"/>
                <w:szCs w:val="23"/>
                <w:vertAlign w:val="superscript"/>
                <w:lang w:bidi="ar-SA"/>
              </w:rPr>
              <w:t>[11]</w:t>
            </w:r>
          </w:p>
          <w:p w14:paraId="03F4AEB0" w14:textId="77777777" w:rsidR="00EB3003" w:rsidRPr="004E1C22" w:rsidRDefault="00EB3003" w:rsidP="004E1C22">
            <w:pPr>
              <w:spacing w:line="276" w:lineRule="auto"/>
              <w:rPr>
                <w:rFonts w:asciiTheme="minorBidi" w:hAnsiTheme="minorBidi"/>
              </w:rPr>
            </w:pPr>
          </w:p>
        </w:tc>
        <w:tc>
          <w:tcPr>
            <w:tcW w:w="4675" w:type="dxa"/>
          </w:tcPr>
          <w:p w14:paraId="57C471A6" w14:textId="77777777" w:rsidR="00EB3003" w:rsidRDefault="00EB3003" w:rsidP="004E1C22">
            <w:pPr>
              <w:bidi/>
              <w:spacing w:line="276" w:lineRule="auto"/>
              <w:rPr>
                <w:rFonts w:asciiTheme="minorBidi" w:hAnsiTheme="minorBidi"/>
                <w:rtl/>
              </w:rPr>
            </w:pPr>
          </w:p>
          <w:p w14:paraId="77FCB49F" w14:textId="77777777" w:rsidR="00EB3003" w:rsidRPr="006C108F" w:rsidRDefault="00EB3003" w:rsidP="00062C69">
            <w:pPr>
              <w:shd w:val="clear" w:color="auto" w:fill="FFFFFF"/>
              <w:spacing w:before="100" w:beforeAutospacing="1" w:after="105" w:line="480" w:lineRule="auto"/>
              <w:jc w:val="right"/>
              <w:textAlignment w:val="top"/>
              <w:rPr>
                <w:rFonts w:ascii="David" w:eastAsia="Times New Roman" w:hAnsi="David" w:cs="David"/>
                <w:color w:val="000000"/>
                <w:sz w:val="24"/>
                <w:szCs w:val="24"/>
                <w:rtl/>
                <w:lang w:eastAsia="zh-CN"/>
              </w:rPr>
            </w:pPr>
            <w:r w:rsidRPr="006C108F">
              <w:rPr>
                <w:rFonts w:ascii="David" w:eastAsia="Times New Roman" w:hAnsi="David" w:cs="David"/>
                <w:color w:val="000000"/>
                <w:sz w:val="24"/>
                <w:szCs w:val="24"/>
                <w:rtl/>
                <w:lang w:eastAsia="zh-CN"/>
              </w:rPr>
              <w:t xml:space="preserve">גישה שלישית </w:t>
            </w:r>
            <w:r>
              <w:rPr>
                <w:rFonts w:ascii="David" w:eastAsia="Times New Roman" w:hAnsi="David" w:cs="David" w:hint="cs"/>
                <w:color w:val="000000"/>
                <w:sz w:val="24"/>
                <w:szCs w:val="24"/>
                <w:rtl/>
                <w:lang w:eastAsia="zh-CN"/>
              </w:rPr>
              <w:t>מוצעת</w:t>
            </w:r>
            <w:r w:rsidRPr="006C108F">
              <w:rPr>
                <w:rFonts w:ascii="David" w:eastAsia="Times New Roman" w:hAnsi="David" w:cs="David"/>
                <w:color w:val="000000"/>
                <w:sz w:val="24"/>
                <w:szCs w:val="24"/>
                <w:rtl/>
                <w:lang w:eastAsia="zh-CN"/>
              </w:rPr>
              <w:t xml:space="preserve"> במסגרת הרחבה יותר של מסורות משפטיות, </w:t>
            </w:r>
            <w:r>
              <w:rPr>
                <w:rFonts w:ascii="David" w:eastAsia="Times New Roman" w:hAnsi="David" w:cs="David" w:hint="cs"/>
                <w:color w:val="000000"/>
                <w:sz w:val="24"/>
                <w:szCs w:val="24"/>
                <w:rtl/>
                <w:lang w:eastAsia="zh-CN"/>
              </w:rPr>
              <w:t>כאשר טען</w:t>
            </w:r>
            <w:r w:rsidRPr="006C108F">
              <w:rPr>
                <w:rFonts w:ascii="David" w:eastAsia="Times New Roman" w:hAnsi="David" w:cs="David"/>
                <w:color w:val="000000"/>
                <w:sz w:val="24"/>
                <w:szCs w:val="24"/>
                <w:rtl/>
                <w:lang w:eastAsia="zh-CN"/>
              </w:rPr>
              <w:t xml:space="preserve"> היסטוריון המשפט העתיק היהודי-גרמני דוד דאובה (1909–1999) שכוונת שמות </w:t>
            </w:r>
            <w:proofErr w:type="spellStart"/>
            <w:r w:rsidRPr="006C108F">
              <w:rPr>
                <w:rFonts w:ascii="David" w:eastAsia="Times New Roman" w:hAnsi="David" w:cs="David"/>
                <w:color w:val="000000"/>
                <w:sz w:val="24"/>
                <w:szCs w:val="24"/>
                <w:rtl/>
                <w:lang w:eastAsia="zh-CN"/>
              </w:rPr>
              <w:t>כא:</w:t>
            </w:r>
            <w:r>
              <w:rPr>
                <w:rFonts w:ascii="David" w:eastAsia="Times New Roman" w:hAnsi="David" w:cs="David" w:hint="cs"/>
                <w:color w:val="000000"/>
                <w:sz w:val="24"/>
                <w:szCs w:val="24"/>
                <w:rtl/>
                <w:lang w:eastAsia="zh-CN"/>
              </w:rPr>
              <w:t>כג</w:t>
            </w:r>
            <w:proofErr w:type="spellEnd"/>
            <w:r>
              <w:rPr>
                <w:rFonts w:ascii="David" w:eastAsia="Times New Roman" w:hAnsi="David" w:cs="David" w:hint="cs"/>
                <w:color w:val="000000"/>
                <w:sz w:val="24"/>
                <w:szCs w:val="24"/>
                <w:rtl/>
                <w:lang w:eastAsia="zh-CN"/>
              </w:rPr>
              <w:t xml:space="preserve"> </w:t>
            </w:r>
            <w:r w:rsidRPr="006C108F">
              <w:rPr>
                <w:rFonts w:ascii="David" w:eastAsia="Times New Roman" w:hAnsi="David" w:cs="David"/>
                <w:color w:val="000000"/>
                <w:sz w:val="24"/>
                <w:szCs w:val="24"/>
                <w:rtl/>
                <w:lang w:eastAsia="zh-CN"/>
              </w:rPr>
              <w:t xml:space="preserve">היא "במקום" או "בגלל" כך </w:t>
            </w:r>
            <w:r w:rsidRPr="006C108F">
              <w:rPr>
                <w:rFonts w:ascii="David" w:eastAsia="Times New Roman" w:hAnsi="David" w:cs="David"/>
                <w:color w:val="000000"/>
                <w:sz w:val="24"/>
                <w:szCs w:val="24"/>
                <w:rtl/>
                <w:lang w:eastAsia="zh-CN"/>
              </w:rPr>
              <w:lastRenderedPageBreak/>
              <w:t xml:space="preserve">ש"נפש תחת נפש" </w:t>
            </w:r>
            <w:r>
              <w:rPr>
                <w:rFonts w:ascii="David" w:eastAsia="Times New Roman" w:hAnsi="David" w:cs="David" w:hint="cs"/>
                <w:color w:val="000000"/>
                <w:sz w:val="24"/>
                <w:szCs w:val="24"/>
                <w:rtl/>
                <w:lang w:eastAsia="zh-CN"/>
              </w:rPr>
              <w:t>מציין</w:t>
            </w:r>
            <w:r w:rsidRPr="006C108F">
              <w:rPr>
                <w:rFonts w:ascii="David" w:eastAsia="Times New Roman" w:hAnsi="David" w:cs="David"/>
                <w:color w:val="000000"/>
                <w:sz w:val="24"/>
                <w:szCs w:val="24"/>
                <w:rtl/>
                <w:lang w:eastAsia="zh-CN"/>
              </w:rPr>
              <w:t xml:space="preserve"> "חיים במקום חיים". לטענתו, נרמז כאן </w:t>
            </w:r>
            <w:r>
              <w:rPr>
                <w:rFonts w:ascii="David" w:eastAsia="Times New Roman" w:hAnsi="David" w:cs="David" w:hint="cs"/>
                <w:color w:val="000000"/>
                <w:sz w:val="24"/>
                <w:szCs w:val="24"/>
                <w:rtl/>
                <w:lang w:eastAsia="zh-CN"/>
              </w:rPr>
              <w:t>ממלא מקום אנושי</w:t>
            </w:r>
            <w:r w:rsidRPr="006C108F">
              <w:rPr>
                <w:rFonts w:ascii="David" w:eastAsia="Times New Roman" w:hAnsi="David" w:cs="David"/>
                <w:color w:val="000000"/>
                <w:sz w:val="24"/>
                <w:szCs w:val="24"/>
                <w:rtl/>
                <w:lang w:eastAsia="zh-CN"/>
              </w:rPr>
              <w:t xml:space="preserve"> כסוג של פיצוי.</w:t>
            </w:r>
            <w:r w:rsidRPr="006C108F">
              <w:rPr>
                <w:rStyle w:val="af0"/>
                <w:rFonts w:ascii="David" w:eastAsia="Times New Roman" w:hAnsi="David" w:cs="David"/>
                <w:color w:val="000000"/>
                <w:sz w:val="24"/>
                <w:szCs w:val="24"/>
                <w:rtl/>
                <w:lang w:eastAsia="zh-CN"/>
              </w:rPr>
              <w:endnoteReference w:id="12"/>
            </w:r>
          </w:p>
          <w:p w14:paraId="5CDE364E" w14:textId="6F70DC68" w:rsidR="00EB3003" w:rsidRPr="00666FA3" w:rsidRDefault="00EB3003" w:rsidP="00666FA3">
            <w:pPr>
              <w:bidi/>
              <w:ind w:firstLine="720"/>
              <w:rPr>
                <w:rFonts w:asciiTheme="minorBidi" w:hAnsiTheme="minorBidi"/>
                <w:rtl/>
              </w:rPr>
            </w:pPr>
          </w:p>
        </w:tc>
      </w:tr>
      <w:tr w:rsidR="00EB3003" w14:paraId="5B94F7B6" w14:textId="77777777" w:rsidTr="004E1C22">
        <w:tc>
          <w:tcPr>
            <w:tcW w:w="4675" w:type="dxa"/>
          </w:tcPr>
          <w:p w14:paraId="14401FAB" w14:textId="77777777" w:rsidR="00EB3003" w:rsidRPr="00C11F76" w:rsidRDefault="00EB3003" w:rsidP="005120C1">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lastRenderedPageBreak/>
              <w:t xml:space="preserve">Daube was particularly careful not to specify whether the substitute was to be killed or provided as a living replacement. His interpretation, however, is verified by the conventional use of the preposition </w:t>
            </w:r>
            <w:r w:rsidRPr="00C11F76">
              <w:rPr>
                <w:rFonts w:ascii="Times New Roman" w:eastAsia="Times New Roman" w:hAnsi="Times New Roman" w:cs="Times New Roman"/>
                <w:color w:val="000000"/>
                <w:sz w:val="26"/>
                <w:szCs w:val="26"/>
                <w:rtl/>
              </w:rPr>
              <w:t>תחת</w:t>
            </w:r>
            <w:r w:rsidRPr="00C11F76">
              <w:rPr>
                <w:rFonts w:ascii="Times New Roman" w:eastAsia="Times New Roman" w:hAnsi="Times New Roman" w:cs="Times New Roman"/>
                <w:color w:val="000000"/>
                <w:sz w:val="26"/>
                <w:szCs w:val="26"/>
                <w:lang w:bidi="ar-SA"/>
              </w:rPr>
              <w:t xml:space="preserve"> throughout the Hebrew Bible, when it appears in relation to individual humans.</w:t>
            </w:r>
            <w:r w:rsidRPr="00C11F76">
              <w:rPr>
                <w:rFonts w:ascii="Times New Roman" w:eastAsia="Times New Roman" w:hAnsi="Times New Roman" w:cs="Times New Roman"/>
                <w:color w:val="B22222"/>
                <w:sz w:val="23"/>
                <w:szCs w:val="23"/>
                <w:vertAlign w:val="superscript"/>
                <w:lang w:bidi="ar-SA"/>
              </w:rPr>
              <w:t>[12]</w:t>
            </w:r>
          </w:p>
          <w:p w14:paraId="19615D25" w14:textId="77777777" w:rsidR="00EB3003" w:rsidRPr="004E1C22" w:rsidRDefault="00EB3003" w:rsidP="004E1C22">
            <w:pPr>
              <w:spacing w:line="276" w:lineRule="auto"/>
              <w:rPr>
                <w:rFonts w:asciiTheme="minorBidi" w:hAnsiTheme="minorBidi"/>
              </w:rPr>
            </w:pPr>
          </w:p>
        </w:tc>
        <w:tc>
          <w:tcPr>
            <w:tcW w:w="4675" w:type="dxa"/>
          </w:tcPr>
          <w:p w14:paraId="2A0115E2" w14:textId="77777777" w:rsidR="00EB3003" w:rsidRPr="006C108F" w:rsidRDefault="00EB3003" w:rsidP="00062C69">
            <w:pPr>
              <w:shd w:val="clear" w:color="auto" w:fill="FFFFFF"/>
              <w:spacing w:before="100" w:beforeAutospacing="1" w:after="105" w:line="480" w:lineRule="auto"/>
              <w:jc w:val="right"/>
              <w:textAlignment w:val="top"/>
              <w:rPr>
                <w:rFonts w:ascii="David" w:eastAsia="Times New Roman" w:hAnsi="David" w:cs="David"/>
                <w:color w:val="000000"/>
                <w:sz w:val="24"/>
                <w:szCs w:val="24"/>
                <w:rtl/>
                <w:lang w:eastAsia="zh-CN"/>
              </w:rPr>
            </w:pPr>
            <w:r w:rsidRPr="006C108F">
              <w:rPr>
                <w:rFonts w:ascii="David" w:eastAsia="Times New Roman" w:hAnsi="David" w:cs="David"/>
                <w:color w:val="000000"/>
                <w:sz w:val="24"/>
                <w:szCs w:val="24"/>
                <w:rtl/>
                <w:lang w:eastAsia="zh-CN"/>
              </w:rPr>
              <w:t xml:space="preserve">דאובה נזהר מאוד שלא לפרט אם </w:t>
            </w:r>
            <w:r>
              <w:rPr>
                <w:rFonts w:ascii="David" w:eastAsia="Times New Roman" w:hAnsi="David" w:cs="David" w:hint="cs"/>
                <w:color w:val="000000"/>
                <w:sz w:val="24"/>
                <w:szCs w:val="24"/>
                <w:rtl/>
                <w:lang w:eastAsia="zh-CN"/>
              </w:rPr>
              <w:t xml:space="preserve">אמור היה </w:t>
            </w:r>
            <w:r w:rsidRPr="006C108F">
              <w:rPr>
                <w:rFonts w:ascii="David" w:eastAsia="Times New Roman" w:hAnsi="David" w:cs="David"/>
                <w:color w:val="000000"/>
                <w:sz w:val="24"/>
                <w:szCs w:val="24"/>
                <w:rtl/>
                <w:lang w:eastAsia="zh-CN"/>
              </w:rPr>
              <w:t xml:space="preserve">ממלא המקום להיהרג או לשמש </w:t>
            </w:r>
            <w:r>
              <w:rPr>
                <w:rFonts w:ascii="David" w:eastAsia="Times New Roman" w:hAnsi="David" w:cs="David" w:hint="cs"/>
                <w:color w:val="000000"/>
                <w:sz w:val="24"/>
                <w:szCs w:val="24"/>
                <w:rtl/>
                <w:lang w:eastAsia="zh-CN"/>
              </w:rPr>
              <w:t>כתחליף</w:t>
            </w:r>
            <w:r w:rsidRPr="006C108F">
              <w:rPr>
                <w:rFonts w:ascii="David" w:eastAsia="Times New Roman" w:hAnsi="David" w:cs="David"/>
                <w:color w:val="000000"/>
                <w:sz w:val="24"/>
                <w:szCs w:val="24"/>
                <w:rtl/>
                <w:lang w:eastAsia="zh-CN"/>
              </w:rPr>
              <w:t xml:space="preserve"> חי. א</w:t>
            </w:r>
            <w:r>
              <w:rPr>
                <w:rFonts w:ascii="David" w:eastAsia="Times New Roman" w:hAnsi="David" w:cs="David" w:hint="cs"/>
                <w:color w:val="000000"/>
                <w:sz w:val="24"/>
                <w:szCs w:val="24"/>
                <w:rtl/>
                <w:lang w:eastAsia="zh-CN"/>
              </w:rPr>
              <w:t>ולם</w:t>
            </w:r>
            <w:r w:rsidRPr="006C108F">
              <w:rPr>
                <w:rFonts w:ascii="David" w:eastAsia="Times New Roman" w:hAnsi="David" w:cs="David"/>
                <w:color w:val="000000"/>
                <w:sz w:val="24"/>
                <w:szCs w:val="24"/>
                <w:rtl/>
                <w:lang w:eastAsia="zh-CN"/>
              </w:rPr>
              <w:t xml:space="preserve"> פרשנותו מאומתת בידי השימוש המוסכם </w:t>
            </w:r>
            <w:r>
              <w:rPr>
                <w:rFonts w:ascii="David" w:eastAsia="Times New Roman" w:hAnsi="David" w:cs="David" w:hint="cs"/>
                <w:color w:val="000000"/>
                <w:sz w:val="24"/>
                <w:szCs w:val="24"/>
                <w:rtl/>
                <w:lang w:eastAsia="zh-CN"/>
              </w:rPr>
              <w:t>ב</w:t>
            </w:r>
            <w:r w:rsidRPr="006C108F">
              <w:rPr>
                <w:rFonts w:ascii="David" w:eastAsia="Times New Roman" w:hAnsi="David" w:cs="David"/>
                <w:color w:val="000000"/>
                <w:sz w:val="24"/>
                <w:szCs w:val="24"/>
                <w:rtl/>
                <w:lang w:eastAsia="zh-CN"/>
              </w:rPr>
              <w:t>מילת היחס "תחת" ב</w:t>
            </w:r>
            <w:r>
              <w:rPr>
                <w:rFonts w:ascii="David" w:eastAsia="Times New Roman" w:hAnsi="David" w:cs="David" w:hint="cs"/>
                <w:color w:val="000000"/>
                <w:sz w:val="24"/>
                <w:szCs w:val="24"/>
                <w:rtl/>
                <w:lang w:eastAsia="zh-CN"/>
              </w:rPr>
              <w:t>כל ה</w:t>
            </w:r>
            <w:r w:rsidRPr="006C108F">
              <w:rPr>
                <w:rFonts w:ascii="David" w:eastAsia="Times New Roman" w:hAnsi="David" w:cs="David"/>
                <w:color w:val="000000"/>
                <w:sz w:val="24"/>
                <w:szCs w:val="24"/>
                <w:rtl/>
                <w:lang w:eastAsia="zh-CN"/>
              </w:rPr>
              <w:t xml:space="preserve">תנ"ך </w:t>
            </w:r>
            <w:r>
              <w:rPr>
                <w:rFonts w:ascii="David" w:eastAsia="Times New Roman" w:hAnsi="David" w:cs="David" w:hint="cs"/>
                <w:color w:val="000000"/>
                <w:sz w:val="24"/>
                <w:szCs w:val="24"/>
                <w:rtl/>
                <w:lang w:eastAsia="zh-CN"/>
              </w:rPr>
              <w:t xml:space="preserve">העברי </w:t>
            </w:r>
            <w:r w:rsidRPr="006C108F">
              <w:rPr>
                <w:rFonts w:ascii="David" w:eastAsia="Times New Roman" w:hAnsi="David" w:cs="David"/>
                <w:color w:val="000000"/>
                <w:sz w:val="24"/>
                <w:szCs w:val="24"/>
                <w:rtl/>
                <w:lang w:eastAsia="zh-CN"/>
              </w:rPr>
              <w:t>במופעי</w:t>
            </w:r>
            <w:r>
              <w:rPr>
                <w:rFonts w:ascii="David" w:eastAsia="Times New Roman" w:hAnsi="David" w:cs="David" w:hint="cs"/>
                <w:color w:val="000000"/>
                <w:sz w:val="24"/>
                <w:szCs w:val="24"/>
                <w:rtl/>
                <w:lang w:eastAsia="zh-CN"/>
              </w:rPr>
              <w:t>ו</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לגבי</w:t>
            </w:r>
            <w:r w:rsidRPr="006C108F">
              <w:rPr>
                <w:rFonts w:ascii="David" w:eastAsia="Times New Roman" w:hAnsi="David" w:cs="David"/>
                <w:color w:val="000000"/>
                <w:sz w:val="24"/>
                <w:szCs w:val="24"/>
                <w:rtl/>
                <w:lang w:eastAsia="zh-CN"/>
              </w:rPr>
              <w:t xml:space="preserve"> בני אדם</w:t>
            </w:r>
            <w:r>
              <w:rPr>
                <w:rFonts w:ascii="David" w:eastAsia="Times New Roman" w:hAnsi="David" w:cs="David" w:hint="cs"/>
                <w:color w:val="000000"/>
                <w:sz w:val="24"/>
                <w:szCs w:val="24"/>
                <w:rtl/>
                <w:lang w:eastAsia="zh-CN"/>
              </w:rPr>
              <w:t xml:space="preserve"> יחידים</w:t>
            </w:r>
            <w:r w:rsidRPr="006C108F">
              <w:rPr>
                <w:rFonts w:ascii="David" w:eastAsia="Times New Roman" w:hAnsi="David" w:cs="David"/>
                <w:color w:val="000000"/>
                <w:sz w:val="24"/>
                <w:szCs w:val="24"/>
                <w:rtl/>
                <w:lang w:eastAsia="zh-CN"/>
              </w:rPr>
              <w:t>.</w:t>
            </w:r>
            <w:r w:rsidRPr="006C108F">
              <w:rPr>
                <w:rStyle w:val="af0"/>
                <w:rFonts w:ascii="David" w:eastAsia="Times New Roman" w:hAnsi="David" w:cs="David"/>
                <w:color w:val="000000"/>
                <w:sz w:val="24"/>
                <w:szCs w:val="24"/>
                <w:rtl/>
                <w:lang w:eastAsia="zh-CN"/>
              </w:rPr>
              <w:endnoteReference w:id="13"/>
            </w:r>
          </w:p>
          <w:p w14:paraId="473F1EFF" w14:textId="77777777" w:rsidR="00EB3003" w:rsidRDefault="00EB3003" w:rsidP="00062C69">
            <w:pPr>
              <w:bidi/>
              <w:spacing w:line="480" w:lineRule="auto"/>
              <w:rPr>
                <w:rFonts w:asciiTheme="minorBidi" w:hAnsiTheme="minorBidi"/>
                <w:rtl/>
              </w:rPr>
            </w:pPr>
          </w:p>
        </w:tc>
      </w:tr>
      <w:tr w:rsidR="00EB3003" w14:paraId="29E45CD1" w14:textId="77777777" w:rsidTr="004E1C22">
        <w:tc>
          <w:tcPr>
            <w:tcW w:w="4675" w:type="dxa"/>
          </w:tcPr>
          <w:p w14:paraId="1DA20A3D" w14:textId="77777777" w:rsidR="00EB3003" w:rsidRPr="00C11F76" w:rsidRDefault="00EB3003" w:rsidP="005120C1">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This raises the inevitable question: Whose life could feasibly replace that of the dead mother in this case? Cornelis </w:t>
            </w:r>
            <w:proofErr w:type="spellStart"/>
            <w:r w:rsidRPr="00C11F76">
              <w:rPr>
                <w:rFonts w:ascii="Times New Roman" w:eastAsia="Times New Roman" w:hAnsi="Times New Roman" w:cs="Times New Roman"/>
                <w:color w:val="000000"/>
                <w:sz w:val="26"/>
                <w:szCs w:val="26"/>
                <w:lang w:bidi="ar-SA"/>
              </w:rPr>
              <w:t>Houtman</w:t>
            </w:r>
            <w:proofErr w:type="spellEnd"/>
            <w:r w:rsidRPr="00C11F76">
              <w:rPr>
                <w:rFonts w:ascii="Times New Roman" w:eastAsia="Times New Roman" w:hAnsi="Times New Roman" w:cs="Times New Roman"/>
                <w:color w:val="000000"/>
                <w:sz w:val="26"/>
                <w:szCs w:val="26"/>
                <w:lang w:bidi="ar-SA"/>
              </w:rPr>
              <w:t>, Professor Emeritus of Old Testament at Protestant Theological University (Amsterdam) explains as follows:</w:t>
            </w:r>
          </w:p>
          <w:p w14:paraId="4A33E181" w14:textId="77777777" w:rsidR="00EB3003" w:rsidRPr="004E1C22" w:rsidRDefault="00EB3003" w:rsidP="004E1C22">
            <w:pPr>
              <w:spacing w:line="276" w:lineRule="auto"/>
              <w:rPr>
                <w:rFonts w:asciiTheme="minorBidi" w:hAnsiTheme="minorBidi"/>
              </w:rPr>
            </w:pPr>
          </w:p>
        </w:tc>
        <w:tc>
          <w:tcPr>
            <w:tcW w:w="4675" w:type="dxa"/>
          </w:tcPr>
          <w:p w14:paraId="7C2AC232" w14:textId="4FA32BBE" w:rsidR="00EB3003" w:rsidRPr="006C108F" w:rsidRDefault="00EB3003" w:rsidP="00062C69">
            <w:pPr>
              <w:shd w:val="clear" w:color="auto" w:fill="FFFFFF"/>
              <w:spacing w:before="100" w:beforeAutospacing="1" w:after="105" w:line="465" w:lineRule="atLeast"/>
              <w:jc w:val="right"/>
              <w:textAlignment w:val="top"/>
              <w:rPr>
                <w:rFonts w:ascii="David" w:eastAsia="Times New Roman" w:hAnsi="David" w:cs="David"/>
                <w:color w:val="000000"/>
                <w:sz w:val="24"/>
                <w:szCs w:val="24"/>
                <w:rtl/>
                <w:lang w:eastAsia="zh-CN"/>
              </w:rPr>
            </w:pPr>
            <w:r w:rsidRPr="006C108F">
              <w:rPr>
                <w:rFonts w:ascii="David" w:eastAsia="Times New Roman" w:hAnsi="David" w:cs="David"/>
                <w:color w:val="000000"/>
                <w:sz w:val="24"/>
                <w:szCs w:val="24"/>
                <w:rtl/>
                <w:lang w:eastAsia="zh-CN"/>
              </w:rPr>
              <w:t xml:space="preserve">כאן עולה השאלה הבלתי נמנעת: חייו של מי עשויים </w:t>
            </w:r>
            <w:r>
              <w:rPr>
                <w:rFonts w:ascii="David" w:eastAsia="Times New Roman" w:hAnsi="David" w:cs="David" w:hint="cs"/>
                <w:color w:val="000000"/>
                <w:sz w:val="24"/>
                <w:szCs w:val="24"/>
                <w:rtl/>
                <w:lang w:eastAsia="zh-CN"/>
              </w:rPr>
              <w:t xml:space="preserve"> להיות תחליף ל</w:t>
            </w:r>
            <w:r w:rsidRPr="006C108F">
              <w:rPr>
                <w:rFonts w:ascii="David" w:eastAsia="Times New Roman" w:hAnsi="David" w:cs="David"/>
                <w:color w:val="000000"/>
                <w:sz w:val="24"/>
                <w:szCs w:val="24"/>
                <w:rtl/>
                <w:lang w:eastAsia="zh-CN"/>
              </w:rPr>
              <w:t>חייה של האם המתה</w:t>
            </w:r>
            <w:r>
              <w:rPr>
                <w:rFonts w:ascii="David" w:eastAsia="Times New Roman" w:hAnsi="David" w:cs="David" w:hint="cs"/>
                <w:color w:val="000000"/>
                <w:sz w:val="24"/>
                <w:szCs w:val="24"/>
                <w:rtl/>
                <w:lang w:eastAsia="zh-CN"/>
              </w:rPr>
              <w:t xml:space="preserve"> במקרה שלפנינו</w:t>
            </w:r>
            <w:r w:rsidRPr="006C108F">
              <w:rPr>
                <w:rFonts w:ascii="David" w:eastAsia="Times New Roman" w:hAnsi="David" w:cs="David"/>
                <w:color w:val="000000"/>
                <w:sz w:val="24"/>
                <w:szCs w:val="24"/>
                <w:rtl/>
                <w:lang w:eastAsia="zh-CN"/>
              </w:rPr>
              <w:t xml:space="preserve">? </w:t>
            </w:r>
            <w:proofErr w:type="spellStart"/>
            <w:r w:rsidRPr="006C108F">
              <w:rPr>
                <w:rFonts w:ascii="David" w:eastAsia="Times New Roman" w:hAnsi="David" w:cs="David"/>
                <w:color w:val="000000"/>
                <w:sz w:val="24"/>
                <w:szCs w:val="24"/>
                <w:rtl/>
                <w:lang w:eastAsia="zh-CN"/>
              </w:rPr>
              <w:t>קורנליס</w:t>
            </w:r>
            <w:proofErr w:type="spellEnd"/>
            <w:r w:rsidRPr="006C108F">
              <w:rPr>
                <w:rFonts w:ascii="David" w:eastAsia="Times New Roman" w:hAnsi="David" w:cs="David"/>
                <w:color w:val="000000"/>
                <w:sz w:val="24"/>
                <w:szCs w:val="24"/>
                <w:rtl/>
                <w:lang w:eastAsia="zh-CN"/>
              </w:rPr>
              <w:t xml:space="preserve"> האוטמן, פרופסור אמריטוס </w:t>
            </w:r>
            <w:r>
              <w:rPr>
                <w:rFonts w:ascii="David" w:eastAsia="Times New Roman" w:hAnsi="David" w:cs="David" w:hint="cs"/>
                <w:color w:val="000000"/>
                <w:sz w:val="24"/>
                <w:szCs w:val="24"/>
                <w:rtl/>
                <w:lang w:eastAsia="zh-CN"/>
              </w:rPr>
              <w:t>ש</w:t>
            </w:r>
            <w:r w:rsidRPr="006C108F">
              <w:rPr>
                <w:rFonts w:ascii="David" w:eastAsia="Times New Roman" w:hAnsi="David" w:cs="David"/>
                <w:color w:val="000000"/>
                <w:sz w:val="24"/>
                <w:szCs w:val="24"/>
                <w:rtl/>
                <w:lang w:eastAsia="zh-CN"/>
              </w:rPr>
              <w:t>ל</w:t>
            </w:r>
            <w:r>
              <w:rPr>
                <w:rFonts w:ascii="David" w:eastAsia="Times New Roman" w:hAnsi="David" w:cs="David" w:hint="cs"/>
                <w:color w:val="000000"/>
                <w:sz w:val="24"/>
                <w:szCs w:val="24"/>
                <w:rtl/>
                <w:lang w:eastAsia="zh-CN"/>
              </w:rPr>
              <w:t xml:space="preserve"> ה</w:t>
            </w:r>
            <w:r w:rsidRPr="006C108F">
              <w:rPr>
                <w:rFonts w:ascii="David" w:eastAsia="Times New Roman" w:hAnsi="David" w:cs="David"/>
                <w:color w:val="000000"/>
                <w:sz w:val="24"/>
                <w:szCs w:val="24"/>
                <w:rtl/>
                <w:lang w:eastAsia="zh-CN"/>
              </w:rPr>
              <w:t>ברית הישנה באוניברסיטה התיאולוגית הפרוטסטנטית (אמסטרדם) מסביר כדלהלן:</w:t>
            </w:r>
          </w:p>
          <w:p w14:paraId="435EE0D6" w14:textId="77777777" w:rsidR="00EB3003" w:rsidRDefault="00EB3003" w:rsidP="004E1C22">
            <w:pPr>
              <w:bidi/>
              <w:spacing w:line="276" w:lineRule="auto"/>
              <w:rPr>
                <w:rFonts w:asciiTheme="minorBidi" w:hAnsiTheme="minorBidi"/>
                <w:rtl/>
              </w:rPr>
            </w:pPr>
          </w:p>
        </w:tc>
      </w:tr>
      <w:tr w:rsidR="00EB3003" w14:paraId="5FD5FFBB" w14:textId="77777777" w:rsidTr="004E1C22">
        <w:tc>
          <w:tcPr>
            <w:tcW w:w="4675" w:type="dxa"/>
          </w:tcPr>
          <w:p w14:paraId="7DAFCD20" w14:textId="77777777" w:rsidR="00EB3003" w:rsidRPr="00C11F76" w:rsidRDefault="00EB3003" w:rsidP="005120C1">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For retaliation it is not the life, the eye etc. of the offender that is demanded, but the life, etc. of his wife.… One who violates that rule is going to feel the consequences </w:t>
            </w:r>
            <w:r w:rsidRPr="00C11F76">
              <w:rPr>
                <w:rFonts w:ascii="Times New Roman" w:eastAsia="Times New Roman" w:hAnsi="Times New Roman" w:cs="Times New Roman"/>
                <w:color w:val="000000"/>
                <w:sz w:val="26"/>
                <w:szCs w:val="26"/>
                <w:lang w:bidi="ar-SA"/>
              </w:rPr>
              <w:lastRenderedPageBreak/>
              <w:t xml:space="preserve">in the loss or maiming of his own wife. </w:t>
            </w:r>
            <w:proofErr w:type="gramStart"/>
            <w:r w:rsidRPr="00C11F76">
              <w:rPr>
                <w:rFonts w:ascii="Times New Roman" w:eastAsia="Times New Roman" w:hAnsi="Times New Roman" w:cs="Times New Roman"/>
                <w:color w:val="000000"/>
                <w:sz w:val="26"/>
                <w:szCs w:val="26"/>
                <w:lang w:bidi="ar-SA"/>
              </w:rPr>
              <w:t>So</w:t>
            </w:r>
            <w:proofErr w:type="gramEnd"/>
            <w:r w:rsidRPr="00C11F76">
              <w:rPr>
                <w:rFonts w:ascii="Times New Roman" w:eastAsia="Times New Roman" w:hAnsi="Times New Roman" w:cs="Times New Roman"/>
                <w:color w:val="000000"/>
                <w:sz w:val="26"/>
                <w:szCs w:val="26"/>
                <w:lang w:bidi="ar-SA"/>
              </w:rPr>
              <w:t xml:space="preserve"> the equilibrium between the parties is restored. The regulation is especially in the nature of a preventative (cf. </w:t>
            </w:r>
            <w:proofErr w:type="spellStart"/>
            <w:r w:rsidRPr="00C11F76">
              <w:rPr>
                <w:rFonts w:ascii="Times New Roman" w:eastAsia="Times New Roman" w:hAnsi="Times New Roman" w:cs="Times New Roman"/>
                <w:color w:val="000000"/>
                <w:sz w:val="26"/>
                <w:szCs w:val="26"/>
                <w:lang w:bidi="ar-SA"/>
              </w:rPr>
              <w:t>Deut</w:t>
            </w:r>
            <w:proofErr w:type="spellEnd"/>
            <w:r w:rsidRPr="00C11F76">
              <w:rPr>
                <w:rFonts w:ascii="Times New Roman" w:eastAsia="Times New Roman" w:hAnsi="Times New Roman" w:cs="Times New Roman"/>
                <w:color w:val="000000"/>
                <w:sz w:val="26"/>
                <w:szCs w:val="26"/>
                <w:lang w:bidi="ar-SA"/>
              </w:rPr>
              <w:t xml:space="preserve"> 19:20), addressing the attack on a man’s most precious possession, the woman, the one who could give him offspring.</w:t>
            </w:r>
            <w:bookmarkStart w:id="3" w:name="_ftnref13"/>
            <w:r w:rsidRPr="00C11F76">
              <w:rPr>
                <w:rFonts w:ascii="Times New Roman" w:eastAsia="Times New Roman" w:hAnsi="Times New Roman" w:cs="Times New Roman"/>
                <w:color w:val="000000"/>
                <w:sz w:val="26"/>
                <w:szCs w:val="26"/>
                <w:lang w:bidi="ar-SA"/>
              </w:rPr>
              <w:fldChar w:fldCharType="begin"/>
            </w:r>
            <w:r w:rsidRPr="00C11F76">
              <w:rPr>
                <w:rFonts w:ascii="Times New Roman" w:eastAsia="Times New Roman" w:hAnsi="Times New Roman" w:cs="Times New Roman"/>
                <w:color w:val="000000"/>
                <w:sz w:val="26"/>
                <w:szCs w:val="26"/>
                <w:lang w:bidi="ar-SA"/>
              </w:rPr>
              <w:instrText xml:space="preserve"> HYPERLINK "https://www.thetorah.com/article/deathblows-to-a-pregnant-woman-what-restitution-was-required" \l "_ftn13" </w:instrText>
            </w:r>
            <w:r w:rsidRPr="00C11F76">
              <w:rPr>
                <w:rFonts w:ascii="Times New Roman" w:eastAsia="Times New Roman" w:hAnsi="Times New Roman" w:cs="Times New Roman"/>
                <w:color w:val="000000"/>
                <w:sz w:val="26"/>
                <w:szCs w:val="26"/>
                <w:lang w:bidi="ar-SA"/>
              </w:rPr>
              <w:fldChar w:fldCharType="separate"/>
            </w:r>
            <w:r w:rsidRPr="00C11F76">
              <w:rPr>
                <w:rFonts w:ascii="Times New Roman" w:eastAsia="Times New Roman" w:hAnsi="Times New Roman" w:cs="Times New Roman"/>
                <w:color w:val="B22222"/>
                <w:sz w:val="23"/>
                <w:u w:val="single"/>
                <w:vertAlign w:val="superscript"/>
                <w:lang w:bidi="ar-SA"/>
              </w:rPr>
              <w:t>[13]</w:t>
            </w:r>
            <w:r w:rsidRPr="00C11F76">
              <w:rPr>
                <w:rFonts w:ascii="Times New Roman" w:eastAsia="Times New Roman" w:hAnsi="Times New Roman" w:cs="Times New Roman"/>
                <w:color w:val="000000"/>
                <w:sz w:val="26"/>
                <w:szCs w:val="26"/>
                <w:lang w:bidi="ar-SA"/>
              </w:rPr>
              <w:fldChar w:fldCharType="end"/>
            </w:r>
            <w:bookmarkEnd w:id="3"/>
          </w:p>
          <w:p w14:paraId="7D4E5EE5" w14:textId="77777777" w:rsidR="00EB3003" w:rsidRPr="004E1C22" w:rsidRDefault="00EB3003" w:rsidP="004E1C22">
            <w:pPr>
              <w:spacing w:line="276" w:lineRule="auto"/>
              <w:rPr>
                <w:rFonts w:asciiTheme="minorBidi" w:hAnsiTheme="minorBidi"/>
              </w:rPr>
            </w:pPr>
          </w:p>
        </w:tc>
        <w:tc>
          <w:tcPr>
            <w:tcW w:w="4675" w:type="dxa"/>
          </w:tcPr>
          <w:p w14:paraId="1EED3384" w14:textId="77777777" w:rsidR="00EB3003" w:rsidRPr="006C108F" w:rsidRDefault="00EB3003" w:rsidP="00062C69">
            <w:pPr>
              <w:shd w:val="clear" w:color="auto" w:fill="FFFFFF"/>
              <w:spacing w:before="100" w:beforeAutospacing="1" w:after="105" w:line="465" w:lineRule="atLeast"/>
              <w:jc w:val="right"/>
              <w:textAlignment w:val="top"/>
              <w:rPr>
                <w:rFonts w:ascii="David" w:eastAsia="Times New Roman" w:hAnsi="David" w:cs="David"/>
                <w:color w:val="000000"/>
                <w:sz w:val="24"/>
                <w:szCs w:val="24"/>
                <w:rtl/>
                <w:lang w:eastAsia="zh-CN"/>
              </w:rPr>
            </w:pPr>
            <w:r>
              <w:rPr>
                <w:rFonts w:ascii="David" w:eastAsia="Times New Roman" w:hAnsi="David" w:cs="David" w:hint="cs"/>
                <w:color w:val="000000"/>
                <w:sz w:val="24"/>
                <w:szCs w:val="24"/>
                <w:rtl/>
                <w:lang w:eastAsia="zh-CN"/>
              </w:rPr>
              <w:lastRenderedPageBreak/>
              <w:t>לצורך נ</w:t>
            </w:r>
            <w:r w:rsidRPr="006C108F">
              <w:rPr>
                <w:rFonts w:ascii="David" w:eastAsia="Times New Roman" w:hAnsi="David" w:cs="David"/>
                <w:color w:val="000000"/>
                <w:sz w:val="24"/>
                <w:szCs w:val="24"/>
                <w:rtl/>
                <w:lang w:eastAsia="zh-CN"/>
              </w:rPr>
              <w:t>קמה, לא נדרשים חייו, עינו וכדומה, של ה</w:t>
            </w:r>
            <w:r>
              <w:rPr>
                <w:rFonts w:ascii="David" w:eastAsia="Times New Roman" w:hAnsi="David" w:cs="David" w:hint="cs"/>
                <w:color w:val="000000"/>
                <w:sz w:val="24"/>
                <w:szCs w:val="24"/>
                <w:rtl/>
                <w:lang w:eastAsia="zh-CN"/>
              </w:rPr>
              <w:t>פוגע</w:t>
            </w:r>
            <w:r w:rsidRPr="006C108F">
              <w:rPr>
                <w:rFonts w:ascii="David" w:eastAsia="Times New Roman" w:hAnsi="David" w:cs="David"/>
                <w:color w:val="000000"/>
                <w:sz w:val="24"/>
                <w:szCs w:val="24"/>
                <w:rtl/>
                <w:lang w:eastAsia="zh-CN"/>
              </w:rPr>
              <w:t xml:space="preserve"> כי אם חייה, וכדומה, של אשתו... מי שמפר </w:t>
            </w:r>
            <w:r>
              <w:rPr>
                <w:rFonts w:ascii="David" w:eastAsia="Times New Roman" w:hAnsi="David" w:cs="David" w:hint="cs"/>
                <w:color w:val="000000"/>
                <w:sz w:val="24"/>
                <w:szCs w:val="24"/>
                <w:rtl/>
                <w:lang w:eastAsia="zh-CN"/>
              </w:rPr>
              <w:t>תקנה</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 xml:space="preserve">זו </w:t>
            </w:r>
            <w:r w:rsidRPr="006C108F">
              <w:rPr>
                <w:rFonts w:ascii="David" w:eastAsia="Times New Roman" w:hAnsi="David" w:cs="David"/>
                <w:color w:val="000000"/>
                <w:sz w:val="24"/>
                <w:szCs w:val="24"/>
                <w:rtl/>
                <w:lang w:eastAsia="zh-CN"/>
              </w:rPr>
              <w:t xml:space="preserve">יחוש את תוצאות </w:t>
            </w:r>
            <w:r>
              <w:rPr>
                <w:rFonts w:ascii="David" w:eastAsia="Times New Roman" w:hAnsi="David" w:cs="David" w:hint="cs"/>
                <w:color w:val="000000"/>
                <w:sz w:val="24"/>
                <w:szCs w:val="24"/>
                <w:rtl/>
                <w:lang w:eastAsia="zh-CN"/>
              </w:rPr>
              <w:t xml:space="preserve">מעשיו </w:t>
            </w:r>
            <w:r w:rsidRPr="006C108F">
              <w:rPr>
                <w:rFonts w:ascii="David" w:eastAsia="Times New Roman" w:hAnsi="David" w:cs="David"/>
                <w:color w:val="000000"/>
                <w:sz w:val="24"/>
                <w:szCs w:val="24"/>
                <w:rtl/>
                <w:lang w:eastAsia="zh-CN"/>
              </w:rPr>
              <w:t xml:space="preserve">באובדן אשתו </w:t>
            </w:r>
            <w:r>
              <w:rPr>
                <w:rFonts w:ascii="David" w:eastAsia="Times New Roman" w:hAnsi="David" w:cs="David" w:hint="cs"/>
                <w:color w:val="000000"/>
                <w:sz w:val="24"/>
                <w:szCs w:val="24"/>
                <w:rtl/>
                <w:lang w:eastAsia="zh-CN"/>
              </w:rPr>
              <w:t xml:space="preserve">שלו </w:t>
            </w:r>
            <w:r w:rsidRPr="006C108F">
              <w:rPr>
                <w:rFonts w:ascii="David" w:eastAsia="Times New Roman" w:hAnsi="David" w:cs="David"/>
                <w:color w:val="000000"/>
                <w:sz w:val="24"/>
                <w:szCs w:val="24"/>
                <w:rtl/>
                <w:lang w:eastAsia="zh-CN"/>
              </w:rPr>
              <w:t xml:space="preserve">או </w:t>
            </w:r>
            <w:r>
              <w:rPr>
                <w:rFonts w:ascii="David" w:eastAsia="Times New Roman" w:hAnsi="David" w:cs="David" w:hint="cs"/>
                <w:color w:val="000000"/>
                <w:sz w:val="24"/>
                <w:szCs w:val="24"/>
                <w:rtl/>
                <w:lang w:eastAsia="zh-CN"/>
              </w:rPr>
              <w:t>בה</w:t>
            </w:r>
            <w:r w:rsidRPr="006C108F">
              <w:rPr>
                <w:rFonts w:ascii="David" w:eastAsia="Times New Roman" w:hAnsi="David" w:cs="David"/>
                <w:color w:val="000000"/>
                <w:sz w:val="24"/>
                <w:szCs w:val="24"/>
                <w:rtl/>
                <w:lang w:eastAsia="zh-CN"/>
              </w:rPr>
              <w:t xml:space="preserve">טלת מום בה. כך מושב על כנו האיזון בין </w:t>
            </w:r>
            <w:r w:rsidRPr="006C108F">
              <w:rPr>
                <w:rFonts w:ascii="David" w:eastAsia="Times New Roman" w:hAnsi="David" w:cs="David"/>
                <w:color w:val="000000"/>
                <w:sz w:val="24"/>
                <w:szCs w:val="24"/>
                <w:rtl/>
                <w:lang w:eastAsia="zh-CN"/>
              </w:rPr>
              <w:lastRenderedPageBreak/>
              <w:t xml:space="preserve">הצדדים. </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 xml:space="preserve">תקנה </w:t>
            </w:r>
            <w:r>
              <w:rPr>
                <w:rFonts w:ascii="David" w:eastAsia="Times New Roman" w:hAnsi="David" w:cs="David" w:hint="cs"/>
                <w:color w:val="000000"/>
                <w:sz w:val="24"/>
                <w:szCs w:val="24"/>
                <w:rtl/>
                <w:lang w:eastAsia="zh-CN"/>
              </w:rPr>
              <w:t>היא</w:t>
            </w:r>
            <w:r w:rsidRPr="006C108F">
              <w:rPr>
                <w:rFonts w:ascii="David" w:eastAsia="Times New Roman" w:hAnsi="David" w:cs="David"/>
                <w:color w:val="000000"/>
                <w:sz w:val="24"/>
                <w:szCs w:val="24"/>
                <w:rtl/>
                <w:lang w:eastAsia="zh-CN"/>
              </w:rPr>
              <w:t xml:space="preserve"> בעיקר </w:t>
            </w:r>
            <w:r>
              <w:rPr>
                <w:rFonts w:ascii="David" w:eastAsia="Times New Roman" w:hAnsi="David" w:cs="David" w:hint="cs"/>
                <w:color w:val="000000"/>
                <w:sz w:val="24"/>
                <w:szCs w:val="24"/>
                <w:rtl/>
                <w:lang w:eastAsia="zh-CN"/>
              </w:rPr>
              <w:t xml:space="preserve">בעלת </w:t>
            </w:r>
            <w:r w:rsidRPr="006C108F">
              <w:rPr>
                <w:rFonts w:ascii="David" w:eastAsia="Times New Roman" w:hAnsi="David" w:cs="David"/>
                <w:color w:val="000000"/>
                <w:sz w:val="24"/>
                <w:szCs w:val="24"/>
                <w:rtl/>
                <w:lang w:eastAsia="zh-CN"/>
              </w:rPr>
              <w:t xml:space="preserve">אופי מניעתי (ראה דברים </w:t>
            </w:r>
            <w:proofErr w:type="spellStart"/>
            <w:r w:rsidRPr="006C108F">
              <w:rPr>
                <w:rFonts w:ascii="David" w:eastAsia="Times New Roman" w:hAnsi="David" w:cs="David"/>
                <w:color w:val="000000"/>
                <w:sz w:val="24"/>
                <w:szCs w:val="24"/>
                <w:rtl/>
                <w:lang w:eastAsia="zh-CN"/>
              </w:rPr>
              <w:t>יט:</w:t>
            </w:r>
            <w:r>
              <w:rPr>
                <w:rFonts w:ascii="David" w:eastAsia="Times New Roman" w:hAnsi="David" w:cs="David" w:hint="cs"/>
                <w:color w:val="000000"/>
                <w:sz w:val="24"/>
                <w:szCs w:val="24"/>
                <w:rtl/>
                <w:lang w:eastAsia="zh-CN"/>
              </w:rPr>
              <w:t>כ</w:t>
            </w:r>
            <w:proofErr w:type="spellEnd"/>
            <w:r w:rsidRPr="006C108F">
              <w:rPr>
                <w:rFonts w:ascii="David" w:eastAsia="Times New Roman" w:hAnsi="David" w:cs="David"/>
                <w:color w:val="000000"/>
                <w:sz w:val="24"/>
                <w:szCs w:val="24"/>
                <w:rtl/>
                <w:lang w:eastAsia="zh-CN"/>
              </w:rPr>
              <w:t>), ומתייחס</w:t>
            </w:r>
            <w:r>
              <w:rPr>
                <w:rFonts w:ascii="David" w:eastAsia="Times New Roman" w:hAnsi="David" w:cs="David" w:hint="cs"/>
                <w:color w:val="000000"/>
                <w:sz w:val="24"/>
                <w:szCs w:val="24"/>
                <w:rtl/>
                <w:lang w:eastAsia="zh-CN"/>
              </w:rPr>
              <w:t xml:space="preserve">ת </w:t>
            </w:r>
            <w:r w:rsidRPr="006C108F">
              <w:rPr>
                <w:rFonts w:ascii="David" w:eastAsia="Times New Roman" w:hAnsi="David" w:cs="David"/>
                <w:color w:val="000000"/>
                <w:sz w:val="24"/>
                <w:szCs w:val="24"/>
                <w:rtl/>
                <w:lang w:eastAsia="zh-CN"/>
              </w:rPr>
              <w:t xml:space="preserve">לתקיפת הנכס היקר ביותר של האדם, </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א</w:t>
            </w:r>
            <w:r>
              <w:rPr>
                <w:rFonts w:ascii="David" w:eastAsia="Times New Roman" w:hAnsi="David" w:cs="David" w:hint="cs"/>
                <w:color w:val="000000"/>
                <w:sz w:val="24"/>
                <w:szCs w:val="24"/>
                <w:rtl/>
                <w:lang w:eastAsia="zh-CN"/>
              </w:rPr>
              <w:t>י</w:t>
            </w:r>
            <w:r w:rsidRPr="006C108F">
              <w:rPr>
                <w:rFonts w:ascii="David" w:eastAsia="Times New Roman" w:hAnsi="David" w:cs="David"/>
                <w:color w:val="000000"/>
                <w:sz w:val="24"/>
                <w:szCs w:val="24"/>
                <w:rtl/>
                <w:lang w:eastAsia="zh-CN"/>
              </w:rPr>
              <w:t>ש</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 מי ש</w:t>
            </w:r>
            <w:r>
              <w:rPr>
                <w:rFonts w:ascii="David" w:eastAsia="Times New Roman" w:hAnsi="David" w:cs="David" w:hint="cs"/>
                <w:color w:val="000000"/>
                <w:sz w:val="24"/>
                <w:szCs w:val="24"/>
                <w:rtl/>
                <w:lang w:eastAsia="zh-CN"/>
              </w:rPr>
              <w:t>עשויה</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 xml:space="preserve">הייתה </w:t>
            </w:r>
            <w:r w:rsidRPr="006C108F">
              <w:rPr>
                <w:rFonts w:ascii="David" w:eastAsia="Times New Roman" w:hAnsi="David" w:cs="David"/>
                <w:color w:val="000000"/>
                <w:sz w:val="24"/>
                <w:szCs w:val="24"/>
                <w:rtl/>
                <w:lang w:eastAsia="zh-CN"/>
              </w:rPr>
              <w:t>להעניק לו צאצאים.</w:t>
            </w:r>
            <w:r w:rsidRPr="006C108F">
              <w:rPr>
                <w:rStyle w:val="af0"/>
                <w:rFonts w:ascii="David" w:eastAsia="Times New Roman" w:hAnsi="David" w:cs="David"/>
                <w:color w:val="000000"/>
                <w:sz w:val="24"/>
                <w:szCs w:val="24"/>
                <w:rtl/>
                <w:lang w:eastAsia="zh-CN"/>
              </w:rPr>
              <w:endnoteReference w:id="14"/>
            </w:r>
          </w:p>
          <w:p w14:paraId="429B6DF4" w14:textId="77777777" w:rsidR="00EB3003" w:rsidRDefault="00EB3003" w:rsidP="004E1C22">
            <w:pPr>
              <w:bidi/>
              <w:spacing w:line="276" w:lineRule="auto"/>
              <w:rPr>
                <w:rFonts w:asciiTheme="minorBidi" w:hAnsiTheme="minorBidi"/>
                <w:rtl/>
              </w:rPr>
            </w:pPr>
          </w:p>
        </w:tc>
      </w:tr>
      <w:tr w:rsidR="00EB3003" w14:paraId="35AC708E" w14:textId="77777777" w:rsidTr="004E1C22">
        <w:tc>
          <w:tcPr>
            <w:tcW w:w="4675" w:type="dxa"/>
          </w:tcPr>
          <w:p w14:paraId="2A574D89" w14:textId="77777777" w:rsidR="00EB3003" w:rsidRPr="00C11F76" w:rsidRDefault="00EB3003" w:rsidP="005120C1">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lastRenderedPageBreak/>
              <w:t xml:space="preserve">These comments highlight the economic reality that a pregnant female would command additional value based on her future child-bearing potential, and that the legal equivalence (or “equilibrium”) dictated that only one wife’s life, or limb, was legitimate restitution for loss or injury to the assailant’s wife’s life or limb. In Exodus 21:23, therefore, the </w:t>
            </w:r>
            <w:proofErr w:type="spellStart"/>
            <w:r w:rsidRPr="00C11F76">
              <w:rPr>
                <w:rFonts w:ascii="Times New Roman" w:eastAsia="Times New Roman" w:hAnsi="Times New Roman" w:cs="Times New Roman"/>
                <w:color w:val="000000"/>
                <w:sz w:val="26"/>
                <w:szCs w:val="26"/>
                <w:lang w:bidi="ar-SA"/>
              </w:rPr>
              <w:t>talionic</w:t>
            </w:r>
            <w:proofErr w:type="spellEnd"/>
            <w:r w:rsidRPr="00C11F76">
              <w:rPr>
                <w:rFonts w:ascii="Times New Roman" w:eastAsia="Times New Roman" w:hAnsi="Times New Roman" w:cs="Times New Roman"/>
                <w:color w:val="000000"/>
                <w:sz w:val="26"/>
                <w:szCs w:val="26"/>
                <w:lang w:bidi="ar-SA"/>
              </w:rPr>
              <w:t xml:space="preserve"> principle defined not only the extent of the physical injury, but also restricted its application to the wife of the man who inflicted the blows. This is entirely different to the prevalent assumption that the principle demanded physical mutilation of the assailant, corresponding to the injury he had inflicted on the woman.</w:t>
            </w:r>
          </w:p>
          <w:p w14:paraId="658CBADD" w14:textId="77777777" w:rsidR="00EB3003" w:rsidRPr="004E1C22" w:rsidRDefault="00EB3003" w:rsidP="004E1C22">
            <w:pPr>
              <w:spacing w:line="276" w:lineRule="auto"/>
              <w:rPr>
                <w:rFonts w:asciiTheme="minorBidi" w:hAnsiTheme="minorBidi"/>
              </w:rPr>
            </w:pPr>
          </w:p>
        </w:tc>
        <w:tc>
          <w:tcPr>
            <w:tcW w:w="4675" w:type="dxa"/>
          </w:tcPr>
          <w:p w14:paraId="75BE4264" w14:textId="232E771D" w:rsidR="00EB3003" w:rsidRPr="006C108F" w:rsidRDefault="00EB3003" w:rsidP="00062C69">
            <w:pPr>
              <w:shd w:val="clear" w:color="auto" w:fill="FFFFFF"/>
              <w:spacing w:before="100" w:beforeAutospacing="1" w:after="105" w:line="465" w:lineRule="atLeast"/>
              <w:jc w:val="right"/>
              <w:textAlignment w:val="top"/>
              <w:rPr>
                <w:rFonts w:ascii="David" w:eastAsia="Times New Roman" w:hAnsi="David" w:cs="David"/>
                <w:color w:val="000000"/>
                <w:sz w:val="24"/>
                <w:szCs w:val="24"/>
                <w:lang w:eastAsia="zh-CN"/>
              </w:rPr>
            </w:pPr>
            <w:r w:rsidRPr="006C108F">
              <w:rPr>
                <w:rFonts w:ascii="David" w:eastAsia="Times New Roman" w:hAnsi="David" w:cs="David"/>
                <w:color w:val="000000"/>
                <w:sz w:val="24"/>
                <w:szCs w:val="24"/>
                <w:rtl/>
                <w:lang w:eastAsia="zh-CN"/>
              </w:rPr>
              <w:lastRenderedPageBreak/>
              <w:t>הערות אלה מ</w:t>
            </w:r>
            <w:r>
              <w:rPr>
                <w:rFonts w:ascii="David" w:eastAsia="Times New Roman" w:hAnsi="David" w:cs="David" w:hint="cs"/>
                <w:color w:val="000000"/>
                <w:sz w:val="24"/>
                <w:szCs w:val="24"/>
                <w:rtl/>
                <w:lang w:eastAsia="zh-CN"/>
              </w:rPr>
              <w:t>בליטות</w:t>
            </w:r>
            <w:r w:rsidRPr="006C108F">
              <w:rPr>
                <w:rFonts w:ascii="David" w:eastAsia="Times New Roman" w:hAnsi="David" w:cs="David"/>
                <w:color w:val="000000"/>
                <w:sz w:val="24"/>
                <w:szCs w:val="24"/>
                <w:rtl/>
                <w:lang w:eastAsia="zh-CN"/>
              </w:rPr>
              <w:t xml:space="preserve"> את המציאות הכלכלית </w:t>
            </w:r>
            <w:r>
              <w:rPr>
                <w:rFonts w:ascii="David" w:eastAsia="Times New Roman" w:hAnsi="David" w:cs="David" w:hint="cs"/>
                <w:color w:val="000000"/>
                <w:sz w:val="24"/>
                <w:szCs w:val="24"/>
                <w:rtl/>
                <w:lang w:eastAsia="zh-CN"/>
              </w:rPr>
              <w:t>של</w:t>
            </w:r>
            <w:r w:rsidRPr="006C108F">
              <w:rPr>
                <w:rFonts w:ascii="David" w:eastAsia="Times New Roman" w:hAnsi="David" w:cs="David"/>
                <w:color w:val="000000"/>
                <w:sz w:val="24"/>
                <w:szCs w:val="24"/>
                <w:rtl/>
                <w:lang w:eastAsia="zh-CN"/>
              </w:rPr>
              <w:t xml:space="preserve">נקבה הרה </w:t>
            </w:r>
            <w:r>
              <w:rPr>
                <w:rFonts w:ascii="David" w:eastAsia="Times New Roman" w:hAnsi="David" w:cs="David" w:hint="cs"/>
                <w:color w:val="000000"/>
                <w:sz w:val="24"/>
                <w:szCs w:val="24"/>
                <w:rtl/>
                <w:lang w:eastAsia="zh-CN"/>
              </w:rPr>
              <w:t>היה</w:t>
            </w:r>
            <w:r w:rsidRPr="006C108F">
              <w:rPr>
                <w:rFonts w:ascii="David" w:eastAsia="Times New Roman" w:hAnsi="David" w:cs="David"/>
                <w:color w:val="000000"/>
                <w:sz w:val="24"/>
                <w:szCs w:val="24"/>
                <w:rtl/>
                <w:lang w:eastAsia="zh-CN"/>
              </w:rPr>
              <w:t xml:space="preserve"> ערך מוסף בגלל פוטנציאל ההולדה העתידי שלה, ושהשקילות המשפטית (או "האיזון") </w:t>
            </w:r>
            <w:r>
              <w:rPr>
                <w:rFonts w:ascii="David" w:eastAsia="Times New Roman" w:hAnsi="David" w:cs="David" w:hint="cs"/>
                <w:color w:val="000000"/>
                <w:sz w:val="24"/>
                <w:szCs w:val="24"/>
                <w:rtl/>
                <w:lang w:eastAsia="zh-CN"/>
              </w:rPr>
              <w:t>הכתיבה</w:t>
            </w:r>
            <w:r w:rsidRPr="006C108F">
              <w:rPr>
                <w:rFonts w:ascii="David" w:eastAsia="Times New Roman" w:hAnsi="David" w:cs="David"/>
                <w:color w:val="000000"/>
                <w:sz w:val="24"/>
                <w:szCs w:val="24"/>
                <w:rtl/>
                <w:lang w:eastAsia="zh-CN"/>
              </w:rPr>
              <w:t xml:space="preserve"> שרק חייה או איבריה של אשת האדם הם פיצוי לגיטימי לאובדן </w:t>
            </w:r>
            <w:r>
              <w:rPr>
                <w:rFonts w:ascii="David" w:eastAsia="Times New Roman" w:hAnsi="David" w:cs="David" w:hint="cs"/>
                <w:color w:val="000000"/>
                <w:sz w:val="24"/>
                <w:szCs w:val="24"/>
                <w:rtl/>
                <w:lang w:eastAsia="zh-CN"/>
              </w:rPr>
              <w:t xml:space="preserve">חייה </w:t>
            </w:r>
            <w:r w:rsidRPr="006C108F">
              <w:rPr>
                <w:rFonts w:ascii="David" w:eastAsia="Times New Roman" w:hAnsi="David" w:cs="David"/>
                <w:color w:val="000000"/>
                <w:sz w:val="24"/>
                <w:szCs w:val="24"/>
                <w:rtl/>
                <w:lang w:eastAsia="zh-CN"/>
              </w:rPr>
              <w:t>או פציע</w:t>
            </w:r>
            <w:r>
              <w:rPr>
                <w:rFonts w:ascii="David" w:eastAsia="Times New Roman" w:hAnsi="David" w:cs="David" w:hint="cs"/>
                <w:color w:val="000000"/>
                <w:sz w:val="24"/>
                <w:szCs w:val="24"/>
                <w:rtl/>
                <w:lang w:eastAsia="zh-CN"/>
              </w:rPr>
              <w:t>ת</w:t>
            </w:r>
            <w:r w:rsidRPr="006C108F">
              <w:rPr>
                <w:rFonts w:ascii="David" w:eastAsia="Times New Roman" w:hAnsi="David" w:cs="David"/>
                <w:color w:val="000000"/>
                <w:sz w:val="24"/>
                <w:szCs w:val="24"/>
                <w:rtl/>
                <w:lang w:eastAsia="zh-CN"/>
              </w:rPr>
              <w:t xml:space="preserve"> איבריה של אשת התוקף. לכן בשמות </w:t>
            </w:r>
            <w:proofErr w:type="spellStart"/>
            <w:r w:rsidRPr="006C108F">
              <w:rPr>
                <w:rFonts w:ascii="David" w:eastAsia="Times New Roman" w:hAnsi="David" w:cs="David"/>
                <w:color w:val="000000"/>
                <w:sz w:val="24"/>
                <w:szCs w:val="24"/>
                <w:rtl/>
                <w:lang w:eastAsia="zh-CN"/>
              </w:rPr>
              <w:t>כא:</w:t>
            </w:r>
            <w:r>
              <w:rPr>
                <w:rFonts w:ascii="David" w:eastAsia="Times New Roman" w:hAnsi="David" w:cs="David" w:hint="cs"/>
                <w:color w:val="000000"/>
                <w:sz w:val="24"/>
                <w:szCs w:val="24"/>
                <w:rtl/>
                <w:lang w:eastAsia="zh-CN"/>
              </w:rPr>
              <w:t>כג</w:t>
            </w:r>
            <w:proofErr w:type="spellEnd"/>
            <w:r w:rsidRPr="006C108F">
              <w:rPr>
                <w:rFonts w:ascii="David" w:eastAsia="Times New Roman" w:hAnsi="David" w:cs="David"/>
                <w:color w:val="000000"/>
                <w:sz w:val="24"/>
                <w:szCs w:val="24"/>
                <w:rtl/>
                <w:lang w:eastAsia="zh-CN"/>
              </w:rPr>
              <w:t xml:space="preserve"> הגדיר העיקרון </w:t>
            </w:r>
            <w:proofErr w:type="spellStart"/>
            <w:r w:rsidRPr="006C108F">
              <w:rPr>
                <w:rFonts w:ascii="David" w:eastAsia="Times New Roman" w:hAnsi="David" w:cs="David"/>
                <w:color w:val="000000"/>
                <w:sz w:val="24"/>
                <w:szCs w:val="24"/>
                <w:rtl/>
                <w:lang w:eastAsia="zh-CN"/>
              </w:rPr>
              <w:t>הטליוני</w:t>
            </w:r>
            <w:proofErr w:type="spellEnd"/>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 xml:space="preserve">(מידה כנגד מידה) </w:t>
            </w:r>
            <w:r w:rsidRPr="006C108F">
              <w:rPr>
                <w:rFonts w:ascii="David" w:eastAsia="Times New Roman" w:hAnsi="David" w:cs="David"/>
                <w:color w:val="000000"/>
                <w:sz w:val="24"/>
                <w:szCs w:val="24"/>
                <w:rtl/>
                <w:lang w:eastAsia="zh-CN"/>
              </w:rPr>
              <w:t xml:space="preserve">לא רק את היקף הפציעה הפיזית אלא גם הגביל את יישומו לאשת האדם אשר הנחית את המכות. גישה </w:t>
            </w:r>
            <w:r>
              <w:rPr>
                <w:rFonts w:ascii="David" w:eastAsia="Times New Roman" w:hAnsi="David" w:cs="David" w:hint="cs"/>
                <w:color w:val="000000"/>
                <w:sz w:val="24"/>
                <w:szCs w:val="24"/>
                <w:rtl/>
                <w:lang w:eastAsia="zh-CN"/>
              </w:rPr>
              <w:t xml:space="preserve">זו </w:t>
            </w:r>
            <w:r w:rsidRPr="006C108F">
              <w:rPr>
                <w:rFonts w:ascii="David" w:eastAsia="Times New Roman" w:hAnsi="David" w:cs="David"/>
                <w:color w:val="000000"/>
                <w:sz w:val="24"/>
                <w:szCs w:val="24"/>
                <w:rtl/>
                <w:lang w:eastAsia="zh-CN"/>
              </w:rPr>
              <w:t xml:space="preserve">שונה לגמרי מן ההנחה הרווחת שהעיקרון דרש השחתה פיזית של התוקף </w:t>
            </w:r>
            <w:r>
              <w:rPr>
                <w:rFonts w:ascii="David" w:eastAsia="Times New Roman" w:hAnsi="David" w:cs="David" w:hint="cs"/>
                <w:color w:val="000000"/>
                <w:sz w:val="24"/>
                <w:szCs w:val="24"/>
                <w:rtl/>
                <w:lang w:eastAsia="zh-CN"/>
              </w:rPr>
              <w:t xml:space="preserve">בהתאם </w:t>
            </w:r>
            <w:r w:rsidRPr="006C108F">
              <w:rPr>
                <w:rFonts w:ascii="David" w:eastAsia="Times New Roman" w:hAnsi="David" w:cs="David"/>
                <w:color w:val="000000"/>
                <w:sz w:val="24"/>
                <w:szCs w:val="24"/>
                <w:rtl/>
                <w:lang w:eastAsia="zh-CN"/>
              </w:rPr>
              <w:t>לפציעה שהוא פצע את האישה.</w:t>
            </w:r>
          </w:p>
          <w:p w14:paraId="62E992AA" w14:textId="77777777" w:rsidR="00EB3003" w:rsidRPr="009A517F" w:rsidRDefault="00EB3003" w:rsidP="00062C69">
            <w:pPr>
              <w:bidi/>
              <w:spacing w:line="276" w:lineRule="auto"/>
              <w:jc w:val="right"/>
              <w:rPr>
                <w:rFonts w:asciiTheme="minorBidi" w:hAnsiTheme="minorBidi"/>
                <w:rtl/>
              </w:rPr>
            </w:pPr>
          </w:p>
        </w:tc>
      </w:tr>
      <w:tr w:rsidR="00EB3003" w14:paraId="798FD432" w14:textId="77777777" w:rsidTr="004E1C22">
        <w:tc>
          <w:tcPr>
            <w:tcW w:w="4675" w:type="dxa"/>
          </w:tcPr>
          <w:p w14:paraId="47933252" w14:textId="77777777" w:rsidR="00EB3003" w:rsidRPr="00C11F76" w:rsidRDefault="00EB3003" w:rsidP="005120C1">
            <w:pPr>
              <w:shd w:val="clear" w:color="auto" w:fill="FFFFFF"/>
              <w:spacing w:after="300" w:line="465" w:lineRule="atLeast"/>
              <w:rPr>
                <w:rFonts w:ascii="Times New Roman" w:eastAsia="Times New Roman" w:hAnsi="Times New Roman" w:cs="Times New Roman"/>
                <w:color w:val="000000"/>
                <w:sz w:val="26"/>
                <w:szCs w:val="26"/>
                <w:lang w:bidi="ar-SA"/>
              </w:rPr>
            </w:pPr>
            <w:proofErr w:type="spellStart"/>
            <w:r w:rsidRPr="00C11F76">
              <w:rPr>
                <w:rFonts w:ascii="Times New Roman" w:eastAsia="Times New Roman" w:hAnsi="Times New Roman" w:cs="Times New Roman"/>
                <w:color w:val="000000"/>
                <w:sz w:val="26"/>
                <w:szCs w:val="26"/>
                <w:lang w:bidi="ar-SA"/>
              </w:rPr>
              <w:t>Houtman’s</w:t>
            </w:r>
            <w:proofErr w:type="spellEnd"/>
            <w:r w:rsidRPr="00C11F76">
              <w:rPr>
                <w:rFonts w:ascii="Times New Roman" w:eastAsia="Times New Roman" w:hAnsi="Times New Roman" w:cs="Times New Roman"/>
                <w:color w:val="000000"/>
                <w:sz w:val="26"/>
                <w:szCs w:val="26"/>
                <w:lang w:bidi="ar-SA"/>
              </w:rPr>
              <w:t xml:space="preserve"> observation thus identifies the “life for life” requirement specifically as a form of vicarious punishment, namely a “punishment that is imposed not on the culprit but upon another person who stands in a particular relationship to the culprit, for example, employer, father or son</w:t>
            </w:r>
            <w:proofErr w:type="gramStart"/>
            <w:r w:rsidRPr="00C11F76">
              <w:rPr>
                <w:rFonts w:ascii="Times New Roman" w:eastAsia="Times New Roman" w:hAnsi="Times New Roman" w:cs="Times New Roman"/>
                <w:color w:val="000000"/>
                <w:sz w:val="26"/>
                <w:szCs w:val="26"/>
                <w:lang w:bidi="ar-SA"/>
              </w:rPr>
              <w:t>.”</w:t>
            </w:r>
            <w:r w:rsidRPr="00C11F76">
              <w:rPr>
                <w:rFonts w:ascii="Times New Roman" w:eastAsia="Times New Roman" w:hAnsi="Times New Roman" w:cs="Times New Roman"/>
                <w:color w:val="B22222"/>
                <w:sz w:val="23"/>
                <w:szCs w:val="23"/>
                <w:vertAlign w:val="superscript"/>
                <w:lang w:bidi="ar-SA"/>
              </w:rPr>
              <w:t>[</w:t>
            </w:r>
            <w:proofErr w:type="gramEnd"/>
            <w:r w:rsidRPr="00C11F76">
              <w:rPr>
                <w:rFonts w:ascii="Times New Roman" w:eastAsia="Times New Roman" w:hAnsi="Times New Roman" w:cs="Times New Roman"/>
                <w:color w:val="B22222"/>
                <w:sz w:val="23"/>
                <w:szCs w:val="23"/>
                <w:vertAlign w:val="superscript"/>
                <w:lang w:bidi="ar-SA"/>
              </w:rPr>
              <w:t>14]</w:t>
            </w:r>
          </w:p>
          <w:p w14:paraId="45A55D58" w14:textId="77777777" w:rsidR="00EB3003" w:rsidRPr="004E1C22" w:rsidRDefault="00EB3003" w:rsidP="004E1C22">
            <w:pPr>
              <w:spacing w:line="276" w:lineRule="auto"/>
              <w:rPr>
                <w:rFonts w:asciiTheme="minorBidi" w:hAnsiTheme="minorBidi"/>
              </w:rPr>
            </w:pPr>
          </w:p>
        </w:tc>
        <w:tc>
          <w:tcPr>
            <w:tcW w:w="4675" w:type="dxa"/>
          </w:tcPr>
          <w:p w14:paraId="5ABE03BF" w14:textId="77777777" w:rsidR="00EB3003" w:rsidRPr="006C108F" w:rsidRDefault="00EB3003" w:rsidP="00062C69">
            <w:pPr>
              <w:shd w:val="clear" w:color="auto" w:fill="FFFFFF"/>
              <w:spacing w:before="100" w:beforeAutospacing="1" w:after="105" w:line="465" w:lineRule="atLeast"/>
              <w:jc w:val="right"/>
              <w:textAlignment w:val="top"/>
              <w:rPr>
                <w:rFonts w:ascii="David" w:eastAsia="Times New Roman" w:hAnsi="David" w:cs="David"/>
                <w:color w:val="000000"/>
                <w:sz w:val="24"/>
                <w:szCs w:val="24"/>
                <w:rtl/>
                <w:lang w:eastAsia="zh-CN"/>
              </w:rPr>
            </w:pPr>
            <w:r>
              <w:rPr>
                <w:rFonts w:ascii="David" w:eastAsia="Times New Roman" w:hAnsi="David" w:cs="David" w:hint="cs"/>
                <w:color w:val="000000"/>
                <w:sz w:val="24"/>
                <w:szCs w:val="24"/>
                <w:rtl/>
                <w:lang w:eastAsia="zh-CN"/>
              </w:rPr>
              <w:t>לכן ה</w:t>
            </w:r>
            <w:r w:rsidRPr="006C108F">
              <w:rPr>
                <w:rFonts w:ascii="David" w:eastAsia="Times New Roman" w:hAnsi="David" w:cs="David"/>
                <w:color w:val="000000"/>
                <w:sz w:val="24"/>
                <w:szCs w:val="24"/>
                <w:rtl/>
                <w:lang w:eastAsia="zh-CN"/>
              </w:rPr>
              <w:t xml:space="preserve">בחנתו של האוטמן </w:t>
            </w:r>
            <w:r>
              <w:rPr>
                <w:rFonts w:ascii="David" w:eastAsia="Times New Roman" w:hAnsi="David" w:cs="David" w:hint="cs"/>
                <w:color w:val="000000"/>
                <w:sz w:val="24"/>
                <w:szCs w:val="24"/>
                <w:rtl/>
                <w:lang w:eastAsia="zh-CN"/>
              </w:rPr>
              <w:t xml:space="preserve">מזהה </w:t>
            </w:r>
            <w:r w:rsidRPr="006C108F">
              <w:rPr>
                <w:rFonts w:ascii="David" w:eastAsia="Times New Roman" w:hAnsi="David" w:cs="David"/>
                <w:color w:val="000000"/>
                <w:sz w:val="24"/>
                <w:szCs w:val="24"/>
                <w:rtl/>
                <w:lang w:eastAsia="zh-CN"/>
              </w:rPr>
              <w:t xml:space="preserve">באופן ספציפי את דרישת "נפש תחת נפש" כסוג של ענישה </w:t>
            </w:r>
            <w:r>
              <w:rPr>
                <w:rFonts w:ascii="David" w:eastAsia="Times New Roman" w:hAnsi="David" w:cs="David" w:hint="cs"/>
                <w:color w:val="000000"/>
                <w:sz w:val="24"/>
                <w:szCs w:val="24"/>
                <w:rtl/>
                <w:lang w:eastAsia="zh-CN"/>
              </w:rPr>
              <w:t xml:space="preserve">באמצעות </w:t>
            </w:r>
            <w:r w:rsidRPr="006C108F">
              <w:rPr>
                <w:rFonts w:ascii="David" w:eastAsia="Times New Roman" w:hAnsi="David" w:cs="David"/>
                <w:color w:val="000000"/>
                <w:sz w:val="24"/>
                <w:szCs w:val="24"/>
                <w:rtl/>
                <w:lang w:eastAsia="zh-CN"/>
              </w:rPr>
              <w:t>ממלא מקום, דהיינו "ענישה המו</w:t>
            </w:r>
            <w:r>
              <w:rPr>
                <w:rFonts w:ascii="David" w:eastAsia="Times New Roman" w:hAnsi="David" w:cs="David" w:hint="cs"/>
                <w:color w:val="000000"/>
                <w:sz w:val="24"/>
                <w:szCs w:val="24"/>
                <w:rtl/>
                <w:lang w:eastAsia="zh-CN"/>
              </w:rPr>
              <w:t>טלת</w:t>
            </w:r>
            <w:r w:rsidRPr="006C108F">
              <w:rPr>
                <w:rFonts w:ascii="David" w:eastAsia="Times New Roman" w:hAnsi="David" w:cs="David"/>
                <w:color w:val="000000"/>
                <w:sz w:val="24"/>
                <w:szCs w:val="24"/>
                <w:rtl/>
                <w:lang w:eastAsia="zh-CN"/>
              </w:rPr>
              <w:t xml:space="preserve"> לא על הנאשם אלא על אדם אחר בעל קשר מיוחד לנאשם, למשל מעסיק, אב או בן.</w:t>
            </w:r>
            <w:r w:rsidRPr="006C108F">
              <w:rPr>
                <w:rStyle w:val="af0"/>
                <w:rFonts w:ascii="David" w:eastAsia="Times New Roman" w:hAnsi="David" w:cs="David"/>
                <w:color w:val="000000"/>
                <w:sz w:val="24"/>
                <w:szCs w:val="24"/>
                <w:rtl/>
                <w:lang w:eastAsia="zh-CN"/>
              </w:rPr>
              <w:endnoteReference w:id="15"/>
            </w:r>
          </w:p>
          <w:p w14:paraId="73FADA26" w14:textId="77777777" w:rsidR="00EB3003" w:rsidRDefault="00EB3003" w:rsidP="004E1C22">
            <w:pPr>
              <w:bidi/>
              <w:spacing w:line="276" w:lineRule="auto"/>
              <w:rPr>
                <w:rFonts w:asciiTheme="minorBidi" w:hAnsiTheme="minorBidi"/>
                <w:rtl/>
              </w:rPr>
            </w:pPr>
          </w:p>
        </w:tc>
      </w:tr>
      <w:tr w:rsidR="00EB3003" w14:paraId="6562ADDF" w14:textId="77777777" w:rsidTr="004E1C22">
        <w:tc>
          <w:tcPr>
            <w:tcW w:w="4675" w:type="dxa"/>
          </w:tcPr>
          <w:p w14:paraId="77C7D9D8" w14:textId="77777777" w:rsidR="00EB3003" w:rsidRPr="00C11F76" w:rsidRDefault="00EB3003" w:rsidP="005120C1">
            <w:pPr>
              <w:shd w:val="clear" w:color="auto" w:fill="FFFFFF"/>
              <w:spacing w:before="300" w:after="150" w:line="450" w:lineRule="atLeast"/>
              <w:outlineLvl w:val="2"/>
              <w:rPr>
                <w:rFonts w:ascii="Times New Roman" w:eastAsia="Times New Roman" w:hAnsi="Times New Roman" w:cs="Times New Roman"/>
                <w:color w:val="000000"/>
                <w:sz w:val="32"/>
                <w:szCs w:val="32"/>
                <w:lang w:bidi="ar-SA"/>
              </w:rPr>
            </w:pPr>
            <w:r w:rsidRPr="00C11F76">
              <w:rPr>
                <w:rFonts w:ascii="Times New Roman" w:eastAsia="Times New Roman" w:hAnsi="Times New Roman" w:cs="Times New Roman"/>
                <w:color w:val="000000"/>
                <w:sz w:val="32"/>
                <w:szCs w:val="32"/>
                <w:lang w:bidi="ar-SA"/>
              </w:rPr>
              <w:t>A Wife for a Wife?</w:t>
            </w:r>
          </w:p>
          <w:p w14:paraId="6DE104B9" w14:textId="77777777" w:rsidR="00EB3003" w:rsidRPr="004E1C22" w:rsidRDefault="00EB3003" w:rsidP="004E1C22">
            <w:pPr>
              <w:spacing w:line="276" w:lineRule="auto"/>
              <w:rPr>
                <w:rFonts w:asciiTheme="minorBidi" w:hAnsiTheme="minorBidi"/>
              </w:rPr>
            </w:pPr>
          </w:p>
        </w:tc>
        <w:tc>
          <w:tcPr>
            <w:tcW w:w="4675" w:type="dxa"/>
          </w:tcPr>
          <w:p w14:paraId="5229E367" w14:textId="77777777" w:rsidR="00EB3003" w:rsidRPr="00121DF0" w:rsidRDefault="00EB3003" w:rsidP="009A517F">
            <w:pPr>
              <w:shd w:val="clear" w:color="auto" w:fill="FFFFFF"/>
              <w:spacing w:before="100" w:beforeAutospacing="1" w:after="105" w:line="465" w:lineRule="atLeast"/>
              <w:jc w:val="center"/>
              <w:textAlignment w:val="top"/>
              <w:rPr>
                <w:rFonts w:ascii="David" w:eastAsia="Times New Roman" w:hAnsi="David" w:cs="David"/>
                <w:color w:val="000000"/>
                <w:sz w:val="28"/>
                <w:szCs w:val="28"/>
                <w:rtl/>
                <w:lang w:eastAsia="zh-CN"/>
              </w:rPr>
            </w:pPr>
            <w:r w:rsidRPr="00121DF0">
              <w:rPr>
                <w:rFonts w:ascii="David" w:eastAsia="Times New Roman" w:hAnsi="David" w:cs="David"/>
                <w:color w:val="000000"/>
                <w:sz w:val="28"/>
                <w:szCs w:val="28"/>
                <w:rtl/>
                <w:lang w:eastAsia="zh-CN"/>
              </w:rPr>
              <w:t>רעיה תחת רעיה?</w:t>
            </w:r>
          </w:p>
          <w:p w14:paraId="6C7F295C" w14:textId="77777777" w:rsidR="00EB3003" w:rsidRDefault="00EB3003" w:rsidP="009A517F">
            <w:pPr>
              <w:bidi/>
              <w:spacing w:line="276" w:lineRule="auto"/>
              <w:jc w:val="center"/>
              <w:rPr>
                <w:rFonts w:asciiTheme="minorBidi" w:hAnsiTheme="minorBidi"/>
                <w:rtl/>
              </w:rPr>
            </w:pPr>
          </w:p>
        </w:tc>
      </w:tr>
      <w:tr w:rsidR="00EB3003" w14:paraId="3557596F" w14:textId="77777777" w:rsidTr="004E1C22">
        <w:tc>
          <w:tcPr>
            <w:tcW w:w="4675" w:type="dxa"/>
          </w:tcPr>
          <w:p w14:paraId="1114E02B" w14:textId="77777777" w:rsidR="00EB3003" w:rsidRPr="00C11F76" w:rsidRDefault="00EB3003" w:rsidP="00C57922">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In this context Bernard Jackson, the British Jewish professor of legal history and Jewish studies, and a student of Daube, further suggests that in the Covenant Collection </w:t>
            </w:r>
            <w:r w:rsidRPr="00C11F76">
              <w:rPr>
                <w:rFonts w:ascii="Times New Roman" w:eastAsia="Times New Roman" w:hAnsi="Times New Roman" w:cs="Times New Roman"/>
                <w:color w:val="000000"/>
                <w:sz w:val="26"/>
                <w:szCs w:val="26"/>
                <w:rtl/>
              </w:rPr>
              <w:t>נפש תחת נפש</w:t>
            </w:r>
            <w:r w:rsidRPr="00C11F76">
              <w:rPr>
                <w:rFonts w:ascii="Times New Roman" w:eastAsia="Times New Roman" w:hAnsi="Times New Roman" w:cs="Times New Roman"/>
                <w:color w:val="000000"/>
                <w:sz w:val="26"/>
                <w:szCs w:val="26"/>
                <w:lang w:bidi="ar-SA"/>
              </w:rPr>
              <w:t xml:space="preserve"> “a life for a life” refers to live, human, substitution, </w:t>
            </w:r>
            <w:proofErr w:type="gramStart"/>
            <w:r w:rsidRPr="00C11F76">
              <w:rPr>
                <w:rFonts w:ascii="Times New Roman" w:eastAsia="Times New Roman" w:hAnsi="Times New Roman" w:cs="Times New Roman"/>
                <w:color w:val="000000"/>
                <w:sz w:val="26"/>
                <w:szCs w:val="26"/>
                <w:lang w:bidi="ar-SA"/>
              </w:rPr>
              <w:t>where</w:t>
            </w:r>
            <w:proofErr w:type="gramEnd"/>
          </w:p>
          <w:p w14:paraId="24B2EC97" w14:textId="77777777" w:rsidR="00EB3003" w:rsidRPr="004E1C22" w:rsidRDefault="00EB3003" w:rsidP="004E1C22">
            <w:pPr>
              <w:spacing w:line="276" w:lineRule="auto"/>
              <w:rPr>
                <w:rFonts w:asciiTheme="minorBidi" w:hAnsiTheme="minorBidi"/>
              </w:rPr>
            </w:pPr>
          </w:p>
        </w:tc>
        <w:tc>
          <w:tcPr>
            <w:tcW w:w="4675" w:type="dxa"/>
          </w:tcPr>
          <w:p w14:paraId="74F0D575" w14:textId="77777777" w:rsidR="00EB3003" w:rsidRPr="004A09C7" w:rsidRDefault="00EB3003" w:rsidP="004A09C7">
            <w:pPr>
              <w:shd w:val="clear" w:color="auto" w:fill="FFFFFF"/>
              <w:bidi/>
              <w:spacing w:before="100" w:beforeAutospacing="1" w:after="105" w:line="465" w:lineRule="atLeast"/>
              <w:textAlignment w:val="top"/>
              <w:rPr>
                <w:rFonts w:ascii="David" w:eastAsia="Times New Roman" w:hAnsi="David" w:cs="David"/>
                <w:color w:val="000000"/>
                <w:sz w:val="24"/>
                <w:szCs w:val="24"/>
                <w:rtl/>
                <w:lang w:eastAsia="zh-CN"/>
              </w:rPr>
            </w:pPr>
            <w:r w:rsidRPr="004A09C7">
              <w:rPr>
                <w:rFonts w:ascii="David" w:eastAsia="Times New Roman" w:hAnsi="David" w:cs="David"/>
                <w:color w:val="000000"/>
                <w:sz w:val="24"/>
                <w:szCs w:val="24"/>
                <w:rtl/>
                <w:lang w:eastAsia="zh-CN"/>
              </w:rPr>
              <w:t xml:space="preserve">בהקשר זה, מציע </w:t>
            </w:r>
            <w:r w:rsidRPr="004A09C7">
              <w:rPr>
                <w:rFonts w:ascii="David" w:eastAsia="Times New Roman" w:hAnsi="David" w:cs="David" w:hint="cs"/>
                <w:color w:val="000000"/>
                <w:sz w:val="24"/>
                <w:szCs w:val="24"/>
                <w:rtl/>
                <w:lang w:eastAsia="zh-CN"/>
              </w:rPr>
              <w:t xml:space="preserve">עוד </w:t>
            </w:r>
            <w:r w:rsidRPr="004A09C7">
              <w:rPr>
                <w:rFonts w:ascii="David" w:eastAsia="Times New Roman" w:hAnsi="David" w:cs="David"/>
                <w:color w:val="000000"/>
                <w:sz w:val="24"/>
                <w:szCs w:val="24"/>
                <w:rtl/>
                <w:lang w:eastAsia="zh-CN"/>
              </w:rPr>
              <w:t>ברנרד ג'קסון, פרופסור יהודי בריטי להיסטוריה משפטית ולימודים יהודיים ותלמידו של דאובה, שב-</w:t>
            </w:r>
            <w:r w:rsidRPr="004A09C7">
              <w:rPr>
                <w:rFonts w:ascii="David" w:eastAsia="Times New Roman" w:hAnsi="David" w:cs="David"/>
                <w:color w:val="000000"/>
                <w:sz w:val="24"/>
                <w:szCs w:val="24"/>
                <w:lang w:eastAsia="zh-CN"/>
              </w:rPr>
              <w:t>Covenant Collection</w:t>
            </w:r>
            <w:r w:rsidRPr="004A09C7">
              <w:rPr>
                <w:rFonts w:ascii="David" w:eastAsia="Times New Roman" w:hAnsi="David" w:cs="David"/>
                <w:color w:val="000000"/>
                <w:sz w:val="24"/>
                <w:szCs w:val="24"/>
                <w:rtl/>
                <w:lang w:eastAsia="zh-CN"/>
              </w:rPr>
              <w:t xml:space="preserve"> כוונת "נפש תחת נפש" היא ל</w:t>
            </w:r>
            <w:r w:rsidRPr="004A09C7">
              <w:rPr>
                <w:rFonts w:ascii="David" w:eastAsia="Times New Roman" w:hAnsi="David" w:cs="David" w:hint="cs"/>
                <w:color w:val="000000"/>
                <w:sz w:val="24"/>
                <w:szCs w:val="24"/>
                <w:rtl/>
                <w:lang w:eastAsia="zh-CN"/>
              </w:rPr>
              <w:t xml:space="preserve">ממלא מקום </w:t>
            </w:r>
            <w:r w:rsidRPr="004A09C7">
              <w:rPr>
                <w:rFonts w:ascii="David" w:eastAsia="Times New Roman" w:hAnsi="David" w:cs="David"/>
                <w:color w:val="000000"/>
                <w:sz w:val="24"/>
                <w:szCs w:val="24"/>
                <w:rtl/>
                <w:lang w:eastAsia="zh-CN"/>
              </w:rPr>
              <w:t xml:space="preserve">אנושי חי, </w:t>
            </w:r>
            <w:r w:rsidRPr="004A09C7">
              <w:rPr>
                <w:rFonts w:ascii="David" w:eastAsia="Times New Roman" w:hAnsi="David" w:cs="David" w:hint="cs"/>
                <w:color w:val="000000"/>
                <w:sz w:val="24"/>
                <w:szCs w:val="24"/>
                <w:rtl/>
                <w:lang w:eastAsia="zh-CN"/>
              </w:rPr>
              <w:t>כ</w:t>
            </w:r>
            <w:r w:rsidRPr="004A09C7">
              <w:rPr>
                <w:rFonts w:ascii="David" w:eastAsia="Times New Roman" w:hAnsi="David" w:cs="David"/>
                <w:color w:val="000000"/>
                <w:sz w:val="24"/>
                <w:szCs w:val="24"/>
                <w:rtl/>
                <w:lang w:eastAsia="zh-CN"/>
              </w:rPr>
              <w:t xml:space="preserve">אשר </w:t>
            </w:r>
          </w:p>
          <w:p w14:paraId="7F2B25D5" w14:textId="77777777" w:rsidR="00EB3003" w:rsidRDefault="00EB3003" w:rsidP="004A09C7">
            <w:pPr>
              <w:shd w:val="clear" w:color="auto" w:fill="FFFFFF"/>
              <w:spacing w:before="100" w:beforeAutospacing="1" w:after="105" w:line="465" w:lineRule="atLeast"/>
              <w:jc w:val="right"/>
              <w:textAlignment w:val="top"/>
              <w:rPr>
                <w:rFonts w:asciiTheme="minorBidi" w:hAnsiTheme="minorBidi"/>
                <w:rtl/>
              </w:rPr>
            </w:pPr>
          </w:p>
        </w:tc>
      </w:tr>
      <w:tr w:rsidR="00EB3003" w14:paraId="4F59F43E" w14:textId="77777777" w:rsidTr="004E1C22">
        <w:tc>
          <w:tcPr>
            <w:tcW w:w="4675" w:type="dxa"/>
          </w:tcPr>
          <w:p w14:paraId="27A480D7" w14:textId="77777777" w:rsidR="00EB3003" w:rsidRPr="00C11F76" w:rsidRDefault="00EB3003" w:rsidP="00C57922">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[T]he </w:t>
            </w:r>
            <w:proofErr w:type="gramStart"/>
            <w:r w:rsidRPr="00C11F76">
              <w:rPr>
                <w:rFonts w:ascii="Times New Roman" w:eastAsia="Times New Roman" w:hAnsi="Times New Roman" w:cs="Times New Roman"/>
                <w:color w:val="000000"/>
                <w:sz w:val="26"/>
                <w:szCs w:val="26"/>
                <w:lang w:bidi="ar-SA"/>
              </w:rPr>
              <w:t>sanction</w:t>
            </w:r>
            <w:proofErr w:type="gramEnd"/>
            <w:r w:rsidRPr="00C11F76">
              <w:rPr>
                <w:rFonts w:ascii="Times New Roman" w:eastAsia="Times New Roman" w:hAnsi="Times New Roman" w:cs="Times New Roman"/>
                <w:color w:val="000000"/>
                <w:sz w:val="26"/>
                <w:szCs w:val="26"/>
                <w:lang w:bidi="ar-SA"/>
              </w:rPr>
              <w:t xml:space="preserve"> provided in the apodosis is not death, but rather substitution of persons — quite literally, “a soul for a soul” (but a live soul, not a dead one). This explains why </w:t>
            </w:r>
            <w:r w:rsidRPr="00C11F76">
              <w:rPr>
                <w:rFonts w:ascii="Times New Roman" w:eastAsia="Times New Roman" w:hAnsi="Times New Roman" w:cs="Times New Roman"/>
                <w:i/>
                <w:iCs/>
                <w:color w:val="000000"/>
                <w:sz w:val="26"/>
                <w:lang w:bidi="ar-SA"/>
              </w:rPr>
              <w:t xml:space="preserve">mot </w:t>
            </w:r>
            <w:proofErr w:type="spellStart"/>
            <w:r w:rsidRPr="00C11F76">
              <w:rPr>
                <w:rFonts w:ascii="Times New Roman" w:eastAsia="Times New Roman" w:hAnsi="Times New Roman" w:cs="Times New Roman"/>
                <w:i/>
                <w:iCs/>
                <w:color w:val="000000"/>
                <w:sz w:val="26"/>
                <w:lang w:bidi="ar-SA"/>
              </w:rPr>
              <w:t>yumat</w:t>
            </w:r>
            <w:proofErr w:type="spellEnd"/>
            <w:r w:rsidRPr="00C11F76">
              <w:rPr>
                <w:rFonts w:ascii="Times New Roman" w:eastAsia="Times New Roman" w:hAnsi="Times New Roman" w:cs="Times New Roman"/>
                <w:color w:val="000000"/>
                <w:sz w:val="26"/>
                <w:szCs w:val="26"/>
                <w:lang w:bidi="ar-SA"/>
              </w:rPr>
              <w:t xml:space="preserve"> is not used, and is supported by ancient Near Eastern </w:t>
            </w:r>
            <w:r w:rsidRPr="00C11F76">
              <w:rPr>
                <w:rFonts w:ascii="Times New Roman" w:eastAsia="Times New Roman" w:hAnsi="Times New Roman" w:cs="Times New Roman"/>
                <w:color w:val="000000"/>
                <w:sz w:val="26"/>
                <w:szCs w:val="26"/>
                <w:lang w:bidi="ar-SA"/>
              </w:rPr>
              <w:lastRenderedPageBreak/>
              <w:t>parallels, particularly MAL A50, which uses an almost identical expression, </w:t>
            </w:r>
            <w:bookmarkStart w:id="4" w:name="_Hlk90907075"/>
            <w:proofErr w:type="spellStart"/>
            <w:r w:rsidRPr="00C11F76">
              <w:rPr>
                <w:rFonts w:ascii="Times New Roman" w:eastAsia="Times New Roman" w:hAnsi="Times New Roman" w:cs="Times New Roman"/>
                <w:i/>
                <w:iCs/>
                <w:color w:val="000000"/>
                <w:sz w:val="26"/>
                <w:lang w:bidi="ar-SA"/>
              </w:rPr>
              <w:t>napšate</w:t>
            </w:r>
            <w:proofErr w:type="spellEnd"/>
            <w:r w:rsidRPr="00C11F76">
              <w:rPr>
                <w:rFonts w:ascii="Times New Roman" w:eastAsia="Times New Roman" w:hAnsi="Times New Roman" w:cs="Times New Roman"/>
                <w:color w:val="000000"/>
                <w:sz w:val="26"/>
                <w:szCs w:val="26"/>
                <w:lang w:bidi="ar-SA"/>
              </w:rPr>
              <w:t xml:space="preserve"> (cf. </w:t>
            </w:r>
            <w:proofErr w:type="spellStart"/>
            <w:r w:rsidRPr="00C11F76">
              <w:rPr>
                <w:rFonts w:ascii="Times New Roman" w:eastAsia="Times New Roman" w:hAnsi="Times New Roman" w:cs="Times New Roman"/>
                <w:color w:val="000000"/>
                <w:sz w:val="26"/>
                <w:szCs w:val="26"/>
                <w:lang w:bidi="ar-SA"/>
              </w:rPr>
              <w:t>nefesh</w:t>
            </w:r>
            <w:proofErr w:type="spellEnd"/>
            <w:r w:rsidRPr="00C11F76">
              <w:rPr>
                <w:rFonts w:ascii="Times New Roman" w:eastAsia="Times New Roman" w:hAnsi="Times New Roman" w:cs="Times New Roman"/>
                <w:color w:val="000000"/>
                <w:sz w:val="26"/>
                <w:szCs w:val="26"/>
                <w:lang w:bidi="ar-SA"/>
              </w:rPr>
              <w:t>) </w:t>
            </w:r>
            <w:proofErr w:type="spellStart"/>
            <w:r w:rsidRPr="00C11F76">
              <w:rPr>
                <w:rFonts w:ascii="Times New Roman" w:eastAsia="Times New Roman" w:hAnsi="Times New Roman" w:cs="Times New Roman"/>
                <w:i/>
                <w:iCs/>
                <w:color w:val="000000"/>
                <w:sz w:val="26"/>
                <w:lang w:bidi="ar-SA"/>
              </w:rPr>
              <w:t>umallā</w:t>
            </w:r>
            <w:proofErr w:type="spellEnd"/>
            <w:r w:rsidRPr="00C11F76">
              <w:rPr>
                <w:rFonts w:ascii="Times New Roman" w:eastAsia="Times New Roman" w:hAnsi="Times New Roman" w:cs="Times New Roman"/>
                <w:i/>
                <w:iCs/>
                <w:color w:val="000000"/>
                <w:sz w:val="26"/>
                <w:lang w:bidi="ar-SA"/>
              </w:rPr>
              <w:t>.</w:t>
            </w:r>
            <w:bookmarkStart w:id="5" w:name="_ftnref15"/>
            <w:r w:rsidRPr="00C11F76">
              <w:rPr>
                <w:rFonts w:ascii="Times New Roman" w:eastAsia="Times New Roman" w:hAnsi="Times New Roman" w:cs="Times New Roman"/>
                <w:color w:val="000000"/>
                <w:sz w:val="26"/>
                <w:szCs w:val="26"/>
                <w:lang w:bidi="ar-SA"/>
              </w:rPr>
              <w:fldChar w:fldCharType="begin"/>
            </w:r>
            <w:r w:rsidRPr="00C11F76">
              <w:rPr>
                <w:rFonts w:ascii="Times New Roman" w:eastAsia="Times New Roman" w:hAnsi="Times New Roman" w:cs="Times New Roman"/>
                <w:color w:val="000000"/>
                <w:sz w:val="26"/>
                <w:szCs w:val="26"/>
                <w:lang w:bidi="ar-SA"/>
              </w:rPr>
              <w:instrText xml:space="preserve"> HYPERLINK "https://www.thetorah.com/article/deathblows-to-a-pregnant-woman-what-restitution-was-required" \l "_ftn15" </w:instrText>
            </w:r>
            <w:r w:rsidRPr="00C11F76">
              <w:rPr>
                <w:rFonts w:ascii="Times New Roman" w:eastAsia="Times New Roman" w:hAnsi="Times New Roman" w:cs="Times New Roman"/>
                <w:color w:val="000000"/>
                <w:sz w:val="26"/>
                <w:szCs w:val="26"/>
                <w:lang w:bidi="ar-SA"/>
              </w:rPr>
              <w:fldChar w:fldCharType="separate"/>
            </w:r>
            <w:r w:rsidRPr="00C11F76">
              <w:rPr>
                <w:rFonts w:ascii="Times New Roman" w:eastAsia="Times New Roman" w:hAnsi="Times New Roman" w:cs="Times New Roman"/>
                <w:color w:val="B22222"/>
                <w:sz w:val="23"/>
                <w:u w:val="single"/>
                <w:vertAlign w:val="superscript"/>
                <w:lang w:bidi="ar-SA"/>
              </w:rPr>
              <w:t>[15]</w:t>
            </w:r>
            <w:r w:rsidRPr="00C11F76">
              <w:rPr>
                <w:rFonts w:ascii="Times New Roman" w:eastAsia="Times New Roman" w:hAnsi="Times New Roman" w:cs="Times New Roman"/>
                <w:color w:val="000000"/>
                <w:sz w:val="26"/>
                <w:szCs w:val="26"/>
                <w:lang w:bidi="ar-SA"/>
              </w:rPr>
              <w:fldChar w:fldCharType="end"/>
            </w:r>
            <w:bookmarkEnd w:id="5"/>
          </w:p>
          <w:bookmarkEnd w:id="4"/>
          <w:p w14:paraId="4FC6B3E2" w14:textId="77777777" w:rsidR="00EB3003" w:rsidRPr="004E1C22" w:rsidRDefault="00EB3003" w:rsidP="004E1C22">
            <w:pPr>
              <w:spacing w:line="276" w:lineRule="auto"/>
              <w:rPr>
                <w:rFonts w:asciiTheme="minorBidi" w:hAnsiTheme="minorBidi"/>
              </w:rPr>
            </w:pPr>
          </w:p>
        </w:tc>
        <w:tc>
          <w:tcPr>
            <w:tcW w:w="4675" w:type="dxa"/>
          </w:tcPr>
          <w:p w14:paraId="65473025" w14:textId="0DB5E326" w:rsidR="00EB3003" w:rsidRPr="00FA10B1" w:rsidRDefault="00EB3003" w:rsidP="00FA10B1">
            <w:pPr>
              <w:shd w:val="clear" w:color="auto" w:fill="FFFFFF"/>
              <w:bidi/>
              <w:spacing w:after="300" w:line="465" w:lineRule="atLeast"/>
              <w:rPr>
                <w:rFonts w:ascii="David" w:eastAsia="Times New Roman" w:hAnsi="David" w:cs="David"/>
                <w:color w:val="000000"/>
                <w:sz w:val="26"/>
                <w:szCs w:val="26"/>
                <w:rtl/>
                <w:lang w:eastAsia="zh-CN"/>
              </w:rPr>
            </w:pPr>
            <w:r w:rsidRPr="00FA10B1">
              <w:rPr>
                <w:rFonts w:ascii="David" w:eastAsia="Times New Roman" w:hAnsi="David" w:cs="David"/>
                <w:color w:val="000000"/>
                <w:sz w:val="24"/>
                <w:szCs w:val="24"/>
                <w:rtl/>
                <w:lang w:eastAsia="zh-CN"/>
              </w:rPr>
              <w:lastRenderedPageBreak/>
              <w:t xml:space="preserve">הסנקציה המוצעת בחלקו העיקרי של המשפט אינה מוות אלא </w:t>
            </w:r>
            <w:r w:rsidRPr="00FA10B1">
              <w:rPr>
                <w:rFonts w:ascii="David" w:eastAsia="Times New Roman" w:hAnsi="David" w:cs="David" w:hint="cs"/>
                <w:color w:val="000000"/>
                <w:sz w:val="24"/>
                <w:szCs w:val="24"/>
                <w:rtl/>
                <w:lang w:eastAsia="zh-CN"/>
              </w:rPr>
              <w:t>ממלאי מקום</w:t>
            </w:r>
            <w:r w:rsidRPr="00FA10B1">
              <w:rPr>
                <w:rFonts w:ascii="David" w:eastAsia="Times New Roman" w:hAnsi="David" w:cs="David"/>
                <w:color w:val="000000"/>
                <w:sz w:val="24"/>
                <w:szCs w:val="24"/>
                <w:rtl/>
                <w:lang w:eastAsia="zh-CN"/>
              </w:rPr>
              <w:t>–פשוטו כמשמעו, "נפש תחת נפש" (א</w:t>
            </w:r>
            <w:r w:rsidRPr="00FA10B1">
              <w:rPr>
                <w:rFonts w:ascii="David" w:eastAsia="Times New Roman" w:hAnsi="David" w:cs="David" w:hint="cs"/>
                <w:color w:val="000000"/>
                <w:sz w:val="24"/>
                <w:szCs w:val="24"/>
                <w:rtl/>
                <w:lang w:eastAsia="zh-CN"/>
              </w:rPr>
              <w:t>ך</w:t>
            </w:r>
            <w:r w:rsidRPr="00FA10B1">
              <w:rPr>
                <w:rFonts w:ascii="David" w:eastAsia="Times New Roman" w:hAnsi="David" w:cs="David"/>
                <w:color w:val="000000"/>
                <w:sz w:val="24"/>
                <w:szCs w:val="24"/>
                <w:rtl/>
                <w:lang w:eastAsia="zh-CN"/>
              </w:rPr>
              <w:t xml:space="preserve"> נפש חיה, לא מתה). מכאן </w:t>
            </w:r>
            <w:r w:rsidRPr="00FA10B1">
              <w:rPr>
                <w:rFonts w:ascii="David" w:eastAsia="Times New Roman" w:hAnsi="David" w:cs="David" w:hint="cs"/>
                <w:color w:val="000000"/>
                <w:sz w:val="24"/>
                <w:szCs w:val="24"/>
                <w:rtl/>
                <w:lang w:eastAsia="zh-CN"/>
              </w:rPr>
              <w:t>יובן</w:t>
            </w:r>
            <w:r w:rsidRPr="00FA10B1">
              <w:rPr>
                <w:rFonts w:ascii="David" w:eastAsia="Times New Roman" w:hAnsi="David" w:cs="David"/>
                <w:color w:val="000000"/>
                <w:sz w:val="24"/>
                <w:szCs w:val="24"/>
                <w:rtl/>
                <w:lang w:eastAsia="zh-CN"/>
              </w:rPr>
              <w:t xml:space="preserve"> </w:t>
            </w:r>
            <w:r w:rsidRPr="00FA10B1">
              <w:rPr>
                <w:rFonts w:ascii="David" w:eastAsia="Times New Roman" w:hAnsi="David" w:cs="David" w:hint="cs"/>
                <w:color w:val="000000"/>
                <w:sz w:val="24"/>
                <w:szCs w:val="24"/>
                <w:rtl/>
                <w:lang w:eastAsia="zh-CN"/>
              </w:rPr>
              <w:t xml:space="preserve">מדוע לא מצינו </w:t>
            </w:r>
            <w:r w:rsidRPr="00FA10B1">
              <w:rPr>
                <w:rFonts w:ascii="David" w:eastAsia="Times New Roman" w:hAnsi="David" w:cs="David"/>
                <w:color w:val="000000"/>
                <w:sz w:val="24"/>
                <w:szCs w:val="24"/>
                <w:rtl/>
                <w:lang w:eastAsia="zh-CN"/>
              </w:rPr>
              <w:t xml:space="preserve">שימוש בניסוח "מות יומת", ויש </w:t>
            </w:r>
            <w:r w:rsidRPr="00FA10B1">
              <w:rPr>
                <w:rFonts w:ascii="David" w:eastAsia="Times New Roman" w:hAnsi="David" w:cs="David" w:hint="cs"/>
                <w:color w:val="000000"/>
                <w:sz w:val="24"/>
                <w:szCs w:val="24"/>
                <w:rtl/>
                <w:lang w:eastAsia="zh-CN"/>
              </w:rPr>
              <w:t xml:space="preserve">לכך </w:t>
            </w:r>
            <w:r w:rsidRPr="00FA10B1">
              <w:rPr>
                <w:rFonts w:ascii="David" w:eastAsia="Times New Roman" w:hAnsi="David" w:cs="David"/>
                <w:color w:val="000000"/>
                <w:sz w:val="24"/>
                <w:szCs w:val="24"/>
                <w:rtl/>
                <w:lang w:eastAsia="zh-CN"/>
              </w:rPr>
              <w:t xml:space="preserve">תימוכין </w:t>
            </w:r>
            <w:r w:rsidRPr="00FA10B1">
              <w:rPr>
                <w:rFonts w:ascii="David" w:eastAsia="Times New Roman" w:hAnsi="David" w:cs="David" w:hint="cs"/>
                <w:color w:val="000000"/>
                <w:sz w:val="24"/>
                <w:szCs w:val="24"/>
                <w:rtl/>
                <w:lang w:eastAsia="zh-CN"/>
              </w:rPr>
              <w:t>ב</w:t>
            </w:r>
            <w:r w:rsidRPr="00FA10B1">
              <w:rPr>
                <w:rFonts w:ascii="David" w:eastAsia="Times New Roman" w:hAnsi="David" w:cs="David"/>
                <w:color w:val="000000"/>
                <w:sz w:val="24"/>
                <w:szCs w:val="24"/>
                <w:rtl/>
                <w:lang w:eastAsia="zh-CN"/>
              </w:rPr>
              <w:t>מקבילות מן המזרח הקרוב</w:t>
            </w:r>
            <w:r w:rsidRPr="00FA10B1">
              <w:rPr>
                <w:rFonts w:ascii="David" w:eastAsia="Times New Roman" w:hAnsi="David" w:cs="David" w:hint="cs"/>
                <w:color w:val="000000"/>
                <w:sz w:val="24"/>
                <w:szCs w:val="24"/>
                <w:rtl/>
                <w:lang w:eastAsia="zh-CN"/>
              </w:rPr>
              <w:t xml:space="preserve"> העתיק</w:t>
            </w:r>
            <w:r w:rsidRPr="00FA10B1">
              <w:rPr>
                <w:rFonts w:ascii="David" w:eastAsia="Times New Roman" w:hAnsi="David" w:cs="David"/>
                <w:color w:val="000000"/>
                <w:sz w:val="24"/>
                <w:szCs w:val="24"/>
                <w:rtl/>
                <w:lang w:eastAsia="zh-CN"/>
              </w:rPr>
              <w:t xml:space="preserve">, </w:t>
            </w:r>
            <w:r w:rsidRPr="00FA10B1">
              <w:rPr>
                <w:rFonts w:ascii="David" w:eastAsia="Times New Roman" w:hAnsi="David" w:cs="David"/>
                <w:color w:val="000000"/>
                <w:sz w:val="24"/>
                <w:szCs w:val="24"/>
                <w:rtl/>
                <w:lang w:eastAsia="zh-CN"/>
              </w:rPr>
              <w:lastRenderedPageBreak/>
              <w:t xml:space="preserve">במיוחד </w:t>
            </w:r>
            <w:r w:rsidRPr="00FA10B1">
              <w:rPr>
                <w:rFonts w:ascii="David" w:eastAsia="Times New Roman" w:hAnsi="David" w:cs="David"/>
                <w:color w:val="000000"/>
                <w:sz w:val="24"/>
                <w:szCs w:val="24"/>
                <w:lang w:eastAsia="zh-CN"/>
              </w:rPr>
              <w:t>MAL A50</w:t>
            </w:r>
            <w:r w:rsidRPr="00FA10B1">
              <w:rPr>
                <w:rFonts w:ascii="David" w:eastAsia="Times New Roman" w:hAnsi="David" w:cs="David"/>
                <w:color w:val="000000"/>
                <w:sz w:val="24"/>
                <w:szCs w:val="24"/>
                <w:rtl/>
                <w:lang w:eastAsia="zh-CN"/>
              </w:rPr>
              <w:t xml:space="preserve">, הנוקט ביטוי כמעט זהה, </w:t>
            </w:r>
            <w:proofErr w:type="spellStart"/>
            <w:r w:rsidRPr="00FA10B1">
              <w:rPr>
                <w:rFonts w:ascii="David" w:eastAsia="Times New Roman" w:hAnsi="David" w:cs="David"/>
                <w:i/>
                <w:iCs/>
                <w:color w:val="000000"/>
                <w:sz w:val="26"/>
                <w:lang w:eastAsia="zh-CN" w:bidi="ar-SA"/>
              </w:rPr>
              <w:t>napšate</w:t>
            </w:r>
            <w:proofErr w:type="spellEnd"/>
            <w:r w:rsidRPr="00FA10B1">
              <w:rPr>
                <w:rFonts w:ascii="David" w:eastAsia="Times New Roman" w:hAnsi="David" w:cs="David"/>
                <w:color w:val="000000"/>
                <w:sz w:val="26"/>
                <w:szCs w:val="26"/>
                <w:lang w:eastAsia="zh-CN" w:bidi="ar-SA"/>
              </w:rPr>
              <w:t xml:space="preserve"> (cf. </w:t>
            </w:r>
            <w:proofErr w:type="spellStart"/>
            <w:r w:rsidRPr="00FA10B1">
              <w:rPr>
                <w:rFonts w:ascii="David" w:eastAsia="Times New Roman" w:hAnsi="David" w:cs="David"/>
                <w:color w:val="000000"/>
                <w:sz w:val="26"/>
                <w:szCs w:val="26"/>
                <w:lang w:eastAsia="zh-CN" w:bidi="ar-SA"/>
              </w:rPr>
              <w:t>nefesh</w:t>
            </w:r>
            <w:proofErr w:type="spellEnd"/>
            <w:r w:rsidRPr="00FA10B1">
              <w:rPr>
                <w:rFonts w:ascii="David" w:eastAsia="Times New Roman" w:hAnsi="David" w:cs="David"/>
                <w:color w:val="000000"/>
                <w:sz w:val="26"/>
                <w:szCs w:val="26"/>
                <w:lang w:eastAsia="zh-CN" w:bidi="ar-SA"/>
              </w:rPr>
              <w:t>) </w:t>
            </w:r>
            <w:proofErr w:type="spellStart"/>
            <w:r w:rsidRPr="00FA10B1">
              <w:rPr>
                <w:rFonts w:ascii="David" w:eastAsia="Times New Roman" w:hAnsi="David" w:cs="David"/>
                <w:i/>
                <w:iCs/>
                <w:color w:val="000000"/>
                <w:sz w:val="26"/>
                <w:lang w:eastAsia="zh-CN" w:bidi="ar-SA"/>
              </w:rPr>
              <w:t>umall</w:t>
            </w:r>
            <w:r w:rsidRPr="00FA10B1">
              <w:rPr>
                <w:rFonts w:ascii="Calibri" w:eastAsia="Times New Roman" w:hAnsi="Calibri" w:cs="Calibri"/>
                <w:i/>
                <w:iCs/>
                <w:color w:val="000000"/>
                <w:sz w:val="26"/>
                <w:lang w:eastAsia="zh-CN" w:bidi="ar-SA"/>
              </w:rPr>
              <w:t>ā</w:t>
            </w:r>
            <w:proofErr w:type="spellEnd"/>
            <w:r w:rsidRPr="00FA10B1">
              <w:rPr>
                <w:rFonts w:ascii="David" w:eastAsia="Times New Roman" w:hAnsi="David" w:cs="David"/>
                <w:i/>
                <w:iCs/>
                <w:color w:val="000000"/>
                <w:sz w:val="26"/>
                <w:lang w:eastAsia="zh-CN" w:bidi="ar-SA"/>
              </w:rPr>
              <w:t>.</w:t>
            </w:r>
            <w:r w:rsidRPr="00FA10B1">
              <w:rPr>
                <w:rFonts w:ascii="David" w:eastAsia="Times New Roman" w:hAnsi="David" w:cs="David"/>
                <w:color w:val="000000"/>
                <w:sz w:val="26"/>
                <w:szCs w:val="26"/>
                <w:lang w:eastAsia="zh-CN" w:bidi="ar-SA"/>
              </w:rPr>
              <w:t xml:space="preserve"> </w:t>
            </w:r>
            <w:r w:rsidRPr="00FA10B1">
              <w:rPr>
                <w:rFonts w:ascii="David" w:eastAsia="Times New Roman" w:hAnsi="David" w:cs="David"/>
                <w:color w:val="000000"/>
                <w:sz w:val="26"/>
                <w:szCs w:val="26"/>
                <w:vertAlign w:val="superscript"/>
                <w:rtl/>
                <w:lang w:eastAsia="zh-CN"/>
              </w:rPr>
              <w:endnoteReference w:id="16"/>
            </w:r>
          </w:p>
          <w:p w14:paraId="14EFD20D" w14:textId="77777777" w:rsidR="00EB3003" w:rsidRDefault="00EB3003" w:rsidP="004E1C22">
            <w:pPr>
              <w:bidi/>
              <w:spacing w:line="276" w:lineRule="auto"/>
              <w:rPr>
                <w:rFonts w:asciiTheme="minorBidi" w:hAnsiTheme="minorBidi"/>
                <w:rtl/>
              </w:rPr>
            </w:pPr>
          </w:p>
        </w:tc>
      </w:tr>
      <w:tr w:rsidR="00EB3003" w14:paraId="5B40FC2B" w14:textId="77777777" w:rsidTr="004E1C22">
        <w:tc>
          <w:tcPr>
            <w:tcW w:w="4675" w:type="dxa"/>
          </w:tcPr>
          <w:p w14:paraId="73774C18" w14:textId="77777777" w:rsidR="00EB3003" w:rsidRPr="00C11F76" w:rsidRDefault="00EB3003" w:rsidP="00C57922">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lastRenderedPageBreak/>
              <w:t>In practice, this option to provide a live replacement could then encourage further negotiations in which the offender might substitute the life of his own daughter, sister, or even female slave for the life of the dead women. In the absence of an available female substitute, it may then have been possible to reimburse the victim’s husband with the full payment of his original bride-price with interest. This would enable him to obtain another wife, based on the “reckoning” acknowledged in Exodus 21:22, despite the fact that this was not </w:t>
            </w:r>
            <w:r w:rsidRPr="00C11F76">
              <w:rPr>
                <w:rFonts w:ascii="Times New Roman" w:eastAsia="Times New Roman" w:hAnsi="Times New Roman" w:cs="Times New Roman"/>
                <w:i/>
                <w:iCs/>
                <w:color w:val="000000"/>
                <w:sz w:val="26"/>
                <w:lang w:bidi="ar-SA"/>
              </w:rPr>
              <w:t>ab initio</w:t>
            </w:r>
            <w:r w:rsidRPr="00C11F76">
              <w:rPr>
                <w:rFonts w:ascii="Times New Roman" w:eastAsia="Times New Roman" w:hAnsi="Times New Roman" w:cs="Times New Roman"/>
                <w:color w:val="000000"/>
                <w:sz w:val="26"/>
                <w:szCs w:val="26"/>
                <w:lang w:bidi="ar-SA"/>
              </w:rPr>
              <w:t> the intent of the Torah’s law.</w:t>
            </w:r>
          </w:p>
          <w:p w14:paraId="36B8AF8C" w14:textId="77777777" w:rsidR="00EB3003" w:rsidRPr="004E1C22" w:rsidRDefault="00EB3003" w:rsidP="004E1C22">
            <w:pPr>
              <w:spacing w:line="276" w:lineRule="auto"/>
              <w:rPr>
                <w:rFonts w:asciiTheme="minorBidi" w:hAnsiTheme="minorBidi"/>
              </w:rPr>
            </w:pPr>
          </w:p>
        </w:tc>
        <w:tc>
          <w:tcPr>
            <w:tcW w:w="4675" w:type="dxa"/>
          </w:tcPr>
          <w:p w14:paraId="6A9D0B61" w14:textId="050D8F0E" w:rsidR="00EB3003" w:rsidRPr="006C108F" w:rsidRDefault="00EB3003" w:rsidP="00564FED">
            <w:pPr>
              <w:shd w:val="clear" w:color="auto" w:fill="FFFFFF"/>
              <w:spacing w:after="300" w:line="480" w:lineRule="auto"/>
              <w:jc w:val="right"/>
              <w:rPr>
                <w:rFonts w:ascii="David" w:eastAsia="Times New Roman" w:hAnsi="David" w:cs="David"/>
                <w:color w:val="000000"/>
                <w:sz w:val="26"/>
                <w:szCs w:val="26"/>
                <w:rtl/>
                <w:lang w:eastAsia="zh-CN"/>
              </w:rPr>
            </w:pPr>
            <w:r w:rsidRPr="006C108F">
              <w:rPr>
                <w:rFonts w:ascii="David" w:eastAsia="Times New Roman" w:hAnsi="David" w:cs="David"/>
                <w:color w:val="000000"/>
                <w:sz w:val="26"/>
                <w:szCs w:val="26"/>
                <w:rtl/>
                <w:lang w:eastAsia="zh-CN"/>
              </w:rPr>
              <w:t xml:space="preserve">הלכה למעשה, </w:t>
            </w:r>
            <w:r>
              <w:rPr>
                <w:rFonts w:ascii="David" w:eastAsia="Times New Roman" w:hAnsi="David" w:cs="David" w:hint="cs"/>
                <w:color w:val="000000"/>
                <w:sz w:val="26"/>
                <w:szCs w:val="26"/>
                <w:rtl/>
                <w:lang w:eastAsia="zh-CN"/>
              </w:rPr>
              <w:t>יכלה</w:t>
            </w:r>
            <w:r w:rsidRPr="006C108F">
              <w:rPr>
                <w:rFonts w:ascii="David" w:eastAsia="Times New Roman" w:hAnsi="David" w:cs="David"/>
                <w:color w:val="000000"/>
                <w:sz w:val="26"/>
                <w:szCs w:val="26"/>
                <w:rtl/>
                <w:lang w:eastAsia="zh-CN"/>
              </w:rPr>
              <w:t xml:space="preserve"> אופציה זו של </w:t>
            </w:r>
            <w:r>
              <w:rPr>
                <w:rFonts w:ascii="David" w:eastAsia="Times New Roman" w:hAnsi="David" w:cs="David" w:hint="cs"/>
                <w:color w:val="000000"/>
                <w:sz w:val="26"/>
                <w:szCs w:val="26"/>
                <w:rtl/>
                <w:lang w:eastAsia="zh-CN"/>
              </w:rPr>
              <w:t>ת</w:t>
            </w:r>
            <w:r w:rsidRPr="006C108F">
              <w:rPr>
                <w:rFonts w:ascii="David" w:eastAsia="Times New Roman" w:hAnsi="David" w:cs="David"/>
                <w:color w:val="000000"/>
                <w:sz w:val="26"/>
                <w:szCs w:val="26"/>
                <w:rtl/>
                <w:lang w:eastAsia="zh-CN"/>
              </w:rPr>
              <w:t>חל</w:t>
            </w:r>
            <w:r>
              <w:rPr>
                <w:rFonts w:ascii="David" w:eastAsia="Times New Roman" w:hAnsi="David" w:cs="David" w:hint="cs"/>
                <w:color w:val="000000"/>
                <w:sz w:val="26"/>
                <w:szCs w:val="26"/>
                <w:rtl/>
                <w:lang w:eastAsia="zh-CN"/>
              </w:rPr>
              <w:t>יף</w:t>
            </w:r>
            <w:r w:rsidRPr="006C108F">
              <w:rPr>
                <w:rFonts w:ascii="David" w:eastAsia="Times New Roman" w:hAnsi="David" w:cs="David"/>
                <w:color w:val="000000"/>
                <w:sz w:val="26"/>
                <w:szCs w:val="26"/>
                <w:rtl/>
                <w:lang w:eastAsia="zh-CN"/>
              </w:rPr>
              <w:t xml:space="preserve"> אנושי חי לעודד המשך </w:t>
            </w:r>
            <w:r>
              <w:rPr>
                <w:rFonts w:ascii="David" w:eastAsia="Times New Roman" w:hAnsi="David" w:cs="David" w:hint="cs"/>
                <w:color w:val="000000"/>
                <w:sz w:val="26"/>
                <w:szCs w:val="26"/>
                <w:rtl/>
                <w:lang w:eastAsia="zh-CN"/>
              </w:rPr>
              <w:t>מגעים</w:t>
            </w:r>
            <w:r w:rsidRPr="006C108F">
              <w:rPr>
                <w:rFonts w:ascii="David" w:eastAsia="Times New Roman" w:hAnsi="David" w:cs="David"/>
                <w:color w:val="000000"/>
                <w:sz w:val="26"/>
                <w:szCs w:val="26"/>
                <w:rtl/>
                <w:lang w:eastAsia="zh-CN"/>
              </w:rPr>
              <w:t xml:space="preserve"> שבהם </w:t>
            </w:r>
            <w:r>
              <w:rPr>
                <w:rFonts w:ascii="David" w:eastAsia="Times New Roman" w:hAnsi="David" w:cs="David" w:hint="cs"/>
                <w:color w:val="000000"/>
                <w:sz w:val="26"/>
                <w:szCs w:val="26"/>
                <w:rtl/>
                <w:lang w:eastAsia="zh-CN"/>
              </w:rPr>
              <w:t>יכול</w:t>
            </w:r>
            <w:r w:rsidRPr="006C108F">
              <w:rPr>
                <w:rFonts w:ascii="David" w:eastAsia="Times New Roman" w:hAnsi="David" w:cs="David"/>
                <w:color w:val="000000"/>
                <w:sz w:val="26"/>
                <w:szCs w:val="26"/>
                <w:rtl/>
                <w:lang w:eastAsia="zh-CN"/>
              </w:rPr>
              <w:t xml:space="preserve"> </w:t>
            </w:r>
            <w:r>
              <w:rPr>
                <w:rFonts w:ascii="David" w:eastAsia="Times New Roman" w:hAnsi="David" w:cs="David" w:hint="cs"/>
                <w:color w:val="000000"/>
                <w:sz w:val="26"/>
                <w:szCs w:val="26"/>
                <w:rtl/>
                <w:lang w:eastAsia="zh-CN"/>
              </w:rPr>
              <w:t xml:space="preserve">היה </w:t>
            </w:r>
            <w:r w:rsidRPr="006C108F">
              <w:rPr>
                <w:rFonts w:ascii="David" w:eastAsia="Times New Roman" w:hAnsi="David" w:cs="David"/>
                <w:color w:val="000000"/>
                <w:sz w:val="26"/>
                <w:szCs w:val="26"/>
                <w:rtl/>
                <w:lang w:eastAsia="zh-CN"/>
              </w:rPr>
              <w:t xml:space="preserve">הנאשם </w:t>
            </w:r>
            <w:r>
              <w:rPr>
                <w:rFonts w:ascii="David" w:eastAsia="Times New Roman" w:hAnsi="David" w:cs="David" w:hint="cs"/>
                <w:color w:val="000000"/>
                <w:sz w:val="26"/>
                <w:szCs w:val="26"/>
                <w:rtl/>
                <w:lang w:eastAsia="zh-CN"/>
              </w:rPr>
              <w:t xml:space="preserve">להציע </w:t>
            </w:r>
            <w:r w:rsidRPr="006C108F">
              <w:rPr>
                <w:rFonts w:ascii="David" w:eastAsia="Times New Roman" w:hAnsi="David" w:cs="David"/>
                <w:color w:val="000000"/>
                <w:sz w:val="26"/>
                <w:szCs w:val="26"/>
                <w:rtl/>
                <w:lang w:eastAsia="zh-CN"/>
              </w:rPr>
              <w:t>כחלופה את חיי בתו, אחותו, או אפילו שפחתו תמורת חיי הנשים המתות. בהעדר חלופה נשית זמינה, ייתכן שהייתה אפשרות לפצות את בעל</w:t>
            </w:r>
            <w:r>
              <w:rPr>
                <w:rFonts w:ascii="David" w:eastAsia="Times New Roman" w:hAnsi="David" w:cs="David" w:hint="cs"/>
                <w:color w:val="000000"/>
                <w:sz w:val="26"/>
                <w:szCs w:val="26"/>
                <w:rtl/>
                <w:lang w:eastAsia="zh-CN"/>
              </w:rPr>
              <w:t>ה של</w:t>
            </w:r>
            <w:r w:rsidRPr="006C108F">
              <w:rPr>
                <w:rFonts w:ascii="David" w:eastAsia="Times New Roman" w:hAnsi="David" w:cs="David"/>
                <w:color w:val="000000"/>
                <w:sz w:val="26"/>
                <w:szCs w:val="26"/>
                <w:rtl/>
                <w:lang w:eastAsia="zh-CN"/>
              </w:rPr>
              <w:t xml:space="preserve"> הקורבן בתשלום מלא של </w:t>
            </w:r>
            <w:r>
              <w:rPr>
                <w:rFonts w:ascii="David" w:eastAsia="Times New Roman" w:hAnsi="David" w:cs="David" w:hint="cs"/>
                <w:color w:val="000000"/>
                <w:sz w:val="26"/>
                <w:szCs w:val="26"/>
                <w:rtl/>
                <w:lang w:eastAsia="zh-CN"/>
              </w:rPr>
              <w:t>מחיר הכלה</w:t>
            </w:r>
            <w:r w:rsidRPr="006C108F">
              <w:rPr>
                <w:rFonts w:ascii="David" w:eastAsia="Times New Roman" w:hAnsi="David" w:cs="David"/>
                <w:color w:val="000000"/>
                <w:sz w:val="26"/>
                <w:szCs w:val="26"/>
                <w:rtl/>
                <w:lang w:eastAsia="zh-CN"/>
              </w:rPr>
              <w:t xml:space="preserve"> המקורי </w:t>
            </w:r>
            <w:r>
              <w:rPr>
                <w:rFonts w:ascii="David" w:eastAsia="Times New Roman" w:hAnsi="David" w:cs="David" w:hint="cs"/>
                <w:color w:val="000000"/>
                <w:sz w:val="26"/>
                <w:szCs w:val="26"/>
                <w:rtl/>
                <w:lang w:eastAsia="zh-CN"/>
              </w:rPr>
              <w:t xml:space="preserve">שלו </w:t>
            </w:r>
            <w:r w:rsidRPr="006C108F">
              <w:rPr>
                <w:rFonts w:ascii="David" w:eastAsia="Times New Roman" w:hAnsi="David" w:cs="David"/>
                <w:color w:val="000000"/>
                <w:sz w:val="26"/>
                <w:szCs w:val="26"/>
                <w:rtl/>
                <w:lang w:eastAsia="zh-CN"/>
              </w:rPr>
              <w:t xml:space="preserve">בתוספת ריבית. </w:t>
            </w:r>
            <w:r>
              <w:rPr>
                <w:rFonts w:ascii="David" w:eastAsia="Times New Roman" w:hAnsi="David" w:cs="David" w:hint="cs"/>
                <w:color w:val="000000"/>
                <w:sz w:val="26"/>
                <w:szCs w:val="26"/>
                <w:rtl/>
                <w:lang w:eastAsia="zh-CN"/>
              </w:rPr>
              <w:t>כך היה יכול</w:t>
            </w:r>
            <w:r w:rsidRPr="006C108F">
              <w:rPr>
                <w:rFonts w:ascii="David" w:eastAsia="Times New Roman" w:hAnsi="David" w:cs="David"/>
                <w:color w:val="000000"/>
                <w:sz w:val="26"/>
                <w:szCs w:val="26"/>
                <w:rtl/>
                <w:lang w:eastAsia="zh-CN"/>
              </w:rPr>
              <w:t xml:space="preserve"> להשיג אישה אחרת בהתבסס על "ה</w:t>
            </w:r>
            <w:r>
              <w:rPr>
                <w:rFonts w:ascii="David" w:eastAsia="Times New Roman" w:hAnsi="David" w:cs="David" w:hint="cs"/>
                <w:color w:val="000000"/>
                <w:sz w:val="26"/>
                <w:szCs w:val="26"/>
                <w:rtl/>
                <w:lang w:eastAsia="zh-CN"/>
              </w:rPr>
              <w:t>הת</w:t>
            </w:r>
            <w:r w:rsidRPr="006C108F">
              <w:rPr>
                <w:rFonts w:ascii="David" w:eastAsia="Times New Roman" w:hAnsi="David" w:cs="David"/>
                <w:color w:val="000000"/>
                <w:sz w:val="26"/>
                <w:szCs w:val="26"/>
                <w:rtl/>
                <w:lang w:eastAsia="zh-CN"/>
              </w:rPr>
              <w:t>חשב</w:t>
            </w:r>
            <w:r>
              <w:rPr>
                <w:rFonts w:ascii="David" w:eastAsia="Times New Roman" w:hAnsi="David" w:cs="David" w:hint="cs"/>
                <w:color w:val="000000"/>
                <w:sz w:val="26"/>
                <w:szCs w:val="26"/>
                <w:rtl/>
                <w:lang w:eastAsia="zh-CN"/>
              </w:rPr>
              <w:t>נות</w:t>
            </w:r>
            <w:r w:rsidRPr="006C108F">
              <w:rPr>
                <w:rFonts w:ascii="David" w:eastAsia="Times New Roman" w:hAnsi="David" w:cs="David"/>
                <w:color w:val="000000"/>
                <w:sz w:val="26"/>
                <w:szCs w:val="26"/>
                <w:rtl/>
                <w:lang w:eastAsia="zh-CN"/>
              </w:rPr>
              <w:t>" המוזכר</w:t>
            </w:r>
            <w:r>
              <w:rPr>
                <w:rFonts w:ascii="David" w:eastAsia="Times New Roman" w:hAnsi="David" w:cs="David" w:hint="cs"/>
                <w:color w:val="000000"/>
                <w:sz w:val="26"/>
                <w:szCs w:val="26"/>
                <w:rtl/>
                <w:lang w:eastAsia="zh-CN"/>
              </w:rPr>
              <w:t>ת</w:t>
            </w:r>
            <w:r w:rsidRPr="006C108F">
              <w:rPr>
                <w:rFonts w:ascii="David" w:eastAsia="Times New Roman" w:hAnsi="David" w:cs="David"/>
                <w:color w:val="000000"/>
                <w:sz w:val="26"/>
                <w:szCs w:val="26"/>
                <w:rtl/>
                <w:lang w:eastAsia="zh-CN"/>
              </w:rPr>
              <w:t xml:space="preserve"> בשמות </w:t>
            </w:r>
            <w:proofErr w:type="spellStart"/>
            <w:r w:rsidRPr="006C108F">
              <w:rPr>
                <w:rFonts w:ascii="David" w:eastAsia="Times New Roman" w:hAnsi="David" w:cs="David"/>
                <w:color w:val="000000"/>
                <w:sz w:val="26"/>
                <w:szCs w:val="26"/>
                <w:rtl/>
                <w:lang w:eastAsia="zh-CN"/>
              </w:rPr>
              <w:t>כא:</w:t>
            </w:r>
            <w:r>
              <w:rPr>
                <w:rFonts w:ascii="David" w:eastAsia="Times New Roman" w:hAnsi="David" w:cs="David" w:hint="cs"/>
                <w:color w:val="000000"/>
                <w:sz w:val="26"/>
                <w:szCs w:val="26"/>
                <w:rtl/>
                <w:lang w:eastAsia="zh-CN"/>
              </w:rPr>
              <w:t>כב</w:t>
            </w:r>
            <w:proofErr w:type="spellEnd"/>
            <w:r w:rsidRPr="006C108F">
              <w:rPr>
                <w:rFonts w:ascii="David" w:eastAsia="Times New Roman" w:hAnsi="David" w:cs="David"/>
                <w:color w:val="000000"/>
                <w:sz w:val="26"/>
                <w:szCs w:val="26"/>
                <w:rtl/>
                <w:lang w:eastAsia="zh-CN"/>
              </w:rPr>
              <w:t xml:space="preserve"> על אף ש</w:t>
            </w:r>
            <w:r>
              <w:rPr>
                <w:rFonts w:ascii="David" w:eastAsia="Times New Roman" w:hAnsi="David" w:cs="David" w:hint="cs"/>
                <w:color w:val="000000"/>
                <w:sz w:val="26"/>
                <w:szCs w:val="26"/>
                <w:rtl/>
                <w:lang w:eastAsia="zh-CN"/>
              </w:rPr>
              <w:t>מ</w:t>
            </w:r>
            <w:r w:rsidRPr="006C108F">
              <w:rPr>
                <w:rFonts w:ascii="David" w:eastAsia="Times New Roman" w:hAnsi="David" w:cs="David"/>
                <w:color w:val="000000"/>
                <w:sz w:val="26"/>
                <w:szCs w:val="26"/>
                <w:rtl/>
                <w:lang w:eastAsia="zh-CN"/>
              </w:rPr>
              <w:t>לכתחילה, לא זו הייתה כוונת חוק התורה.</w:t>
            </w:r>
          </w:p>
          <w:p w14:paraId="66335B43" w14:textId="77777777" w:rsidR="00EB3003" w:rsidRDefault="00EB3003" w:rsidP="004E1C22">
            <w:pPr>
              <w:bidi/>
              <w:spacing w:line="276" w:lineRule="auto"/>
              <w:rPr>
                <w:rFonts w:asciiTheme="minorBidi" w:hAnsiTheme="minorBidi"/>
                <w:rtl/>
              </w:rPr>
            </w:pPr>
          </w:p>
        </w:tc>
      </w:tr>
      <w:tr w:rsidR="00EB3003" w14:paraId="25ADED22" w14:textId="77777777" w:rsidTr="004E1C22">
        <w:tc>
          <w:tcPr>
            <w:tcW w:w="4675" w:type="dxa"/>
          </w:tcPr>
          <w:p w14:paraId="6BB69B0A" w14:textId="77777777" w:rsidR="00EB3003" w:rsidRPr="00C11F76" w:rsidRDefault="00EB3003" w:rsidP="00C57922">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C11F76">
              <w:rPr>
                <w:rFonts w:ascii="Times New Roman" w:eastAsia="Times New Roman" w:hAnsi="Times New Roman" w:cs="Times New Roman"/>
                <w:color w:val="000000"/>
                <w:sz w:val="38"/>
                <w:szCs w:val="38"/>
                <w:lang w:bidi="ar-SA"/>
              </w:rPr>
              <w:t xml:space="preserve">The </w:t>
            </w:r>
            <w:proofErr w:type="gramStart"/>
            <w:r w:rsidRPr="00C11F76">
              <w:rPr>
                <w:rFonts w:ascii="Times New Roman" w:eastAsia="Times New Roman" w:hAnsi="Times New Roman" w:cs="Times New Roman"/>
                <w:color w:val="000000"/>
                <w:sz w:val="38"/>
                <w:szCs w:val="38"/>
                <w:lang w:bidi="ar-SA"/>
              </w:rPr>
              <w:t>Principle</w:t>
            </w:r>
            <w:proofErr w:type="gramEnd"/>
            <w:r w:rsidRPr="00C11F76">
              <w:rPr>
                <w:rFonts w:ascii="Times New Roman" w:eastAsia="Times New Roman" w:hAnsi="Times New Roman" w:cs="Times New Roman"/>
                <w:color w:val="000000"/>
                <w:sz w:val="38"/>
                <w:szCs w:val="38"/>
                <w:lang w:bidi="ar-SA"/>
              </w:rPr>
              <w:t xml:space="preserve"> of </w:t>
            </w:r>
            <w:bookmarkStart w:id="6" w:name="_Hlk90908074"/>
            <w:proofErr w:type="spellStart"/>
            <w:r w:rsidRPr="00C11F76">
              <w:rPr>
                <w:rFonts w:ascii="Times New Roman" w:eastAsia="Times New Roman" w:hAnsi="Times New Roman" w:cs="Times New Roman"/>
                <w:i/>
                <w:iCs/>
                <w:color w:val="000000"/>
                <w:sz w:val="38"/>
                <w:lang w:bidi="ar-SA"/>
              </w:rPr>
              <w:t>napšāte</w:t>
            </w:r>
            <w:proofErr w:type="spellEnd"/>
            <w:r w:rsidRPr="00C11F76">
              <w:rPr>
                <w:rFonts w:ascii="Times New Roman" w:eastAsia="Times New Roman" w:hAnsi="Times New Roman" w:cs="Times New Roman"/>
                <w:i/>
                <w:iCs/>
                <w:color w:val="000000"/>
                <w:sz w:val="38"/>
                <w:lang w:bidi="ar-SA"/>
              </w:rPr>
              <w:t xml:space="preserve"> </w:t>
            </w:r>
            <w:proofErr w:type="spellStart"/>
            <w:r w:rsidRPr="00C11F76">
              <w:rPr>
                <w:rFonts w:ascii="Times New Roman" w:eastAsia="Times New Roman" w:hAnsi="Times New Roman" w:cs="Times New Roman"/>
                <w:i/>
                <w:iCs/>
                <w:color w:val="000000"/>
                <w:sz w:val="38"/>
                <w:lang w:bidi="ar-SA"/>
              </w:rPr>
              <w:t>umallā</w:t>
            </w:r>
            <w:bookmarkEnd w:id="6"/>
            <w:proofErr w:type="spellEnd"/>
            <w:r w:rsidRPr="00C11F76">
              <w:rPr>
                <w:rFonts w:ascii="Times New Roman" w:eastAsia="Times New Roman" w:hAnsi="Times New Roman" w:cs="Times New Roman"/>
                <w:color w:val="000000"/>
                <w:sz w:val="38"/>
                <w:szCs w:val="38"/>
                <w:lang w:bidi="ar-SA"/>
              </w:rPr>
              <w:t> in the Middle Assyrian Laws</w:t>
            </w:r>
          </w:p>
          <w:p w14:paraId="62E7D59F" w14:textId="77777777" w:rsidR="00EB3003" w:rsidRPr="004E1C22" w:rsidRDefault="00EB3003" w:rsidP="004E1C22">
            <w:pPr>
              <w:spacing w:line="276" w:lineRule="auto"/>
              <w:rPr>
                <w:rFonts w:asciiTheme="minorBidi" w:hAnsiTheme="minorBidi"/>
              </w:rPr>
            </w:pPr>
          </w:p>
        </w:tc>
        <w:tc>
          <w:tcPr>
            <w:tcW w:w="4675" w:type="dxa"/>
          </w:tcPr>
          <w:p w14:paraId="29E94D09" w14:textId="305CF19F" w:rsidR="00EB3003" w:rsidRDefault="00EB3003" w:rsidP="009A517F">
            <w:pPr>
              <w:shd w:val="clear" w:color="auto" w:fill="FFFFFF"/>
              <w:spacing w:after="300" w:line="465" w:lineRule="atLeast"/>
              <w:jc w:val="center"/>
              <w:rPr>
                <w:rFonts w:ascii="David" w:eastAsia="Times New Roman" w:hAnsi="David" w:cs="David"/>
                <w:i/>
                <w:iCs/>
                <w:color w:val="000000"/>
                <w:sz w:val="32"/>
                <w:szCs w:val="32"/>
                <w:rtl/>
                <w:lang w:bidi="ar-SA"/>
              </w:rPr>
            </w:pPr>
            <w:r w:rsidRPr="00824C8E">
              <w:rPr>
                <w:rFonts w:ascii="David" w:eastAsia="Times New Roman" w:hAnsi="David" w:cs="David"/>
                <w:color w:val="000000"/>
                <w:sz w:val="32"/>
                <w:szCs w:val="32"/>
                <w:rtl/>
                <w:lang w:eastAsia="zh-CN"/>
              </w:rPr>
              <w:t>עיקרון ה-</w:t>
            </w:r>
          </w:p>
          <w:p w14:paraId="5808481F" w14:textId="08C28808" w:rsidR="00EB3003" w:rsidRPr="00824C8E" w:rsidRDefault="00EB3003" w:rsidP="009A517F">
            <w:pPr>
              <w:shd w:val="clear" w:color="auto" w:fill="FFFFFF"/>
              <w:spacing w:after="300" w:line="465" w:lineRule="atLeast"/>
              <w:jc w:val="center"/>
              <w:rPr>
                <w:rFonts w:ascii="David" w:eastAsia="Times New Roman" w:hAnsi="David" w:cs="David"/>
                <w:color w:val="000000"/>
                <w:sz w:val="32"/>
                <w:szCs w:val="32"/>
                <w:lang w:eastAsia="zh-CN"/>
              </w:rPr>
            </w:pPr>
            <w:r w:rsidRPr="00824C8E">
              <w:rPr>
                <w:rFonts w:ascii="David" w:eastAsia="Times New Roman" w:hAnsi="David" w:cs="David"/>
                <w:i/>
                <w:iCs/>
                <w:color w:val="000000"/>
                <w:sz w:val="32"/>
                <w:szCs w:val="32"/>
                <w:lang w:bidi="ar-SA"/>
              </w:rPr>
              <w:t xml:space="preserve"> </w:t>
            </w:r>
            <w:proofErr w:type="spellStart"/>
            <w:r w:rsidRPr="00824C8E">
              <w:rPr>
                <w:rFonts w:ascii="David" w:eastAsia="Times New Roman" w:hAnsi="David" w:cs="David"/>
                <w:i/>
                <w:iCs/>
                <w:color w:val="000000"/>
                <w:sz w:val="32"/>
                <w:szCs w:val="32"/>
                <w:lang w:bidi="ar-SA"/>
              </w:rPr>
              <w:t>napš</w:t>
            </w:r>
            <w:r w:rsidRPr="00824C8E">
              <w:rPr>
                <w:rFonts w:ascii="Calibri" w:eastAsia="Times New Roman" w:hAnsi="Calibri" w:cs="Calibri"/>
                <w:i/>
                <w:iCs/>
                <w:color w:val="000000"/>
                <w:sz w:val="32"/>
                <w:szCs w:val="32"/>
                <w:lang w:bidi="ar-SA"/>
              </w:rPr>
              <w:t>ā</w:t>
            </w:r>
            <w:r w:rsidRPr="00824C8E">
              <w:rPr>
                <w:rFonts w:ascii="David" w:eastAsia="Times New Roman" w:hAnsi="David" w:cs="David"/>
                <w:i/>
                <w:iCs/>
                <w:color w:val="000000"/>
                <w:sz w:val="32"/>
                <w:szCs w:val="32"/>
                <w:lang w:bidi="ar-SA"/>
              </w:rPr>
              <w:t>te</w:t>
            </w:r>
            <w:proofErr w:type="spellEnd"/>
            <w:r w:rsidRPr="00824C8E">
              <w:rPr>
                <w:rFonts w:ascii="David" w:eastAsia="Times New Roman" w:hAnsi="David" w:cs="David"/>
                <w:i/>
                <w:iCs/>
                <w:color w:val="000000"/>
                <w:sz w:val="32"/>
                <w:szCs w:val="32"/>
                <w:lang w:bidi="ar-SA"/>
              </w:rPr>
              <w:t xml:space="preserve"> </w:t>
            </w:r>
            <w:proofErr w:type="spellStart"/>
            <w:r w:rsidRPr="00824C8E">
              <w:rPr>
                <w:rFonts w:ascii="David" w:eastAsia="Times New Roman" w:hAnsi="David" w:cs="David"/>
                <w:i/>
                <w:iCs/>
                <w:color w:val="000000"/>
                <w:sz w:val="32"/>
                <w:szCs w:val="32"/>
                <w:lang w:bidi="ar-SA"/>
              </w:rPr>
              <w:t>umall</w:t>
            </w:r>
            <w:r w:rsidRPr="00824C8E">
              <w:rPr>
                <w:rFonts w:ascii="Calibri" w:eastAsia="Times New Roman" w:hAnsi="Calibri" w:cs="Calibri"/>
                <w:i/>
                <w:iCs/>
                <w:color w:val="000000"/>
                <w:sz w:val="32"/>
                <w:szCs w:val="32"/>
                <w:lang w:bidi="ar-SA"/>
              </w:rPr>
              <w:t>ā</w:t>
            </w:r>
            <w:proofErr w:type="spellEnd"/>
          </w:p>
          <w:p w14:paraId="72FB16FD" w14:textId="48CFE184" w:rsidR="00EB3003" w:rsidRPr="009A517F" w:rsidRDefault="00EB3003" w:rsidP="009A517F">
            <w:pPr>
              <w:bidi/>
              <w:spacing w:line="276" w:lineRule="auto"/>
              <w:jc w:val="center"/>
              <w:rPr>
                <w:rFonts w:ascii="David" w:hAnsi="David" w:cs="David"/>
                <w:sz w:val="32"/>
                <w:szCs w:val="32"/>
                <w:rtl/>
              </w:rPr>
            </w:pPr>
            <w:r w:rsidRPr="009A517F">
              <w:rPr>
                <w:rFonts w:ascii="David" w:hAnsi="David" w:cs="David"/>
                <w:sz w:val="32"/>
                <w:szCs w:val="32"/>
                <w:rtl/>
              </w:rPr>
              <w:t>בחוקי אשור</w:t>
            </w:r>
          </w:p>
        </w:tc>
      </w:tr>
      <w:tr w:rsidR="00EB3003" w14:paraId="75A9A757" w14:textId="77777777" w:rsidTr="004E1C22">
        <w:tc>
          <w:tcPr>
            <w:tcW w:w="4675" w:type="dxa"/>
          </w:tcPr>
          <w:p w14:paraId="62E18A24" w14:textId="77777777" w:rsidR="00EB3003" w:rsidRPr="00C11F76" w:rsidRDefault="00EB3003" w:rsidP="003749DB">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lastRenderedPageBreak/>
              <w:t>Jackson’s reconstruction is supported by earlier cognates from the Middle Assyrian Laws,</w:t>
            </w:r>
            <w:r w:rsidRPr="00C11F76">
              <w:rPr>
                <w:rFonts w:ascii="Times New Roman" w:eastAsia="Times New Roman" w:hAnsi="Times New Roman" w:cs="Times New Roman"/>
                <w:color w:val="B22222"/>
                <w:sz w:val="23"/>
                <w:szCs w:val="23"/>
                <w:vertAlign w:val="superscript"/>
                <w:lang w:bidi="ar-SA"/>
              </w:rPr>
              <w:t>[16]</w:t>
            </w:r>
            <w:r w:rsidRPr="00C11F76">
              <w:rPr>
                <w:rFonts w:ascii="Times New Roman" w:eastAsia="Times New Roman" w:hAnsi="Times New Roman" w:cs="Times New Roman"/>
                <w:color w:val="000000"/>
                <w:sz w:val="26"/>
                <w:szCs w:val="26"/>
                <w:lang w:bidi="ar-SA"/>
              </w:rPr>
              <w:t> as transliterated and translated by Godfrey Driver and John Miles in 1935,</w:t>
            </w:r>
            <w:r w:rsidRPr="00C11F76">
              <w:rPr>
                <w:rFonts w:ascii="Times New Roman" w:eastAsia="Times New Roman" w:hAnsi="Times New Roman" w:cs="Times New Roman"/>
                <w:color w:val="B22222"/>
                <w:sz w:val="23"/>
                <w:szCs w:val="23"/>
                <w:vertAlign w:val="superscript"/>
                <w:lang w:bidi="ar-SA"/>
              </w:rPr>
              <w:t>[17]</w:t>
            </w:r>
            <w:r w:rsidRPr="00C11F76">
              <w:rPr>
                <w:rFonts w:ascii="Times New Roman" w:eastAsia="Times New Roman" w:hAnsi="Times New Roman" w:cs="Times New Roman"/>
                <w:color w:val="000000"/>
                <w:sz w:val="26"/>
                <w:szCs w:val="26"/>
                <w:lang w:bidi="ar-SA"/>
              </w:rPr>
              <w:t> who clarify the principle, </w:t>
            </w:r>
            <w:bookmarkStart w:id="7" w:name="_Hlk90908854"/>
            <w:proofErr w:type="spellStart"/>
            <w:r w:rsidRPr="00C11F76">
              <w:rPr>
                <w:rFonts w:ascii="Times New Roman" w:eastAsia="Times New Roman" w:hAnsi="Times New Roman" w:cs="Times New Roman"/>
                <w:i/>
                <w:iCs/>
                <w:color w:val="000000"/>
                <w:sz w:val="26"/>
                <w:lang w:bidi="ar-SA"/>
              </w:rPr>
              <w:t>kīmā</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ša</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libbiša</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napšāte</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umallā</w:t>
            </w:r>
            <w:proofErr w:type="spellEnd"/>
            <w:r w:rsidRPr="00C11F76">
              <w:rPr>
                <w:rFonts w:ascii="Times New Roman" w:eastAsia="Times New Roman" w:hAnsi="Times New Roman" w:cs="Times New Roman"/>
                <w:color w:val="000000"/>
                <w:sz w:val="26"/>
                <w:szCs w:val="26"/>
                <w:lang w:bidi="ar-SA"/>
              </w:rPr>
              <w:t> </w:t>
            </w:r>
            <w:bookmarkEnd w:id="7"/>
            <w:r w:rsidRPr="00C11F76">
              <w:rPr>
                <w:rFonts w:ascii="Times New Roman" w:eastAsia="Times New Roman" w:hAnsi="Times New Roman" w:cs="Times New Roman"/>
                <w:color w:val="000000"/>
                <w:sz w:val="26"/>
                <w:szCs w:val="26"/>
                <w:lang w:bidi="ar-SA"/>
              </w:rPr>
              <w:t>“he pays on the principle of a life.” This principle applied both to the death of the assailant (in the event of his causing a married woman’s death), but also where (unspecified live or dead) substitution was intended.</w:t>
            </w:r>
            <w:r w:rsidRPr="00C11F76">
              <w:rPr>
                <w:rFonts w:ascii="Times New Roman" w:eastAsia="Times New Roman" w:hAnsi="Times New Roman" w:cs="Times New Roman"/>
                <w:color w:val="B22222"/>
                <w:sz w:val="23"/>
                <w:szCs w:val="23"/>
                <w:vertAlign w:val="superscript"/>
                <w:lang w:bidi="ar-SA"/>
              </w:rPr>
              <w:t>[18]</w:t>
            </w:r>
          </w:p>
          <w:p w14:paraId="0C7A192F" w14:textId="77777777" w:rsidR="00EB3003" w:rsidRPr="00C11F76" w:rsidRDefault="00EB3003" w:rsidP="00C57922">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p>
        </w:tc>
        <w:tc>
          <w:tcPr>
            <w:tcW w:w="4675" w:type="dxa"/>
          </w:tcPr>
          <w:p w14:paraId="0091880D" w14:textId="4D77B66C" w:rsidR="00EB3003" w:rsidRPr="00824C8E" w:rsidRDefault="00EB3003" w:rsidP="00062C69">
            <w:pPr>
              <w:shd w:val="clear" w:color="auto" w:fill="FFFFFF"/>
              <w:spacing w:after="300" w:line="465" w:lineRule="atLeast"/>
              <w:jc w:val="right"/>
              <w:rPr>
                <w:rFonts w:ascii="David" w:eastAsia="Times New Roman" w:hAnsi="David" w:cs="David"/>
                <w:color w:val="000000"/>
                <w:sz w:val="24"/>
                <w:szCs w:val="24"/>
                <w:rtl/>
                <w:lang w:eastAsia="zh-CN"/>
              </w:rPr>
            </w:pPr>
            <w:r w:rsidRPr="00824C8E">
              <w:rPr>
                <w:rFonts w:ascii="David" w:eastAsia="Times New Roman" w:hAnsi="David" w:cs="David"/>
                <w:color w:val="000000"/>
                <w:sz w:val="24"/>
                <w:szCs w:val="24"/>
                <w:rtl/>
                <w:lang w:eastAsia="zh-CN"/>
              </w:rPr>
              <w:t xml:space="preserve">שחזורו של ג'קסון נתמך בידי חידושים מוקדמים יותר </w:t>
            </w:r>
            <w:r w:rsidRPr="00824C8E">
              <w:rPr>
                <w:rFonts w:ascii="David" w:eastAsia="Times New Roman" w:hAnsi="David" w:cs="David" w:hint="cs"/>
                <w:color w:val="000000"/>
                <w:sz w:val="24"/>
                <w:szCs w:val="24"/>
                <w:rtl/>
                <w:lang w:eastAsia="zh-CN"/>
              </w:rPr>
              <w:t xml:space="preserve">המצויים </w:t>
            </w:r>
            <w:r w:rsidRPr="00824C8E">
              <w:rPr>
                <w:rFonts w:ascii="David" w:eastAsia="Times New Roman" w:hAnsi="David" w:cs="David"/>
                <w:color w:val="000000"/>
                <w:sz w:val="24"/>
                <w:szCs w:val="24"/>
                <w:rtl/>
                <w:lang w:eastAsia="zh-CN"/>
              </w:rPr>
              <w:t>בחוקי אשור,</w:t>
            </w:r>
            <w:r w:rsidRPr="00824C8E">
              <w:rPr>
                <w:rStyle w:val="af0"/>
                <w:rFonts w:ascii="David" w:eastAsia="Times New Roman" w:hAnsi="David" w:cs="David"/>
                <w:color w:val="000000"/>
                <w:sz w:val="24"/>
                <w:szCs w:val="24"/>
                <w:rtl/>
                <w:lang w:eastAsia="zh-CN"/>
              </w:rPr>
              <w:endnoteReference w:id="17"/>
            </w:r>
            <w:r w:rsidRPr="00824C8E">
              <w:rPr>
                <w:rFonts w:ascii="David" w:eastAsia="Times New Roman" w:hAnsi="David" w:cs="David"/>
                <w:color w:val="000000"/>
                <w:sz w:val="24"/>
                <w:szCs w:val="24"/>
                <w:rtl/>
                <w:lang w:eastAsia="zh-CN"/>
              </w:rPr>
              <w:t xml:space="preserve"> כפי שתעתקו ותרגמו אותם </w:t>
            </w:r>
            <w:proofErr w:type="spellStart"/>
            <w:r w:rsidRPr="00824C8E">
              <w:rPr>
                <w:rFonts w:ascii="David" w:eastAsia="Times New Roman" w:hAnsi="David" w:cs="David"/>
                <w:color w:val="000000"/>
                <w:sz w:val="24"/>
                <w:szCs w:val="24"/>
                <w:rtl/>
                <w:lang w:eastAsia="zh-CN"/>
              </w:rPr>
              <w:t>גודפרי</w:t>
            </w:r>
            <w:proofErr w:type="spellEnd"/>
            <w:r w:rsidRPr="00824C8E">
              <w:rPr>
                <w:rFonts w:ascii="David" w:eastAsia="Times New Roman" w:hAnsi="David" w:cs="David"/>
                <w:color w:val="000000"/>
                <w:sz w:val="24"/>
                <w:szCs w:val="24"/>
                <w:rtl/>
                <w:lang w:eastAsia="zh-CN"/>
              </w:rPr>
              <w:t xml:space="preserve"> דרייבר וג'ון מיילס ב-1935,</w:t>
            </w:r>
            <w:r w:rsidRPr="00824C8E">
              <w:rPr>
                <w:rStyle w:val="af0"/>
                <w:rFonts w:ascii="David" w:eastAsia="Times New Roman" w:hAnsi="David" w:cs="David"/>
                <w:color w:val="000000"/>
                <w:sz w:val="24"/>
                <w:szCs w:val="24"/>
                <w:rtl/>
                <w:lang w:eastAsia="zh-CN"/>
              </w:rPr>
              <w:endnoteReference w:id="18"/>
            </w:r>
            <w:r w:rsidRPr="00824C8E">
              <w:rPr>
                <w:rFonts w:ascii="David" w:eastAsia="Times New Roman" w:hAnsi="David" w:cs="David"/>
                <w:color w:val="000000"/>
                <w:sz w:val="24"/>
                <w:szCs w:val="24"/>
                <w:rtl/>
                <w:lang w:eastAsia="zh-CN"/>
              </w:rPr>
              <w:t xml:space="preserve"> אשר מבהירים את עיקרון </w:t>
            </w:r>
            <w:proofErr w:type="spellStart"/>
            <w:r w:rsidRPr="00824C8E">
              <w:rPr>
                <w:rFonts w:ascii="David" w:eastAsia="Times New Roman" w:hAnsi="David" w:cs="David"/>
                <w:i/>
                <w:iCs/>
                <w:color w:val="000000"/>
                <w:sz w:val="24"/>
                <w:szCs w:val="24"/>
                <w:lang w:bidi="ar-SA"/>
              </w:rPr>
              <w:t>k</w:t>
            </w:r>
            <w:r w:rsidRPr="00824C8E">
              <w:rPr>
                <w:rFonts w:ascii="Calibri" w:eastAsia="Times New Roman" w:hAnsi="Calibri" w:cs="Calibri"/>
                <w:i/>
                <w:iCs/>
                <w:color w:val="000000"/>
                <w:sz w:val="24"/>
                <w:szCs w:val="24"/>
                <w:lang w:bidi="ar-SA"/>
              </w:rPr>
              <w:t>ī</w:t>
            </w:r>
            <w:r w:rsidRPr="00824C8E">
              <w:rPr>
                <w:rFonts w:ascii="David" w:eastAsia="Times New Roman" w:hAnsi="David" w:cs="David"/>
                <w:i/>
                <w:iCs/>
                <w:color w:val="000000"/>
                <w:sz w:val="24"/>
                <w:szCs w:val="24"/>
                <w:lang w:bidi="ar-SA"/>
              </w:rPr>
              <w:t>m</w:t>
            </w:r>
            <w:r w:rsidRPr="00824C8E">
              <w:rPr>
                <w:rFonts w:ascii="Calibri" w:eastAsia="Times New Roman" w:hAnsi="Calibri" w:cs="Calibri"/>
                <w:i/>
                <w:iCs/>
                <w:color w:val="000000"/>
                <w:sz w:val="24"/>
                <w:szCs w:val="24"/>
                <w:lang w:bidi="ar-SA"/>
              </w:rPr>
              <w:t>ā</w:t>
            </w:r>
            <w:proofErr w:type="spellEnd"/>
            <w:r w:rsidRPr="00824C8E">
              <w:rPr>
                <w:rFonts w:ascii="David" w:eastAsia="Times New Roman" w:hAnsi="David" w:cs="David"/>
                <w:i/>
                <w:iCs/>
                <w:color w:val="000000"/>
                <w:sz w:val="24"/>
                <w:szCs w:val="24"/>
                <w:lang w:bidi="ar-SA"/>
              </w:rPr>
              <w:t xml:space="preserve"> </w:t>
            </w:r>
            <w:proofErr w:type="spellStart"/>
            <w:r w:rsidRPr="00824C8E">
              <w:rPr>
                <w:rFonts w:ascii="David" w:eastAsia="Times New Roman" w:hAnsi="David" w:cs="David"/>
                <w:i/>
                <w:iCs/>
                <w:color w:val="000000"/>
                <w:sz w:val="24"/>
                <w:szCs w:val="24"/>
                <w:lang w:bidi="ar-SA"/>
              </w:rPr>
              <w:t>ša</w:t>
            </w:r>
            <w:proofErr w:type="spellEnd"/>
            <w:r w:rsidRPr="00824C8E">
              <w:rPr>
                <w:rFonts w:ascii="David" w:eastAsia="Times New Roman" w:hAnsi="David" w:cs="David"/>
                <w:i/>
                <w:iCs/>
                <w:color w:val="000000"/>
                <w:sz w:val="24"/>
                <w:szCs w:val="24"/>
                <w:lang w:bidi="ar-SA"/>
              </w:rPr>
              <w:t xml:space="preserve"> </w:t>
            </w:r>
            <w:proofErr w:type="spellStart"/>
            <w:r w:rsidRPr="00824C8E">
              <w:rPr>
                <w:rFonts w:ascii="David" w:eastAsia="Times New Roman" w:hAnsi="David" w:cs="David"/>
                <w:i/>
                <w:iCs/>
                <w:color w:val="000000"/>
                <w:sz w:val="24"/>
                <w:szCs w:val="24"/>
                <w:lang w:bidi="ar-SA"/>
              </w:rPr>
              <w:t>libbiša</w:t>
            </w:r>
            <w:proofErr w:type="spellEnd"/>
            <w:r w:rsidRPr="00824C8E">
              <w:rPr>
                <w:rFonts w:ascii="David" w:eastAsia="Times New Roman" w:hAnsi="David" w:cs="David"/>
                <w:i/>
                <w:iCs/>
                <w:color w:val="000000"/>
                <w:sz w:val="24"/>
                <w:szCs w:val="24"/>
                <w:lang w:bidi="ar-SA"/>
              </w:rPr>
              <w:t xml:space="preserve"> </w:t>
            </w:r>
            <w:proofErr w:type="spellStart"/>
            <w:r w:rsidRPr="00824C8E">
              <w:rPr>
                <w:rFonts w:ascii="David" w:eastAsia="Times New Roman" w:hAnsi="David" w:cs="David"/>
                <w:i/>
                <w:iCs/>
                <w:color w:val="000000"/>
                <w:sz w:val="24"/>
                <w:szCs w:val="24"/>
                <w:lang w:bidi="ar-SA"/>
              </w:rPr>
              <w:t>napš</w:t>
            </w:r>
            <w:r w:rsidRPr="00824C8E">
              <w:rPr>
                <w:rFonts w:ascii="Calibri" w:eastAsia="Times New Roman" w:hAnsi="Calibri" w:cs="Calibri"/>
                <w:i/>
                <w:iCs/>
                <w:color w:val="000000"/>
                <w:sz w:val="24"/>
                <w:szCs w:val="24"/>
                <w:lang w:bidi="ar-SA"/>
              </w:rPr>
              <w:t>ā</w:t>
            </w:r>
            <w:r w:rsidRPr="00824C8E">
              <w:rPr>
                <w:rFonts w:ascii="David" w:eastAsia="Times New Roman" w:hAnsi="David" w:cs="David"/>
                <w:i/>
                <w:iCs/>
                <w:color w:val="000000"/>
                <w:sz w:val="24"/>
                <w:szCs w:val="24"/>
                <w:lang w:bidi="ar-SA"/>
              </w:rPr>
              <w:t>te</w:t>
            </w:r>
            <w:proofErr w:type="spellEnd"/>
            <w:r w:rsidRPr="00824C8E">
              <w:rPr>
                <w:rFonts w:ascii="David" w:eastAsia="Times New Roman" w:hAnsi="David" w:cs="David"/>
                <w:i/>
                <w:iCs/>
                <w:color w:val="000000"/>
                <w:sz w:val="24"/>
                <w:szCs w:val="24"/>
                <w:lang w:bidi="ar-SA"/>
              </w:rPr>
              <w:t xml:space="preserve"> </w:t>
            </w:r>
            <w:proofErr w:type="spellStart"/>
            <w:r w:rsidRPr="00824C8E">
              <w:rPr>
                <w:rFonts w:ascii="David" w:eastAsia="Times New Roman" w:hAnsi="David" w:cs="David"/>
                <w:i/>
                <w:iCs/>
                <w:color w:val="000000"/>
                <w:sz w:val="24"/>
                <w:szCs w:val="24"/>
                <w:lang w:bidi="ar-SA"/>
              </w:rPr>
              <w:t>umall</w:t>
            </w:r>
            <w:r w:rsidRPr="00824C8E">
              <w:rPr>
                <w:rFonts w:ascii="Calibri" w:eastAsia="Times New Roman" w:hAnsi="Calibri" w:cs="Calibri"/>
                <w:i/>
                <w:iCs/>
                <w:color w:val="000000"/>
                <w:sz w:val="24"/>
                <w:szCs w:val="24"/>
                <w:lang w:bidi="ar-SA"/>
              </w:rPr>
              <w:t>ā</w:t>
            </w:r>
            <w:proofErr w:type="spellEnd"/>
            <w:r w:rsidRPr="00824C8E">
              <w:rPr>
                <w:rFonts w:ascii="David" w:eastAsia="Times New Roman" w:hAnsi="David" w:cs="David"/>
                <w:color w:val="000000"/>
                <w:sz w:val="24"/>
                <w:szCs w:val="24"/>
                <w:lang w:bidi="ar-SA"/>
              </w:rPr>
              <w:t> </w:t>
            </w:r>
            <w:r w:rsidRPr="00824C8E">
              <w:rPr>
                <w:rFonts w:ascii="David" w:eastAsia="Times New Roman" w:hAnsi="David" w:cs="David"/>
                <w:color w:val="000000"/>
                <w:sz w:val="24"/>
                <w:szCs w:val="24"/>
                <w:rtl/>
                <w:lang w:eastAsia="zh-CN"/>
              </w:rPr>
              <w:t xml:space="preserve">, "הוא משלם על עיקרון חיים". עיקרון זה  </w:t>
            </w:r>
            <w:r>
              <w:rPr>
                <w:rFonts w:ascii="David" w:eastAsia="Times New Roman" w:hAnsi="David" w:cs="David" w:hint="cs"/>
                <w:color w:val="000000"/>
                <w:sz w:val="24"/>
                <w:szCs w:val="24"/>
                <w:rtl/>
                <w:lang w:eastAsia="zh-CN"/>
              </w:rPr>
              <w:t>התייחס</w:t>
            </w:r>
            <w:r w:rsidRPr="00824C8E">
              <w:rPr>
                <w:rFonts w:ascii="David" w:eastAsia="Times New Roman" w:hAnsi="David" w:cs="David"/>
                <w:color w:val="000000"/>
                <w:sz w:val="24"/>
                <w:szCs w:val="24"/>
                <w:rtl/>
                <w:lang w:eastAsia="zh-CN"/>
              </w:rPr>
              <w:t xml:space="preserve"> למות התוקף (</w:t>
            </w:r>
            <w:r>
              <w:rPr>
                <w:rFonts w:ascii="David" w:eastAsia="Times New Roman" w:hAnsi="David" w:cs="David" w:hint="cs"/>
                <w:color w:val="000000"/>
                <w:sz w:val="24"/>
                <w:szCs w:val="24"/>
                <w:rtl/>
                <w:lang w:eastAsia="zh-CN"/>
              </w:rPr>
              <w:t xml:space="preserve">אם </w:t>
            </w:r>
            <w:r w:rsidRPr="00824C8E">
              <w:rPr>
                <w:rFonts w:ascii="David" w:eastAsia="Times New Roman" w:hAnsi="David" w:cs="David"/>
                <w:color w:val="000000"/>
                <w:sz w:val="24"/>
                <w:szCs w:val="24"/>
                <w:rtl/>
                <w:lang w:eastAsia="zh-CN"/>
              </w:rPr>
              <w:t xml:space="preserve">הוא גרם למותה של אישה נשואה), אך גם כאשר הכוונה </w:t>
            </w:r>
            <w:r>
              <w:rPr>
                <w:rFonts w:ascii="David" w:eastAsia="Times New Roman" w:hAnsi="David" w:cs="David" w:hint="cs"/>
                <w:color w:val="000000"/>
                <w:sz w:val="24"/>
                <w:szCs w:val="24"/>
                <w:rtl/>
                <w:lang w:eastAsia="zh-CN"/>
              </w:rPr>
              <w:t xml:space="preserve">הייתה </w:t>
            </w:r>
            <w:r w:rsidRPr="00824C8E">
              <w:rPr>
                <w:rFonts w:ascii="David" w:eastAsia="Times New Roman" w:hAnsi="David" w:cs="David"/>
                <w:color w:val="000000"/>
                <w:sz w:val="24"/>
                <w:szCs w:val="24"/>
                <w:rtl/>
                <w:lang w:eastAsia="zh-CN"/>
              </w:rPr>
              <w:t>ל</w:t>
            </w:r>
            <w:r>
              <w:rPr>
                <w:rFonts w:ascii="David" w:eastAsia="Times New Roman" w:hAnsi="David" w:cs="David" w:hint="cs"/>
                <w:color w:val="000000"/>
                <w:sz w:val="24"/>
                <w:szCs w:val="24"/>
                <w:rtl/>
                <w:lang w:eastAsia="zh-CN"/>
              </w:rPr>
              <w:t>ממלאת מקום</w:t>
            </w:r>
            <w:r w:rsidRPr="00824C8E">
              <w:rPr>
                <w:rFonts w:ascii="David" w:eastAsia="Times New Roman" w:hAnsi="David" w:cs="David"/>
                <w:color w:val="000000"/>
                <w:sz w:val="24"/>
                <w:szCs w:val="24"/>
                <w:rtl/>
                <w:lang w:eastAsia="zh-CN"/>
              </w:rPr>
              <w:t xml:space="preserve"> (לא מפורט אם חיה או מתה).</w:t>
            </w:r>
            <w:r w:rsidRPr="00824C8E">
              <w:rPr>
                <w:rStyle w:val="af0"/>
                <w:rFonts w:ascii="David" w:eastAsia="Times New Roman" w:hAnsi="David" w:cs="David"/>
                <w:color w:val="000000"/>
                <w:sz w:val="24"/>
                <w:szCs w:val="24"/>
                <w:rtl/>
                <w:lang w:eastAsia="zh-CN"/>
              </w:rPr>
              <w:endnoteReference w:id="19"/>
            </w:r>
          </w:p>
          <w:p w14:paraId="4324CBC2" w14:textId="77777777" w:rsidR="00EB3003" w:rsidRDefault="00EB3003" w:rsidP="004E1C22">
            <w:pPr>
              <w:bidi/>
              <w:spacing w:line="276" w:lineRule="auto"/>
              <w:rPr>
                <w:rFonts w:asciiTheme="minorBidi" w:hAnsiTheme="minorBidi"/>
                <w:rtl/>
              </w:rPr>
            </w:pPr>
          </w:p>
        </w:tc>
      </w:tr>
      <w:tr w:rsidR="00EB3003" w14:paraId="168F3532" w14:textId="77777777" w:rsidTr="004E1C22">
        <w:tc>
          <w:tcPr>
            <w:tcW w:w="4675" w:type="dxa"/>
          </w:tcPr>
          <w:p w14:paraId="6D23A88C" w14:textId="77777777" w:rsidR="00EB3003" w:rsidRPr="00C11F76" w:rsidRDefault="00EB3003" w:rsidP="003749DB">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This is immediately evident from the subsequent provision (MAL A51), where the principle was omitted but where a fine of 2 talents of lead (equivalent to 7,200 shekels) was explicit. As Driver and Miles explained,</w:t>
            </w:r>
          </w:p>
          <w:p w14:paraId="55563D88" w14:textId="77777777" w:rsidR="00EB3003" w:rsidRPr="004E1C22" w:rsidRDefault="00EB3003" w:rsidP="004E1C22">
            <w:pPr>
              <w:spacing w:line="276" w:lineRule="auto"/>
              <w:rPr>
                <w:rFonts w:asciiTheme="minorBidi" w:hAnsiTheme="minorBidi"/>
              </w:rPr>
            </w:pPr>
          </w:p>
        </w:tc>
        <w:tc>
          <w:tcPr>
            <w:tcW w:w="4675" w:type="dxa"/>
          </w:tcPr>
          <w:p w14:paraId="60EF2DAE" w14:textId="77777777" w:rsidR="00EB3003" w:rsidRPr="001346F5" w:rsidRDefault="00EB3003" w:rsidP="001346F5">
            <w:pPr>
              <w:shd w:val="clear" w:color="auto" w:fill="FFFFFF"/>
              <w:bidi/>
              <w:spacing w:after="300" w:line="465" w:lineRule="atLeast"/>
              <w:rPr>
                <w:rFonts w:ascii="David" w:eastAsia="Times New Roman" w:hAnsi="David" w:cs="David"/>
                <w:color w:val="000000"/>
                <w:sz w:val="24"/>
                <w:szCs w:val="24"/>
                <w:rtl/>
                <w:lang w:eastAsia="zh-CN"/>
              </w:rPr>
            </w:pPr>
            <w:r w:rsidRPr="001346F5">
              <w:rPr>
                <w:rFonts w:ascii="David" w:eastAsia="Times New Roman" w:hAnsi="David" w:cs="David" w:hint="cs"/>
                <w:color w:val="000000"/>
                <w:sz w:val="24"/>
                <w:szCs w:val="24"/>
                <w:rtl/>
                <w:lang w:eastAsia="zh-CN"/>
              </w:rPr>
              <w:t>כך</w:t>
            </w:r>
            <w:r w:rsidRPr="001346F5">
              <w:rPr>
                <w:rFonts w:ascii="David" w:eastAsia="Times New Roman" w:hAnsi="David" w:cs="David"/>
                <w:color w:val="000000"/>
                <w:sz w:val="24"/>
                <w:szCs w:val="24"/>
                <w:rtl/>
                <w:lang w:eastAsia="zh-CN"/>
              </w:rPr>
              <w:t xml:space="preserve"> מת</w:t>
            </w:r>
            <w:r w:rsidRPr="001346F5">
              <w:rPr>
                <w:rFonts w:ascii="David" w:eastAsia="Times New Roman" w:hAnsi="David" w:cs="David" w:hint="cs"/>
                <w:color w:val="000000"/>
                <w:sz w:val="24"/>
                <w:szCs w:val="24"/>
                <w:rtl/>
                <w:lang w:eastAsia="zh-CN"/>
              </w:rPr>
              <w:t>ברר</w:t>
            </w:r>
            <w:r w:rsidRPr="001346F5">
              <w:rPr>
                <w:rFonts w:ascii="David" w:eastAsia="Times New Roman" w:hAnsi="David" w:cs="David"/>
                <w:color w:val="000000"/>
                <w:sz w:val="24"/>
                <w:szCs w:val="24"/>
                <w:rtl/>
                <w:lang w:eastAsia="zh-CN"/>
              </w:rPr>
              <w:t xml:space="preserve"> מייד מן ההוראה העוקבת (</w:t>
            </w:r>
            <w:r w:rsidRPr="001346F5">
              <w:rPr>
                <w:rFonts w:ascii="David" w:eastAsia="Times New Roman" w:hAnsi="David" w:cs="David"/>
                <w:color w:val="000000"/>
                <w:sz w:val="24"/>
                <w:szCs w:val="24"/>
                <w:lang w:eastAsia="zh-CN"/>
              </w:rPr>
              <w:t>MAL A51</w:t>
            </w:r>
            <w:r w:rsidRPr="001346F5">
              <w:rPr>
                <w:rFonts w:ascii="David" w:eastAsia="Times New Roman" w:hAnsi="David" w:cs="David"/>
                <w:color w:val="000000"/>
                <w:sz w:val="24"/>
                <w:szCs w:val="24"/>
                <w:rtl/>
                <w:lang w:eastAsia="zh-CN"/>
              </w:rPr>
              <w:t xml:space="preserve">) שבה נשמט העיקרון אך נקבע במפורש קנס של </w:t>
            </w:r>
            <w:r w:rsidRPr="001346F5">
              <w:rPr>
                <w:rFonts w:ascii="David" w:eastAsia="Times New Roman" w:hAnsi="David" w:cs="David" w:hint="cs"/>
                <w:color w:val="000000"/>
                <w:sz w:val="24"/>
                <w:szCs w:val="24"/>
                <w:rtl/>
                <w:lang w:eastAsia="zh-CN"/>
              </w:rPr>
              <w:t>שני</w:t>
            </w:r>
            <w:r w:rsidRPr="001346F5">
              <w:rPr>
                <w:rFonts w:ascii="David" w:eastAsia="Times New Roman" w:hAnsi="David" w:cs="David"/>
                <w:color w:val="000000"/>
                <w:sz w:val="24"/>
                <w:szCs w:val="24"/>
                <w:rtl/>
                <w:lang w:eastAsia="zh-CN"/>
              </w:rPr>
              <w:t xml:space="preserve"> </w:t>
            </w:r>
            <w:proofErr w:type="spellStart"/>
            <w:r w:rsidRPr="001346F5">
              <w:rPr>
                <w:rFonts w:ascii="David" w:eastAsia="Times New Roman" w:hAnsi="David" w:cs="David"/>
                <w:color w:val="000000"/>
                <w:sz w:val="24"/>
                <w:szCs w:val="24"/>
                <w:rtl/>
                <w:lang w:eastAsia="zh-CN"/>
              </w:rPr>
              <w:t>טאלנטים</w:t>
            </w:r>
            <w:proofErr w:type="spellEnd"/>
            <w:r w:rsidRPr="001346F5">
              <w:rPr>
                <w:rFonts w:ascii="David" w:eastAsia="Times New Roman" w:hAnsi="David" w:cs="David"/>
                <w:color w:val="000000"/>
                <w:sz w:val="24"/>
                <w:szCs w:val="24"/>
                <w:rtl/>
                <w:lang w:eastAsia="zh-CN"/>
              </w:rPr>
              <w:t xml:space="preserve"> </w:t>
            </w:r>
            <w:r w:rsidRPr="001346F5">
              <w:rPr>
                <w:rFonts w:ascii="David" w:eastAsia="Times New Roman" w:hAnsi="David" w:cs="David" w:hint="cs"/>
                <w:color w:val="000000"/>
                <w:sz w:val="24"/>
                <w:szCs w:val="24"/>
                <w:rtl/>
                <w:lang w:eastAsia="zh-CN"/>
              </w:rPr>
              <w:t>מ</w:t>
            </w:r>
            <w:r w:rsidRPr="001346F5">
              <w:rPr>
                <w:rFonts w:ascii="David" w:eastAsia="Times New Roman" w:hAnsi="David" w:cs="David"/>
                <w:color w:val="000000"/>
                <w:sz w:val="24"/>
                <w:szCs w:val="24"/>
                <w:rtl/>
                <w:lang w:eastAsia="zh-CN"/>
              </w:rPr>
              <w:t xml:space="preserve">עופרת (בשווי של 7,200 </w:t>
            </w:r>
            <w:r w:rsidRPr="001346F5">
              <w:rPr>
                <w:rFonts w:ascii="David" w:eastAsia="Times New Roman" w:hAnsi="David" w:cs="David" w:hint="cs"/>
                <w:color w:val="000000"/>
                <w:sz w:val="24"/>
                <w:szCs w:val="24"/>
                <w:rtl/>
                <w:lang w:eastAsia="zh-CN"/>
              </w:rPr>
              <w:t>שקלים</w:t>
            </w:r>
            <w:r w:rsidRPr="001346F5">
              <w:rPr>
                <w:rFonts w:ascii="David" w:eastAsia="Times New Roman" w:hAnsi="David" w:cs="David"/>
                <w:color w:val="000000"/>
                <w:sz w:val="24"/>
                <w:szCs w:val="24"/>
                <w:rtl/>
                <w:lang w:eastAsia="zh-CN"/>
              </w:rPr>
              <w:t>). כפי שהסבירו דרייבר ומיילס,</w:t>
            </w:r>
          </w:p>
          <w:p w14:paraId="68837793" w14:textId="482D10B5" w:rsidR="00EB3003" w:rsidRDefault="00EB3003" w:rsidP="001346F5">
            <w:pPr>
              <w:shd w:val="clear" w:color="auto" w:fill="FFFFFF"/>
              <w:bidi/>
              <w:spacing w:after="300" w:line="465" w:lineRule="atLeast"/>
              <w:rPr>
                <w:rFonts w:asciiTheme="minorBidi" w:hAnsiTheme="minorBidi"/>
                <w:rtl/>
              </w:rPr>
            </w:pPr>
          </w:p>
        </w:tc>
      </w:tr>
      <w:tr w:rsidR="00EB3003" w14:paraId="75C28A1E" w14:textId="77777777" w:rsidTr="004E1C22">
        <w:tc>
          <w:tcPr>
            <w:tcW w:w="4675" w:type="dxa"/>
          </w:tcPr>
          <w:p w14:paraId="468E886F" w14:textId="77777777" w:rsidR="00EB3003" w:rsidRPr="00C11F76" w:rsidRDefault="00EB3003" w:rsidP="003749DB">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It will at once have been noticed that, in all cases where the clause </w:t>
            </w:r>
            <w:bookmarkStart w:id="8" w:name="_Hlk90909382"/>
            <w:proofErr w:type="spellStart"/>
            <w:r w:rsidRPr="00C11F76">
              <w:rPr>
                <w:rFonts w:ascii="Times New Roman" w:eastAsia="Times New Roman" w:hAnsi="Times New Roman" w:cs="Times New Roman"/>
                <w:i/>
                <w:iCs/>
                <w:color w:val="000000"/>
                <w:sz w:val="26"/>
                <w:lang w:bidi="ar-SA"/>
              </w:rPr>
              <w:t>napšāte</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umallā</w:t>
            </w:r>
            <w:proofErr w:type="spellEnd"/>
            <w:r w:rsidRPr="00C11F76">
              <w:rPr>
                <w:rFonts w:ascii="Times New Roman" w:eastAsia="Times New Roman" w:hAnsi="Times New Roman" w:cs="Times New Roman"/>
                <w:color w:val="000000"/>
                <w:sz w:val="26"/>
                <w:szCs w:val="26"/>
                <w:lang w:bidi="ar-SA"/>
              </w:rPr>
              <w:t> </w:t>
            </w:r>
            <w:bookmarkEnd w:id="8"/>
            <w:r w:rsidRPr="00C11F76">
              <w:rPr>
                <w:rFonts w:ascii="Times New Roman" w:eastAsia="Times New Roman" w:hAnsi="Times New Roman" w:cs="Times New Roman"/>
                <w:color w:val="000000"/>
                <w:sz w:val="26"/>
                <w:szCs w:val="26"/>
                <w:lang w:bidi="ar-SA"/>
              </w:rPr>
              <w:t xml:space="preserve">occurs, the punishment is a form of talion. In §51, on the contrary, where it does not occur, the penalty is a mere </w:t>
            </w:r>
            <w:r w:rsidRPr="00C11F76">
              <w:rPr>
                <w:rFonts w:ascii="Times New Roman" w:eastAsia="Times New Roman" w:hAnsi="Times New Roman" w:cs="Times New Roman"/>
                <w:color w:val="000000"/>
                <w:sz w:val="26"/>
                <w:szCs w:val="26"/>
                <w:lang w:bidi="ar-SA"/>
              </w:rPr>
              <w:lastRenderedPageBreak/>
              <w:t>monetary compensation into which talion does not enter.</w:t>
            </w:r>
            <w:r w:rsidRPr="00C11F76">
              <w:rPr>
                <w:rFonts w:ascii="Times New Roman" w:eastAsia="Times New Roman" w:hAnsi="Times New Roman" w:cs="Times New Roman"/>
                <w:color w:val="B22222"/>
                <w:sz w:val="23"/>
                <w:szCs w:val="23"/>
                <w:vertAlign w:val="superscript"/>
                <w:lang w:bidi="ar-SA"/>
              </w:rPr>
              <w:t>[19]</w:t>
            </w:r>
          </w:p>
          <w:p w14:paraId="0E678C56" w14:textId="77777777" w:rsidR="00EB3003" w:rsidRPr="004E1C22" w:rsidRDefault="00EB3003" w:rsidP="004E1C22">
            <w:pPr>
              <w:spacing w:line="276" w:lineRule="auto"/>
              <w:rPr>
                <w:rFonts w:asciiTheme="minorBidi" w:hAnsiTheme="minorBidi"/>
              </w:rPr>
            </w:pPr>
          </w:p>
        </w:tc>
        <w:tc>
          <w:tcPr>
            <w:tcW w:w="4675" w:type="dxa"/>
          </w:tcPr>
          <w:p w14:paraId="19DB8DD9" w14:textId="77777777" w:rsidR="00EB3003" w:rsidRDefault="00EB3003" w:rsidP="004E1C22">
            <w:pPr>
              <w:bidi/>
              <w:spacing w:line="276" w:lineRule="auto"/>
              <w:rPr>
                <w:rFonts w:asciiTheme="minorBidi" w:hAnsiTheme="minorBidi"/>
                <w:rtl/>
              </w:rPr>
            </w:pPr>
          </w:p>
          <w:p w14:paraId="5067FF16" w14:textId="6C298C30" w:rsidR="00EB3003" w:rsidRPr="00AE0619" w:rsidRDefault="00EB3003" w:rsidP="00AE0619">
            <w:pPr>
              <w:shd w:val="clear" w:color="auto" w:fill="FFFFFF"/>
              <w:bidi/>
              <w:spacing w:after="300" w:line="465" w:lineRule="atLeast"/>
              <w:rPr>
                <w:rFonts w:ascii="David" w:eastAsia="Times New Roman" w:hAnsi="David" w:cs="David"/>
                <w:color w:val="000000"/>
                <w:sz w:val="24"/>
                <w:szCs w:val="24"/>
                <w:rtl/>
                <w:lang w:eastAsia="zh-CN"/>
              </w:rPr>
            </w:pPr>
            <w:r w:rsidRPr="00AE0619">
              <w:rPr>
                <w:rFonts w:ascii="David" w:eastAsia="Times New Roman" w:hAnsi="David" w:cs="David"/>
                <w:color w:val="000000"/>
                <w:sz w:val="24"/>
                <w:szCs w:val="24"/>
                <w:rtl/>
                <w:lang w:eastAsia="zh-CN"/>
              </w:rPr>
              <w:t xml:space="preserve">בכל המקרים שבהם מופיעה פסקת </w:t>
            </w:r>
            <w:proofErr w:type="spellStart"/>
            <w:r w:rsidRPr="00AE0619">
              <w:rPr>
                <w:rFonts w:ascii="David" w:eastAsia="Times New Roman" w:hAnsi="David" w:cs="David"/>
                <w:i/>
                <w:iCs/>
                <w:color w:val="000000"/>
                <w:sz w:val="24"/>
                <w:szCs w:val="24"/>
                <w:lang w:bidi="ar-SA"/>
              </w:rPr>
              <w:t>napš</w:t>
            </w:r>
            <w:r w:rsidRPr="00AE0619">
              <w:rPr>
                <w:rFonts w:ascii="Calibri" w:eastAsia="Times New Roman" w:hAnsi="Calibri" w:cs="Calibri"/>
                <w:i/>
                <w:iCs/>
                <w:color w:val="000000"/>
                <w:sz w:val="24"/>
                <w:szCs w:val="24"/>
                <w:lang w:bidi="ar-SA"/>
              </w:rPr>
              <w:t>ā</w:t>
            </w:r>
            <w:r w:rsidRPr="00AE0619">
              <w:rPr>
                <w:rFonts w:ascii="David" w:eastAsia="Times New Roman" w:hAnsi="David" w:cs="David"/>
                <w:i/>
                <w:iCs/>
                <w:color w:val="000000"/>
                <w:sz w:val="24"/>
                <w:szCs w:val="24"/>
                <w:lang w:bidi="ar-SA"/>
              </w:rPr>
              <w:t>te</w:t>
            </w:r>
            <w:proofErr w:type="spellEnd"/>
            <w:r w:rsidRPr="00AE0619">
              <w:rPr>
                <w:rFonts w:ascii="David" w:eastAsia="Times New Roman" w:hAnsi="David" w:cs="David"/>
                <w:i/>
                <w:iCs/>
                <w:color w:val="000000"/>
                <w:sz w:val="24"/>
                <w:szCs w:val="24"/>
                <w:lang w:bidi="ar-SA"/>
              </w:rPr>
              <w:t xml:space="preserve"> </w:t>
            </w:r>
            <w:proofErr w:type="spellStart"/>
            <w:r w:rsidRPr="00AE0619">
              <w:rPr>
                <w:rFonts w:ascii="David" w:eastAsia="Times New Roman" w:hAnsi="David" w:cs="David"/>
                <w:i/>
                <w:iCs/>
                <w:color w:val="000000"/>
                <w:sz w:val="24"/>
                <w:szCs w:val="24"/>
                <w:lang w:bidi="ar-SA"/>
              </w:rPr>
              <w:t>umall</w:t>
            </w:r>
            <w:r w:rsidRPr="00AE0619">
              <w:rPr>
                <w:rFonts w:ascii="Calibri" w:eastAsia="Times New Roman" w:hAnsi="Calibri" w:cs="Calibri"/>
                <w:i/>
                <w:iCs/>
                <w:color w:val="000000"/>
                <w:sz w:val="24"/>
                <w:szCs w:val="24"/>
                <w:lang w:bidi="ar-SA"/>
              </w:rPr>
              <w:t>ā</w:t>
            </w:r>
            <w:proofErr w:type="spellEnd"/>
            <w:r w:rsidRPr="00AE0619">
              <w:rPr>
                <w:rFonts w:ascii="David" w:eastAsia="Times New Roman" w:hAnsi="David" w:cs="David"/>
                <w:color w:val="000000"/>
                <w:sz w:val="24"/>
                <w:szCs w:val="24"/>
                <w:lang w:bidi="ar-SA"/>
              </w:rPr>
              <w:t> </w:t>
            </w:r>
            <w:r w:rsidRPr="00AE0619">
              <w:rPr>
                <w:rFonts w:ascii="David" w:eastAsia="Times New Roman" w:hAnsi="David" w:cs="David"/>
                <w:color w:val="000000"/>
                <w:sz w:val="24"/>
                <w:szCs w:val="24"/>
                <w:rtl/>
                <w:lang w:eastAsia="zh-CN"/>
              </w:rPr>
              <w:t xml:space="preserve">, </w:t>
            </w:r>
            <w:r w:rsidRPr="00AE0619">
              <w:rPr>
                <w:rFonts w:ascii="David" w:eastAsia="Times New Roman" w:hAnsi="David" w:cs="David" w:hint="cs"/>
                <w:color w:val="000000"/>
                <w:sz w:val="24"/>
                <w:szCs w:val="24"/>
                <w:rtl/>
                <w:lang w:eastAsia="zh-CN"/>
              </w:rPr>
              <w:t>נבחין מייד ש</w:t>
            </w:r>
            <w:r w:rsidRPr="00AE0619">
              <w:rPr>
                <w:rFonts w:ascii="David" w:eastAsia="Times New Roman" w:hAnsi="David" w:cs="David"/>
                <w:color w:val="000000"/>
                <w:sz w:val="24"/>
                <w:szCs w:val="24"/>
                <w:rtl/>
                <w:lang w:eastAsia="zh-CN"/>
              </w:rPr>
              <w:t xml:space="preserve">הענישה </w:t>
            </w:r>
            <w:r w:rsidRPr="00AE0619">
              <w:rPr>
                <w:rFonts w:ascii="David" w:eastAsia="Times New Roman" w:hAnsi="David" w:cs="David" w:hint="cs"/>
                <w:color w:val="000000"/>
                <w:sz w:val="24"/>
                <w:szCs w:val="24"/>
                <w:rtl/>
                <w:lang w:eastAsia="zh-CN"/>
              </w:rPr>
              <w:t>היא מסוג</w:t>
            </w:r>
            <w:r w:rsidRPr="00AE0619">
              <w:rPr>
                <w:rFonts w:ascii="David" w:eastAsia="Times New Roman" w:hAnsi="David" w:cs="David"/>
                <w:color w:val="000000"/>
                <w:sz w:val="24"/>
                <w:szCs w:val="24"/>
                <w:rtl/>
                <w:lang w:eastAsia="zh-CN"/>
              </w:rPr>
              <w:t xml:space="preserve"> </w:t>
            </w:r>
            <w:proofErr w:type="spellStart"/>
            <w:r w:rsidRPr="00AE0619">
              <w:rPr>
                <w:rFonts w:ascii="David" w:eastAsia="Times New Roman" w:hAnsi="David" w:cs="David"/>
                <w:color w:val="000000"/>
                <w:sz w:val="24"/>
                <w:szCs w:val="24"/>
                <w:rtl/>
                <w:lang w:eastAsia="zh-CN"/>
              </w:rPr>
              <w:t>טליון</w:t>
            </w:r>
            <w:proofErr w:type="spellEnd"/>
            <w:r w:rsidRPr="00AE0619">
              <w:rPr>
                <w:rFonts w:ascii="David" w:eastAsia="Times New Roman" w:hAnsi="David" w:cs="David" w:hint="cs"/>
                <w:color w:val="000000"/>
                <w:sz w:val="24"/>
                <w:szCs w:val="24"/>
                <w:rtl/>
                <w:lang w:eastAsia="zh-CN"/>
              </w:rPr>
              <w:t xml:space="preserve"> (מידה כנגד מידה)</w:t>
            </w:r>
            <w:r w:rsidRPr="00AE0619">
              <w:rPr>
                <w:rFonts w:ascii="David" w:eastAsia="Times New Roman" w:hAnsi="David" w:cs="David"/>
                <w:color w:val="000000"/>
                <w:sz w:val="24"/>
                <w:szCs w:val="24"/>
                <w:rtl/>
                <w:lang w:eastAsia="zh-CN"/>
              </w:rPr>
              <w:t xml:space="preserve">. בפסקה 51, </w:t>
            </w:r>
            <w:r w:rsidRPr="00AE0619">
              <w:rPr>
                <w:rFonts w:ascii="David" w:eastAsia="Times New Roman" w:hAnsi="David" w:cs="David" w:hint="cs"/>
                <w:color w:val="000000"/>
                <w:sz w:val="24"/>
                <w:szCs w:val="24"/>
                <w:rtl/>
                <w:lang w:eastAsia="zh-CN"/>
              </w:rPr>
              <w:t>לעומת זאת</w:t>
            </w:r>
            <w:r w:rsidRPr="00AE0619">
              <w:rPr>
                <w:rFonts w:ascii="David" w:eastAsia="Times New Roman" w:hAnsi="David" w:cs="David"/>
                <w:color w:val="000000"/>
                <w:sz w:val="24"/>
                <w:szCs w:val="24"/>
                <w:rtl/>
                <w:lang w:eastAsia="zh-CN"/>
              </w:rPr>
              <w:t xml:space="preserve">, כאשר </w:t>
            </w:r>
            <w:r w:rsidRPr="00AE0619">
              <w:rPr>
                <w:rFonts w:ascii="David" w:eastAsia="Times New Roman" w:hAnsi="David" w:cs="David" w:hint="cs"/>
                <w:color w:val="000000"/>
                <w:sz w:val="24"/>
                <w:szCs w:val="24"/>
                <w:rtl/>
                <w:lang w:eastAsia="zh-CN"/>
              </w:rPr>
              <w:t xml:space="preserve">היא </w:t>
            </w:r>
            <w:r w:rsidRPr="00AE0619">
              <w:rPr>
                <w:rFonts w:ascii="David" w:eastAsia="Times New Roman" w:hAnsi="David" w:cs="David"/>
                <w:color w:val="000000"/>
                <w:sz w:val="24"/>
                <w:szCs w:val="24"/>
                <w:rtl/>
                <w:lang w:eastAsia="zh-CN"/>
              </w:rPr>
              <w:t>אינ</w:t>
            </w:r>
            <w:r w:rsidRPr="00AE0619">
              <w:rPr>
                <w:rFonts w:ascii="David" w:eastAsia="Times New Roman" w:hAnsi="David" w:cs="David" w:hint="cs"/>
                <w:color w:val="000000"/>
                <w:sz w:val="24"/>
                <w:szCs w:val="24"/>
                <w:rtl/>
                <w:lang w:eastAsia="zh-CN"/>
              </w:rPr>
              <w:t>ה</w:t>
            </w:r>
            <w:r w:rsidRPr="00AE0619">
              <w:rPr>
                <w:rFonts w:ascii="David" w:eastAsia="Times New Roman" w:hAnsi="David" w:cs="David"/>
                <w:color w:val="000000"/>
                <w:sz w:val="24"/>
                <w:szCs w:val="24"/>
                <w:rtl/>
                <w:lang w:eastAsia="zh-CN"/>
              </w:rPr>
              <w:t xml:space="preserve"> חל</w:t>
            </w:r>
            <w:r w:rsidRPr="00AE0619">
              <w:rPr>
                <w:rFonts w:ascii="David" w:eastAsia="Times New Roman" w:hAnsi="David" w:cs="David" w:hint="cs"/>
                <w:color w:val="000000"/>
                <w:sz w:val="24"/>
                <w:szCs w:val="24"/>
                <w:rtl/>
                <w:lang w:eastAsia="zh-CN"/>
              </w:rPr>
              <w:t>ה</w:t>
            </w:r>
            <w:r w:rsidRPr="00AE0619">
              <w:rPr>
                <w:rFonts w:ascii="David" w:eastAsia="Times New Roman" w:hAnsi="David" w:cs="David"/>
                <w:color w:val="000000"/>
                <w:sz w:val="24"/>
                <w:szCs w:val="24"/>
                <w:rtl/>
                <w:lang w:eastAsia="zh-CN"/>
              </w:rPr>
              <w:t xml:space="preserve">, העונש הוא פיצוי כספי בלבד </w:t>
            </w:r>
            <w:r w:rsidRPr="00AE0619">
              <w:rPr>
                <w:rFonts w:ascii="David" w:eastAsia="Times New Roman" w:hAnsi="David" w:cs="David" w:hint="cs"/>
                <w:color w:val="000000"/>
                <w:sz w:val="24"/>
                <w:szCs w:val="24"/>
                <w:rtl/>
                <w:lang w:eastAsia="zh-CN"/>
              </w:rPr>
              <w:t xml:space="preserve">שלגביו </w:t>
            </w:r>
            <w:proofErr w:type="spellStart"/>
            <w:r w:rsidRPr="00AE0619">
              <w:rPr>
                <w:rFonts w:ascii="David" w:eastAsia="Times New Roman" w:hAnsi="David" w:cs="David" w:hint="cs"/>
                <w:color w:val="000000"/>
                <w:sz w:val="24"/>
                <w:szCs w:val="24"/>
                <w:rtl/>
                <w:lang w:eastAsia="zh-CN"/>
              </w:rPr>
              <w:t>טליון</w:t>
            </w:r>
            <w:proofErr w:type="spellEnd"/>
            <w:r w:rsidRPr="00AE0619">
              <w:rPr>
                <w:rFonts w:ascii="David" w:eastAsia="Times New Roman" w:hAnsi="David" w:cs="David" w:hint="cs"/>
                <w:color w:val="000000"/>
                <w:sz w:val="24"/>
                <w:szCs w:val="24"/>
                <w:rtl/>
                <w:lang w:eastAsia="zh-CN"/>
              </w:rPr>
              <w:t xml:space="preserve"> אינו </w:t>
            </w:r>
            <w:r>
              <w:rPr>
                <w:rFonts w:ascii="David" w:eastAsia="Times New Roman" w:hAnsi="David" w:cs="David" w:hint="cs"/>
                <w:color w:val="000000"/>
                <w:sz w:val="24"/>
                <w:szCs w:val="24"/>
                <w:rtl/>
                <w:lang w:eastAsia="zh-CN"/>
              </w:rPr>
              <w:t>רלוונטי</w:t>
            </w:r>
            <w:r w:rsidRPr="00AE0619">
              <w:rPr>
                <w:rFonts w:ascii="David" w:eastAsia="Times New Roman" w:hAnsi="David" w:cs="David"/>
                <w:color w:val="000000"/>
                <w:sz w:val="24"/>
                <w:szCs w:val="24"/>
                <w:rtl/>
                <w:lang w:eastAsia="zh-CN"/>
              </w:rPr>
              <w:t>.</w:t>
            </w:r>
            <w:r w:rsidRPr="00AE0619">
              <w:rPr>
                <w:rFonts w:ascii="David" w:eastAsia="Times New Roman" w:hAnsi="David" w:cs="David"/>
                <w:color w:val="000000"/>
                <w:sz w:val="24"/>
                <w:szCs w:val="24"/>
                <w:vertAlign w:val="superscript"/>
                <w:rtl/>
                <w:lang w:eastAsia="zh-CN"/>
              </w:rPr>
              <w:endnoteReference w:id="20"/>
            </w:r>
          </w:p>
          <w:p w14:paraId="357F7544" w14:textId="43BBE20B" w:rsidR="00EB3003" w:rsidRPr="006249BC" w:rsidRDefault="00EB3003" w:rsidP="00AE0619">
            <w:pPr>
              <w:shd w:val="clear" w:color="auto" w:fill="FFFFFF"/>
              <w:bidi/>
              <w:spacing w:after="300" w:line="465" w:lineRule="atLeast"/>
              <w:rPr>
                <w:rFonts w:asciiTheme="minorBidi" w:hAnsiTheme="minorBidi"/>
                <w:rtl/>
              </w:rPr>
            </w:pPr>
          </w:p>
        </w:tc>
      </w:tr>
      <w:tr w:rsidR="00EB3003" w14:paraId="6D6D8127" w14:textId="77777777" w:rsidTr="004E1C22">
        <w:tc>
          <w:tcPr>
            <w:tcW w:w="4675" w:type="dxa"/>
          </w:tcPr>
          <w:p w14:paraId="3CB360E2" w14:textId="77777777" w:rsidR="00EB3003" w:rsidRPr="00C11F76" w:rsidRDefault="00EB3003" w:rsidP="003749DB">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lastRenderedPageBreak/>
              <w:t>Their translation is particularly preferred to that of Martha Roth’s, which provided “he shall make full payment of a life for her fetus,” to imply monetary compensation.</w:t>
            </w:r>
            <w:bookmarkStart w:id="9" w:name="_ftnref20"/>
            <w:r w:rsidRPr="00C11F76">
              <w:rPr>
                <w:rFonts w:ascii="Times New Roman" w:eastAsia="Times New Roman" w:hAnsi="Times New Roman" w:cs="Times New Roman"/>
                <w:color w:val="000000"/>
                <w:sz w:val="26"/>
                <w:szCs w:val="26"/>
                <w:lang w:bidi="ar-SA"/>
              </w:rPr>
              <w:fldChar w:fldCharType="begin"/>
            </w:r>
            <w:r w:rsidRPr="00C11F76">
              <w:rPr>
                <w:rFonts w:ascii="Times New Roman" w:eastAsia="Times New Roman" w:hAnsi="Times New Roman" w:cs="Times New Roman"/>
                <w:color w:val="000000"/>
                <w:sz w:val="26"/>
                <w:szCs w:val="26"/>
                <w:lang w:bidi="ar-SA"/>
              </w:rPr>
              <w:instrText xml:space="preserve"> HYPERLINK "https://www.thetorah.com/article/deathblows-to-a-pregnant-woman-what-restitution-was-required" \l "_ftn20" </w:instrText>
            </w:r>
            <w:r w:rsidRPr="00C11F76">
              <w:rPr>
                <w:rFonts w:ascii="Times New Roman" w:eastAsia="Times New Roman" w:hAnsi="Times New Roman" w:cs="Times New Roman"/>
                <w:color w:val="000000"/>
                <w:sz w:val="26"/>
                <w:szCs w:val="26"/>
                <w:lang w:bidi="ar-SA"/>
              </w:rPr>
              <w:fldChar w:fldCharType="separate"/>
            </w:r>
            <w:r w:rsidRPr="00C11F76">
              <w:rPr>
                <w:rFonts w:ascii="Times New Roman" w:eastAsia="Times New Roman" w:hAnsi="Times New Roman" w:cs="Times New Roman"/>
                <w:color w:val="B22222"/>
                <w:sz w:val="23"/>
                <w:u w:val="single"/>
                <w:vertAlign w:val="superscript"/>
                <w:lang w:bidi="ar-SA"/>
              </w:rPr>
              <w:t>[20]</w:t>
            </w:r>
            <w:r w:rsidRPr="00C11F76">
              <w:rPr>
                <w:rFonts w:ascii="Times New Roman" w:eastAsia="Times New Roman" w:hAnsi="Times New Roman" w:cs="Times New Roman"/>
                <w:color w:val="000000"/>
                <w:sz w:val="26"/>
                <w:szCs w:val="26"/>
                <w:lang w:bidi="ar-SA"/>
              </w:rPr>
              <w:fldChar w:fldCharType="end"/>
            </w:r>
            <w:bookmarkEnd w:id="9"/>
            <w:r w:rsidRPr="00C11F76">
              <w:rPr>
                <w:rFonts w:ascii="Times New Roman" w:eastAsia="Times New Roman" w:hAnsi="Times New Roman" w:cs="Times New Roman"/>
                <w:color w:val="000000"/>
                <w:sz w:val="26"/>
                <w:szCs w:val="26"/>
                <w:lang w:bidi="ar-SA"/>
              </w:rPr>
              <w:t> This preference is substantiated further by available case law,</w:t>
            </w:r>
            <w:bookmarkStart w:id="10" w:name="_ftnref21"/>
            <w:r w:rsidRPr="00C11F76">
              <w:rPr>
                <w:rFonts w:ascii="Times New Roman" w:eastAsia="Times New Roman" w:hAnsi="Times New Roman" w:cs="Times New Roman"/>
                <w:color w:val="000000"/>
                <w:sz w:val="26"/>
                <w:szCs w:val="26"/>
                <w:lang w:bidi="ar-SA"/>
              </w:rPr>
              <w:fldChar w:fldCharType="begin"/>
            </w:r>
            <w:r w:rsidRPr="00C11F76">
              <w:rPr>
                <w:rFonts w:ascii="Times New Roman" w:eastAsia="Times New Roman" w:hAnsi="Times New Roman" w:cs="Times New Roman"/>
                <w:color w:val="000000"/>
                <w:sz w:val="26"/>
                <w:szCs w:val="26"/>
                <w:lang w:bidi="ar-SA"/>
              </w:rPr>
              <w:instrText xml:space="preserve"> HYPERLINK "https://www.thetorah.com/article/deathblows-to-a-pregnant-woman-what-restitution-was-required" \l "_ftn21" </w:instrText>
            </w:r>
            <w:r w:rsidRPr="00C11F76">
              <w:rPr>
                <w:rFonts w:ascii="Times New Roman" w:eastAsia="Times New Roman" w:hAnsi="Times New Roman" w:cs="Times New Roman"/>
                <w:color w:val="000000"/>
                <w:sz w:val="26"/>
                <w:szCs w:val="26"/>
                <w:lang w:bidi="ar-SA"/>
              </w:rPr>
              <w:fldChar w:fldCharType="separate"/>
            </w:r>
            <w:r w:rsidRPr="00C11F76">
              <w:rPr>
                <w:rFonts w:ascii="Times New Roman" w:eastAsia="Times New Roman" w:hAnsi="Times New Roman" w:cs="Times New Roman"/>
                <w:color w:val="B22222"/>
                <w:sz w:val="23"/>
                <w:u w:val="single"/>
                <w:vertAlign w:val="superscript"/>
                <w:lang w:bidi="ar-SA"/>
              </w:rPr>
              <w:t>[21]</w:t>
            </w:r>
            <w:r w:rsidRPr="00C11F76">
              <w:rPr>
                <w:rFonts w:ascii="Times New Roman" w:eastAsia="Times New Roman" w:hAnsi="Times New Roman" w:cs="Times New Roman"/>
                <w:color w:val="000000"/>
                <w:sz w:val="26"/>
                <w:szCs w:val="26"/>
                <w:lang w:bidi="ar-SA"/>
              </w:rPr>
              <w:fldChar w:fldCharType="end"/>
            </w:r>
            <w:bookmarkEnd w:id="10"/>
            <w:r w:rsidRPr="00C11F76">
              <w:rPr>
                <w:rFonts w:ascii="Times New Roman" w:eastAsia="Times New Roman" w:hAnsi="Times New Roman" w:cs="Times New Roman"/>
                <w:color w:val="000000"/>
                <w:sz w:val="26"/>
                <w:szCs w:val="26"/>
                <w:lang w:bidi="ar-SA"/>
              </w:rPr>
              <w:t xml:space="preserve"> as noted by the late German Protestant theologian, Horst </w:t>
            </w:r>
            <w:proofErr w:type="spellStart"/>
            <w:r w:rsidRPr="00C11F76">
              <w:rPr>
                <w:rFonts w:ascii="Times New Roman" w:eastAsia="Times New Roman" w:hAnsi="Times New Roman" w:cs="Times New Roman"/>
                <w:color w:val="000000"/>
                <w:sz w:val="26"/>
                <w:szCs w:val="26"/>
                <w:lang w:bidi="ar-SA"/>
              </w:rPr>
              <w:t>Seebas</w:t>
            </w:r>
            <w:proofErr w:type="spellEnd"/>
            <w:r w:rsidRPr="00C11F76">
              <w:rPr>
                <w:rFonts w:ascii="Times New Roman" w:eastAsia="Times New Roman" w:hAnsi="Times New Roman" w:cs="Times New Roman"/>
                <w:color w:val="000000"/>
                <w:sz w:val="26"/>
                <w:szCs w:val="26"/>
                <w:lang w:bidi="ar-SA"/>
              </w:rPr>
              <w:t>:</w:t>
            </w:r>
          </w:p>
          <w:p w14:paraId="014E214F" w14:textId="77777777" w:rsidR="00EB3003" w:rsidRPr="004E1C22" w:rsidRDefault="00EB3003" w:rsidP="004E1C22">
            <w:pPr>
              <w:spacing w:line="276" w:lineRule="auto"/>
              <w:rPr>
                <w:rFonts w:asciiTheme="minorBidi" w:hAnsiTheme="minorBidi"/>
              </w:rPr>
            </w:pPr>
          </w:p>
        </w:tc>
        <w:tc>
          <w:tcPr>
            <w:tcW w:w="4675" w:type="dxa"/>
          </w:tcPr>
          <w:p w14:paraId="18298921" w14:textId="77777777" w:rsidR="00EB3003" w:rsidRPr="00824C8E" w:rsidRDefault="00EB3003" w:rsidP="001346F5">
            <w:pPr>
              <w:shd w:val="clear" w:color="auto" w:fill="FFFFFF"/>
              <w:spacing w:after="300" w:line="465" w:lineRule="atLeast"/>
              <w:jc w:val="right"/>
              <w:rPr>
                <w:rFonts w:ascii="David" w:eastAsia="Times New Roman" w:hAnsi="David" w:cs="David"/>
                <w:color w:val="000000"/>
                <w:sz w:val="24"/>
                <w:szCs w:val="24"/>
                <w:rtl/>
                <w:lang w:eastAsia="zh-CN"/>
              </w:rPr>
            </w:pPr>
            <w:r w:rsidRPr="00824C8E">
              <w:rPr>
                <w:rFonts w:ascii="David" w:eastAsia="Times New Roman" w:hAnsi="David" w:cs="David"/>
                <w:color w:val="000000"/>
                <w:sz w:val="24"/>
                <w:szCs w:val="24"/>
                <w:rtl/>
                <w:lang w:eastAsia="zh-CN"/>
              </w:rPr>
              <w:t xml:space="preserve">תרגומם </w:t>
            </w:r>
            <w:r>
              <w:rPr>
                <w:rFonts w:ascii="David" w:eastAsia="Times New Roman" w:hAnsi="David" w:cs="David" w:hint="cs"/>
                <w:color w:val="000000"/>
                <w:sz w:val="24"/>
                <w:szCs w:val="24"/>
                <w:rtl/>
                <w:lang w:eastAsia="zh-CN"/>
              </w:rPr>
              <w:t>מ</w:t>
            </w:r>
            <w:r w:rsidRPr="00824C8E">
              <w:rPr>
                <w:rFonts w:ascii="David" w:eastAsia="Times New Roman" w:hAnsi="David" w:cs="David"/>
                <w:color w:val="000000"/>
                <w:sz w:val="24"/>
                <w:szCs w:val="24"/>
                <w:rtl/>
                <w:lang w:eastAsia="zh-CN"/>
              </w:rPr>
              <w:t xml:space="preserve">ועדף במיוחד על פני תרגומה של מרתה רוט, </w:t>
            </w:r>
            <w:r>
              <w:rPr>
                <w:rFonts w:ascii="David" w:eastAsia="Times New Roman" w:hAnsi="David" w:cs="David" w:hint="cs"/>
                <w:color w:val="000000"/>
                <w:sz w:val="24"/>
                <w:szCs w:val="24"/>
                <w:rtl/>
                <w:lang w:eastAsia="zh-CN"/>
              </w:rPr>
              <w:t>שקבע</w:t>
            </w:r>
            <w:r w:rsidRPr="00824C8E">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ש</w:t>
            </w:r>
            <w:r w:rsidRPr="00824C8E">
              <w:rPr>
                <w:rFonts w:ascii="David" w:eastAsia="Times New Roman" w:hAnsi="David" w:cs="David"/>
                <w:color w:val="000000"/>
                <w:sz w:val="24"/>
                <w:szCs w:val="24"/>
                <w:rtl/>
                <w:lang w:eastAsia="zh-CN"/>
              </w:rPr>
              <w:t xml:space="preserve">"עליו לשלם תשלום מלא </w:t>
            </w:r>
            <w:r>
              <w:rPr>
                <w:rFonts w:ascii="David" w:eastAsia="Times New Roman" w:hAnsi="David" w:cs="David" w:hint="cs"/>
                <w:color w:val="000000"/>
                <w:sz w:val="24"/>
                <w:szCs w:val="24"/>
                <w:rtl/>
                <w:lang w:eastAsia="zh-CN"/>
              </w:rPr>
              <w:t>תמורת</w:t>
            </w:r>
            <w:r w:rsidRPr="00824C8E">
              <w:rPr>
                <w:rFonts w:ascii="David" w:eastAsia="Times New Roman" w:hAnsi="David" w:cs="David"/>
                <w:color w:val="000000"/>
                <w:sz w:val="24"/>
                <w:szCs w:val="24"/>
                <w:rtl/>
                <w:lang w:eastAsia="zh-CN"/>
              </w:rPr>
              <w:t xml:space="preserve"> חיי עוברה", ה</w:t>
            </w:r>
            <w:r>
              <w:rPr>
                <w:rFonts w:ascii="David" w:eastAsia="Times New Roman" w:hAnsi="David" w:cs="David" w:hint="cs"/>
                <w:color w:val="000000"/>
                <w:sz w:val="24"/>
                <w:szCs w:val="24"/>
                <w:rtl/>
                <w:lang w:eastAsia="zh-CN"/>
              </w:rPr>
              <w:t>מצביע על</w:t>
            </w:r>
            <w:r w:rsidRPr="00824C8E">
              <w:rPr>
                <w:rFonts w:ascii="David" w:eastAsia="Times New Roman" w:hAnsi="David" w:cs="David"/>
                <w:color w:val="000000"/>
                <w:sz w:val="24"/>
                <w:szCs w:val="24"/>
                <w:rtl/>
                <w:lang w:eastAsia="zh-CN"/>
              </w:rPr>
              <w:t xml:space="preserve"> פיצוי כספי.</w:t>
            </w:r>
            <w:r w:rsidRPr="00824C8E">
              <w:rPr>
                <w:rStyle w:val="af0"/>
                <w:rFonts w:ascii="David" w:eastAsia="Times New Roman" w:hAnsi="David" w:cs="David"/>
                <w:color w:val="000000"/>
                <w:sz w:val="24"/>
                <w:szCs w:val="24"/>
                <w:rtl/>
                <w:lang w:eastAsia="zh-CN"/>
              </w:rPr>
              <w:endnoteReference w:id="21"/>
            </w:r>
            <w:r w:rsidRPr="00824C8E">
              <w:rPr>
                <w:rFonts w:ascii="David" w:eastAsia="Times New Roman" w:hAnsi="David" w:cs="David"/>
                <w:color w:val="000000"/>
                <w:sz w:val="24"/>
                <w:szCs w:val="24"/>
                <w:rtl/>
                <w:lang w:eastAsia="zh-CN"/>
              </w:rPr>
              <w:t xml:space="preserve"> העדפה זו </w:t>
            </w:r>
            <w:r>
              <w:rPr>
                <w:rFonts w:ascii="David" w:eastAsia="Times New Roman" w:hAnsi="David" w:cs="David" w:hint="cs"/>
                <w:color w:val="000000"/>
                <w:sz w:val="24"/>
                <w:szCs w:val="24"/>
                <w:rtl/>
                <w:lang w:eastAsia="zh-CN"/>
              </w:rPr>
              <w:t>נתמכת</w:t>
            </w:r>
            <w:r w:rsidRPr="00824C8E">
              <w:rPr>
                <w:rFonts w:ascii="David" w:eastAsia="Times New Roman" w:hAnsi="David" w:cs="David"/>
                <w:color w:val="000000"/>
                <w:sz w:val="24"/>
                <w:szCs w:val="24"/>
                <w:rtl/>
                <w:lang w:eastAsia="zh-CN"/>
              </w:rPr>
              <w:t xml:space="preserve"> עוד </w:t>
            </w:r>
            <w:r>
              <w:rPr>
                <w:rFonts w:ascii="David" w:eastAsia="Times New Roman" w:hAnsi="David" w:cs="David" w:hint="cs"/>
                <w:color w:val="000000"/>
                <w:sz w:val="24"/>
                <w:szCs w:val="24"/>
                <w:rtl/>
                <w:lang w:eastAsia="zh-CN"/>
              </w:rPr>
              <w:t>בידי</w:t>
            </w:r>
            <w:r w:rsidRPr="00824C8E">
              <w:rPr>
                <w:rFonts w:ascii="David" w:eastAsia="Times New Roman" w:hAnsi="David" w:cs="David"/>
                <w:color w:val="000000"/>
                <w:sz w:val="24"/>
                <w:szCs w:val="24"/>
                <w:rtl/>
                <w:lang w:eastAsia="zh-CN"/>
              </w:rPr>
              <w:t xml:space="preserve"> פסקי דין זמינים</w:t>
            </w:r>
            <w:r w:rsidRPr="00824C8E">
              <w:rPr>
                <w:rStyle w:val="af0"/>
                <w:rFonts w:ascii="David" w:eastAsia="Times New Roman" w:hAnsi="David" w:cs="David"/>
                <w:color w:val="000000"/>
                <w:sz w:val="24"/>
                <w:szCs w:val="24"/>
                <w:rtl/>
                <w:lang w:eastAsia="zh-CN"/>
              </w:rPr>
              <w:endnoteReference w:id="22"/>
            </w:r>
            <w:r w:rsidRPr="00824C8E">
              <w:rPr>
                <w:rFonts w:ascii="David" w:eastAsia="Times New Roman" w:hAnsi="David" w:cs="David"/>
                <w:color w:val="000000"/>
                <w:sz w:val="24"/>
                <w:szCs w:val="24"/>
                <w:rtl/>
                <w:lang w:eastAsia="zh-CN"/>
              </w:rPr>
              <w:t xml:space="preserve">, כפי שציין התיאולוג הפרוטסטנטי הגרמני המנוח הורסט </w:t>
            </w:r>
            <w:proofErr w:type="spellStart"/>
            <w:r w:rsidRPr="00824C8E">
              <w:rPr>
                <w:rFonts w:ascii="David" w:eastAsia="Times New Roman" w:hAnsi="David" w:cs="David"/>
                <w:color w:val="000000"/>
                <w:sz w:val="24"/>
                <w:szCs w:val="24"/>
                <w:rtl/>
                <w:lang w:eastAsia="zh-CN"/>
              </w:rPr>
              <w:t>זיבאס</w:t>
            </w:r>
            <w:proofErr w:type="spellEnd"/>
            <w:r w:rsidRPr="00824C8E">
              <w:rPr>
                <w:rFonts w:ascii="David" w:eastAsia="Times New Roman" w:hAnsi="David" w:cs="David"/>
                <w:color w:val="000000"/>
                <w:sz w:val="24"/>
                <w:szCs w:val="24"/>
                <w:rtl/>
                <w:lang w:eastAsia="zh-CN"/>
              </w:rPr>
              <w:t>:</w:t>
            </w:r>
          </w:p>
          <w:p w14:paraId="2D609629" w14:textId="77777777" w:rsidR="00EB3003" w:rsidRDefault="00EB3003" w:rsidP="004E1C22">
            <w:pPr>
              <w:bidi/>
              <w:spacing w:line="276" w:lineRule="auto"/>
              <w:rPr>
                <w:rFonts w:asciiTheme="minorBidi" w:hAnsiTheme="minorBidi"/>
                <w:rtl/>
              </w:rPr>
            </w:pPr>
          </w:p>
        </w:tc>
      </w:tr>
      <w:tr w:rsidR="00EB3003" w14:paraId="4CC46E42" w14:textId="77777777" w:rsidTr="004E1C22">
        <w:tc>
          <w:tcPr>
            <w:tcW w:w="4675" w:type="dxa"/>
          </w:tcPr>
          <w:p w14:paraId="324F72C1" w14:textId="77777777" w:rsidR="00EB3003" w:rsidRPr="00C11F76" w:rsidRDefault="00EB3003" w:rsidP="003749DB">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Interesting on account of the legal notions embodied are the texts dealing with the principle of ‘a life for a life’, e.g., ‘If they do not discover the one who murdered him, they will deliver 3 persons as a fine (</w:t>
            </w:r>
            <w:proofErr w:type="spellStart"/>
            <w:r w:rsidRPr="00C11F76">
              <w:rPr>
                <w:rFonts w:ascii="Times New Roman" w:eastAsia="Times New Roman" w:hAnsi="Times New Roman" w:cs="Times New Roman"/>
                <w:i/>
                <w:iCs/>
                <w:color w:val="000000"/>
                <w:sz w:val="26"/>
                <w:lang w:bidi="ar-SA"/>
              </w:rPr>
              <w:t>umallu</w:t>
            </w:r>
            <w:proofErr w:type="spellEnd"/>
            <w:r w:rsidRPr="00C11F76">
              <w:rPr>
                <w:rFonts w:ascii="Times New Roman" w:eastAsia="Times New Roman" w:hAnsi="Times New Roman" w:cs="Times New Roman"/>
                <w:color w:val="000000"/>
                <w:sz w:val="26"/>
                <w:szCs w:val="26"/>
                <w:lang w:bidi="ar-SA"/>
              </w:rPr>
              <w:t> ‘make full’); in the case of an unborn child: ‘He gives restitution as for a person (</w:t>
            </w:r>
            <w:proofErr w:type="spellStart"/>
            <w:r w:rsidRPr="00C11F76">
              <w:rPr>
                <w:rFonts w:ascii="Times New Roman" w:eastAsia="Times New Roman" w:hAnsi="Times New Roman" w:cs="Times New Roman"/>
                <w:i/>
                <w:iCs/>
                <w:color w:val="000000"/>
                <w:sz w:val="26"/>
                <w:lang w:bidi="ar-SA"/>
              </w:rPr>
              <w:t>napšāte</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umallā</w:t>
            </w:r>
            <w:proofErr w:type="spellEnd"/>
            <w:r w:rsidRPr="00C11F76">
              <w:rPr>
                <w:rFonts w:ascii="Times New Roman" w:eastAsia="Times New Roman" w:hAnsi="Times New Roman" w:cs="Times New Roman"/>
                <w:color w:val="000000"/>
                <w:sz w:val="26"/>
                <w:szCs w:val="26"/>
                <w:lang w:bidi="ar-SA"/>
              </w:rPr>
              <w:t xml:space="preserve">); a pretrial settlement: ‘Do not go to court against me. I will replace your slave with a person </w:t>
            </w:r>
            <w:bookmarkStart w:id="11" w:name="_Hlk90910388"/>
            <w:r w:rsidRPr="00C11F76">
              <w:rPr>
                <w:rFonts w:ascii="Times New Roman" w:eastAsia="Times New Roman" w:hAnsi="Times New Roman" w:cs="Times New Roman"/>
                <w:color w:val="000000"/>
                <w:sz w:val="26"/>
                <w:szCs w:val="26"/>
                <w:lang w:bidi="ar-SA"/>
              </w:rPr>
              <w:t>(</w:t>
            </w:r>
            <w:proofErr w:type="spellStart"/>
            <w:r w:rsidRPr="00C11F76">
              <w:rPr>
                <w:rFonts w:ascii="Times New Roman" w:eastAsia="Times New Roman" w:hAnsi="Times New Roman" w:cs="Times New Roman"/>
                <w:i/>
                <w:iCs/>
                <w:color w:val="000000"/>
                <w:sz w:val="26"/>
                <w:lang w:bidi="ar-SA"/>
              </w:rPr>
              <w:t>napšāti</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ša</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qallika</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ūšallamka</w:t>
            </w:r>
            <w:proofErr w:type="spellEnd"/>
            <w:r w:rsidRPr="00C11F76">
              <w:rPr>
                <w:rFonts w:ascii="Times New Roman" w:eastAsia="Times New Roman" w:hAnsi="Times New Roman" w:cs="Times New Roman"/>
                <w:color w:val="000000"/>
                <w:sz w:val="26"/>
                <w:szCs w:val="26"/>
                <w:lang w:bidi="ar-SA"/>
              </w:rPr>
              <w:t>).</w:t>
            </w:r>
            <w:r w:rsidRPr="00C11F76">
              <w:rPr>
                <w:rFonts w:ascii="Times New Roman" w:eastAsia="Times New Roman" w:hAnsi="Times New Roman" w:cs="Times New Roman"/>
                <w:color w:val="B22222"/>
                <w:sz w:val="23"/>
                <w:szCs w:val="23"/>
                <w:vertAlign w:val="superscript"/>
                <w:lang w:bidi="ar-SA"/>
              </w:rPr>
              <w:t>[22]</w:t>
            </w:r>
          </w:p>
          <w:bookmarkEnd w:id="11"/>
          <w:p w14:paraId="06547248" w14:textId="77777777" w:rsidR="00EB3003" w:rsidRPr="004E1C22" w:rsidRDefault="00EB3003" w:rsidP="004E1C22">
            <w:pPr>
              <w:spacing w:line="276" w:lineRule="auto"/>
              <w:rPr>
                <w:rFonts w:asciiTheme="minorBidi" w:hAnsiTheme="minorBidi"/>
              </w:rPr>
            </w:pPr>
          </w:p>
        </w:tc>
        <w:tc>
          <w:tcPr>
            <w:tcW w:w="4675" w:type="dxa"/>
          </w:tcPr>
          <w:p w14:paraId="7141F112" w14:textId="77777777" w:rsidR="00EB3003" w:rsidRPr="00B97F61" w:rsidRDefault="00EB3003" w:rsidP="00B97F61">
            <w:pPr>
              <w:shd w:val="clear" w:color="auto" w:fill="FFFFFF"/>
              <w:bidi/>
              <w:spacing w:after="300" w:line="465" w:lineRule="atLeast"/>
              <w:rPr>
                <w:rFonts w:ascii="David" w:eastAsia="Times New Roman" w:hAnsi="David" w:cs="David"/>
                <w:color w:val="000000"/>
                <w:sz w:val="24"/>
                <w:szCs w:val="24"/>
                <w:rtl/>
                <w:lang w:eastAsia="zh-CN"/>
              </w:rPr>
            </w:pPr>
            <w:r w:rsidRPr="00B97F61">
              <w:rPr>
                <w:rFonts w:ascii="David" w:eastAsia="Times New Roman" w:hAnsi="David" w:cs="David"/>
                <w:color w:val="000000"/>
                <w:sz w:val="24"/>
                <w:szCs w:val="24"/>
                <w:rtl/>
                <w:lang w:eastAsia="zh-CN"/>
              </w:rPr>
              <w:t xml:space="preserve">הטקסטים העוסקים בעיקרון "נפש תחת נפש" מעוררי עניין בשל </w:t>
            </w:r>
            <w:r w:rsidRPr="00B97F61">
              <w:rPr>
                <w:rFonts w:ascii="David" w:eastAsia="Times New Roman" w:hAnsi="David" w:cs="David" w:hint="cs"/>
                <w:color w:val="000000"/>
                <w:sz w:val="24"/>
                <w:szCs w:val="24"/>
                <w:rtl/>
                <w:lang w:eastAsia="zh-CN"/>
              </w:rPr>
              <w:t>התפיסות ה</w:t>
            </w:r>
            <w:r w:rsidRPr="00B97F61">
              <w:rPr>
                <w:rFonts w:ascii="David" w:eastAsia="Times New Roman" w:hAnsi="David" w:cs="David"/>
                <w:color w:val="000000"/>
                <w:sz w:val="24"/>
                <w:szCs w:val="24"/>
                <w:rtl/>
                <w:lang w:eastAsia="zh-CN"/>
              </w:rPr>
              <w:t>משפטי</w:t>
            </w:r>
            <w:r w:rsidRPr="00B97F61">
              <w:rPr>
                <w:rFonts w:ascii="David" w:eastAsia="Times New Roman" w:hAnsi="David" w:cs="David" w:hint="cs"/>
                <w:color w:val="000000"/>
                <w:sz w:val="24"/>
                <w:szCs w:val="24"/>
                <w:rtl/>
                <w:lang w:eastAsia="zh-CN"/>
              </w:rPr>
              <w:t>ות</w:t>
            </w:r>
            <w:r w:rsidRPr="00B97F61">
              <w:rPr>
                <w:rFonts w:ascii="David" w:eastAsia="Times New Roman" w:hAnsi="David" w:cs="David"/>
                <w:color w:val="000000"/>
                <w:sz w:val="24"/>
                <w:szCs w:val="24"/>
                <w:rtl/>
                <w:lang w:eastAsia="zh-CN"/>
              </w:rPr>
              <w:t xml:space="preserve"> הגלומ</w:t>
            </w:r>
            <w:r w:rsidRPr="00B97F61">
              <w:rPr>
                <w:rFonts w:ascii="David" w:eastAsia="Times New Roman" w:hAnsi="David" w:cs="David" w:hint="cs"/>
                <w:color w:val="000000"/>
                <w:sz w:val="24"/>
                <w:szCs w:val="24"/>
                <w:rtl/>
                <w:lang w:eastAsia="zh-CN"/>
              </w:rPr>
              <w:t>ות</w:t>
            </w:r>
            <w:r w:rsidRPr="00B97F61">
              <w:rPr>
                <w:rFonts w:ascii="David" w:eastAsia="Times New Roman" w:hAnsi="David" w:cs="David"/>
                <w:color w:val="000000"/>
                <w:sz w:val="24"/>
                <w:szCs w:val="24"/>
                <w:rtl/>
                <w:lang w:eastAsia="zh-CN"/>
              </w:rPr>
              <w:t xml:space="preserve"> בהם, לדוגמה, 'אם הם אינם מגלים את </w:t>
            </w:r>
            <w:r w:rsidRPr="00B97F61">
              <w:rPr>
                <w:rFonts w:ascii="David" w:eastAsia="Times New Roman" w:hAnsi="David" w:cs="David" w:hint="cs"/>
                <w:color w:val="000000"/>
                <w:sz w:val="24"/>
                <w:szCs w:val="24"/>
                <w:rtl/>
                <w:lang w:eastAsia="zh-CN"/>
              </w:rPr>
              <w:t>האדם</w:t>
            </w:r>
            <w:r w:rsidRPr="00B97F61">
              <w:rPr>
                <w:rFonts w:ascii="David" w:eastAsia="Times New Roman" w:hAnsi="David" w:cs="David"/>
                <w:color w:val="000000"/>
                <w:sz w:val="24"/>
                <w:szCs w:val="24"/>
                <w:rtl/>
                <w:lang w:eastAsia="zh-CN"/>
              </w:rPr>
              <w:t xml:space="preserve"> שרצח אותו, הם ימסרו שלושה אנשים כקנס</w:t>
            </w:r>
            <w:r w:rsidRPr="00B97F61">
              <w:rPr>
                <w:rFonts w:ascii="David" w:eastAsia="Times New Roman" w:hAnsi="David" w:cs="David" w:hint="cs"/>
                <w:color w:val="000000"/>
                <w:sz w:val="24"/>
                <w:szCs w:val="24"/>
                <w:rtl/>
                <w:lang w:eastAsia="zh-CN"/>
              </w:rPr>
              <w:t xml:space="preserve"> </w:t>
            </w:r>
            <w:r w:rsidRPr="00B97F61">
              <w:rPr>
                <w:rFonts w:ascii="Times New Roman" w:eastAsia="Times New Roman" w:hAnsi="Times New Roman" w:cs="Times New Roman"/>
                <w:color w:val="000000"/>
                <w:sz w:val="26"/>
                <w:szCs w:val="26"/>
                <w:lang w:bidi="ar-SA"/>
              </w:rPr>
              <w:t>(</w:t>
            </w:r>
            <w:proofErr w:type="spellStart"/>
            <w:r w:rsidRPr="00B97F61">
              <w:rPr>
                <w:rFonts w:ascii="Times New Roman" w:eastAsia="Times New Roman" w:hAnsi="Times New Roman" w:cs="Times New Roman"/>
                <w:i/>
                <w:iCs/>
                <w:color w:val="000000"/>
                <w:sz w:val="26"/>
                <w:lang w:bidi="ar-SA"/>
              </w:rPr>
              <w:t>umallu</w:t>
            </w:r>
            <w:proofErr w:type="spellEnd"/>
            <w:r w:rsidRPr="00B97F61">
              <w:rPr>
                <w:rFonts w:ascii="Times New Roman" w:eastAsia="Times New Roman" w:hAnsi="Times New Roman" w:cs="Times New Roman"/>
                <w:color w:val="000000"/>
                <w:sz w:val="26"/>
                <w:szCs w:val="26"/>
                <w:lang w:bidi="ar-SA"/>
              </w:rPr>
              <w:t> ‘make full’)</w:t>
            </w:r>
            <w:r w:rsidRPr="00B97F61">
              <w:rPr>
                <w:rFonts w:ascii="David" w:eastAsia="Times New Roman" w:hAnsi="David" w:cs="David"/>
                <w:color w:val="000000"/>
                <w:sz w:val="24"/>
                <w:szCs w:val="24"/>
                <w:rtl/>
                <w:lang w:eastAsia="zh-CN"/>
              </w:rPr>
              <w:t xml:space="preserve">; </w:t>
            </w:r>
            <w:r w:rsidRPr="00B97F61">
              <w:rPr>
                <w:rFonts w:ascii="David" w:eastAsia="Times New Roman" w:hAnsi="David" w:cs="David" w:hint="cs"/>
                <w:color w:val="000000"/>
                <w:sz w:val="24"/>
                <w:szCs w:val="24"/>
                <w:rtl/>
                <w:lang w:eastAsia="zh-CN"/>
              </w:rPr>
              <w:t xml:space="preserve">במקרה של עובר: 'הוא יפצה כמו עבור אדם </w:t>
            </w:r>
            <w:r w:rsidRPr="00B97F61">
              <w:rPr>
                <w:rFonts w:ascii="Times New Roman" w:eastAsia="Times New Roman" w:hAnsi="Times New Roman" w:cs="Times New Roman"/>
                <w:color w:val="000000"/>
                <w:sz w:val="26"/>
                <w:szCs w:val="26"/>
                <w:lang w:bidi="ar-SA"/>
              </w:rPr>
              <w:t>(</w:t>
            </w:r>
            <w:proofErr w:type="spellStart"/>
            <w:r w:rsidRPr="00B97F61">
              <w:rPr>
                <w:rFonts w:ascii="Times New Roman" w:eastAsia="Times New Roman" w:hAnsi="Times New Roman" w:cs="Times New Roman"/>
                <w:i/>
                <w:iCs/>
                <w:color w:val="000000"/>
                <w:sz w:val="26"/>
                <w:lang w:bidi="ar-SA"/>
              </w:rPr>
              <w:t>napšāte</w:t>
            </w:r>
            <w:proofErr w:type="spellEnd"/>
            <w:r w:rsidRPr="00B97F61">
              <w:rPr>
                <w:rFonts w:ascii="Times New Roman" w:eastAsia="Times New Roman" w:hAnsi="Times New Roman" w:cs="Times New Roman"/>
                <w:i/>
                <w:iCs/>
                <w:color w:val="000000"/>
                <w:sz w:val="26"/>
                <w:lang w:bidi="ar-SA"/>
              </w:rPr>
              <w:t xml:space="preserve"> </w:t>
            </w:r>
            <w:proofErr w:type="spellStart"/>
            <w:r w:rsidRPr="00B97F61">
              <w:rPr>
                <w:rFonts w:ascii="Times New Roman" w:eastAsia="Times New Roman" w:hAnsi="Times New Roman" w:cs="Times New Roman"/>
                <w:i/>
                <w:iCs/>
                <w:color w:val="000000"/>
                <w:sz w:val="26"/>
                <w:lang w:bidi="ar-SA"/>
              </w:rPr>
              <w:t>umallā</w:t>
            </w:r>
            <w:proofErr w:type="spellEnd"/>
            <w:r w:rsidRPr="00B97F61">
              <w:rPr>
                <w:rFonts w:ascii="Times New Roman" w:eastAsia="Times New Roman" w:hAnsi="Times New Roman" w:cs="Times New Roman"/>
                <w:color w:val="000000"/>
                <w:sz w:val="26"/>
                <w:szCs w:val="26"/>
                <w:lang w:bidi="ar-SA"/>
              </w:rPr>
              <w:t>)</w:t>
            </w:r>
            <w:r w:rsidRPr="00B97F61">
              <w:rPr>
                <w:rFonts w:ascii="David" w:eastAsia="Times New Roman" w:hAnsi="David" w:cs="David" w:hint="cs"/>
                <w:color w:val="000000"/>
                <w:sz w:val="24"/>
                <w:szCs w:val="24"/>
                <w:rtl/>
                <w:lang w:eastAsia="zh-CN"/>
              </w:rPr>
              <w:t xml:space="preserve">;  </w:t>
            </w:r>
            <w:r w:rsidRPr="00B97F61">
              <w:rPr>
                <w:rFonts w:ascii="David" w:eastAsia="Times New Roman" w:hAnsi="David" w:cs="David"/>
                <w:color w:val="000000"/>
                <w:sz w:val="24"/>
                <w:szCs w:val="24"/>
                <w:rtl/>
                <w:lang w:eastAsia="zh-CN"/>
              </w:rPr>
              <w:t>הסדרה ל</w:t>
            </w:r>
            <w:r w:rsidRPr="00B97F61">
              <w:rPr>
                <w:rFonts w:ascii="David" w:eastAsia="Times New Roman" w:hAnsi="David" w:cs="David" w:hint="cs"/>
                <w:color w:val="000000"/>
                <w:sz w:val="24"/>
                <w:szCs w:val="24"/>
                <w:rtl/>
                <w:lang w:eastAsia="zh-CN"/>
              </w:rPr>
              <w:t>פנ</w:t>
            </w:r>
            <w:r w:rsidRPr="00B97F61">
              <w:rPr>
                <w:rFonts w:ascii="David" w:eastAsia="Times New Roman" w:hAnsi="David" w:cs="David"/>
                <w:color w:val="000000"/>
                <w:sz w:val="24"/>
                <w:szCs w:val="24"/>
                <w:rtl/>
                <w:lang w:eastAsia="zh-CN"/>
              </w:rPr>
              <w:t>י משפט</w:t>
            </w:r>
            <w:r w:rsidRPr="00B97F61">
              <w:rPr>
                <w:rFonts w:ascii="David" w:eastAsia="Times New Roman" w:hAnsi="David" w:cs="David" w:hint="cs"/>
                <w:color w:val="000000"/>
                <w:sz w:val="24"/>
                <w:szCs w:val="24"/>
                <w:rtl/>
                <w:lang w:eastAsia="zh-CN"/>
              </w:rPr>
              <w:t>:</w:t>
            </w:r>
            <w:r w:rsidRPr="00B97F61">
              <w:rPr>
                <w:rFonts w:ascii="David" w:eastAsia="Times New Roman" w:hAnsi="David" w:cs="David"/>
                <w:color w:val="000000"/>
                <w:sz w:val="24"/>
                <w:szCs w:val="24"/>
                <w:rtl/>
                <w:lang w:eastAsia="zh-CN"/>
              </w:rPr>
              <w:t xml:space="preserve"> '</w:t>
            </w:r>
            <w:r w:rsidRPr="00B97F61">
              <w:rPr>
                <w:rFonts w:ascii="David" w:eastAsia="Times New Roman" w:hAnsi="David" w:cs="David" w:hint="cs"/>
                <w:color w:val="000000"/>
                <w:sz w:val="24"/>
                <w:szCs w:val="24"/>
                <w:rtl/>
                <w:lang w:eastAsia="zh-CN"/>
              </w:rPr>
              <w:t>א</w:t>
            </w:r>
            <w:r w:rsidRPr="00B97F61">
              <w:rPr>
                <w:rFonts w:ascii="David" w:eastAsia="Times New Roman" w:hAnsi="David" w:cs="David"/>
                <w:color w:val="000000"/>
                <w:sz w:val="24"/>
                <w:szCs w:val="24"/>
                <w:rtl/>
                <w:lang w:eastAsia="zh-CN"/>
              </w:rPr>
              <w:t xml:space="preserve">ל </w:t>
            </w:r>
            <w:r w:rsidRPr="00B97F61">
              <w:rPr>
                <w:rFonts w:ascii="David" w:eastAsia="Times New Roman" w:hAnsi="David" w:cs="David" w:hint="cs"/>
                <w:color w:val="000000"/>
                <w:sz w:val="24"/>
                <w:szCs w:val="24"/>
                <w:rtl/>
                <w:lang w:eastAsia="zh-CN"/>
              </w:rPr>
              <w:t>ת</w:t>
            </w:r>
            <w:r w:rsidRPr="00B97F61">
              <w:rPr>
                <w:rFonts w:ascii="David" w:eastAsia="Times New Roman" w:hAnsi="David" w:cs="David"/>
                <w:color w:val="000000"/>
                <w:sz w:val="24"/>
                <w:szCs w:val="24"/>
                <w:rtl/>
                <w:lang w:eastAsia="zh-CN"/>
              </w:rPr>
              <w:t>תמודד מולי בבית משפט. א</w:t>
            </w:r>
            <w:r w:rsidRPr="00B97F61">
              <w:rPr>
                <w:rFonts w:ascii="David" w:eastAsia="Times New Roman" w:hAnsi="David" w:cs="David" w:hint="cs"/>
                <w:color w:val="000000"/>
                <w:sz w:val="24"/>
                <w:szCs w:val="24"/>
                <w:rtl/>
                <w:lang w:eastAsia="zh-CN"/>
              </w:rPr>
              <w:t>חליף את עבדך באדם אחר</w:t>
            </w:r>
            <w:r w:rsidRPr="00B97F61">
              <w:rPr>
                <w:rFonts w:ascii="David" w:eastAsia="Times New Roman" w:hAnsi="David" w:cs="David"/>
                <w:color w:val="000000"/>
                <w:sz w:val="24"/>
                <w:szCs w:val="24"/>
                <w:rtl/>
                <w:lang w:eastAsia="zh-CN"/>
              </w:rPr>
              <w:t xml:space="preserve"> </w:t>
            </w:r>
            <w:r w:rsidRPr="00B97F61">
              <w:rPr>
                <w:rFonts w:ascii="David" w:eastAsia="Times New Roman" w:hAnsi="David" w:cs="David"/>
                <w:color w:val="000000"/>
                <w:sz w:val="24"/>
                <w:szCs w:val="24"/>
                <w:lang w:eastAsia="zh-CN" w:bidi="ar-SA"/>
              </w:rPr>
              <w:t>(</w:t>
            </w:r>
            <w:proofErr w:type="spellStart"/>
            <w:r w:rsidRPr="00B97F61">
              <w:rPr>
                <w:rFonts w:ascii="David" w:eastAsia="Times New Roman" w:hAnsi="David" w:cs="David"/>
                <w:i/>
                <w:iCs/>
                <w:color w:val="000000"/>
                <w:sz w:val="24"/>
                <w:szCs w:val="24"/>
                <w:lang w:eastAsia="zh-CN" w:bidi="ar-SA"/>
              </w:rPr>
              <w:t>napš</w:t>
            </w:r>
            <w:r w:rsidRPr="00B97F61">
              <w:rPr>
                <w:rFonts w:ascii="Calibri" w:eastAsia="Times New Roman" w:hAnsi="Calibri" w:cs="Calibri"/>
                <w:i/>
                <w:iCs/>
                <w:color w:val="000000"/>
                <w:sz w:val="24"/>
                <w:szCs w:val="24"/>
                <w:lang w:eastAsia="zh-CN" w:bidi="ar-SA"/>
              </w:rPr>
              <w:t>ā</w:t>
            </w:r>
            <w:r w:rsidRPr="00B97F61">
              <w:rPr>
                <w:rFonts w:ascii="David" w:eastAsia="Times New Roman" w:hAnsi="David" w:cs="David"/>
                <w:i/>
                <w:iCs/>
                <w:color w:val="000000"/>
                <w:sz w:val="24"/>
                <w:szCs w:val="24"/>
                <w:lang w:eastAsia="zh-CN" w:bidi="ar-SA"/>
              </w:rPr>
              <w:t>ti</w:t>
            </w:r>
            <w:proofErr w:type="spellEnd"/>
            <w:r w:rsidRPr="00B97F61">
              <w:rPr>
                <w:rFonts w:ascii="David" w:eastAsia="Times New Roman" w:hAnsi="David" w:cs="David"/>
                <w:i/>
                <w:iCs/>
                <w:color w:val="000000"/>
                <w:sz w:val="24"/>
                <w:szCs w:val="24"/>
                <w:lang w:eastAsia="zh-CN" w:bidi="ar-SA"/>
              </w:rPr>
              <w:t xml:space="preserve"> </w:t>
            </w:r>
            <w:proofErr w:type="spellStart"/>
            <w:r w:rsidRPr="00B97F61">
              <w:rPr>
                <w:rFonts w:ascii="David" w:eastAsia="Times New Roman" w:hAnsi="David" w:cs="David"/>
                <w:i/>
                <w:iCs/>
                <w:color w:val="000000"/>
                <w:sz w:val="24"/>
                <w:szCs w:val="24"/>
                <w:lang w:eastAsia="zh-CN" w:bidi="ar-SA"/>
              </w:rPr>
              <w:t>ša</w:t>
            </w:r>
            <w:proofErr w:type="spellEnd"/>
            <w:r w:rsidRPr="00B97F61">
              <w:rPr>
                <w:rFonts w:ascii="David" w:eastAsia="Times New Roman" w:hAnsi="David" w:cs="David"/>
                <w:i/>
                <w:iCs/>
                <w:color w:val="000000"/>
                <w:sz w:val="24"/>
                <w:szCs w:val="24"/>
                <w:lang w:eastAsia="zh-CN" w:bidi="ar-SA"/>
              </w:rPr>
              <w:t xml:space="preserve"> </w:t>
            </w:r>
            <w:proofErr w:type="spellStart"/>
            <w:r w:rsidRPr="00B97F61">
              <w:rPr>
                <w:rFonts w:ascii="David" w:eastAsia="Times New Roman" w:hAnsi="David" w:cs="David"/>
                <w:i/>
                <w:iCs/>
                <w:color w:val="000000"/>
                <w:sz w:val="24"/>
                <w:szCs w:val="24"/>
                <w:lang w:eastAsia="zh-CN" w:bidi="ar-SA"/>
              </w:rPr>
              <w:t>qallika</w:t>
            </w:r>
            <w:proofErr w:type="spellEnd"/>
            <w:r w:rsidRPr="00B97F61">
              <w:rPr>
                <w:rFonts w:ascii="David" w:eastAsia="Times New Roman" w:hAnsi="David" w:cs="David"/>
                <w:i/>
                <w:iCs/>
                <w:color w:val="000000"/>
                <w:sz w:val="24"/>
                <w:szCs w:val="24"/>
                <w:lang w:eastAsia="zh-CN" w:bidi="ar-SA"/>
              </w:rPr>
              <w:t xml:space="preserve"> </w:t>
            </w:r>
            <w:proofErr w:type="spellStart"/>
            <w:r w:rsidRPr="00B97F61">
              <w:rPr>
                <w:rFonts w:ascii="Calibri" w:eastAsia="Times New Roman" w:hAnsi="Calibri" w:cs="Calibri"/>
                <w:i/>
                <w:iCs/>
                <w:color w:val="000000"/>
                <w:sz w:val="24"/>
                <w:szCs w:val="24"/>
                <w:lang w:eastAsia="zh-CN" w:bidi="ar-SA"/>
              </w:rPr>
              <w:t>ū</w:t>
            </w:r>
            <w:r w:rsidRPr="00B97F61">
              <w:rPr>
                <w:rFonts w:ascii="David" w:eastAsia="Times New Roman" w:hAnsi="David" w:cs="David"/>
                <w:i/>
                <w:iCs/>
                <w:color w:val="000000"/>
                <w:sz w:val="24"/>
                <w:szCs w:val="24"/>
                <w:lang w:eastAsia="zh-CN" w:bidi="ar-SA"/>
              </w:rPr>
              <w:t>šallamka</w:t>
            </w:r>
            <w:proofErr w:type="spellEnd"/>
            <w:r w:rsidRPr="00B97F61">
              <w:rPr>
                <w:rFonts w:ascii="David" w:eastAsia="Times New Roman" w:hAnsi="David" w:cs="David"/>
                <w:color w:val="000000"/>
                <w:sz w:val="24"/>
                <w:szCs w:val="24"/>
                <w:lang w:eastAsia="zh-CN" w:bidi="ar-SA"/>
              </w:rPr>
              <w:t>).</w:t>
            </w:r>
            <w:r w:rsidRPr="00B97F61">
              <w:rPr>
                <w:rFonts w:ascii="David" w:eastAsia="Times New Roman" w:hAnsi="David" w:cs="David"/>
                <w:color w:val="000000"/>
                <w:sz w:val="24"/>
                <w:szCs w:val="24"/>
                <w:vertAlign w:val="superscript"/>
                <w:rtl/>
                <w:lang w:eastAsia="zh-CN"/>
              </w:rPr>
              <w:endnoteReference w:id="23"/>
            </w:r>
          </w:p>
          <w:p w14:paraId="70B0E169" w14:textId="77777777" w:rsidR="00EB3003" w:rsidRDefault="00EB3003" w:rsidP="00B97F61">
            <w:pPr>
              <w:shd w:val="clear" w:color="auto" w:fill="FFFFFF"/>
              <w:spacing w:after="300" w:line="465" w:lineRule="atLeast"/>
              <w:jc w:val="right"/>
              <w:rPr>
                <w:rFonts w:asciiTheme="minorBidi" w:hAnsiTheme="minorBidi"/>
                <w:rtl/>
              </w:rPr>
            </w:pPr>
          </w:p>
        </w:tc>
      </w:tr>
      <w:tr w:rsidR="00EB3003" w14:paraId="775DD19D" w14:textId="77777777" w:rsidTr="004E1C22">
        <w:tc>
          <w:tcPr>
            <w:tcW w:w="4675" w:type="dxa"/>
          </w:tcPr>
          <w:p w14:paraId="4C50CE53" w14:textId="77777777" w:rsidR="00EB3003" w:rsidRPr="00C11F76" w:rsidRDefault="00EB3003" w:rsidP="003749DB">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This account of the “life for life,” principle in the CC, and its relationship to </w:t>
            </w:r>
            <w:r w:rsidRPr="00C11F76">
              <w:rPr>
                <w:rFonts w:ascii="Times New Roman" w:eastAsia="Times New Roman" w:hAnsi="Times New Roman" w:cs="Times New Roman"/>
                <w:color w:val="000000"/>
                <w:sz w:val="26"/>
                <w:szCs w:val="26"/>
                <w:lang w:bidi="ar-SA"/>
              </w:rPr>
              <w:lastRenderedPageBreak/>
              <w:t>Middle Assyrian law, as proposed by Driver and Miles, together with Bernard Jackson, is further informed by available counterparts in ancient Babylonian legal tradition.</w:t>
            </w:r>
          </w:p>
          <w:p w14:paraId="0B542E39" w14:textId="77777777" w:rsidR="00EB3003" w:rsidRPr="004E1C22" w:rsidRDefault="00EB3003" w:rsidP="004E1C22">
            <w:pPr>
              <w:spacing w:line="276" w:lineRule="auto"/>
              <w:rPr>
                <w:rFonts w:asciiTheme="minorBidi" w:hAnsiTheme="minorBidi"/>
              </w:rPr>
            </w:pPr>
          </w:p>
        </w:tc>
        <w:tc>
          <w:tcPr>
            <w:tcW w:w="4675" w:type="dxa"/>
          </w:tcPr>
          <w:p w14:paraId="38DC19C6" w14:textId="77777777" w:rsidR="00EB3003" w:rsidRPr="001346F5" w:rsidRDefault="00EB3003" w:rsidP="001346F5">
            <w:pPr>
              <w:shd w:val="clear" w:color="auto" w:fill="FFFFFF"/>
              <w:bidi/>
              <w:spacing w:after="300" w:line="465" w:lineRule="atLeast"/>
              <w:rPr>
                <w:rFonts w:ascii="David" w:eastAsia="Times New Roman" w:hAnsi="David" w:cs="David"/>
                <w:color w:val="000000"/>
                <w:sz w:val="26"/>
                <w:szCs w:val="26"/>
                <w:rtl/>
                <w:lang w:eastAsia="zh-CN"/>
              </w:rPr>
            </w:pPr>
            <w:r w:rsidRPr="001346F5">
              <w:rPr>
                <w:rFonts w:ascii="David" w:eastAsia="Times New Roman" w:hAnsi="David" w:cs="David"/>
                <w:color w:val="000000"/>
                <w:sz w:val="24"/>
                <w:szCs w:val="24"/>
                <w:rtl/>
                <w:lang w:eastAsia="zh-CN"/>
              </w:rPr>
              <w:lastRenderedPageBreak/>
              <w:t>תיאור זה של עיקרון "נפש תחת נפש" ב-</w:t>
            </w:r>
            <w:r w:rsidRPr="001346F5">
              <w:rPr>
                <w:rFonts w:ascii="David" w:eastAsia="Times New Roman" w:hAnsi="David" w:cs="David"/>
                <w:color w:val="000000"/>
                <w:sz w:val="24"/>
                <w:szCs w:val="24"/>
                <w:lang w:eastAsia="zh-CN"/>
              </w:rPr>
              <w:t>CC</w:t>
            </w:r>
            <w:r w:rsidRPr="001346F5">
              <w:rPr>
                <w:rFonts w:ascii="David" w:eastAsia="Times New Roman" w:hAnsi="David" w:cs="David"/>
                <w:color w:val="000000"/>
                <w:sz w:val="24"/>
                <w:szCs w:val="24"/>
                <w:rtl/>
                <w:lang w:eastAsia="zh-CN"/>
              </w:rPr>
              <w:t xml:space="preserve"> והקשר שלו לחוק האשורי, כפי שמציעים דרייבר ומיילס </w:t>
            </w:r>
            <w:r w:rsidRPr="001346F5">
              <w:rPr>
                <w:rFonts w:ascii="David" w:eastAsia="Times New Roman" w:hAnsi="David" w:cs="David"/>
                <w:color w:val="000000"/>
                <w:sz w:val="24"/>
                <w:szCs w:val="24"/>
                <w:rtl/>
                <w:lang w:eastAsia="zh-CN"/>
              </w:rPr>
              <w:lastRenderedPageBreak/>
              <w:t>יחד עם ברנרד ג'קסון, נתמ</w:t>
            </w:r>
            <w:r w:rsidRPr="001346F5">
              <w:rPr>
                <w:rFonts w:ascii="David" w:eastAsia="Times New Roman" w:hAnsi="David" w:cs="David" w:hint="cs"/>
                <w:color w:val="000000"/>
                <w:sz w:val="24"/>
                <w:szCs w:val="24"/>
                <w:rtl/>
                <w:lang w:eastAsia="zh-CN"/>
              </w:rPr>
              <w:t>ך</w:t>
            </w:r>
            <w:r w:rsidRPr="001346F5">
              <w:rPr>
                <w:rFonts w:ascii="David" w:eastAsia="Times New Roman" w:hAnsi="David" w:cs="David"/>
                <w:color w:val="000000"/>
                <w:sz w:val="24"/>
                <w:szCs w:val="24"/>
                <w:rtl/>
                <w:lang w:eastAsia="zh-CN"/>
              </w:rPr>
              <w:t xml:space="preserve"> עוד בידי </w:t>
            </w:r>
            <w:r w:rsidRPr="001346F5">
              <w:rPr>
                <w:rFonts w:ascii="David" w:eastAsia="Times New Roman" w:hAnsi="David" w:cs="David" w:hint="cs"/>
                <w:color w:val="000000"/>
                <w:sz w:val="24"/>
                <w:szCs w:val="24"/>
                <w:rtl/>
                <w:lang w:eastAsia="zh-CN"/>
              </w:rPr>
              <w:t>מקרים מקבילים המצויים ב</w:t>
            </w:r>
            <w:r w:rsidRPr="001346F5">
              <w:rPr>
                <w:rFonts w:ascii="David" w:eastAsia="Times New Roman" w:hAnsi="David" w:cs="David"/>
                <w:color w:val="000000"/>
                <w:sz w:val="24"/>
                <w:szCs w:val="24"/>
                <w:rtl/>
                <w:lang w:eastAsia="zh-CN"/>
              </w:rPr>
              <w:t>מסורת המשפטית הבבלית העתיקה</w:t>
            </w:r>
            <w:r w:rsidRPr="001346F5">
              <w:rPr>
                <w:rFonts w:ascii="David" w:eastAsia="Times New Roman" w:hAnsi="David" w:cs="David"/>
                <w:color w:val="000000"/>
                <w:sz w:val="26"/>
                <w:szCs w:val="26"/>
                <w:rtl/>
                <w:lang w:eastAsia="zh-CN"/>
              </w:rPr>
              <w:t>.</w:t>
            </w:r>
          </w:p>
          <w:p w14:paraId="377DFCF3" w14:textId="77777777" w:rsidR="00EB3003" w:rsidRDefault="00EB3003" w:rsidP="004E1C22">
            <w:pPr>
              <w:bidi/>
              <w:spacing w:line="276" w:lineRule="auto"/>
              <w:rPr>
                <w:rFonts w:asciiTheme="minorBidi" w:hAnsiTheme="minorBidi"/>
                <w:rtl/>
              </w:rPr>
            </w:pPr>
          </w:p>
        </w:tc>
      </w:tr>
      <w:tr w:rsidR="00EB3003" w14:paraId="05058351" w14:textId="77777777" w:rsidTr="004E1C22">
        <w:tc>
          <w:tcPr>
            <w:tcW w:w="4675" w:type="dxa"/>
          </w:tcPr>
          <w:p w14:paraId="27E0CACD" w14:textId="77777777" w:rsidR="00EB3003" w:rsidRPr="00C11F76" w:rsidRDefault="00EB3003" w:rsidP="003749DB">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C11F76">
              <w:rPr>
                <w:rFonts w:ascii="Times New Roman" w:eastAsia="Times New Roman" w:hAnsi="Times New Roman" w:cs="Times New Roman"/>
                <w:color w:val="000000"/>
                <w:sz w:val="38"/>
                <w:szCs w:val="38"/>
                <w:lang w:bidi="ar-SA"/>
              </w:rPr>
              <w:lastRenderedPageBreak/>
              <w:t>Babylonian Distinctions: Vicarious Killing, Monetary Fines, Life Substitution, and Capital Punishment</w:t>
            </w:r>
          </w:p>
          <w:p w14:paraId="284FBFFC" w14:textId="77777777" w:rsidR="00EB3003" w:rsidRPr="004E1C22" w:rsidRDefault="00EB3003" w:rsidP="004E1C22">
            <w:pPr>
              <w:spacing w:line="276" w:lineRule="auto"/>
              <w:rPr>
                <w:rFonts w:asciiTheme="minorBidi" w:hAnsiTheme="minorBidi"/>
              </w:rPr>
            </w:pPr>
          </w:p>
        </w:tc>
        <w:tc>
          <w:tcPr>
            <w:tcW w:w="4675" w:type="dxa"/>
          </w:tcPr>
          <w:p w14:paraId="1B2C8B12" w14:textId="77777777" w:rsidR="00EB3003" w:rsidRDefault="00EB3003" w:rsidP="006249BC">
            <w:pPr>
              <w:shd w:val="clear" w:color="auto" w:fill="FFFFFF"/>
              <w:spacing w:after="300" w:line="465" w:lineRule="atLeast"/>
              <w:jc w:val="center"/>
              <w:rPr>
                <w:rFonts w:ascii="David" w:eastAsia="Times New Roman" w:hAnsi="David" w:cs="David"/>
                <w:color w:val="000000"/>
                <w:sz w:val="32"/>
                <w:szCs w:val="32"/>
                <w:rtl/>
                <w:lang w:eastAsia="zh-CN"/>
              </w:rPr>
            </w:pPr>
          </w:p>
          <w:p w14:paraId="2D6FEE3E" w14:textId="2585DAED" w:rsidR="00EB3003" w:rsidRPr="005A54A8" w:rsidRDefault="00EB3003" w:rsidP="006249BC">
            <w:pPr>
              <w:shd w:val="clear" w:color="auto" w:fill="FFFFFF"/>
              <w:spacing w:after="300" w:line="465" w:lineRule="atLeast"/>
              <w:jc w:val="center"/>
              <w:rPr>
                <w:rFonts w:ascii="David" w:eastAsia="Times New Roman" w:hAnsi="David" w:cs="David"/>
                <w:color w:val="000000"/>
                <w:sz w:val="32"/>
                <w:szCs w:val="32"/>
                <w:rtl/>
                <w:lang w:eastAsia="zh-CN"/>
              </w:rPr>
            </w:pPr>
            <w:r w:rsidRPr="005A54A8">
              <w:rPr>
                <w:rFonts w:ascii="David" w:eastAsia="Times New Roman" w:hAnsi="David" w:cs="David"/>
                <w:color w:val="000000"/>
                <w:sz w:val="32"/>
                <w:szCs w:val="32"/>
                <w:rtl/>
                <w:lang w:eastAsia="zh-CN"/>
              </w:rPr>
              <w:t>הבחנות בבליות: הריג</w:t>
            </w:r>
            <w:r>
              <w:rPr>
                <w:rFonts w:ascii="David" w:eastAsia="Times New Roman" w:hAnsi="David" w:cs="David" w:hint="cs"/>
                <w:color w:val="000000"/>
                <w:sz w:val="32"/>
                <w:szCs w:val="32"/>
                <w:rtl/>
                <w:lang w:eastAsia="zh-CN"/>
              </w:rPr>
              <w:t>ה</w:t>
            </w:r>
            <w:r w:rsidRPr="005A54A8">
              <w:rPr>
                <w:rFonts w:ascii="David" w:eastAsia="Times New Roman" w:hAnsi="David" w:cs="David"/>
                <w:color w:val="000000"/>
                <w:sz w:val="32"/>
                <w:szCs w:val="32"/>
                <w:rtl/>
                <w:lang w:eastAsia="zh-CN"/>
              </w:rPr>
              <w:t xml:space="preserve"> </w:t>
            </w:r>
            <w:r>
              <w:rPr>
                <w:rFonts w:ascii="David" w:eastAsia="Times New Roman" w:hAnsi="David" w:cs="David" w:hint="cs"/>
                <w:color w:val="000000"/>
                <w:sz w:val="32"/>
                <w:szCs w:val="32"/>
                <w:rtl/>
                <w:lang w:eastAsia="zh-CN"/>
              </w:rPr>
              <w:t xml:space="preserve">של </w:t>
            </w:r>
            <w:r w:rsidRPr="005A54A8">
              <w:rPr>
                <w:rFonts w:ascii="David" w:eastAsia="Times New Roman" w:hAnsi="David" w:cs="David"/>
                <w:color w:val="000000"/>
                <w:sz w:val="32"/>
                <w:szCs w:val="32"/>
                <w:rtl/>
                <w:lang w:eastAsia="zh-CN"/>
              </w:rPr>
              <w:t xml:space="preserve">ממלאי מקום, קנסות כספיים, </w:t>
            </w:r>
            <w:r>
              <w:rPr>
                <w:rFonts w:ascii="David" w:eastAsia="Times New Roman" w:hAnsi="David" w:cs="David" w:hint="cs"/>
                <w:color w:val="000000"/>
                <w:sz w:val="32"/>
                <w:szCs w:val="32"/>
                <w:rtl/>
                <w:lang w:eastAsia="zh-CN"/>
              </w:rPr>
              <w:t xml:space="preserve">ממלאי מקום </w:t>
            </w:r>
            <w:r w:rsidRPr="005A54A8">
              <w:rPr>
                <w:rFonts w:ascii="David" w:eastAsia="Times New Roman" w:hAnsi="David" w:cs="David"/>
                <w:color w:val="000000"/>
                <w:sz w:val="32"/>
                <w:szCs w:val="32"/>
                <w:rtl/>
                <w:lang w:eastAsia="zh-CN"/>
              </w:rPr>
              <w:t>חיים ועונש מוות</w:t>
            </w:r>
          </w:p>
          <w:p w14:paraId="1684F05B" w14:textId="77777777" w:rsidR="00EB3003" w:rsidRDefault="00EB3003" w:rsidP="004E1C22">
            <w:pPr>
              <w:bidi/>
              <w:spacing w:line="276" w:lineRule="auto"/>
              <w:rPr>
                <w:rFonts w:asciiTheme="minorBidi" w:hAnsiTheme="minorBidi"/>
                <w:rtl/>
              </w:rPr>
            </w:pPr>
          </w:p>
        </w:tc>
      </w:tr>
      <w:tr w:rsidR="00EB3003" w14:paraId="228980AF" w14:textId="77777777" w:rsidTr="004E1C22">
        <w:tc>
          <w:tcPr>
            <w:tcW w:w="4675" w:type="dxa"/>
          </w:tcPr>
          <w:p w14:paraId="5B1242AD" w14:textId="77777777" w:rsidR="00EB3003" w:rsidRPr="00C11F76" w:rsidRDefault="00EB3003" w:rsidP="003749DB">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The underlying concept of vicarious punishment is also attested in the parallel provisions from the Laws of Hammurabi (LH), a collection that is widely acknowledged as influencing the </w:t>
            </w:r>
            <w:proofErr w:type="gramStart"/>
            <w:r w:rsidRPr="00C11F76">
              <w:rPr>
                <w:rFonts w:ascii="Times New Roman" w:eastAsia="Times New Roman" w:hAnsi="Times New Roman" w:cs="Times New Roman"/>
                <w:color w:val="000000"/>
                <w:sz w:val="26"/>
                <w:szCs w:val="26"/>
                <w:lang w:bidi="ar-SA"/>
              </w:rPr>
              <w:t>CC.</w:t>
            </w:r>
            <w:r w:rsidRPr="00C11F76">
              <w:rPr>
                <w:rFonts w:ascii="Times New Roman" w:eastAsia="Times New Roman" w:hAnsi="Times New Roman" w:cs="Times New Roman"/>
                <w:color w:val="B22222"/>
                <w:sz w:val="23"/>
                <w:szCs w:val="23"/>
                <w:vertAlign w:val="superscript"/>
                <w:lang w:bidi="ar-SA"/>
              </w:rPr>
              <w:t>[</w:t>
            </w:r>
            <w:proofErr w:type="gramEnd"/>
            <w:r w:rsidRPr="00C11F76">
              <w:rPr>
                <w:rFonts w:ascii="Times New Roman" w:eastAsia="Times New Roman" w:hAnsi="Times New Roman" w:cs="Times New Roman"/>
                <w:color w:val="B22222"/>
                <w:sz w:val="23"/>
                <w:szCs w:val="23"/>
                <w:vertAlign w:val="superscript"/>
                <w:lang w:bidi="ar-SA"/>
              </w:rPr>
              <w:t>23]</w:t>
            </w:r>
            <w:r w:rsidRPr="00C11F76">
              <w:rPr>
                <w:rFonts w:ascii="Times New Roman" w:eastAsia="Times New Roman" w:hAnsi="Times New Roman" w:cs="Times New Roman"/>
                <w:color w:val="000000"/>
                <w:sz w:val="26"/>
                <w:szCs w:val="26"/>
                <w:lang w:bidi="ar-SA"/>
              </w:rPr>
              <w:t xml:space="preserve"> At this point, it is worth </w:t>
            </w:r>
            <w:proofErr w:type="spellStart"/>
            <w:r w:rsidRPr="00C11F76">
              <w:rPr>
                <w:rFonts w:ascii="Times New Roman" w:eastAsia="Times New Roman" w:hAnsi="Times New Roman" w:cs="Times New Roman"/>
                <w:color w:val="000000"/>
                <w:sz w:val="26"/>
                <w:szCs w:val="26"/>
                <w:lang w:bidi="ar-SA"/>
              </w:rPr>
              <w:t>emphasising</w:t>
            </w:r>
            <w:proofErr w:type="spellEnd"/>
            <w:r w:rsidRPr="00C11F76">
              <w:rPr>
                <w:rFonts w:ascii="Times New Roman" w:eastAsia="Times New Roman" w:hAnsi="Times New Roman" w:cs="Times New Roman"/>
                <w:color w:val="000000"/>
                <w:sz w:val="26"/>
                <w:szCs w:val="26"/>
                <w:lang w:bidi="ar-SA"/>
              </w:rPr>
              <w:t xml:space="preserve"> that no single ancient collection covers the entire social spectrum of assailants and victims, let alone the full range of possible injuries – but also that the incidence of mental and emotional harm is never addressed in any of these contexts.</w:t>
            </w:r>
          </w:p>
          <w:p w14:paraId="3288CCDB" w14:textId="77777777" w:rsidR="00EB3003" w:rsidRPr="004E1C22" w:rsidRDefault="00EB3003" w:rsidP="00FF13FB">
            <w:pPr>
              <w:shd w:val="clear" w:color="auto" w:fill="FFFFFF"/>
              <w:spacing w:after="300" w:line="465" w:lineRule="atLeast"/>
              <w:rPr>
                <w:rFonts w:asciiTheme="minorBidi" w:hAnsiTheme="minorBidi"/>
              </w:rPr>
            </w:pPr>
          </w:p>
        </w:tc>
        <w:tc>
          <w:tcPr>
            <w:tcW w:w="4675" w:type="dxa"/>
          </w:tcPr>
          <w:p w14:paraId="4527CA52" w14:textId="3E3C2B37" w:rsidR="00EB3003" w:rsidRDefault="00EB3003" w:rsidP="009A0D45">
            <w:pPr>
              <w:bidi/>
              <w:spacing w:line="480" w:lineRule="auto"/>
              <w:rPr>
                <w:rFonts w:asciiTheme="minorBidi" w:hAnsiTheme="minorBidi"/>
                <w:rtl/>
              </w:rPr>
            </w:pPr>
            <w:r>
              <w:rPr>
                <w:rFonts w:ascii="David" w:eastAsia="Times New Roman" w:hAnsi="David" w:cs="David" w:hint="cs"/>
                <w:color w:val="000000"/>
                <w:sz w:val="24"/>
                <w:szCs w:val="24"/>
                <w:rtl/>
                <w:lang w:eastAsia="zh-CN"/>
              </w:rPr>
              <w:lastRenderedPageBreak/>
              <w:t>ל</w:t>
            </w:r>
            <w:r w:rsidRPr="006C108F">
              <w:rPr>
                <w:rFonts w:ascii="David" w:eastAsia="Times New Roman" w:hAnsi="David" w:cs="David"/>
                <w:color w:val="000000"/>
                <w:sz w:val="24"/>
                <w:szCs w:val="24"/>
                <w:rtl/>
                <w:lang w:eastAsia="zh-CN"/>
              </w:rPr>
              <w:t xml:space="preserve">תפיסה </w:t>
            </w:r>
            <w:r>
              <w:rPr>
                <w:rFonts w:ascii="David" w:eastAsia="Times New Roman" w:hAnsi="David" w:cs="David" w:hint="cs"/>
                <w:color w:val="000000"/>
                <w:sz w:val="24"/>
                <w:szCs w:val="24"/>
                <w:rtl/>
                <w:lang w:eastAsia="zh-CN"/>
              </w:rPr>
              <w:t xml:space="preserve">המרומזת של </w:t>
            </w:r>
            <w:r w:rsidRPr="006C108F">
              <w:rPr>
                <w:rFonts w:ascii="David" w:eastAsia="Times New Roman" w:hAnsi="David" w:cs="David"/>
                <w:color w:val="000000"/>
                <w:sz w:val="24"/>
                <w:szCs w:val="24"/>
                <w:rtl/>
                <w:lang w:eastAsia="zh-CN"/>
              </w:rPr>
              <w:t>עניש</w:t>
            </w:r>
            <w:r>
              <w:rPr>
                <w:rFonts w:ascii="David" w:eastAsia="Times New Roman" w:hAnsi="David" w:cs="David" w:hint="cs"/>
                <w:color w:val="000000"/>
                <w:sz w:val="24"/>
                <w:szCs w:val="24"/>
                <w:rtl/>
                <w:lang w:eastAsia="zh-CN"/>
              </w:rPr>
              <w:t>ת</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 xml:space="preserve">ממלא מקום יש תימוכין </w:t>
            </w:r>
            <w:r w:rsidRPr="006C108F">
              <w:rPr>
                <w:rFonts w:ascii="David" w:eastAsia="Times New Roman" w:hAnsi="David" w:cs="David"/>
                <w:color w:val="000000"/>
                <w:sz w:val="24"/>
                <w:szCs w:val="24"/>
                <w:rtl/>
                <w:lang w:eastAsia="zh-CN"/>
              </w:rPr>
              <w:t>גם ב</w:t>
            </w:r>
            <w:r>
              <w:rPr>
                <w:rFonts w:ascii="David" w:eastAsia="Times New Roman" w:hAnsi="David" w:cs="David" w:hint="cs"/>
                <w:color w:val="000000"/>
                <w:sz w:val="24"/>
                <w:szCs w:val="24"/>
                <w:rtl/>
                <w:lang w:eastAsia="zh-CN"/>
              </w:rPr>
              <w:t>קביעות</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מקבילות בחוקי חמורבי (</w:t>
            </w:r>
            <w:r w:rsidRPr="006C108F">
              <w:rPr>
                <w:rFonts w:ascii="David" w:eastAsia="Times New Roman" w:hAnsi="David" w:cs="David"/>
                <w:color w:val="000000"/>
                <w:sz w:val="24"/>
                <w:szCs w:val="24"/>
                <w:lang w:eastAsia="zh-CN"/>
              </w:rPr>
              <w:t>LH</w:t>
            </w:r>
            <w:r w:rsidRPr="006C108F">
              <w:rPr>
                <w:rFonts w:ascii="David" w:eastAsia="Times New Roman" w:hAnsi="David" w:cs="David"/>
                <w:color w:val="000000"/>
                <w:sz w:val="24"/>
                <w:szCs w:val="24"/>
                <w:rtl/>
                <w:lang w:eastAsia="zh-CN"/>
              </w:rPr>
              <w:t xml:space="preserve">), אוסף </w:t>
            </w:r>
            <w:r>
              <w:rPr>
                <w:rFonts w:ascii="David" w:eastAsia="Times New Roman" w:hAnsi="David" w:cs="David" w:hint="cs"/>
                <w:color w:val="000000"/>
                <w:sz w:val="24"/>
                <w:szCs w:val="24"/>
                <w:rtl/>
                <w:lang w:eastAsia="zh-CN"/>
              </w:rPr>
              <w:t>שקיימת הסכמה רחבה לגבי מידת השפעתו</w:t>
            </w:r>
            <w:r w:rsidRPr="006C108F">
              <w:rPr>
                <w:rFonts w:ascii="David" w:eastAsia="Times New Roman" w:hAnsi="David" w:cs="David"/>
                <w:color w:val="000000"/>
                <w:sz w:val="24"/>
                <w:szCs w:val="24"/>
                <w:rtl/>
                <w:lang w:eastAsia="zh-CN"/>
              </w:rPr>
              <w:t xml:space="preserve"> על ה-</w:t>
            </w:r>
            <w:r w:rsidRPr="006C108F">
              <w:rPr>
                <w:rFonts w:ascii="David" w:eastAsia="Times New Roman" w:hAnsi="David" w:cs="David"/>
                <w:color w:val="000000"/>
                <w:sz w:val="24"/>
                <w:szCs w:val="24"/>
                <w:lang w:eastAsia="zh-CN"/>
              </w:rPr>
              <w:t>.CC</w:t>
            </w:r>
            <w:r w:rsidRPr="006C108F">
              <w:rPr>
                <w:rStyle w:val="af0"/>
                <w:rFonts w:ascii="David" w:eastAsia="Times New Roman" w:hAnsi="David" w:cs="David"/>
                <w:color w:val="000000"/>
                <w:sz w:val="24"/>
                <w:szCs w:val="24"/>
                <w:rtl/>
                <w:lang w:eastAsia="zh-CN"/>
              </w:rPr>
              <w:endnoteReference w:id="24"/>
            </w:r>
            <w:r w:rsidRPr="006C108F">
              <w:rPr>
                <w:rFonts w:ascii="David" w:eastAsia="Times New Roman" w:hAnsi="David" w:cs="David"/>
                <w:color w:val="000000"/>
                <w:sz w:val="24"/>
                <w:szCs w:val="24"/>
                <w:rtl/>
                <w:lang w:eastAsia="zh-CN"/>
              </w:rPr>
              <w:t xml:space="preserve"> בנקודה זו, </w:t>
            </w:r>
            <w:r>
              <w:rPr>
                <w:rFonts w:ascii="David" w:eastAsia="Times New Roman" w:hAnsi="David" w:cs="David" w:hint="cs"/>
                <w:color w:val="000000"/>
                <w:sz w:val="24"/>
                <w:szCs w:val="24"/>
                <w:rtl/>
                <w:lang w:eastAsia="zh-CN"/>
              </w:rPr>
              <w:t xml:space="preserve">ראוי </w:t>
            </w:r>
            <w:r w:rsidRPr="006C108F">
              <w:rPr>
                <w:rFonts w:ascii="David" w:eastAsia="Times New Roman" w:hAnsi="David" w:cs="David"/>
                <w:color w:val="000000"/>
                <w:sz w:val="24"/>
                <w:szCs w:val="24"/>
                <w:rtl/>
                <w:lang w:eastAsia="zh-CN"/>
              </w:rPr>
              <w:t>להדגיש שא</w:t>
            </w:r>
            <w:r>
              <w:rPr>
                <w:rFonts w:ascii="David" w:eastAsia="Times New Roman" w:hAnsi="David" w:cs="David" w:hint="cs"/>
                <w:color w:val="000000"/>
                <w:sz w:val="24"/>
                <w:szCs w:val="24"/>
                <w:rtl/>
                <w:lang w:eastAsia="zh-CN"/>
              </w:rPr>
              <w:t>ין</w:t>
            </w:r>
            <w:r w:rsidRPr="006C108F">
              <w:rPr>
                <w:rFonts w:ascii="David" w:eastAsia="Times New Roman" w:hAnsi="David" w:cs="David"/>
                <w:color w:val="000000"/>
                <w:sz w:val="24"/>
                <w:szCs w:val="24"/>
                <w:rtl/>
                <w:lang w:eastAsia="zh-CN"/>
              </w:rPr>
              <w:t xml:space="preserve"> אוסף</w:t>
            </w:r>
            <w:r>
              <w:rPr>
                <w:rFonts w:ascii="David" w:eastAsia="Times New Roman" w:hAnsi="David" w:cs="David" w:hint="cs"/>
                <w:color w:val="000000"/>
                <w:sz w:val="24"/>
                <w:szCs w:val="24"/>
                <w:rtl/>
                <w:lang w:eastAsia="zh-CN"/>
              </w:rPr>
              <w:t xml:space="preserve"> עתיק</w:t>
            </w:r>
            <w:r w:rsidRPr="006C108F">
              <w:rPr>
                <w:rFonts w:ascii="David" w:eastAsia="Times New Roman" w:hAnsi="David" w:cs="David"/>
                <w:color w:val="000000"/>
                <w:sz w:val="24"/>
                <w:szCs w:val="24"/>
                <w:rtl/>
                <w:lang w:eastAsia="zh-CN"/>
              </w:rPr>
              <w:t xml:space="preserve"> יחיד </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 xml:space="preserve">מקיף את מלוא הספקטרום החברתי של תוקפים וקורבנות, </w:t>
            </w:r>
            <w:r>
              <w:rPr>
                <w:rFonts w:ascii="David" w:eastAsia="Times New Roman" w:hAnsi="David" w:cs="David" w:hint="cs"/>
                <w:color w:val="000000"/>
                <w:sz w:val="24"/>
                <w:szCs w:val="24"/>
                <w:rtl/>
                <w:lang w:eastAsia="zh-CN"/>
              </w:rPr>
              <w:t>שלא לדבר על</w:t>
            </w:r>
            <w:r w:rsidRPr="006C108F">
              <w:rPr>
                <w:rFonts w:ascii="David" w:eastAsia="Times New Roman" w:hAnsi="David" w:cs="David"/>
                <w:color w:val="000000"/>
                <w:sz w:val="24"/>
                <w:szCs w:val="24"/>
                <w:rtl/>
                <w:lang w:eastAsia="zh-CN"/>
              </w:rPr>
              <w:t xml:space="preserve"> טווח </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 xml:space="preserve">פגיעות </w:t>
            </w:r>
            <w:r>
              <w:rPr>
                <w:rFonts w:ascii="David" w:eastAsia="Times New Roman" w:hAnsi="David" w:cs="David" w:hint="cs"/>
                <w:color w:val="000000"/>
                <w:sz w:val="24"/>
                <w:szCs w:val="24"/>
                <w:rtl/>
                <w:lang w:eastAsia="zh-CN"/>
              </w:rPr>
              <w:t>ה</w:t>
            </w:r>
            <w:r w:rsidRPr="006C108F">
              <w:rPr>
                <w:rFonts w:ascii="David" w:eastAsia="Times New Roman" w:hAnsi="David" w:cs="David"/>
                <w:color w:val="000000"/>
                <w:sz w:val="24"/>
                <w:szCs w:val="24"/>
                <w:rtl/>
                <w:lang w:eastAsia="zh-CN"/>
              </w:rPr>
              <w:t>אפשריות</w:t>
            </w:r>
            <w:r>
              <w:rPr>
                <w:rFonts w:ascii="David" w:eastAsia="Times New Roman" w:hAnsi="David" w:cs="David" w:hint="cs"/>
                <w:color w:val="000000"/>
                <w:sz w:val="24"/>
                <w:szCs w:val="24"/>
                <w:rtl/>
                <w:lang w:eastAsia="zh-CN"/>
              </w:rPr>
              <w:t xml:space="preserve"> המלא</w:t>
            </w:r>
            <w:r w:rsidRPr="006C108F">
              <w:rPr>
                <w:rFonts w:ascii="David" w:eastAsia="Times New Roman" w:hAnsi="David" w:cs="David"/>
                <w:color w:val="000000"/>
                <w:sz w:val="24"/>
                <w:szCs w:val="24"/>
                <w:rtl/>
                <w:lang w:eastAsia="zh-CN"/>
              </w:rPr>
              <w:t xml:space="preserve"> – </w:t>
            </w:r>
            <w:r>
              <w:rPr>
                <w:rFonts w:ascii="David" w:eastAsia="Times New Roman" w:hAnsi="David" w:cs="David" w:hint="cs"/>
                <w:color w:val="000000"/>
                <w:sz w:val="24"/>
                <w:szCs w:val="24"/>
                <w:rtl/>
                <w:lang w:eastAsia="zh-CN"/>
              </w:rPr>
              <w:t xml:space="preserve">אך </w:t>
            </w:r>
            <w:r w:rsidRPr="006C108F">
              <w:rPr>
                <w:rFonts w:ascii="David" w:eastAsia="Times New Roman" w:hAnsi="David" w:cs="David"/>
                <w:color w:val="000000"/>
                <w:sz w:val="24"/>
                <w:szCs w:val="24"/>
                <w:rtl/>
                <w:lang w:eastAsia="zh-CN"/>
              </w:rPr>
              <w:t xml:space="preserve">גם </w:t>
            </w:r>
            <w:r>
              <w:rPr>
                <w:rFonts w:ascii="David" w:eastAsia="Times New Roman" w:hAnsi="David" w:cs="David" w:hint="cs"/>
                <w:color w:val="000000"/>
                <w:sz w:val="24"/>
                <w:szCs w:val="24"/>
                <w:rtl/>
                <w:lang w:eastAsia="zh-CN"/>
              </w:rPr>
              <w:t xml:space="preserve">שמידת </w:t>
            </w:r>
            <w:r w:rsidRPr="006C108F">
              <w:rPr>
                <w:rFonts w:ascii="David" w:eastAsia="Times New Roman" w:hAnsi="David" w:cs="David"/>
                <w:color w:val="000000"/>
                <w:sz w:val="24"/>
                <w:szCs w:val="24"/>
                <w:rtl/>
                <w:lang w:eastAsia="zh-CN"/>
              </w:rPr>
              <w:t xml:space="preserve">הנזק הנפשי והרגשי </w:t>
            </w:r>
            <w:r>
              <w:rPr>
                <w:rFonts w:ascii="David" w:eastAsia="Times New Roman" w:hAnsi="David" w:cs="David" w:hint="cs"/>
                <w:color w:val="000000"/>
                <w:sz w:val="24"/>
                <w:szCs w:val="24"/>
                <w:rtl/>
                <w:lang w:eastAsia="zh-CN"/>
              </w:rPr>
              <w:t>אינה זוכה כלל להתייחסות באף אחד</w:t>
            </w:r>
            <w:r w:rsidRPr="006C108F">
              <w:rPr>
                <w:rFonts w:ascii="David" w:eastAsia="Times New Roman" w:hAnsi="David" w:cs="David"/>
                <w:color w:val="000000"/>
                <w:sz w:val="24"/>
                <w:szCs w:val="24"/>
                <w:rtl/>
                <w:lang w:eastAsia="zh-CN"/>
              </w:rPr>
              <w:t xml:space="preserve"> </w:t>
            </w:r>
            <w:r>
              <w:rPr>
                <w:rFonts w:ascii="David" w:eastAsia="Times New Roman" w:hAnsi="David" w:cs="David" w:hint="cs"/>
                <w:color w:val="000000"/>
                <w:sz w:val="24"/>
                <w:szCs w:val="24"/>
                <w:rtl/>
                <w:lang w:eastAsia="zh-CN"/>
              </w:rPr>
              <w:t xml:space="preserve">מן </w:t>
            </w:r>
            <w:r w:rsidRPr="006C108F">
              <w:rPr>
                <w:rFonts w:ascii="David" w:eastAsia="Times New Roman" w:hAnsi="David" w:cs="David"/>
                <w:color w:val="000000"/>
                <w:sz w:val="24"/>
                <w:szCs w:val="24"/>
                <w:rtl/>
                <w:lang w:eastAsia="zh-CN"/>
              </w:rPr>
              <w:t>ההקשרים האלה</w:t>
            </w:r>
            <w:r>
              <w:rPr>
                <w:rFonts w:asciiTheme="minorBidi" w:hAnsiTheme="minorBidi" w:hint="cs"/>
                <w:rtl/>
              </w:rPr>
              <w:t>.</w:t>
            </w:r>
          </w:p>
        </w:tc>
      </w:tr>
      <w:tr w:rsidR="00EB3003" w14:paraId="79968BED" w14:textId="77777777" w:rsidTr="004E1C22">
        <w:tc>
          <w:tcPr>
            <w:tcW w:w="4675" w:type="dxa"/>
          </w:tcPr>
          <w:p w14:paraId="48C01CC7" w14:textId="77777777" w:rsidR="00EB3003" w:rsidRPr="00C11F76" w:rsidRDefault="00EB3003" w:rsidP="00FF13FB">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Here, in LH 209–214, damages for striking a pregnant woman are indicated only when the fatal blow has been struck by an </w:t>
            </w:r>
            <w:bookmarkStart w:id="12" w:name="_Hlk90912605"/>
            <w:proofErr w:type="spellStart"/>
            <w:r w:rsidRPr="00C11F76">
              <w:rPr>
                <w:rFonts w:ascii="Times New Roman" w:eastAsia="Times New Roman" w:hAnsi="Times New Roman" w:cs="Times New Roman"/>
                <w:i/>
                <w:iCs/>
                <w:color w:val="000000"/>
                <w:sz w:val="26"/>
                <w:lang w:bidi="ar-SA"/>
              </w:rPr>
              <w:t>awīlu</w:t>
            </w:r>
            <w:bookmarkEnd w:id="12"/>
            <w:proofErr w:type="spellEnd"/>
            <w:r w:rsidRPr="00C11F76">
              <w:rPr>
                <w:rFonts w:ascii="Times New Roman" w:eastAsia="Times New Roman" w:hAnsi="Times New Roman" w:cs="Times New Roman"/>
                <w:color w:val="000000"/>
                <w:sz w:val="26"/>
                <w:szCs w:val="26"/>
                <w:lang w:bidi="ar-SA"/>
              </w:rPr>
              <w:t>, i.e., a free man who has greater rights and privileges than other social classes in Hammurabi’s Babylon,</w:t>
            </w:r>
            <w:bookmarkStart w:id="13" w:name="_ftnref24"/>
            <w:r w:rsidRPr="00C11F76">
              <w:rPr>
                <w:rFonts w:ascii="Times New Roman" w:eastAsia="Times New Roman" w:hAnsi="Times New Roman" w:cs="Times New Roman"/>
                <w:color w:val="000000"/>
                <w:sz w:val="26"/>
                <w:szCs w:val="26"/>
                <w:lang w:bidi="ar-SA"/>
              </w:rPr>
              <w:fldChar w:fldCharType="begin"/>
            </w:r>
            <w:r w:rsidRPr="00C11F76">
              <w:rPr>
                <w:rFonts w:ascii="Times New Roman" w:eastAsia="Times New Roman" w:hAnsi="Times New Roman" w:cs="Times New Roman"/>
                <w:color w:val="000000"/>
                <w:sz w:val="26"/>
                <w:szCs w:val="26"/>
                <w:lang w:bidi="ar-SA"/>
              </w:rPr>
              <w:instrText xml:space="preserve"> HYPERLINK "https://www.thetorah.com/article/deathblows-to-a-pregnant-woman-what-restitution-was-required" \l "_ftn24" </w:instrText>
            </w:r>
            <w:r w:rsidRPr="00C11F76">
              <w:rPr>
                <w:rFonts w:ascii="Times New Roman" w:eastAsia="Times New Roman" w:hAnsi="Times New Roman" w:cs="Times New Roman"/>
                <w:color w:val="000000"/>
                <w:sz w:val="26"/>
                <w:szCs w:val="26"/>
                <w:lang w:bidi="ar-SA"/>
              </w:rPr>
              <w:fldChar w:fldCharType="separate"/>
            </w:r>
            <w:r w:rsidRPr="00C11F76">
              <w:rPr>
                <w:rFonts w:ascii="Times New Roman" w:eastAsia="Times New Roman" w:hAnsi="Times New Roman" w:cs="Times New Roman"/>
                <w:color w:val="B22222"/>
                <w:sz w:val="23"/>
                <w:u w:val="single"/>
                <w:vertAlign w:val="superscript"/>
                <w:lang w:bidi="ar-SA"/>
              </w:rPr>
              <w:t>[24]</w:t>
            </w:r>
            <w:r w:rsidRPr="00C11F76">
              <w:rPr>
                <w:rFonts w:ascii="Times New Roman" w:eastAsia="Times New Roman" w:hAnsi="Times New Roman" w:cs="Times New Roman"/>
                <w:color w:val="000000"/>
                <w:sz w:val="26"/>
                <w:szCs w:val="26"/>
                <w:lang w:bidi="ar-SA"/>
              </w:rPr>
              <w:fldChar w:fldCharType="end"/>
            </w:r>
            <w:bookmarkEnd w:id="13"/>
            <w:r w:rsidRPr="00C11F76">
              <w:rPr>
                <w:rFonts w:ascii="Times New Roman" w:eastAsia="Times New Roman" w:hAnsi="Times New Roman" w:cs="Times New Roman"/>
                <w:color w:val="000000"/>
                <w:sz w:val="26"/>
                <w:szCs w:val="26"/>
                <w:lang w:bidi="ar-SA"/>
              </w:rPr>
              <w:t> as follows:</w:t>
            </w:r>
          </w:p>
          <w:p w14:paraId="13B02466" w14:textId="77777777" w:rsidR="00EB3003" w:rsidRPr="00C11F76" w:rsidRDefault="00EB3003" w:rsidP="003749DB">
            <w:pPr>
              <w:shd w:val="clear" w:color="auto" w:fill="FFFFFF"/>
              <w:spacing w:after="300" w:line="465" w:lineRule="atLeast"/>
              <w:rPr>
                <w:rFonts w:ascii="Times New Roman" w:eastAsia="Times New Roman" w:hAnsi="Times New Roman" w:cs="Times New Roman"/>
                <w:color w:val="000000"/>
                <w:sz w:val="26"/>
                <w:szCs w:val="26"/>
                <w:lang w:bidi="ar-SA"/>
              </w:rPr>
            </w:pPr>
          </w:p>
        </w:tc>
        <w:tc>
          <w:tcPr>
            <w:tcW w:w="4675" w:type="dxa"/>
          </w:tcPr>
          <w:p w14:paraId="4D3FB20F" w14:textId="77777777" w:rsidR="00EB3003" w:rsidRPr="00E37C9C" w:rsidRDefault="00EB3003" w:rsidP="00E37C9C">
            <w:pPr>
              <w:shd w:val="clear" w:color="auto" w:fill="FFFFFF"/>
              <w:bidi/>
              <w:spacing w:after="300" w:line="465" w:lineRule="atLeast"/>
              <w:rPr>
                <w:rFonts w:ascii="David" w:eastAsia="Times New Roman" w:hAnsi="David" w:cs="David"/>
                <w:color w:val="000000"/>
                <w:sz w:val="24"/>
                <w:szCs w:val="24"/>
                <w:rtl/>
                <w:lang w:eastAsia="zh-CN"/>
              </w:rPr>
            </w:pPr>
            <w:r w:rsidRPr="00E37C9C">
              <w:rPr>
                <w:rFonts w:ascii="David" w:eastAsia="Times New Roman" w:hAnsi="David" w:cs="David"/>
                <w:color w:val="000000"/>
                <w:sz w:val="24"/>
                <w:szCs w:val="24"/>
                <w:rtl/>
                <w:lang w:eastAsia="zh-CN"/>
              </w:rPr>
              <w:t xml:space="preserve">כאן, </w:t>
            </w:r>
            <w:r w:rsidRPr="00E37C9C">
              <w:rPr>
                <w:rFonts w:ascii="David" w:eastAsia="Times New Roman" w:hAnsi="David" w:cs="David" w:hint="cs"/>
                <w:color w:val="000000"/>
                <w:sz w:val="24"/>
                <w:szCs w:val="24"/>
                <w:rtl/>
                <w:lang w:eastAsia="zh-CN"/>
              </w:rPr>
              <w:t>ב-</w:t>
            </w:r>
            <w:r w:rsidRPr="00E37C9C">
              <w:rPr>
                <w:rFonts w:ascii="David" w:eastAsia="Times New Roman" w:hAnsi="David" w:cs="David"/>
                <w:color w:val="000000"/>
                <w:sz w:val="24"/>
                <w:szCs w:val="24"/>
                <w:lang w:eastAsia="zh-CN"/>
              </w:rPr>
              <w:t>LH 209–214</w:t>
            </w:r>
            <w:r w:rsidRPr="00E37C9C">
              <w:rPr>
                <w:rFonts w:ascii="David" w:eastAsia="Times New Roman" w:hAnsi="David" w:cs="David" w:hint="cs"/>
                <w:color w:val="000000"/>
                <w:sz w:val="24"/>
                <w:szCs w:val="24"/>
                <w:rtl/>
                <w:lang w:eastAsia="zh-CN"/>
              </w:rPr>
              <w:t xml:space="preserve">, נקבעים דמי פיצויים עבור פגיעה באישה הרה רק כאשר המכה הקטלנית הונחתה בידי </w:t>
            </w:r>
            <w:proofErr w:type="spellStart"/>
            <w:r w:rsidRPr="00E37C9C">
              <w:rPr>
                <w:rFonts w:ascii="Times New Roman" w:eastAsia="Times New Roman" w:hAnsi="Times New Roman" w:cs="Times New Roman"/>
                <w:i/>
                <w:iCs/>
                <w:color w:val="000000"/>
                <w:sz w:val="24"/>
                <w:szCs w:val="24"/>
                <w:lang w:bidi="ar-SA"/>
              </w:rPr>
              <w:t>awīlu</w:t>
            </w:r>
            <w:proofErr w:type="spellEnd"/>
            <w:r w:rsidRPr="00E37C9C">
              <w:rPr>
                <w:rFonts w:ascii="David" w:eastAsia="Times New Roman" w:hAnsi="David" w:cs="David" w:hint="cs"/>
                <w:color w:val="000000"/>
                <w:sz w:val="24"/>
                <w:szCs w:val="24"/>
                <w:rtl/>
                <w:lang w:eastAsia="zh-CN"/>
              </w:rPr>
              <w:t>, כלומר אדם חופשי בעל זכויות והטבות רבות יותר מבני מעמדות חברתיים אחרים בבבל של חמורבי,</w:t>
            </w:r>
            <w:r w:rsidRPr="00E37C9C">
              <w:rPr>
                <w:rFonts w:ascii="David" w:eastAsia="Times New Roman" w:hAnsi="David" w:cs="David"/>
                <w:color w:val="000000"/>
                <w:sz w:val="24"/>
                <w:szCs w:val="24"/>
                <w:vertAlign w:val="superscript"/>
                <w:rtl/>
                <w:lang w:eastAsia="zh-CN"/>
              </w:rPr>
              <w:endnoteReference w:id="25"/>
            </w:r>
            <w:r w:rsidRPr="00E37C9C">
              <w:rPr>
                <w:rFonts w:ascii="David" w:eastAsia="Times New Roman" w:hAnsi="David" w:cs="David" w:hint="cs"/>
                <w:color w:val="000000"/>
                <w:sz w:val="24"/>
                <w:szCs w:val="24"/>
                <w:rtl/>
                <w:lang w:eastAsia="zh-CN"/>
              </w:rPr>
              <w:t xml:space="preserve"> כדלקמן:</w:t>
            </w:r>
          </w:p>
          <w:p w14:paraId="67711DF1" w14:textId="77777777" w:rsidR="00EB3003" w:rsidRDefault="00EB3003" w:rsidP="006249BC">
            <w:pPr>
              <w:bidi/>
              <w:spacing w:line="480" w:lineRule="auto"/>
              <w:rPr>
                <w:rFonts w:ascii="David" w:eastAsia="Times New Roman" w:hAnsi="David" w:cs="David"/>
                <w:color w:val="000000"/>
                <w:sz w:val="24"/>
                <w:szCs w:val="24"/>
                <w:rtl/>
                <w:lang w:eastAsia="zh-CN"/>
              </w:rPr>
            </w:pPr>
          </w:p>
        </w:tc>
      </w:tr>
      <w:tr w:rsidR="00EB3003" w14:paraId="5EDFA73B" w14:textId="77777777" w:rsidTr="004E1C22">
        <w:tc>
          <w:tcPr>
            <w:tcW w:w="4675" w:type="dxa"/>
          </w:tcPr>
          <w:p w14:paraId="23FD033A" w14:textId="77777777" w:rsidR="00EB3003" w:rsidRPr="00C11F76" w:rsidRDefault="00EB3003" w:rsidP="00A664CC">
            <w:pPr>
              <w:shd w:val="clear" w:color="auto" w:fill="FFFFFF"/>
              <w:spacing w:before="100" w:beforeAutospacing="1" w:after="105" w:line="465" w:lineRule="atLeast"/>
              <w:ind w:left="360"/>
              <w:rPr>
                <w:rFonts w:ascii="Times New Roman" w:eastAsia="Times New Roman" w:hAnsi="Times New Roman" w:cs="Times New Roman"/>
                <w:color w:val="000000"/>
                <w:sz w:val="26"/>
                <w:szCs w:val="26"/>
                <w:lang w:bidi="ar-SA"/>
              </w:rPr>
            </w:pPr>
            <w:bookmarkStart w:id="14" w:name="_Hlk90912750"/>
            <w:proofErr w:type="spellStart"/>
            <w:r w:rsidRPr="00C11F76">
              <w:rPr>
                <w:rFonts w:ascii="Times New Roman" w:eastAsia="Times New Roman" w:hAnsi="Times New Roman" w:cs="Times New Roman"/>
                <w:b/>
                <w:bCs/>
                <w:i/>
                <w:iCs/>
                <w:color w:val="000000"/>
                <w:sz w:val="26"/>
                <w:lang w:bidi="ar-SA"/>
              </w:rPr>
              <w:t>Mārat</w:t>
            </w:r>
            <w:proofErr w:type="spellEnd"/>
            <w:r w:rsidRPr="00C11F76">
              <w:rPr>
                <w:rFonts w:ascii="Times New Roman" w:eastAsia="Times New Roman" w:hAnsi="Times New Roman" w:cs="Times New Roman"/>
                <w:b/>
                <w:bCs/>
                <w:i/>
                <w:iCs/>
                <w:color w:val="000000"/>
                <w:sz w:val="26"/>
                <w:lang w:bidi="ar-SA"/>
              </w:rPr>
              <w:t xml:space="preserve"> </w:t>
            </w:r>
            <w:proofErr w:type="spellStart"/>
            <w:r w:rsidRPr="00C11F76">
              <w:rPr>
                <w:rFonts w:ascii="Times New Roman" w:eastAsia="Times New Roman" w:hAnsi="Times New Roman" w:cs="Times New Roman"/>
                <w:b/>
                <w:bCs/>
                <w:i/>
                <w:iCs/>
                <w:color w:val="000000"/>
                <w:sz w:val="26"/>
                <w:lang w:bidi="ar-SA"/>
              </w:rPr>
              <w:t>awīlim</w:t>
            </w:r>
            <w:bookmarkEnd w:id="14"/>
            <w:proofErr w:type="spellEnd"/>
            <w:r w:rsidRPr="00C11F76">
              <w:rPr>
                <w:rFonts w:ascii="Times New Roman" w:eastAsia="Times New Roman" w:hAnsi="Times New Roman" w:cs="Times New Roman"/>
                <w:color w:val="000000"/>
                <w:sz w:val="26"/>
                <w:szCs w:val="26"/>
                <w:lang w:bidi="ar-SA"/>
              </w:rPr>
              <w:t>—a woman from his own higher class: “if that woman should die, they shall kill his daughter.” </w:t>
            </w:r>
            <w:r w:rsidRPr="00C11F76">
              <w:rPr>
                <w:rFonts w:ascii="Times New Roman" w:eastAsia="Times New Roman" w:hAnsi="Times New Roman" w:cs="Times New Roman"/>
                <w:color w:val="B22222"/>
                <w:sz w:val="23"/>
                <w:szCs w:val="23"/>
                <w:vertAlign w:val="superscript"/>
                <w:lang w:bidi="ar-SA"/>
              </w:rPr>
              <w:t>[25]</w:t>
            </w:r>
          </w:p>
          <w:p w14:paraId="3C7193F9" w14:textId="77777777" w:rsidR="00EB3003" w:rsidRPr="00C11F76" w:rsidRDefault="00EB3003" w:rsidP="00A664CC">
            <w:pPr>
              <w:shd w:val="clear" w:color="auto" w:fill="FFFFFF"/>
              <w:spacing w:before="100" w:beforeAutospacing="1" w:after="105" w:line="465" w:lineRule="atLeast"/>
              <w:ind w:left="360"/>
              <w:rPr>
                <w:rFonts w:ascii="Times New Roman" w:eastAsia="Times New Roman" w:hAnsi="Times New Roman" w:cs="Times New Roman"/>
                <w:color w:val="000000"/>
                <w:sz w:val="26"/>
                <w:szCs w:val="26"/>
                <w:lang w:bidi="ar-SA"/>
              </w:rPr>
            </w:pPr>
            <w:bookmarkStart w:id="15" w:name="_Hlk90912831"/>
            <w:proofErr w:type="spellStart"/>
            <w:r w:rsidRPr="00C11F76">
              <w:rPr>
                <w:rFonts w:ascii="Times New Roman" w:eastAsia="Times New Roman" w:hAnsi="Times New Roman" w:cs="Times New Roman"/>
                <w:b/>
                <w:bCs/>
                <w:i/>
                <w:iCs/>
                <w:color w:val="000000"/>
                <w:sz w:val="26"/>
                <w:lang w:bidi="ar-SA"/>
              </w:rPr>
              <w:t>Mārat</w:t>
            </w:r>
            <w:proofErr w:type="spellEnd"/>
            <w:r w:rsidRPr="00C11F76">
              <w:rPr>
                <w:rFonts w:ascii="Times New Roman" w:eastAsia="Times New Roman" w:hAnsi="Times New Roman" w:cs="Times New Roman"/>
                <w:b/>
                <w:bCs/>
                <w:i/>
                <w:iCs/>
                <w:color w:val="000000"/>
                <w:sz w:val="26"/>
                <w:lang w:bidi="ar-SA"/>
              </w:rPr>
              <w:t xml:space="preserve"> </w:t>
            </w:r>
            <w:proofErr w:type="spellStart"/>
            <w:r w:rsidRPr="00C11F76">
              <w:rPr>
                <w:rFonts w:ascii="Times New Roman" w:eastAsia="Times New Roman" w:hAnsi="Times New Roman" w:cs="Times New Roman"/>
                <w:b/>
                <w:bCs/>
                <w:i/>
                <w:iCs/>
                <w:color w:val="000000"/>
                <w:sz w:val="26"/>
                <w:lang w:bidi="ar-SA"/>
              </w:rPr>
              <w:t>muškēnim</w:t>
            </w:r>
            <w:bookmarkEnd w:id="15"/>
            <w:proofErr w:type="spellEnd"/>
            <w:r w:rsidRPr="00C11F76">
              <w:rPr>
                <w:rFonts w:ascii="Times New Roman" w:eastAsia="Times New Roman" w:hAnsi="Times New Roman" w:cs="Times New Roman"/>
                <w:color w:val="000000"/>
                <w:sz w:val="26"/>
                <w:szCs w:val="26"/>
                <w:lang w:bidi="ar-SA"/>
              </w:rPr>
              <w:t>—a woman from the lower, or “commoner,” class: The assailant is fined thirty shekels of silver.</w:t>
            </w:r>
            <w:r w:rsidRPr="00C11F76">
              <w:rPr>
                <w:rFonts w:ascii="Times New Roman" w:eastAsia="Times New Roman" w:hAnsi="Times New Roman" w:cs="Times New Roman"/>
                <w:color w:val="B22222"/>
                <w:sz w:val="23"/>
                <w:szCs w:val="23"/>
                <w:vertAlign w:val="superscript"/>
                <w:lang w:bidi="ar-SA"/>
              </w:rPr>
              <w:t>[26]</w:t>
            </w:r>
          </w:p>
          <w:p w14:paraId="6C46915E" w14:textId="77777777" w:rsidR="00EB3003" w:rsidRPr="00C11F76" w:rsidRDefault="00EB3003" w:rsidP="00A664CC">
            <w:pPr>
              <w:shd w:val="clear" w:color="auto" w:fill="FFFFFF"/>
              <w:spacing w:before="100" w:beforeAutospacing="1" w:after="105" w:line="465" w:lineRule="atLeast"/>
              <w:ind w:left="360"/>
              <w:rPr>
                <w:rFonts w:ascii="Times New Roman" w:eastAsia="Times New Roman" w:hAnsi="Times New Roman" w:cs="Times New Roman"/>
                <w:color w:val="000000"/>
                <w:sz w:val="26"/>
                <w:szCs w:val="26"/>
                <w:lang w:bidi="ar-SA"/>
              </w:rPr>
            </w:pPr>
            <w:bookmarkStart w:id="16" w:name="_Hlk90912903"/>
            <w:proofErr w:type="spellStart"/>
            <w:r w:rsidRPr="00C11F76">
              <w:rPr>
                <w:rFonts w:ascii="Times New Roman" w:eastAsia="Times New Roman" w:hAnsi="Times New Roman" w:cs="Times New Roman"/>
                <w:b/>
                <w:bCs/>
                <w:i/>
                <w:iCs/>
                <w:color w:val="000000"/>
                <w:sz w:val="26"/>
                <w:lang w:bidi="ar-SA"/>
              </w:rPr>
              <w:t>Amat</w:t>
            </w:r>
            <w:proofErr w:type="spellEnd"/>
            <w:r w:rsidRPr="00C11F76">
              <w:rPr>
                <w:rFonts w:ascii="Times New Roman" w:eastAsia="Times New Roman" w:hAnsi="Times New Roman" w:cs="Times New Roman"/>
                <w:b/>
                <w:bCs/>
                <w:i/>
                <w:iCs/>
                <w:color w:val="000000"/>
                <w:sz w:val="26"/>
                <w:lang w:bidi="ar-SA"/>
              </w:rPr>
              <w:t xml:space="preserve"> </w:t>
            </w:r>
            <w:proofErr w:type="spellStart"/>
            <w:r w:rsidRPr="00C11F76">
              <w:rPr>
                <w:rFonts w:ascii="Times New Roman" w:eastAsia="Times New Roman" w:hAnsi="Times New Roman" w:cs="Times New Roman"/>
                <w:b/>
                <w:bCs/>
                <w:i/>
                <w:iCs/>
                <w:color w:val="000000"/>
                <w:sz w:val="26"/>
                <w:lang w:bidi="ar-SA"/>
              </w:rPr>
              <w:t>awīlim</w:t>
            </w:r>
            <w:bookmarkEnd w:id="16"/>
            <w:proofErr w:type="spellEnd"/>
            <w:r w:rsidRPr="00C11F76">
              <w:rPr>
                <w:rFonts w:ascii="Times New Roman" w:eastAsia="Times New Roman" w:hAnsi="Times New Roman" w:cs="Times New Roman"/>
                <w:b/>
                <w:bCs/>
                <w:color w:val="000000"/>
                <w:sz w:val="26"/>
                <w:lang w:bidi="ar-SA"/>
              </w:rPr>
              <w:t>—</w:t>
            </w:r>
            <w:r w:rsidRPr="00C11F76">
              <w:rPr>
                <w:rFonts w:ascii="Times New Roman" w:eastAsia="Times New Roman" w:hAnsi="Times New Roman" w:cs="Times New Roman"/>
                <w:color w:val="000000"/>
                <w:sz w:val="26"/>
                <w:szCs w:val="26"/>
                <w:lang w:bidi="ar-SA"/>
              </w:rPr>
              <w:t>a female slave belonging to an </w:t>
            </w:r>
            <w:bookmarkStart w:id="17" w:name="_Hlk90913848"/>
            <w:proofErr w:type="spellStart"/>
            <w:r w:rsidRPr="00C11F76">
              <w:rPr>
                <w:rFonts w:ascii="Times New Roman" w:eastAsia="Times New Roman" w:hAnsi="Times New Roman" w:cs="Times New Roman"/>
                <w:i/>
                <w:iCs/>
                <w:color w:val="000000"/>
                <w:sz w:val="26"/>
                <w:lang w:bidi="ar-SA"/>
              </w:rPr>
              <w:t>awīlu</w:t>
            </w:r>
            <w:proofErr w:type="spellEnd"/>
            <w:r w:rsidRPr="00C11F76">
              <w:rPr>
                <w:rFonts w:ascii="Times New Roman" w:eastAsia="Times New Roman" w:hAnsi="Times New Roman" w:cs="Times New Roman"/>
                <w:i/>
                <w:iCs/>
                <w:color w:val="000000"/>
                <w:sz w:val="26"/>
                <w:lang w:bidi="ar-SA"/>
              </w:rPr>
              <w:t>(m)</w:t>
            </w:r>
            <w:bookmarkEnd w:id="17"/>
            <w:r w:rsidRPr="00C11F76">
              <w:rPr>
                <w:rFonts w:ascii="Times New Roman" w:eastAsia="Times New Roman" w:hAnsi="Times New Roman" w:cs="Times New Roman"/>
                <w:color w:val="000000"/>
                <w:sz w:val="26"/>
                <w:szCs w:val="26"/>
                <w:lang w:bidi="ar-SA"/>
              </w:rPr>
              <w:t>: The assailant is fined twenty shekels of silver.</w:t>
            </w:r>
            <w:r w:rsidRPr="00C11F76">
              <w:rPr>
                <w:rFonts w:ascii="Times New Roman" w:eastAsia="Times New Roman" w:hAnsi="Times New Roman" w:cs="Times New Roman"/>
                <w:color w:val="B22222"/>
                <w:sz w:val="23"/>
                <w:szCs w:val="23"/>
                <w:vertAlign w:val="superscript"/>
                <w:lang w:bidi="ar-SA"/>
              </w:rPr>
              <w:t>[27]</w:t>
            </w:r>
          </w:p>
          <w:p w14:paraId="4948F25D" w14:textId="77777777" w:rsidR="00EB3003" w:rsidRPr="004E1C22" w:rsidRDefault="00EB3003" w:rsidP="004E1C22">
            <w:pPr>
              <w:spacing w:line="276" w:lineRule="auto"/>
              <w:rPr>
                <w:rFonts w:asciiTheme="minorBidi" w:hAnsiTheme="minorBidi"/>
              </w:rPr>
            </w:pPr>
          </w:p>
        </w:tc>
        <w:tc>
          <w:tcPr>
            <w:tcW w:w="4675" w:type="dxa"/>
          </w:tcPr>
          <w:p w14:paraId="62DEF0E6" w14:textId="77777777" w:rsidR="00EB3003" w:rsidRPr="00274334" w:rsidRDefault="00EB3003" w:rsidP="00274334">
            <w:pPr>
              <w:shd w:val="clear" w:color="auto" w:fill="FFFFFF"/>
              <w:bidi/>
              <w:spacing w:after="300" w:line="465" w:lineRule="atLeast"/>
              <w:rPr>
                <w:rFonts w:ascii="David" w:eastAsia="Times New Roman" w:hAnsi="David" w:cs="David"/>
                <w:color w:val="000000"/>
                <w:sz w:val="24"/>
                <w:szCs w:val="24"/>
                <w:rtl/>
                <w:lang w:eastAsia="zh-CN"/>
              </w:rPr>
            </w:pPr>
            <w:proofErr w:type="spellStart"/>
            <w:r w:rsidRPr="00274334">
              <w:rPr>
                <w:rFonts w:ascii="Times New Roman" w:eastAsia="Times New Roman" w:hAnsi="Times New Roman" w:cs="Times New Roman"/>
                <w:b/>
                <w:bCs/>
                <w:i/>
                <w:iCs/>
                <w:color w:val="000000"/>
                <w:sz w:val="26"/>
                <w:lang w:bidi="ar-SA"/>
              </w:rPr>
              <w:t>Mārat</w:t>
            </w:r>
            <w:proofErr w:type="spellEnd"/>
            <w:r w:rsidRPr="00274334">
              <w:rPr>
                <w:rFonts w:ascii="Times New Roman" w:eastAsia="Times New Roman" w:hAnsi="Times New Roman" w:cs="Times New Roman"/>
                <w:b/>
                <w:bCs/>
                <w:i/>
                <w:iCs/>
                <w:color w:val="000000"/>
                <w:sz w:val="26"/>
                <w:lang w:bidi="ar-SA"/>
              </w:rPr>
              <w:t xml:space="preserve"> </w:t>
            </w:r>
            <w:proofErr w:type="spellStart"/>
            <w:r w:rsidRPr="00274334">
              <w:rPr>
                <w:rFonts w:ascii="Times New Roman" w:eastAsia="Times New Roman" w:hAnsi="Times New Roman" w:cs="Times New Roman"/>
                <w:b/>
                <w:bCs/>
                <w:i/>
                <w:iCs/>
                <w:color w:val="000000"/>
                <w:sz w:val="26"/>
                <w:lang w:bidi="ar-SA"/>
              </w:rPr>
              <w:t>awīlim</w:t>
            </w:r>
            <w:proofErr w:type="spellEnd"/>
            <w:r w:rsidRPr="00274334">
              <w:rPr>
                <w:rFonts w:ascii="David" w:eastAsia="Times New Roman" w:hAnsi="David" w:cs="David" w:hint="cs"/>
                <w:color w:val="000000"/>
                <w:sz w:val="24"/>
                <w:szCs w:val="24"/>
                <w:rtl/>
                <w:lang w:eastAsia="zh-CN"/>
              </w:rPr>
              <w:t xml:space="preserve"> –אישה מן המעמד הגבוה שלו: "אם תמות אותה אישה, עליהם להרוג את הבת שלו".</w:t>
            </w:r>
            <w:r w:rsidRPr="00274334">
              <w:rPr>
                <w:rFonts w:ascii="David" w:eastAsia="Times New Roman" w:hAnsi="David" w:cs="David"/>
                <w:color w:val="000000"/>
                <w:sz w:val="24"/>
                <w:szCs w:val="24"/>
                <w:vertAlign w:val="superscript"/>
                <w:rtl/>
                <w:lang w:eastAsia="zh-CN"/>
              </w:rPr>
              <w:endnoteReference w:id="26"/>
            </w:r>
          </w:p>
          <w:p w14:paraId="1DCCA417" w14:textId="77777777" w:rsidR="00EB3003" w:rsidRPr="00274334" w:rsidRDefault="00EB3003" w:rsidP="00274334">
            <w:pPr>
              <w:shd w:val="clear" w:color="auto" w:fill="FFFFFF"/>
              <w:bidi/>
              <w:spacing w:after="300" w:line="465" w:lineRule="atLeast"/>
              <w:rPr>
                <w:rFonts w:ascii="David" w:eastAsia="Times New Roman" w:hAnsi="David" w:cs="David"/>
                <w:color w:val="000000"/>
                <w:sz w:val="24"/>
                <w:szCs w:val="24"/>
                <w:rtl/>
                <w:lang w:eastAsia="zh-CN"/>
              </w:rPr>
            </w:pPr>
            <w:proofErr w:type="spellStart"/>
            <w:r w:rsidRPr="00274334">
              <w:rPr>
                <w:rFonts w:ascii="Times New Roman" w:eastAsia="Times New Roman" w:hAnsi="Times New Roman" w:cs="Times New Roman"/>
                <w:b/>
                <w:bCs/>
                <w:i/>
                <w:iCs/>
                <w:color w:val="000000"/>
                <w:sz w:val="26"/>
                <w:lang w:bidi="ar-SA"/>
              </w:rPr>
              <w:t>Mārat</w:t>
            </w:r>
            <w:proofErr w:type="spellEnd"/>
            <w:r w:rsidRPr="00274334">
              <w:rPr>
                <w:rFonts w:ascii="Times New Roman" w:eastAsia="Times New Roman" w:hAnsi="Times New Roman" w:cs="Times New Roman"/>
                <w:b/>
                <w:bCs/>
                <w:i/>
                <w:iCs/>
                <w:color w:val="000000"/>
                <w:sz w:val="26"/>
                <w:lang w:bidi="ar-SA"/>
              </w:rPr>
              <w:t xml:space="preserve"> </w:t>
            </w:r>
            <w:proofErr w:type="spellStart"/>
            <w:r w:rsidRPr="00274334">
              <w:rPr>
                <w:rFonts w:ascii="Times New Roman" w:eastAsia="Times New Roman" w:hAnsi="Times New Roman" w:cs="Times New Roman"/>
                <w:b/>
                <w:bCs/>
                <w:i/>
                <w:iCs/>
                <w:color w:val="000000"/>
                <w:sz w:val="26"/>
                <w:lang w:bidi="ar-SA"/>
              </w:rPr>
              <w:t>muškēnim</w:t>
            </w:r>
            <w:proofErr w:type="spellEnd"/>
            <w:r w:rsidRPr="00274334">
              <w:rPr>
                <w:rFonts w:ascii="David" w:eastAsia="Times New Roman" w:hAnsi="David" w:cs="David" w:hint="eastAsia"/>
                <w:color w:val="000000"/>
                <w:sz w:val="24"/>
                <w:szCs w:val="24"/>
                <w:rtl/>
                <w:lang w:eastAsia="zh-CN"/>
              </w:rPr>
              <w:t>–</w:t>
            </w:r>
            <w:r w:rsidRPr="00274334">
              <w:rPr>
                <w:rFonts w:ascii="David" w:eastAsia="Times New Roman" w:hAnsi="David" w:cs="David" w:hint="cs"/>
                <w:color w:val="000000"/>
                <w:sz w:val="24"/>
                <w:szCs w:val="24"/>
                <w:rtl/>
                <w:lang w:eastAsia="zh-CN"/>
              </w:rPr>
              <w:t>אישה מן המעמד הנמוך או ה"פשוט" יותר: התוקף נקנס בשלושים שקלי כסף.</w:t>
            </w:r>
            <w:r w:rsidRPr="00274334">
              <w:rPr>
                <w:rFonts w:ascii="David" w:eastAsia="Times New Roman" w:hAnsi="David" w:cs="David"/>
                <w:color w:val="000000"/>
                <w:sz w:val="24"/>
                <w:szCs w:val="24"/>
                <w:vertAlign w:val="superscript"/>
                <w:rtl/>
                <w:lang w:eastAsia="zh-CN"/>
              </w:rPr>
              <w:endnoteReference w:id="27"/>
            </w:r>
          </w:p>
          <w:p w14:paraId="4EBFB57C" w14:textId="77777777" w:rsidR="00EB3003" w:rsidRPr="00274334" w:rsidRDefault="00EB3003" w:rsidP="00274334">
            <w:pPr>
              <w:shd w:val="clear" w:color="auto" w:fill="FFFFFF"/>
              <w:bidi/>
              <w:spacing w:after="300" w:line="465" w:lineRule="atLeast"/>
              <w:rPr>
                <w:rFonts w:ascii="David" w:eastAsia="Times New Roman" w:hAnsi="David" w:cs="David"/>
                <w:color w:val="000000"/>
                <w:sz w:val="24"/>
                <w:szCs w:val="24"/>
                <w:rtl/>
                <w:lang w:eastAsia="zh-CN"/>
              </w:rPr>
            </w:pPr>
            <w:proofErr w:type="spellStart"/>
            <w:r w:rsidRPr="00274334">
              <w:rPr>
                <w:rFonts w:ascii="Times New Roman" w:eastAsia="Times New Roman" w:hAnsi="Times New Roman" w:cs="Times New Roman"/>
                <w:b/>
                <w:bCs/>
                <w:i/>
                <w:iCs/>
                <w:color w:val="000000"/>
                <w:sz w:val="26"/>
                <w:lang w:bidi="ar-SA"/>
              </w:rPr>
              <w:t>Amat</w:t>
            </w:r>
            <w:proofErr w:type="spellEnd"/>
            <w:r w:rsidRPr="00274334">
              <w:rPr>
                <w:rFonts w:ascii="Times New Roman" w:eastAsia="Times New Roman" w:hAnsi="Times New Roman" w:cs="Times New Roman"/>
                <w:b/>
                <w:bCs/>
                <w:i/>
                <w:iCs/>
                <w:color w:val="000000"/>
                <w:sz w:val="26"/>
                <w:lang w:bidi="ar-SA"/>
              </w:rPr>
              <w:t xml:space="preserve"> </w:t>
            </w:r>
            <w:proofErr w:type="spellStart"/>
            <w:r w:rsidRPr="00274334">
              <w:rPr>
                <w:rFonts w:ascii="Times New Roman" w:eastAsia="Times New Roman" w:hAnsi="Times New Roman" w:cs="Times New Roman"/>
                <w:b/>
                <w:bCs/>
                <w:i/>
                <w:iCs/>
                <w:color w:val="000000"/>
                <w:sz w:val="26"/>
                <w:lang w:bidi="ar-SA"/>
              </w:rPr>
              <w:t>awīlim</w:t>
            </w:r>
            <w:proofErr w:type="spellEnd"/>
            <w:r w:rsidRPr="00274334">
              <w:rPr>
                <w:rFonts w:ascii="David" w:eastAsia="Times New Roman" w:hAnsi="David" w:cs="David" w:hint="eastAsia"/>
                <w:color w:val="000000"/>
                <w:sz w:val="24"/>
                <w:szCs w:val="24"/>
                <w:rtl/>
                <w:lang w:eastAsia="zh-CN"/>
              </w:rPr>
              <w:t>–</w:t>
            </w:r>
            <w:r w:rsidRPr="00274334">
              <w:rPr>
                <w:rFonts w:ascii="David" w:eastAsia="Times New Roman" w:hAnsi="David" w:cs="David" w:hint="cs"/>
                <w:color w:val="000000"/>
                <w:sz w:val="24"/>
                <w:szCs w:val="24"/>
                <w:rtl/>
                <w:lang w:eastAsia="zh-CN"/>
              </w:rPr>
              <w:t>שפחה השייכת ל-</w:t>
            </w:r>
            <w:r w:rsidRPr="00274334">
              <w:rPr>
                <w:rFonts w:ascii="Times New Roman" w:eastAsia="Times New Roman" w:hAnsi="Times New Roman" w:cs="Times New Roman"/>
                <w:i/>
                <w:iCs/>
                <w:color w:val="000000"/>
                <w:sz w:val="26"/>
                <w:lang w:bidi="ar-SA"/>
              </w:rPr>
              <w:t xml:space="preserve"> </w:t>
            </w:r>
            <w:proofErr w:type="spellStart"/>
            <w:r w:rsidRPr="00274334">
              <w:rPr>
                <w:rFonts w:ascii="Times New Roman" w:eastAsia="Times New Roman" w:hAnsi="Times New Roman" w:cs="Times New Roman"/>
                <w:i/>
                <w:iCs/>
                <w:color w:val="000000"/>
                <w:sz w:val="26"/>
                <w:lang w:bidi="ar-SA"/>
              </w:rPr>
              <w:t>awīlu</w:t>
            </w:r>
            <w:proofErr w:type="spellEnd"/>
            <w:r w:rsidRPr="00274334">
              <w:rPr>
                <w:rFonts w:ascii="Times New Roman" w:eastAsia="Times New Roman" w:hAnsi="Times New Roman" w:cs="Times New Roman"/>
                <w:i/>
                <w:iCs/>
                <w:color w:val="000000"/>
                <w:sz w:val="26"/>
                <w:lang w:bidi="ar-SA"/>
              </w:rPr>
              <w:t>(m)</w:t>
            </w:r>
            <w:r w:rsidRPr="00274334">
              <w:rPr>
                <w:rFonts w:ascii="David" w:eastAsia="Times New Roman" w:hAnsi="David" w:cs="David" w:hint="cs"/>
                <w:color w:val="000000"/>
                <w:sz w:val="24"/>
                <w:szCs w:val="24"/>
                <w:rtl/>
                <w:lang w:eastAsia="zh-CN"/>
              </w:rPr>
              <w:t>: התוקף נקנס בעשרים שקלי כסף.</w:t>
            </w:r>
            <w:r w:rsidRPr="00274334">
              <w:rPr>
                <w:rFonts w:ascii="David" w:eastAsia="Times New Roman" w:hAnsi="David" w:cs="David"/>
                <w:color w:val="000000"/>
                <w:sz w:val="24"/>
                <w:szCs w:val="24"/>
                <w:vertAlign w:val="superscript"/>
                <w:rtl/>
                <w:lang w:eastAsia="zh-CN"/>
              </w:rPr>
              <w:endnoteReference w:id="28"/>
            </w:r>
          </w:p>
          <w:p w14:paraId="0E86A7CA" w14:textId="301A0940" w:rsidR="00EB3003" w:rsidRDefault="00EB3003" w:rsidP="00274334">
            <w:pPr>
              <w:shd w:val="clear" w:color="auto" w:fill="FFFFFF"/>
              <w:spacing w:after="300" w:line="465" w:lineRule="atLeast"/>
              <w:jc w:val="right"/>
              <w:rPr>
                <w:rFonts w:asciiTheme="minorBidi" w:hAnsiTheme="minorBidi"/>
                <w:rtl/>
              </w:rPr>
            </w:pPr>
          </w:p>
        </w:tc>
      </w:tr>
      <w:tr w:rsidR="00EB3003" w14:paraId="643DFA77" w14:textId="77777777" w:rsidTr="004E1C22">
        <w:tc>
          <w:tcPr>
            <w:tcW w:w="4675" w:type="dxa"/>
          </w:tcPr>
          <w:p w14:paraId="22F69031" w14:textId="77777777" w:rsidR="00EB3003" w:rsidRPr="00C11F76" w:rsidRDefault="00EB3003" w:rsidP="003749DB">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lastRenderedPageBreak/>
              <w:t>Aside from the vicarious killing of the assailant’s own daughter, the purpose of the financial penalties in LH 212 &amp; 214 was to pay the going market rate to the property-owning male, compensating him for his financial loss. The additional regulations addressing damages incurred by a negligent builder are particularly illuminating where the differentiation between capital punishment, vicarious killing, and vicarious “life” substitutions are clear:</w:t>
            </w:r>
          </w:p>
          <w:p w14:paraId="5B4D6805" w14:textId="77777777" w:rsidR="00EB3003" w:rsidRPr="004E1C22" w:rsidRDefault="00EB3003" w:rsidP="004E1C22">
            <w:pPr>
              <w:spacing w:line="276" w:lineRule="auto"/>
              <w:rPr>
                <w:rFonts w:asciiTheme="minorBidi" w:hAnsiTheme="minorBidi"/>
              </w:rPr>
            </w:pPr>
          </w:p>
        </w:tc>
        <w:tc>
          <w:tcPr>
            <w:tcW w:w="4675" w:type="dxa"/>
          </w:tcPr>
          <w:p w14:paraId="5343A306" w14:textId="77777777" w:rsidR="00EB3003" w:rsidRPr="0089339A" w:rsidRDefault="00EB3003" w:rsidP="0089339A">
            <w:pPr>
              <w:shd w:val="clear" w:color="auto" w:fill="FFFFFF"/>
              <w:bidi/>
              <w:spacing w:after="300" w:line="465" w:lineRule="atLeast"/>
              <w:rPr>
                <w:rFonts w:ascii="David" w:eastAsia="Times New Roman" w:hAnsi="David" w:cs="David"/>
                <w:color w:val="000000"/>
                <w:sz w:val="24"/>
                <w:szCs w:val="24"/>
                <w:rtl/>
                <w:lang w:eastAsia="zh-CN"/>
              </w:rPr>
            </w:pPr>
            <w:r w:rsidRPr="0089339A">
              <w:rPr>
                <w:rFonts w:ascii="David" w:eastAsia="Times New Roman" w:hAnsi="David" w:cs="David" w:hint="cs"/>
                <w:color w:val="000000"/>
                <w:sz w:val="24"/>
                <w:szCs w:val="24"/>
                <w:rtl/>
                <w:lang w:eastAsia="zh-CN"/>
              </w:rPr>
              <w:t>לבד מהריגה באמצעות ממלאת מקום של בת התוקף עצמו, מטרת העונשים הכספיים ב-</w:t>
            </w:r>
            <w:r w:rsidRPr="0089339A">
              <w:rPr>
                <w:rFonts w:ascii="David" w:eastAsia="Times New Roman" w:hAnsi="David" w:cs="David"/>
                <w:color w:val="000000"/>
                <w:sz w:val="24"/>
                <w:szCs w:val="24"/>
                <w:lang w:eastAsia="zh-CN"/>
              </w:rPr>
              <w:t>LH 212 &amp; 214</w:t>
            </w:r>
            <w:r w:rsidRPr="0089339A">
              <w:rPr>
                <w:rFonts w:ascii="David" w:eastAsia="Times New Roman" w:hAnsi="David" w:cs="David" w:hint="cs"/>
                <w:color w:val="000000"/>
                <w:sz w:val="24"/>
                <w:szCs w:val="24"/>
                <w:rtl/>
                <w:lang w:eastAsia="zh-CN"/>
              </w:rPr>
              <w:t xml:space="preserve"> הייתה לשלם את מחיר השוק העדכני לזכר בעל הנכסים כפיצוי על נזקיו הכספיים. התקנות הנוספות המתייחסות לנזקים שגרם בנאי רשלן מאירות במיוחד כאשר ההבחנה בין עונש מוות, הריגת ממלא מקום וממלאי מקום "חיים" ברורה:</w:t>
            </w:r>
          </w:p>
          <w:p w14:paraId="439C74E9" w14:textId="77777777" w:rsidR="00EB3003" w:rsidRDefault="00EB3003" w:rsidP="00A664CC">
            <w:pPr>
              <w:bidi/>
              <w:spacing w:line="276" w:lineRule="auto"/>
              <w:jc w:val="right"/>
              <w:rPr>
                <w:rFonts w:asciiTheme="minorBidi" w:hAnsiTheme="minorBidi"/>
                <w:rtl/>
              </w:rPr>
            </w:pPr>
          </w:p>
        </w:tc>
      </w:tr>
      <w:tr w:rsidR="00EB3003" w14:paraId="018E04DA" w14:textId="77777777" w:rsidTr="004E1C22">
        <w:tc>
          <w:tcPr>
            <w:tcW w:w="4675" w:type="dxa"/>
          </w:tcPr>
          <w:p w14:paraId="307E614A" w14:textId="77777777" w:rsidR="00EB3003" w:rsidRPr="00C11F76" w:rsidRDefault="00EB3003" w:rsidP="003749DB">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b/>
                <w:bCs/>
                <w:color w:val="000000"/>
                <w:sz w:val="26"/>
                <w:lang w:bidi="ar-SA"/>
              </w:rPr>
              <w:t>Capital Punishment of the Assailant:</w:t>
            </w:r>
            <w:r w:rsidRPr="00C11F76">
              <w:rPr>
                <w:rFonts w:ascii="Times New Roman" w:eastAsia="Times New Roman" w:hAnsi="Times New Roman" w:cs="Times New Roman"/>
                <w:color w:val="000000"/>
                <w:sz w:val="26"/>
                <w:szCs w:val="26"/>
                <w:lang w:bidi="ar-SA"/>
              </w:rPr>
              <w:t> </w:t>
            </w:r>
            <w:bookmarkStart w:id="18" w:name="_Hlk90921018"/>
            <w:r w:rsidRPr="00C11F76">
              <w:rPr>
                <w:rFonts w:ascii="Times New Roman" w:eastAsia="Times New Roman" w:hAnsi="Times New Roman" w:cs="Times New Roman"/>
                <w:color w:val="000000"/>
                <w:sz w:val="26"/>
                <w:szCs w:val="26"/>
                <w:lang w:bidi="ar-SA"/>
              </w:rPr>
              <w:t xml:space="preserve">(LH 229) </w:t>
            </w:r>
            <w:bookmarkEnd w:id="18"/>
            <w:r w:rsidRPr="00C11F76">
              <w:rPr>
                <w:rFonts w:ascii="Times New Roman" w:eastAsia="Times New Roman" w:hAnsi="Times New Roman" w:cs="Times New Roman"/>
                <w:color w:val="000000"/>
                <w:sz w:val="26"/>
                <w:szCs w:val="26"/>
                <w:lang w:bidi="ar-SA"/>
              </w:rPr>
              <w:t>“If a builder constructs a house for an </w:t>
            </w:r>
            <w:bookmarkStart w:id="19" w:name="_Hlk90921050"/>
            <w:proofErr w:type="spellStart"/>
            <w:r w:rsidRPr="00C11F76">
              <w:rPr>
                <w:rFonts w:ascii="Times New Roman" w:eastAsia="Times New Roman" w:hAnsi="Times New Roman" w:cs="Times New Roman"/>
                <w:i/>
                <w:iCs/>
                <w:color w:val="000000"/>
                <w:sz w:val="26"/>
                <w:lang w:bidi="ar-SA"/>
              </w:rPr>
              <w:t>awīlu</w:t>
            </w:r>
            <w:bookmarkEnd w:id="19"/>
            <w:proofErr w:type="spellEnd"/>
            <w:r w:rsidRPr="00C11F76">
              <w:rPr>
                <w:rFonts w:ascii="Times New Roman" w:eastAsia="Times New Roman" w:hAnsi="Times New Roman" w:cs="Times New Roman"/>
                <w:color w:val="000000"/>
                <w:sz w:val="26"/>
                <w:szCs w:val="26"/>
                <w:lang w:bidi="ar-SA"/>
              </w:rPr>
              <w:t> but does not make his work sound, and the house that he constructs collapses and causes the death of the householder, that builder shall be killed.”</w:t>
            </w:r>
          </w:p>
          <w:p w14:paraId="2EC2D6B0" w14:textId="77777777" w:rsidR="00EB3003" w:rsidRPr="004E1C22" w:rsidRDefault="00EB3003" w:rsidP="004E1C22">
            <w:pPr>
              <w:spacing w:line="276" w:lineRule="auto"/>
              <w:rPr>
                <w:rFonts w:asciiTheme="minorBidi" w:hAnsiTheme="minorBidi"/>
              </w:rPr>
            </w:pPr>
          </w:p>
        </w:tc>
        <w:tc>
          <w:tcPr>
            <w:tcW w:w="4675" w:type="dxa"/>
          </w:tcPr>
          <w:p w14:paraId="23F5ED27" w14:textId="77777777" w:rsidR="00EB3003" w:rsidRPr="00107085" w:rsidRDefault="00EB3003" w:rsidP="00107085">
            <w:pPr>
              <w:shd w:val="clear" w:color="auto" w:fill="FFFFFF"/>
              <w:bidi/>
              <w:spacing w:after="300" w:line="465" w:lineRule="atLeast"/>
              <w:rPr>
                <w:rFonts w:ascii="David" w:eastAsia="Times New Roman" w:hAnsi="David" w:cs="David"/>
                <w:color w:val="000000"/>
                <w:sz w:val="24"/>
                <w:szCs w:val="24"/>
                <w:rtl/>
                <w:lang w:eastAsia="zh-CN"/>
              </w:rPr>
            </w:pPr>
            <w:r w:rsidRPr="00107085">
              <w:rPr>
                <w:rFonts w:ascii="David" w:eastAsia="Times New Roman" w:hAnsi="David" w:cs="David" w:hint="cs"/>
                <w:b/>
                <w:bCs/>
                <w:color w:val="000000"/>
                <w:sz w:val="24"/>
                <w:szCs w:val="24"/>
                <w:rtl/>
                <w:lang w:eastAsia="zh-CN"/>
              </w:rPr>
              <w:t>עונש מוות לתוקף:</w:t>
            </w:r>
            <w:r w:rsidRPr="00107085">
              <w:rPr>
                <w:rFonts w:ascii="David" w:eastAsia="Times New Roman" w:hAnsi="David" w:cs="David" w:hint="cs"/>
                <w:color w:val="000000"/>
                <w:sz w:val="24"/>
                <w:szCs w:val="24"/>
                <w:rtl/>
                <w:lang w:eastAsia="zh-CN"/>
              </w:rPr>
              <w:t xml:space="preserve"> </w:t>
            </w:r>
            <w:r w:rsidRPr="00107085">
              <w:rPr>
                <w:rFonts w:ascii="Times New Roman" w:eastAsia="Times New Roman" w:hAnsi="Times New Roman" w:cs="Times New Roman"/>
                <w:color w:val="000000"/>
                <w:sz w:val="26"/>
                <w:szCs w:val="26"/>
                <w:lang w:bidi="ar-SA"/>
              </w:rPr>
              <w:t>(LH 229)</w:t>
            </w:r>
            <w:r w:rsidRPr="00107085">
              <w:rPr>
                <w:rFonts w:ascii="David" w:eastAsia="Times New Roman" w:hAnsi="David" w:cs="David" w:hint="cs"/>
                <w:color w:val="000000"/>
                <w:sz w:val="24"/>
                <w:szCs w:val="24"/>
                <w:rtl/>
                <w:lang w:eastAsia="zh-CN"/>
              </w:rPr>
              <w:t xml:space="preserve"> "אם בנאי בונה בית עבור </w:t>
            </w:r>
            <w:proofErr w:type="spellStart"/>
            <w:r w:rsidRPr="00107085">
              <w:rPr>
                <w:rFonts w:ascii="Times New Roman" w:eastAsia="Times New Roman" w:hAnsi="Times New Roman" w:cs="Times New Roman"/>
                <w:i/>
                <w:iCs/>
                <w:color w:val="000000"/>
                <w:sz w:val="26"/>
                <w:lang w:bidi="ar-SA"/>
              </w:rPr>
              <w:t>awīlu</w:t>
            </w:r>
            <w:proofErr w:type="spellEnd"/>
            <w:r w:rsidRPr="00107085">
              <w:rPr>
                <w:rFonts w:ascii="David" w:eastAsia="Times New Roman" w:hAnsi="David" w:cs="David" w:hint="cs"/>
                <w:color w:val="000000"/>
                <w:sz w:val="24"/>
                <w:szCs w:val="24"/>
                <w:rtl/>
                <w:lang w:eastAsia="zh-CN"/>
              </w:rPr>
              <w:t xml:space="preserve"> אך אינו עושה עבודתו נאמנה, והבית שבנה קורס וגורם למות בעל הבית, אותו בנאי ייהרג".</w:t>
            </w:r>
          </w:p>
          <w:p w14:paraId="03B2E87F" w14:textId="39C75BCA" w:rsidR="00EB3003" w:rsidRDefault="00EB3003" w:rsidP="00A664CC">
            <w:pPr>
              <w:shd w:val="clear" w:color="auto" w:fill="FFFFFF"/>
              <w:spacing w:after="300" w:line="465" w:lineRule="atLeast"/>
              <w:rPr>
                <w:rFonts w:asciiTheme="minorBidi" w:hAnsiTheme="minorBidi"/>
              </w:rPr>
            </w:pPr>
          </w:p>
        </w:tc>
      </w:tr>
      <w:tr w:rsidR="00EB3003" w14:paraId="34026787" w14:textId="77777777" w:rsidTr="004E1C22">
        <w:tc>
          <w:tcPr>
            <w:tcW w:w="4675" w:type="dxa"/>
          </w:tcPr>
          <w:p w14:paraId="5933E8FB" w14:textId="77777777" w:rsidR="00EB3003" w:rsidRPr="00C11F76" w:rsidRDefault="00EB3003" w:rsidP="00E727A8">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b/>
                <w:bCs/>
                <w:color w:val="000000"/>
                <w:sz w:val="26"/>
                <w:lang w:bidi="ar-SA"/>
              </w:rPr>
              <w:t>Vicarious Killing:</w:t>
            </w:r>
            <w:r w:rsidRPr="00C11F76">
              <w:rPr>
                <w:rFonts w:ascii="Times New Roman" w:eastAsia="Times New Roman" w:hAnsi="Times New Roman" w:cs="Times New Roman"/>
                <w:color w:val="000000"/>
                <w:sz w:val="26"/>
                <w:szCs w:val="26"/>
                <w:lang w:bidi="ar-SA"/>
              </w:rPr>
              <w:t> </w:t>
            </w:r>
            <w:bookmarkStart w:id="20" w:name="_Hlk90921155"/>
            <w:r w:rsidRPr="00C11F76">
              <w:rPr>
                <w:rFonts w:ascii="Times New Roman" w:eastAsia="Times New Roman" w:hAnsi="Times New Roman" w:cs="Times New Roman"/>
                <w:color w:val="000000"/>
                <w:sz w:val="26"/>
                <w:szCs w:val="26"/>
                <w:lang w:bidi="ar-SA"/>
              </w:rPr>
              <w:t xml:space="preserve">(LH 230) </w:t>
            </w:r>
            <w:bookmarkEnd w:id="20"/>
            <w:r w:rsidRPr="00C11F76">
              <w:rPr>
                <w:rFonts w:ascii="Times New Roman" w:eastAsia="Times New Roman" w:hAnsi="Times New Roman" w:cs="Times New Roman"/>
                <w:color w:val="000000"/>
                <w:sz w:val="26"/>
                <w:szCs w:val="26"/>
                <w:lang w:bidi="ar-SA"/>
              </w:rPr>
              <w:t>“If it should cause the death of the son of the householder, they shall kill a son of that builder.”</w:t>
            </w:r>
          </w:p>
          <w:p w14:paraId="1D982C84" w14:textId="77777777" w:rsidR="00EB3003" w:rsidRPr="004E1C22" w:rsidRDefault="00EB3003" w:rsidP="004E1C22">
            <w:pPr>
              <w:spacing w:line="276" w:lineRule="auto"/>
              <w:rPr>
                <w:rFonts w:asciiTheme="minorBidi" w:hAnsiTheme="minorBidi"/>
              </w:rPr>
            </w:pPr>
          </w:p>
        </w:tc>
        <w:tc>
          <w:tcPr>
            <w:tcW w:w="4675" w:type="dxa"/>
          </w:tcPr>
          <w:p w14:paraId="3AD18133" w14:textId="77777777" w:rsidR="00EB3003" w:rsidRPr="00107085" w:rsidRDefault="00EB3003" w:rsidP="00107085">
            <w:pPr>
              <w:shd w:val="clear" w:color="auto" w:fill="FFFFFF"/>
              <w:bidi/>
              <w:spacing w:after="300" w:line="465" w:lineRule="atLeast"/>
              <w:rPr>
                <w:rFonts w:ascii="David" w:eastAsia="Times New Roman" w:hAnsi="David" w:cs="David"/>
                <w:color w:val="000000"/>
                <w:sz w:val="24"/>
                <w:szCs w:val="24"/>
                <w:rtl/>
                <w:lang w:eastAsia="zh-CN"/>
              </w:rPr>
            </w:pPr>
            <w:r w:rsidRPr="00107085">
              <w:rPr>
                <w:rFonts w:ascii="David" w:eastAsia="Times New Roman" w:hAnsi="David" w:cs="David" w:hint="cs"/>
                <w:b/>
                <w:bCs/>
                <w:color w:val="000000"/>
                <w:sz w:val="24"/>
                <w:szCs w:val="24"/>
                <w:rtl/>
                <w:lang w:eastAsia="zh-CN"/>
              </w:rPr>
              <w:t>הריגת ממלא מקום:</w:t>
            </w:r>
            <w:r w:rsidRPr="00107085">
              <w:rPr>
                <w:rFonts w:ascii="David" w:eastAsia="Times New Roman" w:hAnsi="David" w:cs="David" w:hint="cs"/>
                <w:color w:val="000000"/>
                <w:sz w:val="24"/>
                <w:szCs w:val="24"/>
                <w:rtl/>
                <w:lang w:eastAsia="zh-CN"/>
              </w:rPr>
              <w:t xml:space="preserve"> </w:t>
            </w:r>
            <w:r w:rsidRPr="00107085">
              <w:rPr>
                <w:rFonts w:ascii="Times New Roman" w:eastAsia="Times New Roman" w:hAnsi="Times New Roman" w:cs="Times New Roman"/>
                <w:color w:val="000000"/>
                <w:sz w:val="26"/>
                <w:szCs w:val="26"/>
                <w:lang w:bidi="ar-SA"/>
              </w:rPr>
              <w:t>(LH 230)</w:t>
            </w:r>
            <w:r w:rsidRPr="00107085">
              <w:rPr>
                <w:rFonts w:ascii="David" w:eastAsia="Times New Roman" w:hAnsi="David" w:cs="David" w:hint="cs"/>
                <w:color w:val="000000"/>
                <w:sz w:val="24"/>
                <w:szCs w:val="24"/>
                <w:rtl/>
                <w:lang w:eastAsia="zh-CN"/>
              </w:rPr>
              <w:t xml:space="preserve"> "אם הקריסה תגרום למות בנו של בעל הבית, עליהם להרוג את בנו של אותו בנאי".</w:t>
            </w:r>
          </w:p>
          <w:p w14:paraId="71F08A9C" w14:textId="77777777" w:rsidR="00EB3003" w:rsidRDefault="00EB3003" w:rsidP="004E1C22">
            <w:pPr>
              <w:bidi/>
              <w:spacing w:line="276" w:lineRule="auto"/>
              <w:rPr>
                <w:rFonts w:asciiTheme="minorBidi" w:hAnsiTheme="minorBidi"/>
                <w:rtl/>
              </w:rPr>
            </w:pPr>
          </w:p>
        </w:tc>
      </w:tr>
      <w:tr w:rsidR="00EB3003" w14:paraId="037FE845" w14:textId="77777777" w:rsidTr="004E1C22">
        <w:tc>
          <w:tcPr>
            <w:tcW w:w="4675" w:type="dxa"/>
          </w:tcPr>
          <w:p w14:paraId="35C9B975" w14:textId="77777777" w:rsidR="00EB3003" w:rsidRPr="00C11F76" w:rsidRDefault="00EB3003" w:rsidP="00E727A8">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b/>
                <w:bCs/>
                <w:color w:val="000000"/>
                <w:sz w:val="26"/>
                <w:lang w:bidi="ar-SA"/>
              </w:rPr>
              <w:lastRenderedPageBreak/>
              <w:t>Live, Human, Substitution:</w:t>
            </w:r>
            <w:r w:rsidRPr="00C11F76">
              <w:rPr>
                <w:rFonts w:ascii="Times New Roman" w:eastAsia="Times New Roman" w:hAnsi="Times New Roman" w:cs="Times New Roman"/>
                <w:color w:val="000000"/>
                <w:sz w:val="26"/>
                <w:szCs w:val="26"/>
                <w:lang w:bidi="ar-SA"/>
              </w:rPr>
              <w:t> </w:t>
            </w:r>
            <w:bookmarkStart w:id="21" w:name="_Hlk90921330"/>
            <w:r w:rsidRPr="00C11F76">
              <w:rPr>
                <w:rFonts w:ascii="Times New Roman" w:eastAsia="Times New Roman" w:hAnsi="Times New Roman" w:cs="Times New Roman"/>
                <w:color w:val="000000"/>
                <w:sz w:val="26"/>
                <w:szCs w:val="26"/>
                <w:lang w:bidi="ar-SA"/>
              </w:rPr>
              <w:t xml:space="preserve">(LH 231) </w:t>
            </w:r>
            <w:bookmarkEnd w:id="21"/>
            <w:r w:rsidRPr="00C11F76">
              <w:rPr>
                <w:rFonts w:ascii="Times New Roman" w:eastAsia="Times New Roman" w:hAnsi="Times New Roman" w:cs="Times New Roman"/>
                <w:color w:val="000000"/>
                <w:sz w:val="26"/>
                <w:szCs w:val="26"/>
                <w:lang w:bidi="ar-SA"/>
              </w:rPr>
              <w:t>“If it should cause the death of a slave of the householder, he shall give to the householder a slave (of comparable value) for the slave.”</w:t>
            </w:r>
          </w:p>
          <w:p w14:paraId="57D743BF" w14:textId="77777777" w:rsidR="00EB3003" w:rsidRPr="004E1C22" w:rsidRDefault="00EB3003" w:rsidP="004E1C22">
            <w:pPr>
              <w:spacing w:line="276" w:lineRule="auto"/>
              <w:rPr>
                <w:rFonts w:asciiTheme="minorBidi" w:hAnsiTheme="minorBidi"/>
              </w:rPr>
            </w:pPr>
          </w:p>
        </w:tc>
        <w:tc>
          <w:tcPr>
            <w:tcW w:w="4675" w:type="dxa"/>
          </w:tcPr>
          <w:p w14:paraId="3BC962A3" w14:textId="77777777" w:rsidR="00EB3003" w:rsidRPr="00107085" w:rsidRDefault="00EB3003" w:rsidP="00107085">
            <w:pPr>
              <w:shd w:val="clear" w:color="auto" w:fill="FFFFFF"/>
              <w:bidi/>
              <w:spacing w:after="300" w:line="465" w:lineRule="atLeast"/>
              <w:rPr>
                <w:rFonts w:ascii="David" w:eastAsia="Times New Roman" w:hAnsi="David" w:cs="David"/>
                <w:color w:val="000000"/>
                <w:sz w:val="24"/>
                <w:szCs w:val="24"/>
                <w:rtl/>
                <w:lang w:eastAsia="zh-CN"/>
              </w:rPr>
            </w:pPr>
            <w:r w:rsidRPr="00107085">
              <w:rPr>
                <w:rFonts w:ascii="David" w:eastAsia="Times New Roman" w:hAnsi="David" w:cs="David" w:hint="cs"/>
                <w:b/>
                <w:bCs/>
                <w:color w:val="000000"/>
                <w:sz w:val="24"/>
                <w:szCs w:val="24"/>
                <w:rtl/>
                <w:lang w:eastAsia="zh-CN"/>
              </w:rPr>
              <w:t>ממלא מקום אנושי חי:</w:t>
            </w:r>
            <w:r w:rsidRPr="00107085">
              <w:rPr>
                <w:rFonts w:ascii="David" w:eastAsia="Times New Roman" w:hAnsi="David" w:cs="David" w:hint="cs"/>
                <w:color w:val="000000"/>
                <w:sz w:val="24"/>
                <w:szCs w:val="24"/>
                <w:rtl/>
                <w:lang w:eastAsia="zh-CN"/>
              </w:rPr>
              <w:t xml:space="preserve"> </w:t>
            </w:r>
            <w:r w:rsidRPr="00107085">
              <w:rPr>
                <w:rFonts w:ascii="Times New Roman" w:eastAsia="Times New Roman" w:hAnsi="Times New Roman" w:cs="Times New Roman"/>
                <w:color w:val="000000"/>
                <w:sz w:val="26"/>
                <w:szCs w:val="26"/>
                <w:lang w:bidi="ar-SA"/>
              </w:rPr>
              <w:t>(LH 231)</w:t>
            </w:r>
            <w:r w:rsidRPr="00107085">
              <w:rPr>
                <w:rFonts w:ascii="David" w:eastAsia="Times New Roman" w:hAnsi="David" w:cs="David" w:hint="cs"/>
                <w:color w:val="000000"/>
                <w:sz w:val="24"/>
                <w:szCs w:val="24"/>
                <w:rtl/>
                <w:lang w:eastAsia="zh-CN"/>
              </w:rPr>
              <w:t xml:space="preserve"> "אם הקריסה תגרום למות עבדו של בעל הבית, עליו לתת לבעל הבית עבד (בעל ערך שווה) תמורת העבד".</w:t>
            </w:r>
          </w:p>
          <w:p w14:paraId="784ED64B" w14:textId="77777777" w:rsidR="00EB3003" w:rsidRDefault="00EB3003" w:rsidP="00107085">
            <w:pPr>
              <w:shd w:val="clear" w:color="auto" w:fill="FFFFFF"/>
              <w:spacing w:after="300" w:line="465" w:lineRule="atLeast"/>
              <w:rPr>
                <w:rFonts w:asciiTheme="minorBidi" w:hAnsiTheme="minorBidi"/>
              </w:rPr>
            </w:pPr>
          </w:p>
        </w:tc>
      </w:tr>
      <w:tr w:rsidR="00EB3003" w14:paraId="151A37E2" w14:textId="77777777" w:rsidTr="004E1C22">
        <w:tc>
          <w:tcPr>
            <w:tcW w:w="4675" w:type="dxa"/>
          </w:tcPr>
          <w:p w14:paraId="28E805B4" w14:textId="77777777" w:rsidR="00EB3003" w:rsidRPr="00C11F76" w:rsidRDefault="00EB3003" w:rsidP="00E727A8">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In this last case, the resonance of </w:t>
            </w:r>
            <w:bookmarkStart w:id="22" w:name="_Hlk90922579"/>
            <w:proofErr w:type="spellStart"/>
            <w:r w:rsidRPr="00C11F76">
              <w:rPr>
                <w:rFonts w:ascii="Times New Roman" w:eastAsia="Times New Roman" w:hAnsi="Times New Roman" w:cs="Times New Roman"/>
                <w:i/>
                <w:iCs/>
                <w:color w:val="000000"/>
                <w:sz w:val="26"/>
                <w:lang w:bidi="ar-SA"/>
              </w:rPr>
              <w:t>wardam</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kīma</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wardim</w:t>
            </w:r>
            <w:proofErr w:type="spellEnd"/>
            <w:r w:rsidRPr="00C11F76">
              <w:rPr>
                <w:rFonts w:ascii="Times New Roman" w:eastAsia="Times New Roman" w:hAnsi="Times New Roman" w:cs="Times New Roman"/>
                <w:color w:val="000000"/>
                <w:sz w:val="26"/>
                <w:szCs w:val="26"/>
                <w:lang w:bidi="ar-SA"/>
              </w:rPr>
              <w:t> </w:t>
            </w:r>
            <w:bookmarkEnd w:id="22"/>
            <w:r w:rsidRPr="00C11F76">
              <w:rPr>
                <w:rFonts w:ascii="Times New Roman" w:eastAsia="Times New Roman" w:hAnsi="Times New Roman" w:cs="Times New Roman"/>
                <w:color w:val="000000"/>
                <w:sz w:val="26"/>
                <w:szCs w:val="26"/>
                <w:lang w:bidi="ar-SA"/>
              </w:rPr>
              <w:t xml:space="preserve">“a slave of comparable value for the slave,” </w:t>
            </w:r>
            <w:bookmarkStart w:id="23" w:name="_Hlk90922646"/>
            <w:r w:rsidRPr="00C11F76">
              <w:rPr>
                <w:rFonts w:ascii="Times New Roman" w:eastAsia="Times New Roman" w:hAnsi="Times New Roman" w:cs="Times New Roman"/>
                <w:color w:val="000000"/>
                <w:sz w:val="26"/>
                <w:szCs w:val="26"/>
                <w:lang w:bidi="ar-SA"/>
              </w:rPr>
              <w:t xml:space="preserve">(LH 231) </w:t>
            </w:r>
            <w:bookmarkEnd w:id="23"/>
            <w:r w:rsidRPr="00C11F76">
              <w:rPr>
                <w:rFonts w:ascii="Times New Roman" w:eastAsia="Times New Roman" w:hAnsi="Times New Roman" w:cs="Times New Roman"/>
                <w:color w:val="000000"/>
                <w:sz w:val="26"/>
                <w:szCs w:val="26"/>
                <w:lang w:bidi="ar-SA"/>
              </w:rPr>
              <w:t xml:space="preserve">with </w:t>
            </w:r>
            <w:r w:rsidRPr="00C11F76">
              <w:rPr>
                <w:rFonts w:ascii="Times New Roman" w:eastAsia="Times New Roman" w:hAnsi="Times New Roman" w:cs="Times New Roman"/>
                <w:color w:val="000000"/>
                <w:sz w:val="26"/>
                <w:szCs w:val="26"/>
                <w:rtl/>
              </w:rPr>
              <w:t>נפש תחת נפש</w:t>
            </w:r>
            <w:r w:rsidRPr="00C11F76">
              <w:rPr>
                <w:rFonts w:ascii="Times New Roman" w:eastAsia="Times New Roman" w:hAnsi="Times New Roman" w:cs="Times New Roman"/>
                <w:color w:val="000000"/>
                <w:sz w:val="26"/>
                <w:szCs w:val="26"/>
                <w:lang w:bidi="ar-SA"/>
              </w:rPr>
              <w:t xml:space="preserve"> “a life for a life” is notably apparent. Similarly, the instruction “he shall give to the house-holder” </w:t>
            </w:r>
            <w:bookmarkStart w:id="24" w:name="_Hlk90922763"/>
            <w:r w:rsidRPr="00C11F76">
              <w:rPr>
                <w:rFonts w:ascii="Times New Roman" w:eastAsia="Times New Roman" w:hAnsi="Times New Roman" w:cs="Times New Roman"/>
                <w:color w:val="000000"/>
                <w:sz w:val="26"/>
                <w:szCs w:val="26"/>
                <w:lang w:bidi="ar-SA"/>
              </w:rPr>
              <w:t>(</w:t>
            </w:r>
            <w:r w:rsidRPr="00C11F76">
              <w:rPr>
                <w:rFonts w:ascii="Times New Roman" w:eastAsia="Times New Roman" w:hAnsi="Times New Roman" w:cs="Times New Roman"/>
                <w:i/>
                <w:iCs/>
                <w:color w:val="000000"/>
                <w:sz w:val="26"/>
                <w:lang w:bidi="ar-SA"/>
              </w:rPr>
              <w:t xml:space="preserve">ana </w:t>
            </w:r>
            <w:proofErr w:type="spellStart"/>
            <w:r w:rsidRPr="00C11F76">
              <w:rPr>
                <w:rFonts w:ascii="Times New Roman" w:eastAsia="Times New Roman" w:hAnsi="Times New Roman" w:cs="Times New Roman"/>
                <w:i/>
                <w:iCs/>
                <w:color w:val="000000"/>
                <w:sz w:val="26"/>
                <w:lang w:bidi="ar-SA"/>
              </w:rPr>
              <w:t>bēl</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bītim</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inaddin</w:t>
            </w:r>
            <w:proofErr w:type="spellEnd"/>
            <w:r w:rsidRPr="00C11F76">
              <w:rPr>
                <w:rFonts w:ascii="Times New Roman" w:eastAsia="Times New Roman" w:hAnsi="Times New Roman" w:cs="Times New Roman"/>
                <w:color w:val="000000"/>
                <w:sz w:val="26"/>
                <w:szCs w:val="26"/>
                <w:lang w:bidi="ar-SA"/>
              </w:rPr>
              <w:t xml:space="preserve">) </w:t>
            </w:r>
            <w:bookmarkEnd w:id="24"/>
            <w:r w:rsidRPr="00C11F76">
              <w:rPr>
                <w:rFonts w:ascii="Times New Roman" w:eastAsia="Times New Roman" w:hAnsi="Times New Roman" w:cs="Times New Roman"/>
                <w:color w:val="000000"/>
                <w:sz w:val="26"/>
                <w:szCs w:val="26"/>
                <w:lang w:bidi="ar-SA"/>
              </w:rPr>
              <w:t>indicates that </w:t>
            </w:r>
            <w:bookmarkStart w:id="25" w:name="_Hlk90922824"/>
            <w:proofErr w:type="spellStart"/>
            <w:r w:rsidRPr="00C11F76">
              <w:rPr>
                <w:rFonts w:ascii="Times New Roman" w:eastAsia="Times New Roman" w:hAnsi="Times New Roman" w:cs="Times New Roman"/>
                <w:i/>
                <w:iCs/>
                <w:color w:val="000000"/>
                <w:sz w:val="26"/>
                <w:lang w:bidi="ar-SA"/>
              </w:rPr>
              <w:t>inaddin</w:t>
            </w:r>
            <w:bookmarkEnd w:id="25"/>
            <w:proofErr w:type="spellEnd"/>
            <w:r w:rsidRPr="00C11F76">
              <w:rPr>
                <w:rFonts w:ascii="Times New Roman" w:eastAsia="Times New Roman" w:hAnsi="Times New Roman" w:cs="Times New Roman"/>
                <w:i/>
                <w:iCs/>
                <w:color w:val="000000"/>
                <w:sz w:val="26"/>
                <w:lang w:bidi="ar-SA"/>
              </w:rPr>
              <w:t>,</w:t>
            </w:r>
            <w:r w:rsidRPr="00C11F76">
              <w:rPr>
                <w:rFonts w:ascii="Times New Roman" w:eastAsia="Times New Roman" w:hAnsi="Times New Roman" w:cs="Times New Roman"/>
                <w:color w:val="000000"/>
                <w:sz w:val="26"/>
                <w:szCs w:val="26"/>
                <w:lang w:bidi="ar-SA"/>
              </w:rPr>
              <w:t> from the verb </w:t>
            </w:r>
            <w:bookmarkStart w:id="26" w:name="_Hlk90922921"/>
            <w:proofErr w:type="spellStart"/>
            <w:r w:rsidRPr="00C11F76">
              <w:rPr>
                <w:rFonts w:ascii="Times New Roman" w:eastAsia="Times New Roman" w:hAnsi="Times New Roman" w:cs="Times New Roman"/>
                <w:i/>
                <w:iCs/>
                <w:color w:val="000000"/>
                <w:sz w:val="26"/>
                <w:lang w:bidi="ar-SA"/>
              </w:rPr>
              <w:t>nadanu</w:t>
            </w:r>
            <w:proofErr w:type="spellEnd"/>
            <w:r w:rsidRPr="00C11F76">
              <w:rPr>
                <w:rFonts w:ascii="Times New Roman" w:eastAsia="Times New Roman" w:hAnsi="Times New Roman" w:cs="Times New Roman"/>
                <w:i/>
                <w:iCs/>
                <w:color w:val="000000"/>
                <w:sz w:val="26"/>
                <w:lang w:bidi="ar-SA"/>
              </w:rPr>
              <w:t>(m)</w:t>
            </w:r>
            <w:r w:rsidRPr="00C11F76">
              <w:rPr>
                <w:rFonts w:ascii="Times New Roman" w:eastAsia="Times New Roman" w:hAnsi="Times New Roman" w:cs="Times New Roman"/>
                <w:color w:val="000000"/>
                <w:sz w:val="26"/>
                <w:szCs w:val="26"/>
                <w:lang w:bidi="ar-SA"/>
              </w:rPr>
              <w:t> </w:t>
            </w:r>
            <w:bookmarkEnd w:id="26"/>
            <w:r w:rsidRPr="00C11F76">
              <w:rPr>
                <w:rFonts w:ascii="Times New Roman" w:eastAsia="Times New Roman" w:hAnsi="Times New Roman" w:cs="Times New Roman"/>
                <w:color w:val="000000"/>
                <w:sz w:val="26"/>
                <w:szCs w:val="26"/>
                <w:lang w:bidi="ar-SA"/>
              </w:rPr>
              <w:t xml:space="preserve">“to give” is the etymological equivalent of </w:t>
            </w:r>
            <w:r w:rsidRPr="00C11F76">
              <w:rPr>
                <w:rFonts w:ascii="Times New Roman" w:eastAsia="Times New Roman" w:hAnsi="Times New Roman" w:cs="Times New Roman"/>
                <w:color w:val="000000"/>
                <w:sz w:val="26"/>
                <w:szCs w:val="26"/>
                <w:rtl/>
              </w:rPr>
              <w:t>נתן</w:t>
            </w:r>
            <w:r w:rsidRPr="00C11F76">
              <w:rPr>
                <w:rFonts w:ascii="Times New Roman" w:eastAsia="Times New Roman" w:hAnsi="Times New Roman" w:cs="Times New Roman"/>
                <w:color w:val="000000"/>
                <w:sz w:val="26"/>
                <w:szCs w:val="26"/>
                <w:lang w:bidi="ar-SA"/>
              </w:rPr>
              <w:t xml:space="preserve"> in Exodus 21:23.</w:t>
            </w:r>
          </w:p>
          <w:p w14:paraId="472C8F92" w14:textId="77777777" w:rsidR="00EB3003" w:rsidRPr="004E1C22" w:rsidRDefault="00EB3003" w:rsidP="004E1C22">
            <w:pPr>
              <w:spacing w:line="276" w:lineRule="auto"/>
              <w:rPr>
                <w:rFonts w:asciiTheme="minorBidi" w:hAnsiTheme="minorBidi"/>
              </w:rPr>
            </w:pPr>
          </w:p>
        </w:tc>
        <w:tc>
          <w:tcPr>
            <w:tcW w:w="4675" w:type="dxa"/>
          </w:tcPr>
          <w:p w14:paraId="3628B776" w14:textId="5CACCBFB" w:rsidR="00EB3003" w:rsidRPr="00107085" w:rsidRDefault="00EB3003" w:rsidP="00107085">
            <w:pPr>
              <w:shd w:val="clear" w:color="auto" w:fill="FFFFFF"/>
              <w:bidi/>
              <w:spacing w:after="300" w:line="465" w:lineRule="atLeast"/>
              <w:rPr>
                <w:rFonts w:ascii="David" w:eastAsia="Times New Roman" w:hAnsi="David" w:cs="David"/>
                <w:color w:val="000000"/>
                <w:sz w:val="24"/>
                <w:szCs w:val="24"/>
                <w:rtl/>
                <w:lang w:eastAsia="zh-CN"/>
              </w:rPr>
            </w:pPr>
            <w:r w:rsidRPr="00107085">
              <w:rPr>
                <w:rFonts w:ascii="David" w:eastAsia="Times New Roman" w:hAnsi="David" w:cs="David" w:hint="cs"/>
                <w:color w:val="000000"/>
                <w:sz w:val="24"/>
                <w:szCs w:val="24"/>
                <w:rtl/>
                <w:lang w:eastAsia="zh-CN"/>
              </w:rPr>
              <w:t>במקרה אחרון זה, תהודת</w:t>
            </w:r>
            <w:proofErr w:type="spellStart"/>
            <w:r w:rsidRPr="00107085">
              <w:rPr>
                <w:rFonts w:ascii="Times New Roman" w:eastAsia="Times New Roman" w:hAnsi="Times New Roman" w:cs="Times New Roman"/>
                <w:i/>
                <w:iCs/>
                <w:color w:val="000000"/>
                <w:sz w:val="26"/>
                <w:lang w:bidi="ar-SA"/>
              </w:rPr>
              <w:t>wardam</w:t>
            </w:r>
            <w:proofErr w:type="spellEnd"/>
            <w:r w:rsidRPr="00107085">
              <w:rPr>
                <w:rFonts w:ascii="Times New Roman" w:eastAsia="Times New Roman" w:hAnsi="Times New Roman" w:cs="Times New Roman"/>
                <w:i/>
                <w:iCs/>
                <w:color w:val="000000"/>
                <w:sz w:val="26"/>
                <w:lang w:bidi="ar-SA"/>
              </w:rPr>
              <w:t xml:space="preserve"> </w:t>
            </w:r>
            <w:proofErr w:type="spellStart"/>
            <w:r w:rsidRPr="00107085">
              <w:rPr>
                <w:rFonts w:ascii="Times New Roman" w:eastAsia="Times New Roman" w:hAnsi="Times New Roman" w:cs="Times New Roman"/>
                <w:i/>
                <w:iCs/>
                <w:color w:val="000000"/>
                <w:sz w:val="26"/>
                <w:lang w:bidi="ar-SA"/>
              </w:rPr>
              <w:t>kīma</w:t>
            </w:r>
            <w:proofErr w:type="spellEnd"/>
            <w:r w:rsidRPr="00107085">
              <w:rPr>
                <w:rFonts w:ascii="Times New Roman" w:eastAsia="Times New Roman" w:hAnsi="Times New Roman" w:cs="Times New Roman"/>
                <w:i/>
                <w:iCs/>
                <w:color w:val="000000"/>
                <w:sz w:val="26"/>
                <w:lang w:bidi="ar-SA"/>
              </w:rPr>
              <w:t xml:space="preserve"> </w:t>
            </w:r>
            <w:proofErr w:type="spellStart"/>
            <w:r w:rsidRPr="00107085">
              <w:rPr>
                <w:rFonts w:ascii="Times New Roman" w:eastAsia="Times New Roman" w:hAnsi="Times New Roman" w:cs="Times New Roman"/>
                <w:i/>
                <w:iCs/>
                <w:color w:val="000000"/>
                <w:sz w:val="26"/>
                <w:lang w:bidi="ar-SA"/>
              </w:rPr>
              <w:t>wardim</w:t>
            </w:r>
            <w:proofErr w:type="spellEnd"/>
            <w:r w:rsidRPr="00107085">
              <w:rPr>
                <w:rFonts w:ascii="Times New Roman" w:eastAsia="Times New Roman" w:hAnsi="Times New Roman" w:cs="Times New Roman"/>
                <w:color w:val="000000"/>
                <w:sz w:val="26"/>
                <w:szCs w:val="26"/>
                <w:lang w:bidi="ar-SA"/>
              </w:rPr>
              <w:t> </w:t>
            </w:r>
            <w:r w:rsidRPr="00107085">
              <w:rPr>
                <w:rFonts w:ascii="David" w:eastAsia="Times New Roman" w:hAnsi="David" w:cs="David" w:hint="cs"/>
                <w:color w:val="000000"/>
                <w:sz w:val="24"/>
                <w:szCs w:val="24"/>
                <w:rtl/>
                <w:lang w:eastAsia="zh-CN"/>
              </w:rPr>
              <w:t xml:space="preserve">, "עבד בעל ערך שווה תמורת העבד", </w:t>
            </w:r>
            <w:r w:rsidRPr="00107085">
              <w:rPr>
                <w:rFonts w:ascii="Times New Roman" w:eastAsia="Times New Roman" w:hAnsi="Times New Roman" w:cs="Times New Roman"/>
                <w:color w:val="000000"/>
                <w:sz w:val="26"/>
                <w:szCs w:val="26"/>
                <w:lang w:bidi="ar-SA"/>
              </w:rPr>
              <w:t>(LH   231)</w:t>
            </w:r>
            <w:r w:rsidRPr="00107085">
              <w:rPr>
                <w:rFonts w:ascii="David" w:eastAsia="Times New Roman" w:hAnsi="David" w:cs="David" w:hint="cs"/>
                <w:color w:val="000000"/>
                <w:sz w:val="24"/>
                <w:szCs w:val="24"/>
                <w:rtl/>
                <w:lang w:eastAsia="zh-CN"/>
              </w:rPr>
              <w:t xml:space="preserve"> עם "נפש תחת נפש" בולטת במיוחד. באופן דומה, </w:t>
            </w:r>
            <w:r>
              <w:rPr>
                <w:rFonts w:ascii="David" w:eastAsia="Times New Roman" w:hAnsi="David" w:cs="David" w:hint="cs"/>
                <w:color w:val="000000"/>
                <w:sz w:val="24"/>
                <w:szCs w:val="24"/>
                <w:rtl/>
                <w:lang w:eastAsia="zh-CN"/>
              </w:rPr>
              <w:t xml:space="preserve">מציינת </w:t>
            </w:r>
            <w:r w:rsidRPr="00107085">
              <w:rPr>
                <w:rFonts w:ascii="David" w:eastAsia="Times New Roman" w:hAnsi="David" w:cs="David" w:hint="cs"/>
                <w:color w:val="000000"/>
                <w:sz w:val="24"/>
                <w:szCs w:val="24"/>
                <w:rtl/>
                <w:lang w:eastAsia="zh-CN"/>
              </w:rPr>
              <w:t xml:space="preserve">ההוראה "עליו לתת לבעל הבית" </w:t>
            </w:r>
            <w:r w:rsidRPr="00107085">
              <w:rPr>
                <w:rFonts w:ascii="Times New Roman" w:eastAsia="Times New Roman" w:hAnsi="Times New Roman" w:cs="Times New Roman"/>
                <w:color w:val="000000"/>
                <w:sz w:val="26"/>
                <w:szCs w:val="26"/>
                <w:lang w:bidi="ar-SA"/>
              </w:rPr>
              <w:t>(</w:t>
            </w:r>
            <w:r w:rsidRPr="00107085">
              <w:rPr>
                <w:rFonts w:ascii="Times New Roman" w:eastAsia="Times New Roman" w:hAnsi="Times New Roman" w:cs="Times New Roman"/>
                <w:i/>
                <w:iCs/>
                <w:color w:val="000000"/>
                <w:sz w:val="26"/>
                <w:lang w:bidi="ar-SA"/>
              </w:rPr>
              <w:t xml:space="preserve">ana </w:t>
            </w:r>
            <w:proofErr w:type="spellStart"/>
            <w:r w:rsidRPr="00107085">
              <w:rPr>
                <w:rFonts w:ascii="Times New Roman" w:eastAsia="Times New Roman" w:hAnsi="Times New Roman" w:cs="Times New Roman"/>
                <w:i/>
                <w:iCs/>
                <w:color w:val="000000"/>
                <w:sz w:val="26"/>
                <w:lang w:bidi="ar-SA"/>
              </w:rPr>
              <w:t>bēl</w:t>
            </w:r>
            <w:proofErr w:type="spellEnd"/>
            <w:r w:rsidRPr="00107085">
              <w:rPr>
                <w:rFonts w:ascii="Times New Roman" w:eastAsia="Times New Roman" w:hAnsi="Times New Roman" w:cs="Times New Roman"/>
                <w:i/>
                <w:iCs/>
                <w:color w:val="000000"/>
                <w:sz w:val="26"/>
                <w:lang w:bidi="ar-SA"/>
              </w:rPr>
              <w:t xml:space="preserve"> </w:t>
            </w:r>
            <w:proofErr w:type="spellStart"/>
            <w:r w:rsidRPr="00107085">
              <w:rPr>
                <w:rFonts w:ascii="Times New Roman" w:eastAsia="Times New Roman" w:hAnsi="Times New Roman" w:cs="Times New Roman"/>
                <w:i/>
                <w:iCs/>
                <w:color w:val="000000"/>
                <w:sz w:val="26"/>
                <w:lang w:bidi="ar-SA"/>
              </w:rPr>
              <w:t>bītim</w:t>
            </w:r>
            <w:proofErr w:type="spellEnd"/>
            <w:r w:rsidRPr="00107085">
              <w:rPr>
                <w:rFonts w:ascii="Times New Roman" w:eastAsia="Times New Roman" w:hAnsi="Times New Roman" w:cs="Times New Roman"/>
                <w:i/>
                <w:iCs/>
                <w:color w:val="000000"/>
                <w:sz w:val="26"/>
                <w:lang w:bidi="ar-SA"/>
              </w:rPr>
              <w:t xml:space="preserve"> </w:t>
            </w:r>
            <w:proofErr w:type="spellStart"/>
            <w:r w:rsidRPr="00107085">
              <w:rPr>
                <w:rFonts w:ascii="Times New Roman" w:eastAsia="Times New Roman" w:hAnsi="Times New Roman" w:cs="Times New Roman"/>
                <w:i/>
                <w:iCs/>
                <w:color w:val="000000"/>
                <w:sz w:val="26"/>
                <w:lang w:bidi="ar-SA"/>
              </w:rPr>
              <w:t>inaddin</w:t>
            </w:r>
            <w:proofErr w:type="spellEnd"/>
            <w:r w:rsidRPr="00107085">
              <w:rPr>
                <w:rFonts w:ascii="Times New Roman" w:eastAsia="Times New Roman" w:hAnsi="Times New Roman" w:cs="Times New Roman"/>
                <w:color w:val="000000"/>
                <w:sz w:val="26"/>
                <w:szCs w:val="26"/>
                <w:lang w:bidi="ar-SA"/>
              </w:rPr>
              <w:t>)</w:t>
            </w:r>
            <w:r w:rsidRPr="00107085">
              <w:rPr>
                <w:rFonts w:ascii="David" w:eastAsia="Times New Roman" w:hAnsi="David" w:cs="David" w:hint="cs"/>
                <w:color w:val="000000"/>
                <w:sz w:val="24"/>
                <w:szCs w:val="24"/>
                <w:rtl/>
                <w:lang w:eastAsia="zh-CN"/>
              </w:rPr>
              <w:t xml:space="preserve"> ש-</w:t>
            </w:r>
            <w:r w:rsidRPr="00107085">
              <w:rPr>
                <w:rFonts w:ascii="Times New Roman" w:eastAsia="Times New Roman" w:hAnsi="Times New Roman" w:cs="Times New Roman"/>
                <w:i/>
                <w:iCs/>
                <w:color w:val="000000"/>
                <w:sz w:val="26"/>
                <w:lang w:bidi="ar-SA"/>
              </w:rPr>
              <w:t xml:space="preserve"> </w:t>
            </w:r>
            <w:proofErr w:type="spellStart"/>
            <w:r w:rsidRPr="00107085">
              <w:rPr>
                <w:rFonts w:ascii="Times New Roman" w:eastAsia="Times New Roman" w:hAnsi="Times New Roman" w:cs="Times New Roman"/>
                <w:i/>
                <w:iCs/>
                <w:color w:val="000000"/>
                <w:sz w:val="26"/>
                <w:lang w:bidi="ar-SA"/>
              </w:rPr>
              <w:t>inaddin</w:t>
            </w:r>
            <w:proofErr w:type="spellEnd"/>
            <w:r w:rsidRPr="00107085">
              <w:rPr>
                <w:rFonts w:ascii="David" w:eastAsia="Times New Roman" w:hAnsi="David" w:cs="David"/>
                <w:i/>
                <w:iCs/>
                <w:color w:val="000000"/>
                <w:sz w:val="26"/>
                <w:rtl/>
              </w:rPr>
              <w:t xml:space="preserve">, </w:t>
            </w:r>
            <w:r w:rsidRPr="00107085">
              <w:rPr>
                <w:rFonts w:ascii="David" w:eastAsia="Times New Roman" w:hAnsi="David" w:cs="David"/>
                <w:color w:val="000000"/>
                <w:sz w:val="24"/>
                <w:szCs w:val="24"/>
                <w:rtl/>
              </w:rPr>
              <w:t>מן הפועל</w:t>
            </w:r>
            <w:r w:rsidRPr="00107085">
              <w:rPr>
                <w:rFonts w:ascii="Times New Roman" w:eastAsia="Times New Roman" w:hAnsi="Times New Roman" w:cs="Times New Roman" w:hint="cs"/>
                <w:color w:val="000000"/>
                <w:sz w:val="24"/>
                <w:szCs w:val="24"/>
                <w:rtl/>
              </w:rPr>
              <w:t xml:space="preserve"> </w:t>
            </w:r>
            <w:proofErr w:type="spellStart"/>
            <w:r w:rsidRPr="00107085">
              <w:rPr>
                <w:rFonts w:ascii="Times New Roman" w:eastAsia="Times New Roman" w:hAnsi="Times New Roman" w:cs="Times New Roman"/>
                <w:i/>
                <w:iCs/>
                <w:color w:val="000000"/>
                <w:sz w:val="26"/>
                <w:lang w:bidi="ar-SA"/>
              </w:rPr>
              <w:t>nadanu</w:t>
            </w:r>
            <w:proofErr w:type="spellEnd"/>
            <w:r w:rsidRPr="00107085">
              <w:rPr>
                <w:rFonts w:ascii="Times New Roman" w:eastAsia="Times New Roman" w:hAnsi="Times New Roman" w:cs="Times New Roman"/>
                <w:i/>
                <w:iCs/>
                <w:color w:val="000000"/>
                <w:sz w:val="26"/>
                <w:lang w:bidi="ar-SA"/>
              </w:rPr>
              <w:t>(m)</w:t>
            </w:r>
            <w:r w:rsidRPr="00107085">
              <w:rPr>
                <w:rFonts w:ascii="Times New Roman" w:eastAsia="Times New Roman" w:hAnsi="Times New Roman" w:cs="Times New Roman"/>
                <w:color w:val="000000"/>
                <w:sz w:val="26"/>
                <w:szCs w:val="26"/>
                <w:lang w:bidi="ar-SA"/>
              </w:rPr>
              <w:t> </w:t>
            </w:r>
            <w:r w:rsidRPr="00107085">
              <w:rPr>
                <w:rFonts w:ascii="David" w:eastAsia="Times New Roman" w:hAnsi="David" w:cs="David" w:hint="cs"/>
                <w:color w:val="000000"/>
                <w:sz w:val="24"/>
                <w:szCs w:val="24"/>
                <w:rtl/>
                <w:lang w:eastAsia="zh-CN"/>
              </w:rPr>
              <w:t xml:space="preserve"> שוות ערך מבחינה אטימולוגית ל"נתן" אשר בשמות כא:23.</w:t>
            </w:r>
          </w:p>
          <w:p w14:paraId="531305BA" w14:textId="77777777" w:rsidR="00EB3003" w:rsidRPr="00107085" w:rsidRDefault="00EB3003" w:rsidP="00107085">
            <w:pPr>
              <w:shd w:val="clear" w:color="auto" w:fill="FFFFFF"/>
              <w:bidi/>
              <w:spacing w:after="300" w:line="465" w:lineRule="atLeast"/>
              <w:rPr>
                <w:rFonts w:ascii="David" w:eastAsia="Times New Roman" w:hAnsi="David" w:cs="David"/>
                <w:color w:val="000000"/>
                <w:sz w:val="32"/>
                <w:szCs w:val="32"/>
                <w:rtl/>
                <w:lang w:eastAsia="zh-CN"/>
              </w:rPr>
            </w:pPr>
          </w:p>
          <w:p w14:paraId="138CA171" w14:textId="77777777" w:rsidR="00EB3003" w:rsidRDefault="00EB3003" w:rsidP="004E1C22">
            <w:pPr>
              <w:bidi/>
              <w:spacing w:line="276" w:lineRule="auto"/>
              <w:rPr>
                <w:rFonts w:asciiTheme="minorBidi" w:hAnsiTheme="minorBidi"/>
                <w:rtl/>
              </w:rPr>
            </w:pPr>
          </w:p>
        </w:tc>
      </w:tr>
      <w:tr w:rsidR="00EB3003" w14:paraId="34473994" w14:textId="77777777" w:rsidTr="004E1C22">
        <w:tc>
          <w:tcPr>
            <w:tcW w:w="4675" w:type="dxa"/>
          </w:tcPr>
          <w:p w14:paraId="19927A23" w14:textId="77777777" w:rsidR="00EB3003" w:rsidRPr="00C11F76" w:rsidRDefault="00EB3003" w:rsidP="00E727A8">
            <w:pPr>
              <w:shd w:val="clear" w:color="auto" w:fill="FFFFFF"/>
              <w:spacing w:before="210" w:after="210" w:line="630" w:lineRule="atLeast"/>
              <w:jc w:val="center"/>
              <w:outlineLvl w:val="1"/>
              <w:rPr>
                <w:rFonts w:ascii="Times New Roman" w:eastAsia="Times New Roman" w:hAnsi="Times New Roman" w:cs="Times New Roman"/>
                <w:color w:val="000000"/>
                <w:sz w:val="38"/>
                <w:szCs w:val="38"/>
                <w:lang w:bidi="ar-SA"/>
              </w:rPr>
            </w:pPr>
            <w:r w:rsidRPr="00C11F76">
              <w:rPr>
                <w:rFonts w:ascii="Times New Roman" w:eastAsia="Times New Roman" w:hAnsi="Times New Roman" w:cs="Times New Roman"/>
                <w:color w:val="000000"/>
                <w:sz w:val="38"/>
                <w:szCs w:val="38"/>
                <w:lang w:bidi="ar-SA"/>
              </w:rPr>
              <w:t>No Capital Punishment or Vicarious Killing for Accidental Homicide</w:t>
            </w:r>
          </w:p>
          <w:p w14:paraId="28782323" w14:textId="77777777" w:rsidR="00EB3003" w:rsidRPr="004E1C22" w:rsidRDefault="00EB3003" w:rsidP="004E1C22">
            <w:pPr>
              <w:spacing w:line="276" w:lineRule="auto"/>
              <w:rPr>
                <w:rFonts w:asciiTheme="minorBidi" w:hAnsiTheme="minorBidi"/>
              </w:rPr>
            </w:pPr>
          </w:p>
        </w:tc>
        <w:tc>
          <w:tcPr>
            <w:tcW w:w="4675" w:type="dxa"/>
          </w:tcPr>
          <w:p w14:paraId="69DB831B" w14:textId="77777777" w:rsidR="00EB3003" w:rsidRDefault="00EB3003" w:rsidP="0032329F">
            <w:pPr>
              <w:shd w:val="clear" w:color="auto" w:fill="FFFFFF"/>
              <w:spacing w:after="300" w:line="465" w:lineRule="atLeast"/>
              <w:jc w:val="center"/>
              <w:rPr>
                <w:rFonts w:ascii="David" w:eastAsia="Times New Roman" w:hAnsi="David" w:cs="David"/>
                <w:color w:val="000000"/>
                <w:sz w:val="32"/>
                <w:szCs w:val="32"/>
                <w:rtl/>
                <w:lang w:eastAsia="zh-CN"/>
              </w:rPr>
            </w:pPr>
          </w:p>
          <w:p w14:paraId="2D44DE2A" w14:textId="230AA152" w:rsidR="00EB3003" w:rsidRPr="00F6617A" w:rsidRDefault="00EB3003" w:rsidP="0032329F">
            <w:pPr>
              <w:shd w:val="clear" w:color="auto" w:fill="FFFFFF"/>
              <w:spacing w:after="300" w:line="465" w:lineRule="atLeast"/>
              <w:jc w:val="center"/>
              <w:rPr>
                <w:rFonts w:ascii="David" w:eastAsia="Times New Roman" w:hAnsi="David" w:cs="David"/>
                <w:color w:val="000000"/>
                <w:sz w:val="32"/>
                <w:szCs w:val="32"/>
                <w:rtl/>
                <w:lang w:eastAsia="zh-CN"/>
              </w:rPr>
            </w:pPr>
            <w:r w:rsidRPr="00F6617A">
              <w:rPr>
                <w:rFonts w:ascii="David" w:eastAsia="Times New Roman" w:hAnsi="David" w:cs="David" w:hint="cs"/>
                <w:color w:val="000000"/>
                <w:sz w:val="32"/>
                <w:szCs w:val="32"/>
                <w:rtl/>
                <w:lang w:eastAsia="zh-CN"/>
              </w:rPr>
              <w:t xml:space="preserve">אין עונש מוות או הריגת </w:t>
            </w:r>
            <w:r>
              <w:rPr>
                <w:rFonts w:ascii="David" w:eastAsia="Times New Roman" w:hAnsi="David" w:cs="David" w:hint="cs"/>
                <w:color w:val="000000"/>
                <w:sz w:val="32"/>
                <w:szCs w:val="32"/>
                <w:rtl/>
                <w:lang w:eastAsia="zh-CN"/>
              </w:rPr>
              <w:t>ממלא מקום</w:t>
            </w:r>
            <w:r w:rsidRPr="00F6617A">
              <w:rPr>
                <w:rFonts w:ascii="David" w:eastAsia="Times New Roman" w:hAnsi="David" w:cs="David" w:hint="cs"/>
                <w:color w:val="000000"/>
                <w:sz w:val="32"/>
                <w:szCs w:val="32"/>
                <w:rtl/>
                <w:lang w:eastAsia="zh-CN"/>
              </w:rPr>
              <w:t xml:space="preserve"> עבור הריגה בשוגג</w:t>
            </w:r>
          </w:p>
          <w:p w14:paraId="23E8C7D7" w14:textId="77777777" w:rsidR="00EB3003" w:rsidRDefault="00EB3003" w:rsidP="004E1C22">
            <w:pPr>
              <w:bidi/>
              <w:spacing w:line="276" w:lineRule="auto"/>
              <w:rPr>
                <w:rFonts w:asciiTheme="minorBidi" w:hAnsiTheme="minorBidi"/>
                <w:rtl/>
              </w:rPr>
            </w:pPr>
          </w:p>
        </w:tc>
      </w:tr>
      <w:tr w:rsidR="00EB3003" w14:paraId="4D9F5D47" w14:textId="77777777" w:rsidTr="004E1C22">
        <w:tc>
          <w:tcPr>
            <w:tcW w:w="4675" w:type="dxa"/>
          </w:tcPr>
          <w:p w14:paraId="0FC4BA21" w14:textId="77777777" w:rsidR="00EB3003" w:rsidRPr="00C11F76" w:rsidRDefault="00EB3003" w:rsidP="00E727A8">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In short, the death of the assailant was never intended in Exodus 21:22–25, even if both the woman and her child had been </w:t>
            </w:r>
            <w:r w:rsidRPr="00C11F76">
              <w:rPr>
                <w:rFonts w:ascii="Times New Roman" w:eastAsia="Times New Roman" w:hAnsi="Times New Roman" w:cs="Times New Roman"/>
                <w:color w:val="000000"/>
                <w:sz w:val="26"/>
                <w:szCs w:val="26"/>
                <w:lang w:bidi="ar-SA"/>
              </w:rPr>
              <w:lastRenderedPageBreak/>
              <w:t>fatally injured. In the worst-case scenario, the assailant would have to pay money (or its equivalent in metals, grain, cattle, or livestock) for the loss of life of the child and ideally replace the deceased wife with a living female substitute.</w:t>
            </w:r>
          </w:p>
          <w:p w14:paraId="7AF13C9E" w14:textId="77777777" w:rsidR="00EB3003" w:rsidRPr="004E1C22" w:rsidRDefault="00EB3003" w:rsidP="004E1C22">
            <w:pPr>
              <w:spacing w:line="276" w:lineRule="auto"/>
              <w:rPr>
                <w:rFonts w:asciiTheme="minorBidi" w:hAnsiTheme="minorBidi"/>
              </w:rPr>
            </w:pPr>
          </w:p>
        </w:tc>
        <w:tc>
          <w:tcPr>
            <w:tcW w:w="4675" w:type="dxa"/>
          </w:tcPr>
          <w:p w14:paraId="5C317701" w14:textId="77777777" w:rsidR="00EB3003" w:rsidRDefault="00EB3003" w:rsidP="00A01A41">
            <w:pPr>
              <w:bidi/>
              <w:spacing w:line="276" w:lineRule="auto"/>
              <w:jc w:val="right"/>
              <w:rPr>
                <w:rFonts w:asciiTheme="minorBidi" w:hAnsiTheme="minorBidi"/>
                <w:rtl/>
              </w:rPr>
            </w:pPr>
          </w:p>
          <w:p w14:paraId="78B26138" w14:textId="77777777" w:rsidR="00EB3003" w:rsidRDefault="00EB3003" w:rsidP="00A01A41">
            <w:pPr>
              <w:shd w:val="clear" w:color="auto" w:fill="FFFFFF"/>
              <w:spacing w:after="300" w:line="465" w:lineRule="atLeast"/>
              <w:jc w:val="right"/>
              <w:rPr>
                <w:rFonts w:ascii="David" w:eastAsia="Times New Roman" w:hAnsi="David" w:cs="David"/>
                <w:color w:val="000000"/>
                <w:sz w:val="24"/>
                <w:szCs w:val="24"/>
                <w:rtl/>
                <w:lang w:eastAsia="zh-CN"/>
              </w:rPr>
            </w:pPr>
            <w:r>
              <w:rPr>
                <w:rFonts w:ascii="David" w:eastAsia="Times New Roman" w:hAnsi="David" w:cs="David" w:hint="cs"/>
                <w:color w:val="000000"/>
                <w:sz w:val="24"/>
                <w:szCs w:val="24"/>
                <w:rtl/>
                <w:lang w:eastAsia="zh-CN"/>
              </w:rPr>
              <w:t xml:space="preserve">לסיכום, כוונת שמות </w:t>
            </w:r>
            <w:proofErr w:type="spellStart"/>
            <w:r>
              <w:rPr>
                <w:rFonts w:ascii="David" w:eastAsia="Times New Roman" w:hAnsi="David" w:cs="David" w:hint="cs"/>
                <w:color w:val="000000"/>
                <w:sz w:val="24"/>
                <w:szCs w:val="24"/>
                <w:rtl/>
                <w:lang w:eastAsia="zh-CN"/>
              </w:rPr>
              <w:t>כא:כב</w:t>
            </w:r>
            <w:proofErr w:type="spellEnd"/>
            <w:r>
              <w:rPr>
                <w:rFonts w:ascii="David" w:eastAsia="Times New Roman" w:hAnsi="David" w:cs="David" w:hint="cs"/>
                <w:color w:val="000000"/>
                <w:sz w:val="24"/>
                <w:szCs w:val="24"/>
                <w:rtl/>
                <w:lang w:eastAsia="zh-CN"/>
              </w:rPr>
              <w:t xml:space="preserve">–כה מעולם לא הייתה מות התוקף, אפילו אם גם האישה וגם עוברה נפצעו אנושות. בתרחיש החמור ביותר, על התוקף היה </w:t>
            </w:r>
            <w:r>
              <w:rPr>
                <w:rFonts w:ascii="David" w:eastAsia="Times New Roman" w:hAnsi="David" w:cs="David" w:hint="cs"/>
                <w:color w:val="000000"/>
                <w:sz w:val="24"/>
                <w:szCs w:val="24"/>
                <w:rtl/>
                <w:lang w:eastAsia="zh-CN"/>
              </w:rPr>
              <w:lastRenderedPageBreak/>
              <w:t>לשלם כסף (או שווה ערך במתכות, תבואה, בקר או מקנה) עבור אובדן חיי העובר ורצוי ביותר שיחליף את האישה המתה בחלופה נשית חיה.</w:t>
            </w:r>
          </w:p>
          <w:p w14:paraId="13AF781B" w14:textId="142B4CE4" w:rsidR="00EB3003" w:rsidRPr="002A587B" w:rsidRDefault="00EB3003" w:rsidP="00A01A41">
            <w:pPr>
              <w:bidi/>
              <w:jc w:val="right"/>
              <w:rPr>
                <w:rFonts w:asciiTheme="minorBidi" w:hAnsiTheme="minorBidi"/>
                <w:rtl/>
              </w:rPr>
            </w:pPr>
          </w:p>
        </w:tc>
      </w:tr>
      <w:tr w:rsidR="00EB3003" w14:paraId="1A07A837" w14:textId="77777777" w:rsidTr="004E1C22">
        <w:tc>
          <w:tcPr>
            <w:tcW w:w="4675" w:type="dxa"/>
          </w:tcPr>
          <w:p w14:paraId="3EAA0EAD" w14:textId="77777777" w:rsidR="00EB3003" w:rsidRPr="00C11F76" w:rsidRDefault="00EB3003" w:rsidP="00E727A8">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lastRenderedPageBreak/>
              <w:t>If the assailant did not have either a daughter or female slave, there would then be no barrier to his offering financial compensation as an alternative, to allow the victim’s husband to acquire a replacement for his dead wife. According to Exodus 21:22, this amount would have been negotiable, and subject to the victim’s husband’s assent.</w:t>
            </w:r>
          </w:p>
          <w:p w14:paraId="3440A13F" w14:textId="77777777" w:rsidR="00EB3003" w:rsidRPr="004E1C22" w:rsidRDefault="00EB3003" w:rsidP="004E1C22">
            <w:pPr>
              <w:spacing w:line="276" w:lineRule="auto"/>
              <w:rPr>
                <w:rFonts w:asciiTheme="minorBidi" w:hAnsiTheme="minorBidi"/>
              </w:rPr>
            </w:pPr>
          </w:p>
        </w:tc>
        <w:tc>
          <w:tcPr>
            <w:tcW w:w="4675" w:type="dxa"/>
          </w:tcPr>
          <w:p w14:paraId="2668BF4C" w14:textId="77777777" w:rsidR="00EB3003" w:rsidRDefault="00EB3003" w:rsidP="00A01A41">
            <w:pPr>
              <w:shd w:val="clear" w:color="auto" w:fill="FFFFFF"/>
              <w:spacing w:after="300" w:line="465" w:lineRule="atLeast"/>
              <w:jc w:val="right"/>
              <w:rPr>
                <w:rFonts w:ascii="David" w:eastAsia="Times New Roman" w:hAnsi="David" w:cs="David"/>
                <w:color w:val="000000"/>
                <w:sz w:val="24"/>
                <w:szCs w:val="24"/>
                <w:rtl/>
                <w:lang w:eastAsia="zh-CN"/>
              </w:rPr>
            </w:pPr>
            <w:r>
              <w:rPr>
                <w:rFonts w:ascii="David" w:eastAsia="Times New Roman" w:hAnsi="David" w:cs="David" w:hint="cs"/>
                <w:color w:val="000000"/>
                <w:sz w:val="24"/>
                <w:szCs w:val="24"/>
                <w:rtl/>
                <w:lang w:eastAsia="zh-CN"/>
              </w:rPr>
              <w:t xml:space="preserve">אם לתוקף לא הייתה בת או שפחה, או אז לא הייתה מניעה לכך שיציע פיצוי כספי כחלופה, כדי לאפשר לבעלה של הקורבן להשיג מחליפה לאשתו המנוחה. לפי שמות </w:t>
            </w:r>
            <w:proofErr w:type="spellStart"/>
            <w:r>
              <w:rPr>
                <w:rFonts w:ascii="David" w:eastAsia="Times New Roman" w:hAnsi="David" w:cs="David" w:hint="cs"/>
                <w:color w:val="000000"/>
                <w:sz w:val="24"/>
                <w:szCs w:val="24"/>
                <w:rtl/>
                <w:lang w:eastAsia="zh-CN"/>
              </w:rPr>
              <w:t>כא:כב</w:t>
            </w:r>
            <w:proofErr w:type="spellEnd"/>
            <w:r>
              <w:rPr>
                <w:rFonts w:ascii="David" w:eastAsia="Times New Roman" w:hAnsi="David" w:cs="David" w:hint="cs"/>
                <w:color w:val="000000"/>
                <w:sz w:val="24"/>
                <w:szCs w:val="24"/>
                <w:rtl/>
                <w:lang w:eastAsia="zh-CN"/>
              </w:rPr>
              <w:t>, סכום זה היה נתון למשא ומתן וכפוף להסכמת בעלה של הקורבן.</w:t>
            </w:r>
          </w:p>
          <w:p w14:paraId="2E76AE40" w14:textId="77777777" w:rsidR="00EB3003" w:rsidRDefault="00EB3003" w:rsidP="00A01A41">
            <w:pPr>
              <w:bidi/>
              <w:spacing w:line="276" w:lineRule="auto"/>
              <w:jc w:val="right"/>
              <w:rPr>
                <w:rFonts w:asciiTheme="minorBidi" w:hAnsiTheme="minorBidi"/>
                <w:rtl/>
              </w:rPr>
            </w:pPr>
          </w:p>
        </w:tc>
      </w:tr>
      <w:tr w:rsidR="00EB3003" w14:paraId="3BC954C4" w14:textId="77777777" w:rsidTr="004E1C22">
        <w:tc>
          <w:tcPr>
            <w:tcW w:w="4675" w:type="dxa"/>
          </w:tcPr>
          <w:p w14:paraId="1CF33489" w14:textId="77777777" w:rsidR="00EB3003" w:rsidRPr="00C11F76" w:rsidRDefault="00EB3003" w:rsidP="00E727A8">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Thus the “life for a life” principle in the CC denoted vicarious, but live, human substitution, rather than capital punishment of the assailant, vicarious killing, or monetary compensation. This resolution, however repellent it seems now, made practical sense in ancient societies, where a man whose household economy would suffer, through the death </w:t>
            </w:r>
            <w:r w:rsidRPr="00C11F76">
              <w:rPr>
                <w:rFonts w:ascii="Times New Roman" w:eastAsia="Times New Roman" w:hAnsi="Times New Roman" w:cs="Times New Roman"/>
                <w:color w:val="000000"/>
                <w:sz w:val="26"/>
                <w:szCs w:val="26"/>
                <w:lang w:bidi="ar-SA"/>
              </w:rPr>
              <w:lastRenderedPageBreak/>
              <w:t>of his wife, would have needed a functional (</w:t>
            </w:r>
            <w:proofErr w:type="gramStart"/>
            <w:r w:rsidRPr="00C11F76">
              <w:rPr>
                <w:rFonts w:ascii="Times New Roman" w:eastAsia="Times New Roman" w:hAnsi="Times New Roman" w:cs="Times New Roman"/>
                <w:color w:val="000000"/>
                <w:sz w:val="26"/>
                <w:szCs w:val="26"/>
                <w:lang w:bidi="ar-SA"/>
              </w:rPr>
              <w:t>i.e.</w:t>
            </w:r>
            <w:proofErr w:type="gramEnd"/>
            <w:r w:rsidRPr="00C11F76">
              <w:rPr>
                <w:rFonts w:ascii="Times New Roman" w:eastAsia="Times New Roman" w:hAnsi="Times New Roman" w:cs="Times New Roman"/>
                <w:color w:val="000000"/>
                <w:sz w:val="26"/>
                <w:szCs w:val="26"/>
                <w:lang w:bidi="ar-SA"/>
              </w:rPr>
              <w:t xml:space="preserve"> childbearing and/or childrearing) replacement.</w:t>
            </w:r>
          </w:p>
          <w:p w14:paraId="504B2A17" w14:textId="77777777" w:rsidR="00EB3003" w:rsidRPr="004E1C22" w:rsidRDefault="00EB3003" w:rsidP="004E1C22">
            <w:pPr>
              <w:spacing w:line="276" w:lineRule="auto"/>
              <w:rPr>
                <w:rFonts w:asciiTheme="minorBidi" w:hAnsiTheme="minorBidi"/>
              </w:rPr>
            </w:pPr>
          </w:p>
        </w:tc>
        <w:tc>
          <w:tcPr>
            <w:tcW w:w="4675" w:type="dxa"/>
          </w:tcPr>
          <w:p w14:paraId="5CA1C7E1" w14:textId="1BA66FDC" w:rsidR="00EB3003" w:rsidRPr="00A01A41" w:rsidRDefault="00EB3003" w:rsidP="00A01A41">
            <w:pPr>
              <w:shd w:val="clear" w:color="auto" w:fill="FFFFFF"/>
              <w:bidi/>
              <w:spacing w:after="300" w:line="465" w:lineRule="atLeast"/>
              <w:rPr>
                <w:rFonts w:ascii="David" w:eastAsia="Times New Roman" w:hAnsi="David" w:cs="David"/>
                <w:color w:val="000000"/>
                <w:sz w:val="24"/>
                <w:szCs w:val="24"/>
                <w:rtl/>
                <w:lang w:eastAsia="zh-CN"/>
              </w:rPr>
            </w:pPr>
            <w:r w:rsidRPr="00A01A41">
              <w:rPr>
                <w:rFonts w:ascii="David" w:eastAsia="Times New Roman" w:hAnsi="David" w:cs="David" w:hint="cs"/>
                <w:color w:val="000000"/>
                <w:sz w:val="24"/>
                <w:szCs w:val="24"/>
                <w:rtl/>
                <w:lang w:eastAsia="zh-CN"/>
              </w:rPr>
              <w:lastRenderedPageBreak/>
              <w:t>לפיכך עיקרון "נפש תחת נפש" ב-</w:t>
            </w:r>
            <w:r w:rsidRPr="00A01A41">
              <w:rPr>
                <w:rFonts w:ascii="David" w:eastAsia="Times New Roman" w:hAnsi="David" w:cs="David" w:hint="cs"/>
                <w:color w:val="000000"/>
                <w:sz w:val="24"/>
                <w:szCs w:val="24"/>
                <w:lang w:eastAsia="zh-CN"/>
              </w:rPr>
              <w:t>CC</w:t>
            </w:r>
            <w:r w:rsidRPr="00A01A41">
              <w:rPr>
                <w:rFonts w:ascii="David" w:eastAsia="Times New Roman" w:hAnsi="David" w:cs="David" w:hint="cs"/>
                <w:color w:val="000000"/>
                <w:sz w:val="24"/>
                <w:szCs w:val="24"/>
                <w:rtl/>
                <w:lang w:eastAsia="zh-CN"/>
              </w:rPr>
              <w:t xml:space="preserve"> </w:t>
            </w:r>
            <w:r>
              <w:rPr>
                <w:rFonts w:ascii="David" w:eastAsia="Times New Roman" w:hAnsi="David" w:cs="David" w:hint="cs"/>
                <w:color w:val="000000"/>
                <w:sz w:val="24"/>
                <w:szCs w:val="24"/>
                <w:rtl/>
                <w:lang w:eastAsia="zh-CN"/>
              </w:rPr>
              <w:t>משמעו</w:t>
            </w:r>
            <w:r w:rsidRPr="00A01A41">
              <w:rPr>
                <w:rFonts w:ascii="David" w:eastAsia="Times New Roman" w:hAnsi="David" w:cs="David" w:hint="cs"/>
                <w:color w:val="000000"/>
                <w:sz w:val="24"/>
                <w:szCs w:val="24"/>
                <w:rtl/>
                <w:lang w:eastAsia="zh-CN"/>
              </w:rPr>
              <w:t xml:space="preserve"> חלופה אנושית חיה </w:t>
            </w:r>
            <w:r>
              <w:rPr>
                <w:rFonts w:ascii="David" w:eastAsia="Times New Roman" w:hAnsi="David" w:cs="David" w:hint="cs"/>
                <w:color w:val="000000"/>
                <w:sz w:val="24"/>
                <w:szCs w:val="24"/>
                <w:rtl/>
                <w:lang w:eastAsia="zh-CN"/>
              </w:rPr>
              <w:t>בניגוד ל</w:t>
            </w:r>
            <w:r w:rsidRPr="00A01A41">
              <w:rPr>
                <w:rFonts w:ascii="David" w:eastAsia="Times New Roman" w:hAnsi="David" w:cs="David" w:hint="cs"/>
                <w:color w:val="000000"/>
                <w:sz w:val="24"/>
                <w:szCs w:val="24"/>
                <w:rtl/>
                <w:lang w:eastAsia="zh-CN"/>
              </w:rPr>
              <w:t>עונש מוות לתוקף, הריגת ממלא מקום או פיצוי כספי. פתרון זה, על אף ש</w:t>
            </w:r>
            <w:r>
              <w:rPr>
                <w:rFonts w:ascii="David" w:eastAsia="Times New Roman" w:hAnsi="David" w:cs="David" w:hint="cs"/>
                <w:color w:val="000000"/>
                <w:sz w:val="24"/>
                <w:szCs w:val="24"/>
                <w:rtl/>
                <w:lang w:eastAsia="zh-CN"/>
              </w:rPr>
              <w:t>כיום</w:t>
            </w:r>
            <w:r w:rsidRPr="00A01A41">
              <w:rPr>
                <w:rFonts w:ascii="David" w:eastAsia="Times New Roman" w:hAnsi="David" w:cs="David" w:hint="cs"/>
                <w:color w:val="000000"/>
                <w:sz w:val="24"/>
                <w:szCs w:val="24"/>
                <w:rtl/>
                <w:lang w:eastAsia="zh-CN"/>
              </w:rPr>
              <w:t xml:space="preserve"> נראה </w:t>
            </w:r>
            <w:r>
              <w:rPr>
                <w:rFonts w:ascii="David" w:eastAsia="Times New Roman" w:hAnsi="David" w:cs="David" w:hint="cs"/>
                <w:color w:val="000000"/>
                <w:sz w:val="24"/>
                <w:szCs w:val="24"/>
                <w:rtl/>
                <w:lang w:eastAsia="zh-CN"/>
              </w:rPr>
              <w:t xml:space="preserve">אולי </w:t>
            </w:r>
            <w:r w:rsidRPr="00A01A41">
              <w:rPr>
                <w:rFonts w:ascii="David" w:eastAsia="Times New Roman" w:hAnsi="David" w:cs="David" w:hint="cs"/>
                <w:color w:val="000000"/>
                <w:sz w:val="24"/>
                <w:szCs w:val="24"/>
                <w:rtl/>
                <w:lang w:eastAsia="zh-CN"/>
              </w:rPr>
              <w:t xml:space="preserve">כדוחה, היה הגיוני מבחינה מעשית בחברות עתיקות שבהן גבר שכלכלת הבית שלו נפגעה, בגלל מות אשתו, היה זקוק לחלופה פונקציונלית (כלומר </w:t>
            </w:r>
            <w:r>
              <w:rPr>
                <w:rFonts w:ascii="David" w:eastAsia="Times New Roman" w:hAnsi="David" w:cs="David" w:hint="cs"/>
                <w:color w:val="000000"/>
                <w:sz w:val="24"/>
                <w:szCs w:val="24"/>
                <w:rtl/>
                <w:lang w:eastAsia="zh-CN"/>
              </w:rPr>
              <w:t>ל</w:t>
            </w:r>
            <w:r w:rsidRPr="00A01A41">
              <w:rPr>
                <w:rFonts w:ascii="David" w:eastAsia="Times New Roman" w:hAnsi="David" w:cs="David" w:hint="cs"/>
                <w:color w:val="000000"/>
                <w:sz w:val="24"/>
                <w:szCs w:val="24"/>
                <w:rtl/>
                <w:lang w:eastAsia="zh-CN"/>
              </w:rPr>
              <w:t>הולדה ו/או גידול ילדים).</w:t>
            </w:r>
          </w:p>
          <w:p w14:paraId="6E9A9815" w14:textId="77777777" w:rsidR="00EB3003" w:rsidRDefault="00EB3003" w:rsidP="00A01A41">
            <w:pPr>
              <w:shd w:val="clear" w:color="auto" w:fill="FFFFFF"/>
              <w:spacing w:after="300" w:line="465" w:lineRule="atLeast"/>
              <w:rPr>
                <w:rFonts w:asciiTheme="minorBidi" w:hAnsiTheme="minorBidi"/>
              </w:rPr>
            </w:pPr>
          </w:p>
        </w:tc>
      </w:tr>
      <w:tr w:rsidR="00EB3003" w14:paraId="48652E33" w14:textId="77777777" w:rsidTr="00A01A41">
        <w:trPr>
          <w:trHeight w:val="5154"/>
        </w:trPr>
        <w:tc>
          <w:tcPr>
            <w:tcW w:w="4675" w:type="dxa"/>
          </w:tcPr>
          <w:p w14:paraId="51CB7B04" w14:textId="77777777" w:rsidR="00EB3003" w:rsidRPr="00C11F76" w:rsidRDefault="00EB3003" w:rsidP="00E727A8">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In Exodus 21:23, therefore, the principle of </w:t>
            </w:r>
            <w:r w:rsidRPr="00C11F76">
              <w:rPr>
                <w:rFonts w:ascii="Times New Roman" w:eastAsia="Times New Roman" w:hAnsi="Times New Roman" w:cs="Times New Roman"/>
                <w:color w:val="000000"/>
                <w:sz w:val="26"/>
                <w:szCs w:val="26"/>
                <w:rtl/>
              </w:rPr>
              <w:t>נפש תחת נפש</w:t>
            </w:r>
            <w:r w:rsidRPr="00C11F76">
              <w:rPr>
                <w:rFonts w:ascii="Times New Roman" w:eastAsia="Times New Roman" w:hAnsi="Times New Roman" w:cs="Times New Roman"/>
                <w:color w:val="000000"/>
                <w:sz w:val="26"/>
                <w:szCs w:val="26"/>
                <w:lang w:bidi="ar-SA"/>
              </w:rPr>
              <w:t xml:space="preserve"> “a life for a life” was no metaphorical abstraction, devoid all practical function and legal significance, but rather one that retained an unmistakable impression of Middle Assyrian law, in its particular relationship to the principle </w:t>
            </w:r>
            <w:bookmarkStart w:id="27" w:name="_Hlk90924306"/>
            <w:proofErr w:type="spellStart"/>
            <w:r w:rsidRPr="00C11F76">
              <w:rPr>
                <w:rFonts w:ascii="Times New Roman" w:eastAsia="Times New Roman" w:hAnsi="Times New Roman" w:cs="Times New Roman"/>
                <w:i/>
                <w:iCs/>
                <w:color w:val="000000"/>
                <w:sz w:val="26"/>
                <w:lang w:bidi="ar-SA"/>
              </w:rPr>
              <w:t>kīmū</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ša</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libbiša</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napšate</w:t>
            </w:r>
            <w:proofErr w:type="spellEnd"/>
            <w:r w:rsidRPr="00C11F76">
              <w:rPr>
                <w:rFonts w:ascii="Times New Roman" w:eastAsia="Times New Roman" w:hAnsi="Times New Roman" w:cs="Times New Roman"/>
                <w:i/>
                <w:iCs/>
                <w:color w:val="000000"/>
                <w:sz w:val="26"/>
                <w:lang w:bidi="ar-SA"/>
              </w:rPr>
              <w:t xml:space="preserve"> </w:t>
            </w:r>
            <w:proofErr w:type="spellStart"/>
            <w:r w:rsidRPr="00C11F76">
              <w:rPr>
                <w:rFonts w:ascii="Times New Roman" w:eastAsia="Times New Roman" w:hAnsi="Times New Roman" w:cs="Times New Roman"/>
                <w:i/>
                <w:iCs/>
                <w:color w:val="000000"/>
                <w:sz w:val="26"/>
                <w:lang w:bidi="ar-SA"/>
              </w:rPr>
              <w:t>umallā</w:t>
            </w:r>
            <w:bookmarkEnd w:id="27"/>
            <w:proofErr w:type="spellEnd"/>
            <w:r w:rsidRPr="00C11F76">
              <w:rPr>
                <w:rFonts w:ascii="Times New Roman" w:eastAsia="Times New Roman" w:hAnsi="Times New Roman" w:cs="Times New Roman"/>
                <w:i/>
                <w:iCs/>
                <w:color w:val="000000"/>
                <w:sz w:val="26"/>
                <w:lang w:bidi="ar-SA"/>
              </w:rPr>
              <w:t>,</w:t>
            </w:r>
            <w:r w:rsidRPr="00C11F76">
              <w:rPr>
                <w:rFonts w:ascii="Times New Roman" w:eastAsia="Times New Roman" w:hAnsi="Times New Roman" w:cs="Times New Roman"/>
                <w:color w:val="000000"/>
                <w:sz w:val="26"/>
                <w:szCs w:val="26"/>
                <w:lang w:bidi="ar-SA"/>
              </w:rPr>
              <w:t> where the assailant “pays (on the principle of) a life (for a life)</w:t>
            </w:r>
            <w:proofErr w:type="gramStart"/>
            <w:r w:rsidRPr="00C11F76">
              <w:rPr>
                <w:rFonts w:ascii="Times New Roman" w:eastAsia="Times New Roman" w:hAnsi="Times New Roman" w:cs="Times New Roman"/>
                <w:color w:val="000000"/>
                <w:sz w:val="26"/>
                <w:szCs w:val="26"/>
                <w:lang w:bidi="ar-SA"/>
              </w:rPr>
              <w:t>.”</w:t>
            </w:r>
            <w:r w:rsidRPr="00C11F76">
              <w:rPr>
                <w:rFonts w:ascii="Times New Roman" w:eastAsia="Times New Roman" w:hAnsi="Times New Roman" w:cs="Times New Roman"/>
                <w:color w:val="B22222"/>
                <w:sz w:val="23"/>
                <w:szCs w:val="23"/>
                <w:vertAlign w:val="superscript"/>
                <w:lang w:bidi="ar-SA"/>
              </w:rPr>
              <w:t>[</w:t>
            </w:r>
            <w:proofErr w:type="gramEnd"/>
            <w:r w:rsidRPr="00C11F76">
              <w:rPr>
                <w:rFonts w:ascii="Times New Roman" w:eastAsia="Times New Roman" w:hAnsi="Times New Roman" w:cs="Times New Roman"/>
                <w:color w:val="B22222"/>
                <w:sz w:val="23"/>
                <w:szCs w:val="23"/>
                <w:vertAlign w:val="superscript"/>
                <w:lang w:bidi="ar-SA"/>
              </w:rPr>
              <w:t>28]</w:t>
            </w:r>
          </w:p>
          <w:p w14:paraId="72746401" w14:textId="77777777" w:rsidR="00EB3003" w:rsidRPr="004E1C22" w:rsidRDefault="00EB3003" w:rsidP="004E1C22">
            <w:pPr>
              <w:spacing w:line="276" w:lineRule="auto"/>
              <w:rPr>
                <w:rFonts w:asciiTheme="minorBidi" w:hAnsiTheme="minorBidi"/>
              </w:rPr>
            </w:pPr>
          </w:p>
        </w:tc>
        <w:tc>
          <w:tcPr>
            <w:tcW w:w="4675" w:type="dxa"/>
          </w:tcPr>
          <w:p w14:paraId="0DC5B25F" w14:textId="1D01B881" w:rsidR="00EB3003" w:rsidRPr="00793566" w:rsidRDefault="00EB3003" w:rsidP="00793566">
            <w:pPr>
              <w:shd w:val="clear" w:color="auto" w:fill="FFFFFF"/>
              <w:bidi/>
              <w:spacing w:after="300" w:line="465" w:lineRule="atLeast"/>
              <w:rPr>
                <w:rFonts w:ascii="David" w:eastAsia="Times New Roman" w:hAnsi="David" w:cs="David"/>
                <w:color w:val="000000"/>
                <w:sz w:val="24"/>
                <w:szCs w:val="24"/>
                <w:rtl/>
                <w:lang w:eastAsia="zh-CN"/>
              </w:rPr>
            </w:pPr>
            <w:r w:rsidRPr="00793566">
              <w:rPr>
                <w:rFonts w:ascii="David" w:eastAsia="Times New Roman" w:hAnsi="David" w:cs="David" w:hint="cs"/>
                <w:color w:val="000000"/>
                <w:sz w:val="24"/>
                <w:szCs w:val="24"/>
                <w:rtl/>
                <w:lang w:eastAsia="zh-CN"/>
              </w:rPr>
              <w:t xml:space="preserve">לכן עיקרון "נפש תחת נפש" בשמות </w:t>
            </w:r>
            <w:proofErr w:type="spellStart"/>
            <w:r w:rsidRPr="00793566">
              <w:rPr>
                <w:rFonts w:ascii="David" w:eastAsia="Times New Roman" w:hAnsi="David" w:cs="David" w:hint="cs"/>
                <w:color w:val="000000"/>
                <w:sz w:val="24"/>
                <w:szCs w:val="24"/>
                <w:rtl/>
                <w:lang w:eastAsia="zh-CN"/>
              </w:rPr>
              <w:t>כא:</w:t>
            </w:r>
            <w:r>
              <w:rPr>
                <w:rFonts w:ascii="David" w:eastAsia="Times New Roman" w:hAnsi="David" w:cs="David" w:hint="cs"/>
                <w:color w:val="000000"/>
                <w:sz w:val="24"/>
                <w:szCs w:val="24"/>
                <w:rtl/>
                <w:lang w:eastAsia="zh-CN"/>
              </w:rPr>
              <w:t>כג</w:t>
            </w:r>
            <w:proofErr w:type="spellEnd"/>
            <w:r w:rsidRPr="00793566">
              <w:rPr>
                <w:rFonts w:ascii="David" w:eastAsia="Times New Roman" w:hAnsi="David" w:cs="David" w:hint="cs"/>
                <w:color w:val="000000"/>
                <w:sz w:val="24"/>
                <w:szCs w:val="24"/>
                <w:rtl/>
                <w:lang w:eastAsia="zh-CN"/>
              </w:rPr>
              <w:t xml:space="preserve"> לא היה הפשטה מטפורית נטולת כל תפקיד מעשי וחשיבות משפטית אלא עיקרון אשר שימר השפעה מפורשת של החוק האשורי, בקשר המיוחד שלו לעיקרון </w:t>
            </w:r>
            <w:proofErr w:type="spellStart"/>
            <w:r w:rsidRPr="00793566">
              <w:rPr>
                <w:rFonts w:ascii="Times New Roman" w:eastAsia="Times New Roman" w:hAnsi="Times New Roman" w:cs="Times New Roman"/>
                <w:i/>
                <w:iCs/>
                <w:color w:val="000000"/>
                <w:sz w:val="26"/>
                <w:lang w:bidi="ar-SA"/>
              </w:rPr>
              <w:t>kīmū</w:t>
            </w:r>
            <w:proofErr w:type="spellEnd"/>
            <w:r w:rsidRPr="00793566">
              <w:rPr>
                <w:rFonts w:ascii="Times New Roman" w:eastAsia="Times New Roman" w:hAnsi="Times New Roman" w:cs="Times New Roman"/>
                <w:i/>
                <w:iCs/>
                <w:color w:val="000000"/>
                <w:sz w:val="26"/>
                <w:lang w:bidi="ar-SA"/>
              </w:rPr>
              <w:t xml:space="preserve"> </w:t>
            </w:r>
            <w:proofErr w:type="spellStart"/>
            <w:r w:rsidRPr="00793566">
              <w:rPr>
                <w:rFonts w:ascii="Times New Roman" w:eastAsia="Times New Roman" w:hAnsi="Times New Roman" w:cs="Times New Roman"/>
                <w:i/>
                <w:iCs/>
                <w:color w:val="000000"/>
                <w:sz w:val="26"/>
                <w:lang w:bidi="ar-SA"/>
              </w:rPr>
              <w:t>ša</w:t>
            </w:r>
            <w:proofErr w:type="spellEnd"/>
            <w:r w:rsidRPr="00793566">
              <w:rPr>
                <w:rFonts w:ascii="Times New Roman" w:eastAsia="Times New Roman" w:hAnsi="Times New Roman" w:cs="Times New Roman"/>
                <w:i/>
                <w:iCs/>
                <w:color w:val="000000"/>
                <w:sz w:val="26"/>
                <w:lang w:bidi="ar-SA"/>
              </w:rPr>
              <w:t xml:space="preserve"> </w:t>
            </w:r>
            <w:proofErr w:type="spellStart"/>
            <w:r w:rsidRPr="00793566">
              <w:rPr>
                <w:rFonts w:ascii="Times New Roman" w:eastAsia="Times New Roman" w:hAnsi="Times New Roman" w:cs="Times New Roman"/>
                <w:i/>
                <w:iCs/>
                <w:color w:val="000000"/>
                <w:sz w:val="26"/>
                <w:lang w:bidi="ar-SA"/>
              </w:rPr>
              <w:t>libbiša</w:t>
            </w:r>
            <w:proofErr w:type="spellEnd"/>
            <w:r w:rsidRPr="00793566">
              <w:rPr>
                <w:rFonts w:ascii="Times New Roman" w:eastAsia="Times New Roman" w:hAnsi="Times New Roman" w:cs="Times New Roman"/>
                <w:i/>
                <w:iCs/>
                <w:color w:val="000000"/>
                <w:sz w:val="26"/>
                <w:lang w:bidi="ar-SA"/>
              </w:rPr>
              <w:t xml:space="preserve"> </w:t>
            </w:r>
            <w:proofErr w:type="spellStart"/>
            <w:r w:rsidRPr="00793566">
              <w:rPr>
                <w:rFonts w:ascii="Times New Roman" w:eastAsia="Times New Roman" w:hAnsi="Times New Roman" w:cs="Times New Roman"/>
                <w:i/>
                <w:iCs/>
                <w:color w:val="000000"/>
                <w:sz w:val="26"/>
                <w:lang w:bidi="ar-SA"/>
              </w:rPr>
              <w:t>napšate</w:t>
            </w:r>
            <w:proofErr w:type="spellEnd"/>
            <w:r w:rsidRPr="00793566">
              <w:rPr>
                <w:rFonts w:ascii="Times New Roman" w:eastAsia="Times New Roman" w:hAnsi="Times New Roman" w:cs="Times New Roman"/>
                <w:i/>
                <w:iCs/>
                <w:color w:val="000000"/>
                <w:sz w:val="26"/>
                <w:lang w:bidi="ar-SA"/>
              </w:rPr>
              <w:t xml:space="preserve"> </w:t>
            </w:r>
            <w:proofErr w:type="spellStart"/>
            <w:r w:rsidRPr="00793566">
              <w:rPr>
                <w:rFonts w:ascii="Times New Roman" w:eastAsia="Times New Roman" w:hAnsi="Times New Roman" w:cs="Times New Roman"/>
                <w:i/>
                <w:iCs/>
                <w:color w:val="000000"/>
                <w:sz w:val="26"/>
                <w:lang w:bidi="ar-SA"/>
              </w:rPr>
              <w:t>umallā</w:t>
            </w:r>
            <w:proofErr w:type="spellEnd"/>
            <w:r w:rsidRPr="00793566">
              <w:rPr>
                <w:rFonts w:ascii="David" w:eastAsia="Times New Roman" w:hAnsi="David" w:cs="David" w:hint="cs"/>
                <w:color w:val="000000"/>
                <w:sz w:val="24"/>
                <w:szCs w:val="24"/>
                <w:rtl/>
                <w:lang w:eastAsia="zh-CN"/>
              </w:rPr>
              <w:t xml:space="preserve"> שבו התוקף "משלם (לפי עיקרון של) חיים (תמורת חיים).</w:t>
            </w:r>
            <w:r w:rsidRPr="00793566">
              <w:rPr>
                <w:rFonts w:ascii="David" w:eastAsia="Times New Roman" w:hAnsi="David" w:cs="David"/>
                <w:color w:val="000000"/>
                <w:sz w:val="24"/>
                <w:szCs w:val="24"/>
                <w:vertAlign w:val="superscript"/>
                <w:rtl/>
                <w:lang w:eastAsia="zh-CN"/>
              </w:rPr>
              <w:endnoteReference w:id="29"/>
            </w:r>
          </w:p>
          <w:p w14:paraId="762D716C" w14:textId="77777777" w:rsidR="00EB3003" w:rsidRDefault="00EB3003" w:rsidP="004E1C22">
            <w:pPr>
              <w:bidi/>
              <w:spacing w:line="276" w:lineRule="auto"/>
              <w:rPr>
                <w:rFonts w:asciiTheme="minorBidi" w:hAnsiTheme="minorBidi"/>
                <w:rtl/>
              </w:rPr>
            </w:pPr>
          </w:p>
        </w:tc>
      </w:tr>
      <w:tr w:rsidR="00EB3003" w14:paraId="0A5257D7" w14:textId="77777777" w:rsidTr="004E1C22">
        <w:tc>
          <w:tcPr>
            <w:tcW w:w="4675" w:type="dxa"/>
          </w:tcPr>
          <w:p w14:paraId="09D3711E" w14:textId="77777777" w:rsidR="00EB3003" w:rsidRPr="00C11F76" w:rsidRDefault="00EB3003" w:rsidP="00F842EE">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While there is no evidence of the statutory force of this principle, or its historical implementation in ancient Israelite or Judaean societies, Eckart Frahm rightly concludes:</w:t>
            </w:r>
          </w:p>
          <w:p w14:paraId="6351CD27" w14:textId="77777777" w:rsidR="00EB3003" w:rsidRPr="004E1C22" w:rsidRDefault="00EB3003" w:rsidP="004E1C22">
            <w:pPr>
              <w:spacing w:line="276" w:lineRule="auto"/>
              <w:rPr>
                <w:rFonts w:asciiTheme="minorBidi" w:hAnsiTheme="minorBidi"/>
              </w:rPr>
            </w:pPr>
          </w:p>
        </w:tc>
        <w:tc>
          <w:tcPr>
            <w:tcW w:w="4675" w:type="dxa"/>
          </w:tcPr>
          <w:p w14:paraId="23E8BEE9" w14:textId="77777777" w:rsidR="00EB3003" w:rsidRDefault="00EB3003" w:rsidP="007B3F74">
            <w:pPr>
              <w:shd w:val="clear" w:color="auto" w:fill="FFFFFF"/>
              <w:spacing w:after="300" w:line="465" w:lineRule="atLeast"/>
              <w:jc w:val="right"/>
              <w:rPr>
                <w:rFonts w:ascii="David" w:eastAsia="Times New Roman" w:hAnsi="David" w:cs="David"/>
                <w:color w:val="000000"/>
                <w:sz w:val="24"/>
                <w:szCs w:val="24"/>
                <w:rtl/>
                <w:lang w:eastAsia="zh-CN"/>
              </w:rPr>
            </w:pPr>
            <w:r>
              <w:rPr>
                <w:rFonts w:ascii="David" w:eastAsia="Times New Roman" w:hAnsi="David" w:cs="David" w:hint="cs"/>
                <w:color w:val="000000"/>
                <w:sz w:val="24"/>
                <w:szCs w:val="24"/>
                <w:rtl/>
                <w:lang w:eastAsia="zh-CN"/>
              </w:rPr>
              <w:t xml:space="preserve">על אף שאין ראיות לגבי כוחו הסטטוטורי של עיקרון זה או יישומו ההיסטורי בחברות עתיקות בישראל או ביהודה, </w:t>
            </w:r>
            <w:proofErr w:type="spellStart"/>
            <w:r>
              <w:rPr>
                <w:rFonts w:ascii="David" w:eastAsia="Times New Roman" w:hAnsi="David" w:cs="David" w:hint="cs"/>
                <w:color w:val="000000"/>
                <w:sz w:val="24"/>
                <w:szCs w:val="24"/>
                <w:rtl/>
                <w:lang w:eastAsia="zh-CN"/>
              </w:rPr>
              <w:t>אקארט</w:t>
            </w:r>
            <w:proofErr w:type="spellEnd"/>
            <w:r>
              <w:rPr>
                <w:rFonts w:ascii="David" w:eastAsia="Times New Roman" w:hAnsi="David" w:cs="David" w:hint="cs"/>
                <w:color w:val="000000"/>
                <w:sz w:val="24"/>
                <w:szCs w:val="24"/>
                <w:rtl/>
                <w:lang w:eastAsia="zh-CN"/>
              </w:rPr>
              <w:t xml:space="preserve"> </w:t>
            </w:r>
            <w:proofErr w:type="spellStart"/>
            <w:r>
              <w:rPr>
                <w:rFonts w:ascii="David" w:eastAsia="Times New Roman" w:hAnsi="David" w:cs="David" w:hint="cs"/>
                <w:color w:val="000000"/>
                <w:sz w:val="24"/>
                <w:szCs w:val="24"/>
                <w:rtl/>
                <w:lang w:eastAsia="zh-CN"/>
              </w:rPr>
              <w:t>פראהם</w:t>
            </w:r>
            <w:proofErr w:type="spellEnd"/>
            <w:r>
              <w:rPr>
                <w:rFonts w:ascii="David" w:eastAsia="Times New Roman" w:hAnsi="David" w:cs="David" w:hint="cs"/>
                <w:color w:val="000000"/>
                <w:sz w:val="24"/>
                <w:szCs w:val="24"/>
                <w:rtl/>
                <w:lang w:eastAsia="zh-CN"/>
              </w:rPr>
              <w:t xml:space="preserve"> מסכם בצדק:</w:t>
            </w:r>
          </w:p>
          <w:p w14:paraId="54382E3A" w14:textId="77777777" w:rsidR="00EB3003" w:rsidRDefault="00EB3003" w:rsidP="004E1C22">
            <w:pPr>
              <w:bidi/>
              <w:spacing w:line="276" w:lineRule="auto"/>
              <w:rPr>
                <w:rFonts w:asciiTheme="minorBidi" w:hAnsiTheme="minorBidi"/>
                <w:rtl/>
              </w:rPr>
            </w:pPr>
          </w:p>
        </w:tc>
      </w:tr>
      <w:tr w:rsidR="00E727A8" w14:paraId="24CCE1D3" w14:textId="77777777" w:rsidTr="004E1C22">
        <w:tc>
          <w:tcPr>
            <w:tcW w:w="4675" w:type="dxa"/>
          </w:tcPr>
          <w:p w14:paraId="0D5B751D" w14:textId="77777777" w:rsidR="00EB3003" w:rsidRPr="00C11F76" w:rsidRDefault="00EB3003" w:rsidP="00F842EE">
            <w:pPr>
              <w:shd w:val="clear" w:color="auto" w:fill="FFFFFF"/>
              <w:spacing w:after="300" w:line="465" w:lineRule="atLeast"/>
              <w:rPr>
                <w:rFonts w:ascii="Times New Roman" w:eastAsia="Times New Roman" w:hAnsi="Times New Roman" w:cs="Times New Roman"/>
                <w:color w:val="000000"/>
                <w:sz w:val="26"/>
                <w:szCs w:val="26"/>
                <w:lang w:bidi="ar-SA"/>
              </w:rPr>
            </w:pPr>
            <w:r w:rsidRPr="00C11F76">
              <w:rPr>
                <w:rFonts w:ascii="Times New Roman" w:eastAsia="Times New Roman" w:hAnsi="Times New Roman" w:cs="Times New Roman"/>
                <w:color w:val="000000"/>
                <w:sz w:val="26"/>
                <w:szCs w:val="26"/>
                <w:lang w:bidi="ar-SA"/>
              </w:rPr>
              <w:t xml:space="preserve">This ambivalence of the role of God and his law in the monotheistic religions, emancipating on one hand and repressive on the other, is to some extent owed to Israel’s and Judah’s encounter with the </w:t>
            </w:r>
            <w:r w:rsidRPr="00C11F76">
              <w:rPr>
                <w:rFonts w:ascii="Times New Roman" w:eastAsia="Times New Roman" w:hAnsi="Times New Roman" w:cs="Times New Roman"/>
                <w:color w:val="000000"/>
                <w:sz w:val="26"/>
                <w:szCs w:val="26"/>
                <w:lang w:bidi="ar-SA"/>
              </w:rPr>
              <w:lastRenderedPageBreak/>
              <w:t>Assyrian empire and [remains] one of the most important legacies of this state until today.</w:t>
            </w:r>
            <w:bookmarkStart w:id="28" w:name="_ftnref29"/>
            <w:r w:rsidRPr="00C11F76">
              <w:rPr>
                <w:rFonts w:ascii="Times New Roman" w:eastAsia="Times New Roman" w:hAnsi="Times New Roman" w:cs="Times New Roman"/>
                <w:color w:val="000000"/>
                <w:sz w:val="26"/>
                <w:szCs w:val="26"/>
                <w:lang w:bidi="ar-SA"/>
              </w:rPr>
              <w:fldChar w:fldCharType="begin"/>
            </w:r>
            <w:r w:rsidRPr="00C11F76">
              <w:rPr>
                <w:rFonts w:ascii="Times New Roman" w:eastAsia="Times New Roman" w:hAnsi="Times New Roman" w:cs="Times New Roman"/>
                <w:color w:val="000000"/>
                <w:sz w:val="26"/>
                <w:szCs w:val="26"/>
                <w:lang w:bidi="ar-SA"/>
              </w:rPr>
              <w:instrText xml:space="preserve"> HYPERLINK "https://www.thetorah.com/article/deathblows-to-a-pregnant-woman-what-restitution-was-required" \l "_ftn29" </w:instrText>
            </w:r>
            <w:r w:rsidRPr="00C11F76">
              <w:rPr>
                <w:rFonts w:ascii="Times New Roman" w:eastAsia="Times New Roman" w:hAnsi="Times New Roman" w:cs="Times New Roman"/>
                <w:color w:val="000000"/>
                <w:sz w:val="26"/>
                <w:szCs w:val="26"/>
                <w:lang w:bidi="ar-SA"/>
              </w:rPr>
              <w:fldChar w:fldCharType="separate"/>
            </w:r>
            <w:r w:rsidRPr="00C11F76">
              <w:rPr>
                <w:rFonts w:ascii="Times New Roman" w:eastAsia="Times New Roman" w:hAnsi="Times New Roman" w:cs="Times New Roman"/>
                <w:color w:val="B22222"/>
                <w:sz w:val="23"/>
                <w:u w:val="single"/>
                <w:vertAlign w:val="superscript"/>
                <w:lang w:bidi="ar-SA"/>
              </w:rPr>
              <w:t>[29]</w:t>
            </w:r>
            <w:r w:rsidRPr="00C11F76">
              <w:rPr>
                <w:rFonts w:ascii="Times New Roman" w:eastAsia="Times New Roman" w:hAnsi="Times New Roman" w:cs="Times New Roman"/>
                <w:color w:val="000000"/>
                <w:sz w:val="26"/>
                <w:szCs w:val="26"/>
                <w:lang w:bidi="ar-SA"/>
              </w:rPr>
              <w:fldChar w:fldCharType="end"/>
            </w:r>
            <w:bookmarkStart w:id="29" w:name="_ftn1"/>
            <w:bookmarkEnd w:id="28"/>
            <w:bookmarkEnd w:id="29"/>
          </w:p>
          <w:p w14:paraId="29C16633" w14:textId="77777777" w:rsidR="00EB3003" w:rsidRPr="004E1C22" w:rsidRDefault="00EB3003" w:rsidP="004E1C22">
            <w:pPr>
              <w:spacing w:line="276" w:lineRule="auto"/>
              <w:rPr>
                <w:rFonts w:asciiTheme="minorBidi" w:hAnsiTheme="minorBidi"/>
              </w:rPr>
            </w:pPr>
          </w:p>
        </w:tc>
        <w:tc>
          <w:tcPr>
            <w:tcW w:w="4675" w:type="dxa"/>
          </w:tcPr>
          <w:p w14:paraId="340F8844" w14:textId="2B9D6A76" w:rsidR="00EB3003" w:rsidRDefault="00EB3003" w:rsidP="007B3F74">
            <w:pPr>
              <w:shd w:val="clear" w:color="auto" w:fill="FFFFFF"/>
              <w:spacing w:after="300" w:line="465" w:lineRule="atLeast"/>
              <w:jc w:val="right"/>
              <w:rPr>
                <w:rFonts w:ascii="David" w:eastAsia="Times New Roman" w:hAnsi="David" w:cs="David"/>
                <w:color w:val="000000"/>
                <w:sz w:val="24"/>
                <w:szCs w:val="24"/>
                <w:rtl/>
                <w:lang w:eastAsia="zh-CN"/>
              </w:rPr>
            </w:pPr>
            <w:r>
              <w:rPr>
                <w:rFonts w:ascii="David" w:eastAsia="Times New Roman" w:hAnsi="David" w:cs="David" w:hint="cs"/>
                <w:color w:val="000000"/>
                <w:sz w:val="24"/>
                <w:szCs w:val="24"/>
                <w:rtl/>
                <w:lang w:eastAsia="zh-CN"/>
              </w:rPr>
              <w:lastRenderedPageBreak/>
              <w:t xml:space="preserve">דו-ערכיות זו של תפקיד הא-ל וחוקיו בדתות המונותאיסטיות, משחררת מחד ומרסנת מאידך, נובעת במידה מסוימת מן המפגש של ישראל ויהודה עם האימפריה האשורית ו(נותרת) אחת מן </w:t>
            </w:r>
            <w:r>
              <w:rPr>
                <w:rFonts w:ascii="David" w:eastAsia="Times New Roman" w:hAnsi="David" w:cs="David" w:hint="cs"/>
                <w:color w:val="000000"/>
                <w:sz w:val="24"/>
                <w:szCs w:val="24"/>
                <w:rtl/>
                <w:lang w:eastAsia="zh-CN"/>
              </w:rPr>
              <w:lastRenderedPageBreak/>
              <w:t>המורשות החשובות של מדינה זו עד עצם היום הזה.</w:t>
            </w:r>
            <w:r>
              <w:rPr>
                <w:rStyle w:val="af0"/>
                <w:rFonts w:ascii="David" w:eastAsia="Times New Roman" w:hAnsi="David" w:cs="David"/>
                <w:color w:val="000000"/>
                <w:sz w:val="24"/>
                <w:szCs w:val="24"/>
                <w:rtl/>
                <w:lang w:eastAsia="zh-CN"/>
              </w:rPr>
              <w:endnoteReference w:id="30"/>
            </w:r>
          </w:p>
          <w:p w14:paraId="52EB6CFF" w14:textId="77777777" w:rsidR="007B3F74" w:rsidRDefault="007B3F74" w:rsidP="007B3F74">
            <w:pPr>
              <w:shd w:val="clear" w:color="auto" w:fill="FFFFFF"/>
              <w:spacing w:after="300" w:line="465" w:lineRule="atLeast"/>
              <w:jc w:val="right"/>
              <w:rPr>
                <w:rFonts w:ascii="David" w:eastAsia="Times New Roman" w:hAnsi="David" w:cs="David"/>
                <w:color w:val="000000"/>
                <w:sz w:val="24"/>
                <w:szCs w:val="24"/>
                <w:rtl/>
                <w:lang w:eastAsia="zh-CN"/>
              </w:rPr>
            </w:pPr>
          </w:p>
          <w:p w14:paraId="7B7A7AFB" w14:textId="77777777" w:rsidR="00E727A8" w:rsidRDefault="00E727A8" w:rsidP="007B3F74">
            <w:pPr>
              <w:bidi/>
              <w:spacing w:line="276" w:lineRule="auto"/>
              <w:jc w:val="right"/>
              <w:rPr>
                <w:rFonts w:asciiTheme="minorBidi" w:hAnsiTheme="minorBidi"/>
                <w:rtl/>
              </w:rPr>
            </w:pPr>
          </w:p>
        </w:tc>
      </w:tr>
      <w:tr w:rsidR="0024139E" w14:paraId="318164D6" w14:textId="77777777" w:rsidTr="004E1C22">
        <w:tc>
          <w:tcPr>
            <w:tcW w:w="4675" w:type="dxa"/>
          </w:tcPr>
          <w:p w14:paraId="188DDD7F" w14:textId="77777777" w:rsidR="00F842EE" w:rsidRPr="00C11F76" w:rsidRDefault="00F842EE" w:rsidP="00F842EE">
            <w:pPr>
              <w:shd w:val="clear" w:color="auto" w:fill="FFFFFF"/>
              <w:rPr>
                <w:rFonts w:ascii="Times New Roman" w:eastAsia="Times New Roman" w:hAnsi="Times New Roman" w:cs="Times New Roman"/>
                <w:color w:val="2E2E2E"/>
                <w:sz w:val="23"/>
                <w:szCs w:val="23"/>
                <w:lang w:bidi="ar-SA"/>
              </w:rPr>
            </w:pPr>
            <w:r w:rsidRPr="00C11F76">
              <w:rPr>
                <w:rFonts w:ascii="Times New Roman" w:eastAsia="Times New Roman" w:hAnsi="Times New Roman" w:cs="Times New Roman"/>
                <w:color w:val="333333"/>
                <w:sz w:val="23"/>
                <w:szCs w:val="23"/>
                <w:lang w:bidi="ar-SA"/>
              </w:rPr>
              <w:fldChar w:fldCharType="begin"/>
            </w:r>
            <w:r w:rsidRPr="00C11F76">
              <w:rPr>
                <w:rFonts w:ascii="Times New Roman" w:eastAsia="Times New Roman" w:hAnsi="Times New Roman" w:cs="Times New Roman"/>
                <w:color w:val="333333"/>
                <w:sz w:val="23"/>
                <w:szCs w:val="23"/>
                <w:lang w:bidi="ar-SA"/>
              </w:rPr>
              <w:instrText xml:space="preserve"> HYPERLINK "https://www.thetorah.com/article/deathblows-to-a-pregnant-woman-what-restitution-was-required" </w:instrText>
            </w:r>
            <w:r w:rsidRPr="00C11F76">
              <w:rPr>
                <w:rFonts w:ascii="Times New Roman" w:eastAsia="Times New Roman" w:hAnsi="Times New Roman" w:cs="Times New Roman"/>
                <w:color w:val="333333"/>
                <w:sz w:val="23"/>
                <w:szCs w:val="23"/>
                <w:lang w:bidi="ar-SA"/>
              </w:rPr>
              <w:fldChar w:fldCharType="separate"/>
            </w:r>
          </w:p>
          <w:p w14:paraId="15771314" w14:textId="77777777" w:rsidR="00F842EE" w:rsidRPr="00C11F76" w:rsidRDefault="00F842EE" w:rsidP="00F842EE">
            <w:pPr>
              <w:shd w:val="clear" w:color="auto" w:fill="FFFFFF"/>
              <w:rPr>
                <w:rFonts w:ascii="Times New Roman" w:eastAsia="Times New Roman" w:hAnsi="Times New Roman" w:cs="Times New Roman"/>
                <w:color w:val="C32202"/>
                <w:sz w:val="30"/>
                <w:szCs w:val="30"/>
                <w:lang w:bidi="ar-SA"/>
              </w:rPr>
            </w:pPr>
            <w:r w:rsidRPr="00C11F76">
              <w:rPr>
                <w:rFonts w:ascii="Times New Roman" w:eastAsia="Times New Roman" w:hAnsi="Times New Roman" w:cs="Times New Roman"/>
                <w:color w:val="C32202"/>
                <w:sz w:val="30"/>
                <w:szCs w:val="30"/>
                <w:lang w:bidi="ar-SA"/>
              </w:rPr>
              <w:t>View Footnotes</w:t>
            </w:r>
          </w:p>
          <w:p w14:paraId="142393C0" w14:textId="55676224" w:rsidR="00F842EE" w:rsidRPr="00C11F76" w:rsidRDefault="00F842EE" w:rsidP="00F842EE">
            <w:pPr>
              <w:shd w:val="clear" w:color="auto" w:fill="FFFFFF"/>
              <w:rPr>
                <w:rFonts w:ascii="Times New Roman" w:eastAsia="Times New Roman" w:hAnsi="Times New Roman" w:cs="Times New Roman"/>
                <w:color w:val="333333"/>
                <w:sz w:val="23"/>
                <w:szCs w:val="23"/>
                <w:lang w:bidi="ar-SA"/>
              </w:rPr>
            </w:pPr>
            <w:r>
              <w:rPr>
                <w:rFonts w:ascii="Times New Roman" w:eastAsia="Times New Roman" w:hAnsi="Times New Roman" w:cs="Times New Roman"/>
                <w:noProof/>
                <w:color w:val="2E2E2E"/>
                <w:sz w:val="23"/>
                <w:szCs w:val="23"/>
                <w:lang w:bidi="ar-SA"/>
              </w:rPr>
              <mc:AlternateContent>
                <mc:Choice Requires="wps">
                  <w:drawing>
                    <wp:inline distT="0" distB="0" distL="0" distR="0" wp14:anchorId="52E0E3BE" wp14:editId="61715F71">
                      <wp:extent cx="304800" cy="304800"/>
                      <wp:effectExtent l="0" t="0" r="0" b="0"/>
                      <wp:docPr id="2" name="מלבן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C4AE8" id="מלבן 2" o:spid="_x0000_s1026" href="https://www.thetorah.com/article/deathblows-to-a-pregnant-woman-what-restitution-was-require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wrap anchorx="page"/>
                      <w10:anchorlock/>
                    </v:rect>
                  </w:pict>
                </mc:Fallback>
              </mc:AlternateContent>
            </w:r>
            <w:r w:rsidRPr="00C11F76">
              <w:rPr>
                <w:rFonts w:ascii="Times New Roman" w:eastAsia="Times New Roman" w:hAnsi="Times New Roman" w:cs="Times New Roman"/>
                <w:color w:val="333333"/>
                <w:sz w:val="23"/>
                <w:szCs w:val="23"/>
                <w:lang w:bidi="ar-SA"/>
              </w:rPr>
              <w:fldChar w:fldCharType="end"/>
            </w:r>
          </w:p>
          <w:p w14:paraId="47D35C65" w14:textId="77777777" w:rsidR="0024139E" w:rsidRPr="004E1C22" w:rsidRDefault="0024139E" w:rsidP="004E1C22">
            <w:pPr>
              <w:spacing w:line="276" w:lineRule="auto"/>
              <w:rPr>
                <w:rFonts w:asciiTheme="minorBidi" w:hAnsiTheme="minorBidi"/>
              </w:rPr>
            </w:pPr>
          </w:p>
        </w:tc>
        <w:tc>
          <w:tcPr>
            <w:tcW w:w="4675" w:type="dxa"/>
          </w:tcPr>
          <w:p w14:paraId="25917B80" w14:textId="77777777" w:rsidR="007B3F74" w:rsidRDefault="007B3F74" w:rsidP="007B3F74">
            <w:pPr>
              <w:shd w:val="clear" w:color="auto" w:fill="FFFFFF"/>
              <w:spacing w:after="300" w:line="465" w:lineRule="atLeast"/>
              <w:jc w:val="right"/>
              <w:rPr>
                <w:rFonts w:ascii="David" w:eastAsia="Times New Roman" w:hAnsi="David" w:cs="David"/>
                <w:color w:val="FF0000"/>
                <w:sz w:val="24"/>
                <w:szCs w:val="24"/>
                <w:rtl/>
                <w:lang w:eastAsia="zh-CN"/>
              </w:rPr>
            </w:pPr>
            <w:r w:rsidRPr="008A4B2E">
              <w:rPr>
                <w:rFonts w:ascii="David" w:eastAsia="Times New Roman" w:hAnsi="David" w:cs="David" w:hint="cs"/>
                <w:color w:val="FF0000"/>
                <w:sz w:val="24"/>
                <w:szCs w:val="24"/>
                <w:rtl/>
                <w:lang w:eastAsia="zh-CN"/>
              </w:rPr>
              <w:t>הערות</w:t>
            </w:r>
          </w:p>
          <w:p w14:paraId="128C756C" w14:textId="77777777" w:rsidR="0024139E" w:rsidRDefault="0024139E" w:rsidP="004E1C22">
            <w:pPr>
              <w:bidi/>
              <w:spacing w:line="276" w:lineRule="auto"/>
              <w:rPr>
                <w:rFonts w:asciiTheme="minorBidi" w:hAnsiTheme="minorBidi"/>
                <w:rtl/>
              </w:rPr>
            </w:pPr>
          </w:p>
        </w:tc>
      </w:tr>
      <w:tr w:rsidR="0024139E" w14:paraId="7110D817" w14:textId="77777777" w:rsidTr="004E1C22">
        <w:tc>
          <w:tcPr>
            <w:tcW w:w="4675" w:type="dxa"/>
          </w:tcPr>
          <w:p w14:paraId="1EE0FE96" w14:textId="77777777" w:rsidR="00F842EE" w:rsidRPr="00C11F76" w:rsidRDefault="00F842EE" w:rsidP="00F842EE">
            <w:pPr>
              <w:numPr>
                <w:ilvl w:val="0"/>
                <w:numId w:val="4"/>
              </w:numPr>
              <w:shd w:val="clear" w:color="auto" w:fill="FFFFFF"/>
              <w:spacing w:before="100" w:beforeAutospacing="1" w:line="480" w:lineRule="auto"/>
              <w:rPr>
                <w:rFonts w:ascii="Times New Roman" w:eastAsia="Times New Roman" w:hAnsi="Times New Roman" w:cs="Times New Roman"/>
                <w:color w:val="333333"/>
                <w:sz w:val="23"/>
                <w:szCs w:val="23"/>
                <w:rtl/>
                <w:lang w:bidi="ar-SA"/>
              </w:rPr>
            </w:pPr>
            <w:bookmarkStart w:id="30" w:name="_Hlk90924788"/>
            <w:r w:rsidRPr="00C11F76">
              <w:rPr>
                <w:rFonts w:ascii="Times New Roman" w:eastAsia="Times New Roman" w:hAnsi="Times New Roman" w:cs="Times New Roman"/>
                <w:color w:val="333333"/>
                <w:sz w:val="23"/>
                <w:szCs w:val="23"/>
                <w:lang w:bidi="ar-SA"/>
              </w:rPr>
              <w:t>Bernard Jackson, “The Problem of Exodus XXI 22-25 (</w:t>
            </w:r>
            <w:proofErr w:type="spellStart"/>
            <w:r w:rsidRPr="00C11F76">
              <w:rPr>
                <w:rFonts w:ascii="Times New Roman" w:eastAsia="Times New Roman" w:hAnsi="Times New Roman" w:cs="Times New Roman"/>
                <w:i/>
                <w:iCs/>
                <w:color w:val="333333"/>
                <w:sz w:val="23"/>
                <w:lang w:bidi="ar-SA"/>
              </w:rPr>
              <w:t>Ius</w:t>
            </w:r>
            <w:proofErr w:type="spellEnd"/>
            <w:r w:rsidRPr="00C11F76">
              <w:rPr>
                <w:rFonts w:ascii="Times New Roman" w:eastAsia="Times New Roman" w:hAnsi="Times New Roman" w:cs="Times New Roman"/>
                <w:i/>
                <w:iCs/>
                <w:color w:val="333333"/>
                <w:sz w:val="23"/>
                <w:lang w:bidi="ar-SA"/>
              </w:rPr>
              <w:t xml:space="preserve"> Talionis</w:t>
            </w:r>
            <w:r w:rsidRPr="00C11F76">
              <w:rPr>
                <w:rFonts w:ascii="Times New Roman" w:eastAsia="Times New Roman" w:hAnsi="Times New Roman" w:cs="Times New Roman"/>
                <w:color w:val="333333"/>
                <w:sz w:val="23"/>
                <w:szCs w:val="23"/>
                <w:lang w:bidi="ar-SA"/>
              </w:rPr>
              <w:t>),” </w:t>
            </w:r>
            <w:proofErr w:type="spellStart"/>
            <w:r w:rsidRPr="00C11F76">
              <w:rPr>
                <w:rFonts w:ascii="Times New Roman" w:eastAsia="Times New Roman" w:hAnsi="Times New Roman" w:cs="Times New Roman"/>
                <w:i/>
                <w:iCs/>
                <w:color w:val="333333"/>
                <w:sz w:val="23"/>
                <w:lang w:bidi="ar-SA"/>
              </w:rPr>
              <w:t>Vetus</w:t>
            </w:r>
            <w:proofErr w:type="spellEnd"/>
            <w:r w:rsidRPr="00C11F76">
              <w:rPr>
                <w:rFonts w:ascii="Times New Roman" w:eastAsia="Times New Roman" w:hAnsi="Times New Roman" w:cs="Times New Roman"/>
                <w:i/>
                <w:iCs/>
                <w:color w:val="333333"/>
                <w:sz w:val="23"/>
                <w:lang w:bidi="ar-SA"/>
              </w:rPr>
              <w:t xml:space="preserve"> </w:t>
            </w:r>
            <w:proofErr w:type="spellStart"/>
            <w:r w:rsidRPr="00C11F76">
              <w:rPr>
                <w:rFonts w:ascii="Times New Roman" w:eastAsia="Times New Roman" w:hAnsi="Times New Roman" w:cs="Times New Roman"/>
                <w:i/>
                <w:iCs/>
                <w:color w:val="333333"/>
                <w:sz w:val="23"/>
                <w:lang w:bidi="ar-SA"/>
              </w:rPr>
              <w:t>Testamentum</w:t>
            </w:r>
            <w:proofErr w:type="spellEnd"/>
            <w:r w:rsidRPr="00C11F76">
              <w:rPr>
                <w:rFonts w:ascii="Times New Roman" w:eastAsia="Times New Roman" w:hAnsi="Times New Roman" w:cs="Times New Roman"/>
                <w:color w:val="333333"/>
                <w:sz w:val="23"/>
                <w:szCs w:val="23"/>
                <w:lang w:bidi="ar-SA"/>
              </w:rPr>
              <w:t> 37.3 (1973): 273–304.</w:t>
            </w:r>
          </w:p>
          <w:bookmarkEnd w:id="30"/>
          <w:p w14:paraId="4C151132" w14:textId="77777777" w:rsidR="0024139E" w:rsidRPr="004E1C22" w:rsidRDefault="0024139E" w:rsidP="004E1C22">
            <w:pPr>
              <w:spacing w:line="276" w:lineRule="auto"/>
              <w:rPr>
                <w:rFonts w:asciiTheme="minorBidi" w:hAnsiTheme="minorBidi"/>
                <w:lang w:bidi="ar-SA"/>
              </w:rPr>
            </w:pPr>
          </w:p>
        </w:tc>
        <w:tc>
          <w:tcPr>
            <w:tcW w:w="4675" w:type="dxa"/>
          </w:tcPr>
          <w:p w14:paraId="1377C9EE" w14:textId="18D102E1" w:rsidR="007B3F74" w:rsidRPr="007B3F74" w:rsidRDefault="007B3F74" w:rsidP="007B3F74">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1</w:t>
            </w:r>
            <w:r w:rsidRPr="007B3F74">
              <w:rPr>
                <w:rFonts w:ascii="David" w:eastAsia="Times New Roman" w:hAnsi="David" w:cs="David" w:hint="cs"/>
                <w:sz w:val="24"/>
                <w:szCs w:val="24"/>
                <w:rtl/>
                <w:lang w:eastAsia="zh-CN"/>
              </w:rPr>
              <w:t xml:space="preserve">. ראו </w:t>
            </w:r>
          </w:p>
          <w:p w14:paraId="758A6628" w14:textId="77777777" w:rsidR="007B3F74" w:rsidRPr="007B3F74" w:rsidRDefault="007B3F74" w:rsidP="007B3F74">
            <w:pPr>
              <w:shd w:val="clear" w:color="auto" w:fill="FFFFFF"/>
              <w:spacing w:before="100" w:beforeAutospacing="1" w:line="480" w:lineRule="auto"/>
              <w:ind w:left="425"/>
              <w:rPr>
                <w:rFonts w:ascii="Times New Roman" w:eastAsia="Times New Roman" w:hAnsi="Times New Roman" w:cs="Times New Roman"/>
                <w:color w:val="333333"/>
                <w:sz w:val="23"/>
                <w:szCs w:val="23"/>
                <w:rtl/>
                <w:lang w:eastAsia="zh-CN" w:bidi="ar-SA"/>
              </w:rPr>
            </w:pPr>
            <w:r w:rsidRPr="007B3F74">
              <w:rPr>
                <w:rFonts w:ascii="Times New Roman" w:eastAsia="Times New Roman" w:hAnsi="Times New Roman" w:cs="Times New Roman"/>
                <w:color w:val="333333"/>
                <w:sz w:val="23"/>
                <w:szCs w:val="23"/>
                <w:lang w:eastAsia="zh-CN" w:bidi="ar-SA"/>
              </w:rPr>
              <w:t>Bernard Jackson, “The Problem of Exodus XXI 22-25 (</w:t>
            </w:r>
            <w:proofErr w:type="spellStart"/>
            <w:r w:rsidRPr="007B3F74">
              <w:rPr>
                <w:rFonts w:ascii="Times New Roman" w:eastAsia="Times New Roman" w:hAnsi="Times New Roman" w:cs="Times New Roman"/>
                <w:i/>
                <w:iCs/>
                <w:color w:val="333333"/>
                <w:sz w:val="23"/>
                <w:lang w:eastAsia="zh-CN" w:bidi="ar-SA"/>
              </w:rPr>
              <w:t>Ius</w:t>
            </w:r>
            <w:proofErr w:type="spellEnd"/>
            <w:r w:rsidRPr="007B3F74">
              <w:rPr>
                <w:rFonts w:ascii="Times New Roman" w:eastAsia="Times New Roman" w:hAnsi="Times New Roman" w:cs="Times New Roman"/>
                <w:i/>
                <w:iCs/>
                <w:color w:val="333333"/>
                <w:sz w:val="23"/>
                <w:lang w:eastAsia="zh-CN" w:bidi="ar-SA"/>
              </w:rPr>
              <w:t xml:space="preserve"> Talionis</w:t>
            </w:r>
            <w:r w:rsidRPr="007B3F74">
              <w:rPr>
                <w:rFonts w:ascii="Times New Roman" w:eastAsia="Times New Roman" w:hAnsi="Times New Roman" w:cs="Times New Roman"/>
                <w:color w:val="333333"/>
                <w:sz w:val="23"/>
                <w:szCs w:val="23"/>
                <w:lang w:eastAsia="zh-CN" w:bidi="ar-SA"/>
              </w:rPr>
              <w:t>),” </w:t>
            </w:r>
            <w:proofErr w:type="spellStart"/>
            <w:r w:rsidRPr="007B3F74">
              <w:rPr>
                <w:rFonts w:ascii="Times New Roman" w:eastAsia="Times New Roman" w:hAnsi="Times New Roman" w:cs="Times New Roman"/>
                <w:i/>
                <w:iCs/>
                <w:color w:val="333333"/>
                <w:sz w:val="23"/>
                <w:lang w:eastAsia="zh-CN" w:bidi="ar-SA"/>
              </w:rPr>
              <w:t>Vetus</w:t>
            </w:r>
            <w:proofErr w:type="spellEnd"/>
            <w:r w:rsidRPr="007B3F74">
              <w:rPr>
                <w:rFonts w:ascii="Times New Roman" w:eastAsia="Times New Roman" w:hAnsi="Times New Roman" w:cs="Times New Roman"/>
                <w:i/>
                <w:iCs/>
                <w:color w:val="333333"/>
                <w:sz w:val="23"/>
                <w:lang w:eastAsia="zh-CN" w:bidi="ar-SA"/>
              </w:rPr>
              <w:t xml:space="preserve"> </w:t>
            </w:r>
            <w:proofErr w:type="spellStart"/>
            <w:r w:rsidRPr="007B3F74">
              <w:rPr>
                <w:rFonts w:ascii="Times New Roman" w:eastAsia="Times New Roman" w:hAnsi="Times New Roman" w:cs="Times New Roman"/>
                <w:i/>
                <w:iCs/>
                <w:color w:val="333333"/>
                <w:sz w:val="23"/>
                <w:lang w:eastAsia="zh-CN" w:bidi="ar-SA"/>
              </w:rPr>
              <w:t>Testamentum</w:t>
            </w:r>
            <w:proofErr w:type="spellEnd"/>
            <w:r w:rsidRPr="007B3F74">
              <w:rPr>
                <w:rFonts w:ascii="Times New Roman" w:eastAsia="Times New Roman" w:hAnsi="Times New Roman" w:cs="Times New Roman"/>
                <w:color w:val="333333"/>
                <w:sz w:val="23"/>
                <w:szCs w:val="23"/>
                <w:lang w:eastAsia="zh-CN" w:bidi="ar-SA"/>
              </w:rPr>
              <w:t> 37.3 (1973): 273–304.</w:t>
            </w:r>
          </w:p>
          <w:p w14:paraId="5F418ED1" w14:textId="77777777" w:rsidR="0024139E" w:rsidRDefault="0024139E" w:rsidP="004E1C22">
            <w:pPr>
              <w:bidi/>
              <w:spacing w:line="276" w:lineRule="auto"/>
              <w:rPr>
                <w:rFonts w:asciiTheme="minorBidi" w:hAnsiTheme="minorBidi"/>
                <w:rtl/>
              </w:rPr>
            </w:pPr>
          </w:p>
        </w:tc>
      </w:tr>
      <w:tr w:rsidR="0024139E" w14:paraId="166D2994" w14:textId="77777777" w:rsidTr="004E1C22">
        <w:tc>
          <w:tcPr>
            <w:tcW w:w="4675" w:type="dxa"/>
          </w:tcPr>
          <w:p w14:paraId="008242F8" w14:textId="77777777" w:rsidR="00F842EE" w:rsidRPr="00C11F76" w:rsidRDefault="00F842EE" w:rsidP="00F842EE">
            <w:pPr>
              <w:numPr>
                <w:ilvl w:val="0"/>
                <w:numId w:val="4"/>
              </w:numPr>
              <w:shd w:val="clear" w:color="auto" w:fill="FFFFFF"/>
              <w:spacing w:before="100" w:beforeAutospacing="1" w:line="480" w:lineRule="auto"/>
              <w:rPr>
                <w:rFonts w:ascii="Times New Roman" w:eastAsia="Times New Roman" w:hAnsi="Times New Roman" w:cs="Times New Roman"/>
                <w:color w:val="333333"/>
                <w:sz w:val="23"/>
                <w:szCs w:val="23"/>
                <w:lang w:bidi="ar-SA"/>
              </w:rPr>
            </w:pPr>
            <w:bookmarkStart w:id="31" w:name="_Hlk90924827"/>
            <w:r w:rsidRPr="00C11F76">
              <w:rPr>
                <w:rFonts w:ascii="Times New Roman" w:eastAsia="Times New Roman" w:hAnsi="Times New Roman" w:cs="Times New Roman"/>
                <w:color w:val="333333"/>
                <w:sz w:val="23"/>
                <w:szCs w:val="23"/>
                <w:lang w:bidi="ar-SA"/>
              </w:rPr>
              <w:t>Bernard Jackson, “The Pregnant Woman Victim,” in </w:t>
            </w:r>
            <w:r w:rsidRPr="00C11F76">
              <w:rPr>
                <w:rFonts w:ascii="Times New Roman" w:eastAsia="Times New Roman" w:hAnsi="Times New Roman" w:cs="Times New Roman"/>
                <w:i/>
                <w:iCs/>
                <w:color w:val="333333"/>
                <w:sz w:val="23"/>
                <w:lang w:bidi="ar-SA"/>
              </w:rPr>
              <w:t xml:space="preserve">Wisdom Laws: A Study of the </w:t>
            </w:r>
            <w:proofErr w:type="spellStart"/>
            <w:r w:rsidRPr="00C11F76">
              <w:rPr>
                <w:rFonts w:ascii="Times New Roman" w:eastAsia="Times New Roman" w:hAnsi="Times New Roman" w:cs="Times New Roman"/>
                <w:i/>
                <w:iCs/>
                <w:color w:val="333333"/>
                <w:sz w:val="23"/>
                <w:lang w:bidi="ar-SA"/>
              </w:rPr>
              <w:t>Mishpatim</w:t>
            </w:r>
            <w:proofErr w:type="spellEnd"/>
            <w:r w:rsidRPr="00C11F76">
              <w:rPr>
                <w:rFonts w:ascii="Times New Roman" w:eastAsia="Times New Roman" w:hAnsi="Times New Roman" w:cs="Times New Roman"/>
                <w:i/>
                <w:iCs/>
                <w:color w:val="333333"/>
                <w:sz w:val="23"/>
                <w:lang w:bidi="ar-SA"/>
              </w:rPr>
              <w:t xml:space="preserve"> of Exodus 21:1-22:16</w:t>
            </w:r>
            <w:r w:rsidRPr="00C11F76">
              <w:rPr>
                <w:rFonts w:ascii="Times New Roman" w:eastAsia="Times New Roman" w:hAnsi="Times New Roman" w:cs="Times New Roman"/>
                <w:color w:val="333333"/>
                <w:sz w:val="23"/>
                <w:szCs w:val="23"/>
                <w:lang w:bidi="ar-SA"/>
              </w:rPr>
              <w:t> (Oxford: OUP, 2006), 209–239.</w:t>
            </w:r>
          </w:p>
          <w:bookmarkEnd w:id="31"/>
          <w:p w14:paraId="5E4380DA" w14:textId="77777777" w:rsidR="0024139E" w:rsidRPr="004E1C22" w:rsidRDefault="0024139E" w:rsidP="004E1C22">
            <w:pPr>
              <w:spacing w:line="276" w:lineRule="auto"/>
              <w:rPr>
                <w:rFonts w:asciiTheme="minorBidi" w:hAnsiTheme="minorBidi"/>
              </w:rPr>
            </w:pPr>
          </w:p>
        </w:tc>
        <w:tc>
          <w:tcPr>
            <w:tcW w:w="4675" w:type="dxa"/>
          </w:tcPr>
          <w:p w14:paraId="25ACD6D3" w14:textId="7403AA05" w:rsidR="007B3F74" w:rsidRPr="007B3F74" w:rsidRDefault="009D21E7" w:rsidP="007B3F74">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 xml:space="preserve">2. </w:t>
            </w:r>
            <w:r w:rsidR="007B3F74" w:rsidRPr="007B3F74">
              <w:rPr>
                <w:rFonts w:ascii="David" w:eastAsia="Times New Roman" w:hAnsi="David" w:cs="David" w:hint="cs"/>
                <w:sz w:val="24"/>
                <w:szCs w:val="24"/>
                <w:rtl/>
                <w:lang w:eastAsia="zh-CN"/>
              </w:rPr>
              <w:t>ראו</w:t>
            </w:r>
          </w:p>
          <w:p w14:paraId="72BA294D" w14:textId="77777777" w:rsidR="007B3F74" w:rsidRPr="007B3F74" w:rsidRDefault="007B3F74" w:rsidP="007B3F74">
            <w:pPr>
              <w:shd w:val="clear" w:color="auto" w:fill="FFFFFF"/>
              <w:spacing w:before="100" w:beforeAutospacing="1" w:line="480" w:lineRule="auto"/>
              <w:ind w:left="360"/>
              <w:rPr>
                <w:rFonts w:ascii="Times New Roman" w:eastAsia="Times New Roman" w:hAnsi="Times New Roman" w:cs="Times New Roman"/>
                <w:color w:val="333333"/>
                <w:sz w:val="23"/>
                <w:szCs w:val="23"/>
                <w:lang w:eastAsia="zh-CN" w:bidi="ar-SA"/>
              </w:rPr>
            </w:pPr>
            <w:r w:rsidRPr="007B3F74">
              <w:rPr>
                <w:rFonts w:ascii="Times New Roman" w:eastAsia="Times New Roman" w:hAnsi="Times New Roman" w:cs="Times New Roman"/>
                <w:color w:val="333333"/>
                <w:sz w:val="23"/>
                <w:szCs w:val="23"/>
                <w:lang w:eastAsia="zh-CN" w:bidi="ar-SA"/>
              </w:rPr>
              <w:t>Bernard Jackson, “The Pregnant Woman Victim,” in </w:t>
            </w:r>
            <w:r w:rsidRPr="007B3F74">
              <w:rPr>
                <w:rFonts w:ascii="Times New Roman" w:eastAsia="Times New Roman" w:hAnsi="Times New Roman" w:cs="Times New Roman"/>
                <w:i/>
                <w:iCs/>
                <w:color w:val="333333"/>
                <w:sz w:val="23"/>
                <w:lang w:eastAsia="zh-CN" w:bidi="ar-SA"/>
              </w:rPr>
              <w:t xml:space="preserve">Wisdom Laws: A Study of the </w:t>
            </w:r>
            <w:proofErr w:type="spellStart"/>
            <w:r w:rsidRPr="007B3F74">
              <w:rPr>
                <w:rFonts w:ascii="Times New Roman" w:eastAsia="Times New Roman" w:hAnsi="Times New Roman" w:cs="Times New Roman"/>
                <w:i/>
                <w:iCs/>
                <w:color w:val="333333"/>
                <w:sz w:val="23"/>
                <w:lang w:eastAsia="zh-CN" w:bidi="ar-SA"/>
              </w:rPr>
              <w:t>Mishpatim</w:t>
            </w:r>
            <w:proofErr w:type="spellEnd"/>
            <w:r w:rsidRPr="007B3F74">
              <w:rPr>
                <w:rFonts w:ascii="Times New Roman" w:eastAsia="Times New Roman" w:hAnsi="Times New Roman" w:cs="Times New Roman"/>
                <w:i/>
                <w:iCs/>
                <w:color w:val="333333"/>
                <w:sz w:val="23"/>
                <w:lang w:eastAsia="zh-CN" w:bidi="ar-SA"/>
              </w:rPr>
              <w:t xml:space="preserve"> of Exodus 21:1-22:16</w:t>
            </w:r>
            <w:r w:rsidRPr="007B3F74">
              <w:rPr>
                <w:rFonts w:ascii="Times New Roman" w:eastAsia="Times New Roman" w:hAnsi="Times New Roman" w:cs="Times New Roman"/>
                <w:color w:val="333333"/>
                <w:sz w:val="23"/>
                <w:szCs w:val="23"/>
                <w:lang w:eastAsia="zh-CN" w:bidi="ar-SA"/>
              </w:rPr>
              <w:t> (Oxford: OUP, 2006), 209–239.</w:t>
            </w:r>
          </w:p>
          <w:p w14:paraId="5EB30FAC" w14:textId="77777777" w:rsidR="0024139E" w:rsidRDefault="0024139E" w:rsidP="004E1C22">
            <w:pPr>
              <w:bidi/>
              <w:spacing w:line="276" w:lineRule="auto"/>
              <w:rPr>
                <w:rFonts w:asciiTheme="minorBidi" w:hAnsiTheme="minorBidi"/>
                <w:rtl/>
              </w:rPr>
            </w:pPr>
          </w:p>
        </w:tc>
      </w:tr>
      <w:tr w:rsidR="00DE421F" w14:paraId="1320EDB0" w14:textId="77777777" w:rsidTr="004E1C22">
        <w:tc>
          <w:tcPr>
            <w:tcW w:w="4675" w:type="dxa"/>
          </w:tcPr>
          <w:p w14:paraId="3CCB4D3F" w14:textId="77777777" w:rsidR="00F842EE" w:rsidRPr="00C11F76" w:rsidRDefault="00F842EE" w:rsidP="00F842EE">
            <w:pPr>
              <w:numPr>
                <w:ilvl w:val="0"/>
                <w:numId w:val="4"/>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C11F76">
              <w:rPr>
                <w:rFonts w:ascii="Times New Roman" w:eastAsia="Times New Roman" w:hAnsi="Times New Roman" w:cs="Times New Roman"/>
                <w:color w:val="333333"/>
                <w:sz w:val="23"/>
                <w:szCs w:val="23"/>
                <w:lang w:bidi="ar-SA"/>
              </w:rPr>
              <w:t xml:space="preserve">As </w:t>
            </w:r>
            <w:bookmarkStart w:id="32" w:name="_Hlk90924861"/>
            <w:r w:rsidRPr="00C11F76">
              <w:rPr>
                <w:rFonts w:ascii="Times New Roman" w:eastAsia="Times New Roman" w:hAnsi="Times New Roman" w:cs="Times New Roman"/>
                <w:color w:val="333333"/>
                <w:sz w:val="23"/>
                <w:szCs w:val="23"/>
                <w:lang w:bidi="ar-SA"/>
              </w:rPr>
              <w:t xml:space="preserve">Sophie </w:t>
            </w:r>
            <w:proofErr w:type="spellStart"/>
            <w:r w:rsidRPr="00C11F76">
              <w:rPr>
                <w:rFonts w:ascii="Times New Roman" w:eastAsia="Times New Roman" w:hAnsi="Times New Roman" w:cs="Times New Roman"/>
                <w:color w:val="333333"/>
                <w:sz w:val="23"/>
                <w:szCs w:val="23"/>
                <w:lang w:bidi="ar-SA"/>
              </w:rPr>
              <w:t>Lafont</w:t>
            </w:r>
            <w:proofErr w:type="spellEnd"/>
            <w:r w:rsidRPr="00C11F76">
              <w:rPr>
                <w:rFonts w:ascii="Times New Roman" w:eastAsia="Times New Roman" w:hAnsi="Times New Roman" w:cs="Times New Roman"/>
                <w:color w:val="333333"/>
                <w:sz w:val="23"/>
                <w:szCs w:val="23"/>
                <w:lang w:bidi="ar-SA"/>
              </w:rPr>
              <w:t>, “Ancient Near Eastern Laws: Continuity and Pluralism,” in </w:t>
            </w:r>
            <w:r w:rsidRPr="00C11F76">
              <w:rPr>
                <w:rFonts w:ascii="Times New Roman" w:eastAsia="Times New Roman" w:hAnsi="Times New Roman" w:cs="Times New Roman"/>
                <w:i/>
                <w:iCs/>
                <w:color w:val="333333"/>
                <w:sz w:val="23"/>
                <w:lang w:bidi="ar-SA"/>
              </w:rPr>
              <w:t>Theory and Method in Biblical and Cuneiform Law: Revision, Interpolation and Development</w:t>
            </w:r>
            <w:r w:rsidRPr="00C11F76">
              <w:rPr>
                <w:rFonts w:ascii="Times New Roman" w:eastAsia="Times New Roman" w:hAnsi="Times New Roman" w:cs="Times New Roman"/>
                <w:color w:val="333333"/>
                <w:sz w:val="23"/>
                <w:szCs w:val="23"/>
                <w:lang w:bidi="ar-SA"/>
              </w:rPr>
              <w:t xml:space="preserve">, ed. </w:t>
            </w:r>
            <w:r w:rsidRPr="00C11F76">
              <w:rPr>
                <w:rFonts w:ascii="Times New Roman" w:eastAsia="Times New Roman" w:hAnsi="Times New Roman" w:cs="Times New Roman"/>
                <w:color w:val="333333"/>
                <w:sz w:val="23"/>
                <w:szCs w:val="23"/>
                <w:lang w:bidi="ar-SA"/>
              </w:rPr>
              <w:lastRenderedPageBreak/>
              <w:t>Bernard Levinson (Sheffield: Sheffield Academic Press, 1994), 91–118.</w:t>
            </w:r>
          </w:p>
          <w:bookmarkEnd w:id="32"/>
          <w:p w14:paraId="73EDB1B9" w14:textId="77777777" w:rsidR="00DE421F" w:rsidRPr="004E1C22" w:rsidRDefault="00DE421F" w:rsidP="004E1C22">
            <w:pPr>
              <w:spacing w:line="276" w:lineRule="auto"/>
              <w:rPr>
                <w:rFonts w:asciiTheme="minorBidi" w:hAnsiTheme="minorBidi"/>
              </w:rPr>
            </w:pPr>
          </w:p>
        </w:tc>
        <w:tc>
          <w:tcPr>
            <w:tcW w:w="4675" w:type="dxa"/>
          </w:tcPr>
          <w:p w14:paraId="2B781046" w14:textId="054DF644" w:rsidR="009D21E7" w:rsidRPr="009D21E7" w:rsidRDefault="009D21E7" w:rsidP="009D21E7">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lastRenderedPageBreak/>
              <w:t xml:space="preserve">3. </w:t>
            </w:r>
            <w:r w:rsidRPr="009D21E7">
              <w:rPr>
                <w:rFonts w:ascii="David" w:eastAsia="Times New Roman" w:hAnsi="David" w:cs="David" w:hint="cs"/>
                <w:sz w:val="24"/>
                <w:szCs w:val="24"/>
                <w:rtl/>
                <w:lang w:eastAsia="zh-CN"/>
              </w:rPr>
              <w:t>כגון</w:t>
            </w:r>
          </w:p>
          <w:p w14:paraId="381523D3" w14:textId="77777777" w:rsidR="009D21E7" w:rsidRPr="009D21E7" w:rsidRDefault="009D21E7" w:rsidP="009D21E7">
            <w:pPr>
              <w:shd w:val="clear" w:color="auto" w:fill="FFFFFF"/>
              <w:spacing w:before="100" w:beforeAutospacing="1" w:line="480" w:lineRule="auto"/>
              <w:ind w:left="360"/>
              <w:rPr>
                <w:rFonts w:ascii="Times New Roman" w:eastAsia="Times New Roman" w:hAnsi="Times New Roman" w:cs="Times New Roman"/>
                <w:color w:val="333333"/>
                <w:sz w:val="23"/>
                <w:szCs w:val="23"/>
                <w:lang w:eastAsia="zh-CN" w:bidi="ar-SA"/>
              </w:rPr>
            </w:pPr>
            <w:r w:rsidRPr="009D21E7">
              <w:rPr>
                <w:rFonts w:ascii="Times New Roman" w:eastAsia="Times New Roman" w:hAnsi="Times New Roman" w:cs="Times New Roman"/>
                <w:color w:val="333333"/>
                <w:sz w:val="23"/>
                <w:szCs w:val="23"/>
                <w:lang w:eastAsia="zh-CN" w:bidi="ar-SA"/>
              </w:rPr>
              <w:t xml:space="preserve">Sophie </w:t>
            </w:r>
            <w:proofErr w:type="spellStart"/>
            <w:r w:rsidRPr="009D21E7">
              <w:rPr>
                <w:rFonts w:ascii="Times New Roman" w:eastAsia="Times New Roman" w:hAnsi="Times New Roman" w:cs="Times New Roman"/>
                <w:color w:val="333333"/>
                <w:sz w:val="23"/>
                <w:szCs w:val="23"/>
                <w:lang w:eastAsia="zh-CN" w:bidi="ar-SA"/>
              </w:rPr>
              <w:t>Lafont</w:t>
            </w:r>
            <w:proofErr w:type="spellEnd"/>
            <w:r w:rsidRPr="009D21E7">
              <w:rPr>
                <w:rFonts w:ascii="Times New Roman" w:eastAsia="Times New Roman" w:hAnsi="Times New Roman" w:cs="Times New Roman"/>
                <w:color w:val="333333"/>
                <w:sz w:val="23"/>
                <w:szCs w:val="23"/>
                <w:lang w:eastAsia="zh-CN" w:bidi="ar-SA"/>
              </w:rPr>
              <w:t>, “Ancient Near Eastern Laws: Continuity and Pluralism,” in </w:t>
            </w:r>
            <w:r w:rsidRPr="009D21E7">
              <w:rPr>
                <w:rFonts w:ascii="Times New Roman" w:eastAsia="Times New Roman" w:hAnsi="Times New Roman" w:cs="Times New Roman"/>
                <w:i/>
                <w:iCs/>
                <w:color w:val="333333"/>
                <w:sz w:val="23"/>
                <w:lang w:eastAsia="zh-CN" w:bidi="ar-SA"/>
              </w:rPr>
              <w:t xml:space="preserve">Theory and Method in Biblical and Cuneiform Law: Revision, Interpolation and </w:t>
            </w:r>
            <w:r w:rsidRPr="009D21E7">
              <w:rPr>
                <w:rFonts w:ascii="Times New Roman" w:eastAsia="Times New Roman" w:hAnsi="Times New Roman" w:cs="Times New Roman"/>
                <w:i/>
                <w:iCs/>
                <w:color w:val="333333"/>
                <w:sz w:val="23"/>
                <w:lang w:eastAsia="zh-CN" w:bidi="ar-SA"/>
              </w:rPr>
              <w:lastRenderedPageBreak/>
              <w:t>Development</w:t>
            </w:r>
            <w:r w:rsidRPr="009D21E7">
              <w:rPr>
                <w:rFonts w:ascii="Times New Roman" w:eastAsia="Times New Roman" w:hAnsi="Times New Roman" w:cs="Times New Roman"/>
                <w:color w:val="333333"/>
                <w:sz w:val="23"/>
                <w:szCs w:val="23"/>
                <w:lang w:eastAsia="zh-CN" w:bidi="ar-SA"/>
              </w:rPr>
              <w:t>, ed. Bernard Levinson (Sheffield: Sheffield Academic Press, 1994), 91–118.</w:t>
            </w:r>
          </w:p>
          <w:p w14:paraId="00C7FC26" w14:textId="77777777" w:rsidR="00DE421F" w:rsidRDefault="00DE421F" w:rsidP="004E1C22">
            <w:pPr>
              <w:bidi/>
              <w:spacing w:line="276" w:lineRule="auto"/>
              <w:rPr>
                <w:rFonts w:asciiTheme="minorBidi" w:hAnsiTheme="minorBidi"/>
                <w:rtl/>
              </w:rPr>
            </w:pPr>
          </w:p>
        </w:tc>
      </w:tr>
      <w:tr w:rsidR="00F842EE" w14:paraId="2EA743A5" w14:textId="77777777" w:rsidTr="004E1C22">
        <w:tc>
          <w:tcPr>
            <w:tcW w:w="4675" w:type="dxa"/>
          </w:tcPr>
          <w:p w14:paraId="721F255A" w14:textId="77777777" w:rsidR="00F842EE" w:rsidRPr="00C11F76" w:rsidRDefault="00F842EE" w:rsidP="00F842EE">
            <w:pPr>
              <w:numPr>
                <w:ilvl w:val="0"/>
                <w:numId w:val="4"/>
              </w:numPr>
              <w:shd w:val="clear" w:color="auto" w:fill="FFFFFF"/>
              <w:spacing w:before="100" w:beforeAutospacing="1" w:line="480" w:lineRule="auto"/>
              <w:rPr>
                <w:rFonts w:ascii="Times New Roman" w:eastAsia="Times New Roman" w:hAnsi="Times New Roman" w:cs="Times New Roman"/>
                <w:color w:val="333333"/>
                <w:sz w:val="23"/>
                <w:szCs w:val="23"/>
                <w:lang w:bidi="ar-SA"/>
              </w:rPr>
            </w:pPr>
            <w:bookmarkStart w:id="33" w:name="_Hlk90924907"/>
            <w:r w:rsidRPr="00C11F76">
              <w:rPr>
                <w:rFonts w:ascii="Times New Roman" w:eastAsia="Times New Roman" w:hAnsi="Times New Roman" w:cs="Times New Roman"/>
                <w:color w:val="333333"/>
                <w:sz w:val="23"/>
                <w:szCs w:val="23"/>
                <w:lang w:bidi="ar-SA"/>
              </w:rPr>
              <w:t>As Jackson, </w:t>
            </w:r>
            <w:r w:rsidRPr="00C11F76">
              <w:rPr>
                <w:rFonts w:ascii="Times New Roman" w:eastAsia="Times New Roman" w:hAnsi="Times New Roman" w:cs="Times New Roman"/>
                <w:i/>
                <w:iCs/>
                <w:color w:val="333333"/>
                <w:sz w:val="23"/>
                <w:lang w:bidi="ar-SA"/>
              </w:rPr>
              <w:t>Wisdom Laws</w:t>
            </w:r>
            <w:r w:rsidRPr="00C11F76">
              <w:rPr>
                <w:rFonts w:ascii="Times New Roman" w:eastAsia="Times New Roman" w:hAnsi="Times New Roman" w:cs="Times New Roman"/>
                <w:color w:val="333333"/>
                <w:sz w:val="23"/>
                <w:szCs w:val="23"/>
                <w:lang w:bidi="ar-SA"/>
              </w:rPr>
              <w:t>, 382-383.</w:t>
            </w:r>
          </w:p>
          <w:bookmarkEnd w:id="33"/>
          <w:p w14:paraId="07D0C1FA" w14:textId="77777777" w:rsidR="00F842EE" w:rsidRPr="004E1C22" w:rsidRDefault="00F842EE" w:rsidP="004E1C22">
            <w:pPr>
              <w:spacing w:line="276" w:lineRule="auto"/>
              <w:rPr>
                <w:rFonts w:asciiTheme="minorBidi" w:hAnsiTheme="minorBidi"/>
              </w:rPr>
            </w:pPr>
          </w:p>
        </w:tc>
        <w:tc>
          <w:tcPr>
            <w:tcW w:w="4675" w:type="dxa"/>
          </w:tcPr>
          <w:p w14:paraId="412C5440" w14:textId="4BA5188A" w:rsidR="009D21E7" w:rsidRPr="009D21E7" w:rsidRDefault="008A753D" w:rsidP="009D21E7">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4 .</w:t>
            </w:r>
            <w:r w:rsidR="009D21E7" w:rsidRPr="009D21E7">
              <w:rPr>
                <w:rFonts w:ascii="David" w:eastAsia="Times New Roman" w:hAnsi="David" w:cs="David" w:hint="cs"/>
                <w:sz w:val="24"/>
                <w:szCs w:val="24"/>
                <w:rtl/>
                <w:lang w:eastAsia="zh-CN"/>
              </w:rPr>
              <w:t>כגון</w:t>
            </w:r>
          </w:p>
          <w:p w14:paraId="5CA903D9" w14:textId="77777777" w:rsidR="009D21E7" w:rsidRPr="009D21E7" w:rsidRDefault="009D21E7" w:rsidP="009D21E7">
            <w:pPr>
              <w:shd w:val="clear" w:color="auto" w:fill="FFFFFF"/>
              <w:spacing w:before="100" w:beforeAutospacing="1" w:line="480" w:lineRule="auto"/>
              <w:ind w:left="283"/>
              <w:rPr>
                <w:rFonts w:ascii="Times New Roman" w:eastAsia="Times New Roman" w:hAnsi="Times New Roman" w:cs="Times New Roman"/>
                <w:color w:val="333333"/>
                <w:sz w:val="23"/>
                <w:szCs w:val="23"/>
                <w:lang w:eastAsia="zh-CN" w:bidi="ar-SA"/>
              </w:rPr>
            </w:pPr>
            <w:r w:rsidRPr="009D21E7">
              <w:rPr>
                <w:rFonts w:ascii="Times New Roman" w:eastAsia="Times New Roman" w:hAnsi="Times New Roman" w:cs="Times New Roman"/>
                <w:color w:val="333333"/>
                <w:sz w:val="23"/>
                <w:szCs w:val="23"/>
                <w:lang w:eastAsia="zh-CN" w:bidi="ar-SA"/>
              </w:rPr>
              <w:t>Jackson, </w:t>
            </w:r>
            <w:r w:rsidRPr="009D21E7">
              <w:rPr>
                <w:rFonts w:ascii="Times New Roman" w:eastAsia="Times New Roman" w:hAnsi="Times New Roman" w:cs="Times New Roman"/>
                <w:i/>
                <w:iCs/>
                <w:color w:val="333333"/>
                <w:sz w:val="23"/>
                <w:lang w:eastAsia="zh-CN" w:bidi="ar-SA"/>
              </w:rPr>
              <w:t>Wisdom Laws</w:t>
            </w:r>
            <w:r w:rsidRPr="009D21E7">
              <w:rPr>
                <w:rFonts w:ascii="Times New Roman" w:eastAsia="Times New Roman" w:hAnsi="Times New Roman" w:cs="Times New Roman"/>
                <w:color w:val="333333"/>
                <w:sz w:val="23"/>
                <w:szCs w:val="23"/>
                <w:lang w:eastAsia="zh-CN" w:bidi="ar-SA"/>
              </w:rPr>
              <w:t>, 382</w:t>
            </w:r>
            <w:r w:rsidRPr="009D21E7">
              <w:rPr>
                <w:rFonts w:ascii="Times New Roman" w:eastAsia="Times New Roman" w:hAnsi="Times New Roman" w:cs="Times New Roman" w:hint="cs"/>
                <w:color w:val="333333"/>
                <w:sz w:val="23"/>
                <w:szCs w:val="23"/>
                <w:rtl/>
                <w:lang w:eastAsia="zh-CN"/>
              </w:rPr>
              <w:t>–</w:t>
            </w:r>
            <w:r w:rsidRPr="009D21E7">
              <w:rPr>
                <w:rFonts w:ascii="Times New Roman" w:eastAsia="Times New Roman" w:hAnsi="Times New Roman" w:cs="Times New Roman"/>
                <w:color w:val="333333"/>
                <w:sz w:val="23"/>
                <w:szCs w:val="23"/>
                <w:lang w:eastAsia="zh-CN" w:bidi="ar-SA"/>
              </w:rPr>
              <w:t>383.</w:t>
            </w:r>
          </w:p>
          <w:p w14:paraId="6EAE4558" w14:textId="77777777" w:rsidR="00F842EE" w:rsidRDefault="00F842EE" w:rsidP="004E1C22">
            <w:pPr>
              <w:bidi/>
              <w:spacing w:line="276" w:lineRule="auto"/>
              <w:rPr>
                <w:rFonts w:asciiTheme="minorBidi" w:hAnsiTheme="minorBidi"/>
                <w:rtl/>
              </w:rPr>
            </w:pPr>
          </w:p>
        </w:tc>
      </w:tr>
      <w:tr w:rsidR="00F842EE" w14:paraId="2F263AA7" w14:textId="77777777" w:rsidTr="004E1C22">
        <w:tc>
          <w:tcPr>
            <w:tcW w:w="4675" w:type="dxa"/>
          </w:tcPr>
          <w:p w14:paraId="7BE1FA4A" w14:textId="77777777" w:rsidR="00F842EE" w:rsidRPr="00C11F76" w:rsidRDefault="00F842EE" w:rsidP="00F842EE">
            <w:pPr>
              <w:numPr>
                <w:ilvl w:val="0"/>
                <w:numId w:val="4"/>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C11F76">
              <w:rPr>
                <w:rFonts w:ascii="Times New Roman" w:eastAsia="Times New Roman" w:hAnsi="Times New Roman" w:cs="Times New Roman"/>
                <w:color w:val="333333"/>
                <w:sz w:val="23"/>
                <w:szCs w:val="23"/>
                <w:lang w:bidi="ar-SA"/>
              </w:rPr>
              <w:t xml:space="preserve">Several scholars have suggested that body part “eye for eye, tooth for tooth, etc.” injuries referred to those sustained by the fetus, rather than the mother. The objections to this view are presented in </w:t>
            </w:r>
            <w:bookmarkStart w:id="34" w:name="_Hlk90925200"/>
            <w:r w:rsidRPr="00C11F76">
              <w:rPr>
                <w:rFonts w:ascii="Times New Roman" w:eastAsia="Times New Roman" w:hAnsi="Times New Roman" w:cs="Times New Roman"/>
                <w:color w:val="333333"/>
                <w:sz w:val="23"/>
                <w:szCs w:val="23"/>
                <w:lang w:bidi="ar-SA"/>
              </w:rPr>
              <w:t>Sandra Jacobs, </w:t>
            </w:r>
            <w:r w:rsidRPr="00C11F76">
              <w:rPr>
                <w:rFonts w:ascii="Times New Roman" w:eastAsia="Times New Roman" w:hAnsi="Times New Roman" w:cs="Times New Roman"/>
                <w:i/>
                <w:iCs/>
                <w:color w:val="333333"/>
                <w:sz w:val="23"/>
                <w:lang w:bidi="ar-SA"/>
              </w:rPr>
              <w:t>The Body as Property: Physical Disfigurement in Biblical Law </w:t>
            </w:r>
            <w:r w:rsidRPr="00C11F76">
              <w:rPr>
                <w:rFonts w:ascii="Times New Roman" w:eastAsia="Times New Roman" w:hAnsi="Times New Roman" w:cs="Times New Roman"/>
                <w:color w:val="333333"/>
                <w:sz w:val="23"/>
                <w:szCs w:val="23"/>
                <w:lang w:bidi="ar-SA"/>
              </w:rPr>
              <w:t xml:space="preserve">(London: T&amp;T Clarke/Bloomsbury Academic, 2014, </w:t>
            </w:r>
            <w:proofErr w:type="spellStart"/>
            <w:r w:rsidRPr="00C11F76">
              <w:rPr>
                <w:rFonts w:ascii="Times New Roman" w:eastAsia="Times New Roman" w:hAnsi="Times New Roman" w:cs="Times New Roman"/>
                <w:color w:val="333333"/>
                <w:sz w:val="23"/>
                <w:szCs w:val="23"/>
                <w:lang w:bidi="ar-SA"/>
              </w:rPr>
              <w:t>repr</w:t>
            </w:r>
            <w:proofErr w:type="spellEnd"/>
            <w:r w:rsidRPr="00C11F76">
              <w:rPr>
                <w:rFonts w:ascii="Times New Roman" w:eastAsia="Times New Roman" w:hAnsi="Times New Roman" w:cs="Times New Roman"/>
                <w:color w:val="333333"/>
                <w:sz w:val="23"/>
                <w:szCs w:val="23"/>
                <w:lang w:bidi="ar-SA"/>
              </w:rPr>
              <w:t>. 2015), 82–89.</w:t>
            </w:r>
          </w:p>
          <w:bookmarkEnd w:id="34"/>
          <w:p w14:paraId="274BDF6C" w14:textId="77777777" w:rsidR="00F842EE" w:rsidRPr="00C11F76" w:rsidRDefault="00F842EE" w:rsidP="00F842EE">
            <w:pPr>
              <w:shd w:val="clear" w:color="auto" w:fill="FFFFFF"/>
              <w:spacing w:beforeAutospacing="1" w:line="480" w:lineRule="auto"/>
              <w:ind w:left="360"/>
              <w:rPr>
                <w:rFonts w:ascii="Times New Roman" w:eastAsia="Times New Roman" w:hAnsi="Times New Roman" w:cs="Times New Roman"/>
                <w:color w:val="333333"/>
                <w:sz w:val="23"/>
                <w:szCs w:val="23"/>
                <w:lang w:bidi="ar-SA"/>
              </w:rPr>
            </w:pPr>
          </w:p>
          <w:p w14:paraId="1E763827" w14:textId="77777777" w:rsidR="00F842EE" w:rsidRPr="004E1C22" w:rsidRDefault="00F842EE" w:rsidP="004E1C22">
            <w:pPr>
              <w:spacing w:line="276" w:lineRule="auto"/>
              <w:rPr>
                <w:rFonts w:asciiTheme="minorBidi" w:hAnsiTheme="minorBidi"/>
              </w:rPr>
            </w:pPr>
          </w:p>
        </w:tc>
        <w:tc>
          <w:tcPr>
            <w:tcW w:w="4675" w:type="dxa"/>
          </w:tcPr>
          <w:p w14:paraId="1297CEC0" w14:textId="77777777" w:rsidR="00F842EE" w:rsidRDefault="00F842EE" w:rsidP="004E1C22">
            <w:pPr>
              <w:bidi/>
              <w:spacing w:line="276" w:lineRule="auto"/>
              <w:rPr>
                <w:rFonts w:asciiTheme="minorBidi" w:hAnsiTheme="minorBidi"/>
                <w:rtl/>
              </w:rPr>
            </w:pPr>
          </w:p>
          <w:p w14:paraId="2AA32A69" w14:textId="35D27897" w:rsidR="008A753D" w:rsidRPr="008A753D" w:rsidRDefault="008A753D" w:rsidP="008A753D">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5</w:t>
            </w:r>
            <w:r w:rsidRPr="008A753D">
              <w:rPr>
                <w:rFonts w:ascii="David" w:eastAsia="Times New Roman" w:hAnsi="David" w:cs="David" w:hint="cs"/>
                <w:sz w:val="24"/>
                <w:szCs w:val="24"/>
                <w:rtl/>
                <w:lang w:eastAsia="zh-CN"/>
              </w:rPr>
              <w:t xml:space="preserve">. חוקרים רבים הציעו שפגיעות גוף כגון "עין תחת עין, שן תחת שן, </w:t>
            </w:r>
            <w:proofErr w:type="spellStart"/>
            <w:r w:rsidRPr="008A753D">
              <w:rPr>
                <w:rFonts w:ascii="David" w:eastAsia="Times New Roman" w:hAnsi="David" w:cs="David" w:hint="cs"/>
                <w:sz w:val="24"/>
                <w:szCs w:val="24"/>
                <w:rtl/>
                <w:lang w:eastAsia="zh-CN"/>
              </w:rPr>
              <w:t>וכו</w:t>
            </w:r>
            <w:proofErr w:type="spellEnd"/>
            <w:r w:rsidRPr="008A753D">
              <w:rPr>
                <w:rFonts w:ascii="David" w:eastAsia="Times New Roman" w:hAnsi="David" w:cs="David" w:hint="cs"/>
                <w:sz w:val="24"/>
                <w:szCs w:val="24"/>
                <w:rtl/>
                <w:lang w:eastAsia="zh-CN"/>
              </w:rPr>
              <w:t>'' מתייחסות לפגיעות בעובר ולא באם.</w:t>
            </w:r>
            <w:r w:rsidRPr="008A753D">
              <w:rPr>
                <w:rFonts w:ascii="David" w:eastAsia="Times New Roman" w:hAnsi="David" w:cs="David"/>
                <w:sz w:val="24"/>
                <w:szCs w:val="24"/>
                <w:lang w:eastAsia="zh-CN"/>
              </w:rPr>
              <w:t xml:space="preserve"> </w:t>
            </w:r>
            <w:r w:rsidRPr="008A753D">
              <w:rPr>
                <w:rFonts w:ascii="David" w:eastAsia="Times New Roman" w:hAnsi="David" w:cs="David" w:hint="cs"/>
                <w:sz w:val="24"/>
                <w:szCs w:val="24"/>
                <w:rtl/>
                <w:lang w:eastAsia="zh-CN"/>
              </w:rPr>
              <w:t xml:space="preserve">ההתנגדויות לעמדה זו מובאות ב- </w:t>
            </w:r>
          </w:p>
          <w:p w14:paraId="509EC8B3" w14:textId="77777777" w:rsidR="008A753D" w:rsidRPr="008A753D" w:rsidRDefault="008A753D" w:rsidP="008A753D">
            <w:pPr>
              <w:shd w:val="clear" w:color="auto" w:fill="FFFFFF"/>
              <w:spacing w:before="100" w:beforeAutospacing="1" w:line="480" w:lineRule="auto"/>
              <w:ind w:left="360"/>
              <w:rPr>
                <w:rFonts w:ascii="Times New Roman" w:eastAsia="Times New Roman" w:hAnsi="Times New Roman" w:cs="Times New Roman"/>
                <w:color w:val="333333"/>
                <w:sz w:val="23"/>
                <w:szCs w:val="23"/>
                <w:lang w:eastAsia="zh-CN" w:bidi="ar-SA"/>
              </w:rPr>
            </w:pPr>
            <w:r w:rsidRPr="008A753D">
              <w:rPr>
                <w:rFonts w:ascii="Times New Roman" w:eastAsia="Times New Roman" w:hAnsi="Times New Roman" w:cs="Times New Roman"/>
                <w:color w:val="333333"/>
                <w:sz w:val="23"/>
                <w:szCs w:val="23"/>
                <w:lang w:eastAsia="zh-CN" w:bidi="ar-SA"/>
              </w:rPr>
              <w:t>Sandra Jacobs, </w:t>
            </w:r>
            <w:r w:rsidRPr="008A753D">
              <w:rPr>
                <w:rFonts w:ascii="Times New Roman" w:eastAsia="Times New Roman" w:hAnsi="Times New Roman" w:cs="Times New Roman"/>
                <w:i/>
                <w:iCs/>
                <w:color w:val="333333"/>
                <w:sz w:val="23"/>
                <w:lang w:eastAsia="zh-CN" w:bidi="ar-SA"/>
              </w:rPr>
              <w:t>The Body as Property: Physical Disfigurement in Biblical Law </w:t>
            </w:r>
            <w:r w:rsidRPr="008A753D">
              <w:rPr>
                <w:rFonts w:ascii="Times New Roman" w:eastAsia="Times New Roman" w:hAnsi="Times New Roman" w:cs="Times New Roman"/>
                <w:color w:val="333333"/>
                <w:sz w:val="23"/>
                <w:szCs w:val="23"/>
                <w:lang w:eastAsia="zh-CN" w:bidi="ar-SA"/>
              </w:rPr>
              <w:t xml:space="preserve">(London: T&amp;T Clarke/Bloomsbury Academic, 2014, </w:t>
            </w:r>
            <w:proofErr w:type="spellStart"/>
            <w:r w:rsidRPr="008A753D">
              <w:rPr>
                <w:rFonts w:ascii="Times New Roman" w:eastAsia="Times New Roman" w:hAnsi="Times New Roman" w:cs="Times New Roman"/>
                <w:color w:val="333333"/>
                <w:sz w:val="23"/>
                <w:szCs w:val="23"/>
                <w:lang w:eastAsia="zh-CN" w:bidi="ar-SA"/>
              </w:rPr>
              <w:t>repr</w:t>
            </w:r>
            <w:proofErr w:type="spellEnd"/>
            <w:r w:rsidRPr="008A753D">
              <w:rPr>
                <w:rFonts w:ascii="Times New Roman" w:eastAsia="Times New Roman" w:hAnsi="Times New Roman" w:cs="Times New Roman"/>
                <w:color w:val="333333"/>
                <w:sz w:val="23"/>
                <w:szCs w:val="23"/>
                <w:lang w:eastAsia="zh-CN" w:bidi="ar-SA"/>
              </w:rPr>
              <w:t>. 2015), 82–89.</w:t>
            </w:r>
          </w:p>
          <w:p w14:paraId="3854FACC" w14:textId="71277A9D" w:rsidR="008A753D" w:rsidRPr="008A753D" w:rsidRDefault="008A753D" w:rsidP="008A753D">
            <w:pPr>
              <w:bidi/>
              <w:rPr>
                <w:rFonts w:asciiTheme="minorBidi" w:hAnsiTheme="minorBidi"/>
                <w:rtl/>
              </w:rPr>
            </w:pPr>
          </w:p>
        </w:tc>
      </w:tr>
      <w:tr w:rsidR="00F842EE" w14:paraId="75D84315" w14:textId="77777777" w:rsidTr="004E1C22">
        <w:tc>
          <w:tcPr>
            <w:tcW w:w="4675" w:type="dxa"/>
          </w:tcPr>
          <w:p w14:paraId="3860B328" w14:textId="529CCDCE" w:rsidR="00622E0B" w:rsidRPr="00C11F76" w:rsidRDefault="00622E0B" w:rsidP="00622E0B">
            <w:pPr>
              <w:shd w:val="clear" w:color="auto" w:fill="FFFFFF"/>
              <w:spacing w:line="435" w:lineRule="atLeast"/>
              <w:ind w:left="720"/>
              <w:textAlignment w:val="top"/>
              <w:rPr>
                <w:rFonts w:ascii="Times New Roman" w:eastAsia="Times New Roman" w:hAnsi="Times New Roman" w:cs="Times New Roman"/>
                <w:color w:val="333333"/>
                <w:sz w:val="23"/>
                <w:szCs w:val="23"/>
                <w:lang w:bidi="ar-SA"/>
              </w:rPr>
            </w:pPr>
            <w:proofErr w:type="spellStart"/>
            <w:r w:rsidRPr="00C11F76">
              <w:rPr>
                <w:rFonts w:ascii="Times New Roman" w:eastAsia="Times New Roman" w:hAnsi="Times New Roman" w:cs="Times New Roman"/>
                <w:color w:val="333333"/>
                <w:sz w:val="17"/>
                <w:szCs w:val="17"/>
                <w:vertAlign w:val="superscript"/>
                <w:lang w:bidi="ar-SA"/>
              </w:rPr>
              <w:t>Exod</w:t>
            </w:r>
            <w:proofErr w:type="spellEnd"/>
            <w:r w:rsidRPr="00C11F76">
              <w:rPr>
                <w:rFonts w:ascii="Times New Roman" w:eastAsia="Times New Roman" w:hAnsi="Times New Roman" w:cs="Times New Roman"/>
                <w:color w:val="333333"/>
                <w:sz w:val="17"/>
                <w:szCs w:val="17"/>
                <w:vertAlign w:val="superscript"/>
                <w:lang w:bidi="ar-SA"/>
              </w:rPr>
              <w:t xml:space="preserve"> 21:12</w:t>
            </w:r>
            <w:r w:rsidRPr="00C11F76">
              <w:rPr>
                <w:rFonts w:ascii="Times New Roman" w:eastAsia="Times New Roman" w:hAnsi="Times New Roman" w:cs="Times New Roman"/>
                <w:color w:val="333333"/>
                <w:sz w:val="23"/>
                <w:szCs w:val="23"/>
                <w:lang w:bidi="ar-SA"/>
              </w:rPr>
              <w:t> He who fatally strikes a man shall be put to death. </w:t>
            </w:r>
            <w:r w:rsidRPr="00C11F76">
              <w:rPr>
                <w:rFonts w:ascii="Times New Roman" w:eastAsia="Times New Roman" w:hAnsi="Times New Roman" w:cs="Times New Roman"/>
                <w:color w:val="333333"/>
                <w:sz w:val="17"/>
                <w:szCs w:val="17"/>
                <w:vertAlign w:val="superscript"/>
                <w:lang w:bidi="ar-SA"/>
              </w:rPr>
              <w:t>21:13</w:t>
            </w:r>
            <w:r w:rsidRPr="00C11F76">
              <w:rPr>
                <w:rFonts w:ascii="Times New Roman" w:eastAsia="Times New Roman" w:hAnsi="Times New Roman" w:cs="Times New Roman"/>
                <w:color w:val="333333"/>
                <w:sz w:val="23"/>
                <w:szCs w:val="23"/>
                <w:lang w:bidi="ar-SA"/>
              </w:rPr>
              <w:t> If he did not do it by design, but it came about by an act of God, I will assign you a place to which he can flee.</w:t>
            </w:r>
            <w:r w:rsidRPr="00C11F76">
              <w:rPr>
                <w:rFonts w:ascii="Times New Roman" w:eastAsia="Times New Roman" w:hAnsi="Times New Roman" w:cs="Times New Roman"/>
                <w:color w:val="333333"/>
                <w:sz w:val="17"/>
                <w:szCs w:val="17"/>
                <w:vertAlign w:val="superscript"/>
                <w:lang w:bidi="ar-SA"/>
              </w:rPr>
              <w:t> 21:14</w:t>
            </w:r>
            <w:r w:rsidRPr="00C11F76">
              <w:rPr>
                <w:rFonts w:ascii="Times New Roman" w:eastAsia="Times New Roman" w:hAnsi="Times New Roman" w:cs="Times New Roman"/>
                <w:color w:val="333333"/>
                <w:sz w:val="23"/>
                <w:szCs w:val="23"/>
                <w:lang w:bidi="ar-SA"/>
              </w:rPr>
              <w:t xml:space="preserve"> When a man schemes against another and kills him </w:t>
            </w:r>
            <w:r w:rsidRPr="00C11F76">
              <w:rPr>
                <w:rFonts w:ascii="Times New Roman" w:eastAsia="Times New Roman" w:hAnsi="Times New Roman" w:cs="Times New Roman"/>
                <w:color w:val="333333"/>
                <w:sz w:val="23"/>
                <w:szCs w:val="23"/>
                <w:lang w:bidi="ar-SA"/>
              </w:rPr>
              <w:lastRenderedPageBreak/>
              <w:t>treacherously, you shall take him from My very altar to be put to death.</w:t>
            </w:r>
          </w:p>
          <w:p w14:paraId="047D806E" w14:textId="77777777" w:rsidR="00F842EE" w:rsidRPr="00622E0B" w:rsidRDefault="00F842EE" w:rsidP="00622E0B">
            <w:pPr>
              <w:shd w:val="clear" w:color="auto" w:fill="FFFFFF"/>
              <w:bidi/>
              <w:spacing w:after="100" w:line="435" w:lineRule="atLeast"/>
              <w:ind w:left="1440"/>
              <w:textAlignment w:val="top"/>
              <w:rPr>
                <w:rFonts w:asciiTheme="minorBidi" w:hAnsiTheme="minorBidi"/>
              </w:rPr>
            </w:pPr>
          </w:p>
        </w:tc>
        <w:tc>
          <w:tcPr>
            <w:tcW w:w="4675" w:type="dxa"/>
          </w:tcPr>
          <w:p w14:paraId="1099C718" w14:textId="49EC48C8" w:rsidR="00622E0B" w:rsidRPr="00635F5E" w:rsidRDefault="00622E0B" w:rsidP="00635F5E">
            <w:pPr>
              <w:pStyle w:val="aa"/>
              <w:numPr>
                <w:ilvl w:val="0"/>
                <w:numId w:val="4"/>
              </w:numPr>
              <w:shd w:val="clear" w:color="auto" w:fill="FFFFFF"/>
              <w:bidi/>
              <w:spacing w:after="100" w:line="435" w:lineRule="atLeast"/>
              <w:textAlignment w:val="top"/>
              <w:rPr>
                <w:rFonts w:ascii="Times New Roman" w:eastAsia="Times New Roman" w:hAnsi="Times New Roman" w:cs="Times New Roman"/>
                <w:color w:val="333333"/>
                <w:sz w:val="26"/>
                <w:szCs w:val="26"/>
                <w:lang w:bidi="ar-SA"/>
              </w:rPr>
            </w:pPr>
            <w:r w:rsidRPr="00635F5E">
              <w:rPr>
                <w:rFonts w:ascii="Times New Roman" w:eastAsia="Times New Roman" w:hAnsi="Times New Roman" w:cs="Times New Roman"/>
                <w:color w:val="333333"/>
                <w:sz w:val="19"/>
                <w:szCs w:val="19"/>
                <w:vertAlign w:val="superscript"/>
                <w:rtl/>
              </w:rPr>
              <w:lastRenderedPageBreak/>
              <w:t xml:space="preserve">שמות </w:t>
            </w:r>
            <w:proofErr w:type="spellStart"/>
            <w:r w:rsidRPr="00635F5E">
              <w:rPr>
                <w:rFonts w:ascii="Times New Roman" w:eastAsia="Times New Roman" w:hAnsi="Times New Roman" w:cs="Times New Roman"/>
                <w:color w:val="333333"/>
                <w:sz w:val="19"/>
                <w:szCs w:val="19"/>
                <w:vertAlign w:val="superscript"/>
                <w:rtl/>
              </w:rPr>
              <w:t>כא:יב</w:t>
            </w:r>
            <w:proofErr w:type="spellEnd"/>
            <w:r w:rsidRPr="00635F5E">
              <w:rPr>
                <w:rFonts w:ascii="Times New Roman" w:eastAsia="Times New Roman" w:hAnsi="Times New Roman" w:cs="Times New Roman"/>
                <w:color w:val="333333"/>
                <w:sz w:val="26"/>
                <w:szCs w:val="26"/>
                <w:rtl/>
                <w:lang w:bidi="ar-SA"/>
              </w:rPr>
              <w:t> </w:t>
            </w:r>
            <w:r w:rsidRPr="00635F5E">
              <w:rPr>
                <w:rFonts w:ascii="Times New Roman" w:eastAsia="Times New Roman" w:hAnsi="Times New Roman" w:cs="Times New Roman"/>
                <w:color w:val="333333"/>
                <w:sz w:val="26"/>
                <w:szCs w:val="26"/>
                <w:rtl/>
              </w:rPr>
              <w:t>מַכֵּה אִישׁ וָמֵת מוֹת יוּמָת.</w:t>
            </w:r>
            <w:r w:rsidRPr="00635F5E">
              <w:rPr>
                <w:rFonts w:ascii="Times New Roman" w:eastAsia="Times New Roman" w:hAnsi="Times New Roman" w:cs="Times New Roman"/>
                <w:color w:val="333333"/>
                <w:sz w:val="26"/>
                <w:szCs w:val="26"/>
                <w:rtl/>
                <w:lang w:bidi="ar-SA"/>
              </w:rPr>
              <w:t> </w:t>
            </w:r>
            <w:proofErr w:type="spellStart"/>
            <w:r w:rsidRPr="00635F5E">
              <w:rPr>
                <w:rFonts w:ascii="Times New Roman" w:eastAsia="Times New Roman" w:hAnsi="Times New Roman" w:cs="Times New Roman"/>
                <w:color w:val="333333"/>
                <w:sz w:val="19"/>
                <w:szCs w:val="19"/>
                <w:vertAlign w:val="superscript"/>
                <w:rtl/>
              </w:rPr>
              <w:t>כא:יג</w:t>
            </w:r>
            <w:proofErr w:type="spellEnd"/>
            <w:r w:rsidRPr="00635F5E">
              <w:rPr>
                <w:rFonts w:ascii="Times New Roman" w:eastAsia="Times New Roman" w:hAnsi="Times New Roman" w:cs="Times New Roman"/>
                <w:color w:val="333333"/>
                <w:sz w:val="26"/>
                <w:szCs w:val="26"/>
                <w:rtl/>
                <w:lang w:bidi="ar-SA"/>
              </w:rPr>
              <w:t> </w:t>
            </w:r>
            <w:r w:rsidRPr="00635F5E">
              <w:rPr>
                <w:rFonts w:ascii="Times New Roman" w:eastAsia="Times New Roman" w:hAnsi="Times New Roman" w:cs="Times New Roman"/>
                <w:color w:val="333333"/>
                <w:sz w:val="26"/>
                <w:szCs w:val="26"/>
                <w:rtl/>
              </w:rPr>
              <w:t xml:space="preserve">וַאֲשֶׁר לֹא צָדָה </w:t>
            </w:r>
            <w:proofErr w:type="spellStart"/>
            <w:r w:rsidRPr="00635F5E">
              <w:rPr>
                <w:rFonts w:ascii="Times New Roman" w:eastAsia="Times New Roman" w:hAnsi="Times New Roman" w:cs="Times New Roman"/>
                <w:color w:val="333333"/>
                <w:sz w:val="26"/>
                <w:szCs w:val="26"/>
                <w:rtl/>
              </w:rPr>
              <w:t>וְהָאֱלֹהִים</w:t>
            </w:r>
            <w:proofErr w:type="spellEnd"/>
            <w:r w:rsidRPr="00635F5E">
              <w:rPr>
                <w:rFonts w:ascii="Times New Roman" w:eastAsia="Times New Roman" w:hAnsi="Times New Roman" w:cs="Times New Roman"/>
                <w:color w:val="333333"/>
                <w:sz w:val="26"/>
                <w:szCs w:val="26"/>
                <w:rtl/>
              </w:rPr>
              <w:t xml:space="preserve"> אִנָּה לְיָדוֹ וְשַׂמְתִּי לְךָ מָקוֹם אֲשֶׁר יָנוּס שָׁמָּה.</w:t>
            </w:r>
            <w:r w:rsidRPr="00635F5E">
              <w:rPr>
                <w:rFonts w:ascii="Times New Roman" w:eastAsia="Times New Roman" w:hAnsi="Times New Roman" w:cs="Times New Roman"/>
                <w:color w:val="333333"/>
                <w:sz w:val="26"/>
                <w:szCs w:val="26"/>
                <w:rtl/>
                <w:lang w:bidi="ar-SA"/>
              </w:rPr>
              <w:t> </w:t>
            </w:r>
            <w:proofErr w:type="spellStart"/>
            <w:r w:rsidRPr="00635F5E">
              <w:rPr>
                <w:rFonts w:ascii="Times New Roman" w:eastAsia="Times New Roman" w:hAnsi="Times New Roman" w:cs="Times New Roman"/>
                <w:color w:val="333333"/>
                <w:sz w:val="19"/>
                <w:szCs w:val="19"/>
                <w:vertAlign w:val="superscript"/>
                <w:rtl/>
              </w:rPr>
              <w:t>כא:יד</w:t>
            </w:r>
            <w:proofErr w:type="spellEnd"/>
            <w:r w:rsidRPr="00635F5E">
              <w:rPr>
                <w:rFonts w:ascii="Times New Roman" w:eastAsia="Times New Roman" w:hAnsi="Times New Roman" w:cs="Times New Roman"/>
                <w:color w:val="333333"/>
                <w:sz w:val="26"/>
                <w:szCs w:val="26"/>
                <w:rtl/>
                <w:lang w:bidi="ar-SA"/>
              </w:rPr>
              <w:t> </w:t>
            </w:r>
            <w:r w:rsidRPr="00635F5E">
              <w:rPr>
                <w:rFonts w:ascii="Times New Roman" w:eastAsia="Times New Roman" w:hAnsi="Times New Roman" w:cs="Times New Roman"/>
                <w:color w:val="333333"/>
                <w:sz w:val="26"/>
                <w:szCs w:val="26"/>
                <w:rtl/>
              </w:rPr>
              <w:t xml:space="preserve">וְכִי </w:t>
            </w:r>
            <w:proofErr w:type="spellStart"/>
            <w:r w:rsidRPr="00635F5E">
              <w:rPr>
                <w:rFonts w:ascii="Times New Roman" w:eastAsia="Times New Roman" w:hAnsi="Times New Roman" w:cs="Times New Roman"/>
                <w:color w:val="333333"/>
                <w:sz w:val="26"/>
                <w:szCs w:val="26"/>
                <w:rtl/>
              </w:rPr>
              <w:t>יָזִד</w:t>
            </w:r>
            <w:proofErr w:type="spellEnd"/>
            <w:r w:rsidRPr="00635F5E">
              <w:rPr>
                <w:rFonts w:ascii="Times New Roman" w:eastAsia="Times New Roman" w:hAnsi="Times New Roman" w:cs="Times New Roman"/>
                <w:color w:val="333333"/>
                <w:sz w:val="26"/>
                <w:szCs w:val="26"/>
                <w:rtl/>
              </w:rPr>
              <w:t xml:space="preserve"> אִישׁ עַל רֵעֵהוּ </w:t>
            </w:r>
            <w:proofErr w:type="spellStart"/>
            <w:r w:rsidRPr="00635F5E">
              <w:rPr>
                <w:rFonts w:ascii="Times New Roman" w:eastAsia="Times New Roman" w:hAnsi="Times New Roman" w:cs="Times New Roman"/>
                <w:color w:val="333333"/>
                <w:sz w:val="26"/>
                <w:szCs w:val="26"/>
                <w:rtl/>
              </w:rPr>
              <w:t>לְהָרְגו</w:t>
            </w:r>
            <w:proofErr w:type="spellEnd"/>
            <w:r w:rsidRPr="00635F5E">
              <w:rPr>
                <w:rFonts w:ascii="Times New Roman" w:eastAsia="Times New Roman" w:hAnsi="Times New Roman" w:cs="Times New Roman"/>
                <w:color w:val="333333"/>
                <w:sz w:val="26"/>
                <w:szCs w:val="26"/>
                <w:rtl/>
              </w:rPr>
              <w:t xml:space="preserve">ֹ בְעָרְמָה מֵעִם מִזְבְּחִי </w:t>
            </w:r>
            <w:proofErr w:type="spellStart"/>
            <w:r w:rsidRPr="00635F5E">
              <w:rPr>
                <w:rFonts w:ascii="Times New Roman" w:eastAsia="Times New Roman" w:hAnsi="Times New Roman" w:cs="Times New Roman"/>
                <w:color w:val="333333"/>
                <w:sz w:val="26"/>
                <w:szCs w:val="26"/>
                <w:rtl/>
              </w:rPr>
              <w:t>תִּקָּחֶנּו</w:t>
            </w:r>
            <w:proofErr w:type="spellEnd"/>
            <w:r w:rsidRPr="00635F5E">
              <w:rPr>
                <w:rFonts w:ascii="Times New Roman" w:eastAsia="Times New Roman" w:hAnsi="Times New Roman" w:cs="Times New Roman"/>
                <w:color w:val="333333"/>
                <w:sz w:val="26"/>
                <w:szCs w:val="26"/>
                <w:rtl/>
              </w:rPr>
              <w:t>ּ לָמוּת.</w:t>
            </w:r>
          </w:p>
          <w:p w14:paraId="5DB4A2D9" w14:textId="77777777" w:rsidR="00F842EE" w:rsidRPr="00622E0B" w:rsidRDefault="00F842EE" w:rsidP="004E1C22">
            <w:pPr>
              <w:bidi/>
              <w:spacing w:line="276" w:lineRule="auto"/>
              <w:rPr>
                <w:rFonts w:asciiTheme="minorBidi" w:hAnsiTheme="minorBidi"/>
                <w:rtl/>
              </w:rPr>
            </w:pPr>
          </w:p>
        </w:tc>
      </w:tr>
      <w:tr w:rsidR="00F842EE" w14:paraId="43E17771" w14:textId="77777777" w:rsidTr="004E1C22">
        <w:tc>
          <w:tcPr>
            <w:tcW w:w="4675" w:type="dxa"/>
          </w:tcPr>
          <w:p w14:paraId="0DA8AAAD" w14:textId="5B9FD758" w:rsidR="00622E0B" w:rsidRPr="00622E0B" w:rsidRDefault="00622E0B" w:rsidP="00622E0B">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bookmarkStart w:id="35" w:name="_Hlk90925386"/>
            <w:r w:rsidRPr="00622E0B">
              <w:rPr>
                <w:rFonts w:ascii="Times New Roman" w:eastAsia="Times New Roman" w:hAnsi="Times New Roman" w:cs="Times New Roman"/>
                <w:color w:val="333333"/>
                <w:sz w:val="23"/>
                <w:szCs w:val="23"/>
                <w:lang w:bidi="ar-SA"/>
              </w:rPr>
              <w:t>As Jacobs, “</w:t>
            </w:r>
            <w:r w:rsidRPr="00622E0B">
              <w:rPr>
                <w:rFonts w:ascii="Times New Roman" w:eastAsia="Times New Roman" w:hAnsi="Times New Roman" w:cs="Times New Roman"/>
                <w:color w:val="333333"/>
                <w:sz w:val="23"/>
                <w:szCs w:val="23"/>
                <w:rtl/>
              </w:rPr>
              <w:t>מות יומת</w:t>
            </w:r>
            <w:r w:rsidRPr="00622E0B">
              <w:rPr>
                <w:rFonts w:ascii="Times New Roman" w:eastAsia="Times New Roman" w:hAnsi="Times New Roman" w:cs="Times New Roman"/>
                <w:color w:val="333333"/>
                <w:sz w:val="23"/>
                <w:szCs w:val="23"/>
                <w:lang w:bidi="ar-SA"/>
              </w:rPr>
              <w:t xml:space="preserve"> The Death Penalty in the Covenant Code,” in </w:t>
            </w:r>
            <w:r w:rsidRPr="00622E0B">
              <w:rPr>
                <w:rFonts w:ascii="Times New Roman" w:eastAsia="Times New Roman" w:hAnsi="Times New Roman" w:cs="Times New Roman"/>
                <w:i/>
                <w:iCs/>
                <w:color w:val="333333"/>
                <w:sz w:val="23"/>
                <w:lang w:bidi="ar-SA"/>
              </w:rPr>
              <w:t>The Body as Property,</w:t>
            </w:r>
            <w:r w:rsidRPr="00622E0B">
              <w:rPr>
                <w:rFonts w:ascii="Times New Roman" w:eastAsia="Times New Roman" w:hAnsi="Times New Roman" w:cs="Times New Roman"/>
                <w:color w:val="333333"/>
                <w:sz w:val="23"/>
                <w:szCs w:val="23"/>
                <w:lang w:bidi="ar-SA"/>
              </w:rPr>
              <w:t> 108–110.</w:t>
            </w:r>
          </w:p>
          <w:bookmarkEnd w:id="35"/>
          <w:p w14:paraId="1FE32304" w14:textId="77777777" w:rsidR="00F842EE" w:rsidRPr="004E1C22" w:rsidRDefault="00F842EE" w:rsidP="004E1C22">
            <w:pPr>
              <w:spacing w:line="276" w:lineRule="auto"/>
              <w:rPr>
                <w:rFonts w:asciiTheme="minorBidi" w:hAnsiTheme="minorBidi"/>
              </w:rPr>
            </w:pPr>
          </w:p>
        </w:tc>
        <w:tc>
          <w:tcPr>
            <w:tcW w:w="4675" w:type="dxa"/>
          </w:tcPr>
          <w:p w14:paraId="37D697F0" w14:textId="72494CC9" w:rsidR="008A753D" w:rsidRPr="008A753D" w:rsidRDefault="00635F5E" w:rsidP="008A753D">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 xml:space="preserve">7. </w:t>
            </w:r>
            <w:r w:rsidR="008A753D" w:rsidRPr="008A753D">
              <w:rPr>
                <w:rFonts w:ascii="David" w:eastAsia="Times New Roman" w:hAnsi="David" w:cs="David" w:hint="cs"/>
                <w:sz w:val="24"/>
                <w:szCs w:val="24"/>
                <w:rtl/>
                <w:lang w:eastAsia="zh-CN"/>
              </w:rPr>
              <w:t>כגון</w:t>
            </w:r>
          </w:p>
          <w:p w14:paraId="3E8FA522" w14:textId="77777777" w:rsidR="008A753D" w:rsidRPr="008A753D" w:rsidRDefault="008A753D" w:rsidP="008A753D">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8A753D">
              <w:rPr>
                <w:rFonts w:ascii="Times New Roman" w:eastAsia="Times New Roman" w:hAnsi="Times New Roman" w:cs="Times New Roman"/>
                <w:color w:val="333333"/>
                <w:sz w:val="23"/>
                <w:szCs w:val="23"/>
                <w:lang w:eastAsia="zh-CN" w:bidi="ar-SA"/>
              </w:rPr>
              <w:t xml:space="preserve"> Jacobs, “</w:t>
            </w:r>
            <w:r w:rsidRPr="008A753D">
              <w:rPr>
                <w:rFonts w:ascii="Times New Roman" w:eastAsia="Times New Roman" w:hAnsi="Times New Roman" w:cs="Times New Roman"/>
                <w:color w:val="333333"/>
                <w:sz w:val="23"/>
                <w:szCs w:val="23"/>
                <w:rtl/>
                <w:lang w:eastAsia="zh-CN"/>
              </w:rPr>
              <w:t>מות יומת</w:t>
            </w:r>
            <w:r w:rsidRPr="008A753D">
              <w:rPr>
                <w:rFonts w:ascii="Times New Roman" w:eastAsia="Times New Roman" w:hAnsi="Times New Roman" w:cs="Times New Roman"/>
                <w:color w:val="333333"/>
                <w:sz w:val="23"/>
                <w:szCs w:val="23"/>
                <w:lang w:eastAsia="zh-CN" w:bidi="ar-SA"/>
              </w:rPr>
              <w:t xml:space="preserve"> The Death Penalty in the Covenant Code,” in </w:t>
            </w:r>
            <w:r w:rsidRPr="008A753D">
              <w:rPr>
                <w:rFonts w:ascii="Times New Roman" w:eastAsia="Times New Roman" w:hAnsi="Times New Roman" w:cs="Times New Roman"/>
                <w:i/>
                <w:iCs/>
                <w:color w:val="333333"/>
                <w:sz w:val="23"/>
                <w:lang w:eastAsia="zh-CN" w:bidi="ar-SA"/>
              </w:rPr>
              <w:t>The Body as Property,</w:t>
            </w:r>
            <w:r w:rsidRPr="008A753D">
              <w:rPr>
                <w:rFonts w:ascii="Times New Roman" w:eastAsia="Times New Roman" w:hAnsi="Times New Roman" w:cs="Times New Roman"/>
                <w:color w:val="333333"/>
                <w:sz w:val="23"/>
                <w:szCs w:val="23"/>
                <w:lang w:eastAsia="zh-CN" w:bidi="ar-SA"/>
              </w:rPr>
              <w:t> 108–110.</w:t>
            </w:r>
          </w:p>
          <w:p w14:paraId="67C3214D" w14:textId="77777777" w:rsidR="00F842EE" w:rsidRDefault="00F842EE" w:rsidP="004E1C22">
            <w:pPr>
              <w:bidi/>
              <w:spacing w:line="276" w:lineRule="auto"/>
              <w:rPr>
                <w:rFonts w:asciiTheme="minorBidi" w:hAnsiTheme="minorBidi"/>
                <w:rtl/>
              </w:rPr>
            </w:pPr>
          </w:p>
        </w:tc>
      </w:tr>
      <w:tr w:rsidR="00F842EE" w14:paraId="3E1E4350" w14:textId="77777777" w:rsidTr="004E1C22">
        <w:tc>
          <w:tcPr>
            <w:tcW w:w="4675" w:type="dxa"/>
          </w:tcPr>
          <w:p w14:paraId="690C2C26" w14:textId="361F7075" w:rsidR="00622E0B" w:rsidRPr="00622E0B" w:rsidRDefault="00622E0B" w:rsidP="00622E0B">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bookmarkStart w:id="36" w:name="_Hlk90925432"/>
            <w:r w:rsidRPr="00622E0B">
              <w:rPr>
                <w:rFonts w:ascii="Times New Roman" w:eastAsia="Times New Roman" w:hAnsi="Times New Roman" w:cs="Times New Roman"/>
                <w:color w:val="333333"/>
                <w:sz w:val="23"/>
                <w:szCs w:val="23"/>
                <w:lang w:bidi="ar-SA"/>
              </w:rPr>
              <w:t>b. </w:t>
            </w:r>
            <w:r w:rsidRPr="00622E0B">
              <w:rPr>
                <w:rFonts w:ascii="Times New Roman" w:eastAsia="Times New Roman" w:hAnsi="Times New Roman" w:cs="Times New Roman"/>
                <w:color w:val="333333"/>
                <w:sz w:val="23"/>
                <w:lang w:bidi="ar-SA"/>
              </w:rPr>
              <w:t>Sanhedrin</w:t>
            </w:r>
            <w:r w:rsidRPr="00622E0B">
              <w:rPr>
                <w:rFonts w:ascii="Times New Roman" w:eastAsia="Times New Roman" w:hAnsi="Times New Roman" w:cs="Times New Roman"/>
                <w:color w:val="333333"/>
                <w:sz w:val="23"/>
                <w:szCs w:val="23"/>
                <w:lang w:bidi="ar-SA"/>
              </w:rPr>
              <w:t> 79a, b. </w:t>
            </w:r>
            <w:proofErr w:type="spellStart"/>
            <w:r w:rsidRPr="00622E0B">
              <w:rPr>
                <w:rFonts w:ascii="Times New Roman" w:eastAsia="Times New Roman" w:hAnsi="Times New Roman" w:cs="Times New Roman"/>
                <w:i/>
                <w:iCs/>
                <w:color w:val="333333"/>
                <w:sz w:val="23"/>
                <w:lang w:bidi="ar-SA"/>
              </w:rPr>
              <w:t>Bava</w:t>
            </w:r>
            <w:proofErr w:type="spellEnd"/>
            <w:r w:rsidRPr="00622E0B">
              <w:rPr>
                <w:rFonts w:ascii="Times New Roman" w:eastAsia="Times New Roman" w:hAnsi="Times New Roman" w:cs="Times New Roman"/>
                <w:i/>
                <w:iCs/>
                <w:color w:val="333333"/>
                <w:sz w:val="23"/>
                <w:lang w:bidi="ar-SA"/>
              </w:rPr>
              <w:t xml:space="preserve"> Qama</w:t>
            </w:r>
            <w:r w:rsidRPr="00622E0B">
              <w:rPr>
                <w:rFonts w:ascii="Times New Roman" w:eastAsia="Times New Roman" w:hAnsi="Times New Roman" w:cs="Times New Roman"/>
                <w:color w:val="333333"/>
                <w:sz w:val="23"/>
                <w:szCs w:val="23"/>
                <w:lang w:bidi="ar-SA"/>
              </w:rPr>
              <w:t> 72a.</w:t>
            </w:r>
          </w:p>
          <w:bookmarkEnd w:id="36"/>
          <w:p w14:paraId="5DF9BA2C" w14:textId="77777777" w:rsidR="00622E0B" w:rsidRPr="00C11F76" w:rsidRDefault="00622E0B" w:rsidP="00622E0B">
            <w:pPr>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C11F76">
              <w:rPr>
                <w:rFonts w:ascii="Times New Roman" w:eastAsia="Times New Roman" w:hAnsi="Times New Roman" w:cs="Times New Roman"/>
                <w:color w:val="333333"/>
                <w:sz w:val="23"/>
                <w:szCs w:val="23"/>
                <w:lang w:bidi="ar-SA"/>
              </w:rPr>
              <w:t xml:space="preserve">See </w:t>
            </w:r>
            <w:bookmarkStart w:id="37" w:name="_Hlk90925531"/>
            <w:r w:rsidRPr="00C11F76">
              <w:rPr>
                <w:rFonts w:ascii="Times New Roman" w:eastAsia="Times New Roman" w:hAnsi="Times New Roman" w:cs="Times New Roman"/>
                <w:color w:val="333333"/>
                <w:sz w:val="23"/>
                <w:szCs w:val="23"/>
                <w:lang w:bidi="ar-SA"/>
              </w:rPr>
              <w:t>David Wright, </w:t>
            </w:r>
            <w:r w:rsidRPr="00C11F76">
              <w:rPr>
                <w:rFonts w:ascii="Times New Roman" w:eastAsia="Times New Roman" w:hAnsi="Times New Roman" w:cs="Times New Roman"/>
                <w:i/>
                <w:iCs/>
                <w:color w:val="333333"/>
                <w:sz w:val="23"/>
                <w:lang w:bidi="ar-SA"/>
              </w:rPr>
              <w:t>Inventing God's Law: How the Covenant Code of the Bible Used and Revised the Laws of Hammurabi</w:t>
            </w:r>
            <w:r w:rsidRPr="00C11F76">
              <w:rPr>
                <w:rFonts w:ascii="Times New Roman" w:eastAsia="Times New Roman" w:hAnsi="Times New Roman" w:cs="Times New Roman"/>
                <w:color w:val="333333"/>
                <w:sz w:val="23"/>
                <w:szCs w:val="23"/>
                <w:lang w:bidi="ar-SA"/>
              </w:rPr>
              <w:t> (Oxford: OUP, 2009).</w:t>
            </w:r>
          </w:p>
          <w:bookmarkEnd w:id="37"/>
          <w:p w14:paraId="2CAD3CE6" w14:textId="77777777" w:rsidR="00F842EE" w:rsidRPr="004E1C22" w:rsidRDefault="00F842EE" w:rsidP="004E1C22">
            <w:pPr>
              <w:spacing w:line="276" w:lineRule="auto"/>
              <w:rPr>
                <w:rFonts w:asciiTheme="minorBidi" w:hAnsiTheme="minorBidi"/>
              </w:rPr>
            </w:pPr>
          </w:p>
        </w:tc>
        <w:tc>
          <w:tcPr>
            <w:tcW w:w="4675" w:type="dxa"/>
          </w:tcPr>
          <w:p w14:paraId="640D139A" w14:textId="27922CFC" w:rsidR="008A753D" w:rsidRPr="008A753D" w:rsidRDefault="008A753D" w:rsidP="008A753D">
            <w:pPr>
              <w:shd w:val="clear" w:color="auto" w:fill="FFFFFF"/>
              <w:bidi/>
              <w:spacing w:before="100" w:beforeAutospacing="1" w:line="480" w:lineRule="auto"/>
              <w:ind w:left="283"/>
              <w:rPr>
                <w:rFonts w:ascii="Times New Roman" w:eastAsia="Times New Roman" w:hAnsi="Times New Roman" w:cs="Times New Roman"/>
                <w:color w:val="333333"/>
                <w:sz w:val="23"/>
                <w:szCs w:val="23"/>
                <w:lang w:eastAsia="zh-CN" w:bidi="ar-SA"/>
              </w:rPr>
            </w:pPr>
            <w:r>
              <w:rPr>
                <w:rFonts w:ascii="David" w:eastAsia="Times New Roman" w:hAnsi="David" w:cs="David" w:hint="cs"/>
                <w:sz w:val="24"/>
                <w:szCs w:val="24"/>
                <w:rtl/>
                <w:lang w:eastAsia="zh-CN"/>
              </w:rPr>
              <w:t xml:space="preserve">8. </w:t>
            </w:r>
            <w:r w:rsidRPr="008A753D">
              <w:rPr>
                <w:rFonts w:ascii="David" w:eastAsia="Times New Roman" w:hAnsi="David" w:cs="David" w:hint="cs"/>
                <w:sz w:val="24"/>
                <w:szCs w:val="24"/>
                <w:rtl/>
                <w:lang w:eastAsia="zh-CN"/>
              </w:rPr>
              <w:t>ראו</w:t>
            </w:r>
          </w:p>
          <w:p w14:paraId="64B5E079" w14:textId="77777777" w:rsidR="008A753D" w:rsidRPr="008A753D" w:rsidRDefault="008A753D" w:rsidP="008A753D">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8A753D">
              <w:rPr>
                <w:rFonts w:ascii="Times New Roman" w:eastAsia="Times New Roman" w:hAnsi="Times New Roman" w:cs="Times New Roman"/>
                <w:color w:val="333333"/>
                <w:sz w:val="23"/>
                <w:szCs w:val="23"/>
                <w:lang w:eastAsia="zh-CN" w:bidi="ar-SA"/>
              </w:rPr>
              <w:t xml:space="preserve"> b. </w:t>
            </w:r>
            <w:r w:rsidRPr="008A753D">
              <w:rPr>
                <w:rFonts w:ascii="Times New Roman" w:eastAsia="Times New Roman" w:hAnsi="Times New Roman" w:cs="Times New Roman"/>
                <w:i/>
                <w:iCs/>
                <w:color w:val="333333"/>
                <w:sz w:val="23"/>
                <w:lang w:eastAsia="zh-CN" w:bidi="ar-SA"/>
              </w:rPr>
              <w:t>Sanhedrin</w:t>
            </w:r>
            <w:r w:rsidRPr="008A753D">
              <w:rPr>
                <w:rFonts w:ascii="Times New Roman" w:eastAsia="Times New Roman" w:hAnsi="Times New Roman" w:cs="Times New Roman"/>
                <w:color w:val="333333"/>
                <w:sz w:val="23"/>
                <w:szCs w:val="23"/>
                <w:lang w:eastAsia="zh-CN" w:bidi="ar-SA"/>
              </w:rPr>
              <w:t> 79a, b. </w:t>
            </w:r>
            <w:proofErr w:type="spellStart"/>
            <w:r w:rsidRPr="008A753D">
              <w:rPr>
                <w:rFonts w:ascii="Times New Roman" w:eastAsia="Times New Roman" w:hAnsi="Times New Roman" w:cs="Times New Roman"/>
                <w:i/>
                <w:iCs/>
                <w:color w:val="333333"/>
                <w:sz w:val="23"/>
                <w:lang w:eastAsia="zh-CN" w:bidi="ar-SA"/>
              </w:rPr>
              <w:t>Bava</w:t>
            </w:r>
            <w:proofErr w:type="spellEnd"/>
            <w:r w:rsidRPr="008A753D">
              <w:rPr>
                <w:rFonts w:ascii="Times New Roman" w:eastAsia="Times New Roman" w:hAnsi="Times New Roman" w:cs="Times New Roman"/>
                <w:i/>
                <w:iCs/>
                <w:color w:val="333333"/>
                <w:sz w:val="23"/>
                <w:lang w:eastAsia="zh-CN" w:bidi="ar-SA"/>
              </w:rPr>
              <w:t xml:space="preserve"> Qama</w:t>
            </w:r>
            <w:r w:rsidRPr="008A753D">
              <w:rPr>
                <w:rFonts w:ascii="Times New Roman" w:eastAsia="Times New Roman" w:hAnsi="Times New Roman" w:cs="Times New Roman"/>
                <w:color w:val="333333"/>
                <w:sz w:val="23"/>
                <w:szCs w:val="23"/>
                <w:lang w:eastAsia="zh-CN" w:bidi="ar-SA"/>
              </w:rPr>
              <w:t> 72a.</w:t>
            </w:r>
          </w:p>
          <w:p w14:paraId="30716085" w14:textId="77777777" w:rsidR="008A753D" w:rsidRPr="008A753D" w:rsidRDefault="008A753D" w:rsidP="008A753D">
            <w:pPr>
              <w:shd w:val="clear" w:color="auto" w:fill="FFFFFF"/>
              <w:bidi/>
              <w:spacing w:after="300" w:line="465" w:lineRule="atLeast"/>
              <w:rPr>
                <w:rFonts w:ascii="David" w:eastAsia="Times New Roman" w:hAnsi="David" w:cs="David"/>
                <w:sz w:val="24"/>
                <w:szCs w:val="24"/>
                <w:rtl/>
                <w:lang w:eastAsia="zh-CN"/>
              </w:rPr>
            </w:pPr>
            <w:r w:rsidRPr="008A753D">
              <w:rPr>
                <w:rFonts w:ascii="David" w:eastAsia="Times New Roman" w:hAnsi="David" w:cs="David" w:hint="cs"/>
                <w:sz w:val="24"/>
                <w:szCs w:val="24"/>
                <w:rtl/>
                <w:lang w:eastAsia="zh-CN"/>
              </w:rPr>
              <w:t>9. ראו</w:t>
            </w:r>
          </w:p>
          <w:p w14:paraId="08908AA3" w14:textId="77777777" w:rsidR="008A753D" w:rsidRPr="008A753D" w:rsidRDefault="008A753D" w:rsidP="008A753D">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8A753D">
              <w:rPr>
                <w:rFonts w:ascii="Times New Roman" w:eastAsia="Times New Roman" w:hAnsi="Times New Roman" w:cs="Times New Roman"/>
                <w:color w:val="333333"/>
                <w:sz w:val="23"/>
                <w:szCs w:val="23"/>
                <w:lang w:eastAsia="zh-CN" w:bidi="ar-SA"/>
              </w:rPr>
              <w:t>David Wright, </w:t>
            </w:r>
            <w:r w:rsidRPr="008A753D">
              <w:rPr>
                <w:rFonts w:ascii="Times New Roman" w:eastAsia="Times New Roman" w:hAnsi="Times New Roman" w:cs="Times New Roman"/>
                <w:i/>
                <w:iCs/>
                <w:color w:val="333333"/>
                <w:sz w:val="23"/>
                <w:lang w:eastAsia="zh-CN" w:bidi="ar-SA"/>
              </w:rPr>
              <w:t>Inventing God's Law: How the Covenant Code of the Bible Used and Revised the Laws of Hammurabi</w:t>
            </w:r>
            <w:r w:rsidRPr="008A753D">
              <w:rPr>
                <w:rFonts w:ascii="Times New Roman" w:eastAsia="Times New Roman" w:hAnsi="Times New Roman" w:cs="Times New Roman"/>
                <w:color w:val="333333"/>
                <w:sz w:val="23"/>
                <w:szCs w:val="23"/>
                <w:lang w:eastAsia="zh-CN" w:bidi="ar-SA"/>
              </w:rPr>
              <w:t> (Oxford: OUP, 2009).</w:t>
            </w:r>
          </w:p>
          <w:p w14:paraId="0D0619F3" w14:textId="77777777" w:rsidR="00F842EE" w:rsidRPr="008A753D" w:rsidRDefault="00F842EE" w:rsidP="004E1C22">
            <w:pPr>
              <w:bidi/>
              <w:spacing w:line="276" w:lineRule="auto"/>
              <w:rPr>
                <w:rFonts w:asciiTheme="minorBidi" w:hAnsiTheme="minorBidi"/>
                <w:rtl/>
              </w:rPr>
            </w:pPr>
          </w:p>
        </w:tc>
      </w:tr>
      <w:tr w:rsidR="00F842EE" w14:paraId="12643998" w14:textId="77777777" w:rsidTr="004E1C22">
        <w:tc>
          <w:tcPr>
            <w:tcW w:w="4675" w:type="dxa"/>
          </w:tcPr>
          <w:p w14:paraId="3ACA104F" w14:textId="60FC71DC" w:rsidR="00622E0B" w:rsidRPr="00622E0B" w:rsidRDefault="00622E0B" w:rsidP="00622E0B">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622E0B">
              <w:rPr>
                <w:rFonts w:ascii="Times New Roman" w:eastAsia="Times New Roman" w:hAnsi="Times New Roman" w:cs="Times New Roman"/>
                <w:color w:val="333333"/>
                <w:sz w:val="23"/>
                <w:szCs w:val="23"/>
                <w:lang w:bidi="ar-SA"/>
              </w:rPr>
              <w:t>This holds true in all cases of financial restitution in the Covenant Collection, even when variable rates of pay were required. See elsewhere in Exodus 21:19, 21:22, 22:2,3, 10,11, 15, and 16.</w:t>
            </w:r>
          </w:p>
          <w:p w14:paraId="37A7C3A5" w14:textId="77777777" w:rsidR="00F842EE" w:rsidRPr="004E1C22" w:rsidRDefault="00F842EE" w:rsidP="004E1C22">
            <w:pPr>
              <w:spacing w:line="276" w:lineRule="auto"/>
              <w:rPr>
                <w:rFonts w:asciiTheme="minorBidi" w:hAnsiTheme="minorBidi"/>
              </w:rPr>
            </w:pPr>
          </w:p>
        </w:tc>
        <w:tc>
          <w:tcPr>
            <w:tcW w:w="4675" w:type="dxa"/>
          </w:tcPr>
          <w:p w14:paraId="3F5023D8" w14:textId="620D7152" w:rsidR="008A753D" w:rsidRPr="008A753D" w:rsidRDefault="008A753D" w:rsidP="008A753D">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10</w:t>
            </w:r>
            <w:r w:rsidRPr="008A753D">
              <w:rPr>
                <w:rFonts w:ascii="David" w:eastAsia="Times New Roman" w:hAnsi="David" w:cs="David" w:hint="cs"/>
                <w:sz w:val="24"/>
                <w:szCs w:val="24"/>
                <w:rtl/>
                <w:lang w:eastAsia="zh-CN"/>
              </w:rPr>
              <w:t xml:space="preserve">. כך לגבי כל </w:t>
            </w:r>
            <w:r w:rsidR="00EC27D8">
              <w:rPr>
                <w:rFonts w:ascii="David" w:eastAsia="Times New Roman" w:hAnsi="David" w:cs="David" w:hint="cs"/>
                <w:sz w:val="24"/>
                <w:szCs w:val="24"/>
                <w:rtl/>
                <w:lang w:eastAsia="zh-CN"/>
              </w:rPr>
              <w:t>ה</w:t>
            </w:r>
            <w:r w:rsidRPr="008A753D">
              <w:rPr>
                <w:rFonts w:ascii="David" w:eastAsia="Times New Roman" w:hAnsi="David" w:cs="David" w:hint="cs"/>
                <w:sz w:val="24"/>
                <w:szCs w:val="24"/>
                <w:rtl/>
                <w:lang w:eastAsia="zh-CN"/>
              </w:rPr>
              <w:t>מקרי</w:t>
            </w:r>
            <w:r w:rsidR="00EC27D8">
              <w:rPr>
                <w:rFonts w:ascii="David" w:eastAsia="Times New Roman" w:hAnsi="David" w:cs="David" w:hint="cs"/>
                <w:sz w:val="24"/>
                <w:szCs w:val="24"/>
                <w:rtl/>
                <w:lang w:eastAsia="zh-CN"/>
              </w:rPr>
              <w:t>ם של</w:t>
            </w:r>
            <w:r w:rsidRPr="008A753D">
              <w:rPr>
                <w:rFonts w:ascii="David" w:eastAsia="Times New Roman" w:hAnsi="David" w:cs="David" w:hint="cs"/>
                <w:sz w:val="24"/>
                <w:szCs w:val="24"/>
                <w:rtl/>
                <w:lang w:eastAsia="zh-CN"/>
              </w:rPr>
              <w:t xml:space="preserve"> פיצוי כספי ב-</w:t>
            </w:r>
            <w:r w:rsidRPr="008A753D">
              <w:rPr>
                <w:rFonts w:ascii="David" w:eastAsia="Times New Roman" w:hAnsi="David" w:cs="David"/>
                <w:sz w:val="24"/>
                <w:szCs w:val="24"/>
                <w:lang w:eastAsia="zh-CN"/>
              </w:rPr>
              <w:t>Covenant Collection</w:t>
            </w:r>
            <w:r w:rsidRPr="008A753D">
              <w:rPr>
                <w:rFonts w:ascii="David" w:eastAsia="Times New Roman" w:hAnsi="David" w:cs="David" w:hint="cs"/>
                <w:sz w:val="24"/>
                <w:szCs w:val="24"/>
                <w:rtl/>
                <w:lang w:eastAsia="zh-CN"/>
              </w:rPr>
              <w:t xml:space="preserve">, אף כאשר נדרשו תעריפי תשלום משתנים. ראו </w:t>
            </w:r>
            <w:r w:rsidR="00635F5E">
              <w:rPr>
                <w:rFonts w:ascii="David" w:eastAsia="Times New Roman" w:hAnsi="David" w:cs="David" w:hint="cs"/>
                <w:sz w:val="24"/>
                <w:szCs w:val="24"/>
                <w:rtl/>
                <w:lang w:eastAsia="zh-CN"/>
              </w:rPr>
              <w:t>ב</w:t>
            </w:r>
            <w:r w:rsidRPr="008A753D">
              <w:rPr>
                <w:rFonts w:ascii="David" w:eastAsia="Times New Roman" w:hAnsi="David" w:cs="David" w:hint="cs"/>
                <w:sz w:val="24"/>
                <w:szCs w:val="24"/>
                <w:rtl/>
                <w:lang w:eastAsia="zh-CN"/>
              </w:rPr>
              <w:t xml:space="preserve">מקומות נוספים בשמות </w:t>
            </w:r>
            <w:proofErr w:type="spellStart"/>
            <w:r w:rsidRPr="008A753D">
              <w:rPr>
                <w:rFonts w:ascii="David" w:eastAsia="Times New Roman" w:hAnsi="David" w:cs="David" w:hint="cs"/>
                <w:sz w:val="24"/>
                <w:szCs w:val="24"/>
                <w:rtl/>
                <w:lang w:eastAsia="zh-CN"/>
              </w:rPr>
              <w:t>כא:יט</w:t>
            </w:r>
            <w:proofErr w:type="spellEnd"/>
            <w:r w:rsidRPr="008A753D">
              <w:rPr>
                <w:rFonts w:ascii="David" w:eastAsia="Times New Roman" w:hAnsi="David" w:cs="David" w:hint="cs"/>
                <w:sz w:val="24"/>
                <w:szCs w:val="24"/>
                <w:rtl/>
                <w:lang w:eastAsia="zh-CN"/>
              </w:rPr>
              <w:t xml:space="preserve">, </w:t>
            </w:r>
            <w:proofErr w:type="spellStart"/>
            <w:r w:rsidRPr="008A753D">
              <w:rPr>
                <w:rFonts w:ascii="David" w:eastAsia="Times New Roman" w:hAnsi="David" w:cs="David" w:hint="cs"/>
                <w:sz w:val="24"/>
                <w:szCs w:val="24"/>
                <w:rtl/>
                <w:lang w:eastAsia="zh-CN"/>
              </w:rPr>
              <w:t>כא:כב</w:t>
            </w:r>
            <w:proofErr w:type="spellEnd"/>
            <w:r w:rsidRPr="008A753D">
              <w:rPr>
                <w:rFonts w:ascii="David" w:eastAsia="Times New Roman" w:hAnsi="David" w:cs="David" w:hint="cs"/>
                <w:sz w:val="24"/>
                <w:szCs w:val="24"/>
                <w:rtl/>
                <w:lang w:eastAsia="zh-CN"/>
              </w:rPr>
              <w:t xml:space="preserve">, </w:t>
            </w:r>
            <w:proofErr w:type="spellStart"/>
            <w:r w:rsidRPr="008A753D">
              <w:rPr>
                <w:rFonts w:ascii="David" w:eastAsia="Times New Roman" w:hAnsi="David" w:cs="David" w:hint="cs"/>
                <w:sz w:val="24"/>
                <w:szCs w:val="24"/>
                <w:rtl/>
                <w:lang w:eastAsia="zh-CN"/>
              </w:rPr>
              <w:t>כב:ב</w:t>
            </w:r>
            <w:proofErr w:type="spellEnd"/>
            <w:r w:rsidRPr="008A753D">
              <w:rPr>
                <w:rFonts w:ascii="David" w:eastAsia="Times New Roman" w:hAnsi="David" w:cs="David" w:hint="cs"/>
                <w:sz w:val="24"/>
                <w:szCs w:val="24"/>
                <w:rtl/>
                <w:lang w:eastAsia="zh-CN"/>
              </w:rPr>
              <w:t>, ג, י, יא, טו ו-</w:t>
            </w:r>
            <w:proofErr w:type="spellStart"/>
            <w:r w:rsidRPr="008A753D">
              <w:rPr>
                <w:rFonts w:ascii="David" w:eastAsia="Times New Roman" w:hAnsi="David" w:cs="David" w:hint="cs"/>
                <w:sz w:val="24"/>
                <w:szCs w:val="24"/>
                <w:rtl/>
                <w:lang w:eastAsia="zh-CN"/>
              </w:rPr>
              <w:t>טז</w:t>
            </w:r>
            <w:proofErr w:type="spellEnd"/>
            <w:r w:rsidRPr="008A753D">
              <w:rPr>
                <w:rFonts w:ascii="David" w:eastAsia="Times New Roman" w:hAnsi="David" w:cs="David" w:hint="cs"/>
                <w:sz w:val="24"/>
                <w:szCs w:val="24"/>
                <w:rtl/>
                <w:lang w:eastAsia="zh-CN"/>
              </w:rPr>
              <w:t>.</w:t>
            </w:r>
          </w:p>
          <w:p w14:paraId="3A09508E" w14:textId="77777777" w:rsidR="00F842EE" w:rsidRDefault="00F842EE" w:rsidP="004E1C22">
            <w:pPr>
              <w:bidi/>
              <w:spacing w:line="276" w:lineRule="auto"/>
              <w:rPr>
                <w:rFonts w:asciiTheme="minorBidi" w:hAnsiTheme="minorBidi"/>
                <w:rtl/>
              </w:rPr>
            </w:pPr>
          </w:p>
        </w:tc>
      </w:tr>
      <w:tr w:rsidR="00F842EE" w14:paraId="110A3FB8" w14:textId="77777777" w:rsidTr="004E1C22">
        <w:tc>
          <w:tcPr>
            <w:tcW w:w="4675" w:type="dxa"/>
          </w:tcPr>
          <w:p w14:paraId="52971B5D" w14:textId="0B16471C" w:rsidR="005A0748" w:rsidRPr="005A0748" w:rsidRDefault="005A0748" w:rsidP="005A0748">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bookmarkStart w:id="38" w:name="_Hlk90925726"/>
            <w:r w:rsidRPr="005A0748">
              <w:rPr>
                <w:rFonts w:ascii="Times New Roman" w:eastAsia="Times New Roman" w:hAnsi="Times New Roman" w:cs="Times New Roman"/>
                <w:color w:val="333333"/>
                <w:sz w:val="23"/>
                <w:szCs w:val="23"/>
                <w:lang w:bidi="ar-SA"/>
              </w:rPr>
              <w:t>David Daube, </w:t>
            </w:r>
            <w:r w:rsidRPr="005A0748">
              <w:rPr>
                <w:rFonts w:ascii="Times New Roman" w:eastAsia="Times New Roman" w:hAnsi="Times New Roman" w:cs="Times New Roman"/>
                <w:i/>
                <w:iCs/>
                <w:color w:val="333333"/>
                <w:sz w:val="23"/>
                <w:lang w:bidi="ar-SA"/>
              </w:rPr>
              <w:t>Studies in Biblical Law</w:t>
            </w:r>
            <w:r w:rsidRPr="005A0748">
              <w:rPr>
                <w:rFonts w:ascii="Times New Roman" w:eastAsia="Times New Roman" w:hAnsi="Times New Roman" w:cs="Times New Roman"/>
                <w:color w:val="333333"/>
                <w:sz w:val="23"/>
                <w:szCs w:val="23"/>
                <w:lang w:bidi="ar-SA"/>
              </w:rPr>
              <w:t xml:space="preserve"> (New York: </w:t>
            </w:r>
            <w:proofErr w:type="spellStart"/>
            <w:r w:rsidRPr="005A0748">
              <w:rPr>
                <w:rFonts w:ascii="Times New Roman" w:eastAsia="Times New Roman" w:hAnsi="Times New Roman" w:cs="Times New Roman"/>
                <w:color w:val="333333"/>
                <w:sz w:val="23"/>
                <w:szCs w:val="23"/>
                <w:lang w:bidi="ar-SA"/>
              </w:rPr>
              <w:t>Ktav</w:t>
            </w:r>
            <w:proofErr w:type="spellEnd"/>
            <w:r w:rsidRPr="005A0748">
              <w:rPr>
                <w:rFonts w:ascii="Times New Roman" w:eastAsia="Times New Roman" w:hAnsi="Times New Roman" w:cs="Times New Roman"/>
                <w:color w:val="333333"/>
                <w:sz w:val="23"/>
                <w:szCs w:val="23"/>
                <w:lang w:bidi="ar-SA"/>
              </w:rPr>
              <w:t>, 1969), 116.</w:t>
            </w:r>
          </w:p>
          <w:bookmarkEnd w:id="38"/>
          <w:p w14:paraId="391480D5" w14:textId="77777777" w:rsidR="00F842EE" w:rsidRPr="004E1C22" w:rsidRDefault="00F842EE" w:rsidP="004E1C22">
            <w:pPr>
              <w:spacing w:line="276" w:lineRule="auto"/>
              <w:rPr>
                <w:rFonts w:asciiTheme="minorBidi" w:hAnsiTheme="minorBidi"/>
              </w:rPr>
            </w:pPr>
          </w:p>
        </w:tc>
        <w:tc>
          <w:tcPr>
            <w:tcW w:w="4675" w:type="dxa"/>
          </w:tcPr>
          <w:p w14:paraId="3C1ADD2A" w14:textId="432A9EA0" w:rsidR="006925ED" w:rsidRPr="006925ED" w:rsidRDefault="00635F5E" w:rsidP="006925ED">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 xml:space="preserve">11. </w:t>
            </w:r>
            <w:r w:rsidR="006925ED" w:rsidRPr="006925ED">
              <w:rPr>
                <w:rFonts w:ascii="David" w:eastAsia="Times New Roman" w:hAnsi="David" w:cs="David" w:hint="cs"/>
                <w:sz w:val="24"/>
                <w:szCs w:val="24"/>
                <w:rtl/>
                <w:lang w:eastAsia="zh-CN"/>
              </w:rPr>
              <w:t>ראו</w:t>
            </w:r>
          </w:p>
          <w:p w14:paraId="6DA35A03" w14:textId="77777777" w:rsidR="006925ED" w:rsidRPr="006925ED" w:rsidRDefault="006925ED" w:rsidP="006925ED">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6925ED">
              <w:rPr>
                <w:rFonts w:ascii="Times New Roman" w:eastAsia="Times New Roman" w:hAnsi="Times New Roman" w:cs="Times New Roman"/>
                <w:color w:val="333333"/>
                <w:sz w:val="23"/>
                <w:szCs w:val="23"/>
                <w:lang w:eastAsia="zh-CN" w:bidi="ar-SA"/>
              </w:rPr>
              <w:lastRenderedPageBreak/>
              <w:t>David Daube, </w:t>
            </w:r>
            <w:r w:rsidRPr="006925ED">
              <w:rPr>
                <w:rFonts w:ascii="Times New Roman" w:eastAsia="Times New Roman" w:hAnsi="Times New Roman" w:cs="Times New Roman"/>
                <w:i/>
                <w:iCs/>
                <w:color w:val="333333"/>
                <w:sz w:val="23"/>
                <w:lang w:eastAsia="zh-CN" w:bidi="ar-SA"/>
              </w:rPr>
              <w:t>Studies in Biblical Law</w:t>
            </w:r>
            <w:r w:rsidRPr="006925ED">
              <w:rPr>
                <w:rFonts w:ascii="Times New Roman" w:eastAsia="Times New Roman" w:hAnsi="Times New Roman" w:cs="Times New Roman"/>
                <w:color w:val="333333"/>
                <w:sz w:val="23"/>
                <w:szCs w:val="23"/>
                <w:lang w:eastAsia="zh-CN" w:bidi="ar-SA"/>
              </w:rPr>
              <w:t xml:space="preserve"> (New York: </w:t>
            </w:r>
            <w:proofErr w:type="spellStart"/>
            <w:r w:rsidRPr="006925ED">
              <w:rPr>
                <w:rFonts w:ascii="Times New Roman" w:eastAsia="Times New Roman" w:hAnsi="Times New Roman" w:cs="Times New Roman"/>
                <w:color w:val="333333"/>
                <w:sz w:val="23"/>
                <w:szCs w:val="23"/>
                <w:lang w:eastAsia="zh-CN" w:bidi="ar-SA"/>
              </w:rPr>
              <w:t>Ktav</w:t>
            </w:r>
            <w:proofErr w:type="spellEnd"/>
            <w:r w:rsidRPr="006925ED">
              <w:rPr>
                <w:rFonts w:ascii="Times New Roman" w:eastAsia="Times New Roman" w:hAnsi="Times New Roman" w:cs="Times New Roman"/>
                <w:color w:val="333333"/>
                <w:sz w:val="23"/>
                <w:szCs w:val="23"/>
                <w:lang w:eastAsia="zh-CN" w:bidi="ar-SA"/>
              </w:rPr>
              <w:t>, 1969), 116.</w:t>
            </w:r>
          </w:p>
          <w:p w14:paraId="629F36E8" w14:textId="77777777" w:rsidR="00F842EE" w:rsidRDefault="00F842EE" w:rsidP="004E1C22">
            <w:pPr>
              <w:bidi/>
              <w:spacing w:line="276" w:lineRule="auto"/>
              <w:rPr>
                <w:rFonts w:asciiTheme="minorBidi" w:hAnsiTheme="minorBidi"/>
                <w:rtl/>
              </w:rPr>
            </w:pPr>
          </w:p>
        </w:tc>
      </w:tr>
      <w:tr w:rsidR="00F842EE" w14:paraId="773AED36" w14:textId="77777777" w:rsidTr="004E1C22">
        <w:tc>
          <w:tcPr>
            <w:tcW w:w="4675" w:type="dxa"/>
          </w:tcPr>
          <w:p w14:paraId="58A5B088" w14:textId="311F19FF" w:rsidR="005A0748" w:rsidRPr="005A0748" w:rsidRDefault="005A0748" w:rsidP="005A0748">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5A0748">
              <w:rPr>
                <w:rFonts w:ascii="Times New Roman" w:eastAsia="Times New Roman" w:hAnsi="Times New Roman" w:cs="Times New Roman"/>
                <w:color w:val="333333"/>
                <w:sz w:val="23"/>
                <w:szCs w:val="23"/>
                <w:lang w:bidi="ar-SA"/>
              </w:rPr>
              <w:t xml:space="preserve">As </w:t>
            </w:r>
            <w:bookmarkStart w:id="39" w:name="_Hlk90925761"/>
            <w:r w:rsidRPr="005A0748">
              <w:rPr>
                <w:rFonts w:ascii="Times New Roman" w:eastAsia="Times New Roman" w:hAnsi="Times New Roman" w:cs="Times New Roman"/>
                <w:color w:val="333333"/>
                <w:sz w:val="23"/>
                <w:szCs w:val="23"/>
                <w:lang w:bidi="ar-SA"/>
              </w:rPr>
              <w:t>Jacobs, </w:t>
            </w:r>
            <w:r w:rsidRPr="005A0748">
              <w:rPr>
                <w:rFonts w:ascii="Times New Roman" w:eastAsia="Times New Roman" w:hAnsi="Times New Roman" w:cs="Times New Roman"/>
                <w:i/>
                <w:iCs/>
                <w:color w:val="333333"/>
                <w:sz w:val="23"/>
                <w:lang w:bidi="ar-SA"/>
              </w:rPr>
              <w:t>The Body as Property</w:t>
            </w:r>
            <w:r w:rsidRPr="005A0748">
              <w:rPr>
                <w:rFonts w:ascii="Times New Roman" w:eastAsia="Times New Roman" w:hAnsi="Times New Roman" w:cs="Times New Roman"/>
                <w:color w:val="333333"/>
                <w:sz w:val="23"/>
                <w:szCs w:val="23"/>
                <w:lang w:bidi="ar-SA"/>
              </w:rPr>
              <w:t>, 94-102</w:t>
            </w:r>
            <w:bookmarkEnd w:id="39"/>
            <w:r w:rsidRPr="005A0748">
              <w:rPr>
                <w:rFonts w:ascii="Times New Roman" w:eastAsia="Times New Roman" w:hAnsi="Times New Roman" w:cs="Times New Roman"/>
                <w:color w:val="333333"/>
                <w:sz w:val="23"/>
                <w:szCs w:val="23"/>
                <w:lang w:bidi="ar-SA"/>
              </w:rPr>
              <w:t>, where the majority of exemplars denote live substitution, with the exceptions of 2 Kings 20:24 and 2 Samuel 19:1.</w:t>
            </w:r>
          </w:p>
          <w:p w14:paraId="4A34A9F0" w14:textId="77777777" w:rsidR="00F842EE" w:rsidRPr="004E1C22" w:rsidRDefault="00F842EE" w:rsidP="004E1C22">
            <w:pPr>
              <w:spacing w:line="276" w:lineRule="auto"/>
              <w:rPr>
                <w:rFonts w:asciiTheme="minorBidi" w:hAnsiTheme="minorBidi"/>
              </w:rPr>
            </w:pPr>
          </w:p>
        </w:tc>
        <w:tc>
          <w:tcPr>
            <w:tcW w:w="4675" w:type="dxa"/>
          </w:tcPr>
          <w:p w14:paraId="51356AE1" w14:textId="4036B5A7" w:rsidR="006925ED" w:rsidRPr="006925ED" w:rsidRDefault="006925ED" w:rsidP="006925ED">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 xml:space="preserve">12. </w:t>
            </w:r>
            <w:r w:rsidRPr="006925ED">
              <w:rPr>
                <w:rFonts w:ascii="David" w:eastAsia="Times New Roman" w:hAnsi="David" w:cs="David" w:hint="cs"/>
                <w:sz w:val="24"/>
                <w:szCs w:val="24"/>
                <w:rtl/>
                <w:lang w:eastAsia="zh-CN"/>
              </w:rPr>
              <w:t>כגון</w:t>
            </w:r>
          </w:p>
          <w:p w14:paraId="095208CB" w14:textId="77777777" w:rsidR="006925ED" w:rsidRPr="006925ED" w:rsidRDefault="006925ED" w:rsidP="006925ED">
            <w:pPr>
              <w:shd w:val="clear" w:color="auto" w:fill="FFFFFF"/>
              <w:bidi/>
              <w:spacing w:after="300" w:line="465" w:lineRule="atLeast"/>
              <w:rPr>
                <w:rFonts w:ascii="David" w:eastAsia="Times New Roman" w:hAnsi="David" w:cs="David"/>
                <w:sz w:val="24"/>
                <w:szCs w:val="24"/>
                <w:rtl/>
                <w:lang w:eastAsia="zh-CN"/>
              </w:rPr>
            </w:pPr>
            <w:r w:rsidRPr="006925ED">
              <w:rPr>
                <w:rFonts w:ascii="Times New Roman" w:eastAsia="Times New Roman" w:hAnsi="Times New Roman" w:cs="Times New Roman"/>
                <w:color w:val="333333"/>
                <w:sz w:val="23"/>
                <w:szCs w:val="23"/>
                <w:lang w:bidi="ar-SA"/>
              </w:rPr>
              <w:t>Jacobs, </w:t>
            </w:r>
            <w:r w:rsidRPr="006925ED">
              <w:rPr>
                <w:rFonts w:ascii="Times New Roman" w:eastAsia="Times New Roman" w:hAnsi="Times New Roman" w:cs="Times New Roman"/>
                <w:i/>
                <w:iCs/>
                <w:color w:val="333333"/>
                <w:sz w:val="23"/>
                <w:lang w:bidi="ar-SA"/>
              </w:rPr>
              <w:t>The Body as Property</w:t>
            </w:r>
            <w:r w:rsidRPr="006925ED">
              <w:rPr>
                <w:rFonts w:ascii="Times New Roman" w:eastAsia="Times New Roman" w:hAnsi="Times New Roman" w:cs="Times New Roman"/>
                <w:color w:val="333333"/>
                <w:sz w:val="23"/>
                <w:szCs w:val="23"/>
                <w:lang w:bidi="ar-SA"/>
              </w:rPr>
              <w:t>, 94-102</w:t>
            </w:r>
            <w:r w:rsidRPr="006925ED">
              <w:rPr>
                <w:rFonts w:ascii="David" w:eastAsia="Times New Roman" w:hAnsi="David" w:cs="David" w:hint="cs"/>
                <w:sz w:val="24"/>
                <w:szCs w:val="24"/>
                <w:rtl/>
                <w:lang w:eastAsia="zh-CN"/>
              </w:rPr>
              <w:t xml:space="preserve">, שם גורסים רוב החוקרים הדגולים שהכוונה לממלא מקום חי פרט למלכים ב </w:t>
            </w:r>
            <w:proofErr w:type="gramStart"/>
            <w:r w:rsidRPr="006925ED">
              <w:rPr>
                <w:rFonts w:ascii="David" w:eastAsia="Times New Roman" w:hAnsi="David" w:cs="David" w:hint="cs"/>
                <w:sz w:val="24"/>
                <w:szCs w:val="24"/>
                <w:rtl/>
                <w:lang w:eastAsia="zh-CN"/>
              </w:rPr>
              <w:t>כ:כד</w:t>
            </w:r>
            <w:proofErr w:type="gramEnd"/>
            <w:r w:rsidRPr="006925ED">
              <w:rPr>
                <w:rFonts w:ascii="David" w:eastAsia="Times New Roman" w:hAnsi="David" w:cs="David" w:hint="cs"/>
                <w:sz w:val="24"/>
                <w:szCs w:val="24"/>
                <w:rtl/>
                <w:lang w:eastAsia="zh-CN"/>
              </w:rPr>
              <w:t xml:space="preserve"> ושמואל ב </w:t>
            </w:r>
            <w:proofErr w:type="spellStart"/>
            <w:r w:rsidRPr="006925ED">
              <w:rPr>
                <w:rFonts w:ascii="David" w:eastAsia="Times New Roman" w:hAnsi="David" w:cs="David" w:hint="cs"/>
                <w:sz w:val="24"/>
                <w:szCs w:val="24"/>
                <w:rtl/>
                <w:lang w:eastAsia="zh-CN"/>
              </w:rPr>
              <w:t>יט:א</w:t>
            </w:r>
            <w:proofErr w:type="spellEnd"/>
            <w:r w:rsidRPr="006925ED">
              <w:rPr>
                <w:rFonts w:ascii="David" w:eastAsia="Times New Roman" w:hAnsi="David" w:cs="David" w:hint="cs"/>
                <w:sz w:val="24"/>
                <w:szCs w:val="24"/>
                <w:rtl/>
                <w:lang w:eastAsia="zh-CN"/>
              </w:rPr>
              <w:t>.</w:t>
            </w:r>
          </w:p>
          <w:p w14:paraId="61683EB7" w14:textId="77777777" w:rsidR="00F842EE" w:rsidRDefault="00F842EE" w:rsidP="004E1C22">
            <w:pPr>
              <w:bidi/>
              <w:spacing w:line="276" w:lineRule="auto"/>
              <w:rPr>
                <w:rFonts w:asciiTheme="minorBidi" w:hAnsiTheme="minorBidi"/>
                <w:rtl/>
              </w:rPr>
            </w:pPr>
          </w:p>
        </w:tc>
      </w:tr>
      <w:tr w:rsidR="00F842EE" w:rsidRPr="00EB3003" w14:paraId="493C780C" w14:textId="77777777" w:rsidTr="00622E0B">
        <w:trPr>
          <w:trHeight w:val="410"/>
        </w:trPr>
        <w:tc>
          <w:tcPr>
            <w:tcW w:w="4675" w:type="dxa"/>
          </w:tcPr>
          <w:p w14:paraId="5E46E2A4" w14:textId="59159B84" w:rsidR="005A0748" w:rsidRPr="005A0748" w:rsidRDefault="005A0748" w:rsidP="005A0748">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val="fr-FR" w:bidi="ar-SA"/>
              </w:rPr>
            </w:pPr>
            <w:bookmarkStart w:id="40" w:name="_Hlk90925945"/>
            <w:r w:rsidRPr="005A0748">
              <w:rPr>
                <w:rFonts w:ascii="Times New Roman" w:eastAsia="Times New Roman" w:hAnsi="Times New Roman" w:cs="Times New Roman"/>
                <w:color w:val="333333"/>
                <w:sz w:val="23"/>
                <w:szCs w:val="23"/>
                <w:lang w:val="fr-FR" w:bidi="ar-SA"/>
              </w:rPr>
              <w:t xml:space="preserve">Cornelis </w:t>
            </w:r>
            <w:proofErr w:type="spellStart"/>
            <w:r w:rsidRPr="005A0748">
              <w:rPr>
                <w:rFonts w:ascii="Times New Roman" w:eastAsia="Times New Roman" w:hAnsi="Times New Roman" w:cs="Times New Roman"/>
                <w:color w:val="333333"/>
                <w:sz w:val="23"/>
                <w:szCs w:val="23"/>
                <w:lang w:val="fr-FR" w:bidi="ar-SA"/>
              </w:rPr>
              <w:t>Houtman</w:t>
            </w:r>
            <w:proofErr w:type="spellEnd"/>
            <w:r w:rsidRPr="005A0748">
              <w:rPr>
                <w:rFonts w:ascii="Times New Roman" w:eastAsia="Times New Roman" w:hAnsi="Times New Roman" w:cs="Times New Roman"/>
                <w:color w:val="333333"/>
                <w:sz w:val="23"/>
                <w:szCs w:val="23"/>
                <w:lang w:val="fr-FR" w:bidi="ar-SA"/>
              </w:rPr>
              <w:t>, </w:t>
            </w:r>
            <w:proofErr w:type="gramStart"/>
            <w:r w:rsidRPr="005A0748">
              <w:rPr>
                <w:rFonts w:ascii="Times New Roman" w:eastAsia="Times New Roman" w:hAnsi="Times New Roman" w:cs="Times New Roman"/>
                <w:i/>
                <w:iCs/>
                <w:color w:val="333333"/>
                <w:sz w:val="23"/>
                <w:lang w:val="fr-FR" w:bidi="ar-SA"/>
              </w:rPr>
              <w:t>Exodus:</w:t>
            </w:r>
            <w:proofErr w:type="gramEnd"/>
            <w:r w:rsidRPr="005A0748">
              <w:rPr>
                <w:rFonts w:ascii="Times New Roman" w:eastAsia="Times New Roman" w:hAnsi="Times New Roman" w:cs="Times New Roman"/>
                <w:i/>
                <w:iCs/>
                <w:color w:val="333333"/>
                <w:sz w:val="23"/>
                <w:lang w:val="fr-FR" w:bidi="ar-SA"/>
              </w:rPr>
              <w:t xml:space="preserve"> Volume III: </w:t>
            </w:r>
            <w:r w:rsidRPr="005A0748">
              <w:rPr>
                <w:rFonts w:ascii="Times New Roman" w:eastAsia="Times New Roman" w:hAnsi="Times New Roman" w:cs="Times New Roman"/>
                <w:color w:val="333333"/>
                <w:sz w:val="23"/>
                <w:szCs w:val="23"/>
                <w:lang w:val="fr-FR" w:bidi="ar-SA"/>
              </w:rPr>
              <w:t>Leuven, 2000), 166.</w:t>
            </w:r>
          </w:p>
          <w:bookmarkEnd w:id="40"/>
          <w:p w14:paraId="0169B217" w14:textId="77777777" w:rsidR="00F842EE" w:rsidRPr="005A0748" w:rsidRDefault="00F842EE" w:rsidP="004E1C22">
            <w:pPr>
              <w:spacing w:line="276" w:lineRule="auto"/>
              <w:rPr>
                <w:rFonts w:asciiTheme="minorBidi" w:hAnsiTheme="minorBidi"/>
                <w:lang w:val="fr-FR"/>
              </w:rPr>
            </w:pPr>
          </w:p>
        </w:tc>
        <w:tc>
          <w:tcPr>
            <w:tcW w:w="4675" w:type="dxa"/>
          </w:tcPr>
          <w:p w14:paraId="36E52FB2" w14:textId="10B99D7F" w:rsidR="006925ED" w:rsidRPr="006925ED" w:rsidRDefault="006925ED" w:rsidP="006925ED">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 xml:space="preserve">13. </w:t>
            </w:r>
            <w:r w:rsidRPr="006925ED">
              <w:rPr>
                <w:rFonts w:ascii="David" w:eastAsia="Times New Roman" w:hAnsi="David" w:cs="David" w:hint="cs"/>
                <w:sz w:val="24"/>
                <w:szCs w:val="24"/>
                <w:rtl/>
                <w:lang w:eastAsia="zh-CN"/>
              </w:rPr>
              <w:t>ראו</w:t>
            </w:r>
          </w:p>
          <w:p w14:paraId="1163917D" w14:textId="53E4EF35" w:rsidR="006925ED" w:rsidRPr="006925ED" w:rsidRDefault="006925ED" w:rsidP="006925ED">
            <w:pPr>
              <w:shd w:val="clear" w:color="auto" w:fill="FFFFFF"/>
              <w:spacing w:before="100" w:beforeAutospacing="1" w:line="480" w:lineRule="auto"/>
              <w:rPr>
                <w:rFonts w:ascii="Times New Roman" w:eastAsia="Times New Roman" w:hAnsi="Times New Roman" w:cs="Times New Roman"/>
                <w:color w:val="333333"/>
                <w:sz w:val="23"/>
                <w:szCs w:val="23"/>
                <w:lang w:val="fr-FR" w:eastAsia="zh-CN" w:bidi="ar-SA"/>
              </w:rPr>
            </w:pPr>
            <w:r w:rsidRPr="006925ED">
              <w:rPr>
                <w:rFonts w:ascii="Times New Roman" w:eastAsia="Times New Roman" w:hAnsi="Times New Roman" w:cs="Times New Roman"/>
                <w:color w:val="333333"/>
                <w:sz w:val="23"/>
                <w:szCs w:val="23"/>
                <w:lang w:val="fr-FR" w:eastAsia="zh-CN" w:bidi="ar-SA"/>
              </w:rPr>
              <w:t xml:space="preserve">Cornelis </w:t>
            </w:r>
            <w:proofErr w:type="spellStart"/>
            <w:r w:rsidRPr="006925ED">
              <w:rPr>
                <w:rFonts w:ascii="Times New Roman" w:eastAsia="Times New Roman" w:hAnsi="Times New Roman" w:cs="Times New Roman"/>
                <w:color w:val="333333"/>
                <w:sz w:val="23"/>
                <w:szCs w:val="23"/>
                <w:lang w:val="fr-FR" w:eastAsia="zh-CN" w:bidi="ar-SA"/>
              </w:rPr>
              <w:t>Houtman</w:t>
            </w:r>
            <w:proofErr w:type="spellEnd"/>
            <w:r w:rsidRPr="006925ED">
              <w:rPr>
                <w:rFonts w:ascii="Times New Roman" w:eastAsia="Times New Roman" w:hAnsi="Times New Roman" w:cs="Times New Roman"/>
                <w:color w:val="333333"/>
                <w:sz w:val="23"/>
                <w:szCs w:val="23"/>
                <w:lang w:val="fr-FR" w:eastAsia="zh-CN" w:bidi="ar-SA"/>
              </w:rPr>
              <w:t>, </w:t>
            </w:r>
            <w:proofErr w:type="gramStart"/>
            <w:r w:rsidRPr="006925ED">
              <w:rPr>
                <w:rFonts w:ascii="Times New Roman" w:eastAsia="Times New Roman" w:hAnsi="Times New Roman" w:cs="Times New Roman"/>
                <w:i/>
                <w:iCs/>
                <w:color w:val="333333"/>
                <w:sz w:val="23"/>
                <w:lang w:val="fr-FR" w:eastAsia="zh-CN" w:bidi="ar-SA"/>
              </w:rPr>
              <w:t>Exodus:</w:t>
            </w:r>
            <w:proofErr w:type="gramEnd"/>
            <w:r w:rsidRPr="006925ED">
              <w:rPr>
                <w:rFonts w:ascii="Times New Roman" w:eastAsia="Times New Roman" w:hAnsi="Times New Roman" w:cs="Times New Roman"/>
                <w:i/>
                <w:iCs/>
                <w:color w:val="333333"/>
                <w:sz w:val="23"/>
                <w:lang w:val="fr-FR" w:eastAsia="zh-CN" w:bidi="ar-SA"/>
              </w:rPr>
              <w:t xml:space="preserve"> Volume </w:t>
            </w:r>
            <w:r w:rsidRPr="00AE0619">
              <w:rPr>
                <w:rFonts w:ascii="Times New Roman" w:eastAsia="Times New Roman" w:hAnsi="Times New Roman" w:cs="Times New Roman"/>
                <w:i/>
                <w:iCs/>
                <w:color w:val="333333"/>
                <w:sz w:val="23"/>
                <w:lang w:val="fr-FR" w:eastAsia="zh-CN" w:bidi="ar-SA"/>
              </w:rPr>
              <w:t xml:space="preserve"> </w:t>
            </w:r>
            <w:r w:rsidRPr="006925ED">
              <w:rPr>
                <w:rFonts w:ascii="Times New Roman" w:eastAsia="Times New Roman" w:hAnsi="Times New Roman" w:cs="Times New Roman"/>
                <w:i/>
                <w:iCs/>
                <w:color w:val="333333"/>
                <w:sz w:val="23"/>
                <w:lang w:val="fr-FR" w:eastAsia="zh-CN" w:bidi="ar-SA"/>
              </w:rPr>
              <w:t>III: </w:t>
            </w:r>
            <w:r w:rsidRPr="006925ED">
              <w:rPr>
                <w:rFonts w:ascii="Times New Roman" w:eastAsia="Times New Roman" w:hAnsi="Times New Roman" w:cs="Times New Roman"/>
                <w:color w:val="333333"/>
                <w:sz w:val="23"/>
                <w:szCs w:val="23"/>
                <w:lang w:val="fr-FR" w:eastAsia="zh-CN" w:bidi="ar-SA"/>
              </w:rPr>
              <w:t>Leuven, 2000), 166.</w:t>
            </w:r>
          </w:p>
          <w:p w14:paraId="4EE1D886" w14:textId="77777777" w:rsidR="00F842EE" w:rsidRDefault="00F842EE" w:rsidP="004E1C22">
            <w:pPr>
              <w:bidi/>
              <w:spacing w:line="276" w:lineRule="auto"/>
              <w:rPr>
                <w:rFonts w:asciiTheme="minorBidi" w:hAnsiTheme="minorBidi"/>
                <w:rtl/>
              </w:rPr>
            </w:pPr>
          </w:p>
        </w:tc>
      </w:tr>
      <w:tr w:rsidR="00622E0B" w:rsidRPr="005A0748" w14:paraId="722676FF" w14:textId="77777777" w:rsidTr="004E1C22">
        <w:tc>
          <w:tcPr>
            <w:tcW w:w="4675" w:type="dxa"/>
          </w:tcPr>
          <w:p w14:paraId="66F7A0FF" w14:textId="7BB364FC" w:rsidR="005A0748" w:rsidRPr="005A0748" w:rsidRDefault="005A0748" w:rsidP="005A0748">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bookmarkStart w:id="41" w:name="_Hlk90925968"/>
            <w:r w:rsidRPr="005A0748">
              <w:rPr>
                <w:rFonts w:ascii="Times New Roman" w:eastAsia="Times New Roman" w:hAnsi="Times New Roman" w:cs="Times New Roman"/>
                <w:color w:val="333333"/>
                <w:lang w:bidi="ar-SA"/>
              </w:rPr>
              <w:t>Driver and Miles, </w:t>
            </w:r>
            <w:r w:rsidRPr="005A0748">
              <w:rPr>
                <w:rFonts w:ascii="Times New Roman" w:eastAsia="Times New Roman" w:hAnsi="Times New Roman" w:cs="Times New Roman"/>
                <w:i/>
                <w:iCs/>
                <w:color w:val="333333"/>
                <w:lang w:bidi="ar-SA"/>
              </w:rPr>
              <w:t>The Assyrian Laws,</w:t>
            </w:r>
            <w:r w:rsidRPr="005A0748">
              <w:rPr>
                <w:rFonts w:ascii="Times New Roman" w:eastAsia="Times New Roman" w:hAnsi="Times New Roman" w:cs="Times New Roman"/>
                <w:color w:val="333333"/>
                <w:lang w:bidi="ar-SA"/>
              </w:rPr>
              <w:t> 114</w:t>
            </w:r>
            <w:r w:rsidRPr="005A0748">
              <w:rPr>
                <w:rFonts w:ascii="Times New Roman" w:eastAsia="Times New Roman" w:hAnsi="Times New Roman" w:cs="Times New Roman"/>
                <w:color w:val="333333"/>
                <w:sz w:val="23"/>
                <w:szCs w:val="23"/>
                <w:lang w:bidi="ar-SA"/>
              </w:rPr>
              <w:t>.</w:t>
            </w:r>
          </w:p>
          <w:bookmarkEnd w:id="41"/>
          <w:p w14:paraId="3E1473F3" w14:textId="77777777" w:rsidR="00622E0B" w:rsidRPr="005A0748" w:rsidRDefault="00622E0B" w:rsidP="004E1C22">
            <w:pPr>
              <w:spacing w:line="276" w:lineRule="auto"/>
              <w:rPr>
                <w:rFonts w:asciiTheme="minorBidi" w:hAnsiTheme="minorBidi"/>
              </w:rPr>
            </w:pPr>
          </w:p>
        </w:tc>
        <w:tc>
          <w:tcPr>
            <w:tcW w:w="4675" w:type="dxa"/>
          </w:tcPr>
          <w:p w14:paraId="0B4EED2A" w14:textId="45CA1AC4" w:rsidR="006925ED" w:rsidRPr="006925ED" w:rsidRDefault="006925ED" w:rsidP="006925ED">
            <w:pPr>
              <w:shd w:val="clear" w:color="auto" w:fill="FFFFFF"/>
              <w:bidi/>
              <w:spacing w:after="300" w:line="465" w:lineRule="atLeast"/>
              <w:rPr>
                <w:rFonts w:ascii="David" w:eastAsia="Times New Roman" w:hAnsi="David" w:cs="David"/>
                <w:sz w:val="24"/>
                <w:szCs w:val="24"/>
                <w:rtl/>
                <w:lang w:val="fr-FR" w:eastAsia="zh-CN"/>
              </w:rPr>
            </w:pPr>
            <w:r>
              <w:rPr>
                <w:rFonts w:ascii="David" w:eastAsia="Times New Roman" w:hAnsi="David" w:cs="David" w:hint="cs"/>
                <w:sz w:val="24"/>
                <w:szCs w:val="24"/>
                <w:rtl/>
                <w:lang w:val="fr-FR" w:eastAsia="zh-CN"/>
              </w:rPr>
              <w:t>14.</w:t>
            </w:r>
            <w:r w:rsidRPr="006925ED">
              <w:rPr>
                <w:rFonts w:ascii="David" w:eastAsia="Times New Roman" w:hAnsi="David" w:cs="David" w:hint="cs"/>
                <w:sz w:val="24"/>
                <w:szCs w:val="24"/>
                <w:rtl/>
                <w:lang w:val="fr-FR" w:eastAsia="zh-CN"/>
              </w:rPr>
              <w:t>ראו</w:t>
            </w:r>
          </w:p>
          <w:p w14:paraId="6DED225F" w14:textId="77777777" w:rsidR="006925ED" w:rsidRPr="006925ED" w:rsidRDefault="006925ED" w:rsidP="006925ED">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6925ED">
              <w:rPr>
                <w:rFonts w:ascii="Times New Roman" w:eastAsia="Times New Roman" w:hAnsi="Times New Roman" w:cs="Times New Roman"/>
                <w:color w:val="333333"/>
                <w:lang w:eastAsia="zh-CN" w:bidi="ar-SA"/>
              </w:rPr>
              <w:t>Driver and Miles, </w:t>
            </w:r>
            <w:r w:rsidRPr="006925ED">
              <w:rPr>
                <w:rFonts w:ascii="Times New Roman" w:eastAsia="Times New Roman" w:hAnsi="Times New Roman" w:cs="Times New Roman"/>
                <w:i/>
                <w:iCs/>
                <w:color w:val="333333"/>
                <w:lang w:eastAsia="zh-CN" w:bidi="ar-SA"/>
              </w:rPr>
              <w:t>The Assyrian Laws,</w:t>
            </w:r>
            <w:r w:rsidRPr="006925ED">
              <w:rPr>
                <w:rFonts w:ascii="Times New Roman" w:eastAsia="Times New Roman" w:hAnsi="Times New Roman" w:cs="Times New Roman"/>
                <w:color w:val="333333"/>
                <w:lang w:eastAsia="zh-CN" w:bidi="ar-SA"/>
              </w:rPr>
              <w:t> 114.</w:t>
            </w:r>
          </w:p>
          <w:p w14:paraId="31B1195B" w14:textId="77777777" w:rsidR="00622E0B" w:rsidRDefault="00622E0B" w:rsidP="004E1C22">
            <w:pPr>
              <w:bidi/>
              <w:spacing w:line="276" w:lineRule="auto"/>
              <w:rPr>
                <w:rFonts w:asciiTheme="minorBidi" w:hAnsiTheme="minorBidi"/>
                <w:rtl/>
              </w:rPr>
            </w:pPr>
          </w:p>
        </w:tc>
      </w:tr>
      <w:tr w:rsidR="00622E0B" w:rsidRPr="005A0748" w14:paraId="7781D18F" w14:textId="77777777" w:rsidTr="004E1C22">
        <w:tc>
          <w:tcPr>
            <w:tcW w:w="4675" w:type="dxa"/>
          </w:tcPr>
          <w:p w14:paraId="6ED5A12D" w14:textId="6ADEC884" w:rsidR="005A0748" w:rsidRPr="005A0748" w:rsidRDefault="005A0748" w:rsidP="005A0748">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bookmarkStart w:id="42" w:name="_Hlk90925985"/>
            <w:r w:rsidRPr="005A0748">
              <w:rPr>
                <w:rFonts w:ascii="Times New Roman" w:eastAsia="Times New Roman" w:hAnsi="Times New Roman" w:cs="Times New Roman"/>
                <w:color w:val="333333"/>
                <w:sz w:val="23"/>
                <w:szCs w:val="23"/>
                <w:lang w:bidi="ar-SA"/>
              </w:rPr>
              <w:t>Jackson, </w:t>
            </w:r>
            <w:r w:rsidRPr="005A0748">
              <w:rPr>
                <w:rFonts w:ascii="Times New Roman" w:eastAsia="Times New Roman" w:hAnsi="Times New Roman" w:cs="Times New Roman"/>
                <w:i/>
                <w:iCs/>
                <w:color w:val="333333"/>
                <w:sz w:val="23"/>
                <w:lang w:bidi="ar-SA"/>
              </w:rPr>
              <w:t>Wisdom Laws, </w:t>
            </w:r>
            <w:r w:rsidRPr="005A0748">
              <w:rPr>
                <w:rFonts w:ascii="Times New Roman" w:eastAsia="Times New Roman" w:hAnsi="Times New Roman" w:cs="Times New Roman"/>
                <w:color w:val="333333"/>
                <w:sz w:val="23"/>
                <w:szCs w:val="23"/>
                <w:lang w:bidi="ar-SA"/>
              </w:rPr>
              <w:t>211.</w:t>
            </w:r>
          </w:p>
          <w:bookmarkEnd w:id="42"/>
          <w:p w14:paraId="78BD9F1F" w14:textId="77777777" w:rsidR="00622E0B" w:rsidRPr="005A0748" w:rsidRDefault="00622E0B" w:rsidP="004E1C22">
            <w:pPr>
              <w:spacing w:line="276" w:lineRule="auto"/>
              <w:rPr>
                <w:rFonts w:asciiTheme="minorBidi" w:hAnsiTheme="minorBidi"/>
              </w:rPr>
            </w:pPr>
          </w:p>
        </w:tc>
        <w:tc>
          <w:tcPr>
            <w:tcW w:w="4675" w:type="dxa"/>
          </w:tcPr>
          <w:p w14:paraId="2410C91A" w14:textId="2A9AFA86" w:rsidR="006925ED" w:rsidRPr="006925ED" w:rsidRDefault="006925ED" w:rsidP="006925ED">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15.</w:t>
            </w:r>
            <w:r w:rsidRPr="006925ED">
              <w:rPr>
                <w:rFonts w:ascii="David" w:eastAsia="Times New Roman" w:hAnsi="David" w:cs="David" w:hint="cs"/>
                <w:sz w:val="24"/>
                <w:szCs w:val="24"/>
                <w:rtl/>
                <w:lang w:eastAsia="zh-CN"/>
              </w:rPr>
              <w:t>ראו</w:t>
            </w:r>
          </w:p>
          <w:p w14:paraId="32FFB6B9" w14:textId="77777777" w:rsidR="006925ED" w:rsidRPr="006925ED" w:rsidRDefault="006925ED" w:rsidP="006925ED">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6925ED">
              <w:rPr>
                <w:rFonts w:ascii="Times New Roman" w:eastAsia="Times New Roman" w:hAnsi="Times New Roman" w:cs="Times New Roman"/>
                <w:color w:val="333333"/>
                <w:sz w:val="23"/>
                <w:szCs w:val="23"/>
                <w:lang w:eastAsia="zh-CN" w:bidi="ar-SA"/>
              </w:rPr>
              <w:t>Jackson, </w:t>
            </w:r>
            <w:r w:rsidRPr="006925ED">
              <w:rPr>
                <w:rFonts w:ascii="Times New Roman" w:eastAsia="Times New Roman" w:hAnsi="Times New Roman" w:cs="Times New Roman"/>
                <w:i/>
                <w:iCs/>
                <w:color w:val="333333"/>
                <w:sz w:val="23"/>
                <w:lang w:eastAsia="zh-CN" w:bidi="ar-SA"/>
              </w:rPr>
              <w:t>Wisdom Laws, </w:t>
            </w:r>
            <w:r w:rsidRPr="006925ED">
              <w:rPr>
                <w:rFonts w:ascii="Times New Roman" w:eastAsia="Times New Roman" w:hAnsi="Times New Roman" w:cs="Times New Roman"/>
                <w:color w:val="333333"/>
                <w:sz w:val="23"/>
                <w:szCs w:val="23"/>
                <w:lang w:eastAsia="zh-CN" w:bidi="ar-SA"/>
              </w:rPr>
              <w:t>211.</w:t>
            </w:r>
          </w:p>
          <w:p w14:paraId="1D8E4F38" w14:textId="77777777" w:rsidR="00622E0B" w:rsidRDefault="00622E0B" w:rsidP="004E1C22">
            <w:pPr>
              <w:bidi/>
              <w:spacing w:line="276" w:lineRule="auto"/>
              <w:rPr>
                <w:rFonts w:asciiTheme="minorBidi" w:hAnsiTheme="minorBidi"/>
                <w:rtl/>
              </w:rPr>
            </w:pPr>
          </w:p>
        </w:tc>
      </w:tr>
      <w:tr w:rsidR="00622E0B" w:rsidRPr="005A0748" w14:paraId="6A6E6BB9" w14:textId="77777777" w:rsidTr="004E1C22">
        <w:tc>
          <w:tcPr>
            <w:tcW w:w="4675" w:type="dxa"/>
          </w:tcPr>
          <w:p w14:paraId="5867D101" w14:textId="156B7234" w:rsidR="005A0748" w:rsidRPr="005A0748" w:rsidRDefault="005A0748" w:rsidP="005A0748">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5A0748">
              <w:rPr>
                <w:rFonts w:ascii="Times New Roman" w:eastAsia="Times New Roman" w:hAnsi="Times New Roman" w:cs="Times New Roman"/>
                <w:color w:val="333333"/>
                <w:sz w:val="23"/>
                <w:szCs w:val="23"/>
                <w:lang w:bidi="ar-SA"/>
              </w:rPr>
              <w:t>The Middle Assyrian laws, preserved on the fourteen tablets excavated by the German Oriental Society at Assur in 1903, are considered a restatement or recompilation (dated to the 11</w:t>
            </w:r>
            <w:r w:rsidRPr="005A0748">
              <w:rPr>
                <w:rFonts w:ascii="Times New Roman" w:eastAsia="Times New Roman" w:hAnsi="Times New Roman" w:cs="Times New Roman"/>
                <w:color w:val="333333"/>
                <w:sz w:val="17"/>
                <w:szCs w:val="17"/>
                <w:vertAlign w:val="superscript"/>
                <w:lang w:bidi="ar-SA"/>
              </w:rPr>
              <w:t>th </w:t>
            </w:r>
            <w:r w:rsidRPr="005A0748">
              <w:rPr>
                <w:rFonts w:ascii="Times New Roman" w:eastAsia="Times New Roman" w:hAnsi="Times New Roman" w:cs="Times New Roman"/>
                <w:color w:val="333333"/>
                <w:sz w:val="23"/>
                <w:szCs w:val="23"/>
                <w:lang w:bidi="ar-SA"/>
              </w:rPr>
              <w:t xml:space="preserve">century </w:t>
            </w:r>
            <w:r w:rsidRPr="005A0748">
              <w:rPr>
                <w:rFonts w:ascii="Times New Roman" w:eastAsia="Times New Roman" w:hAnsi="Times New Roman" w:cs="Times New Roman"/>
                <w:color w:val="333333"/>
                <w:sz w:val="23"/>
                <w:szCs w:val="23"/>
                <w:lang w:bidi="ar-SA"/>
              </w:rPr>
              <w:lastRenderedPageBreak/>
              <w:t>B.C.E.) of older materials known from as early as 14th century B.C.E. Unlike Hammurabi’s laws, the Middle Assyrian Laws were never widely disseminated and it is not possible to reconstruct any possible points of cultural contact between them and ancient Israel until the Neo-Assyrian period, from 980 B.C.E.–841 B.C.E., at the very earliest, which would have been the time that this first world empire left its mark on the biblical scribes. As Karen Radner explains: “Decisions made in the imperial cities in present day Northern Iraq influenced lives from the Nile to the Caspian Sea while its political, administrative, and infrastructural heritage profoundly shaped the history of the wider Mediterranean and the Middle East.,” in </w:t>
            </w:r>
            <w:r w:rsidRPr="005A0748">
              <w:rPr>
                <w:rFonts w:ascii="Times New Roman" w:eastAsia="Times New Roman" w:hAnsi="Times New Roman" w:cs="Times New Roman"/>
                <w:i/>
                <w:iCs/>
                <w:color w:val="333333"/>
                <w:sz w:val="23"/>
                <w:lang w:bidi="ar-SA"/>
              </w:rPr>
              <w:t>Ancient Assyria: A Very Short Introduction</w:t>
            </w:r>
            <w:r w:rsidRPr="005A0748">
              <w:rPr>
                <w:rFonts w:ascii="Times New Roman" w:eastAsia="Times New Roman" w:hAnsi="Times New Roman" w:cs="Times New Roman"/>
                <w:color w:val="333333"/>
                <w:sz w:val="23"/>
                <w:szCs w:val="23"/>
                <w:lang w:bidi="ar-SA"/>
              </w:rPr>
              <w:t> (Oxford: Oxford University Press, 2015).</w:t>
            </w:r>
          </w:p>
          <w:p w14:paraId="1B7A2C2C" w14:textId="77777777" w:rsidR="00622E0B" w:rsidRPr="005A0748" w:rsidRDefault="00622E0B" w:rsidP="004E1C22">
            <w:pPr>
              <w:spacing w:line="276" w:lineRule="auto"/>
              <w:rPr>
                <w:rFonts w:asciiTheme="minorBidi" w:hAnsiTheme="minorBidi"/>
              </w:rPr>
            </w:pPr>
          </w:p>
        </w:tc>
        <w:tc>
          <w:tcPr>
            <w:tcW w:w="4675" w:type="dxa"/>
          </w:tcPr>
          <w:p w14:paraId="644F6787" w14:textId="63DDC73B" w:rsidR="006925ED" w:rsidRPr="006925ED" w:rsidRDefault="006925ED" w:rsidP="006925ED">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lastRenderedPageBreak/>
              <w:t>16</w:t>
            </w:r>
            <w:r w:rsidRPr="006925ED">
              <w:rPr>
                <w:rFonts w:ascii="David" w:eastAsia="Times New Roman" w:hAnsi="David" w:cs="David" w:hint="cs"/>
                <w:sz w:val="24"/>
                <w:szCs w:val="24"/>
                <w:rtl/>
                <w:lang w:eastAsia="zh-CN"/>
              </w:rPr>
              <w:t>. חוקי אשור, ש</w:t>
            </w:r>
            <w:r w:rsidR="00635F5E">
              <w:rPr>
                <w:rFonts w:ascii="David" w:eastAsia="Times New Roman" w:hAnsi="David" w:cs="David" w:hint="cs"/>
                <w:sz w:val="24"/>
                <w:szCs w:val="24"/>
                <w:rtl/>
                <w:lang w:eastAsia="zh-CN"/>
              </w:rPr>
              <w:t>נשת</w:t>
            </w:r>
            <w:r w:rsidRPr="006925ED">
              <w:rPr>
                <w:rFonts w:ascii="David" w:eastAsia="Times New Roman" w:hAnsi="David" w:cs="David" w:hint="cs"/>
                <w:sz w:val="24"/>
                <w:szCs w:val="24"/>
                <w:rtl/>
                <w:lang w:eastAsia="zh-CN"/>
              </w:rPr>
              <w:t>מר</w:t>
            </w:r>
            <w:r w:rsidR="00635F5E">
              <w:rPr>
                <w:rFonts w:ascii="David" w:eastAsia="Times New Roman" w:hAnsi="David" w:cs="David" w:hint="cs"/>
                <w:sz w:val="24"/>
                <w:szCs w:val="24"/>
                <w:rtl/>
                <w:lang w:eastAsia="zh-CN"/>
              </w:rPr>
              <w:t>ו</w:t>
            </w:r>
            <w:r w:rsidRPr="006925ED">
              <w:rPr>
                <w:rFonts w:ascii="David" w:eastAsia="Times New Roman" w:hAnsi="David" w:cs="David" w:hint="cs"/>
                <w:sz w:val="24"/>
                <w:szCs w:val="24"/>
                <w:rtl/>
                <w:lang w:eastAsia="zh-CN"/>
              </w:rPr>
              <w:t xml:space="preserve"> על גבי ארבעה עשר לוחות שהתגלו בחפירות החברה האוריינטלית הגרמנית באשור ב-1903, נחשבים לניסוח מחדש או איסוף מחדש (המתוארך למאה ה-11 לפני הספירה) של חומרים ישנים יותר המוכרים כבר מן המאה ה-14 לפני הספירה. שלא כמו חוקי חמורבי, חוקי אשור </w:t>
            </w:r>
            <w:r w:rsidRPr="006925ED">
              <w:rPr>
                <w:rFonts w:ascii="David" w:eastAsia="Times New Roman" w:hAnsi="David" w:cs="David" w:hint="cs"/>
                <w:sz w:val="24"/>
                <w:szCs w:val="24"/>
                <w:rtl/>
                <w:lang w:eastAsia="zh-CN"/>
              </w:rPr>
              <w:lastRenderedPageBreak/>
              <w:t xml:space="preserve">מעולם לא הופצו בתפוצה רחבה, ואין אפשרות לשחזר נקודות אפשריות של ממשק תרבותי בינם לבין ישראל העתיקה עד לתקופה האשורית, מ-980 לפני הספירה עד 841 לפני הספירה, בעיתוי המוקדם ביותר, שהיה כפי הנראה המועד שבו השאירה אימפריה עולמית ראשונה זו את חותמה על הסופרים המקראיים. כפי שמסבירה קארן </w:t>
            </w:r>
            <w:proofErr w:type="spellStart"/>
            <w:r w:rsidRPr="006925ED">
              <w:rPr>
                <w:rFonts w:ascii="David" w:eastAsia="Times New Roman" w:hAnsi="David" w:cs="David" w:hint="cs"/>
                <w:sz w:val="24"/>
                <w:szCs w:val="24"/>
                <w:rtl/>
                <w:lang w:eastAsia="zh-CN"/>
              </w:rPr>
              <w:t>רדנר</w:t>
            </w:r>
            <w:proofErr w:type="spellEnd"/>
            <w:r w:rsidRPr="006925ED">
              <w:rPr>
                <w:rFonts w:ascii="David" w:eastAsia="Times New Roman" w:hAnsi="David" w:cs="David" w:hint="cs"/>
                <w:sz w:val="24"/>
                <w:szCs w:val="24"/>
                <w:rtl/>
                <w:lang w:eastAsia="zh-CN"/>
              </w:rPr>
              <w:t xml:space="preserve">: "החלטות שהתקבלו בערים הקיסריות של צפון עירק של ימינו השפיעו על חיי בני אדם מהנילוס ועד הים הכספי, בעוד שמורשתה האדמיניסטרטיבית, הפוליטית והתשתיתית עיצבה באופן מובהק את ההיסטוריה של אגן הים התיכון המורחב והמזרח התיכון", מתוך  </w:t>
            </w:r>
          </w:p>
          <w:p w14:paraId="5543861A" w14:textId="77777777" w:rsidR="006925ED" w:rsidRPr="006925ED" w:rsidRDefault="006925ED" w:rsidP="006925ED">
            <w:pPr>
              <w:shd w:val="clear" w:color="auto" w:fill="FFFFFF"/>
              <w:spacing w:before="100" w:beforeAutospacing="1" w:line="480" w:lineRule="auto"/>
              <w:ind w:left="425"/>
              <w:rPr>
                <w:rFonts w:ascii="Times New Roman" w:eastAsia="Times New Roman" w:hAnsi="Times New Roman" w:cs="Times New Roman"/>
                <w:color w:val="333333"/>
                <w:sz w:val="23"/>
                <w:szCs w:val="23"/>
                <w:lang w:eastAsia="zh-CN" w:bidi="ar-SA"/>
              </w:rPr>
            </w:pPr>
            <w:r w:rsidRPr="006925ED">
              <w:rPr>
                <w:rFonts w:ascii="Times New Roman" w:eastAsia="Times New Roman" w:hAnsi="Times New Roman" w:cs="Times New Roman"/>
                <w:i/>
                <w:iCs/>
                <w:color w:val="333333"/>
                <w:sz w:val="23"/>
                <w:lang w:eastAsia="zh-CN" w:bidi="ar-SA"/>
              </w:rPr>
              <w:t>Ancient Assyria: A Very Short Introduction</w:t>
            </w:r>
            <w:r w:rsidRPr="006925ED">
              <w:rPr>
                <w:rFonts w:ascii="Times New Roman" w:eastAsia="Times New Roman" w:hAnsi="Times New Roman" w:cs="Times New Roman"/>
                <w:color w:val="333333"/>
                <w:sz w:val="23"/>
                <w:szCs w:val="23"/>
                <w:lang w:eastAsia="zh-CN" w:bidi="ar-SA"/>
              </w:rPr>
              <w:t> (Oxford: Oxford University Press, 2015).</w:t>
            </w:r>
          </w:p>
          <w:p w14:paraId="38FD59E5" w14:textId="77777777" w:rsidR="00622E0B" w:rsidRPr="006925ED" w:rsidRDefault="00622E0B" w:rsidP="004E1C22">
            <w:pPr>
              <w:bidi/>
              <w:spacing w:line="276" w:lineRule="auto"/>
              <w:rPr>
                <w:rFonts w:asciiTheme="minorBidi" w:hAnsiTheme="minorBidi"/>
                <w:rtl/>
              </w:rPr>
            </w:pPr>
          </w:p>
        </w:tc>
      </w:tr>
      <w:tr w:rsidR="005A0748" w:rsidRPr="005A0748" w14:paraId="6842A1EF" w14:textId="77777777" w:rsidTr="004E1C22">
        <w:tc>
          <w:tcPr>
            <w:tcW w:w="4675" w:type="dxa"/>
          </w:tcPr>
          <w:p w14:paraId="34DFE811" w14:textId="31859E29" w:rsidR="005A0748" w:rsidRPr="005A0748" w:rsidRDefault="005A0748" w:rsidP="005A0748">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5A0748">
              <w:rPr>
                <w:rFonts w:ascii="Times New Roman" w:eastAsia="Times New Roman" w:hAnsi="Times New Roman" w:cs="Times New Roman"/>
                <w:color w:val="333333"/>
                <w:sz w:val="23"/>
                <w:szCs w:val="23"/>
                <w:lang w:bidi="ar-SA"/>
              </w:rPr>
              <w:lastRenderedPageBreak/>
              <w:t xml:space="preserve">Godfrey </w:t>
            </w:r>
            <w:proofErr w:type="spellStart"/>
            <w:r w:rsidRPr="005A0748">
              <w:rPr>
                <w:rFonts w:ascii="Times New Roman" w:eastAsia="Times New Roman" w:hAnsi="Times New Roman" w:cs="Times New Roman"/>
                <w:color w:val="333333"/>
                <w:sz w:val="23"/>
                <w:szCs w:val="23"/>
                <w:lang w:bidi="ar-SA"/>
              </w:rPr>
              <w:t>Rolles</w:t>
            </w:r>
            <w:proofErr w:type="spellEnd"/>
            <w:r w:rsidRPr="005A0748">
              <w:rPr>
                <w:rFonts w:ascii="Times New Roman" w:eastAsia="Times New Roman" w:hAnsi="Times New Roman" w:cs="Times New Roman"/>
                <w:color w:val="333333"/>
                <w:sz w:val="23"/>
                <w:szCs w:val="23"/>
                <w:lang w:bidi="ar-SA"/>
              </w:rPr>
              <w:t xml:space="preserve"> Driver and John C. Miles, </w:t>
            </w:r>
            <w:r w:rsidRPr="005A0748">
              <w:rPr>
                <w:rFonts w:ascii="Times New Roman" w:eastAsia="Times New Roman" w:hAnsi="Times New Roman" w:cs="Times New Roman"/>
                <w:i/>
                <w:iCs/>
                <w:color w:val="333333"/>
                <w:sz w:val="23"/>
                <w:lang w:bidi="ar-SA"/>
              </w:rPr>
              <w:t>The Assyrian Laws</w:t>
            </w:r>
            <w:r w:rsidRPr="005A0748">
              <w:rPr>
                <w:rFonts w:ascii="Times New Roman" w:eastAsia="Times New Roman" w:hAnsi="Times New Roman" w:cs="Times New Roman"/>
                <w:color w:val="333333"/>
                <w:sz w:val="23"/>
                <w:szCs w:val="23"/>
                <w:lang w:bidi="ar-SA"/>
              </w:rPr>
              <w:t xml:space="preserve"> (Oxford: Clarendon Press, 1935; </w:t>
            </w:r>
            <w:proofErr w:type="spellStart"/>
            <w:r w:rsidRPr="005A0748">
              <w:rPr>
                <w:rFonts w:ascii="Times New Roman" w:eastAsia="Times New Roman" w:hAnsi="Times New Roman" w:cs="Times New Roman"/>
                <w:color w:val="333333"/>
                <w:sz w:val="23"/>
                <w:szCs w:val="23"/>
                <w:lang w:bidi="ar-SA"/>
              </w:rPr>
              <w:t>repr</w:t>
            </w:r>
            <w:proofErr w:type="spellEnd"/>
            <w:r w:rsidRPr="005A0748">
              <w:rPr>
                <w:rFonts w:ascii="Times New Roman" w:eastAsia="Times New Roman" w:hAnsi="Times New Roman" w:cs="Times New Roman"/>
                <w:color w:val="333333"/>
                <w:sz w:val="23"/>
                <w:szCs w:val="23"/>
                <w:lang w:bidi="ar-SA"/>
              </w:rPr>
              <w:t>. Scientia Verlag Aalen: Darmstadt, 1975). Driver was the renowned Professor of Semitic Philology at Oxford, whose colleague Miles (1870-1963) was barrister at Merton and Exeter (Oxford). Driver and Miles’ scholarly translation, transliteration, and extensive commentary on these laws, in excess of 500 pages, first appeared in 1935, and having stood the test of time, was subsequently reprinted in 1975.</w:t>
            </w:r>
          </w:p>
          <w:p w14:paraId="14763457" w14:textId="77777777" w:rsidR="005A0748" w:rsidRPr="005A0748" w:rsidRDefault="005A0748" w:rsidP="004E1C22">
            <w:pPr>
              <w:spacing w:line="276" w:lineRule="auto"/>
              <w:rPr>
                <w:rFonts w:asciiTheme="minorBidi" w:hAnsiTheme="minorBidi"/>
              </w:rPr>
            </w:pPr>
          </w:p>
        </w:tc>
        <w:tc>
          <w:tcPr>
            <w:tcW w:w="4675" w:type="dxa"/>
          </w:tcPr>
          <w:p w14:paraId="32DCC90F" w14:textId="77777777" w:rsidR="0022494C" w:rsidRPr="0022494C" w:rsidRDefault="0022494C" w:rsidP="0022494C">
            <w:pPr>
              <w:shd w:val="clear" w:color="auto" w:fill="FFFFFF"/>
              <w:bidi/>
              <w:spacing w:after="300" w:line="465" w:lineRule="atLeast"/>
              <w:rPr>
                <w:rFonts w:ascii="David" w:eastAsia="Times New Roman" w:hAnsi="David" w:cs="David"/>
                <w:sz w:val="24"/>
                <w:szCs w:val="24"/>
                <w:rtl/>
                <w:lang w:eastAsia="zh-CN"/>
              </w:rPr>
            </w:pPr>
            <w:r w:rsidRPr="0022494C">
              <w:rPr>
                <w:rFonts w:ascii="David" w:eastAsia="Times New Roman" w:hAnsi="David" w:cs="David" w:hint="cs"/>
                <w:sz w:val="24"/>
                <w:szCs w:val="24"/>
                <w:rtl/>
                <w:lang w:eastAsia="zh-CN"/>
              </w:rPr>
              <w:t>17. ראו</w:t>
            </w:r>
          </w:p>
          <w:p w14:paraId="5B1A23D5" w14:textId="77777777" w:rsidR="0022494C" w:rsidRPr="0022494C" w:rsidRDefault="0022494C" w:rsidP="0022494C">
            <w:pPr>
              <w:shd w:val="clear" w:color="auto" w:fill="FFFFFF"/>
              <w:bidi/>
              <w:spacing w:after="300" w:line="465" w:lineRule="atLeast"/>
              <w:rPr>
                <w:rFonts w:ascii="David" w:eastAsia="Times New Roman" w:hAnsi="David" w:cs="David"/>
                <w:sz w:val="24"/>
                <w:szCs w:val="24"/>
                <w:rtl/>
                <w:lang w:eastAsia="zh-CN"/>
              </w:rPr>
            </w:pPr>
            <w:r w:rsidRPr="0022494C">
              <w:rPr>
                <w:rFonts w:ascii="Times New Roman" w:eastAsia="Times New Roman" w:hAnsi="Times New Roman" w:cs="Times New Roman"/>
                <w:color w:val="333333"/>
                <w:sz w:val="23"/>
                <w:szCs w:val="23"/>
                <w:lang w:bidi="ar-SA"/>
              </w:rPr>
              <w:t xml:space="preserve">Godfrey </w:t>
            </w:r>
            <w:proofErr w:type="spellStart"/>
            <w:r w:rsidRPr="0022494C">
              <w:rPr>
                <w:rFonts w:ascii="Times New Roman" w:eastAsia="Times New Roman" w:hAnsi="Times New Roman" w:cs="Times New Roman"/>
                <w:color w:val="333333"/>
                <w:sz w:val="23"/>
                <w:szCs w:val="23"/>
                <w:lang w:bidi="ar-SA"/>
              </w:rPr>
              <w:t>Rolles</w:t>
            </w:r>
            <w:proofErr w:type="spellEnd"/>
            <w:r w:rsidRPr="0022494C">
              <w:rPr>
                <w:rFonts w:ascii="Times New Roman" w:eastAsia="Times New Roman" w:hAnsi="Times New Roman" w:cs="Times New Roman"/>
                <w:color w:val="333333"/>
                <w:sz w:val="23"/>
                <w:szCs w:val="23"/>
                <w:lang w:bidi="ar-SA"/>
              </w:rPr>
              <w:t xml:space="preserve"> Driver and John C. Miles, </w:t>
            </w:r>
            <w:r w:rsidRPr="0022494C">
              <w:rPr>
                <w:rFonts w:ascii="Times New Roman" w:eastAsia="Times New Roman" w:hAnsi="Times New Roman" w:cs="Times New Roman"/>
                <w:i/>
                <w:iCs/>
                <w:color w:val="333333"/>
                <w:sz w:val="23"/>
                <w:lang w:bidi="ar-SA"/>
              </w:rPr>
              <w:t>The Assyrian Laws</w:t>
            </w:r>
            <w:r w:rsidRPr="0022494C">
              <w:rPr>
                <w:rFonts w:ascii="Times New Roman" w:eastAsia="Times New Roman" w:hAnsi="Times New Roman" w:cs="Times New Roman"/>
                <w:color w:val="333333"/>
                <w:sz w:val="23"/>
                <w:szCs w:val="23"/>
                <w:lang w:bidi="ar-SA"/>
              </w:rPr>
              <w:t xml:space="preserve"> (Oxford: Clarendon Press, 1935; </w:t>
            </w:r>
            <w:proofErr w:type="spellStart"/>
            <w:r w:rsidRPr="0022494C">
              <w:rPr>
                <w:rFonts w:ascii="Times New Roman" w:eastAsia="Times New Roman" w:hAnsi="Times New Roman" w:cs="Times New Roman"/>
                <w:color w:val="333333"/>
                <w:sz w:val="23"/>
                <w:szCs w:val="23"/>
                <w:lang w:bidi="ar-SA"/>
              </w:rPr>
              <w:t>repr</w:t>
            </w:r>
            <w:proofErr w:type="spellEnd"/>
            <w:r w:rsidRPr="0022494C">
              <w:rPr>
                <w:rFonts w:ascii="Times New Roman" w:eastAsia="Times New Roman" w:hAnsi="Times New Roman" w:cs="Times New Roman"/>
                <w:color w:val="333333"/>
                <w:sz w:val="23"/>
                <w:szCs w:val="23"/>
                <w:lang w:bidi="ar-SA"/>
              </w:rPr>
              <w:t>. Scientia Verlag Aalen: Darmstadt, 1975).</w:t>
            </w:r>
            <w:r w:rsidRPr="0022494C">
              <w:rPr>
                <w:rFonts w:ascii="David" w:eastAsia="Times New Roman" w:hAnsi="David" w:cs="David" w:hint="cs"/>
                <w:sz w:val="24"/>
                <w:szCs w:val="24"/>
                <w:rtl/>
                <w:lang w:eastAsia="zh-CN"/>
              </w:rPr>
              <w:t xml:space="preserve">  דרייבר היה הפרופסור הנודע לפילולוגיה שמית באוקספורד, ועמיתו מיילס (1870–1963) היה פרקליט ב-</w:t>
            </w:r>
            <w:r w:rsidRPr="0022494C">
              <w:rPr>
                <w:rFonts w:ascii="Times New Roman" w:eastAsia="Times New Roman" w:hAnsi="Times New Roman" w:cs="Times New Roman"/>
                <w:color w:val="333333"/>
                <w:sz w:val="23"/>
                <w:szCs w:val="23"/>
                <w:lang w:bidi="ar-SA"/>
              </w:rPr>
              <w:t xml:space="preserve"> Merton and Exeter (Oxford)</w:t>
            </w:r>
            <w:r w:rsidRPr="0022494C">
              <w:rPr>
                <w:rFonts w:ascii="David" w:eastAsia="Times New Roman" w:hAnsi="David" w:cs="David" w:hint="cs"/>
                <w:sz w:val="24"/>
                <w:szCs w:val="24"/>
                <w:rtl/>
                <w:lang w:eastAsia="zh-CN"/>
              </w:rPr>
              <w:t>. תרגומם, תעתיקם המלומדים ופרשנותם הנרחבת של דרייבר ומיילס לחוקים אלה, בהיקף של למעלה מ-500 עמודים, התפרסמו לראשונה ב-1935, ולאחר שעמדו במבחן הזמן, הודפסו מחדש ב-1975.</w:t>
            </w:r>
          </w:p>
          <w:p w14:paraId="15C2ABB9" w14:textId="77777777" w:rsidR="005A0748" w:rsidRDefault="005A0748" w:rsidP="004E1C22">
            <w:pPr>
              <w:bidi/>
              <w:spacing w:line="276" w:lineRule="auto"/>
              <w:rPr>
                <w:rFonts w:asciiTheme="minorBidi" w:hAnsiTheme="minorBidi"/>
                <w:rtl/>
              </w:rPr>
            </w:pPr>
          </w:p>
        </w:tc>
      </w:tr>
      <w:tr w:rsidR="005A0748" w:rsidRPr="00EB3003" w14:paraId="4B918264" w14:textId="77777777" w:rsidTr="004E1C22">
        <w:tc>
          <w:tcPr>
            <w:tcW w:w="4675" w:type="dxa"/>
          </w:tcPr>
          <w:p w14:paraId="06CCED4F" w14:textId="0D7E11CE" w:rsidR="005A0748" w:rsidRPr="005A0748" w:rsidRDefault="005A0748" w:rsidP="005A0748">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5A0748">
              <w:rPr>
                <w:rFonts w:ascii="Times New Roman" w:eastAsia="Times New Roman" w:hAnsi="Times New Roman" w:cs="Times New Roman"/>
                <w:color w:val="333333"/>
                <w:sz w:val="23"/>
                <w:szCs w:val="23"/>
                <w:lang w:bidi="ar-SA"/>
              </w:rPr>
              <w:t>This was explicit in MAL A50, lines 71-73 which states: </w:t>
            </w:r>
            <w:r w:rsidRPr="005A0748">
              <w:rPr>
                <w:rFonts w:ascii="Times New Roman" w:eastAsia="Times New Roman" w:hAnsi="Times New Roman" w:cs="Times New Roman"/>
                <w:i/>
                <w:iCs/>
                <w:color w:val="333333"/>
                <w:sz w:val="23"/>
                <w:lang w:bidi="ar-SA"/>
              </w:rPr>
              <w:t xml:space="preserve">u </w:t>
            </w:r>
            <w:proofErr w:type="spellStart"/>
            <w:r w:rsidRPr="005A0748">
              <w:rPr>
                <w:rFonts w:ascii="Times New Roman" w:eastAsia="Times New Roman" w:hAnsi="Times New Roman" w:cs="Times New Roman"/>
                <w:i/>
                <w:iCs/>
                <w:color w:val="333333"/>
                <w:sz w:val="23"/>
                <w:lang w:bidi="ar-SA"/>
              </w:rPr>
              <w:t>šumma</w:t>
            </w:r>
            <w:proofErr w:type="spellEnd"/>
            <w:r w:rsidRPr="005A0748">
              <w:rPr>
                <w:rFonts w:ascii="Times New Roman" w:eastAsia="Times New Roman" w:hAnsi="Times New Roman" w:cs="Times New Roman"/>
                <w:i/>
                <w:iCs/>
                <w:color w:val="333333"/>
                <w:sz w:val="23"/>
                <w:lang w:bidi="ar-SA"/>
              </w:rPr>
              <w:t xml:space="preserve"> </w:t>
            </w:r>
            <w:proofErr w:type="spellStart"/>
            <w:r w:rsidRPr="005A0748">
              <w:rPr>
                <w:rFonts w:ascii="Times New Roman" w:eastAsia="Times New Roman" w:hAnsi="Times New Roman" w:cs="Times New Roman"/>
                <w:i/>
                <w:iCs/>
                <w:color w:val="333333"/>
                <w:sz w:val="23"/>
                <w:lang w:bidi="ar-SA"/>
              </w:rPr>
              <w:t>sinniltu</w:t>
            </w:r>
            <w:proofErr w:type="spellEnd"/>
            <w:r w:rsidRPr="005A0748">
              <w:rPr>
                <w:rFonts w:ascii="Times New Roman" w:eastAsia="Times New Roman" w:hAnsi="Times New Roman" w:cs="Times New Roman"/>
                <w:i/>
                <w:iCs/>
                <w:color w:val="333333"/>
                <w:sz w:val="23"/>
                <w:lang w:bidi="ar-SA"/>
              </w:rPr>
              <w:t xml:space="preserve"> </w:t>
            </w:r>
            <w:proofErr w:type="spellStart"/>
            <w:r w:rsidRPr="005A0748">
              <w:rPr>
                <w:rFonts w:ascii="Times New Roman" w:eastAsia="Times New Roman" w:hAnsi="Times New Roman" w:cs="Times New Roman"/>
                <w:i/>
                <w:iCs/>
                <w:color w:val="333333"/>
                <w:sz w:val="23"/>
                <w:lang w:bidi="ar-SA"/>
              </w:rPr>
              <w:t>šīt</w:t>
            </w:r>
            <w:proofErr w:type="spellEnd"/>
            <w:r w:rsidRPr="005A0748">
              <w:rPr>
                <w:rFonts w:ascii="Times New Roman" w:eastAsia="Times New Roman" w:hAnsi="Times New Roman" w:cs="Times New Roman"/>
                <w:i/>
                <w:iCs/>
                <w:color w:val="333333"/>
                <w:sz w:val="23"/>
                <w:lang w:bidi="ar-SA"/>
              </w:rPr>
              <w:t xml:space="preserve"> </w:t>
            </w:r>
            <w:proofErr w:type="spellStart"/>
            <w:r w:rsidRPr="005A0748">
              <w:rPr>
                <w:rFonts w:ascii="Times New Roman" w:eastAsia="Times New Roman" w:hAnsi="Times New Roman" w:cs="Times New Roman"/>
                <w:i/>
                <w:iCs/>
                <w:color w:val="333333"/>
                <w:sz w:val="23"/>
                <w:lang w:bidi="ar-SA"/>
              </w:rPr>
              <w:t>mītat</w:t>
            </w:r>
            <w:proofErr w:type="spellEnd"/>
            <w:r w:rsidRPr="005A0748">
              <w:rPr>
                <w:rFonts w:ascii="Times New Roman" w:eastAsia="Times New Roman" w:hAnsi="Times New Roman" w:cs="Times New Roman"/>
                <w:i/>
                <w:iCs/>
                <w:color w:val="333333"/>
                <w:sz w:val="23"/>
                <w:lang w:bidi="ar-SA"/>
              </w:rPr>
              <w:t xml:space="preserve"> </w:t>
            </w:r>
            <w:proofErr w:type="spellStart"/>
            <w:r w:rsidRPr="005A0748">
              <w:rPr>
                <w:rFonts w:ascii="Times New Roman" w:eastAsia="Times New Roman" w:hAnsi="Times New Roman" w:cs="Times New Roman"/>
                <w:i/>
                <w:iCs/>
                <w:color w:val="333333"/>
                <w:sz w:val="23"/>
                <w:lang w:bidi="ar-SA"/>
              </w:rPr>
              <w:t>napšāte</w:t>
            </w:r>
            <w:proofErr w:type="spellEnd"/>
            <w:r w:rsidRPr="005A0748">
              <w:rPr>
                <w:rFonts w:ascii="Times New Roman" w:eastAsia="Times New Roman" w:hAnsi="Times New Roman" w:cs="Times New Roman"/>
                <w:i/>
                <w:iCs/>
                <w:color w:val="333333"/>
                <w:sz w:val="23"/>
                <w:lang w:bidi="ar-SA"/>
              </w:rPr>
              <w:t xml:space="preserve"> </w:t>
            </w:r>
            <w:proofErr w:type="spellStart"/>
            <w:proofErr w:type="gramStart"/>
            <w:r w:rsidRPr="005A0748">
              <w:rPr>
                <w:rFonts w:ascii="Times New Roman" w:eastAsia="Times New Roman" w:hAnsi="Times New Roman" w:cs="Times New Roman"/>
                <w:i/>
                <w:iCs/>
                <w:color w:val="333333"/>
                <w:sz w:val="23"/>
                <w:lang w:bidi="ar-SA"/>
              </w:rPr>
              <w:t>umallā</w:t>
            </w:r>
            <w:proofErr w:type="spellEnd"/>
            <w:r w:rsidRPr="005A0748">
              <w:rPr>
                <w:rFonts w:ascii="Times New Roman" w:eastAsia="Times New Roman" w:hAnsi="Times New Roman" w:cs="Times New Roman"/>
                <w:color w:val="333333"/>
                <w:sz w:val="23"/>
                <w:szCs w:val="23"/>
                <w:lang w:bidi="ar-SA"/>
              </w:rPr>
              <w:t> ,</w:t>
            </w:r>
            <w:proofErr w:type="gramEnd"/>
            <w:r w:rsidRPr="005A0748">
              <w:rPr>
                <w:rFonts w:ascii="Times New Roman" w:eastAsia="Times New Roman" w:hAnsi="Times New Roman" w:cs="Times New Roman"/>
                <w:color w:val="333333"/>
                <w:sz w:val="23"/>
                <w:szCs w:val="23"/>
                <w:lang w:bidi="ar-SA"/>
              </w:rPr>
              <w:t xml:space="preserve"> “but if that woman dies, the man shall be put to death, for the fruit of the womb he pays (on the principle of) a life (for a life),” where the death penalty is unequivocal. Capital punishment was further attested, </w:t>
            </w:r>
            <w:r w:rsidRPr="005A0748">
              <w:rPr>
                <w:rFonts w:ascii="Times New Roman" w:eastAsia="Times New Roman" w:hAnsi="Times New Roman" w:cs="Times New Roman"/>
                <w:color w:val="333333"/>
                <w:sz w:val="23"/>
                <w:szCs w:val="23"/>
                <w:lang w:bidi="ar-SA"/>
              </w:rPr>
              <w:lastRenderedPageBreak/>
              <w:t>to address the situation where the mother survived, but her child did not:</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746"/>
              <w:gridCol w:w="1473"/>
              <w:gridCol w:w="1520"/>
            </w:tblGrid>
            <w:tr w:rsidR="005A0748" w:rsidRPr="00C11F76" w14:paraId="7BFC8114" w14:textId="77777777" w:rsidTr="00B9645E">
              <w:tc>
                <w:tcPr>
                  <w:tcW w:w="870" w:type="dxa"/>
                  <w:tcMar>
                    <w:top w:w="120" w:type="dxa"/>
                    <w:left w:w="195" w:type="dxa"/>
                    <w:bottom w:w="135" w:type="dxa"/>
                    <w:right w:w="90" w:type="dxa"/>
                  </w:tcMar>
                  <w:hideMark/>
                </w:tcPr>
                <w:p w14:paraId="7EB89682"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Line 74</w:t>
                  </w:r>
                </w:p>
              </w:tc>
              <w:tc>
                <w:tcPr>
                  <w:tcW w:w="2580" w:type="dxa"/>
                  <w:tcMar>
                    <w:top w:w="120" w:type="dxa"/>
                    <w:left w:w="195" w:type="dxa"/>
                    <w:bottom w:w="135" w:type="dxa"/>
                    <w:right w:w="90" w:type="dxa"/>
                  </w:tcMar>
                  <w:hideMark/>
                </w:tcPr>
                <w:p w14:paraId="0A72FCE1"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i/>
                      <w:iCs/>
                      <w:sz w:val="24"/>
                      <w:szCs w:val="24"/>
                      <w:lang w:bidi="ar-SA"/>
                    </w:rPr>
                    <w:t xml:space="preserve">u </w:t>
                  </w:r>
                  <w:proofErr w:type="spellStart"/>
                  <w:r w:rsidRPr="00C11F76">
                    <w:rPr>
                      <w:rFonts w:ascii="Times New Roman" w:eastAsia="Times New Roman" w:hAnsi="Times New Roman" w:cs="Times New Roman"/>
                      <w:i/>
                      <w:iCs/>
                      <w:sz w:val="24"/>
                      <w:szCs w:val="24"/>
                      <w:lang w:bidi="ar-SA"/>
                    </w:rPr>
                    <w:t>šum</w:t>
                  </w:r>
                  <w:proofErr w:type="spellEnd"/>
                  <w:r w:rsidRPr="00C11F76">
                    <w:rPr>
                      <w:rFonts w:ascii="Times New Roman" w:eastAsia="Times New Roman" w:hAnsi="Times New Roman" w:cs="Times New Roman"/>
                      <w:i/>
                      <w:iCs/>
                      <w:sz w:val="24"/>
                      <w:szCs w:val="24"/>
                      <w:lang w:bidi="ar-SA"/>
                    </w:rPr>
                    <w:t xml:space="preserve">-ma </w:t>
                  </w:r>
                  <w:proofErr w:type="spellStart"/>
                  <w:r w:rsidRPr="00C11F76">
                    <w:rPr>
                      <w:rFonts w:ascii="Times New Roman" w:eastAsia="Times New Roman" w:hAnsi="Times New Roman" w:cs="Times New Roman"/>
                      <w:i/>
                      <w:iCs/>
                      <w:sz w:val="24"/>
                      <w:szCs w:val="24"/>
                      <w:lang w:bidi="ar-SA"/>
                    </w:rPr>
                    <w:t>ša</w:t>
                  </w:r>
                  <w:proofErr w:type="spellEnd"/>
                  <w:r w:rsidRPr="00C11F76">
                    <w:rPr>
                      <w:rFonts w:ascii="Times New Roman" w:eastAsia="Times New Roman" w:hAnsi="Times New Roman" w:cs="Times New Roman"/>
                      <w:i/>
                      <w:iCs/>
                      <w:sz w:val="24"/>
                      <w:szCs w:val="24"/>
                      <w:lang w:bidi="ar-SA"/>
                    </w:rPr>
                    <w:t>-a mu-</w:t>
                  </w:r>
                  <w:proofErr w:type="spellStart"/>
                  <w:r w:rsidRPr="00C11F76">
                    <w:rPr>
                      <w:rFonts w:ascii="Times New Roman" w:eastAsia="Times New Roman" w:hAnsi="Times New Roman" w:cs="Times New Roman"/>
                      <w:i/>
                      <w:iCs/>
                      <w:sz w:val="24"/>
                      <w:szCs w:val="24"/>
                      <w:lang w:bidi="ar-SA"/>
                    </w:rPr>
                    <w:t>ut</w:t>
                  </w:r>
                  <w:proofErr w:type="spellEnd"/>
                  <w:r w:rsidRPr="00C11F76">
                    <w:rPr>
                      <w:rFonts w:ascii="Times New Roman" w:eastAsia="Times New Roman" w:hAnsi="Times New Roman" w:cs="Times New Roman"/>
                      <w:i/>
                      <w:iCs/>
                      <w:sz w:val="24"/>
                      <w:szCs w:val="24"/>
                      <w:lang w:bidi="ar-SA"/>
                    </w:rPr>
                    <w:t> </w:t>
                  </w:r>
                  <w:r w:rsidRPr="00C11F76">
                    <w:rPr>
                      <w:rFonts w:ascii="Times New Roman" w:eastAsia="Times New Roman" w:hAnsi="Times New Roman" w:cs="Times New Roman"/>
                      <w:sz w:val="24"/>
                      <w:szCs w:val="24"/>
                      <w:lang w:bidi="ar-SA"/>
                    </w:rPr>
                    <w:t>SAL</w:t>
                  </w:r>
                  <w:r w:rsidRPr="00C11F76">
                    <w:rPr>
                      <w:rFonts w:ascii="Times New Roman" w:eastAsia="Times New Roman" w:hAnsi="Times New Roman" w:cs="Times New Roman"/>
                      <w:i/>
                      <w:iCs/>
                      <w:sz w:val="24"/>
                      <w:szCs w:val="24"/>
                      <w:lang w:bidi="ar-SA"/>
                    </w:rPr>
                    <w:t> </w:t>
                  </w:r>
                  <w:proofErr w:type="spellStart"/>
                  <w:r w:rsidRPr="00C11F76">
                    <w:rPr>
                      <w:rFonts w:ascii="Times New Roman" w:eastAsia="Times New Roman" w:hAnsi="Times New Roman" w:cs="Times New Roman"/>
                      <w:i/>
                      <w:iCs/>
                      <w:sz w:val="24"/>
                      <w:szCs w:val="24"/>
                      <w:lang w:bidi="ar-SA"/>
                    </w:rPr>
                    <w:t>ši</w:t>
                  </w:r>
                  <w:proofErr w:type="spellEnd"/>
                  <w:r w:rsidRPr="00C11F76">
                    <w:rPr>
                      <w:rFonts w:ascii="Times New Roman" w:eastAsia="Times New Roman" w:hAnsi="Times New Roman" w:cs="Times New Roman"/>
                      <w:i/>
                      <w:iCs/>
                      <w:sz w:val="24"/>
                      <w:szCs w:val="24"/>
                      <w:lang w:bidi="ar-SA"/>
                    </w:rPr>
                    <w:t>-a-</w:t>
                  </w:r>
                  <w:proofErr w:type="spellStart"/>
                  <w:r w:rsidRPr="00C11F76">
                    <w:rPr>
                      <w:rFonts w:ascii="Times New Roman" w:eastAsia="Times New Roman" w:hAnsi="Times New Roman" w:cs="Times New Roman"/>
                      <w:i/>
                      <w:iCs/>
                      <w:sz w:val="24"/>
                      <w:szCs w:val="24"/>
                      <w:lang w:bidi="ar-SA"/>
                    </w:rPr>
                    <w:t>ti</w:t>
                  </w:r>
                  <w:proofErr w:type="spellEnd"/>
                </w:p>
              </w:tc>
              <w:tc>
                <w:tcPr>
                  <w:tcW w:w="3630" w:type="dxa"/>
                  <w:tcMar>
                    <w:top w:w="120" w:type="dxa"/>
                    <w:left w:w="195" w:type="dxa"/>
                    <w:bottom w:w="135" w:type="dxa"/>
                    <w:right w:w="90" w:type="dxa"/>
                  </w:tcMar>
                  <w:hideMark/>
                </w:tcPr>
                <w:p w14:paraId="785BFCC1"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or if that woman’s husband</w:t>
                  </w:r>
                </w:p>
              </w:tc>
            </w:tr>
            <w:tr w:rsidR="005A0748" w:rsidRPr="00C11F76" w14:paraId="2E43F7E4" w14:textId="77777777" w:rsidTr="00B9645E">
              <w:tc>
                <w:tcPr>
                  <w:tcW w:w="870" w:type="dxa"/>
                  <w:tcMar>
                    <w:top w:w="120" w:type="dxa"/>
                    <w:left w:w="195" w:type="dxa"/>
                    <w:bottom w:w="135" w:type="dxa"/>
                    <w:right w:w="90" w:type="dxa"/>
                  </w:tcMar>
                  <w:hideMark/>
                </w:tcPr>
                <w:p w14:paraId="20F0DDF8"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Line 75</w:t>
                  </w:r>
                </w:p>
              </w:tc>
              <w:tc>
                <w:tcPr>
                  <w:tcW w:w="2580" w:type="dxa"/>
                  <w:tcMar>
                    <w:top w:w="120" w:type="dxa"/>
                    <w:left w:w="195" w:type="dxa"/>
                    <w:bottom w:w="135" w:type="dxa"/>
                    <w:right w:w="90" w:type="dxa"/>
                  </w:tcMar>
                  <w:hideMark/>
                </w:tcPr>
                <w:p w14:paraId="538036C1" w14:textId="77777777" w:rsidR="005A0748" w:rsidRPr="003C7DD3" w:rsidRDefault="005A0748" w:rsidP="005A0748">
                  <w:pPr>
                    <w:spacing w:after="150" w:line="240" w:lineRule="auto"/>
                    <w:rPr>
                      <w:rFonts w:ascii="Times New Roman" w:eastAsia="Times New Roman" w:hAnsi="Times New Roman" w:cs="Times New Roman"/>
                      <w:sz w:val="24"/>
                      <w:szCs w:val="24"/>
                      <w:lang w:val="fr-FR" w:bidi="ar-SA"/>
                    </w:rPr>
                  </w:pPr>
                  <w:r w:rsidRPr="003C7DD3">
                    <w:rPr>
                      <w:rFonts w:ascii="Times New Roman" w:eastAsia="Times New Roman" w:hAnsi="Times New Roman" w:cs="Times New Roman"/>
                      <w:sz w:val="24"/>
                      <w:szCs w:val="24"/>
                      <w:lang w:val="fr-FR" w:bidi="ar-SA"/>
                    </w:rPr>
                    <w:t>DUMU</w:t>
                  </w:r>
                  <w:r w:rsidRPr="003C7DD3">
                    <w:rPr>
                      <w:rFonts w:ascii="Times New Roman" w:eastAsia="Times New Roman" w:hAnsi="Times New Roman" w:cs="Times New Roman"/>
                      <w:i/>
                      <w:iCs/>
                      <w:sz w:val="24"/>
                      <w:szCs w:val="24"/>
                      <w:lang w:val="fr-FR" w:bidi="ar-SA"/>
                    </w:rPr>
                    <w:t>-</w:t>
                  </w:r>
                  <w:proofErr w:type="spellStart"/>
                  <w:r w:rsidRPr="003C7DD3">
                    <w:rPr>
                      <w:rFonts w:ascii="Times New Roman" w:eastAsia="Times New Roman" w:hAnsi="Times New Roman" w:cs="Times New Roman"/>
                      <w:i/>
                      <w:iCs/>
                      <w:sz w:val="24"/>
                      <w:szCs w:val="24"/>
                      <w:lang w:val="fr-FR" w:bidi="ar-SA"/>
                    </w:rPr>
                    <w:t>šu</w:t>
                  </w:r>
                  <w:proofErr w:type="spellEnd"/>
                  <w:r w:rsidRPr="003C7DD3">
                    <w:rPr>
                      <w:rFonts w:ascii="Times New Roman" w:eastAsia="Times New Roman" w:hAnsi="Times New Roman" w:cs="Times New Roman"/>
                      <w:i/>
                      <w:iCs/>
                      <w:sz w:val="24"/>
                      <w:szCs w:val="24"/>
                      <w:lang w:val="fr-FR" w:bidi="ar-SA"/>
                    </w:rPr>
                    <w:t xml:space="preserve"> la-</w:t>
                  </w:r>
                  <w:proofErr w:type="spellStart"/>
                  <w:r w:rsidRPr="003C7DD3">
                    <w:rPr>
                      <w:rFonts w:ascii="Times New Roman" w:eastAsia="Times New Roman" w:hAnsi="Times New Roman" w:cs="Times New Roman"/>
                      <w:i/>
                      <w:iCs/>
                      <w:sz w:val="24"/>
                      <w:szCs w:val="24"/>
                      <w:lang w:val="fr-FR" w:bidi="ar-SA"/>
                    </w:rPr>
                    <w:t>áš</w:t>
                  </w:r>
                  <w:proofErr w:type="spellEnd"/>
                  <w:r w:rsidRPr="003C7DD3">
                    <w:rPr>
                      <w:rFonts w:ascii="Times New Roman" w:eastAsia="Times New Roman" w:hAnsi="Times New Roman" w:cs="Times New Roman"/>
                      <w:i/>
                      <w:iCs/>
                      <w:sz w:val="24"/>
                      <w:szCs w:val="24"/>
                      <w:lang w:val="fr-FR" w:bidi="ar-SA"/>
                    </w:rPr>
                    <w:t>-</w:t>
                  </w:r>
                  <w:proofErr w:type="spellStart"/>
                  <w:r w:rsidRPr="003C7DD3">
                    <w:rPr>
                      <w:rFonts w:ascii="Times New Roman" w:eastAsia="Times New Roman" w:hAnsi="Times New Roman" w:cs="Times New Roman"/>
                      <w:i/>
                      <w:iCs/>
                      <w:sz w:val="24"/>
                      <w:szCs w:val="24"/>
                      <w:lang w:val="fr-FR" w:bidi="ar-SA"/>
                    </w:rPr>
                    <w:t>šu</w:t>
                  </w:r>
                  <w:proofErr w:type="spellEnd"/>
                  <w:r w:rsidRPr="003C7DD3">
                    <w:rPr>
                      <w:rFonts w:ascii="Times New Roman" w:eastAsia="Times New Roman" w:hAnsi="Times New Roman" w:cs="Times New Roman"/>
                      <w:i/>
                      <w:iCs/>
                      <w:sz w:val="24"/>
                      <w:szCs w:val="24"/>
                      <w:lang w:val="fr-FR" w:bidi="ar-SA"/>
                    </w:rPr>
                    <w:t> </w:t>
                  </w:r>
                  <w:r w:rsidRPr="003C7DD3">
                    <w:rPr>
                      <w:rFonts w:ascii="Times New Roman" w:eastAsia="Times New Roman" w:hAnsi="Times New Roman" w:cs="Times New Roman"/>
                      <w:sz w:val="24"/>
                      <w:szCs w:val="24"/>
                      <w:lang w:val="fr-FR" w:bidi="ar-SA"/>
                    </w:rPr>
                    <w:t>DAM</w:t>
                  </w:r>
                  <w:r w:rsidRPr="003C7DD3">
                    <w:rPr>
                      <w:rFonts w:ascii="Times New Roman" w:eastAsia="Times New Roman" w:hAnsi="Times New Roman" w:cs="Times New Roman"/>
                      <w:i/>
                      <w:iCs/>
                      <w:sz w:val="24"/>
                      <w:szCs w:val="24"/>
                      <w:lang w:val="fr-FR" w:bidi="ar-SA"/>
                    </w:rPr>
                    <w:t>-su</w:t>
                  </w:r>
                </w:p>
              </w:tc>
              <w:tc>
                <w:tcPr>
                  <w:tcW w:w="3630" w:type="dxa"/>
                  <w:tcMar>
                    <w:top w:w="120" w:type="dxa"/>
                    <w:left w:w="195" w:type="dxa"/>
                    <w:bottom w:w="135" w:type="dxa"/>
                    <w:right w:w="90" w:type="dxa"/>
                  </w:tcMar>
                  <w:hideMark/>
                </w:tcPr>
                <w:p w14:paraId="78C164C6"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has no son</w:t>
                  </w:r>
                </w:p>
              </w:tc>
            </w:tr>
            <w:tr w:rsidR="005A0748" w:rsidRPr="00C11F76" w14:paraId="3155E989" w14:textId="77777777" w:rsidTr="00B9645E">
              <w:tc>
                <w:tcPr>
                  <w:tcW w:w="870" w:type="dxa"/>
                  <w:tcMar>
                    <w:top w:w="120" w:type="dxa"/>
                    <w:left w:w="195" w:type="dxa"/>
                    <w:bottom w:w="135" w:type="dxa"/>
                    <w:right w:w="90" w:type="dxa"/>
                  </w:tcMar>
                  <w:hideMark/>
                </w:tcPr>
                <w:p w14:paraId="0089B854"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Line 76</w:t>
                  </w:r>
                </w:p>
              </w:tc>
              <w:tc>
                <w:tcPr>
                  <w:tcW w:w="2580" w:type="dxa"/>
                  <w:tcMar>
                    <w:top w:w="120" w:type="dxa"/>
                    <w:left w:w="195" w:type="dxa"/>
                    <w:bottom w:w="135" w:type="dxa"/>
                    <w:right w:w="90" w:type="dxa"/>
                  </w:tcMar>
                  <w:hideMark/>
                </w:tcPr>
                <w:p w14:paraId="3E712178"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i/>
                      <w:iCs/>
                      <w:sz w:val="24"/>
                      <w:szCs w:val="24"/>
                      <w:lang w:bidi="ar-SA"/>
                    </w:rPr>
                    <w:t>im-</w:t>
                  </w:r>
                  <w:proofErr w:type="spellStart"/>
                  <w:r w:rsidRPr="00C11F76">
                    <w:rPr>
                      <w:rFonts w:ascii="Times New Roman" w:eastAsia="Times New Roman" w:hAnsi="Times New Roman" w:cs="Times New Roman"/>
                      <w:i/>
                      <w:iCs/>
                      <w:sz w:val="24"/>
                      <w:szCs w:val="24"/>
                      <w:lang w:bidi="ar-SA"/>
                    </w:rPr>
                    <w:t>ḫu</w:t>
                  </w:r>
                  <w:proofErr w:type="spellEnd"/>
                  <w:r w:rsidRPr="00C11F76">
                    <w:rPr>
                      <w:rFonts w:ascii="Times New Roman" w:eastAsia="Times New Roman" w:hAnsi="Times New Roman" w:cs="Times New Roman"/>
                      <w:i/>
                      <w:iCs/>
                      <w:sz w:val="24"/>
                      <w:szCs w:val="24"/>
                      <w:lang w:bidi="ar-SA"/>
                    </w:rPr>
                    <w:t>-</w:t>
                  </w:r>
                  <w:proofErr w:type="spellStart"/>
                  <w:r w:rsidRPr="00C11F76">
                    <w:rPr>
                      <w:rFonts w:ascii="Times New Roman" w:eastAsia="Times New Roman" w:hAnsi="Times New Roman" w:cs="Times New Roman"/>
                      <w:i/>
                      <w:iCs/>
                      <w:sz w:val="24"/>
                      <w:szCs w:val="24"/>
                      <w:lang w:bidi="ar-SA"/>
                    </w:rPr>
                    <w:t>ṣu</w:t>
                  </w:r>
                  <w:proofErr w:type="spellEnd"/>
                  <w:r w:rsidRPr="00C11F76">
                    <w:rPr>
                      <w:rFonts w:ascii="Times New Roman" w:eastAsia="Times New Roman" w:hAnsi="Times New Roman" w:cs="Times New Roman"/>
                      <w:i/>
                      <w:iCs/>
                      <w:sz w:val="24"/>
                      <w:szCs w:val="24"/>
                      <w:lang w:bidi="ar-SA"/>
                    </w:rPr>
                    <w:t xml:space="preserve">-ú-ma </w:t>
                  </w:r>
                  <w:proofErr w:type="spellStart"/>
                  <w:r w:rsidRPr="00C11F76">
                    <w:rPr>
                      <w:rFonts w:ascii="Times New Roman" w:eastAsia="Times New Roman" w:hAnsi="Times New Roman" w:cs="Times New Roman"/>
                      <w:i/>
                      <w:iCs/>
                      <w:sz w:val="24"/>
                      <w:szCs w:val="24"/>
                      <w:lang w:bidi="ar-SA"/>
                    </w:rPr>
                    <w:t>ša</w:t>
                  </w:r>
                  <w:proofErr w:type="spellEnd"/>
                  <w:r w:rsidRPr="00C11F76">
                    <w:rPr>
                      <w:rFonts w:ascii="Times New Roman" w:eastAsia="Times New Roman" w:hAnsi="Times New Roman" w:cs="Times New Roman"/>
                      <w:i/>
                      <w:iCs/>
                      <w:sz w:val="24"/>
                      <w:szCs w:val="24"/>
                      <w:lang w:bidi="ar-SA"/>
                    </w:rPr>
                    <w:t> </w:t>
                  </w:r>
                  <w:proofErr w:type="spellStart"/>
                  <w:r w:rsidRPr="00C11F76">
                    <w:rPr>
                      <w:rFonts w:ascii="Times New Roman" w:eastAsia="Times New Roman" w:hAnsi="Times New Roman" w:cs="Times New Roman"/>
                      <w:sz w:val="24"/>
                      <w:szCs w:val="24"/>
                      <w:lang w:bidi="ar-SA"/>
                    </w:rPr>
                    <w:t>ŠÀ</w:t>
                  </w:r>
                  <w:r w:rsidRPr="00C11F76">
                    <w:rPr>
                      <w:rFonts w:ascii="Times New Roman" w:eastAsia="Times New Roman" w:hAnsi="Times New Roman" w:cs="Times New Roman"/>
                      <w:i/>
                      <w:iCs/>
                      <w:sz w:val="17"/>
                      <w:vertAlign w:val="superscript"/>
                      <w:lang w:bidi="ar-SA"/>
                    </w:rPr>
                    <w:t>bi</w:t>
                  </w:r>
                  <w:r w:rsidRPr="00C11F76">
                    <w:rPr>
                      <w:rFonts w:ascii="Times New Roman" w:eastAsia="Times New Roman" w:hAnsi="Times New Roman" w:cs="Times New Roman"/>
                      <w:i/>
                      <w:iCs/>
                      <w:sz w:val="24"/>
                      <w:szCs w:val="24"/>
                      <w:lang w:bidi="ar-SA"/>
                    </w:rPr>
                    <w:t>-ša</w:t>
                  </w:r>
                  <w:proofErr w:type="spellEnd"/>
                </w:p>
              </w:tc>
              <w:tc>
                <w:tcPr>
                  <w:tcW w:w="3630" w:type="dxa"/>
                  <w:tcMar>
                    <w:top w:w="120" w:type="dxa"/>
                    <w:left w:w="195" w:type="dxa"/>
                    <w:bottom w:w="135" w:type="dxa"/>
                    <w:right w:w="90" w:type="dxa"/>
                  </w:tcMar>
                  <w:hideMark/>
                </w:tcPr>
                <w:p w14:paraId="151DBFDB"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(and) his wife has been struck</w:t>
                  </w:r>
                </w:p>
              </w:tc>
            </w:tr>
            <w:tr w:rsidR="005A0748" w:rsidRPr="00C11F76" w14:paraId="5A03306D" w14:textId="77777777" w:rsidTr="00B9645E">
              <w:tc>
                <w:tcPr>
                  <w:tcW w:w="870" w:type="dxa"/>
                  <w:tcMar>
                    <w:top w:w="120" w:type="dxa"/>
                    <w:left w:w="195" w:type="dxa"/>
                    <w:bottom w:w="135" w:type="dxa"/>
                    <w:right w:w="90" w:type="dxa"/>
                  </w:tcMar>
                  <w:hideMark/>
                </w:tcPr>
                <w:p w14:paraId="47ECF05B"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Line 77</w:t>
                  </w:r>
                </w:p>
              </w:tc>
              <w:tc>
                <w:tcPr>
                  <w:tcW w:w="2580" w:type="dxa"/>
                  <w:tcMar>
                    <w:top w:w="120" w:type="dxa"/>
                    <w:left w:w="195" w:type="dxa"/>
                    <w:bottom w:w="135" w:type="dxa"/>
                    <w:right w:w="90" w:type="dxa"/>
                  </w:tcMar>
                  <w:hideMark/>
                </w:tcPr>
                <w:p w14:paraId="67CDA6C0"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i/>
                      <w:iCs/>
                      <w:sz w:val="24"/>
                      <w:szCs w:val="24"/>
                      <w:lang w:bidi="ar-SA"/>
                    </w:rPr>
                    <w:t>ta-</w:t>
                  </w:r>
                  <w:proofErr w:type="spellStart"/>
                  <w:r w:rsidRPr="00C11F76">
                    <w:rPr>
                      <w:rFonts w:ascii="Times New Roman" w:eastAsia="Times New Roman" w:hAnsi="Times New Roman" w:cs="Times New Roman"/>
                      <w:i/>
                      <w:iCs/>
                      <w:sz w:val="24"/>
                      <w:szCs w:val="24"/>
                      <w:lang w:bidi="ar-SA"/>
                    </w:rPr>
                    <w:t>aṣ</w:t>
                  </w:r>
                  <w:proofErr w:type="spellEnd"/>
                  <w:r w:rsidRPr="00C11F76">
                    <w:rPr>
                      <w:rFonts w:ascii="Times New Roman" w:eastAsia="Times New Roman" w:hAnsi="Times New Roman" w:cs="Times New Roman"/>
                      <w:i/>
                      <w:iCs/>
                      <w:sz w:val="24"/>
                      <w:szCs w:val="24"/>
                      <w:lang w:bidi="ar-SA"/>
                    </w:rPr>
                    <w:t>-li</w:t>
                  </w:r>
                </w:p>
              </w:tc>
              <w:tc>
                <w:tcPr>
                  <w:tcW w:w="3630" w:type="dxa"/>
                  <w:tcMar>
                    <w:top w:w="120" w:type="dxa"/>
                    <w:left w:w="195" w:type="dxa"/>
                    <w:bottom w:w="135" w:type="dxa"/>
                    <w:right w:w="90" w:type="dxa"/>
                  </w:tcMar>
                  <w:hideMark/>
                </w:tcPr>
                <w:p w14:paraId="57830FD5"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and has cast the fruit of her womb</w:t>
                  </w:r>
                </w:p>
              </w:tc>
            </w:tr>
            <w:tr w:rsidR="005A0748" w:rsidRPr="00C11F76" w14:paraId="1A3C3E0B" w14:textId="77777777" w:rsidTr="00B9645E">
              <w:tc>
                <w:tcPr>
                  <w:tcW w:w="870" w:type="dxa"/>
                  <w:tcMar>
                    <w:top w:w="120" w:type="dxa"/>
                    <w:left w:w="195" w:type="dxa"/>
                    <w:bottom w:w="135" w:type="dxa"/>
                    <w:right w:w="90" w:type="dxa"/>
                  </w:tcMar>
                  <w:hideMark/>
                </w:tcPr>
                <w:p w14:paraId="47659B77"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Line 78</w:t>
                  </w:r>
                </w:p>
              </w:tc>
              <w:tc>
                <w:tcPr>
                  <w:tcW w:w="2580" w:type="dxa"/>
                  <w:tcMar>
                    <w:top w:w="120" w:type="dxa"/>
                    <w:left w:w="195" w:type="dxa"/>
                    <w:bottom w:w="135" w:type="dxa"/>
                    <w:right w:w="90" w:type="dxa"/>
                  </w:tcMar>
                  <w:hideMark/>
                </w:tcPr>
                <w:p w14:paraId="200A0437"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i/>
                      <w:iCs/>
                      <w:sz w:val="24"/>
                      <w:szCs w:val="24"/>
                      <w:lang w:bidi="ar-SA"/>
                    </w:rPr>
                    <w:t xml:space="preserve">ki-mu-ú </w:t>
                  </w:r>
                  <w:proofErr w:type="spellStart"/>
                  <w:r w:rsidRPr="00C11F76">
                    <w:rPr>
                      <w:rFonts w:ascii="Times New Roman" w:eastAsia="Times New Roman" w:hAnsi="Times New Roman" w:cs="Times New Roman"/>
                      <w:i/>
                      <w:iCs/>
                      <w:sz w:val="24"/>
                      <w:szCs w:val="24"/>
                      <w:lang w:bidi="ar-SA"/>
                    </w:rPr>
                    <w:t>ša</w:t>
                  </w:r>
                  <w:proofErr w:type="spellEnd"/>
                  <w:r w:rsidRPr="00C11F76">
                    <w:rPr>
                      <w:rFonts w:ascii="Times New Roman" w:eastAsia="Times New Roman" w:hAnsi="Times New Roman" w:cs="Times New Roman"/>
                      <w:i/>
                      <w:iCs/>
                      <w:sz w:val="24"/>
                      <w:szCs w:val="24"/>
                      <w:lang w:bidi="ar-SA"/>
                    </w:rPr>
                    <w:t>-a </w:t>
                  </w:r>
                  <w:proofErr w:type="spellStart"/>
                  <w:r w:rsidRPr="00C11F76">
                    <w:rPr>
                      <w:rFonts w:ascii="Times New Roman" w:eastAsia="Times New Roman" w:hAnsi="Times New Roman" w:cs="Times New Roman"/>
                      <w:sz w:val="24"/>
                      <w:szCs w:val="24"/>
                      <w:lang w:bidi="ar-SA"/>
                    </w:rPr>
                    <w:t>ŠÀ</w:t>
                  </w:r>
                  <w:r w:rsidRPr="00C11F76">
                    <w:rPr>
                      <w:rFonts w:ascii="Times New Roman" w:eastAsia="Times New Roman" w:hAnsi="Times New Roman" w:cs="Times New Roman"/>
                      <w:i/>
                      <w:iCs/>
                      <w:sz w:val="17"/>
                      <w:vertAlign w:val="superscript"/>
                      <w:lang w:bidi="ar-SA"/>
                    </w:rPr>
                    <w:t>bi</w:t>
                  </w:r>
                  <w:r w:rsidRPr="00C11F76">
                    <w:rPr>
                      <w:rFonts w:ascii="Times New Roman" w:eastAsia="Times New Roman" w:hAnsi="Times New Roman" w:cs="Times New Roman"/>
                      <w:i/>
                      <w:iCs/>
                      <w:sz w:val="24"/>
                      <w:szCs w:val="24"/>
                      <w:lang w:bidi="ar-SA"/>
                    </w:rPr>
                    <w:t>-ša</w:t>
                  </w:r>
                  <w:proofErr w:type="spellEnd"/>
                </w:p>
              </w:tc>
              <w:tc>
                <w:tcPr>
                  <w:tcW w:w="3630" w:type="dxa"/>
                  <w:tcMar>
                    <w:top w:w="120" w:type="dxa"/>
                    <w:left w:w="195" w:type="dxa"/>
                    <w:bottom w:w="135" w:type="dxa"/>
                    <w:right w:w="90" w:type="dxa"/>
                  </w:tcMar>
                  <w:hideMark/>
                </w:tcPr>
                <w:p w14:paraId="3B507F9B"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for the fruit of her womb</w:t>
                  </w:r>
                </w:p>
              </w:tc>
            </w:tr>
            <w:tr w:rsidR="005A0748" w:rsidRPr="00C11F76" w14:paraId="2F3B04AC" w14:textId="77777777" w:rsidTr="00B9645E">
              <w:tc>
                <w:tcPr>
                  <w:tcW w:w="870" w:type="dxa"/>
                  <w:tcMar>
                    <w:top w:w="120" w:type="dxa"/>
                    <w:left w:w="195" w:type="dxa"/>
                    <w:bottom w:w="135" w:type="dxa"/>
                    <w:right w:w="90" w:type="dxa"/>
                  </w:tcMar>
                  <w:hideMark/>
                </w:tcPr>
                <w:p w14:paraId="1424F295"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Line 79</w:t>
                  </w:r>
                </w:p>
              </w:tc>
              <w:tc>
                <w:tcPr>
                  <w:tcW w:w="2580" w:type="dxa"/>
                  <w:tcMar>
                    <w:top w:w="120" w:type="dxa"/>
                    <w:left w:w="195" w:type="dxa"/>
                    <w:bottom w:w="135" w:type="dxa"/>
                    <w:right w:w="90" w:type="dxa"/>
                  </w:tcMar>
                  <w:hideMark/>
                </w:tcPr>
                <w:p w14:paraId="687AF5A6" w14:textId="77777777" w:rsidR="005A0748" w:rsidRPr="003C7DD3" w:rsidRDefault="005A0748" w:rsidP="005A0748">
                  <w:pPr>
                    <w:spacing w:after="150" w:line="240" w:lineRule="auto"/>
                    <w:rPr>
                      <w:rFonts w:ascii="Times New Roman" w:eastAsia="Times New Roman" w:hAnsi="Times New Roman" w:cs="Times New Roman"/>
                      <w:sz w:val="24"/>
                      <w:szCs w:val="24"/>
                      <w:lang w:val="fr-FR" w:bidi="ar-SA"/>
                    </w:rPr>
                  </w:pPr>
                  <w:proofErr w:type="gramStart"/>
                  <w:r w:rsidRPr="003C7DD3">
                    <w:rPr>
                      <w:rFonts w:ascii="Times New Roman" w:eastAsia="Times New Roman" w:hAnsi="Times New Roman" w:cs="Times New Roman"/>
                      <w:i/>
                      <w:iCs/>
                      <w:sz w:val="24"/>
                      <w:szCs w:val="24"/>
                      <w:lang w:val="fr-FR" w:bidi="ar-SA"/>
                    </w:rPr>
                    <w:t>ma</w:t>
                  </w:r>
                  <w:proofErr w:type="gramEnd"/>
                  <w:r w:rsidRPr="003C7DD3">
                    <w:rPr>
                      <w:rFonts w:ascii="Times New Roman" w:eastAsia="Times New Roman" w:hAnsi="Times New Roman" w:cs="Times New Roman"/>
                      <w:i/>
                      <w:iCs/>
                      <w:sz w:val="24"/>
                      <w:szCs w:val="24"/>
                      <w:lang w:val="fr-FR" w:bidi="ar-SA"/>
                    </w:rPr>
                    <w:t>-</w:t>
                  </w:r>
                  <w:proofErr w:type="spellStart"/>
                  <w:r w:rsidRPr="003C7DD3">
                    <w:rPr>
                      <w:rFonts w:ascii="Times New Roman" w:eastAsia="Times New Roman" w:hAnsi="Times New Roman" w:cs="Times New Roman"/>
                      <w:i/>
                      <w:iCs/>
                      <w:sz w:val="24"/>
                      <w:szCs w:val="24"/>
                      <w:lang w:val="fr-FR" w:bidi="ar-SA"/>
                    </w:rPr>
                    <w:t>ḫi</w:t>
                  </w:r>
                  <w:proofErr w:type="spellEnd"/>
                  <w:r w:rsidRPr="003C7DD3">
                    <w:rPr>
                      <w:rFonts w:ascii="Times New Roman" w:eastAsia="Times New Roman" w:hAnsi="Times New Roman" w:cs="Times New Roman"/>
                      <w:i/>
                      <w:iCs/>
                      <w:sz w:val="24"/>
                      <w:szCs w:val="24"/>
                      <w:lang w:val="fr-FR" w:bidi="ar-SA"/>
                    </w:rPr>
                    <w:t>-</w:t>
                  </w:r>
                  <w:proofErr w:type="spellStart"/>
                  <w:r w:rsidRPr="003C7DD3">
                    <w:rPr>
                      <w:rFonts w:ascii="Times New Roman" w:eastAsia="Times New Roman" w:hAnsi="Times New Roman" w:cs="Times New Roman"/>
                      <w:i/>
                      <w:iCs/>
                      <w:sz w:val="24"/>
                      <w:szCs w:val="24"/>
                      <w:lang w:val="fr-FR" w:bidi="ar-SA"/>
                    </w:rPr>
                    <w:t>ṣa</w:t>
                  </w:r>
                  <w:proofErr w:type="spellEnd"/>
                  <w:r w:rsidRPr="003C7DD3">
                    <w:rPr>
                      <w:rFonts w:ascii="Times New Roman" w:eastAsia="Times New Roman" w:hAnsi="Times New Roman" w:cs="Times New Roman"/>
                      <w:i/>
                      <w:iCs/>
                      <w:sz w:val="24"/>
                      <w:szCs w:val="24"/>
                      <w:lang w:val="fr-FR" w:bidi="ar-SA"/>
                    </w:rPr>
                    <w:t>-</w:t>
                  </w:r>
                  <w:proofErr w:type="spellStart"/>
                  <w:r w:rsidRPr="003C7DD3">
                    <w:rPr>
                      <w:rFonts w:ascii="Times New Roman" w:eastAsia="Times New Roman" w:hAnsi="Times New Roman" w:cs="Times New Roman"/>
                      <w:i/>
                      <w:iCs/>
                      <w:sz w:val="24"/>
                      <w:szCs w:val="24"/>
                      <w:lang w:val="fr-FR" w:bidi="ar-SA"/>
                    </w:rPr>
                    <w:t>a-na</w:t>
                  </w:r>
                  <w:proofErr w:type="spellEnd"/>
                  <w:r w:rsidRPr="003C7DD3">
                    <w:rPr>
                      <w:rFonts w:ascii="Times New Roman" w:eastAsia="Times New Roman" w:hAnsi="Times New Roman" w:cs="Times New Roman"/>
                      <w:i/>
                      <w:iCs/>
                      <w:sz w:val="24"/>
                      <w:szCs w:val="24"/>
                      <w:lang w:val="fr-FR" w:bidi="ar-SA"/>
                    </w:rPr>
                    <w:t xml:space="preserve"> i-du-</w:t>
                  </w:r>
                  <w:proofErr w:type="spellStart"/>
                  <w:r w:rsidRPr="003C7DD3">
                    <w:rPr>
                      <w:rFonts w:ascii="Times New Roman" w:eastAsia="Times New Roman" w:hAnsi="Times New Roman" w:cs="Times New Roman"/>
                      <w:i/>
                      <w:iCs/>
                      <w:sz w:val="24"/>
                      <w:szCs w:val="24"/>
                      <w:lang w:val="fr-FR" w:bidi="ar-SA"/>
                    </w:rPr>
                    <w:t>uk</w:t>
                  </w:r>
                  <w:proofErr w:type="spellEnd"/>
                  <w:r w:rsidRPr="003C7DD3">
                    <w:rPr>
                      <w:rFonts w:ascii="Times New Roman" w:eastAsia="Times New Roman" w:hAnsi="Times New Roman" w:cs="Times New Roman"/>
                      <w:i/>
                      <w:iCs/>
                      <w:sz w:val="24"/>
                      <w:szCs w:val="24"/>
                      <w:lang w:val="fr-FR" w:bidi="ar-SA"/>
                    </w:rPr>
                    <w:t>-u</w:t>
                  </w:r>
                </w:p>
              </w:tc>
              <w:tc>
                <w:tcPr>
                  <w:tcW w:w="3630" w:type="dxa"/>
                  <w:tcMar>
                    <w:top w:w="120" w:type="dxa"/>
                    <w:left w:w="195" w:type="dxa"/>
                    <w:bottom w:w="135" w:type="dxa"/>
                    <w:right w:w="90" w:type="dxa"/>
                  </w:tcMar>
                  <w:hideMark/>
                </w:tcPr>
                <w:p w14:paraId="502ED1FF"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the striker shall be put to death.</w:t>
                  </w:r>
                </w:p>
              </w:tc>
            </w:tr>
            <w:tr w:rsidR="005A0748" w:rsidRPr="00C11F76" w14:paraId="440A18B9" w14:textId="77777777" w:rsidTr="00B9645E">
              <w:tc>
                <w:tcPr>
                  <w:tcW w:w="870" w:type="dxa"/>
                  <w:tcMar>
                    <w:top w:w="120" w:type="dxa"/>
                    <w:left w:w="195" w:type="dxa"/>
                    <w:bottom w:w="135" w:type="dxa"/>
                    <w:right w:w="90" w:type="dxa"/>
                  </w:tcMar>
                  <w:hideMark/>
                </w:tcPr>
                <w:p w14:paraId="062EF695"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Line 80</w:t>
                  </w:r>
                </w:p>
              </w:tc>
              <w:tc>
                <w:tcPr>
                  <w:tcW w:w="2580" w:type="dxa"/>
                  <w:tcMar>
                    <w:top w:w="120" w:type="dxa"/>
                    <w:left w:w="195" w:type="dxa"/>
                    <w:bottom w:w="135" w:type="dxa"/>
                    <w:right w:w="90" w:type="dxa"/>
                  </w:tcMar>
                  <w:hideMark/>
                </w:tcPr>
                <w:p w14:paraId="52B6592A" w14:textId="77777777" w:rsidR="005A0748" w:rsidRPr="003C7DD3" w:rsidRDefault="005A0748" w:rsidP="005A0748">
                  <w:pPr>
                    <w:spacing w:after="150" w:line="240" w:lineRule="auto"/>
                    <w:rPr>
                      <w:rFonts w:ascii="Times New Roman" w:eastAsia="Times New Roman" w:hAnsi="Times New Roman" w:cs="Times New Roman"/>
                      <w:sz w:val="24"/>
                      <w:szCs w:val="24"/>
                      <w:lang w:val="fr-FR" w:bidi="ar-SA"/>
                    </w:rPr>
                  </w:pPr>
                  <w:proofErr w:type="spellStart"/>
                  <w:proofErr w:type="gramStart"/>
                  <w:r w:rsidRPr="003C7DD3">
                    <w:rPr>
                      <w:rFonts w:ascii="Times New Roman" w:eastAsia="Times New Roman" w:hAnsi="Times New Roman" w:cs="Times New Roman"/>
                      <w:i/>
                      <w:iCs/>
                      <w:sz w:val="24"/>
                      <w:szCs w:val="24"/>
                      <w:lang w:val="fr-FR" w:bidi="ar-SA"/>
                    </w:rPr>
                    <w:t>šum</w:t>
                  </w:r>
                  <w:proofErr w:type="spellEnd"/>
                  <w:proofErr w:type="gramEnd"/>
                  <w:r w:rsidRPr="003C7DD3">
                    <w:rPr>
                      <w:rFonts w:ascii="Times New Roman" w:eastAsia="Times New Roman" w:hAnsi="Times New Roman" w:cs="Times New Roman"/>
                      <w:i/>
                      <w:iCs/>
                      <w:sz w:val="24"/>
                      <w:szCs w:val="24"/>
                      <w:lang w:val="fr-FR" w:bidi="ar-SA"/>
                    </w:rPr>
                    <w:t xml:space="preserve">-ma </w:t>
                  </w:r>
                  <w:proofErr w:type="spellStart"/>
                  <w:r w:rsidRPr="003C7DD3">
                    <w:rPr>
                      <w:rFonts w:ascii="Times New Roman" w:eastAsia="Times New Roman" w:hAnsi="Times New Roman" w:cs="Times New Roman"/>
                      <w:i/>
                      <w:iCs/>
                      <w:sz w:val="24"/>
                      <w:szCs w:val="24"/>
                      <w:lang w:val="fr-FR" w:bidi="ar-SA"/>
                    </w:rPr>
                    <w:t>ša</w:t>
                  </w:r>
                  <w:proofErr w:type="spellEnd"/>
                  <w:r w:rsidRPr="003C7DD3">
                    <w:rPr>
                      <w:rFonts w:ascii="Times New Roman" w:eastAsia="Times New Roman" w:hAnsi="Times New Roman" w:cs="Times New Roman"/>
                      <w:i/>
                      <w:iCs/>
                      <w:sz w:val="24"/>
                      <w:szCs w:val="24"/>
                      <w:lang w:val="fr-FR" w:bidi="ar-SA"/>
                    </w:rPr>
                    <w:t> </w:t>
                  </w:r>
                  <w:proofErr w:type="spellStart"/>
                  <w:r w:rsidRPr="003C7DD3">
                    <w:rPr>
                      <w:rFonts w:ascii="Times New Roman" w:eastAsia="Times New Roman" w:hAnsi="Times New Roman" w:cs="Times New Roman"/>
                      <w:sz w:val="24"/>
                      <w:szCs w:val="24"/>
                      <w:lang w:val="fr-FR" w:bidi="ar-SA"/>
                    </w:rPr>
                    <w:t>ŠÀ</w:t>
                  </w:r>
                  <w:r w:rsidRPr="003C7DD3">
                    <w:rPr>
                      <w:rFonts w:ascii="Times New Roman" w:eastAsia="Times New Roman" w:hAnsi="Times New Roman" w:cs="Times New Roman"/>
                      <w:i/>
                      <w:iCs/>
                      <w:sz w:val="17"/>
                      <w:vertAlign w:val="superscript"/>
                      <w:lang w:val="fr-FR" w:bidi="ar-SA"/>
                    </w:rPr>
                    <w:t>bi</w:t>
                  </w:r>
                  <w:r w:rsidRPr="003C7DD3">
                    <w:rPr>
                      <w:rFonts w:ascii="Times New Roman" w:eastAsia="Times New Roman" w:hAnsi="Times New Roman" w:cs="Times New Roman"/>
                      <w:i/>
                      <w:iCs/>
                      <w:sz w:val="24"/>
                      <w:szCs w:val="24"/>
                      <w:lang w:val="fr-FR" w:bidi="ar-SA"/>
                    </w:rPr>
                    <w:t>-ša</w:t>
                  </w:r>
                  <w:proofErr w:type="spellEnd"/>
                  <w:r w:rsidRPr="003C7DD3">
                    <w:rPr>
                      <w:rFonts w:ascii="Times New Roman" w:eastAsia="Times New Roman" w:hAnsi="Times New Roman" w:cs="Times New Roman"/>
                      <w:i/>
                      <w:iCs/>
                      <w:sz w:val="24"/>
                      <w:szCs w:val="24"/>
                      <w:lang w:val="fr-FR" w:bidi="ar-SA"/>
                    </w:rPr>
                    <w:t xml:space="preserve"> </w:t>
                  </w:r>
                  <w:proofErr w:type="spellStart"/>
                  <w:r w:rsidRPr="003C7DD3">
                    <w:rPr>
                      <w:rFonts w:ascii="Times New Roman" w:eastAsia="Times New Roman" w:hAnsi="Times New Roman" w:cs="Times New Roman"/>
                      <w:i/>
                      <w:iCs/>
                      <w:sz w:val="24"/>
                      <w:szCs w:val="24"/>
                      <w:lang w:val="fr-FR" w:bidi="ar-SA"/>
                    </w:rPr>
                    <w:t>ṣu</w:t>
                  </w:r>
                  <w:proofErr w:type="spellEnd"/>
                  <w:r w:rsidRPr="003C7DD3">
                    <w:rPr>
                      <w:rFonts w:ascii="Times New Roman" w:eastAsia="Times New Roman" w:hAnsi="Times New Roman" w:cs="Times New Roman"/>
                      <w:i/>
                      <w:iCs/>
                      <w:sz w:val="24"/>
                      <w:szCs w:val="24"/>
                      <w:lang w:val="fr-FR" w:bidi="ar-SA"/>
                    </w:rPr>
                    <w:t>-</w:t>
                  </w:r>
                  <w:proofErr w:type="spellStart"/>
                  <w:r w:rsidRPr="003C7DD3">
                    <w:rPr>
                      <w:rFonts w:ascii="Times New Roman" w:eastAsia="Times New Roman" w:hAnsi="Times New Roman" w:cs="Times New Roman"/>
                      <w:i/>
                      <w:iCs/>
                      <w:sz w:val="24"/>
                      <w:szCs w:val="24"/>
                      <w:lang w:val="fr-FR" w:bidi="ar-SA"/>
                    </w:rPr>
                    <w:t>ḫa</w:t>
                  </w:r>
                  <w:proofErr w:type="spellEnd"/>
                  <w:r w:rsidRPr="003C7DD3">
                    <w:rPr>
                      <w:rFonts w:ascii="Times New Roman" w:eastAsia="Times New Roman" w:hAnsi="Times New Roman" w:cs="Times New Roman"/>
                      <w:i/>
                      <w:iCs/>
                      <w:sz w:val="24"/>
                      <w:szCs w:val="24"/>
                      <w:lang w:val="fr-FR" w:bidi="ar-SA"/>
                    </w:rPr>
                    <w:t>-</w:t>
                  </w:r>
                  <w:proofErr w:type="spellStart"/>
                  <w:r w:rsidRPr="003C7DD3">
                    <w:rPr>
                      <w:rFonts w:ascii="Times New Roman" w:eastAsia="Times New Roman" w:hAnsi="Times New Roman" w:cs="Times New Roman"/>
                      <w:i/>
                      <w:iCs/>
                      <w:sz w:val="24"/>
                      <w:szCs w:val="24"/>
                      <w:lang w:val="fr-FR" w:bidi="ar-SA"/>
                    </w:rPr>
                    <w:t>ar</w:t>
                  </w:r>
                  <w:proofErr w:type="spellEnd"/>
                  <w:r w:rsidRPr="003C7DD3">
                    <w:rPr>
                      <w:rFonts w:ascii="Times New Roman" w:eastAsia="Times New Roman" w:hAnsi="Times New Roman" w:cs="Times New Roman"/>
                      <w:i/>
                      <w:iCs/>
                      <w:sz w:val="24"/>
                      <w:szCs w:val="24"/>
                      <w:lang w:val="fr-FR" w:bidi="ar-SA"/>
                    </w:rPr>
                    <w:t>-tu</w:t>
                  </w:r>
                </w:p>
              </w:tc>
              <w:tc>
                <w:tcPr>
                  <w:tcW w:w="3630" w:type="dxa"/>
                  <w:tcMar>
                    <w:top w:w="120" w:type="dxa"/>
                    <w:left w:w="195" w:type="dxa"/>
                    <w:bottom w:w="135" w:type="dxa"/>
                    <w:right w:w="90" w:type="dxa"/>
                  </w:tcMar>
                  <w:hideMark/>
                </w:tcPr>
                <w:p w14:paraId="38879273"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If the fruit of her womb was a girl</w:t>
                  </w:r>
                </w:p>
              </w:tc>
            </w:tr>
            <w:tr w:rsidR="005A0748" w:rsidRPr="00C11F76" w14:paraId="70434ABD" w14:textId="77777777" w:rsidTr="00B9645E">
              <w:tc>
                <w:tcPr>
                  <w:tcW w:w="870" w:type="dxa"/>
                  <w:tcMar>
                    <w:top w:w="120" w:type="dxa"/>
                    <w:left w:w="195" w:type="dxa"/>
                    <w:bottom w:w="135" w:type="dxa"/>
                    <w:right w:w="90" w:type="dxa"/>
                  </w:tcMar>
                  <w:hideMark/>
                </w:tcPr>
                <w:p w14:paraId="52634DF8"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Line 81</w:t>
                  </w:r>
                </w:p>
              </w:tc>
              <w:tc>
                <w:tcPr>
                  <w:tcW w:w="2580" w:type="dxa"/>
                  <w:tcMar>
                    <w:top w:w="120" w:type="dxa"/>
                    <w:left w:w="195" w:type="dxa"/>
                    <w:bottom w:w="135" w:type="dxa"/>
                    <w:right w:w="90" w:type="dxa"/>
                  </w:tcMar>
                  <w:hideMark/>
                </w:tcPr>
                <w:p w14:paraId="46B2F7FD" w14:textId="77777777" w:rsidR="005A0748" w:rsidRPr="003C7DD3" w:rsidRDefault="005A0748" w:rsidP="005A0748">
                  <w:pPr>
                    <w:spacing w:after="150" w:line="240" w:lineRule="auto"/>
                    <w:rPr>
                      <w:rFonts w:ascii="Times New Roman" w:eastAsia="Times New Roman" w:hAnsi="Times New Roman" w:cs="Times New Roman"/>
                      <w:sz w:val="24"/>
                      <w:szCs w:val="24"/>
                      <w:lang w:val="fr-FR" w:bidi="ar-SA"/>
                    </w:rPr>
                  </w:pPr>
                  <w:proofErr w:type="gramStart"/>
                  <w:r w:rsidRPr="003C7DD3">
                    <w:rPr>
                      <w:rFonts w:ascii="Times New Roman" w:eastAsia="Times New Roman" w:hAnsi="Times New Roman" w:cs="Times New Roman"/>
                      <w:i/>
                      <w:iCs/>
                      <w:sz w:val="24"/>
                      <w:szCs w:val="24"/>
                      <w:lang w:val="fr-FR" w:bidi="ar-SA"/>
                    </w:rPr>
                    <w:t>nap</w:t>
                  </w:r>
                  <w:proofErr w:type="gramEnd"/>
                  <w:r w:rsidRPr="003C7DD3">
                    <w:rPr>
                      <w:rFonts w:ascii="Times New Roman" w:eastAsia="Times New Roman" w:hAnsi="Times New Roman" w:cs="Times New Roman"/>
                      <w:i/>
                      <w:iCs/>
                      <w:sz w:val="24"/>
                      <w:szCs w:val="24"/>
                      <w:lang w:val="fr-FR" w:bidi="ar-SA"/>
                    </w:rPr>
                    <w:t>-</w:t>
                  </w:r>
                  <w:proofErr w:type="spellStart"/>
                  <w:r w:rsidRPr="003C7DD3">
                    <w:rPr>
                      <w:rFonts w:ascii="Times New Roman" w:eastAsia="Times New Roman" w:hAnsi="Times New Roman" w:cs="Times New Roman"/>
                      <w:i/>
                      <w:iCs/>
                      <w:sz w:val="24"/>
                      <w:szCs w:val="24"/>
                      <w:lang w:val="fr-FR" w:bidi="ar-SA"/>
                    </w:rPr>
                    <w:t>ša</w:t>
                  </w:r>
                  <w:proofErr w:type="spellEnd"/>
                  <w:r w:rsidRPr="003C7DD3">
                    <w:rPr>
                      <w:rFonts w:ascii="Times New Roman" w:eastAsia="Times New Roman" w:hAnsi="Times New Roman" w:cs="Times New Roman"/>
                      <w:i/>
                      <w:iCs/>
                      <w:sz w:val="24"/>
                      <w:szCs w:val="24"/>
                      <w:lang w:val="fr-FR" w:bidi="ar-SA"/>
                    </w:rPr>
                    <w:t>-a-te u-ma-al-la</w:t>
                  </w:r>
                </w:p>
              </w:tc>
              <w:tc>
                <w:tcPr>
                  <w:tcW w:w="3630" w:type="dxa"/>
                  <w:tcMar>
                    <w:top w:w="120" w:type="dxa"/>
                    <w:left w:w="195" w:type="dxa"/>
                    <w:bottom w:w="135" w:type="dxa"/>
                    <w:right w:w="90" w:type="dxa"/>
                  </w:tcMar>
                  <w:hideMark/>
                </w:tcPr>
                <w:p w14:paraId="5AE07708" w14:textId="77777777" w:rsidR="005A0748" w:rsidRPr="00C11F76" w:rsidRDefault="005A0748" w:rsidP="005A0748">
                  <w:pPr>
                    <w:spacing w:after="150" w:line="240" w:lineRule="auto"/>
                    <w:rPr>
                      <w:rFonts w:ascii="Times New Roman" w:eastAsia="Times New Roman" w:hAnsi="Times New Roman" w:cs="Times New Roman"/>
                      <w:sz w:val="24"/>
                      <w:szCs w:val="24"/>
                      <w:lang w:bidi="ar-SA"/>
                    </w:rPr>
                  </w:pPr>
                  <w:r w:rsidRPr="00C11F76">
                    <w:rPr>
                      <w:rFonts w:ascii="Times New Roman" w:eastAsia="Times New Roman" w:hAnsi="Times New Roman" w:cs="Times New Roman"/>
                      <w:sz w:val="24"/>
                      <w:szCs w:val="24"/>
                      <w:lang w:bidi="ar-SA"/>
                    </w:rPr>
                    <w:t>he pays (on the principle of) a life (for a life).</w:t>
                  </w:r>
                </w:p>
              </w:tc>
            </w:tr>
          </w:tbl>
          <w:p w14:paraId="6C71AE2F" w14:textId="77777777" w:rsidR="005A0748" w:rsidRPr="005A0748" w:rsidRDefault="005A0748" w:rsidP="004E1C22">
            <w:pPr>
              <w:spacing w:line="276" w:lineRule="auto"/>
              <w:rPr>
                <w:rFonts w:asciiTheme="minorBidi" w:hAnsiTheme="minorBidi"/>
              </w:rPr>
            </w:pPr>
          </w:p>
        </w:tc>
        <w:tc>
          <w:tcPr>
            <w:tcW w:w="4675" w:type="dxa"/>
          </w:tcPr>
          <w:p w14:paraId="04A74B98" w14:textId="77777777" w:rsidR="0022494C" w:rsidRPr="0022494C" w:rsidRDefault="0022494C" w:rsidP="0022494C">
            <w:pPr>
              <w:shd w:val="clear" w:color="auto" w:fill="FFFFFF"/>
              <w:bidi/>
              <w:spacing w:after="300" w:line="465" w:lineRule="atLeast"/>
              <w:rPr>
                <w:rFonts w:ascii="David" w:eastAsia="Times New Roman" w:hAnsi="David" w:cs="David"/>
                <w:sz w:val="24"/>
                <w:szCs w:val="24"/>
                <w:rtl/>
                <w:lang w:eastAsia="zh-CN"/>
              </w:rPr>
            </w:pPr>
            <w:r w:rsidRPr="0022494C">
              <w:rPr>
                <w:rFonts w:ascii="David" w:eastAsia="Times New Roman" w:hAnsi="David" w:cs="David" w:hint="cs"/>
                <w:sz w:val="24"/>
                <w:szCs w:val="24"/>
                <w:rtl/>
                <w:lang w:eastAsia="zh-CN"/>
              </w:rPr>
              <w:lastRenderedPageBreak/>
              <w:t>18. כך במפורש ב-</w:t>
            </w:r>
            <w:r w:rsidRPr="0022494C">
              <w:rPr>
                <w:rFonts w:ascii="David" w:eastAsia="Times New Roman" w:hAnsi="David" w:cs="David"/>
                <w:sz w:val="24"/>
                <w:szCs w:val="24"/>
                <w:lang w:eastAsia="zh-CN"/>
              </w:rPr>
              <w:t>MAL A50</w:t>
            </w:r>
            <w:r w:rsidRPr="0022494C">
              <w:rPr>
                <w:rFonts w:ascii="David" w:eastAsia="Times New Roman" w:hAnsi="David" w:cs="David" w:hint="cs"/>
                <w:sz w:val="24"/>
                <w:szCs w:val="24"/>
                <w:rtl/>
                <w:lang w:eastAsia="zh-CN"/>
              </w:rPr>
              <w:t xml:space="preserve">, שורות 71–73, שם נקבע: </w:t>
            </w:r>
            <w:r w:rsidRPr="0022494C">
              <w:rPr>
                <w:rFonts w:ascii="Times New Roman" w:eastAsia="Times New Roman" w:hAnsi="Times New Roman" w:cs="Times New Roman"/>
                <w:i/>
                <w:iCs/>
                <w:color w:val="333333"/>
                <w:sz w:val="23"/>
                <w:lang w:bidi="ar-SA"/>
              </w:rPr>
              <w:t xml:space="preserve">u </w:t>
            </w:r>
            <w:proofErr w:type="spellStart"/>
            <w:r w:rsidRPr="0022494C">
              <w:rPr>
                <w:rFonts w:ascii="Times New Roman" w:eastAsia="Times New Roman" w:hAnsi="Times New Roman" w:cs="Times New Roman"/>
                <w:i/>
                <w:iCs/>
                <w:color w:val="333333"/>
                <w:sz w:val="23"/>
                <w:lang w:bidi="ar-SA"/>
              </w:rPr>
              <w:t>šumma</w:t>
            </w:r>
            <w:proofErr w:type="spellEnd"/>
            <w:r w:rsidRPr="0022494C">
              <w:rPr>
                <w:rFonts w:ascii="Times New Roman" w:eastAsia="Times New Roman" w:hAnsi="Times New Roman" w:cs="Times New Roman"/>
                <w:i/>
                <w:iCs/>
                <w:color w:val="333333"/>
                <w:sz w:val="23"/>
                <w:lang w:bidi="ar-SA"/>
              </w:rPr>
              <w:t xml:space="preserve"> </w:t>
            </w:r>
            <w:proofErr w:type="spellStart"/>
            <w:r w:rsidRPr="0022494C">
              <w:rPr>
                <w:rFonts w:ascii="Times New Roman" w:eastAsia="Times New Roman" w:hAnsi="Times New Roman" w:cs="Times New Roman"/>
                <w:i/>
                <w:iCs/>
                <w:color w:val="333333"/>
                <w:sz w:val="23"/>
                <w:lang w:bidi="ar-SA"/>
              </w:rPr>
              <w:t>sinniltu</w:t>
            </w:r>
            <w:proofErr w:type="spellEnd"/>
            <w:r w:rsidRPr="0022494C">
              <w:rPr>
                <w:rFonts w:ascii="Times New Roman" w:eastAsia="Times New Roman" w:hAnsi="Times New Roman" w:cs="Times New Roman"/>
                <w:i/>
                <w:iCs/>
                <w:color w:val="333333"/>
                <w:sz w:val="23"/>
                <w:lang w:bidi="ar-SA"/>
              </w:rPr>
              <w:t xml:space="preserve"> </w:t>
            </w:r>
            <w:proofErr w:type="spellStart"/>
            <w:r w:rsidRPr="0022494C">
              <w:rPr>
                <w:rFonts w:ascii="Times New Roman" w:eastAsia="Times New Roman" w:hAnsi="Times New Roman" w:cs="Times New Roman"/>
                <w:i/>
                <w:iCs/>
                <w:color w:val="333333"/>
                <w:sz w:val="23"/>
                <w:lang w:bidi="ar-SA"/>
              </w:rPr>
              <w:t>šīt</w:t>
            </w:r>
            <w:proofErr w:type="spellEnd"/>
            <w:r w:rsidRPr="0022494C">
              <w:rPr>
                <w:rFonts w:ascii="Times New Roman" w:eastAsia="Times New Roman" w:hAnsi="Times New Roman" w:cs="Times New Roman"/>
                <w:i/>
                <w:iCs/>
                <w:color w:val="333333"/>
                <w:sz w:val="23"/>
                <w:lang w:bidi="ar-SA"/>
              </w:rPr>
              <w:t xml:space="preserve"> </w:t>
            </w:r>
            <w:proofErr w:type="spellStart"/>
            <w:r w:rsidRPr="0022494C">
              <w:rPr>
                <w:rFonts w:ascii="Times New Roman" w:eastAsia="Times New Roman" w:hAnsi="Times New Roman" w:cs="Times New Roman"/>
                <w:i/>
                <w:iCs/>
                <w:color w:val="333333"/>
                <w:sz w:val="23"/>
                <w:lang w:bidi="ar-SA"/>
              </w:rPr>
              <w:t>mītat</w:t>
            </w:r>
            <w:proofErr w:type="spellEnd"/>
            <w:r w:rsidRPr="0022494C">
              <w:rPr>
                <w:rFonts w:ascii="Times New Roman" w:eastAsia="Times New Roman" w:hAnsi="Times New Roman" w:cs="Times New Roman"/>
                <w:i/>
                <w:iCs/>
                <w:color w:val="333333"/>
                <w:sz w:val="23"/>
                <w:lang w:bidi="ar-SA"/>
              </w:rPr>
              <w:t xml:space="preserve"> </w:t>
            </w:r>
            <w:proofErr w:type="spellStart"/>
            <w:r w:rsidRPr="0022494C">
              <w:rPr>
                <w:rFonts w:ascii="Times New Roman" w:eastAsia="Times New Roman" w:hAnsi="Times New Roman" w:cs="Times New Roman"/>
                <w:i/>
                <w:iCs/>
                <w:color w:val="333333"/>
                <w:sz w:val="23"/>
                <w:lang w:bidi="ar-SA"/>
              </w:rPr>
              <w:t>napšāte</w:t>
            </w:r>
            <w:proofErr w:type="spellEnd"/>
            <w:r w:rsidRPr="0022494C">
              <w:rPr>
                <w:rFonts w:ascii="Times New Roman" w:eastAsia="Times New Roman" w:hAnsi="Times New Roman" w:cs="Times New Roman"/>
                <w:i/>
                <w:iCs/>
                <w:color w:val="333333"/>
                <w:sz w:val="23"/>
                <w:lang w:bidi="ar-SA"/>
              </w:rPr>
              <w:t xml:space="preserve"> </w:t>
            </w:r>
            <w:proofErr w:type="spellStart"/>
            <w:r w:rsidRPr="0022494C">
              <w:rPr>
                <w:rFonts w:ascii="Times New Roman" w:eastAsia="Times New Roman" w:hAnsi="Times New Roman" w:cs="Times New Roman"/>
                <w:i/>
                <w:iCs/>
                <w:color w:val="333333"/>
                <w:sz w:val="23"/>
                <w:lang w:bidi="ar-SA"/>
              </w:rPr>
              <w:t>umallā</w:t>
            </w:r>
            <w:proofErr w:type="spellEnd"/>
            <w:r w:rsidRPr="0022494C">
              <w:rPr>
                <w:rFonts w:ascii="Times New Roman" w:eastAsia="Times New Roman" w:hAnsi="Times New Roman" w:cs="Times New Roman"/>
                <w:color w:val="333333"/>
                <w:sz w:val="23"/>
                <w:szCs w:val="23"/>
                <w:lang w:bidi="ar-SA"/>
              </w:rPr>
              <w:t> </w:t>
            </w:r>
            <w:r w:rsidRPr="0022494C">
              <w:rPr>
                <w:rFonts w:ascii="David" w:eastAsia="Times New Roman" w:hAnsi="David" w:cs="David" w:hint="cs"/>
                <w:sz w:val="24"/>
                <w:szCs w:val="24"/>
                <w:rtl/>
                <w:lang w:eastAsia="zh-CN"/>
              </w:rPr>
              <w:t>, "אך אם אותה אישה מתה, האיש יומת, כי ישלם עבור פרי הרחם (לפי העיקרון של) חיים (תמורת חיים)", שם עונש מוות הוא חד-משמעי. עונש מוות נתמך עוד לגבי מצב שבו האם שרדה אך לא כן עוברה:</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770"/>
              <w:gridCol w:w="1284"/>
              <w:gridCol w:w="1685"/>
            </w:tblGrid>
            <w:tr w:rsidR="0022494C" w:rsidRPr="0022494C" w14:paraId="5D44F90D" w14:textId="77777777" w:rsidTr="00B9645E">
              <w:tc>
                <w:tcPr>
                  <w:tcW w:w="870" w:type="dxa"/>
                  <w:tcMar>
                    <w:top w:w="120" w:type="dxa"/>
                    <w:left w:w="195" w:type="dxa"/>
                    <w:bottom w:w="135" w:type="dxa"/>
                    <w:right w:w="90" w:type="dxa"/>
                  </w:tcMar>
                  <w:hideMark/>
                </w:tcPr>
                <w:p w14:paraId="210BBE7E"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sz w:val="24"/>
                      <w:szCs w:val="24"/>
                      <w:lang w:eastAsia="zh-CN" w:bidi="ar-SA"/>
                    </w:rPr>
                    <w:t>Line 74</w:t>
                  </w:r>
                </w:p>
              </w:tc>
              <w:tc>
                <w:tcPr>
                  <w:tcW w:w="2580" w:type="dxa"/>
                </w:tcPr>
                <w:p w14:paraId="5A97AB0F" w14:textId="77777777" w:rsidR="0022494C" w:rsidRPr="0022494C" w:rsidRDefault="0022494C" w:rsidP="0022494C">
                  <w:pPr>
                    <w:bidi/>
                    <w:spacing w:after="150" w:line="240" w:lineRule="auto"/>
                    <w:rPr>
                      <w:rFonts w:ascii="Times New Roman" w:eastAsia="Times New Roman" w:hAnsi="Times New Roman" w:cs="Times New Roman"/>
                      <w:sz w:val="24"/>
                      <w:szCs w:val="24"/>
                      <w:rtl/>
                      <w:lang w:eastAsia="zh-CN"/>
                    </w:rPr>
                  </w:pPr>
                  <w:r w:rsidRPr="0022494C">
                    <w:rPr>
                      <w:rFonts w:ascii="Times New Roman" w:eastAsia="Times New Roman" w:hAnsi="Times New Roman" w:cs="Times New Roman" w:hint="cs"/>
                      <w:sz w:val="24"/>
                      <w:szCs w:val="24"/>
                      <w:rtl/>
                      <w:lang w:eastAsia="zh-CN"/>
                    </w:rPr>
                    <w:t>או אם לבעלה של אותה אישה</w:t>
                  </w:r>
                </w:p>
              </w:tc>
              <w:tc>
                <w:tcPr>
                  <w:tcW w:w="2580" w:type="dxa"/>
                  <w:tcMar>
                    <w:top w:w="120" w:type="dxa"/>
                    <w:left w:w="195" w:type="dxa"/>
                    <w:bottom w:w="135" w:type="dxa"/>
                    <w:right w:w="90" w:type="dxa"/>
                  </w:tcMar>
                  <w:hideMark/>
                </w:tcPr>
                <w:p w14:paraId="078A3CA3" w14:textId="77777777" w:rsidR="0022494C" w:rsidRPr="0022494C" w:rsidRDefault="0022494C" w:rsidP="0022494C">
                  <w:pPr>
                    <w:spacing w:after="150" w:line="240" w:lineRule="auto"/>
                    <w:rPr>
                      <w:rFonts w:ascii="Times New Roman" w:eastAsia="Times New Roman" w:hAnsi="Times New Roman" w:cs="Times New Roman"/>
                      <w:sz w:val="24"/>
                      <w:szCs w:val="24"/>
                      <w:rtl/>
                      <w:lang w:eastAsia="zh-CN"/>
                    </w:rPr>
                  </w:pPr>
                  <w:proofErr w:type="gramStart"/>
                  <w:r w:rsidRPr="0022494C">
                    <w:rPr>
                      <w:rFonts w:ascii="Times New Roman" w:eastAsia="Times New Roman" w:hAnsi="Times New Roman" w:cs="Times New Roman"/>
                      <w:i/>
                      <w:iCs/>
                      <w:sz w:val="24"/>
                      <w:szCs w:val="24"/>
                      <w:lang w:val="fr-FR" w:eastAsia="zh-CN" w:bidi="ar-SA"/>
                    </w:rPr>
                    <w:t>u</w:t>
                  </w:r>
                  <w:proofErr w:type="gramEnd"/>
                  <w:r w:rsidRPr="0022494C">
                    <w:rPr>
                      <w:rFonts w:ascii="Times New Roman" w:eastAsia="Times New Roman" w:hAnsi="Times New Roman" w:cs="Times New Roman"/>
                      <w:i/>
                      <w:iCs/>
                      <w:sz w:val="24"/>
                      <w:szCs w:val="24"/>
                      <w:lang w:val="fr-FR" w:eastAsia="zh-CN" w:bidi="ar-SA"/>
                    </w:rPr>
                    <w:t xml:space="preserve"> </w:t>
                  </w:r>
                  <w:proofErr w:type="spellStart"/>
                  <w:r w:rsidRPr="0022494C">
                    <w:rPr>
                      <w:rFonts w:ascii="Times New Roman" w:eastAsia="Times New Roman" w:hAnsi="Times New Roman" w:cs="Times New Roman"/>
                      <w:i/>
                      <w:iCs/>
                      <w:sz w:val="24"/>
                      <w:szCs w:val="24"/>
                      <w:lang w:val="fr-FR" w:eastAsia="zh-CN" w:bidi="ar-SA"/>
                    </w:rPr>
                    <w:t>šum</w:t>
                  </w:r>
                  <w:proofErr w:type="spellEnd"/>
                  <w:r w:rsidRPr="0022494C">
                    <w:rPr>
                      <w:rFonts w:ascii="Times New Roman" w:eastAsia="Times New Roman" w:hAnsi="Times New Roman" w:cs="Times New Roman"/>
                      <w:i/>
                      <w:iCs/>
                      <w:sz w:val="24"/>
                      <w:szCs w:val="24"/>
                      <w:lang w:val="fr-FR" w:eastAsia="zh-CN" w:bidi="ar-SA"/>
                    </w:rPr>
                    <w:t xml:space="preserve">-ma </w:t>
                  </w:r>
                  <w:proofErr w:type="spellStart"/>
                  <w:r w:rsidRPr="0022494C">
                    <w:rPr>
                      <w:rFonts w:ascii="Times New Roman" w:eastAsia="Times New Roman" w:hAnsi="Times New Roman" w:cs="Times New Roman"/>
                      <w:i/>
                      <w:iCs/>
                      <w:sz w:val="24"/>
                      <w:szCs w:val="24"/>
                      <w:lang w:val="fr-FR" w:eastAsia="zh-CN" w:bidi="ar-SA"/>
                    </w:rPr>
                    <w:t>ša</w:t>
                  </w:r>
                  <w:proofErr w:type="spellEnd"/>
                  <w:r w:rsidRPr="0022494C">
                    <w:rPr>
                      <w:rFonts w:ascii="Times New Roman" w:eastAsia="Times New Roman" w:hAnsi="Times New Roman" w:cs="Times New Roman"/>
                      <w:i/>
                      <w:iCs/>
                      <w:sz w:val="24"/>
                      <w:szCs w:val="24"/>
                      <w:lang w:val="fr-FR" w:eastAsia="zh-CN" w:bidi="ar-SA"/>
                    </w:rPr>
                    <w:t>-a mu-</w:t>
                  </w:r>
                  <w:r w:rsidRPr="0022494C">
                    <w:rPr>
                      <w:rFonts w:ascii="Times New Roman" w:eastAsia="Times New Roman" w:hAnsi="Times New Roman" w:cs="Times New Roman"/>
                      <w:sz w:val="24"/>
                      <w:szCs w:val="24"/>
                      <w:lang w:val="fr-FR" w:eastAsia="zh-CN" w:bidi="ar-SA"/>
                    </w:rPr>
                    <w:t xml:space="preserve"> </w:t>
                  </w:r>
                  <w:r w:rsidRPr="0022494C">
                    <w:rPr>
                      <w:rFonts w:ascii="Times New Roman" w:eastAsia="Times New Roman" w:hAnsi="Times New Roman" w:cs="Times New Roman"/>
                      <w:i/>
                      <w:iCs/>
                      <w:sz w:val="24"/>
                      <w:szCs w:val="24"/>
                      <w:lang w:val="fr-FR" w:eastAsia="zh-CN" w:bidi="ar-SA"/>
                    </w:rPr>
                    <w:t>ut </w:t>
                  </w:r>
                  <w:r w:rsidRPr="0022494C">
                    <w:rPr>
                      <w:rFonts w:ascii="Times New Roman" w:eastAsia="Times New Roman" w:hAnsi="Times New Roman" w:cs="Times New Roman"/>
                      <w:sz w:val="24"/>
                      <w:szCs w:val="24"/>
                      <w:lang w:val="fr-FR" w:eastAsia="zh-CN" w:bidi="ar-SA"/>
                    </w:rPr>
                    <w:t>SAL</w:t>
                  </w:r>
                  <w:r w:rsidRPr="0022494C">
                    <w:rPr>
                      <w:rFonts w:ascii="Times New Roman" w:eastAsia="Times New Roman" w:hAnsi="Times New Roman" w:cs="Times New Roman"/>
                      <w:i/>
                      <w:iCs/>
                      <w:sz w:val="24"/>
                      <w:szCs w:val="24"/>
                      <w:lang w:val="fr-FR" w:eastAsia="zh-CN" w:bidi="ar-SA"/>
                    </w:rPr>
                    <w:t> </w:t>
                  </w:r>
                  <w:proofErr w:type="spellStart"/>
                  <w:r w:rsidRPr="0022494C">
                    <w:rPr>
                      <w:rFonts w:ascii="Times New Roman" w:eastAsia="Times New Roman" w:hAnsi="Times New Roman" w:cs="Times New Roman"/>
                      <w:i/>
                      <w:iCs/>
                      <w:sz w:val="24"/>
                      <w:szCs w:val="24"/>
                      <w:lang w:val="fr-FR" w:eastAsia="zh-CN" w:bidi="ar-SA"/>
                    </w:rPr>
                    <w:t>ši</w:t>
                  </w:r>
                  <w:proofErr w:type="spellEnd"/>
                  <w:r w:rsidRPr="0022494C">
                    <w:rPr>
                      <w:rFonts w:ascii="Times New Roman" w:eastAsia="Times New Roman" w:hAnsi="Times New Roman" w:cs="Times New Roman"/>
                      <w:i/>
                      <w:iCs/>
                      <w:sz w:val="24"/>
                      <w:szCs w:val="24"/>
                      <w:lang w:val="fr-FR" w:eastAsia="zh-CN" w:bidi="ar-SA"/>
                    </w:rPr>
                    <w:t>-</w:t>
                  </w:r>
                  <w:proofErr w:type="spellStart"/>
                  <w:r w:rsidRPr="0022494C">
                    <w:rPr>
                      <w:rFonts w:ascii="Times New Roman" w:eastAsia="Times New Roman" w:hAnsi="Times New Roman" w:cs="Times New Roman"/>
                      <w:i/>
                      <w:iCs/>
                      <w:sz w:val="24"/>
                      <w:szCs w:val="24"/>
                      <w:lang w:val="fr-FR" w:eastAsia="zh-CN" w:bidi="ar-SA"/>
                    </w:rPr>
                    <w:t>a-ti</w:t>
                  </w:r>
                  <w:proofErr w:type="spellEnd"/>
                  <w:r w:rsidRPr="0022494C">
                    <w:rPr>
                      <w:rFonts w:ascii="Times New Roman" w:eastAsia="Times New Roman" w:hAnsi="Times New Roman" w:cs="Times New Roman"/>
                      <w:sz w:val="24"/>
                      <w:szCs w:val="24"/>
                      <w:lang w:val="fr-FR" w:eastAsia="zh-CN"/>
                    </w:rPr>
                    <w:t xml:space="preserve">              </w:t>
                  </w:r>
                </w:p>
              </w:tc>
            </w:tr>
            <w:tr w:rsidR="0022494C" w:rsidRPr="00EB3003" w14:paraId="4D1F9216" w14:textId="77777777" w:rsidTr="00B9645E">
              <w:tc>
                <w:tcPr>
                  <w:tcW w:w="870" w:type="dxa"/>
                  <w:tcMar>
                    <w:top w:w="120" w:type="dxa"/>
                    <w:left w:w="195" w:type="dxa"/>
                    <w:bottom w:w="135" w:type="dxa"/>
                    <w:right w:w="90" w:type="dxa"/>
                  </w:tcMar>
                  <w:hideMark/>
                </w:tcPr>
                <w:p w14:paraId="3A135EA2"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sz w:val="24"/>
                      <w:szCs w:val="24"/>
                      <w:lang w:eastAsia="zh-CN" w:bidi="ar-SA"/>
                    </w:rPr>
                    <w:lastRenderedPageBreak/>
                    <w:t>Line 75</w:t>
                  </w:r>
                </w:p>
              </w:tc>
              <w:tc>
                <w:tcPr>
                  <w:tcW w:w="2580" w:type="dxa"/>
                </w:tcPr>
                <w:p w14:paraId="142250CF" w14:textId="77777777" w:rsidR="0022494C" w:rsidRPr="0022494C" w:rsidRDefault="0022494C" w:rsidP="0022494C">
                  <w:pPr>
                    <w:bidi/>
                    <w:spacing w:after="150" w:line="240" w:lineRule="auto"/>
                    <w:rPr>
                      <w:rFonts w:ascii="Times New Roman" w:eastAsia="Times New Roman" w:hAnsi="Times New Roman" w:cs="Times New Roman"/>
                      <w:sz w:val="24"/>
                      <w:szCs w:val="24"/>
                      <w:rtl/>
                      <w:lang w:eastAsia="zh-CN"/>
                    </w:rPr>
                  </w:pPr>
                  <w:r w:rsidRPr="0022494C">
                    <w:rPr>
                      <w:rFonts w:ascii="Times New Roman" w:eastAsia="Times New Roman" w:hAnsi="Times New Roman" w:cs="Times New Roman" w:hint="cs"/>
                      <w:sz w:val="24"/>
                      <w:szCs w:val="24"/>
                      <w:rtl/>
                      <w:lang w:eastAsia="zh-CN"/>
                    </w:rPr>
                    <w:t>אין בן</w:t>
                  </w:r>
                </w:p>
              </w:tc>
              <w:tc>
                <w:tcPr>
                  <w:tcW w:w="2580" w:type="dxa"/>
                  <w:tcMar>
                    <w:top w:w="120" w:type="dxa"/>
                    <w:left w:w="195" w:type="dxa"/>
                    <w:bottom w:w="135" w:type="dxa"/>
                    <w:right w:w="90" w:type="dxa"/>
                  </w:tcMar>
                  <w:hideMark/>
                </w:tcPr>
                <w:p w14:paraId="0382D485" w14:textId="77777777" w:rsidR="0022494C" w:rsidRPr="0022494C" w:rsidRDefault="0022494C" w:rsidP="0022494C">
                  <w:pPr>
                    <w:spacing w:after="150" w:line="240" w:lineRule="auto"/>
                    <w:rPr>
                      <w:rFonts w:ascii="Times New Roman" w:eastAsia="Times New Roman" w:hAnsi="Times New Roman" w:cs="Times New Roman"/>
                      <w:sz w:val="24"/>
                      <w:szCs w:val="24"/>
                      <w:lang w:val="fr-FR" w:eastAsia="zh-CN" w:bidi="ar-SA"/>
                    </w:rPr>
                  </w:pPr>
                  <w:r w:rsidRPr="0022494C">
                    <w:rPr>
                      <w:rFonts w:ascii="Times New Roman" w:eastAsia="Times New Roman" w:hAnsi="Times New Roman" w:cs="Times New Roman"/>
                      <w:sz w:val="24"/>
                      <w:szCs w:val="24"/>
                      <w:lang w:val="fr-FR" w:eastAsia="zh-CN" w:bidi="ar-SA"/>
                    </w:rPr>
                    <w:t>DUMU</w:t>
                  </w:r>
                  <w:r w:rsidRPr="0022494C">
                    <w:rPr>
                      <w:rFonts w:ascii="Times New Roman" w:eastAsia="Times New Roman" w:hAnsi="Times New Roman" w:cs="Times New Roman"/>
                      <w:i/>
                      <w:iCs/>
                      <w:sz w:val="24"/>
                      <w:szCs w:val="24"/>
                      <w:lang w:val="fr-FR" w:eastAsia="zh-CN" w:bidi="ar-SA"/>
                    </w:rPr>
                    <w:t>-</w:t>
                  </w:r>
                  <w:proofErr w:type="spellStart"/>
                  <w:r w:rsidRPr="0022494C">
                    <w:rPr>
                      <w:rFonts w:ascii="Times New Roman" w:eastAsia="Times New Roman" w:hAnsi="Times New Roman" w:cs="Times New Roman"/>
                      <w:i/>
                      <w:iCs/>
                      <w:sz w:val="24"/>
                      <w:szCs w:val="24"/>
                      <w:lang w:val="fr-FR" w:eastAsia="zh-CN" w:bidi="ar-SA"/>
                    </w:rPr>
                    <w:t>šu</w:t>
                  </w:r>
                  <w:proofErr w:type="spellEnd"/>
                  <w:r w:rsidRPr="0022494C">
                    <w:rPr>
                      <w:rFonts w:ascii="Times New Roman" w:eastAsia="Times New Roman" w:hAnsi="Times New Roman" w:cs="Times New Roman"/>
                      <w:i/>
                      <w:iCs/>
                      <w:sz w:val="24"/>
                      <w:szCs w:val="24"/>
                      <w:lang w:val="fr-FR" w:eastAsia="zh-CN" w:bidi="ar-SA"/>
                    </w:rPr>
                    <w:t xml:space="preserve"> la-</w:t>
                  </w:r>
                  <w:proofErr w:type="spellStart"/>
                  <w:r w:rsidRPr="0022494C">
                    <w:rPr>
                      <w:rFonts w:ascii="Times New Roman" w:eastAsia="Times New Roman" w:hAnsi="Times New Roman" w:cs="Times New Roman"/>
                      <w:i/>
                      <w:iCs/>
                      <w:sz w:val="24"/>
                      <w:szCs w:val="24"/>
                      <w:lang w:val="fr-FR" w:eastAsia="zh-CN" w:bidi="ar-SA"/>
                    </w:rPr>
                    <w:t>áš</w:t>
                  </w:r>
                  <w:proofErr w:type="spellEnd"/>
                  <w:r w:rsidRPr="0022494C">
                    <w:rPr>
                      <w:rFonts w:ascii="Times New Roman" w:eastAsia="Times New Roman" w:hAnsi="Times New Roman" w:cs="Times New Roman"/>
                      <w:i/>
                      <w:iCs/>
                      <w:sz w:val="24"/>
                      <w:szCs w:val="24"/>
                      <w:lang w:val="fr-FR" w:eastAsia="zh-CN" w:bidi="ar-SA"/>
                    </w:rPr>
                    <w:t>-</w:t>
                  </w:r>
                  <w:proofErr w:type="spellStart"/>
                  <w:r w:rsidRPr="0022494C">
                    <w:rPr>
                      <w:rFonts w:ascii="Times New Roman" w:eastAsia="Times New Roman" w:hAnsi="Times New Roman" w:cs="Times New Roman"/>
                      <w:i/>
                      <w:iCs/>
                      <w:sz w:val="24"/>
                      <w:szCs w:val="24"/>
                      <w:lang w:val="fr-FR" w:eastAsia="zh-CN" w:bidi="ar-SA"/>
                    </w:rPr>
                    <w:t>šu</w:t>
                  </w:r>
                  <w:proofErr w:type="spellEnd"/>
                  <w:r w:rsidRPr="0022494C">
                    <w:rPr>
                      <w:rFonts w:ascii="Times New Roman" w:eastAsia="Times New Roman" w:hAnsi="Times New Roman" w:cs="Times New Roman"/>
                      <w:i/>
                      <w:iCs/>
                      <w:sz w:val="24"/>
                      <w:szCs w:val="24"/>
                      <w:lang w:val="fr-FR" w:eastAsia="zh-CN" w:bidi="ar-SA"/>
                    </w:rPr>
                    <w:t> </w:t>
                  </w:r>
                  <w:r w:rsidRPr="0022494C">
                    <w:rPr>
                      <w:rFonts w:ascii="Times New Roman" w:eastAsia="Times New Roman" w:hAnsi="Times New Roman" w:cs="Times New Roman"/>
                      <w:sz w:val="24"/>
                      <w:szCs w:val="24"/>
                      <w:lang w:val="fr-FR" w:eastAsia="zh-CN" w:bidi="ar-SA"/>
                    </w:rPr>
                    <w:t>DAM</w:t>
                  </w:r>
                  <w:r w:rsidRPr="0022494C">
                    <w:rPr>
                      <w:rFonts w:ascii="Times New Roman" w:eastAsia="Times New Roman" w:hAnsi="Times New Roman" w:cs="Times New Roman"/>
                      <w:i/>
                      <w:iCs/>
                      <w:sz w:val="24"/>
                      <w:szCs w:val="24"/>
                      <w:lang w:val="fr-FR" w:eastAsia="zh-CN" w:bidi="ar-SA"/>
                    </w:rPr>
                    <w:t>-su</w:t>
                  </w:r>
                </w:p>
              </w:tc>
            </w:tr>
            <w:tr w:rsidR="0022494C" w:rsidRPr="0022494C" w14:paraId="2A821462" w14:textId="77777777" w:rsidTr="00B9645E">
              <w:tc>
                <w:tcPr>
                  <w:tcW w:w="870" w:type="dxa"/>
                  <w:tcMar>
                    <w:top w:w="120" w:type="dxa"/>
                    <w:left w:w="195" w:type="dxa"/>
                    <w:bottom w:w="135" w:type="dxa"/>
                    <w:right w:w="90" w:type="dxa"/>
                  </w:tcMar>
                  <w:hideMark/>
                </w:tcPr>
                <w:p w14:paraId="4F34306E"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sz w:val="24"/>
                      <w:szCs w:val="24"/>
                      <w:lang w:eastAsia="zh-CN" w:bidi="ar-SA"/>
                    </w:rPr>
                    <w:t>Line 76</w:t>
                  </w:r>
                </w:p>
              </w:tc>
              <w:tc>
                <w:tcPr>
                  <w:tcW w:w="2580" w:type="dxa"/>
                </w:tcPr>
                <w:p w14:paraId="2032CF05" w14:textId="77777777" w:rsidR="0022494C" w:rsidRPr="0022494C" w:rsidRDefault="0022494C" w:rsidP="0022494C">
                  <w:pPr>
                    <w:bidi/>
                    <w:spacing w:after="150" w:line="240" w:lineRule="auto"/>
                    <w:rPr>
                      <w:rFonts w:ascii="Times New Roman" w:eastAsia="Times New Roman" w:hAnsi="Times New Roman" w:cs="Times New Roman"/>
                      <w:sz w:val="24"/>
                      <w:szCs w:val="24"/>
                      <w:rtl/>
                      <w:lang w:eastAsia="zh-CN"/>
                    </w:rPr>
                  </w:pPr>
                  <w:r w:rsidRPr="0022494C">
                    <w:rPr>
                      <w:rFonts w:ascii="Times New Roman" w:eastAsia="Times New Roman" w:hAnsi="Times New Roman" w:cs="Times New Roman" w:hint="cs"/>
                      <w:sz w:val="24"/>
                      <w:szCs w:val="24"/>
                      <w:rtl/>
                      <w:lang w:eastAsia="zh-CN"/>
                    </w:rPr>
                    <w:t>(ו)אשתו נפגעה</w:t>
                  </w:r>
                </w:p>
              </w:tc>
              <w:tc>
                <w:tcPr>
                  <w:tcW w:w="2580" w:type="dxa"/>
                  <w:tcMar>
                    <w:top w:w="120" w:type="dxa"/>
                    <w:left w:w="195" w:type="dxa"/>
                    <w:bottom w:w="135" w:type="dxa"/>
                    <w:right w:w="90" w:type="dxa"/>
                  </w:tcMar>
                  <w:hideMark/>
                </w:tcPr>
                <w:p w14:paraId="583CAB3C"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i/>
                      <w:iCs/>
                      <w:sz w:val="24"/>
                      <w:szCs w:val="24"/>
                      <w:lang w:eastAsia="zh-CN" w:bidi="ar-SA"/>
                    </w:rPr>
                    <w:t>im-</w:t>
                  </w:r>
                  <w:proofErr w:type="spellStart"/>
                  <w:r w:rsidRPr="0022494C">
                    <w:rPr>
                      <w:rFonts w:ascii="Times New Roman" w:eastAsia="Times New Roman" w:hAnsi="Times New Roman" w:cs="Times New Roman"/>
                      <w:i/>
                      <w:iCs/>
                      <w:sz w:val="24"/>
                      <w:szCs w:val="24"/>
                      <w:lang w:eastAsia="zh-CN" w:bidi="ar-SA"/>
                    </w:rPr>
                    <w:t>ḫu</w:t>
                  </w:r>
                  <w:proofErr w:type="spellEnd"/>
                  <w:r w:rsidRPr="0022494C">
                    <w:rPr>
                      <w:rFonts w:ascii="Times New Roman" w:eastAsia="Times New Roman" w:hAnsi="Times New Roman" w:cs="Times New Roman"/>
                      <w:i/>
                      <w:iCs/>
                      <w:sz w:val="24"/>
                      <w:szCs w:val="24"/>
                      <w:lang w:eastAsia="zh-CN" w:bidi="ar-SA"/>
                    </w:rPr>
                    <w:t>-</w:t>
                  </w:r>
                  <w:proofErr w:type="spellStart"/>
                  <w:r w:rsidRPr="0022494C">
                    <w:rPr>
                      <w:rFonts w:ascii="Times New Roman" w:eastAsia="Times New Roman" w:hAnsi="Times New Roman" w:cs="Times New Roman"/>
                      <w:i/>
                      <w:iCs/>
                      <w:sz w:val="24"/>
                      <w:szCs w:val="24"/>
                      <w:lang w:eastAsia="zh-CN" w:bidi="ar-SA"/>
                    </w:rPr>
                    <w:t>ṣu</w:t>
                  </w:r>
                  <w:proofErr w:type="spellEnd"/>
                  <w:r w:rsidRPr="0022494C">
                    <w:rPr>
                      <w:rFonts w:ascii="Times New Roman" w:eastAsia="Times New Roman" w:hAnsi="Times New Roman" w:cs="Times New Roman"/>
                      <w:i/>
                      <w:iCs/>
                      <w:sz w:val="24"/>
                      <w:szCs w:val="24"/>
                      <w:lang w:eastAsia="zh-CN" w:bidi="ar-SA"/>
                    </w:rPr>
                    <w:t xml:space="preserve">-ú-ma </w:t>
                  </w:r>
                  <w:proofErr w:type="spellStart"/>
                  <w:r w:rsidRPr="0022494C">
                    <w:rPr>
                      <w:rFonts w:ascii="Times New Roman" w:eastAsia="Times New Roman" w:hAnsi="Times New Roman" w:cs="Times New Roman"/>
                      <w:i/>
                      <w:iCs/>
                      <w:sz w:val="24"/>
                      <w:szCs w:val="24"/>
                      <w:lang w:eastAsia="zh-CN" w:bidi="ar-SA"/>
                    </w:rPr>
                    <w:t>ša</w:t>
                  </w:r>
                  <w:proofErr w:type="spellEnd"/>
                  <w:r w:rsidRPr="0022494C">
                    <w:rPr>
                      <w:rFonts w:ascii="Times New Roman" w:eastAsia="Times New Roman" w:hAnsi="Times New Roman" w:cs="Times New Roman"/>
                      <w:i/>
                      <w:iCs/>
                      <w:sz w:val="24"/>
                      <w:szCs w:val="24"/>
                      <w:lang w:eastAsia="zh-CN" w:bidi="ar-SA"/>
                    </w:rPr>
                    <w:t> </w:t>
                  </w:r>
                  <w:proofErr w:type="spellStart"/>
                  <w:r w:rsidRPr="0022494C">
                    <w:rPr>
                      <w:rFonts w:ascii="Times New Roman" w:eastAsia="Times New Roman" w:hAnsi="Times New Roman" w:cs="Times New Roman"/>
                      <w:sz w:val="24"/>
                      <w:szCs w:val="24"/>
                      <w:lang w:eastAsia="zh-CN" w:bidi="ar-SA"/>
                    </w:rPr>
                    <w:t>ŠÀ</w:t>
                  </w:r>
                  <w:r w:rsidRPr="0022494C">
                    <w:rPr>
                      <w:rFonts w:ascii="Times New Roman" w:eastAsia="Times New Roman" w:hAnsi="Times New Roman" w:cs="Times New Roman"/>
                      <w:i/>
                      <w:iCs/>
                      <w:sz w:val="17"/>
                      <w:vertAlign w:val="superscript"/>
                      <w:lang w:eastAsia="zh-CN" w:bidi="ar-SA"/>
                    </w:rPr>
                    <w:t>bi</w:t>
                  </w:r>
                  <w:r w:rsidRPr="0022494C">
                    <w:rPr>
                      <w:rFonts w:ascii="Times New Roman" w:eastAsia="Times New Roman" w:hAnsi="Times New Roman" w:cs="Times New Roman"/>
                      <w:i/>
                      <w:iCs/>
                      <w:sz w:val="24"/>
                      <w:szCs w:val="24"/>
                      <w:lang w:eastAsia="zh-CN" w:bidi="ar-SA"/>
                    </w:rPr>
                    <w:t>-ša</w:t>
                  </w:r>
                  <w:proofErr w:type="spellEnd"/>
                </w:p>
              </w:tc>
            </w:tr>
            <w:tr w:rsidR="0022494C" w:rsidRPr="0022494C" w14:paraId="53F83C43" w14:textId="77777777" w:rsidTr="00B9645E">
              <w:tc>
                <w:tcPr>
                  <w:tcW w:w="870" w:type="dxa"/>
                  <w:tcMar>
                    <w:top w:w="120" w:type="dxa"/>
                    <w:left w:w="195" w:type="dxa"/>
                    <w:bottom w:w="135" w:type="dxa"/>
                    <w:right w:w="90" w:type="dxa"/>
                  </w:tcMar>
                  <w:hideMark/>
                </w:tcPr>
                <w:p w14:paraId="5B54C98B"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sz w:val="24"/>
                      <w:szCs w:val="24"/>
                      <w:lang w:eastAsia="zh-CN" w:bidi="ar-SA"/>
                    </w:rPr>
                    <w:t>Line 77</w:t>
                  </w:r>
                </w:p>
              </w:tc>
              <w:tc>
                <w:tcPr>
                  <w:tcW w:w="2580" w:type="dxa"/>
                </w:tcPr>
                <w:p w14:paraId="5EC4C072" w14:textId="77777777" w:rsidR="0022494C" w:rsidRPr="0022494C" w:rsidRDefault="0022494C" w:rsidP="0022494C">
                  <w:pPr>
                    <w:bidi/>
                    <w:spacing w:after="150" w:line="240" w:lineRule="auto"/>
                    <w:rPr>
                      <w:rFonts w:ascii="Times New Roman" w:eastAsia="Times New Roman" w:hAnsi="Times New Roman" w:cs="Times New Roman"/>
                      <w:sz w:val="24"/>
                      <w:szCs w:val="24"/>
                      <w:rtl/>
                      <w:lang w:eastAsia="zh-CN"/>
                    </w:rPr>
                  </w:pPr>
                  <w:r w:rsidRPr="0022494C">
                    <w:rPr>
                      <w:rFonts w:ascii="Times New Roman" w:eastAsia="Times New Roman" w:hAnsi="Times New Roman" w:cs="Times New Roman" w:hint="cs"/>
                      <w:sz w:val="24"/>
                      <w:szCs w:val="24"/>
                      <w:rtl/>
                      <w:lang w:eastAsia="zh-CN"/>
                    </w:rPr>
                    <w:t>והפילה את פרי רחמה</w:t>
                  </w:r>
                </w:p>
              </w:tc>
              <w:tc>
                <w:tcPr>
                  <w:tcW w:w="2580" w:type="dxa"/>
                  <w:tcMar>
                    <w:top w:w="120" w:type="dxa"/>
                    <w:left w:w="195" w:type="dxa"/>
                    <w:bottom w:w="135" w:type="dxa"/>
                    <w:right w:w="90" w:type="dxa"/>
                  </w:tcMar>
                  <w:hideMark/>
                </w:tcPr>
                <w:p w14:paraId="3D17C548"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i/>
                      <w:iCs/>
                      <w:sz w:val="24"/>
                      <w:szCs w:val="24"/>
                      <w:lang w:eastAsia="zh-CN" w:bidi="ar-SA"/>
                    </w:rPr>
                    <w:t>ta-</w:t>
                  </w:r>
                  <w:proofErr w:type="spellStart"/>
                  <w:r w:rsidRPr="0022494C">
                    <w:rPr>
                      <w:rFonts w:ascii="Times New Roman" w:eastAsia="Times New Roman" w:hAnsi="Times New Roman" w:cs="Times New Roman"/>
                      <w:i/>
                      <w:iCs/>
                      <w:sz w:val="24"/>
                      <w:szCs w:val="24"/>
                      <w:lang w:eastAsia="zh-CN" w:bidi="ar-SA"/>
                    </w:rPr>
                    <w:t>aṣ</w:t>
                  </w:r>
                  <w:proofErr w:type="spellEnd"/>
                  <w:r w:rsidRPr="0022494C">
                    <w:rPr>
                      <w:rFonts w:ascii="Times New Roman" w:eastAsia="Times New Roman" w:hAnsi="Times New Roman" w:cs="Times New Roman"/>
                      <w:i/>
                      <w:iCs/>
                      <w:sz w:val="24"/>
                      <w:szCs w:val="24"/>
                      <w:lang w:eastAsia="zh-CN" w:bidi="ar-SA"/>
                    </w:rPr>
                    <w:t>-li</w:t>
                  </w:r>
                </w:p>
              </w:tc>
            </w:tr>
            <w:tr w:rsidR="0022494C" w:rsidRPr="0022494C" w14:paraId="15A1866B" w14:textId="77777777" w:rsidTr="00B9645E">
              <w:tc>
                <w:tcPr>
                  <w:tcW w:w="870" w:type="dxa"/>
                  <w:tcMar>
                    <w:top w:w="120" w:type="dxa"/>
                    <w:left w:w="195" w:type="dxa"/>
                    <w:bottom w:w="135" w:type="dxa"/>
                    <w:right w:w="90" w:type="dxa"/>
                  </w:tcMar>
                  <w:hideMark/>
                </w:tcPr>
                <w:p w14:paraId="752CBFC3"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sz w:val="24"/>
                      <w:szCs w:val="24"/>
                      <w:lang w:eastAsia="zh-CN" w:bidi="ar-SA"/>
                    </w:rPr>
                    <w:t>Line 78</w:t>
                  </w:r>
                </w:p>
              </w:tc>
              <w:tc>
                <w:tcPr>
                  <w:tcW w:w="2580" w:type="dxa"/>
                </w:tcPr>
                <w:p w14:paraId="50C58B7B" w14:textId="77777777" w:rsidR="0022494C" w:rsidRPr="0022494C" w:rsidRDefault="0022494C" w:rsidP="0022494C">
                  <w:pPr>
                    <w:bidi/>
                    <w:spacing w:after="150" w:line="240" w:lineRule="auto"/>
                    <w:rPr>
                      <w:rFonts w:ascii="Times New Roman" w:eastAsia="Times New Roman" w:hAnsi="Times New Roman" w:cs="Times New Roman"/>
                      <w:sz w:val="24"/>
                      <w:szCs w:val="24"/>
                      <w:rtl/>
                      <w:lang w:eastAsia="zh-CN"/>
                    </w:rPr>
                  </w:pPr>
                  <w:r w:rsidRPr="0022494C">
                    <w:rPr>
                      <w:rFonts w:ascii="Times New Roman" w:eastAsia="Times New Roman" w:hAnsi="Times New Roman" w:cs="Times New Roman" w:hint="cs"/>
                      <w:sz w:val="24"/>
                      <w:szCs w:val="24"/>
                      <w:rtl/>
                      <w:lang w:eastAsia="zh-CN"/>
                    </w:rPr>
                    <w:t>עבור פרי רחמה</w:t>
                  </w:r>
                </w:p>
              </w:tc>
              <w:tc>
                <w:tcPr>
                  <w:tcW w:w="2580" w:type="dxa"/>
                  <w:tcMar>
                    <w:top w:w="120" w:type="dxa"/>
                    <w:left w:w="195" w:type="dxa"/>
                    <w:bottom w:w="135" w:type="dxa"/>
                    <w:right w:w="90" w:type="dxa"/>
                  </w:tcMar>
                  <w:hideMark/>
                </w:tcPr>
                <w:p w14:paraId="4584E066"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i/>
                      <w:iCs/>
                      <w:sz w:val="24"/>
                      <w:szCs w:val="24"/>
                      <w:lang w:eastAsia="zh-CN" w:bidi="ar-SA"/>
                    </w:rPr>
                    <w:t xml:space="preserve">ki-mu-ú </w:t>
                  </w:r>
                  <w:proofErr w:type="spellStart"/>
                  <w:r w:rsidRPr="0022494C">
                    <w:rPr>
                      <w:rFonts w:ascii="Times New Roman" w:eastAsia="Times New Roman" w:hAnsi="Times New Roman" w:cs="Times New Roman"/>
                      <w:i/>
                      <w:iCs/>
                      <w:sz w:val="24"/>
                      <w:szCs w:val="24"/>
                      <w:lang w:eastAsia="zh-CN" w:bidi="ar-SA"/>
                    </w:rPr>
                    <w:t>ša</w:t>
                  </w:r>
                  <w:proofErr w:type="spellEnd"/>
                  <w:r w:rsidRPr="0022494C">
                    <w:rPr>
                      <w:rFonts w:ascii="Times New Roman" w:eastAsia="Times New Roman" w:hAnsi="Times New Roman" w:cs="Times New Roman"/>
                      <w:i/>
                      <w:iCs/>
                      <w:sz w:val="24"/>
                      <w:szCs w:val="24"/>
                      <w:lang w:eastAsia="zh-CN" w:bidi="ar-SA"/>
                    </w:rPr>
                    <w:t>-a </w:t>
                  </w:r>
                  <w:proofErr w:type="spellStart"/>
                  <w:r w:rsidRPr="0022494C">
                    <w:rPr>
                      <w:rFonts w:ascii="Times New Roman" w:eastAsia="Times New Roman" w:hAnsi="Times New Roman" w:cs="Times New Roman"/>
                      <w:sz w:val="24"/>
                      <w:szCs w:val="24"/>
                      <w:lang w:eastAsia="zh-CN" w:bidi="ar-SA"/>
                    </w:rPr>
                    <w:t>ŠÀ</w:t>
                  </w:r>
                  <w:r w:rsidRPr="0022494C">
                    <w:rPr>
                      <w:rFonts w:ascii="Times New Roman" w:eastAsia="Times New Roman" w:hAnsi="Times New Roman" w:cs="Times New Roman"/>
                      <w:i/>
                      <w:iCs/>
                      <w:sz w:val="17"/>
                      <w:vertAlign w:val="superscript"/>
                      <w:lang w:eastAsia="zh-CN" w:bidi="ar-SA"/>
                    </w:rPr>
                    <w:t>bi</w:t>
                  </w:r>
                  <w:r w:rsidRPr="0022494C">
                    <w:rPr>
                      <w:rFonts w:ascii="Times New Roman" w:eastAsia="Times New Roman" w:hAnsi="Times New Roman" w:cs="Times New Roman"/>
                      <w:i/>
                      <w:iCs/>
                      <w:sz w:val="24"/>
                      <w:szCs w:val="24"/>
                      <w:lang w:eastAsia="zh-CN" w:bidi="ar-SA"/>
                    </w:rPr>
                    <w:t>-ša</w:t>
                  </w:r>
                  <w:proofErr w:type="spellEnd"/>
                </w:p>
              </w:tc>
            </w:tr>
            <w:tr w:rsidR="0022494C" w:rsidRPr="00EB3003" w14:paraId="4381D913" w14:textId="77777777" w:rsidTr="00B9645E">
              <w:tc>
                <w:tcPr>
                  <w:tcW w:w="870" w:type="dxa"/>
                  <w:tcMar>
                    <w:top w:w="120" w:type="dxa"/>
                    <w:left w:w="195" w:type="dxa"/>
                    <w:bottom w:w="135" w:type="dxa"/>
                    <w:right w:w="90" w:type="dxa"/>
                  </w:tcMar>
                  <w:hideMark/>
                </w:tcPr>
                <w:p w14:paraId="70AE76C8"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sz w:val="24"/>
                      <w:szCs w:val="24"/>
                      <w:lang w:eastAsia="zh-CN" w:bidi="ar-SA"/>
                    </w:rPr>
                    <w:t>Line 79</w:t>
                  </w:r>
                </w:p>
              </w:tc>
              <w:tc>
                <w:tcPr>
                  <w:tcW w:w="2580" w:type="dxa"/>
                </w:tcPr>
                <w:p w14:paraId="700FD488" w14:textId="77777777" w:rsidR="0022494C" w:rsidRPr="0022494C" w:rsidRDefault="0022494C" w:rsidP="0022494C">
                  <w:pPr>
                    <w:bidi/>
                    <w:spacing w:after="150" w:line="240" w:lineRule="auto"/>
                    <w:rPr>
                      <w:rFonts w:ascii="Times New Roman" w:eastAsia="Times New Roman" w:hAnsi="Times New Roman" w:cs="Times New Roman"/>
                      <w:sz w:val="24"/>
                      <w:szCs w:val="24"/>
                      <w:rtl/>
                      <w:lang w:eastAsia="zh-CN"/>
                    </w:rPr>
                  </w:pPr>
                  <w:r w:rsidRPr="0022494C">
                    <w:rPr>
                      <w:rFonts w:ascii="Times New Roman" w:eastAsia="Times New Roman" w:hAnsi="Times New Roman" w:cs="Times New Roman" w:hint="cs"/>
                      <w:sz w:val="24"/>
                      <w:szCs w:val="24"/>
                      <w:rtl/>
                      <w:lang w:eastAsia="zh-CN"/>
                    </w:rPr>
                    <w:t>יומת הפוגע</w:t>
                  </w:r>
                </w:p>
              </w:tc>
              <w:tc>
                <w:tcPr>
                  <w:tcW w:w="2580" w:type="dxa"/>
                  <w:tcMar>
                    <w:top w:w="120" w:type="dxa"/>
                    <w:left w:w="195" w:type="dxa"/>
                    <w:bottom w:w="135" w:type="dxa"/>
                    <w:right w:w="90" w:type="dxa"/>
                  </w:tcMar>
                  <w:hideMark/>
                </w:tcPr>
                <w:p w14:paraId="2A596B9B" w14:textId="77777777" w:rsidR="0022494C" w:rsidRPr="0022494C" w:rsidRDefault="0022494C" w:rsidP="0022494C">
                  <w:pPr>
                    <w:spacing w:after="150" w:line="240" w:lineRule="auto"/>
                    <w:rPr>
                      <w:rFonts w:ascii="Times New Roman" w:eastAsia="Times New Roman" w:hAnsi="Times New Roman" w:cs="Times New Roman"/>
                      <w:sz w:val="24"/>
                      <w:szCs w:val="24"/>
                      <w:lang w:val="fr-FR" w:eastAsia="zh-CN" w:bidi="ar-SA"/>
                    </w:rPr>
                  </w:pPr>
                  <w:proofErr w:type="gramStart"/>
                  <w:r w:rsidRPr="0022494C">
                    <w:rPr>
                      <w:rFonts w:ascii="Times New Roman" w:eastAsia="Times New Roman" w:hAnsi="Times New Roman" w:cs="Times New Roman"/>
                      <w:i/>
                      <w:iCs/>
                      <w:sz w:val="24"/>
                      <w:szCs w:val="24"/>
                      <w:lang w:val="fr-FR" w:eastAsia="zh-CN" w:bidi="ar-SA"/>
                    </w:rPr>
                    <w:t>ma</w:t>
                  </w:r>
                  <w:proofErr w:type="gramEnd"/>
                  <w:r w:rsidRPr="0022494C">
                    <w:rPr>
                      <w:rFonts w:ascii="Times New Roman" w:eastAsia="Times New Roman" w:hAnsi="Times New Roman" w:cs="Times New Roman"/>
                      <w:i/>
                      <w:iCs/>
                      <w:sz w:val="24"/>
                      <w:szCs w:val="24"/>
                      <w:lang w:val="fr-FR" w:eastAsia="zh-CN" w:bidi="ar-SA"/>
                    </w:rPr>
                    <w:t>-</w:t>
                  </w:r>
                  <w:proofErr w:type="spellStart"/>
                  <w:r w:rsidRPr="0022494C">
                    <w:rPr>
                      <w:rFonts w:ascii="Times New Roman" w:eastAsia="Times New Roman" w:hAnsi="Times New Roman" w:cs="Times New Roman"/>
                      <w:i/>
                      <w:iCs/>
                      <w:sz w:val="24"/>
                      <w:szCs w:val="24"/>
                      <w:lang w:val="fr-FR" w:eastAsia="zh-CN" w:bidi="ar-SA"/>
                    </w:rPr>
                    <w:t>ḫi</w:t>
                  </w:r>
                  <w:proofErr w:type="spellEnd"/>
                  <w:r w:rsidRPr="0022494C">
                    <w:rPr>
                      <w:rFonts w:ascii="Times New Roman" w:eastAsia="Times New Roman" w:hAnsi="Times New Roman" w:cs="Times New Roman"/>
                      <w:i/>
                      <w:iCs/>
                      <w:sz w:val="24"/>
                      <w:szCs w:val="24"/>
                      <w:lang w:val="fr-FR" w:eastAsia="zh-CN" w:bidi="ar-SA"/>
                    </w:rPr>
                    <w:t>-</w:t>
                  </w:r>
                  <w:proofErr w:type="spellStart"/>
                  <w:r w:rsidRPr="0022494C">
                    <w:rPr>
                      <w:rFonts w:ascii="Times New Roman" w:eastAsia="Times New Roman" w:hAnsi="Times New Roman" w:cs="Times New Roman"/>
                      <w:i/>
                      <w:iCs/>
                      <w:sz w:val="24"/>
                      <w:szCs w:val="24"/>
                      <w:lang w:val="fr-FR" w:eastAsia="zh-CN" w:bidi="ar-SA"/>
                    </w:rPr>
                    <w:t>ṣa</w:t>
                  </w:r>
                  <w:proofErr w:type="spellEnd"/>
                  <w:r w:rsidRPr="0022494C">
                    <w:rPr>
                      <w:rFonts w:ascii="Times New Roman" w:eastAsia="Times New Roman" w:hAnsi="Times New Roman" w:cs="Times New Roman"/>
                      <w:i/>
                      <w:iCs/>
                      <w:sz w:val="24"/>
                      <w:szCs w:val="24"/>
                      <w:lang w:val="fr-FR" w:eastAsia="zh-CN" w:bidi="ar-SA"/>
                    </w:rPr>
                    <w:t>-</w:t>
                  </w:r>
                  <w:proofErr w:type="spellStart"/>
                  <w:r w:rsidRPr="0022494C">
                    <w:rPr>
                      <w:rFonts w:ascii="Times New Roman" w:eastAsia="Times New Roman" w:hAnsi="Times New Roman" w:cs="Times New Roman"/>
                      <w:i/>
                      <w:iCs/>
                      <w:sz w:val="24"/>
                      <w:szCs w:val="24"/>
                      <w:lang w:val="fr-FR" w:eastAsia="zh-CN" w:bidi="ar-SA"/>
                    </w:rPr>
                    <w:t>a-na</w:t>
                  </w:r>
                  <w:proofErr w:type="spellEnd"/>
                  <w:r w:rsidRPr="0022494C">
                    <w:rPr>
                      <w:rFonts w:ascii="Times New Roman" w:eastAsia="Times New Roman" w:hAnsi="Times New Roman" w:cs="Times New Roman"/>
                      <w:i/>
                      <w:iCs/>
                      <w:sz w:val="24"/>
                      <w:szCs w:val="24"/>
                      <w:lang w:val="fr-FR" w:eastAsia="zh-CN" w:bidi="ar-SA"/>
                    </w:rPr>
                    <w:t xml:space="preserve"> i-du-</w:t>
                  </w:r>
                  <w:proofErr w:type="spellStart"/>
                  <w:r w:rsidRPr="0022494C">
                    <w:rPr>
                      <w:rFonts w:ascii="Times New Roman" w:eastAsia="Times New Roman" w:hAnsi="Times New Roman" w:cs="Times New Roman"/>
                      <w:i/>
                      <w:iCs/>
                      <w:sz w:val="24"/>
                      <w:szCs w:val="24"/>
                      <w:lang w:val="fr-FR" w:eastAsia="zh-CN" w:bidi="ar-SA"/>
                    </w:rPr>
                    <w:t>uk</w:t>
                  </w:r>
                  <w:proofErr w:type="spellEnd"/>
                  <w:r w:rsidRPr="0022494C">
                    <w:rPr>
                      <w:rFonts w:ascii="Times New Roman" w:eastAsia="Times New Roman" w:hAnsi="Times New Roman" w:cs="Times New Roman"/>
                      <w:i/>
                      <w:iCs/>
                      <w:sz w:val="24"/>
                      <w:szCs w:val="24"/>
                      <w:lang w:val="fr-FR" w:eastAsia="zh-CN" w:bidi="ar-SA"/>
                    </w:rPr>
                    <w:t>-u</w:t>
                  </w:r>
                </w:p>
              </w:tc>
            </w:tr>
            <w:tr w:rsidR="0022494C" w:rsidRPr="00EB3003" w14:paraId="0B5B5650" w14:textId="77777777" w:rsidTr="00B9645E">
              <w:tc>
                <w:tcPr>
                  <w:tcW w:w="870" w:type="dxa"/>
                  <w:tcMar>
                    <w:top w:w="120" w:type="dxa"/>
                    <w:left w:w="195" w:type="dxa"/>
                    <w:bottom w:w="135" w:type="dxa"/>
                    <w:right w:w="90" w:type="dxa"/>
                  </w:tcMar>
                  <w:hideMark/>
                </w:tcPr>
                <w:p w14:paraId="6771777B"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sz w:val="24"/>
                      <w:szCs w:val="24"/>
                      <w:lang w:eastAsia="zh-CN" w:bidi="ar-SA"/>
                    </w:rPr>
                    <w:t>Line 80</w:t>
                  </w:r>
                </w:p>
              </w:tc>
              <w:tc>
                <w:tcPr>
                  <w:tcW w:w="2580" w:type="dxa"/>
                </w:tcPr>
                <w:p w14:paraId="070191C3" w14:textId="77777777" w:rsidR="0022494C" w:rsidRPr="0022494C" w:rsidRDefault="0022494C" w:rsidP="0022494C">
                  <w:pPr>
                    <w:bidi/>
                    <w:spacing w:after="150" w:line="240" w:lineRule="auto"/>
                    <w:rPr>
                      <w:rFonts w:ascii="Times New Roman" w:eastAsia="Times New Roman" w:hAnsi="Times New Roman" w:cs="Times New Roman"/>
                      <w:sz w:val="24"/>
                      <w:szCs w:val="24"/>
                      <w:rtl/>
                      <w:lang w:eastAsia="zh-CN"/>
                    </w:rPr>
                  </w:pPr>
                  <w:r w:rsidRPr="0022494C">
                    <w:rPr>
                      <w:rFonts w:ascii="Times New Roman" w:eastAsia="Times New Roman" w:hAnsi="Times New Roman" w:cs="Times New Roman" w:hint="cs"/>
                      <w:sz w:val="24"/>
                      <w:szCs w:val="24"/>
                      <w:rtl/>
                      <w:lang w:eastAsia="zh-CN"/>
                    </w:rPr>
                    <w:t>אם פרי רחמה היה בת</w:t>
                  </w:r>
                </w:p>
              </w:tc>
              <w:tc>
                <w:tcPr>
                  <w:tcW w:w="2580" w:type="dxa"/>
                  <w:tcMar>
                    <w:top w:w="120" w:type="dxa"/>
                    <w:left w:w="195" w:type="dxa"/>
                    <w:bottom w:w="135" w:type="dxa"/>
                    <w:right w:w="90" w:type="dxa"/>
                  </w:tcMar>
                  <w:hideMark/>
                </w:tcPr>
                <w:p w14:paraId="6241A4C7" w14:textId="77777777" w:rsidR="0022494C" w:rsidRPr="0022494C" w:rsidRDefault="0022494C" w:rsidP="0022494C">
                  <w:pPr>
                    <w:spacing w:after="150" w:line="240" w:lineRule="auto"/>
                    <w:rPr>
                      <w:rFonts w:ascii="Times New Roman" w:eastAsia="Times New Roman" w:hAnsi="Times New Roman" w:cs="Times New Roman"/>
                      <w:sz w:val="24"/>
                      <w:szCs w:val="24"/>
                      <w:lang w:val="fr-FR" w:eastAsia="zh-CN" w:bidi="ar-SA"/>
                    </w:rPr>
                  </w:pPr>
                  <w:proofErr w:type="spellStart"/>
                  <w:proofErr w:type="gramStart"/>
                  <w:r w:rsidRPr="0022494C">
                    <w:rPr>
                      <w:rFonts w:ascii="Times New Roman" w:eastAsia="Times New Roman" w:hAnsi="Times New Roman" w:cs="Times New Roman"/>
                      <w:i/>
                      <w:iCs/>
                      <w:sz w:val="24"/>
                      <w:szCs w:val="24"/>
                      <w:lang w:val="fr-FR" w:eastAsia="zh-CN" w:bidi="ar-SA"/>
                    </w:rPr>
                    <w:t>šum</w:t>
                  </w:r>
                  <w:proofErr w:type="spellEnd"/>
                  <w:proofErr w:type="gramEnd"/>
                  <w:r w:rsidRPr="0022494C">
                    <w:rPr>
                      <w:rFonts w:ascii="Times New Roman" w:eastAsia="Times New Roman" w:hAnsi="Times New Roman" w:cs="Times New Roman"/>
                      <w:i/>
                      <w:iCs/>
                      <w:sz w:val="24"/>
                      <w:szCs w:val="24"/>
                      <w:lang w:val="fr-FR" w:eastAsia="zh-CN" w:bidi="ar-SA"/>
                    </w:rPr>
                    <w:t xml:space="preserve">-ma </w:t>
                  </w:r>
                  <w:proofErr w:type="spellStart"/>
                  <w:r w:rsidRPr="0022494C">
                    <w:rPr>
                      <w:rFonts w:ascii="Times New Roman" w:eastAsia="Times New Roman" w:hAnsi="Times New Roman" w:cs="Times New Roman"/>
                      <w:i/>
                      <w:iCs/>
                      <w:sz w:val="24"/>
                      <w:szCs w:val="24"/>
                      <w:lang w:val="fr-FR" w:eastAsia="zh-CN" w:bidi="ar-SA"/>
                    </w:rPr>
                    <w:t>ša</w:t>
                  </w:r>
                  <w:proofErr w:type="spellEnd"/>
                  <w:r w:rsidRPr="0022494C">
                    <w:rPr>
                      <w:rFonts w:ascii="Times New Roman" w:eastAsia="Times New Roman" w:hAnsi="Times New Roman" w:cs="Times New Roman"/>
                      <w:i/>
                      <w:iCs/>
                      <w:sz w:val="24"/>
                      <w:szCs w:val="24"/>
                      <w:lang w:val="fr-FR" w:eastAsia="zh-CN" w:bidi="ar-SA"/>
                    </w:rPr>
                    <w:t> </w:t>
                  </w:r>
                  <w:proofErr w:type="spellStart"/>
                  <w:r w:rsidRPr="0022494C">
                    <w:rPr>
                      <w:rFonts w:ascii="Times New Roman" w:eastAsia="Times New Roman" w:hAnsi="Times New Roman" w:cs="Times New Roman"/>
                      <w:sz w:val="24"/>
                      <w:szCs w:val="24"/>
                      <w:lang w:val="fr-FR" w:eastAsia="zh-CN" w:bidi="ar-SA"/>
                    </w:rPr>
                    <w:t>ŠÀ</w:t>
                  </w:r>
                  <w:r w:rsidRPr="0022494C">
                    <w:rPr>
                      <w:rFonts w:ascii="Times New Roman" w:eastAsia="Times New Roman" w:hAnsi="Times New Roman" w:cs="Times New Roman"/>
                      <w:i/>
                      <w:iCs/>
                      <w:sz w:val="17"/>
                      <w:vertAlign w:val="superscript"/>
                      <w:lang w:val="fr-FR" w:eastAsia="zh-CN" w:bidi="ar-SA"/>
                    </w:rPr>
                    <w:t>bi</w:t>
                  </w:r>
                  <w:r w:rsidRPr="0022494C">
                    <w:rPr>
                      <w:rFonts w:ascii="Times New Roman" w:eastAsia="Times New Roman" w:hAnsi="Times New Roman" w:cs="Times New Roman"/>
                      <w:i/>
                      <w:iCs/>
                      <w:sz w:val="24"/>
                      <w:szCs w:val="24"/>
                      <w:lang w:val="fr-FR" w:eastAsia="zh-CN" w:bidi="ar-SA"/>
                    </w:rPr>
                    <w:t>-ša</w:t>
                  </w:r>
                  <w:proofErr w:type="spellEnd"/>
                  <w:r w:rsidRPr="0022494C">
                    <w:rPr>
                      <w:rFonts w:ascii="Times New Roman" w:eastAsia="Times New Roman" w:hAnsi="Times New Roman" w:cs="Times New Roman"/>
                      <w:i/>
                      <w:iCs/>
                      <w:sz w:val="24"/>
                      <w:szCs w:val="24"/>
                      <w:lang w:val="fr-FR" w:eastAsia="zh-CN" w:bidi="ar-SA"/>
                    </w:rPr>
                    <w:t xml:space="preserve"> </w:t>
                  </w:r>
                  <w:proofErr w:type="spellStart"/>
                  <w:r w:rsidRPr="0022494C">
                    <w:rPr>
                      <w:rFonts w:ascii="Times New Roman" w:eastAsia="Times New Roman" w:hAnsi="Times New Roman" w:cs="Times New Roman"/>
                      <w:i/>
                      <w:iCs/>
                      <w:sz w:val="24"/>
                      <w:szCs w:val="24"/>
                      <w:lang w:val="fr-FR" w:eastAsia="zh-CN" w:bidi="ar-SA"/>
                    </w:rPr>
                    <w:t>ṣu</w:t>
                  </w:r>
                  <w:proofErr w:type="spellEnd"/>
                  <w:r w:rsidRPr="0022494C">
                    <w:rPr>
                      <w:rFonts w:ascii="Times New Roman" w:eastAsia="Times New Roman" w:hAnsi="Times New Roman" w:cs="Times New Roman"/>
                      <w:i/>
                      <w:iCs/>
                      <w:sz w:val="24"/>
                      <w:szCs w:val="24"/>
                      <w:lang w:val="fr-FR" w:eastAsia="zh-CN" w:bidi="ar-SA"/>
                    </w:rPr>
                    <w:t>-</w:t>
                  </w:r>
                  <w:proofErr w:type="spellStart"/>
                  <w:r w:rsidRPr="0022494C">
                    <w:rPr>
                      <w:rFonts w:ascii="Times New Roman" w:eastAsia="Times New Roman" w:hAnsi="Times New Roman" w:cs="Times New Roman"/>
                      <w:i/>
                      <w:iCs/>
                      <w:sz w:val="24"/>
                      <w:szCs w:val="24"/>
                      <w:lang w:val="fr-FR" w:eastAsia="zh-CN" w:bidi="ar-SA"/>
                    </w:rPr>
                    <w:t>ḫa</w:t>
                  </w:r>
                  <w:proofErr w:type="spellEnd"/>
                  <w:r w:rsidRPr="0022494C">
                    <w:rPr>
                      <w:rFonts w:ascii="Times New Roman" w:eastAsia="Times New Roman" w:hAnsi="Times New Roman" w:cs="Times New Roman"/>
                      <w:i/>
                      <w:iCs/>
                      <w:sz w:val="24"/>
                      <w:szCs w:val="24"/>
                      <w:lang w:val="fr-FR" w:eastAsia="zh-CN" w:bidi="ar-SA"/>
                    </w:rPr>
                    <w:t>-</w:t>
                  </w:r>
                  <w:proofErr w:type="spellStart"/>
                  <w:r w:rsidRPr="0022494C">
                    <w:rPr>
                      <w:rFonts w:ascii="Times New Roman" w:eastAsia="Times New Roman" w:hAnsi="Times New Roman" w:cs="Times New Roman"/>
                      <w:i/>
                      <w:iCs/>
                      <w:sz w:val="24"/>
                      <w:szCs w:val="24"/>
                      <w:lang w:val="fr-FR" w:eastAsia="zh-CN" w:bidi="ar-SA"/>
                    </w:rPr>
                    <w:t>ar</w:t>
                  </w:r>
                  <w:proofErr w:type="spellEnd"/>
                  <w:r w:rsidRPr="0022494C">
                    <w:rPr>
                      <w:rFonts w:ascii="Times New Roman" w:eastAsia="Times New Roman" w:hAnsi="Times New Roman" w:cs="Times New Roman"/>
                      <w:i/>
                      <w:iCs/>
                      <w:sz w:val="24"/>
                      <w:szCs w:val="24"/>
                      <w:lang w:val="fr-FR" w:eastAsia="zh-CN" w:bidi="ar-SA"/>
                    </w:rPr>
                    <w:t>-tu</w:t>
                  </w:r>
                </w:p>
              </w:tc>
            </w:tr>
            <w:tr w:rsidR="0022494C" w:rsidRPr="00EB3003" w14:paraId="0BDA5DAF" w14:textId="77777777" w:rsidTr="00B9645E">
              <w:tc>
                <w:tcPr>
                  <w:tcW w:w="870" w:type="dxa"/>
                  <w:tcMar>
                    <w:top w:w="120" w:type="dxa"/>
                    <w:left w:w="195" w:type="dxa"/>
                    <w:bottom w:w="135" w:type="dxa"/>
                    <w:right w:w="90" w:type="dxa"/>
                  </w:tcMar>
                  <w:hideMark/>
                </w:tcPr>
                <w:p w14:paraId="4A0B03BE" w14:textId="77777777" w:rsidR="0022494C" w:rsidRPr="0022494C" w:rsidRDefault="0022494C" w:rsidP="0022494C">
                  <w:pPr>
                    <w:spacing w:after="150" w:line="240" w:lineRule="auto"/>
                    <w:rPr>
                      <w:rFonts w:ascii="Times New Roman" w:eastAsia="Times New Roman" w:hAnsi="Times New Roman" w:cs="Times New Roman"/>
                      <w:sz w:val="24"/>
                      <w:szCs w:val="24"/>
                      <w:lang w:eastAsia="zh-CN" w:bidi="ar-SA"/>
                    </w:rPr>
                  </w:pPr>
                  <w:r w:rsidRPr="0022494C">
                    <w:rPr>
                      <w:rFonts w:ascii="Times New Roman" w:eastAsia="Times New Roman" w:hAnsi="Times New Roman" w:cs="Times New Roman"/>
                      <w:sz w:val="24"/>
                      <w:szCs w:val="24"/>
                      <w:lang w:eastAsia="zh-CN" w:bidi="ar-SA"/>
                    </w:rPr>
                    <w:t>Line 81</w:t>
                  </w:r>
                </w:p>
              </w:tc>
              <w:tc>
                <w:tcPr>
                  <w:tcW w:w="2580" w:type="dxa"/>
                </w:tcPr>
                <w:p w14:paraId="239B7135" w14:textId="77777777" w:rsidR="0022494C" w:rsidRPr="0022494C" w:rsidRDefault="0022494C" w:rsidP="0022494C">
                  <w:pPr>
                    <w:bidi/>
                    <w:spacing w:after="150" w:line="240" w:lineRule="auto"/>
                    <w:rPr>
                      <w:rFonts w:ascii="Times New Roman" w:eastAsia="Times New Roman" w:hAnsi="Times New Roman" w:cs="Times New Roman"/>
                      <w:sz w:val="24"/>
                      <w:szCs w:val="24"/>
                      <w:rtl/>
                      <w:lang w:eastAsia="zh-CN"/>
                    </w:rPr>
                  </w:pPr>
                  <w:r w:rsidRPr="0022494C">
                    <w:rPr>
                      <w:rFonts w:ascii="Times New Roman" w:eastAsia="Times New Roman" w:hAnsi="Times New Roman" w:cs="Times New Roman" w:hint="cs"/>
                      <w:sz w:val="24"/>
                      <w:szCs w:val="24"/>
                      <w:rtl/>
                      <w:lang w:eastAsia="zh-CN"/>
                    </w:rPr>
                    <w:t>ישלם (לפי עיקרון של) חיים (עבור חיים).</w:t>
                  </w:r>
                </w:p>
              </w:tc>
              <w:tc>
                <w:tcPr>
                  <w:tcW w:w="2580" w:type="dxa"/>
                  <w:tcMar>
                    <w:top w:w="120" w:type="dxa"/>
                    <w:left w:w="195" w:type="dxa"/>
                    <w:bottom w:w="135" w:type="dxa"/>
                    <w:right w:w="90" w:type="dxa"/>
                  </w:tcMar>
                  <w:hideMark/>
                </w:tcPr>
                <w:p w14:paraId="1D52C849" w14:textId="77777777" w:rsidR="0022494C" w:rsidRPr="0022494C" w:rsidRDefault="0022494C" w:rsidP="0022494C">
                  <w:pPr>
                    <w:spacing w:after="150" w:line="240" w:lineRule="auto"/>
                    <w:rPr>
                      <w:rFonts w:ascii="Times New Roman" w:eastAsia="Times New Roman" w:hAnsi="Times New Roman" w:cs="Times New Roman"/>
                      <w:sz w:val="24"/>
                      <w:szCs w:val="24"/>
                      <w:lang w:val="fr-FR" w:eastAsia="zh-CN" w:bidi="ar-SA"/>
                    </w:rPr>
                  </w:pPr>
                  <w:proofErr w:type="gramStart"/>
                  <w:r w:rsidRPr="0022494C">
                    <w:rPr>
                      <w:rFonts w:ascii="Times New Roman" w:eastAsia="Times New Roman" w:hAnsi="Times New Roman" w:cs="Times New Roman"/>
                      <w:i/>
                      <w:iCs/>
                      <w:sz w:val="24"/>
                      <w:szCs w:val="24"/>
                      <w:lang w:val="fr-FR" w:eastAsia="zh-CN" w:bidi="ar-SA"/>
                    </w:rPr>
                    <w:t>nap</w:t>
                  </w:r>
                  <w:proofErr w:type="gramEnd"/>
                  <w:r w:rsidRPr="0022494C">
                    <w:rPr>
                      <w:rFonts w:ascii="Times New Roman" w:eastAsia="Times New Roman" w:hAnsi="Times New Roman" w:cs="Times New Roman"/>
                      <w:i/>
                      <w:iCs/>
                      <w:sz w:val="24"/>
                      <w:szCs w:val="24"/>
                      <w:lang w:val="fr-FR" w:eastAsia="zh-CN" w:bidi="ar-SA"/>
                    </w:rPr>
                    <w:t>-</w:t>
                  </w:r>
                  <w:proofErr w:type="spellStart"/>
                  <w:r w:rsidRPr="0022494C">
                    <w:rPr>
                      <w:rFonts w:ascii="Times New Roman" w:eastAsia="Times New Roman" w:hAnsi="Times New Roman" w:cs="Times New Roman"/>
                      <w:i/>
                      <w:iCs/>
                      <w:sz w:val="24"/>
                      <w:szCs w:val="24"/>
                      <w:lang w:val="fr-FR" w:eastAsia="zh-CN" w:bidi="ar-SA"/>
                    </w:rPr>
                    <w:t>ša</w:t>
                  </w:r>
                  <w:proofErr w:type="spellEnd"/>
                  <w:r w:rsidRPr="0022494C">
                    <w:rPr>
                      <w:rFonts w:ascii="Times New Roman" w:eastAsia="Times New Roman" w:hAnsi="Times New Roman" w:cs="Times New Roman"/>
                      <w:i/>
                      <w:iCs/>
                      <w:sz w:val="24"/>
                      <w:szCs w:val="24"/>
                      <w:lang w:val="fr-FR" w:eastAsia="zh-CN" w:bidi="ar-SA"/>
                    </w:rPr>
                    <w:t>-a-te u-ma-al-la</w:t>
                  </w:r>
                </w:p>
              </w:tc>
            </w:tr>
          </w:tbl>
          <w:p w14:paraId="6034258D" w14:textId="77777777" w:rsidR="005A0748" w:rsidRPr="0022494C" w:rsidRDefault="005A0748" w:rsidP="004E1C22">
            <w:pPr>
              <w:bidi/>
              <w:spacing w:line="276" w:lineRule="auto"/>
              <w:rPr>
                <w:rFonts w:asciiTheme="minorBidi" w:hAnsiTheme="minorBidi"/>
                <w:rtl/>
                <w:lang w:val="fr-FR"/>
              </w:rPr>
            </w:pPr>
          </w:p>
        </w:tc>
      </w:tr>
      <w:tr w:rsidR="005A0748" w:rsidRPr="005A0748" w14:paraId="2021693B" w14:textId="77777777" w:rsidTr="004E1C22">
        <w:tc>
          <w:tcPr>
            <w:tcW w:w="4675" w:type="dxa"/>
          </w:tcPr>
          <w:p w14:paraId="2CEEF509" w14:textId="082F57F1" w:rsidR="003F440E" w:rsidRPr="003F440E" w:rsidRDefault="003F440E" w:rsidP="003F440E">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3F440E">
              <w:rPr>
                <w:rFonts w:ascii="Times New Roman" w:eastAsia="Times New Roman" w:hAnsi="Times New Roman" w:cs="Times New Roman"/>
                <w:color w:val="333333"/>
                <w:sz w:val="23"/>
                <w:szCs w:val="23"/>
                <w:lang w:bidi="ar-SA"/>
              </w:rPr>
              <w:lastRenderedPageBreak/>
              <w:t>Here commentators assume that this woman previously gave or sold her children for adoption.</w:t>
            </w:r>
          </w:p>
          <w:p w14:paraId="0560BA3E" w14:textId="77777777" w:rsidR="005A0748" w:rsidRPr="005A0748" w:rsidRDefault="005A0748" w:rsidP="004E1C22">
            <w:pPr>
              <w:spacing w:line="276" w:lineRule="auto"/>
              <w:rPr>
                <w:rFonts w:asciiTheme="minorBidi" w:hAnsiTheme="minorBidi"/>
              </w:rPr>
            </w:pPr>
          </w:p>
        </w:tc>
        <w:tc>
          <w:tcPr>
            <w:tcW w:w="4675" w:type="dxa"/>
          </w:tcPr>
          <w:p w14:paraId="6AD59E29" w14:textId="70F7D112" w:rsidR="005A0748" w:rsidRDefault="0022494C" w:rsidP="0022494C">
            <w:pPr>
              <w:bidi/>
              <w:spacing w:line="480" w:lineRule="auto"/>
              <w:rPr>
                <w:rFonts w:asciiTheme="minorBidi" w:hAnsiTheme="minorBidi"/>
                <w:rtl/>
              </w:rPr>
            </w:pPr>
            <w:r>
              <w:rPr>
                <w:rFonts w:ascii="David" w:eastAsia="Times New Roman" w:hAnsi="David" w:cs="David" w:hint="cs"/>
                <w:sz w:val="24"/>
                <w:szCs w:val="24"/>
                <w:rtl/>
                <w:lang w:eastAsia="zh-CN"/>
              </w:rPr>
              <w:t>19</w:t>
            </w:r>
            <w:r w:rsidRPr="0022494C">
              <w:rPr>
                <w:rFonts w:ascii="David" w:eastAsia="Times New Roman" w:hAnsi="David" w:cs="David" w:hint="cs"/>
                <w:sz w:val="24"/>
                <w:szCs w:val="24"/>
                <w:rtl/>
                <w:lang w:eastAsia="zh-CN"/>
              </w:rPr>
              <w:t>. כאן מניחים פרשנים שעוד לפני כן אישה זו מכרה או מסרה את ילדיה לאימוץ.</w:t>
            </w:r>
          </w:p>
        </w:tc>
      </w:tr>
      <w:tr w:rsidR="005A0748" w:rsidRPr="005A0748" w14:paraId="3BC5FE14" w14:textId="77777777" w:rsidTr="004E1C22">
        <w:tc>
          <w:tcPr>
            <w:tcW w:w="4675" w:type="dxa"/>
          </w:tcPr>
          <w:p w14:paraId="5481ADC2" w14:textId="76EAC7C6" w:rsidR="003F440E" w:rsidRPr="0067265A" w:rsidRDefault="003F440E" w:rsidP="0067265A">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67265A">
              <w:rPr>
                <w:rFonts w:ascii="Times New Roman" w:eastAsia="Times New Roman" w:hAnsi="Times New Roman" w:cs="Times New Roman"/>
                <w:color w:val="333333"/>
                <w:sz w:val="23"/>
                <w:szCs w:val="23"/>
                <w:lang w:bidi="ar-SA"/>
              </w:rPr>
              <w:t>Martha T. Roth, “Middle Assyrian Laws (MAL) ca.1076BCE. Assur,” in </w:t>
            </w:r>
            <w:r w:rsidRPr="0067265A">
              <w:rPr>
                <w:rFonts w:ascii="Times New Roman" w:eastAsia="Times New Roman" w:hAnsi="Times New Roman" w:cs="Times New Roman"/>
                <w:i/>
                <w:iCs/>
                <w:color w:val="333333"/>
                <w:sz w:val="23"/>
                <w:lang w:bidi="ar-SA"/>
              </w:rPr>
              <w:t>Law Collections from Mesopotamia and Asia Minor</w:t>
            </w:r>
            <w:r w:rsidRPr="0067265A">
              <w:rPr>
                <w:rFonts w:ascii="Times New Roman" w:eastAsia="Times New Roman" w:hAnsi="Times New Roman" w:cs="Times New Roman"/>
                <w:color w:val="333333"/>
                <w:sz w:val="23"/>
                <w:szCs w:val="23"/>
                <w:lang w:bidi="ar-SA"/>
              </w:rPr>
              <w:t> (Atlanta: Scholars Press, 1997), 153-194.</w:t>
            </w:r>
          </w:p>
          <w:p w14:paraId="117AE252" w14:textId="77777777" w:rsidR="005A0748" w:rsidRPr="005A0748" w:rsidRDefault="005A0748" w:rsidP="004E1C22">
            <w:pPr>
              <w:spacing w:line="276" w:lineRule="auto"/>
              <w:rPr>
                <w:rFonts w:asciiTheme="minorBidi" w:hAnsiTheme="minorBidi"/>
              </w:rPr>
            </w:pPr>
          </w:p>
        </w:tc>
        <w:tc>
          <w:tcPr>
            <w:tcW w:w="4675" w:type="dxa"/>
          </w:tcPr>
          <w:p w14:paraId="43C32A08" w14:textId="731470E3" w:rsidR="0095013F" w:rsidRPr="0095013F" w:rsidRDefault="0095013F" w:rsidP="0095013F">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20</w:t>
            </w:r>
            <w:r w:rsidRPr="0095013F">
              <w:rPr>
                <w:rFonts w:ascii="David" w:eastAsia="Times New Roman" w:hAnsi="David" w:cs="David" w:hint="cs"/>
                <w:sz w:val="24"/>
                <w:szCs w:val="24"/>
                <w:rtl/>
                <w:lang w:eastAsia="zh-CN"/>
              </w:rPr>
              <w:t>. ראו</w:t>
            </w:r>
          </w:p>
          <w:p w14:paraId="31304096" w14:textId="77777777" w:rsidR="0095013F" w:rsidRPr="0095013F" w:rsidRDefault="0095013F" w:rsidP="0095013F">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95013F">
              <w:rPr>
                <w:rFonts w:ascii="Times New Roman" w:eastAsia="Times New Roman" w:hAnsi="Times New Roman" w:cs="Times New Roman"/>
                <w:color w:val="333333"/>
                <w:sz w:val="23"/>
                <w:szCs w:val="23"/>
                <w:lang w:eastAsia="zh-CN" w:bidi="ar-SA"/>
              </w:rPr>
              <w:t>Martha T. Roth, “Middle Assyrian Laws (MAL) ca.1076BCE. Assur,” in </w:t>
            </w:r>
            <w:r w:rsidRPr="0095013F">
              <w:rPr>
                <w:rFonts w:ascii="Times New Roman" w:eastAsia="Times New Roman" w:hAnsi="Times New Roman" w:cs="Times New Roman"/>
                <w:i/>
                <w:iCs/>
                <w:color w:val="333333"/>
                <w:sz w:val="23"/>
                <w:lang w:eastAsia="zh-CN" w:bidi="ar-SA"/>
              </w:rPr>
              <w:t>Law Collections from Mesopotamia and Asia Minor</w:t>
            </w:r>
            <w:r w:rsidRPr="0095013F">
              <w:rPr>
                <w:rFonts w:ascii="Times New Roman" w:eastAsia="Times New Roman" w:hAnsi="Times New Roman" w:cs="Times New Roman"/>
                <w:color w:val="333333"/>
                <w:sz w:val="23"/>
                <w:szCs w:val="23"/>
                <w:lang w:eastAsia="zh-CN" w:bidi="ar-SA"/>
              </w:rPr>
              <w:t> (Atlanta: Scholars Press, 1997), 153</w:t>
            </w:r>
            <w:r w:rsidRPr="0095013F">
              <w:rPr>
                <w:rFonts w:ascii="Times New Roman" w:eastAsia="Times New Roman" w:hAnsi="Times New Roman" w:cs="Times New Roman" w:hint="cs"/>
                <w:color w:val="333333"/>
                <w:sz w:val="23"/>
                <w:szCs w:val="23"/>
                <w:rtl/>
                <w:lang w:eastAsia="zh-CN"/>
              </w:rPr>
              <w:t>–</w:t>
            </w:r>
            <w:r w:rsidRPr="0095013F">
              <w:rPr>
                <w:rFonts w:ascii="Times New Roman" w:eastAsia="Times New Roman" w:hAnsi="Times New Roman" w:cs="Times New Roman"/>
                <w:color w:val="333333"/>
                <w:sz w:val="23"/>
                <w:szCs w:val="23"/>
                <w:lang w:eastAsia="zh-CN" w:bidi="ar-SA"/>
              </w:rPr>
              <w:t>194.</w:t>
            </w:r>
          </w:p>
          <w:p w14:paraId="32492966" w14:textId="77777777" w:rsidR="005A0748" w:rsidRPr="0095013F" w:rsidRDefault="005A0748" w:rsidP="004E1C22">
            <w:pPr>
              <w:bidi/>
              <w:spacing w:line="276" w:lineRule="auto"/>
              <w:rPr>
                <w:rFonts w:asciiTheme="minorBidi" w:hAnsiTheme="minorBidi"/>
                <w:rtl/>
              </w:rPr>
            </w:pPr>
          </w:p>
        </w:tc>
      </w:tr>
      <w:tr w:rsidR="005A0748" w:rsidRPr="005A0748" w14:paraId="52E4E006" w14:textId="77777777" w:rsidTr="004E1C22">
        <w:tc>
          <w:tcPr>
            <w:tcW w:w="4675" w:type="dxa"/>
          </w:tcPr>
          <w:p w14:paraId="5776FEA8" w14:textId="08123EB5" w:rsidR="0067265A" w:rsidRPr="0067265A" w:rsidRDefault="0067265A" w:rsidP="0067265A">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67265A">
              <w:rPr>
                <w:rFonts w:ascii="Times New Roman" w:eastAsia="Times New Roman" w:hAnsi="Times New Roman" w:cs="Times New Roman"/>
                <w:color w:val="333333"/>
                <w:sz w:val="23"/>
                <w:szCs w:val="23"/>
                <w:lang w:bidi="ar-SA"/>
              </w:rPr>
              <w:t xml:space="preserve">See e.g., </w:t>
            </w:r>
            <w:proofErr w:type="spellStart"/>
            <w:r w:rsidRPr="0067265A">
              <w:rPr>
                <w:rFonts w:ascii="Times New Roman" w:eastAsia="Times New Roman" w:hAnsi="Times New Roman" w:cs="Times New Roman"/>
                <w:color w:val="333333"/>
                <w:sz w:val="23"/>
                <w:szCs w:val="23"/>
                <w:lang w:bidi="ar-SA"/>
              </w:rPr>
              <w:t>Remko</w:t>
            </w:r>
            <w:proofErr w:type="spellEnd"/>
            <w:r w:rsidRPr="0067265A">
              <w:rPr>
                <w:rFonts w:ascii="Times New Roman" w:eastAsia="Times New Roman" w:hAnsi="Times New Roman" w:cs="Times New Roman"/>
                <w:color w:val="333333"/>
                <w:sz w:val="23"/>
                <w:szCs w:val="23"/>
                <w:lang w:bidi="ar-SA"/>
              </w:rPr>
              <w:t xml:space="preserve"> Jas, </w:t>
            </w:r>
            <w:r w:rsidRPr="0067265A">
              <w:rPr>
                <w:rFonts w:ascii="Times New Roman" w:eastAsia="Times New Roman" w:hAnsi="Times New Roman" w:cs="Times New Roman"/>
                <w:i/>
                <w:iCs/>
                <w:color w:val="333333"/>
                <w:sz w:val="23"/>
                <w:lang w:bidi="ar-SA"/>
              </w:rPr>
              <w:t>Neo-Assyrian Judicial Procedures</w:t>
            </w:r>
            <w:r w:rsidRPr="0067265A">
              <w:rPr>
                <w:rFonts w:ascii="Times New Roman" w:eastAsia="Times New Roman" w:hAnsi="Times New Roman" w:cs="Times New Roman"/>
                <w:color w:val="333333"/>
                <w:sz w:val="23"/>
                <w:szCs w:val="23"/>
                <w:lang w:bidi="ar-SA"/>
              </w:rPr>
              <w:t> (Helsinki: The University of Helsinki, 1996), 15-17.</w:t>
            </w:r>
          </w:p>
          <w:p w14:paraId="79F26B6B" w14:textId="77777777" w:rsidR="005A0748" w:rsidRPr="005A0748" w:rsidRDefault="005A0748" w:rsidP="004E1C22">
            <w:pPr>
              <w:spacing w:line="276" w:lineRule="auto"/>
              <w:rPr>
                <w:rFonts w:asciiTheme="minorBidi" w:hAnsiTheme="minorBidi"/>
              </w:rPr>
            </w:pPr>
          </w:p>
        </w:tc>
        <w:tc>
          <w:tcPr>
            <w:tcW w:w="4675" w:type="dxa"/>
          </w:tcPr>
          <w:p w14:paraId="5F7C82C9" w14:textId="5EC965BA" w:rsidR="0095013F" w:rsidRPr="0095013F" w:rsidRDefault="0095013F" w:rsidP="0095013F">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 xml:space="preserve">21. </w:t>
            </w:r>
            <w:r w:rsidRPr="0095013F">
              <w:rPr>
                <w:rFonts w:ascii="David" w:eastAsia="Times New Roman" w:hAnsi="David" w:cs="David" w:hint="cs"/>
                <w:sz w:val="24"/>
                <w:szCs w:val="24"/>
                <w:rtl/>
                <w:lang w:eastAsia="zh-CN"/>
              </w:rPr>
              <w:t>ראו למשל</w:t>
            </w:r>
          </w:p>
          <w:p w14:paraId="46B2454A" w14:textId="77777777" w:rsidR="0095013F" w:rsidRPr="0095013F" w:rsidRDefault="0095013F" w:rsidP="0095013F">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proofErr w:type="spellStart"/>
            <w:r w:rsidRPr="0095013F">
              <w:rPr>
                <w:rFonts w:ascii="Times New Roman" w:eastAsia="Times New Roman" w:hAnsi="Times New Roman" w:cs="Times New Roman"/>
                <w:color w:val="333333"/>
                <w:sz w:val="23"/>
                <w:szCs w:val="23"/>
                <w:lang w:eastAsia="zh-CN" w:bidi="ar-SA"/>
              </w:rPr>
              <w:t>Remko</w:t>
            </w:r>
            <w:proofErr w:type="spellEnd"/>
            <w:r w:rsidRPr="0095013F">
              <w:rPr>
                <w:rFonts w:ascii="Times New Roman" w:eastAsia="Times New Roman" w:hAnsi="Times New Roman" w:cs="Times New Roman"/>
                <w:color w:val="333333"/>
                <w:sz w:val="23"/>
                <w:szCs w:val="23"/>
                <w:lang w:eastAsia="zh-CN" w:bidi="ar-SA"/>
              </w:rPr>
              <w:t xml:space="preserve"> Jas, </w:t>
            </w:r>
            <w:r w:rsidRPr="0095013F">
              <w:rPr>
                <w:rFonts w:ascii="Times New Roman" w:eastAsia="Times New Roman" w:hAnsi="Times New Roman" w:cs="Times New Roman"/>
                <w:i/>
                <w:iCs/>
                <w:color w:val="333333"/>
                <w:sz w:val="23"/>
                <w:lang w:eastAsia="zh-CN" w:bidi="ar-SA"/>
              </w:rPr>
              <w:t>Neo-Assyrian Judicial Procedures</w:t>
            </w:r>
            <w:r w:rsidRPr="0095013F">
              <w:rPr>
                <w:rFonts w:ascii="Times New Roman" w:eastAsia="Times New Roman" w:hAnsi="Times New Roman" w:cs="Times New Roman"/>
                <w:color w:val="333333"/>
                <w:sz w:val="23"/>
                <w:szCs w:val="23"/>
                <w:lang w:eastAsia="zh-CN" w:bidi="ar-SA"/>
              </w:rPr>
              <w:t> (Helsinki: The University of Helsinki, 1996), 15</w:t>
            </w:r>
            <w:r w:rsidRPr="0095013F">
              <w:rPr>
                <w:rFonts w:ascii="Times New Roman" w:eastAsia="Times New Roman" w:hAnsi="Times New Roman" w:cs="Times New Roman" w:hint="cs"/>
                <w:color w:val="333333"/>
                <w:sz w:val="23"/>
                <w:szCs w:val="23"/>
                <w:rtl/>
                <w:lang w:eastAsia="zh-CN"/>
              </w:rPr>
              <w:t>–</w:t>
            </w:r>
            <w:r w:rsidRPr="0095013F">
              <w:rPr>
                <w:rFonts w:ascii="Times New Roman" w:eastAsia="Times New Roman" w:hAnsi="Times New Roman" w:cs="Times New Roman"/>
                <w:color w:val="333333"/>
                <w:sz w:val="23"/>
                <w:szCs w:val="23"/>
                <w:lang w:eastAsia="zh-CN" w:bidi="ar-SA"/>
              </w:rPr>
              <w:t>17.</w:t>
            </w:r>
          </w:p>
          <w:p w14:paraId="640FF2DC" w14:textId="77777777" w:rsidR="005A0748" w:rsidRDefault="005A0748" w:rsidP="004E1C22">
            <w:pPr>
              <w:bidi/>
              <w:spacing w:line="276" w:lineRule="auto"/>
              <w:rPr>
                <w:rFonts w:asciiTheme="minorBidi" w:hAnsiTheme="minorBidi"/>
                <w:rtl/>
              </w:rPr>
            </w:pPr>
          </w:p>
        </w:tc>
      </w:tr>
      <w:tr w:rsidR="005A0748" w:rsidRPr="005A0748" w14:paraId="17E17B41" w14:textId="77777777" w:rsidTr="004E1C22">
        <w:tc>
          <w:tcPr>
            <w:tcW w:w="4675" w:type="dxa"/>
          </w:tcPr>
          <w:p w14:paraId="0451A86B" w14:textId="7F37AB04" w:rsidR="0067265A" w:rsidRPr="0067265A" w:rsidRDefault="0067265A" w:rsidP="0067265A">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67265A">
              <w:rPr>
                <w:rFonts w:ascii="Times New Roman" w:eastAsia="Times New Roman" w:hAnsi="Times New Roman" w:cs="Times New Roman"/>
                <w:color w:val="333333"/>
                <w:sz w:val="23"/>
                <w:szCs w:val="23"/>
                <w:lang w:bidi="ar-SA"/>
              </w:rPr>
              <w:t xml:space="preserve">Horst </w:t>
            </w:r>
            <w:proofErr w:type="spellStart"/>
            <w:r w:rsidRPr="0067265A">
              <w:rPr>
                <w:rFonts w:ascii="Times New Roman" w:eastAsia="Times New Roman" w:hAnsi="Times New Roman" w:cs="Times New Roman"/>
                <w:color w:val="333333"/>
                <w:sz w:val="23"/>
                <w:szCs w:val="23"/>
                <w:lang w:bidi="ar-SA"/>
              </w:rPr>
              <w:t>Seebas</w:t>
            </w:r>
            <w:proofErr w:type="spellEnd"/>
            <w:r w:rsidRPr="0067265A">
              <w:rPr>
                <w:rFonts w:ascii="Times New Roman" w:eastAsia="Times New Roman" w:hAnsi="Times New Roman" w:cs="Times New Roman"/>
                <w:color w:val="333333"/>
                <w:sz w:val="23"/>
                <w:szCs w:val="23"/>
                <w:lang w:bidi="ar-SA"/>
              </w:rPr>
              <w:t>, “</w:t>
            </w:r>
            <w:r w:rsidRPr="0067265A">
              <w:rPr>
                <w:rFonts w:ascii="Times New Roman" w:eastAsia="Times New Roman" w:hAnsi="Times New Roman" w:cs="Times New Roman"/>
                <w:color w:val="333333"/>
                <w:sz w:val="23"/>
                <w:szCs w:val="23"/>
                <w:rtl/>
              </w:rPr>
              <w:t>נפש</w:t>
            </w:r>
            <w:r w:rsidRPr="0067265A">
              <w:rPr>
                <w:rFonts w:ascii="Times New Roman" w:eastAsia="Times New Roman" w:hAnsi="Times New Roman" w:cs="Times New Roman"/>
                <w:color w:val="333333"/>
                <w:sz w:val="23"/>
                <w:szCs w:val="23"/>
                <w:lang w:bidi="ar-SA"/>
              </w:rPr>
              <w:t xml:space="preserve"> </w:t>
            </w:r>
            <w:proofErr w:type="spellStart"/>
            <w:r w:rsidRPr="0067265A">
              <w:rPr>
                <w:rFonts w:ascii="Times New Roman" w:eastAsia="Times New Roman" w:hAnsi="Times New Roman" w:cs="Times New Roman"/>
                <w:color w:val="333333"/>
                <w:sz w:val="23"/>
                <w:szCs w:val="23"/>
                <w:lang w:bidi="ar-SA"/>
              </w:rPr>
              <w:t>nepeš</w:t>
            </w:r>
            <w:proofErr w:type="spellEnd"/>
            <w:r w:rsidRPr="0067265A">
              <w:rPr>
                <w:rFonts w:ascii="Times New Roman" w:eastAsia="Times New Roman" w:hAnsi="Times New Roman" w:cs="Times New Roman"/>
                <w:color w:val="333333"/>
                <w:sz w:val="23"/>
                <w:szCs w:val="23"/>
                <w:lang w:bidi="ar-SA"/>
              </w:rPr>
              <w:t>,” </w:t>
            </w:r>
            <w:r w:rsidRPr="0067265A">
              <w:rPr>
                <w:rFonts w:ascii="Times New Roman" w:eastAsia="Times New Roman" w:hAnsi="Times New Roman" w:cs="Times New Roman"/>
                <w:i/>
                <w:iCs/>
                <w:color w:val="333333"/>
                <w:sz w:val="23"/>
                <w:lang w:bidi="ar-SA"/>
              </w:rPr>
              <w:t>Theological Dictionary of the Old Testament</w:t>
            </w:r>
            <w:r w:rsidRPr="0067265A">
              <w:rPr>
                <w:rFonts w:ascii="Times New Roman" w:eastAsia="Times New Roman" w:hAnsi="Times New Roman" w:cs="Times New Roman"/>
                <w:color w:val="333333"/>
                <w:sz w:val="23"/>
                <w:szCs w:val="23"/>
                <w:lang w:bidi="ar-SA"/>
              </w:rPr>
              <w:t> Vol. IX (1984-1986):501.</w:t>
            </w:r>
          </w:p>
          <w:p w14:paraId="4955E08C" w14:textId="77777777" w:rsidR="005A0748" w:rsidRPr="005A0748" w:rsidRDefault="005A0748" w:rsidP="004E1C22">
            <w:pPr>
              <w:spacing w:line="276" w:lineRule="auto"/>
              <w:rPr>
                <w:rFonts w:asciiTheme="minorBidi" w:hAnsiTheme="minorBidi"/>
              </w:rPr>
            </w:pPr>
          </w:p>
        </w:tc>
        <w:tc>
          <w:tcPr>
            <w:tcW w:w="4675" w:type="dxa"/>
          </w:tcPr>
          <w:p w14:paraId="6142CA56" w14:textId="45CFABDE" w:rsidR="0095013F" w:rsidRPr="0095013F" w:rsidRDefault="0095013F" w:rsidP="0095013F">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 xml:space="preserve">22. </w:t>
            </w:r>
            <w:r w:rsidRPr="0095013F">
              <w:rPr>
                <w:rFonts w:ascii="David" w:eastAsia="Times New Roman" w:hAnsi="David" w:cs="David" w:hint="cs"/>
                <w:sz w:val="24"/>
                <w:szCs w:val="24"/>
                <w:rtl/>
                <w:lang w:eastAsia="zh-CN"/>
              </w:rPr>
              <w:t>ראו</w:t>
            </w:r>
          </w:p>
          <w:p w14:paraId="5A591DE2" w14:textId="77777777" w:rsidR="0095013F" w:rsidRPr="0095013F" w:rsidRDefault="0095013F" w:rsidP="0095013F">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95013F">
              <w:rPr>
                <w:rFonts w:ascii="Times New Roman" w:eastAsia="Times New Roman" w:hAnsi="Times New Roman" w:cs="Times New Roman"/>
                <w:color w:val="333333"/>
                <w:sz w:val="23"/>
                <w:szCs w:val="23"/>
                <w:lang w:eastAsia="zh-CN" w:bidi="ar-SA"/>
              </w:rPr>
              <w:t xml:space="preserve">Horst </w:t>
            </w:r>
            <w:proofErr w:type="spellStart"/>
            <w:r w:rsidRPr="0095013F">
              <w:rPr>
                <w:rFonts w:ascii="Times New Roman" w:eastAsia="Times New Roman" w:hAnsi="Times New Roman" w:cs="Times New Roman"/>
                <w:color w:val="333333"/>
                <w:sz w:val="23"/>
                <w:szCs w:val="23"/>
                <w:lang w:eastAsia="zh-CN" w:bidi="ar-SA"/>
              </w:rPr>
              <w:t>Seebas</w:t>
            </w:r>
            <w:proofErr w:type="spellEnd"/>
            <w:r w:rsidRPr="0095013F">
              <w:rPr>
                <w:rFonts w:ascii="Times New Roman" w:eastAsia="Times New Roman" w:hAnsi="Times New Roman" w:cs="Times New Roman"/>
                <w:color w:val="333333"/>
                <w:sz w:val="23"/>
                <w:szCs w:val="23"/>
                <w:lang w:eastAsia="zh-CN" w:bidi="ar-SA"/>
              </w:rPr>
              <w:t>, “</w:t>
            </w:r>
            <w:r w:rsidRPr="0095013F">
              <w:rPr>
                <w:rFonts w:ascii="Times New Roman" w:eastAsia="Times New Roman" w:hAnsi="Times New Roman" w:cs="Times New Roman"/>
                <w:color w:val="333333"/>
                <w:sz w:val="23"/>
                <w:szCs w:val="23"/>
                <w:rtl/>
                <w:lang w:eastAsia="zh-CN"/>
              </w:rPr>
              <w:t>נפש</w:t>
            </w:r>
            <w:r w:rsidRPr="0095013F">
              <w:rPr>
                <w:rFonts w:ascii="Times New Roman" w:eastAsia="Times New Roman" w:hAnsi="Times New Roman" w:cs="Times New Roman"/>
                <w:color w:val="333333"/>
                <w:sz w:val="23"/>
                <w:szCs w:val="23"/>
                <w:lang w:eastAsia="zh-CN" w:bidi="ar-SA"/>
              </w:rPr>
              <w:t xml:space="preserve"> </w:t>
            </w:r>
            <w:proofErr w:type="spellStart"/>
            <w:r w:rsidRPr="0095013F">
              <w:rPr>
                <w:rFonts w:ascii="Times New Roman" w:eastAsia="Times New Roman" w:hAnsi="Times New Roman" w:cs="Times New Roman"/>
                <w:color w:val="333333"/>
                <w:sz w:val="23"/>
                <w:szCs w:val="23"/>
                <w:lang w:eastAsia="zh-CN" w:bidi="ar-SA"/>
              </w:rPr>
              <w:t>nepeš</w:t>
            </w:r>
            <w:proofErr w:type="spellEnd"/>
            <w:r w:rsidRPr="0095013F">
              <w:rPr>
                <w:rFonts w:ascii="Times New Roman" w:eastAsia="Times New Roman" w:hAnsi="Times New Roman" w:cs="Times New Roman"/>
                <w:color w:val="333333"/>
                <w:sz w:val="23"/>
                <w:szCs w:val="23"/>
                <w:lang w:eastAsia="zh-CN" w:bidi="ar-SA"/>
              </w:rPr>
              <w:t>,” </w:t>
            </w:r>
            <w:r w:rsidRPr="0095013F">
              <w:rPr>
                <w:rFonts w:ascii="Times New Roman" w:eastAsia="Times New Roman" w:hAnsi="Times New Roman" w:cs="Times New Roman"/>
                <w:i/>
                <w:iCs/>
                <w:color w:val="333333"/>
                <w:sz w:val="23"/>
                <w:lang w:eastAsia="zh-CN" w:bidi="ar-SA"/>
              </w:rPr>
              <w:t>Theological Dictionary of the Old Testament</w:t>
            </w:r>
            <w:r w:rsidRPr="0095013F">
              <w:rPr>
                <w:rFonts w:ascii="Times New Roman" w:eastAsia="Times New Roman" w:hAnsi="Times New Roman" w:cs="Times New Roman"/>
                <w:color w:val="333333"/>
                <w:sz w:val="23"/>
                <w:szCs w:val="23"/>
                <w:lang w:eastAsia="zh-CN" w:bidi="ar-SA"/>
              </w:rPr>
              <w:t> Vol. IX (1984</w:t>
            </w:r>
            <w:r w:rsidRPr="0095013F">
              <w:rPr>
                <w:rFonts w:ascii="Times New Roman" w:eastAsia="Times New Roman" w:hAnsi="Times New Roman" w:cs="Times New Roman" w:hint="eastAsia"/>
                <w:color w:val="333333"/>
                <w:sz w:val="23"/>
                <w:szCs w:val="23"/>
                <w:rtl/>
                <w:lang w:eastAsia="zh-CN"/>
              </w:rPr>
              <w:t>–</w:t>
            </w:r>
            <w:r w:rsidRPr="0095013F">
              <w:rPr>
                <w:rFonts w:ascii="Times New Roman" w:eastAsia="Times New Roman" w:hAnsi="Times New Roman" w:cs="Times New Roman"/>
                <w:color w:val="333333"/>
                <w:sz w:val="23"/>
                <w:szCs w:val="23"/>
                <w:lang w:eastAsia="zh-CN" w:bidi="ar-SA"/>
              </w:rPr>
              <w:t>1986):501.</w:t>
            </w:r>
          </w:p>
          <w:p w14:paraId="7E943C7D" w14:textId="77777777" w:rsidR="005A0748" w:rsidRDefault="005A0748" w:rsidP="004E1C22">
            <w:pPr>
              <w:bidi/>
              <w:spacing w:line="276" w:lineRule="auto"/>
              <w:rPr>
                <w:rFonts w:asciiTheme="minorBidi" w:hAnsiTheme="minorBidi"/>
                <w:rtl/>
              </w:rPr>
            </w:pPr>
          </w:p>
        </w:tc>
      </w:tr>
      <w:tr w:rsidR="005A0748" w:rsidRPr="005A0748" w14:paraId="05CC5C88" w14:textId="77777777" w:rsidTr="004E1C22">
        <w:tc>
          <w:tcPr>
            <w:tcW w:w="4675" w:type="dxa"/>
          </w:tcPr>
          <w:p w14:paraId="782F36F0" w14:textId="2443121F" w:rsidR="0067265A" w:rsidRPr="0067265A" w:rsidRDefault="0067265A" w:rsidP="0067265A">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67265A">
              <w:rPr>
                <w:rFonts w:ascii="Times New Roman" w:eastAsia="Times New Roman" w:hAnsi="Times New Roman" w:cs="Times New Roman"/>
                <w:color w:val="333333"/>
                <w:sz w:val="23"/>
                <w:szCs w:val="23"/>
                <w:lang w:bidi="ar-SA"/>
              </w:rPr>
              <w:t xml:space="preserve">The sequence of laws here in the CC are thematically modelled on the provisions from Hammurabi’s stele, as David Wright has demonstrated, but where the </w:t>
            </w:r>
            <w:r w:rsidRPr="0067265A">
              <w:rPr>
                <w:rFonts w:ascii="Times New Roman" w:eastAsia="Times New Roman" w:hAnsi="Times New Roman" w:cs="Times New Roman"/>
                <w:color w:val="333333"/>
                <w:sz w:val="23"/>
                <w:szCs w:val="23"/>
                <w:lang w:bidi="ar-SA"/>
              </w:rPr>
              <w:lastRenderedPageBreak/>
              <w:t>biblical laws provide alternative resolutions in each instance. See David Wright, </w:t>
            </w:r>
            <w:hyperlink r:id="rId9" w:history="1">
              <w:r w:rsidRPr="0067265A">
                <w:rPr>
                  <w:rFonts w:ascii="Times New Roman" w:eastAsia="Times New Roman" w:hAnsi="Times New Roman" w:cs="Times New Roman"/>
                  <w:color w:val="0000FF"/>
                  <w:sz w:val="23"/>
                  <w:u w:val="single"/>
                  <w:lang w:bidi="ar-SA"/>
                </w:rPr>
                <w:t>"How Exodus Revises the Laws of Hammurabi,"</w:t>
              </w:r>
            </w:hyperlink>
            <w:r w:rsidRPr="0067265A">
              <w:rPr>
                <w:rFonts w:ascii="Times New Roman" w:eastAsia="Times New Roman" w:hAnsi="Times New Roman" w:cs="Times New Roman"/>
                <w:color w:val="333333"/>
                <w:sz w:val="23"/>
                <w:szCs w:val="23"/>
                <w:lang w:bidi="ar-SA"/>
              </w:rPr>
              <w:t> </w:t>
            </w:r>
            <w:proofErr w:type="spellStart"/>
            <w:r w:rsidRPr="0067265A">
              <w:rPr>
                <w:rFonts w:ascii="Times New Roman" w:eastAsia="Times New Roman" w:hAnsi="Times New Roman" w:cs="Times New Roman"/>
                <w:i/>
                <w:iCs/>
                <w:color w:val="333333"/>
                <w:sz w:val="23"/>
                <w:lang w:bidi="ar-SA"/>
              </w:rPr>
              <w:t>TheTorah</w:t>
            </w:r>
            <w:proofErr w:type="spellEnd"/>
            <w:r w:rsidRPr="0067265A">
              <w:rPr>
                <w:rFonts w:ascii="Times New Roman" w:eastAsia="Times New Roman" w:hAnsi="Times New Roman" w:cs="Times New Roman"/>
                <w:color w:val="333333"/>
                <w:sz w:val="23"/>
                <w:szCs w:val="23"/>
                <w:lang w:bidi="ar-SA"/>
              </w:rPr>
              <w:t> (2019).</w:t>
            </w:r>
          </w:p>
          <w:p w14:paraId="5E4BABFD" w14:textId="77777777" w:rsidR="005A0748" w:rsidRPr="005A0748" w:rsidRDefault="005A0748" w:rsidP="004E1C22">
            <w:pPr>
              <w:spacing w:line="276" w:lineRule="auto"/>
              <w:rPr>
                <w:rFonts w:asciiTheme="minorBidi" w:hAnsiTheme="minorBidi"/>
              </w:rPr>
            </w:pPr>
          </w:p>
        </w:tc>
        <w:tc>
          <w:tcPr>
            <w:tcW w:w="4675" w:type="dxa"/>
          </w:tcPr>
          <w:p w14:paraId="63AA2C09" w14:textId="0D97E399" w:rsidR="0095013F" w:rsidRPr="0095013F" w:rsidRDefault="0095013F" w:rsidP="0095013F">
            <w:pPr>
              <w:shd w:val="clear" w:color="auto" w:fill="FFFFFF"/>
              <w:bidi/>
              <w:spacing w:after="300" w:line="465" w:lineRule="atLeast"/>
              <w:rPr>
                <w:rFonts w:ascii="David" w:eastAsia="Times New Roman" w:hAnsi="David" w:cs="David"/>
                <w:sz w:val="24"/>
                <w:szCs w:val="24"/>
                <w:rtl/>
                <w:lang w:eastAsia="zh-CN"/>
              </w:rPr>
            </w:pPr>
            <w:r w:rsidRPr="0095013F">
              <w:rPr>
                <w:rFonts w:ascii="David" w:eastAsia="Times New Roman" w:hAnsi="David" w:cs="David" w:hint="cs"/>
                <w:sz w:val="24"/>
                <w:szCs w:val="24"/>
                <w:rtl/>
                <w:lang w:eastAsia="zh-CN"/>
              </w:rPr>
              <w:lastRenderedPageBreak/>
              <w:t>23. סדרת החוקים כאן ב-</w:t>
            </w:r>
            <w:r w:rsidRPr="0095013F">
              <w:rPr>
                <w:rFonts w:ascii="David" w:eastAsia="Times New Roman" w:hAnsi="David" w:cs="David" w:hint="cs"/>
                <w:sz w:val="24"/>
                <w:szCs w:val="24"/>
                <w:lang w:eastAsia="zh-CN"/>
              </w:rPr>
              <w:t>CC</w:t>
            </w:r>
            <w:r w:rsidRPr="0095013F">
              <w:rPr>
                <w:rFonts w:ascii="David" w:eastAsia="Times New Roman" w:hAnsi="David" w:cs="David" w:hint="cs"/>
                <w:sz w:val="24"/>
                <w:szCs w:val="24"/>
                <w:rtl/>
                <w:lang w:eastAsia="zh-CN"/>
              </w:rPr>
              <w:t xml:space="preserve"> מבוסס</w:t>
            </w:r>
            <w:r w:rsidR="007C1426">
              <w:rPr>
                <w:rFonts w:ascii="David" w:eastAsia="Times New Roman" w:hAnsi="David" w:cs="David" w:hint="cs"/>
                <w:sz w:val="24"/>
                <w:szCs w:val="24"/>
                <w:rtl/>
                <w:lang w:eastAsia="zh-CN"/>
              </w:rPr>
              <w:t>ת</w:t>
            </w:r>
            <w:r w:rsidRPr="0095013F">
              <w:rPr>
                <w:rFonts w:ascii="David" w:eastAsia="Times New Roman" w:hAnsi="David" w:cs="David" w:hint="cs"/>
                <w:sz w:val="24"/>
                <w:szCs w:val="24"/>
                <w:rtl/>
                <w:lang w:eastAsia="zh-CN"/>
              </w:rPr>
              <w:t xml:space="preserve"> מבחינת נושאים על ההוראות ממצבת חמורבי, כפי שהדגים דייוויד </w:t>
            </w:r>
            <w:proofErr w:type="spellStart"/>
            <w:r w:rsidRPr="0095013F">
              <w:rPr>
                <w:rFonts w:ascii="David" w:eastAsia="Times New Roman" w:hAnsi="David" w:cs="David" w:hint="cs"/>
                <w:sz w:val="24"/>
                <w:szCs w:val="24"/>
                <w:rtl/>
                <w:lang w:eastAsia="zh-CN"/>
              </w:rPr>
              <w:t>רייט</w:t>
            </w:r>
            <w:proofErr w:type="spellEnd"/>
            <w:r w:rsidRPr="0095013F">
              <w:rPr>
                <w:rFonts w:ascii="David" w:eastAsia="Times New Roman" w:hAnsi="David" w:cs="David" w:hint="cs"/>
                <w:sz w:val="24"/>
                <w:szCs w:val="24"/>
                <w:rtl/>
                <w:lang w:eastAsia="zh-CN"/>
              </w:rPr>
              <w:t xml:space="preserve">, אך באותם מקומות שבהם </w:t>
            </w:r>
            <w:r w:rsidR="00EE231C">
              <w:rPr>
                <w:rFonts w:ascii="David" w:eastAsia="Times New Roman" w:hAnsi="David" w:cs="David" w:hint="cs"/>
                <w:sz w:val="24"/>
                <w:szCs w:val="24"/>
                <w:rtl/>
                <w:lang w:eastAsia="zh-CN"/>
              </w:rPr>
              <w:t xml:space="preserve">מספקים </w:t>
            </w:r>
            <w:r w:rsidRPr="0095013F">
              <w:rPr>
                <w:rFonts w:ascii="David" w:eastAsia="Times New Roman" w:hAnsi="David" w:cs="David" w:hint="cs"/>
                <w:sz w:val="24"/>
                <w:szCs w:val="24"/>
                <w:rtl/>
                <w:lang w:eastAsia="zh-CN"/>
              </w:rPr>
              <w:lastRenderedPageBreak/>
              <w:t>החוקים המקראיים פתרונות חלופיים בכל שלב. ראו</w:t>
            </w:r>
          </w:p>
          <w:p w14:paraId="1268514F" w14:textId="77777777" w:rsidR="0095013F" w:rsidRPr="0095013F" w:rsidRDefault="0095013F" w:rsidP="0095013F">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95013F">
              <w:rPr>
                <w:rFonts w:ascii="Times New Roman" w:eastAsia="Times New Roman" w:hAnsi="Times New Roman" w:cs="Times New Roman"/>
                <w:color w:val="333333"/>
                <w:sz w:val="23"/>
                <w:szCs w:val="23"/>
                <w:lang w:eastAsia="zh-CN" w:bidi="ar-SA"/>
              </w:rPr>
              <w:t>David Wright, </w:t>
            </w:r>
            <w:hyperlink r:id="rId10" w:history="1">
              <w:r w:rsidRPr="0095013F">
                <w:rPr>
                  <w:rFonts w:ascii="Times New Roman" w:eastAsia="Times New Roman" w:hAnsi="Times New Roman" w:cs="Times New Roman"/>
                  <w:color w:val="0000FF"/>
                  <w:sz w:val="23"/>
                  <w:u w:val="single"/>
                  <w:lang w:eastAsia="zh-CN" w:bidi="ar-SA"/>
                </w:rPr>
                <w:t>"How Exodus Revises the Laws of Hammurabi,"</w:t>
              </w:r>
            </w:hyperlink>
            <w:r w:rsidRPr="0095013F">
              <w:rPr>
                <w:rFonts w:ascii="Times New Roman" w:eastAsia="Times New Roman" w:hAnsi="Times New Roman" w:cs="Times New Roman"/>
                <w:color w:val="333333"/>
                <w:sz w:val="23"/>
                <w:szCs w:val="23"/>
                <w:lang w:eastAsia="zh-CN" w:bidi="ar-SA"/>
              </w:rPr>
              <w:t> </w:t>
            </w:r>
            <w:proofErr w:type="spellStart"/>
            <w:r w:rsidRPr="0095013F">
              <w:rPr>
                <w:rFonts w:ascii="Times New Roman" w:eastAsia="Times New Roman" w:hAnsi="Times New Roman" w:cs="Times New Roman"/>
                <w:i/>
                <w:iCs/>
                <w:color w:val="333333"/>
                <w:sz w:val="23"/>
                <w:lang w:eastAsia="zh-CN" w:bidi="ar-SA"/>
              </w:rPr>
              <w:t>TheTorah</w:t>
            </w:r>
            <w:proofErr w:type="spellEnd"/>
            <w:r w:rsidRPr="0095013F">
              <w:rPr>
                <w:rFonts w:ascii="Times New Roman" w:eastAsia="Times New Roman" w:hAnsi="Times New Roman" w:cs="Times New Roman"/>
                <w:color w:val="333333"/>
                <w:sz w:val="23"/>
                <w:szCs w:val="23"/>
                <w:lang w:eastAsia="zh-CN" w:bidi="ar-SA"/>
              </w:rPr>
              <w:t> (2019).</w:t>
            </w:r>
          </w:p>
          <w:p w14:paraId="18120166" w14:textId="77777777" w:rsidR="005A0748" w:rsidRPr="0095013F" w:rsidRDefault="005A0748" w:rsidP="004E1C22">
            <w:pPr>
              <w:bidi/>
              <w:spacing w:line="276" w:lineRule="auto"/>
              <w:rPr>
                <w:rFonts w:asciiTheme="minorBidi" w:hAnsiTheme="minorBidi"/>
                <w:rtl/>
              </w:rPr>
            </w:pPr>
          </w:p>
        </w:tc>
      </w:tr>
      <w:tr w:rsidR="005A0748" w:rsidRPr="005A0748" w14:paraId="7FB52C2A" w14:textId="77777777" w:rsidTr="004E1C22">
        <w:tc>
          <w:tcPr>
            <w:tcW w:w="4675" w:type="dxa"/>
          </w:tcPr>
          <w:p w14:paraId="08B28CB0" w14:textId="4C8DEADE" w:rsidR="0067265A" w:rsidRPr="0067265A" w:rsidRDefault="0067265A" w:rsidP="0067265A">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67265A">
              <w:rPr>
                <w:rFonts w:ascii="Times New Roman" w:eastAsia="Times New Roman" w:hAnsi="Times New Roman" w:cs="Times New Roman"/>
                <w:color w:val="333333"/>
                <w:sz w:val="23"/>
                <w:szCs w:val="23"/>
                <w:lang w:bidi="ar-SA"/>
              </w:rPr>
              <w:t>Translation can be found in, Roth, </w:t>
            </w:r>
            <w:r w:rsidRPr="0067265A">
              <w:rPr>
                <w:rFonts w:ascii="Times New Roman" w:eastAsia="Times New Roman" w:hAnsi="Times New Roman" w:cs="Times New Roman"/>
                <w:i/>
                <w:iCs/>
                <w:color w:val="333333"/>
                <w:sz w:val="23"/>
                <w:lang w:bidi="ar-SA"/>
              </w:rPr>
              <w:t>Law Collections</w:t>
            </w:r>
            <w:r w:rsidRPr="0067265A">
              <w:rPr>
                <w:rFonts w:ascii="Times New Roman" w:eastAsia="Times New Roman" w:hAnsi="Times New Roman" w:cs="Times New Roman"/>
                <w:color w:val="333333"/>
                <w:sz w:val="23"/>
                <w:szCs w:val="23"/>
                <w:lang w:bidi="ar-SA"/>
              </w:rPr>
              <w:t>, 72.</w:t>
            </w:r>
          </w:p>
          <w:p w14:paraId="4821C35E" w14:textId="77777777" w:rsidR="005A0748" w:rsidRPr="005A0748" w:rsidRDefault="005A0748" w:rsidP="004E1C22">
            <w:pPr>
              <w:spacing w:line="276" w:lineRule="auto"/>
              <w:rPr>
                <w:rFonts w:asciiTheme="minorBidi" w:hAnsiTheme="minorBidi"/>
              </w:rPr>
            </w:pPr>
          </w:p>
        </w:tc>
        <w:tc>
          <w:tcPr>
            <w:tcW w:w="4675" w:type="dxa"/>
          </w:tcPr>
          <w:p w14:paraId="68A67EAC" w14:textId="44E66E7B" w:rsidR="0095013F" w:rsidRPr="0095013F" w:rsidRDefault="0095013F" w:rsidP="0095013F">
            <w:pPr>
              <w:shd w:val="clear" w:color="auto" w:fill="FFFFFF"/>
              <w:bidi/>
              <w:spacing w:after="300" w:line="465" w:lineRule="atLeast"/>
              <w:rPr>
                <w:rFonts w:ascii="Times New Roman" w:eastAsia="Times New Roman" w:hAnsi="Times New Roman" w:cs="Times New Roman"/>
                <w:color w:val="333333"/>
                <w:sz w:val="23"/>
                <w:szCs w:val="23"/>
                <w:lang w:eastAsia="zh-CN" w:bidi="ar-SA"/>
              </w:rPr>
            </w:pPr>
            <w:r>
              <w:rPr>
                <w:rFonts w:ascii="David" w:eastAsia="Times New Roman" w:hAnsi="David" w:cs="David" w:hint="cs"/>
                <w:sz w:val="24"/>
                <w:szCs w:val="24"/>
                <w:rtl/>
                <w:lang w:eastAsia="zh-CN"/>
              </w:rPr>
              <w:t xml:space="preserve">24. </w:t>
            </w:r>
            <w:r w:rsidRPr="0095013F">
              <w:rPr>
                <w:rFonts w:ascii="David" w:eastAsia="Times New Roman" w:hAnsi="David" w:cs="David" w:hint="cs"/>
                <w:sz w:val="24"/>
                <w:szCs w:val="24"/>
                <w:rtl/>
                <w:lang w:eastAsia="zh-CN"/>
              </w:rPr>
              <w:t xml:space="preserve">התרגום נמצא ב- </w:t>
            </w:r>
            <w:r w:rsidRPr="0095013F">
              <w:rPr>
                <w:rFonts w:ascii="Times New Roman" w:eastAsia="Times New Roman" w:hAnsi="Times New Roman" w:cs="Times New Roman"/>
                <w:color w:val="333333"/>
                <w:sz w:val="23"/>
                <w:szCs w:val="23"/>
                <w:lang w:eastAsia="zh-CN" w:bidi="ar-SA"/>
              </w:rPr>
              <w:t>Roth, </w:t>
            </w:r>
            <w:r w:rsidRPr="0095013F">
              <w:rPr>
                <w:rFonts w:ascii="Times New Roman" w:eastAsia="Times New Roman" w:hAnsi="Times New Roman" w:cs="Times New Roman"/>
                <w:i/>
                <w:iCs/>
                <w:color w:val="333333"/>
                <w:sz w:val="23"/>
                <w:lang w:eastAsia="zh-CN" w:bidi="ar-SA"/>
              </w:rPr>
              <w:t>Law Collections</w:t>
            </w:r>
            <w:r w:rsidRPr="0095013F">
              <w:rPr>
                <w:rFonts w:ascii="Times New Roman" w:eastAsia="Times New Roman" w:hAnsi="Times New Roman" w:cs="Times New Roman"/>
                <w:color w:val="333333"/>
                <w:sz w:val="23"/>
                <w:szCs w:val="23"/>
                <w:lang w:eastAsia="zh-CN" w:bidi="ar-SA"/>
              </w:rPr>
              <w:t>, 72.</w:t>
            </w:r>
          </w:p>
          <w:p w14:paraId="5250C57D" w14:textId="77777777" w:rsidR="005A0748" w:rsidRDefault="005A0748" w:rsidP="004E1C22">
            <w:pPr>
              <w:bidi/>
              <w:spacing w:line="276" w:lineRule="auto"/>
              <w:rPr>
                <w:rFonts w:asciiTheme="minorBidi" w:hAnsiTheme="minorBidi"/>
                <w:rtl/>
              </w:rPr>
            </w:pPr>
          </w:p>
        </w:tc>
      </w:tr>
      <w:tr w:rsidR="0067265A" w:rsidRPr="005A0748" w14:paraId="2548DA53" w14:textId="77777777" w:rsidTr="004E1C22">
        <w:tc>
          <w:tcPr>
            <w:tcW w:w="4675" w:type="dxa"/>
          </w:tcPr>
          <w:p w14:paraId="22587754" w14:textId="03ED7AD0" w:rsidR="0067265A" w:rsidRPr="0067265A" w:rsidRDefault="0067265A" w:rsidP="0067265A">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67265A">
              <w:rPr>
                <w:rFonts w:ascii="Times New Roman" w:eastAsia="Times New Roman" w:hAnsi="Times New Roman" w:cs="Times New Roman"/>
                <w:color w:val="333333"/>
                <w:sz w:val="23"/>
                <w:szCs w:val="23"/>
                <w:lang w:bidi="ar-SA"/>
              </w:rPr>
              <w:t>LH 210 states: </w:t>
            </w:r>
            <w:proofErr w:type="spellStart"/>
            <w:r w:rsidRPr="0067265A">
              <w:rPr>
                <w:rFonts w:ascii="Times New Roman" w:eastAsia="Times New Roman" w:hAnsi="Times New Roman" w:cs="Times New Roman"/>
                <w:i/>
                <w:iCs/>
                <w:color w:val="333333"/>
                <w:sz w:val="23"/>
                <w:lang w:bidi="ar-SA"/>
              </w:rPr>
              <w:t>šumma</w:t>
            </w:r>
            <w:proofErr w:type="spellEnd"/>
            <w:r w:rsidRPr="0067265A">
              <w:rPr>
                <w:rFonts w:ascii="Times New Roman" w:eastAsia="Times New Roman" w:hAnsi="Times New Roman" w:cs="Times New Roman"/>
                <w:i/>
                <w:iCs/>
                <w:color w:val="333333"/>
                <w:sz w:val="23"/>
                <w:lang w:bidi="ar-SA"/>
              </w:rPr>
              <w:t xml:space="preserve"> </w:t>
            </w:r>
            <w:proofErr w:type="spellStart"/>
            <w:r w:rsidRPr="0067265A">
              <w:rPr>
                <w:rFonts w:ascii="Times New Roman" w:eastAsia="Times New Roman" w:hAnsi="Times New Roman" w:cs="Times New Roman"/>
                <w:i/>
                <w:iCs/>
                <w:color w:val="333333"/>
                <w:sz w:val="23"/>
                <w:lang w:bidi="ar-SA"/>
              </w:rPr>
              <w:t>sinništum</w:t>
            </w:r>
            <w:proofErr w:type="spellEnd"/>
            <w:r w:rsidRPr="0067265A">
              <w:rPr>
                <w:rFonts w:ascii="Times New Roman" w:eastAsia="Times New Roman" w:hAnsi="Times New Roman" w:cs="Times New Roman"/>
                <w:i/>
                <w:iCs/>
                <w:color w:val="333333"/>
                <w:sz w:val="23"/>
                <w:lang w:bidi="ar-SA"/>
              </w:rPr>
              <w:t xml:space="preserve"> </w:t>
            </w:r>
            <w:proofErr w:type="spellStart"/>
            <w:r w:rsidRPr="0067265A">
              <w:rPr>
                <w:rFonts w:ascii="Times New Roman" w:eastAsia="Times New Roman" w:hAnsi="Times New Roman" w:cs="Times New Roman"/>
                <w:i/>
                <w:iCs/>
                <w:color w:val="333333"/>
                <w:sz w:val="23"/>
                <w:lang w:bidi="ar-SA"/>
              </w:rPr>
              <w:t>šî</w:t>
            </w:r>
            <w:proofErr w:type="spellEnd"/>
            <w:r w:rsidRPr="0067265A">
              <w:rPr>
                <w:rFonts w:ascii="Times New Roman" w:eastAsia="Times New Roman" w:hAnsi="Times New Roman" w:cs="Times New Roman"/>
                <w:i/>
                <w:iCs/>
                <w:color w:val="333333"/>
                <w:sz w:val="23"/>
                <w:lang w:bidi="ar-SA"/>
              </w:rPr>
              <w:t xml:space="preserve"> </w:t>
            </w:r>
            <w:proofErr w:type="spellStart"/>
            <w:r w:rsidRPr="0067265A">
              <w:rPr>
                <w:rFonts w:ascii="Times New Roman" w:eastAsia="Times New Roman" w:hAnsi="Times New Roman" w:cs="Times New Roman"/>
                <w:i/>
                <w:iCs/>
                <w:color w:val="333333"/>
                <w:sz w:val="23"/>
                <w:lang w:bidi="ar-SA"/>
              </w:rPr>
              <w:t>imtūt</w:t>
            </w:r>
            <w:proofErr w:type="spellEnd"/>
            <w:r w:rsidRPr="0067265A">
              <w:rPr>
                <w:rFonts w:ascii="Times New Roman" w:eastAsia="Times New Roman" w:hAnsi="Times New Roman" w:cs="Times New Roman"/>
                <w:i/>
                <w:iCs/>
                <w:color w:val="333333"/>
                <w:sz w:val="23"/>
                <w:lang w:bidi="ar-SA"/>
              </w:rPr>
              <w:t xml:space="preserve"> </w:t>
            </w:r>
            <w:proofErr w:type="spellStart"/>
            <w:r w:rsidRPr="0067265A">
              <w:rPr>
                <w:rFonts w:ascii="Times New Roman" w:eastAsia="Times New Roman" w:hAnsi="Times New Roman" w:cs="Times New Roman"/>
                <w:i/>
                <w:iCs/>
                <w:color w:val="333333"/>
                <w:sz w:val="23"/>
                <w:lang w:bidi="ar-SA"/>
              </w:rPr>
              <w:t>mārassu</w:t>
            </w:r>
            <w:proofErr w:type="spellEnd"/>
            <w:r w:rsidRPr="0067265A">
              <w:rPr>
                <w:rFonts w:ascii="Times New Roman" w:eastAsia="Times New Roman" w:hAnsi="Times New Roman" w:cs="Times New Roman"/>
                <w:i/>
                <w:iCs/>
                <w:color w:val="333333"/>
                <w:sz w:val="23"/>
                <w:lang w:bidi="ar-SA"/>
              </w:rPr>
              <w:t xml:space="preserve"> </w:t>
            </w:r>
            <w:proofErr w:type="spellStart"/>
            <w:r w:rsidRPr="0067265A">
              <w:rPr>
                <w:rFonts w:ascii="Times New Roman" w:eastAsia="Times New Roman" w:hAnsi="Times New Roman" w:cs="Times New Roman"/>
                <w:i/>
                <w:iCs/>
                <w:color w:val="333333"/>
                <w:sz w:val="23"/>
                <w:lang w:bidi="ar-SA"/>
              </w:rPr>
              <w:t>idukku</w:t>
            </w:r>
            <w:proofErr w:type="spellEnd"/>
            <w:r w:rsidRPr="0067265A">
              <w:rPr>
                <w:rFonts w:ascii="Times New Roman" w:eastAsia="Times New Roman" w:hAnsi="Times New Roman" w:cs="Times New Roman"/>
                <w:color w:val="333333"/>
                <w:sz w:val="23"/>
                <w:szCs w:val="23"/>
                <w:lang w:bidi="ar-SA"/>
              </w:rPr>
              <w:t>. With the fine for the loss of this woman’s fetus set at 10 shekels of silver (LH209), Roth, </w:t>
            </w:r>
            <w:r w:rsidRPr="0067265A">
              <w:rPr>
                <w:rFonts w:ascii="Times New Roman" w:eastAsia="Times New Roman" w:hAnsi="Times New Roman" w:cs="Times New Roman"/>
                <w:i/>
                <w:iCs/>
                <w:color w:val="333333"/>
                <w:sz w:val="23"/>
                <w:lang w:bidi="ar-SA"/>
              </w:rPr>
              <w:t>Law Collections</w:t>
            </w:r>
            <w:r w:rsidRPr="0067265A">
              <w:rPr>
                <w:rFonts w:ascii="Times New Roman" w:eastAsia="Times New Roman" w:hAnsi="Times New Roman" w:cs="Times New Roman"/>
                <w:color w:val="333333"/>
                <w:sz w:val="23"/>
                <w:szCs w:val="23"/>
                <w:lang w:bidi="ar-SA"/>
              </w:rPr>
              <w:t>, 122; see also LH116 for an account of vicarious killing in the event of the death of a debt slave, or “</w:t>
            </w:r>
            <w:proofErr w:type="spellStart"/>
            <w:r w:rsidRPr="0067265A">
              <w:rPr>
                <w:rFonts w:ascii="Times New Roman" w:eastAsia="Times New Roman" w:hAnsi="Times New Roman" w:cs="Times New Roman"/>
                <w:color w:val="333333"/>
                <w:sz w:val="23"/>
                <w:szCs w:val="23"/>
                <w:lang w:bidi="ar-SA"/>
              </w:rPr>
              <w:t>distrainee</w:t>
            </w:r>
            <w:proofErr w:type="spellEnd"/>
            <w:r w:rsidRPr="0067265A">
              <w:rPr>
                <w:rFonts w:ascii="Times New Roman" w:eastAsia="Times New Roman" w:hAnsi="Times New Roman" w:cs="Times New Roman"/>
                <w:color w:val="333333"/>
                <w:sz w:val="23"/>
                <w:szCs w:val="23"/>
                <w:lang w:bidi="ar-SA"/>
              </w:rPr>
              <w:t>,” in Roth, Law</w:t>
            </w:r>
            <w:r w:rsidRPr="0067265A">
              <w:rPr>
                <w:rFonts w:ascii="Times New Roman" w:eastAsia="Times New Roman" w:hAnsi="Times New Roman" w:cs="Times New Roman"/>
                <w:i/>
                <w:iCs/>
                <w:color w:val="333333"/>
                <w:sz w:val="23"/>
                <w:lang w:bidi="ar-SA"/>
              </w:rPr>
              <w:t> Collections</w:t>
            </w:r>
            <w:r w:rsidRPr="0067265A">
              <w:rPr>
                <w:rFonts w:ascii="Times New Roman" w:eastAsia="Times New Roman" w:hAnsi="Times New Roman" w:cs="Times New Roman"/>
                <w:color w:val="333333"/>
                <w:sz w:val="23"/>
                <w:szCs w:val="23"/>
                <w:lang w:bidi="ar-SA"/>
              </w:rPr>
              <w:t>, 103.</w:t>
            </w:r>
          </w:p>
          <w:p w14:paraId="70FF27CD" w14:textId="77777777" w:rsidR="0067265A" w:rsidRPr="005A0748" w:rsidRDefault="0067265A" w:rsidP="004E1C22">
            <w:pPr>
              <w:spacing w:line="276" w:lineRule="auto"/>
              <w:rPr>
                <w:rFonts w:asciiTheme="minorBidi" w:hAnsiTheme="minorBidi"/>
              </w:rPr>
            </w:pPr>
          </w:p>
        </w:tc>
        <w:tc>
          <w:tcPr>
            <w:tcW w:w="4675" w:type="dxa"/>
          </w:tcPr>
          <w:p w14:paraId="7F8F370D" w14:textId="4E4FDB26" w:rsidR="0095013F" w:rsidRPr="0095013F" w:rsidRDefault="0095013F" w:rsidP="0095013F">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25</w:t>
            </w:r>
            <w:r w:rsidRPr="0095013F">
              <w:rPr>
                <w:rFonts w:ascii="David" w:eastAsia="Times New Roman" w:hAnsi="David" w:cs="David" w:hint="cs"/>
                <w:sz w:val="24"/>
                <w:szCs w:val="24"/>
                <w:rtl/>
                <w:lang w:eastAsia="zh-CN"/>
              </w:rPr>
              <w:t xml:space="preserve">. </w:t>
            </w:r>
            <w:r w:rsidRPr="0095013F">
              <w:rPr>
                <w:rFonts w:ascii="Times New Roman" w:eastAsia="Times New Roman" w:hAnsi="Times New Roman" w:cs="Times New Roman"/>
                <w:color w:val="333333"/>
                <w:sz w:val="23"/>
                <w:szCs w:val="23"/>
                <w:lang w:bidi="ar-SA"/>
              </w:rPr>
              <w:t>LH 210</w:t>
            </w:r>
            <w:r w:rsidRPr="0095013F">
              <w:rPr>
                <w:rFonts w:ascii="David" w:eastAsia="Times New Roman" w:hAnsi="David" w:cs="David" w:hint="cs"/>
                <w:sz w:val="24"/>
                <w:szCs w:val="24"/>
                <w:rtl/>
                <w:lang w:eastAsia="zh-CN"/>
              </w:rPr>
              <w:t xml:space="preserve"> קובע: </w:t>
            </w:r>
            <w:proofErr w:type="spellStart"/>
            <w:r w:rsidRPr="0095013F">
              <w:rPr>
                <w:rFonts w:ascii="Times New Roman" w:eastAsia="Times New Roman" w:hAnsi="Times New Roman" w:cs="Times New Roman"/>
                <w:i/>
                <w:iCs/>
                <w:color w:val="333333"/>
                <w:sz w:val="23"/>
                <w:lang w:bidi="ar-SA"/>
              </w:rPr>
              <w:t>šumma</w:t>
            </w:r>
            <w:proofErr w:type="spellEnd"/>
            <w:r w:rsidRPr="0095013F">
              <w:rPr>
                <w:rFonts w:ascii="Times New Roman" w:eastAsia="Times New Roman" w:hAnsi="Times New Roman" w:cs="Times New Roman"/>
                <w:i/>
                <w:iCs/>
                <w:color w:val="333333"/>
                <w:sz w:val="23"/>
                <w:lang w:bidi="ar-SA"/>
              </w:rPr>
              <w:t xml:space="preserve"> </w:t>
            </w:r>
            <w:proofErr w:type="spellStart"/>
            <w:r w:rsidRPr="0095013F">
              <w:rPr>
                <w:rFonts w:ascii="Times New Roman" w:eastAsia="Times New Roman" w:hAnsi="Times New Roman" w:cs="Times New Roman"/>
                <w:i/>
                <w:iCs/>
                <w:color w:val="333333"/>
                <w:sz w:val="23"/>
                <w:lang w:bidi="ar-SA"/>
              </w:rPr>
              <w:t>sinništum</w:t>
            </w:r>
            <w:proofErr w:type="spellEnd"/>
            <w:r w:rsidRPr="0095013F">
              <w:rPr>
                <w:rFonts w:ascii="Times New Roman" w:eastAsia="Times New Roman" w:hAnsi="Times New Roman" w:cs="Times New Roman"/>
                <w:i/>
                <w:iCs/>
                <w:color w:val="333333"/>
                <w:sz w:val="23"/>
                <w:lang w:bidi="ar-SA"/>
              </w:rPr>
              <w:t xml:space="preserve"> </w:t>
            </w:r>
            <w:proofErr w:type="spellStart"/>
            <w:r w:rsidRPr="0095013F">
              <w:rPr>
                <w:rFonts w:ascii="Times New Roman" w:eastAsia="Times New Roman" w:hAnsi="Times New Roman" w:cs="Times New Roman"/>
                <w:i/>
                <w:iCs/>
                <w:color w:val="333333"/>
                <w:sz w:val="23"/>
                <w:lang w:bidi="ar-SA"/>
              </w:rPr>
              <w:t>šî</w:t>
            </w:r>
            <w:proofErr w:type="spellEnd"/>
            <w:r w:rsidRPr="0095013F">
              <w:rPr>
                <w:rFonts w:ascii="Times New Roman" w:eastAsia="Times New Roman" w:hAnsi="Times New Roman" w:cs="Times New Roman"/>
                <w:i/>
                <w:iCs/>
                <w:color w:val="333333"/>
                <w:sz w:val="23"/>
                <w:lang w:bidi="ar-SA"/>
              </w:rPr>
              <w:t xml:space="preserve"> </w:t>
            </w:r>
            <w:proofErr w:type="spellStart"/>
            <w:r w:rsidRPr="0095013F">
              <w:rPr>
                <w:rFonts w:ascii="Times New Roman" w:eastAsia="Times New Roman" w:hAnsi="Times New Roman" w:cs="Times New Roman"/>
                <w:i/>
                <w:iCs/>
                <w:color w:val="333333"/>
                <w:sz w:val="23"/>
                <w:lang w:bidi="ar-SA"/>
              </w:rPr>
              <w:t>imtūt</w:t>
            </w:r>
            <w:proofErr w:type="spellEnd"/>
            <w:r w:rsidRPr="0095013F">
              <w:rPr>
                <w:rFonts w:ascii="Times New Roman" w:eastAsia="Times New Roman" w:hAnsi="Times New Roman" w:cs="Times New Roman"/>
                <w:i/>
                <w:iCs/>
                <w:color w:val="333333"/>
                <w:sz w:val="23"/>
                <w:lang w:bidi="ar-SA"/>
              </w:rPr>
              <w:t xml:space="preserve"> </w:t>
            </w:r>
            <w:proofErr w:type="spellStart"/>
            <w:r w:rsidRPr="0095013F">
              <w:rPr>
                <w:rFonts w:ascii="Times New Roman" w:eastAsia="Times New Roman" w:hAnsi="Times New Roman" w:cs="Times New Roman"/>
                <w:i/>
                <w:iCs/>
                <w:color w:val="333333"/>
                <w:sz w:val="23"/>
                <w:lang w:bidi="ar-SA"/>
              </w:rPr>
              <w:t>mārassu</w:t>
            </w:r>
            <w:proofErr w:type="spellEnd"/>
            <w:r w:rsidRPr="0095013F">
              <w:rPr>
                <w:rFonts w:ascii="Times New Roman" w:eastAsia="Times New Roman" w:hAnsi="Times New Roman" w:cs="Times New Roman"/>
                <w:i/>
                <w:iCs/>
                <w:color w:val="333333"/>
                <w:sz w:val="23"/>
                <w:lang w:bidi="ar-SA"/>
              </w:rPr>
              <w:t xml:space="preserve"> </w:t>
            </w:r>
            <w:proofErr w:type="spellStart"/>
            <w:r w:rsidRPr="0095013F">
              <w:rPr>
                <w:rFonts w:ascii="Times New Roman" w:eastAsia="Times New Roman" w:hAnsi="Times New Roman" w:cs="Times New Roman"/>
                <w:i/>
                <w:iCs/>
                <w:color w:val="333333"/>
                <w:sz w:val="23"/>
                <w:lang w:bidi="ar-SA"/>
              </w:rPr>
              <w:t>idukku</w:t>
            </w:r>
            <w:proofErr w:type="spellEnd"/>
            <w:r w:rsidRPr="0095013F">
              <w:rPr>
                <w:rFonts w:ascii="David" w:eastAsia="Times New Roman" w:hAnsi="David" w:cs="David" w:hint="cs"/>
                <w:sz w:val="24"/>
                <w:szCs w:val="24"/>
                <w:rtl/>
                <w:lang w:eastAsia="zh-CN"/>
              </w:rPr>
              <w:t xml:space="preserve">, הקנס עבור אובדן עוברה של אישה זו נקבע בסך עשרה שקלי כסף </w:t>
            </w:r>
            <w:r w:rsidRPr="0095013F">
              <w:rPr>
                <w:rFonts w:ascii="Times New Roman" w:eastAsia="Times New Roman" w:hAnsi="Times New Roman" w:cs="Times New Roman"/>
                <w:color w:val="333333"/>
                <w:sz w:val="23"/>
                <w:szCs w:val="23"/>
                <w:lang w:bidi="ar-SA"/>
              </w:rPr>
              <w:t>(LH209)</w:t>
            </w:r>
            <w:r w:rsidRPr="0095013F">
              <w:rPr>
                <w:rFonts w:ascii="David" w:eastAsia="Times New Roman" w:hAnsi="David" w:cs="David" w:hint="cs"/>
                <w:sz w:val="24"/>
                <w:szCs w:val="24"/>
                <w:rtl/>
                <w:lang w:eastAsia="zh-CN"/>
              </w:rPr>
              <w:t xml:space="preserve">, </w:t>
            </w:r>
            <w:r w:rsidRPr="0095013F">
              <w:rPr>
                <w:rFonts w:ascii="Times New Roman" w:eastAsia="Times New Roman" w:hAnsi="Times New Roman" w:cs="Times New Roman"/>
                <w:color w:val="333333"/>
                <w:sz w:val="23"/>
                <w:szCs w:val="23"/>
                <w:lang w:bidi="ar-SA"/>
              </w:rPr>
              <w:t>Roth, </w:t>
            </w:r>
            <w:r w:rsidRPr="0095013F">
              <w:rPr>
                <w:rFonts w:ascii="Times New Roman" w:eastAsia="Times New Roman" w:hAnsi="Times New Roman" w:cs="Times New Roman"/>
                <w:i/>
                <w:iCs/>
                <w:color w:val="333333"/>
                <w:sz w:val="23"/>
                <w:lang w:bidi="ar-SA"/>
              </w:rPr>
              <w:t>Law Collections</w:t>
            </w:r>
            <w:r w:rsidRPr="0095013F">
              <w:rPr>
                <w:rFonts w:ascii="Times New Roman" w:eastAsia="Times New Roman" w:hAnsi="Times New Roman" w:cs="Times New Roman"/>
                <w:color w:val="333333"/>
                <w:sz w:val="23"/>
                <w:szCs w:val="23"/>
                <w:lang w:bidi="ar-SA"/>
              </w:rPr>
              <w:t>, 122</w:t>
            </w:r>
            <w:r w:rsidRPr="0095013F">
              <w:rPr>
                <w:rFonts w:ascii="David" w:eastAsia="Times New Roman" w:hAnsi="David" w:cs="David" w:hint="cs"/>
                <w:sz w:val="24"/>
                <w:szCs w:val="24"/>
                <w:rtl/>
                <w:lang w:eastAsia="zh-CN"/>
              </w:rPr>
              <w:t xml:space="preserve">; ראו גם </w:t>
            </w:r>
            <w:r w:rsidRPr="0095013F">
              <w:rPr>
                <w:rFonts w:ascii="Times New Roman" w:eastAsia="Times New Roman" w:hAnsi="Times New Roman" w:cs="Times New Roman"/>
                <w:color w:val="333333"/>
                <w:sz w:val="23"/>
                <w:szCs w:val="23"/>
                <w:lang w:bidi="ar-SA"/>
              </w:rPr>
              <w:t>LH116</w:t>
            </w:r>
            <w:r w:rsidRPr="0095013F">
              <w:rPr>
                <w:rFonts w:ascii="David" w:eastAsia="Times New Roman" w:hAnsi="David" w:cs="David" w:hint="cs"/>
                <w:sz w:val="24"/>
                <w:szCs w:val="24"/>
                <w:rtl/>
                <w:lang w:eastAsia="zh-CN"/>
              </w:rPr>
              <w:t xml:space="preserve"> לתיאור הריגת ממלא מקום במקרה של מות עבד לשם החזר חוב, או "מי שעוקל רכושו", </w:t>
            </w:r>
            <w:r w:rsidR="00DB7B2D">
              <w:rPr>
                <w:rFonts w:ascii="David" w:eastAsia="Times New Roman" w:hAnsi="David" w:cs="David" w:hint="cs"/>
                <w:sz w:val="24"/>
                <w:szCs w:val="24"/>
                <w:rtl/>
                <w:lang w:eastAsia="zh-CN"/>
              </w:rPr>
              <w:t>ב-</w:t>
            </w:r>
            <w:r w:rsidRPr="0095013F">
              <w:rPr>
                <w:rFonts w:ascii="David" w:eastAsia="Times New Roman" w:hAnsi="David" w:cs="David" w:hint="cs"/>
                <w:sz w:val="24"/>
                <w:szCs w:val="24"/>
                <w:rtl/>
                <w:lang w:eastAsia="zh-CN"/>
              </w:rPr>
              <w:t xml:space="preserve"> </w:t>
            </w:r>
          </w:p>
          <w:p w14:paraId="343FE383" w14:textId="77777777" w:rsidR="0095013F" w:rsidRPr="0095013F" w:rsidRDefault="0095013F" w:rsidP="0095013F">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95013F">
              <w:rPr>
                <w:rFonts w:ascii="Times New Roman" w:eastAsia="Times New Roman" w:hAnsi="Times New Roman" w:cs="Times New Roman"/>
                <w:color w:val="333333"/>
                <w:sz w:val="23"/>
                <w:szCs w:val="23"/>
                <w:lang w:eastAsia="zh-CN" w:bidi="ar-SA"/>
              </w:rPr>
              <w:t>Roth, Law</w:t>
            </w:r>
            <w:r w:rsidRPr="0095013F">
              <w:rPr>
                <w:rFonts w:ascii="Times New Roman" w:eastAsia="Times New Roman" w:hAnsi="Times New Roman" w:cs="Times New Roman"/>
                <w:i/>
                <w:iCs/>
                <w:color w:val="333333"/>
                <w:sz w:val="23"/>
                <w:lang w:eastAsia="zh-CN" w:bidi="ar-SA"/>
              </w:rPr>
              <w:t> Collections</w:t>
            </w:r>
            <w:r w:rsidRPr="0095013F">
              <w:rPr>
                <w:rFonts w:ascii="Times New Roman" w:eastAsia="Times New Roman" w:hAnsi="Times New Roman" w:cs="Times New Roman"/>
                <w:color w:val="333333"/>
                <w:sz w:val="23"/>
                <w:szCs w:val="23"/>
                <w:lang w:eastAsia="zh-CN" w:bidi="ar-SA"/>
              </w:rPr>
              <w:t>, 103.</w:t>
            </w:r>
          </w:p>
          <w:p w14:paraId="07A6CE66" w14:textId="77777777" w:rsidR="0067265A" w:rsidRDefault="0067265A" w:rsidP="004E1C22">
            <w:pPr>
              <w:bidi/>
              <w:spacing w:line="276" w:lineRule="auto"/>
              <w:rPr>
                <w:rFonts w:asciiTheme="minorBidi" w:hAnsiTheme="minorBidi"/>
                <w:rtl/>
              </w:rPr>
            </w:pPr>
          </w:p>
        </w:tc>
      </w:tr>
      <w:tr w:rsidR="0067265A" w:rsidRPr="005A0748" w14:paraId="54A45512" w14:textId="77777777" w:rsidTr="004E1C22">
        <w:tc>
          <w:tcPr>
            <w:tcW w:w="4675" w:type="dxa"/>
          </w:tcPr>
          <w:p w14:paraId="5A7F5A9B" w14:textId="0B206A83" w:rsidR="0067265A" w:rsidRPr="0067265A" w:rsidRDefault="0067265A" w:rsidP="0067265A">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67265A">
              <w:rPr>
                <w:rFonts w:ascii="Times New Roman" w:eastAsia="Times New Roman" w:hAnsi="Times New Roman" w:cs="Times New Roman"/>
                <w:color w:val="333333"/>
                <w:sz w:val="23"/>
                <w:szCs w:val="23"/>
                <w:lang w:bidi="ar-SA"/>
              </w:rPr>
              <w:t>LH 212. With the fine for this woman’s fetus for 5 shekels (LH211), Roth, </w:t>
            </w:r>
            <w:r w:rsidRPr="0067265A">
              <w:rPr>
                <w:rFonts w:ascii="Times New Roman" w:eastAsia="Times New Roman" w:hAnsi="Times New Roman" w:cs="Times New Roman"/>
                <w:i/>
                <w:iCs/>
                <w:color w:val="333333"/>
                <w:sz w:val="23"/>
                <w:lang w:bidi="ar-SA"/>
              </w:rPr>
              <w:t>Law Collections</w:t>
            </w:r>
            <w:r w:rsidRPr="0067265A">
              <w:rPr>
                <w:rFonts w:ascii="Times New Roman" w:eastAsia="Times New Roman" w:hAnsi="Times New Roman" w:cs="Times New Roman"/>
                <w:color w:val="333333"/>
                <w:sz w:val="23"/>
                <w:szCs w:val="23"/>
                <w:lang w:bidi="ar-SA"/>
              </w:rPr>
              <w:t>, 122.</w:t>
            </w:r>
          </w:p>
          <w:p w14:paraId="322C2D6C" w14:textId="77777777" w:rsidR="0067265A" w:rsidRPr="005A0748" w:rsidRDefault="0067265A" w:rsidP="004E1C22">
            <w:pPr>
              <w:spacing w:line="276" w:lineRule="auto"/>
              <w:rPr>
                <w:rFonts w:asciiTheme="minorBidi" w:hAnsiTheme="minorBidi"/>
              </w:rPr>
            </w:pPr>
          </w:p>
        </w:tc>
        <w:tc>
          <w:tcPr>
            <w:tcW w:w="4675" w:type="dxa"/>
          </w:tcPr>
          <w:p w14:paraId="1E313352" w14:textId="2EBAFB4B" w:rsidR="0095013F" w:rsidRPr="0095013F" w:rsidRDefault="0095013F" w:rsidP="0095013F">
            <w:pPr>
              <w:shd w:val="clear" w:color="auto" w:fill="FFFFFF"/>
              <w:bidi/>
              <w:spacing w:after="300" w:line="465" w:lineRule="atLeast"/>
              <w:rPr>
                <w:rFonts w:ascii="David" w:eastAsia="Times New Roman" w:hAnsi="David" w:cs="David"/>
                <w:sz w:val="24"/>
                <w:szCs w:val="24"/>
                <w:rtl/>
                <w:lang w:eastAsia="zh-CN"/>
              </w:rPr>
            </w:pPr>
            <w:r w:rsidRPr="0095013F">
              <w:rPr>
                <w:rFonts w:ascii="Times New Roman" w:eastAsia="Times New Roman" w:hAnsi="Times New Roman" w:cs="Times New Roman"/>
                <w:color w:val="333333"/>
                <w:sz w:val="23"/>
                <w:szCs w:val="23"/>
                <w:lang w:bidi="ar-SA"/>
              </w:rPr>
              <w:t>LH 212</w:t>
            </w:r>
            <w:r w:rsidR="00680CA8">
              <w:rPr>
                <w:rFonts w:ascii="Times New Roman" w:eastAsia="Times New Roman" w:hAnsi="Times New Roman" w:cs="Times New Roman"/>
                <w:color w:val="333333"/>
                <w:sz w:val="23"/>
                <w:szCs w:val="23"/>
                <w:lang w:bidi="ar-SA"/>
              </w:rPr>
              <w:t xml:space="preserve"> </w:t>
            </w:r>
            <w:r w:rsidRPr="0095013F">
              <w:rPr>
                <w:rFonts w:ascii="Times New Roman" w:eastAsia="Times New Roman" w:hAnsi="Times New Roman" w:cs="Times New Roman"/>
                <w:color w:val="333333"/>
                <w:sz w:val="23"/>
                <w:szCs w:val="23"/>
                <w:lang w:bidi="ar-SA"/>
              </w:rPr>
              <w:t>.</w:t>
            </w:r>
            <w:r>
              <w:rPr>
                <w:rFonts w:ascii="Times New Roman" w:eastAsia="Times New Roman" w:hAnsi="Times New Roman" w:cs="Times New Roman"/>
                <w:color w:val="333333"/>
                <w:sz w:val="23"/>
                <w:szCs w:val="23"/>
                <w:lang w:bidi="ar-SA"/>
              </w:rPr>
              <w:t>26</w:t>
            </w:r>
            <w:r w:rsidRPr="0095013F">
              <w:rPr>
                <w:rFonts w:ascii="David" w:eastAsia="Times New Roman" w:hAnsi="David" w:cs="David" w:hint="cs"/>
                <w:sz w:val="24"/>
                <w:szCs w:val="24"/>
                <w:rtl/>
                <w:lang w:eastAsia="zh-CN"/>
              </w:rPr>
              <w:t xml:space="preserve"> הקנס עבור העובר של אישה זו נקבע בסך חמישה שקלים </w:t>
            </w:r>
            <w:r w:rsidRPr="0095013F">
              <w:rPr>
                <w:rFonts w:ascii="Times New Roman" w:eastAsia="Times New Roman" w:hAnsi="Times New Roman" w:cs="Times New Roman"/>
                <w:color w:val="333333"/>
                <w:sz w:val="23"/>
                <w:szCs w:val="23"/>
                <w:lang w:bidi="ar-SA"/>
              </w:rPr>
              <w:t>(LH211)</w:t>
            </w:r>
            <w:r w:rsidRPr="0095013F">
              <w:rPr>
                <w:rFonts w:ascii="David" w:eastAsia="Times New Roman" w:hAnsi="David" w:cs="David" w:hint="cs"/>
                <w:sz w:val="24"/>
                <w:szCs w:val="24"/>
                <w:rtl/>
                <w:lang w:eastAsia="zh-CN"/>
              </w:rPr>
              <w:t>, ראו</w:t>
            </w:r>
          </w:p>
          <w:p w14:paraId="608A8443" w14:textId="77777777" w:rsidR="0095013F" w:rsidRPr="0095013F" w:rsidRDefault="0095013F" w:rsidP="0095013F">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95013F">
              <w:rPr>
                <w:rFonts w:ascii="Times New Roman" w:eastAsia="Times New Roman" w:hAnsi="Times New Roman" w:cs="Times New Roman"/>
                <w:color w:val="333333"/>
                <w:sz w:val="23"/>
                <w:szCs w:val="23"/>
                <w:lang w:eastAsia="zh-CN" w:bidi="ar-SA"/>
              </w:rPr>
              <w:t>Roth, </w:t>
            </w:r>
            <w:r w:rsidRPr="0095013F">
              <w:rPr>
                <w:rFonts w:ascii="Times New Roman" w:eastAsia="Times New Roman" w:hAnsi="Times New Roman" w:cs="Times New Roman"/>
                <w:i/>
                <w:iCs/>
                <w:color w:val="333333"/>
                <w:sz w:val="23"/>
                <w:lang w:eastAsia="zh-CN" w:bidi="ar-SA"/>
              </w:rPr>
              <w:t>Law Collections</w:t>
            </w:r>
            <w:r w:rsidRPr="0095013F">
              <w:rPr>
                <w:rFonts w:ascii="Times New Roman" w:eastAsia="Times New Roman" w:hAnsi="Times New Roman" w:cs="Times New Roman"/>
                <w:color w:val="333333"/>
                <w:sz w:val="23"/>
                <w:szCs w:val="23"/>
                <w:lang w:eastAsia="zh-CN" w:bidi="ar-SA"/>
              </w:rPr>
              <w:t>, 122.</w:t>
            </w:r>
          </w:p>
          <w:p w14:paraId="63D745F9" w14:textId="77777777" w:rsidR="0067265A" w:rsidRDefault="0067265A" w:rsidP="004E1C22">
            <w:pPr>
              <w:bidi/>
              <w:spacing w:line="276" w:lineRule="auto"/>
              <w:rPr>
                <w:rFonts w:asciiTheme="minorBidi" w:hAnsiTheme="minorBidi"/>
                <w:rtl/>
              </w:rPr>
            </w:pPr>
          </w:p>
        </w:tc>
      </w:tr>
      <w:tr w:rsidR="0067265A" w:rsidRPr="005A0748" w14:paraId="3804922E" w14:textId="77777777" w:rsidTr="004E1C22">
        <w:tc>
          <w:tcPr>
            <w:tcW w:w="4675" w:type="dxa"/>
          </w:tcPr>
          <w:p w14:paraId="449F7F49" w14:textId="3C7B908F" w:rsidR="0067265A" w:rsidRPr="0067265A" w:rsidRDefault="0067265A" w:rsidP="0067265A">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67265A">
              <w:rPr>
                <w:rFonts w:ascii="Times New Roman" w:eastAsia="Times New Roman" w:hAnsi="Times New Roman" w:cs="Times New Roman"/>
                <w:color w:val="333333"/>
                <w:sz w:val="23"/>
                <w:szCs w:val="23"/>
                <w:lang w:bidi="ar-SA"/>
              </w:rPr>
              <w:lastRenderedPageBreak/>
              <w:t>LH 214. With the fine for the slave woman’s fetus set at 2 shekels (LH213), Roth, </w:t>
            </w:r>
            <w:r w:rsidRPr="0067265A">
              <w:rPr>
                <w:rFonts w:ascii="Times New Roman" w:eastAsia="Times New Roman" w:hAnsi="Times New Roman" w:cs="Times New Roman"/>
                <w:i/>
                <w:iCs/>
                <w:color w:val="333333"/>
                <w:sz w:val="23"/>
                <w:lang w:bidi="ar-SA"/>
              </w:rPr>
              <w:t>Law Collections</w:t>
            </w:r>
            <w:r w:rsidRPr="0067265A">
              <w:rPr>
                <w:rFonts w:ascii="Times New Roman" w:eastAsia="Times New Roman" w:hAnsi="Times New Roman" w:cs="Times New Roman"/>
                <w:color w:val="333333"/>
                <w:sz w:val="23"/>
                <w:szCs w:val="23"/>
                <w:lang w:bidi="ar-SA"/>
              </w:rPr>
              <w:t>, 123.</w:t>
            </w:r>
          </w:p>
          <w:p w14:paraId="40BE782F" w14:textId="77777777" w:rsidR="0067265A" w:rsidRPr="00C11F76" w:rsidRDefault="0067265A" w:rsidP="0067265A">
            <w:pPr>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C11F76">
              <w:rPr>
                <w:rFonts w:ascii="Times New Roman" w:eastAsia="Times New Roman" w:hAnsi="Times New Roman" w:cs="Times New Roman"/>
                <w:color w:val="333333"/>
                <w:sz w:val="23"/>
                <w:szCs w:val="23"/>
                <w:lang w:bidi="ar-SA"/>
              </w:rPr>
              <w:t>As Driver and Miles, </w:t>
            </w:r>
            <w:r w:rsidRPr="00C11F76">
              <w:rPr>
                <w:rFonts w:ascii="Times New Roman" w:eastAsia="Times New Roman" w:hAnsi="Times New Roman" w:cs="Times New Roman"/>
                <w:i/>
                <w:iCs/>
                <w:color w:val="333333"/>
                <w:sz w:val="23"/>
                <w:lang w:bidi="ar-SA"/>
              </w:rPr>
              <w:t>The Assyrian Laws,</w:t>
            </w:r>
            <w:r w:rsidRPr="00C11F76">
              <w:rPr>
                <w:rFonts w:ascii="Times New Roman" w:eastAsia="Times New Roman" w:hAnsi="Times New Roman" w:cs="Times New Roman"/>
                <w:color w:val="333333"/>
                <w:sz w:val="23"/>
                <w:szCs w:val="23"/>
                <w:lang w:bidi="ar-SA"/>
              </w:rPr>
              <w:t> 114.</w:t>
            </w:r>
          </w:p>
          <w:p w14:paraId="29E589D6" w14:textId="77777777" w:rsidR="0067265A" w:rsidRPr="005A0748" w:rsidRDefault="0067265A" w:rsidP="004E1C22">
            <w:pPr>
              <w:spacing w:line="276" w:lineRule="auto"/>
              <w:rPr>
                <w:rFonts w:asciiTheme="minorBidi" w:hAnsiTheme="minorBidi"/>
              </w:rPr>
            </w:pPr>
          </w:p>
        </w:tc>
        <w:tc>
          <w:tcPr>
            <w:tcW w:w="4675" w:type="dxa"/>
          </w:tcPr>
          <w:p w14:paraId="2254BD2E" w14:textId="68B3A33F" w:rsidR="0095013F" w:rsidRPr="0095013F" w:rsidRDefault="0095013F" w:rsidP="0095013F">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27</w:t>
            </w:r>
            <w:r w:rsidRPr="0095013F">
              <w:rPr>
                <w:rFonts w:ascii="David" w:eastAsia="Times New Roman" w:hAnsi="David" w:cs="David" w:hint="cs"/>
                <w:sz w:val="24"/>
                <w:szCs w:val="24"/>
                <w:rtl/>
                <w:lang w:eastAsia="zh-CN"/>
              </w:rPr>
              <w:t xml:space="preserve">. </w:t>
            </w:r>
            <w:r w:rsidRPr="0095013F">
              <w:rPr>
                <w:rFonts w:ascii="Times New Roman" w:eastAsia="Times New Roman" w:hAnsi="Times New Roman" w:cs="Times New Roman"/>
                <w:color w:val="333333"/>
                <w:sz w:val="23"/>
                <w:szCs w:val="23"/>
                <w:lang w:bidi="ar-SA"/>
              </w:rPr>
              <w:t>LH 214</w:t>
            </w:r>
            <w:r w:rsidRPr="0095013F">
              <w:rPr>
                <w:rFonts w:ascii="David" w:eastAsia="Times New Roman" w:hAnsi="David" w:cs="David" w:hint="cs"/>
                <w:sz w:val="24"/>
                <w:szCs w:val="24"/>
                <w:rtl/>
                <w:lang w:eastAsia="zh-CN"/>
              </w:rPr>
              <w:t xml:space="preserve">. הקנס עבור עוברה של שפחה זו נקבע בסך שני שקלים </w:t>
            </w:r>
            <w:r w:rsidRPr="0095013F">
              <w:rPr>
                <w:rFonts w:ascii="Times New Roman" w:eastAsia="Times New Roman" w:hAnsi="Times New Roman" w:cs="Times New Roman"/>
                <w:color w:val="333333"/>
                <w:sz w:val="23"/>
                <w:szCs w:val="23"/>
                <w:lang w:bidi="ar-SA"/>
              </w:rPr>
              <w:t>(LH213)</w:t>
            </w:r>
            <w:r w:rsidRPr="0095013F">
              <w:rPr>
                <w:rFonts w:ascii="David" w:eastAsia="Times New Roman" w:hAnsi="David" w:cs="David" w:hint="cs"/>
                <w:sz w:val="24"/>
                <w:szCs w:val="24"/>
                <w:rtl/>
                <w:lang w:eastAsia="zh-CN"/>
              </w:rPr>
              <w:t>, ראו</w:t>
            </w:r>
          </w:p>
          <w:p w14:paraId="27EA5EDC" w14:textId="77777777" w:rsidR="0095013F" w:rsidRPr="0095013F" w:rsidRDefault="0095013F" w:rsidP="0095013F">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95013F">
              <w:rPr>
                <w:rFonts w:ascii="Times New Roman" w:eastAsia="Times New Roman" w:hAnsi="Times New Roman" w:cs="Times New Roman"/>
                <w:color w:val="333333"/>
                <w:sz w:val="23"/>
                <w:szCs w:val="23"/>
                <w:lang w:eastAsia="zh-CN" w:bidi="ar-SA"/>
              </w:rPr>
              <w:t>Roth, </w:t>
            </w:r>
            <w:r w:rsidRPr="0095013F">
              <w:rPr>
                <w:rFonts w:ascii="Times New Roman" w:eastAsia="Times New Roman" w:hAnsi="Times New Roman" w:cs="Times New Roman"/>
                <w:i/>
                <w:iCs/>
                <w:color w:val="333333"/>
                <w:sz w:val="23"/>
                <w:lang w:eastAsia="zh-CN" w:bidi="ar-SA"/>
              </w:rPr>
              <w:t>Law Collections</w:t>
            </w:r>
            <w:r w:rsidRPr="0095013F">
              <w:rPr>
                <w:rFonts w:ascii="Times New Roman" w:eastAsia="Times New Roman" w:hAnsi="Times New Roman" w:cs="Times New Roman"/>
                <w:color w:val="333333"/>
                <w:sz w:val="23"/>
                <w:szCs w:val="23"/>
                <w:lang w:eastAsia="zh-CN" w:bidi="ar-SA"/>
              </w:rPr>
              <w:t>, 123.</w:t>
            </w:r>
          </w:p>
          <w:p w14:paraId="6545ECE5" w14:textId="77777777" w:rsidR="0095013F" w:rsidRPr="0095013F" w:rsidRDefault="0095013F" w:rsidP="0095013F">
            <w:pPr>
              <w:shd w:val="clear" w:color="auto" w:fill="FFFFFF"/>
              <w:bidi/>
              <w:spacing w:after="300" w:line="465" w:lineRule="atLeast"/>
              <w:rPr>
                <w:rFonts w:ascii="David" w:eastAsia="Times New Roman" w:hAnsi="David" w:cs="David"/>
                <w:sz w:val="24"/>
                <w:szCs w:val="24"/>
                <w:rtl/>
                <w:lang w:eastAsia="zh-CN"/>
              </w:rPr>
            </w:pPr>
            <w:r w:rsidRPr="0095013F">
              <w:rPr>
                <w:rFonts w:ascii="David" w:eastAsia="Times New Roman" w:hAnsi="David" w:cs="David" w:hint="cs"/>
                <w:sz w:val="24"/>
                <w:szCs w:val="24"/>
                <w:rtl/>
                <w:lang w:eastAsia="zh-CN"/>
              </w:rPr>
              <w:t>28. כגון</w:t>
            </w:r>
          </w:p>
          <w:p w14:paraId="65E5B2AD" w14:textId="469DF844" w:rsidR="0067265A" w:rsidRDefault="0095013F" w:rsidP="0095013F">
            <w:pPr>
              <w:bidi/>
              <w:spacing w:line="276" w:lineRule="auto"/>
              <w:rPr>
                <w:rFonts w:asciiTheme="minorBidi" w:hAnsiTheme="minorBidi"/>
                <w:rtl/>
              </w:rPr>
            </w:pPr>
            <w:r w:rsidRPr="0095013F">
              <w:rPr>
                <w:rFonts w:ascii="Times New Roman" w:eastAsia="Times New Roman" w:hAnsi="Times New Roman" w:cs="Times New Roman"/>
                <w:color w:val="333333"/>
                <w:sz w:val="23"/>
                <w:szCs w:val="23"/>
                <w:lang w:eastAsia="zh-CN" w:bidi="ar-SA"/>
              </w:rPr>
              <w:t>Driver and Miles, </w:t>
            </w:r>
            <w:r w:rsidRPr="0095013F">
              <w:rPr>
                <w:rFonts w:ascii="Times New Roman" w:eastAsia="Times New Roman" w:hAnsi="Times New Roman" w:cs="Times New Roman"/>
                <w:i/>
                <w:iCs/>
                <w:color w:val="333333"/>
                <w:sz w:val="23"/>
                <w:lang w:eastAsia="zh-CN" w:bidi="ar-SA"/>
              </w:rPr>
              <w:t>The Assyrian Laws,</w:t>
            </w:r>
            <w:r w:rsidRPr="0095013F">
              <w:rPr>
                <w:rFonts w:ascii="Times New Roman" w:eastAsia="Times New Roman" w:hAnsi="Times New Roman" w:cs="Times New Roman"/>
                <w:color w:val="333333"/>
                <w:sz w:val="23"/>
                <w:szCs w:val="23"/>
                <w:lang w:eastAsia="zh-CN" w:bidi="ar-SA"/>
              </w:rPr>
              <w:t> 114</w:t>
            </w:r>
          </w:p>
        </w:tc>
      </w:tr>
      <w:tr w:rsidR="0067265A" w:rsidRPr="005A0748" w14:paraId="2E685B1F" w14:textId="77777777" w:rsidTr="0067265A">
        <w:trPr>
          <w:trHeight w:val="397"/>
        </w:trPr>
        <w:tc>
          <w:tcPr>
            <w:tcW w:w="4675" w:type="dxa"/>
          </w:tcPr>
          <w:p w14:paraId="6AE0E260" w14:textId="2D9A42F3" w:rsidR="0067265A" w:rsidRPr="0067265A" w:rsidRDefault="0067265A" w:rsidP="0067265A">
            <w:pPr>
              <w:pStyle w:val="aa"/>
              <w:numPr>
                <w:ilvl w:val="0"/>
                <w:numId w:val="5"/>
              </w:numPr>
              <w:shd w:val="clear" w:color="auto" w:fill="FFFFFF"/>
              <w:spacing w:before="100" w:beforeAutospacing="1" w:line="480" w:lineRule="auto"/>
              <w:rPr>
                <w:rFonts w:ascii="Times New Roman" w:eastAsia="Times New Roman" w:hAnsi="Times New Roman" w:cs="Times New Roman"/>
                <w:color w:val="333333"/>
                <w:sz w:val="23"/>
                <w:szCs w:val="23"/>
                <w:lang w:bidi="ar-SA"/>
              </w:rPr>
            </w:pPr>
            <w:r w:rsidRPr="0067265A">
              <w:rPr>
                <w:rFonts w:ascii="Times New Roman" w:eastAsia="Times New Roman" w:hAnsi="Times New Roman" w:cs="Times New Roman"/>
                <w:color w:val="333333"/>
                <w:sz w:val="23"/>
                <w:szCs w:val="23"/>
                <w:lang w:bidi="ar-SA"/>
              </w:rPr>
              <w:t>Eckart Frahm, “Assyria and the Bible,” </w:t>
            </w:r>
            <w:r w:rsidRPr="0067265A">
              <w:rPr>
                <w:rFonts w:ascii="Times New Roman" w:eastAsia="Times New Roman" w:hAnsi="Times New Roman" w:cs="Times New Roman"/>
                <w:i/>
                <w:iCs/>
                <w:color w:val="333333"/>
                <w:sz w:val="23"/>
                <w:lang w:bidi="ar-SA"/>
              </w:rPr>
              <w:t>A Companion to Assyria</w:t>
            </w:r>
            <w:r w:rsidRPr="0067265A">
              <w:rPr>
                <w:rFonts w:ascii="Times New Roman" w:eastAsia="Times New Roman" w:hAnsi="Times New Roman" w:cs="Times New Roman"/>
                <w:color w:val="333333"/>
                <w:sz w:val="23"/>
                <w:szCs w:val="23"/>
                <w:lang w:bidi="ar-SA"/>
              </w:rPr>
              <w:t> (Hoboken, New Jersey: John Wiley, 2017), 567</w:t>
            </w:r>
          </w:p>
          <w:p w14:paraId="499CF9AD" w14:textId="77777777" w:rsidR="0067265A" w:rsidRPr="005A0748" w:rsidRDefault="0067265A" w:rsidP="004E1C22">
            <w:pPr>
              <w:spacing w:line="276" w:lineRule="auto"/>
              <w:rPr>
                <w:rFonts w:asciiTheme="minorBidi" w:hAnsiTheme="minorBidi"/>
              </w:rPr>
            </w:pPr>
          </w:p>
        </w:tc>
        <w:tc>
          <w:tcPr>
            <w:tcW w:w="4675" w:type="dxa"/>
          </w:tcPr>
          <w:p w14:paraId="48BF1CD7" w14:textId="23349319" w:rsidR="0095013F" w:rsidRPr="0095013F" w:rsidRDefault="00642668" w:rsidP="0095013F">
            <w:pPr>
              <w:shd w:val="clear" w:color="auto" w:fill="FFFFFF"/>
              <w:bidi/>
              <w:spacing w:after="300" w:line="465" w:lineRule="atLeast"/>
              <w:rPr>
                <w:rFonts w:ascii="David" w:eastAsia="Times New Roman" w:hAnsi="David" w:cs="David"/>
                <w:sz w:val="24"/>
                <w:szCs w:val="24"/>
                <w:rtl/>
                <w:lang w:eastAsia="zh-CN"/>
              </w:rPr>
            </w:pPr>
            <w:r>
              <w:rPr>
                <w:rFonts w:ascii="David" w:eastAsia="Times New Roman" w:hAnsi="David" w:cs="David" w:hint="cs"/>
                <w:sz w:val="24"/>
                <w:szCs w:val="24"/>
                <w:rtl/>
                <w:lang w:eastAsia="zh-CN"/>
              </w:rPr>
              <w:t xml:space="preserve">29. </w:t>
            </w:r>
            <w:r w:rsidR="0095013F" w:rsidRPr="0095013F">
              <w:rPr>
                <w:rFonts w:ascii="David" w:eastAsia="Times New Roman" w:hAnsi="David" w:cs="David" w:hint="cs"/>
                <w:sz w:val="24"/>
                <w:szCs w:val="24"/>
                <w:rtl/>
                <w:lang w:eastAsia="zh-CN"/>
              </w:rPr>
              <w:t>ראו</w:t>
            </w:r>
          </w:p>
          <w:p w14:paraId="66C23853" w14:textId="77777777" w:rsidR="0095013F" w:rsidRPr="0095013F" w:rsidRDefault="0095013F" w:rsidP="0095013F">
            <w:pPr>
              <w:shd w:val="clear" w:color="auto" w:fill="FFFFFF"/>
              <w:spacing w:before="100" w:beforeAutospacing="1" w:line="480" w:lineRule="auto"/>
              <w:rPr>
                <w:rFonts w:ascii="Times New Roman" w:eastAsia="Times New Roman" w:hAnsi="Times New Roman" w:cs="Times New Roman"/>
                <w:color w:val="333333"/>
                <w:sz w:val="23"/>
                <w:szCs w:val="23"/>
                <w:lang w:eastAsia="zh-CN" w:bidi="ar-SA"/>
              </w:rPr>
            </w:pPr>
            <w:r w:rsidRPr="0095013F">
              <w:rPr>
                <w:rFonts w:ascii="Times New Roman" w:eastAsia="Times New Roman" w:hAnsi="Times New Roman" w:cs="Times New Roman"/>
                <w:color w:val="333333"/>
                <w:sz w:val="23"/>
                <w:szCs w:val="23"/>
                <w:lang w:eastAsia="zh-CN" w:bidi="ar-SA"/>
              </w:rPr>
              <w:t>Eckart Frahm, “Assyria and the Bible,” </w:t>
            </w:r>
            <w:r w:rsidRPr="0095013F">
              <w:rPr>
                <w:rFonts w:ascii="Times New Roman" w:eastAsia="Times New Roman" w:hAnsi="Times New Roman" w:cs="Times New Roman"/>
                <w:i/>
                <w:iCs/>
                <w:color w:val="333333"/>
                <w:sz w:val="23"/>
                <w:lang w:eastAsia="zh-CN" w:bidi="ar-SA"/>
              </w:rPr>
              <w:t>A Companion to Assyria</w:t>
            </w:r>
            <w:r w:rsidRPr="0095013F">
              <w:rPr>
                <w:rFonts w:ascii="Times New Roman" w:eastAsia="Times New Roman" w:hAnsi="Times New Roman" w:cs="Times New Roman"/>
                <w:color w:val="333333"/>
                <w:sz w:val="23"/>
                <w:szCs w:val="23"/>
                <w:lang w:eastAsia="zh-CN" w:bidi="ar-SA"/>
              </w:rPr>
              <w:t> (Hoboken, New Jersey: John Wiley, 2017), 567.</w:t>
            </w:r>
          </w:p>
          <w:p w14:paraId="26232C54" w14:textId="77777777" w:rsidR="0067265A" w:rsidRDefault="0067265A" w:rsidP="004E1C22">
            <w:pPr>
              <w:bidi/>
              <w:spacing w:line="276" w:lineRule="auto"/>
              <w:rPr>
                <w:rFonts w:asciiTheme="minorBidi" w:hAnsiTheme="minorBidi"/>
                <w:rtl/>
              </w:rPr>
            </w:pPr>
          </w:p>
        </w:tc>
      </w:tr>
      <w:tr w:rsidR="0067265A" w:rsidRPr="005A0748" w14:paraId="26DB66D0" w14:textId="77777777" w:rsidTr="004E1C22">
        <w:tc>
          <w:tcPr>
            <w:tcW w:w="4675" w:type="dxa"/>
          </w:tcPr>
          <w:p w14:paraId="6F4F62D0" w14:textId="77777777" w:rsidR="0067265A" w:rsidRPr="005A0748" w:rsidRDefault="0067265A" w:rsidP="004E1C22">
            <w:pPr>
              <w:spacing w:line="276" w:lineRule="auto"/>
              <w:rPr>
                <w:rFonts w:asciiTheme="minorBidi" w:hAnsiTheme="minorBidi"/>
              </w:rPr>
            </w:pPr>
          </w:p>
        </w:tc>
        <w:tc>
          <w:tcPr>
            <w:tcW w:w="4675" w:type="dxa"/>
          </w:tcPr>
          <w:p w14:paraId="538EC2FE" w14:textId="77777777" w:rsidR="0067265A" w:rsidRDefault="0067265A" w:rsidP="004E1C22">
            <w:pPr>
              <w:bidi/>
              <w:spacing w:line="276" w:lineRule="auto"/>
              <w:rPr>
                <w:rFonts w:asciiTheme="minorBidi" w:hAnsiTheme="minorBidi"/>
                <w:rtl/>
              </w:rPr>
            </w:pPr>
          </w:p>
        </w:tc>
      </w:tr>
    </w:tbl>
    <w:p w14:paraId="40C2DA5E" w14:textId="77777777" w:rsidR="00057E0D" w:rsidRPr="005A0748" w:rsidRDefault="00057E0D" w:rsidP="00057E0D">
      <w:pPr>
        <w:spacing w:line="276" w:lineRule="auto"/>
        <w:rPr>
          <w:rFonts w:asciiTheme="minorBidi" w:hAnsiTheme="minorBidi"/>
        </w:rPr>
      </w:pPr>
    </w:p>
    <w:sectPr w:rsidR="00057E0D" w:rsidRPr="005A0748" w:rsidSect="00F32E4B">
      <w:headerReference w:type="default" r:id="rId11"/>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FF73" w14:textId="77777777" w:rsidR="00E568C2" w:rsidRDefault="00E568C2" w:rsidP="00EF5DD9">
      <w:pPr>
        <w:spacing w:after="0" w:line="240" w:lineRule="auto"/>
      </w:pPr>
      <w:r>
        <w:separator/>
      </w:r>
    </w:p>
  </w:endnote>
  <w:endnote w:type="continuationSeparator" w:id="0">
    <w:p w14:paraId="5DF55A0F" w14:textId="77777777" w:rsidR="00E568C2" w:rsidRDefault="00E568C2" w:rsidP="00EF5DD9">
      <w:pPr>
        <w:spacing w:after="0" w:line="240" w:lineRule="auto"/>
      </w:pPr>
      <w:r>
        <w:continuationSeparator/>
      </w:r>
    </w:p>
  </w:endnote>
  <w:endnote w:id="1">
    <w:p w14:paraId="40C292FF" w14:textId="075148A5" w:rsidR="00EB3003" w:rsidRDefault="00EB3003">
      <w:pPr>
        <w:pStyle w:val="ae"/>
      </w:pPr>
      <w:r>
        <w:rPr>
          <w:rStyle w:val="af0"/>
        </w:rPr>
        <w:endnoteRef/>
      </w:r>
      <w:r>
        <w:rPr>
          <w:rStyle w:val="af0"/>
        </w:rPr>
        <w:endnoteRef/>
      </w:r>
      <w:r>
        <w:t xml:space="preserve"> </w:t>
      </w:r>
    </w:p>
  </w:endnote>
  <w:endnote w:id="2">
    <w:p w14:paraId="7258D146" w14:textId="77777777" w:rsidR="00EB3003" w:rsidRDefault="00EB3003" w:rsidP="0027272B">
      <w:pPr>
        <w:pStyle w:val="ae"/>
      </w:pPr>
      <w:r>
        <w:rPr>
          <w:rStyle w:val="af0"/>
        </w:rPr>
        <w:endnoteRef/>
      </w:r>
      <w:r>
        <w:rPr>
          <w:rtl/>
        </w:rPr>
        <w:t xml:space="preserve"> </w:t>
      </w:r>
    </w:p>
  </w:endnote>
  <w:endnote w:id="3">
    <w:p w14:paraId="54615294" w14:textId="77777777" w:rsidR="00EB3003" w:rsidRDefault="00EB3003" w:rsidP="0027272B">
      <w:pPr>
        <w:pStyle w:val="ae"/>
      </w:pPr>
      <w:r>
        <w:rPr>
          <w:rStyle w:val="af0"/>
        </w:rPr>
        <w:endnoteRef/>
      </w:r>
      <w:r>
        <w:rPr>
          <w:rtl/>
        </w:rPr>
        <w:t xml:space="preserve"> </w:t>
      </w:r>
    </w:p>
  </w:endnote>
  <w:endnote w:id="4">
    <w:p w14:paraId="34A9E430" w14:textId="77777777" w:rsidR="00EB3003" w:rsidRDefault="00EB3003" w:rsidP="0027272B">
      <w:pPr>
        <w:pStyle w:val="ae"/>
      </w:pPr>
      <w:r>
        <w:rPr>
          <w:rStyle w:val="af0"/>
        </w:rPr>
        <w:endnoteRef/>
      </w:r>
      <w:r>
        <w:rPr>
          <w:rtl/>
        </w:rPr>
        <w:t xml:space="preserve"> </w:t>
      </w:r>
    </w:p>
  </w:endnote>
  <w:endnote w:id="5">
    <w:p w14:paraId="2DBDEE8F" w14:textId="77777777" w:rsidR="00EB3003" w:rsidRDefault="00EB3003" w:rsidP="000E5D49">
      <w:pPr>
        <w:pStyle w:val="ae"/>
      </w:pPr>
      <w:r>
        <w:rPr>
          <w:rStyle w:val="af0"/>
        </w:rPr>
        <w:endnoteRef/>
      </w:r>
      <w:r>
        <w:rPr>
          <w:rtl/>
        </w:rPr>
        <w:t xml:space="preserve"> </w:t>
      </w:r>
    </w:p>
  </w:endnote>
  <w:endnote w:id="6">
    <w:p w14:paraId="2C06969E" w14:textId="77777777" w:rsidR="00EB3003" w:rsidRDefault="00EB3003" w:rsidP="00AF1425">
      <w:pPr>
        <w:pStyle w:val="ae"/>
        <w:rPr>
          <w:rtl/>
        </w:rPr>
      </w:pPr>
      <w:r>
        <w:rPr>
          <w:rStyle w:val="af0"/>
        </w:rPr>
        <w:endnoteRef/>
      </w:r>
      <w:r>
        <w:rPr>
          <w:rtl/>
        </w:rPr>
        <w:t xml:space="preserve"> </w:t>
      </w:r>
    </w:p>
  </w:endnote>
  <w:endnote w:id="7">
    <w:p w14:paraId="2840863E" w14:textId="77777777" w:rsidR="00EB3003" w:rsidRDefault="00EB3003" w:rsidP="005D6242">
      <w:pPr>
        <w:pStyle w:val="ae"/>
        <w:rPr>
          <w:rtl/>
        </w:rPr>
      </w:pPr>
      <w:r>
        <w:rPr>
          <w:rStyle w:val="af0"/>
        </w:rPr>
        <w:endnoteRef/>
      </w:r>
      <w:r>
        <w:rPr>
          <w:rtl/>
        </w:rPr>
        <w:t xml:space="preserve"> </w:t>
      </w:r>
    </w:p>
  </w:endnote>
  <w:endnote w:id="8">
    <w:p w14:paraId="4E6AC912" w14:textId="77777777" w:rsidR="00EB3003" w:rsidRDefault="00EB3003" w:rsidP="005D6242">
      <w:pPr>
        <w:pStyle w:val="ae"/>
      </w:pPr>
      <w:r>
        <w:rPr>
          <w:rStyle w:val="af0"/>
        </w:rPr>
        <w:endnoteRef/>
      </w:r>
      <w:r>
        <w:rPr>
          <w:rtl/>
        </w:rPr>
        <w:t xml:space="preserve"> </w:t>
      </w:r>
    </w:p>
  </w:endnote>
  <w:endnote w:id="9">
    <w:p w14:paraId="69D3BB47" w14:textId="77777777" w:rsidR="00EB3003" w:rsidRDefault="00EB3003" w:rsidP="00666FA3">
      <w:pPr>
        <w:pStyle w:val="ae"/>
      </w:pPr>
      <w:r>
        <w:rPr>
          <w:rStyle w:val="af0"/>
        </w:rPr>
        <w:endnoteRef/>
      </w:r>
      <w:r>
        <w:rPr>
          <w:rtl/>
        </w:rPr>
        <w:t xml:space="preserve"> </w:t>
      </w:r>
    </w:p>
  </w:endnote>
  <w:endnote w:id="10">
    <w:p w14:paraId="7AC49517" w14:textId="77777777" w:rsidR="00EB3003" w:rsidRDefault="00EB3003" w:rsidP="00666FA3">
      <w:pPr>
        <w:pStyle w:val="ae"/>
      </w:pPr>
      <w:r>
        <w:rPr>
          <w:rStyle w:val="af0"/>
        </w:rPr>
        <w:endnoteRef/>
      </w:r>
      <w:r>
        <w:rPr>
          <w:rtl/>
        </w:rPr>
        <w:t xml:space="preserve"> </w:t>
      </w:r>
    </w:p>
  </w:endnote>
  <w:endnote w:id="11">
    <w:p w14:paraId="62988EB0" w14:textId="77777777" w:rsidR="00EB3003" w:rsidRDefault="00EB3003" w:rsidP="00666FA3">
      <w:pPr>
        <w:pStyle w:val="ae"/>
      </w:pPr>
      <w:r>
        <w:rPr>
          <w:rStyle w:val="af0"/>
        </w:rPr>
        <w:endnoteRef/>
      </w:r>
      <w:r>
        <w:rPr>
          <w:rtl/>
        </w:rPr>
        <w:t xml:space="preserve"> </w:t>
      </w:r>
    </w:p>
  </w:endnote>
  <w:endnote w:id="12">
    <w:p w14:paraId="34AA2ED3" w14:textId="77777777" w:rsidR="00EB3003" w:rsidRDefault="00EB3003" w:rsidP="00666FA3">
      <w:pPr>
        <w:pStyle w:val="ae"/>
      </w:pPr>
      <w:r>
        <w:rPr>
          <w:rStyle w:val="af0"/>
        </w:rPr>
        <w:endnoteRef/>
      </w:r>
      <w:r>
        <w:rPr>
          <w:rtl/>
        </w:rPr>
        <w:t xml:space="preserve"> </w:t>
      </w:r>
    </w:p>
  </w:endnote>
  <w:endnote w:id="13">
    <w:p w14:paraId="06B13F3E" w14:textId="77777777" w:rsidR="00EB3003" w:rsidRDefault="00EB3003" w:rsidP="00666FA3">
      <w:pPr>
        <w:pStyle w:val="ae"/>
      </w:pPr>
      <w:r>
        <w:rPr>
          <w:rStyle w:val="af0"/>
        </w:rPr>
        <w:endnoteRef/>
      </w:r>
      <w:r>
        <w:rPr>
          <w:rtl/>
        </w:rPr>
        <w:t xml:space="preserve"> </w:t>
      </w:r>
    </w:p>
  </w:endnote>
  <w:endnote w:id="14">
    <w:p w14:paraId="0CDE073A" w14:textId="77777777" w:rsidR="00EB3003" w:rsidRDefault="00EB3003" w:rsidP="009A517F">
      <w:pPr>
        <w:pStyle w:val="ae"/>
      </w:pPr>
      <w:r>
        <w:rPr>
          <w:rStyle w:val="af0"/>
        </w:rPr>
        <w:endnoteRef/>
      </w:r>
      <w:r>
        <w:rPr>
          <w:rtl/>
        </w:rPr>
        <w:t xml:space="preserve"> </w:t>
      </w:r>
    </w:p>
  </w:endnote>
  <w:endnote w:id="15">
    <w:p w14:paraId="46A2A787" w14:textId="77777777" w:rsidR="00EB3003" w:rsidRDefault="00EB3003" w:rsidP="009A517F">
      <w:pPr>
        <w:pStyle w:val="ae"/>
      </w:pPr>
      <w:r>
        <w:rPr>
          <w:rStyle w:val="af0"/>
        </w:rPr>
        <w:endnoteRef/>
      </w:r>
      <w:r>
        <w:rPr>
          <w:rtl/>
        </w:rPr>
        <w:t xml:space="preserve"> </w:t>
      </w:r>
    </w:p>
  </w:endnote>
  <w:endnote w:id="16">
    <w:p w14:paraId="770EE9A8" w14:textId="77777777" w:rsidR="00EB3003" w:rsidRDefault="00EB3003" w:rsidP="00FA10B1">
      <w:pPr>
        <w:pStyle w:val="ae"/>
        <w:rPr>
          <w:rtl/>
        </w:rPr>
      </w:pPr>
      <w:r>
        <w:rPr>
          <w:rStyle w:val="af0"/>
        </w:rPr>
        <w:endnoteRef/>
      </w:r>
      <w:r>
        <w:rPr>
          <w:rtl/>
        </w:rPr>
        <w:t xml:space="preserve"> </w:t>
      </w:r>
    </w:p>
  </w:endnote>
  <w:endnote w:id="17">
    <w:p w14:paraId="6A1D17DD" w14:textId="77777777" w:rsidR="00EB3003" w:rsidRDefault="00EB3003" w:rsidP="006249BC">
      <w:pPr>
        <w:pStyle w:val="ae"/>
      </w:pPr>
      <w:r>
        <w:rPr>
          <w:rStyle w:val="af0"/>
        </w:rPr>
        <w:endnoteRef/>
      </w:r>
      <w:r>
        <w:rPr>
          <w:rtl/>
        </w:rPr>
        <w:t xml:space="preserve"> </w:t>
      </w:r>
    </w:p>
  </w:endnote>
  <w:endnote w:id="18">
    <w:p w14:paraId="79295B84" w14:textId="77777777" w:rsidR="00EB3003" w:rsidRDefault="00EB3003" w:rsidP="006249BC">
      <w:pPr>
        <w:pStyle w:val="ae"/>
      </w:pPr>
      <w:r>
        <w:rPr>
          <w:rStyle w:val="af0"/>
        </w:rPr>
        <w:endnoteRef/>
      </w:r>
      <w:r>
        <w:rPr>
          <w:rtl/>
        </w:rPr>
        <w:t xml:space="preserve"> </w:t>
      </w:r>
    </w:p>
  </w:endnote>
  <w:endnote w:id="19">
    <w:p w14:paraId="42A8C147" w14:textId="77777777" w:rsidR="00EB3003" w:rsidRDefault="00EB3003" w:rsidP="006249BC">
      <w:pPr>
        <w:pStyle w:val="ae"/>
        <w:rPr>
          <w:rtl/>
        </w:rPr>
      </w:pPr>
      <w:r>
        <w:rPr>
          <w:rStyle w:val="af0"/>
        </w:rPr>
        <w:endnoteRef/>
      </w:r>
      <w:r>
        <w:rPr>
          <w:rtl/>
        </w:rPr>
        <w:t xml:space="preserve"> </w:t>
      </w:r>
    </w:p>
    <w:p w14:paraId="5F0B910A" w14:textId="77777777" w:rsidR="00EB3003" w:rsidRDefault="00EB3003" w:rsidP="006249BC">
      <w:pPr>
        <w:pStyle w:val="ae"/>
      </w:pPr>
    </w:p>
  </w:endnote>
  <w:endnote w:id="20">
    <w:p w14:paraId="40B1D4AC" w14:textId="77777777" w:rsidR="00EB3003" w:rsidRDefault="00EB3003" w:rsidP="00AE0619">
      <w:pPr>
        <w:pStyle w:val="ae"/>
      </w:pPr>
      <w:r>
        <w:rPr>
          <w:rStyle w:val="af0"/>
        </w:rPr>
        <w:endnoteRef/>
      </w:r>
      <w:r>
        <w:rPr>
          <w:rtl/>
        </w:rPr>
        <w:t xml:space="preserve"> </w:t>
      </w:r>
    </w:p>
  </w:endnote>
  <w:endnote w:id="21">
    <w:p w14:paraId="0C7E7808" w14:textId="77777777" w:rsidR="00EB3003" w:rsidRDefault="00EB3003" w:rsidP="006249BC">
      <w:pPr>
        <w:pStyle w:val="ae"/>
      </w:pPr>
      <w:r>
        <w:rPr>
          <w:rStyle w:val="af0"/>
        </w:rPr>
        <w:endnoteRef/>
      </w:r>
      <w:r>
        <w:rPr>
          <w:rtl/>
        </w:rPr>
        <w:t xml:space="preserve"> </w:t>
      </w:r>
    </w:p>
  </w:endnote>
  <w:endnote w:id="22">
    <w:p w14:paraId="6ACF717E" w14:textId="77777777" w:rsidR="00EB3003" w:rsidRDefault="00EB3003" w:rsidP="006249BC">
      <w:pPr>
        <w:pStyle w:val="ae"/>
      </w:pPr>
      <w:r>
        <w:rPr>
          <w:rStyle w:val="af0"/>
        </w:rPr>
        <w:endnoteRef/>
      </w:r>
      <w:r>
        <w:rPr>
          <w:rtl/>
        </w:rPr>
        <w:t xml:space="preserve"> </w:t>
      </w:r>
    </w:p>
  </w:endnote>
  <w:endnote w:id="23">
    <w:p w14:paraId="09CA30FC" w14:textId="77777777" w:rsidR="00EB3003" w:rsidRDefault="00EB3003" w:rsidP="00B97F61">
      <w:pPr>
        <w:pStyle w:val="ae"/>
        <w:rPr>
          <w:rtl/>
        </w:rPr>
      </w:pPr>
      <w:r>
        <w:rPr>
          <w:rStyle w:val="af0"/>
        </w:rPr>
        <w:endnoteRef/>
      </w:r>
      <w:r>
        <w:rPr>
          <w:rtl/>
        </w:rPr>
        <w:t xml:space="preserve"> </w:t>
      </w:r>
    </w:p>
  </w:endnote>
  <w:endnote w:id="24">
    <w:p w14:paraId="3375B856" w14:textId="77777777" w:rsidR="00EB3003" w:rsidRDefault="00EB3003" w:rsidP="006249BC">
      <w:pPr>
        <w:pStyle w:val="ae"/>
        <w:rPr>
          <w:rtl/>
        </w:rPr>
      </w:pPr>
      <w:r>
        <w:rPr>
          <w:rStyle w:val="af0"/>
        </w:rPr>
        <w:endnoteRef/>
      </w:r>
      <w:r>
        <w:rPr>
          <w:rtl/>
        </w:rPr>
        <w:t xml:space="preserve"> </w:t>
      </w:r>
    </w:p>
  </w:endnote>
  <w:endnote w:id="25">
    <w:p w14:paraId="1F9ECBFB" w14:textId="77777777" w:rsidR="00EB3003" w:rsidRDefault="00EB3003" w:rsidP="00E37C9C">
      <w:pPr>
        <w:pStyle w:val="ae"/>
      </w:pPr>
      <w:r>
        <w:rPr>
          <w:rStyle w:val="af0"/>
        </w:rPr>
        <w:endnoteRef/>
      </w:r>
      <w:r>
        <w:rPr>
          <w:rtl/>
        </w:rPr>
        <w:t xml:space="preserve"> </w:t>
      </w:r>
    </w:p>
  </w:endnote>
  <w:endnote w:id="26">
    <w:p w14:paraId="2BA2398E" w14:textId="77777777" w:rsidR="00EB3003" w:rsidRDefault="00EB3003" w:rsidP="00274334">
      <w:pPr>
        <w:pStyle w:val="ae"/>
      </w:pPr>
      <w:r>
        <w:rPr>
          <w:rStyle w:val="af0"/>
        </w:rPr>
        <w:endnoteRef/>
      </w:r>
      <w:r>
        <w:rPr>
          <w:rtl/>
        </w:rPr>
        <w:t xml:space="preserve"> </w:t>
      </w:r>
    </w:p>
  </w:endnote>
  <w:endnote w:id="27">
    <w:p w14:paraId="0986B875" w14:textId="77777777" w:rsidR="00EB3003" w:rsidRDefault="00EB3003" w:rsidP="00274334">
      <w:pPr>
        <w:pStyle w:val="ae"/>
      </w:pPr>
      <w:r>
        <w:rPr>
          <w:rStyle w:val="af0"/>
        </w:rPr>
        <w:endnoteRef/>
      </w:r>
      <w:r>
        <w:rPr>
          <w:rtl/>
        </w:rPr>
        <w:t xml:space="preserve"> </w:t>
      </w:r>
    </w:p>
  </w:endnote>
  <w:endnote w:id="28">
    <w:p w14:paraId="105F1901" w14:textId="77777777" w:rsidR="00EB3003" w:rsidRDefault="00EB3003" w:rsidP="00274334">
      <w:pPr>
        <w:pStyle w:val="ae"/>
      </w:pPr>
      <w:r>
        <w:rPr>
          <w:rStyle w:val="af0"/>
        </w:rPr>
        <w:endnoteRef/>
      </w:r>
      <w:r>
        <w:rPr>
          <w:rtl/>
        </w:rPr>
        <w:t xml:space="preserve"> </w:t>
      </w:r>
    </w:p>
  </w:endnote>
  <w:endnote w:id="29">
    <w:p w14:paraId="74589EC8" w14:textId="77777777" w:rsidR="00EB3003" w:rsidRDefault="00EB3003" w:rsidP="00793566">
      <w:pPr>
        <w:pStyle w:val="ae"/>
      </w:pPr>
      <w:r>
        <w:rPr>
          <w:rStyle w:val="af0"/>
        </w:rPr>
        <w:endnoteRef/>
      </w:r>
      <w:r>
        <w:rPr>
          <w:rtl/>
        </w:rPr>
        <w:t xml:space="preserve"> </w:t>
      </w:r>
    </w:p>
  </w:endnote>
  <w:endnote w:id="30">
    <w:p w14:paraId="2CC159BD" w14:textId="77777777" w:rsidR="00EB3003" w:rsidRDefault="00EB3003" w:rsidP="007B3F74">
      <w:pPr>
        <w:pStyle w:val="ae"/>
      </w:pPr>
      <w:r>
        <w:rPr>
          <w:rStyle w:val="af0"/>
        </w:rPr>
        <w:endnoteRef/>
      </w:r>
      <w:r>
        <w:rPr>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45B3" w14:textId="77777777" w:rsidR="00EF5DD9" w:rsidRPr="007205FA" w:rsidRDefault="007205FA"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EndPr/>
      <w:sdtContent>
        <w:r w:rsidR="00F32E4B" w:rsidRPr="007205FA">
          <w:rPr>
            <w:rFonts w:asciiTheme="minorBidi" w:hAnsiTheme="minorBidi"/>
          </w:rPr>
          <w:fldChar w:fldCharType="begin"/>
        </w:r>
        <w:r w:rsidR="00EF5DD9" w:rsidRPr="007205FA">
          <w:rPr>
            <w:rFonts w:asciiTheme="minorBidi" w:hAnsiTheme="minorBidi"/>
          </w:rPr>
          <w:instrText xml:space="preserve"> PAGE   \* MERGEFORMAT </w:instrText>
        </w:r>
        <w:r w:rsidR="00F32E4B" w:rsidRPr="007205FA">
          <w:rPr>
            <w:rFonts w:asciiTheme="minorBidi" w:hAnsiTheme="minorBidi"/>
          </w:rPr>
          <w:fldChar w:fldCharType="separate"/>
        </w:r>
        <w:r w:rsidR="00290DF8">
          <w:rPr>
            <w:rFonts w:asciiTheme="minorBidi" w:hAnsiTheme="minorBidi"/>
            <w:noProof/>
          </w:rPr>
          <w:t>1</w:t>
        </w:r>
        <w:r w:rsidR="00F32E4B" w:rsidRPr="007205FA">
          <w:rPr>
            <w:rFonts w:asciiTheme="minorBidi" w:hAnsiTheme="minorBidi"/>
            <w:noProof/>
          </w:rPr>
          <w:fldChar w:fldCharType="end"/>
        </w:r>
      </w:sdtContent>
    </w:sdt>
    <w:r w:rsidRPr="007205FA">
      <w:rPr>
        <w:rFonts w:asciiTheme="minorBidi" w:hAnsiTheme="minorBidi"/>
      </w:rPr>
      <w:tab/>
    </w:r>
  </w:p>
  <w:p w14:paraId="511EBE77" w14:textId="77777777" w:rsidR="00EF5DD9" w:rsidRPr="007205FA" w:rsidRDefault="00EF5DD9" w:rsidP="007205FA">
    <w:pPr>
      <w:pStyle w:val="a5"/>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6AC9" w14:textId="77777777" w:rsidR="00E568C2" w:rsidRDefault="00E568C2" w:rsidP="00EF5DD9">
      <w:pPr>
        <w:spacing w:after="0" w:line="240" w:lineRule="auto"/>
      </w:pPr>
      <w:r>
        <w:separator/>
      </w:r>
    </w:p>
  </w:footnote>
  <w:footnote w:type="continuationSeparator" w:id="0">
    <w:p w14:paraId="619D875C" w14:textId="77777777" w:rsidR="00E568C2" w:rsidRDefault="00E568C2" w:rsidP="00EF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648D" w14:textId="77777777" w:rsidR="00EF5DD9" w:rsidRDefault="00EF5DD9" w:rsidP="007205FA">
    <w:pPr>
      <w:pStyle w:val="a3"/>
      <w:pBdr>
        <w:bottom w:val="single" w:sz="4" w:space="1" w:color="auto"/>
      </w:pBdr>
    </w:pPr>
    <w:r>
      <w:rPr>
        <w:noProof/>
        <w:lang w:bidi="ar-SA"/>
      </w:rPr>
      <w:drawing>
        <wp:inline distT="0" distB="0" distL="0" distR="0" wp14:anchorId="7078E28E" wp14:editId="68985DE4">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FCC"/>
    <w:multiLevelType w:val="multilevel"/>
    <w:tmpl w:val="9E48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45974"/>
    <w:multiLevelType w:val="multilevel"/>
    <w:tmpl w:val="0448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52FEB"/>
    <w:multiLevelType w:val="hybridMultilevel"/>
    <w:tmpl w:val="66BA6C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57A57"/>
    <w:multiLevelType w:val="hybridMultilevel"/>
    <w:tmpl w:val="74F0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9522E"/>
    <w:multiLevelType w:val="multilevel"/>
    <w:tmpl w:val="59D80AA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AE08AF"/>
    <w:multiLevelType w:val="multilevel"/>
    <w:tmpl w:val="AF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86B6C"/>
    <w:multiLevelType w:val="multilevel"/>
    <w:tmpl w:val="DE38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55"/>
    <w:rsid w:val="00025D19"/>
    <w:rsid w:val="00057E0D"/>
    <w:rsid w:val="00062C69"/>
    <w:rsid w:val="000E5D49"/>
    <w:rsid w:val="00107085"/>
    <w:rsid w:val="001346F5"/>
    <w:rsid w:val="001612B2"/>
    <w:rsid w:val="0022494C"/>
    <w:rsid w:val="0024139E"/>
    <w:rsid w:val="0027272B"/>
    <w:rsid w:val="00274334"/>
    <w:rsid w:val="00290DF8"/>
    <w:rsid w:val="002A587B"/>
    <w:rsid w:val="002D76C3"/>
    <w:rsid w:val="0032252E"/>
    <w:rsid w:val="0032329F"/>
    <w:rsid w:val="00351B78"/>
    <w:rsid w:val="00365C76"/>
    <w:rsid w:val="003749DB"/>
    <w:rsid w:val="003B7085"/>
    <w:rsid w:val="003F440E"/>
    <w:rsid w:val="0044670E"/>
    <w:rsid w:val="004671F9"/>
    <w:rsid w:val="004A09C7"/>
    <w:rsid w:val="004B101B"/>
    <w:rsid w:val="004E1C22"/>
    <w:rsid w:val="005120C1"/>
    <w:rsid w:val="00564FED"/>
    <w:rsid w:val="005A0748"/>
    <w:rsid w:val="005A0B96"/>
    <w:rsid w:val="005D21C9"/>
    <w:rsid w:val="005D6242"/>
    <w:rsid w:val="00612261"/>
    <w:rsid w:val="00622E0B"/>
    <w:rsid w:val="006249BC"/>
    <w:rsid w:val="00635F5E"/>
    <w:rsid w:val="00642668"/>
    <w:rsid w:val="00666FA3"/>
    <w:rsid w:val="0067265A"/>
    <w:rsid w:val="00680CA8"/>
    <w:rsid w:val="006925ED"/>
    <w:rsid w:val="007205FA"/>
    <w:rsid w:val="00721DA2"/>
    <w:rsid w:val="00793566"/>
    <w:rsid w:val="007B3F74"/>
    <w:rsid w:val="007C1426"/>
    <w:rsid w:val="008241B8"/>
    <w:rsid w:val="00851D0E"/>
    <w:rsid w:val="0089339A"/>
    <w:rsid w:val="00893BB2"/>
    <w:rsid w:val="008A753D"/>
    <w:rsid w:val="008D52C3"/>
    <w:rsid w:val="00913855"/>
    <w:rsid w:val="00936960"/>
    <w:rsid w:val="0095013F"/>
    <w:rsid w:val="009A0D45"/>
    <w:rsid w:val="009A517F"/>
    <w:rsid w:val="009D21E7"/>
    <w:rsid w:val="009E26F4"/>
    <w:rsid w:val="00A01A41"/>
    <w:rsid w:val="00A623A4"/>
    <w:rsid w:val="00A6439F"/>
    <w:rsid w:val="00A664CC"/>
    <w:rsid w:val="00AB0C46"/>
    <w:rsid w:val="00AE0619"/>
    <w:rsid w:val="00AF1425"/>
    <w:rsid w:val="00B236CA"/>
    <w:rsid w:val="00B90E25"/>
    <w:rsid w:val="00B97F61"/>
    <w:rsid w:val="00BC7A46"/>
    <w:rsid w:val="00C04BAF"/>
    <w:rsid w:val="00C57922"/>
    <w:rsid w:val="00C92E9C"/>
    <w:rsid w:val="00CE34EA"/>
    <w:rsid w:val="00CE5210"/>
    <w:rsid w:val="00D868B2"/>
    <w:rsid w:val="00DB7B2D"/>
    <w:rsid w:val="00DD2557"/>
    <w:rsid w:val="00DD4D55"/>
    <w:rsid w:val="00DE421F"/>
    <w:rsid w:val="00E37C9C"/>
    <w:rsid w:val="00E431E8"/>
    <w:rsid w:val="00E568C2"/>
    <w:rsid w:val="00E60E97"/>
    <w:rsid w:val="00E66448"/>
    <w:rsid w:val="00E727A8"/>
    <w:rsid w:val="00EB3003"/>
    <w:rsid w:val="00EC27D8"/>
    <w:rsid w:val="00EE231C"/>
    <w:rsid w:val="00EF5DD9"/>
    <w:rsid w:val="00F32E4B"/>
    <w:rsid w:val="00F541E3"/>
    <w:rsid w:val="00F66DF3"/>
    <w:rsid w:val="00F842EE"/>
    <w:rsid w:val="00FA10B1"/>
    <w:rsid w:val="00FF13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D407"/>
  <w15:docId w15:val="{FB4F9704-FE1A-4C67-A847-FAD54F41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List Paragraph"/>
    <w:basedOn w:val="a"/>
    <w:uiPriority w:val="34"/>
    <w:qFormat/>
    <w:rsid w:val="00622E0B"/>
    <w:pPr>
      <w:ind w:left="720"/>
      <w:contextualSpacing/>
    </w:pPr>
  </w:style>
  <w:style w:type="paragraph" w:styleId="ab">
    <w:name w:val="footnote text"/>
    <w:basedOn w:val="a"/>
    <w:link w:val="ac"/>
    <w:uiPriority w:val="99"/>
    <w:semiHidden/>
    <w:unhideWhenUsed/>
    <w:rsid w:val="004B101B"/>
    <w:pPr>
      <w:bidi/>
      <w:spacing w:after="0" w:line="240" w:lineRule="auto"/>
    </w:pPr>
    <w:rPr>
      <w:sz w:val="20"/>
      <w:szCs w:val="20"/>
    </w:rPr>
  </w:style>
  <w:style w:type="character" w:customStyle="1" w:styleId="ac">
    <w:name w:val="טקסט הערת שוליים תו"/>
    <w:basedOn w:val="a0"/>
    <w:link w:val="ab"/>
    <w:uiPriority w:val="99"/>
    <w:semiHidden/>
    <w:rsid w:val="004B101B"/>
    <w:rPr>
      <w:sz w:val="20"/>
      <w:szCs w:val="20"/>
    </w:rPr>
  </w:style>
  <w:style w:type="character" w:styleId="ad">
    <w:name w:val="footnote reference"/>
    <w:basedOn w:val="a0"/>
    <w:uiPriority w:val="99"/>
    <w:semiHidden/>
    <w:unhideWhenUsed/>
    <w:rsid w:val="004B101B"/>
    <w:rPr>
      <w:vertAlign w:val="superscript"/>
    </w:rPr>
  </w:style>
  <w:style w:type="paragraph" w:styleId="ae">
    <w:name w:val="endnote text"/>
    <w:basedOn w:val="a"/>
    <w:link w:val="af"/>
    <w:uiPriority w:val="99"/>
    <w:semiHidden/>
    <w:unhideWhenUsed/>
    <w:rsid w:val="00EB3003"/>
    <w:pPr>
      <w:spacing w:after="0" w:line="240" w:lineRule="auto"/>
    </w:pPr>
    <w:rPr>
      <w:sz w:val="20"/>
      <w:szCs w:val="20"/>
    </w:rPr>
  </w:style>
  <w:style w:type="character" w:customStyle="1" w:styleId="af">
    <w:name w:val="טקסט הערת סיום תו"/>
    <w:basedOn w:val="a0"/>
    <w:link w:val="ae"/>
    <w:uiPriority w:val="99"/>
    <w:semiHidden/>
    <w:rsid w:val="00EB3003"/>
    <w:rPr>
      <w:sz w:val="20"/>
      <w:szCs w:val="20"/>
    </w:rPr>
  </w:style>
  <w:style w:type="character" w:styleId="af0">
    <w:name w:val="endnote reference"/>
    <w:basedOn w:val="a0"/>
    <w:uiPriority w:val="99"/>
    <w:semiHidden/>
    <w:unhideWhenUsed/>
    <w:rsid w:val="00EB3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deathblows-to-a-pregnant-woman-what-restitution-was-requir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etorah.com/article/how-exodus-revises-the-laws-of-hammurabi" TargetMode="External"/><Relationship Id="rId4" Type="http://schemas.openxmlformats.org/officeDocument/2006/relationships/settings" Target="settings.xml"/><Relationship Id="rId9" Type="http://schemas.openxmlformats.org/officeDocument/2006/relationships/hyperlink" Target="https://www.thetorah.com/article/how-exodus-revises-the-laws-of-hammurab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6762F-C8DB-4CD8-9290-BF0D50CF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(1).dotx</Template>
  <TotalTime>170</TotalTime>
  <Pages>30</Pages>
  <Words>6264</Words>
  <Characters>31325</Characters>
  <Application>Microsoft Office Word</Application>
  <DocSecurity>0</DocSecurity>
  <Lines>261</Lines>
  <Paragraphs>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Zehava</cp:lastModifiedBy>
  <cp:revision>42</cp:revision>
  <dcterms:created xsi:type="dcterms:W3CDTF">2021-12-25T19:20:00Z</dcterms:created>
  <dcterms:modified xsi:type="dcterms:W3CDTF">2021-12-27T13:44:00Z</dcterms:modified>
</cp:coreProperties>
</file>