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04CDE" w14:textId="4A76B8A2" w:rsidR="0030710E" w:rsidRPr="0048148E" w:rsidRDefault="0030710E" w:rsidP="0048148E">
      <w:pPr>
        <w:spacing w:line="360" w:lineRule="auto"/>
        <w:jc w:val="center"/>
        <w:rPr>
          <w:rFonts w:asciiTheme="majorBidi" w:hAnsiTheme="majorBidi" w:cstheme="majorBidi"/>
          <w:b/>
          <w:bCs/>
          <w:sz w:val="24"/>
          <w:szCs w:val="24"/>
          <w:lang w:val="en-US"/>
        </w:rPr>
      </w:pPr>
      <w:r w:rsidRPr="0048148E">
        <w:rPr>
          <w:rFonts w:asciiTheme="majorBidi" w:hAnsiTheme="majorBidi" w:cstheme="majorBidi"/>
          <w:b/>
          <w:bCs/>
          <w:sz w:val="24"/>
          <w:szCs w:val="24"/>
          <w:lang w:val="en-US"/>
        </w:rPr>
        <w:t>The Tent of Meeting in Samuel and Kings</w:t>
      </w:r>
    </w:p>
    <w:p w14:paraId="4795E9B4" w14:textId="4544EC4C" w:rsidR="0030710E" w:rsidRPr="0048148E" w:rsidRDefault="0030710E" w:rsidP="0048148E">
      <w:pPr>
        <w:spacing w:line="360" w:lineRule="auto"/>
        <w:rPr>
          <w:rFonts w:asciiTheme="majorBidi" w:hAnsiTheme="majorBidi" w:cstheme="majorBidi"/>
          <w:sz w:val="24"/>
          <w:szCs w:val="24"/>
          <w:lang w:val="en-US"/>
        </w:rPr>
      </w:pPr>
      <w:r w:rsidRPr="0048148E">
        <w:rPr>
          <w:rFonts w:asciiTheme="majorBidi" w:hAnsiTheme="majorBidi" w:cstheme="majorBidi"/>
          <w:sz w:val="24"/>
          <w:szCs w:val="24"/>
          <w:lang w:val="en-US"/>
        </w:rPr>
        <w:t>The term “Tent of Meeting” (</w:t>
      </w:r>
      <w:r w:rsidRPr="0048148E">
        <w:rPr>
          <w:rFonts w:asciiTheme="majorBidi" w:hAnsiTheme="majorBidi" w:cstheme="majorBidi"/>
          <w:i/>
          <w:iCs/>
          <w:sz w:val="24"/>
          <w:szCs w:val="24"/>
          <w:lang w:val="en-US"/>
        </w:rPr>
        <w:t xml:space="preserve">Ohel </w:t>
      </w:r>
      <w:proofErr w:type="spellStart"/>
      <w:r w:rsidRPr="0048148E">
        <w:rPr>
          <w:rFonts w:asciiTheme="majorBidi" w:hAnsiTheme="majorBidi" w:cstheme="majorBidi"/>
          <w:i/>
          <w:iCs/>
          <w:sz w:val="24"/>
          <w:szCs w:val="24"/>
          <w:lang w:val="en-US"/>
        </w:rPr>
        <w:t>Mo’ed</w:t>
      </w:r>
      <w:proofErr w:type="spellEnd"/>
      <w:r w:rsidRPr="0048148E">
        <w:rPr>
          <w:rFonts w:asciiTheme="majorBidi" w:hAnsiTheme="majorBidi" w:cstheme="majorBidi"/>
          <w:sz w:val="24"/>
          <w:szCs w:val="24"/>
          <w:lang w:val="en-US"/>
        </w:rPr>
        <w:t>)</w:t>
      </w:r>
      <w:r w:rsidRPr="0048148E">
        <w:rPr>
          <w:rFonts w:asciiTheme="majorBidi" w:hAnsiTheme="majorBidi" w:cstheme="majorBidi"/>
          <w:i/>
          <w:iCs/>
          <w:sz w:val="24"/>
          <w:szCs w:val="24"/>
          <w:lang w:val="en-US"/>
        </w:rPr>
        <w:t xml:space="preserve"> </w:t>
      </w:r>
      <w:r w:rsidRPr="0048148E">
        <w:rPr>
          <w:rFonts w:asciiTheme="majorBidi" w:hAnsiTheme="majorBidi" w:cstheme="majorBidi"/>
          <w:sz w:val="24"/>
          <w:szCs w:val="24"/>
          <w:lang w:val="en-US"/>
        </w:rPr>
        <w:t xml:space="preserve">was </w:t>
      </w:r>
      <w:r w:rsidR="000118DC">
        <w:rPr>
          <w:rFonts w:asciiTheme="majorBidi" w:hAnsiTheme="majorBidi" w:cstheme="majorBidi"/>
          <w:sz w:val="24"/>
          <w:szCs w:val="24"/>
          <w:lang w:val="en-US"/>
        </w:rPr>
        <w:t>known in</w:t>
      </w:r>
      <w:r w:rsidRPr="0048148E">
        <w:rPr>
          <w:rFonts w:asciiTheme="majorBidi" w:hAnsiTheme="majorBidi" w:cstheme="majorBidi"/>
          <w:sz w:val="24"/>
          <w:szCs w:val="24"/>
          <w:lang w:val="en-US"/>
        </w:rPr>
        <w:t xml:space="preserve"> Israel’s early traditions even </w:t>
      </w:r>
      <w:r w:rsidR="000118DC">
        <w:rPr>
          <w:rFonts w:asciiTheme="majorBidi" w:hAnsiTheme="majorBidi" w:cstheme="majorBidi"/>
          <w:sz w:val="24"/>
          <w:szCs w:val="24"/>
          <w:lang w:val="en-US"/>
        </w:rPr>
        <w:t>outside of</w:t>
      </w:r>
      <w:r w:rsidRPr="0048148E">
        <w:rPr>
          <w:rFonts w:asciiTheme="majorBidi" w:hAnsiTheme="majorBidi" w:cstheme="majorBidi"/>
          <w:sz w:val="24"/>
          <w:szCs w:val="24"/>
          <w:lang w:val="en-US"/>
        </w:rPr>
        <w:t xml:space="preserve"> the </w:t>
      </w:r>
      <w:r w:rsidR="000D575F" w:rsidRPr="0048148E">
        <w:rPr>
          <w:rFonts w:asciiTheme="majorBidi" w:hAnsiTheme="majorBidi" w:cstheme="majorBidi"/>
          <w:sz w:val="24"/>
          <w:szCs w:val="24"/>
          <w:lang w:val="en-US"/>
        </w:rPr>
        <w:t>Priestly</w:t>
      </w:r>
      <w:r w:rsidRPr="0048148E">
        <w:rPr>
          <w:rFonts w:asciiTheme="majorBidi" w:hAnsiTheme="majorBidi" w:cstheme="majorBidi"/>
          <w:sz w:val="24"/>
          <w:szCs w:val="24"/>
          <w:lang w:val="en-US"/>
        </w:rPr>
        <w:t xml:space="preserve"> </w:t>
      </w:r>
      <w:r w:rsidR="00486499">
        <w:rPr>
          <w:rFonts w:asciiTheme="majorBidi" w:hAnsiTheme="majorBidi" w:cstheme="majorBidi"/>
          <w:sz w:val="24"/>
          <w:szCs w:val="24"/>
          <w:lang w:val="en-US"/>
        </w:rPr>
        <w:t>milieu</w:t>
      </w:r>
      <w:r w:rsidRPr="0048148E">
        <w:rPr>
          <w:rFonts w:asciiTheme="majorBidi" w:hAnsiTheme="majorBidi" w:cstheme="majorBidi"/>
          <w:sz w:val="24"/>
          <w:szCs w:val="24"/>
          <w:lang w:val="en-US"/>
        </w:rPr>
        <w:t xml:space="preserve">, but </w:t>
      </w:r>
      <w:r w:rsidR="00145FAF">
        <w:rPr>
          <w:rFonts w:asciiTheme="majorBidi" w:hAnsiTheme="majorBidi" w:cstheme="majorBidi"/>
          <w:sz w:val="24"/>
          <w:szCs w:val="24"/>
          <w:lang w:val="en-US"/>
        </w:rPr>
        <w:t>in those traditions</w:t>
      </w:r>
      <w:r w:rsidR="00145FAF">
        <w:rPr>
          <w:rFonts w:asciiTheme="majorBidi" w:hAnsiTheme="majorBidi" w:cstheme="majorBidi"/>
          <w:sz w:val="24"/>
          <w:szCs w:val="24"/>
          <w:lang w:val="en-US"/>
        </w:rPr>
        <w:t>,</w:t>
      </w:r>
      <w:r w:rsidR="00145FAF" w:rsidRPr="0048148E">
        <w:rPr>
          <w:rFonts w:asciiTheme="majorBidi" w:hAnsiTheme="majorBidi" w:cstheme="majorBidi"/>
          <w:sz w:val="24"/>
          <w:szCs w:val="24"/>
          <w:lang w:val="en-US"/>
        </w:rPr>
        <w:t xml:space="preserve"> </w:t>
      </w:r>
      <w:r w:rsidRPr="0048148E">
        <w:rPr>
          <w:rFonts w:asciiTheme="majorBidi" w:hAnsiTheme="majorBidi" w:cstheme="majorBidi"/>
          <w:sz w:val="24"/>
          <w:szCs w:val="24"/>
          <w:lang w:val="en-US"/>
        </w:rPr>
        <w:t xml:space="preserve">it was </w:t>
      </w:r>
      <w:r w:rsidR="00451B72">
        <w:rPr>
          <w:rFonts w:asciiTheme="majorBidi" w:hAnsiTheme="majorBidi" w:cstheme="majorBidi"/>
          <w:sz w:val="24"/>
          <w:szCs w:val="24"/>
          <w:lang w:val="en-US"/>
        </w:rPr>
        <w:t>conceived of</w:t>
      </w:r>
      <w:r w:rsidRPr="0048148E">
        <w:rPr>
          <w:rFonts w:asciiTheme="majorBidi" w:hAnsiTheme="majorBidi" w:cstheme="majorBidi"/>
          <w:sz w:val="24"/>
          <w:szCs w:val="24"/>
          <w:lang w:val="en-US"/>
        </w:rPr>
        <w:t xml:space="preserve"> differently</w:t>
      </w:r>
      <w:r w:rsidR="00451B72">
        <w:rPr>
          <w:rFonts w:asciiTheme="majorBidi" w:hAnsiTheme="majorBidi" w:cstheme="majorBidi"/>
          <w:sz w:val="24"/>
          <w:szCs w:val="24"/>
          <w:lang w:val="en-US"/>
        </w:rPr>
        <w:t xml:space="preserve"> </w:t>
      </w:r>
      <w:r w:rsidRPr="0048148E">
        <w:rPr>
          <w:rFonts w:asciiTheme="majorBidi" w:hAnsiTheme="majorBidi" w:cstheme="majorBidi"/>
          <w:sz w:val="24"/>
          <w:szCs w:val="24"/>
          <w:lang w:val="en-US"/>
        </w:rPr>
        <w:t xml:space="preserve">than the </w:t>
      </w:r>
      <w:r w:rsidR="000D575F" w:rsidRPr="0048148E">
        <w:rPr>
          <w:rFonts w:asciiTheme="majorBidi" w:hAnsiTheme="majorBidi" w:cstheme="majorBidi"/>
          <w:sz w:val="24"/>
          <w:szCs w:val="24"/>
          <w:lang w:val="en-US"/>
        </w:rPr>
        <w:t>Priestly</w:t>
      </w:r>
      <w:r w:rsidRPr="0048148E">
        <w:rPr>
          <w:rFonts w:asciiTheme="majorBidi" w:hAnsiTheme="majorBidi" w:cstheme="majorBidi"/>
          <w:sz w:val="24"/>
          <w:szCs w:val="24"/>
          <w:lang w:val="en-US"/>
        </w:rPr>
        <w:t xml:space="preserve"> concept</w:t>
      </w:r>
      <w:r w:rsidR="00145FAF">
        <w:rPr>
          <w:rFonts w:asciiTheme="majorBidi" w:hAnsiTheme="majorBidi" w:cstheme="majorBidi"/>
          <w:sz w:val="24"/>
          <w:szCs w:val="24"/>
          <w:lang w:val="en-US"/>
        </w:rPr>
        <w:t>ion</w:t>
      </w:r>
      <w:r w:rsidRPr="0048148E">
        <w:rPr>
          <w:rFonts w:asciiTheme="majorBidi" w:hAnsiTheme="majorBidi" w:cstheme="majorBidi"/>
          <w:sz w:val="24"/>
          <w:szCs w:val="24"/>
          <w:lang w:val="en-US"/>
        </w:rPr>
        <w:t xml:space="preserve"> in the Torah. </w:t>
      </w:r>
      <w:r w:rsidR="00A513F6">
        <w:rPr>
          <w:rFonts w:asciiTheme="majorBidi" w:hAnsiTheme="majorBidi" w:cstheme="majorBidi"/>
          <w:sz w:val="24"/>
          <w:szCs w:val="24"/>
          <w:lang w:val="en-US"/>
        </w:rPr>
        <w:t>T</w:t>
      </w:r>
      <w:r w:rsidRPr="0048148E">
        <w:rPr>
          <w:rFonts w:asciiTheme="majorBidi" w:hAnsiTheme="majorBidi" w:cstheme="majorBidi"/>
          <w:sz w:val="24"/>
          <w:szCs w:val="24"/>
          <w:lang w:val="en-US"/>
        </w:rPr>
        <w:t xml:space="preserve">he </w:t>
      </w:r>
      <w:r w:rsidR="000D575F" w:rsidRPr="0048148E">
        <w:rPr>
          <w:rFonts w:asciiTheme="majorBidi" w:hAnsiTheme="majorBidi" w:cstheme="majorBidi"/>
          <w:sz w:val="24"/>
          <w:szCs w:val="24"/>
          <w:lang w:val="en-US"/>
        </w:rPr>
        <w:t>Priestly</w:t>
      </w:r>
      <w:r w:rsidRPr="0048148E">
        <w:rPr>
          <w:rFonts w:asciiTheme="majorBidi" w:hAnsiTheme="majorBidi" w:cstheme="majorBidi"/>
          <w:sz w:val="24"/>
          <w:szCs w:val="24"/>
          <w:lang w:val="en-US"/>
        </w:rPr>
        <w:t xml:space="preserve"> Tent of Meeting is </w:t>
      </w:r>
      <w:r w:rsidR="00A513F6">
        <w:rPr>
          <w:rFonts w:asciiTheme="majorBidi" w:hAnsiTheme="majorBidi" w:cstheme="majorBidi"/>
          <w:sz w:val="24"/>
          <w:szCs w:val="24"/>
          <w:lang w:val="en-US"/>
        </w:rPr>
        <w:t xml:space="preserve">identified with </w:t>
      </w:r>
      <w:r w:rsidRPr="0048148E">
        <w:rPr>
          <w:rFonts w:asciiTheme="majorBidi" w:hAnsiTheme="majorBidi" w:cstheme="majorBidi"/>
          <w:sz w:val="24"/>
          <w:szCs w:val="24"/>
          <w:lang w:val="en-US"/>
        </w:rPr>
        <w:t xml:space="preserve">the </w:t>
      </w:r>
      <w:proofErr w:type="spellStart"/>
      <w:r w:rsidRPr="0048148E">
        <w:rPr>
          <w:rFonts w:asciiTheme="majorBidi" w:hAnsiTheme="majorBidi" w:cstheme="majorBidi"/>
          <w:i/>
          <w:iCs/>
          <w:sz w:val="24"/>
          <w:szCs w:val="24"/>
          <w:lang w:val="en-US"/>
        </w:rPr>
        <w:t>Mishkan</w:t>
      </w:r>
      <w:proofErr w:type="spellEnd"/>
      <w:r w:rsidRPr="0048148E">
        <w:rPr>
          <w:rFonts w:asciiTheme="majorBidi" w:hAnsiTheme="majorBidi" w:cstheme="majorBidi"/>
          <w:sz w:val="24"/>
          <w:szCs w:val="24"/>
          <w:lang w:val="en-US"/>
        </w:rPr>
        <w:t xml:space="preserve">, the </w:t>
      </w:r>
      <w:r w:rsidR="00AD47B5" w:rsidRPr="0048148E">
        <w:rPr>
          <w:rFonts w:asciiTheme="majorBidi" w:hAnsiTheme="majorBidi" w:cstheme="majorBidi"/>
          <w:sz w:val="24"/>
          <w:szCs w:val="24"/>
          <w:lang w:val="en-US"/>
        </w:rPr>
        <w:t>Tabernacle</w:t>
      </w:r>
      <w:r w:rsidRPr="0048148E">
        <w:rPr>
          <w:rFonts w:asciiTheme="majorBidi" w:hAnsiTheme="majorBidi" w:cstheme="majorBidi"/>
          <w:sz w:val="24"/>
          <w:szCs w:val="24"/>
          <w:lang w:val="en-US"/>
        </w:rPr>
        <w:t xml:space="preserve">, a place where the </w:t>
      </w:r>
      <w:r w:rsidR="00AD47B5" w:rsidRPr="0048148E">
        <w:rPr>
          <w:rFonts w:asciiTheme="majorBidi" w:hAnsiTheme="majorBidi" w:cstheme="majorBidi"/>
          <w:sz w:val="24"/>
          <w:szCs w:val="24"/>
          <w:lang w:val="en-US"/>
        </w:rPr>
        <w:t>Divine</w:t>
      </w:r>
      <w:r w:rsidRPr="0048148E">
        <w:rPr>
          <w:rFonts w:asciiTheme="majorBidi" w:hAnsiTheme="majorBidi" w:cstheme="majorBidi"/>
          <w:sz w:val="24"/>
          <w:szCs w:val="24"/>
          <w:lang w:val="en-US"/>
        </w:rPr>
        <w:t xml:space="preserve"> presence rests</w:t>
      </w:r>
      <w:r w:rsidR="00A513F6">
        <w:rPr>
          <w:rFonts w:asciiTheme="majorBidi" w:hAnsiTheme="majorBidi" w:cstheme="majorBidi"/>
          <w:sz w:val="24"/>
          <w:szCs w:val="24"/>
          <w:lang w:val="en-US"/>
        </w:rPr>
        <w:t>,</w:t>
      </w:r>
      <w:r w:rsidRPr="0048148E">
        <w:rPr>
          <w:rFonts w:asciiTheme="majorBidi" w:hAnsiTheme="majorBidi" w:cstheme="majorBidi"/>
          <w:sz w:val="24"/>
          <w:szCs w:val="24"/>
          <w:lang w:val="en-US"/>
        </w:rPr>
        <w:t xml:space="preserve"> and the repository of all the </w:t>
      </w:r>
      <w:r w:rsidR="00657D85" w:rsidRPr="0048148E">
        <w:rPr>
          <w:rFonts w:asciiTheme="majorBidi" w:hAnsiTheme="majorBidi" w:cstheme="majorBidi"/>
          <w:sz w:val="24"/>
          <w:szCs w:val="24"/>
          <w:lang w:val="en-US"/>
        </w:rPr>
        <w:t xml:space="preserve">cultic and holy vessels. The </w:t>
      </w:r>
      <w:r w:rsidR="00AD47B5" w:rsidRPr="0048148E">
        <w:rPr>
          <w:rFonts w:asciiTheme="majorBidi" w:hAnsiTheme="majorBidi" w:cstheme="majorBidi"/>
          <w:sz w:val="24"/>
          <w:szCs w:val="24"/>
          <w:lang w:val="en-US"/>
        </w:rPr>
        <w:t>Tabernacle</w:t>
      </w:r>
      <w:r w:rsidR="00657D85" w:rsidRPr="0048148E">
        <w:rPr>
          <w:rFonts w:asciiTheme="majorBidi" w:hAnsiTheme="majorBidi" w:cstheme="majorBidi"/>
          <w:sz w:val="24"/>
          <w:szCs w:val="24"/>
          <w:lang w:val="en-US"/>
        </w:rPr>
        <w:t xml:space="preserve"> served as a central place for the nation’s sacrificial rites and the place where the deity convened with Moses. As the scholar honored in this </w:t>
      </w:r>
      <w:r w:rsidR="00657D85" w:rsidRPr="0048148E">
        <w:rPr>
          <w:rFonts w:asciiTheme="majorBidi" w:hAnsiTheme="majorBidi" w:cstheme="majorBidi"/>
          <w:i/>
          <w:iCs/>
          <w:sz w:val="24"/>
          <w:szCs w:val="24"/>
          <w:lang w:val="en-US"/>
        </w:rPr>
        <w:t>festschrift</w:t>
      </w:r>
      <w:r w:rsidR="00657D85" w:rsidRPr="0048148E">
        <w:rPr>
          <w:rFonts w:asciiTheme="majorBidi" w:hAnsiTheme="majorBidi" w:cstheme="majorBidi"/>
          <w:sz w:val="24"/>
          <w:szCs w:val="24"/>
          <w:lang w:val="en-US"/>
        </w:rPr>
        <w:t xml:space="preserve"> has defined it, the </w:t>
      </w:r>
      <w:r w:rsidR="00AD47B5" w:rsidRPr="0048148E">
        <w:rPr>
          <w:rFonts w:asciiTheme="majorBidi" w:hAnsiTheme="majorBidi" w:cstheme="majorBidi"/>
          <w:sz w:val="24"/>
          <w:szCs w:val="24"/>
          <w:lang w:val="en-US"/>
        </w:rPr>
        <w:t>Tabernacle</w:t>
      </w:r>
      <w:r w:rsidR="00657D85" w:rsidRPr="0048148E">
        <w:rPr>
          <w:rFonts w:asciiTheme="majorBidi" w:hAnsiTheme="majorBidi" w:cstheme="majorBidi"/>
          <w:sz w:val="24"/>
          <w:szCs w:val="24"/>
          <w:lang w:val="en-US"/>
        </w:rPr>
        <w:t xml:space="preserve"> also </w:t>
      </w:r>
      <w:r w:rsidR="00F90AB5" w:rsidRPr="0048148E">
        <w:rPr>
          <w:rFonts w:asciiTheme="majorBidi" w:hAnsiTheme="majorBidi" w:cstheme="majorBidi"/>
          <w:sz w:val="24"/>
          <w:szCs w:val="24"/>
          <w:lang w:val="en-US"/>
        </w:rPr>
        <w:t xml:space="preserve">held a central role in the </w:t>
      </w:r>
      <w:r w:rsidR="000D575F" w:rsidRPr="0048148E">
        <w:rPr>
          <w:rFonts w:asciiTheme="majorBidi" w:hAnsiTheme="majorBidi" w:cstheme="majorBidi"/>
          <w:sz w:val="24"/>
          <w:szCs w:val="24"/>
          <w:lang w:val="en-US"/>
        </w:rPr>
        <w:t>Priestly</w:t>
      </w:r>
      <w:r w:rsidR="00F90AB5" w:rsidRPr="0048148E">
        <w:rPr>
          <w:rFonts w:asciiTheme="majorBidi" w:hAnsiTheme="majorBidi" w:cstheme="majorBidi"/>
          <w:sz w:val="24"/>
          <w:szCs w:val="24"/>
          <w:lang w:val="en-US"/>
        </w:rPr>
        <w:t xml:space="preserve"> narrative:</w:t>
      </w:r>
    </w:p>
    <w:p w14:paraId="67966383" w14:textId="781F546B" w:rsidR="00D17FB6" w:rsidRPr="0048148E" w:rsidRDefault="00F90AB5" w:rsidP="0048148E">
      <w:pPr>
        <w:spacing w:line="360" w:lineRule="auto"/>
        <w:rPr>
          <w:rFonts w:asciiTheme="majorBidi" w:hAnsiTheme="majorBidi" w:cstheme="majorBidi"/>
          <w:sz w:val="24"/>
          <w:szCs w:val="24"/>
          <w:lang w:val="en-US"/>
        </w:rPr>
      </w:pPr>
      <w:r w:rsidRPr="0048148E">
        <w:rPr>
          <w:rFonts w:asciiTheme="majorBidi" w:hAnsiTheme="majorBidi" w:cstheme="majorBidi"/>
          <w:sz w:val="24"/>
          <w:szCs w:val="24"/>
          <w:highlight w:val="yellow"/>
          <w:lang w:val="en-US"/>
        </w:rPr>
        <w:t>CITATION OMITTED</w:t>
      </w:r>
      <w:r w:rsidRPr="0048148E">
        <w:rPr>
          <w:rStyle w:val="FootnoteReference"/>
          <w:rFonts w:asciiTheme="majorBidi" w:hAnsiTheme="majorBidi" w:cstheme="majorBidi"/>
          <w:sz w:val="24"/>
          <w:szCs w:val="24"/>
          <w:highlight w:val="yellow"/>
          <w:lang w:val="en-US"/>
        </w:rPr>
        <w:footnoteReference w:id="1"/>
      </w:r>
    </w:p>
    <w:p w14:paraId="64F68A39" w14:textId="116CB6BF" w:rsidR="00F90AB5" w:rsidRPr="0048148E" w:rsidRDefault="00F90AB5" w:rsidP="004C4D4B">
      <w:pPr>
        <w:spacing w:line="360" w:lineRule="auto"/>
        <w:ind w:firstLine="720"/>
        <w:rPr>
          <w:rFonts w:asciiTheme="majorBidi" w:hAnsiTheme="majorBidi" w:cstheme="majorBidi"/>
          <w:sz w:val="24"/>
          <w:szCs w:val="24"/>
          <w:lang w:val="en-US"/>
        </w:rPr>
      </w:pPr>
      <w:r w:rsidRPr="0048148E">
        <w:rPr>
          <w:rFonts w:asciiTheme="majorBidi" w:hAnsiTheme="majorBidi" w:cstheme="majorBidi"/>
          <w:sz w:val="24"/>
          <w:szCs w:val="24"/>
          <w:lang w:val="en-US"/>
        </w:rPr>
        <w:t>The non-</w:t>
      </w:r>
      <w:r w:rsidR="000D575F" w:rsidRPr="0048148E">
        <w:rPr>
          <w:rFonts w:asciiTheme="majorBidi" w:hAnsiTheme="majorBidi" w:cstheme="majorBidi"/>
          <w:sz w:val="24"/>
          <w:szCs w:val="24"/>
          <w:lang w:val="en-US"/>
        </w:rPr>
        <w:t>Priestly</w:t>
      </w:r>
      <w:r w:rsidRPr="0048148E">
        <w:rPr>
          <w:rFonts w:asciiTheme="majorBidi" w:hAnsiTheme="majorBidi" w:cstheme="majorBidi"/>
          <w:sz w:val="24"/>
          <w:szCs w:val="24"/>
          <w:lang w:val="en-US"/>
        </w:rPr>
        <w:t xml:space="preserve"> tradition of the Torah recognizes a completely different “Tent of Meeting.” The term is identical, but its description, characteristics, and role are completely different. For example, the narrative in Ex 33:7-11 describes the Tent of Meeting as</w:t>
      </w:r>
      <w:r w:rsidR="00BF608C">
        <w:rPr>
          <w:rFonts w:asciiTheme="majorBidi" w:hAnsiTheme="majorBidi" w:cstheme="majorBidi"/>
          <w:sz w:val="24"/>
          <w:szCs w:val="24"/>
          <w:lang w:val="en-US"/>
        </w:rPr>
        <w:t xml:space="preserve"> </w:t>
      </w:r>
      <w:r w:rsidR="00BF608C" w:rsidRPr="00BF608C">
        <w:rPr>
          <w:rFonts w:asciiTheme="majorBidi" w:hAnsiTheme="majorBidi" w:cstheme="majorBidi" w:hint="cs"/>
          <w:sz w:val="24"/>
          <w:szCs w:val="24"/>
          <w:rtl/>
          <w:lang w:val="en-US"/>
        </w:rPr>
        <w:t>מחוץ למחנה הרחק מן המחנה</w:t>
      </w:r>
      <w:r w:rsidR="00BF608C">
        <w:rPr>
          <w:rFonts w:asciiTheme="majorBidi" w:hAnsiTheme="majorBidi" w:cstheme="majorBidi"/>
          <w:sz w:val="24"/>
          <w:szCs w:val="24"/>
          <w:lang w:val="en-US"/>
        </w:rPr>
        <w:t xml:space="preserve"> (</w:t>
      </w:r>
      <w:r w:rsidRPr="0048148E">
        <w:rPr>
          <w:rFonts w:asciiTheme="majorBidi" w:hAnsiTheme="majorBidi" w:cstheme="majorBidi"/>
          <w:sz w:val="24"/>
          <w:szCs w:val="24"/>
          <w:lang w:val="en-US"/>
        </w:rPr>
        <w:t>“</w:t>
      </w:r>
      <w:r w:rsidRPr="0048148E">
        <w:rPr>
          <w:rFonts w:asciiTheme="majorBidi" w:hAnsiTheme="majorBidi" w:cstheme="majorBidi"/>
          <w:sz w:val="24"/>
          <w:szCs w:val="24"/>
        </w:rPr>
        <w:t>outside the camp, far from the camp</w:t>
      </w:r>
      <w:r w:rsidR="00BF608C">
        <w:rPr>
          <w:rFonts w:asciiTheme="majorBidi" w:hAnsiTheme="majorBidi" w:cstheme="majorBidi"/>
          <w:sz w:val="24"/>
          <w:szCs w:val="24"/>
          <w:lang w:val="en-US"/>
        </w:rPr>
        <w:t>,</w:t>
      </w:r>
      <w:r w:rsidRPr="0048148E">
        <w:rPr>
          <w:rFonts w:asciiTheme="majorBidi" w:hAnsiTheme="majorBidi" w:cstheme="majorBidi"/>
          <w:sz w:val="24"/>
          <w:szCs w:val="24"/>
          <w:lang w:val="en-US"/>
        </w:rPr>
        <w:t>”</w:t>
      </w:r>
      <w:r w:rsidR="00BF608C">
        <w:rPr>
          <w:rFonts w:asciiTheme="majorBidi" w:hAnsiTheme="majorBidi" w:cstheme="majorBidi"/>
          <w:sz w:val="24"/>
          <w:szCs w:val="24"/>
          <w:lang w:val="en-US"/>
        </w:rPr>
        <w:t xml:space="preserve"> </w:t>
      </w:r>
      <w:r w:rsidRPr="0048148E">
        <w:rPr>
          <w:rFonts w:asciiTheme="majorBidi" w:hAnsiTheme="majorBidi" w:cstheme="majorBidi"/>
          <w:sz w:val="24"/>
          <w:szCs w:val="24"/>
          <w:lang w:val="en-US"/>
        </w:rPr>
        <w:t xml:space="preserve">Ex 33:7), in contrast to the </w:t>
      </w:r>
      <w:r w:rsidR="000D575F" w:rsidRPr="0048148E">
        <w:rPr>
          <w:rFonts w:asciiTheme="majorBidi" w:hAnsiTheme="majorBidi" w:cstheme="majorBidi"/>
          <w:sz w:val="24"/>
          <w:szCs w:val="24"/>
          <w:lang w:val="en-US"/>
        </w:rPr>
        <w:t>Priestly</w:t>
      </w:r>
      <w:r w:rsidRPr="0048148E">
        <w:rPr>
          <w:rFonts w:asciiTheme="majorBidi" w:hAnsiTheme="majorBidi" w:cstheme="majorBidi"/>
          <w:sz w:val="24"/>
          <w:szCs w:val="24"/>
          <w:lang w:val="en-US"/>
        </w:rPr>
        <w:t xml:space="preserve"> Tent of Meeting which was situated </w:t>
      </w:r>
      <w:r w:rsidR="00A513F6">
        <w:rPr>
          <w:rFonts w:asciiTheme="majorBidi" w:hAnsiTheme="majorBidi" w:cstheme="majorBidi"/>
          <w:sz w:val="24"/>
          <w:szCs w:val="24"/>
          <w:lang w:val="en-US"/>
        </w:rPr>
        <w:t>within</w:t>
      </w:r>
      <w:r w:rsidRPr="0048148E">
        <w:rPr>
          <w:rFonts w:asciiTheme="majorBidi" w:hAnsiTheme="majorBidi" w:cstheme="majorBidi"/>
          <w:sz w:val="24"/>
          <w:szCs w:val="24"/>
          <w:lang w:val="en-US"/>
        </w:rPr>
        <w:t xml:space="preserve"> the camp (for example, Num 2:2).</w:t>
      </w:r>
      <w:r w:rsidR="00A02653" w:rsidRPr="0048148E">
        <w:rPr>
          <w:rFonts w:asciiTheme="majorBidi" w:hAnsiTheme="majorBidi" w:cstheme="majorBidi"/>
          <w:sz w:val="24"/>
          <w:szCs w:val="24"/>
          <w:lang w:val="en-US"/>
        </w:rPr>
        <w:t xml:space="preserve"> In this Tent of Meeting the pillar of cloud descended and spoke with Moses outside the entrance to his tent (Ex 33:10), as opposed to the meeting which takes place in the </w:t>
      </w:r>
      <w:r w:rsidR="000D575F" w:rsidRPr="0048148E">
        <w:rPr>
          <w:rFonts w:asciiTheme="majorBidi" w:hAnsiTheme="majorBidi" w:cstheme="majorBidi"/>
          <w:sz w:val="24"/>
          <w:szCs w:val="24"/>
          <w:lang w:val="en-US"/>
        </w:rPr>
        <w:t>Priestly</w:t>
      </w:r>
      <w:r w:rsidR="00A02653" w:rsidRPr="0048148E">
        <w:rPr>
          <w:rFonts w:asciiTheme="majorBidi" w:hAnsiTheme="majorBidi" w:cstheme="majorBidi"/>
          <w:sz w:val="24"/>
          <w:szCs w:val="24"/>
          <w:lang w:val="en-US"/>
        </w:rPr>
        <w:t xml:space="preserve"> Tent of Meeting </w:t>
      </w:r>
      <w:r w:rsidR="00BF608C">
        <w:rPr>
          <w:rFonts w:asciiTheme="majorBidi" w:hAnsiTheme="majorBidi" w:cstheme="majorBidi" w:hint="cs"/>
          <w:sz w:val="24"/>
          <w:szCs w:val="24"/>
          <w:rtl/>
          <w:lang w:val="en-US"/>
        </w:rPr>
        <w:t>מעל הכפרת מבין שני הכרבים אשר על ארון העדת</w:t>
      </w:r>
      <w:r w:rsidR="00BF608C">
        <w:rPr>
          <w:rFonts w:asciiTheme="majorBidi" w:hAnsiTheme="majorBidi" w:cstheme="majorBidi"/>
          <w:sz w:val="24"/>
          <w:szCs w:val="24"/>
          <w:lang w:val="en-US"/>
        </w:rPr>
        <w:t xml:space="preserve"> (</w:t>
      </w:r>
      <w:r w:rsidR="00A02653" w:rsidRPr="0048148E">
        <w:rPr>
          <w:rFonts w:asciiTheme="majorBidi" w:hAnsiTheme="majorBidi" w:cstheme="majorBidi"/>
          <w:sz w:val="24"/>
          <w:szCs w:val="24"/>
          <w:lang w:val="en-US"/>
        </w:rPr>
        <w:t>“</w:t>
      </w:r>
      <w:r w:rsidR="00A02653" w:rsidRPr="0048148E">
        <w:rPr>
          <w:rFonts w:asciiTheme="majorBidi" w:hAnsiTheme="majorBidi" w:cstheme="majorBidi"/>
          <w:sz w:val="24"/>
          <w:szCs w:val="24"/>
        </w:rPr>
        <w:t>from between the two cherubim which are on the</w:t>
      </w:r>
      <w:r w:rsidR="009E31F3">
        <w:rPr>
          <w:rFonts w:asciiTheme="majorBidi" w:hAnsiTheme="majorBidi" w:cstheme="majorBidi"/>
          <w:sz w:val="24"/>
          <w:szCs w:val="24"/>
        </w:rPr>
        <w:t xml:space="preserve"> Ark </w:t>
      </w:r>
      <w:r w:rsidR="00A02653" w:rsidRPr="0048148E">
        <w:rPr>
          <w:rFonts w:asciiTheme="majorBidi" w:hAnsiTheme="majorBidi" w:cstheme="majorBidi"/>
          <w:sz w:val="24"/>
          <w:szCs w:val="24"/>
        </w:rPr>
        <w:t>of the Testimony</w:t>
      </w:r>
      <w:r w:rsidR="00BF608C">
        <w:rPr>
          <w:rFonts w:asciiTheme="majorBidi" w:hAnsiTheme="majorBidi" w:cstheme="majorBidi"/>
          <w:sz w:val="24"/>
          <w:szCs w:val="24"/>
          <w:lang w:val="en-US"/>
        </w:rPr>
        <w:t>,</w:t>
      </w:r>
      <w:r w:rsidR="00A02653" w:rsidRPr="0048148E">
        <w:rPr>
          <w:rFonts w:asciiTheme="majorBidi" w:hAnsiTheme="majorBidi" w:cstheme="majorBidi"/>
          <w:sz w:val="24"/>
          <w:szCs w:val="24"/>
          <w:lang w:val="en-US"/>
        </w:rPr>
        <w:t xml:space="preserve">” Ex 25:22). Joshua is permanently situated in this Tent (Ex 33:11), as opposed to the </w:t>
      </w:r>
      <w:r w:rsidR="000D575F" w:rsidRPr="0048148E">
        <w:rPr>
          <w:rFonts w:asciiTheme="majorBidi" w:hAnsiTheme="majorBidi" w:cstheme="majorBidi"/>
          <w:sz w:val="24"/>
          <w:szCs w:val="24"/>
          <w:lang w:val="en-US"/>
        </w:rPr>
        <w:t>Priestly</w:t>
      </w:r>
      <w:r w:rsidR="00A02653" w:rsidRPr="0048148E">
        <w:rPr>
          <w:rFonts w:asciiTheme="majorBidi" w:hAnsiTheme="majorBidi" w:cstheme="majorBidi"/>
          <w:sz w:val="24"/>
          <w:szCs w:val="24"/>
          <w:lang w:val="en-US"/>
        </w:rPr>
        <w:t xml:space="preserve"> sources which prohibit non-Levites from entering the Tent (Num 18:6-7). This Tent does not </w:t>
      </w:r>
      <w:r w:rsidR="008D692A" w:rsidRPr="0048148E">
        <w:rPr>
          <w:rFonts w:asciiTheme="majorBidi" w:hAnsiTheme="majorBidi" w:cstheme="majorBidi"/>
          <w:sz w:val="24"/>
          <w:szCs w:val="24"/>
          <w:lang w:val="en-US"/>
        </w:rPr>
        <w:t xml:space="preserve">house any ritual </w:t>
      </w:r>
      <w:proofErr w:type="gramStart"/>
      <w:r w:rsidR="008D692A" w:rsidRPr="0048148E">
        <w:rPr>
          <w:rFonts w:asciiTheme="majorBidi" w:hAnsiTheme="majorBidi" w:cstheme="majorBidi"/>
          <w:sz w:val="24"/>
          <w:szCs w:val="24"/>
          <w:lang w:val="en-US"/>
        </w:rPr>
        <w:t>items, and</w:t>
      </w:r>
      <w:proofErr w:type="gramEnd"/>
      <w:r w:rsidR="008D692A" w:rsidRPr="0048148E">
        <w:rPr>
          <w:rFonts w:asciiTheme="majorBidi" w:hAnsiTheme="majorBidi" w:cstheme="majorBidi"/>
          <w:sz w:val="24"/>
          <w:szCs w:val="24"/>
          <w:lang w:val="en-US"/>
        </w:rPr>
        <w:t xml:space="preserve"> does not serve as a </w:t>
      </w:r>
      <w:r w:rsidR="00AD47B5" w:rsidRPr="0048148E">
        <w:rPr>
          <w:rFonts w:asciiTheme="majorBidi" w:hAnsiTheme="majorBidi" w:cstheme="majorBidi"/>
          <w:sz w:val="24"/>
          <w:szCs w:val="24"/>
          <w:lang w:val="en-US"/>
        </w:rPr>
        <w:t>Tabernacle</w:t>
      </w:r>
      <w:r w:rsidR="008D692A" w:rsidRPr="0048148E">
        <w:rPr>
          <w:rFonts w:asciiTheme="majorBidi" w:hAnsiTheme="majorBidi" w:cstheme="majorBidi"/>
          <w:sz w:val="24"/>
          <w:szCs w:val="24"/>
          <w:lang w:val="en-US"/>
        </w:rPr>
        <w:t xml:space="preserve"> for the Lord and </w:t>
      </w:r>
      <w:r w:rsidR="00A513F6">
        <w:rPr>
          <w:rFonts w:asciiTheme="majorBidi" w:hAnsiTheme="majorBidi" w:cstheme="majorBidi"/>
          <w:sz w:val="24"/>
          <w:szCs w:val="24"/>
          <w:lang w:val="en-US"/>
        </w:rPr>
        <w:t>H</w:t>
      </w:r>
      <w:r w:rsidR="008D692A" w:rsidRPr="0048148E">
        <w:rPr>
          <w:rFonts w:asciiTheme="majorBidi" w:hAnsiTheme="majorBidi" w:cstheme="majorBidi"/>
          <w:sz w:val="24"/>
          <w:szCs w:val="24"/>
          <w:lang w:val="en-US"/>
        </w:rPr>
        <w:t xml:space="preserve">is service. This is a prophetic Tent </w:t>
      </w:r>
      <w:r w:rsidR="00A513F6">
        <w:rPr>
          <w:rFonts w:asciiTheme="majorBidi" w:hAnsiTheme="majorBidi" w:cstheme="majorBidi"/>
          <w:sz w:val="24"/>
          <w:szCs w:val="24"/>
          <w:lang w:val="en-US"/>
        </w:rPr>
        <w:t xml:space="preserve">where </w:t>
      </w:r>
      <w:r w:rsidR="00AD47B5" w:rsidRPr="0048148E">
        <w:rPr>
          <w:rFonts w:asciiTheme="majorBidi" w:hAnsiTheme="majorBidi" w:cstheme="majorBidi"/>
          <w:sz w:val="24"/>
          <w:szCs w:val="24"/>
          <w:lang w:val="en-US"/>
        </w:rPr>
        <w:t>Divine</w:t>
      </w:r>
      <w:r w:rsidR="008D692A" w:rsidRPr="0048148E">
        <w:rPr>
          <w:rFonts w:asciiTheme="majorBidi" w:hAnsiTheme="majorBidi" w:cstheme="majorBidi"/>
          <w:sz w:val="24"/>
          <w:szCs w:val="24"/>
          <w:lang w:val="en-US"/>
        </w:rPr>
        <w:t xml:space="preserve"> revelations</w:t>
      </w:r>
      <w:r w:rsidR="00A513F6">
        <w:rPr>
          <w:rFonts w:asciiTheme="majorBidi" w:hAnsiTheme="majorBidi" w:cstheme="majorBidi"/>
          <w:sz w:val="24"/>
          <w:szCs w:val="24"/>
          <w:lang w:val="en-US"/>
        </w:rPr>
        <w:t xml:space="preserve"> occur</w:t>
      </w:r>
      <w:r w:rsidR="008D692A" w:rsidRPr="0048148E">
        <w:rPr>
          <w:rFonts w:asciiTheme="majorBidi" w:hAnsiTheme="majorBidi" w:cstheme="majorBidi"/>
          <w:sz w:val="24"/>
          <w:szCs w:val="24"/>
          <w:lang w:val="en-US"/>
        </w:rPr>
        <w:t xml:space="preserve"> for </w:t>
      </w:r>
      <w:r w:rsidR="00BF608C">
        <w:rPr>
          <w:rFonts w:asciiTheme="majorBidi" w:hAnsiTheme="majorBidi" w:cstheme="majorBidi" w:hint="cs"/>
          <w:sz w:val="24"/>
          <w:szCs w:val="24"/>
          <w:rtl/>
          <w:lang w:val="en-US"/>
        </w:rPr>
        <w:t>כל מבקש ה'</w:t>
      </w:r>
      <w:r w:rsidR="00BF608C">
        <w:rPr>
          <w:rFonts w:asciiTheme="majorBidi" w:hAnsiTheme="majorBidi" w:cstheme="majorBidi"/>
          <w:sz w:val="24"/>
          <w:szCs w:val="24"/>
          <w:lang w:val="en-US"/>
        </w:rPr>
        <w:t xml:space="preserve"> (</w:t>
      </w:r>
      <w:r w:rsidR="008D692A" w:rsidRPr="0048148E">
        <w:rPr>
          <w:rFonts w:asciiTheme="majorBidi" w:hAnsiTheme="majorBidi" w:cstheme="majorBidi"/>
          <w:sz w:val="24"/>
          <w:szCs w:val="24"/>
          <w:lang w:val="en-US"/>
        </w:rPr>
        <w:t>“</w:t>
      </w:r>
      <w:r w:rsidR="008D692A" w:rsidRPr="0048148E">
        <w:rPr>
          <w:rFonts w:asciiTheme="majorBidi" w:hAnsiTheme="majorBidi" w:cstheme="majorBidi"/>
          <w:sz w:val="24"/>
          <w:szCs w:val="24"/>
        </w:rPr>
        <w:t>everyone who sought the Lord</w:t>
      </w:r>
      <w:r w:rsidR="00BF608C">
        <w:rPr>
          <w:rFonts w:asciiTheme="majorBidi" w:hAnsiTheme="majorBidi" w:cstheme="majorBidi"/>
          <w:sz w:val="24"/>
          <w:szCs w:val="24"/>
          <w:lang w:val="en-US"/>
        </w:rPr>
        <w:t>,</w:t>
      </w:r>
      <w:r w:rsidR="008D692A" w:rsidRPr="0048148E">
        <w:rPr>
          <w:rFonts w:asciiTheme="majorBidi" w:hAnsiTheme="majorBidi" w:cstheme="majorBidi"/>
          <w:sz w:val="24"/>
          <w:szCs w:val="24"/>
          <w:lang w:val="en-US"/>
        </w:rPr>
        <w:t xml:space="preserve">” Ex 33:7). Other details from this tradition regarding the prophetic Tent are found in other places in the Torah as well, such as in the story of placing God’s spirit upon the seventy elders of Israel (Num 11:16-17, 28-29), in the story of Miriam and Aaron doubting the </w:t>
      </w:r>
      <w:r w:rsidR="00B213FB" w:rsidRPr="0048148E">
        <w:rPr>
          <w:rFonts w:asciiTheme="majorBidi" w:hAnsiTheme="majorBidi" w:cstheme="majorBidi"/>
          <w:sz w:val="24"/>
          <w:szCs w:val="24"/>
          <w:lang w:val="en-US"/>
        </w:rPr>
        <w:t xml:space="preserve">singularity of Moses’ prophecy, protesting that </w:t>
      </w:r>
      <w:r w:rsidR="00BF608C">
        <w:rPr>
          <w:rFonts w:asciiTheme="majorBidi" w:hAnsiTheme="majorBidi" w:cstheme="majorBidi" w:hint="cs"/>
          <w:sz w:val="24"/>
          <w:szCs w:val="24"/>
          <w:rtl/>
          <w:lang w:val="en-US"/>
        </w:rPr>
        <w:t>הרק אך במשה דבר ה' הלא גם בנו דבר</w:t>
      </w:r>
      <w:r w:rsidR="00BF608C">
        <w:rPr>
          <w:rFonts w:asciiTheme="majorBidi" w:hAnsiTheme="majorBidi" w:cstheme="majorBidi"/>
          <w:sz w:val="24"/>
          <w:szCs w:val="24"/>
          <w:lang w:val="en-US"/>
        </w:rPr>
        <w:t xml:space="preserve"> (</w:t>
      </w:r>
      <w:r w:rsidR="00B213FB" w:rsidRPr="0048148E">
        <w:rPr>
          <w:rFonts w:asciiTheme="majorBidi" w:hAnsiTheme="majorBidi" w:cstheme="majorBidi"/>
          <w:sz w:val="24"/>
          <w:szCs w:val="24"/>
          <w:lang w:val="en-US"/>
        </w:rPr>
        <w:t>“</w:t>
      </w:r>
      <w:r w:rsidR="00B213FB" w:rsidRPr="0048148E">
        <w:rPr>
          <w:rFonts w:asciiTheme="majorBidi" w:hAnsiTheme="majorBidi" w:cstheme="majorBidi"/>
          <w:sz w:val="24"/>
          <w:szCs w:val="24"/>
        </w:rPr>
        <w:t>Has the Lord indeed spoken only through Moses? Has He not spoken through us also?</w:t>
      </w:r>
      <w:r w:rsidR="00BF608C">
        <w:rPr>
          <w:rFonts w:asciiTheme="majorBidi" w:hAnsiTheme="majorBidi" w:cstheme="majorBidi"/>
          <w:sz w:val="24"/>
          <w:szCs w:val="24"/>
          <w:lang w:val="en-US"/>
        </w:rPr>
        <w:t>,</w:t>
      </w:r>
      <w:r w:rsidR="00B213FB" w:rsidRPr="0048148E">
        <w:rPr>
          <w:rFonts w:asciiTheme="majorBidi" w:hAnsiTheme="majorBidi" w:cstheme="majorBidi"/>
          <w:sz w:val="24"/>
          <w:szCs w:val="24"/>
          <w:lang w:val="en-US"/>
        </w:rPr>
        <w:t>” Num 12:2-15), and in the story of transferring the leadership from Moses to Joshua (</w:t>
      </w:r>
      <w:proofErr w:type="spellStart"/>
      <w:r w:rsidR="00B213FB" w:rsidRPr="0048148E">
        <w:rPr>
          <w:rFonts w:asciiTheme="majorBidi" w:hAnsiTheme="majorBidi" w:cstheme="majorBidi"/>
          <w:sz w:val="24"/>
          <w:szCs w:val="24"/>
          <w:lang w:val="en-US"/>
        </w:rPr>
        <w:t>Deut</w:t>
      </w:r>
      <w:proofErr w:type="spellEnd"/>
      <w:r w:rsidR="00B213FB" w:rsidRPr="0048148E">
        <w:rPr>
          <w:rFonts w:asciiTheme="majorBidi" w:hAnsiTheme="majorBidi" w:cstheme="majorBidi"/>
          <w:sz w:val="24"/>
          <w:szCs w:val="24"/>
          <w:lang w:val="en-US"/>
        </w:rPr>
        <w:t xml:space="preserve"> 31:14-15).</w:t>
      </w:r>
      <w:r w:rsidR="00B213FB" w:rsidRPr="0048148E">
        <w:rPr>
          <w:rStyle w:val="FootnoteReference"/>
          <w:rFonts w:asciiTheme="majorBidi" w:hAnsiTheme="majorBidi" w:cstheme="majorBidi"/>
          <w:sz w:val="24"/>
          <w:szCs w:val="24"/>
          <w:lang w:val="en-US"/>
        </w:rPr>
        <w:footnoteReference w:id="2"/>
      </w:r>
    </w:p>
    <w:p w14:paraId="14234C87" w14:textId="3BD54C1E" w:rsidR="004C4D4B" w:rsidRPr="00E03454" w:rsidRDefault="00CD1893" w:rsidP="00E03454">
      <w:pPr>
        <w:spacing w:line="360" w:lineRule="auto"/>
        <w:ind w:firstLine="720"/>
        <w:rPr>
          <w:rFonts w:asciiTheme="majorBidi" w:hAnsiTheme="majorBidi" w:cstheme="majorBidi"/>
          <w:sz w:val="24"/>
          <w:szCs w:val="24"/>
          <w:lang w:val="en-US"/>
        </w:rPr>
      </w:pPr>
      <w:r w:rsidRPr="0048148E">
        <w:rPr>
          <w:rFonts w:asciiTheme="majorBidi" w:hAnsiTheme="majorBidi" w:cstheme="majorBidi"/>
          <w:sz w:val="24"/>
          <w:szCs w:val="24"/>
          <w:lang w:val="en-US"/>
        </w:rPr>
        <w:t xml:space="preserve">This means that it is only in the </w:t>
      </w:r>
      <w:r w:rsidR="000D575F" w:rsidRPr="0048148E">
        <w:rPr>
          <w:rFonts w:asciiTheme="majorBidi" w:hAnsiTheme="majorBidi" w:cstheme="majorBidi"/>
          <w:sz w:val="24"/>
          <w:szCs w:val="24"/>
          <w:lang w:val="en-US"/>
        </w:rPr>
        <w:t>Priestly</w:t>
      </w:r>
      <w:r w:rsidRPr="0048148E">
        <w:rPr>
          <w:rFonts w:asciiTheme="majorBidi" w:hAnsiTheme="majorBidi" w:cstheme="majorBidi"/>
          <w:sz w:val="24"/>
          <w:szCs w:val="24"/>
          <w:lang w:val="en-US"/>
        </w:rPr>
        <w:t xml:space="preserve"> narrative that the Tent of Meeting serves as a </w:t>
      </w:r>
      <w:r w:rsidR="00AD47B5" w:rsidRPr="0048148E">
        <w:rPr>
          <w:rFonts w:asciiTheme="majorBidi" w:hAnsiTheme="majorBidi" w:cstheme="majorBidi"/>
          <w:sz w:val="24"/>
          <w:szCs w:val="24"/>
          <w:lang w:val="en-US"/>
        </w:rPr>
        <w:t>Tabernacle</w:t>
      </w:r>
      <w:r w:rsidRPr="0048148E">
        <w:rPr>
          <w:rFonts w:asciiTheme="majorBidi" w:hAnsiTheme="majorBidi" w:cstheme="majorBidi"/>
          <w:sz w:val="24"/>
          <w:szCs w:val="24"/>
          <w:lang w:val="en-US"/>
        </w:rPr>
        <w:t xml:space="preserve"> which houses all the holy vessels and the Ark, or in the later sources</w:t>
      </w:r>
      <w:r w:rsidR="00A513F6">
        <w:rPr>
          <w:rFonts w:asciiTheme="majorBidi" w:hAnsiTheme="majorBidi" w:cstheme="majorBidi"/>
          <w:sz w:val="24"/>
          <w:szCs w:val="24"/>
          <w:lang w:val="en-US"/>
        </w:rPr>
        <w:t>,</w:t>
      </w:r>
      <w:r w:rsidRPr="0048148E">
        <w:rPr>
          <w:rFonts w:asciiTheme="majorBidi" w:hAnsiTheme="majorBidi" w:cstheme="majorBidi"/>
          <w:sz w:val="24"/>
          <w:szCs w:val="24"/>
          <w:lang w:val="en-US"/>
        </w:rPr>
        <w:t xml:space="preserve"> which </w:t>
      </w:r>
      <w:r w:rsidR="00D44FCC">
        <w:rPr>
          <w:rFonts w:asciiTheme="majorBidi" w:hAnsiTheme="majorBidi" w:cstheme="majorBidi"/>
          <w:sz w:val="24"/>
          <w:szCs w:val="24"/>
          <w:lang w:val="en-US"/>
        </w:rPr>
        <w:t>wer</w:t>
      </w:r>
      <w:r w:rsidRPr="0048148E">
        <w:rPr>
          <w:rFonts w:asciiTheme="majorBidi" w:hAnsiTheme="majorBidi" w:cstheme="majorBidi"/>
          <w:sz w:val="24"/>
          <w:szCs w:val="24"/>
          <w:lang w:val="en-US"/>
        </w:rPr>
        <w:t xml:space="preserve">e </w:t>
      </w:r>
      <w:r w:rsidRPr="0048148E">
        <w:rPr>
          <w:rFonts w:asciiTheme="majorBidi" w:hAnsiTheme="majorBidi" w:cstheme="majorBidi"/>
          <w:sz w:val="24"/>
          <w:szCs w:val="24"/>
          <w:lang w:val="en-US"/>
        </w:rPr>
        <w:lastRenderedPageBreak/>
        <w:t xml:space="preserve">influenced by the </w:t>
      </w:r>
      <w:r w:rsidR="000D575F" w:rsidRPr="0048148E">
        <w:rPr>
          <w:rFonts w:asciiTheme="majorBidi" w:hAnsiTheme="majorBidi" w:cstheme="majorBidi"/>
          <w:sz w:val="24"/>
          <w:szCs w:val="24"/>
          <w:lang w:val="en-US"/>
        </w:rPr>
        <w:t>Priestly</w:t>
      </w:r>
      <w:r w:rsidRPr="0048148E">
        <w:rPr>
          <w:rFonts w:asciiTheme="majorBidi" w:hAnsiTheme="majorBidi" w:cstheme="majorBidi"/>
          <w:sz w:val="24"/>
          <w:szCs w:val="24"/>
          <w:lang w:val="en-US"/>
        </w:rPr>
        <w:t xml:space="preserve"> narrative after the reception of the Torah </w:t>
      </w:r>
      <w:r w:rsidR="00627F66" w:rsidRPr="0048148E">
        <w:rPr>
          <w:rFonts w:asciiTheme="majorBidi" w:hAnsiTheme="majorBidi" w:cstheme="majorBidi"/>
          <w:sz w:val="24"/>
          <w:szCs w:val="24"/>
          <w:lang w:val="en-US"/>
        </w:rPr>
        <w:t xml:space="preserve">during the Second </w:t>
      </w:r>
      <w:r w:rsidR="00AD47B5" w:rsidRPr="0048148E">
        <w:rPr>
          <w:rFonts w:asciiTheme="majorBidi" w:hAnsiTheme="majorBidi" w:cstheme="majorBidi"/>
          <w:sz w:val="24"/>
          <w:szCs w:val="24"/>
          <w:lang w:val="en-US"/>
        </w:rPr>
        <w:t>Temple</w:t>
      </w:r>
      <w:r w:rsidR="00627F66" w:rsidRPr="0048148E">
        <w:rPr>
          <w:rFonts w:asciiTheme="majorBidi" w:hAnsiTheme="majorBidi" w:cstheme="majorBidi"/>
          <w:sz w:val="24"/>
          <w:szCs w:val="24"/>
          <w:lang w:val="en-US"/>
        </w:rPr>
        <w:t xml:space="preserve"> period (</w:t>
      </w:r>
      <w:r w:rsidR="00627F66" w:rsidRPr="0048148E">
        <w:rPr>
          <w:rFonts w:asciiTheme="majorBidi" w:hAnsiTheme="majorBidi" w:cstheme="majorBidi"/>
          <w:sz w:val="24"/>
          <w:szCs w:val="24"/>
          <w:highlight w:val="yellow"/>
          <w:lang w:val="en-US"/>
        </w:rPr>
        <w:t>TEXTS</w:t>
      </w:r>
      <w:r w:rsidR="00627F66" w:rsidRPr="0048148E">
        <w:rPr>
          <w:rFonts w:asciiTheme="majorBidi" w:hAnsiTheme="majorBidi" w:cstheme="majorBidi"/>
          <w:sz w:val="24"/>
          <w:szCs w:val="24"/>
          <w:lang w:val="en-US"/>
        </w:rPr>
        <w:t>).</w:t>
      </w:r>
      <w:r w:rsidR="00627F66" w:rsidRPr="0048148E">
        <w:rPr>
          <w:rStyle w:val="FootnoteReference"/>
          <w:rFonts w:asciiTheme="majorBidi" w:hAnsiTheme="majorBidi" w:cstheme="majorBidi"/>
          <w:sz w:val="24"/>
          <w:szCs w:val="24"/>
          <w:lang w:val="en-US"/>
        </w:rPr>
        <w:footnoteReference w:id="3"/>
      </w:r>
      <w:r w:rsidR="00627F66" w:rsidRPr="0048148E">
        <w:rPr>
          <w:rFonts w:asciiTheme="majorBidi" w:hAnsiTheme="majorBidi" w:cstheme="majorBidi"/>
          <w:sz w:val="24"/>
          <w:szCs w:val="24"/>
          <w:lang w:val="en-US"/>
        </w:rPr>
        <w:t xml:space="preserve"> Therefore, the two appearances of the “Tent of Meeting” in Samuel (1Sam 2:22) and Kings (1Kgs 8:4), where it is described</w:t>
      </w:r>
      <w:r w:rsidR="00D44FCC">
        <w:rPr>
          <w:rFonts w:asciiTheme="majorBidi" w:hAnsiTheme="majorBidi" w:cstheme="majorBidi"/>
          <w:sz w:val="24"/>
          <w:szCs w:val="24"/>
          <w:lang w:val="en-US"/>
        </w:rPr>
        <w:t>,</w:t>
      </w:r>
      <w:r w:rsidR="00627F66" w:rsidRPr="0048148E">
        <w:rPr>
          <w:rFonts w:asciiTheme="majorBidi" w:hAnsiTheme="majorBidi" w:cstheme="majorBidi"/>
          <w:sz w:val="24"/>
          <w:szCs w:val="24"/>
          <w:lang w:val="en-US"/>
        </w:rPr>
        <w:t xml:space="preserve"> as in the </w:t>
      </w:r>
      <w:r w:rsidR="000D575F" w:rsidRPr="0048148E">
        <w:rPr>
          <w:rFonts w:asciiTheme="majorBidi" w:hAnsiTheme="majorBidi" w:cstheme="majorBidi"/>
          <w:sz w:val="24"/>
          <w:szCs w:val="24"/>
          <w:lang w:val="en-US"/>
        </w:rPr>
        <w:t>Priestly</w:t>
      </w:r>
      <w:r w:rsidR="00627F66" w:rsidRPr="0048148E">
        <w:rPr>
          <w:rFonts w:asciiTheme="majorBidi" w:hAnsiTheme="majorBidi" w:cstheme="majorBidi"/>
          <w:sz w:val="24"/>
          <w:szCs w:val="24"/>
          <w:lang w:val="en-US"/>
        </w:rPr>
        <w:t xml:space="preserve"> narrative in the Torah, as a </w:t>
      </w:r>
      <w:r w:rsidR="00D44FCC">
        <w:rPr>
          <w:rFonts w:asciiTheme="majorBidi" w:hAnsiTheme="majorBidi" w:cstheme="majorBidi"/>
          <w:sz w:val="24"/>
          <w:szCs w:val="24"/>
          <w:lang w:val="en-US"/>
        </w:rPr>
        <w:t>roaming</w:t>
      </w:r>
      <w:r w:rsidR="00627F66" w:rsidRPr="0048148E">
        <w:rPr>
          <w:rFonts w:asciiTheme="majorBidi" w:hAnsiTheme="majorBidi" w:cstheme="majorBidi"/>
          <w:sz w:val="24"/>
          <w:szCs w:val="24"/>
          <w:lang w:val="en-US"/>
        </w:rPr>
        <w:t xml:space="preserve"> </w:t>
      </w:r>
      <w:r w:rsidR="00AD47B5" w:rsidRPr="0048148E">
        <w:rPr>
          <w:rFonts w:asciiTheme="majorBidi" w:hAnsiTheme="majorBidi" w:cstheme="majorBidi"/>
          <w:sz w:val="24"/>
          <w:szCs w:val="24"/>
          <w:lang w:val="en-US"/>
        </w:rPr>
        <w:t>Tabernacle</w:t>
      </w:r>
      <w:r w:rsidR="00627F66" w:rsidRPr="0048148E">
        <w:rPr>
          <w:rFonts w:asciiTheme="majorBidi" w:hAnsiTheme="majorBidi" w:cstheme="majorBidi"/>
          <w:sz w:val="24"/>
          <w:szCs w:val="24"/>
          <w:lang w:val="en-US"/>
        </w:rPr>
        <w:t>, are surprising, and demand explanation. The scholar we are honoring asked me many year</w:t>
      </w:r>
      <w:r w:rsidR="000A27F0" w:rsidRPr="0048148E">
        <w:rPr>
          <w:rFonts w:asciiTheme="majorBidi" w:hAnsiTheme="majorBidi" w:cstheme="majorBidi"/>
          <w:sz w:val="24"/>
          <w:szCs w:val="24"/>
          <w:lang w:val="en-US"/>
        </w:rPr>
        <w:t>s</w:t>
      </w:r>
      <w:r w:rsidR="00627F66" w:rsidRPr="0048148E">
        <w:rPr>
          <w:rFonts w:asciiTheme="majorBidi" w:hAnsiTheme="majorBidi" w:cstheme="majorBidi"/>
          <w:sz w:val="24"/>
          <w:szCs w:val="24"/>
          <w:lang w:val="en-US"/>
        </w:rPr>
        <w:t xml:space="preserve"> ago</w:t>
      </w:r>
      <w:r w:rsidR="000A27F0" w:rsidRPr="0048148E">
        <w:rPr>
          <w:rFonts w:asciiTheme="majorBidi" w:hAnsiTheme="majorBidi" w:cstheme="majorBidi"/>
          <w:sz w:val="24"/>
          <w:szCs w:val="24"/>
          <w:lang w:val="en-US"/>
        </w:rPr>
        <w:t xml:space="preserve"> whether</w:t>
      </w:r>
      <w:r w:rsidR="00627F66" w:rsidRPr="0048148E">
        <w:rPr>
          <w:rFonts w:asciiTheme="majorBidi" w:hAnsiTheme="majorBidi" w:cstheme="majorBidi"/>
          <w:sz w:val="24"/>
          <w:szCs w:val="24"/>
          <w:lang w:val="en-US"/>
        </w:rPr>
        <w:t xml:space="preserve"> one of these two texts, the story of bringing the</w:t>
      </w:r>
      <w:r w:rsidR="009E31F3">
        <w:rPr>
          <w:rFonts w:asciiTheme="majorBidi" w:hAnsiTheme="majorBidi" w:cstheme="majorBidi"/>
          <w:sz w:val="24"/>
          <w:szCs w:val="24"/>
          <w:lang w:val="en-US"/>
        </w:rPr>
        <w:t xml:space="preserve"> Ark </w:t>
      </w:r>
      <w:r w:rsidR="00627F66" w:rsidRPr="0048148E">
        <w:rPr>
          <w:rFonts w:asciiTheme="majorBidi" w:hAnsiTheme="majorBidi" w:cstheme="majorBidi"/>
          <w:sz w:val="24"/>
          <w:szCs w:val="24"/>
          <w:lang w:val="en-US"/>
        </w:rPr>
        <w:t xml:space="preserve">and the Tent of Meeting to Solomon’s </w:t>
      </w:r>
      <w:r w:rsidR="00AD47B5" w:rsidRPr="0048148E">
        <w:rPr>
          <w:rFonts w:asciiTheme="majorBidi" w:hAnsiTheme="majorBidi" w:cstheme="majorBidi"/>
          <w:sz w:val="24"/>
          <w:szCs w:val="24"/>
          <w:lang w:val="en-US"/>
        </w:rPr>
        <w:t>Temple</w:t>
      </w:r>
      <w:r w:rsidR="00627F66" w:rsidRPr="0048148E">
        <w:rPr>
          <w:rFonts w:asciiTheme="majorBidi" w:hAnsiTheme="majorBidi" w:cstheme="majorBidi"/>
          <w:sz w:val="24"/>
          <w:szCs w:val="24"/>
          <w:lang w:val="en-US"/>
        </w:rPr>
        <w:t xml:space="preserve"> (1Kgs 8:4), </w:t>
      </w:r>
      <w:r w:rsidR="00D44FCC">
        <w:rPr>
          <w:rFonts w:asciiTheme="majorBidi" w:hAnsiTheme="majorBidi" w:cstheme="majorBidi"/>
          <w:sz w:val="24"/>
          <w:szCs w:val="24"/>
          <w:lang w:val="en-US"/>
        </w:rPr>
        <w:t>shows that the concept</w:t>
      </w:r>
      <w:r w:rsidR="000A27F0" w:rsidRPr="0048148E">
        <w:rPr>
          <w:rFonts w:asciiTheme="majorBidi" w:hAnsiTheme="majorBidi" w:cstheme="majorBidi"/>
          <w:sz w:val="24"/>
          <w:szCs w:val="24"/>
          <w:lang w:val="en-US"/>
        </w:rPr>
        <w:t xml:space="preserve"> of the Tent of Meeting as </w:t>
      </w:r>
      <w:r w:rsidR="00AD47B5" w:rsidRPr="0048148E">
        <w:rPr>
          <w:rFonts w:asciiTheme="majorBidi" w:hAnsiTheme="majorBidi" w:cstheme="majorBidi"/>
          <w:sz w:val="24"/>
          <w:szCs w:val="24"/>
          <w:lang w:val="en-US"/>
        </w:rPr>
        <w:t>Tabernacle</w:t>
      </w:r>
      <w:r w:rsidR="000A27F0" w:rsidRPr="0048148E">
        <w:rPr>
          <w:rFonts w:asciiTheme="majorBidi" w:hAnsiTheme="majorBidi" w:cstheme="majorBidi"/>
          <w:sz w:val="24"/>
          <w:szCs w:val="24"/>
          <w:lang w:val="en-US"/>
        </w:rPr>
        <w:t xml:space="preserve"> </w:t>
      </w:r>
      <w:r w:rsidR="00D44FCC">
        <w:rPr>
          <w:rFonts w:asciiTheme="majorBidi" w:hAnsiTheme="majorBidi" w:cstheme="majorBidi"/>
          <w:sz w:val="24"/>
          <w:szCs w:val="24"/>
          <w:lang w:val="en-US"/>
        </w:rPr>
        <w:t>was</w:t>
      </w:r>
      <w:r w:rsidR="000A27F0" w:rsidRPr="0048148E">
        <w:rPr>
          <w:rFonts w:asciiTheme="majorBidi" w:hAnsiTheme="majorBidi" w:cstheme="majorBidi"/>
          <w:sz w:val="24"/>
          <w:szCs w:val="24"/>
          <w:lang w:val="en-US"/>
        </w:rPr>
        <w:t xml:space="preserve"> known beyond the </w:t>
      </w:r>
      <w:r w:rsidR="000D575F" w:rsidRPr="0048148E">
        <w:rPr>
          <w:rFonts w:asciiTheme="majorBidi" w:hAnsiTheme="majorBidi" w:cstheme="majorBidi"/>
          <w:sz w:val="24"/>
          <w:szCs w:val="24"/>
          <w:lang w:val="en-US"/>
        </w:rPr>
        <w:t>Priestly</w:t>
      </w:r>
      <w:r w:rsidR="000A27F0" w:rsidRPr="0048148E">
        <w:rPr>
          <w:rFonts w:asciiTheme="majorBidi" w:hAnsiTheme="majorBidi" w:cstheme="majorBidi"/>
          <w:sz w:val="24"/>
          <w:szCs w:val="24"/>
          <w:lang w:val="en-US"/>
        </w:rPr>
        <w:t xml:space="preserve"> literature. </w:t>
      </w:r>
      <w:r w:rsidR="00D44FCC">
        <w:rPr>
          <w:rFonts w:asciiTheme="majorBidi" w:hAnsiTheme="majorBidi" w:cstheme="majorBidi"/>
          <w:sz w:val="24"/>
          <w:szCs w:val="24"/>
          <w:lang w:val="en-US"/>
        </w:rPr>
        <w:t>I</w:t>
      </w:r>
      <w:r w:rsidR="000A27F0" w:rsidRPr="0048148E">
        <w:rPr>
          <w:rFonts w:asciiTheme="majorBidi" w:hAnsiTheme="majorBidi" w:cstheme="majorBidi"/>
          <w:sz w:val="24"/>
          <w:szCs w:val="24"/>
          <w:lang w:val="en-US"/>
        </w:rPr>
        <w:t xml:space="preserve"> now offer my detailed response. These two texts are usually discussed separately in the scholarly literature, but the discussion of both together, as I demonstrate below, offers a better understanding of the literary phenomenon it reflects, where one text </w:t>
      </w:r>
      <w:r w:rsidR="00D44FCC">
        <w:rPr>
          <w:rFonts w:asciiTheme="majorBidi" w:hAnsiTheme="majorBidi" w:cstheme="majorBidi"/>
          <w:sz w:val="24"/>
          <w:szCs w:val="24"/>
          <w:lang w:val="en-US"/>
        </w:rPr>
        <w:t>elucidates</w:t>
      </w:r>
      <w:r w:rsidR="000A27F0" w:rsidRPr="0048148E">
        <w:rPr>
          <w:rFonts w:asciiTheme="majorBidi" w:hAnsiTheme="majorBidi" w:cstheme="majorBidi"/>
          <w:sz w:val="24"/>
          <w:szCs w:val="24"/>
          <w:lang w:val="en-US"/>
        </w:rPr>
        <w:t xml:space="preserve"> the other. An inclusive view of the two cases can also teach of the processes which took place in the </w:t>
      </w:r>
      <w:r w:rsidR="00B764B1" w:rsidRPr="0048148E">
        <w:rPr>
          <w:rFonts w:asciiTheme="majorBidi" w:hAnsiTheme="majorBidi" w:cstheme="majorBidi"/>
          <w:sz w:val="24"/>
          <w:szCs w:val="24"/>
          <w:lang w:val="en-US"/>
        </w:rPr>
        <w:t xml:space="preserve">writings of the </w:t>
      </w:r>
      <w:r w:rsidR="00D44FCC">
        <w:rPr>
          <w:rFonts w:asciiTheme="majorBidi" w:hAnsiTheme="majorBidi" w:cstheme="majorBidi"/>
          <w:sz w:val="24"/>
          <w:szCs w:val="24"/>
          <w:lang w:val="en-US"/>
        </w:rPr>
        <w:t>F</w:t>
      </w:r>
      <w:r w:rsidR="00B764B1" w:rsidRPr="0048148E">
        <w:rPr>
          <w:rFonts w:asciiTheme="majorBidi" w:hAnsiTheme="majorBidi" w:cstheme="majorBidi"/>
          <w:sz w:val="24"/>
          <w:szCs w:val="24"/>
          <w:lang w:val="en-US"/>
        </w:rPr>
        <w:t xml:space="preserve">ormer </w:t>
      </w:r>
      <w:r w:rsidR="00D44FCC">
        <w:rPr>
          <w:rFonts w:asciiTheme="majorBidi" w:hAnsiTheme="majorBidi" w:cstheme="majorBidi"/>
          <w:sz w:val="24"/>
          <w:szCs w:val="24"/>
          <w:lang w:val="en-US"/>
        </w:rPr>
        <w:t>P</w:t>
      </w:r>
      <w:r w:rsidR="00B764B1" w:rsidRPr="0048148E">
        <w:rPr>
          <w:rFonts w:asciiTheme="majorBidi" w:hAnsiTheme="majorBidi" w:cstheme="majorBidi"/>
          <w:sz w:val="24"/>
          <w:szCs w:val="24"/>
          <w:lang w:val="en-US"/>
        </w:rPr>
        <w:t xml:space="preserve">rophets during the Second </w:t>
      </w:r>
      <w:r w:rsidR="00AD47B5" w:rsidRPr="0048148E">
        <w:rPr>
          <w:rFonts w:asciiTheme="majorBidi" w:hAnsiTheme="majorBidi" w:cstheme="majorBidi"/>
          <w:sz w:val="24"/>
          <w:szCs w:val="24"/>
          <w:lang w:val="en-US"/>
        </w:rPr>
        <w:t>Temple</w:t>
      </w:r>
      <w:r w:rsidR="00B764B1" w:rsidRPr="0048148E">
        <w:rPr>
          <w:rFonts w:asciiTheme="majorBidi" w:hAnsiTheme="majorBidi" w:cstheme="majorBidi"/>
          <w:sz w:val="24"/>
          <w:szCs w:val="24"/>
          <w:lang w:val="en-US"/>
        </w:rPr>
        <w:t xml:space="preserve"> era, after the Torah was consolidated and accepted. The conclusions that arise from this study may be a first step toward future research on the materials in the </w:t>
      </w:r>
      <w:r w:rsidR="008511FE">
        <w:rPr>
          <w:rFonts w:asciiTheme="majorBidi" w:hAnsiTheme="majorBidi" w:cstheme="majorBidi"/>
          <w:sz w:val="24"/>
          <w:szCs w:val="24"/>
          <w:lang w:val="en-US"/>
        </w:rPr>
        <w:t>Former</w:t>
      </w:r>
      <w:r w:rsidR="00B764B1" w:rsidRPr="0048148E">
        <w:rPr>
          <w:rFonts w:asciiTheme="majorBidi" w:hAnsiTheme="majorBidi" w:cstheme="majorBidi"/>
          <w:sz w:val="24"/>
          <w:szCs w:val="24"/>
          <w:lang w:val="en-US"/>
        </w:rPr>
        <w:t xml:space="preserve"> </w:t>
      </w:r>
      <w:r w:rsidR="00D44FCC">
        <w:rPr>
          <w:rFonts w:asciiTheme="majorBidi" w:hAnsiTheme="majorBidi" w:cstheme="majorBidi"/>
          <w:sz w:val="24"/>
          <w:szCs w:val="24"/>
          <w:lang w:val="en-US"/>
        </w:rPr>
        <w:t>P</w:t>
      </w:r>
      <w:r w:rsidR="00B764B1" w:rsidRPr="0048148E">
        <w:rPr>
          <w:rFonts w:asciiTheme="majorBidi" w:hAnsiTheme="majorBidi" w:cstheme="majorBidi"/>
          <w:sz w:val="24"/>
          <w:szCs w:val="24"/>
          <w:lang w:val="en-US"/>
        </w:rPr>
        <w:t>rophets which are similar to the Torah sources, especially the book of Joshua.</w:t>
      </w:r>
      <w:r w:rsidR="00EA5473" w:rsidRPr="0048148E">
        <w:rPr>
          <w:rStyle w:val="FootnoteReference"/>
          <w:rFonts w:asciiTheme="majorBidi" w:hAnsiTheme="majorBidi" w:cstheme="majorBidi"/>
          <w:sz w:val="24"/>
          <w:szCs w:val="24"/>
          <w:lang w:val="en-US"/>
        </w:rPr>
        <w:footnoteReference w:id="4"/>
      </w:r>
    </w:p>
    <w:p w14:paraId="1435FB63" w14:textId="3172974E" w:rsidR="00EA5473" w:rsidRPr="0048148E" w:rsidRDefault="00EA5473" w:rsidP="0048148E">
      <w:pPr>
        <w:spacing w:line="360" w:lineRule="auto"/>
        <w:rPr>
          <w:rFonts w:asciiTheme="majorBidi" w:hAnsiTheme="majorBidi" w:cstheme="majorBidi"/>
          <w:sz w:val="24"/>
          <w:szCs w:val="24"/>
          <w:lang w:val="en-US"/>
        </w:rPr>
      </w:pPr>
      <w:r w:rsidRPr="0048148E">
        <w:rPr>
          <w:rFonts w:asciiTheme="majorBidi" w:hAnsiTheme="majorBidi" w:cstheme="majorBidi"/>
          <w:b/>
          <w:bCs/>
          <w:sz w:val="24"/>
          <w:szCs w:val="24"/>
          <w:lang w:val="en-US"/>
        </w:rPr>
        <w:t>1. 1 Sam 2:22</w:t>
      </w:r>
    </w:p>
    <w:p w14:paraId="106FAC5D" w14:textId="4E219F9D" w:rsidR="00EA5473" w:rsidRPr="0048148E" w:rsidRDefault="00EA5473" w:rsidP="0048148E">
      <w:pPr>
        <w:spacing w:line="360" w:lineRule="auto"/>
        <w:rPr>
          <w:rFonts w:asciiTheme="majorBidi" w:hAnsiTheme="majorBidi" w:cstheme="majorBidi"/>
          <w:sz w:val="24"/>
          <w:szCs w:val="24"/>
          <w:lang w:val="en-US"/>
        </w:rPr>
      </w:pPr>
      <w:r w:rsidRPr="0048148E">
        <w:rPr>
          <w:rFonts w:asciiTheme="majorBidi" w:hAnsiTheme="majorBidi" w:cstheme="majorBidi"/>
          <w:sz w:val="24"/>
          <w:szCs w:val="24"/>
          <w:lang w:val="en-US"/>
        </w:rPr>
        <w:t>The only mention of the term “Tent of Meeting” in the book of Samuel is found in the story of Eli’s sons. The mention of the Ten</w:t>
      </w:r>
      <w:r w:rsidR="00D44FCC">
        <w:rPr>
          <w:rFonts w:asciiTheme="majorBidi" w:hAnsiTheme="majorBidi" w:cstheme="majorBidi"/>
          <w:sz w:val="24"/>
          <w:szCs w:val="24"/>
          <w:lang w:val="en-US"/>
        </w:rPr>
        <w:t>t</w:t>
      </w:r>
      <w:r w:rsidRPr="0048148E">
        <w:rPr>
          <w:rFonts w:asciiTheme="majorBidi" w:hAnsiTheme="majorBidi" w:cstheme="majorBidi"/>
          <w:sz w:val="24"/>
          <w:szCs w:val="24"/>
          <w:lang w:val="en-US"/>
        </w:rPr>
        <w:t xml:space="preserve"> of Meeting in this verse raises several difficulties, and in addition, it is mentioned only in the </w:t>
      </w:r>
      <w:r w:rsidR="00F52D6A" w:rsidRPr="0048148E">
        <w:rPr>
          <w:rFonts w:asciiTheme="majorBidi" w:hAnsiTheme="majorBidi" w:cstheme="majorBidi"/>
          <w:sz w:val="24"/>
          <w:szCs w:val="24"/>
          <w:lang w:val="en-US"/>
        </w:rPr>
        <w:t>MT</w:t>
      </w:r>
      <w:r w:rsidRPr="0048148E">
        <w:rPr>
          <w:rFonts w:asciiTheme="majorBidi" w:hAnsiTheme="majorBidi" w:cstheme="majorBidi"/>
          <w:sz w:val="24"/>
          <w:szCs w:val="24"/>
          <w:lang w:val="en-US"/>
        </w:rPr>
        <w:t xml:space="preserve"> but is missing in the Septuagint version and the Samuel scroll from Qumran:</w:t>
      </w:r>
    </w:p>
    <w:p w14:paraId="5DEACF60" w14:textId="4ED72B92" w:rsidR="00EA5473" w:rsidRPr="0048148E" w:rsidRDefault="00EA5473" w:rsidP="0048148E">
      <w:pPr>
        <w:spacing w:line="360" w:lineRule="auto"/>
        <w:rPr>
          <w:rFonts w:asciiTheme="majorBidi" w:hAnsiTheme="majorBidi" w:cstheme="majorBidi"/>
          <w:sz w:val="24"/>
          <w:szCs w:val="24"/>
          <w:lang w:val="en-US"/>
        </w:rPr>
      </w:pPr>
      <w:r w:rsidRPr="0048148E">
        <w:rPr>
          <w:rFonts w:asciiTheme="majorBidi" w:hAnsiTheme="majorBidi" w:cstheme="majorBidi"/>
          <w:sz w:val="24"/>
          <w:szCs w:val="24"/>
          <w:highlight w:val="yellow"/>
          <w:lang w:val="en-US"/>
        </w:rPr>
        <w:t>TEXTS</w:t>
      </w:r>
    </w:p>
    <w:p w14:paraId="70E2772D" w14:textId="10DC8EAC" w:rsidR="006A1C10" w:rsidRPr="0048148E" w:rsidRDefault="00FC517D" w:rsidP="004C4D4B">
      <w:pPr>
        <w:spacing w:line="360" w:lineRule="auto"/>
        <w:ind w:firstLine="720"/>
        <w:rPr>
          <w:rFonts w:asciiTheme="majorBidi" w:hAnsiTheme="majorBidi" w:cstheme="majorBidi"/>
          <w:sz w:val="24"/>
          <w:szCs w:val="24"/>
          <w:lang w:val="en-US"/>
        </w:rPr>
      </w:pPr>
      <w:r>
        <w:rPr>
          <w:rFonts w:asciiTheme="majorBidi" w:hAnsiTheme="majorBidi" w:cstheme="majorBidi"/>
          <w:sz w:val="24"/>
          <w:szCs w:val="24"/>
          <w:lang w:val="en-US"/>
        </w:rPr>
        <w:t>Many</w:t>
      </w:r>
      <w:r w:rsidR="00EA5473" w:rsidRPr="0048148E">
        <w:rPr>
          <w:rFonts w:asciiTheme="majorBidi" w:hAnsiTheme="majorBidi" w:cstheme="majorBidi"/>
          <w:sz w:val="24"/>
          <w:szCs w:val="24"/>
          <w:lang w:val="en-US"/>
        </w:rPr>
        <w:t xml:space="preserve"> scholars have suggested that the short version in the Septuagint reflects the earlier version. They base this on </w:t>
      </w:r>
      <w:r w:rsidR="00756D82">
        <w:rPr>
          <w:rFonts w:asciiTheme="majorBidi" w:hAnsiTheme="majorBidi" w:cstheme="majorBidi"/>
          <w:sz w:val="24"/>
          <w:szCs w:val="24"/>
          <w:lang w:val="en-US"/>
        </w:rPr>
        <w:t>several</w:t>
      </w:r>
      <w:r w:rsidR="00EA5473" w:rsidRPr="0048148E">
        <w:rPr>
          <w:rFonts w:asciiTheme="majorBidi" w:hAnsiTheme="majorBidi" w:cstheme="majorBidi"/>
          <w:sz w:val="24"/>
          <w:szCs w:val="24"/>
          <w:lang w:val="en-US"/>
        </w:rPr>
        <w:t xml:space="preserve"> central considerations: First, the unit which precedes this verse </w:t>
      </w:r>
      <w:r w:rsidR="00AD671F" w:rsidRPr="0048148E">
        <w:rPr>
          <w:rFonts w:asciiTheme="majorBidi" w:hAnsiTheme="majorBidi" w:cstheme="majorBidi"/>
          <w:sz w:val="24"/>
          <w:szCs w:val="24"/>
          <w:lang w:val="en-US"/>
        </w:rPr>
        <w:t>gives a detailed account of the sins of the sons of Eli</w:t>
      </w:r>
      <w:r w:rsidR="00013470">
        <w:rPr>
          <w:rFonts w:asciiTheme="majorBidi" w:hAnsiTheme="majorBidi" w:cstheme="majorBidi"/>
          <w:sz w:val="24"/>
          <w:szCs w:val="24"/>
          <w:lang w:val="en-US"/>
        </w:rPr>
        <w:t xml:space="preserve"> in their</w:t>
      </w:r>
      <w:r w:rsidR="00AD671F" w:rsidRPr="0048148E">
        <w:rPr>
          <w:rFonts w:asciiTheme="majorBidi" w:hAnsiTheme="majorBidi" w:cstheme="majorBidi"/>
          <w:sz w:val="24"/>
          <w:szCs w:val="24"/>
          <w:lang w:val="en-US"/>
        </w:rPr>
        <w:t xml:space="preserve"> violent manner of ritual </w:t>
      </w:r>
      <w:r w:rsidR="00D44FCC">
        <w:rPr>
          <w:rFonts w:asciiTheme="majorBidi" w:hAnsiTheme="majorBidi" w:cstheme="majorBidi"/>
          <w:sz w:val="24"/>
          <w:szCs w:val="24"/>
          <w:lang w:val="en-US"/>
        </w:rPr>
        <w:t>worship</w:t>
      </w:r>
      <w:r w:rsidR="00AD671F" w:rsidRPr="0048148E">
        <w:rPr>
          <w:rFonts w:asciiTheme="majorBidi" w:hAnsiTheme="majorBidi" w:cstheme="majorBidi"/>
          <w:sz w:val="24"/>
          <w:szCs w:val="24"/>
          <w:lang w:val="en-US"/>
        </w:rPr>
        <w:t xml:space="preserve"> </w:t>
      </w:r>
      <w:r w:rsidR="00D44FCC">
        <w:rPr>
          <w:rFonts w:asciiTheme="majorBidi" w:hAnsiTheme="majorBidi" w:cstheme="majorBidi"/>
          <w:sz w:val="24"/>
          <w:szCs w:val="24"/>
          <w:lang w:val="en-US"/>
        </w:rPr>
        <w:t>but</w:t>
      </w:r>
      <w:r w:rsidR="00AD671F" w:rsidRPr="0048148E">
        <w:rPr>
          <w:rFonts w:asciiTheme="majorBidi" w:hAnsiTheme="majorBidi" w:cstheme="majorBidi"/>
          <w:sz w:val="24"/>
          <w:szCs w:val="24"/>
          <w:lang w:val="en-US"/>
        </w:rPr>
        <w:t xml:space="preserve"> does not mention other sins. Their sin consisted </w:t>
      </w:r>
      <w:r w:rsidR="00A34BF6">
        <w:rPr>
          <w:rFonts w:asciiTheme="majorBidi" w:hAnsiTheme="majorBidi" w:cstheme="majorBidi"/>
          <w:sz w:val="24"/>
          <w:szCs w:val="24"/>
          <w:lang w:val="en-US"/>
        </w:rPr>
        <w:t>in</w:t>
      </w:r>
      <w:r w:rsidR="00AD671F" w:rsidRPr="0048148E">
        <w:rPr>
          <w:rFonts w:asciiTheme="majorBidi" w:hAnsiTheme="majorBidi" w:cstheme="majorBidi"/>
          <w:sz w:val="24"/>
          <w:szCs w:val="24"/>
          <w:lang w:val="en-US"/>
        </w:rPr>
        <w:t xml:space="preserve"> seizing their portion of the sacrifice before it was cooked</w:t>
      </w:r>
      <w:r w:rsidR="00BF608C">
        <w:rPr>
          <w:rFonts w:asciiTheme="majorBidi" w:hAnsiTheme="majorBidi" w:cstheme="majorBidi"/>
          <w:sz w:val="24"/>
          <w:szCs w:val="24"/>
          <w:lang w:val="en-US"/>
        </w:rPr>
        <w:t xml:space="preserve">: </w:t>
      </w:r>
      <w:r w:rsidR="00BF608C">
        <w:rPr>
          <w:rFonts w:asciiTheme="majorBidi" w:hAnsiTheme="majorBidi" w:cstheme="majorBidi" w:hint="cs"/>
          <w:sz w:val="24"/>
          <w:szCs w:val="24"/>
          <w:rtl/>
          <w:lang w:val="en-US"/>
        </w:rPr>
        <w:t xml:space="preserve">גם בטרם יקטרון את החלב ובא נער הכהן ואמר לאיש הזבח תנה בשר לצלות לכהן ולא </w:t>
      </w:r>
      <w:proofErr w:type="spellStart"/>
      <w:r w:rsidR="00BF608C">
        <w:rPr>
          <w:rFonts w:asciiTheme="majorBidi" w:hAnsiTheme="majorBidi" w:cstheme="majorBidi" w:hint="cs"/>
          <w:sz w:val="24"/>
          <w:szCs w:val="24"/>
          <w:rtl/>
          <w:lang w:val="en-US"/>
        </w:rPr>
        <w:t>יקח</w:t>
      </w:r>
      <w:proofErr w:type="spellEnd"/>
      <w:r w:rsidR="00BF608C">
        <w:rPr>
          <w:rFonts w:asciiTheme="majorBidi" w:hAnsiTheme="majorBidi" w:cstheme="majorBidi" w:hint="cs"/>
          <w:sz w:val="24"/>
          <w:szCs w:val="24"/>
          <w:rtl/>
          <w:lang w:val="en-US"/>
        </w:rPr>
        <w:t xml:space="preserve"> ממך בשר מבשל כי אם חי</w:t>
      </w:r>
      <w:r w:rsidR="00320DEA">
        <w:rPr>
          <w:rFonts w:asciiTheme="majorBidi" w:hAnsiTheme="majorBidi" w:cstheme="majorBidi"/>
          <w:sz w:val="24"/>
          <w:szCs w:val="24"/>
          <w:lang w:val="en-US"/>
        </w:rPr>
        <w:t xml:space="preserve"> (</w:t>
      </w:r>
      <w:r w:rsidR="00AD671F" w:rsidRPr="0048148E">
        <w:rPr>
          <w:rFonts w:asciiTheme="majorBidi" w:hAnsiTheme="majorBidi" w:cstheme="majorBidi"/>
          <w:sz w:val="24"/>
          <w:szCs w:val="24"/>
          <w:lang w:val="en-US"/>
        </w:rPr>
        <w:t>“</w:t>
      </w:r>
      <w:r w:rsidR="00624C6A">
        <w:rPr>
          <w:rFonts w:asciiTheme="majorBidi" w:hAnsiTheme="majorBidi" w:cstheme="majorBidi"/>
          <w:sz w:val="24"/>
          <w:szCs w:val="24"/>
          <w:lang w:val="en-US"/>
        </w:rPr>
        <w:t>B</w:t>
      </w:r>
      <w:r w:rsidR="00AD671F" w:rsidRPr="0048148E">
        <w:rPr>
          <w:rFonts w:asciiTheme="majorBidi" w:hAnsiTheme="majorBidi" w:cstheme="majorBidi"/>
          <w:sz w:val="24"/>
          <w:szCs w:val="24"/>
        </w:rPr>
        <w:t xml:space="preserve">efore they burned the fat, the priest's servant would come and say to the man who sacrificed, </w:t>
      </w:r>
      <w:r w:rsidR="00AD671F" w:rsidRPr="0048148E">
        <w:rPr>
          <w:rFonts w:asciiTheme="majorBidi" w:hAnsiTheme="majorBidi" w:cstheme="majorBidi"/>
          <w:sz w:val="24"/>
          <w:szCs w:val="24"/>
          <w:lang w:val="en-US"/>
        </w:rPr>
        <w:t>‘</w:t>
      </w:r>
      <w:r w:rsidR="00AD671F" w:rsidRPr="0048148E">
        <w:rPr>
          <w:rFonts w:asciiTheme="majorBidi" w:hAnsiTheme="majorBidi" w:cstheme="majorBidi"/>
          <w:sz w:val="24"/>
          <w:szCs w:val="24"/>
        </w:rPr>
        <w:t>Give meat for roasting to the priest, for he will not take boiled meat from you, but raw</w:t>
      </w:r>
      <w:r w:rsidR="00320DEA">
        <w:rPr>
          <w:rFonts w:asciiTheme="majorBidi" w:hAnsiTheme="majorBidi" w:cstheme="majorBidi"/>
          <w:sz w:val="24"/>
          <w:szCs w:val="24"/>
          <w:lang w:val="en-US"/>
        </w:rPr>
        <w:t>,</w:t>
      </w:r>
      <w:r w:rsidR="00AD671F" w:rsidRPr="0048148E">
        <w:rPr>
          <w:rFonts w:asciiTheme="majorBidi" w:hAnsiTheme="majorBidi" w:cstheme="majorBidi"/>
          <w:sz w:val="24"/>
          <w:szCs w:val="24"/>
          <w:lang w:val="en-US"/>
        </w:rPr>
        <w:t>’” 1Sam 2:15), as opposed to the norm</w:t>
      </w:r>
      <w:r w:rsidR="007E189B" w:rsidRPr="0048148E">
        <w:rPr>
          <w:rFonts w:asciiTheme="majorBidi" w:hAnsiTheme="majorBidi" w:cstheme="majorBidi"/>
          <w:sz w:val="24"/>
          <w:szCs w:val="24"/>
          <w:lang w:val="en-US"/>
        </w:rPr>
        <w:t xml:space="preserve"> that was customary in Shiloh (1Sam 2:13-14). The report of their sin with</w:t>
      </w:r>
      <w:r w:rsidR="00320DEA">
        <w:rPr>
          <w:rFonts w:asciiTheme="majorBidi" w:hAnsiTheme="majorBidi" w:cstheme="majorBidi" w:hint="cs"/>
          <w:sz w:val="24"/>
          <w:szCs w:val="24"/>
          <w:rtl/>
          <w:lang w:val="en-US"/>
        </w:rPr>
        <w:t xml:space="preserve"> הנשים הצבאות פתח אהל </w:t>
      </w:r>
      <w:r w:rsidR="00320DEA">
        <w:rPr>
          <w:rFonts w:asciiTheme="majorBidi" w:hAnsiTheme="majorBidi" w:cstheme="majorBidi" w:hint="cs"/>
          <w:sz w:val="24"/>
          <w:szCs w:val="24"/>
          <w:rtl/>
          <w:lang w:val="en-US"/>
        </w:rPr>
        <w:lastRenderedPageBreak/>
        <w:t>מועד</w:t>
      </w:r>
      <w:r w:rsidR="00320DEA">
        <w:rPr>
          <w:rFonts w:asciiTheme="majorBidi" w:hAnsiTheme="majorBidi" w:cstheme="majorBidi"/>
          <w:sz w:val="24"/>
          <w:szCs w:val="24"/>
          <w:lang w:val="en-US"/>
        </w:rPr>
        <w:t xml:space="preserve"> (</w:t>
      </w:r>
      <w:r w:rsidR="007E189B" w:rsidRPr="0048148E">
        <w:rPr>
          <w:rFonts w:asciiTheme="majorBidi" w:hAnsiTheme="majorBidi" w:cstheme="majorBidi"/>
          <w:sz w:val="24"/>
          <w:szCs w:val="24"/>
          <w:lang w:val="en-US"/>
        </w:rPr>
        <w:t>“</w:t>
      </w:r>
      <w:r w:rsidR="007E189B" w:rsidRPr="0048148E">
        <w:rPr>
          <w:rFonts w:asciiTheme="majorBidi" w:hAnsiTheme="majorBidi" w:cstheme="majorBidi"/>
          <w:sz w:val="24"/>
          <w:szCs w:val="24"/>
        </w:rPr>
        <w:t xml:space="preserve">the women who assembled at the door of the </w:t>
      </w:r>
      <w:r w:rsidR="00AD47B5" w:rsidRPr="0048148E">
        <w:rPr>
          <w:rFonts w:asciiTheme="majorBidi" w:hAnsiTheme="majorBidi" w:cstheme="majorBidi"/>
          <w:sz w:val="24"/>
          <w:szCs w:val="24"/>
        </w:rPr>
        <w:t>Tabernacle</w:t>
      </w:r>
      <w:r w:rsidR="007E189B" w:rsidRPr="0048148E">
        <w:rPr>
          <w:rFonts w:asciiTheme="majorBidi" w:hAnsiTheme="majorBidi" w:cstheme="majorBidi"/>
          <w:sz w:val="24"/>
          <w:szCs w:val="24"/>
        </w:rPr>
        <w:t xml:space="preserve"> of meeting</w:t>
      </w:r>
      <w:r w:rsidR="00320DEA">
        <w:rPr>
          <w:rFonts w:asciiTheme="majorBidi" w:hAnsiTheme="majorBidi" w:cstheme="majorBidi"/>
          <w:sz w:val="24"/>
          <w:szCs w:val="24"/>
          <w:lang w:val="en-US"/>
        </w:rPr>
        <w:t>,</w:t>
      </w:r>
      <w:r w:rsidR="007E189B" w:rsidRPr="0048148E">
        <w:rPr>
          <w:rFonts w:asciiTheme="majorBidi" w:hAnsiTheme="majorBidi" w:cstheme="majorBidi"/>
          <w:sz w:val="24"/>
          <w:szCs w:val="24"/>
          <w:lang w:val="en-US"/>
        </w:rPr>
        <w:t xml:space="preserve">” 1Sam 2:22) appears only in retrospect, in the description of the rumor which reached Eli (this appears only in the </w:t>
      </w:r>
      <w:r w:rsidR="00F52D6A" w:rsidRPr="0048148E">
        <w:rPr>
          <w:rFonts w:asciiTheme="majorBidi" w:hAnsiTheme="majorBidi" w:cstheme="majorBidi"/>
          <w:sz w:val="24"/>
          <w:szCs w:val="24"/>
          <w:lang w:val="en-US"/>
        </w:rPr>
        <w:t>MT</w:t>
      </w:r>
      <w:r w:rsidR="007E189B" w:rsidRPr="0048148E">
        <w:rPr>
          <w:rFonts w:asciiTheme="majorBidi" w:hAnsiTheme="majorBidi" w:cstheme="majorBidi"/>
          <w:sz w:val="24"/>
          <w:szCs w:val="24"/>
          <w:lang w:val="en-US"/>
        </w:rPr>
        <w:t xml:space="preserve">, as noted above). Second, the mention of the Tent of Meeting is very </w:t>
      </w:r>
      <w:r w:rsidR="00962B83" w:rsidRPr="0048148E">
        <w:rPr>
          <w:rFonts w:asciiTheme="majorBidi" w:hAnsiTheme="majorBidi" w:cstheme="majorBidi"/>
          <w:sz w:val="24"/>
          <w:szCs w:val="24"/>
          <w:lang w:val="en-US"/>
        </w:rPr>
        <w:t>unusual. Elsewhere in the story of Eli and his sons</w:t>
      </w:r>
      <w:r w:rsidR="00200A7E">
        <w:rPr>
          <w:rFonts w:asciiTheme="majorBidi" w:hAnsiTheme="majorBidi" w:cstheme="majorBidi"/>
          <w:sz w:val="24"/>
          <w:szCs w:val="24"/>
          <w:lang w:val="en-US"/>
        </w:rPr>
        <w:t>,</w:t>
      </w:r>
      <w:r w:rsidR="00962B83" w:rsidRPr="0048148E">
        <w:rPr>
          <w:rFonts w:asciiTheme="majorBidi" w:hAnsiTheme="majorBidi" w:cstheme="majorBidi"/>
          <w:sz w:val="24"/>
          <w:szCs w:val="24"/>
          <w:lang w:val="en-US"/>
        </w:rPr>
        <w:t xml:space="preserve"> the place of worship in Shiloh was called </w:t>
      </w:r>
      <w:r w:rsidR="00320DEA">
        <w:rPr>
          <w:rFonts w:asciiTheme="majorBidi" w:hAnsiTheme="majorBidi" w:cstheme="majorBidi" w:hint="cs"/>
          <w:sz w:val="24"/>
          <w:szCs w:val="24"/>
          <w:rtl/>
          <w:lang w:val="en-US"/>
        </w:rPr>
        <w:t>בית ה'</w:t>
      </w:r>
      <w:r w:rsidR="00320DEA">
        <w:rPr>
          <w:rFonts w:asciiTheme="majorBidi" w:hAnsiTheme="majorBidi" w:cstheme="majorBidi"/>
          <w:sz w:val="24"/>
          <w:szCs w:val="24"/>
          <w:lang w:val="en-US"/>
        </w:rPr>
        <w:t xml:space="preserve"> (</w:t>
      </w:r>
      <w:r w:rsidR="00962B83" w:rsidRPr="0048148E">
        <w:rPr>
          <w:rFonts w:asciiTheme="majorBidi" w:hAnsiTheme="majorBidi" w:cstheme="majorBidi"/>
          <w:sz w:val="24"/>
          <w:szCs w:val="24"/>
          <w:lang w:val="en-US"/>
        </w:rPr>
        <w:t>“</w:t>
      </w:r>
      <w:r w:rsidR="000B2F77" w:rsidRPr="0048148E">
        <w:rPr>
          <w:rFonts w:asciiTheme="majorBidi" w:hAnsiTheme="majorBidi" w:cstheme="majorBidi"/>
          <w:sz w:val="24"/>
          <w:szCs w:val="24"/>
          <w:lang w:val="en-US"/>
        </w:rPr>
        <w:t>the house of the Lord</w:t>
      </w:r>
      <w:r w:rsidR="00320DEA">
        <w:rPr>
          <w:rFonts w:asciiTheme="majorBidi" w:hAnsiTheme="majorBidi" w:cstheme="majorBidi"/>
          <w:sz w:val="24"/>
          <w:szCs w:val="24"/>
          <w:lang w:val="en-US"/>
        </w:rPr>
        <w:t>,</w:t>
      </w:r>
      <w:r w:rsidR="000B2F77" w:rsidRPr="0048148E">
        <w:rPr>
          <w:rFonts w:asciiTheme="majorBidi" w:hAnsiTheme="majorBidi" w:cstheme="majorBidi"/>
          <w:sz w:val="24"/>
          <w:szCs w:val="24"/>
          <w:lang w:val="en-US"/>
        </w:rPr>
        <w:t xml:space="preserve">” 1Sam 1:7; 3:15) and </w:t>
      </w:r>
      <w:r w:rsidR="00320DEA">
        <w:rPr>
          <w:rFonts w:asciiTheme="majorBidi" w:hAnsiTheme="majorBidi" w:cstheme="majorBidi" w:hint="cs"/>
          <w:sz w:val="24"/>
          <w:szCs w:val="24"/>
          <w:rtl/>
          <w:lang w:val="en-US"/>
        </w:rPr>
        <w:t>היכל ה'</w:t>
      </w:r>
      <w:r w:rsidR="00320DEA">
        <w:rPr>
          <w:rFonts w:asciiTheme="majorBidi" w:hAnsiTheme="majorBidi" w:cstheme="majorBidi"/>
          <w:sz w:val="24"/>
          <w:szCs w:val="24"/>
          <w:lang w:val="en-US"/>
        </w:rPr>
        <w:t xml:space="preserve"> (</w:t>
      </w:r>
      <w:r w:rsidR="000B2F77" w:rsidRPr="0048148E">
        <w:rPr>
          <w:rFonts w:asciiTheme="majorBidi" w:hAnsiTheme="majorBidi" w:cstheme="majorBidi"/>
          <w:sz w:val="24"/>
          <w:szCs w:val="24"/>
          <w:lang w:val="en-US"/>
        </w:rPr>
        <w:t xml:space="preserve">“the </w:t>
      </w:r>
      <w:r w:rsidR="00AD47B5" w:rsidRPr="0048148E">
        <w:rPr>
          <w:rFonts w:asciiTheme="majorBidi" w:hAnsiTheme="majorBidi" w:cstheme="majorBidi"/>
          <w:sz w:val="24"/>
          <w:szCs w:val="24"/>
          <w:lang w:val="en-US"/>
        </w:rPr>
        <w:t>Temple</w:t>
      </w:r>
      <w:commentRangeStart w:id="0"/>
      <w:r w:rsidR="000B2F77" w:rsidRPr="0048148E">
        <w:rPr>
          <w:rFonts w:asciiTheme="majorBidi" w:hAnsiTheme="majorBidi" w:cstheme="majorBidi"/>
          <w:sz w:val="24"/>
          <w:szCs w:val="24"/>
          <w:lang w:val="en-US"/>
        </w:rPr>
        <w:t xml:space="preserve"> </w:t>
      </w:r>
      <w:commentRangeEnd w:id="0"/>
      <w:r w:rsidR="000B2F77" w:rsidRPr="0048148E">
        <w:rPr>
          <w:rStyle w:val="CommentReference"/>
          <w:rFonts w:asciiTheme="majorBidi" w:hAnsiTheme="majorBidi" w:cstheme="majorBidi"/>
          <w:sz w:val="24"/>
          <w:szCs w:val="24"/>
          <w:rtl/>
        </w:rPr>
        <w:commentReference w:id="0"/>
      </w:r>
      <w:r w:rsidR="000B2F77" w:rsidRPr="0048148E">
        <w:rPr>
          <w:rFonts w:asciiTheme="majorBidi" w:hAnsiTheme="majorBidi" w:cstheme="majorBidi"/>
          <w:sz w:val="24"/>
          <w:szCs w:val="24"/>
          <w:lang w:val="en-US"/>
        </w:rPr>
        <w:t>of the Lord</w:t>
      </w:r>
      <w:r w:rsidR="00320DEA">
        <w:rPr>
          <w:rFonts w:asciiTheme="majorBidi" w:hAnsiTheme="majorBidi" w:cstheme="majorBidi"/>
          <w:sz w:val="24"/>
          <w:szCs w:val="24"/>
          <w:lang w:val="en-US"/>
        </w:rPr>
        <w:t>,</w:t>
      </w:r>
      <w:r w:rsidR="000B2F77" w:rsidRPr="0048148E">
        <w:rPr>
          <w:rFonts w:asciiTheme="majorBidi" w:hAnsiTheme="majorBidi" w:cstheme="majorBidi"/>
          <w:sz w:val="24"/>
          <w:szCs w:val="24"/>
          <w:lang w:val="en-US"/>
        </w:rPr>
        <w:t>” 1:9; 3:3)</w:t>
      </w:r>
      <w:r w:rsidR="00DC4D20" w:rsidRPr="0048148E">
        <w:rPr>
          <w:rFonts w:asciiTheme="majorBidi" w:hAnsiTheme="majorBidi" w:cstheme="majorBidi"/>
          <w:sz w:val="24"/>
          <w:szCs w:val="24"/>
          <w:lang w:val="en-US"/>
        </w:rPr>
        <w:t>,</w:t>
      </w:r>
      <w:r w:rsidR="00DC4D20" w:rsidRPr="0048148E">
        <w:rPr>
          <w:rStyle w:val="FootnoteReference"/>
          <w:rFonts w:asciiTheme="majorBidi" w:hAnsiTheme="majorBidi" w:cstheme="majorBidi"/>
          <w:sz w:val="24"/>
          <w:szCs w:val="24"/>
          <w:lang w:val="en-US"/>
        </w:rPr>
        <w:footnoteReference w:id="5"/>
      </w:r>
      <w:r w:rsidR="00DC4D20" w:rsidRPr="0048148E">
        <w:rPr>
          <w:rFonts w:asciiTheme="majorBidi" w:hAnsiTheme="majorBidi" w:cstheme="majorBidi"/>
          <w:sz w:val="24"/>
          <w:szCs w:val="24"/>
          <w:lang w:val="en-US"/>
        </w:rPr>
        <w:t xml:space="preserve"> meaning a structure with doorposts (</w:t>
      </w:r>
      <w:r w:rsidR="00DC4D20" w:rsidRPr="0048148E">
        <w:rPr>
          <w:rFonts w:asciiTheme="majorBidi" w:hAnsiTheme="majorBidi" w:cstheme="majorBidi"/>
          <w:i/>
          <w:iCs/>
          <w:sz w:val="24"/>
          <w:szCs w:val="24"/>
          <w:lang w:val="en-US"/>
        </w:rPr>
        <w:t>mezuzah</w:t>
      </w:r>
      <w:r w:rsidR="00DC4D20" w:rsidRPr="0048148E">
        <w:rPr>
          <w:rFonts w:asciiTheme="majorBidi" w:hAnsiTheme="majorBidi" w:cstheme="majorBidi"/>
          <w:sz w:val="24"/>
          <w:szCs w:val="24"/>
          <w:lang w:val="en-US"/>
        </w:rPr>
        <w:t xml:space="preserve">, 1:9), doors (3:15), and a </w:t>
      </w:r>
      <w:proofErr w:type="spellStart"/>
      <w:r w:rsidR="00DC4D20" w:rsidRPr="0048148E">
        <w:rPr>
          <w:rFonts w:asciiTheme="majorBidi" w:hAnsiTheme="majorBidi" w:cstheme="majorBidi"/>
          <w:i/>
          <w:iCs/>
          <w:sz w:val="24"/>
          <w:szCs w:val="24"/>
          <w:lang w:val="en-US"/>
        </w:rPr>
        <w:t>sha’ar</w:t>
      </w:r>
      <w:proofErr w:type="spellEnd"/>
      <w:r w:rsidR="00DC4D20" w:rsidRPr="0048148E">
        <w:rPr>
          <w:rFonts w:asciiTheme="majorBidi" w:hAnsiTheme="majorBidi" w:cstheme="majorBidi"/>
          <w:sz w:val="24"/>
          <w:szCs w:val="24"/>
          <w:lang w:val="en-US"/>
        </w:rPr>
        <w:t>, or ‘gate’ (4:</w:t>
      </w:r>
      <w:commentRangeStart w:id="1"/>
      <w:r w:rsidR="00DC4D20" w:rsidRPr="0048148E">
        <w:rPr>
          <w:rFonts w:asciiTheme="majorBidi" w:hAnsiTheme="majorBidi" w:cstheme="majorBidi"/>
          <w:sz w:val="24"/>
          <w:szCs w:val="24"/>
          <w:lang w:val="en-US"/>
        </w:rPr>
        <w:t>18</w:t>
      </w:r>
      <w:commentRangeEnd w:id="1"/>
      <w:r w:rsidR="00DC4D20" w:rsidRPr="0048148E">
        <w:rPr>
          <w:rStyle w:val="CommentReference"/>
          <w:rFonts w:asciiTheme="majorBidi" w:hAnsiTheme="majorBidi" w:cstheme="majorBidi"/>
          <w:sz w:val="24"/>
          <w:szCs w:val="24"/>
          <w:rtl/>
        </w:rPr>
        <w:commentReference w:id="1"/>
      </w:r>
      <w:r w:rsidR="00DC4D20" w:rsidRPr="0048148E">
        <w:rPr>
          <w:rFonts w:asciiTheme="majorBidi" w:hAnsiTheme="majorBidi" w:cstheme="majorBidi"/>
          <w:sz w:val="24"/>
          <w:szCs w:val="24"/>
          <w:lang w:val="en-US"/>
        </w:rPr>
        <w:t xml:space="preserve">), with no indication that the </w:t>
      </w:r>
      <w:r w:rsidR="00AD47B5" w:rsidRPr="0048148E">
        <w:rPr>
          <w:rFonts w:asciiTheme="majorBidi" w:hAnsiTheme="majorBidi" w:cstheme="majorBidi"/>
          <w:sz w:val="24"/>
          <w:szCs w:val="24"/>
          <w:lang w:val="en-US"/>
        </w:rPr>
        <w:t>Temple</w:t>
      </w:r>
      <w:r w:rsidR="00DC4D20" w:rsidRPr="0048148E">
        <w:rPr>
          <w:rFonts w:asciiTheme="majorBidi" w:hAnsiTheme="majorBidi" w:cstheme="majorBidi"/>
          <w:sz w:val="24"/>
          <w:szCs w:val="24"/>
          <w:lang w:val="en-US"/>
        </w:rPr>
        <w:t xml:space="preserve"> in Shiloh was constructed as a tent or included a tent.</w:t>
      </w:r>
      <w:r w:rsidR="00DC4D20" w:rsidRPr="0048148E">
        <w:rPr>
          <w:rStyle w:val="FootnoteReference"/>
          <w:rFonts w:asciiTheme="majorBidi" w:hAnsiTheme="majorBidi" w:cstheme="majorBidi"/>
          <w:sz w:val="24"/>
          <w:szCs w:val="24"/>
          <w:lang w:val="en-US"/>
        </w:rPr>
        <w:footnoteReference w:id="6"/>
      </w:r>
      <w:r w:rsidR="00DC4D20" w:rsidRPr="0048148E">
        <w:rPr>
          <w:rFonts w:asciiTheme="majorBidi" w:hAnsiTheme="majorBidi" w:cstheme="majorBidi"/>
          <w:sz w:val="24"/>
          <w:szCs w:val="24"/>
          <w:lang w:val="en-US"/>
        </w:rPr>
        <w:t xml:space="preserve"> </w:t>
      </w:r>
      <w:r w:rsidR="00787E5B" w:rsidRPr="0048148E">
        <w:rPr>
          <w:rFonts w:asciiTheme="majorBidi" w:hAnsiTheme="majorBidi" w:cstheme="majorBidi"/>
          <w:sz w:val="24"/>
          <w:szCs w:val="24"/>
          <w:lang w:val="en-US"/>
        </w:rPr>
        <w:t>The attestation of 4QSam</w:t>
      </w:r>
      <w:r w:rsidR="00787E5B" w:rsidRPr="0048148E">
        <w:rPr>
          <w:rFonts w:asciiTheme="majorBidi" w:hAnsiTheme="majorBidi" w:cstheme="majorBidi"/>
          <w:sz w:val="24"/>
          <w:szCs w:val="24"/>
          <w:vertAlign w:val="superscript"/>
          <w:lang w:val="en-US"/>
        </w:rPr>
        <w:t>a</w:t>
      </w:r>
      <w:r w:rsidR="00787E5B" w:rsidRPr="0048148E">
        <w:rPr>
          <w:rFonts w:asciiTheme="majorBidi" w:hAnsiTheme="majorBidi" w:cstheme="majorBidi"/>
          <w:sz w:val="24"/>
          <w:szCs w:val="24"/>
          <w:lang w:val="en-US"/>
        </w:rPr>
        <w:t xml:space="preserve"> which does not include reference to Eli’s sons’ new sin also provides support for this version. Although the Qumran version underwent a different type of expansion (after 1Sam 4:15 there is another explicit mention of Eli’s age, </w:t>
      </w:r>
      <w:r w:rsidR="00320DEA">
        <w:rPr>
          <w:rFonts w:asciiTheme="majorBidi" w:hAnsiTheme="majorBidi" w:cstheme="majorBidi" w:hint="cs"/>
          <w:sz w:val="24"/>
          <w:szCs w:val="24"/>
          <w:rtl/>
          <w:lang w:val="en-US"/>
        </w:rPr>
        <w:t>בן תשעים שנה [ושמונה שנים]</w:t>
      </w:r>
      <w:r w:rsidR="00320DEA">
        <w:rPr>
          <w:rFonts w:asciiTheme="majorBidi" w:hAnsiTheme="majorBidi" w:cstheme="majorBidi"/>
          <w:sz w:val="24"/>
          <w:szCs w:val="24"/>
          <w:lang w:val="en-US"/>
        </w:rPr>
        <w:t xml:space="preserve"> (“</w:t>
      </w:r>
      <w:r w:rsidR="00787E5B" w:rsidRPr="0048148E">
        <w:rPr>
          <w:rFonts w:asciiTheme="majorBidi" w:hAnsiTheme="majorBidi" w:cstheme="majorBidi"/>
          <w:sz w:val="24"/>
          <w:szCs w:val="24"/>
          <w:lang w:val="en-US"/>
        </w:rPr>
        <w:t>ninety years [and eight years] old,</w:t>
      </w:r>
      <w:r w:rsidR="00320DEA">
        <w:rPr>
          <w:rFonts w:asciiTheme="majorBidi" w:hAnsiTheme="majorBidi" w:cstheme="majorBidi"/>
          <w:sz w:val="24"/>
          <w:szCs w:val="24"/>
          <w:lang w:val="en-US"/>
        </w:rPr>
        <w:t>”</w:t>
      </w:r>
      <w:r w:rsidR="00787E5B" w:rsidRPr="0048148E">
        <w:rPr>
          <w:rFonts w:asciiTheme="majorBidi" w:hAnsiTheme="majorBidi" w:cstheme="majorBidi"/>
          <w:sz w:val="24"/>
          <w:szCs w:val="24"/>
          <w:lang w:val="en-US"/>
        </w:rPr>
        <w:t xml:space="preserve"> after the words “Now Eli was very old”</w:t>
      </w:r>
      <w:r w:rsidR="002B008A" w:rsidRPr="0048148E">
        <w:rPr>
          <w:rFonts w:asciiTheme="majorBidi" w:hAnsiTheme="majorBidi" w:cstheme="majorBidi"/>
          <w:sz w:val="24"/>
          <w:szCs w:val="24"/>
          <w:lang w:val="en-US"/>
        </w:rPr>
        <w:t>), it does not refer to the sexual sins of Eli’s sons and it seems that in this place the scroll version developed from an earlier version</w:t>
      </w:r>
      <w:r w:rsidR="006A1C10" w:rsidRPr="0048148E">
        <w:rPr>
          <w:rFonts w:asciiTheme="majorBidi" w:hAnsiTheme="majorBidi" w:cstheme="majorBidi"/>
          <w:sz w:val="24"/>
          <w:szCs w:val="24"/>
          <w:lang w:val="en-US"/>
        </w:rPr>
        <w:t xml:space="preserve"> of the </w:t>
      </w:r>
      <w:r w:rsidR="00F52D6A" w:rsidRPr="0048148E">
        <w:rPr>
          <w:rFonts w:asciiTheme="majorBidi" w:hAnsiTheme="majorBidi" w:cstheme="majorBidi"/>
          <w:sz w:val="24"/>
          <w:szCs w:val="24"/>
          <w:lang w:val="en-US"/>
        </w:rPr>
        <w:t>MT</w:t>
      </w:r>
      <w:r w:rsidR="006A1C10" w:rsidRPr="0048148E">
        <w:rPr>
          <w:rFonts w:asciiTheme="majorBidi" w:hAnsiTheme="majorBidi" w:cstheme="majorBidi"/>
          <w:sz w:val="24"/>
          <w:szCs w:val="24"/>
          <w:lang w:val="en-US"/>
        </w:rPr>
        <w:t>.</w:t>
      </w:r>
    </w:p>
    <w:p w14:paraId="5184D302" w14:textId="15B33C5A" w:rsidR="00627F66" w:rsidRPr="0048148E" w:rsidRDefault="00A66C6D" w:rsidP="004C4D4B">
      <w:pPr>
        <w:spacing w:line="360" w:lineRule="auto"/>
        <w:ind w:firstLine="720"/>
        <w:rPr>
          <w:rFonts w:asciiTheme="majorBidi" w:hAnsiTheme="majorBidi" w:cstheme="majorBidi"/>
          <w:sz w:val="24"/>
          <w:szCs w:val="24"/>
          <w:lang w:val="en-US"/>
        </w:rPr>
      </w:pPr>
      <w:r w:rsidRPr="0048148E">
        <w:rPr>
          <w:rFonts w:asciiTheme="majorBidi" w:hAnsiTheme="majorBidi" w:cstheme="majorBidi"/>
          <w:sz w:val="24"/>
          <w:szCs w:val="24"/>
          <w:lang w:val="en-US"/>
        </w:rPr>
        <w:t xml:space="preserve">Most scholars </w:t>
      </w:r>
      <w:r w:rsidR="00703E89" w:rsidRPr="0048148E">
        <w:rPr>
          <w:rFonts w:asciiTheme="majorBidi" w:hAnsiTheme="majorBidi" w:cstheme="majorBidi"/>
          <w:sz w:val="24"/>
          <w:szCs w:val="24"/>
          <w:lang w:val="en-US"/>
        </w:rPr>
        <w:t>propose</w:t>
      </w:r>
      <w:r w:rsidRPr="0048148E">
        <w:rPr>
          <w:rFonts w:asciiTheme="majorBidi" w:hAnsiTheme="majorBidi" w:cstheme="majorBidi"/>
          <w:sz w:val="24"/>
          <w:szCs w:val="24"/>
          <w:lang w:val="en-US"/>
        </w:rPr>
        <w:t xml:space="preserve"> that the words</w:t>
      </w:r>
      <w:r w:rsidR="00320DEA">
        <w:rPr>
          <w:rFonts w:asciiTheme="majorBidi" w:hAnsiTheme="majorBidi" w:cstheme="majorBidi"/>
          <w:sz w:val="24"/>
          <w:szCs w:val="24"/>
          <w:lang w:val="en-US"/>
        </w:rPr>
        <w:t xml:space="preserve"> </w:t>
      </w:r>
      <w:r w:rsidR="00320DEA">
        <w:rPr>
          <w:rFonts w:asciiTheme="majorBidi" w:hAnsiTheme="majorBidi" w:cstheme="majorBidi" w:hint="cs"/>
          <w:sz w:val="24"/>
          <w:szCs w:val="24"/>
          <w:rtl/>
          <w:lang w:val="en-US"/>
        </w:rPr>
        <w:t>ואת אשר ישכבון את הנשים הצבאות פתח אהל מועד</w:t>
      </w:r>
      <w:r w:rsidR="00320DEA">
        <w:rPr>
          <w:rFonts w:asciiTheme="majorBidi" w:hAnsiTheme="majorBidi" w:cstheme="majorBidi"/>
          <w:sz w:val="24"/>
          <w:szCs w:val="24"/>
          <w:lang w:val="en-US"/>
        </w:rPr>
        <w:t xml:space="preserve"> (</w:t>
      </w:r>
      <w:r w:rsidRPr="0048148E">
        <w:rPr>
          <w:rFonts w:asciiTheme="majorBidi" w:hAnsiTheme="majorBidi" w:cstheme="majorBidi"/>
          <w:sz w:val="24"/>
          <w:szCs w:val="24"/>
          <w:lang w:val="en-US"/>
        </w:rPr>
        <w:t>“</w:t>
      </w:r>
      <w:r w:rsidRPr="0048148E">
        <w:rPr>
          <w:rFonts w:asciiTheme="majorBidi" w:hAnsiTheme="majorBidi" w:cstheme="majorBidi"/>
          <w:sz w:val="24"/>
          <w:szCs w:val="24"/>
        </w:rPr>
        <w:t xml:space="preserve">and how they lay with the women who assembled at the door of the </w:t>
      </w:r>
      <w:r w:rsidR="00AD47B5" w:rsidRPr="0048148E">
        <w:rPr>
          <w:rFonts w:asciiTheme="majorBidi" w:hAnsiTheme="majorBidi" w:cstheme="majorBidi"/>
          <w:sz w:val="24"/>
          <w:szCs w:val="24"/>
        </w:rPr>
        <w:t>Tabernacle</w:t>
      </w:r>
      <w:r w:rsidRPr="0048148E">
        <w:rPr>
          <w:rFonts w:asciiTheme="majorBidi" w:hAnsiTheme="majorBidi" w:cstheme="majorBidi"/>
          <w:sz w:val="24"/>
          <w:szCs w:val="24"/>
        </w:rPr>
        <w:t xml:space="preserve"> of meeting</w:t>
      </w:r>
      <w:r w:rsidRPr="0048148E">
        <w:rPr>
          <w:rFonts w:asciiTheme="majorBidi" w:hAnsiTheme="majorBidi" w:cstheme="majorBidi"/>
          <w:sz w:val="24"/>
          <w:szCs w:val="24"/>
          <w:lang w:val="en-US"/>
        </w:rPr>
        <w:t>”</w:t>
      </w:r>
      <w:r w:rsidR="00320DEA">
        <w:rPr>
          <w:rFonts w:asciiTheme="majorBidi" w:hAnsiTheme="majorBidi" w:cstheme="majorBidi"/>
          <w:sz w:val="24"/>
          <w:szCs w:val="24"/>
          <w:lang w:val="en-US"/>
        </w:rPr>
        <w:t>)</w:t>
      </w:r>
      <w:r w:rsidR="00624C6A">
        <w:rPr>
          <w:rFonts w:asciiTheme="majorBidi" w:hAnsiTheme="majorBidi" w:cstheme="majorBidi"/>
          <w:sz w:val="24"/>
          <w:szCs w:val="24"/>
          <w:lang w:val="en-US"/>
        </w:rPr>
        <w:t>,</w:t>
      </w:r>
      <w:r w:rsidRPr="0048148E">
        <w:rPr>
          <w:rFonts w:asciiTheme="majorBidi" w:hAnsiTheme="majorBidi" w:cstheme="majorBidi"/>
          <w:sz w:val="24"/>
          <w:szCs w:val="24"/>
          <w:lang w:val="en-US"/>
        </w:rPr>
        <w:t xml:space="preserve"> which do not appear in the Septuagint o</w:t>
      </w:r>
      <w:r w:rsidR="00624C6A">
        <w:rPr>
          <w:rFonts w:asciiTheme="majorBidi" w:hAnsiTheme="majorBidi" w:cstheme="majorBidi"/>
          <w:sz w:val="24"/>
          <w:szCs w:val="24"/>
          <w:lang w:val="en-US"/>
        </w:rPr>
        <w:t>r</w:t>
      </w:r>
      <w:r w:rsidRPr="0048148E">
        <w:rPr>
          <w:rFonts w:asciiTheme="majorBidi" w:hAnsiTheme="majorBidi" w:cstheme="majorBidi"/>
          <w:sz w:val="24"/>
          <w:szCs w:val="24"/>
          <w:lang w:val="en-US"/>
        </w:rPr>
        <w:t xml:space="preserve"> the scroll</w:t>
      </w:r>
      <w:r w:rsidR="00624C6A">
        <w:rPr>
          <w:rFonts w:asciiTheme="majorBidi" w:hAnsiTheme="majorBidi" w:cstheme="majorBidi"/>
          <w:sz w:val="24"/>
          <w:szCs w:val="24"/>
          <w:lang w:val="en-US"/>
        </w:rPr>
        <w:t>,</w:t>
      </w:r>
      <w:r w:rsidRPr="0048148E">
        <w:rPr>
          <w:rFonts w:asciiTheme="majorBidi" w:hAnsiTheme="majorBidi" w:cstheme="majorBidi"/>
          <w:sz w:val="24"/>
          <w:szCs w:val="24"/>
          <w:lang w:val="en-US"/>
        </w:rPr>
        <w:t xml:space="preserve"> were added at a later stage, and are based on the verse</w:t>
      </w:r>
      <w:r w:rsidR="00703E89" w:rsidRPr="0048148E">
        <w:rPr>
          <w:rFonts w:asciiTheme="majorBidi" w:hAnsiTheme="majorBidi" w:cstheme="majorBidi"/>
          <w:sz w:val="24"/>
          <w:szCs w:val="24"/>
          <w:lang w:val="en-US"/>
        </w:rPr>
        <w:t xml:space="preserve"> </w:t>
      </w:r>
      <w:r w:rsidR="00320DEA">
        <w:rPr>
          <w:rFonts w:asciiTheme="majorBidi" w:hAnsiTheme="majorBidi" w:cstheme="majorBidi" w:hint="cs"/>
          <w:sz w:val="24"/>
          <w:szCs w:val="24"/>
          <w:rtl/>
          <w:lang w:val="en-US"/>
        </w:rPr>
        <w:t>ויעש את הכיור נחשת ואת כנו נחשת במראת הצבאת אשר בצאו פתח אהל מועד</w:t>
      </w:r>
      <w:r w:rsidR="00320DEA">
        <w:rPr>
          <w:rFonts w:asciiTheme="majorBidi" w:hAnsiTheme="majorBidi" w:cstheme="majorBidi"/>
          <w:sz w:val="24"/>
          <w:szCs w:val="24"/>
          <w:lang w:val="en-US"/>
        </w:rPr>
        <w:t xml:space="preserve"> (</w:t>
      </w:r>
      <w:r w:rsidR="00703E89" w:rsidRPr="0048148E">
        <w:rPr>
          <w:rFonts w:asciiTheme="majorBidi" w:hAnsiTheme="majorBidi" w:cstheme="majorBidi"/>
          <w:sz w:val="24"/>
          <w:szCs w:val="24"/>
          <w:lang w:val="en-US"/>
        </w:rPr>
        <w:t>“</w:t>
      </w:r>
      <w:r w:rsidR="00703E89" w:rsidRPr="0048148E">
        <w:rPr>
          <w:rFonts w:asciiTheme="majorBidi" w:hAnsiTheme="majorBidi" w:cstheme="majorBidi"/>
          <w:sz w:val="24"/>
          <w:szCs w:val="24"/>
        </w:rPr>
        <w:t xml:space="preserve">He made the laver of bronze and its base of bronze, from </w:t>
      </w:r>
      <w:bookmarkStart w:id="2" w:name="_Hlk92226424"/>
      <w:r w:rsidR="00703E89" w:rsidRPr="0048148E">
        <w:rPr>
          <w:rFonts w:asciiTheme="majorBidi" w:hAnsiTheme="majorBidi" w:cstheme="majorBidi"/>
          <w:sz w:val="24"/>
          <w:szCs w:val="24"/>
        </w:rPr>
        <w:t xml:space="preserve">the bronze mirrors of the serving women who assembled at the door of the </w:t>
      </w:r>
      <w:r w:rsidR="00AD47B5" w:rsidRPr="0048148E">
        <w:rPr>
          <w:rFonts w:asciiTheme="majorBidi" w:hAnsiTheme="majorBidi" w:cstheme="majorBidi"/>
          <w:sz w:val="24"/>
          <w:szCs w:val="24"/>
        </w:rPr>
        <w:t>Tabernacle</w:t>
      </w:r>
      <w:r w:rsidR="00703E89" w:rsidRPr="0048148E">
        <w:rPr>
          <w:rFonts w:asciiTheme="majorBidi" w:hAnsiTheme="majorBidi" w:cstheme="majorBidi"/>
          <w:sz w:val="24"/>
          <w:szCs w:val="24"/>
        </w:rPr>
        <w:t xml:space="preserve"> of meeting</w:t>
      </w:r>
      <w:bookmarkEnd w:id="2"/>
      <w:r w:rsidR="00320DEA">
        <w:rPr>
          <w:rFonts w:asciiTheme="majorBidi" w:hAnsiTheme="majorBidi" w:cstheme="majorBidi"/>
          <w:sz w:val="24"/>
          <w:szCs w:val="24"/>
          <w:lang w:val="en-US"/>
        </w:rPr>
        <w:t>,</w:t>
      </w:r>
      <w:r w:rsidR="00703E89" w:rsidRPr="0048148E">
        <w:rPr>
          <w:rFonts w:asciiTheme="majorBidi" w:hAnsiTheme="majorBidi" w:cstheme="majorBidi"/>
          <w:sz w:val="24"/>
          <w:szCs w:val="24"/>
          <w:lang w:val="en-US"/>
        </w:rPr>
        <w:t>” E</w:t>
      </w:r>
      <w:r w:rsidRPr="0048148E">
        <w:rPr>
          <w:rFonts w:asciiTheme="majorBidi" w:hAnsiTheme="majorBidi" w:cstheme="majorBidi"/>
          <w:sz w:val="24"/>
          <w:szCs w:val="24"/>
          <w:lang w:val="en-US"/>
        </w:rPr>
        <w:t>x 38:8</w:t>
      </w:r>
      <w:r w:rsidR="00703E89" w:rsidRPr="0048148E">
        <w:rPr>
          <w:rFonts w:asciiTheme="majorBidi" w:hAnsiTheme="majorBidi" w:cstheme="majorBidi"/>
          <w:sz w:val="24"/>
          <w:szCs w:val="24"/>
          <w:lang w:val="en-US"/>
        </w:rPr>
        <w:t xml:space="preserve">). The affinity between this verse and the one in Samuel is clear, as both </w:t>
      </w:r>
      <w:proofErr w:type="gramStart"/>
      <w:r w:rsidR="00703E89" w:rsidRPr="0048148E">
        <w:rPr>
          <w:rFonts w:asciiTheme="majorBidi" w:hAnsiTheme="majorBidi" w:cstheme="majorBidi"/>
          <w:sz w:val="24"/>
          <w:szCs w:val="24"/>
          <w:lang w:val="en-US"/>
        </w:rPr>
        <w:t>end</w:t>
      </w:r>
      <w:proofErr w:type="gramEnd"/>
      <w:r w:rsidR="00703E89" w:rsidRPr="0048148E">
        <w:rPr>
          <w:rFonts w:asciiTheme="majorBidi" w:hAnsiTheme="majorBidi" w:cstheme="majorBidi"/>
          <w:sz w:val="24"/>
          <w:szCs w:val="24"/>
          <w:lang w:val="en-US"/>
        </w:rPr>
        <w:t xml:space="preserve"> almost identically:</w:t>
      </w:r>
      <w:r w:rsidR="00320DEA">
        <w:rPr>
          <w:rFonts w:asciiTheme="majorBidi" w:hAnsiTheme="majorBidi" w:cstheme="majorBidi" w:hint="cs"/>
          <w:sz w:val="24"/>
          <w:szCs w:val="24"/>
          <w:rtl/>
          <w:lang w:val="en-US"/>
        </w:rPr>
        <w:t xml:space="preserve"> הצבאות פתח אהל מועד </w:t>
      </w:r>
      <w:r w:rsidR="00320DEA">
        <w:rPr>
          <w:rFonts w:asciiTheme="majorBidi" w:hAnsiTheme="majorBidi" w:cstheme="majorBidi"/>
          <w:sz w:val="24"/>
          <w:szCs w:val="24"/>
          <w:lang w:val="en-US"/>
        </w:rPr>
        <w:t>(</w:t>
      </w:r>
      <w:r w:rsidR="00703E89" w:rsidRPr="0048148E">
        <w:rPr>
          <w:rFonts w:asciiTheme="majorBidi" w:hAnsiTheme="majorBidi" w:cstheme="majorBidi"/>
          <w:sz w:val="24"/>
          <w:szCs w:val="24"/>
          <w:lang w:val="en-US"/>
        </w:rPr>
        <w:t xml:space="preserve">“who assembled at the door of the </w:t>
      </w:r>
      <w:r w:rsidR="00AD47B5" w:rsidRPr="0048148E">
        <w:rPr>
          <w:rFonts w:asciiTheme="majorBidi" w:hAnsiTheme="majorBidi" w:cstheme="majorBidi"/>
          <w:sz w:val="24"/>
          <w:szCs w:val="24"/>
          <w:lang w:val="en-US"/>
        </w:rPr>
        <w:t>Tabernacle</w:t>
      </w:r>
      <w:r w:rsidR="00703E89" w:rsidRPr="0048148E">
        <w:rPr>
          <w:rFonts w:asciiTheme="majorBidi" w:hAnsiTheme="majorBidi" w:cstheme="majorBidi"/>
          <w:sz w:val="24"/>
          <w:szCs w:val="24"/>
          <w:lang w:val="en-US"/>
        </w:rPr>
        <w:t xml:space="preserve"> of meeting”</w:t>
      </w:r>
      <w:r w:rsidR="00320DEA">
        <w:rPr>
          <w:rFonts w:asciiTheme="majorBidi" w:hAnsiTheme="majorBidi" w:cstheme="majorBidi"/>
          <w:sz w:val="24"/>
          <w:szCs w:val="24"/>
          <w:lang w:val="en-US"/>
        </w:rPr>
        <w:t>).</w:t>
      </w:r>
      <w:r w:rsidR="00703E89" w:rsidRPr="0048148E">
        <w:rPr>
          <w:rFonts w:asciiTheme="majorBidi" w:hAnsiTheme="majorBidi" w:cstheme="majorBidi"/>
          <w:sz w:val="24"/>
          <w:szCs w:val="24"/>
          <w:lang w:val="en-US"/>
        </w:rPr>
        <w:t xml:space="preserve"> This assumption coheres with other texts which were added later on, and were formulated by mimicking the Torah style, especially that of P, which comprises a significant part of the Torah.</w:t>
      </w:r>
      <w:r w:rsidR="00703E89" w:rsidRPr="0048148E">
        <w:rPr>
          <w:rStyle w:val="FootnoteReference"/>
          <w:rFonts w:asciiTheme="majorBidi" w:hAnsiTheme="majorBidi" w:cstheme="majorBidi"/>
          <w:sz w:val="24"/>
          <w:szCs w:val="24"/>
          <w:lang w:val="en-US"/>
        </w:rPr>
        <w:footnoteReference w:id="7"/>
      </w:r>
      <w:r w:rsidR="00703E89" w:rsidRPr="0048148E">
        <w:rPr>
          <w:rFonts w:asciiTheme="majorBidi" w:hAnsiTheme="majorBidi" w:cstheme="majorBidi"/>
          <w:sz w:val="24"/>
          <w:szCs w:val="24"/>
          <w:lang w:val="en-US"/>
        </w:rPr>
        <w:t xml:space="preserve"> Recently, Domenico </w:t>
      </w:r>
      <w:proofErr w:type="spellStart"/>
      <w:r w:rsidR="00703E89" w:rsidRPr="0048148E">
        <w:rPr>
          <w:rFonts w:asciiTheme="majorBidi" w:hAnsiTheme="majorBidi" w:cstheme="majorBidi"/>
          <w:sz w:val="24"/>
          <w:szCs w:val="24"/>
          <w:lang w:val="en-US"/>
        </w:rPr>
        <w:t>LoSardo</w:t>
      </w:r>
      <w:proofErr w:type="spellEnd"/>
      <w:r w:rsidR="00703E89" w:rsidRPr="0048148E">
        <w:rPr>
          <w:rFonts w:asciiTheme="majorBidi" w:hAnsiTheme="majorBidi" w:cstheme="majorBidi"/>
          <w:sz w:val="24"/>
          <w:szCs w:val="24"/>
          <w:lang w:val="en-US"/>
        </w:rPr>
        <w:t xml:space="preserve"> challenged this assumption and suggested that it is the text in Ex 38:8 which is based on t</w:t>
      </w:r>
      <w:r w:rsidR="006A1C10" w:rsidRPr="0048148E">
        <w:rPr>
          <w:rFonts w:asciiTheme="majorBidi" w:hAnsiTheme="majorBidi" w:cstheme="majorBidi"/>
          <w:sz w:val="24"/>
          <w:szCs w:val="24"/>
          <w:lang w:val="en-US"/>
        </w:rPr>
        <w:t xml:space="preserve">he </w:t>
      </w:r>
      <w:r w:rsidR="00F52D6A" w:rsidRPr="0048148E">
        <w:rPr>
          <w:rFonts w:asciiTheme="majorBidi" w:hAnsiTheme="majorBidi" w:cstheme="majorBidi"/>
          <w:sz w:val="24"/>
          <w:szCs w:val="24"/>
          <w:lang w:val="en-US"/>
        </w:rPr>
        <w:t>MT</w:t>
      </w:r>
      <w:r w:rsidR="00703E89" w:rsidRPr="0048148E">
        <w:rPr>
          <w:rFonts w:asciiTheme="majorBidi" w:hAnsiTheme="majorBidi" w:cstheme="majorBidi"/>
          <w:sz w:val="24"/>
          <w:szCs w:val="24"/>
          <w:lang w:val="en-US"/>
        </w:rPr>
        <w:t xml:space="preserve"> version </w:t>
      </w:r>
      <w:r w:rsidR="006A1C10" w:rsidRPr="0048148E">
        <w:rPr>
          <w:rFonts w:asciiTheme="majorBidi" w:hAnsiTheme="majorBidi" w:cstheme="majorBidi"/>
          <w:sz w:val="24"/>
          <w:szCs w:val="24"/>
          <w:lang w:val="en-US"/>
        </w:rPr>
        <w:t>of Samuel, even if 1Sam 2:22 was added relatively later on.</w:t>
      </w:r>
      <w:r w:rsidR="006A1C10" w:rsidRPr="0048148E">
        <w:rPr>
          <w:rStyle w:val="FootnoteReference"/>
          <w:rFonts w:asciiTheme="majorBidi" w:hAnsiTheme="majorBidi" w:cstheme="majorBidi"/>
          <w:sz w:val="24"/>
          <w:szCs w:val="24"/>
          <w:lang w:val="en-US"/>
        </w:rPr>
        <w:footnoteReference w:id="8"/>
      </w:r>
      <w:r w:rsidR="006A1C10" w:rsidRPr="0048148E">
        <w:rPr>
          <w:rFonts w:asciiTheme="majorBidi" w:hAnsiTheme="majorBidi" w:cstheme="majorBidi"/>
          <w:sz w:val="24"/>
          <w:szCs w:val="24"/>
          <w:lang w:val="en-US"/>
        </w:rPr>
        <w:t xml:space="preserve"> This </w:t>
      </w:r>
      <w:r w:rsidR="00107E12">
        <w:rPr>
          <w:rFonts w:asciiTheme="majorBidi" w:hAnsiTheme="majorBidi" w:cstheme="majorBidi"/>
          <w:sz w:val="24"/>
          <w:szCs w:val="24"/>
          <w:lang w:val="en-US"/>
        </w:rPr>
        <w:t>suggestion</w:t>
      </w:r>
      <w:r w:rsidR="006A1C10" w:rsidRPr="0048148E">
        <w:rPr>
          <w:rFonts w:asciiTheme="majorBidi" w:hAnsiTheme="majorBidi" w:cstheme="majorBidi"/>
          <w:sz w:val="24"/>
          <w:szCs w:val="24"/>
          <w:lang w:val="en-US"/>
        </w:rPr>
        <w:t xml:space="preserve"> is based on one significant piece of evidence (see below), but the assumption that some author decided to add details of Eli’s sons sleeping with the assembled women </w:t>
      </w:r>
      <w:r w:rsidR="00624C6A">
        <w:rPr>
          <w:rFonts w:asciiTheme="majorBidi" w:hAnsiTheme="majorBidi" w:cstheme="majorBidi"/>
          <w:sz w:val="24"/>
          <w:szCs w:val="24"/>
          <w:lang w:val="en-US"/>
        </w:rPr>
        <w:t>based on</w:t>
      </w:r>
      <w:r w:rsidR="006A1C10" w:rsidRPr="0048148E">
        <w:rPr>
          <w:rFonts w:asciiTheme="majorBidi" w:hAnsiTheme="majorBidi" w:cstheme="majorBidi"/>
          <w:sz w:val="24"/>
          <w:szCs w:val="24"/>
          <w:lang w:val="en-US"/>
        </w:rPr>
        <w:t xml:space="preserve"> the Torah’s description of the bronze laver is unconvincing. Furthermore, </w:t>
      </w:r>
      <w:r w:rsidR="00E91D9F" w:rsidRPr="0048148E">
        <w:rPr>
          <w:rFonts w:asciiTheme="majorBidi" w:hAnsiTheme="majorBidi" w:cstheme="majorBidi"/>
          <w:sz w:val="24"/>
          <w:szCs w:val="24"/>
          <w:lang w:val="en-US"/>
        </w:rPr>
        <w:t xml:space="preserve">the </w:t>
      </w:r>
      <w:commentRangeStart w:id="3"/>
      <w:r w:rsidR="00E91D9F" w:rsidRPr="0048148E">
        <w:rPr>
          <w:rFonts w:asciiTheme="majorBidi" w:hAnsiTheme="majorBidi" w:cstheme="majorBidi"/>
          <w:sz w:val="24"/>
          <w:szCs w:val="24"/>
          <w:lang w:val="en-US"/>
        </w:rPr>
        <w:t xml:space="preserve">plus </w:t>
      </w:r>
      <w:commentRangeEnd w:id="3"/>
      <w:r w:rsidR="00624C6A">
        <w:rPr>
          <w:rStyle w:val="CommentReference"/>
        </w:rPr>
        <w:commentReference w:id="3"/>
      </w:r>
      <w:r w:rsidR="00E91D9F" w:rsidRPr="0048148E">
        <w:rPr>
          <w:rFonts w:asciiTheme="majorBidi" w:hAnsiTheme="majorBidi" w:cstheme="majorBidi"/>
          <w:sz w:val="24"/>
          <w:szCs w:val="24"/>
          <w:lang w:val="en-US"/>
        </w:rPr>
        <w:t xml:space="preserve">style in Samuel is very unusual within the </w:t>
      </w:r>
      <w:r w:rsidR="008511FE">
        <w:rPr>
          <w:rFonts w:asciiTheme="majorBidi" w:hAnsiTheme="majorBidi" w:cstheme="majorBidi"/>
          <w:sz w:val="24"/>
          <w:szCs w:val="24"/>
          <w:lang w:val="en-US"/>
        </w:rPr>
        <w:t>F</w:t>
      </w:r>
      <w:r w:rsidR="00E91D9F" w:rsidRPr="0048148E">
        <w:rPr>
          <w:rFonts w:asciiTheme="majorBidi" w:hAnsiTheme="majorBidi" w:cstheme="majorBidi"/>
          <w:sz w:val="24"/>
          <w:szCs w:val="24"/>
          <w:lang w:val="en-US"/>
        </w:rPr>
        <w:t xml:space="preserve">ormer </w:t>
      </w:r>
      <w:r w:rsidR="008511FE">
        <w:rPr>
          <w:rFonts w:asciiTheme="majorBidi" w:hAnsiTheme="majorBidi" w:cstheme="majorBidi"/>
          <w:sz w:val="24"/>
          <w:szCs w:val="24"/>
          <w:lang w:val="en-US"/>
        </w:rPr>
        <w:t>P</w:t>
      </w:r>
      <w:r w:rsidR="00E91D9F" w:rsidRPr="0048148E">
        <w:rPr>
          <w:rFonts w:asciiTheme="majorBidi" w:hAnsiTheme="majorBidi" w:cstheme="majorBidi"/>
          <w:sz w:val="24"/>
          <w:szCs w:val="24"/>
          <w:lang w:val="en-US"/>
        </w:rPr>
        <w:t xml:space="preserve">rophet books in general, and within Samuel in particular, while it is very appropriate </w:t>
      </w:r>
      <w:r w:rsidR="00442682">
        <w:rPr>
          <w:rFonts w:asciiTheme="majorBidi" w:hAnsiTheme="majorBidi" w:cstheme="majorBidi"/>
          <w:sz w:val="24"/>
          <w:szCs w:val="24"/>
          <w:lang w:val="en-US"/>
        </w:rPr>
        <w:t>to</w:t>
      </w:r>
      <w:r w:rsidR="00E91D9F" w:rsidRPr="0048148E">
        <w:rPr>
          <w:rFonts w:asciiTheme="majorBidi" w:hAnsiTheme="majorBidi" w:cstheme="majorBidi"/>
          <w:sz w:val="24"/>
          <w:szCs w:val="24"/>
          <w:lang w:val="en-US"/>
        </w:rPr>
        <w:t xml:space="preserve"> the style of the </w:t>
      </w:r>
      <w:r w:rsidR="000D575F" w:rsidRPr="0048148E">
        <w:rPr>
          <w:rFonts w:asciiTheme="majorBidi" w:hAnsiTheme="majorBidi" w:cstheme="majorBidi"/>
          <w:sz w:val="24"/>
          <w:szCs w:val="24"/>
          <w:lang w:val="en-US"/>
        </w:rPr>
        <w:t>Priestly</w:t>
      </w:r>
      <w:r w:rsidR="00E91D9F" w:rsidRPr="0048148E">
        <w:rPr>
          <w:rFonts w:asciiTheme="majorBidi" w:hAnsiTheme="majorBidi" w:cstheme="majorBidi"/>
          <w:sz w:val="24"/>
          <w:szCs w:val="24"/>
          <w:lang w:val="en-US"/>
        </w:rPr>
        <w:t xml:space="preserve"> material in </w:t>
      </w:r>
      <w:r w:rsidR="00E91D9F" w:rsidRPr="0048148E">
        <w:rPr>
          <w:rFonts w:asciiTheme="majorBidi" w:hAnsiTheme="majorBidi" w:cstheme="majorBidi"/>
          <w:sz w:val="24"/>
          <w:szCs w:val="24"/>
          <w:lang w:val="en-US"/>
        </w:rPr>
        <w:lastRenderedPageBreak/>
        <w:t xml:space="preserve">the Torah (which describes the construction of the </w:t>
      </w:r>
      <w:r w:rsidR="00AD47B5" w:rsidRPr="0048148E">
        <w:rPr>
          <w:rFonts w:asciiTheme="majorBidi" w:hAnsiTheme="majorBidi" w:cstheme="majorBidi"/>
          <w:sz w:val="24"/>
          <w:szCs w:val="24"/>
          <w:lang w:val="en-US"/>
        </w:rPr>
        <w:t>Tabernacle</w:t>
      </w:r>
      <w:r w:rsidR="00E91D9F" w:rsidRPr="0048148E">
        <w:rPr>
          <w:rFonts w:asciiTheme="majorBidi" w:hAnsiTheme="majorBidi" w:cstheme="majorBidi"/>
          <w:sz w:val="24"/>
          <w:szCs w:val="24"/>
          <w:lang w:val="en-US"/>
        </w:rPr>
        <w:t xml:space="preserve"> in Exodus). So, for example, the expression</w:t>
      </w:r>
      <w:r w:rsidR="008511FE">
        <w:rPr>
          <w:rFonts w:asciiTheme="majorBidi" w:hAnsiTheme="majorBidi" w:cstheme="majorBidi"/>
          <w:sz w:val="24"/>
          <w:szCs w:val="24"/>
          <w:lang w:val="en-US"/>
        </w:rPr>
        <w:t xml:space="preserve"> </w:t>
      </w:r>
      <w:r w:rsidR="008511FE">
        <w:rPr>
          <w:rFonts w:asciiTheme="majorBidi" w:hAnsiTheme="majorBidi" w:cstheme="majorBidi" w:hint="cs"/>
          <w:sz w:val="24"/>
          <w:szCs w:val="24"/>
          <w:rtl/>
          <w:lang w:val="en-US"/>
        </w:rPr>
        <w:t>פתח אהל מועד</w:t>
      </w:r>
      <w:r w:rsidR="00E91D9F" w:rsidRPr="0048148E">
        <w:rPr>
          <w:rFonts w:asciiTheme="majorBidi" w:hAnsiTheme="majorBidi" w:cstheme="majorBidi"/>
          <w:sz w:val="24"/>
          <w:szCs w:val="24"/>
          <w:lang w:val="en-US"/>
        </w:rPr>
        <w:t xml:space="preserve"> </w:t>
      </w:r>
      <w:r w:rsidR="008511FE">
        <w:rPr>
          <w:rFonts w:asciiTheme="majorBidi" w:hAnsiTheme="majorBidi" w:cstheme="majorBidi"/>
          <w:sz w:val="24"/>
          <w:szCs w:val="24"/>
          <w:lang w:val="en-US"/>
        </w:rPr>
        <w:t>(</w:t>
      </w:r>
      <w:r w:rsidR="00E91D9F" w:rsidRPr="0048148E">
        <w:rPr>
          <w:rFonts w:asciiTheme="majorBidi" w:hAnsiTheme="majorBidi" w:cstheme="majorBidi"/>
          <w:sz w:val="24"/>
          <w:szCs w:val="24"/>
          <w:lang w:val="en-US"/>
        </w:rPr>
        <w:t xml:space="preserve">“at the door of the </w:t>
      </w:r>
      <w:r w:rsidR="00AD47B5" w:rsidRPr="0048148E">
        <w:rPr>
          <w:rFonts w:asciiTheme="majorBidi" w:hAnsiTheme="majorBidi" w:cstheme="majorBidi"/>
          <w:sz w:val="24"/>
          <w:szCs w:val="24"/>
          <w:lang w:val="en-US"/>
        </w:rPr>
        <w:t>Tabernacle</w:t>
      </w:r>
      <w:r w:rsidR="00E91D9F" w:rsidRPr="0048148E">
        <w:rPr>
          <w:rFonts w:asciiTheme="majorBidi" w:hAnsiTheme="majorBidi" w:cstheme="majorBidi"/>
          <w:sz w:val="24"/>
          <w:szCs w:val="24"/>
          <w:lang w:val="en-US"/>
        </w:rPr>
        <w:t xml:space="preserve"> of meeting”</w:t>
      </w:r>
      <w:r w:rsidR="008511FE">
        <w:rPr>
          <w:rFonts w:asciiTheme="majorBidi" w:hAnsiTheme="majorBidi" w:cstheme="majorBidi"/>
          <w:sz w:val="24"/>
          <w:szCs w:val="24"/>
          <w:lang w:val="en-US"/>
        </w:rPr>
        <w:t>)</w:t>
      </w:r>
      <w:r w:rsidR="00E91D9F" w:rsidRPr="0048148E">
        <w:rPr>
          <w:rFonts w:asciiTheme="majorBidi" w:hAnsiTheme="majorBidi" w:cstheme="majorBidi"/>
          <w:sz w:val="24"/>
          <w:szCs w:val="24"/>
          <w:lang w:val="en-US"/>
        </w:rPr>
        <w:t xml:space="preserve"> which appears in 1Sam 2:22 appears several times in Exodus-Numbers,</w:t>
      </w:r>
      <w:r w:rsidR="00E91D9F" w:rsidRPr="0048148E">
        <w:rPr>
          <w:rStyle w:val="FootnoteReference"/>
          <w:rFonts w:asciiTheme="majorBidi" w:hAnsiTheme="majorBidi" w:cstheme="majorBidi"/>
          <w:sz w:val="24"/>
          <w:szCs w:val="24"/>
          <w:lang w:val="en-US"/>
        </w:rPr>
        <w:footnoteReference w:id="9"/>
      </w:r>
      <w:r w:rsidR="00E91D9F" w:rsidRPr="0048148E">
        <w:rPr>
          <w:rFonts w:asciiTheme="majorBidi" w:hAnsiTheme="majorBidi" w:cstheme="majorBidi"/>
          <w:sz w:val="24"/>
          <w:szCs w:val="24"/>
          <w:lang w:val="en-US"/>
        </w:rPr>
        <w:t xml:space="preserve"> but with the exception of this verse, it does not appear outside of Joshua. The verb </w:t>
      </w:r>
      <w:bookmarkStart w:id="4" w:name="_Hlk92282872"/>
      <w:commentRangeStart w:id="5"/>
      <w:proofErr w:type="spellStart"/>
      <w:r w:rsidR="00E91D9F" w:rsidRPr="0048148E">
        <w:rPr>
          <w:rFonts w:asciiTheme="majorBidi" w:hAnsiTheme="majorBidi" w:cstheme="majorBidi"/>
          <w:i/>
          <w:iCs/>
          <w:sz w:val="24"/>
          <w:szCs w:val="24"/>
          <w:lang w:val="en-US"/>
        </w:rPr>
        <w:t>šv</w:t>
      </w:r>
      <w:proofErr w:type="spellEnd"/>
      <w:r w:rsidR="00E91D9F" w:rsidRPr="0048148E">
        <w:rPr>
          <w:rFonts w:asciiTheme="majorBidi" w:hAnsiTheme="majorBidi" w:cstheme="majorBidi"/>
          <w:i/>
          <w:iCs/>
          <w:sz w:val="24"/>
          <w:szCs w:val="24"/>
          <w:lang w:val="en-US"/>
        </w:rPr>
        <w:t>’</w:t>
      </w:r>
      <w:commentRangeEnd w:id="5"/>
      <w:r w:rsidR="00E91D9F" w:rsidRPr="0048148E">
        <w:rPr>
          <w:rStyle w:val="CommentReference"/>
          <w:rFonts w:asciiTheme="majorBidi" w:hAnsiTheme="majorBidi" w:cstheme="majorBidi"/>
          <w:sz w:val="24"/>
          <w:szCs w:val="24"/>
          <w:rtl/>
        </w:rPr>
        <w:commentReference w:id="5"/>
      </w:r>
      <w:r w:rsidR="00E91D9F" w:rsidRPr="0048148E">
        <w:rPr>
          <w:rFonts w:asciiTheme="majorBidi" w:hAnsiTheme="majorBidi" w:cstheme="majorBidi"/>
          <w:sz w:val="24"/>
          <w:szCs w:val="24"/>
          <w:lang w:val="en-US"/>
        </w:rPr>
        <w:t xml:space="preserve"> </w:t>
      </w:r>
      <w:bookmarkEnd w:id="4"/>
      <w:r w:rsidR="00BA660A" w:rsidRPr="0048148E">
        <w:rPr>
          <w:rFonts w:asciiTheme="majorBidi" w:hAnsiTheme="majorBidi" w:cstheme="majorBidi"/>
          <w:sz w:val="24"/>
          <w:szCs w:val="24"/>
          <w:lang w:val="en-US"/>
        </w:rPr>
        <w:t>(</w:t>
      </w:r>
      <w:r w:rsidR="00BA660A" w:rsidRPr="0048148E">
        <w:rPr>
          <w:rFonts w:asciiTheme="majorBidi" w:hAnsiTheme="majorBidi" w:cstheme="majorBidi"/>
          <w:sz w:val="24"/>
          <w:szCs w:val="24"/>
          <w:rtl/>
          <w:lang w:val="en-US"/>
        </w:rPr>
        <w:t>צב"א</w:t>
      </w:r>
      <w:r w:rsidR="00BA660A" w:rsidRPr="0048148E">
        <w:rPr>
          <w:rFonts w:asciiTheme="majorBidi" w:hAnsiTheme="majorBidi" w:cstheme="majorBidi"/>
          <w:sz w:val="24"/>
          <w:szCs w:val="24"/>
          <w:lang w:val="en-US"/>
        </w:rPr>
        <w:t xml:space="preserve">) </w:t>
      </w:r>
      <w:r w:rsidR="00E91D9F" w:rsidRPr="0048148E">
        <w:rPr>
          <w:rFonts w:asciiTheme="majorBidi" w:hAnsiTheme="majorBidi" w:cstheme="majorBidi"/>
          <w:sz w:val="24"/>
          <w:szCs w:val="24"/>
          <w:lang w:val="en-US"/>
        </w:rPr>
        <w:t xml:space="preserve">in the sense of </w:t>
      </w:r>
      <w:r w:rsidR="00695487" w:rsidRPr="0048148E">
        <w:rPr>
          <w:rFonts w:asciiTheme="majorBidi" w:hAnsiTheme="majorBidi" w:cstheme="majorBidi"/>
          <w:sz w:val="24"/>
          <w:szCs w:val="24"/>
          <w:lang w:val="en-US"/>
        </w:rPr>
        <w:t xml:space="preserve">serving in some capacity, parallel to the word-pair </w:t>
      </w:r>
      <w:r w:rsidR="00695487" w:rsidRPr="0048148E">
        <w:rPr>
          <w:rFonts w:asciiTheme="majorBidi" w:hAnsiTheme="majorBidi" w:cstheme="majorBidi"/>
          <w:i/>
          <w:iCs/>
          <w:sz w:val="24"/>
          <w:szCs w:val="24"/>
          <w:lang w:val="en-US"/>
        </w:rPr>
        <w:t>“</w:t>
      </w:r>
      <w:proofErr w:type="spellStart"/>
      <w:r w:rsidR="00695487" w:rsidRPr="0048148E">
        <w:rPr>
          <w:rFonts w:asciiTheme="majorBidi" w:hAnsiTheme="majorBidi" w:cstheme="majorBidi"/>
          <w:i/>
          <w:iCs/>
          <w:sz w:val="24"/>
          <w:szCs w:val="24"/>
          <w:lang w:val="en-US"/>
        </w:rPr>
        <w:t>la’avod</w:t>
      </w:r>
      <w:proofErr w:type="spellEnd"/>
      <w:r w:rsidR="00695487" w:rsidRPr="0048148E">
        <w:rPr>
          <w:rFonts w:asciiTheme="majorBidi" w:hAnsiTheme="majorBidi" w:cstheme="majorBidi"/>
          <w:i/>
          <w:iCs/>
          <w:sz w:val="24"/>
          <w:szCs w:val="24"/>
          <w:lang w:val="en-US"/>
        </w:rPr>
        <w:t xml:space="preserve"> ‘</w:t>
      </w:r>
      <w:proofErr w:type="spellStart"/>
      <w:r w:rsidR="00695487" w:rsidRPr="0048148E">
        <w:rPr>
          <w:rFonts w:asciiTheme="majorBidi" w:hAnsiTheme="majorBidi" w:cstheme="majorBidi"/>
          <w:i/>
          <w:iCs/>
          <w:sz w:val="24"/>
          <w:szCs w:val="24"/>
          <w:lang w:val="en-US"/>
        </w:rPr>
        <w:t>avodah</w:t>
      </w:r>
      <w:proofErr w:type="spellEnd"/>
      <w:r w:rsidR="00695487" w:rsidRPr="0048148E">
        <w:rPr>
          <w:rFonts w:asciiTheme="majorBidi" w:hAnsiTheme="majorBidi" w:cstheme="majorBidi"/>
          <w:i/>
          <w:iCs/>
          <w:sz w:val="24"/>
          <w:szCs w:val="24"/>
          <w:lang w:val="en-US"/>
        </w:rPr>
        <w:t>”</w:t>
      </w:r>
      <w:r w:rsidR="00695487" w:rsidRPr="0048148E">
        <w:rPr>
          <w:rFonts w:asciiTheme="majorBidi" w:hAnsiTheme="majorBidi" w:cstheme="majorBidi"/>
          <w:sz w:val="24"/>
          <w:szCs w:val="24"/>
          <w:lang w:val="en-US"/>
        </w:rPr>
        <w:t xml:space="preserve"> (‘be on duty’), which is also its meaning in Ex 38:8 and in 1Sam 2:22, appears only in the </w:t>
      </w:r>
      <w:r w:rsidR="000D575F" w:rsidRPr="0048148E">
        <w:rPr>
          <w:rFonts w:asciiTheme="majorBidi" w:hAnsiTheme="majorBidi" w:cstheme="majorBidi"/>
          <w:sz w:val="24"/>
          <w:szCs w:val="24"/>
          <w:lang w:val="en-US"/>
        </w:rPr>
        <w:t>Priestly</w:t>
      </w:r>
      <w:r w:rsidR="00695487" w:rsidRPr="0048148E">
        <w:rPr>
          <w:rFonts w:asciiTheme="majorBidi" w:hAnsiTheme="majorBidi" w:cstheme="majorBidi"/>
          <w:sz w:val="24"/>
          <w:szCs w:val="24"/>
          <w:lang w:val="en-US"/>
        </w:rPr>
        <w:t xml:space="preserve"> material (Num 4:23; 8:24).</w:t>
      </w:r>
      <w:r w:rsidR="00695487" w:rsidRPr="0048148E">
        <w:rPr>
          <w:rStyle w:val="FootnoteReference"/>
          <w:rFonts w:asciiTheme="majorBidi" w:hAnsiTheme="majorBidi" w:cstheme="majorBidi"/>
          <w:sz w:val="24"/>
          <w:szCs w:val="24"/>
          <w:lang w:val="en-US"/>
        </w:rPr>
        <w:footnoteReference w:id="10"/>
      </w:r>
      <w:r w:rsidR="006B3672" w:rsidRPr="0048148E">
        <w:rPr>
          <w:rFonts w:asciiTheme="majorBidi" w:hAnsiTheme="majorBidi" w:cstheme="majorBidi"/>
          <w:sz w:val="24"/>
          <w:szCs w:val="24"/>
          <w:lang w:val="en-US"/>
        </w:rPr>
        <w:t xml:space="preserve"> Apart from the </w:t>
      </w:r>
      <w:r w:rsidR="000D575F" w:rsidRPr="0048148E">
        <w:rPr>
          <w:rFonts w:asciiTheme="majorBidi" w:hAnsiTheme="majorBidi" w:cstheme="majorBidi"/>
          <w:sz w:val="24"/>
          <w:szCs w:val="24"/>
          <w:lang w:val="en-US"/>
        </w:rPr>
        <w:t>Priestly</w:t>
      </w:r>
      <w:r w:rsidR="006B3672" w:rsidRPr="0048148E">
        <w:rPr>
          <w:rFonts w:asciiTheme="majorBidi" w:hAnsiTheme="majorBidi" w:cstheme="majorBidi"/>
          <w:sz w:val="24"/>
          <w:szCs w:val="24"/>
          <w:lang w:val="en-US"/>
        </w:rPr>
        <w:t xml:space="preserve"> material, </w:t>
      </w:r>
      <w:r w:rsidR="008511FE">
        <w:rPr>
          <w:rFonts w:asciiTheme="majorBidi" w:hAnsiTheme="majorBidi" w:cstheme="majorBidi"/>
          <w:sz w:val="24"/>
          <w:szCs w:val="24"/>
          <w:lang w:val="en-US"/>
        </w:rPr>
        <w:t>this verb is used in the military sense</w:t>
      </w:r>
      <w:r w:rsidR="006B3672" w:rsidRPr="0048148E">
        <w:rPr>
          <w:rFonts w:asciiTheme="majorBidi" w:hAnsiTheme="majorBidi" w:cstheme="majorBidi"/>
          <w:sz w:val="24"/>
          <w:szCs w:val="24"/>
          <w:lang w:val="en-US"/>
        </w:rPr>
        <w:t xml:space="preserve"> (‘fight against’) (</w:t>
      </w:r>
      <w:r w:rsidR="006B3672" w:rsidRPr="0048148E">
        <w:rPr>
          <w:rFonts w:asciiTheme="majorBidi" w:hAnsiTheme="majorBidi" w:cstheme="majorBidi"/>
          <w:sz w:val="24"/>
          <w:szCs w:val="24"/>
          <w:highlight w:val="yellow"/>
          <w:lang w:val="en-US"/>
        </w:rPr>
        <w:t>TEXTS</w:t>
      </w:r>
      <w:r w:rsidR="006B3672" w:rsidRPr="0048148E">
        <w:rPr>
          <w:rFonts w:asciiTheme="majorBidi" w:hAnsiTheme="majorBidi" w:cstheme="majorBidi"/>
          <w:sz w:val="24"/>
          <w:szCs w:val="24"/>
          <w:lang w:val="en-US"/>
        </w:rPr>
        <w:t>).</w:t>
      </w:r>
      <w:r w:rsidR="006B3672" w:rsidRPr="0048148E">
        <w:rPr>
          <w:rStyle w:val="FootnoteReference"/>
          <w:rFonts w:asciiTheme="majorBidi" w:hAnsiTheme="majorBidi" w:cstheme="majorBidi"/>
          <w:sz w:val="24"/>
          <w:szCs w:val="24"/>
          <w:lang w:val="en-US"/>
        </w:rPr>
        <w:footnoteReference w:id="11"/>
      </w:r>
      <w:r w:rsidR="006B3672" w:rsidRPr="0048148E">
        <w:rPr>
          <w:rFonts w:asciiTheme="majorBidi" w:hAnsiTheme="majorBidi" w:cstheme="majorBidi"/>
          <w:sz w:val="24"/>
          <w:szCs w:val="24"/>
          <w:lang w:val="en-US"/>
        </w:rPr>
        <w:t xml:space="preserve"> If the form of the verse</w:t>
      </w:r>
      <w:r w:rsidR="008511FE">
        <w:rPr>
          <w:rFonts w:asciiTheme="majorBidi" w:hAnsiTheme="majorBidi" w:cstheme="majorBidi"/>
          <w:sz w:val="24"/>
          <w:szCs w:val="24"/>
          <w:lang w:val="en-US"/>
        </w:rPr>
        <w:t xml:space="preserve"> is</w:t>
      </w:r>
      <w:r w:rsidR="006B3672" w:rsidRPr="0048148E">
        <w:rPr>
          <w:rFonts w:asciiTheme="majorBidi" w:hAnsiTheme="majorBidi" w:cstheme="majorBidi"/>
          <w:sz w:val="24"/>
          <w:szCs w:val="24"/>
          <w:lang w:val="en-US"/>
        </w:rPr>
        <w:t xml:space="preserve"> </w:t>
      </w:r>
      <w:r w:rsidR="000D575F" w:rsidRPr="0048148E">
        <w:rPr>
          <w:rFonts w:asciiTheme="majorBidi" w:hAnsiTheme="majorBidi" w:cstheme="majorBidi"/>
          <w:sz w:val="24"/>
          <w:szCs w:val="24"/>
          <w:lang w:val="en-US"/>
        </w:rPr>
        <w:t>Priestly</w:t>
      </w:r>
      <w:r w:rsidR="006B3672" w:rsidRPr="0048148E">
        <w:rPr>
          <w:rFonts w:asciiTheme="majorBidi" w:hAnsiTheme="majorBidi" w:cstheme="majorBidi"/>
          <w:sz w:val="24"/>
          <w:szCs w:val="24"/>
          <w:lang w:val="en-US"/>
        </w:rPr>
        <w:t>, then it is difficult to claim that the first appearance of the verse was in Samuel, and later found its way to the Torah.</w:t>
      </w:r>
    </w:p>
    <w:p w14:paraId="254811A6" w14:textId="5D6AF88A" w:rsidR="006B3672" w:rsidRPr="0048148E" w:rsidRDefault="006B3672" w:rsidP="004C4D4B">
      <w:pPr>
        <w:spacing w:line="360" w:lineRule="auto"/>
        <w:ind w:firstLine="720"/>
        <w:rPr>
          <w:rFonts w:asciiTheme="majorBidi" w:hAnsiTheme="majorBidi" w:cstheme="majorBidi"/>
          <w:sz w:val="24"/>
          <w:szCs w:val="24"/>
          <w:lang w:val="en-US"/>
        </w:rPr>
      </w:pPr>
      <w:r w:rsidRPr="0048148E">
        <w:rPr>
          <w:rFonts w:asciiTheme="majorBidi" w:hAnsiTheme="majorBidi" w:cstheme="majorBidi"/>
          <w:sz w:val="24"/>
          <w:szCs w:val="24"/>
          <w:lang w:val="en-US"/>
        </w:rPr>
        <w:t xml:space="preserve">However, the verse in Exodus also raises </w:t>
      </w:r>
      <w:r w:rsidR="008420F1">
        <w:rPr>
          <w:rFonts w:asciiTheme="majorBidi" w:hAnsiTheme="majorBidi" w:cstheme="majorBidi"/>
          <w:sz w:val="24"/>
          <w:szCs w:val="24"/>
          <w:lang w:val="en-US"/>
        </w:rPr>
        <w:t>several</w:t>
      </w:r>
      <w:r w:rsidRPr="0048148E">
        <w:rPr>
          <w:rFonts w:asciiTheme="majorBidi" w:hAnsiTheme="majorBidi" w:cstheme="majorBidi"/>
          <w:sz w:val="24"/>
          <w:szCs w:val="24"/>
          <w:lang w:val="en-US"/>
        </w:rPr>
        <w:t xml:space="preserve"> difficulties: (</w:t>
      </w:r>
      <w:r w:rsidR="00D13AF7" w:rsidRPr="0048148E">
        <w:rPr>
          <w:rFonts w:asciiTheme="majorBidi" w:hAnsiTheme="majorBidi" w:cstheme="majorBidi"/>
          <w:sz w:val="24"/>
          <w:szCs w:val="24"/>
          <w:lang w:val="en-US"/>
        </w:rPr>
        <w:t>1</w:t>
      </w:r>
      <w:r w:rsidRPr="0048148E">
        <w:rPr>
          <w:rFonts w:asciiTheme="majorBidi" w:hAnsiTheme="majorBidi" w:cstheme="majorBidi"/>
          <w:sz w:val="24"/>
          <w:szCs w:val="24"/>
          <w:lang w:val="en-US"/>
        </w:rPr>
        <w:t xml:space="preserve">) </w:t>
      </w:r>
      <w:r w:rsidR="008F54C7">
        <w:rPr>
          <w:rFonts w:asciiTheme="majorBidi" w:hAnsiTheme="majorBidi" w:cstheme="majorBidi"/>
          <w:sz w:val="24"/>
          <w:szCs w:val="24"/>
          <w:lang w:val="en-US"/>
        </w:rPr>
        <w:t>O</w:t>
      </w:r>
      <w:r w:rsidRPr="0048148E">
        <w:rPr>
          <w:rFonts w:asciiTheme="majorBidi" w:hAnsiTheme="majorBidi" w:cstheme="majorBidi"/>
          <w:sz w:val="24"/>
          <w:szCs w:val="24"/>
          <w:lang w:val="en-US"/>
        </w:rPr>
        <w:t>ur attention is</w:t>
      </w:r>
      <w:r w:rsidR="008F54C7">
        <w:rPr>
          <w:rFonts w:asciiTheme="majorBidi" w:hAnsiTheme="majorBidi" w:cstheme="majorBidi"/>
          <w:sz w:val="24"/>
          <w:szCs w:val="24"/>
          <w:lang w:val="en-US"/>
        </w:rPr>
        <w:t xml:space="preserve"> drawn first to</w:t>
      </w:r>
      <w:r w:rsidRPr="0048148E">
        <w:rPr>
          <w:rFonts w:asciiTheme="majorBidi" w:hAnsiTheme="majorBidi" w:cstheme="majorBidi"/>
          <w:sz w:val="24"/>
          <w:szCs w:val="24"/>
          <w:lang w:val="en-US"/>
        </w:rPr>
        <w:t xml:space="preserve"> the fact that </w:t>
      </w:r>
      <w:r w:rsidR="006057CE" w:rsidRPr="0048148E">
        <w:rPr>
          <w:rFonts w:asciiTheme="majorBidi" w:hAnsiTheme="majorBidi" w:cstheme="majorBidi"/>
          <w:sz w:val="24"/>
          <w:szCs w:val="24"/>
          <w:lang w:val="en-US"/>
        </w:rPr>
        <w:t xml:space="preserve">in the </w:t>
      </w:r>
      <w:r w:rsidR="00F52D6A" w:rsidRPr="0048148E">
        <w:rPr>
          <w:rFonts w:asciiTheme="majorBidi" w:hAnsiTheme="majorBidi" w:cstheme="majorBidi"/>
          <w:sz w:val="24"/>
          <w:szCs w:val="24"/>
          <w:lang w:val="en-US"/>
        </w:rPr>
        <w:t>MT</w:t>
      </w:r>
      <w:r w:rsidR="006057CE" w:rsidRPr="0048148E">
        <w:rPr>
          <w:rFonts w:asciiTheme="majorBidi" w:hAnsiTheme="majorBidi" w:cstheme="majorBidi"/>
          <w:sz w:val="24"/>
          <w:szCs w:val="24"/>
          <w:lang w:val="en-US"/>
        </w:rPr>
        <w:t xml:space="preserve"> manuscripts, </w:t>
      </w:r>
      <w:r w:rsidRPr="0048148E">
        <w:rPr>
          <w:rFonts w:asciiTheme="majorBidi" w:hAnsiTheme="majorBidi" w:cstheme="majorBidi"/>
          <w:sz w:val="24"/>
          <w:szCs w:val="24"/>
          <w:lang w:val="en-US"/>
        </w:rPr>
        <w:t xml:space="preserve">the verse in Ex </w:t>
      </w:r>
      <w:commentRangeStart w:id="6"/>
      <w:r w:rsidRPr="0048148E">
        <w:rPr>
          <w:rFonts w:asciiTheme="majorBidi" w:hAnsiTheme="majorBidi" w:cstheme="majorBidi"/>
          <w:sz w:val="24"/>
          <w:szCs w:val="24"/>
          <w:lang w:val="en-US"/>
        </w:rPr>
        <w:t>33</w:t>
      </w:r>
      <w:commentRangeEnd w:id="6"/>
      <w:r w:rsidR="006057CE" w:rsidRPr="0048148E">
        <w:rPr>
          <w:rStyle w:val="CommentReference"/>
          <w:rFonts w:asciiTheme="majorBidi" w:hAnsiTheme="majorBidi" w:cstheme="majorBidi"/>
          <w:sz w:val="24"/>
          <w:szCs w:val="24"/>
          <w:rtl/>
        </w:rPr>
        <w:commentReference w:id="6"/>
      </w:r>
      <w:r w:rsidRPr="0048148E">
        <w:rPr>
          <w:rFonts w:asciiTheme="majorBidi" w:hAnsiTheme="majorBidi" w:cstheme="majorBidi"/>
          <w:sz w:val="24"/>
          <w:szCs w:val="24"/>
          <w:lang w:val="en-US"/>
        </w:rPr>
        <w:t>:8</w:t>
      </w:r>
      <w:r w:rsidR="006057CE" w:rsidRPr="0048148E">
        <w:rPr>
          <w:rFonts w:asciiTheme="majorBidi" w:hAnsiTheme="majorBidi" w:cstheme="majorBidi"/>
          <w:sz w:val="24"/>
          <w:szCs w:val="24"/>
          <w:lang w:val="en-US"/>
        </w:rPr>
        <w:t xml:space="preserve"> is </w:t>
      </w:r>
      <w:r w:rsidR="00162858">
        <w:rPr>
          <w:rFonts w:asciiTheme="majorBidi" w:hAnsiTheme="majorBidi" w:cstheme="majorBidi"/>
          <w:sz w:val="24"/>
          <w:szCs w:val="24"/>
          <w:lang w:val="en-US"/>
        </w:rPr>
        <w:t xml:space="preserve">singled out between two </w:t>
      </w:r>
      <w:r w:rsidR="0008502A">
        <w:rPr>
          <w:rFonts w:asciiTheme="majorBidi" w:hAnsiTheme="majorBidi" w:cstheme="majorBidi"/>
          <w:sz w:val="24"/>
          <w:szCs w:val="24"/>
          <w:lang w:val="en-US"/>
        </w:rPr>
        <w:t>line breaks</w:t>
      </w:r>
      <w:r w:rsidR="006057CE" w:rsidRPr="0048148E">
        <w:rPr>
          <w:rFonts w:asciiTheme="majorBidi" w:hAnsiTheme="majorBidi" w:cstheme="majorBidi"/>
          <w:sz w:val="24"/>
          <w:szCs w:val="24"/>
          <w:lang w:val="en-US"/>
        </w:rPr>
        <w:t xml:space="preserve"> (</w:t>
      </w:r>
      <w:r w:rsidR="006057CE" w:rsidRPr="0048148E">
        <w:rPr>
          <w:rFonts w:asciiTheme="majorBidi" w:hAnsiTheme="majorBidi" w:cstheme="majorBidi"/>
          <w:i/>
          <w:iCs/>
          <w:sz w:val="24"/>
          <w:szCs w:val="24"/>
          <w:lang w:val="en-US"/>
        </w:rPr>
        <w:t>‘parashot setumot’</w:t>
      </w:r>
      <w:r w:rsidR="006057CE" w:rsidRPr="0048148E">
        <w:rPr>
          <w:rFonts w:asciiTheme="majorBidi" w:hAnsiTheme="majorBidi" w:cstheme="majorBidi"/>
          <w:sz w:val="24"/>
          <w:szCs w:val="24"/>
          <w:lang w:val="en-US"/>
        </w:rPr>
        <w:t>). (</w:t>
      </w:r>
      <w:r w:rsidR="00D13AF7" w:rsidRPr="0048148E">
        <w:rPr>
          <w:rFonts w:asciiTheme="majorBidi" w:hAnsiTheme="majorBidi" w:cstheme="majorBidi"/>
          <w:sz w:val="24"/>
          <w:szCs w:val="24"/>
          <w:lang w:val="en-US"/>
        </w:rPr>
        <w:t>2</w:t>
      </w:r>
      <w:r w:rsidR="006057CE" w:rsidRPr="0048148E">
        <w:rPr>
          <w:rFonts w:asciiTheme="majorBidi" w:hAnsiTheme="majorBidi" w:cstheme="majorBidi"/>
          <w:sz w:val="24"/>
          <w:szCs w:val="24"/>
          <w:lang w:val="en-US"/>
        </w:rPr>
        <w:t xml:space="preserve">) Second, the mention of the Tent of Meeting in Ex </w:t>
      </w:r>
      <w:commentRangeStart w:id="7"/>
      <w:r w:rsidR="006057CE" w:rsidRPr="0048148E">
        <w:rPr>
          <w:rFonts w:asciiTheme="majorBidi" w:hAnsiTheme="majorBidi" w:cstheme="majorBidi"/>
          <w:sz w:val="24"/>
          <w:szCs w:val="24"/>
          <w:lang w:val="en-US"/>
        </w:rPr>
        <w:t>33</w:t>
      </w:r>
      <w:commentRangeEnd w:id="7"/>
      <w:r w:rsidR="006057CE" w:rsidRPr="0048148E">
        <w:rPr>
          <w:rStyle w:val="CommentReference"/>
          <w:rFonts w:asciiTheme="majorBidi" w:hAnsiTheme="majorBidi" w:cstheme="majorBidi"/>
          <w:sz w:val="24"/>
          <w:szCs w:val="24"/>
          <w:rtl/>
        </w:rPr>
        <w:commentReference w:id="7"/>
      </w:r>
      <w:r w:rsidR="006057CE" w:rsidRPr="0048148E">
        <w:rPr>
          <w:rFonts w:asciiTheme="majorBidi" w:hAnsiTheme="majorBidi" w:cstheme="majorBidi"/>
          <w:sz w:val="24"/>
          <w:szCs w:val="24"/>
          <w:lang w:val="en-US"/>
        </w:rPr>
        <w:t xml:space="preserve">:8 </w:t>
      </w:r>
      <w:r w:rsidR="00D13AF7" w:rsidRPr="0048148E">
        <w:rPr>
          <w:rFonts w:asciiTheme="majorBidi" w:hAnsiTheme="majorBidi" w:cstheme="majorBidi"/>
          <w:sz w:val="24"/>
          <w:szCs w:val="24"/>
          <w:lang w:val="en-US"/>
        </w:rPr>
        <w:t xml:space="preserve">assumes it obvious that the Tent of Meeting already exists, and it is from there that they took the materials used for the construction of the bronze laver; whereas according to the wider context which is dedicated to the description of the construction of the Tent of Meeting, this institution was naturally not yet completed. (3) In addition, the description of the construction of the </w:t>
      </w:r>
      <w:r w:rsidR="00AD47B5" w:rsidRPr="0048148E">
        <w:rPr>
          <w:rFonts w:asciiTheme="majorBidi" w:hAnsiTheme="majorBidi" w:cstheme="majorBidi"/>
          <w:sz w:val="24"/>
          <w:szCs w:val="24"/>
          <w:lang w:val="en-US"/>
        </w:rPr>
        <w:t>Tabernacle</w:t>
      </w:r>
      <w:r w:rsidR="00D13AF7" w:rsidRPr="0048148E">
        <w:rPr>
          <w:rFonts w:asciiTheme="majorBidi" w:hAnsiTheme="majorBidi" w:cstheme="majorBidi"/>
          <w:sz w:val="24"/>
          <w:szCs w:val="24"/>
          <w:lang w:val="en-US"/>
        </w:rPr>
        <w:t xml:space="preserve"> vessels </w:t>
      </w:r>
      <w:r w:rsidR="008511FE">
        <w:rPr>
          <w:rFonts w:asciiTheme="majorBidi" w:hAnsiTheme="majorBidi" w:cstheme="majorBidi"/>
          <w:sz w:val="24"/>
          <w:szCs w:val="24"/>
          <w:lang w:val="en-US"/>
        </w:rPr>
        <w:t>is</w:t>
      </w:r>
      <w:r w:rsidR="00D13AF7" w:rsidRPr="0048148E">
        <w:rPr>
          <w:rFonts w:asciiTheme="majorBidi" w:hAnsiTheme="majorBidi" w:cstheme="majorBidi"/>
          <w:sz w:val="24"/>
          <w:szCs w:val="24"/>
          <w:lang w:val="en-US"/>
        </w:rPr>
        <w:t xml:space="preserve"> usually </w:t>
      </w:r>
      <w:r w:rsidR="008511FE">
        <w:rPr>
          <w:rFonts w:asciiTheme="majorBidi" w:hAnsiTheme="majorBidi" w:cstheme="majorBidi"/>
          <w:sz w:val="24"/>
          <w:szCs w:val="24"/>
          <w:lang w:val="en-US"/>
        </w:rPr>
        <w:t xml:space="preserve">brought </w:t>
      </w:r>
      <w:r w:rsidR="00D13AF7" w:rsidRPr="0048148E">
        <w:rPr>
          <w:rFonts w:asciiTheme="majorBidi" w:hAnsiTheme="majorBidi" w:cstheme="majorBidi"/>
          <w:sz w:val="24"/>
          <w:szCs w:val="24"/>
          <w:lang w:val="en-US"/>
        </w:rPr>
        <w:t>parallel to the description of the commandment for their construction, both in order and in formulation. So, for example, the commandment to build the alt</w:t>
      </w:r>
      <w:r w:rsidR="008511FE">
        <w:rPr>
          <w:rFonts w:asciiTheme="majorBidi" w:hAnsiTheme="majorBidi" w:cstheme="majorBidi"/>
          <w:sz w:val="24"/>
          <w:szCs w:val="24"/>
          <w:lang w:val="en-US"/>
        </w:rPr>
        <w:t>a</w:t>
      </w:r>
      <w:r w:rsidR="00D13AF7" w:rsidRPr="0048148E">
        <w:rPr>
          <w:rFonts w:asciiTheme="majorBidi" w:hAnsiTheme="majorBidi" w:cstheme="majorBidi"/>
          <w:sz w:val="24"/>
          <w:szCs w:val="24"/>
          <w:lang w:val="en-US"/>
        </w:rPr>
        <w:t>r and the courtyard which appear in Ex 38 almost completely repeat the commandment which appe</w:t>
      </w:r>
      <w:r w:rsidR="007B64F8" w:rsidRPr="0048148E">
        <w:rPr>
          <w:rFonts w:asciiTheme="majorBidi" w:hAnsiTheme="majorBidi" w:cstheme="majorBidi"/>
          <w:sz w:val="24"/>
          <w:szCs w:val="24"/>
          <w:lang w:val="en-US"/>
        </w:rPr>
        <w:t>a</w:t>
      </w:r>
      <w:r w:rsidR="00D13AF7" w:rsidRPr="0048148E">
        <w:rPr>
          <w:rFonts w:asciiTheme="majorBidi" w:hAnsiTheme="majorBidi" w:cstheme="majorBidi"/>
          <w:sz w:val="24"/>
          <w:szCs w:val="24"/>
          <w:lang w:val="en-US"/>
        </w:rPr>
        <w:t xml:space="preserve">rs in Ex 27 </w:t>
      </w:r>
      <w:r w:rsidR="00072D7A">
        <w:rPr>
          <w:rFonts w:asciiTheme="majorBidi" w:hAnsiTheme="majorBidi" w:cstheme="majorBidi"/>
          <w:sz w:val="24"/>
          <w:szCs w:val="24"/>
          <w:lang w:val="en-US"/>
        </w:rPr>
        <w:t>following</w:t>
      </w:r>
      <w:r w:rsidR="007B64F8" w:rsidRPr="0048148E">
        <w:rPr>
          <w:rFonts w:asciiTheme="majorBidi" w:hAnsiTheme="majorBidi" w:cstheme="majorBidi"/>
          <w:sz w:val="24"/>
          <w:szCs w:val="24"/>
          <w:lang w:val="en-US"/>
        </w:rPr>
        <w:t xml:space="preserve"> the same order, though the commandment to construct the bronze laver does not appear in Ex 27:</w:t>
      </w:r>
    </w:p>
    <w:p w14:paraId="40FDC6B5" w14:textId="65023FA8" w:rsidR="007B64F8" w:rsidRPr="0048148E" w:rsidRDefault="007B64F8" w:rsidP="0048148E">
      <w:pPr>
        <w:spacing w:line="360" w:lineRule="auto"/>
        <w:rPr>
          <w:rFonts w:asciiTheme="majorBidi" w:hAnsiTheme="majorBidi" w:cstheme="majorBidi"/>
          <w:sz w:val="24"/>
          <w:szCs w:val="24"/>
          <w:lang w:val="en-US"/>
        </w:rPr>
      </w:pPr>
      <w:r w:rsidRPr="0048148E">
        <w:rPr>
          <w:rFonts w:asciiTheme="majorBidi" w:hAnsiTheme="majorBidi" w:cstheme="majorBidi"/>
          <w:sz w:val="24"/>
          <w:szCs w:val="24"/>
          <w:highlight w:val="yellow"/>
          <w:lang w:val="en-US"/>
        </w:rPr>
        <w:t>TABLE</w:t>
      </w:r>
    </w:p>
    <w:p w14:paraId="22510512" w14:textId="0BEDA95F" w:rsidR="007B64F8" w:rsidRPr="0048148E" w:rsidRDefault="00B873C4" w:rsidP="006C7954">
      <w:pPr>
        <w:spacing w:line="360" w:lineRule="auto"/>
        <w:ind w:firstLine="720"/>
        <w:rPr>
          <w:rFonts w:asciiTheme="majorBidi" w:hAnsiTheme="majorBidi" w:cstheme="majorBidi"/>
          <w:sz w:val="24"/>
          <w:szCs w:val="24"/>
          <w:lang w:val="en-US"/>
        </w:rPr>
      </w:pPr>
      <w:r w:rsidRPr="0048148E">
        <w:rPr>
          <w:rFonts w:asciiTheme="majorBidi" w:hAnsiTheme="majorBidi" w:cstheme="majorBidi"/>
          <w:sz w:val="24"/>
          <w:szCs w:val="24"/>
          <w:lang w:val="en-US"/>
        </w:rPr>
        <w:t xml:space="preserve">Instead, the commandment to construct the bronze laver is found in Ex 30 (17-21), separated from the rest of the commandments </w:t>
      </w:r>
      <w:r w:rsidR="002647D2" w:rsidRPr="0048148E">
        <w:rPr>
          <w:rFonts w:asciiTheme="majorBidi" w:hAnsiTheme="majorBidi" w:cstheme="majorBidi"/>
          <w:sz w:val="24"/>
          <w:szCs w:val="24"/>
          <w:lang w:val="en-US"/>
        </w:rPr>
        <w:t xml:space="preserve">of preparing the vessels for the </w:t>
      </w:r>
      <w:r w:rsidR="00AD47B5" w:rsidRPr="0048148E">
        <w:rPr>
          <w:rFonts w:asciiTheme="majorBidi" w:hAnsiTheme="majorBidi" w:cstheme="majorBidi"/>
          <w:sz w:val="24"/>
          <w:szCs w:val="24"/>
          <w:lang w:val="en-US"/>
        </w:rPr>
        <w:t>Tabernacle</w:t>
      </w:r>
      <w:r w:rsidR="002647D2" w:rsidRPr="0048148E">
        <w:rPr>
          <w:rFonts w:asciiTheme="majorBidi" w:hAnsiTheme="majorBidi" w:cstheme="majorBidi"/>
          <w:sz w:val="24"/>
          <w:szCs w:val="24"/>
          <w:lang w:val="en-US"/>
        </w:rPr>
        <w:t>, and only after the commandment to pay the half-shekel (Ex 30:</w:t>
      </w:r>
      <w:commentRangeStart w:id="8"/>
      <w:r w:rsidR="002647D2" w:rsidRPr="0048148E">
        <w:rPr>
          <w:rFonts w:asciiTheme="majorBidi" w:hAnsiTheme="majorBidi" w:cstheme="majorBidi"/>
          <w:sz w:val="24"/>
          <w:szCs w:val="24"/>
          <w:lang w:val="en-US"/>
        </w:rPr>
        <w:t>17-21</w:t>
      </w:r>
      <w:commentRangeEnd w:id="8"/>
      <w:r w:rsidR="002647D2" w:rsidRPr="0048148E">
        <w:rPr>
          <w:rStyle w:val="CommentReference"/>
          <w:rFonts w:asciiTheme="majorBidi" w:hAnsiTheme="majorBidi" w:cstheme="majorBidi"/>
          <w:sz w:val="24"/>
          <w:szCs w:val="24"/>
        </w:rPr>
        <w:commentReference w:id="8"/>
      </w:r>
      <w:r w:rsidR="002647D2" w:rsidRPr="0048148E">
        <w:rPr>
          <w:rFonts w:asciiTheme="majorBidi" w:hAnsiTheme="majorBidi" w:cstheme="majorBidi"/>
          <w:sz w:val="24"/>
          <w:szCs w:val="24"/>
          <w:lang w:val="en-US"/>
        </w:rPr>
        <w:t>).</w:t>
      </w:r>
      <w:r w:rsidRPr="0048148E">
        <w:rPr>
          <w:rFonts w:asciiTheme="majorBidi" w:hAnsiTheme="majorBidi" w:cstheme="majorBidi"/>
          <w:sz w:val="24"/>
          <w:szCs w:val="24"/>
          <w:lang w:val="en-US"/>
        </w:rPr>
        <w:t xml:space="preserve"> </w:t>
      </w:r>
      <w:r w:rsidR="002647D2" w:rsidRPr="0048148E">
        <w:rPr>
          <w:rFonts w:asciiTheme="majorBidi" w:hAnsiTheme="majorBidi" w:cstheme="majorBidi"/>
          <w:sz w:val="24"/>
          <w:szCs w:val="24"/>
          <w:lang w:val="en-US"/>
        </w:rPr>
        <w:t xml:space="preserve">Furthermore, as opposed to most of the other </w:t>
      </w:r>
      <w:r w:rsidR="00AD47B5" w:rsidRPr="0048148E">
        <w:rPr>
          <w:rFonts w:asciiTheme="majorBidi" w:hAnsiTheme="majorBidi" w:cstheme="majorBidi"/>
          <w:sz w:val="24"/>
          <w:szCs w:val="24"/>
          <w:lang w:val="en-US"/>
        </w:rPr>
        <w:t>Tabernacle</w:t>
      </w:r>
      <w:r w:rsidR="002647D2" w:rsidRPr="0048148E">
        <w:rPr>
          <w:rFonts w:asciiTheme="majorBidi" w:hAnsiTheme="majorBidi" w:cstheme="majorBidi"/>
          <w:sz w:val="24"/>
          <w:szCs w:val="24"/>
          <w:lang w:val="en-US"/>
        </w:rPr>
        <w:t xml:space="preserve"> vessels, the commandment and the execution differ in many details.</w:t>
      </w:r>
      <w:r w:rsidR="002472BB" w:rsidRPr="0048148E">
        <w:rPr>
          <w:rFonts w:asciiTheme="majorBidi" w:hAnsiTheme="majorBidi" w:cstheme="majorBidi"/>
          <w:sz w:val="24"/>
          <w:szCs w:val="24"/>
          <w:lang w:val="en-US"/>
        </w:rPr>
        <w:t xml:space="preserve"> The commandment is longer and more detailed and includes a reference to the priests, which is absent in the execution. On the other hand, the commandment does not refer to the mirror</w:t>
      </w:r>
      <w:r w:rsidR="00DF1D45">
        <w:rPr>
          <w:rFonts w:asciiTheme="majorBidi" w:hAnsiTheme="majorBidi" w:cstheme="majorBidi"/>
          <w:sz w:val="24"/>
          <w:szCs w:val="24"/>
          <w:lang w:val="en-US"/>
        </w:rPr>
        <w:t>s</w:t>
      </w:r>
      <w:r w:rsidR="002472BB" w:rsidRPr="0048148E">
        <w:rPr>
          <w:rFonts w:asciiTheme="majorBidi" w:hAnsiTheme="majorBidi" w:cstheme="majorBidi"/>
          <w:sz w:val="24"/>
          <w:szCs w:val="24"/>
          <w:lang w:val="en-US"/>
        </w:rPr>
        <w:t xml:space="preserve"> from which the laver was to be constructed. This </w:t>
      </w:r>
      <w:r w:rsidR="008511FE">
        <w:rPr>
          <w:rFonts w:asciiTheme="majorBidi" w:hAnsiTheme="majorBidi" w:cstheme="majorBidi"/>
          <w:sz w:val="24"/>
          <w:szCs w:val="24"/>
          <w:lang w:val="en-US"/>
        </w:rPr>
        <w:t>detail</w:t>
      </w:r>
      <w:r w:rsidR="002472BB" w:rsidRPr="0048148E">
        <w:rPr>
          <w:rFonts w:asciiTheme="majorBidi" w:hAnsiTheme="majorBidi" w:cstheme="majorBidi"/>
          <w:sz w:val="24"/>
          <w:szCs w:val="24"/>
          <w:lang w:val="en-US"/>
        </w:rPr>
        <w:t xml:space="preserve"> appears only in the execution of the</w:t>
      </w:r>
      <w:r w:rsidR="006C7954">
        <w:rPr>
          <w:rFonts w:asciiTheme="majorBidi" w:hAnsiTheme="majorBidi" w:cstheme="majorBidi"/>
          <w:sz w:val="24"/>
          <w:szCs w:val="24"/>
          <w:lang w:val="en-US"/>
        </w:rPr>
        <w:t xml:space="preserve"> </w:t>
      </w:r>
      <w:r w:rsidR="006C7954">
        <w:rPr>
          <w:rFonts w:asciiTheme="majorBidi" w:hAnsiTheme="majorBidi" w:cstheme="majorBidi" w:hint="cs"/>
          <w:sz w:val="24"/>
          <w:szCs w:val="24"/>
          <w:rtl/>
          <w:lang w:val="en-US"/>
        </w:rPr>
        <w:t>במראת הצבאת אשר צבאו פתח אהל מועד</w:t>
      </w:r>
      <w:r w:rsidR="006C7954" w:rsidRPr="006C7954">
        <w:rPr>
          <w:rFonts w:asciiTheme="majorBidi" w:hAnsiTheme="majorBidi" w:cstheme="majorBidi"/>
          <w:sz w:val="24"/>
          <w:szCs w:val="24"/>
        </w:rPr>
        <w:t> </w:t>
      </w:r>
      <w:r w:rsidR="006C7954">
        <w:rPr>
          <w:rFonts w:asciiTheme="majorBidi" w:hAnsiTheme="majorBidi" w:cstheme="majorBidi"/>
          <w:sz w:val="24"/>
          <w:szCs w:val="24"/>
          <w:lang w:val="en-US"/>
        </w:rPr>
        <w:t>(</w:t>
      </w:r>
      <w:r w:rsidR="002472BB" w:rsidRPr="0048148E">
        <w:rPr>
          <w:rFonts w:asciiTheme="majorBidi" w:hAnsiTheme="majorBidi" w:cstheme="majorBidi"/>
          <w:sz w:val="24"/>
          <w:szCs w:val="24"/>
          <w:lang w:val="en-US"/>
        </w:rPr>
        <w:t>“</w:t>
      </w:r>
      <w:r w:rsidR="002472BB" w:rsidRPr="0048148E">
        <w:rPr>
          <w:rFonts w:asciiTheme="majorBidi" w:hAnsiTheme="majorBidi" w:cstheme="majorBidi"/>
          <w:sz w:val="24"/>
          <w:szCs w:val="24"/>
        </w:rPr>
        <w:t xml:space="preserve">the bronze mirrors of the </w:t>
      </w:r>
      <w:bookmarkStart w:id="9" w:name="_Hlk92281286"/>
      <w:r w:rsidR="002472BB" w:rsidRPr="0048148E">
        <w:rPr>
          <w:rFonts w:asciiTheme="majorBidi" w:hAnsiTheme="majorBidi" w:cstheme="majorBidi"/>
          <w:sz w:val="24"/>
          <w:szCs w:val="24"/>
        </w:rPr>
        <w:t xml:space="preserve">serving women who </w:t>
      </w:r>
      <w:r w:rsidR="002472BB" w:rsidRPr="0048148E">
        <w:rPr>
          <w:rFonts w:asciiTheme="majorBidi" w:hAnsiTheme="majorBidi" w:cstheme="majorBidi"/>
          <w:sz w:val="24"/>
          <w:szCs w:val="24"/>
        </w:rPr>
        <w:lastRenderedPageBreak/>
        <w:t xml:space="preserve">assembled at the door of the </w:t>
      </w:r>
      <w:r w:rsidR="00AD47B5" w:rsidRPr="0048148E">
        <w:rPr>
          <w:rFonts w:asciiTheme="majorBidi" w:hAnsiTheme="majorBidi" w:cstheme="majorBidi"/>
          <w:sz w:val="24"/>
          <w:szCs w:val="24"/>
        </w:rPr>
        <w:t>Tabernacle</w:t>
      </w:r>
      <w:r w:rsidR="002472BB" w:rsidRPr="0048148E">
        <w:rPr>
          <w:rFonts w:asciiTheme="majorBidi" w:hAnsiTheme="majorBidi" w:cstheme="majorBidi"/>
          <w:sz w:val="24"/>
          <w:szCs w:val="24"/>
        </w:rPr>
        <w:t xml:space="preserve"> of meeting</w:t>
      </w:r>
      <w:bookmarkEnd w:id="9"/>
      <w:r w:rsidR="006C7954">
        <w:rPr>
          <w:rFonts w:asciiTheme="majorBidi" w:hAnsiTheme="majorBidi" w:cstheme="majorBidi"/>
          <w:sz w:val="24"/>
          <w:szCs w:val="24"/>
          <w:lang w:val="en-US"/>
        </w:rPr>
        <w:t>,</w:t>
      </w:r>
      <w:r w:rsidR="002472BB" w:rsidRPr="0048148E">
        <w:rPr>
          <w:rFonts w:asciiTheme="majorBidi" w:hAnsiTheme="majorBidi" w:cstheme="majorBidi"/>
          <w:sz w:val="24"/>
          <w:szCs w:val="24"/>
          <w:lang w:val="en-US"/>
        </w:rPr>
        <w:t xml:space="preserve">” 38:8). </w:t>
      </w:r>
      <w:r w:rsidR="0056248F" w:rsidRPr="0048148E">
        <w:rPr>
          <w:rFonts w:asciiTheme="majorBidi" w:hAnsiTheme="majorBidi" w:cstheme="majorBidi"/>
          <w:sz w:val="24"/>
          <w:szCs w:val="24"/>
          <w:lang w:val="en-US"/>
        </w:rPr>
        <w:t xml:space="preserve">This is not the place to discuss all the details of the commandment to build the </w:t>
      </w:r>
      <w:r w:rsidR="00AD47B5" w:rsidRPr="0048148E">
        <w:rPr>
          <w:rFonts w:asciiTheme="majorBidi" w:hAnsiTheme="majorBidi" w:cstheme="majorBidi"/>
          <w:sz w:val="24"/>
          <w:szCs w:val="24"/>
          <w:lang w:val="en-US"/>
        </w:rPr>
        <w:t>Tabernacle</w:t>
      </w:r>
      <w:r w:rsidR="0056248F" w:rsidRPr="0048148E">
        <w:rPr>
          <w:rFonts w:asciiTheme="majorBidi" w:hAnsiTheme="majorBidi" w:cstheme="majorBidi"/>
          <w:sz w:val="24"/>
          <w:szCs w:val="24"/>
          <w:lang w:val="en-US"/>
        </w:rPr>
        <w:t>, the</w:t>
      </w:r>
      <w:r w:rsidR="006C7954">
        <w:rPr>
          <w:rFonts w:asciiTheme="majorBidi" w:hAnsiTheme="majorBidi" w:cstheme="majorBidi"/>
          <w:sz w:val="24"/>
          <w:szCs w:val="24"/>
          <w:lang w:val="en-US"/>
        </w:rPr>
        <w:t>ir</w:t>
      </w:r>
      <w:r w:rsidR="0056248F" w:rsidRPr="0048148E">
        <w:rPr>
          <w:rFonts w:asciiTheme="majorBidi" w:hAnsiTheme="majorBidi" w:cstheme="majorBidi"/>
          <w:sz w:val="24"/>
          <w:szCs w:val="24"/>
          <w:lang w:val="en-US"/>
        </w:rPr>
        <w:t xml:space="preserve"> execution</w:t>
      </w:r>
      <w:r w:rsidR="006C7954">
        <w:rPr>
          <w:rFonts w:asciiTheme="majorBidi" w:hAnsiTheme="majorBidi" w:cstheme="majorBidi"/>
          <w:sz w:val="24"/>
          <w:szCs w:val="24"/>
          <w:lang w:val="en-US"/>
        </w:rPr>
        <w:t>,</w:t>
      </w:r>
      <w:r w:rsidR="0056248F" w:rsidRPr="0048148E">
        <w:rPr>
          <w:rFonts w:asciiTheme="majorBidi" w:hAnsiTheme="majorBidi" w:cstheme="majorBidi"/>
          <w:sz w:val="24"/>
          <w:szCs w:val="24"/>
          <w:lang w:val="en-US"/>
        </w:rPr>
        <w:t xml:space="preserve"> and the different versions found in these chapters,</w:t>
      </w:r>
      <w:r w:rsidR="0056248F" w:rsidRPr="0048148E">
        <w:rPr>
          <w:rStyle w:val="FootnoteReference"/>
          <w:rFonts w:asciiTheme="majorBidi" w:hAnsiTheme="majorBidi" w:cstheme="majorBidi"/>
          <w:sz w:val="24"/>
          <w:szCs w:val="24"/>
          <w:lang w:val="en-US"/>
        </w:rPr>
        <w:footnoteReference w:id="12"/>
      </w:r>
      <w:r w:rsidR="0056248F" w:rsidRPr="0048148E">
        <w:rPr>
          <w:rFonts w:asciiTheme="majorBidi" w:hAnsiTheme="majorBidi" w:cstheme="majorBidi"/>
          <w:sz w:val="24"/>
          <w:szCs w:val="24"/>
          <w:lang w:val="en-US"/>
        </w:rPr>
        <w:t xml:space="preserve"> but even this information suffices to give the impression that the verse in Ex 38:8 does not belong there, even though it resembles the </w:t>
      </w:r>
      <w:r w:rsidR="000D575F" w:rsidRPr="0048148E">
        <w:rPr>
          <w:rFonts w:asciiTheme="majorBidi" w:hAnsiTheme="majorBidi" w:cstheme="majorBidi"/>
          <w:sz w:val="24"/>
          <w:szCs w:val="24"/>
          <w:lang w:val="en-US"/>
        </w:rPr>
        <w:t>Priestly</w:t>
      </w:r>
      <w:r w:rsidR="0056248F" w:rsidRPr="0048148E">
        <w:rPr>
          <w:rFonts w:asciiTheme="majorBidi" w:hAnsiTheme="majorBidi" w:cstheme="majorBidi"/>
          <w:sz w:val="24"/>
          <w:szCs w:val="24"/>
          <w:lang w:val="en-US"/>
        </w:rPr>
        <w:t xml:space="preserve"> </w:t>
      </w:r>
      <w:r w:rsidR="00D134CF" w:rsidRPr="0048148E">
        <w:rPr>
          <w:rFonts w:asciiTheme="majorBidi" w:hAnsiTheme="majorBidi" w:cstheme="majorBidi"/>
          <w:sz w:val="24"/>
          <w:szCs w:val="24"/>
          <w:lang w:val="en-US"/>
        </w:rPr>
        <w:t>style which characterizes these chapters.</w:t>
      </w:r>
    </w:p>
    <w:p w14:paraId="7F8BCCC9" w14:textId="4BEA6D8F" w:rsidR="00D134CF" w:rsidRPr="0048148E" w:rsidRDefault="00E50D40" w:rsidP="004C4D4B">
      <w:pPr>
        <w:spacing w:line="360" w:lineRule="auto"/>
        <w:ind w:firstLine="720"/>
        <w:rPr>
          <w:rFonts w:asciiTheme="majorBidi" w:hAnsiTheme="majorBidi" w:cstheme="majorBidi"/>
          <w:sz w:val="24"/>
          <w:szCs w:val="24"/>
          <w:lang w:val="en-US"/>
        </w:rPr>
      </w:pPr>
      <w:r w:rsidRPr="0048148E">
        <w:rPr>
          <w:rFonts w:asciiTheme="majorBidi" w:hAnsiTheme="majorBidi" w:cstheme="majorBidi"/>
          <w:sz w:val="24"/>
          <w:szCs w:val="24"/>
          <w:lang w:val="en-US"/>
        </w:rPr>
        <w:t xml:space="preserve">In light of all the above, there is room to suppose that the notice of the bronze laver in Exodus was added to the </w:t>
      </w:r>
      <w:r w:rsidR="00AD47B5" w:rsidRPr="0048148E">
        <w:rPr>
          <w:rFonts w:asciiTheme="majorBidi" w:hAnsiTheme="majorBidi" w:cstheme="majorBidi"/>
          <w:sz w:val="24"/>
          <w:szCs w:val="24"/>
          <w:lang w:val="en-US"/>
        </w:rPr>
        <w:t>Tabernacle</w:t>
      </w:r>
      <w:r w:rsidRPr="0048148E">
        <w:rPr>
          <w:rFonts w:asciiTheme="majorBidi" w:hAnsiTheme="majorBidi" w:cstheme="majorBidi"/>
          <w:sz w:val="24"/>
          <w:szCs w:val="24"/>
          <w:lang w:val="en-US"/>
        </w:rPr>
        <w:t xml:space="preserve"> section by a later </w:t>
      </w:r>
      <w:r w:rsidR="000D575F" w:rsidRPr="0048148E">
        <w:rPr>
          <w:rFonts w:asciiTheme="majorBidi" w:hAnsiTheme="majorBidi" w:cstheme="majorBidi"/>
          <w:sz w:val="24"/>
          <w:szCs w:val="24"/>
          <w:lang w:val="en-US"/>
        </w:rPr>
        <w:t>Priestly</w:t>
      </w:r>
      <w:r w:rsidRPr="0048148E">
        <w:rPr>
          <w:rFonts w:asciiTheme="majorBidi" w:hAnsiTheme="majorBidi" w:cstheme="majorBidi"/>
          <w:sz w:val="24"/>
          <w:szCs w:val="24"/>
          <w:lang w:val="en-US"/>
        </w:rPr>
        <w:t xml:space="preserve"> hand.</w:t>
      </w:r>
      <w:r w:rsidRPr="0048148E">
        <w:rPr>
          <w:rStyle w:val="FootnoteReference"/>
          <w:rFonts w:asciiTheme="majorBidi" w:hAnsiTheme="majorBidi" w:cstheme="majorBidi"/>
          <w:sz w:val="24"/>
          <w:szCs w:val="24"/>
          <w:lang w:val="en-US"/>
        </w:rPr>
        <w:footnoteReference w:id="13"/>
      </w:r>
      <w:r w:rsidR="005D43AE" w:rsidRPr="0048148E">
        <w:rPr>
          <w:rFonts w:asciiTheme="majorBidi" w:hAnsiTheme="majorBidi" w:cstheme="majorBidi"/>
          <w:sz w:val="24"/>
          <w:szCs w:val="24"/>
          <w:lang w:val="en-US"/>
        </w:rPr>
        <w:t xml:space="preserve"> However, as noted above, the similar verse in </w:t>
      </w:r>
      <w:proofErr w:type="spellStart"/>
      <w:r w:rsidR="005D43AE" w:rsidRPr="0048148E">
        <w:rPr>
          <w:rFonts w:asciiTheme="majorBidi" w:hAnsiTheme="majorBidi" w:cstheme="majorBidi"/>
          <w:sz w:val="24"/>
          <w:szCs w:val="24"/>
          <w:lang w:val="en-US"/>
        </w:rPr>
        <w:t>1Sam</w:t>
      </w:r>
      <w:r w:rsidR="006C7954">
        <w:rPr>
          <w:rFonts w:asciiTheme="majorBidi" w:hAnsiTheme="majorBidi" w:cstheme="majorBidi"/>
          <w:sz w:val="24"/>
          <w:szCs w:val="24"/>
          <w:lang w:val="en-US"/>
        </w:rPr>
        <w:t>uel</w:t>
      </w:r>
      <w:proofErr w:type="spellEnd"/>
      <w:r w:rsidR="005D43AE" w:rsidRPr="0048148E">
        <w:rPr>
          <w:rFonts w:asciiTheme="majorBidi" w:hAnsiTheme="majorBidi" w:cstheme="majorBidi"/>
          <w:sz w:val="24"/>
          <w:szCs w:val="24"/>
          <w:lang w:val="en-US"/>
        </w:rPr>
        <w:t xml:space="preserve"> is also </w:t>
      </w:r>
      <w:r w:rsidR="00DF1D45">
        <w:rPr>
          <w:rFonts w:asciiTheme="majorBidi" w:hAnsiTheme="majorBidi" w:cstheme="majorBidi"/>
          <w:sz w:val="24"/>
          <w:szCs w:val="24"/>
          <w:lang w:val="en-US"/>
        </w:rPr>
        <w:t xml:space="preserve">anomalous </w:t>
      </w:r>
      <w:r w:rsidR="005D43AE" w:rsidRPr="0048148E">
        <w:rPr>
          <w:rFonts w:asciiTheme="majorBidi" w:hAnsiTheme="majorBidi" w:cstheme="majorBidi"/>
          <w:sz w:val="24"/>
          <w:szCs w:val="24"/>
          <w:lang w:val="en-US"/>
        </w:rPr>
        <w:t>and missing in some of the versions. We might then ask whether this is an independent ‘</w:t>
      </w:r>
      <w:r w:rsidR="00145068" w:rsidRPr="0048148E">
        <w:rPr>
          <w:rFonts w:asciiTheme="majorBidi" w:hAnsiTheme="majorBidi" w:cstheme="majorBidi"/>
          <w:sz w:val="24"/>
          <w:szCs w:val="24"/>
          <w:lang w:val="en-US"/>
        </w:rPr>
        <w:t>roaming’</w:t>
      </w:r>
      <w:r w:rsidR="005D43AE" w:rsidRPr="0048148E">
        <w:rPr>
          <w:rFonts w:asciiTheme="majorBidi" w:hAnsiTheme="majorBidi" w:cstheme="majorBidi"/>
          <w:sz w:val="24"/>
          <w:szCs w:val="24"/>
          <w:lang w:val="en-US"/>
        </w:rPr>
        <w:t xml:space="preserve"> tradition</w:t>
      </w:r>
      <w:r w:rsidR="00145068" w:rsidRPr="0048148E">
        <w:rPr>
          <w:rFonts w:asciiTheme="majorBidi" w:hAnsiTheme="majorBidi" w:cstheme="majorBidi"/>
          <w:sz w:val="24"/>
          <w:szCs w:val="24"/>
          <w:lang w:val="en-US"/>
        </w:rPr>
        <w:t xml:space="preserve"> about the ‘</w:t>
      </w:r>
      <w:r w:rsidR="00145068" w:rsidRPr="0048148E">
        <w:rPr>
          <w:rFonts w:asciiTheme="majorBidi" w:hAnsiTheme="majorBidi" w:cstheme="majorBidi"/>
          <w:sz w:val="24"/>
          <w:szCs w:val="24"/>
        </w:rPr>
        <w:t>women</w:t>
      </w:r>
      <w:r w:rsidR="00145068" w:rsidRPr="0048148E">
        <w:rPr>
          <w:rFonts w:asciiTheme="majorBidi" w:hAnsiTheme="majorBidi" w:cstheme="majorBidi"/>
          <w:sz w:val="24"/>
          <w:szCs w:val="24"/>
          <w:lang w:val="en-US"/>
        </w:rPr>
        <w:t>/mirrors</w:t>
      </w:r>
      <w:r w:rsidR="00145068" w:rsidRPr="0048148E">
        <w:rPr>
          <w:rFonts w:asciiTheme="majorBidi" w:hAnsiTheme="majorBidi" w:cstheme="majorBidi"/>
          <w:sz w:val="24"/>
          <w:szCs w:val="24"/>
        </w:rPr>
        <w:t xml:space="preserve"> who assembled at the door of the </w:t>
      </w:r>
      <w:r w:rsidR="00AD47B5" w:rsidRPr="0048148E">
        <w:rPr>
          <w:rFonts w:asciiTheme="majorBidi" w:hAnsiTheme="majorBidi" w:cstheme="majorBidi"/>
          <w:sz w:val="24"/>
          <w:szCs w:val="24"/>
        </w:rPr>
        <w:t>Tabernacle</w:t>
      </w:r>
      <w:r w:rsidR="00145068" w:rsidRPr="0048148E">
        <w:rPr>
          <w:rFonts w:asciiTheme="majorBidi" w:hAnsiTheme="majorBidi" w:cstheme="majorBidi"/>
          <w:sz w:val="24"/>
          <w:szCs w:val="24"/>
        </w:rPr>
        <w:t xml:space="preserve"> of meeting</w:t>
      </w:r>
      <w:r w:rsidR="00145068" w:rsidRPr="0048148E">
        <w:rPr>
          <w:rFonts w:asciiTheme="majorBidi" w:hAnsiTheme="majorBidi" w:cstheme="majorBidi"/>
          <w:sz w:val="24"/>
          <w:szCs w:val="24"/>
          <w:lang w:val="en-US"/>
        </w:rPr>
        <w:t xml:space="preserve">’ which entered both books independently, during one of their stages of development. </w:t>
      </w:r>
      <w:r w:rsidR="00910A36" w:rsidRPr="0048148E">
        <w:rPr>
          <w:rFonts w:asciiTheme="majorBidi" w:hAnsiTheme="majorBidi" w:cstheme="majorBidi"/>
          <w:sz w:val="24"/>
          <w:szCs w:val="24"/>
          <w:lang w:val="en-US"/>
        </w:rPr>
        <w:t xml:space="preserve">Similar phenomena of </w:t>
      </w:r>
      <w:r w:rsidR="006C7954">
        <w:rPr>
          <w:rFonts w:asciiTheme="majorBidi" w:hAnsiTheme="majorBidi" w:cstheme="majorBidi"/>
          <w:sz w:val="24"/>
          <w:szCs w:val="24"/>
          <w:lang w:val="en-US"/>
        </w:rPr>
        <w:t>‘</w:t>
      </w:r>
      <w:r w:rsidR="00910A36" w:rsidRPr="0048148E">
        <w:rPr>
          <w:rFonts w:asciiTheme="majorBidi" w:hAnsiTheme="majorBidi" w:cstheme="majorBidi"/>
          <w:sz w:val="24"/>
          <w:szCs w:val="24"/>
          <w:lang w:val="en-US"/>
        </w:rPr>
        <w:t>roaming texts</w:t>
      </w:r>
      <w:r w:rsidR="006C7954">
        <w:rPr>
          <w:rFonts w:asciiTheme="majorBidi" w:hAnsiTheme="majorBidi" w:cstheme="majorBidi"/>
          <w:sz w:val="24"/>
          <w:szCs w:val="24"/>
          <w:lang w:val="en-US"/>
        </w:rPr>
        <w:t>’</w:t>
      </w:r>
      <w:r w:rsidR="00910A36" w:rsidRPr="0048148E">
        <w:rPr>
          <w:rFonts w:asciiTheme="majorBidi" w:hAnsiTheme="majorBidi" w:cstheme="majorBidi"/>
          <w:sz w:val="24"/>
          <w:szCs w:val="24"/>
          <w:lang w:val="en-US"/>
        </w:rPr>
        <w:t xml:space="preserve"> are also found in other places in the </w:t>
      </w:r>
      <w:proofErr w:type="gramStart"/>
      <w:r w:rsidR="00910A36" w:rsidRPr="0048148E">
        <w:rPr>
          <w:rFonts w:asciiTheme="majorBidi" w:hAnsiTheme="majorBidi" w:cstheme="majorBidi"/>
          <w:sz w:val="24"/>
          <w:szCs w:val="24"/>
          <w:lang w:val="en-US"/>
        </w:rPr>
        <w:t>Bible, and</w:t>
      </w:r>
      <w:proofErr w:type="gramEnd"/>
      <w:r w:rsidR="00910A36" w:rsidRPr="0048148E">
        <w:rPr>
          <w:rFonts w:asciiTheme="majorBidi" w:hAnsiTheme="majorBidi" w:cstheme="majorBidi"/>
          <w:sz w:val="24"/>
          <w:szCs w:val="24"/>
          <w:lang w:val="en-US"/>
        </w:rPr>
        <w:t xml:space="preserve"> can be identified by their anomaly within the places they appear – in each version in a different place, and occasionally in different books.</w:t>
      </w:r>
      <w:r w:rsidR="00910A36" w:rsidRPr="0048148E">
        <w:rPr>
          <w:rStyle w:val="FootnoteReference"/>
          <w:rFonts w:asciiTheme="majorBidi" w:hAnsiTheme="majorBidi" w:cstheme="majorBidi"/>
          <w:sz w:val="24"/>
          <w:szCs w:val="24"/>
          <w:lang w:val="en-US"/>
        </w:rPr>
        <w:footnoteReference w:id="14"/>
      </w:r>
      <w:r w:rsidR="00910A36" w:rsidRPr="0048148E">
        <w:rPr>
          <w:rFonts w:asciiTheme="majorBidi" w:hAnsiTheme="majorBidi" w:cstheme="majorBidi"/>
          <w:sz w:val="24"/>
          <w:szCs w:val="24"/>
          <w:lang w:val="en-US"/>
        </w:rPr>
        <w:t xml:space="preserve"> </w:t>
      </w:r>
      <w:r w:rsidR="002554E6" w:rsidRPr="0048148E">
        <w:rPr>
          <w:rFonts w:asciiTheme="majorBidi" w:hAnsiTheme="majorBidi" w:cstheme="majorBidi"/>
          <w:sz w:val="24"/>
          <w:szCs w:val="24"/>
          <w:lang w:val="en-US"/>
        </w:rPr>
        <w:t xml:space="preserve">In contrast to the other cases of </w:t>
      </w:r>
      <w:r w:rsidR="006C7954">
        <w:rPr>
          <w:rFonts w:asciiTheme="majorBidi" w:hAnsiTheme="majorBidi" w:cstheme="majorBidi"/>
          <w:sz w:val="24"/>
          <w:szCs w:val="24"/>
          <w:lang w:val="en-US"/>
        </w:rPr>
        <w:t>‘</w:t>
      </w:r>
      <w:r w:rsidR="002554E6" w:rsidRPr="0048148E">
        <w:rPr>
          <w:rFonts w:asciiTheme="majorBidi" w:hAnsiTheme="majorBidi" w:cstheme="majorBidi"/>
          <w:sz w:val="24"/>
          <w:szCs w:val="24"/>
          <w:lang w:val="en-US"/>
        </w:rPr>
        <w:t>roaming texts,</w:t>
      </w:r>
      <w:r w:rsidR="006C7954">
        <w:rPr>
          <w:rFonts w:asciiTheme="majorBidi" w:hAnsiTheme="majorBidi" w:cstheme="majorBidi"/>
          <w:sz w:val="24"/>
          <w:szCs w:val="24"/>
          <w:lang w:val="en-US"/>
        </w:rPr>
        <w:t>’</w:t>
      </w:r>
      <w:r w:rsidR="002554E6" w:rsidRPr="0048148E">
        <w:rPr>
          <w:rFonts w:asciiTheme="majorBidi" w:hAnsiTheme="majorBidi" w:cstheme="majorBidi"/>
          <w:sz w:val="24"/>
          <w:szCs w:val="24"/>
          <w:lang w:val="en-US"/>
        </w:rPr>
        <w:t xml:space="preserve"> the verse in Ex 38:8 and in 1Sam 2:22 are not identical or sufficiently similar. In addition, the </w:t>
      </w:r>
      <w:r w:rsidR="00AD47B5" w:rsidRPr="0048148E">
        <w:rPr>
          <w:rFonts w:asciiTheme="majorBidi" w:hAnsiTheme="majorBidi" w:cstheme="majorBidi"/>
          <w:sz w:val="24"/>
          <w:szCs w:val="24"/>
          <w:lang w:val="en-US"/>
        </w:rPr>
        <w:t>terminology</w:t>
      </w:r>
      <w:r w:rsidR="002554E6" w:rsidRPr="0048148E">
        <w:rPr>
          <w:rFonts w:asciiTheme="majorBidi" w:hAnsiTheme="majorBidi" w:cstheme="majorBidi"/>
          <w:sz w:val="24"/>
          <w:szCs w:val="24"/>
          <w:lang w:val="en-US"/>
        </w:rPr>
        <w:t xml:space="preserve"> of this verse is </w:t>
      </w:r>
      <w:r w:rsidR="000D575F" w:rsidRPr="0048148E">
        <w:rPr>
          <w:rFonts w:asciiTheme="majorBidi" w:hAnsiTheme="majorBidi" w:cstheme="majorBidi"/>
          <w:sz w:val="24"/>
          <w:szCs w:val="24"/>
          <w:lang w:val="en-US"/>
        </w:rPr>
        <w:t>Priestly</w:t>
      </w:r>
      <w:r w:rsidR="002554E6" w:rsidRPr="0048148E">
        <w:rPr>
          <w:rFonts w:asciiTheme="majorBidi" w:hAnsiTheme="majorBidi" w:cstheme="majorBidi"/>
          <w:sz w:val="24"/>
          <w:szCs w:val="24"/>
          <w:lang w:val="en-US"/>
        </w:rPr>
        <w:t xml:space="preserve">, and its style coheres well with this section of the Torah. </w:t>
      </w:r>
      <w:r w:rsidR="006C7954">
        <w:rPr>
          <w:rFonts w:asciiTheme="majorBidi" w:hAnsiTheme="majorBidi" w:cstheme="majorBidi"/>
          <w:sz w:val="24"/>
          <w:szCs w:val="24"/>
          <w:lang w:val="en-US"/>
        </w:rPr>
        <w:t>Furthermore</w:t>
      </w:r>
      <w:r w:rsidR="002554E6" w:rsidRPr="0048148E">
        <w:rPr>
          <w:rFonts w:asciiTheme="majorBidi" w:hAnsiTheme="majorBidi" w:cstheme="majorBidi"/>
          <w:sz w:val="24"/>
          <w:szCs w:val="24"/>
          <w:lang w:val="en-US"/>
        </w:rPr>
        <w:t>, the topic of the bronze laver is broadly developed in Exodus, but it is anomalous in Samuel. Therefore, it seems that this difficult verse</w:t>
      </w:r>
      <w:r w:rsidR="006C7954">
        <w:rPr>
          <w:rFonts w:asciiTheme="majorBidi" w:hAnsiTheme="majorBidi" w:cstheme="majorBidi"/>
          <w:sz w:val="24"/>
          <w:szCs w:val="24"/>
          <w:lang w:val="en-US"/>
        </w:rPr>
        <w:t xml:space="preserve"> (</w:t>
      </w:r>
      <w:r w:rsidR="002554E6" w:rsidRPr="0048148E">
        <w:rPr>
          <w:rFonts w:asciiTheme="majorBidi" w:hAnsiTheme="majorBidi" w:cstheme="majorBidi"/>
          <w:sz w:val="24"/>
          <w:szCs w:val="24"/>
          <w:lang w:val="en-US"/>
        </w:rPr>
        <w:t>Ex 38:8</w:t>
      </w:r>
      <w:r w:rsidR="006C7954">
        <w:rPr>
          <w:rFonts w:asciiTheme="majorBidi" w:hAnsiTheme="majorBidi" w:cstheme="majorBidi"/>
          <w:sz w:val="24"/>
          <w:szCs w:val="24"/>
          <w:lang w:val="en-US"/>
        </w:rPr>
        <w:t>)</w:t>
      </w:r>
      <w:r w:rsidR="00E51C60" w:rsidRPr="0048148E">
        <w:rPr>
          <w:rFonts w:asciiTheme="majorBidi" w:hAnsiTheme="majorBidi" w:cstheme="majorBidi"/>
          <w:sz w:val="24"/>
          <w:szCs w:val="24"/>
          <w:lang w:val="en-US"/>
        </w:rPr>
        <w:t xml:space="preserve"> developed earlier within the </w:t>
      </w:r>
      <w:r w:rsidR="000D575F" w:rsidRPr="0048148E">
        <w:rPr>
          <w:rFonts w:asciiTheme="majorBidi" w:hAnsiTheme="majorBidi" w:cstheme="majorBidi"/>
          <w:sz w:val="24"/>
          <w:szCs w:val="24"/>
          <w:lang w:val="en-US"/>
        </w:rPr>
        <w:t>Priestly</w:t>
      </w:r>
      <w:r w:rsidR="00E51C60" w:rsidRPr="0048148E">
        <w:rPr>
          <w:rFonts w:asciiTheme="majorBidi" w:hAnsiTheme="majorBidi" w:cstheme="majorBidi"/>
          <w:sz w:val="24"/>
          <w:szCs w:val="24"/>
          <w:lang w:val="en-US"/>
        </w:rPr>
        <w:t xml:space="preserve"> text which was embedded in the Torah. The puzzling character of the text, and its isolation within the pericope (as emerges from the spacings of the closed portions which border it), led to homiletic (</w:t>
      </w:r>
      <w:r w:rsidR="00E51C60" w:rsidRPr="0048148E">
        <w:rPr>
          <w:rFonts w:asciiTheme="majorBidi" w:hAnsiTheme="majorBidi" w:cstheme="majorBidi"/>
          <w:i/>
          <w:iCs/>
          <w:sz w:val="24"/>
          <w:szCs w:val="24"/>
          <w:lang w:val="en-US"/>
        </w:rPr>
        <w:t>midrash</w:t>
      </w:r>
      <w:r w:rsidR="00E51C60" w:rsidRPr="0048148E">
        <w:rPr>
          <w:rFonts w:asciiTheme="majorBidi" w:hAnsiTheme="majorBidi" w:cstheme="majorBidi"/>
          <w:sz w:val="24"/>
          <w:szCs w:val="24"/>
          <w:lang w:val="en-US"/>
        </w:rPr>
        <w:t>) interpretations. As is often seen in R</w:t>
      </w:r>
      <w:r w:rsidR="001947B8" w:rsidRPr="0048148E">
        <w:rPr>
          <w:rFonts w:asciiTheme="majorBidi" w:hAnsiTheme="majorBidi" w:cstheme="majorBidi"/>
          <w:sz w:val="24"/>
          <w:szCs w:val="24"/>
          <w:lang w:val="en-US"/>
        </w:rPr>
        <w:t>abbinic literature, a difficult text, which seems to conceal a fuller story, serves as a springboard for creative midrashic exegesis.</w:t>
      </w:r>
      <w:r w:rsidR="001947B8" w:rsidRPr="0048148E">
        <w:rPr>
          <w:rStyle w:val="FootnoteReference"/>
          <w:rFonts w:asciiTheme="majorBidi" w:hAnsiTheme="majorBidi" w:cstheme="majorBidi"/>
          <w:sz w:val="24"/>
          <w:szCs w:val="24"/>
          <w:lang w:val="en-US"/>
        </w:rPr>
        <w:footnoteReference w:id="15"/>
      </w:r>
    </w:p>
    <w:p w14:paraId="105DA911" w14:textId="3642541C" w:rsidR="001947B8" w:rsidRPr="0048148E" w:rsidRDefault="00416AF9" w:rsidP="004C4D4B">
      <w:pPr>
        <w:spacing w:line="360" w:lineRule="auto"/>
        <w:ind w:firstLine="720"/>
        <w:rPr>
          <w:rFonts w:asciiTheme="majorBidi" w:hAnsiTheme="majorBidi" w:cstheme="majorBidi"/>
          <w:sz w:val="24"/>
          <w:szCs w:val="24"/>
          <w:lang w:val="en-US"/>
        </w:rPr>
      </w:pPr>
      <w:r w:rsidRPr="0048148E">
        <w:rPr>
          <w:rFonts w:asciiTheme="majorBidi" w:hAnsiTheme="majorBidi" w:cstheme="majorBidi"/>
          <w:sz w:val="24"/>
          <w:szCs w:val="24"/>
          <w:lang w:val="en-US"/>
        </w:rPr>
        <w:t xml:space="preserve">Indeed, the verse in Ex 38:8 is difficult to understand, and its form as we have it today may be corrupt. The word </w:t>
      </w:r>
      <w:proofErr w:type="spellStart"/>
      <w:r w:rsidRPr="0048148E">
        <w:rPr>
          <w:rFonts w:asciiTheme="majorBidi" w:hAnsiTheme="majorBidi" w:cstheme="majorBidi"/>
          <w:i/>
          <w:iCs/>
          <w:sz w:val="24"/>
          <w:szCs w:val="24"/>
          <w:lang w:val="en-US"/>
        </w:rPr>
        <w:t>mar’ot</w:t>
      </w:r>
      <w:proofErr w:type="spellEnd"/>
      <w:r w:rsidRPr="0048148E">
        <w:rPr>
          <w:rFonts w:asciiTheme="majorBidi" w:hAnsiTheme="majorBidi" w:cstheme="majorBidi"/>
          <w:sz w:val="24"/>
          <w:szCs w:val="24"/>
          <w:lang w:val="en-US"/>
        </w:rPr>
        <w:t xml:space="preserve"> is usually interpreted as ‘mirror</w:t>
      </w:r>
      <w:r w:rsidR="006C7954">
        <w:rPr>
          <w:rFonts w:asciiTheme="majorBidi" w:hAnsiTheme="majorBidi" w:cstheme="majorBidi"/>
          <w:sz w:val="24"/>
          <w:szCs w:val="24"/>
          <w:lang w:val="en-US"/>
        </w:rPr>
        <w:t>s</w:t>
      </w:r>
      <w:r w:rsidRPr="0048148E">
        <w:rPr>
          <w:rFonts w:asciiTheme="majorBidi" w:hAnsiTheme="majorBidi" w:cstheme="majorBidi"/>
          <w:sz w:val="24"/>
          <w:szCs w:val="24"/>
          <w:lang w:val="en-US"/>
        </w:rPr>
        <w:t>,’ though in this sense it is unique in the Bible.</w:t>
      </w:r>
      <w:r w:rsidR="00BA660A" w:rsidRPr="0048148E">
        <w:rPr>
          <w:rStyle w:val="FootnoteReference"/>
          <w:rFonts w:asciiTheme="majorBidi" w:hAnsiTheme="majorBidi" w:cstheme="majorBidi"/>
          <w:sz w:val="24"/>
          <w:szCs w:val="24"/>
          <w:lang w:val="en-US"/>
        </w:rPr>
        <w:footnoteReference w:id="16"/>
      </w:r>
      <w:r w:rsidR="00BA660A" w:rsidRPr="0048148E">
        <w:rPr>
          <w:rFonts w:asciiTheme="majorBidi" w:hAnsiTheme="majorBidi" w:cstheme="majorBidi"/>
          <w:sz w:val="24"/>
          <w:szCs w:val="24"/>
          <w:lang w:val="en-US"/>
        </w:rPr>
        <w:t xml:space="preserve"> The root </w:t>
      </w:r>
      <w:proofErr w:type="spellStart"/>
      <w:r w:rsidR="00BA660A" w:rsidRPr="0048148E">
        <w:rPr>
          <w:rFonts w:asciiTheme="majorBidi" w:hAnsiTheme="majorBidi" w:cstheme="majorBidi"/>
          <w:i/>
          <w:iCs/>
          <w:sz w:val="24"/>
          <w:szCs w:val="24"/>
          <w:lang w:val="en-US"/>
        </w:rPr>
        <w:t>šv</w:t>
      </w:r>
      <w:proofErr w:type="spellEnd"/>
      <w:r w:rsidR="00BA660A" w:rsidRPr="0048148E">
        <w:rPr>
          <w:rFonts w:asciiTheme="majorBidi" w:hAnsiTheme="majorBidi" w:cstheme="majorBidi"/>
          <w:i/>
          <w:iCs/>
          <w:sz w:val="24"/>
          <w:szCs w:val="24"/>
          <w:lang w:val="en-US"/>
        </w:rPr>
        <w:t>’</w:t>
      </w:r>
      <w:r w:rsidR="00BA660A" w:rsidRPr="0048148E">
        <w:rPr>
          <w:rFonts w:asciiTheme="majorBidi" w:hAnsiTheme="majorBidi" w:cstheme="majorBidi"/>
          <w:sz w:val="24"/>
          <w:szCs w:val="24"/>
          <w:lang w:val="en-US"/>
        </w:rPr>
        <w:t xml:space="preserve"> (</w:t>
      </w:r>
      <w:r w:rsidR="00BA660A" w:rsidRPr="0048148E">
        <w:rPr>
          <w:rFonts w:asciiTheme="majorBidi" w:hAnsiTheme="majorBidi" w:cstheme="majorBidi"/>
          <w:sz w:val="24"/>
          <w:szCs w:val="24"/>
          <w:rtl/>
          <w:lang w:val="en-US"/>
        </w:rPr>
        <w:t>צב"א</w:t>
      </w:r>
      <w:r w:rsidR="00BA660A" w:rsidRPr="0048148E">
        <w:rPr>
          <w:rFonts w:asciiTheme="majorBidi" w:hAnsiTheme="majorBidi" w:cstheme="majorBidi"/>
          <w:sz w:val="24"/>
          <w:szCs w:val="24"/>
          <w:lang w:val="en-US"/>
        </w:rPr>
        <w:t xml:space="preserve">) is used, regarding Levites, parallel to </w:t>
      </w:r>
      <w:r w:rsidR="00BA660A" w:rsidRPr="0048148E">
        <w:rPr>
          <w:rFonts w:asciiTheme="majorBidi" w:hAnsiTheme="majorBidi" w:cstheme="majorBidi"/>
          <w:i/>
          <w:iCs/>
          <w:sz w:val="24"/>
          <w:szCs w:val="24"/>
          <w:lang w:val="en-US"/>
        </w:rPr>
        <w:t>‘</w:t>
      </w:r>
      <w:proofErr w:type="spellStart"/>
      <w:r w:rsidR="00BA660A" w:rsidRPr="0048148E">
        <w:rPr>
          <w:rFonts w:asciiTheme="majorBidi" w:hAnsiTheme="majorBidi" w:cstheme="majorBidi"/>
          <w:i/>
          <w:iCs/>
          <w:sz w:val="24"/>
          <w:szCs w:val="24"/>
          <w:lang w:val="en-US"/>
        </w:rPr>
        <w:t>eved</w:t>
      </w:r>
      <w:proofErr w:type="spellEnd"/>
      <w:r w:rsidR="00BA660A" w:rsidRPr="0048148E">
        <w:rPr>
          <w:rFonts w:asciiTheme="majorBidi" w:hAnsiTheme="majorBidi" w:cstheme="majorBidi"/>
          <w:sz w:val="24"/>
          <w:szCs w:val="24"/>
          <w:lang w:val="en-US"/>
        </w:rPr>
        <w:t xml:space="preserve"> (slave) and in the sense ‘to be on duty’ (Num 4:23; 8:24)</w:t>
      </w:r>
      <w:r w:rsidR="00B2273E">
        <w:rPr>
          <w:rFonts w:asciiTheme="majorBidi" w:hAnsiTheme="majorBidi" w:cstheme="majorBidi"/>
          <w:sz w:val="24"/>
          <w:szCs w:val="24"/>
          <w:lang w:val="en-US"/>
        </w:rPr>
        <w:t>; therefore,</w:t>
      </w:r>
      <w:r w:rsidR="00BA660A" w:rsidRPr="0048148E">
        <w:rPr>
          <w:rFonts w:asciiTheme="majorBidi" w:hAnsiTheme="majorBidi" w:cstheme="majorBidi"/>
          <w:sz w:val="24"/>
          <w:szCs w:val="24"/>
          <w:lang w:val="en-US"/>
        </w:rPr>
        <w:t xml:space="preserve"> this verse was always interpreted as speaking of the ‘mirrors’ which served the women who fulfilled some sort of </w:t>
      </w:r>
      <w:r w:rsidR="00BA660A" w:rsidRPr="0048148E">
        <w:rPr>
          <w:rFonts w:asciiTheme="majorBidi" w:hAnsiTheme="majorBidi" w:cstheme="majorBidi"/>
          <w:sz w:val="24"/>
          <w:szCs w:val="24"/>
          <w:lang w:val="en-US"/>
        </w:rPr>
        <w:lastRenderedPageBreak/>
        <w:t>role at the entrance to the Tent of Meeting</w:t>
      </w:r>
      <w:r w:rsidR="00B2273E">
        <w:rPr>
          <w:rFonts w:asciiTheme="majorBidi" w:hAnsiTheme="majorBidi" w:cstheme="majorBidi"/>
          <w:sz w:val="24"/>
          <w:szCs w:val="24"/>
          <w:lang w:val="en-US"/>
        </w:rPr>
        <w:t>.</w:t>
      </w:r>
      <w:r w:rsidR="00BA660A" w:rsidRPr="0048148E">
        <w:rPr>
          <w:rStyle w:val="FootnoteReference"/>
          <w:rFonts w:asciiTheme="majorBidi" w:hAnsiTheme="majorBidi" w:cstheme="majorBidi"/>
          <w:sz w:val="24"/>
          <w:szCs w:val="24"/>
          <w:lang w:val="en-US"/>
        </w:rPr>
        <w:footnoteReference w:id="17"/>
      </w:r>
      <w:r w:rsidR="00BA660A" w:rsidRPr="0048148E">
        <w:rPr>
          <w:rFonts w:asciiTheme="majorBidi" w:hAnsiTheme="majorBidi" w:cstheme="majorBidi"/>
          <w:sz w:val="24"/>
          <w:szCs w:val="24"/>
          <w:lang w:val="en-US"/>
        </w:rPr>
        <w:t xml:space="preserve"> </w:t>
      </w:r>
      <w:r w:rsidR="00B2273E">
        <w:rPr>
          <w:rFonts w:asciiTheme="majorBidi" w:hAnsiTheme="majorBidi" w:cstheme="majorBidi"/>
          <w:sz w:val="24"/>
          <w:szCs w:val="24"/>
          <w:lang w:val="en-US"/>
        </w:rPr>
        <w:t xml:space="preserve">However, </w:t>
      </w:r>
      <w:r w:rsidR="00BA660A" w:rsidRPr="0048148E">
        <w:rPr>
          <w:rFonts w:asciiTheme="majorBidi" w:hAnsiTheme="majorBidi" w:cstheme="majorBidi"/>
          <w:sz w:val="24"/>
          <w:szCs w:val="24"/>
          <w:lang w:val="en-US"/>
        </w:rPr>
        <w:t>it is difficult to understand what the women were doing there</w:t>
      </w:r>
      <w:r w:rsidR="00B2273E">
        <w:rPr>
          <w:rFonts w:asciiTheme="majorBidi" w:hAnsiTheme="majorBidi" w:cstheme="majorBidi"/>
          <w:sz w:val="24"/>
          <w:szCs w:val="24"/>
          <w:lang w:val="en-US"/>
        </w:rPr>
        <w:t>,</w:t>
      </w:r>
      <w:r w:rsidR="00BA660A" w:rsidRPr="0048148E">
        <w:rPr>
          <w:rFonts w:asciiTheme="majorBidi" w:hAnsiTheme="majorBidi" w:cstheme="majorBidi"/>
          <w:sz w:val="24"/>
          <w:szCs w:val="24"/>
          <w:lang w:val="en-US"/>
        </w:rPr>
        <w:t xml:space="preserve"> </w:t>
      </w:r>
      <w:r w:rsidR="00B2273E">
        <w:rPr>
          <w:rFonts w:asciiTheme="majorBidi" w:hAnsiTheme="majorBidi" w:cstheme="majorBidi"/>
          <w:sz w:val="24"/>
          <w:szCs w:val="24"/>
          <w:lang w:val="en-US"/>
        </w:rPr>
        <w:t>or</w:t>
      </w:r>
      <w:r w:rsidR="00BA660A" w:rsidRPr="0048148E">
        <w:rPr>
          <w:rFonts w:asciiTheme="majorBidi" w:hAnsiTheme="majorBidi" w:cstheme="majorBidi"/>
          <w:sz w:val="24"/>
          <w:szCs w:val="24"/>
          <w:lang w:val="en-US"/>
        </w:rPr>
        <w:t xml:space="preserve"> why the Tent of Meeting is mentioned when it had not yet been constructed.</w:t>
      </w:r>
      <w:r w:rsidR="0027131D" w:rsidRPr="0048148E">
        <w:rPr>
          <w:rFonts w:asciiTheme="majorBidi" w:hAnsiTheme="majorBidi" w:cstheme="majorBidi"/>
          <w:sz w:val="24"/>
          <w:szCs w:val="24"/>
          <w:lang w:val="en-US"/>
        </w:rPr>
        <w:t xml:space="preserve"> This led the ancient translations and the Sages to broaden this puzzling notice in Ex 38:8. The more literal translations, such as the Vulgate, added the word ‘women’ before </w:t>
      </w:r>
      <w:r w:rsidR="0027131D" w:rsidRPr="0048148E">
        <w:rPr>
          <w:rFonts w:asciiTheme="majorBidi" w:hAnsiTheme="majorBidi" w:cstheme="majorBidi"/>
          <w:i/>
          <w:iCs/>
          <w:sz w:val="24"/>
          <w:szCs w:val="24"/>
          <w:lang w:val="en-US"/>
        </w:rPr>
        <w:t>ha-</w:t>
      </w:r>
      <w:proofErr w:type="spellStart"/>
      <w:r w:rsidR="0027131D" w:rsidRPr="0048148E">
        <w:rPr>
          <w:rFonts w:asciiTheme="majorBidi" w:hAnsiTheme="majorBidi" w:cstheme="majorBidi"/>
          <w:i/>
          <w:iCs/>
          <w:sz w:val="24"/>
          <w:szCs w:val="24"/>
          <w:lang w:val="en-US"/>
        </w:rPr>
        <w:t>šove’ot</w:t>
      </w:r>
      <w:proofErr w:type="spellEnd"/>
      <w:r w:rsidR="0027131D" w:rsidRPr="0048148E">
        <w:rPr>
          <w:rFonts w:asciiTheme="majorBidi" w:hAnsiTheme="majorBidi" w:cstheme="majorBidi"/>
          <w:sz w:val="24"/>
          <w:szCs w:val="24"/>
          <w:lang w:val="en-US"/>
        </w:rPr>
        <w:t xml:space="preserve">, as clarification: </w:t>
      </w:r>
      <w:r w:rsidR="0027131D" w:rsidRPr="0048148E">
        <w:rPr>
          <w:rFonts w:asciiTheme="majorBidi" w:hAnsiTheme="majorBidi" w:cstheme="majorBidi"/>
          <w:sz w:val="24"/>
          <w:szCs w:val="24"/>
          <w:highlight w:val="yellow"/>
          <w:lang w:val="en-US"/>
        </w:rPr>
        <w:t>TEXT</w:t>
      </w:r>
      <w:r w:rsidR="0027131D" w:rsidRPr="0048148E">
        <w:rPr>
          <w:rFonts w:asciiTheme="majorBidi" w:hAnsiTheme="majorBidi" w:cstheme="majorBidi"/>
          <w:sz w:val="24"/>
          <w:szCs w:val="24"/>
          <w:lang w:val="en-US"/>
        </w:rPr>
        <w:t>.</w:t>
      </w:r>
      <w:r w:rsidR="0027131D" w:rsidRPr="0048148E">
        <w:rPr>
          <w:rStyle w:val="FootnoteReference"/>
          <w:rFonts w:asciiTheme="majorBidi" w:hAnsiTheme="majorBidi" w:cstheme="majorBidi"/>
          <w:sz w:val="24"/>
          <w:szCs w:val="24"/>
          <w:lang w:val="en-US"/>
        </w:rPr>
        <w:footnoteReference w:id="18"/>
      </w:r>
      <w:r w:rsidR="0027131D" w:rsidRPr="0048148E">
        <w:rPr>
          <w:rFonts w:asciiTheme="majorBidi" w:hAnsiTheme="majorBidi" w:cstheme="majorBidi"/>
          <w:sz w:val="24"/>
          <w:szCs w:val="24"/>
          <w:lang w:val="en-US"/>
        </w:rPr>
        <w:t xml:space="preserve"> Other translations, such as </w:t>
      </w:r>
      <w:proofErr w:type="spellStart"/>
      <w:r w:rsidR="0027131D" w:rsidRPr="0048148E">
        <w:rPr>
          <w:rFonts w:asciiTheme="majorBidi" w:hAnsiTheme="majorBidi" w:cstheme="majorBidi"/>
          <w:sz w:val="24"/>
          <w:szCs w:val="24"/>
          <w:lang w:val="en-US"/>
        </w:rPr>
        <w:t>Onkelos</w:t>
      </w:r>
      <w:proofErr w:type="spellEnd"/>
      <w:r w:rsidR="0027131D" w:rsidRPr="0048148E">
        <w:rPr>
          <w:rFonts w:asciiTheme="majorBidi" w:hAnsiTheme="majorBidi" w:cstheme="majorBidi"/>
          <w:sz w:val="24"/>
          <w:szCs w:val="24"/>
          <w:lang w:val="en-US"/>
        </w:rPr>
        <w:t xml:space="preserve">, tried to explain what the women were doing there: </w:t>
      </w:r>
      <w:r w:rsidR="0027131D" w:rsidRPr="0048148E">
        <w:rPr>
          <w:rFonts w:asciiTheme="majorBidi" w:hAnsiTheme="majorBidi" w:cstheme="majorBidi"/>
          <w:sz w:val="24"/>
          <w:szCs w:val="24"/>
          <w:highlight w:val="yellow"/>
          <w:lang w:val="en-US"/>
        </w:rPr>
        <w:t>TEXT</w:t>
      </w:r>
      <w:r w:rsidR="0027131D" w:rsidRPr="0048148E">
        <w:rPr>
          <w:rFonts w:asciiTheme="majorBidi" w:hAnsiTheme="majorBidi" w:cstheme="majorBidi"/>
          <w:sz w:val="24"/>
          <w:szCs w:val="24"/>
          <w:lang w:val="en-US"/>
        </w:rPr>
        <w:t>;</w:t>
      </w:r>
      <w:r w:rsidR="0027131D" w:rsidRPr="0048148E">
        <w:rPr>
          <w:rStyle w:val="FootnoteReference"/>
          <w:rFonts w:asciiTheme="majorBidi" w:hAnsiTheme="majorBidi" w:cstheme="majorBidi"/>
          <w:sz w:val="24"/>
          <w:szCs w:val="24"/>
          <w:lang w:val="en-US"/>
        </w:rPr>
        <w:footnoteReference w:id="19"/>
      </w:r>
      <w:r w:rsidR="0027131D" w:rsidRPr="0048148E">
        <w:rPr>
          <w:rFonts w:asciiTheme="majorBidi" w:hAnsiTheme="majorBidi" w:cstheme="majorBidi"/>
          <w:sz w:val="24"/>
          <w:szCs w:val="24"/>
          <w:lang w:val="en-US"/>
        </w:rPr>
        <w:t xml:space="preserve"> whereas looser translations, as well as Rabbinic homiletics, tried to deal apologetically with</w:t>
      </w:r>
      <w:r w:rsidR="00A43B05" w:rsidRPr="0048148E">
        <w:rPr>
          <w:rFonts w:asciiTheme="majorBidi" w:hAnsiTheme="majorBidi" w:cstheme="majorBidi"/>
          <w:sz w:val="24"/>
          <w:szCs w:val="24"/>
          <w:lang w:val="en-US"/>
        </w:rPr>
        <w:t xml:space="preserve"> the notions of</w:t>
      </w:r>
      <w:r w:rsidR="0027131D" w:rsidRPr="0048148E">
        <w:rPr>
          <w:rFonts w:asciiTheme="majorBidi" w:hAnsiTheme="majorBidi" w:cstheme="majorBidi"/>
          <w:sz w:val="24"/>
          <w:szCs w:val="24"/>
          <w:lang w:val="en-US"/>
        </w:rPr>
        <w:t xml:space="preserve"> </w:t>
      </w:r>
      <w:commentRangeStart w:id="10"/>
      <w:r w:rsidR="00A43B05" w:rsidRPr="0048148E">
        <w:rPr>
          <w:rFonts w:asciiTheme="majorBidi" w:hAnsiTheme="majorBidi" w:cstheme="majorBidi"/>
          <w:sz w:val="24"/>
          <w:szCs w:val="24"/>
          <w:lang w:val="en-US"/>
        </w:rPr>
        <w:t>vanity</w:t>
      </w:r>
      <w:commentRangeEnd w:id="10"/>
      <w:r w:rsidR="00A43B05" w:rsidRPr="0048148E">
        <w:rPr>
          <w:rStyle w:val="CommentReference"/>
          <w:rFonts w:asciiTheme="majorBidi" w:hAnsiTheme="majorBidi" w:cstheme="majorBidi"/>
          <w:sz w:val="24"/>
          <w:szCs w:val="24"/>
          <w:rtl/>
        </w:rPr>
        <w:commentReference w:id="10"/>
      </w:r>
      <w:r w:rsidR="00A43B05" w:rsidRPr="0048148E">
        <w:rPr>
          <w:rFonts w:asciiTheme="majorBidi" w:hAnsiTheme="majorBidi" w:cstheme="majorBidi"/>
          <w:sz w:val="24"/>
          <w:szCs w:val="24"/>
          <w:lang w:val="en-US"/>
        </w:rPr>
        <w:t xml:space="preserve"> and the arousal of lust that are associated with the mention of the women and the mirrors. So, for example, Pseudo Jonathan translated: </w:t>
      </w:r>
      <w:r w:rsidR="00A43B05" w:rsidRPr="0048148E">
        <w:rPr>
          <w:rFonts w:asciiTheme="majorBidi" w:hAnsiTheme="majorBidi" w:cstheme="majorBidi"/>
          <w:sz w:val="24"/>
          <w:szCs w:val="24"/>
          <w:highlight w:val="yellow"/>
          <w:lang w:val="en-US"/>
        </w:rPr>
        <w:t>TEXT</w:t>
      </w:r>
      <w:r w:rsidR="00A43B05" w:rsidRPr="0048148E">
        <w:rPr>
          <w:rFonts w:asciiTheme="majorBidi" w:hAnsiTheme="majorBidi" w:cstheme="majorBidi"/>
          <w:sz w:val="24"/>
          <w:szCs w:val="24"/>
          <w:lang w:val="en-US"/>
        </w:rPr>
        <w:t>.</w:t>
      </w:r>
      <w:r w:rsidR="00A43B05" w:rsidRPr="0048148E">
        <w:rPr>
          <w:rStyle w:val="FootnoteReference"/>
          <w:rFonts w:asciiTheme="majorBidi" w:hAnsiTheme="majorBidi" w:cstheme="majorBidi"/>
          <w:sz w:val="24"/>
          <w:szCs w:val="24"/>
          <w:lang w:val="en-US"/>
        </w:rPr>
        <w:footnoteReference w:id="20"/>
      </w:r>
      <w:r w:rsidR="00A43B05" w:rsidRPr="0048148E">
        <w:rPr>
          <w:rFonts w:asciiTheme="majorBidi" w:hAnsiTheme="majorBidi" w:cstheme="majorBidi"/>
          <w:sz w:val="24"/>
          <w:szCs w:val="24"/>
          <w:lang w:val="en-US"/>
        </w:rPr>
        <w:t xml:space="preserve"> It is therefore possible that the </w:t>
      </w:r>
      <w:r w:rsidR="00B2273E">
        <w:rPr>
          <w:rFonts w:asciiTheme="majorBidi" w:hAnsiTheme="majorBidi" w:cstheme="majorBidi"/>
          <w:sz w:val="24"/>
          <w:szCs w:val="24"/>
          <w:lang w:val="en-US"/>
        </w:rPr>
        <w:t>inserted</w:t>
      </w:r>
      <w:r w:rsidR="00A43B05" w:rsidRPr="0048148E">
        <w:rPr>
          <w:rFonts w:asciiTheme="majorBidi" w:hAnsiTheme="majorBidi" w:cstheme="majorBidi"/>
          <w:sz w:val="24"/>
          <w:szCs w:val="24"/>
          <w:lang w:val="en-US"/>
        </w:rPr>
        <w:t xml:space="preserve"> verse in 1Sam 2:22 which adds the extra sin</w:t>
      </w:r>
      <w:r w:rsidR="00CA6188" w:rsidRPr="0048148E">
        <w:rPr>
          <w:rFonts w:asciiTheme="majorBidi" w:hAnsiTheme="majorBidi" w:cstheme="majorBidi"/>
          <w:sz w:val="24"/>
          <w:szCs w:val="24"/>
          <w:lang w:val="en-US"/>
        </w:rPr>
        <w:t xml:space="preserve"> of the sons of Eli with the women who were at the Tent of Meeting is an earlier homiletic which developed on the basis of the verse in Exodus and the narrative in Samuel, both as an attempt to explain the obscure verse in Ex 38:8, and as a theodicy within the narrative context in Samuel</w:t>
      </w:r>
      <w:r w:rsidR="00B2273E">
        <w:rPr>
          <w:rFonts w:asciiTheme="majorBidi" w:hAnsiTheme="majorBidi" w:cstheme="majorBidi"/>
          <w:sz w:val="24"/>
          <w:szCs w:val="24"/>
          <w:lang w:val="en-US"/>
        </w:rPr>
        <w:t xml:space="preserve"> which tries</w:t>
      </w:r>
      <w:r w:rsidR="00CA6188" w:rsidRPr="0048148E">
        <w:rPr>
          <w:rFonts w:asciiTheme="majorBidi" w:hAnsiTheme="majorBidi" w:cstheme="majorBidi"/>
          <w:sz w:val="24"/>
          <w:szCs w:val="24"/>
          <w:lang w:val="en-US"/>
        </w:rPr>
        <w:t xml:space="preserve"> to justify the harsh punishment of Eli’s sons and the termination of this entire branch of priests (1Sam 2:27-36). In any case, the </w:t>
      </w:r>
      <w:r w:rsidR="008A4262" w:rsidRPr="0048148E">
        <w:rPr>
          <w:rFonts w:asciiTheme="majorBidi" w:hAnsiTheme="majorBidi" w:cstheme="majorBidi"/>
          <w:sz w:val="24"/>
          <w:szCs w:val="24"/>
          <w:lang w:val="en-US"/>
        </w:rPr>
        <w:t xml:space="preserve">textual witnesses clearly show that this sentence was added in one of the phases of the development of Samuel, after </w:t>
      </w:r>
      <w:r w:rsidR="00297AFC">
        <w:rPr>
          <w:rFonts w:asciiTheme="majorBidi" w:hAnsiTheme="majorBidi" w:cstheme="majorBidi"/>
          <w:sz w:val="24"/>
          <w:szCs w:val="24"/>
          <w:lang w:val="en-US"/>
        </w:rPr>
        <w:t xml:space="preserve">the textual </w:t>
      </w:r>
      <w:r w:rsidR="00832249">
        <w:rPr>
          <w:rFonts w:asciiTheme="majorBidi" w:hAnsiTheme="majorBidi" w:cstheme="majorBidi"/>
          <w:sz w:val="24"/>
          <w:szCs w:val="24"/>
          <w:lang w:val="en-US"/>
        </w:rPr>
        <w:t>tradition</w:t>
      </w:r>
      <w:commentRangeStart w:id="11"/>
      <w:r w:rsidR="008A4262" w:rsidRPr="0048148E">
        <w:rPr>
          <w:rFonts w:asciiTheme="majorBidi" w:hAnsiTheme="majorBidi" w:cstheme="majorBidi"/>
          <w:sz w:val="24"/>
          <w:szCs w:val="24"/>
          <w:lang w:val="en-US"/>
        </w:rPr>
        <w:t xml:space="preserve"> </w:t>
      </w:r>
      <w:commentRangeEnd w:id="11"/>
      <w:r w:rsidR="008A4262" w:rsidRPr="0048148E">
        <w:rPr>
          <w:rStyle w:val="CommentReference"/>
          <w:rFonts w:asciiTheme="majorBidi" w:hAnsiTheme="majorBidi" w:cstheme="majorBidi"/>
          <w:sz w:val="24"/>
          <w:szCs w:val="24"/>
          <w:rtl/>
        </w:rPr>
        <w:commentReference w:id="11"/>
      </w:r>
      <w:r w:rsidR="008A4262" w:rsidRPr="0048148E">
        <w:rPr>
          <w:rFonts w:asciiTheme="majorBidi" w:hAnsiTheme="majorBidi" w:cstheme="majorBidi"/>
          <w:sz w:val="24"/>
          <w:szCs w:val="24"/>
          <w:lang w:val="en-US"/>
        </w:rPr>
        <w:t>had already split into</w:t>
      </w:r>
      <w:r w:rsidR="00297AFC">
        <w:rPr>
          <w:rFonts w:asciiTheme="majorBidi" w:hAnsiTheme="majorBidi" w:cstheme="majorBidi"/>
          <w:sz w:val="24"/>
          <w:szCs w:val="24"/>
          <w:lang w:val="en-US"/>
        </w:rPr>
        <w:t xml:space="preserve"> the</w:t>
      </w:r>
      <w:r w:rsidR="008A4262" w:rsidRPr="0048148E">
        <w:rPr>
          <w:rFonts w:asciiTheme="majorBidi" w:hAnsiTheme="majorBidi" w:cstheme="majorBidi"/>
          <w:sz w:val="24"/>
          <w:szCs w:val="24"/>
          <w:lang w:val="en-US"/>
        </w:rPr>
        <w:t xml:space="preserve"> branches of the Septuagint and the Qumran scroll on the one hand, and the pre-Masoretic text on the other.</w:t>
      </w:r>
    </w:p>
    <w:p w14:paraId="267A0084" w14:textId="77777777" w:rsidR="004C4D4B" w:rsidRDefault="004C4D4B" w:rsidP="0048148E">
      <w:pPr>
        <w:spacing w:line="360" w:lineRule="auto"/>
        <w:rPr>
          <w:rFonts w:asciiTheme="majorBidi" w:hAnsiTheme="majorBidi" w:cstheme="majorBidi"/>
          <w:b/>
          <w:bCs/>
          <w:sz w:val="24"/>
          <w:szCs w:val="24"/>
          <w:lang w:val="en-US"/>
        </w:rPr>
      </w:pPr>
    </w:p>
    <w:p w14:paraId="18D35B00" w14:textId="7CD22FA0" w:rsidR="008A4262" w:rsidRPr="0048148E" w:rsidRDefault="008A4262" w:rsidP="0048148E">
      <w:pPr>
        <w:spacing w:line="360" w:lineRule="auto"/>
        <w:rPr>
          <w:rFonts w:asciiTheme="majorBidi" w:hAnsiTheme="majorBidi" w:cstheme="majorBidi"/>
          <w:sz w:val="24"/>
          <w:szCs w:val="24"/>
          <w:lang w:val="en-US"/>
        </w:rPr>
      </w:pPr>
      <w:r w:rsidRPr="0048148E">
        <w:rPr>
          <w:rFonts w:asciiTheme="majorBidi" w:hAnsiTheme="majorBidi" w:cstheme="majorBidi"/>
          <w:b/>
          <w:bCs/>
          <w:sz w:val="24"/>
          <w:szCs w:val="24"/>
          <w:lang w:val="en-US"/>
        </w:rPr>
        <w:t xml:space="preserve">2. Solomon brings the Tent of Meeting to the </w:t>
      </w:r>
      <w:r w:rsidR="00AD47B5" w:rsidRPr="0048148E">
        <w:rPr>
          <w:rFonts w:asciiTheme="majorBidi" w:hAnsiTheme="majorBidi" w:cstheme="majorBidi"/>
          <w:b/>
          <w:bCs/>
          <w:sz w:val="24"/>
          <w:szCs w:val="24"/>
          <w:lang w:val="en-US"/>
        </w:rPr>
        <w:t>Temple</w:t>
      </w:r>
      <w:r w:rsidRPr="0048148E">
        <w:rPr>
          <w:rFonts w:asciiTheme="majorBidi" w:hAnsiTheme="majorBidi" w:cstheme="majorBidi"/>
          <w:b/>
          <w:bCs/>
          <w:sz w:val="24"/>
          <w:szCs w:val="24"/>
          <w:lang w:val="en-US"/>
        </w:rPr>
        <w:t xml:space="preserve"> (1Kgs 1:8)</w:t>
      </w:r>
    </w:p>
    <w:p w14:paraId="002FACAD" w14:textId="6BE4302E" w:rsidR="008A4262" w:rsidRPr="0048148E" w:rsidRDefault="009D0BA7" w:rsidP="0048148E">
      <w:pPr>
        <w:spacing w:line="360" w:lineRule="auto"/>
        <w:rPr>
          <w:rFonts w:asciiTheme="majorBidi" w:hAnsiTheme="majorBidi" w:cstheme="majorBidi"/>
          <w:sz w:val="24"/>
          <w:szCs w:val="24"/>
          <w:lang w:val="en-US"/>
        </w:rPr>
      </w:pPr>
      <w:r w:rsidRPr="0048148E">
        <w:rPr>
          <w:rFonts w:asciiTheme="majorBidi" w:hAnsiTheme="majorBidi" w:cstheme="majorBidi"/>
          <w:sz w:val="24"/>
          <w:szCs w:val="24"/>
          <w:lang w:val="en-US"/>
        </w:rPr>
        <w:t xml:space="preserve">Another mention of the Tent of Meeting beyond the </w:t>
      </w:r>
      <w:r w:rsidR="000D575F" w:rsidRPr="0048148E">
        <w:rPr>
          <w:rFonts w:asciiTheme="majorBidi" w:hAnsiTheme="majorBidi" w:cstheme="majorBidi"/>
          <w:sz w:val="24"/>
          <w:szCs w:val="24"/>
          <w:lang w:val="en-US"/>
        </w:rPr>
        <w:t>Priestly</w:t>
      </w:r>
      <w:r w:rsidRPr="0048148E">
        <w:rPr>
          <w:rFonts w:asciiTheme="majorBidi" w:hAnsiTheme="majorBidi" w:cstheme="majorBidi"/>
          <w:sz w:val="24"/>
          <w:szCs w:val="24"/>
          <w:lang w:val="en-US"/>
        </w:rPr>
        <w:t xml:space="preserve"> material in the Torah (and in Joshua) is found in the story of Solomon bringing the</w:t>
      </w:r>
      <w:r w:rsidR="009E31F3">
        <w:rPr>
          <w:rFonts w:asciiTheme="majorBidi" w:hAnsiTheme="majorBidi" w:cstheme="majorBidi"/>
          <w:sz w:val="24"/>
          <w:szCs w:val="24"/>
          <w:lang w:val="en-US"/>
        </w:rPr>
        <w:t xml:space="preserve"> Ark </w:t>
      </w:r>
      <w:r w:rsidRPr="0048148E">
        <w:rPr>
          <w:rFonts w:asciiTheme="majorBidi" w:hAnsiTheme="majorBidi" w:cstheme="majorBidi"/>
          <w:sz w:val="24"/>
          <w:szCs w:val="24"/>
          <w:lang w:val="en-US"/>
        </w:rPr>
        <w:t xml:space="preserve">to the </w:t>
      </w:r>
      <w:r w:rsidR="00AD47B5" w:rsidRPr="0048148E">
        <w:rPr>
          <w:rFonts w:asciiTheme="majorBidi" w:hAnsiTheme="majorBidi" w:cstheme="majorBidi"/>
          <w:sz w:val="24"/>
          <w:szCs w:val="24"/>
          <w:lang w:val="en-US"/>
        </w:rPr>
        <w:t>Temple</w:t>
      </w:r>
      <w:r w:rsidRPr="0048148E">
        <w:rPr>
          <w:rFonts w:asciiTheme="majorBidi" w:hAnsiTheme="majorBidi" w:cstheme="majorBidi"/>
          <w:sz w:val="24"/>
          <w:szCs w:val="24"/>
          <w:lang w:val="en-US"/>
        </w:rPr>
        <w:t>. In 1Kgs 8:4 we read that the</w:t>
      </w:r>
      <w:r w:rsidR="009E31F3">
        <w:rPr>
          <w:rFonts w:asciiTheme="majorBidi" w:hAnsiTheme="majorBidi" w:cstheme="majorBidi"/>
          <w:sz w:val="24"/>
          <w:szCs w:val="24"/>
          <w:lang w:val="en-US"/>
        </w:rPr>
        <w:t xml:space="preserve"> Ark </w:t>
      </w:r>
      <w:r w:rsidRPr="0048148E">
        <w:rPr>
          <w:rFonts w:asciiTheme="majorBidi" w:hAnsiTheme="majorBidi" w:cstheme="majorBidi"/>
          <w:sz w:val="24"/>
          <w:szCs w:val="24"/>
          <w:lang w:val="en-US"/>
        </w:rPr>
        <w:t xml:space="preserve">was brought to the </w:t>
      </w:r>
      <w:r w:rsidR="00AD47B5" w:rsidRPr="0048148E">
        <w:rPr>
          <w:rFonts w:asciiTheme="majorBidi" w:hAnsiTheme="majorBidi" w:cstheme="majorBidi"/>
          <w:sz w:val="24"/>
          <w:szCs w:val="24"/>
          <w:lang w:val="en-US"/>
        </w:rPr>
        <w:t>Temple</w:t>
      </w:r>
      <w:r w:rsidRPr="0048148E">
        <w:rPr>
          <w:rFonts w:asciiTheme="majorBidi" w:hAnsiTheme="majorBidi" w:cstheme="majorBidi"/>
          <w:sz w:val="24"/>
          <w:szCs w:val="24"/>
          <w:lang w:val="en-US"/>
        </w:rPr>
        <w:t xml:space="preserve"> together with the Tent of Meeting and all the holy vessels which were in the Tent, in terms similar to those which are used in the </w:t>
      </w:r>
      <w:r w:rsidR="000D575F" w:rsidRPr="0048148E">
        <w:rPr>
          <w:rFonts w:asciiTheme="majorBidi" w:hAnsiTheme="majorBidi" w:cstheme="majorBidi"/>
          <w:sz w:val="24"/>
          <w:szCs w:val="24"/>
          <w:lang w:val="en-US"/>
        </w:rPr>
        <w:t>Priestly</w:t>
      </w:r>
      <w:r w:rsidRPr="0048148E">
        <w:rPr>
          <w:rFonts w:asciiTheme="majorBidi" w:hAnsiTheme="majorBidi" w:cstheme="majorBidi"/>
          <w:sz w:val="24"/>
          <w:szCs w:val="24"/>
          <w:lang w:val="en-US"/>
        </w:rPr>
        <w:t xml:space="preserve"> account in the Torah: </w:t>
      </w:r>
      <w:r w:rsidR="00320DEA">
        <w:rPr>
          <w:rFonts w:asciiTheme="majorBidi" w:hAnsiTheme="majorBidi" w:cstheme="majorBidi" w:hint="cs"/>
          <w:sz w:val="24"/>
          <w:szCs w:val="24"/>
          <w:rtl/>
          <w:lang w:val="en-US"/>
        </w:rPr>
        <w:t>ויע</w:t>
      </w:r>
      <w:r w:rsidR="009D47C3">
        <w:rPr>
          <w:rFonts w:asciiTheme="majorBidi" w:hAnsiTheme="majorBidi" w:cstheme="majorBidi" w:hint="cs"/>
          <w:sz w:val="24"/>
          <w:szCs w:val="24"/>
          <w:rtl/>
          <w:lang w:val="en-US"/>
        </w:rPr>
        <w:t>לו את ארון יהוה ואת אהל מועד ואת כל כלי הקדש אשר באהל</w:t>
      </w:r>
      <w:r w:rsidR="009D47C3">
        <w:rPr>
          <w:rFonts w:asciiTheme="majorBidi" w:hAnsiTheme="majorBidi" w:cstheme="majorBidi"/>
          <w:sz w:val="24"/>
          <w:szCs w:val="24"/>
          <w:lang w:val="en-US"/>
        </w:rPr>
        <w:t xml:space="preserve"> (</w:t>
      </w:r>
      <w:r w:rsidRPr="0048148E">
        <w:rPr>
          <w:rFonts w:asciiTheme="majorBidi" w:hAnsiTheme="majorBidi" w:cstheme="majorBidi"/>
          <w:sz w:val="24"/>
          <w:szCs w:val="24"/>
          <w:lang w:val="en-US"/>
        </w:rPr>
        <w:t>“</w:t>
      </w:r>
      <w:r w:rsidRPr="0048148E">
        <w:rPr>
          <w:rFonts w:asciiTheme="majorBidi" w:hAnsiTheme="majorBidi" w:cstheme="majorBidi"/>
          <w:sz w:val="24"/>
          <w:szCs w:val="24"/>
        </w:rPr>
        <w:t>Then they brought up the</w:t>
      </w:r>
      <w:r w:rsidR="009E31F3">
        <w:rPr>
          <w:rFonts w:asciiTheme="majorBidi" w:hAnsiTheme="majorBidi" w:cstheme="majorBidi"/>
          <w:sz w:val="24"/>
          <w:szCs w:val="24"/>
        </w:rPr>
        <w:t xml:space="preserve"> Ark </w:t>
      </w:r>
      <w:r w:rsidRPr="0048148E">
        <w:rPr>
          <w:rFonts w:asciiTheme="majorBidi" w:hAnsiTheme="majorBidi" w:cstheme="majorBidi"/>
          <w:sz w:val="24"/>
          <w:szCs w:val="24"/>
        </w:rPr>
        <w:t xml:space="preserve">of the Lord, the </w:t>
      </w:r>
      <w:r w:rsidR="00AD47B5" w:rsidRPr="0048148E">
        <w:rPr>
          <w:rFonts w:asciiTheme="majorBidi" w:hAnsiTheme="majorBidi" w:cstheme="majorBidi"/>
          <w:sz w:val="24"/>
          <w:szCs w:val="24"/>
        </w:rPr>
        <w:t>Tabernacle</w:t>
      </w:r>
      <w:r w:rsidRPr="0048148E">
        <w:rPr>
          <w:rFonts w:asciiTheme="majorBidi" w:hAnsiTheme="majorBidi" w:cstheme="majorBidi"/>
          <w:sz w:val="24"/>
          <w:szCs w:val="24"/>
        </w:rPr>
        <w:t xml:space="preserve"> of meeting, and all the holy furnishings that were in the </w:t>
      </w:r>
      <w:r w:rsidR="00AD47B5" w:rsidRPr="0048148E">
        <w:rPr>
          <w:rFonts w:asciiTheme="majorBidi" w:hAnsiTheme="majorBidi" w:cstheme="majorBidi"/>
          <w:sz w:val="24"/>
          <w:szCs w:val="24"/>
        </w:rPr>
        <w:t>Tabernacle</w:t>
      </w:r>
      <w:r w:rsidRPr="0048148E">
        <w:rPr>
          <w:rFonts w:asciiTheme="majorBidi" w:hAnsiTheme="majorBidi" w:cstheme="majorBidi"/>
          <w:sz w:val="24"/>
          <w:szCs w:val="24"/>
          <w:lang w:val="en-US"/>
        </w:rPr>
        <w:t>”</w:t>
      </w:r>
      <w:r w:rsidR="009D47C3">
        <w:rPr>
          <w:rFonts w:asciiTheme="majorBidi" w:hAnsiTheme="majorBidi" w:cstheme="majorBidi"/>
          <w:sz w:val="24"/>
          <w:szCs w:val="24"/>
          <w:lang w:val="en-US"/>
        </w:rPr>
        <w:t>).</w:t>
      </w:r>
      <w:r w:rsidR="00D969E6" w:rsidRPr="0048148E">
        <w:rPr>
          <w:rStyle w:val="FootnoteReference"/>
          <w:rFonts w:asciiTheme="majorBidi" w:hAnsiTheme="majorBidi" w:cstheme="majorBidi"/>
          <w:sz w:val="24"/>
          <w:szCs w:val="24"/>
          <w:lang w:val="en-US"/>
        </w:rPr>
        <w:footnoteReference w:id="21"/>
      </w:r>
      <w:r w:rsidRPr="0048148E">
        <w:rPr>
          <w:rFonts w:asciiTheme="majorBidi" w:hAnsiTheme="majorBidi" w:cstheme="majorBidi"/>
          <w:sz w:val="24"/>
          <w:szCs w:val="24"/>
          <w:lang w:val="en-US"/>
        </w:rPr>
        <w:t xml:space="preserve"> Similar to the previous case in Samuel, here too the significant textual differences between the </w:t>
      </w:r>
      <w:r w:rsidR="00F52D6A" w:rsidRPr="0048148E">
        <w:rPr>
          <w:rFonts w:asciiTheme="majorBidi" w:hAnsiTheme="majorBidi" w:cstheme="majorBidi"/>
          <w:sz w:val="24"/>
          <w:szCs w:val="24"/>
          <w:lang w:val="en-US"/>
        </w:rPr>
        <w:t>MT</w:t>
      </w:r>
      <w:r w:rsidRPr="0048148E">
        <w:rPr>
          <w:rFonts w:asciiTheme="majorBidi" w:hAnsiTheme="majorBidi" w:cstheme="majorBidi"/>
          <w:sz w:val="24"/>
          <w:szCs w:val="24"/>
          <w:lang w:val="en-US"/>
        </w:rPr>
        <w:t xml:space="preserve"> and the Septuagint in this chapter show that the text underwent various stages of development. However, in contrast to the previous case, here the </w:t>
      </w:r>
      <w:r w:rsidRPr="0048148E">
        <w:rPr>
          <w:rFonts w:asciiTheme="majorBidi" w:hAnsiTheme="majorBidi" w:cstheme="majorBidi"/>
          <w:sz w:val="24"/>
          <w:szCs w:val="24"/>
          <w:lang w:val="en-US"/>
        </w:rPr>
        <w:lastRenderedPageBreak/>
        <w:t xml:space="preserve">text which </w:t>
      </w:r>
      <w:r w:rsidR="0014153F" w:rsidRPr="0048148E">
        <w:rPr>
          <w:rFonts w:asciiTheme="majorBidi" w:hAnsiTheme="majorBidi" w:cstheme="majorBidi"/>
          <w:sz w:val="24"/>
          <w:szCs w:val="24"/>
          <w:lang w:val="en-US"/>
        </w:rPr>
        <w:t xml:space="preserve">speaks of the Tent of Meeting is found in all the main textual witnesses. How can this be explained? Does the mention of the Tent of Meeting belong to the earlier </w:t>
      </w:r>
      <w:r w:rsidR="00864130" w:rsidRPr="0048148E">
        <w:rPr>
          <w:rFonts w:asciiTheme="majorBidi" w:hAnsiTheme="majorBidi" w:cstheme="majorBidi"/>
          <w:sz w:val="24"/>
          <w:szCs w:val="24"/>
          <w:lang w:val="en-US"/>
        </w:rPr>
        <w:t>stratum</w:t>
      </w:r>
      <w:r w:rsidR="0014153F" w:rsidRPr="0048148E">
        <w:rPr>
          <w:rFonts w:asciiTheme="majorBidi" w:hAnsiTheme="majorBidi" w:cstheme="majorBidi"/>
          <w:sz w:val="24"/>
          <w:szCs w:val="24"/>
          <w:lang w:val="en-US"/>
        </w:rPr>
        <w:t xml:space="preserve"> of the account of transferring the Ark, or is the entire unit influenced by </w:t>
      </w:r>
      <w:r w:rsidR="000D575F" w:rsidRPr="0048148E">
        <w:rPr>
          <w:rFonts w:asciiTheme="majorBidi" w:hAnsiTheme="majorBidi" w:cstheme="majorBidi"/>
          <w:sz w:val="24"/>
          <w:szCs w:val="24"/>
          <w:lang w:val="en-US"/>
        </w:rPr>
        <w:t>Priestly</w:t>
      </w:r>
      <w:r w:rsidR="0014153F" w:rsidRPr="0048148E">
        <w:rPr>
          <w:rFonts w:asciiTheme="majorBidi" w:hAnsiTheme="majorBidi" w:cstheme="majorBidi"/>
          <w:sz w:val="24"/>
          <w:szCs w:val="24"/>
          <w:lang w:val="en-US"/>
        </w:rPr>
        <w:t xml:space="preserve"> materials (and we should therefore not place too much importance on the version of the Septuagint, as it may have reflected a later adaptation of the </w:t>
      </w:r>
      <w:r w:rsidR="000E46AB" w:rsidRPr="0048148E">
        <w:rPr>
          <w:rFonts w:asciiTheme="majorBidi" w:hAnsiTheme="majorBidi" w:cstheme="majorBidi"/>
          <w:sz w:val="24"/>
          <w:szCs w:val="24"/>
          <w:lang w:val="en-US"/>
        </w:rPr>
        <w:t>MT</w:t>
      </w:r>
      <w:r w:rsidR="0014153F" w:rsidRPr="0048148E">
        <w:rPr>
          <w:rFonts w:asciiTheme="majorBidi" w:hAnsiTheme="majorBidi" w:cstheme="majorBidi"/>
          <w:sz w:val="24"/>
          <w:szCs w:val="24"/>
          <w:lang w:val="en-US"/>
        </w:rPr>
        <w:t>)? The first option is supported by, for example, R.</w:t>
      </w:r>
      <w:commentRangeStart w:id="12"/>
      <w:r w:rsidR="0014153F" w:rsidRPr="0048148E">
        <w:rPr>
          <w:rFonts w:asciiTheme="majorBidi" w:hAnsiTheme="majorBidi" w:cstheme="majorBidi"/>
          <w:sz w:val="24"/>
          <w:szCs w:val="24"/>
          <w:lang w:val="en-US"/>
        </w:rPr>
        <w:t>A</w:t>
      </w:r>
      <w:commentRangeEnd w:id="12"/>
      <w:r w:rsidR="0014153F" w:rsidRPr="0048148E">
        <w:rPr>
          <w:rStyle w:val="CommentReference"/>
          <w:rFonts w:asciiTheme="majorBidi" w:hAnsiTheme="majorBidi" w:cstheme="majorBidi"/>
          <w:sz w:val="24"/>
          <w:szCs w:val="24"/>
        </w:rPr>
        <w:commentReference w:id="12"/>
      </w:r>
      <w:r w:rsidR="0014153F" w:rsidRPr="0048148E">
        <w:rPr>
          <w:rFonts w:asciiTheme="majorBidi" w:hAnsiTheme="majorBidi" w:cstheme="majorBidi"/>
          <w:sz w:val="24"/>
          <w:szCs w:val="24"/>
          <w:lang w:val="en-US"/>
        </w:rPr>
        <w:t xml:space="preserve">. Friedman, who describes, using complex mathematical </w:t>
      </w:r>
      <w:r w:rsidR="00584BEE" w:rsidRPr="0048148E">
        <w:rPr>
          <w:rFonts w:asciiTheme="majorBidi" w:hAnsiTheme="majorBidi" w:cstheme="majorBidi"/>
          <w:sz w:val="24"/>
          <w:szCs w:val="24"/>
          <w:lang w:val="en-US"/>
        </w:rPr>
        <w:t xml:space="preserve">calculations, </w:t>
      </w:r>
      <w:r w:rsidR="0014153F" w:rsidRPr="0048148E">
        <w:rPr>
          <w:rFonts w:asciiTheme="majorBidi" w:hAnsiTheme="majorBidi" w:cstheme="majorBidi"/>
          <w:sz w:val="24"/>
          <w:szCs w:val="24"/>
          <w:lang w:val="en-US"/>
        </w:rPr>
        <w:t xml:space="preserve">the special place in the </w:t>
      </w:r>
      <w:r w:rsidR="00AD47B5" w:rsidRPr="0048148E">
        <w:rPr>
          <w:rFonts w:asciiTheme="majorBidi" w:hAnsiTheme="majorBidi" w:cstheme="majorBidi"/>
          <w:sz w:val="24"/>
          <w:szCs w:val="24"/>
          <w:lang w:val="en-US"/>
        </w:rPr>
        <w:t>Temple</w:t>
      </w:r>
      <w:r w:rsidR="0014153F" w:rsidRPr="0048148E">
        <w:rPr>
          <w:rFonts w:asciiTheme="majorBidi" w:hAnsiTheme="majorBidi" w:cstheme="majorBidi"/>
          <w:sz w:val="24"/>
          <w:szCs w:val="24"/>
          <w:lang w:val="en-US"/>
        </w:rPr>
        <w:t xml:space="preserve"> which was prepared for the Tent of Meeting.</w:t>
      </w:r>
      <w:r w:rsidR="00584BEE" w:rsidRPr="0048148E">
        <w:rPr>
          <w:rFonts w:asciiTheme="majorBidi" w:hAnsiTheme="majorBidi" w:cstheme="majorBidi"/>
          <w:sz w:val="24"/>
          <w:szCs w:val="24"/>
          <w:lang w:val="en-US"/>
        </w:rPr>
        <w:t xml:space="preserve"> Friedman views the notice regarding the Tent of Meeting as an integral part of the ancient story of bringing the</w:t>
      </w:r>
      <w:r w:rsidR="009E31F3">
        <w:rPr>
          <w:rFonts w:asciiTheme="majorBidi" w:hAnsiTheme="majorBidi" w:cstheme="majorBidi"/>
          <w:sz w:val="24"/>
          <w:szCs w:val="24"/>
          <w:lang w:val="en-US"/>
        </w:rPr>
        <w:t xml:space="preserve"> Ark </w:t>
      </w:r>
      <w:r w:rsidR="00584BEE" w:rsidRPr="0048148E">
        <w:rPr>
          <w:rFonts w:asciiTheme="majorBidi" w:hAnsiTheme="majorBidi" w:cstheme="majorBidi"/>
          <w:sz w:val="24"/>
          <w:szCs w:val="24"/>
          <w:lang w:val="en-US"/>
        </w:rPr>
        <w:t xml:space="preserve">to the </w:t>
      </w:r>
      <w:r w:rsidR="00AD47B5" w:rsidRPr="0048148E">
        <w:rPr>
          <w:rFonts w:asciiTheme="majorBidi" w:hAnsiTheme="majorBidi" w:cstheme="majorBidi"/>
          <w:sz w:val="24"/>
          <w:szCs w:val="24"/>
          <w:lang w:val="en-US"/>
        </w:rPr>
        <w:t>Temple</w:t>
      </w:r>
      <w:r w:rsidR="00584BEE" w:rsidRPr="0048148E">
        <w:rPr>
          <w:rFonts w:asciiTheme="majorBidi" w:hAnsiTheme="majorBidi" w:cstheme="majorBidi"/>
          <w:sz w:val="24"/>
          <w:szCs w:val="24"/>
          <w:lang w:val="en-US"/>
        </w:rPr>
        <w:t xml:space="preserve">, and perhaps even a reliable reflection of a memory or some ancient tradition. The other approach is supported by Menachem Haran, who notes that these verses contain a series of </w:t>
      </w:r>
      <w:r w:rsidR="000D575F" w:rsidRPr="0048148E">
        <w:rPr>
          <w:rFonts w:asciiTheme="majorBidi" w:hAnsiTheme="majorBidi" w:cstheme="majorBidi"/>
          <w:sz w:val="24"/>
          <w:szCs w:val="24"/>
          <w:lang w:val="en-US"/>
        </w:rPr>
        <w:t>Priestly</w:t>
      </w:r>
      <w:r w:rsidR="00584BEE" w:rsidRPr="0048148E">
        <w:rPr>
          <w:rFonts w:asciiTheme="majorBidi" w:hAnsiTheme="majorBidi" w:cstheme="majorBidi"/>
          <w:sz w:val="24"/>
          <w:szCs w:val="24"/>
          <w:lang w:val="en-US"/>
        </w:rPr>
        <w:t xml:space="preserve"> texts, but he does not use the Septuagint as evidence for any indication of identifying the </w:t>
      </w:r>
      <w:r w:rsidR="000D575F" w:rsidRPr="0048148E">
        <w:rPr>
          <w:rFonts w:asciiTheme="majorBidi" w:hAnsiTheme="majorBidi" w:cstheme="majorBidi"/>
          <w:sz w:val="24"/>
          <w:szCs w:val="24"/>
          <w:lang w:val="en-US"/>
        </w:rPr>
        <w:t>Priestly</w:t>
      </w:r>
      <w:r w:rsidR="00584BEE" w:rsidRPr="0048148E">
        <w:rPr>
          <w:rFonts w:asciiTheme="majorBidi" w:hAnsiTheme="majorBidi" w:cstheme="majorBidi"/>
          <w:sz w:val="24"/>
          <w:szCs w:val="24"/>
          <w:lang w:val="en-US"/>
        </w:rPr>
        <w:t>-style additions.</w:t>
      </w:r>
      <w:r w:rsidR="00C6375F" w:rsidRPr="0048148E">
        <w:rPr>
          <w:rStyle w:val="FootnoteReference"/>
          <w:rFonts w:asciiTheme="majorBidi" w:hAnsiTheme="majorBidi" w:cstheme="majorBidi"/>
          <w:sz w:val="24"/>
          <w:szCs w:val="24"/>
          <w:lang w:val="en-US"/>
        </w:rPr>
        <w:footnoteReference w:id="22"/>
      </w:r>
    </w:p>
    <w:p w14:paraId="4ABA1747" w14:textId="619189A9" w:rsidR="0026657B" w:rsidRPr="0048148E" w:rsidRDefault="00335B9E" w:rsidP="004C4D4B">
      <w:pPr>
        <w:spacing w:line="360" w:lineRule="auto"/>
        <w:ind w:firstLine="720"/>
        <w:rPr>
          <w:rFonts w:asciiTheme="majorBidi" w:hAnsiTheme="majorBidi" w:cstheme="majorBidi"/>
          <w:sz w:val="24"/>
          <w:szCs w:val="24"/>
          <w:lang w:val="en-US"/>
        </w:rPr>
      </w:pPr>
      <w:r w:rsidRPr="0048148E">
        <w:rPr>
          <w:rFonts w:asciiTheme="majorBidi" w:hAnsiTheme="majorBidi" w:cstheme="majorBidi"/>
          <w:sz w:val="24"/>
          <w:szCs w:val="24"/>
          <w:lang w:val="en-US"/>
        </w:rPr>
        <w:t xml:space="preserve">The forthcoming analysis, using the textual witnesses and a </w:t>
      </w:r>
      <w:r w:rsidR="00691F9C" w:rsidRPr="0048148E">
        <w:rPr>
          <w:rFonts w:asciiTheme="majorBidi" w:hAnsiTheme="majorBidi" w:cstheme="majorBidi"/>
          <w:sz w:val="24"/>
          <w:szCs w:val="24"/>
          <w:lang w:val="en-US"/>
        </w:rPr>
        <w:t>complex</w:t>
      </w:r>
      <w:r w:rsidRPr="0048148E">
        <w:rPr>
          <w:rFonts w:asciiTheme="majorBidi" w:hAnsiTheme="majorBidi" w:cstheme="majorBidi"/>
          <w:sz w:val="24"/>
          <w:szCs w:val="24"/>
          <w:lang w:val="en-US"/>
        </w:rPr>
        <w:t xml:space="preserve"> of literary</w:t>
      </w:r>
      <w:r w:rsidR="00890BDA" w:rsidRPr="0048148E">
        <w:rPr>
          <w:rFonts w:asciiTheme="majorBidi" w:hAnsiTheme="majorBidi" w:cstheme="majorBidi"/>
          <w:sz w:val="24"/>
          <w:szCs w:val="24"/>
          <w:lang w:val="en-US"/>
        </w:rPr>
        <w:t>-</w:t>
      </w:r>
      <w:r w:rsidRPr="0048148E">
        <w:rPr>
          <w:rFonts w:asciiTheme="majorBidi" w:hAnsiTheme="majorBidi" w:cstheme="majorBidi"/>
          <w:sz w:val="24"/>
          <w:szCs w:val="24"/>
          <w:lang w:val="en-US"/>
        </w:rPr>
        <w:t xml:space="preserve">historical considerations, shows that the text in Kings which relates the construction of the </w:t>
      </w:r>
      <w:r w:rsidR="00AD47B5" w:rsidRPr="0048148E">
        <w:rPr>
          <w:rFonts w:asciiTheme="majorBidi" w:hAnsiTheme="majorBidi" w:cstheme="majorBidi"/>
          <w:sz w:val="24"/>
          <w:szCs w:val="24"/>
          <w:lang w:val="en-US"/>
        </w:rPr>
        <w:t>Temple</w:t>
      </w:r>
      <w:r w:rsidRPr="0048148E">
        <w:rPr>
          <w:rFonts w:asciiTheme="majorBidi" w:hAnsiTheme="majorBidi" w:cstheme="majorBidi"/>
          <w:sz w:val="24"/>
          <w:szCs w:val="24"/>
          <w:lang w:val="en-US"/>
        </w:rPr>
        <w:t xml:space="preserve"> </w:t>
      </w:r>
      <w:r w:rsidR="003F362B">
        <w:rPr>
          <w:rFonts w:asciiTheme="majorBidi" w:hAnsiTheme="majorBidi" w:cstheme="majorBidi"/>
          <w:sz w:val="24"/>
          <w:szCs w:val="24"/>
          <w:lang w:val="en-US"/>
        </w:rPr>
        <w:t>inspired</w:t>
      </w:r>
      <w:r w:rsidRPr="0048148E">
        <w:rPr>
          <w:rFonts w:asciiTheme="majorBidi" w:hAnsiTheme="majorBidi" w:cstheme="majorBidi"/>
          <w:sz w:val="24"/>
          <w:szCs w:val="24"/>
          <w:lang w:val="en-US"/>
        </w:rPr>
        <w:t xml:space="preserve"> different authors over different time periods to add slight additions in the </w:t>
      </w:r>
      <w:r w:rsidR="000D575F" w:rsidRPr="0048148E">
        <w:rPr>
          <w:rFonts w:asciiTheme="majorBidi" w:hAnsiTheme="majorBidi" w:cstheme="majorBidi"/>
          <w:sz w:val="24"/>
          <w:szCs w:val="24"/>
          <w:lang w:val="en-US"/>
        </w:rPr>
        <w:t>Priestly</w:t>
      </w:r>
      <w:r w:rsidRPr="0048148E">
        <w:rPr>
          <w:rFonts w:asciiTheme="majorBidi" w:hAnsiTheme="majorBidi" w:cstheme="majorBidi"/>
          <w:sz w:val="24"/>
          <w:szCs w:val="24"/>
          <w:lang w:val="en-US"/>
        </w:rPr>
        <w:t xml:space="preserve"> style, probably over two stages of the textual </w:t>
      </w:r>
      <w:r w:rsidR="00691F9C" w:rsidRPr="0048148E">
        <w:rPr>
          <w:rFonts w:asciiTheme="majorBidi" w:hAnsiTheme="majorBidi" w:cstheme="majorBidi"/>
          <w:sz w:val="24"/>
          <w:szCs w:val="24"/>
          <w:lang w:val="en-US"/>
        </w:rPr>
        <w:t>transmission</w:t>
      </w:r>
      <w:r w:rsidRPr="0048148E">
        <w:rPr>
          <w:rFonts w:asciiTheme="majorBidi" w:hAnsiTheme="majorBidi" w:cstheme="majorBidi"/>
          <w:sz w:val="24"/>
          <w:szCs w:val="24"/>
          <w:lang w:val="en-US"/>
        </w:rPr>
        <w:t xml:space="preserve">. One stage can be examined through the differences in the text of chapter 8. This textual witness teaches of the integration of short </w:t>
      </w:r>
      <w:commentRangeStart w:id="13"/>
      <w:r w:rsidRPr="0048148E">
        <w:rPr>
          <w:rFonts w:asciiTheme="majorBidi" w:hAnsiTheme="majorBidi" w:cstheme="majorBidi"/>
          <w:sz w:val="24"/>
          <w:szCs w:val="24"/>
          <w:lang w:val="en-US"/>
        </w:rPr>
        <w:t xml:space="preserve">additions </w:t>
      </w:r>
      <w:commentRangeEnd w:id="13"/>
      <w:r w:rsidR="00E43EAC">
        <w:rPr>
          <w:rStyle w:val="CommentReference"/>
          <w:rtl/>
        </w:rPr>
        <w:commentReference w:id="13"/>
      </w:r>
      <w:r w:rsidRPr="0048148E">
        <w:rPr>
          <w:rFonts w:asciiTheme="majorBidi" w:hAnsiTheme="majorBidi" w:cstheme="majorBidi"/>
          <w:sz w:val="24"/>
          <w:szCs w:val="24"/>
          <w:lang w:val="en-US"/>
        </w:rPr>
        <w:t xml:space="preserve">in the </w:t>
      </w:r>
      <w:r w:rsidR="000D575F" w:rsidRPr="0048148E">
        <w:rPr>
          <w:rFonts w:asciiTheme="majorBidi" w:hAnsiTheme="majorBidi" w:cstheme="majorBidi"/>
          <w:sz w:val="24"/>
          <w:szCs w:val="24"/>
          <w:lang w:val="en-US"/>
        </w:rPr>
        <w:t>Priestly</w:t>
      </w:r>
      <w:r w:rsidRPr="0048148E">
        <w:rPr>
          <w:rFonts w:asciiTheme="majorBidi" w:hAnsiTheme="majorBidi" w:cstheme="majorBidi"/>
          <w:sz w:val="24"/>
          <w:szCs w:val="24"/>
          <w:lang w:val="en-US"/>
        </w:rPr>
        <w:t xml:space="preserve"> style which entered the text at a later stage, after the separation of the </w:t>
      </w:r>
      <w:r w:rsidR="00890BDA" w:rsidRPr="0048148E">
        <w:rPr>
          <w:rFonts w:asciiTheme="majorBidi" w:hAnsiTheme="majorBidi" w:cstheme="majorBidi"/>
          <w:sz w:val="24"/>
          <w:szCs w:val="24"/>
          <w:lang w:val="en-US"/>
        </w:rPr>
        <w:t xml:space="preserve">pre-Masoretic and pre-LXX texts (section 2.1, below). The additions such as those found in chapter 6 entered at this stage as well. A different, probably earlier stage, which occurred before the separation of the central textual witnesses of Kings, can be examined through a series of literary-historical considerations (section 2.3, below). The text </w:t>
      </w:r>
      <w:r w:rsidR="00E43EAC">
        <w:rPr>
          <w:rFonts w:asciiTheme="majorBidi" w:hAnsiTheme="majorBidi" w:cstheme="majorBidi"/>
          <w:sz w:val="24"/>
          <w:szCs w:val="24"/>
          <w:lang w:val="en-US"/>
        </w:rPr>
        <w:t>that</w:t>
      </w:r>
      <w:r w:rsidR="00890BDA" w:rsidRPr="0048148E">
        <w:rPr>
          <w:rFonts w:asciiTheme="majorBidi" w:hAnsiTheme="majorBidi" w:cstheme="majorBidi"/>
          <w:sz w:val="24"/>
          <w:szCs w:val="24"/>
          <w:lang w:val="en-US"/>
        </w:rPr>
        <w:t xml:space="preserve"> mentions the Tent of Meeting in 1Kgs 8:4, which stands at the center of this discussion, entered at this stage as well. I will present the meaning and intention of the P-like texts in the following survey.</w:t>
      </w:r>
    </w:p>
    <w:p w14:paraId="55A1E233" w14:textId="3E6F9B71" w:rsidR="00890BDA" w:rsidRPr="0048148E" w:rsidRDefault="00890BDA" w:rsidP="0048148E">
      <w:pPr>
        <w:spacing w:line="360" w:lineRule="auto"/>
        <w:rPr>
          <w:rFonts w:asciiTheme="majorBidi" w:hAnsiTheme="majorBidi" w:cstheme="majorBidi"/>
          <w:sz w:val="24"/>
          <w:szCs w:val="24"/>
          <w:lang w:val="en-US"/>
        </w:rPr>
      </w:pPr>
    </w:p>
    <w:p w14:paraId="5AAB08E7" w14:textId="4094126C" w:rsidR="00890BDA" w:rsidRPr="0048148E" w:rsidRDefault="00890BDA" w:rsidP="0048148E">
      <w:pPr>
        <w:spacing w:line="360" w:lineRule="auto"/>
        <w:rPr>
          <w:rFonts w:asciiTheme="majorBidi" w:hAnsiTheme="majorBidi" w:cstheme="majorBidi"/>
          <w:sz w:val="24"/>
          <w:szCs w:val="24"/>
          <w:lang w:val="en-US"/>
        </w:rPr>
      </w:pPr>
      <w:r w:rsidRPr="0048148E">
        <w:rPr>
          <w:rFonts w:asciiTheme="majorBidi" w:hAnsiTheme="majorBidi" w:cstheme="majorBidi"/>
          <w:b/>
          <w:bCs/>
          <w:sz w:val="24"/>
          <w:szCs w:val="24"/>
          <w:lang w:val="en-US"/>
        </w:rPr>
        <w:t>2.1 Late stage of quasi-P additions: LXX and MT 1Kgs 8:1-5</w:t>
      </w:r>
    </w:p>
    <w:p w14:paraId="0B938B5D" w14:textId="7027FE3D" w:rsidR="00890BDA" w:rsidRPr="0048148E" w:rsidRDefault="00E43EAC" w:rsidP="0048148E">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A</w:t>
      </w:r>
      <w:r w:rsidR="00890BDA" w:rsidRPr="0048148E">
        <w:rPr>
          <w:rFonts w:asciiTheme="majorBidi" w:hAnsiTheme="majorBidi" w:cstheme="majorBidi"/>
          <w:sz w:val="24"/>
          <w:szCs w:val="24"/>
          <w:lang w:val="en-US"/>
        </w:rPr>
        <w:t xml:space="preserve"> comparison between these two textual witnesses show</w:t>
      </w:r>
      <w:r w:rsidR="00706ACC">
        <w:rPr>
          <w:rFonts w:asciiTheme="majorBidi" w:hAnsiTheme="majorBidi" w:cstheme="majorBidi"/>
          <w:sz w:val="24"/>
          <w:szCs w:val="24"/>
          <w:lang w:val="en-US"/>
        </w:rPr>
        <w:t>s</w:t>
      </w:r>
      <w:r w:rsidR="00890BDA" w:rsidRPr="0048148E">
        <w:rPr>
          <w:rFonts w:asciiTheme="majorBidi" w:hAnsiTheme="majorBidi" w:cstheme="majorBidi"/>
          <w:sz w:val="24"/>
          <w:szCs w:val="24"/>
          <w:lang w:val="en-US"/>
        </w:rPr>
        <w:t xml:space="preserve"> that the Septuagint preserves a shorter version of this story than the </w:t>
      </w:r>
      <w:r w:rsidR="00F52D6A" w:rsidRPr="0048148E">
        <w:rPr>
          <w:rFonts w:asciiTheme="majorBidi" w:hAnsiTheme="majorBidi" w:cstheme="majorBidi"/>
          <w:sz w:val="24"/>
          <w:szCs w:val="24"/>
          <w:lang w:val="en-US"/>
        </w:rPr>
        <w:t>MT</w:t>
      </w:r>
      <w:r w:rsidR="00890BDA" w:rsidRPr="0048148E">
        <w:rPr>
          <w:rFonts w:asciiTheme="majorBidi" w:hAnsiTheme="majorBidi" w:cstheme="majorBidi"/>
          <w:sz w:val="24"/>
          <w:szCs w:val="24"/>
          <w:lang w:val="en-US"/>
        </w:rPr>
        <w:t xml:space="preserve">, with the exception of the first verse, where the </w:t>
      </w:r>
      <w:r w:rsidR="00890BDA" w:rsidRPr="0048148E">
        <w:rPr>
          <w:rFonts w:asciiTheme="majorBidi" w:hAnsiTheme="majorBidi" w:cstheme="majorBidi"/>
          <w:sz w:val="24"/>
          <w:szCs w:val="24"/>
          <w:lang w:val="en-US"/>
        </w:rPr>
        <w:lastRenderedPageBreak/>
        <w:t>Septuagint includes</w:t>
      </w:r>
      <w:r w:rsidR="00D969E6" w:rsidRPr="0048148E">
        <w:rPr>
          <w:rFonts w:asciiTheme="majorBidi" w:hAnsiTheme="majorBidi" w:cstheme="majorBidi"/>
          <w:sz w:val="24"/>
          <w:szCs w:val="24"/>
          <w:lang w:val="en-US"/>
        </w:rPr>
        <w:t xml:space="preserve"> a </w:t>
      </w:r>
      <w:r>
        <w:rPr>
          <w:rFonts w:asciiTheme="majorBidi" w:hAnsiTheme="majorBidi" w:cstheme="majorBidi"/>
          <w:sz w:val="24"/>
          <w:szCs w:val="24"/>
          <w:lang w:val="en-US"/>
        </w:rPr>
        <w:t>more extensive</w:t>
      </w:r>
      <w:r w:rsidR="00D969E6" w:rsidRPr="0048148E">
        <w:rPr>
          <w:rFonts w:asciiTheme="majorBidi" w:hAnsiTheme="majorBidi" w:cstheme="majorBidi"/>
          <w:sz w:val="24"/>
          <w:szCs w:val="24"/>
          <w:lang w:val="en-US"/>
        </w:rPr>
        <w:t xml:space="preserve"> addition. In the following table the </w:t>
      </w:r>
      <w:commentRangeStart w:id="14"/>
      <w:r w:rsidR="00D969E6" w:rsidRPr="0048148E">
        <w:rPr>
          <w:rFonts w:asciiTheme="majorBidi" w:hAnsiTheme="majorBidi" w:cstheme="majorBidi"/>
          <w:sz w:val="24"/>
          <w:szCs w:val="24"/>
          <w:lang w:val="en-US"/>
        </w:rPr>
        <w:t xml:space="preserve">pluses </w:t>
      </w:r>
      <w:commentRangeEnd w:id="14"/>
      <w:r w:rsidR="004D6854" w:rsidRPr="0048148E">
        <w:rPr>
          <w:rStyle w:val="CommentReference"/>
          <w:rFonts w:asciiTheme="majorBidi" w:hAnsiTheme="majorBidi" w:cstheme="majorBidi"/>
          <w:sz w:val="24"/>
          <w:szCs w:val="24"/>
          <w:rtl/>
        </w:rPr>
        <w:commentReference w:id="14"/>
      </w:r>
      <w:r w:rsidR="00D969E6" w:rsidRPr="0048148E">
        <w:rPr>
          <w:rFonts w:asciiTheme="majorBidi" w:hAnsiTheme="majorBidi" w:cstheme="majorBidi"/>
          <w:sz w:val="24"/>
          <w:szCs w:val="24"/>
          <w:lang w:val="en-US"/>
        </w:rPr>
        <w:t>are indicated in bold, while the minor changes between the two versions appear in italics:</w:t>
      </w:r>
    </w:p>
    <w:p w14:paraId="3CDC1996" w14:textId="65E690EF" w:rsidR="00D969E6" w:rsidRPr="0048148E" w:rsidRDefault="00D969E6" w:rsidP="0048148E">
      <w:pPr>
        <w:spacing w:line="360" w:lineRule="auto"/>
        <w:rPr>
          <w:rFonts w:asciiTheme="majorBidi" w:hAnsiTheme="majorBidi" w:cstheme="majorBidi"/>
          <w:sz w:val="24"/>
          <w:szCs w:val="24"/>
          <w:lang w:val="en-US"/>
        </w:rPr>
      </w:pPr>
      <w:r w:rsidRPr="0048148E">
        <w:rPr>
          <w:rFonts w:asciiTheme="majorBidi" w:hAnsiTheme="majorBidi" w:cstheme="majorBidi"/>
          <w:sz w:val="24"/>
          <w:szCs w:val="24"/>
          <w:highlight w:val="yellow"/>
          <w:lang w:val="en-US"/>
        </w:rPr>
        <w:t>TABLE</w:t>
      </w:r>
    </w:p>
    <w:p w14:paraId="217D9093" w14:textId="22F9CA1F" w:rsidR="00D969E6" w:rsidRPr="00D969E6" w:rsidRDefault="004C4D4B" w:rsidP="0048148E">
      <w:pPr>
        <w:tabs>
          <w:tab w:val="left" w:pos="720"/>
          <w:tab w:val="left" w:pos="1440"/>
        </w:tabs>
        <w:spacing w:after="0" w:line="36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ab/>
      </w:r>
      <w:r w:rsidR="00D969E6" w:rsidRPr="00D969E6">
        <w:rPr>
          <w:rFonts w:asciiTheme="majorBidi" w:eastAsia="Calibri" w:hAnsiTheme="majorBidi" w:cstheme="majorBidi"/>
          <w:sz w:val="24"/>
          <w:szCs w:val="24"/>
          <w:lang w:val="en-US"/>
        </w:rPr>
        <w:t xml:space="preserve">The </w:t>
      </w:r>
      <w:r w:rsidR="00E121BE">
        <w:rPr>
          <w:rFonts w:asciiTheme="majorBidi" w:eastAsia="Calibri" w:hAnsiTheme="majorBidi" w:cstheme="majorBidi"/>
          <w:smallCaps/>
          <w:sz w:val="24"/>
          <w:szCs w:val="24"/>
          <w:lang w:val="en-US"/>
        </w:rPr>
        <w:t>LXX</w:t>
      </w:r>
      <w:r w:rsidR="00D969E6" w:rsidRPr="00D969E6">
        <w:rPr>
          <w:rFonts w:asciiTheme="majorBidi" w:eastAsia="Calibri" w:hAnsiTheme="majorBidi" w:cstheme="majorBidi"/>
          <w:sz w:val="24"/>
          <w:szCs w:val="24"/>
          <w:lang w:val="en-US"/>
        </w:rPr>
        <w:t xml:space="preserve"> contains a long </w:t>
      </w:r>
      <w:r w:rsidR="00654768" w:rsidRPr="0048148E">
        <w:rPr>
          <w:rFonts w:asciiTheme="majorBidi" w:eastAsia="Calibri" w:hAnsiTheme="majorBidi" w:cstheme="majorBidi"/>
          <w:sz w:val="24"/>
          <w:szCs w:val="24"/>
          <w:lang w:val="en-US"/>
        </w:rPr>
        <w:t>plus</w:t>
      </w:r>
      <w:r w:rsidR="00D969E6" w:rsidRPr="00D969E6">
        <w:rPr>
          <w:rFonts w:asciiTheme="majorBidi" w:eastAsia="Calibri" w:hAnsiTheme="majorBidi" w:cstheme="majorBidi"/>
          <w:sz w:val="24"/>
          <w:szCs w:val="24"/>
          <w:lang w:val="en-US"/>
        </w:rPr>
        <w:t xml:space="preserve"> in the first part of verse 1</w:t>
      </w:r>
      <w:r w:rsidR="00654768" w:rsidRPr="0048148E">
        <w:rPr>
          <w:rFonts w:asciiTheme="majorBidi" w:eastAsia="Calibri" w:hAnsiTheme="majorBidi" w:cstheme="majorBidi"/>
          <w:sz w:val="24"/>
          <w:szCs w:val="24"/>
          <w:lang w:val="en-US"/>
        </w:rPr>
        <w:t>, which</w:t>
      </w:r>
      <w:r w:rsidR="00D969E6" w:rsidRPr="00D969E6">
        <w:rPr>
          <w:rFonts w:asciiTheme="majorBidi" w:eastAsia="Calibri" w:hAnsiTheme="majorBidi" w:cstheme="majorBidi"/>
          <w:sz w:val="24"/>
          <w:szCs w:val="24"/>
          <w:lang w:val="en-US"/>
        </w:rPr>
        <w:t xml:space="preserve"> Charles F. Burney </w:t>
      </w:r>
      <w:r w:rsidR="000E46AB" w:rsidRPr="0048148E">
        <w:rPr>
          <w:rFonts w:asciiTheme="majorBidi" w:eastAsia="Calibri" w:hAnsiTheme="majorBidi" w:cstheme="majorBidi"/>
          <w:sz w:val="24"/>
          <w:szCs w:val="24"/>
          <w:lang w:val="en-US"/>
        </w:rPr>
        <w:t>posited to be</w:t>
      </w:r>
      <w:r w:rsidR="00D969E6" w:rsidRPr="00D969E6">
        <w:rPr>
          <w:rFonts w:asciiTheme="majorBidi" w:eastAsia="Calibri" w:hAnsiTheme="majorBidi" w:cstheme="majorBidi"/>
          <w:sz w:val="24"/>
          <w:szCs w:val="24"/>
          <w:lang w:val="en-US"/>
        </w:rPr>
        <w:t xml:space="preserve"> an addition by the Greek translator.</w:t>
      </w:r>
      <w:r w:rsidR="00D969E6" w:rsidRPr="00D969E6">
        <w:rPr>
          <w:rFonts w:asciiTheme="majorBidi" w:eastAsia="Calibri" w:hAnsiTheme="majorBidi" w:cstheme="majorBidi"/>
          <w:sz w:val="24"/>
          <w:szCs w:val="24"/>
          <w:vertAlign w:val="superscript"/>
          <w:lang w:val="en-US"/>
        </w:rPr>
        <w:footnoteReference w:id="23"/>
      </w:r>
      <w:r w:rsidR="00D969E6" w:rsidRPr="00D969E6">
        <w:rPr>
          <w:rFonts w:asciiTheme="majorBidi" w:eastAsia="Calibri" w:hAnsiTheme="majorBidi" w:cstheme="majorBidi"/>
          <w:sz w:val="24"/>
          <w:szCs w:val="24"/>
          <w:lang w:val="en-US"/>
        </w:rPr>
        <w:t xml:space="preserve"> However, the obviously Hebraist character of some expressions in this half-verse points to a Hebrew </w:t>
      </w:r>
      <w:r w:rsidR="00D969E6" w:rsidRPr="00D969E6">
        <w:rPr>
          <w:rFonts w:asciiTheme="majorBidi" w:eastAsia="Calibri" w:hAnsiTheme="majorBidi" w:cstheme="majorBidi"/>
          <w:i/>
          <w:iCs/>
          <w:sz w:val="24"/>
          <w:szCs w:val="24"/>
          <w:lang w:val="en-US"/>
        </w:rPr>
        <w:t>Vorlage</w:t>
      </w:r>
      <w:r w:rsidR="00D969E6" w:rsidRPr="00D969E6">
        <w:rPr>
          <w:rFonts w:asciiTheme="majorBidi" w:eastAsia="Calibri" w:hAnsiTheme="majorBidi" w:cstheme="majorBidi"/>
          <w:sz w:val="24"/>
          <w:szCs w:val="24"/>
          <w:lang w:val="en-US"/>
        </w:rPr>
        <w:t>.</w:t>
      </w:r>
      <w:r w:rsidR="00D969E6" w:rsidRPr="00D969E6">
        <w:rPr>
          <w:rFonts w:asciiTheme="majorBidi" w:eastAsia="Calibri" w:hAnsiTheme="majorBidi" w:cstheme="majorBidi"/>
          <w:sz w:val="24"/>
          <w:szCs w:val="24"/>
          <w:vertAlign w:val="superscript"/>
          <w:lang w:val="en-US"/>
        </w:rPr>
        <w:footnoteReference w:id="24"/>
      </w:r>
      <w:r w:rsidR="00D969E6" w:rsidRPr="00D969E6">
        <w:rPr>
          <w:rFonts w:asciiTheme="majorBidi" w:eastAsia="Calibri" w:hAnsiTheme="majorBidi" w:cstheme="majorBidi"/>
          <w:sz w:val="24"/>
          <w:szCs w:val="24"/>
          <w:lang w:val="en-US"/>
        </w:rPr>
        <w:t xml:space="preserve"> This half-verse may also reflect a better reading omitted by a later scribe </w:t>
      </w:r>
      <w:r w:rsidR="000E46AB" w:rsidRPr="0048148E">
        <w:rPr>
          <w:rFonts w:asciiTheme="majorBidi" w:eastAsia="Calibri" w:hAnsiTheme="majorBidi" w:cstheme="majorBidi"/>
          <w:sz w:val="24"/>
          <w:szCs w:val="24"/>
          <w:lang w:val="en-US"/>
        </w:rPr>
        <w:t xml:space="preserve">who was </w:t>
      </w:r>
      <w:r w:rsidR="00D969E6" w:rsidRPr="00D969E6">
        <w:rPr>
          <w:rFonts w:asciiTheme="majorBidi" w:eastAsia="Calibri" w:hAnsiTheme="majorBidi" w:cstheme="majorBidi"/>
          <w:sz w:val="24"/>
          <w:szCs w:val="24"/>
          <w:lang w:val="en-US"/>
        </w:rPr>
        <w:t>uncomfortable with the idea that Solomon brought the</w:t>
      </w:r>
      <w:r w:rsidR="009E31F3">
        <w:rPr>
          <w:rFonts w:asciiTheme="majorBidi" w:eastAsia="Calibri" w:hAnsiTheme="majorBidi" w:cstheme="majorBidi"/>
          <w:sz w:val="24"/>
          <w:szCs w:val="24"/>
          <w:lang w:val="en-US"/>
        </w:rPr>
        <w:t xml:space="preserve"> Ark </w:t>
      </w:r>
      <w:r w:rsidR="00D969E6" w:rsidRPr="00D969E6">
        <w:rPr>
          <w:rFonts w:asciiTheme="majorBidi" w:eastAsia="Calibri" w:hAnsiTheme="majorBidi" w:cstheme="majorBidi"/>
          <w:sz w:val="24"/>
          <w:szCs w:val="24"/>
          <w:lang w:val="en-US"/>
        </w:rPr>
        <w:t xml:space="preserve">into the </w:t>
      </w:r>
      <w:r w:rsidR="00AD47B5" w:rsidRPr="0048148E">
        <w:rPr>
          <w:rFonts w:asciiTheme="majorBidi" w:eastAsia="Calibri" w:hAnsiTheme="majorBidi" w:cstheme="majorBidi"/>
          <w:sz w:val="24"/>
          <w:szCs w:val="24"/>
          <w:lang w:val="en-US"/>
        </w:rPr>
        <w:t>Temple</w:t>
      </w:r>
      <w:r w:rsidR="00D969E6" w:rsidRPr="00D969E6">
        <w:rPr>
          <w:rFonts w:asciiTheme="majorBidi" w:eastAsia="Calibri" w:hAnsiTheme="majorBidi" w:cstheme="majorBidi"/>
          <w:sz w:val="24"/>
          <w:szCs w:val="24"/>
          <w:lang w:val="en-US"/>
        </w:rPr>
        <w:t xml:space="preserve"> </w:t>
      </w:r>
      <w:r w:rsidR="000E46AB" w:rsidRPr="00D969E6">
        <w:rPr>
          <w:rFonts w:asciiTheme="majorBidi" w:eastAsia="Calibri" w:hAnsiTheme="majorBidi" w:cstheme="majorBidi"/>
          <w:sz w:val="24"/>
          <w:szCs w:val="24"/>
          <w:lang w:val="en-US"/>
        </w:rPr>
        <w:t xml:space="preserve">only </w:t>
      </w:r>
      <w:r w:rsidR="00D969E6" w:rsidRPr="00D969E6">
        <w:rPr>
          <w:rFonts w:asciiTheme="majorBidi" w:eastAsia="Calibri" w:hAnsiTheme="majorBidi" w:cstheme="majorBidi"/>
          <w:sz w:val="24"/>
          <w:szCs w:val="24"/>
          <w:lang w:val="en-US"/>
        </w:rPr>
        <w:t xml:space="preserve">after he had finished building his </w:t>
      </w:r>
      <w:r w:rsidR="000E46AB" w:rsidRPr="0048148E">
        <w:rPr>
          <w:rFonts w:asciiTheme="majorBidi" w:eastAsia="Calibri" w:hAnsiTheme="majorBidi" w:cstheme="majorBidi"/>
          <w:sz w:val="24"/>
          <w:szCs w:val="24"/>
          <w:lang w:val="en-US"/>
        </w:rPr>
        <w:t>palace</w:t>
      </w:r>
      <w:r w:rsidR="00D969E6" w:rsidRPr="00D969E6">
        <w:rPr>
          <w:rFonts w:asciiTheme="majorBidi" w:eastAsia="Calibri" w:hAnsiTheme="majorBidi" w:cstheme="majorBidi"/>
          <w:sz w:val="24"/>
          <w:szCs w:val="24"/>
          <w:lang w:val="en-US"/>
        </w:rPr>
        <w:t xml:space="preserve">, thirteen years after he completed the </w:t>
      </w:r>
      <w:r w:rsidR="00AD47B5" w:rsidRPr="0048148E">
        <w:rPr>
          <w:rFonts w:asciiTheme="majorBidi" w:eastAsia="Calibri" w:hAnsiTheme="majorBidi" w:cstheme="majorBidi"/>
          <w:sz w:val="24"/>
          <w:szCs w:val="24"/>
          <w:lang w:val="en-US"/>
        </w:rPr>
        <w:t>Temple</w:t>
      </w:r>
      <w:r w:rsidR="00D969E6" w:rsidRPr="00D969E6">
        <w:rPr>
          <w:rFonts w:asciiTheme="majorBidi" w:eastAsia="Calibri" w:hAnsiTheme="majorBidi" w:cstheme="majorBidi"/>
          <w:sz w:val="24"/>
          <w:szCs w:val="24"/>
          <w:lang w:val="en-US"/>
        </w:rPr>
        <w:t xml:space="preserve"> (twenty years in total). The </w:t>
      </w:r>
      <w:r w:rsidR="00982A97">
        <w:rPr>
          <w:rFonts w:asciiTheme="majorBidi" w:eastAsia="Calibri" w:hAnsiTheme="majorBidi" w:cstheme="majorBidi"/>
          <w:smallCaps/>
          <w:sz w:val="24"/>
          <w:szCs w:val="24"/>
          <w:lang w:val="en-US"/>
        </w:rPr>
        <w:t>MT</w:t>
      </w:r>
      <w:r w:rsidR="00D969E6" w:rsidRPr="00D969E6">
        <w:rPr>
          <w:rFonts w:asciiTheme="majorBidi" w:eastAsia="Calibri" w:hAnsiTheme="majorBidi" w:cstheme="majorBidi"/>
          <w:sz w:val="24"/>
          <w:szCs w:val="24"/>
          <w:lang w:val="en-US"/>
        </w:rPr>
        <w:t xml:space="preserve"> in chapter 8 gives the impression that the</w:t>
      </w:r>
      <w:r w:rsidR="009E31F3">
        <w:rPr>
          <w:rFonts w:asciiTheme="majorBidi" w:eastAsia="Calibri" w:hAnsiTheme="majorBidi" w:cstheme="majorBidi"/>
          <w:sz w:val="24"/>
          <w:szCs w:val="24"/>
          <w:lang w:val="en-US"/>
        </w:rPr>
        <w:t xml:space="preserve"> Ark </w:t>
      </w:r>
      <w:r w:rsidR="00D969E6" w:rsidRPr="00D969E6">
        <w:rPr>
          <w:rFonts w:asciiTheme="majorBidi" w:eastAsia="Calibri" w:hAnsiTheme="majorBidi" w:cstheme="majorBidi"/>
          <w:sz w:val="24"/>
          <w:szCs w:val="24"/>
          <w:lang w:val="en-US"/>
        </w:rPr>
        <w:t xml:space="preserve">was brought into the </w:t>
      </w:r>
      <w:r w:rsidR="00AD47B5" w:rsidRPr="0048148E">
        <w:rPr>
          <w:rFonts w:asciiTheme="majorBidi" w:eastAsia="Calibri" w:hAnsiTheme="majorBidi" w:cstheme="majorBidi"/>
          <w:sz w:val="24"/>
          <w:szCs w:val="24"/>
          <w:lang w:val="en-US"/>
        </w:rPr>
        <w:t>Temple</w:t>
      </w:r>
      <w:r w:rsidR="00D969E6" w:rsidRPr="00D969E6">
        <w:rPr>
          <w:rFonts w:asciiTheme="majorBidi" w:eastAsia="Calibri" w:hAnsiTheme="majorBidi" w:cstheme="majorBidi"/>
          <w:sz w:val="24"/>
          <w:szCs w:val="24"/>
          <w:lang w:val="en-US"/>
        </w:rPr>
        <w:t xml:space="preserve"> immediately </w:t>
      </w:r>
      <w:r w:rsidR="00F52D6A" w:rsidRPr="0048148E">
        <w:rPr>
          <w:rFonts w:asciiTheme="majorBidi" w:eastAsia="Calibri" w:hAnsiTheme="majorBidi" w:cstheme="majorBidi"/>
          <w:sz w:val="24"/>
          <w:szCs w:val="24"/>
          <w:lang w:val="en-US"/>
        </w:rPr>
        <w:t>after its completion</w:t>
      </w:r>
      <w:r w:rsidR="00D969E6" w:rsidRPr="00D969E6">
        <w:rPr>
          <w:rFonts w:asciiTheme="majorBidi" w:eastAsia="Calibri" w:hAnsiTheme="majorBidi" w:cstheme="majorBidi"/>
          <w:sz w:val="24"/>
          <w:szCs w:val="24"/>
          <w:lang w:val="en-US"/>
        </w:rPr>
        <w:t xml:space="preserve"> (1Kgs 7:51), although reading 1Kgs 7:1–12 in its current position may support the </w:t>
      </w:r>
      <w:r w:rsidR="00E121BE">
        <w:rPr>
          <w:rFonts w:asciiTheme="majorBidi" w:eastAsia="Calibri" w:hAnsiTheme="majorBidi" w:cstheme="majorBidi"/>
          <w:smallCaps/>
          <w:sz w:val="24"/>
          <w:szCs w:val="24"/>
          <w:lang w:val="en-US"/>
        </w:rPr>
        <w:t>LXX</w:t>
      </w:r>
      <w:r w:rsidR="00D969E6" w:rsidRPr="00D969E6">
        <w:rPr>
          <w:rFonts w:asciiTheme="majorBidi" w:eastAsia="Calibri" w:hAnsiTheme="majorBidi" w:cstheme="majorBidi"/>
          <w:sz w:val="24"/>
          <w:szCs w:val="24"/>
          <w:lang w:val="en-US"/>
        </w:rPr>
        <w:t xml:space="preserve"> chronology. </w:t>
      </w:r>
      <w:r w:rsidR="00F52D6A" w:rsidRPr="0048148E">
        <w:rPr>
          <w:rFonts w:asciiTheme="majorBidi" w:eastAsia="Calibri" w:hAnsiTheme="majorBidi" w:cstheme="majorBidi"/>
          <w:sz w:val="24"/>
          <w:szCs w:val="24"/>
          <w:lang w:val="en-US"/>
        </w:rPr>
        <w:t xml:space="preserve">Further on in the story, the MT includes a broader text, where here too it seems that the MT reflects a later stage in the text’s development. </w:t>
      </w:r>
      <w:r w:rsidR="00D969E6" w:rsidRPr="00D969E6">
        <w:rPr>
          <w:rFonts w:asciiTheme="majorBidi" w:eastAsia="Calibri" w:hAnsiTheme="majorBidi" w:cstheme="majorBidi"/>
          <w:sz w:val="24"/>
          <w:szCs w:val="24"/>
          <w:lang w:val="en-US"/>
        </w:rPr>
        <w:t xml:space="preserve">If we remove the marked expansions from the </w:t>
      </w:r>
      <w:r w:rsidR="00982A97">
        <w:rPr>
          <w:rFonts w:asciiTheme="majorBidi" w:eastAsia="Calibri" w:hAnsiTheme="majorBidi" w:cstheme="majorBidi"/>
          <w:smallCaps/>
          <w:sz w:val="24"/>
          <w:szCs w:val="24"/>
          <w:lang w:val="en-US"/>
        </w:rPr>
        <w:t>MT</w:t>
      </w:r>
      <w:r w:rsidR="00D969E6" w:rsidRPr="00D969E6">
        <w:rPr>
          <w:rFonts w:asciiTheme="majorBidi" w:eastAsia="Calibri" w:hAnsiTheme="majorBidi" w:cstheme="majorBidi"/>
          <w:sz w:val="24"/>
          <w:szCs w:val="24"/>
          <w:lang w:val="en-US"/>
        </w:rPr>
        <w:t xml:space="preserve">, we are left with a logical and natural sequence that appears to preserve the relatively ancient </w:t>
      </w:r>
      <w:r w:rsidR="00864130" w:rsidRPr="0048148E">
        <w:rPr>
          <w:rFonts w:asciiTheme="majorBidi" w:eastAsia="Calibri" w:hAnsiTheme="majorBidi" w:cstheme="majorBidi"/>
          <w:sz w:val="24"/>
          <w:szCs w:val="24"/>
          <w:lang w:val="en-US"/>
        </w:rPr>
        <w:t>account</w:t>
      </w:r>
      <w:r w:rsidR="00D969E6" w:rsidRPr="00D969E6">
        <w:rPr>
          <w:rFonts w:asciiTheme="majorBidi" w:eastAsia="Calibri" w:hAnsiTheme="majorBidi" w:cstheme="majorBidi"/>
          <w:sz w:val="24"/>
          <w:szCs w:val="24"/>
          <w:lang w:val="en-US"/>
        </w:rPr>
        <w:t xml:space="preserve"> of bringing the</w:t>
      </w:r>
      <w:r w:rsidR="009E31F3">
        <w:rPr>
          <w:rFonts w:asciiTheme="majorBidi" w:eastAsia="Calibri" w:hAnsiTheme="majorBidi" w:cstheme="majorBidi"/>
          <w:sz w:val="24"/>
          <w:szCs w:val="24"/>
          <w:lang w:val="en-US"/>
        </w:rPr>
        <w:t xml:space="preserve"> Ark </w:t>
      </w:r>
      <w:r w:rsidR="00D969E6" w:rsidRPr="00D969E6">
        <w:rPr>
          <w:rFonts w:asciiTheme="majorBidi" w:eastAsia="Calibri" w:hAnsiTheme="majorBidi" w:cstheme="majorBidi"/>
          <w:sz w:val="24"/>
          <w:szCs w:val="24"/>
          <w:lang w:val="en-US"/>
        </w:rPr>
        <w:t xml:space="preserve">from the City of David to Solomon’s </w:t>
      </w:r>
      <w:r w:rsidR="00AD47B5" w:rsidRPr="0048148E">
        <w:rPr>
          <w:rFonts w:asciiTheme="majorBidi" w:eastAsia="Calibri" w:hAnsiTheme="majorBidi" w:cstheme="majorBidi"/>
          <w:sz w:val="24"/>
          <w:szCs w:val="24"/>
          <w:lang w:val="en-US"/>
        </w:rPr>
        <w:t>Temple</w:t>
      </w:r>
      <w:r w:rsidR="00D969E6" w:rsidRPr="00D969E6">
        <w:rPr>
          <w:rFonts w:asciiTheme="majorBidi" w:eastAsia="Calibri" w:hAnsiTheme="majorBidi" w:cstheme="majorBidi"/>
          <w:sz w:val="24"/>
          <w:szCs w:val="24"/>
          <w:lang w:val="en-US"/>
        </w:rPr>
        <w:t xml:space="preserve"> in the month of </w:t>
      </w:r>
      <w:proofErr w:type="spellStart"/>
      <w:r w:rsidR="00D969E6" w:rsidRPr="00D969E6">
        <w:rPr>
          <w:rFonts w:asciiTheme="majorBidi" w:eastAsia="Calibri" w:hAnsiTheme="majorBidi" w:cstheme="majorBidi"/>
          <w:sz w:val="24"/>
          <w:szCs w:val="24"/>
          <w:lang w:val="en-US"/>
        </w:rPr>
        <w:t>Ethanim</w:t>
      </w:r>
      <w:proofErr w:type="spellEnd"/>
      <w:r w:rsidR="00D969E6" w:rsidRPr="00D969E6">
        <w:rPr>
          <w:rFonts w:asciiTheme="majorBidi" w:eastAsia="Calibri" w:hAnsiTheme="majorBidi" w:cstheme="majorBidi"/>
          <w:sz w:val="24"/>
          <w:szCs w:val="24"/>
          <w:lang w:val="en-US"/>
        </w:rPr>
        <w:t xml:space="preserve">. As in MT 1Sam 2:22, the additional stratum </w:t>
      </w:r>
      <w:commentRangeStart w:id="15"/>
      <w:r w:rsidR="00D969E6" w:rsidRPr="00D969E6">
        <w:rPr>
          <w:rFonts w:asciiTheme="majorBidi" w:eastAsia="Calibri" w:hAnsiTheme="majorBidi" w:cstheme="majorBidi"/>
          <w:sz w:val="24"/>
          <w:szCs w:val="24"/>
          <w:lang w:val="en-US"/>
        </w:rPr>
        <w:t xml:space="preserve">in the </w:t>
      </w:r>
      <w:r w:rsidR="00982A97">
        <w:rPr>
          <w:rFonts w:asciiTheme="majorBidi" w:eastAsia="Calibri" w:hAnsiTheme="majorBidi" w:cstheme="majorBidi"/>
          <w:smallCaps/>
          <w:sz w:val="24"/>
          <w:szCs w:val="24"/>
          <w:lang w:val="en-US"/>
        </w:rPr>
        <w:t>MT</w:t>
      </w:r>
      <w:r w:rsidR="00D969E6" w:rsidRPr="00D969E6">
        <w:rPr>
          <w:rFonts w:asciiTheme="majorBidi" w:eastAsia="Calibri" w:hAnsiTheme="majorBidi" w:cstheme="majorBidi"/>
          <w:sz w:val="24"/>
          <w:szCs w:val="24"/>
          <w:lang w:val="en-US"/>
        </w:rPr>
        <w:t xml:space="preserve"> </w:t>
      </w:r>
      <w:commentRangeEnd w:id="15"/>
      <w:r w:rsidR="009E31F3">
        <w:rPr>
          <w:rStyle w:val="CommentReference"/>
        </w:rPr>
        <w:commentReference w:id="15"/>
      </w:r>
      <w:r w:rsidR="00D969E6" w:rsidRPr="00D969E6">
        <w:rPr>
          <w:rFonts w:asciiTheme="majorBidi" w:eastAsia="Calibri" w:hAnsiTheme="majorBidi" w:cstheme="majorBidi"/>
          <w:sz w:val="24"/>
          <w:szCs w:val="24"/>
          <w:lang w:val="en-US"/>
        </w:rPr>
        <w:t xml:space="preserve">contains linguistic elements characteristic of the </w:t>
      </w:r>
      <w:r w:rsidR="000D575F" w:rsidRPr="0048148E">
        <w:rPr>
          <w:rFonts w:asciiTheme="majorBidi" w:eastAsia="Calibri" w:hAnsiTheme="majorBidi" w:cstheme="majorBidi"/>
          <w:sz w:val="24"/>
          <w:szCs w:val="24"/>
          <w:lang w:val="en-US"/>
        </w:rPr>
        <w:t>Priestly</w:t>
      </w:r>
      <w:r w:rsidR="00D969E6" w:rsidRPr="00D969E6">
        <w:rPr>
          <w:rFonts w:asciiTheme="majorBidi" w:eastAsia="Calibri" w:hAnsiTheme="majorBidi" w:cstheme="majorBidi"/>
          <w:sz w:val="24"/>
          <w:szCs w:val="24"/>
          <w:lang w:val="en-US"/>
        </w:rPr>
        <w:t xml:space="preserve"> strata of the </w:t>
      </w:r>
      <w:r w:rsidR="009E31F3">
        <w:rPr>
          <w:rFonts w:asciiTheme="majorBidi" w:eastAsia="Calibri" w:hAnsiTheme="majorBidi" w:cstheme="majorBidi"/>
          <w:sz w:val="24"/>
          <w:szCs w:val="24"/>
          <w:lang w:val="en-US"/>
        </w:rPr>
        <w:t>Pentateuch</w:t>
      </w:r>
      <w:r w:rsidR="00D969E6" w:rsidRPr="00D969E6">
        <w:rPr>
          <w:rFonts w:asciiTheme="majorBidi" w:eastAsia="Calibri" w:hAnsiTheme="majorBidi" w:cstheme="majorBidi"/>
          <w:sz w:val="24"/>
          <w:szCs w:val="24"/>
          <w:lang w:val="en-US"/>
        </w:rPr>
        <w:t>. In a previous study</w:t>
      </w:r>
      <w:r w:rsidR="00E121BE">
        <w:rPr>
          <w:rFonts w:asciiTheme="majorBidi" w:eastAsia="Calibri" w:hAnsiTheme="majorBidi" w:cstheme="majorBidi"/>
          <w:sz w:val="24"/>
          <w:szCs w:val="24"/>
          <w:lang w:val="en-US"/>
        </w:rPr>
        <w:t>,</w:t>
      </w:r>
      <w:r w:rsidR="00D969E6" w:rsidRPr="00D969E6">
        <w:rPr>
          <w:rFonts w:asciiTheme="majorBidi" w:eastAsia="Calibri" w:hAnsiTheme="majorBidi" w:cstheme="majorBidi"/>
          <w:sz w:val="24"/>
          <w:szCs w:val="24"/>
          <w:lang w:val="en-US"/>
        </w:rPr>
        <w:t xml:space="preserve"> I called these elements “quasi-</w:t>
      </w:r>
      <w:r w:rsidR="000D575F" w:rsidRPr="0048148E">
        <w:rPr>
          <w:rFonts w:asciiTheme="majorBidi" w:eastAsia="Calibri" w:hAnsiTheme="majorBidi" w:cstheme="majorBidi"/>
          <w:sz w:val="24"/>
          <w:szCs w:val="24"/>
          <w:lang w:val="en-US"/>
        </w:rPr>
        <w:t>Priestly</w:t>
      </w:r>
      <w:r w:rsidR="00D969E6" w:rsidRPr="00D969E6">
        <w:rPr>
          <w:rFonts w:asciiTheme="majorBidi" w:eastAsia="Calibri" w:hAnsiTheme="majorBidi" w:cstheme="majorBidi"/>
          <w:sz w:val="24"/>
          <w:szCs w:val="24"/>
          <w:lang w:val="en-US"/>
        </w:rPr>
        <w:t xml:space="preserve">” additions, as they imitate the style of the legal </w:t>
      </w:r>
      <w:r w:rsidR="009E31F3">
        <w:rPr>
          <w:rFonts w:asciiTheme="majorBidi" w:eastAsia="Calibri" w:hAnsiTheme="majorBidi" w:cstheme="majorBidi"/>
          <w:sz w:val="24"/>
          <w:szCs w:val="24"/>
          <w:lang w:val="en-US"/>
        </w:rPr>
        <w:t>sections</w:t>
      </w:r>
      <w:r w:rsidR="00D969E6" w:rsidRPr="00D969E6">
        <w:rPr>
          <w:rFonts w:asciiTheme="majorBidi" w:eastAsia="Calibri" w:hAnsiTheme="majorBidi" w:cstheme="majorBidi"/>
          <w:sz w:val="24"/>
          <w:szCs w:val="24"/>
          <w:lang w:val="en-US"/>
        </w:rPr>
        <w:t xml:space="preserve"> of the Torah (of which P constitutes a major component), but </w:t>
      </w:r>
      <w:r w:rsidR="00864130" w:rsidRPr="0048148E">
        <w:rPr>
          <w:rFonts w:asciiTheme="majorBidi" w:eastAsia="Calibri" w:hAnsiTheme="majorBidi" w:cstheme="majorBidi"/>
          <w:sz w:val="24"/>
          <w:szCs w:val="24"/>
          <w:lang w:val="en-US"/>
        </w:rPr>
        <w:t xml:space="preserve">they </w:t>
      </w:r>
      <w:r w:rsidR="00D969E6" w:rsidRPr="00D969E6">
        <w:rPr>
          <w:rFonts w:asciiTheme="majorBidi" w:eastAsia="Calibri" w:hAnsiTheme="majorBidi" w:cstheme="majorBidi"/>
          <w:sz w:val="24"/>
          <w:szCs w:val="24"/>
          <w:lang w:val="en-US"/>
        </w:rPr>
        <w:t xml:space="preserve">do not constitute part of the </w:t>
      </w:r>
      <w:r w:rsidR="009E31F3">
        <w:rPr>
          <w:rFonts w:asciiTheme="majorBidi" w:eastAsia="Calibri" w:hAnsiTheme="majorBidi" w:cstheme="majorBidi"/>
          <w:sz w:val="24"/>
          <w:szCs w:val="24"/>
          <w:lang w:val="en-US"/>
        </w:rPr>
        <w:t>Pentateuch</w:t>
      </w:r>
      <w:r w:rsidR="00D969E6" w:rsidRPr="00D969E6">
        <w:rPr>
          <w:rFonts w:asciiTheme="majorBidi" w:eastAsia="Calibri" w:hAnsiTheme="majorBidi" w:cstheme="majorBidi"/>
          <w:sz w:val="24"/>
          <w:szCs w:val="24"/>
          <w:lang w:val="en-US"/>
        </w:rPr>
        <w:t xml:space="preserve">al P story. In MT v. 1, the words </w:t>
      </w:r>
      <w:r w:rsidR="00D969E6" w:rsidRPr="00D969E6">
        <w:rPr>
          <w:rFonts w:asciiTheme="majorBidi" w:eastAsia="Calibri" w:hAnsiTheme="majorBidi" w:cstheme="majorBidi"/>
          <w:sz w:val="24"/>
          <w:szCs w:val="24"/>
          <w:rtl/>
          <w:lang w:val="en-US"/>
        </w:rPr>
        <w:t>את כל ראשי המטות נשיאי האבות</w:t>
      </w:r>
      <w:r w:rsidR="00D969E6" w:rsidRPr="00D969E6">
        <w:rPr>
          <w:rFonts w:asciiTheme="majorBidi" w:eastAsia="Calibri" w:hAnsiTheme="majorBidi" w:cstheme="majorBidi"/>
          <w:sz w:val="24"/>
          <w:szCs w:val="24"/>
          <w:lang w:val="en-US"/>
        </w:rPr>
        <w:t xml:space="preserve"> (“and all the heads of the tribes, the leaders of the ancestral houses of the Israelites”) were added to describe the audience.</w:t>
      </w:r>
      <w:r w:rsidR="00D969E6" w:rsidRPr="00D969E6">
        <w:rPr>
          <w:rFonts w:asciiTheme="majorBidi" w:eastAsia="Calibri" w:hAnsiTheme="majorBidi" w:cstheme="majorBidi"/>
          <w:sz w:val="24"/>
          <w:szCs w:val="24"/>
          <w:vertAlign w:val="superscript"/>
          <w:lang w:val="en-US"/>
        </w:rPr>
        <w:footnoteReference w:id="25"/>
      </w:r>
      <w:r w:rsidR="00D969E6" w:rsidRPr="00D969E6">
        <w:rPr>
          <w:rFonts w:asciiTheme="majorBidi" w:eastAsia="Calibri" w:hAnsiTheme="majorBidi" w:cstheme="majorBidi"/>
          <w:sz w:val="24"/>
          <w:szCs w:val="24"/>
          <w:lang w:val="en-US"/>
        </w:rPr>
        <w:t xml:space="preserve"> The terms </w:t>
      </w:r>
      <w:r w:rsidR="00D969E6" w:rsidRPr="00D969E6">
        <w:rPr>
          <w:rFonts w:asciiTheme="majorBidi" w:eastAsia="Calibri" w:hAnsiTheme="majorBidi" w:cstheme="majorBidi"/>
          <w:sz w:val="24"/>
          <w:szCs w:val="24"/>
          <w:rtl/>
          <w:lang w:val="en-US"/>
        </w:rPr>
        <w:t>מטות</w:t>
      </w:r>
      <w:r w:rsidR="00D969E6" w:rsidRPr="00D969E6">
        <w:rPr>
          <w:rFonts w:asciiTheme="majorBidi" w:eastAsia="Calibri" w:hAnsiTheme="majorBidi" w:cstheme="majorBidi"/>
          <w:sz w:val="24"/>
          <w:szCs w:val="24"/>
          <w:lang w:val="en-US"/>
        </w:rPr>
        <w:t xml:space="preserve"> (“tribes”), </w:t>
      </w:r>
      <w:r w:rsidR="00D969E6" w:rsidRPr="00D969E6">
        <w:rPr>
          <w:rFonts w:asciiTheme="majorBidi" w:eastAsia="Calibri" w:hAnsiTheme="majorBidi" w:cstheme="majorBidi"/>
          <w:sz w:val="24"/>
          <w:szCs w:val="24"/>
          <w:rtl/>
          <w:lang w:val="en-US"/>
        </w:rPr>
        <w:t>ראשי מטות</w:t>
      </w:r>
      <w:r w:rsidR="00D969E6" w:rsidRPr="00D969E6">
        <w:rPr>
          <w:rFonts w:asciiTheme="majorBidi" w:eastAsia="Calibri" w:hAnsiTheme="majorBidi" w:cstheme="majorBidi"/>
          <w:sz w:val="24"/>
          <w:szCs w:val="24"/>
          <w:lang w:val="en-US"/>
        </w:rPr>
        <w:t xml:space="preserve"> (“heads of the tribes”),</w:t>
      </w:r>
      <w:r w:rsidR="00864130" w:rsidRPr="0048148E">
        <w:rPr>
          <w:rFonts w:asciiTheme="majorBidi" w:eastAsia="Calibri" w:hAnsiTheme="majorBidi" w:cstheme="majorBidi"/>
          <w:sz w:val="24"/>
          <w:szCs w:val="24"/>
          <w:lang w:val="en-US"/>
        </w:rPr>
        <w:t xml:space="preserve"> and</w:t>
      </w:r>
      <w:r w:rsidR="00D969E6" w:rsidRPr="00D969E6">
        <w:rPr>
          <w:rFonts w:asciiTheme="majorBidi" w:eastAsia="Calibri" w:hAnsiTheme="majorBidi" w:cstheme="majorBidi"/>
          <w:sz w:val="24"/>
          <w:szCs w:val="24"/>
          <w:rtl/>
          <w:lang w:val="en-US"/>
        </w:rPr>
        <w:t xml:space="preserve"> נשיא </w:t>
      </w:r>
      <w:r w:rsidR="00D969E6" w:rsidRPr="00D969E6">
        <w:rPr>
          <w:rFonts w:asciiTheme="majorBidi" w:eastAsia="Calibri" w:hAnsiTheme="majorBidi" w:cstheme="majorBidi"/>
          <w:sz w:val="24"/>
          <w:szCs w:val="24"/>
          <w:lang w:val="en-US"/>
        </w:rPr>
        <w:t>(“leader, prince”) are all typical of P but rare in other biblical texts.</w:t>
      </w:r>
    </w:p>
    <w:p w14:paraId="6920179D" w14:textId="63CBCFA4" w:rsidR="00D969E6" w:rsidRPr="00D969E6" w:rsidRDefault="004C4D4B" w:rsidP="004C4D4B">
      <w:pPr>
        <w:tabs>
          <w:tab w:val="left" w:pos="720"/>
          <w:tab w:val="left" w:pos="1440"/>
        </w:tabs>
        <w:spacing w:after="0" w:line="36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ab/>
      </w:r>
      <w:r w:rsidR="00D969E6" w:rsidRPr="00D969E6">
        <w:rPr>
          <w:rFonts w:asciiTheme="majorBidi" w:eastAsia="Calibri" w:hAnsiTheme="majorBidi" w:cstheme="majorBidi"/>
          <w:sz w:val="24"/>
          <w:szCs w:val="24"/>
          <w:lang w:val="en-US"/>
        </w:rPr>
        <w:t xml:space="preserve">The second verse originally only included the ancient local name of the month </w:t>
      </w:r>
      <w:proofErr w:type="spellStart"/>
      <w:r w:rsidR="00D969E6" w:rsidRPr="00D969E6">
        <w:rPr>
          <w:rFonts w:asciiTheme="majorBidi" w:eastAsia="Calibri" w:hAnsiTheme="majorBidi" w:cstheme="majorBidi"/>
          <w:sz w:val="24"/>
          <w:szCs w:val="24"/>
          <w:lang w:val="en-US"/>
        </w:rPr>
        <w:t>Ethanim</w:t>
      </w:r>
      <w:proofErr w:type="spellEnd"/>
      <w:r w:rsidR="00D969E6" w:rsidRPr="00D969E6">
        <w:rPr>
          <w:rFonts w:asciiTheme="majorBidi" w:eastAsia="Calibri" w:hAnsiTheme="majorBidi" w:cstheme="majorBidi"/>
          <w:sz w:val="24"/>
          <w:szCs w:val="24"/>
          <w:lang w:val="en-US"/>
        </w:rPr>
        <w:t xml:space="preserve"> as the </w:t>
      </w:r>
      <w:r w:rsidR="009E31F3">
        <w:rPr>
          <w:rFonts w:asciiTheme="majorBidi" w:eastAsia="Calibri" w:hAnsiTheme="majorBidi" w:cstheme="majorBidi"/>
          <w:sz w:val="24"/>
          <w:szCs w:val="24"/>
          <w:lang w:val="en-US"/>
        </w:rPr>
        <w:t>date of</w:t>
      </w:r>
      <w:r w:rsidR="00D969E6" w:rsidRPr="00D969E6">
        <w:rPr>
          <w:rFonts w:asciiTheme="majorBidi" w:eastAsia="Calibri" w:hAnsiTheme="majorBidi" w:cstheme="majorBidi"/>
          <w:sz w:val="24"/>
          <w:szCs w:val="24"/>
          <w:lang w:val="en-US"/>
        </w:rPr>
        <w:t xml:space="preserve"> this event.</w:t>
      </w:r>
      <w:r w:rsidR="00D969E6" w:rsidRPr="00D969E6">
        <w:rPr>
          <w:rFonts w:asciiTheme="majorBidi" w:eastAsia="Calibri" w:hAnsiTheme="majorBidi" w:cstheme="majorBidi"/>
          <w:sz w:val="24"/>
          <w:szCs w:val="24"/>
          <w:vertAlign w:val="superscript"/>
          <w:lang w:val="en-US"/>
        </w:rPr>
        <w:footnoteReference w:id="26"/>
      </w:r>
      <w:r w:rsidR="00D969E6" w:rsidRPr="00D969E6">
        <w:rPr>
          <w:rFonts w:asciiTheme="majorBidi" w:eastAsia="Calibri" w:hAnsiTheme="majorBidi" w:cstheme="majorBidi"/>
          <w:sz w:val="24"/>
          <w:szCs w:val="24"/>
          <w:lang w:val="en-US"/>
        </w:rPr>
        <w:t xml:space="preserve"> The additional stratum in the </w:t>
      </w:r>
      <w:r w:rsidR="00982A97">
        <w:rPr>
          <w:rFonts w:asciiTheme="majorBidi" w:eastAsia="Calibri" w:hAnsiTheme="majorBidi" w:cstheme="majorBidi"/>
          <w:smallCaps/>
          <w:sz w:val="24"/>
          <w:szCs w:val="24"/>
          <w:lang w:val="en-US"/>
        </w:rPr>
        <w:t>MT</w:t>
      </w:r>
      <w:r w:rsidR="00D969E6" w:rsidRPr="00D969E6">
        <w:rPr>
          <w:rFonts w:asciiTheme="majorBidi" w:eastAsia="Calibri" w:hAnsiTheme="majorBidi" w:cstheme="majorBidi"/>
          <w:sz w:val="24"/>
          <w:szCs w:val="24"/>
          <w:lang w:val="en-US"/>
        </w:rPr>
        <w:t xml:space="preserve"> clarifies this for later readers: </w:t>
      </w:r>
      <w:r w:rsidR="00D969E6" w:rsidRPr="00D969E6">
        <w:rPr>
          <w:rFonts w:asciiTheme="majorBidi" w:eastAsia="Calibri" w:hAnsiTheme="majorBidi" w:cstheme="majorBidi"/>
          <w:sz w:val="24"/>
          <w:szCs w:val="24"/>
          <w:rtl/>
          <w:lang w:val="en-US"/>
        </w:rPr>
        <w:t>הוא החֹדש השביעי</w:t>
      </w:r>
      <w:r w:rsidR="00D969E6" w:rsidRPr="00D969E6">
        <w:rPr>
          <w:rFonts w:asciiTheme="majorBidi" w:eastAsia="Calibri" w:hAnsiTheme="majorBidi" w:cstheme="majorBidi"/>
          <w:sz w:val="24"/>
          <w:szCs w:val="24"/>
          <w:lang w:val="en-US"/>
        </w:rPr>
        <w:t xml:space="preserve"> (“which is the seventh month”). This phrase not only simplifies the ancient date but also adds new content, identifying the </w:t>
      </w:r>
      <w:r w:rsidR="000D575F" w:rsidRPr="0048148E">
        <w:rPr>
          <w:rFonts w:asciiTheme="majorBidi" w:eastAsia="Calibri" w:hAnsiTheme="majorBidi" w:cstheme="majorBidi"/>
          <w:sz w:val="24"/>
          <w:szCs w:val="24"/>
          <w:lang w:val="en-US"/>
        </w:rPr>
        <w:t>transfer</w:t>
      </w:r>
      <w:r w:rsidR="00D969E6" w:rsidRPr="00D969E6">
        <w:rPr>
          <w:rFonts w:asciiTheme="majorBidi" w:eastAsia="Calibri" w:hAnsiTheme="majorBidi" w:cstheme="majorBidi"/>
          <w:sz w:val="24"/>
          <w:szCs w:val="24"/>
          <w:lang w:val="en-US"/>
        </w:rPr>
        <w:t xml:space="preserve"> of the</w:t>
      </w:r>
      <w:r w:rsidR="009E31F3">
        <w:rPr>
          <w:rFonts w:asciiTheme="majorBidi" w:eastAsia="Calibri" w:hAnsiTheme="majorBidi" w:cstheme="majorBidi"/>
          <w:sz w:val="24"/>
          <w:szCs w:val="24"/>
          <w:lang w:val="en-US"/>
        </w:rPr>
        <w:t xml:space="preserve"> Ark </w:t>
      </w:r>
      <w:r w:rsidR="00D969E6" w:rsidRPr="00D969E6">
        <w:rPr>
          <w:rFonts w:asciiTheme="majorBidi" w:eastAsia="Calibri" w:hAnsiTheme="majorBidi" w:cstheme="majorBidi"/>
          <w:sz w:val="24"/>
          <w:szCs w:val="24"/>
          <w:lang w:val="en-US"/>
        </w:rPr>
        <w:t xml:space="preserve">into the </w:t>
      </w:r>
      <w:r w:rsidR="00AD47B5" w:rsidRPr="0048148E">
        <w:rPr>
          <w:rFonts w:asciiTheme="majorBidi" w:eastAsia="Calibri" w:hAnsiTheme="majorBidi" w:cstheme="majorBidi"/>
          <w:sz w:val="24"/>
          <w:szCs w:val="24"/>
          <w:lang w:val="en-US"/>
        </w:rPr>
        <w:t>Temple</w:t>
      </w:r>
      <w:r w:rsidR="00D969E6" w:rsidRPr="00D969E6">
        <w:rPr>
          <w:rFonts w:asciiTheme="majorBidi" w:eastAsia="Calibri" w:hAnsiTheme="majorBidi" w:cstheme="majorBidi"/>
          <w:sz w:val="24"/>
          <w:szCs w:val="24"/>
          <w:lang w:val="en-US"/>
        </w:rPr>
        <w:t xml:space="preserve"> and the festival celebrating this event (1Kgs 8:65) with the Sukkot festival of the seventh month </w:t>
      </w:r>
      <w:r w:rsidR="003D1700">
        <w:rPr>
          <w:rFonts w:asciiTheme="majorBidi" w:eastAsia="Calibri" w:hAnsiTheme="majorBidi" w:cstheme="majorBidi"/>
          <w:sz w:val="24"/>
          <w:szCs w:val="24"/>
          <w:lang w:val="en-US"/>
        </w:rPr>
        <w:t>mentioned in the</w:t>
      </w:r>
      <w:r w:rsidR="00D969E6" w:rsidRPr="00D969E6">
        <w:rPr>
          <w:rFonts w:asciiTheme="majorBidi" w:eastAsia="Calibri" w:hAnsiTheme="majorBidi" w:cstheme="majorBidi"/>
          <w:sz w:val="24"/>
          <w:szCs w:val="24"/>
          <w:lang w:val="en-US"/>
        </w:rPr>
        <w:t xml:space="preserve"> </w:t>
      </w:r>
      <w:r w:rsidR="000D575F" w:rsidRPr="0048148E">
        <w:rPr>
          <w:rFonts w:asciiTheme="majorBidi" w:eastAsia="Calibri" w:hAnsiTheme="majorBidi" w:cstheme="majorBidi"/>
          <w:sz w:val="24"/>
          <w:szCs w:val="24"/>
          <w:lang w:val="en-US"/>
        </w:rPr>
        <w:t>Priestly</w:t>
      </w:r>
      <w:r w:rsidR="00D969E6" w:rsidRPr="00D969E6">
        <w:rPr>
          <w:rFonts w:asciiTheme="majorBidi" w:eastAsia="Calibri" w:hAnsiTheme="majorBidi" w:cstheme="majorBidi"/>
          <w:sz w:val="24"/>
          <w:szCs w:val="24"/>
          <w:lang w:val="en-US"/>
        </w:rPr>
        <w:t xml:space="preserve"> texts. Only the </w:t>
      </w:r>
      <w:r w:rsidR="000D575F" w:rsidRPr="0048148E">
        <w:rPr>
          <w:rFonts w:asciiTheme="majorBidi" w:eastAsia="Calibri" w:hAnsiTheme="majorBidi" w:cstheme="majorBidi"/>
          <w:sz w:val="24"/>
          <w:szCs w:val="24"/>
          <w:lang w:val="en-US"/>
        </w:rPr>
        <w:t>Priestly</w:t>
      </w:r>
      <w:r w:rsidR="00D969E6" w:rsidRPr="00D969E6">
        <w:rPr>
          <w:rFonts w:asciiTheme="majorBidi" w:eastAsia="Calibri" w:hAnsiTheme="majorBidi" w:cstheme="majorBidi"/>
          <w:sz w:val="24"/>
          <w:szCs w:val="24"/>
          <w:lang w:val="en-US"/>
        </w:rPr>
        <w:t xml:space="preserve"> schools (Lev 23:33–44 [H]; Num 29:12–39 [P]) give a fixed </w:t>
      </w:r>
      <w:r w:rsidR="00D969E6" w:rsidRPr="00D969E6">
        <w:rPr>
          <w:rFonts w:asciiTheme="majorBidi" w:eastAsia="Calibri" w:hAnsiTheme="majorBidi" w:cstheme="majorBidi"/>
          <w:sz w:val="24"/>
          <w:szCs w:val="24"/>
          <w:lang w:val="en-US"/>
        </w:rPr>
        <w:lastRenderedPageBreak/>
        <w:t>date for the festival of the seventh month, while Deuteronomy and other non-P sources do not mention a</w:t>
      </w:r>
      <w:r w:rsidR="000D575F" w:rsidRPr="0048148E">
        <w:rPr>
          <w:rFonts w:asciiTheme="majorBidi" w:eastAsia="Calibri" w:hAnsiTheme="majorBidi" w:cstheme="majorBidi"/>
          <w:sz w:val="24"/>
          <w:szCs w:val="24"/>
          <w:lang w:val="en-US"/>
        </w:rPr>
        <w:t>ny</w:t>
      </w:r>
      <w:r w:rsidR="00D969E6" w:rsidRPr="00D969E6">
        <w:rPr>
          <w:rFonts w:asciiTheme="majorBidi" w:eastAsia="Calibri" w:hAnsiTheme="majorBidi" w:cstheme="majorBidi"/>
          <w:sz w:val="24"/>
          <w:szCs w:val="24"/>
          <w:lang w:val="en-US"/>
        </w:rPr>
        <w:t xml:space="preserve"> specific date. The verses in Exodus provide a</w:t>
      </w:r>
      <w:r w:rsidR="00677C2E">
        <w:rPr>
          <w:rFonts w:asciiTheme="majorBidi" w:eastAsia="Calibri" w:hAnsiTheme="majorBidi" w:cstheme="majorBidi"/>
          <w:sz w:val="24"/>
          <w:szCs w:val="24"/>
          <w:lang w:val="en-US"/>
        </w:rPr>
        <w:t>n</w:t>
      </w:r>
      <w:r w:rsidR="00D969E6" w:rsidRPr="00D969E6">
        <w:rPr>
          <w:rFonts w:asciiTheme="majorBidi" w:eastAsia="Calibri" w:hAnsiTheme="majorBidi" w:cstheme="majorBidi"/>
          <w:sz w:val="24"/>
          <w:szCs w:val="24"/>
          <w:lang w:val="en-US"/>
        </w:rPr>
        <w:t xml:space="preserve"> </w:t>
      </w:r>
      <w:r w:rsidR="000D575F" w:rsidRPr="0048148E">
        <w:rPr>
          <w:rFonts w:asciiTheme="majorBidi" w:eastAsia="Calibri" w:hAnsiTheme="majorBidi" w:cstheme="majorBidi"/>
          <w:sz w:val="24"/>
          <w:szCs w:val="24"/>
          <w:lang w:val="en-US"/>
        </w:rPr>
        <w:t>undefined</w:t>
      </w:r>
      <w:r w:rsidR="00D969E6" w:rsidRPr="00D969E6">
        <w:rPr>
          <w:rFonts w:asciiTheme="majorBidi" w:eastAsia="Calibri" w:hAnsiTheme="majorBidi" w:cstheme="majorBidi"/>
          <w:sz w:val="24"/>
          <w:szCs w:val="24"/>
          <w:lang w:val="en-US"/>
        </w:rPr>
        <w:t xml:space="preserve"> date: </w:t>
      </w:r>
      <w:r w:rsidR="00D969E6" w:rsidRPr="00D969E6">
        <w:rPr>
          <w:rFonts w:asciiTheme="majorBidi" w:eastAsia="Calibri" w:hAnsiTheme="majorBidi" w:cstheme="majorBidi"/>
          <w:sz w:val="24"/>
          <w:szCs w:val="24"/>
          <w:rtl/>
          <w:lang w:val="en-US"/>
        </w:rPr>
        <w:t>בצאת השנה באספך את מעשיך מן השדה</w:t>
      </w:r>
      <w:r w:rsidR="00D969E6" w:rsidRPr="00D969E6">
        <w:rPr>
          <w:rFonts w:asciiTheme="majorBidi" w:eastAsia="Calibri" w:hAnsiTheme="majorBidi" w:cstheme="majorBidi"/>
          <w:sz w:val="24"/>
          <w:szCs w:val="24"/>
          <w:lang w:val="en-US"/>
        </w:rPr>
        <w:t xml:space="preserve"> (“</w:t>
      </w:r>
      <w:r w:rsidR="00D969E6" w:rsidRPr="00D969E6">
        <w:rPr>
          <w:rFonts w:asciiTheme="majorBidi" w:eastAsia="MS Mincho" w:hAnsiTheme="majorBidi" w:cstheme="majorBidi"/>
          <w:sz w:val="24"/>
          <w:szCs w:val="24"/>
          <w:lang w:val="en-US"/>
        </w:rPr>
        <w:t>at the end of the year, when you gather in from the field the fruit of your labor</w:t>
      </w:r>
      <w:r w:rsidR="00D969E6" w:rsidRPr="00D969E6">
        <w:rPr>
          <w:rFonts w:asciiTheme="majorBidi" w:eastAsia="Calibri" w:hAnsiTheme="majorBidi" w:cstheme="majorBidi"/>
          <w:sz w:val="24"/>
          <w:szCs w:val="24"/>
          <w:lang w:val="en-US"/>
        </w:rPr>
        <w:t xml:space="preserve">,” Ex 23:16), or </w:t>
      </w:r>
      <w:r w:rsidR="00D969E6" w:rsidRPr="00D969E6">
        <w:rPr>
          <w:rFonts w:asciiTheme="majorBidi" w:eastAsia="Calibri" w:hAnsiTheme="majorBidi" w:cstheme="majorBidi"/>
          <w:sz w:val="24"/>
          <w:szCs w:val="24"/>
          <w:rtl/>
          <w:lang w:val="en-US"/>
        </w:rPr>
        <w:t>תקופת השנה</w:t>
      </w:r>
      <w:r w:rsidR="00D969E6" w:rsidRPr="00D969E6">
        <w:rPr>
          <w:rFonts w:asciiTheme="majorBidi" w:eastAsia="Calibri" w:hAnsiTheme="majorBidi" w:cstheme="majorBidi"/>
          <w:sz w:val="24"/>
          <w:szCs w:val="24"/>
          <w:lang w:val="en-US"/>
        </w:rPr>
        <w:t xml:space="preserve"> (“at the turn of the year,” Ex 34:22), as do</w:t>
      </w:r>
      <w:r w:rsidR="000D575F" w:rsidRPr="0048148E">
        <w:rPr>
          <w:rFonts w:asciiTheme="majorBidi" w:eastAsia="Calibri" w:hAnsiTheme="majorBidi" w:cstheme="majorBidi"/>
          <w:sz w:val="24"/>
          <w:szCs w:val="24"/>
          <w:lang w:val="en-US"/>
        </w:rPr>
        <w:t>es</w:t>
      </w:r>
      <w:r w:rsidR="00D969E6" w:rsidRPr="00D969E6">
        <w:rPr>
          <w:rFonts w:asciiTheme="majorBidi" w:eastAsia="Calibri" w:hAnsiTheme="majorBidi" w:cstheme="majorBidi"/>
          <w:sz w:val="24"/>
          <w:szCs w:val="24"/>
          <w:lang w:val="en-US"/>
        </w:rPr>
        <w:t xml:space="preserve"> </w:t>
      </w:r>
      <w:proofErr w:type="spellStart"/>
      <w:r w:rsidR="00D969E6" w:rsidRPr="00D969E6">
        <w:rPr>
          <w:rFonts w:asciiTheme="majorBidi" w:eastAsia="Calibri" w:hAnsiTheme="majorBidi" w:cstheme="majorBidi"/>
          <w:sz w:val="24"/>
          <w:szCs w:val="24"/>
          <w:lang w:val="en-US"/>
        </w:rPr>
        <w:t>Deut</w:t>
      </w:r>
      <w:proofErr w:type="spellEnd"/>
      <w:r w:rsidR="00D969E6" w:rsidRPr="00D969E6">
        <w:rPr>
          <w:rFonts w:asciiTheme="majorBidi" w:eastAsia="Calibri" w:hAnsiTheme="majorBidi" w:cstheme="majorBidi"/>
          <w:sz w:val="24"/>
          <w:szCs w:val="24"/>
          <w:lang w:val="en-US"/>
        </w:rPr>
        <w:t xml:space="preserve"> 16:13 </w:t>
      </w:r>
      <w:r w:rsidR="003D1700" w:rsidRPr="00D969E6">
        <w:rPr>
          <w:rFonts w:asciiTheme="majorBidi" w:eastAsia="Calibri" w:hAnsiTheme="majorBidi" w:cstheme="majorBidi"/>
          <w:sz w:val="24"/>
          <w:szCs w:val="24"/>
          <w:rtl/>
          <w:lang w:val="en-US"/>
        </w:rPr>
        <w:t>באספך מגרנך ומיקבך</w:t>
      </w:r>
      <w:r w:rsidR="003D1700" w:rsidRPr="00D969E6">
        <w:rPr>
          <w:rFonts w:asciiTheme="majorBidi" w:eastAsia="Calibri" w:hAnsiTheme="majorBidi" w:cstheme="majorBidi"/>
          <w:sz w:val="24"/>
          <w:szCs w:val="24"/>
          <w:lang w:val="en-US"/>
        </w:rPr>
        <w:t xml:space="preserve"> </w:t>
      </w:r>
      <w:r w:rsidR="003D1700">
        <w:rPr>
          <w:rFonts w:asciiTheme="majorBidi" w:eastAsia="Calibri" w:hAnsiTheme="majorBidi" w:cstheme="majorBidi"/>
          <w:sz w:val="24"/>
          <w:szCs w:val="24"/>
          <w:lang w:val="en-US"/>
        </w:rPr>
        <w:t>(</w:t>
      </w:r>
      <w:r w:rsidR="00D969E6" w:rsidRPr="00D969E6">
        <w:rPr>
          <w:rFonts w:asciiTheme="majorBidi" w:eastAsia="Calibri" w:hAnsiTheme="majorBidi" w:cstheme="majorBidi"/>
          <w:sz w:val="24"/>
          <w:szCs w:val="24"/>
          <w:lang w:val="en-US"/>
        </w:rPr>
        <w:t>“</w:t>
      </w:r>
      <w:r w:rsidR="00D969E6" w:rsidRPr="00D969E6">
        <w:rPr>
          <w:rFonts w:asciiTheme="majorBidi" w:eastAsia="MS Mincho" w:hAnsiTheme="majorBidi" w:cstheme="majorBidi"/>
          <w:sz w:val="24"/>
          <w:szCs w:val="24"/>
          <w:lang w:val="en-US"/>
        </w:rPr>
        <w:t>when you have gathered in the produce from your threshing floor and your winepress</w:t>
      </w:r>
      <w:r w:rsidR="00D969E6" w:rsidRPr="00D969E6">
        <w:rPr>
          <w:rFonts w:asciiTheme="majorBidi" w:eastAsia="Calibri" w:hAnsiTheme="majorBidi" w:cstheme="majorBidi"/>
          <w:sz w:val="24"/>
          <w:szCs w:val="24"/>
          <w:lang w:val="en-US"/>
        </w:rPr>
        <w:t>”).</w:t>
      </w:r>
      <w:r w:rsidR="00D969E6" w:rsidRPr="00D969E6">
        <w:rPr>
          <w:rFonts w:asciiTheme="majorBidi" w:eastAsia="Calibri" w:hAnsiTheme="majorBidi" w:cstheme="majorBidi"/>
          <w:sz w:val="24"/>
          <w:szCs w:val="24"/>
          <w:vertAlign w:val="superscript"/>
          <w:lang w:val="en-US"/>
        </w:rPr>
        <w:footnoteReference w:id="27"/>
      </w:r>
    </w:p>
    <w:p w14:paraId="0F36D56E" w14:textId="70FD6004" w:rsidR="00D969E6" w:rsidRPr="00D969E6" w:rsidRDefault="00D969E6" w:rsidP="0048148E">
      <w:pPr>
        <w:tabs>
          <w:tab w:val="left" w:pos="720"/>
          <w:tab w:val="left" w:pos="1440"/>
        </w:tabs>
        <w:spacing w:after="0" w:line="360" w:lineRule="auto"/>
        <w:ind w:firstLine="720"/>
        <w:jc w:val="both"/>
        <w:rPr>
          <w:rFonts w:asciiTheme="majorBidi" w:eastAsia="Calibri" w:hAnsiTheme="majorBidi" w:cstheme="majorBidi"/>
          <w:sz w:val="24"/>
          <w:szCs w:val="24"/>
          <w:lang w:val="en-US"/>
        </w:rPr>
      </w:pPr>
      <w:r w:rsidRPr="00D969E6">
        <w:rPr>
          <w:rFonts w:asciiTheme="majorBidi" w:eastAsia="Calibri" w:hAnsiTheme="majorBidi" w:cstheme="majorBidi"/>
          <w:sz w:val="24"/>
          <w:szCs w:val="24"/>
          <w:lang w:val="en-US"/>
        </w:rPr>
        <w:t>According to the LXX form of the text of v. 3</w:t>
      </w:r>
      <w:r w:rsidR="000D575F" w:rsidRPr="0048148E">
        <w:rPr>
          <w:rFonts w:asciiTheme="majorBidi" w:eastAsia="Calibri" w:hAnsiTheme="majorBidi" w:cstheme="majorBidi"/>
          <w:sz w:val="24"/>
          <w:szCs w:val="24"/>
          <w:lang w:val="en-US"/>
        </w:rPr>
        <w:t>,</w:t>
      </w:r>
      <w:r w:rsidRPr="00D969E6">
        <w:rPr>
          <w:rFonts w:asciiTheme="majorBidi" w:eastAsia="Calibri" w:hAnsiTheme="majorBidi" w:cstheme="majorBidi"/>
          <w:sz w:val="24"/>
          <w:szCs w:val="24"/>
          <w:lang w:val="en-US"/>
        </w:rPr>
        <w:t xml:space="preserve"> “the priests carried the </w:t>
      </w:r>
      <w:r w:rsidR="003D1700">
        <w:rPr>
          <w:rFonts w:asciiTheme="majorBidi" w:eastAsia="Calibri" w:hAnsiTheme="majorBidi" w:cstheme="majorBidi"/>
          <w:sz w:val="24"/>
          <w:szCs w:val="24"/>
          <w:lang w:val="en-US"/>
        </w:rPr>
        <w:t>A</w:t>
      </w:r>
      <w:r w:rsidRPr="00D969E6">
        <w:rPr>
          <w:rFonts w:asciiTheme="majorBidi" w:eastAsia="Calibri" w:hAnsiTheme="majorBidi" w:cstheme="majorBidi"/>
          <w:sz w:val="24"/>
          <w:szCs w:val="24"/>
          <w:lang w:val="en-US"/>
        </w:rPr>
        <w:t xml:space="preserve">rk.” The author of the plus in the </w:t>
      </w:r>
      <w:r w:rsidR="00982A97">
        <w:rPr>
          <w:rFonts w:asciiTheme="majorBidi" w:eastAsia="Calibri" w:hAnsiTheme="majorBidi" w:cstheme="majorBidi"/>
          <w:smallCaps/>
          <w:sz w:val="24"/>
          <w:szCs w:val="24"/>
          <w:lang w:val="en-US"/>
        </w:rPr>
        <w:t>MT</w:t>
      </w:r>
      <w:r w:rsidRPr="00D969E6">
        <w:rPr>
          <w:rFonts w:asciiTheme="majorBidi" w:eastAsia="Calibri" w:hAnsiTheme="majorBidi" w:cstheme="majorBidi"/>
          <w:sz w:val="24"/>
          <w:szCs w:val="24"/>
          <w:lang w:val="en-US"/>
        </w:rPr>
        <w:t xml:space="preserve">, who is familiar with the </w:t>
      </w:r>
      <w:r w:rsidR="000D575F" w:rsidRPr="0048148E">
        <w:rPr>
          <w:rFonts w:asciiTheme="majorBidi" w:eastAsia="Calibri" w:hAnsiTheme="majorBidi" w:cstheme="majorBidi"/>
          <w:sz w:val="24"/>
          <w:szCs w:val="24"/>
          <w:lang w:val="en-US"/>
        </w:rPr>
        <w:t>Priestly</w:t>
      </w:r>
      <w:r w:rsidRPr="00D969E6">
        <w:rPr>
          <w:rFonts w:asciiTheme="majorBidi" w:eastAsia="Calibri" w:hAnsiTheme="majorBidi" w:cstheme="majorBidi"/>
          <w:sz w:val="24"/>
          <w:szCs w:val="24"/>
          <w:lang w:val="en-US"/>
        </w:rPr>
        <w:t xml:space="preserve"> texts, repeats this information in v. 4, rewrit</w:t>
      </w:r>
      <w:r w:rsidR="003D1700">
        <w:rPr>
          <w:rFonts w:asciiTheme="majorBidi" w:eastAsia="Calibri" w:hAnsiTheme="majorBidi" w:cstheme="majorBidi"/>
          <w:sz w:val="24"/>
          <w:szCs w:val="24"/>
          <w:lang w:val="en-US"/>
        </w:rPr>
        <w:t>es</w:t>
      </w:r>
      <w:r w:rsidRPr="00D969E6">
        <w:rPr>
          <w:rFonts w:asciiTheme="majorBidi" w:eastAsia="Calibri" w:hAnsiTheme="majorBidi" w:cstheme="majorBidi"/>
          <w:sz w:val="24"/>
          <w:szCs w:val="24"/>
          <w:lang w:val="en-US"/>
        </w:rPr>
        <w:t xml:space="preserve"> it and add</w:t>
      </w:r>
      <w:r w:rsidR="003D1700">
        <w:rPr>
          <w:rFonts w:asciiTheme="majorBidi" w:eastAsia="Calibri" w:hAnsiTheme="majorBidi" w:cstheme="majorBidi"/>
          <w:sz w:val="24"/>
          <w:szCs w:val="24"/>
          <w:lang w:val="en-US"/>
        </w:rPr>
        <w:t>s</w:t>
      </w:r>
      <w:r w:rsidRPr="00D969E6">
        <w:rPr>
          <w:rFonts w:asciiTheme="majorBidi" w:eastAsia="Calibri" w:hAnsiTheme="majorBidi" w:cstheme="majorBidi"/>
          <w:sz w:val="24"/>
          <w:szCs w:val="24"/>
          <w:lang w:val="en-US"/>
        </w:rPr>
        <w:t xml:space="preserve"> “and the Levites.” It seems that he may have sought to emphasize that it was the Levites who carried the </w:t>
      </w:r>
      <w:r w:rsidR="003D1700">
        <w:rPr>
          <w:rFonts w:asciiTheme="majorBidi" w:eastAsia="Calibri" w:hAnsiTheme="majorBidi" w:cstheme="majorBidi"/>
          <w:sz w:val="24"/>
          <w:szCs w:val="24"/>
          <w:lang w:val="en-US"/>
        </w:rPr>
        <w:t>A</w:t>
      </w:r>
      <w:r w:rsidRPr="00D969E6">
        <w:rPr>
          <w:rFonts w:asciiTheme="majorBidi" w:eastAsia="Calibri" w:hAnsiTheme="majorBidi" w:cstheme="majorBidi"/>
          <w:sz w:val="24"/>
          <w:szCs w:val="24"/>
          <w:lang w:val="en-US"/>
        </w:rPr>
        <w:t xml:space="preserve">rk, in accordance with the </w:t>
      </w:r>
      <w:r w:rsidR="000D575F" w:rsidRPr="0048148E">
        <w:rPr>
          <w:rFonts w:asciiTheme="majorBidi" w:eastAsia="Calibri" w:hAnsiTheme="majorBidi" w:cstheme="majorBidi"/>
          <w:sz w:val="24"/>
          <w:szCs w:val="24"/>
          <w:lang w:val="en-US"/>
        </w:rPr>
        <w:t>Priestly</w:t>
      </w:r>
      <w:r w:rsidRPr="00D969E6">
        <w:rPr>
          <w:rFonts w:asciiTheme="majorBidi" w:eastAsia="Calibri" w:hAnsiTheme="majorBidi" w:cstheme="majorBidi"/>
          <w:sz w:val="24"/>
          <w:szCs w:val="24"/>
          <w:lang w:val="en-US"/>
        </w:rPr>
        <w:t xml:space="preserve"> regulation (Num 3–4, 7:4–9, 18:1–7).</w:t>
      </w:r>
      <w:r w:rsidRPr="00D969E6">
        <w:rPr>
          <w:rFonts w:asciiTheme="majorBidi" w:eastAsia="Calibri" w:hAnsiTheme="majorBidi" w:cstheme="majorBidi"/>
          <w:sz w:val="24"/>
          <w:szCs w:val="24"/>
          <w:vertAlign w:val="superscript"/>
          <w:lang w:val="en-US"/>
        </w:rPr>
        <w:footnoteReference w:id="28"/>
      </w:r>
    </w:p>
    <w:p w14:paraId="45A685F2" w14:textId="4FF700F8" w:rsidR="00D969E6" w:rsidRPr="00D969E6" w:rsidRDefault="00D969E6" w:rsidP="0048148E">
      <w:pPr>
        <w:tabs>
          <w:tab w:val="left" w:pos="720"/>
          <w:tab w:val="left" w:pos="1440"/>
        </w:tabs>
        <w:spacing w:after="0" w:line="360" w:lineRule="auto"/>
        <w:ind w:firstLine="720"/>
        <w:jc w:val="both"/>
        <w:rPr>
          <w:rFonts w:asciiTheme="majorBidi" w:eastAsia="Calibri" w:hAnsiTheme="majorBidi" w:cstheme="majorBidi"/>
          <w:sz w:val="24"/>
          <w:szCs w:val="24"/>
          <w:lang w:val="en-US"/>
        </w:rPr>
      </w:pPr>
      <w:r w:rsidRPr="00D969E6">
        <w:rPr>
          <w:rFonts w:asciiTheme="majorBidi" w:eastAsia="Calibri" w:hAnsiTheme="majorBidi" w:cstheme="majorBidi"/>
          <w:sz w:val="24"/>
          <w:szCs w:val="24"/>
          <w:lang w:val="en-US"/>
        </w:rPr>
        <w:t>The</w:t>
      </w:r>
      <w:r w:rsidRPr="00D969E6">
        <w:rPr>
          <w:rFonts w:asciiTheme="majorBidi" w:eastAsia="Calibri" w:hAnsiTheme="majorBidi" w:cstheme="majorBidi"/>
          <w:smallCaps/>
          <w:sz w:val="24"/>
          <w:szCs w:val="24"/>
          <w:lang w:val="en-US"/>
        </w:rPr>
        <w:t xml:space="preserve"> </w:t>
      </w:r>
      <w:r w:rsidR="00E121BE">
        <w:rPr>
          <w:rFonts w:asciiTheme="majorBidi" w:eastAsia="Calibri" w:hAnsiTheme="majorBidi" w:cstheme="majorBidi"/>
          <w:smallCaps/>
          <w:sz w:val="24"/>
          <w:szCs w:val="24"/>
          <w:lang w:val="en-US"/>
        </w:rPr>
        <w:t>LXX</w:t>
      </w:r>
      <w:r w:rsidRPr="00D969E6">
        <w:rPr>
          <w:rFonts w:asciiTheme="majorBidi" w:eastAsia="Calibri" w:hAnsiTheme="majorBidi" w:cstheme="majorBidi"/>
          <w:sz w:val="24"/>
          <w:szCs w:val="24"/>
          <w:lang w:val="en-US"/>
        </w:rPr>
        <w:t xml:space="preserve"> v. 5 also comprises a more convenient text than the </w:t>
      </w:r>
      <w:r w:rsidR="00982A97">
        <w:rPr>
          <w:rFonts w:asciiTheme="majorBidi" w:eastAsia="Calibri" w:hAnsiTheme="majorBidi" w:cstheme="majorBidi"/>
          <w:smallCaps/>
          <w:sz w:val="24"/>
          <w:szCs w:val="24"/>
          <w:lang w:val="en-US"/>
        </w:rPr>
        <w:t>MT</w:t>
      </w:r>
      <w:r w:rsidRPr="00D969E6">
        <w:rPr>
          <w:rFonts w:asciiTheme="majorBidi" w:eastAsia="Calibri" w:hAnsiTheme="majorBidi" w:cstheme="majorBidi"/>
          <w:sz w:val="24"/>
          <w:szCs w:val="24"/>
          <w:lang w:val="en-US"/>
        </w:rPr>
        <w:t xml:space="preserve">. Instead of the shorter version </w:t>
      </w:r>
      <w:r w:rsidRPr="00D969E6">
        <w:rPr>
          <w:rFonts w:asciiTheme="majorBidi" w:eastAsia="Calibri" w:hAnsiTheme="majorBidi" w:cstheme="majorBidi"/>
          <w:sz w:val="24"/>
          <w:szCs w:val="24"/>
          <w:rtl/>
          <w:lang w:val="en-US"/>
        </w:rPr>
        <w:t>וכל ישראל</w:t>
      </w:r>
      <w:r w:rsidRPr="00D969E6">
        <w:rPr>
          <w:rFonts w:asciiTheme="majorBidi" w:eastAsia="Calibri" w:hAnsiTheme="majorBidi" w:cstheme="majorBidi"/>
          <w:sz w:val="24"/>
          <w:szCs w:val="24"/>
          <w:lang w:val="en-US"/>
        </w:rPr>
        <w:t xml:space="preserve"> (“and all Israel”), </w:t>
      </w:r>
      <w:r w:rsidR="00982A97">
        <w:rPr>
          <w:rFonts w:asciiTheme="majorBidi" w:eastAsia="Calibri" w:hAnsiTheme="majorBidi" w:cstheme="majorBidi"/>
          <w:smallCaps/>
          <w:sz w:val="24"/>
          <w:szCs w:val="24"/>
          <w:lang w:val="en-US"/>
        </w:rPr>
        <w:t>MT</w:t>
      </w:r>
      <w:r w:rsidRPr="00D969E6">
        <w:rPr>
          <w:rFonts w:asciiTheme="majorBidi" w:eastAsia="Calibri" w:hAnsiTheme="majorBidi" w:cstheme="majorBidi"/>
          <w:sz w:val="24"/>
          <w:szCs w:val="24"/>
          <w:lang w:val="en-US"/>
        </w:rPr>
        <w:t xml:space="preserve"> uses the redundant </w:t>
      </w:r>
      <w:r w:rsidRPr="00D969E6">
        <w:rPr>
          <w:rFonts w:asciiTheme="majorBidi" w:eastAsia="Calibri" w:hAnsiTheme="majorBidi" w:cstheme="majorBidi"/>
          <w:sz w:val="24"/>
          <w:szCs w:val="24"/>
          <w:rtl/>
          <w:lang w:val="en-US"/>
        </w:rPr>
        <w:t>וכל עדת ישראל הנועדים עליו אתו</w:t>
      </w:r>
      <w:r w:rsidRPr="00D969E6">
        <w:rPr>
          <w:rFonts w:asciiTheme="majorBidi" w:eastAsia="Calibri" w:hAnsiTheme="majorBidi" w:cstheme="majorBidi"/>
          <w:sz w:val="24"/>
          <w:szCs w:val="24"/>
          <w:lang w:val="en-US"/>
        </w:rPr>
        <w:t xml:space="preserve"> (“the congregation of Israel who had assembled before him with him”). Here, too, </w:t>
      </w:r>
      <w:r w:rsidRPr="00D969E6">
        <w:rPr>
          <w:rFonts w:asciiTheme="majorBidi" w:eastAsia="Calibri" w:hAnsiTheme="majorBidi" w:cstheme="majorBidi"/>
          <w:sz w:val="24"/>
          <w:szCs w:val="24"/>
          <w:rtl/>
          <w:lang w:val="en-US"/>
        </w:rPr>
        <w:t>עדה</w:t>
      </w:r>
      <w:r w:rsidRPr="00D969E6">
        <w:rPr>
          <w:rFonts w:asciiTheme="majorBidi" w:eastAsia="Calibri" w:hAnsiTheme="majorBidi" w:cstheme="majorBidi"/>
          <w:sz w:val="24"/>
          <w:szCs w:val="24"/>
          <w:lang w:val="en-US"/>
        </w:rPr>
        <w:t xml:space="preserve"> and </w:t>
      </w:r>
      <w:r w:rsidRPr="00D969E6">
        <w:rPr>
          <w:rFonts w:asciiTheme="majorBidi" w:eastAsia="Calibri" w:hAnsiTheme="majorBidi" w:cstheme="majorBidi"/>
          <w:sz w:val="24"/>
          <w:szCs w:val="24"/>
          <w:rtl/>
          <w:lang w:val="en-US"/>
        </w:rPr>
        <w:t>הנועדים</w:t>
      </w:r>
      <w:r w:rsidRPr="00D969E6">
        <w:rPr>
          <w:rFonts w:asciiTheme="majorBidi" w:eastAsia="Calibri" w:hAnsiTheme="majorBidi" w:cstheme="majorBidi"/>
          <w:sz w:val="24"/>
          <w:szCs w:val="24"/>
          <w:lang w:val="en-US"/>
        </w:rPr>
        <w:t xml:space="preserve"> are characteristic of </w:t>
      </w:r>
      <w:r w:rsidR="000D575F" w:rsidRPr="0048148E">
        <w:rPr>
          <w:rFonts w:asciiTheme="majorBidi" w:eastAsia="Calibri" w:hAnsiTheme="majorBidi" w:cstheme="majorBidi"/>
          <w:sz w:val="24"/>
          <w:szCs w:val="24"/>
          <w:lang w:val="en-US"/>
        </w:rPr>
        <w:t>Priestly</w:t>
      </w:r>
      <w:r w:rsidRPr="00D969E6">
        <w:rPr>
          <w:rFonts w:asciiTheme="majorBidi" w:eastAsia="Calibri" w:hAnsiTheme="majorBidi" w:cstheme="majorBidi"/>
          <w:sz w:val="24"/>
          <w:szCs w:val="24"/>
          <w:lang w:val="en-US"/>
        </w:rPr>
        <w:t xml:space="preserve"> </w:t>
      </w:r>
      <w:r w:rsidR="00AD47B5" w:rsidRPr="0048148E">
        <w:rPr>
          <w:rFonts w:asciiTheme="majorBidi" w:eastAsia="Calibri" w:hAnsiTheme="majorBidi" w:cstheme="majorBidi"/>
          <w:sz w:val="24"/>
          <w:szCs w:val="24"/>
          <w:lang w:val="en-US"/>
        </w:rPr>
        <w:t>terminology</w:t>
      </w:r>
      <w:r w:rsidRPr="00D969E6">
        <w:rPr>
          <w:rFonts w:asciiTheme="majorBidi" w:eastAsia="Calibri" w:hAnsiTheme="majorBidi" w:cstheme="majorBidi"/>
          <w:sz w:val="24"/>
          <w:szCs w:val="24"/>
          <w:lang w:val="en-US"/>
        </w:rPr>
        <w:t xml:space="preserve">: </w:t>
      </w:r>
      <w:r w:rsidR="00B06FD8" w:rsidRPr="0048148E">
        <w:rPr>
          <w:rFonts w:asciiTheme="majorBidi" w:eastAsia="Calibri" w:hAnsiTheme="majorBidi" w:cstheme="majorBidi"/>
          <w:sz w:val="24"/>
          <w:szCs w:val="24"/>
          <w:lang w:val="en-US"/>
        </w:rPr>
        <w:t>compare</w:t>
      </w:r>
      <w:r w:rsidRPr="00D969E6">
        <w:rPr>
          <w:rFonts w:asciiTheme="majorBidi" w:eastAsia="Calibri" w:hAnsiTheme="majorBidi" w:cstheme="majorBidi"/>
          <w:sz w:val="24"/>
          <w:szCs w:val="24"/>
          <w:lang w:val="en-US"/>
        </w:rPr>
        <w:t xml:space="preserve"> </w:t>
      </w:r>
      <w:r w:rsidRPr="00D969E6">
        <w:rPr>
          <w:rFonts w:asciiTheme="majorBidi" w:eastAsia="Calibri" w:hAnsiTheme="majorBidi" w:cstheme="majorBidi"/>
          <w:sz w:val="24"/>
          <w:szCs w:val="24"/>
          <w:rtl/>
          <w:lang w:val="en-US"/>
        </w:rPr>
        <w:t>לכל העדה הרעה הזאת הנועדים עלי</w:t>
      </w:r>
      <w:r w:rsidRPr="00D969E6">
        <w:rPr>
          <w:rFonts w:asciiTheme="majorBidi" w:eastAsia="Calibri" w:hAnsiTheme="majorBidi" w:cstheme="majorBidi"/>
          <w:sz w:val="24"/>
          <w:szCs w:val="24"/>
          <w:lang w:val="en-US"/>
        </w:rPr>
        <w:t xml:space="preserve"> (“</w:t>
      </w:r>
      <w:r w:rsidRPr="00D969E6">
        <w:rPr>
          <w:rFonts w:asciiTheme="majorBidi" w:eastAsia="MS Mincho" w:hAnsiTheme="majorBidi" w:cstheme="majorBidi"/>
          <w:sz w:val="24"/>
          <w:szCs w:val="24"/>
          <w:lang w:val="en-US"/>
        </w:rPr>
        <w:t>to all this wicked congregation gathered together against me</w:t>
      </w:r>
      <w:r w:rsidR="003D1700">
        <w:rPr>
          <w:rFonts w:asciiTheme="majorBidi" w:eastAsia="MS Mincho" w:hAnsiTheme="majorBidi" w:cstheme="majorBidi"/>
          <w:sz w:val="24"/>
          <w:szCs w:val="24"/>
          <w:lang w:val="en-US"/>
        </w:rPr>
        <w:t>,</w:t>
      </w:r>
      <w:r w:rsidRPr="00D969E6">
        <w:rPr>
          <w:rFonts w:asciiTheme="majorBidi" w:eastAsia="Calibri" w:hAnsiTheme="majorBidi" w:cstheme="majorBidi"/>
          <w:sz w:val="24"/>
          <w:szCs w:val="24"/>
          <w:lang w:val="en-US"/>
        </w:rPr>
        <w:t xml:space="preserve">” Num 14:35) and </w:t>
      </w:r>
      <w:r w:rsidRPr="00D969E6">
        <w:rPr>
          <w:rFonts w:asciiTheme="majorBidi" w:eastAsia="Calibri" w:hAnsiTheme="majorBidi" w:cstheme="majorBidi"/>
          <w:sz w:val="24"/>
          <w:szCs w:val="24"/>
          <w:rtl/>
          <w:lang w:val="en-US"/>
        </w:rPr>
        <w:t>אתה וכל עדתך הנעדים על ה'</w:t>
      </w:r>
      <w:r w:rsidRPr="00D969E6">
        <w:rPr>
          <w:rFonts w:asciiTheme="majorBidi" w:eastAsia="Calibri" w:hAnsiTheme="majorBidi" w:cstheme="majorBidi"/>
          <w:sz w:val="24"/>
          <w:szCs w:val="24"/>
          <w:lang w:val="en-US"/>
        </w:rPr>
        <w:t xml:space="preserve"> (“</w:t>
      </w:r>
      <w:r w:rsidRPr="00D969E6">
        <w:rPr>
          <w:rFonts w:asciiTheme="majorBidi" w:eastAsia="MS Mincho" w:hAnsiTheme="majorBidi" w:cstheme="majorBidi"/>
          <w:sz w:val="24"/>
          <w:szCs w:val="24"/>
          <w:lang w:val="en-US"/>
        </w:rPr>
        <w:t xml:space="preserve">all your congregation have gathered together against </w:t>
      </w:r>
      <w:r w:rsidRPr="00D969E6">
        <w:rPr>
          <w:rFonts w:asciiTheme="majorBidi" w:eastAsia="MS Mincho" w:hAnsiTheme="majorBidi" w:cstheme="majorBidi"/>
          <w:smallCaps/>
          <w:sz w:val="24"/>
          <w:szCs w:val="24"/>
          <w:lang w:val="en-US"/>
        </w:rPr>
        <w:t>Y</w:t>
      </w:r>
      <w:r w:rsidR="0033762E">
        <w:rPr>
          <w:rFonts w:asciiTheme="majorBidi" w:eastAsia="MS Mincho" w:hAnsiTheme="majorBidi" w:cstheme="majorBidi"/>
          <w:smallCaps/>
          <w:sz w:val="24"/>
          <w:szCs w:val="24"/>
          <w:lang w:val="en-US"/>
        </w:rPr>
        <w:t>HWH</w:t>
      </w:r>
      <w:r w:rsidR="003D1700">
        <w:rPr>
          <w:rFonts w:asciiTheme="majorBidi" w:eastAsia="MS Mincho" w:hAnsiTheme="majorBidi" w:cstheme="majorBidi"/>
          <w:smallCaps/>
          <w:sz w:val="24"/>
          <w:szCs w:val="24"/>
          <w:lang w:val="en-US"/>
        </w:rPr>
        <w:t>,</w:t>
      </w:r>
      <w:r w:rsidRPr="00D969E6">
        <w:rPr>
          <w:rFonts w:asciiTheme="majorBidi" w:eastAsia="Times New Roman" w:hAnsiTheme="majorBidi" w:cstheme="majorBidi"/>
          <w:sz w:val="24"/>
          <w:szCs w:val="24"/>
          <w:lang w:val="en-US" w:bidi="ar-SA"/>
        </w:rPr>
        <w:t>”</w:t>
      </w:r>
      <w:r w:rsidRPr="00D969E6">
        <w:rPr>
          <w:rFonts w:asciiTheme="majorBidi" w:eastAsia="Calibri" w:hAnsiTheme="majorBidi" w:cstheme="majorBidi"/>
          <w:sz w:val="24"/>
          <w:szCs w:val="24"/>
          <w:lang w:val="en-US"/>
        </w:rPr>
        <w:t xml:space="preserve"> Num 16:11).</w:t>
      </w:r>
      <w:r w:rsidRPr="00D969E6">
        <w:rPr>
          <w:rFonts w:asciiTheme="majorBidi" w:eastAsia="Calibri" w:hAnsiTheme="majorBidi" w:cstheme="majorBidi"/>
          <w:sz w:val="24"/>
          <w:szCs w:val="24"/>
          <w:vertAlign w:val="superscript"/>
          <w:lang w:val="en-US"/>
        </w:rPr>
        <w:footnoteReference w:id="29"/>
      </w:r>
    </w:p>
    <w:p w14:paraId="206D7C78" w14:textId="770C52BE" w:rsidR="00D969E6" w:rsidRPr="00D969E6" w:rsidRDefault="00B06FD8" w:rsidP="0048148E">
      <w:pPr>
        <w:spacing w:after="0" w:line="360" w:lineRule="auto"/>
        <w:ind w:firstLine="720"/>
        <w:rPr>
          <w:rFonts w:asciiTheme="majorBidi" w:eastAsia="Calibri" w:hAnsiTheme="majorBidi" w:cstheme="majorBidi"/>
          <w:color w:val="000000"/>
          <w:sz w:val="24"/>
          <w:szCs w:val="24"/>
          <w:lang w:val="en-US"/>
        </w:rPr>
      </w:pPr>
      <w:r w:rsidRPr="0048148E">
        <w:rPr>
          <w:rFonts w:asciiTheme="majorBidi" w:eastAsia="Calibri" w:hAnsiTheme="majorBidi" w:cstheme="majorBidi"/>
          <w:color w:val="000000"/>
          <w:sz w:val="24"/>
          <w:szCs w:val="24"/>
          <w:lang w:val="en-US"/>
        </w:rPr>
        <w:t>In addition,</w:t>
      </w:r>
      <w:r w:rsidR="00D969E6" w:rsidRPr="00D969E6">
        <w:rPr>
          <w:rFonts w:asciiTheme="majorBidi" w:eastAsia="Calibri" w:hAnsiTheme="majorBidi" w:cstheme="majorBidi"/>
          <w:color w:val="000000"/>
          <w:sz w:val="24"/>
          <w:szCs w:val="24"/>
          <w:lang w:val="en"/>
        </w:rPr>
        <w:t xml:space="preserve"> it is worth noting that 1Kgs 8</w:t>
      </w:r>
      <w:r w:rsidRPr="0048148E">
        <w:rPr>
          <w:rFonts w:asciiTheme="majorBidi" w:eastAsia="Calibri" w:hAnsiTheme="majorBidi" w:cstheme="majorBidi"/>
          <w:color w:val="000000"/>
          <w:sz w:val="24"/>
          <w:szCs w:val="24"/>
          <w:lang w:val="en"/>
        </w:rPr>
        <w:t>:4 mentions the Tent of Meeting, which stands at the focus of this study</w:t>
      </w:r>
      <w:r w:rsidR="00D969E6" w:rsidRPr="00D969E6">
        <w:rPr>
          <w:rFonts w:asciiTheme="majorBidi" w:eastAsia="Calibri" w:hAnsiTheme="majorBidi" w:cstheme="majorBidi"/>
          <w:color w:val="000000"/>
          <w:sz w:val="24"/>
          <w:szCs w:val="24"/>
          <w:lang w:val="en"/>
        </w:rPr>
        <w:t xml:space="preserve">, even in the short version found in the LXX. I will discuss this issue after analyzing </w:t>
      </w:r>
      <w:r w:rsidR="00D969E6" w:rsidRPr="00D969E6">
        <w:rPr>
          <w:rFonts w:asciiTheme="majorBidi" w:eastAsia="Calibri" w:hAnsiTheme="majorBidi" w:cstheme="majorBidi"/>
          <w:color w:val="000000"/>
          <w:sz w:val="24"/>
          <w:szCs w:val="24"/>
          <w:lang w:val="en-US"/>
        </w:rPr>
        <w:t xml:space="preserve">another text in the </w:t>
      </w:r>
      <w:r w:rsidR="00AD47B5" w:rsidRPr="0048148E">
        <w:rPr>
          <w:rFonts w:asciiTheme="majorBidi" w:eastAsia="Calibri" w:hAnsiTheme="majorBidi" w:cstheme="majorBidi"/>
          <w:color w:val="000000"/>
          <w:sz w:val="24"/>
          <w:szCs w:val="24"/>
          <w:lang w:val="en-US"/>
        </w:rPr>
        <w:t>Temple</w:t>
      </w:r>
      <w:r w:rsidR="00D969E6" w:rsidRPr="00D969E6">
        <w:rPr>
          <w:rFonts w:asciiTheme="majorBidi" w:eastAsia="Calibri" w:hAnsiTheme="majorBidi" w:cstheme="majorBidi"/>
          <w:color w:val="000000"/>
          <w:sz w:val="24"/>
          <w:szCs w:val="24"/>
          <w:lang w:val="en-US"/>
        </w:rPr>
        <w:t xml:space="preserve"> account (1Kgs 6-8) which is missing from the most important manuscript of the </w:t>
      </w:r>
      <w:r w:rsidR="00E121BE">
        <w:rPr>
          <w:rFonts w:asciiTheme="majorBidi" w:eastAsia="Calibri" w:hAnsiTheme="majorBidi" w:cstheme="majorBidi"/>
          <w:smallCaps/>
          <w:color w:val="000000"/>
          <w:sz w:val="24"/>
          <w:szCs w:val="24"/>
          <w:lang w:val="en-US"/>
        </w:rPr>
        <w:t>LXX</w:t>
      </w:r>
      <w:r w:rsidR="00D969E6" w:rsidRPr="00D969E6">
        <w:rPr>
          <w:rFonts w:asciiTheme="majorBidi" w:eastAsia="Calibri" w:hAnsiTheme="majorBidi" w:cstheme="majorBidi"/>
          <w:color w:val="000000"/>
          <w:sz w:val="24"/>
          <w:szCs w:val="24"/>
          <w:lang w:val="en-US"/>
        </w:rPr>
        <w:t xml:space="preserve">, manuscript B -- </w:t>
      </w:r>
      <w:proofErr w:type="spellStart"/>
      <w:r w:rsidR="00D969E6" w:rsidRPr="00D969E6">
        <w:rPr>
          <w:rFonts w:asciiTheme="majorBidi" w:eastAsia="Calibri" w:hAnsiTheme="majorBidi" w:cstheme="majorBidi"/>
          <w:color w:val="000000"/>
          <w:sz w:val="24"/>
          <w:szCs w:val="24"/>
          <w:lang w:val="en-US"/>
        </w:rPr>
        <w:t>1Kgs</w:t>
      </w:r>
      <w:proofErr w:type="spellEnd"/>
      <w:r w:rsidR="00D969E6" w:rsidRPr="00D969E6">
        <w:rPr>
          <w:rFonts w:asciiTheme="majorBidi" w:eastAsia="Calibri" w:hAnsiTheme="majorBidi" w:cstheme="majorBidi"/>
          <w:color w:val="000000"/>
          <w:sz w:val="24"/>
          <w:szCs w:val="24"/>
          <w:lang w:val="en-US"/>
        </w:rPr>
        <w:t xml:space="preserve"> 6:11–14.</w:t>
      </w:r>
    </w:p>
    <w:p w14:paraId="234CBC1F" w14:textId="1CE9B241" w:rsidR="00D969E6" w:rsidRPr="00D969E6" w:rsidRDefault="00D969E6" w:rsidP="0048148E">
      <w:pPr>
        <w:bidi/>
        <w:spacing w:after="0" w:line="360" w:lineRule="auto"/>
        <w:rPr>
          <w:rFonts w:asciiTheme="majorBidi" w:eastAsia="Calibri" w:hAnsiTheme="majorBidi" w:cstheme="majorBidi"/>
          <w:color w:val="000000"/>
          <w:sz w:val="24"/>
          <w:szCs w:val="24"/>
          <w:rtl/>
          <w:lang w:val="en-US"/>
        </w:rPr>
      </w:pPr>
    </w:p>
    <w:p w14:paraId="51D9B166" w14:textId="486BED51" w:rsidR="00D969E6" w:rsidRPr="0048148E" w:rsidRDefault="00D969E6" w:rsidP="0048148E">
      <w:pPr>
        <w:tabs>
          <w:tab w:val="left" w:pos="720"/>
          <w:tab w:val="left" w:pos="1440"/>
        </w:tabs>
        <w:spacing w:after="0" w:line="360" w:lineRule="auto"/>
        <w:jc w:val="both"/>
        <w:rPr>
          <w:rFonts w:asciiTheme="majorBidi" w:eastAsia="Calibri" w:hAnsiTheme="majorBidi" w:cstheme="majorBidi"/>
          <w:b/>
          <w:bCs/>
          <w:sz w:val="24"/>
          <w:szCs w:val="24"/>
          <w:lang w:val="en-US"/>
        </w:rPr>
      </w:pPr>
      <w:r w:rsidRPr="00D969E6">
        <w:rPr>
          <w:rFonts w:asciiTheme="majorBidi" w:eastAsia="Calibri" w:hAnsiTheme="majorBidi" w:cstheme="majorBidi"/>
          <w:b/>
          <w:bCs/>
          <w:sz w:val="24"/>
          <w:szCs w:val="24"/>
          <w:lang w:val="en-US"/>
        </w:rPr>
        <w:t>2.2. A Late Stage of Quasi-P additions: LXX and MT 1 Kgs 6:11–14</w:t>
      </w:r>
    </w:p>
    <w:p w14:paraId="2777827A" w14:textId="6A22791A" w:rsidR="00D969E6" w:rsidRPr="00D969E6" w:rsidRDefault="005C0ACD" w:rsidP="0048148E">
      <w:pPr>
        <w:tabs>
          <w:tab w:val="left" w:pos="720"/>
          <w:tab w:val="left" w:pos="1440"/>
        </w:tabs>
        <w:spacing w:after="0" w:line="360" w:lineRule="auto"/>
        <w:jc w:val="both"/>
        <w:rPr>
          <w:rFonts w:asciiTheme="majorBidi" w:eastAsia="Calibri" w:hAnsiTheme="majorBidi" w:cstheme="majorBidi"/>
          <w:sz w:val="24"/>
          <w:szCs w:val="24"/>
          <w:rtl/>
          <w:lang w:val="en-US"/>
        </w:rPr>
      </w:pPr>
      <w:r w:rsidRPr="0048148E">
        <w:rPr>
          <w:rFonts w:asciiTheme="majorBidi" w:eastAsia="Calibri" w:hAnsiTheme="majorBidi" w:cstheme="majorBidi"/>
          <w:sz w:val="24"/>
          <w:szCs w:val="24"/>
          <w:lang w:val="en-US"/>
        </w:rPr>
        <w:t>This</w:t>
      </w:r>
      <w:r w:rsidR="00B06FD8" w:rsidRPr="0048148E">
        <w:rPr>
          <w:rFonts w:asciiTheme="majorBidi" w:eastAsia="Calibri" w:hAnsiTheme="majorBidi" w:cstheme="majorBidi"/>
          <w:sz w:val="24"/>
          <w:szCs w:val="24"/>
          <w:lang w:val="en-US"/>
        </w:rPr>
        <w:t xml:space="preserve"> </w:t>
      </w:r>
      <w:r w:rsidRPr="0048148E">
        <w:rPr>
          <w:rFonts w:asciiTheme="majorBidi" w:eastAsia="Calibri" w:hAnsiTheme="majorBidi" w:cstheme="majorBidi"/>
          <w:sz w:val="24"/>
          <w:szCs w:val="24"/>
          <w:lang w:val="en-US"/>
        </w:rPr>
        <w:t>is</w:t>
      </w:r>
      <w:r w:rsidR="00B06FD8" w:rsidRPr="0048148E">
        <w:rPr>
          <w:rFonts w:asciiTheme="majorBidi" w:eastAsia="Calibri" w:hAnsiTheme="majorBidi" w:cstheme="majorBidi"/>
          <w:sz w:val="24"/>
          <w:szCs w:val="24"/>
          <w:lang w:val="en-US"/>
        </w:rPr>
        <w:t xml:space="preserve"> a relatively larger unit (three verses plus one extra</w:t>
      </w:r>
      <w:r w:rsidR="003D1700">
        <w:rPr>
          <w:rFonts w:asciiTheme="majorBidi" w:eastAsia="Calibri" w:hAnsiTheme="majorBidi" w:cstheme="majorBidi"/>
          <w:sz w:val="24"/>
          <w:szCs w:val="24"/>
          <w:lang w:val="en-US"/>
        </w:rPr>
        <w:t>,</w:t>
      </w:r>
      <w:r w:rsidR="00B06FD8" w:rsidRPr="0048148E">
        <w:rPr>
          <w:rFonts w:asciiTheme="majorBidi" w:eastAsia="Calibri" w:hAnsiTheme="majorBidi" w:cstheme="majorBidi"/>
          <w:sz w:val="24"/>
          <w:szCs w:val="24"/>
          <w:lang w:val="en-US"/>
        </w:rPr>
        <w:t xml:space="preserve"> which serves as a </w:t>
      </w:r>
      <w:r w:rsidR="004F50FE" w:rsidRPr="0048148E">
        <w:rPr>
          <w:rFonts w:asciiTheme="majorBidi" w:eastAsia="Calibri" w:hAnsiTheme="majorBidi" w:cstheme="majorBidi"/>
          <w:sz w:val="24"/>
          <w:szCs w:val="24"/>
          <w:lang w:val="en-US"/>
        </w:rPr>
        <w:t xml:space="preserve">resumptive repetition, or </w:t>
      </w:r>
      <w:r w:rsidR="005F03C7" w:rsidRPr="0048148E">
        <w:rPr>
          <w:rFonts w:asciiTheme="majorBidi" w:eastAsia="Calibri" w:hAnsiTheme="majorBidi" w:cstheme="majorBidi"/>
          <w:i/>
          <w:iCs/>
          <w:sz w:val="24"/>
          <w:szCs w:val="24"/>
          <w:lang w:val="en-US"/>
        </w:rPr>
        <w:t>W</w:t>
      </w:r>
      <w:r w:rsidR="004F50FE" w:rsidRPr="0048148E">
        <w:rPr>
          <w:rFonts w:asciiTheme="majorBidi" w:eastAsia="Calibri" w:hAnsiTheme="majorBidi" w:cstheme="majorBidi"/>
          <w:i/>
          <w:iCs/>
          <w:sz w:val="24"/>
          <w:szCs w:val="24"/>
        </w:rPr>
        <w:t>iederaufnahme</w:t>
      </w:r>
      <w:r w:rsidR="004F50FE" w:rsidRPr="0048148E">
        <w:rPr>
          <w:rFonts w:asciiTheme="majorBidi" w:eastAsia="Calibri" w:hAnsiTheme="majorBidi" w:cstheme="majorBidi"/>
          <w:sz w:val="24"/>
          <w:szCs w:val="24"/>
          <w:lang w:val="en-US"/>
        </w:rPr>
        <w:t>) and not a series of short additions as in the previous case</w:t>
      </w:r>
      <w:r w:rsidRPr="0048148E">
        <w:rPr>
          <w:rFonts w:asciiTheme="majorBidi" w:eastAsia="Calibri" w:hAnsiTheme="majorBidi" w:cstheme="majorBidi"/>
          <w:sz w:val="24"/>
          <w:szCs w:val="24"/>
          <w:lang w:val="en-US"/>
        </w:rPr>
        <w:t>. However</w:t>
      </w:r>
      <w:r w:rsidR="004F50FE" w:rsidRPr="0048148E">
        <w:rPr>
          <w:rFonts w:asciiTheme="majorBidi" w:eastAsia="Calibri" w:hAnsiTheme="majorBidi" w:cstheme="majorBidi"/>
          <w:sz w:val="24"/>
          <w:szCs w:val="24"/>
          <w:lang w:val="en-US"/>
        </w:rPr>
        <w:t xml:space="preserve">, it seems that this unit </w:t>
      </w:r>
      <w:r w:rsidRPr="0048148E">
        <w:rPr>
          <w:rFonts w:asciiTheme="majorBidi" w:eastAsia="Calibri" w:hAnsiTheme="majorBidi" w:cstheme="majorBidi"/>
          <w:sz w:val="24"/>
          <w:szCs w:val="24"/>
          <w:lang w:val="en-US"/>
        </w:rPr>
        <w:t xml:space="preserve">was produced by the same hand which added the pluses in 1Kgs 8:1-5, as both cases show a familiarity with the </w:t>
      </w:r>
      <w:r w:rsidR="00AD47B5" w:rsidRPr="0048148E">
        <w:rPr>
          <w:rFonts w:asciiTheme="majorBidi" w:eastAsia="Calibri" w:hAnsiTheme="majorBidi" w:cstheme="majorBidi"/>
          <w:sz w:val="24"/>
          <w:szCs w:val="24"/>
          <w:lang w:val="en-US"/>
        </w:rPr>
        <w:t>terminology</w:t>
      </w:r>
      <w:r w:rsidRPr="0048148E">
        <w:rPr>
          <w:rFonts w:asciiTheme="majorBidi" w:eastAsia="Calibri" w:hAnsiTheme="majorBidi" w:cstheme="majorBidi"/>
          <w:sz w:val="24"/>
          <w:szCs w:val="24"/>
          <w:lang w:val="en-US"/>
        </w:rPr>
        <w:t xml:space="preserve"> of the Priestly strata of the Torah, and the texts in both cases are absent from the Septuagint. </w:t>
      </w:r>
      <w:r w:rsidR="00D969E6" w:rsidRPr="00D969E6">
        <w:rPr>
          <w:rFonts w:asciiTheme="majorBidi" w:eastAsia="Calibri" w:hAnsiTheme="majorBidi" w:cstheme="majorBidi"/>
          <w:sz w:val="24"/>
          <w:szCs w:val="24"/>
          <w:lang w:val="en-US"/>
        </w:rPr>
        <w:t>As I mentioned in another study,</w:t>
      </w:r>
      <w:r w:rsidR="00D969E6" w:rsidRPr="00D969E6">
        <w:rPr>
          <w:rFonts w:asciiTheme="majorBidi" w:eastAsia="Calibri" w:hAnsiTheme="majorBidi" w:cstheme="majorBidi"/>
          <w:sz w:val="24"/>
          <w:szCs w:val="24"/>
          <w:vertAlign w:val="superscript"/>
          <w:lang w:val="en-US"/>
        </w:rPr>
        <w:footnoteReference w:id="30"/>
      </w:r>
      <w:r w:rsidR="00D969E6" w:rsidRPr="00D969E6">
        <w:rPr>
          <w:rFonts w:asciiTheme="majorBidi" w:eastAsia="Calibri" w:hAnsiTheme="majorBidi" w:cstheme="majorBidi"/>
          <w:sz w:val="24"/>
          <w:szCs w:val="24"/>
          <w:lang w:val="en-US"/>
        </w:rPr>
        <w:t xml:space="preserve"> the description of Solomon’s </w:t>
      </w:r>
      <w:r w:rsidRPr="0048148E">
        <w:rPr>
          <w:rFonts w:asciiTheme="majorBidi" w:eastAsia="Calibri" w:hAnsiTheme="majorBidi" w:cstheme="majorBidi"/>
          <w:sz w:val="24"/>
          <w:szCs w:val="24"/>
          <w:lang w:val="en-US"/>
        </w:rPr>
        <w:t>construction</w:t>
      </w:r>
      <w:r w:rsidR="00D969E6" w:rsidRPr="00D969E6">
        <w:rPr>
          <w:rFonts w:asciiTheme="majorBidi" w:eastAsia="Calibri" w:hAnsiTheme="majorBidi" w:cstheme="majorBidi"/>
          <w:sz w:val="24"/>
          <w:szCs w:val="24"/>
          <w:lang w:val="en-US"/>
        </w:rPr>
        <w:t xml:space="preserve"> of the </w:t>
      </w:r>
      <w:r w:rsidR="00AD47B5" w:rsidRPr="0048148E">
        <w:rPr>
          <w:rFonts w:asciiTheme="majorBidi" w:eastAsia="Calibri" w:hAnsiTheme="majorBidi" w:cstheme="majorBidi"/>
          <w:sz w:val="24"/>
          <w:szCs w:val="24"/>
          <w:lang w:val="en-US"/>
        </w:rPr>
        <w:t>Temple</w:t>
      </w:r>
      <w:r w:rsidR="00D969E6" w:rsidRPr="00D969E6">
        <w:rPr>
          <w:rFonts w:asciiTheme="majorBidi" w:eastAsia="Calibri" w:hAnsiTheme="majorBidi" w:cstheme="majorBidi"/>
          <w:sz w:val="24"/>
          <w:szCs w:val="24"/>
          <w:lang w:val="en-US"/>
        </w:rPr>
        <w:t xml:space="preserve"> is interrupted in MT by </w:t>
      </w:r>
      <w:r w:rsidR="00D969E6" w:rsidRPr="00D969E6">
        <w:rPr>
          <w:rFonts w:asciiTheme="majorBidi" w:eastAsia="Calibri" w:hAnsiTheme="majorBidi" w:cstheme="majorBidi"/>
          <w:sz w:val="24"/>
          <w:szCs w:val="24"/>
          <w:lang w:val="en-US"/>
        </w:rPr>
        <w:lastRenderedPageBreak/>
        <w:t xml:space="preserve">YHWH addressing Solomon regarding the </w:t>
      </w:r>
      <w:r w:rsidR="00AD47B5" w:rsidRPr="0048148E">
        <w:rPr>
          <w:rFonts w:asciiTheme="majorBidi" w:eastAsia="Calibri" w:hAnsiTheme="majorBidi" w:cstheme="majorBidi"/>
          <w:sz w:val="24"/>
          <w:szCs w:val="24"/>
          <w:lang w:val="en-US"/>
        </w:rPr>
        <w:t>Temple</w:t>
      </w:r>
      <w:r w:rsidR="00D969E6" w:rsidRPr="00D969E6">
        <w:rPr>
          <w:rFonts w:asciiTheme="majorBidi" w:eastAsia="Calibri" w:hAnsiTheme="majorBidi" w:cstheme="majorBidi"/>
          <w:sz w:val="24"/>
          <w:szCs w:val="24"/>
          <w:lang w:val="en-US"/>
        </w:rPr>
        <w:t xml:space="preserve"> (</w:t>
      </w:r>
      <w:r w:rsidRPr="0048148E">
        <w:rPr>
          <w:rFonts w:asciiTheme="majorBidi" w:eastAsia="Calibri" w:hAnsiTheme="majorBidi" w:cstheme="majorBidi"/>
          <w:sz w:val="24"/>
          <w:szCs w:val="24"/>
          <w:lang w:val="en-US"/>
        </w:rPr>
        <w:t>1</w:t>
      </w:r>
      <w:r w:rsidR="00D969E6" w:rsidRPr="00D969E6">
        <w:rPr>
          <w:rFonts w:asciiTheme="majorBidi" w:eastAsia="Calibri" w:hAnsiTheme="majorBidi" w:cstheme="majorBidi"/>
          <w:sz w:val="24"/>
          <w:szCs w:val="24"/>
          <w:lang w:val="en-US"/>
        </w:rPr>
        <w:t>Kgs 6:11-13). The</w:t>
      </w:r>
      <w:r w:rsidR="00D969E6" w:rsidRPr="00D969E6">
        <w:rPr>
          <w:rFonts w:asciiTheme="majorBidi" w:eastAsia="MS Mincho" w:hAnsiTheme="majorBidi" w:cstheme="majorBidi"/>
          <w:sz w:val="24"/>
          <w:szCs w:val="24"/>
          <w:lang w:val="en-US"/>
        </w:rPr>
        <w:t xml:space="preserve"> text </w:t>
      </w:r>
      <w:r w:rsidRPr="0048148E">
        <w:rPr>
          <w:rFonts w:asciiTheme="majorBidi" w:eastAsia="MS Mincho" w:hAnsiTheme="majorBidi" w:cstheme="majorBidi"/>
          <w:sz w:val="24"/>
          <w:szCs w:val="24"/>
          <w:lang w:val="en-US"/>
        </w:rPr>
        <w:t xml:space="preserve">then </w:t>
      </w:r>
      <w:r w:rsidR="00D969E6" w:rsidRPr="00D969E6">
        <w:rPr>
          <w:rFonts w:asciiTheme="majorBidi" w:eastAsia="MS Mincho" w:hAnsiTheme="majorBidi" w:cstheme="majorBidi"/>
          <w:sz w:val="24"/>
          <w:szCs w:val="24"/>
          <w:lang w:val="en-US"/>
        </w:rPr>
        <w:t xml:space="preserve">returns to Solomon completing the construction of the </w:t>
      </w:r>
      <w:r w:rsidR="00AD47B5" w:rsidRPr="0048148E">
        <w:rPr>
          <w:rFonts w:asciiTheme="majorBidi" w:eastAsia="MS Mincho" w:hAnsiTheme="majorBidi" w:cstheme="majorBidi"/>
          <w:sz w:val="24"/>
          <w:szCs w:val="24"/>
          <w:lang w:val="en-US"/>
        </w:rPr>
        <w:t>Temple</w:t>
      </w:r>
      <w:r w:rsidR="00D969E6" w:rsidRPr="00D969E6">
        <w:rPr>
          <w:rFonts w:asciiTheme="majorBidi" w:eastAsia="MS Mincho" w:hAnsiTheme="majorBidi" w:cstheme="majorBidi"/>
          <w:sz w:val="24"/>
          <w:szCs w:val="24"/>
          <w:lang w:val="en-US"/>
        </w:rPr>
        <w:t>, with a resumptive repetition noted in bold, as can be seen here:</w:t>
      </w:r>
    </w:p>
    <w:p w14:paraId="2ED555CB" w14:textId="77777777" w:rsidR="00D969E6" w:rsidRPr="00D969E6" w:rsidRDefault="00D969E6" w:rsidP="0048148E">
      <w:pPr>
        <w:tabs>
          <w:tab w:val="left" w:pos="720"/>
          <w:tab w:val="left" w:pos="1440"/>
        </w:tabs>
        <w:spacing w:after="0" w:line="360" w:lineRule="auto"/>
        <w:jc w:val="both"/>
        <w:rPr>
          <w:rFonts w:asciiTheme="majorBidi" w:eastAsia="Calibri" w:hAnsiTheme="majorBidi" w:cstheme="majorBidi"/>
          <w:sz w:val="24"/>
          <w:szCs w:val="24"/>
          <w:lang w:val="en-US"/>
        </w:rPr>
      </w:pPr>
    </w:p>
    <w:p w14:paraId="49490D8F" w14:textId="77777777" w:rsidR="00D969E6" w:rsidRPr="00D969E6" w:rsidRDefault="00D969E6" w:rsidP="0048148E">
      <w:pPr>
        <w:bidi/>
        <w:spacing w:after="0" w:line="360" w:lineRule="auto"/>
        <w:ind w:left="1440" w:right="1440"/>
        <w:jc w:val="right"/>
        <w:rPr>
          <w:rFonts w:asciiTheme="majorBidi" w:eastAsia="MS Mincho" w:hAnsiTheme="majorBidi" w:cstheme="majorBidi"/>
          <w:sz w:val="24"/>
          <w:szCs w:val="24"/>
          <w:rtl/>
          <w:lang w:val="en-US"/>
        </w:rPr>
      </w:pPr>
      <w:r w:rsidRPr="00D969E6">
        <w:rPr>
          <w:rFonts w:asciiTheme="majorBidi" w:eastAsia="Times New Roman" w:hAnsiTheme="majorBidi" w:cstheme="majorBidi"/>
          <w:sz w:val="24"/>
          <w:szCs w:val="24"/>
          <w:highlight w:val="yellow"/>
          <w:lang w:val="en-US"/>
        </w:rPr>
        <w:t>TEXTS</w:t>
      </w:r>
    </w:p>
    <w:p w14:paraId="39CC6F2B" w14:textId="61B749C7" w:rsidR="00D969E6" w:rsidRPr="00D969E6" w:rsidRDefault="004C4D4B" w:rsidP="0048148E">
      <w:pPr>
        <w:tabs>
          <w:tab w:val="left" w:pos="720"/>
          <w:tab w:val="left" w:pos="1440"/>
        </w:tabs>
        <w:spacing w:after="0" w:line="36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ab/>
      </w:r>
      <w:r w:rsidR="00D969E6" w:rsidRPr="00D969E6">
        <w:rPr>
          <w:rFonts w:asciiTheme="majorBidi" w:eastAsia="Calibri" w:hAnsiTheme="majorBidi" w:cstheme="majorBidi"/>
          <w:sz w:val="24"/>
          <w:szCs w:val="24"/>
          <w:lang w:val="en-US"/>
        </w:rPr>
        <w:t xml:space="preserve">Verse 15, which depicts the overlay of the structure with boards of cedar, clearly follows most naturally after 6:1–10, which detail the construction of the </w:t>
      </w:r>
      <w:r w:rsidR="00AD47B5" w:rsidRPr="0048148E">
        <w:rPr>
          <w:rFonts w:asciiTheme="majorBidi" w:eastAsia="Calibri" w:hAnsiTheme="majorBidi" w:cstheme="majorBidi"/>
          <w:sz w:val="24"/>
          <w:szCs w:val="24"/>
          <w:lang w:val="en-US"/>
        </w:rPr>
        <w:t>Temple</w:t>
      </w:r>
      <w:r w:rsidR="00D969E6" w:rsidRPr="00D969E6">
        <w:rPr>
          <w:rFonts w:asciiTheme="majorBidi" w:eastAsia="Calibri" w:hAnsiTheme="majorBidi" w:cstheme="majorBidi"/>
          <w:sz w:val="24"/>
          <w:szCs w:val="24"/>
          <w:lang w:val="en-US"/>
        </w:rPr>
        <w:t>. Since no plausible reason exists for the deletion of vv. 11–14 by the LXX translator,</w:t>
      </w:r>
      <w:r w:rsidR="00D969E6" w:rsidRPr="00D969E6">
        <w:rPr>
          <w:rFonts w:asciiTheme="majorBidi" w:eastAsia="Calibri" w:hAnsiTheme="majorBidi" w:cstheme="majorBidi"/>
          <w:sz w:val="24"/>
          <w:szCs w:val="24"/>
          <w:vertAlign w:val="superscript"/>
          <w:lang w:val="en-US"/>
        </w:rPr>
        <w:footnoteReference w:id="31"/>
      </w:r>
      <w:r w:rsidR="00D969E6" w:rsidRPr="00D969E6">
        <w:rPr>
          <w:rFonts w:asciiTheme="majorBidi" w:eastAsia="Calibri" w:hAnsiTheme="majorBidi" w:cstheme="majorBidi"/>
          <w:sz w:val="24"/>
          <w:szCs w:val="24"/>
          <w:lang w:val="en-US"/>
        </w:rPr>
        <w:t xml:space="preserve"> nor can we reconstruct a “scribal accident” in its Hebrew </w:t>
      </w:r>
      <w:r w:rsidR="00D969E6" w:rsidRPr="00D969E6">
        <w:rPr>
          <w:rFonts w:asciiTheme="majorBidi" w:eastAsia="Calibri" w:hAnsiTheme="majorBidi" w:cstheme="majorBidi"/>
          <w:i/>
          <w:iCs/>
          <w:sz w:val="24"/>
          <w:szCs w:val="24"/>
          <w:lang w:val="en-US"/>
        </w:rPr>
        <w:t>Vorlage</w:t>
      </w:r>
      <w:r w:rsidR="00D969E6" w:rsidRPr="00D969E6">
        <w:rPr>
          <w:rFonts w:asciiTheme="majorBidi" w:eastAsia="Calibri" w:hAnsiTheme="majorBidi" w:cstheme="majorBidi"/>
          <w:sz w:val="24"/>
          <w:szCs w:val="24"/>
          <w:lang w:val="en-US"/>
        </w:rPr>
        <w:t xml:space="preserve">, it is much more reasonable to assume that 1Kgs 6:11–14 was added to the Hebrew text at a later stage of </w:t>
      </w:r>
      <w:r w:rsidR="005F03C7" w:rsidRPr="0048148E">
        <w:rPr>
          <w:rFonts w:asciiTheme="majorBidi" w:eastAsia="Calibri" w:hAnsiTheme="majorBidi" w:cstheme="majorBidi"/>
          <w:sz w:val="24"/>
          <w:szCs w:val="24"/>
          <w:lang w:val="en-US"/>
        </w:rPr>
        <w:t xml:space="preserve">its </w:t>
      </w:r>
      <w:r w:rsidR="00D969E6" w:rsidRPr="00D969E6">
        <w:rPr>
          <w:rFonts w:asciiTheme="majorBidi" w:eastAsia="Calibri" w:hAnsiTheme="majorBidi" w:cstheme="majorBidi"/>
          <w:sz w:val="24"/>
          <w:szCs w:val="24"/>
          <w:lang w:val="en-US"/>
        </w:rPr>
        <w:t xml:space="preserve">development, </w:t>
      </w:r>
      <w:r w:rsidR="005F03C7" w:rsidRPr="0048148E">
        <w:rPr>
          <w:rFonts w:asciiTheme="majorBidi" w:eastAsia="Calibri" w:hAnsiTheme="majorBidi" w:cstheme="majorBidi"/>
          <w:sz w:val="24"/>
          <w:szCs w:val="24"/>
          <w:lang w:val="en-US"/>
        </w:rPr>
        <w:t>which is the reason</w:t>
      </w:r>
      <w:r w:rsidR="00D969E6" w:rsidRPr="00D969E6">
        <w:rPr>
          <w:rFonts w:asciiTheme="majorBidi" w:eastAsia="Calibri" w:hAnsiTheme="majorBidi" w:cstheme="majorBidi"/>
          <w:sz w:val="24"/>
          <w:szCs w:val="24"/>
          <w:lang w:val="en-US"/>
        </w:rPr>
        <w:t xml:space="preserve"> the</w:t>
      </w:r>
      <w:r w:rsidR="005F03C7" w:rsidRPr="0048148E">
        <w:rPr>
          <w:rFonts w:asciiTheme="majorBidi" w:eastAsia="Calibri" w:hAnsiTheme="majorBidi" w:cstheme="majorBidi"/>
          <w:sz w:val="24"/>
          <w:szCs w:val="24"/>
          <w:lang w:val="en-US"/>
        </w:rPr>
        <w:t>se</w:t>
      </w:r>
      <w:r w:rsidR="00D969E6" w:rsidRPr="00D969E6">
        <w:rPr>
          <w:rFonts w:asciiTheme="majorBidi" w:eastAsia="Calibri" w:hAnsiTheme="majorBidi" w:cstheme="majorBidi"/>
          <w:sz w:val="24"/>
          <w:szCs w:val="24"/>
          <w:lang w:val="en-US"/>
        </w:rPr>
        <w:t xml:space="preserve"> verses are </w:t>
      </w:r>
      <w:r w:rsidR="005F03C7" w:rsidRPr="0048148E">
        <w:rPr>
          <w:rFonts w:asciiTheme="majorBidi" w:eastAsia="Calibri" w:hAnsiTheme="majorBidi" w:cstheme="majorBidi"/>
          <w:sz w:val="24"/>
          <w:szCs w:val="24"/>
          <w:lang w:val="en-US"/>
        </w:rPr>
        <w:t>absent</w:t>
      </w:r>
      <w:r w:rsidR="00D969E6" w:rsidRPr="00D969E6">
        <w:rPr>
          <w:rFonts w:asciiTheme="majorBidi" w:eastAsia="Calibri" w:hAnsiTheme="majorBidi" w:cstheme="majorBidi"/>
          <w:sz w:val="24"/>
          <w:szCs w:val="24"/>
          <w:lang w:val="en-US"/>
        </w:rPr>
        <w:t xml:space="preserve"> from the </w:t>
      </w:r>
      <w:proofErr w:type="spellStart"/>
      <w:r w:rsidR="00E121BE">
        <w:rPr>
          <w:rFonts w:asciiTheme="majorBidi" w:eastAsia="Calibri" w:hAnsiTheme="majorBidi" w:cstheme="majorBidi"/>
          <w:smallCaps/>
          <w:sz w:val="24"/>
          <w:szCs w:val="24"/>
          <w:lang w:val="en-US"/>
        </w:rPr>
        <w:t>LXX</w:t>
      </w:r>
      <w:r w:rsidR="00D969E6" w:rsidRPr="00D969E6">
        <w:rPr>
          <w:rFonts w:asciiTheme="majorBidi" w:eastAsia="Calibri" w:hAnsiTheme="majorBidi" w:cstheme="majorBidi"/>
          <w:sz w:val="24"/>
          <w:szCs w:val="24"/>
          <w:vertAlign w:val="superscript"/>
          <w:lang w:val="en-US"/>
        </w:rPr>
        <w:t>B</w:t>
      </w:r>
      <w:proofErr w:type="spellEnd"/>
      <w:r w:rsidR="00D969E6" w:rsidRPr="00D969E6">
        <w:rPr>
          <w:rFonts w:asciiTheme="majorBidi" w:eastAsia="Calibri" w:hAnsiTheme="majorBidi" w:cstheme="majorBidi"/>
          <w:sz w:val="24"/>
          <w:szCs w:val="24"/>
          <w:lang w:val="en-US"/>
        </w:rPr>
        <w:t>.</w:t>
      </w:r>
      <w:r w:rsidR="00D969E6" w:rsidRPr="00D969E6">
        <w:rPr>
          <w:rFonts w:asciiTheme="majorBidi" w:eastAsia="Calibri" w:hAnsiTheme="majorBidi" w:cstheme="majorBidi"/>
          <w:sz w:val="24"/>
          <w:szCs w:val="24"/>
          <w:vertAlign w:val="superscript"/>
          <w:lang w:val="en-US"/>
        </w:rPr>
        <w:footnoteReference w:id="32"/>
      </w:r>
      <w:r w:rsidR="00D969E6" w:rsidRPr="00D969E6">
        <w:rPr>
          <w:rFonts w:asciiTheme="majorBidi" w:eastAsia="Calibri" w:hAnsiTheme="majorBidi" w:cstheme="majorBidi"/>
          <w:sz w:val="24"/>
          <w:szCs w:val="24"/>
          <w:lang w:val="en-US"/>
        </w:rPr>
        <w:t xml:space="preserve"> This thesis is supported by a number of considerations</w:t>
      </w:r>
      <w:r w:rsidR="003D1700">
        <w:rPr>
          <w:rFonts w:asciiTheme="majorBidi" w:eastAsia="Calibri" w:hAnsiTheme="majorBidi" w:cstheme="majorBidi"/>
          <w:sz w:val="24"/>
          <w:szCs w:val="24"/>
          <w:lang w:val="en-US"/>
        </w:rPr>
        <w:t>. F</w:t>
      </w:r>
      <w:r w:rsidR="00D969E6" w:rsidRPr="00D969E6">
        <w:rPr>
          <w:rFonts w:asciiTheme="majorBidi" w:eastAsia="Calibri" w:hAnsiTheme="majorBidi" w:cstheme="majorBidi"/>
          <w:sz w:val="24"/>
          <w:szCs w:val="24"/>
          <w:lang w:val="en-US"/>
        </w:rPr>
        <w:t xml:space="preserve">irst, these verses clearly do not constitute a coherent narrative unit. The circumstances in which they were uttered are not clear, </w:t>
      </w:r>
      <w:r w:rsidR="0098596A">
        <w:rPr>
          <w:rFonts w:asciiTheme="majorBidi" w:eastAsia="Calibri" w:hAnsiTheme="majorBidi" w:cstheme="majorBidi"/>
          <w:sz w:val="24"/>
          <w:szCs w:val="24"/>
          <w:lang w:val="en-US"/>
        </w:rPr>
        <w:t>nor is there any</w:t>
      </w:r>
      <w:r w:rsidR="00D969E6" w:rsidRPr="00D969E6">
        <w:rPr>
          <w:rFonts w:asciiTheme="majorBidi" w:eastAsia="Calibri" w:hAnsiTheme="majorBidi" w:cstheme="majorBidi"/>
          <w:sz w:val="24"/>
          <w:szCs w:val="24"/>
          <w:lang w:val="en-US"/>
        </w:rPr>
        <w:t xml:space="preserve"> indication of Solomon’s response. Second, the text in 1Kgs 9:2</w:t>
      </w:r>
      <w:r w:rsidR="005F03C7" w:rsidRPr="0048148E">
        <w:rPr>
          <w:rFonts w:asciiTheme="majorBidi" w:eastAsia="Calibri" w:hAnsiTheme="majorBidi" w:cstheme="majorBidi"/>
          <w:sz w:val="24"/>
          <w:szCs w:val="24"/>
          <w:lang w:val="en-US"/>
        </w:rPr>
        <w:t xml:space="preserve"> relates that</w:t>
      </w:r>
      <w:r w:rsidR="00D969E6" w:rsidRPr="00D969E6">
        <w:rPr>
          <w:rFonts w:asciiTheme="majorBidi" w:eastAsia="Calibri" w:hAnsiTheme="majorBidi" w:cstheme="majorBidi"/>
          <w:sz w:val="24"/>
          <w:szCs w:val="24"/>
          <w:lang w:val="en-US"/>
        </w:rPr>
        <w:t xml:space="preserve"> God “appeared to Solomon a </w:t>
      </w:r>
      <w:r w:rsidR="00D969E6" w:rsidRPr="00D969E6">
        <w:rPr>
          <w:rFonts w:asciiTheme="majorBidi" w:eastAsia="Calibri" w:hAnsiTheme="majorBidi" w:cstheme="majorBidi"/>
          <w:i/>
          <w:sz w:val="24"/>
          <w:szCs w:val="24"/>
          <w:lang w:val="en-US"/>
        </w:rPr>
        <w:t>second time</w:t>
      </w:r>
      <w:r w:rsidR="00D969E6" w:rsidRPr="00D969E6">
        <w:rPr>
          <w:rFonts w:asciiTheme="majorBidi" w:eastAsia="Calibri" w:hAnsiTheme="majorBidi" w:cstheme="majorBidi"/>
          <w:sz w:val="24"/>
          <w:szCs w:val="24"/>
          <w:lang w:val="en-US"/>
        </w:rPr>
        <w:t xml:space="preserve"> as He had appeared to him at Gibeon</w:t>
      </w:r>
      <w:r w:rsidR="005F03C7" w:rsidRPr="0048148E">
        <w:rPr>
          <w:rFonts w:asciiTheme="majorBidi" w:eastAsia="Calibri" w:hAnsiTheme="majorBidi" w:cstheme="majorBidi"/>
          <w:sz w:val="24"/>
          <w:szCs w:val="24"/>
          <w:lang w:val="en-US"/>
        </w:rPr>
        <w:t>,</w:t>
      </w:r>
      <w:r w:rsidR="00D969E6" w:rsidRPr="00D969E6">
        <w:rPr>
          <w:rFonts w:asciiTheme="majorBidi" w:eastAsia="Calibri" w:hAnsiTheme="majorBidi" w:cstheme="majorBidi"/>
          <w:sz w:val="24"/>
          <w:szCs w:val="24"/>
          <w:lang w:val="en-US"/>
        </w:rPr>
        <w:t>”</w:t>
      </w:r>
      <w:r w:rsidR="005F03C7" w:rsidRPr="0048148E">
        <w:rPr>
          <w:rFonts w:asciiTheme="majorBidi" w:eastAsia="Calibri" w:hAnsiTheme="majorBidi" w:cstheme="majorBidi"/>
          <w:sz w:val="24"/>
          <w:szCs w:val="24"/>
          <w:lang w:val="en-US"/>
        </w:rPr>
        <w:t xml:space="preserve"> referring</w:t>
      </w:r>
      <w:r w:rsidR="00D969E6" w:rsidRPr="00D969E6">
        <w:rPr>
          <w:rFonts w:asciiTheme="majorBidi" w:eastAsia="Calibri" w:hAnsiTheme="majorBidi" w:cstheme="majorBidi"/>
          <w:sz w:val="24"/>
          <w:szCs w:val="24"/>
          <w:lang w:val="en-US"/>
        </w:rPr>
        <w:t xml:space="preserve"> to the revelation described in 1 Kings</w:t>
      </w:r>
      <w:r w:rsidR="005F03C7" w:rsidRPr="0048148E">
        <w:rPr>
          <w:rFonts w:asciiTheme="majorBidi" w:eastAsia="Calibri" w:hAnsiTheme="majorBidi" w:cstheme="majorBidi"/>
          <w:sz w:val="24"/>
          <w:szCs w:val="24"/>
          <w:lang w:val="en-US"/>
        </w:rPr>
        <w:t>. This text</w:t>
      </w:r>
      <w:r w:rsidR="00D969E6" w:rsidRPr="00D969E6">
        <w:rPr>
          <w:rFonts w:asciiTheme="majorBidi" w:eastAsia="Calibri" w:hAnsiTheme="majorBidi" w:cstheme="majorBidi"/>
          <w:sz w:val="24"/>
          <w:szCs w:val="24"/>
          <w:lang w:val="en-US"/>
        </w:rPr>
        <w:t xml:space="preserve"> seems to be unfamiliar with any </w:t>
      </w:r>
      <w:r w:rsidR="00AD47B5" w:rsidRPr="0048148E">
        <w:rPr>
          <w:rFonts w:asciiTheme="majorBidi" w:eastAsia="Calibri" w:hAnsiTheme="majorBidi" w:cstheme="majorBidi"/>
          <w:sz w:val="24"/>
          <w:szCs w:val="24"/>
          <w:lang w:val="en-US"/>
        </w:rPr>
        <w:t>Divine</w:t>
      </w:r>
      <w:r w:rsidR="00D969E6" w:rsidRPr="00D969E6">
        <w:rPr>
          <w:rFonts w:asciiTheme="majorBidi" w:eastAsia="Calibri" w:hAnsiTheme="majorBidi" w:cstheme="majorBidi"/>
          <w:sz w:val="24"/>
          <w:szCs w:val="24"/>
          <w:lang w:val="en-US"/>
        </w:rPr>
        <w:t xml:space="preserve"> speech </w:t>
      </w:r>
      <w:r w:rsidR="005F03C7" w:rsidRPr="0048148E">
        <w:rPr>
          <w:rFonts w:asciiTheme="majorBidi" w:eastAsia="Calibri" w:hAnsiTheme="majorBidi" w:cstheme="majorBidi"/>
          <w:sz w:val="24"/>
          <w:szCs w:val="24"/>
          <w:lang w:val="en-US"/>
        </w:rPr>
        <w:t xml:space="preserve">given </w:t>
      </w:r>
      <w:r w:rsidR="00D969E6" w:rsidRPr="00D969E6">
        <w:rPr>
          <w:rFonts w:asciiTheme="majorBidi" w:eastAsia="Calibri" w:hAnsiTheme="majorBidi" w:cstheme="majorBidi"/>
          <w:sz w:val="24"/>
          <w:szCs w:val="24"/>
          <w:lang w:val="en-US"/>
        </w:rPr>
        <w:t>to Solomon in 1Kgs 6.</w:t>
      </w:r>
    </w:p>
    <w:p w14:paraId="72D188CE" w14:textId="4C681BC3" w:rsidR="00D969E6" w:rsidRPr="00D969E6" w:rsidRDefault="005F03C7" w:rsidP="0048148E">
      <w:pPr>
        <w:tabs>
          <w:tab w:val="left" w:pos="720"/>
          <w:tab w:val="left" w:pos="1440"/>
        </w:tabs>
        <w:spacing w:after="0" w:line="360" w:lineRule="auto"/>
        <w:ind w:firstLine="720"/>
        <w:jc w:val="both"/>
        <w:rPr>
          <w:rFonts w:asciiTheme="majorBidi" w:eastAsia="Calibri" w:hAnsiTheme="majorBidi" w:cstheme="majorBidi"/>
          <w:sz w:val="24"/>
          <w:szCs w:val="24"/>
          <w:lang w:val="en-US"/>
        </w:rPr>
      </w:pPr>
      <w:r w:rsidRPr="0048148E">
        <w:rPr>
          <w:rFonts w:asciiTheme="majorBidi" w:eastAsia="Calibri" w:hAnsiTheme="majorBidi" w:cstheme="majorBidi"/>
          <w:sz w:val="24"/>
          <w:szCs w:val="24"/>
          <w:lang w:val="en-US"/>
        </w:rPr>
        <w:t>While some</w:t>
      </w:r>
      <w:r w:rsidRPr="0048148E">
        <w:rPr>
          <w:rFonts w:asciiTheme="majorBidi" w:eastAsia="Calibri" w:hAnsiTheme="majorBidi" w:cstheme="majorBidi"/>
          <w:i/>
          <w:iCs/>
          <w:sz w:val="24"/>
          <w:szCs w:val="24"/>
          <w:lang w:val="en-US"/>
        </w:rPr>
        <w:t xml:space="preserve"> </w:t>
      </w:r>
      <w:r w:rsidR="00D969E6" w:rsidRPr="00D969E6">
        <w:rPr>
          <w:rFonts w:asciiTheme="majorBidi" w:eastAsia="Calibri" w:hAnsiTheme="majorBidi" w:cstheme="majorBidi"/>
          <w:sz w:val="24"/>
          <w:szCs w:val="24"/>
          <w:lang w:val="en-US"/>
        </w:rPr>
        <w:t>scholars view the unit as Deuteronomistic,</w:t>
      </w:r>
      <w:r w:rsidR="00D969E6" w:rsidRPr="00D969E6">
        <w:rPr>
          <w:rFonts w:asciiTheme="majorBidi" w:eastAsia="Calibri" w:hAnsiTheme="majorBidi" w:cstheme="majorBidi"/>
          <w:sz w:val="24"/>
          <w:szCs w:val="24"/>
          <w:vertAlign w:val="superscript"/>
          <w:lang w:val="en-US"/>
        </w:rPr>
        <w:footnoteReference w:id="33"/>
      </w:r>
      <w:r w:rsidR="00D969E6" w:rsidRPr="00D969E6">
        <w:rPr>
          <w:rFonts w:asciiTheme="majorBidi" w:eastAsia="Calibri" w:hAnsiTheme="majorBidi" w:cstheme="majorBidi"/>
          <w:sz w:val="24"/>
          <w:szCs w:val="24"/>
          <w:lang w:val="en-US"/>
        </w:rPr>
        <w:t xml:space="preserve"> the </w:t>
      </w:r>
      <w:r w:rsidR="00631AB5" w:rsidRPr="0048148E">
        <w:rPr>
          <w:rFonts w:asciiTheme="majorBidi" w:eastAsia="Calibri" w:hAnsiTheme="majorBidi" w:cstheme="majorBidi"/>
          <w:sz w:val="24"/>
          <w:szCs w:val="24"/>
          <w:lang w:val="en-US"/>
        </w:rPr>
        <w:t>terminology</w:t>
      </w:r>
      <w:r w:rsidR="00D969E6" w:rsidRPr="00D969E6">
        <w:rPr>
          <w:rFonts w:asciiTheme="majorBidi" w:eastAsia="Calibri" w:hAnsiTheme="majorBidi" w:cstheme="majorBidi"/>
          <w:sz w:val="24"/>
          <w:szCs w:val="24"/>
          <w:lang w:val="en-US"/>
        </w:rPr>
        <w:t xml:space="preserve"> is characteristic </w:t>
      </w:r>
      <w:r w:rsidRPr="00D969E6">
        <w:rPr>
          <w:rFonts w:asciiTheme="majorBidi" w:eastAsia="Calibri" w:hAnsiTheme="majorBidi" w:cstheme="majorBidi"/>
          <w:sz w:val="24"/>
          <w:szCs w:val="24"/>
          <w:lang w:val="en-US"/>
        </w:rPr>
        <w:t xml:space="preserve">neither </w:t>
      </w:r>
      <w:r w:rsidR="00D969E6" w:rsidRPr="00D969E6">
        <w:rPr>
          <w:rFonts w:asciiTheme="majorBidi" w:eastAsia="Calibri" w:hAnsiTheme="majorBidi" w:cstheme="majorBidi"/>
          <w:sz w:val="24"/>
          <w:szCs w:val="24"/>
          <w:lang w:val="en-US"/>
        </w:rPr>
        <w:t>of Kings nor</w:t>
      </w:r>
      <w:r w:rsidRPr="0048148E">
        <w:rPr>
          <w:rFonts w:asciiTheme="majorBidi" w:eastAsia="Calibri" w:hAnsiTheme="majorBidi" w:cstheme="majorBidi"/>
          <w:sz w:val="24"/>
          <w:szCs w:val="24"/>
          <w:lang w:val="en-US"/>
        </w:rPr>
        <w:t xml:space="preserve"> of</w:t>
      </w:r>
      <w:r w:rsidR="00D969E6" w:rsidRPr="00D969E6">
        <w:rPr>
          <w:rFonts w:asciiTheme="majorBidi" w:eastAsia="Calibri" w:hAnsiTheme="majorBidi" w:cstheme="majorBidi"/>
          <w:sz w:val="24"/>
          <w:szCs w:val="24"/>
          <w:lang w:val="en-US"/>
        </w:rPr>
        <w:t xml:space="preserve"> Deuteronomistic works. In fact, it recalls the </w:t>
      </w:r>
      <w:r w:rsidR="000D575F" w:rsidRPr="0048148E">
        <w:rPr>
          <w:rFonts w:asciiTheme="majorBidi" w:eastAsia="Calibri" w:hAnsiTheme="majorBidi" w:cstheme="majorBidi"/>
          <w:sz w:val="24"/>
          <w:szCs w:val="24"/>
          <w:lang w:val="en-US"/>
        </w:rPr>
        <w:t>Priestly</w:t>
      </w:r>
      <w:r w:rsidR="00D969E6" w:rsidRPr="00D969E6">
        <w:rPr>
          <w:rFonts w:asciiTheme="majorBidi" w:eastAsia="Calibri" w:hAnsiTheme="majorBidi" w:cstheme="majorBidi"/>
          <w:sz w:val="24"/>
          <w:szCs w:val="24"/>
          <w:lang w:val="en-US"/>
        </w:rPr>
        <w:t xml:space="preserve"> document in the </w:t>
      </w:r>
      <w:r w:rsidR="009E31F3">
        <w:rPr>
          <w:rFonts w:asciiTheme="majorBidi" w:eastAsia="Calibri" w:hAnsiTheme="majorBidi" w:cstheme="majorBidi"/>
          <w:sz w:val="24"/>
          <w:szCs w:val="24"/>
          <w:lang w:val="en-US"/>
        </w:rPr>
        <w:t>Pentateuch</w:t>
      </w:r>
      <w:r w:rsidR="00D969E6" w:rsidRPr="00D969E6">
        <w:rPr>
          <w:rFonts w:asciiTheme="majorBidi" w:eastAsia="Calibri" w:hAnsiTheme="majorBidi" w:cstheme="majorBidi"/>
          <w:sz w:val="24"/>
          <w:szCs w:val="24"/>
          <w:lang w:val="en-US"/>
        </w:rPr>
        <w:t xml:space="preserve"> and the </w:t>
      </w:r>
      <w:r w:rsidR="00631AB5" w:rsidRPr="0048148E">
        <w:rPr>
          <w:rFonts w:asciiTheme="majorBidi" w:eastAsia="Calibri" w:hAnsiTheme="majorBidi" w:cstheme="majorBidi"/>
          <w:sz w:val="24"/>
          <w:szCs w:val="24"/>
          <w:lang w:val="en-US"/>
        </w:rPr>
        <w:t>terminology</w:t>
      </w:r>
      <w:r w:rsidR="00D969E6" w:rsidRPr="00D969E6">
        <w:rPr>
          <w:rFonts w:asciiTheme="majorBidi" w:eastAsia="Calibri" w:hAnsiTheme="majorBidi" w:cstheme="majorBidi"/>
          <w:sz w:val="24"/>
          <w:szCs w:val="24"/>
          <w:lang w:val="en-US"/>
        </w:rPr>
        <w:t xml:space="preserve"> of the H strata and Ezekiel.</w:t>
      </w:r>
      <w:r w:rsidR="00D969E6" w:rsidRPr="00D969E6">
        <w:rPr>
          <w:rFonts w:asciiTheme="majorBidi" w:eastAsia="Calibri" w:hAnsiTheme="majorBidi" w:cstheme="majorBidi"/>
          <w:sz w:val="24"/>
          <w:szCs w:val="24"/>
          <w:vertAlign w:val="superscript"/>
          <w:lang w:val="en-US"/>
        </w:rPr>
        <w:footnoteReference w:id="34"/>
      </w:r>
      <w:r w:rsidR="00D969E6" w:rsidRPr="00D969E6">
        <w:rPr>
          <w:rFonts w:asciiTheme="majorBidi" w:eastAsia="Calibri" w:hAnsiTheme="majorBidi" w:cstheme="majorBidi"/>
          <w:sz w:val="24"/>
          <w:szCs w:val="24"/>
          <w:lang w:val="en-US"/>
        </w:rPr>
        <w:t xml:space="preserve"> Both the idiom </w:t>
      </w:r>
      <w:r w:rsidR="00D969E6" w:rsidRPr="00D969E6">
        <w:rPr>
          <w:rFonts w:asciiTheme="majorBidi" w:eastAsia="Calibri" w:hAnsiTheme="majorBidi" w:cstheme="majorBidi"/>
          <w:sz w:val="24"/>
          <w:szCs w:val="24"/>
          <w:rtl/>
          <w:lang w:val="en-US"/>
        </w:rPr>
        <w:t xml:space="preserve">ללכת + </w:t>
      </w:r>
      <w:proofErr w:type="spellStart"/>
      <w:r w:rsidR="00D969E6" w:rsidRPr="00D969E6">
        <w:rPr>
          <w:rFonts w:asciiTheme="majorBidi" w:eastAsia="Calibri" w:hAnsiTheme="majorBidi" w:cstheme="majorBidi"/>
          <w:sz w:val="24"/>
          <w:szCs w:val="24"/>
          <w:rtl/>
          <w:lang w:val="en-US"/>
        </w:rPr>
        <w:t>בחקתי</w:t>
      </w:r>
      <w:proofErr w:type="spellEnd"/>
      <w:r w:rsidR="00D969E6" w:rsidRPr="00D969E6">
        <w:rPr>
          <w:rFonts w:asciiTheme="majorBidi" w:eastAsia="Calibri" w:hAnsiTheme="majorBidi" w:cstheme="majorBidi"/>
          <w:sz w:val="24"/>
          <w:szCs w:val="24"/>
          <w:lang w:val="en-US"/>
        </w:rPr>
        <w:t xml:space="preserve"> (“walk + </w:t>
      </w:r>
      <w:r w:rsidR="00D969E6" w:rsidRPr="00D969E6">
        <w:rPr>
          <w:rFonts w:asciiTheme="majorBidi" w:eastAsia="MS Mincho" w:hAnsiTheme="majorBidi" w:cstheme="majorBidi"/>
          <w:sz w:val="24"/>
          <w:szCs w:val="24"/>
          <w:lang w:val="en-US"/>
        </w:rPr>
        <w:t xml:space="preserve">in </w:t>
      </w:r>
      <w:r w:rsidR="0002789D" w:rsidRPr="0048148E">
        <w:rPr>
          <w:rFonts w:asciiTheme="majorBidi" w:eastAsia="MS Mincho" w:hAnsiTheme="majorBidi" w:cstheme="majorBidi"/>
          <w:sz w:val="24"/>
          <w:szCs w:val="24"/>
          <w:lang w:val="en-US"/>
        </w:rPr>
        <w:t>M</w:t>
      </w:r>
      <w:r w:rsidR="00D969E6" w:rsidRPr="00D969E6">
        <w:rPr>
          <w:rFonts w:asciiTheme="majorBidi" w:eastAsia="MS Mincho" w:hAnsiTheme="majorBidi" w:cstheme="majorBidi"/>
          <w:sz w:val="24"/>
          <w:szCs w:val="24"/>
          <w:lang w:val="en-US"/>
        </w:rPr>
        <w:t>y statutes</w:t>
      </w:r>
      <w:r w:rsidR="00D969E6" w:rsidRPr="00D969E6">
        <w:rPr>
          <w:rFonts w:asciiTheme="majorBidi" w:eastAsia="Calibri" w:hAnsiTheme="majorBidi" w:cstheme="majorBidi"/>
          <w:sz w:val="24"/>
          <w:szCs w:val="24"/>
          <w:lang w:val="en-US"/>
        </w:rPr>
        <w:t xml:space="preserve">”) and the term </w:t>
      </w:r>
      <w:r w:rsidR="00D969E6" w:rsidRPr="00D969E6">
        <w:rPr>
          <w:rFonts w:asciiTheme="majorBidi" w:eastAsia="Calibri" w:hAnsiTheme="majorBidi" w:cstheme="majorBidi"/>
          <w:sz w:val="24"/>
          <w:szCs w:val="24"/>
          <w:rtl/>
          <w:lang w:val="en-US"/>
        </w:rPr>
        <w:t>משפטי</w:t>
      </w:r>
      <w:r w:rsidR="00D969E6" w:rsidRPr="00D969E6">
        <w:rPr>
          <w:rFonts w:asciiTheme="majorBidi" w:eastAsia="Calibri" w:hAnsiTheme="majorBidi" w:cstheme="majorBidi"/>
          <w:sz w:val="24"/>
          <w:szCs w:val="24"/>
          <w:lang w:val="en-US"/>
        </w:rPr>
        <w:t xml:space="preserve"> (“</w:t>
      </w:r>
      <w:r w:rsidR="0002789D" w:rsidRPr="0048148E">
        <w:rPr>
          <w:rFonts w:asciiTheme="majorBidi" w:eastAsia="Calibri" w:hAnsiTheme="majorBidi" w:cstheme="majorBidi"/>
          <w:sz w:val="24"/>
          <w:szCs w:val="24"/>
          <w:lang w:val="en-US"/>
        </w:rPr>
        <w:t>M</w:t>
      </w:r>
      <w:r w:rsidR="00D969E6" w:rsidRPr="00D969E6">
        <w:rPr>
          <w:rFonts w:asciiTheme="majorBidi" w:eastAsia="Calibri" w:hAnsiTheme="majorBidi" w:cstheme="majorBidi"/>
          <w:sz w:val="24"/>
          <w:szCs w:val="24"/>
          <w:lang w:val="en-US"/>
        </w:rPr>
        <w:t xml:space="preserve">y </w:t>
      </w:r>
      <w:r w:rsidR="00D969E6" w:rsidRPr="00D969E6">
        <w:rPr>
          <w:rFonts w:asciiTheme="majorBidi" w:eastAsia="MS Mincho" w:hAnsiTheme="majorBidi" w:cstheme="majorBidi"/>
          <w:sz w:val="24"/>
          <w:szCs w:val="24"/>
          <w:lang w:val="en-US"/>
        </w:rPr>
        <w:t>ordinances</w:t>
      </w:r>
      <w:r w:rsidR="00D969E6" w:rsidRPr="00D969E6">
        <w:rPr>
          <w:rFonts w:asciiTheme="majorBidi" w:eastAsia="Calibri" w:hAnsiTheme="majorBidi" w:cstheme="majorBidi"/>
          <w:sz w:val="24"/>
          <w:szCs w:val="24"/>
          <w:lang w:val="en-US"/>
        </w:rPr>
        <w:t>”) in v. 12 are prominent H expressions.</w:t>
      </w:r>
      <w:r w:rsidR="00D969E6" w:rsidRPr="00D969E6">
        <w:rPr>
          <w:rFonts w:asciiTheme="majorBidi" w:eastAsia="Calibri" w:hAnsiTheme="majorBidi" w:cstheme="majorBidi"/>
          <w:sz w:val="24"/>
          <w:szCs w:val="24"/>
          <w:vertAlign w:val="superscript"/>
          <w:lang w:val="en-US"/>
        </w:rPr>
        <w:footnoteReference w:id="35"/>
      </w:r>
      <w:r w:rsidR="00D969E6" w:rsidRPr="00D969E6">
        <w:rPr>
          <w:rFonts w:asciiTheme="majorBidi" w:eastAsia="Calibri" w:hAnsiTheme="majorBidi" w:cstheme="majorBidi"/>
          <w:sz w:val="24"/>
          <w:szCs w:val="24"/>
          <w:lang w:val="en-US"/>
        </w:rPr>
        <w:t xml:space="preserve"> The concluding verse of the speech</w:t>
      </w:r>
      <w:r w:rsidR="0002789D" w:rsidRPr="0048148E">
        <w:rPr>
          <w:rFonts w:asciiTheme="majorBidi" w:eastAsia="Calibri" w:hAnsiTheme="majorBidi" w:cstheme="majorBidi"/>
          <w:sz w:val="24"/>
          <w:szCs w:val="24"/>
          <w:lang w:val="en-US"/>
        </w:rPr>
        <w:t>,</w:t>
      </w:r>
      <w:r w:rsidR="00D969E6" w:rsidRPr="00D969E6">
        <w:rPr>
          <w:rFonts w:asciiTheme="majorBidi" w:eastAsia="Calibri" w:hAnsiTheme="majorBidi" w:cstheme="majorBidi"/>
          <w:sz w:val="24"/>
          <w:szCs w:val="24"/>
          <w:lang w:val="en-US"/>
        </w:rPr>
        <w:t xml:space="preserve"> </w:t>
      </w:r>
      <w:r w:rsidR="0098596A" w:rsidRPr="00D969E6">
        <w:rPr>
          <w:rFonts w:asciiTheme="majorBidi" w:eastAsia="Calibri" w:hAnsiTheme="majorBidi" w:cstheme="majorBidi"/>
          <w:sz w:val="24"/>
          <w:szCs w:val="24"/>
          <w:rtl/>
          <w:lang w:val="en-US"/>
        </w:rPr>
        <w:t>ושכנתי בתוך בני ישראל</w:t>
      </w:r>
      <w:r w:rsidR="0098596A" w:rsidRPr="00D969E6">
        <w:rPr>
          <w:rFonts w:asciiTheme="majorBidi" w:eastAsia="Calibri" w:hAnsiTheme="majorBidi" w:cstheme="majorBidi"/>
          <w:sz w:val="24"/>
          <w:szCs w:val="24"/>
          <w:lang w:val="en-US"/>
        </w:rPr>
        <w:t xml:space="preserve"> </w:t>
      </w:r>
      <w:r w:rsidR="0098596A">
        <w:rPr>
          <w:rFonts w:asciiTheme="majorBidi" w:eastAsia="Calibri" w:hAnsiTheme="majorBidi" w:cstheme="majorBidi"/>
          <w:sz w:val="24"/>
          <w:szCs w:val="24"/>
          <w:lang w:val="en-US"/>
        </w:rPr>
        <w:t>(</w:t>
      </w:r>
      <w:r w:rsidR="00D969E6" w:rsidRPr="00D969E6">
        <w:rPr>
          <w:rFonts w:asciiTheme="majorBidi" w:eastAsia="Calibri" w:hAnsiTheme="majorBidi" w:cstheme="majorBidi"/>
          <w:sz w:val="24"/>
          <w:szCs w:val="24"/>
          <w:lang w:val="en-US"/>
        </w:rPr>
        <w:t>“</w:t>
      </w:r>
      <w:r w:rsidR="00D969E6" w:rsidRPr="00D969E6">
        <w:rPr>
          <w:rFonts w:asciiTheme="majorBidi" w:eastAsia="MS Mincho" w:hAnsiTheme="majorBidi" w:cstheme="majorBidi"/>
          <w:sz w:val="24"/>
          <w:szCs w:val="24"/>
          <w:lang w:val="en-US"/>
        </w:rPr>
        <w:t>I will dwell among the children of Israel</w:t>
      </w:r>
      <w:r w:rsidR="0098596A">
        <w:rPr>
          <w:rFonts w:asciiTheme="majorBidi" w:eastAsia="MS Mincho" w:hAnsiTheme="majorBidi" w:cstheme="majorBidi"/>
          <w:sz w:val="24"/>
          <w:szCs w:val="24"/>
          <w:lang w:val="en-US"/>
        </w:rPr>
        <w:t>,</w:t>
      </w:r>
      <w:r w:rsidR="00D969E6" w:rsidRPr="00D969E6">
        <w:rPr>
          <w:rFonts w:asciiTheme="majorBidi" w:eastAsia="Calibri" w:hAnsiTheme="majorBidi" w:cstheme="majorBidi"/>
          <w:sz w:val="24"/>
          <w:szCs w:val="24"/>
          <w:lang w:val="en-US"/>
        </w:rPr>
        <w:t>” v. 13)</w:t>
      </w:r>
      <w:r w:rsidR="0002789D" w:rsidRPr="0048148E">
        <w:rPr>
          <w:rFonts w:asciiTheme="majorBidi" w:eastAsia="Calibri" w:hAnsiTheme="majorBidi" w:cstheme="majorBidi"/>
          <w:sz w:val="24"/>
          <w:szCs w:val="24"/>
          <w:lang w:val="en-US"/>
        </w:rPr>
        <w:t>,</w:t>
      </w:r>
      <w:r w:rsidR="00D969E6" w:rsidRPr="00D969E6">
        <w:rPr>
          <w:rFonts w:asciiTheme="majorBidi" w:eastAsia="Calibri" w:hAnsiTheme="majorBidi" w:cstheme="majorBidi"/>
          <w:sz w:val="24"/>
          <w:szCs w:val="24"/>
          <w:lang w:val="en-US"/>
        </w:rPr>
        <w:t xml:space="preserve"> reflects the key </w:t>
      </w:r>
      <w:r w:rsidR="000D575F" w:rsidRPr="0048148E">
        <w:rPr>
          <w:rFonts w:asciiTheme="majorBidi" w:eastAsia="Calibri" w:hAnsiTheme="majorBidi" w:cstheme="majorBidi"/>
          <w:sz w:val="24"/>
          <w:szCs w:val="24"/>
          <w:lang w:val="en-US"/>
        </w:rPr>
        <w:t>Priestly</w:t>
      </w:r>
      <w:r w:rsidR="00D969E6" w:rsidRPr="00D969E6">
        <w:rPr>
          <w:rFonts w:asciiTheme="majorBidi" w:eastAsia="Calibri" w:hAnsiTheme="majorBidi" w:cstheme="majorBidi"/>
          <w:sz w:val="24"/>
          <w:szCs w:val="24"/>
          <w:lang w:val="en-US"/>
        </w:rPr>
        <w:t xml:space="preserve"> principle of God’s physical dwelling </w:t>
      </w:r>
      <w:r w:rsidR="003C1ECC">
        <w:rPr>
          <w:rFonts w:asciiTheme="majorBidi" w:eastAsia="Calibri" w:hAnsiTheme="majorBidi" w:cstheme="majorBidi"/>
          <w:sz w:val="24"/>
          <w:szCs w:val="24"/>
          <w:lang w:val="en-US"/>
        </w:rPr>
        <w:t>among</w:t>
      </w:r>
      <w:r w:rsidR="00D969E6" w:rsidRPr="00D969E6">
        <w:rPr>
          <w:rFonts w:asciiTheme="majorBidi" w:eastAsia="Calibri" w:hAnsiTheme="majorBidi" w:cstheme="majorBidi"/>
          <w:sz w:val="24"/>
          <w:szCs w:val="24"/>
          <w:lang w:val="en-US"/>
        </w:rPr>
        <w:t xml:space="preserve"> the Israelites via His presence in the </w:t>
      </w:r>
      <w:r w:rsidR="00AD47B5" w:rsidRPr="0048148E">
        <w:rPr>
          <w:rFonts w:asciiTheme="majorBidi" w:eastAsia="Calibri" w:hAnsiTheme="majorBidi" w:cstheme="majorBidi"/>
          <w:sz w:val="24"/>
          <w:szCs w:val="24"/>
          <w:lang w:val="en-US"/>
        </w:rPr>
        <w:t>Temple</w:t>
      </w:r>
      <w:r w:rsidR="00D969E6" w:rsidRPr="00D969E6">
        <w:rPr>
          <w:rFonts w:asciiTheme="majorBidi" w:eastAsia="Calibri" w:hAnsiTheme="majorBidi" w:cstheme="majorBidi"/>
          <w:sz w:val="24"/>
          <w:szCs w:val="24"/>
          <w:lang w:val="en-US"/>
        </w:rPr>
        <w:t xml:space="preserve"> (see especially </w:t>
      </w:r>
      <w:r w:rsidR="00D969E6" w:rsidRPr="00D969E6">
        <w:rPr>
          <w:rFonts w:asciiTheme="majorBidi" w:eastAsia="Calibri" w:hAnsiTheme="majorBidi" w:cstheme="majorBidi"/>
          <w:sz w:val="24"/>
          <w:szCs w:val="24"/>
          <w:rtl/>
          <w:lang w:val="en-US"/>
        </w:rPr>
        <w:t>ועשו לי מקדש ושכנתי בתוכם</w:t>
      </w:r>
      <w:r w:rsidR="0002789D" w:rsidRPr="0048148E">
        <w:rPr>
          <w:rFonts w:asciiTheme="majorBidi" w:eastAsia="Calibri" w:hAnsiTheme="majorBidi" w:cstheme="majorBidi"/>
          <w:sz w:val="24"/>
          <w:szCs w:val="24"/>
          <w:lang w:val="en-US"/>
        </w:rPr>
        <w:t xml:space="preserve">, </w:t>
      </w:r>
      <w:r w:rsidR="00D969E6" w:rsidRPr="00D969E6">
        <w:rPr>
          <w:rFonts w:asciiTheme="majorBidi" w:eastAsia="Calibri" w:hAnsiTheme="majorBidi" w:cstheme="majorBidi"/>
          <w:sz w:val="24"/>
          <w:szCs w:val="24"/>
          <w:lang w:val="en-US"/>
        </w:rPr>
        <w:t>“</w:t>
      </w:r>
      <w:r w:rsidR="00D969E6" w:rsidRPr="00880757">
        <w:rPr>
          <w:rFonts w:asciiTheme="majorBidi" w:eastAsia="MS Mincho" w:hAnsiTheme="majorBidi" w:cstheme="majorBidi"/>
          <w:sz w:val="24"/>
          <w:szCs w:val="24"/>
          <w:lang w:val="en-US"/>
        </w:rPr>
        <w:t>And have them make me a sanctuary, so that I may dwell among them</w:t>
      </w:r>
      <w:r w:rsidR="0002789D" w:rsidRPr="00880757">
        <w:rPr>
          <w:rFonts w:asciiTheme="majorBidi" w:eastAsia="MS Mincho" w:hAnsiTheme="majorBidi" w:cstheme="majorBidi"/>
          <w:sz w:val="24"/>
          <w:szCs w:val="24"/>
          <w:lang w:val="en-US"/>
        </w:rPr>
        <w:t>,</w:t>
      </w:r>
      <w:r w:rsidR="00D969E6" w:rsidRPr="00880757">
        <w:rPr>
          <w:rFonts w:asciiTheme="majorBidi" w:eastAsia="MS Mincho" w:hAnsiTheme="majorBidi" w:cstheme="majorBidi"/>
          <w:sz w:val="24"/>
          <w:szCs w:val="24"/>
          <w:lang w:val="en-US"/>
        </w:rPr>
        <w:t>”</w:t>
      </w:r>
      <w:r w:rsidR="00D969E6" w:rsidRPr="00880757">
        <w:rPr>
          <w:rFonts w:asciiTheme="majorBidi" w:eastAsia="Calibri" w:hAnsiTheme="majorBidi" w:cstheme="majorBidi"/>
          <w:sz w:val="24"/>
          <w:szCs w:val="24"/>
          <w:lang w:val="en-US"/>
        </w:rPr>
        <w:t xml:space="preserve"> </w:t>
      </w:r>
      <w:r w:rsidR="00D969E6" w:rsidRPr="00D969E6">
        <w:rPr>
          <w:rFonts w:asciiTheme="majorBidi" w:eastAsia="Calibri" w:hAnsiTheme="majorBidi" w:cstheme="majorBidi"/>
          <w:sz w:val="24"/>
          <w:szCs w:val="24"/>
          <w:lang w:val="en-US"/>
        </w:rPr>
        <w:t>Ex 25:8, cf. 29:46).</w:t>
      </w:r>
      <w:r w:rsidR="00D969E6" w:rsidRPr="00D969E6">
        <w:rPr>
          <w:rFonts w:asciiTheme="majorBidi" w:eastAsia="Calibri" w:hAnsiTheme="majorBidi" w:cstheme="majorBidi"/>
          <w:sz w:val="24"/>
          <w:szCs w:val="24"/>
          <w:vertAlign w:val="superscript"/>
          <w:lang w:val="en-US"/>
        </w:rPr>
        <w:footnoteReference w:id="36"/>
      </w:r>
      <w:r w:rsidR="00D969E6" w:rsidRPr="00D969E6">
        <w:rPr>
          <w:rFonts w:asciiTheme="majorBidi" w:eastAsia="Calibri" w:hAnsiTheme="majorBidi" w:cstheme="majorBidi"/>
          <w:sz w:val="24"/>
          <w:szCs w:val="24"/>
          <w:lang w:val="en-US"/>
        </w:rPr>
        <w:t xml:space="preserve"> As is well known, the Deuteronomistic stratum in Kings promotes precisely the opposite idea, </w:t>
      </w:r>
      <w:r w:rsidR="0002789D" w:rsidRPr="0048148E">
        <w:rPr>
          <w:rFonts w:asciiTheme="majorBidi" w:eastAsia="Calibri" w:hAnsiTheme="majorBidi" w:cstheme="majorBidi"/>
          <w:sz w:val="24"/>
          <w:szCs w:val="24"/>
          <w:lang w:val="en-US"/>
        </w:rPr>
        <w:t xml:space="preserve">insisting </w:t>
      </w:r>
      <w:r w:rsidR="00D969E6" w:rsidRPr="00D969E6">
        <w:rPr>
          <w:rFonts w:asciiTheme="majorBidi" w:eastAsia="Calibri" w:hAnsiTheme="majorBidi" w:cstheme="majorBidi"/>
          <w:sz w:val="24"/>
          <w:szCs w:val="24"/>
          <w:lang w:val="en-US"/>
        </w:rPr>
        <w:t xml:space="preserve">that </w:t>
      </w:r>
      <w:r w:rsidR="0002789D" w:rsidRPr="0048148E">
        <w:rPr>
          <w:rFonts w:asciiTheme="majorBidi" w:eastAsia="Calibri" w:hAnsiTheme="majorBidi" w:cstheme="majorBidi"/>
          <w:sz w:val="24"/>
          <w:szCs w:val="24"/>
          <w:lang w:val="en-US"/>
        </w:rPr>
        <w:t xml:space="preserve">it is </w:t>
      </w:r>
      <w:r w:rsidR="00D969E6" w:rsidRPr="00D969E6">
        <w:rPr>
          <w:rFonts w:asciiTheme="majorBidi" w:eastAsia="Calibri" w:hAnsiTheme="majorBidi" w:cstheme="majorBidi"/>
          <w:sz w:val="24"/>
          <w:szCs w:val="24"/>
          <w:lang w:val="en-US"/>
        </w:rPr>
        <w:t xml:space="preserve">God’s “name” </w:t>
      </w:r>
      <w:r w:rsidR="0002789D" w:rsidRPr="0048148E">
        <w:rPr>
          <w:rFonts w:asciiTheme="majorBidi" w:eastAsia="Calibri" w:hAnsiTheme="majorBidi" w:cstheme="majorBidi"/>
          <w:sz w:val="24"/>
          <w:szCs w:val="24"/>
          <w:lang w:val="en-US"/>
        </w:rPr>
        <w:t xml:space="preserve">that </w:t>
      </w:r>
      <w:r w:rsidR="00D969E6" w:rsidRPr="00D969E6">
        <w:rPr>
          <w:rFonts w:asciiTheme="majorBidi" w:eastAsia="Calibri" w:hAnsiTheme="majorBidi" w:cstheme="majorBidi"/>
          <w:sz w:val="24"/>
          <w:szCs w:val="24"/>
          <w:lang w:val="en-US"/>
        </w:rPr>
        <w:t xml:space="preserve">resides in the </w:t>
      </w:r>
      <w:r w:rsidR="00AD47B5" w:rsidRPr="0048148E">
        <w:rPr>
          <w:rFonts w:asciiTheme="majorBidi" w:eastAsia="Calibri" w:hAnsiTheme="majorBidi" w:cstheme="majorBidi"/>
          <w:sz w:val="24"/>
          <w:szCs w:val="24"/>
          <w:lang w:val="en-US"/>
        </w:rPr>
        <w:t>Temple</w:t>
      </w:r>
      <w:r w:rsidR="00D969E6" w:rsidRPr="00D969E6">
        <w:rPr>
          <w:rFonts w:asciiTheme="majorBidi" w:eastAsia="Calibri" w:hAnsiTheme="majorBidi" w:cstheme="majorBidi"/>
          <w:sz w:val="24"/>
          <w:szCs w:val="24"/>
          <w:lang w:val="en-US"/>
        </w:rPr>
        <w:t xml:space="preserve"> rather than God Himself. According to the Deuteronomistic view, </w:t>
      </w:r>
      <w:r w:rsidR="00D969E6" w:rsidRPr="00D969E6">
        <w:rPr>
          <w:rFonts w:asciiTheme="majorBidi" w:eastAsia="Calibri" w:hAnsiTheme="majorBidi" w:cstheme="majorBidi"/>
          <w:sz w:val="24"/>
          <w:szCs w:val="24"/>
          <w:rtl/>
          <w:lang w:val="en-US"/>
        </w:rPr>
        <w:t>השמים ושמי השמים לא יכלכלוך</w:t>
      </w:r>
      <w:r w:rsidR="00D969E6" w:rsidRPr="00D969E6">
        <w:rPr>
          <w:rFonts w:asciiTheme="majorBidi" w:eastAsia="Calibri" w:hAnsiTheme="majorBidi" w:cstheme="majorBidi"/>
          <w:sz w:val="24"/>
          <w:szCs w:val="24"/>
          <w:lang w:val="en-US"/>
        </w:rPr>
        <w:t xml:space="preserve"> (“</w:t>
      </w:r>
      <w:r w:rsidR="00D969E6" w:rsidRPr="00D969E6">
        <w:rPr>
          <w:rFonts w:asciiTheme="majorBidi" w:eastAsia="MS Mincho" w:hAnsiTheme="majorBidi" w:cstheme="majorBidi"/>
          <w:sz w:val="24"/>
          <w:szCs w:val="24"/>
          <w:lang w:val="en-US"/>
        </w:rPr>
        <w:t xml:space="preserve">Even heaven </w:t>
      </w:r>
      <w:r w:rsidR="00D969E6" w:rsidRPr="00D969E6">
        <w:rPr>
          <w:rFonts w:asciiTheme="majorBidi" w:eastAsia="MS Mincho" w:hAnsiTheme="majorBidi" w:cstheme="majorBidi"/>
          <w:sz w:val="24"/>
          <w:szCs w:val="24"/>
          <w:lang w:val="en-US"/>
        </w:rPr>
        <w:lastRenderedPageBreak/>
        <w:t>and the highest heaven cannot contain you</w:t>
      </w:r>
      <w:r w:rsidR="00D969E6" w:rsidRPr="00D969E6">
        <w:rPr>
          <w:rFonts w:asciiTheme="majorBidi" w:eastAsia="Calibri" w:hAnsiTheme="majorBidi" w:cstheme="majorBidi"/>
          <w:sz w:val="24"/>
          <w:szCs w:val="24"/>
          <w:lang w:val="en-US"/>
        </w:rPr>
        <w:t>”; 1 Kgs 8:27).</w:t>
      </w:r>
      <w:r w:rsidR="00D969E6" w:rsidRPr="00D969E6">
        <w:rPr>
          <w:rFonts w:asciiTheme="majorBidi" w:eastAsia="Calibri" w:hAnsiTheme="majorBidi" w:cstheme="majorBidi"/>
          <w:sz w:val="24"/>
          <w:szCs w:val="24"/>
          <w:vertAlign w:val="superscript"/>
          <w:lang w:val="en-US"/>
        </w:rPr>
        <w:footnoteReference w:id="37"/>
      </w:r>
      <w:r w:rsidR="00D969E6" w:rsidRPr="00D969E6">
        <w:rPr>
          <w:rFonts w:asciiTheme="majorBidi" w:eastAsia="Calibri" w:hAnsiTheme="majorBidi" w:cstheme="majorBidi"/>
          <w:sz w:val="24"/>
          <w:szCs w:val="24"/>
          <w:lang w:val="en-US"/>
        </w:rPr>
        <w:t xml:space="preserve"> The passage in 1 Kgs 6 thus appears to have been written by a scribe closely familiar with </w:t>
      </w:r>
      <w:r w:rsidR="000D575F" w:rsidRPr="0048148E">
        <w:rPr>
          <w:rFonts w:asciiTheme="majorBidi" w:eastAsia="Calibri" w:hAnsiTheme="majorBidi" w:cstheme="majorBidi"/>
          <w:sz w:val="24"/>
          <w:szCs w:val="24"/>
          <w:lang w:val="en-US"/>
        </w:rPr>
        <w:t>Priestly</w:t>
      </w:r>
      <w:r w:rsidR="00D969E6" w:rsidRPr="00D969E6">
        <w:rPr>
          <w:rFonts w:asciiTheme="majorBidi" w:eastAsia="Calibri" w:hAnsiTheme="majorBidi" w:cstheme="majorBidi"/>
          <w:sz w:val="24"/>
          <w:szCs w:val="24"/>
          <w:lang w:val="en-US"/>
        </w:rPr>
        <w:t xml:space="preserve"> concepts and terminology. In addition, the first part of v. 11 (“</w:t>
      </w:r>
      <w:r w:rsidR="0002789D" w:rsidRPr="0048148E">
        <w:rPr>
          <w:rFonts w:asciiTheme="majorBidi" w:eastAsia="MS Mincho" w:hAnsiTheme="majorBidi" w:cstheme="majorBidi"/>
          <w:sz w:val="24"/>
          <w:szCs w:val="24"/>
          <w:lang w:val="en-US"/>
        </w:rPr>
        <w:t>T</w:t>
      </w:r>
      <w:r w:rsidR="00D969E6" w:rsidRPr="00D969E6">
        <w:rPr>
          <w:rFonts w:asciiTheme="majorBidi" w:eastAsia="MS Mincho" w:hAnsiTheme="majorBidi" w:cstheme="majorBidi"/>
          <w:sz w:val="24"/>
          <w:szCs w:val="24"/>
          <w:lang w:val="en-US"/>
        </w:rPr>
        <w:t xml:space="preserve">hen I will establish </w:t>
      </w:r>
      <w:r w:rsidR="0002789D" w:rsidRPr="0048148E">
        <w:rPr>
          <w:rFonts w:asciiTheme="majorBidi" w:eastAsia="MS Mincho" w:hAnsiTheme="majorBidi" w:cstheme="majorBidi"/>
          <w:sz w:val="24"/>
          <w:szCs w:val="24"/>
          <w:lang w:val="en-US"/>
        </w:rPr>
        <w:t>M</w:t>
      </w:r>
      <w:r w:rsidR="00D969E6" w:rsidRPr="00D969E6">
        <w:rPr>
          <w:rFonts w:asciiTheme="majorBidi" w:eastAsia="MS Mincho" w:hAnsiTheme="majorBidi" w:cstheme="majorBidi"/>
          <w:sz w:val="24"/>
          <w:szCs w:val="24"/>
          <w:lang w:val="en-US"/>
        </w:rPr>
        <w:t>y promise with you, which I made to your father David</w:t>
      </w:r>
      <w:r w:rsidR="00D969E6" w:rsidRPr="00D969E6">
        <w:rPr>
          <w:rFonts w:asciiTheme="majorBidi" w:eastAsia="Calibri" w:hAnsiTheme="majorBidi" w:cstheme="majorBidi"/>
          <w:sz w:val="24"/>
          <w:szCs w:val="24"/>
          <w:lang w:val="en-US"/>
        </w:rPr>
        <w:t>”) betrays the author’s knowledge of God’s words to David through Nathan (2Sam 7).</w:t>
      </w:r>
      <w:r w:rsidR="00D969E6" w:rsidRPr="00D969E6">
        <w:rPr>
          <w:rFonts w:asciiTheme="majorBidi" w:eastAsia="Calibri" w:hAnsiTheme="majorBidi" w:cstheme="majorBidi"/>
          <w:sz w:val="24"/>
          <w:szCs w:val="24"/>
          <w:vertAlign w:val="superscript"/>
          <w:lang w:val="en-US"/>
        </w:rPr>
        <w:footnoteReference w:id="38"/>
      </w:r>
    </w:p>
    <w:p w14:paraId="6B7A2BE9" w14:textId="2F232777" w:rsidR="00D969E6" w:rsidRPr="00D969E6" w:rsidRDefault="00D969E6" w:rsidP="0048148E">
      <w:pPr>
        <w:tabs>
          <w:tab w:val="left" w:pos="720"/>
          <w:tab w:val="left" w:pos="1440"/>
        </w:tabs>
        <w:spacing w:after="0" w:line="360" w:lineRule="auto"/>
        <w:ind w:firstLine="720"/>
        <w:jc w:val="both"/>
        <w:rPr>
          <w:rFonts w:asciiTheme="majorBidi" w:eastAsia="Calibri" w:hAnsiTheme="majorBidi" w:cstheme="majorBidi"/>
          <w:sz w:val="24"/>
          <w:szCs w:val="24"/>
          <w:lang w:val="en-US"/>
        </w:rPr>
      </w:pPr>
      <w:r w:rsidRPr="00D969E6">
        <w:rPr>
          <w:rFonts w:asciiTheme="majorBidi" w:eastAsia="Calibri" w:hAnsiTheme="majorBidi" w:cstheme="majorBidi"/>
          <w:sz w:val="24"/>
          <w:szCs w:val="24"/>
          <w:lang w:val="en-US"/>
        </w:rPr>
        <w:t xml:space="preserve">In addition to </w:t>
      </w:r>
      <w:r w:rsidRPr="00D969E6">
        <w:rPr>
          <w:rFonts w:asciiTheme="majorBidi" w:eastAsia="Calibri" w:hAnsiTheme="majorBidi" w:cstheme="majorBidi"/>
          <w:sz w:val="24"/>
          <w:szCs w:val="24"/>
          <w:lang w:val="en"/>
        </w:rPr>
        <w:t xml:space="preserve">the attempt to tie the Solomonic </w:t>
      </w:r>
      <w:r w:rsidR="00AD47B5" w:rsidRPr="0048148E">
        <w:rPr>
          <w:rFonts w:asciiTheme="majorBidi" w:eastAsia="Calibri" w:hAnsiTheme="majorBidi" w:cstheme="majorBidi"/>
          <w:sz w:val="24"/>
          <w:szCs w:val="24"/>
          <w:lang w:val="en"/>
        </w:rPr>
        <w:t>Temple</w:t>
      </w:r>
      <w:r w:rsidRPr="00D969E6">
        <w:rPr>
          <w:rFonts w:asciiTheme="majorBidi" w:eastAsia="Calibri" w:hAnsiTheme="majorBidi" w:cstheme="majorBidi"/>
          <w:sz w:val="24"/>
          <w:szCs w:val="24"/>
          <w:lang w:val="en"/>
        </w:rPr>
        <w:t xml:space="preserve"> to the </w:t>
      </w:r>
      <w:r w:rsidR="009E31F3">
        <w:rPr>
          <w:rFonts w:asciiTheme="majorBidi" w:eastAsia="Calibri" w:hAnsiTheme="majorBidi" w:cstheme="majorBidi"/>
          <w:sz w:val="24"/>
          <w:szCs w:val="24"/>
          <w:lang w:val="en"/>
        </w:rPr>
        <w:t>Pentateuch</w:t>
      </w:r>
      <w:r w:rsidRPr="00D969E6">
        <w:rPr>
          <w:rFonts w:asciiTheme="majorBidi" w:eastAsia="Calibri" w:hAnsiTheme="majorBidi" w:cstheme="majorBidi"/>
          <w:sz w:val="24"/>
          <w:szCs w:val="24"/>
          <w:lang w:val="en"/>
        </w:rPr>
        <w:t xml:space="preserve">al </w:t>
      </w:r>
      <w:r w:rsidR="00AD47B5" w:rsidRPr="0048148E">
        <w:rPr>
          <w:rFonts w:asciiTheme="majorBidi" w:eastAsia="Calibri" w:hAnsiTheme="majorBidi" w:cstheme="majorBidi"/>
          <w:sz w:val="24"/>
          <w:szCs w:val="24"/>
          <w:lang w:val="en"/>
        </w:rPr>
        <w:t>Tabernacle</w:t>
      </w:r>
      <w:r w:rsidRPr="00D969E6">
        <w:rPr>
          <w:rFonts w:asciiTheme="majorBidi" w:eastAsia="Calibri" w:hAnsiTheme="majorBidi" w:cstheme="majorBidi"/>
          <w:sz w:val="24"/>
          <w:szCs w:val="24"/>
          <w:lang w:val="en"/>
        </w:rPr>
        <w:t xml:space="preserve">, similar to the addition in </w:t>
      </w:r>
      <w:r w:rsidR="0002789D" w:rsidRPr="0048148E">
        <w:rPr>
          <w:rFonts w:asciiTheme="majorBidi" w:eastAsia="Calibri" w:hAnsiTheme="majorBidi" w:cstheme="majorBidi"/>
          <w:sz w:val="24"/>
          <w:szCs w:val="24"/>
          <w:lang w:val="en"/>
        </w:rPr>
        <w:t>1</w:t>
      </w:r>
      <w:r w:rsidRPr="00D969E6">
        <w:rPr>
          <w:rFonts w:asciiTheme="majorBidi" w:eastAsia="Calibri" w:hAnsiTheme="majorBidi" w:cstheme="majorBidi"/>
          <w:sz w:val="24"/>
          <w:szCs w:val="24"/>
          <w:lang w:val="en"/>
        </w:rPr>
        <w:t xml:space="preserve">Kgs 8:1–5, it seems that the scribe who added God’s words within the description of the construction of the </w:t>
      </w:r>
      <w:r w:rsidR="00AD47B5" w:rsidRPr="0048148E">
        <w:rPr>
          <w:rFonts w:asciiTheme="majorBidi" w:eastAsia="Calibri" w:hAnsiTheme="majorBidi" w:cstheme="majorBidi"/>
          <w:sz w:val="24"/>
          <w:szCs w:val="24"/>
          <w:lang w:val="en"/>
        </w:rPr>
        <w:t>Temple</w:t>
      </w:r>
      <w:r w:rsidRPr="00D969E6">
        <w:rPr>
          <w:rFonts w:asciiTheme="majorBidi" w:eastAsia="Calibri" w:hAnsiTheme="majorBidi" w:cstheme="majorBidi"/>
          <w:sz w:val="24"/>
          <w:szCs w:val="24"/>
          <w:lang w:val="en"/>
        </w:rPr>
        <w:t xml:space="preserve"> sought to convey another message. </w:t>
      </w:r>
      <w:r w:rsidRPr="00D969E6">
        <w:rPr>
          <w:rFonts w:asciiTheme="majorBidi" w:eastAsia="Calibri" w:hAnsiTheme="majorBidi" w:cstheme="majorBidi"/>
          <w:sz w:val="24"/>
          <w:szCs w:val="24"/>
          <w:lang w:val="en-US"/>
        </w:rPr>
        <w:t xml:space="preserve">The </w:t>
      </w:r>
      <w:r w:rsidR="00AD47B5" w:rsidRPr="0048148E">
        <w:rPr>
          <w:rFonts w:asciiTheme="majorBidi" w:eastAsia="Calibri" w:hAnsiTheme="majorBidi" w:cstheme="majorBidi"/>
          <w:sz w:val="24"/>
          <w:szCs w:val="24"/>
          <w:lang w:val="en-US"/>
        </w:rPr>
        <w:t>Divine</w:t>
      </w:r>
      <w:r w:rsidRPr="00D969E6">
        <w:rPr>
          <w:rFonts w:asciiTheme="majorBidi" w:eastAsia="Calibri" w:hAnsiTheme="majorBidi" w:cstheme="majorBidi"/>
          <w:sz w:val="24"/>
          <w:szCs w:val="24"/>
          <w:lang w:val="en-US"/>
        </w:rPr>
        <w:t xml:space="preserve"> words added in 1Kgs 6 adduce a vital condition, in accord with Lev 26:1–13. This passage makes the </w:t>
      </w:r>
      <w:r w:rsidR="00AD47B5" w:rsidRPr="0048148E">
        <w:rPr>
          <w:rFonts w:asciiTheme="majorBidi" w:eastAsia="Calibri" w:hAnsiTheme="majorBidi" w:cstheme="majorBidi"/>
          <w:sz w:val="24"/>
          <w:szCs w:val="24"/>
          <w:lang w:val="en-US"/>
        </w:rPr>
        <w:t>Temple</w:t>
      </w:r>
      <w:r w:rsidRPr="00D969E6">
        <w:rPr>
          <w:rFonts w:asciiTheme="majorBidi" w:eastAsia="Calibri" w:hAnsiTheme="majorBidi" w:cstheme="majorBidi"/>
          <w:sz w:val="24"/>
          <w:szCs w:val="24"/>
          <w:lang w:val="en-US"/>
        </w:rPr>
        <w:t>’s permanency conditional even before its construction has begun. The author</w:t>
      </w:r>
      <w:r w:rsidR="0098596A">
        <w:rPr>
          <w:rFonts w:asciiTheme="majorBidi" w:eastAsia="Calibri" w:hAnsiTheme="majorBidi" w:cstheme="majorBidi"/>
          <w:sz w:val="24"/>
          <w:szCs w:val="24"/>
          <w:lang w:val="en-US"/>
        </w:rPr>
        <w:t xml:space="preserve">, </w:t>
      </w:r>
      <w:r w:rsidRPr="00D969E6">
        <w:rPr>
          <w:rFonts w:asciiTheme="majorBidi" w:eastAsia="Calibri" w:hAnsiTheme="majorBidi" w:cstheme="majorBidi"/>
          <w:sz w:val="24"/>
          <w:szCs w:val="24"/>
          <w:lang w:val="en-US"/>
        </w:rPr>
        <w:t xml:space="preserve">obviously </w:t>
      </w:r>
      <w:r w:rsidR="0002789D" w:rsidRPr="00D969E6">
        <w:rPr>
          <w:rFonts w:asciiTheme="majorBidi" w:eastAsia="Calibri" w:hAnsiTheme="majorBidi" w:cstheme="majorBidi"/>
          <w:sz w:val="24"/>
          <w:szCs w:val="24"/>
          <w:lang w:val="en-US"/>
        </w:rPr>
        <w:t xml:space="preserve">writing </w:t>
      </w:r>
      <w:r w:rsidRPr="00D969E6">
        <w:rPr>
          <w:rFonts w:asciiTheme="majorBidi" w:eastAsia="Calibri" w:hAnsiTheme="majorBidi" w:cstheme="majorBidi"/>
          <w:sz w:val="24"/>
          <w:szCs w:val="24"/>
          <w:lang w:val="en-US"/>
        </w:rPr>
        <w:t>during the post-Destruction period</w:t>
      </w:r>
      <w:r w:rsidR="0098596A">
        <w:rPr>
          <w:rFonts w:asciiTheme="majorBidi" w:eastAsia="Calibri" w:hAnsiTheme="majorBidi" w:cstheme="majorBidi"/>
          <w:sz w:val="24"/>
          <w:szCs w:val="24"/>
          <w:lang w:val="en-US"/>
        </w:rPr>
        <w:t xml:space="preserve">, </w:t>
      </w:r>
      <w:r w:rsidRPr="00D969E6">
        <w:rPr>
          <w:rFonts w:asciiTheme="majorBidi" w:eastAsia="Calibri" w:hAnsiTheme="majorBidi" w:cstheme="majorBidi"/>
          <w:sz w:val="24"/>
          <w:szCs w:val="24"/>
          <w:lang w:val="en-US"/>
        </w:rPr>
        <w:t xml:space="preserve">sought to justify the events by addressing a </w:t>
      </w:r>
      <w:r w:rsidR="0002789D" w:rsidRPr="0048148E">
        <w:rPr>
          <w:rFonts w:asciiTheme="majorBidi" w:eastAsia="Calibri" w:hAnsiTheme="majorBidi" w:cstheme="majorBidi"/>
          <w:sz w:val="24"/>
          <w:szCs w:val="24"/>
          <w:lang w:val="en-US"/>
        </w:rPr>
        <w:t>warning</w:t>
      </w:r>
      <w:r w:rsidRPr="00D969E6">
        <w:rPr>
          <w:rFonts w:asciiTheme="majorBidi" w:eastAsia="Calibri" w:hAnsiTheme="majorBidi" w:cstheme="majorBidi"/>
          <w:sz w:val="24"/>
          <w:szCs w:val="24"/>
          <w:lang w:val="en-US"/>
        </w:rPr>
        <w:t xml:space="preserve"> found in Scripture itself.</w:t>
      </w:r>
      <w:r w:rsidRPr="00D969E6">
        <w:rPr>
          <w:rFonts w:asciiTheme="majorBidi" w:eastAsia="Calibri" w:hAnsiTheme="majorBidi" w:cstheme="majorBidi"/>
          <w:sz w:val="24"/>
          <w:szCs w:val="24"/>
          <w:vertAlign w:val="superscript"/>
          <w:lang w:val="en-US"/>
        </w:rPr>
        <w:footnoteReference w:id="39"/>
      </w:r>
      <w:r w:rsidRPr="00D969E6">
        <w:rPr>
          <w:rFonts w:asciiTheme="majorBidi" w:eastAsia="Calibri" w:hAnsiTheme="majorBidi" w:cstheme="majorBidi"/>
          <w:sz w:val="24"/>
          <w:szCs w:val="24"/>
          <w:lang w:val="en-US"/>
        </w:rPr>
        <w:t xml:space="preserve"> This is why the scribe inserted God’s words to Solomon in vv. 11–13</w:t>
      </w:r>
      <w:r w:rsidR="0002789D" w:rsidRPr="0048148E">
        <w:rPr>
          <w:rFonts w:asciiTheme="majorBidi" w:eastAsia="Calibri" w:hAnsiTheme="majorBidi" w:cstheme="majorBidi"/>
          <w:sz w:val="24"/>
          <w:szCs w:val="24"/>
          <w:lang w:val="en-US"/>
        </w:rPr>
        <w:t xml:space="preserve">, </w:t>
      </w:r>
      <w:r w:rsidRPr="00D969E6">
        <w:rPr>
          <w:rFonts w:asciiTheme="majorBidi" w:eastAsia="Calibri" w:hAnsiTheme="majorBidi" w:cstheme="majorBidi"/>
          <w:sz w:val="24"/>
          <w:szCs w:val="24"/>
          <w:lang w:val="en-US"/>
        </w:rPr>
        <w:t xml:space="preserve">linking them to the context via v. 14, which serves as a </w:t>
      </w:r>
      <w:proofErr w:type="spellStart"/>
      <w:r w:rsidRPr="00D969E6">
        <w:rPr>
          <w:rFonts w:asciiTheme="majorBidi" w:eastAsia="Calibri" w:hAnsiTheme="majorBidi" w:cstheme="majorBidi"/>
          <w:i/>
          <w:iCs/>
          <w:sz w:val="24"/>
          <w:szCs w:val="24"/>
          <w:lang w:val="en-US"/>
        </w:rPr>
        <w:t>Wiederaufnahme</w:t>
      </w:r>
      <w:proofErr w:type="spellEnd"/>
      <w:r w:rsidRPr="00D969E6">
        <w:rPr>
          <w:rFonts w:asciiTheme="majorBidi" w:eastAsia="Calibri" w:hAnsiTheme="majorBidi" w:cstheme="majorBidi"/>
          <w:sz w:val="24"/>
          <w:szCs w:val="24"/>
          <w:lang w:val="en-US"/>
        </w:rPr>
        <w:t xml:space="preserve"> and rewrites the first part of v. 9: “When he finished building the House.” This condition fits here </w:t>
      </w:r>
      <w:r w:rsidR="0098596A" w:rsidRPr="00D969E6">
        <w:rPr>
          <w:rFonts w:asciiTheme="majorBidi" w:eastAsia="Calibri" w:hAnsiTheme="majorBidi" w:cstheme="majorBidi"/>
          <w:sz w:val="24"/>
          <w:szCs w:val="24"/>
          <w:lang w:val="en-US"/>
        </w:rPr>
        <w:t>precisely</w:t>
      </w:r>
      <w:r w:rsidR="0098596A">
        <w:rPr>
          <w:rFonts w:asciiTheme="majorBidi" w:eastAsia="Calibri" w:hAnsiTheme="majorBidi" w:cstheme="majorBidi"/>
          <w:sz w:val="24"/>
          <w:szCs w:val="24"/>
          <w:lang w:val="en-US"/>
        </w:rPr>
        <w:t>,</w:t>
      </w:r>
      <w:r w:rsidR="0098596A" w:rsidRPr="00D969E6">
        <w:rPr>
          <w:rFonts w:asciiTheme="majorBidi" w:eastAsia="Calibri" w:hAnsiTheme="majorBidi" w:cstheme="majorBidi"/>
          <w:sz w:val="24"/>
          <w:szCs w:val="24"/>
          <w:lang w:val="en-US"/>
        </w:rPr>
        <w:t xml:space="preserve"> </w:t>
      </w:r>
      <w:r w:rsidR="0002789D" w:rsidRPr="0048148E">
        <w:rPr>
          <w:rFonts w:asciiTheme="majorBidi" w:eastAsia="Calibri" w:hAnsiTheme="majorBidi" w:cstheme="majorBidi"/>
          <w:sz w:val="24"/>
          <w:szCs w:val="24"/>
          <w:lang w:val="en-US"/>
        </w:rPr>
        <w:t>given</w:t>
      </w:r>
      <w:r w:rsidRPr="00D969E6">
        <w:rPr>
          <w:rFonts w:asciiTheme="majorBidi" w:eastAsia="Calibri" w:hAnsiTheme="majorBidi" w:cstheme="majorBidi"/>
          <w:sz w:val="24"/>
          <w:szCs w:val="24"/>
          <w:lang w:val="en-US"/>
        </w:rPr>
        <w:t xml:space="preserve"> the following verses which deal with the construction of the holy of holies “in the innermost part of the House …” (1 Kgs 6:19), where the</w:t>
      </w:r>
      <w:r w:rsidR="009E31F3">
        <w:rPr>
          <w:rFonts w:asciiTheme="majorBidi" w:eastAsia="Calibri" w:hAnsiTheme="majorBidi" w:cstheme="majorBidi"/>
          <w:sz w:val="24"/>
          <w:szCs w:val="24"/>
          <w:lang w:val="en-US"/>
        </w:rPr>
        <w:t xml:space="preserve"> Ark </w:t>
      </w:r>
      <w:r w:rsidRPr="00D969E6">
        <w:rPr>
          <w:rFonts w:asciiTheme="majorBidi" w:eastAsia="Calibri" w:hAnsiTheme="majorBidi" w:cstheme="majorBidi"/>
          <w:sz w:val="24"/>
          <w:szCs w:val="24"/>
          <w:lang w:val="en-US"/>
        </w:rPr>
        <w:t xml:space="preserve">of the covenant and cherubim would rest, symbolizing the </w:t>
      </w:r>
      <w:r w:rsidR="00AD47B5" w:rsidRPr="0048148E">
        <w:rPr>
          <w:rFonts w:asciiTheme="majorBidi" w:eastAsia="Calibri" w:hAnsiTheme="majorBidi" w:cstheme="majorBidi"/>
          <w:sz w:val="24"/>
          <w:szCs w:val="24"/>
          <w:lang w:val="en-US"/>
        </w:rPr>
        <w:t>Divine</w:t>
      </w:r>
      <w:r w:rsidRPr="00D969E6">
        <w:rPr>
          <w:rFonts w:asciiTheme="majorBidi" w:eastAsia="Calibri" w:hAnsiTheme="majorBidi" w:cstheme="majorBidi"/>
          <w:sz w:val="24"/>
          <w:szCs w:val="24"/>
          <w:lang w:val="en-US"/>
        </w:rPr>
        <w:t xml:space="preserve"> presence.</w:t>
      </w:r>
      <w:r w:rsidRPr="00D969E6">
        <w:rPr>
          <w:rFonts w:asciiTheme="majorBidi" w:eastAsia="Calibri" w:hAnsiTheme="majorBidi" w:cstheme="majorBidi"/>
          <w:sz w:val="24"/>
          <w:szCs w:val="24"/>
          <w:vertAlign w:val="superscript"/>
          <w:lang w:val="en-US"/>
        </w:rPr>
        <w:footnoteReference w:id="40"/>
      </w:r>
    </w:p>
    <w:p w14:paraId="422FD940" w14:textId="77777777" w:rsidR="00D969E6" w:rsidRPr="00D969E6" w:rsidRDefault="00D969E6" w:rsidP="0048148E">
      <w:pPr>
        <w:tabs>
          <w:tab w:val="left" w:pos="720"/>
          <w:tab w:val="left" w:pos="1440"/>
        </w:tabs>
        <w:spacing w:after="0" w:line="360" w:lineRule="auto"/>
        <w:jc w:val="both"/>
        <w:rPr>
          <w:rFonts w:asciiTheme="majorBidi" w:eastAsia="Calibri" w:hAnsiTheme="majorBidi" w:cstheme="majorBidi"/>
          <w:b/>
          <w:bCs/>
          <w:sz w:val="24"/>
          <w:szCs w:val="24"/>
          <w:lang w:val="en-US"/>
        </w:rPr>
      </w:pPr>
      <w:r w:rsidRPr="00D969E6">
        <w:rPr>
          <w:rFonts w:asciiTheme="majorBidi" w:eastAsia="Calibri" w:hAnsiTheme="majorBidi" w:cstheme="majorBidi"/>
          <w:b/>
          <w:bCs/>
          <w:sz w:val="24"/>
          <w:szCs w:val="24"/>
          <w:lang w:val="en-US"/>
        </w:rPr>
        <w:t>2.3. An Early Stage of Quasi-P additions: 1 Kgs 8:4, 10-11</w:t>
      </w:r>
    </w:p>
    <w:p w14:paraId="5952FE7C" w14:textId="50FDF1DD" w:rsidR="00D969E6" w:rsidRPr="0048148E" w:rsidRDefault="00F07F9B" w:rsidP="0048148E">
      <w:pPr>
        <w:spacing w:line="360" w:lineRule="auto"/>
        <w:rPr>
          <w:rFonts w:asciiTheme="majorBidi" w:hAnsiTheme="majorBidi" w:cstheme="majorBidi"/>
          <w:sz w:val="24"/>
          <w:szCs w:val="24"/>
        </w:rPr>
      </w:pPr>
      <w:r w:rsidRPr="0048148E">
        <w:rPr>
          <w:rFonts w:asciiTheme="majorBidi" w:hAnsiTheme="majorBidi" w:cstheme="majorBidi"/>
          <w:sz w:val="24"/>
          <w:szCs w:val="24"/>
          <w:lang w:val="en-US"/>
        </w:rPr>
        <w:t xml:space="preserve">The cases discussed </w:t>
      </w:r>
      <w:r w:rsidR="0098596A">
        <w:rPr>
          <w:rFonts w:asciiTheme="majorBidi" w:hAnsiTheme="majorBidi" w:cstheme="majorBidi"/>
          <w:sz w:val="24"/>
          <w:szCs w:val="24"/>
          <w:lang w:val="en-US"/>
        </w:rPr>
        <w:t>above</w:t>
      </w:r>
      <w:r w:rsidRPr="0048148E">
        <w:rPr>
          <w:rFonts w:asciiTheme="majorBidi" w:hAnsiTheme="majorBidi" w:cstheme="majorBidi"/>
          <w:sz w:val="24"/>
          <w:szCs w:val="24"/>
          <w:lang w:val="en-US"/>
        </w:rPr>
        <w:t xml:space="preserve"> were a group of texts written in the Priestly style (including H) which are absent in the Septuagint and are therefore clearly later additions. However, as noted above, in the account of the construction of Solomon’s </w:t>
      </w:r>
      <w:r w:rsidR="00AD47B5" w:rsidRPr="0048148E">
        <w:rPr>
          <w:rFonts w:asciiTheme="majorBidi" w:hAnsiTheme="majorBidi" w:cstheme="majorBidi"/>
          <w:sz w:val="24"/>
          <w:szCs w:val="24"/>
          <w:lang w:val="en-US"/>
        </w:rPr>
        <w:t>Temple</w:t>
      </w:r>
      <w:r w:rsidRPr="0048148E">
        <w:rPr>
          <w:rFonts w:asciiTheme="majorBidi" w:hAnsiTheme="majorBidi" w:cstheme="majorBidi"/>
          <w:sz w:val="24"/>
          <w:szCs w:val="24"/>
          <w:lang w:val="en-US"/>
        </w:rPr>
        <w:t xml:space="preserve"> and bringing the</w:t>
      </w:r>
      <w:r w:rsidR="009E31F3">
        <w:rPr>
          <w:rFonts w:asciiTheme="majorBidi" w:hAnsiTheme="majorBidi" w:cstheme="majorBidi"/>
          <w:sz w:val="24"/>
          <w:szCs w:val="24"/>
          <w:lang w:val="en-US"/>
        </w:rPr>
        <w:t xml:space="preserve"> Ark </w:t>
      </w:r>
      <w:r w:rsidRPr="0048148E">
        <w:rPr>
          <w:rFonts w:asciiTheme="majorBidi" w:hAnsiTheme="majorBidi" w:cstheme="majorBidi"/>
          <w:sz w:val="24"/>
          <w:szCs w:val="24"/>
          <w:lang w:val="en-US"/>
        </w:rPr>
        <w:t>to Jerusalem</w:t>
      </w:r>
      <w:r w:rsidR="005521FF">
        <w:rPr>
          <w:rFonts w:asciiTheme="majorBidi" w:hAnsiTheme="majorBidi" w:cstheme="majorBidi"/>
          <w:sz w:val="24"/>
          <w:szCs w:val="24"/>
          <w:lang w:val="en-US"/>
        </w:rPr>
        <w:t>,</w:t>
      </w:r>
      <w:r w:rsidRPr="0048148E">
        <w:rPr>
          <w:rFonts w:asciiTheme="majorBidi" w:hAnsiTheme="majorBidi" w:cstheme="majorBidi"/>
          <w:sz w:val="24"/>
          <w:szCs w:val="24"/>
          <w:lang w:val="en-US"/>
        </w:rPr>
        <w:t xml:space="preserve"> there are texts that appear to have a Priestly style but are documented in all the textual witnesses. This is the case in 1Kgs 8:4 which recounts that besides the</w:t>
      </w:r>
      <w:r w:rsidR="009E31F3">
        <w:rPr>
          <w:rFonts w:asciiTheme="majorBidi" w:hAnsiTheme="majorBidi" w:cstheme="majorBidi"/>
          <w:sz w:val="24"/>
          <w:szCs w:val="24"/>
          <w:lang w:val="en-US"/>
        </w:rPr>
        <w:t xml:space="preserve"> Ark</w:t>
      </w:r>
      <w:r w:rsidR="0098596A">
        <w:rPr>
          <w:rFonts w:asciiTheme="majorBidi" w:hAnsiTheme="majorBidi" w:cstheme="majorBidi"/>
          <w:sz w:val="24"/>
          <w:szCs w:val="24"/>
          <w:lang w:val="en-US"/>
        </w:rPr>
        <w:t>,</w:t>
      </w:r>
      <w:r w:rsidR="009E31F3">
        <w:rPr>
          <w:rFonts w:asciiTheme="majorBidi" w:hAnsiTheme="majorBidi" w:cstheme="majorBidi"/>
          <w:sz w:val="24"/>
          <w:szCs w:val="24"/>
          <w:lang w:val="en-US"/>
        </w:rPr>
        <w:t xml:space="preserve"> </w:t>
      </w:r>
      <w:r w:rsidRPr="0048148E">
        <w:rPr>
          <w:rFonts w:asciiTheme="majorBidi" w:hAnsiTheme="majorBidi" w:cstheme="majorBidi"/>
          <w:sz w:val="24"/>
          <w:szCs w:val="24"/>
          <w:lang w:val="en-US"/>
        </w:rPr>
        <w:t>which was brought to Jerusalem, the Tent of Meeting and all the holy vessels were brought as well: “and</w:t>
      </w:r>
      <w:r w:rsidRPr="0048148E">
        <w:rPr>
          <w:rFonts w:asciiTheme="majorBidi" w:hAnsiTheme="majorBidi" w:cstheme="majorBidi"/>
          <w:sz w:val="24"/>
          <w:szCs w:val="24"/>
        </w:rPr>
        <w:t xml:space="preserve"> the </w:t>
      </w:r>
      <w:r w:rsidR="00AD47B5" w:rsidRPr="0048148E">
        <w:rPr>
          <w:rFonts w:asciiTheme="majorBidi" w:hAnsiTheme="majorBidi" w:cstheme="majorBidi"/>
          <w:sz w:val="24"/>
          <w:szCs w:val="24"/>
        </w:rPr>
        <w:t>Tabernacle</w:t>
      </w:r>
      <w:r w:rsidRPr="0048148E">
        <w:rPr>
          <w:rFonts w:asciiTheme="majorBidi" w:hAnsiTheme="majorBidi" w:cstheme="majorBidi"/>
          <w:sz w:val="24"/>
          <w:szCs w:val="24"/>
        </w:rPr>
        <w:t xml:space="preserve"> of meeting, and all the holy </w:t>
      </w:r>
      <w:r w:rsidR="00D71F74" w:rsidRPr="0048148E">
        <w:rPr>
          <w:rFonts w:asciiTheme="majorBidi" w:hAnsiTheme="majorBidi" w:cstheme="majorBidi"/>
          <w:sz w:val="24"/>
          <w:szCs w:val="24"/>
          <w:lang w:val="en-US"/>
        </w:rPr>
        <w:t>vessels</w:t>
      </w:r>
      <w:r w:rsidRPr="0048148E">
        <w:rPr>
          <w:rFonts w:asciiTheme="majorBidi" w:hAnsiTheme="majorBidi" w:cstheme="majorBidi"/>
          <w:sz w:val="24"/>
          <w:szCs w:val="24"/>
        </w:rPr>
        <w:t xml:space="preserve"> that were in the </w:t>
      </w:r>
      <w:r w:rsidR="00AD47B5" w:rsidRPr="0048148E">
        <w:rPr>
          <w:rFonts w:asciiTheme="majorBidi" w:hAnsiTheme="majorBidi" w:cstheme="majorBidi"/>
          <w:sz w:val="24"/>
          <w:szCs w:val="24"/>
        </w:rPr>
        <w:t>Tabernacle</w:t>
      </w:r>
      <w:r w:rsidRPr="0048148E">
        <w:rPr>
          <w:rFonts w:asciiTheme="majorBidi" w:hAnsiTheme="majorBidi" w:cstheme="majorBidi"/>
          <w:sz w:val="24"/>
          <w:szCs w:val="24"/>
        </w:rPr>
        <w:t>.</w:t>
      </w:r>
      <w:r w:rsidRPr="0048148E">
        <w:rPr>
          <w:rFonts w:asciiTheme="majorBidi" w:hAnsiTheme="majorBidi" w:cstheme="majorBidi"/>
          <w:sz w:val="24"/>
          <w:szCs w:val="24"/>
          <w:lang w:val="en-US"/>
        </w:rPr>
        <w:t>”</w:t>
      </w:r>
      <w:r w:rsidRPr="0048148E">
        <w:rPr>
          <w:rStyle w:val="FootnoteReference"/>
          <w:rFonts w:asciiTheme="majorBidi" w:hAnsiTheme="majorBidi" w:cstheme="majorBidi"/>
          <w:sz w:val="24"/>
          <w:szCs w:val="24"/>
          <w:lang w:val="en-US"/>
        </w:rPr>
        <w:footnoteReference w:id="41"/>
      </w:r>
    </w:p>
    <w:p w14:paraId="37022869" w14:textId="043FEF97" w:rsidR="00535C68" w:rsidRDefault="00F63A13" w:rsidP="0048148E">
      <w:pPr>
        <w:spacing w:line="360" w:lineRule="auto"/>
        <w:rPr>
          <w:rFonts w:asciiTheme="majorBidi" w:hAnsiTheme="majorBidi" w:cstheme="majorBidi"/>
          <w:sz w:val="24"/>
          <w:szCs w:val="24"/>
          <w:rtl/>
          <w:lang w:val="en-US"/>
        </w:rPr>
      </w:pPr>
      <w:r w:rsidRPr="0048148E">
        <w:rPr>
          <w:rFonts w:asciiTheme="majorBidi" w:hAnsiTheme="majorBidi" w:cstheme="majorBidi"/>
          <w:sz w:val="24"/>
          <w:szCs w:val="24"/>
          <w:lang w:val="en-US"/>
        </w:rPr>
        <w:t>T</w:t>
      </w:r>
      <w:r w:rsidR="00F07F9B" w:rsidRPr="0048148E">
        <w:rPr>
          <w:rFonts w:asciiTheme="majorBidi" w:hAnsiTheme="majorBidi" w:cstheme="majorBidi"/>
          <w:sz w:val="24"/>
          <w:szCs w:val="24"/>
          <w:lang w:val="en-US"/>
        </w:rPr>
        <w:t xml:space="preserve">he Rabbinic literature (BT </w:t>
      </w:r>
      <w:proofErr w:type="spellStart"/>
      <w:r w:rsidR="00F07F9B" w:rsidRPr="0048148E">
        <w:rPr>
          <w:rFonts w:asciiTheme="majorBidi" w:hAnsiTheme="majorBidi" w:cstheme="majorBidi"/>
          <w:i/>
          <w:iCs/>
          <w:sz w:val="24"/>
          <w:szCs w:val="24"/>
          <w:lang w:val="en-US"/>
        </w:rPr>
        <w:t>Sotah</w:t>
      </w:r>
      <w:proofErr w:type="spellEnd"/>
      <w:r w:rsidR="00F07F9B" w:rsidRPr="0048148E">
        <w:rPr>
          <w:rFonts w:asciiTheme="majorBidi" w:hAnsiTheme="majorBidi" w:cstheme="majorBidi"/>
          <w:sz w:val="24"/>
          <w:szCs w:val="24"/>
          <w:lang w:val="en-US"/>
        </w:rPr>
        <w:t xml:space="preserve"> </w:t>
      </w:r>
      <w:proofErr w:type="spellStart"/>
      <w:r w:rsidR="00F07F9B" w:rsidRPr="0048148E">
        <w:rPr>
          <w:rFonts w:asciiTheme="majorBidi" w:hAnsiTheme="majorBidi" w:cstheme="majorBidi"/>
          <w:sz w:val="24"/>
          <w:szCs w:val="24"/>
          <w:lang w:val="en-US"/>
        </w:rPr>
        <w:t>9a</w:t>
      </w:r>
      <w:proofErr w:type="spellEnd"/>
      <w:r w:rsidR="00F07F9B" w:rsidRPr="0048148E">
        <w:rPr>
          <w:rFonts w:asciiTheme="majorBidi" w:hAnsiTheme="majorBidi" w:cstheme="majorBidi"/>
          <w:sz w:val="24"/>
          <w:szCs w:val="24"/>
          <w:lang w:val="en-US"/>
        </w:rPr>
        <w:t>)</w:t>
      </w:r>
      <w:r w:rsidR="009D4FC5" w:rsidRPr="0048148E">
        <w:rPr>
          <w:rFonts w:asciiTheme="majorBidi" w:hAnsiTheme="majorBidi" w:cstheme="majorBidi"/>
          <w:sz w:val="24"/>
          <w:szCs w:val="24"/>
          <w:lang w:val="en-US"/>
        </w:rPr>
        <w:t xml:space="preserve">, as well as </w:t>
      </w:r>
      <w:r w:rsidRPr="0048148E">
        <w:rPr>
          <w:rFonts w:asciiTheme="majorBidi" w:hAnsiTheme="majorBidi" w:cstheme="majorBidi"/>
          <w:sz w:val="24"/>
          <w:szCs w:val="24"/>
          <w:lang w:val="en-US"/>
        </w:rPr>
        <w:t xml:space="preserve">some modern exegetes, suggest that the Tent of Meeting was brought to Solomon’s </w:t>
      </w:r>
      <w:r w:rsidR="00AD47B5" w:rsidRPr="0048148E">
        <w:rPr>
          <w:rFonts w:asciiTheme="majorBidi" w:hAnsiTheme="majorBidi" w:cstheme="majorBidi"/>
          <w:sz w:val="24"/>
          <w:szCs w:val="24"/>
          <w:lang w:val="en-US"/>
        </w:rPr>
        <w:t>Temple</w:t>
      </w:r>
      <w:r w:rsidRPr="0048148E">
        <w:rPr>
          <w:rFonts w:asciiTheme="majorBidi" w:hAnsiTheme="majorBidi" w:cstheme="majorBidi"/>
          <w:sz w:val="24"/>
          <w:szCs w:val="24"/>
          <w:lang w:val="en-US"/>
        </w:rPr>
        <w:t xml:space="preserve"> and placed in a defined place within it.</w:t>
      </w:r>
      <w:r w:rsidRPr="0048148E">
        <w:rPr>
          <w:rStyle w:val="FootnoteReference"/>
          <w:rFonts w:asciiTheme="majorBidi" w:hAnsiTheme="majorBidi" w:cstheme="majorBidi"/>
          <w:sz w:val="24"/>
          <w:szCs w:val="24"/>
          <w:lang w:val="en-US"/>
        </w:rPr>
        <w:footnoteReference w:id="42"/>
      </w:r>
      <w:r w:rsidR="009D4FC5" w:rsidRPr="0048148E">
        <w:rPr>
          <w:rFonts w:asciiTheme="majorBidi" w:hAnsiTheme="majorBidi" w:cstheme="majorBidi"/>
          <w:sz w:val="24"/>
          <w:szCs w:val="24"/>
          <w:lang w:val="en-US"/>
        </w:rPr>
        <w:t xml:space="preserve"> </w:t>
      </w:r>
      <w:r w:rsidRPr="0048148E">
        <w:rPr>
          <w:rFonts w:asciiTheme="majorBidi" w:hAnsiTheme="majorBidi" w:cstheme="majorBidi"/>
          <w:sz w:val="24"/>
          <w:szCs w:val="24"/>
          <w:lang w:val="en-US"/>
        </w:rPr>
        <w:lastRenderedPageBreak/>
        <w:t>However, other than the solitary verse in Samuel, which is a later addition as demonstrated above, there is no previous mention in the Samuel or Kings accounts of the</w:t>
      </w:r>
      <w:r w:rsidR="009E31F3">
        <w:rPr>
          <w:rFonts w:asciiTheme="majorBidi" w:hAnsiTheme="majorBidi" w:cstheme="majorBidi"/>
          <w:sz w:val="24"/>
          <w:szCs w:val="24"/>
          <w:lang w:val="en-US"/>
        </w:rPr>
        <w:t xml:space="preserve"> Ark </w:t>
      </w:r>
      <w:r w:rsidRPr="0048148E">
        <w:rPr>
          <w:rFonts w:asciiTheme="majorBidi" w:hAnsiTheme="majorBidi" w:cstheme="majorBidi"/>
          <w:sz w:val="24"/>
          <w:szCs w:val="24"/>
          <w:lang w:val="en-US"/>
        </w:rPr>
        <w:t xml:space="preserve">being placed in </w:t>
      </w:r>
      <w:r w:rsidR="003E003F" w:rsidRPr="0048148E">
        <w:rPr>
          <w:rFonts w:asciiTheme="majorBidi" w:hAnsiTheme="majorBidi" w:cstheme="majorBidi"/>
          <w:sz w:val="24"/>
          <w:szCs w:val="24"/>
          <w:lang w:val="en-US"/>
        </w:rPr>
        <w:t>the Tent of Meeting</w:t>
      </w:r>
      <w:r w:rsidR="0098596A">
        <w:rPr>
          <w:rFonts w:asciiTheme="majorBidi" w:hAnsiTheme="majorBidi" w:cstheme="majorBidi"/>
          <w:sz w:val="24"/>
          <w:szCs w:val="24"/>
          <w:lang w:val="en-US"/>
        </w:rPr>
        <w:t>,</w:t>
      </w:r>
      <w:r w:rsidR="003E003F" w:rsidRPr="0048148E">
        <w:rPr>
          <w:rFonts w:asciiTheme="majorBidi" w:hAnsiTheme="majorBidi" w:cstheme="majorBidi"/>
          <w:sz w:val="24"/>
          <w:szCs w:val="24"/>
          <w:lang w:val="en-US"/>
        </w:rPr>
        <w:t xml:space="preserve"> </w:t>
      </w:r>
      <w:r w:rsidR="0098596A">
        <w:rPr>
          <w:rFonts w:asciiTheme="majorBidi" w:hAnsiTheme="majorBidi" w:cstheme="majorBidi"/>
          <w:sz w:val="24"/>
          <w:szCs w:val="24"/>
          <w:lang w:val="en-US"/>
        </w:rPr>
        <w:t>as in</w:t>
      </w:r>
      <w:r w:rsidR="003E003F" w:rsidRPr="0048148E">
        <w:rPr>
          <w:rFonts w:asciiTheme="majorBidi" w:hAnsiTheme="majorBidi" w:cstheme="majorBidi"/>
          <w:sz w:val="24"/>
          <w:szCs w:val="24"/>
          <w:lang w:val="en-US"/>
        </w:rPr>
        <w:t xml:space="preserve"> the Torah. Quite the opposite; the account in 2Sam 6 which tells of the</w:t>
      </w:r>
      <w:r w:rsidR="009E31F3">
        <w:rPr>
          <w:rFonts w:asciiTheme="majorBidi" w:hAnsiTheme="majorBidi" w:cstheme="majorBidi"/>
          <w:sz w:val="24"/>
          <w:szCs w:val="24"/>
          <w:lang w:val="en-US"/>
        </w:rPr>
        <w:t xml:space="preserve"> Ark </w:t>
      </w:r>
      <w:r w:rsidR="003E003F" w:rsidRPr="0048148E">
        <w:rPr>
          <w:rFonts w:asciiTheme="majorBidi" w:hAnsiTheme="majorBidi" w:cstheme="majorBidi"/>
          <w:sz w:val="24"/>
          <w:szCs w:val="24"/>
          <w:lang w:val="en-US"/>
        </w:rPr>
        <w:t xml:space="preserve">being moved to the City of David (from whence Solomon was said to bring it to the </w:t>
      </w:r>
      <w:r w:rsidR="00AD47B5" w:rsidRPr="0048148E">
        <w:rPr>
          <w:rFonts w:asciiTheme="majorBidi" w:hAnsiTheme="majorBidi" w:cstheme="majorBidi"/>
          <w:sz w:val="24"/>
          <w:szCs w:val="24"/>
          <w:lang w:val="en-US"/>
        </w:rPr>
        <w:t>Temple</w:t>
      </w:r>
      <w:r w:rsidR="003E003F" w:rsidRPr="0048148E">
        <w:rPr>
          <w:rFonts w:asciiTheme="majorBidi" w:hAnsiTheme="majorBidi" w:cstheme="majorBidi"/>
          <w:sz w:val="24"/>
          <w:szCs w:val="24"/>
          <w:lang w:val="en-US"/>
        </w:rPr>
        <w:t>) recounts that David put up a temporary tent for the</w:t>
      </w:r>
      <w:r w:rsidR="009E31F3">
        <w:rPr>
          <w:rFonts w:asciiTheme="majorBidi" w:hAnsiTheme="majorBidi" w:cstheme="majorBidi"/>
          <w:sz w:val="24"/>
          <w:szCs w:val="24"/>
          <w:lang w:val="en-US"/>
        </w:rPr>
        <w:t xml:space="preserve"> Ark </w:t>
      </w:r>
      <w:r w:rsidR="003E003F" w:rsidRPr="0048148E">
        <w:rPr>
          <w:rFonts w:asciiTheme="majorBidi" w:hAnsiTheme="majorBidi" w:cstheme="majorBidi"/>
          <w:sz w:val="24"/>
          <w:szCs w:val="24"/>
          <w:lang w:val="en-US"/>
        </w:rPr>
        <w:t>that he brought to Jerusalem, “</w:t>
      </w:r>
      <w:r w:rsidR="003E003F" w:rsidRPr="0048148E">
        <w:rPr>
          <w:rFonts w:asciiTheme="majorBidi" w:hAnsiTheme="majorBidi" w:cstheme="majorBidi"/>
          <w:sz w:val="24"/>
          <w:szCs w:val="24"/>
        </w:rPr>
        <w:t>So they brought the</w:t>
      </w:r>
      <w:r w:rsidR="009E31F3">
        <w:rPr>
          <w:rFonts w:asciiTheme="majorBidi" w:hAnsiTheme="majorBidi" w:cstheme="majorBidi"/>
          <w:sz w:val="24"/>
          <w:szCs w:val="24"/>
        </w:rPr>
        <w:t xml:space="preserve"> Ark </w:t>
      </w:r>
      <w:r w:rsidR="003E003F" w:rsidRPr="0048148E">
        <w:rPr>
          <w:rFonts w:asciiTheme="majorBidi" w:hAnsiTheme="majorBidi" w:cstheme="majorBidi"/>
          <w:sz w:val="24"/>
          <w:szCs w:val="24"/>
        </w:rPr>
        <w:t xml:space="preserve">of the Lord, and set it in its place in the midst of the </w:t>
      </w:r>
      <w:r w:rsidR="00AD47B5" w:rsidRPr="0048148E">
        <w:rPr>
          <w:rFonts w:asciiTheme="majorBidi" w:hAnsiTheme="majorBidi" w:cstheme="majorBidi"/>
          <w:sz w:val="24"/>
          <w:szCs w:val="24"/>
        </w:rPr>
        <w:t>Tabernacle</w:t>
      </w:r>
      <w:r w:rsidR="003E003F" w:rsidRPr="0048148E">
        <w:rPr>
          <w:rFonts w:asciiTheme="majorBidi" w:hAnsiTheme="majorBidi" w:cstheme="majorBidi"/>
          <w:sz w:val="24"/>
          <w:szCs w:val="24"/>
        </w:rPr>
        <w:t xml:space="preserve"> that David had erected for it…</w:t>
      </w:r>
      <w:r w:rsidR="003E003F" w:rsidRPr="0048148E">
        <w:rPr>
          <w:rFonts w:asciiTheme="majorBidi" w:hAnsiTheme="majorBidi" w:cstheme="majorBidi"/>
          <w:sz w:val="24"/>
          <w:szCs w:val="24"/>
          <w:lang w:val="en-US"/>
        </w:rPr>
        <w:t>” (2Sam 6:17;</w:t>
      </w:r>
      <w:r w:rsidR="00D71F74" w:rsidRPr="0048148E">
        <w:rPr>
          <w:rFonts w:asciiTheme="majorBidi" w:hAnsiTheme="majorBidi" w:cstheme="majorBidi"/>
          <w:sz w:val="24"/>
          <w:szCs w:val="24"/>
          <w:lang w:val="en-US"/>
        </w:rPr>
        <w:t xml:space="preserve"> 7:2 cf. v. 6). Furthermore, the style of the verse attests that it</w:t>
      </w:r>
      <w:r w:rsidR="0098596A">
        <w:rPr>
          <w:rFonts w:asciiTheme="majorBidi" w:hAnsiTheme="majorBidi" w:cstheme="majorBidi"/>
          <w:sz w:val="24"/>
          <w:szCs w:val="24"/>
          <w:lang w:val="en-US"/>
        </w:rPr>
        <w:t>,</w:t>
      </w:r>
      <w:r w:rsidR="00D71F74" w:rsidRPr="0048148E">
        <w:rPr>
          <w:rFonts w:asciiTheme="majorBidi" w:hAnsiTheme="majorBidi" w:cstheme="majorBidi"/>
          <w:sz w:val="24"/>
          <w:szCs w:val="24"/>
          <w:lang w:val="en-US"/>
        </w:rPr>
        <w:t xml:space="preserve"> too</w:t>
      </w:r>
      <w:r w:rsidR="0098596A">
        <w:rPr>
          <w:rFonts w:asciiTheme="majorBidi" w:hAnsiTheme="majorBidi" w:cstheme="majorBidi"/>
          <w:sz w:val="24"/>
          <w:szCs w:val="24"/>
          <w:lang w:val="en-US"/>
        </w:rPr>
        <w:t>,</w:t>
      </w:r>
      <w:r w:rsidR="00D71F74" w:rsidRPr="0048148E">
        <w:rPr>
          <w:rFonts w:asciiTheme="majorBidi" w:hAnsiTheme="majorBidi" w:cstheme="majorBidi"/>
          <w:sz w:val="24"/>
          <w:szCs w:val="24"/>
          <w:lang w:val="en-US"/>
        </w:rPr>
        <w:t xml:space="preserve"> was formulated</w:t>
      </w:r>
      <w:r w:rsidR="00BF608C">
        <w:rPr>
          <w:rFonts w:asciiTheme="majorBidi" w:hAnsiTheme="majorBidi" w:cstheme="majorBidi"/>
          <w:sz w:val="24"/>
          <w:szCs w:val="24"/>
          <w:lang w:val="en-US"/>
        </w:rPr>
        <w:t xml:space="preserve"> </w:t>
      </w:r>
      <w:r w:rsidR="00D71F74" w:rsidRPr="0048148E">
        <w:rPr>
          <w:rFonts w:asciiTheme="majorBidi" w:hAnsiTheme="majorBidi" w:cstheme="majorBidi"/>
          <w:sz w:val="24"/>
          <w:szCs w:val="24"/>
          <w:lang w:val="en-US"/>
        </w:rPr>
        <w:t xml:space="preserve">with an awareness of the Priestly style in the Torah. The expression </w:t>
      </w:r>
      <w:r w:rsidR="00D71F74" w:rsidRPr="0048148E">
        <w:rPr>
          <w:rFonts w:asciiTheme="majorBidi" w:hAnsiTheme="majorBidi" w:cstheme="majorBidi"/>
          <w:sz w:val="24"/>
          <w:szCs w:val="24"/>
          <w:rtl/>
          <w:lang w:val="en-US"/>
        </w:rPr>
        <w:t>כלי הקדש</w:t>
      </w:r>
      <w:r w:rsidR="00D71F74" w:rsidRPr="0048148E">
        <w:rPr>
          <w:rFonts w:asciiTheme="majorBidi" w:hAnsiTheme="majorBidi" w:cstheme="majorBidi"/>
          <w:sz w:val="24"/>
          <w:szCs w:val="24"/>
          <w:lang w:val="en-US"/>
        </w:rPr>
        <w:t xml:space="preserve"> (“the holy vessels”) which appears here is found </w:t>
      </w:r>
      <w:r w:rsidR="0098596A">
        <w:rPr>
          <w:rFonts w:asciiTheme="majorBidi" w:hAnsiTheme="majorBidi" w:cstheme="majorBidi"/>
          <w:sz w:val="24"/>
          <w:szCs w:val="24"/>
          <w:lang w:val="en-US"/>
        </w:rPr>
        <w:t>outside of</w:t>
      </w:r>
      <w:r w:rsidR="00D71F74" w:rsidRPr="0048148E">
        <w:rPr>
          <w:rFonts w:asciiTheme="majorBidi" w:hAnsiTheme="majorBidi" w:cstheme="majorBidi"/>
          <w:sz w:val="24"/>
          <w:szCs w:val="24"/>
          <w:lang w:val="en-US"/>
        </w:rPr>
        <w:t xml:space="preserve"> this place only in the Priestly texts in the Torah, and even then</w:t>
      </w:r>
      <w:r w:rsidR="005B551E" w:rsidRPr="0048148E">
        <w:rPr>
          <w:rFonts w:asciiTheme="majorBidi" w:hAnsiTheme="majorBidi" w:cstheme="majorBidi"/>
          <w:sz w:val="24"/>
          <w:szCs w:val="24"/>
          <w:lang w:val="en-US"/>
        </w:rPr>
        <w:t>,</w:t>
      </w:r>
      <w:r w:rsidR="00D71F74" w:rsidRPr="0048148E">
        <w:rPr>
          <w:rFonts w:asciiTheme="majorBidi" w:hAnsiTheme="majorBidi" w:cstheme="majorBidi"/>
          <w:sz w:val="24"/>
          <w:szCs w:val="24"/>
          <w:lang w:val="en-US"/>
        </w:rPr>
        <w:t xml:space="preserve"> only in the relatively later strata of the Priestly materials (</w:t>
      </w:r>
      <w:r w:rsidR="00D71F74" w:rsidRPr="0048148E">
        <w:rPr>
          <w:rFonts w:asciiTheme="majorBidi" w:hAnsiTheme="majorBidi" w:cstheme="majorBidi"/>
          <w:sz w:val="24"/>
          <w:szCs w:val="24"/>
          <w:highlight w:val="yellow"/>
          <w:lang w:val="en-US"/>
        </w:rPr>
        <w:t>TEXT</w:t>
      </w:r>
      <w:r w:rsidR="00D71F74" w:rsidRPr="0048148E">
        <w:rPr>
          <w:rFonts w:asciiTheme="majorBidi" w:hAnsiTheme="majorBidi" w:cstheme="majorBidi"/>
          <w:sz w:val="24"/>
          <w:szCs w:val="24"/>
          <w:lang w:val="en-US"/>
        </w:rPr>
        <w:t>)</w:t>
      </w:r>
      <w:r w:rsidR="005B551E" w:rsidRPr="0048148E">
        <w:rPr>
          <w:rFonts w:asciiTheme="majorBidi" w:hAnsiTheme="majorBidi" w:cstheme="majorBidi"/>
          <w:sz w:val="24"/>
          <w:szCs w:val="24"/>
          <w:lang w:val="en-US"/>
        </w:rPr>
        <w:t>, or in Chronicles which was influenced by the same materials (</w:t>
      </w:r>
      <w:r w:rsidR="005B551E" w:rsidRPr="0048148E">
        <w:rPr>
          <w:rFonts w:asciiTheme="majorBidi" w:hAnsiTheme="majorBidi" w:cstheme="majorBidi"/>
          <w:sz w:val="24"/>
          <w:szCs w:val="24"/>
          <w:highlight w:val="yellow"/>
          <w:lang w:val="en-US"/>
        </w:rPr>
        <w:t>TEXT</w:t>
      </w:r>
      <w:r w:rsidR="005B551E" w:rsidRPr="0048148E">
        <w:rPr>
          <w:rFonts w:asciiTheme="majorBidi" w:hAnsiTheme="majorBidi" w:cstheme="majorBidi"/>
          <w:sz w:val="24"/>
          <w:szCs w:val="24"/>
          <w:lang w:val="en-US"/>
        </w:rPr>
        <w:t xml:space="preserve">). </w:t>
      </w:r>
      <w:commentRangeStart w:id="16"/>
      <w:r w:rsidR="00535C68">
        <w:rPr>
          <w:rFonts w:asciiTheme="majorBidi" w:hAnsiTheme="majorBidi" w:cstheme="majorBidi"/>
          <w:sz w:val="24"/>
          <w:szCs w:val="24"/>
          <w:lang w:val="en-US"/>
        </w:rPr>
        <w:t>The story of the Ark moving to Solomon’s Temple, without the words which are absent in the Septuagint version and without v. 4 which also includes explicitly Priestly terminology, would be similar to the pattern of Ark stories in Samuel (</w:t>
      </w:r>
      <w:r w:rsidR="00535C68" w:rsidRPr="0048148E">
        <w:rPr>
          <w:rFonts w:asciiTheme="majorBidi" w:hAnsiTheme="majorBidi" w:cstheme="majorBidi"/>
          <w:sz w:val="24"/>
          <w:szCs w:val="24"/>
          <w:lang w:val="en-US"/>
        </w:rPr>
        <w:t>bringing the</w:t>
      </w:r>
      <w:r w:rsidR="00535C68">
        <w:rPr>
          <w:rFonts w:asciiTheme="majorBidi" w:hAnsiTheme="majorBidi" w:cstheme="majorBidi"/>
          <w:sz w:val="24"/>
          <w:szCs w:val="24"/>
          <w:lang w:val="en-US"/>
        </w:rPr>
        <w:t xml:space="preserve"> Ark </w:t>
      </w:r>
      <w:r w:rsidR="00535C68" w:rsidRPr="0048148E">
        <w:rPr>
          <w:rFonts w:asciiTheme="majorBidi" w:hAnsiTheme="majorBidi" w:cstheme="majorBidi"/>
          <w:sz w:val="24"/>
          <w:szCs w:val="24"/>
          <w:lang w:val="en-US"/>
        </w:rPr>
        <w:t>to the home of ‘Oved Edom, and from there to the City of David</w:t>
      </w:r>
      <w:r w:rsidR="00535C68">
        <w:rPr>
          <w:rFonts w:asciiTheme="majorBidi" w:hAnsiTheme="majorBidi" w:cstheme="majorBidi"/>
          <w:sz w:val="24"/>
          <w:szCs w:val="24"/>
          <w:lang w:val="en-US"/>
        </w:rPr>
        <w:t>), and would also complete them:</w:t>
      </w:r>
      <w:commentRangeEnd w:id="16"/>
      <w:r w:rsidR="00535C68">
        <w:rPr>
          <w:rStyle w:val="CommentReference"/>
          <w:rtl/>
        </w:rPr>
        <w:commentReference w:id="16"/>
      </w:r>
    </w:p>
    <w:p w14:paraId="148ECEE1" w14:textId="02D7F6E3" w:rsidR="005B551E" w:rsidRPr="0048148E" w:rsidRDefault="005B551E" w:rsidP="0048148E">
      <w:pPr>
        <w:spacing w:line="360" w:lineRule="auto"/>
        <w:rPr>
          <w:rFonts w:asciiTheme="majorBidi" w:hAnsiTheme="majorBidi" w:cstheme="majorBidi"/>
          <w:sz w:val="24"/>
          <w:szCs w:val="24"/>
          <w:lang w:val="en-US"/>
        </w:rPr>
      </w:pPr>
      <w:r w:rsidRPr="0048148E">
        <w:rPr>
          <w:rFonts w:asciiTheme="majorBidi" w:hAnsiTheme="majorBidi" w:cstheme="majorBidi"/>
          <w:sz w:val="24"/>
          <w:szCs w:val="24"/>
          <w:highlight w:val="yellow"/>
          <w:lang w:val="en-US"/>
        </w:rPr>
        <w:t>TEXT</w:t>
      </w:r>
    </w:p>
    <w:p w14:paraId="3227218E" w14:textId="73A20A94" w:rsidR="005B551E" w:rsidRPr="0048148E" w:rsidRDefault="008103D8" w:rsidP="004C4D4B">
      <w:pPr>
        <w:spacing w:line="360" w:lineRule="auto"/>
        <w:ind w:firstLine="720"/>
        <w:rPr>
          <w:rFonts w:asciiTheme="majorBidi" w:hAnsiTheme="majorBidi" w:cstheme="majorBidi"/>
          <w:sz w:val="24"/>
          <w:szCs w:val="24"/>
          <w:lang w:val="en-US"/>
        </w:rPr>
      </w:pPr>
      <w:r w:rsidRPr="0048148E">
        <w:rPr>
          <w:rFonts w:asciiTheme="majorBidi" w:hAnsiTheme="majorBidi" w:cstheme="majorBidi"/>
          <w:sz w:val="24"/>
          <w:szCs w:val="24"/>
          <w:lang w:val="en-US"/>
        </w:rPr>
        <w:t xml:space="preserve">Two central issues emerge from the comparison to the other stories of the transfer of the </w:t>
      </w:r>
      <w:r w:rsidR="003D1700">
        <w:rPr>
          <w:rFonts w:asciiTheme="majorBidi" w:hAnsiTheme="majorBidi" w:cstheme="majorBidi"/>
          <w:sz w:val="24"/>
          <w:szCs w:val="24"/>
          <w:lang w:val="en-US"/>
        </w:rPr>
        <w:t>A</w:t>
      </w:r>
      <w:r w:rsidRPr="0048148E">
        <w:rPr>
          <w:rFonts w:asciiTheme="majorBidi" w:hAnsiTheme="majorBidi" w:cstheme="majorBidi"/>
          <w:sz w:val="24"/>
          <w:szCs w:val="24"/>
          <w:lang w:val="en-US"/>
        </w:rPr>
        <w:t>rk. Th</w:t>
      </w:r>
      <w:r w:rsidR="00352EB4">
        <w:rPr>
          <w:rFonts w:asciiTheme="majorBidi" w:hAnsiTheme="majorBidi" w:cstheme="majorBidi"/>
          <w:sz w:val="24"/>
          <w:szCs w:val="24"/>
          <w:lang w:val="en-US"/>
        </w:rPr>
        <w:t>e</w:t>
      </w:r>
      <w:r w:rsidRPr="0048148E">
        <w:rPr>
          <w:rFonts w:asciiTheme="majorBidi" w:hAnsiTheme="majorBidi" w:cstheme="majorBidi"/>
          <w:sz w:val="24"/>
          <w:szCs w:val="24"/>
          <w:lang w:val="en-US"/>
        </w:rPr>
        <w:t xml:space="preserve"> first is the date of the transfer</w:t>
      </w:r>
      <w:r w:rsidR="005521FF">
        <w:rPr>
          <w:rFonts w:asciiTheme="majorBidi" w:hAnsiTheme="majorBidi" w:cstheme="majorBidi"/>
          <w:sz w:val="24"/>
          <w:szCs w:val="24"/>
          <w:lang w:val="en-US"/>
        </w:rPr>
        <w:t>,</w:t>
      </w:r>
      <w:r w:rsidRPr="0048148E">
        <w:rPr>
          <w:rFonts w:asciiTheme="majorBidi" w:hAnsiTheme="majorBidi" w:cstheme="majorBidi"/>
          <w:sz w:val="24"/>
          <w:szCs w:val="24"/>
          <w:lang w:val="en-US"/>
        </w:rPr>
        <w:t xml:space="preserve"> which is mentioned only in the Kings account, and the second is the mention of the Tent. </w:t>
      </w:r>
      <w:r w:rsidR="005521FF">
        <w:rPr>
          <w:rFonts w:asciiTheme="majorBidi" w:hAnsiTheme="majorBidi" w:cstheme="majorBidi"/>
          <w:sz w:val="24"/>
          <w:szCs w:val="24"/>
          <w:lang w:val="en-US"/>
        </w:rPr>
        <w:t>The u</w:t>
      </w:r>
      <w:r w:rsidRPr="0048148E">
        <w:rPr>
          <w:rFonts w:asciiTheme="majorBidi" w:hAnsiTheme="majorBidi" w:cstheme="majorBidi"/>
          <w:sz w:val="24"/>
          <w:szCs w:val="24"/>
          <w:lang w:val="en-US"/>
        </w:rPr>
        <w:t xml:space="preserve">se of the ancient name of “the month of </w:t>
      </w:r>
      <w:proofErr w:type="spellStart"/>
      <w:r w:rsidRPr="0048148E">
        <w:rPr>
          <w:rFonts w:asciiTheme="majorBidi" w:hAnsiTheme="majorBidi" w:cstheme="majorBidi"/>
          <w:sz w:val="24"/>
          <w:szCs w:val="24"/>
          <w:lang w:val="en-US"/>
        </w:rPr>
        <w:t>Ethanim</w:t>
      </w:r>
      <w:proofErr w:type="spellEnd"/>
      <w:r w:rsidRPr="0048148E">
        <w:rPr>
          <w:rFonts w:asciiTheme="majorBidi" w:hAnsiTheme="majorBidi" w:cstheme="majorBidi"/>
          <w:sz w:val="24"/>
          <w:szCs w:val="24"/>
          <w:lang w:val="en-US"/>
        </w:rPr>
        <w:t>” shows that this is part of the earlier tradition regarding the date when the</w:t>
      </w:r>
      <w:r w:rsidR="009E31F3">
        <w:rPr>
          <w:rFonts w:asciiTheme="majorBidi" w:hAnsiTheme="majorBidi" w:cstheme="majorBidi"/>
          <w:sz w:val="24"/>
          <w:szCs w:val="24"/>
          <w:lang w:val="en-US"/>
        </w:rPr>
        <w:t xml:space="preserve"> Ark </w:t>
      </w:r>
      <w:r w:rsidRPr="0048148E">
        <w:rPr>
          <w:rFonts w:asciiTheme="majorBidi" w:hAnsiTheme="majorBidi" w:cstheme="majorBidi"/>
          <w:sz w:val="24"/>
          <w:szCs w:val="24"/>
          <w:lang w:val="en-US"/>
        </w:rPr>
        <w:t>was brought to the City of David. It was only at a later stage that this event was identified with the festival of Sukkot. This detail was unique to the account of the</w:t>
      </w:r>
      <w:r w:rsidR="009E31F3">
        <w:rPr>
          <w:rFonts w:asciiTheme="majorBidi" w:hAnsiTheme="majorBidi" w:cstheme="majorBidi"/>
          <w:sz w:val="24"/>
          <w:szCs w:val="24"/>
          <w:lang w:val="en-US"/>
        </w:rPr>
        <w:t xml:space="preserve"> Ark </w:t>
      </w:r>
      <w:r w:rsidRPr="0048148E">
        <w:rPr>
          <w:rFonts w:asciiTheme="majorBidi" w:hAnsiTheme="majorBidi" w:cstheme="majorBidi"/>
          <w:sz w:val="24"/>
          <w:szCs w:val="24"/>
          <w:lang w:val="en-US"/>
        </w:rPr>
        <w:t xml:space="preserve">in Kings. The second unusual detail is the notice of the Tent of Meeting being transferred in addition to the </w:t>
      </w:r>
      <w:r w:rsidR="003D1700">
        <w:rPr>
          <w:rFonts w:asciiTheme="majorBidi" w:hAnsiTheme="majorBidi" w:cstheme="majorBidi"/>
          <w:sz w:val="24"/>
          <w:szCs w:val="24"/>
          <w:lang w:val="en-US"/>
        </w:rPr>
        <w:t>A</w:t>
      </w:r>
      <w:r w:rsidRPr="0048148E">
        <w:rPr>
          <w:rFonts w:asciiTheme="majorBidi" w:hAnsiTheme="majorBidi" w:cstheme="majorBidi"/>
          <w:sz w:val="24"/>
          <w:szCs w:val="24"/>
          <w:lang w:val="en-US"/>
        </w:rPr>
        <w:t>rk</w:t>
      </w:r>
      <w:r w:rsidR="009B5527" w:rsidRPr="0048148E">
        <w:rPr>
          <w:rFonts w:asciiTheme="majorBidi" w:hAnsiTheme="majorBidi" w:cstheme="majorBidi"/>
          <w:sz w:val="24"/>
          <w:szCs w:val="24"/>
          <w:lang w:val="en-US"/>
        </w:rPr>
        <w:t xml:space="preserve">. Here the situation is different: the account of the </w:t>
      </w:r>
      <w:r w:rsidR="003D1700">
        <w:rPr>
          <w:rFonts w:asciiTheme="majorBidi" w:hAnsiTheme="majorBidi" w:cstheme="majorBidi"/>
          <w:sz w:val="24"/>
          <w:szCs w:val="24"/>
          <w:lang w:val="en-US"/>
        </w:rPr>
        <w:t>A</w:t>
      </w:r>
      <w:r w:rsidR="009B5527" w:rsidRPr="0048148E">
        <w:rPr>
          <w:rFonts w:asciiTheme="majorBidi" w:hAnsiTheme="majorBidi" w:cstheme="majorBidi"/>
          <w:sz w:val="24"/>
          <w:szCs w:val="24"/>
          <w:lang w:val="en-US"/>
        </w:rPr>
        <w:t>rk’s removal from the house of ‘Oved Edom indicated that it was placed in a temporary tent, and not in the Tent of Meeting which traveled with them from the desert and entered the land. It seems that a later author who related the story of transferring the</w:t>
      </w:r>
      <w:r w:rsidR="009E31F3">
        <w:rPr>
          <w:rFonts w:asciiTheme="majorBidi" w:hAnsiTheme="majorBidi" w:cstheme="majorBidi"/>
          <w:sz w:val="24"/>
          <w:szCs w:val="24"/>
          <w:lang w:val="en-US"/>
        </w:rPr>
        <w:t xml:space="preserve"> Ark </w:t>
      </w:r>
      <w:r w:rsidR="009B5527" w:rsidRPr="0048148E">
        <w:rPr>
          <w:rFonts w:asciiTheme="majorBidi" w:hAnsiTheme="majorBidi" w:cstheme="majorBidi"/>
          <w:sz w:val="24"/>
          <w:szCs w:val="24"/>
          <w:lang w:val="en-US"/>
        </w:rPr>
        <w:t>to the City of David identified the temporary tent, which is mentioned in the David stories of the</w:t>
      </w:r>
      <w:r w:rsidR="009E31F3">
        <w:rPr>
          <w:rFonts w:asciiTheme="majorBidi" w:hAnsiTheme="majorBidi" w:cstheme="majorBidi"/>
          <w:sz w:val="24"/>
          <w:szCs w:val="24"/>
          <w:lang w:val="en-US"/>
        </w:rPr>
        <w:t xml:space="preserve"> Ark </w:t>
      </w:r>
      <w:r w:rsidR="009B5527" w:rsidRPr="0048148E">
        <w:rPr>
          <w:rFonts w:asciiTheme="majorBidi" w:hAnsiTheme="majorBidi" w:cstheme="majorBidi"/>
          <w:sz w:val="24"/>
          <w:szCs w:val="24"/>
          <w:lang w:val="en-US"/>
        </w:rPr>
        <w:t>(2Sam 6:17), with the Tent of Meeting from the Torah, and added the mention of the Tent of Meeting. With this</w:t>
      </w:r>
      <w:r w:rsidR="00606E39">
        <w:rPr>
          <w:rFonts w:asciiTheme="majorBidi" w:hAnsiTheme="majorBidi" w:cstheme="majorBidi"/>
          <w:sz w:val="24"/>
          <w:szCs w:val="24"/>
          <w:lang w:val="en-US"/>
        </w:rPr>
        <w:t>,</w:t>
      </w:r>
      <w:r w:rsidR="009B5527" w:rsidRPr="0048148E">
        <w:rPr>
          <w:rFonts w:asciiTheme="majorBidi" w:hAnsiTheme="majorBidi" w:cstheme="majorBidi"/>
          <w:sz w:val="24"/>
          <w:szCs w:val="24"/>
          <w:lang w:val="en-US"/>
        </w:rPr>
        <w:t xml:space="preserve"> he also connected between the </w:t>
      </w:r>
      <w:r w:rsidR="00AD47B5" w:rsidRPr="0048148E">
        <w:rPr>
          <w:rFonts w:asciiTheme="majorBidi" w:hAnsiTheme="majorBidi" w:cstheme="majorBidi"/>
          <w:sz w:val="24"/>
          <w:szCs w:val="24"/>
          <w:lang w:val="en-US"/>
        </w:rPr>
        <w:t>Tabernacle</w:t>
      </w:r>
      <w:r w:rsidR="009B5527" w:rsidRPr="0048148E">
        <w:rPr>
          <w:rFonts w:asciiTheme="majorBidi" w:hAnsiTheme="majorBidi" w:cstheme="majorBidi"/>
          <w:sz w:val="24"/>
          <w:szCs w:val="24"/>
          <w:lang w:val="en-US"/>
        </w:rPr>
        <w:t xml:space="preserve"> and the </w:t>
      </w:r>
      <w:r w:rsidR="00AD47B5" w:rsidRPr="0048148E">
        <w:rPr>
          <w:rFonts w:asciiTheme="majorBidi" w:hAnsiTheme="majorBidi" w:cstheme="majorBidi"/>
          <w:sz w:val="24"/>
          <w:szCs w:val="24"/>
          <w:lang w:val="en-US"/>
        </w:rPr>
        <w:t>Temple</w:t>
      </w:r>
      <w:r w:rsidR="00F71000" w:rsidRPr="0048148E">
        <w:rPr>
          <w:rFonts w:asciiTheme="majorBidi" w:hAnsiTheme="majorBidi" w:cstheme="majorBidi"/>
          <w:sz w:val="24"/>
          <w:szCs w:val="24"/>
          <w:lang w:val="en-US"/>
        </w:rPr>
        <w:t xml:space="preserve"> </w:t>
      </w:r>
      <w:r w:rsidR="009B5527" w:rsidRPr="0048148E">
        <w:rPr>
          <w:rFonts w:asciiTheme="majorBidi" w:hAnsiTheme="majorBidi" w:cstheme="majorBidi"/>
          <w:sz w:val="24"/>
          <w:szCs w:val="24"/>
          <w:lang w:val="en-US"/>
        </w:rPr>
        <w:t xml:space="preserve">and created a continuum between the two such that Solomon’s </w:t>
      </w:r>
      <w:r w:rsidR="00AD47B5" w:rsidRPr="0048148E">
        <w:rPr>
          <w:rFonts w:asciiTheme="majorBidi" w:hAnsiTheme="majorBidi" w:cstheme="majorBidi"/>
          <w:sz w:val="24"/>
          <w:szCs w:val="24"/>
          <w:lang w:val="en-US"/>
        </w:rPr>
        <w:t>Temple</w:t>
      </w:r>
      <w:r w:rsidR="009B5527" w:rsidRPr="0048148E">
        <w:rPr>
          <w:rFonts w:asciiTheme="majorBidi" w:hAnsiTheme="majorBidi" w:cstheme="majorBidi"/>
          <w:sz w:val="24"/>
          <w:szCs w:val="24"/>
          <w:lang w:val="en-US"/>
        </w:rPr>
        <w:t xml:space="preserve"> became the </w:t>
      </w:r>
      <w:r w:rsidR="00F71000" w:rsidRPr="0048148E">
        <w:rPr>
          <w:rFonts w:asciiTheme="majorBidi" w:hAnsiTheme="majorBidi" w:cstheme="majorBidi"/>
          <w:sz w:val="24"/>
          <w:szCs w:val="24"/>
          <w:lang w:val="en-US"/>
        </w:rPr>
        <w:t xml:space="preserve">continuation of the </w:t>
      </w:r>
      <w:r w:rsidR="00AD47B5" w:rsidRPr="0048148E">
        <w:rPr>
          <w:rFonts w:asciiTheme="majorBidi" w:hAnsiTheme="majorBidi" w:cstheme="majorBidi"/>
          <w:sz w:val="24"/>
          <w:szCs w:val="24"/>
          <w:lang w:val="en-US"/>
        </w:rPr>
        <w:t>Tabernacle</w:t>
      </w:r>
      <w:r w:rsidR="00F71000" w:rsidRPr="0048148E">
        <w:rPr>
          <w:rFonts w:asciiTheme="majorBidi" w:hAnsiTheme="majorBidi" w:cstheme="majorBidi"/>
          <w:sz w:val="24"/>
          <w:szCs w:val="24"/>
          <w:lang w:val="en-US"/>
        </w:rPr>
        <w:t xml:space="preserve"> mentioned in the Torah. These words in v. 4 which, as noted above, were of the Priestly style, were probably added even </w:t>
      </w:r>
      <w:r w:rsidR="00F71000" w:rsidRPr="0048148E">
        <w:rPr>
          <w:rFonts w:asciiTheme="majorBidi" w:hAnsiTheme="majorBidi" w:cstheme="majorBidi"/>
          <w:sz w:val="24"/>
          <w:szCs w:val="24"/>
          <w:lang w:val="en-US"/>
        </w:rPr>
        <w:lastRenderedPageBreak/>
        <w:t>before the branch of the Septuagint broke off, and therefore appear in all the main textual witnesses.</w:t>
      </w:r>
    </w:p>
    <w:p w14:paraId="4E6D36BA" w14:textId="52232DBA" w:rsidR="00F71000" w:rsidRPr="0048148E" w:rsidRDefault="00F71000" w:rsidP="004C4D4B">
      <w:pPr>
        <w:spacing w:line="360" w:lineRule="auto"/>
        <w:ind w:firstLine="720"/>
        <w:rPr>
          <w:rFonts w:asciiTheme="majorBidi" w:hAnsiTheme="majorBidi" w:cstheme="majorBidi"/>
          <w:sz w:val="24"/>
          <w:szCs w:val="24"/>
          <w:rtl/>
          <w:lang w:val="en-US"/>
        </w:rPr>
      </w:pPr>
      <w:r w:rsidRPr="0048148E">
        <w:rPr>
          <w:rFonts w:asciiTheme="majorBidi" w:hAnsiTheme="majorBidi" w:cstheme="majorBidi"/>
          <w:sz w:val="24"/>
          <w:szCs w:val="24"/>
          <w:lang w:val="en-US"/>
        </w:rPr>
        <w:t xml:space="preserve">The Solomon story has </w:t>
      </w:r>
      <w:r w:rsidR="00606E39">
        <w:rPr>
          <w:rFonts w:asciiTheme="majorBidi" w:hAnsiTheme="majorBidi" w:cstheme="majorBidi"/>
          <w:sz w:val="24"/>
          <w:szCs w:val="24"/>
          <w:lang w:val="en-US"/>
        </w:rPr>
        <w:t>several</w:t>
      </w:r>
      <w:r w:rsidRPr="0048148E">
        <w:rPr>
          <w:rFonts w:asciiTheme="majorBidi" w:hAnsiTheme="majorBidi" w:cstheme="majorBidi"/>
          <w:sz w:val="24"/>
          <w:szCs w:val="24"/>
          <w:lang w:val="en-US"/>
        </w:rPr>
        <w:t xml:space="preserve"> other verses which can be identified as belonging to the same author who was influenced by the Priestly style</w:t>
      </w:r>
      <w:r w:rsidR="006F428D">
        <w:rPr>
          <w:rFonts w:asciiTheme="majorBidi" w:hAnsiTheme="majorBidi" w:cstheme="majorBidi"/>
          <w:sz w:val="24"/>
          <w:szCs w:val="24"/>
          <w:lang w:val="en-US"/>
        </w:rPr>
        <w:t>,</w:t>
      </w:r>
      <w:r w:rsidRPr="0048148E">
        <w:rPr>
          <w:rFonts w:asciiTheme="majorBidi" w:hAnsiTheme="majorBidi" w:cstheme="majorBidi"/>
          <w:sz w:val="24"/>
          <w:szCs w:val="24"/>
          <w:lang w:val="en-US"/>
        </w:rPr>
        <w:t xml:space="preserve"> and</w:t>
      </w:r>
      <w:r w:rsidR="006F428D">
        <w:rPr>
          <w:rFonts w:asciiTheme="majorBidi" w:hAnsiTheme="majorBidi" w:cstheme="majorBidi"/>
          <w:sz w:val="24"/>
          <w:szCs w:val="24"/>
          <w:lang w:val="en-US"/>
        </w:rPr>
        <w:t xml:space="preserve"> who</w:t>
      </w:r>
      <w:r w:rsidRPr="0048148E">
        <w:rPr>
          <w:rFonts w:asciiTheme="majorBidi" w:hAnsiTheme="majorBidi" w:cstheme="majorBidi"/>
          <w:sz w:val="24"/>
          <w:szCs w:val="24"/>
          <w:lang w:val="en-US"/>
        </w:rPr>
        <w:t xml:space="preserve"> wished to present Solomon’s </w:t>
      </w:r>
      <w:r w:rsidR="00AD47B5" w:rsidRPr="0048148E">
        <w:rPr>
          <w:rFonts w:asciiTheme="majorBidi" w:hAnsiTheme="majorBidi" w:cstheme="majorBidi"/>
          <w:sz w:val="24"/>
          <w:szCs w:val="24"/>
          <w:lang w:val="en-US"/>
        </w:rPr>
        <w:t>Temple</w:t>
      </w:r>
      <w:r w:rsidRPr="0048148E">
        <w:rPr>
          <w:rFonts w:asciiTheme="majorBidi" w:hAnsiTheme="majorBidi" w:cstheme="majorBidi"/>
          <w:sz w:val="24"/>
          <w:szCs w:val="24"/>
          <w:lang w:val="en-US"/>
        </w:rPr>
        <w:t xml:space="preserve"> as the continuation of the desert-era </w:t>
      </w:r>
      <w:r w:rsidR="00AD47B5" w:rsidRPr="0048148E">
        <w:rPr>
          <w:rFonts w:asciiTheme="majorBidi" w:hAnsiTheme="majorBidi" w:cstheme="majorBidi"/>
          <w:sz w:val="24"/>
          <w:szCs w:val="24"/>
          <w:lang w:val="en-US"/>
        </w:rPr>
        <w:t>Tabernacle</w:t>
      </w:r>
      <w:r w:rsidRPr="0048148E">
        <w:rPr>
          <w:rFonts w:asciiTheme="majorBidi" w:hAnsiTheme="majorBidi" w:cstheme="majorBidi"/>
          <w:sz w:val="24"/>
          <w:szCs w:val="24"/>
          <w:lang w:val="en-US"/>
        </w:rPr>
        <w:t>.</w:t>
      </w:r>
      <w:r w:rsidRPr="0048148E">
        <w:rPr>
          <w:rStyle w:val="FootnoteReference"/>
          <w:rFonts w:asciiTheme="majorBidi" w:hAnsiTheme="majorBidi" w:cstheme="majorBidi"/>
          <w:sz w:val="24"/>
          <w:szCs w:val="24"/>
          <w:lang w:val="en-US"/>
        </w:rPr>
        <w:footnoteReference w:id="43"/>
      </w:r>
      <w:r w:rsidRPr="0048148E">
        <w:rPr>
          <w:rFonts w:asciiTheme="majorBidi" w:hAnsiTheme="majorBidi" w:cstheme="majorBidi"/>
          <w:sz w:val="24"/>
          <w:szCs w:val="24"/>
          <w:lang w:val="en-US"/>
        </w:rPr>
        <w:t xml:space="preserve"> The continuation of this chapter includes a relatively lengthy text recounting the events after the</w:t>
      </w:r>
      <w:r w:rsidR="009E31F3">
        <w:rPr>
          <w:rFonts w:asciiTheme="majorBidi" w:hAnsiTheme="majorBidi" w:cstheme="majorBidi"/>
          <w:sz w:val="24"/>
          <w:szCs w:val="24"/>
          <w:lang w:val="en-US"/>
        </w:rPr>
        <w:t xml:space="preserve"> Ark </w:t>
      </w:r>
      <w:r w:rsidRPr="0048148E">
        <w:rPr>
          <w:rFonts w:asciiTheme="majorBidi" w:hAnsiTheme="majorBidi" w:cstheme="majorBidi"/>
          <w:sz w:val="24"/>
          <w:szCs w:val="24"/>
          <w:lang w:val="en-US"/>
        </w:rPr>
        <w:t xml:space="preserve">was brought into the </w:t>
      </w:r>
      <w:r w:rsidR="00AD47B5" w:rsidRPr="0048148E">
        <w:rPr>
          <w:rFonts w:asciiTheme="majorBidi" w:hAnsiTheme="majorBidi" w:cstheme="majorBidi"/>
          <w:sz w:val="24"/>
          <w:szCs w:val="24"/>
          <w:lang w:val="en-US"/>
        </w:rPr>
        <w:t>Temple</w:t>
      </w:r>
      <w:r w:rsidRPr="0048148E">
        <w:rPr>
          <w:rFonts w:asciiTheme="majorBidi" w:hAnsiTheme="majorBidi" w:cstheme="majorBidi"/>
          <w:sz w:val="24"/>
          <w:szCs w:val="24"/>
          <w:lang w:val="en-US"/>
        </w:rPr>
        <w:t xml:space="preserve"> (1Kgs 8:10–11). Most commentaries and studies on Kings analyze this section only briefly </w:t>
      </w:r>
      <w:r w:rsidR="00457FE4" w:rsidRPr="0048148E">
        <w:rPr>
          <w:rFonts w:asciiTheme="majorBidi" w:hAnsiTheme="majorBidi" w:cstheme="majorBidi"/>
          <w:sz w:val="24"/>
          <w:szCs w:val="24"/>
          <w:lang w:val="en-US"/>
        </w:rPr>
        <w:t>and do</w:t>
      </w:r>
      <w:r w:rsidRPr="0048148E">
        <w:rPr>
          <w:rFonts w:asciiTheme="majorBidi" w:hAnsiTheme="majorBidi" w:cstheme="majorBidi"/>
          <w:sz w:val="24"/>
          <w:szCs w:val="24"/>
          <w:lang w:val="en-US"/>
        </w:rPr>
        <w:t xml:space="preserve"> not </w:t>
      </w:r>
      <w:r w:rsidR="00457FE4" w:rsidRPr="0048148E">
        <w:rPr>
          <w:rFonts w:asciiTheme="majorBidi" w:hAnsiTheme="majorBidi" w:cstheme="majorBidi"/>
          <w:sz w:val="24"/>
          <w:szCs w:val="24"/>
          <w:lang w:val="en-US"/>
        </w:rPr>
        <w:t>offer</w:t>
      </w:r>
      <w:r w:rsidRPr="0048148E">
        <w:rPr>
          <w:rFonts w:asciiTheme="majorBidi" w:hAnsiTheme="majorBidi" w:cstheme="majorBidi"/>
          <w:sz w:val="24"/>
          <w:szCs w:val="24"/>
          <w:lang w:val="en-US"/>
        </w:rPr>
        <w:t xml:space="preserve"> a convincing explanation </w:t>
      </w:r>
      <w:r w:rsidR="006F428D">
        <w:rPr>
          <w:rFonts w:asciiTheme="majorBidi" w:hAnsiTheme="majorBidi" w:cstheme="majorBidi"/>
          <w:sz w:val="24"/>
          <w:szCs w:val="24"/>
          <w:lang w:val="en-US"/>
        </w:rPr>
        <w:t>for</w:t>
      </w:r>
      <w:r w:rsidRPr="0048148E">
        <w:rPr>
          <w:rFonts w:asciiTheme="majorBidi" w:hAnsiTheme="majorBidi" w:cstheme="majorBidi"/>
          <w:sz w:val="24"/>
          <w:szCs w:val="24"/>
          <w:lang w:val="en-US"/>
        </w:rPr>
        <w:t xml:space="preserve"> the presence of such a P-like text in the book of Kings.</w:t>
      </w:r>
      <w:r w:rsidRPr="0048148E">
        <w:rPr>
          <w:rFonts w:asciiTheme="majorBidi" w:hAnsiTheme="majorBidi" w:cstheme="majorBidi"/>
          <w:sz w:val="24"/>
          <w:szCs w:val="24"/>
          <w:vertAlign w:val="superscript"/>
          <w:lang w:val="en-US"/>
        </w:rPr>
        <w:footnoteReference w:id="44"/>
      </w:r>
      <w:r w:rsidRPr="0048148E">
        <w:rPr>
          <w:rFonts w:asciiTheme="majorBidi" w:hAnsiTheme="majorBidi" w:cstheme="majorBidi"/>
          <w:sz w:val="24"/>
          <w:szCs w:val="24"/>
          <w:lang w:val="en-US"/>
        </w:rPr>
        <w:t xml:space="preserve"> A comparison of this text with the parallel depiction of the bringing of the</w:t>
      </w:r>
      <w:r w:rsidR="009E31F3">
        <w:rPr>
          <w:rFonts w:asciiTheme="majorBidi" w:hAnsiTheme="majorBidi" w:cstheme="majorBidi"/>
          <w:sz w:val="24"/>
          <w:szCs w:val="24"/>
          <w:lang w:val="en-US"/>
        </w:rPr>
        <w:t xml:space="preserve"> Ark </w:t>
      </w:r>
      <w:r w:rsidRPr="0048148E">
        <w:rPr>
          <w:rFonts w:asciiTheme="majorBidi" w:hAnsiTheme="majorBidi" w:cstheme="majorBidi"/>
          <w:sz w:val="24"/>
          <w:szCs w:val="24"/>
          <w:lang w:val="en-US"/>
        </w:rPr>
        <w:t xml:space="preserve">into the </w:t>
      </w:r>
      <w:r w:rsidR="00AD47B5" w:rsidRPr="0048148E">
        <w:rPr>
          <w:rFonts w:asciiTheme="majorBidi" w:hAnsiTheme="majorBidi" w:cstheme="majorBidi"/>
          <w:sz w:val="24"/>
          <w:szCs w:val="24"/>
          <w:lang w:val="en-US"/>
        </w:rPr>
        <w:t>Tabernacle</w:t>
      </w:r>
      <w:r w:rsidRPr="0048148E">
        <w:rPr>
          <w:rFonts w:asciiTheme="majorBidi" w:hAnsiTheme="majorBidi" w:cstheme="majorBidi"/>
          <w:sz w:val="24"/>
          <w:szCs w:val="24"/>
          <w:lang w:val="en-US"/>
        </w:rPr>
        <w:t xml:space="preserve"> at the end of Exodus (40:34–35) indicates the close affinities between these two texts:</w:t>
      </w:r>
    </w:p>
    <w:p w14:paraId="4ED9638C" w14:textId="77777777" w:rsidR="00F71000" w:rsidRPr="00F71000" w:rsidRDefault="00F71000" w:rsidP="0048148E">
      <w:pPr>
        <w:spacing w:line="360" w:lineRule="auto"/>
        <w:rPr>
          <w:rFonts w:asciiTheme="majorBidi" w:hAnsiTheme="majorBidi" w:cstheme="majorBidi"/>
          <w:sz w:val="24"/>
          <w:szCs w:val="24"/>
          <w:lang w:val="en-US"/>
        </w:rPr>
      </w:pPr>
      <w:r w:rsidRPr="00F71000">
        <w:rPr>
          <w:rFonts w:asciiTheme="majorBidi" w:hAnsiTheme="majorBidi" w:cstheme="majorBidi"/>
          <w:sz w:val="24"/>
          <w:szCs w:val="24"/>
          <w:highlight w:val="yellow"/>
          <w:lang w:val="en-US"/>
        </w:rPr>
        <w:t>TEXT</w:t>
      </w:r>
    </w:p>
    <w:p w14:paraId="70ABFC1C" w14:textId="393485F3" w:rsidR="00457FE4" w:rsidRPr="00457FE4" w:rsidRDefault="00457FE4" w:rsidP="004C4D4B">
      <w:pPr>
        <w:spacing w:line="360" w:lineRule="auto"/>
        <w:ind w:firstLine="720"/>
        <w:rPr>
          <w:rFonts w:asciiTheme="majorBidi" w:hAnsiTheme="majorBidi" w:cstheme="majorBidi"/>
          <w:sz w:val="24"/>
          <w:szCs w:val="24"/>
          <w:lang w:val="en-US"/>
        </w:rPr>
      </w:pPr>
      <w:r w:rsidRPr="00457FE4">
        <w:rPr>
          <w:rFonts w:asciiTheme="majorBidi" w:hAnsiTheme="majorBidi" w:cstheme="majorBidi"/>
          <w:sz w:val="24"/>
          <w:szCs w:val="24"/>
          <w:lang w:val="en-US"/>
        </w:rPr>
        <w:t>These texts surely depend</w:t>
      </w:r>
      <w:r w:rsidRPr="0048148E">
        <w:rPr>
          <w:rFonts w:asciiTheme="majorBidi" w:hAnsiTheme="majorBidi" w:cstheme="majorBidi"/>
          <w:sz w:val="24"/>
          <w:szCs w:val="24"/>
          <w:lang w:val="en-US"/>
        </w:rPr>
        <w:t xml:space="preserve"> on</w:t>
      </w:r>
      <w:r w:rsidRPr="00457FE4">
        <w:rPr>
          <w:rFonts w:asciiTheme="majorBidi" w:hAnsiTheme="majorBidi" w:cstheme="majorBidi"/>
          <w:sz w:val="24"/>
          <w:szCs w:val="24"/>
          <w:lang w:val="en-US"/>
        </w:rPr>
        <w:t xml:space="preserve"> one </w:t>
      </w:r>
      <w:r w:rsidRPr="0048148E">
        <w:rPr>
          <w:rFonts w:asciiTheme="majorBidi" w:hAnsiTheme="majorBidi" w:cstheme="majorBidi"/>
          <w:sz w:val="24"/>
          <w:szCs w:val="24"/>
          <w:lang w:val="en-US"/>
        </w:rPr>
        <w:t>an</w:t>
      </w:r>
      <w:r w:rsidRPr="00457FE4">
        <w:rPr>
          <w:rFonts w:asciiTheme="majorBidi" w:hAnsiTheme="majorBidi" w:cstheme="majorBidi"/>
          <w:sz w:val="24"/>
          <w:szCs w:val="24"/>
          <w:lang w:val="en-US"/>
        </w:rPr>
        <w:t xml:space="preserve">other. While one may suggest that the Priestly description in the </w:t>
      </w:r>
      <w:r w:rsidR="009E31F3">
        <w:rPr>
          <w:rFonts w:asciiTheme="majorBidi" w:hAnsiTheme="majorBidi" w:cstheme="majorBidi"/>
          <w:sz w:val="24"/>
          <w:szCs w:val="24"/>
          <w:lang w:val="en-US"/>
        </w:rPr>
        <w:t>Pentateuch</w:t>
      </w:r>
      <w:r w:rsidRPr="00457FE4">
        <w:rPr>
          <w:rFonts w:asciiTheme="majorBidi" w:hAnsiTheme="majorBidi" w:cstheme="majorBidi"/>
          <w:sz w:val="24"/>
          <w:szCs w:val="24"/>
          <w:lang w:val="en-US"/>
        </w:rPr>
        <w:t xml:space="preserve"> (usually regarded as a late work) ha</w:t>
      </w:r>
      <w:r w:rsidR="006F428D">
        <w:rPr>
          <w:rFonts w:asciiTheme="majorBidi" w:hAnsiTheme="majorBidi" w:cstheme="majorBidi"/>
          <w:sz w:val="24"/>
          <w:szCs w:val="24"/>
          <w:lang w:val="en-US"/>
        </w:rPr>
        <w:t>d</w:t>
      </w:r>
      <w:r w:rsidRPr="00457FE4">
        <w:rPr>
          <w:rFonts w:asciiTheme="majorBidi" w:hAnsiTheme="majorBidi" w:cstheme="majorBidi"/>
          <w:sz w:val="24"/>
          <w:szCs w:val="24"/>
          <w:lang w:val="en-US"/>
        </w:rPr>
        <w:t xml:space="preserve"> been influenced by the description of Solomon’s </w:t>
      </w:r>
      <w:r w:rsidR="00AD47B5" w:rsidRPr="0048148E">
        <w:rPr>
          <w:rFonts w:asciiTheme="majorBidi" w:hAnsiTheme="majorBidi" w:cstheme="majorBidi"/>
          <w:sz w:val="24"/>
          <w:szCs w:val="24"/>
          <w:lang w:val="en-US"/>
        </w:rPr>
        <w:t>Temple</w:t>
      </w:r>
      <w:r w:rsidRPr="00457FE4">
        <w:rPr>
          <w:rFonts w:asciiTheme="majorBidi" w:hAnsiTheme="majorBidi" w:cstheme="majorBidi"/>
          <w:sz w:val="24"/>
          <w:szCs w:val="24"/>
          <w:lang w:val="en-US"/>
        </w:rPr>
        <w:t xml:space="preserve">, the distinctive Priestly expressions in this unit, which are quite rare in Kings, indicate that the latter was influenced by the Priestly account, rather than vice versa. Thus, for example, </w:t>
      </w:r>
      <w:r w:rsidRPr="00457FE4">
        <w:rPr>
          <w:rFonts w:asciiTheme="majorBidi" w:hAnsiTheme="majorBidi" w:cstheme="majorBidi"/>
          <w:sz w:val="24"/>
          <w:szCs w:val="24"/>
          <w:rtl/>
          <w:lang w:val="en-US"/>
        </w:rPr>
        <w:t xml:space="preserve">כבוד </w:t>
      </w:r>
      <w:commentRangeStart w:id="17"/>
      <w:r w:rsidRPr="00457FE4">
        <w:rPr>
          <w:rFonts w:asciiTheme="majorBidi" w:hAnsiTheme="majorBidi" w:cstheme="majorBidi"/>
          <w:sz w:val="24"/>
          <w:szCs w:val="24"/>
          <w:rtl/>
          <w:lang w:val="en-US"/>
        </w:rPr>
        <w:t>יהוה</w:t>
      </w:r>
      <w:r w:rsidRPr="00457FE4">
        <w:rPr>
          <w:rFonts w:asciiTheme="majorBidi" w:hAnsiTheme="majorBidi" w:cstheme="majorBidi"/>
          <w:sz w:val="24"/>
          <w:szCs w:val="24"/>
          <w:lang w:val="en-US"/>
        </w:rPr>
        <w:t xml:space="preserve"> </w:t>
      </w:r>
      <w:commentRangeEnd w:id="17"/>
      <w:r w:rsidR="00AD47B5" w:rsidRPr="0048148E">
        <w:rPr>
          <w:rStyle w:val="CommentReference"/>
          <w:rFonts w:asciiTheme="majorBidi" w:hAnsiTheme="majorBidi" w:cstheme="majorBidi"/>
          <w:sz w:val="24"/>
          <w:szCs w:val="24"/>
          <w:rtl/>
        </w:rPr>
        <w:commentReference w:id="17"/>
      </w:r>
      <w:r w:rsidRPr="00457FE4">
        <w:rPr>
          <w:rFonts w:asciiTheme="majorBidi" w:hAnsiTheme="majorBidi" w:cstheme="majorBidi"/>
          <w:sz w:val="24"/>
          <w:szCs w:val="24"/>
          <w:lang w:val="en-US"/>
        </w:rPr>
        <w:t>(“the Glory of Y</w:t>
      </w:r>
      <w:r w:rsidRPr="0048148E">
        <w:rPr>
          <w:rFonts w:asciiTheme="majorBidi" w:hAnsiTheme="majorBidi" w:cstheme="majorBidi"/>
          <w:sz w:val="24"/>
          <w:szCs w:val="24"/>
          <w:lang w:val="en-US"/>
        </w:rPr>
        <w:t>HWH</w:t>
      </w:r>
      <w:r w:rsidRPr="00457FE4">
        <w:rPr>
          <w:rFonts w:asciiTheme="majorBidi" w:hAnsiTheme="majorBidi" w:cstheme="majorBidi"/>
          <w:sz w:val="24"/>
          <w:szCs w:val="24"/>
          <w:lang w:val="en-US"/>
        </w:rPr>
        <w:t>”) is a distinctively Priestly expression that occurs frequently in P and in Ezekiel</w:t>
      </w:r>
      <w:r w:rsidRPr="0048148E">
        <w:rPr>
          <w:rFonts w:asciiTheme="majorBidi" w:hAnsiTheme="majorBidi" w:cstheme="majorBidi"/>
          <w:sz w:val="24"/>
          <w:szCs w:val="24"/>
          <w:lang w:val="en-US"/>
        </w:rPr>
        <w:t>,</w:t>
      </w:r>
      <w:r w:rsidRPr="00457FE4">
        <w:rPr>
          <w:rFonts w:asciiTheme="majorBidi" w:hAnsiTheme="majorBidi" w:cstheme="majorBidi"/>
          <w:sz w:val="24"/>
          <w:szCs w:val="24"/>
          <w:lang w:val="en-US"/>
        </w:rPr>
        <w:t xml:space="preserve"> but only once in Kings—in our unit.</w:t>
      </w:r>
      <w:r w:rsidRPr="00457FE4">
        <w:rPr>
          <w:rFonts w:asciiTheme="majorBidi" w:hAnsiTheme="majorBidi" w:cstheme="majorBidi"/>
          <w:sz w:val="24"/>
          <w:szCs w:val="24"/>
          <w:vertAlign w:val="superscript"/>
          <w:lang w:val="en-US"/>
        </w:rPr>
        <w:footnoteReference w:id="45"/>
      </w:r>
      <w:r w:rsidRPr="00457FE4">
        <w:rPr>
          <w:rFonts w:asciiTheme="majorBidi" w:hAnsiTheme="majorBidi" w:cstheme="majorBidi"/>
          <w:sz w:val="24"/>
          <w:szCs w:val="24"/>
          <w:lang w:val="en-US"/>
        </w:rPr>
        <w:t xml:space="preserve"> In addition, this description of the entry of the </w:t>
      </w:r>
      <w:r w:rsidR="00AD47B5" w:rsidRPr="0048148E">
        <w:rPr>
          <w:rFonts w:asciiTheme="majorBidi" w:hAnsiTheme="majorBidi" w:cstheme="majorBidi"/>
          <w:sz w:val="24"/>
          <w:szCs w:val="24"/>
          <w:lang w:val="en-US"/>
        </w:rPr>
        <w:t>Divine</w:t>
      </w:r>
      <w:r w:rsidRPr="00457FE4">
        <w:rPr>
          <w:rFonts w:asciiTheme="majorBidi" w:hAnsiTheme="majorBidi" w:cstheme="majorBidi"/>
          <w:sz w:val="24"/>
          <w:szCs w:val="24"/>
          <w:lang w:val="en-US"/>
        </w:rPr>
        <w:t xml:space="preserve"> presence (</w:t>
      </w:r>
      <w:r w:rsidRPr="00457FE4">
        <w:rPr>
          <w:rFonts w:asciiTheme="majorBidi" w:hAnsiTheme="majorBidi" w:cstheme="majorBidi"/>
          <w:sz w:val="24"/>
          <w:szCs w:val="24"/>
          <w:rtl/>
          <w:lang w:val="en-US"/>
        </w:rPr>
        <w:t>כבוד</w:t>
      </w:r>
      <w:r w:rsidRPr="00457FE4">
        <w:rPr>
          <w:rFonts w:asciiTheme="majorBidi" w:hAnsiTheme="majorBidi" w:cstheme="majorBidi"/>
          <w:sz w:val="24"/>
          <w:szCs w:val="24"/>
          <w:lang w:val="en-US"/>
        </w:rPr>
        <w:t xml:space="preserve">) into the </w:t>
      </w:r>
      <w:r w:rsidR="00AD47B5" w:rsidRPr="0048148E">
        <w:rPr>
          <w:rFonts w:asciiTheme="majorBidi" w:hAnsiTheme="majorBidi" w:cstheme="majorBidi"/>
          <w:sz w:val="24"/>
          <w:szCs w:val="24"/>
          <w:lang w:val="en-US"/>
        </w:rPr>
        <w:t>Temple</w:t>
      </w:r>
      <w:r w:rsidRPr="00457FE4">
        <w:rPr>
          <w:rFonts w:asciiTheme="majorBidi" w:hAnsiTheme="majorBidi" w:cstheme="majorBidi"/>
          <w:sz w:val="24"/>
          <w:szCs w:val="24"/>
          <w:lang w:val="en-US"/>
        </w:rPr>
        <w:t xml:space="preserve"> has no </w:t>
      </w:r>
      <w:r w:rsidRPr="0048148E">
        <w:rPr>
          <w:rFonts w:asciiTheme="majorBidi" w:hAnsiTheme="majorBidi" w:cstheme="majorBidi"/>
          <w:sz w:val="24"/>
          <w:szCs w:val="24"/>
          <w:lang w:val="en-US"/>
        </w:rPr>
        <w:t>further mention</w:t>
      </w:r>
      <w:r w:rsidRPr="00457FE4">
        <w:rPr>
          <w:rFonts w:asciiTheme="majorBidi" w:hAnsiTheme="majorBidi" w:cstheme="majorBidi"/>
          <w:sz w:val="24"/>
          <w:szCs w:val="24"/>
          <w:lang w:val="en-US"/>
        </w:rPr>
        <w:t xml:space="preserve"> in Kings; in fact, Solomon’s prayer (1Kgs 8:22–53) repeatedly refers to God’s “dwelling place in the heavens,” in seeming direct contradiction to the notion of God’s presence in the </w:t>
      </w:r>
      <w:r w:rsidR="00AD47B5" w:rsidRPr="0048148E">
        <w:rPr>
          <w:rFonts w:asciiTheme="majorBidi" w:hAnsiTheme="majorBidi" w:cstheme="majorBidi"/>
          <w:sz w:val="24"/>
          <w:szCs w:val="24"/>
          <w:lang w:val="en-US"/>
        </w:rPr>
        <w:t>Temple</w:t>
      </w:r>
      <w:r w:rsidRPr="00457FE4">
        <w:rPr>
          <w:rFonts w:asciiTheme="majorBidi" w:hAnsiTheme="majorBidi" w:cstheme="majorBidi"/>
          <w:sz w:val="24"/>
          <w:szCs w:val="24"/>
          <w:lang w:val="en-US"/>
        </w:rPr>
        <w:t>. The parallel passage in Exodus, however, fits nicely in</w:t>
      </w:r>
      <w:r w:rsidRPr="0048148E">
        <w:rPr>
          <w:rFonts w:asciiTheme="majorBidi" w:hAnsiTheme="majorBidi" w:cstheme="majorBidi"/>
          <w:sz w:val="24"/>
          <w:szCs w:val="24"/>
          <w:lang w:val="en-US"/>
        </w:rPr>
        <w:t>to</w:t>
      </w:r>
      <w:r w:rsidRPr="00457FE4">
        <w:rPr>
          <w:rFonts w:asciiTheme="majorBidi" w:hAnsiTheme="majorBidi" w:cstheme="majorBidi"/>
          <w:sz w:val="24"/>
          <w:szCs w:val="24"/>
          <w:lang w:val="en-US"/>
        </w:rPr>
        <w:t xml:space="preserve"> the P sequence. Lev 1:1 </w:t>
      </w:r>
      <w:r w:rsidRPr="0048148E">
        <w:rPr>
          <w:rFonts w:asciiTheme="majorBidi" w:hAnsiTheme="majorBidi" w:cstheme="majorBidi"/>
          <w:sz w:val="24"/>
          <w:szCs w:val="24"/>
          <w:lang w:val="en-US"/>
        </w:rPr>
        <w:t>resumes</w:t>
      </w:r>
      <w:r w:rsidRPr="00457FE4">
        <w:rPr>
          <w:rFonts w:asciiTheme="majorBidi" w:hAnsiTheme="majorBidi" w:cstheme="majorBidi"/>
          <w:sz w:val="24"/>
          <w:szCs w:val="24"/>
          <w:lang w:val="en-US"/>
        </w:rPr>
        <w:t xml:space="preserve"> from Moses’ inability to enter the </w:t>
      </w:r>
      <w:r w:rsidR="00AD47B5" w:rsidRPr="0048148E">
        <w:rPr>
          <w:rFonts w:asciiTheme="majorBidi" w:hAnsiTheme="majorBidi" w:cstheme="majorBidi"/>
          <w:sz w:val="24"/>
          <w:szCs w:val="24"/>
          <w:lang w:val="en-US"/>
        </w:rPr>
        <w:t>Tabernacle</w:t>
      </w:r>
      <w:r w:rsidRPr="00457FE4">
        <w:rPr>
          <w:rFonts w:asciiTheme="majorBidi" w:hAnsiTheme="majorBidi" w:cstheme="majorBidi"/>
          <w:sz w:val="24"/>
          <w:szCs w:val="24"/>
          <w:lang w:val="en-US"/>
        </w:rPr>
        <w:t xml:space="preserve"> because of the </w:t>
      </w:r>
      <w:r w:rsidR="00AD47B5" w:rsidRPr="0048148E">
        <w:rPr>
          <w:rFonts w:asciiTheme="majorBidi" w:hAnsiTheme="majorBidi" w:cstheme="majorBidi"/>
          <w:sz w:val="24"/>
          <w:szCs w:val="24"/>
          <w:lang w:val="en-US"/>
        </w:rPr>
        <w:t>Divine</w:t>
      </w:r>
      <w:r w:rsidRPr="00457FE4">
        <w:rPr>
          <w:rFonts w:asciiTheme="majorBidi" w:hAnsiTheme="majorBidi" w:cstheme="majorBidi"/>
          <w:sz w:val="24"/>
          <w:szCs w:val="24"/>
          <w:lang w:val="en-US"/>
        </w:rPr>
        <w:t xml:space="preserve"> presence. </w:t>
      </w:r>
      <w:r w:rsidRPr="0048148E">
        <w:rPr>
          <w:rFonts w:asciiTheme="majorBidi" w:hAnsiTheme="majorBidi" w:cstheme="majorBidi"/>
          <w:sz w:val="24"/>
          <w:szCs w:val="24"/>
          <w:lang w:val="en-US"/>
        </w:rPr>
        <w:t>YHWH</w:t>
      </w:r>
      <w:r w:rsidRPr="00457FE4">
        <w:rPr>
          <w:rFonts w:asciiTheme="majorBidi" w:hAnsiTheme="majorBidi" w:cstheme="majorBidi"/>
          <w:sz w:val="24"/>
          <w:szCs w:val="24"/>
          <w:lang w:val="en-US"/>
        </w:rPr>
        <w:t xml:space="preserve"> calls him from within the </w:t>
      </w:r>
      <w:r w:rsidR="00AD47B5" w:rsidRPr="0048148E">
        <w:rPr>
          <w:rFonts w:asciiTheme="majorBidi" w:hAnsiTheme="majorBidi" w:cstheme="majorBidi"/>
          <w:sz w:val="24"/>
          <w:szCs w:val="24"/>
          <w:lang w:val="en-US"/>
        </w:rPr>
        <w:t xml:space="preserve">Tabernacle, </w:t>
      </w:r>
      <w:r w:rsidRPr="00457FE4">
        <w:rPr>
          <w:rFonts w:asciiTheme="majorBidi" w:hAnsiTheme="majorBidi" w:cstheme="majorBidi"/>
          <w:sz w:val="24"/>
          <w:szCs w:val="24"/>
          <w:rtl/>
          <w:lang w:val="en-US"/>
        </w:rPr>
        <w:t>ויקרא אל משה וידבר ה' אליו מאהל מועד לאמר</w:t>
      </w:r>
      <w:r w:rsidRPr="00457FE4">
        <w:rPr>
          <w:rFonts w:asciiTheme="majorBidi" w:hAnsiTheme="majorBidi" w:cstheme="majorBidi"/>
          <w:sz w:val="24"/>
          <w:szCs w:val="24"/>
          <w:lang w:val="en-US"/>
        </w:rPr>
        <w:t xml:space="preserve"> </w:t>
      </w:r>
      <w:r w:rsidR="00AD47B5" w:rsidRPr="0048148E">
        <w:rPr>
          <w:rFonts w:asciiTheme="majorBidi" w:hAnsiTheme="majorBidi" w:cstheme="majorBidi"/>
          <w:sz w:val="24"/>
          <w:szCs w:val="24"/>
          <w:lang w:val="en-US"/>
        </w:rPr>
        <w:t>(</w:t>
      </w:r>
      <w:r w:rsidRPr="00457FE4">
        <w:rPr>
          <w:rFonts w:asciiTheme="majorBidi" w:hAnsiTheme="majorBidi" w:cstheme="majorBidi"/>
          <w:sz w:val="24"/>
          <w:szCs w:val="24"/>
          <w:lang w:val="en-US"/>
        </w:rPr>
        <w:t xml:space="preserve">“and </w:t>
      </w:r>
      <w:r w:rsidRPr="0048148E">
        <w:rPr>
          <w:rFonts w:asciiTheme="majorBidi" w:hAnsiTheme="majorBidi" w:cstheme="majorBidi"/>
          <w:sz w:val="24"/>
          <w:szCs w:val="24"/>
          <w:lang w:val="en-US"/>
        </w:rPr>
        <w:t>YHWH</w:t>
      </w:r>
      <w:r w:rsidRPr="00457FE4">
        <w:rPr>
          <w:rFonts w:asciiTheme="majorBidi" w:hAnsiTheme="majorBidi" w:cstheme="majorBidi"/>
          <w:sz w:val="24"/>
          <w:szCs w:val="24"/>
          <w:lang w:val="en-US"/>
        </w:rPr>
        <w:t xml:space="preserve"> called to Moses and spoke to him from the </w:t>
      </w:r>
      <w:r w:rsidR="006F428D">
        <w:rPr>
          <w:rFonts w:asciiTheme="majorBidi" w:hAnsiTheme="majorBidi" w:cstheme="majorBidi"/>
          <w:sz w:val="24"/>
          <w:szCs w:val="24"/>
          <w:lang w:val="en-US"/>
        </w:rPr>
        <w:t>T</w:t>
      </w:r>
      <w:r w:rsidRPr="00457FE4">
        <w:rPr>
          <w:rFonts w:asciiTheme="majorBidi" w:hAnsiTheme="majorBidi" w:cstheme="majorBidi"/>
          <w:sz w:val="24"/>
          <w:szCs w:val="24"/>
          <w:lang w:val="en-US"/>
        </w:rPr>
        <w:t xml:space="preserve">ent of </w:t>
      </w:r>
      <w:r w:rsidR="006F428D">
        <w:rPr>
          <w:rFonts w:asciiTheme="majorBidi" w:hAnsiTheme="majorBidi" w:cstheme="majorBidi"/>
          <w:sz w:val="24"/>
          <w:szCs w:val="24"/>
          <w:lang w:val="en-US"/>
        </w:rPr>
        <w:t>M</w:t>
      </w:r>
      <w:r w:rsidRPr="00457FE4">
        <w:rPr>
          <w:rFonts w:asciiTheme="majorBidi" w:hAnsiTheme="majorBidi" w:cstheme="majorBidi"/>
          <w:sz w:val="24"/>
          <w:szCs w:val="24"/>
          <w:lang w:val="en-US"/>
        </w:rPr>
        <w:t xml:space="preserve">eeting, saying”) and gives him a series of ritual laws. Following the priests’ ordination, the </w:t>
      </w:r>
      <w:r w:rsidR="00AD47B5" w:rsidRPr="0048148E">
        <w:rPr>
          <w:rFonts w:asciiTheme="majorBidi" w:hAnsiTheme="majorBidi" w:cstheme="majorBidi"/>
          <w:sz w:val="24"/>
          <w:szCs w:val="24"/>
          <w:lang w:val="en-US"/>
        </w:rPr>
        <w:t>Divine</w:t>
      </w:r>
      <w:r w:rsidRPr="00457FE4">
        <w:rPr>
          <w:rFonts w:asciiTheme="majorBidi" w:hAnsiTheme="majorBidi" w:cstheme="majorBidi"/>
          <w:sz w:val="24"/>
          <w:szCs w:val="24"/>
          <w:lang w:val="en-US"/>
        </w:rPr>
        <w:t xml:space="preserve"> presence (</w:t>
      </w:r>
      <w:r w:rsidRPr="00457FE4">
        <w:rPr>
          <w:rFonts w:asciiTheme="majorBidi" w:hAnsiTheme="majorBidi" w:cstheme="majorBidi"/>
          <w:sz w:val="24"/>
          <w:szCs w:val="24"/>
          <w:rtl/>
          <w:lang w:val="en-US"/>
        </w:rPr>
        <w:t>כבוד</w:t>
      </w:r>
      <w:r w:rsidRPr="00457FE4">
        <w:rPr>
          <w:rFonts w:asciiTheme="majorBidi" w:hAnsiTheme="majorBidi" w:cstheme="majorBidi"/>
          <w:sz w:val="24"/>
          <w:szCs w:val="24"/>
          <w:lang w:val="en-US"/>
        </w:rPr>
        <w:t xml:space="preserve">) appears to all the people (Lev 9:23). In the Priestly account this scene parallels and continues the story of the </w:t>
      </w:r>
      <w:r w:rsidR="00AD47B5" w:rsidRPr="0048148E">
        <w:rPr>
          <w:rFonts w:asciiTheme="majorBidi" w:hAnsiTheme="majorBidi" w:cstheme="majorBidi"/>
          <w:sz w:val="24"/>
          <w:szCs w:val="24"/>
          <w:lang w:val="en-US"/>
        </w:rPr>
        <w:t>Divine</w:t>
      </w:r>
      <w:r w:rsidRPr="00457FE4">
        <w:rPr>
          <w:rFonts w:asciiTheme="majorBidi" w:hAnsiTheme="majorBidi" w:cstheme="majorBidi"/>
          <w:sz w:val="24"/>
          <w:szCs w:val="24"/>
          <w:lang w:val="en-US"/>
        </w:rPr>
        <w:t xml:space="preserve"> presence which dwelt on Mount Sinai for six </w:t>
      </w:r>
      <w:r w:rsidRPr="00457FE4">
        <w:rPr>
          <w:rFonts w:asciiTheme="majorBidi" w:hAnsiTheme="majorBidi" w:cstheme="majorBidi"/>
          <w:sz w:val="24"/>
          <w:szCs w:val="24"/>
          <w:lang w:val="en-US"/>
        </w:rPr>
        <w:lastRenderedPageBreak/>
        <w:t xml:space="preserve">days, and on the seventh day called Moses and </w:t>
      </w:r>
      <w:r w:rsidR="00AD47B5" w:rsidRPr="0048148E">
        <w:rPr>
          <w:rFonts w:asciiTheme="majorBidi" w:hAnsiTheme="majorBidi" w:cstheme="majorBidi"/>
          <w:sz w:val="24"/>
          <w:szCs w:val="24"/>
          <w:lang w:val="en-US"/>
        </w:rPr>
        <w:t>instructed</w:t>
      </w:r>
      <w:r w:rsidRPr="00457FE4">
        <w:rPr>
          <w:rFonts w:asciiTheme="majorBidi" w:hAnsiTheme="majorBidi" w:cstheme="majorBidi"/>
          <w:sz w:val="24"/>
          <w:szCs w:val="24"/>
          <w:lang w:val="en-US"/>
        </w:rPr>
        <w:t xml:space="preserve"> him to build the </w:t>
      </w:r>
      <w:r w:rsidR="00AD47B5" w:rsidRPr="0048148E">
        <w:rPr>
          <w:rFonts w:asciiTheme="majorBidi" w:hAnsiTheme="majorBidi" w:cstheme="majorBidi"/>
          <w:sz w:val="24"/>
          <w:szCs w:val="24"/>
          <w:lang w:val="en-US"/>
        </w:rPr>
        <w:t>Tabernacle</w:t>
      </w:r>
      <w:r w:rsidRPr="00457FE4">
        <w:rPr>
          <w:rFonts w:asciiTheme="majorBidi" w:hAnsiTheme="majorBidi" w:cstheme="majorBidi"/>
          <w:sz w:val="24"/>
          <w:szCs w:val="24"/>
          <w:lang w:val="en-US"/>
        </w:rPr>
        <w:t xml:space="preserve"> (Ex 24:15b—18a; 25:1ff.)</w:t>
      </w:r>
    </w:p>
    <w:p w14:paraId="10F3B623" w14:textId="6AF6FBD1" w:rsidR="00457FE4" w:rsidRPr="00457FE4" w:rsidRDefault="00457FE4" w:rsidP="004C4D4B">
      <w:pPr>
        <w:spacing w:line="360" w:lineRule="auto"/>
        <w:ind w:firstLine="720"/>
        <w:rPr>
          <w:rFonts w:asciiTheme="majorBidi" w:hAnsiTheme="majorBidi" w:cstheme="majorBidi"/>
          <w:sz w:val="24"/>
          <w:szCs w:val="24"/>
          <w:rtl/>
          <w:lang w:val="en-US"/>
        </w:rPr>
      </w:pPr>
      <w:r w:rsidRPr="00457FE4">
        <w:rPr>
          <w:rFonts w:asciiTheme="majorBidi" w:hAnsiTheme="majorBidi" w:cstheme="majorBidi"/>
          <w:sz w:val="24"/>
          <w:szCs w:val="24"/>
          <w:lang w:val="en-US"/>
        </w:rPr>
        <w:t xml:space="preserve">In addition to 1 Kgs 8:4, 10-11, this </w:t>
      </w:r>
      <w:r w:rsidR="00AD47B5" w:rsidRPr="0048148E">
        <w:rPr>
          <w:rFonts w:asciiTheme="majorBidi" w:hAnsiTheme="majorBidi" w:cstheme="majorBidi"/>
          <w:sz w:val="24"/>
          <w:szCs w:val="24"/>
          <w:lang w:val="en-US"/>
        </w:rPr>
        <w:t>Temple</w:t>
      </w:r>
      <w:r w:rsidRPr="00457FE4">
        <w:rPr>
          <w:rFonts w:asciiTheme="majorBidi" w:hAnsiTheme="majorBidi" w:cstheme="majorBidi"/>
          <w:sz w:val="24"/>
          <w:szCs w:val="24"/>
          <w:lang w:val="en-US"/>
        </w:rPr>
        <w:t xml:space="preserve"> unit </w:t>
      </w:r>
      <w:r w:rsidR="00AD47B5" w:rsidRPr="0048148E">
        <w:rPr>
          <w:rFonts w:asciiTheme="majorBidi" w:hAnsiTheme="majorBidi" w:cstheme="majorBidi"/>
          <w:sz w:val="24"/>
          <w:szCs w:val="24"/>
          <w:lang w:val="en-US"/>
        </w:rPr>
        <w:t>drew a few</w:t>
      </w:r>
      <w:r w:rsidRPr="00457FE4">
        <w:rPr>
          <w:rFonts w:asciiTheme="majorBidi" w:hAnsiTheme="majorBidi" w:cstheme="majorBidi"/>
          <w:sz w:val="24"/>
          <w:szCs w:val="24"/>
          <w:lang w:val="en-US"/>
        </w:rPr>
        <w:t xml:space="preserve"> additional several short phrases from the Priestly terminology of the </w:t>
      </w:r>
      <w:r w:rsidR="00AD47B5" w:rsidRPr="0048148E">
        <w:rPr>
          <w:rFonts w:asciiTheme="majorBidi" w:hAnsiTheme="majorBidi" w:cstheme="majorBidi"/>
          <w:sz w:val="24"/>
          <w:szCs w:val="24"/>
          <w:lang w:val="en-US"/>
        </w:rPr>
        <w:t>Tabernacle</w:t>
      </w:r>
      <w:r w:rsidRPr="00457FE4">
        <w:rPr>
          <w:rFonts w:asciiTheme="majorBidi" w:hAnsiTheme="majorBidi" w:cstheme="majorBidi"/>
          <w:sz w:val="24"/>
          <w:szCs w:val="24"/>
          <w:lang w:val="en-US"/>
        </w:rPr>
        <w:t xml:space="preserve"> chapters. The term</w:t>
      </w:r>
      <w:r w:rsidR="00AD47B5" w:rsidRPr="0048148E">
        <w:rPr>
          <w:rFonts w:asciiTheme="majorBidi" w:hAnsiTheme="majorBidi" w:cstheme="majorBidi"/>
          <w:sz w:val="24"/>
          <w:szCs w:val="24"/>
          <w:lang w:val="en-US"/>
        </w:rPr>
        <w:t xml:space="preserve"> </w:t>
      </w:r>
      <w:r w:rsidRPr="00457FE4">
        <w:rPr>
          <w:rFonts w:asciiTheme="majorBidi" w:hAnsiTheme="majorBidi" w:cstheme="majorBidi"/>
          <w:sz w:val="24"/>
          <w:szCs w:val="24"/>
          <w:rtl/>
          <w:lang w:val="en-US"/>
        </w:rPr>
        <w:t>קדש הקדשים</w:t>
      </w:r>
      <w:r w:rsidRPr="00457FE4">
        <w:rPr>
          <w:rFonts w:asciiTheme="majorBidi" w:hAnsiTheme="majorBidi" w:cstheme="majorBidi"/>
          <w:sz w:val="24"/>
          <w:szCs w:val="24"/>
          <w:lang w:val="en-US"/>
        </w:rPr>
        <w:t xml:space="preserve"> (“the holy of holies”), fo</w:t>
      </w:r>
      <w:r w:rsidR="00631AB5" w:rsidRPr="0048148E">
        <w:rPr>
          <w:rFonts w:asciiTheme="majorBidi" w:hAnsiTheme="majorBidi" w:cstheme="majorBidi"/>
          <w:sz w:val="24"/>
          <w:szCs w:val="24"/>
          <w:lang w:val="en-US"/>
        </w:rPr>
        <w:t>r</w:t>
      </w:r>
      <w:r w:rsidRPr="00457FE4">
        <w:rPr>
          <w:rFonts w:asciiTheme="majorBidi" w:hAnsiTheme="majorBidi" w:cstheme="majorBidi"/>
          <w:sz w:val="24"/>
          <w:szCs w:val="24"/>
          <w:lang w:val="en-US"/>
        </w:rPr>
        <w:t xml:space="preserve"> example, appears three times in 1 Kings (6:16; 7:50; 8:6). In the </w:t>
      </w:r>
      <w:r w:rsidR="009E31F3">
        <w:rPr>
          <w:rFonts w:asciiTheme="majorBidi" w:hAnsiTheme="majorBidi" w:cstheme="majorBidi"/>
          <w:sz w:val="24"/>
          <w:szCs w:val="24"/>
          <w:lang w:val="en-US"/>
        </w:rPr>
        <w:t>Pentateuch</w:t>
      </w:r>
      <w:r w:rsidRPr="00457FE4">
        <w:rPr>
          <w:rFonts w:asciiTheme="majorBidi" w:hAnsiTheme="majorBidi" w:cstheme="majorBidi"/>
          <w:sz w:val="24"/>
          <w:szCs w:val="24"/>
          <w:lang w:val="en-US"/>
        </w:rPr>
        <w:t xml:space="preserve">, this term frequently denotes the most sacred part of the </w:t>
      </w:r>
      <w:r w:rsidR="00AD47B5" w:rsidRPr="0048148E">
        <w:rPr>
          <w:rFonts w:asciiTheme="majorBidi" w:hAnsiTheme="majorBidi" w:cstheme="majorBidi"/>
          <w:sz w:val="24"/>
          <w:szCs w:val="24"/>
          <w:lang w:val="en-US"/>
        </w:rPr>
        <w:t>Tabernacle</w:t>
      </w:r>
      <w:r w:rsidRPr="00457FE4">
        <w:rPr>
          <w:rFonts w:asciiTheme="majorBidi" w:hAnsiTheme="majorBidi" w:cstheme="majorBidi"/>
          <w:sz w:val="24"/>
          <w:szCs w:val="24"/>
          <w:lang w:val="en-US"/>
        </w:rPr>
        <w:t>, where the</w:t>
      </w:r>
      <w:r w:rsidR="009E31F3">
        <w:rPr>
          <w:rFonts w:asciiTheme="majorBidi" w:hAnsiTheme="majorBidi" w:cstheme="majorBidi"/>
          <w:sz w:val="24"/>
          <w:szCs w:val="24"/>
          <w:lang w:val="en-US"/>
        </w:rPr>
        <w:t xml:space="preserve"> Ark </w:t>
      </w:r>
      <w:r w:rsidRPr="00457FE4">
        <w:rPr>
          <w:rFonts w:asciiTheme="majorBidi" w:hAnsiTheme="majorBidi" w:cstheme="majorBidi"/>
          <w:sz w:val="24"/>
          <w:szCs w:val="24"/>
          <w:lang w:val="en-US"/>
        </w:rPr>
        <w:t>and the cherubim stand and Moses meets with God “from above the ark-cover, from between the two cherubim” (Ex 25:22).</w:t>
      </w:r>
      <w:r w:rsidRPr="00457FE4">
        <w:rPr>
          <w:rFonts w:asciiTheme="majorBidi" w:hAnsiTheme="majorBidi" w:cstheme="majorBidi"/>
          <w:sz w:val="24"/>
          <w:szCs w:val="24"/>
          <w:vertAlign w:val="superscript"/>
          <w:lang w:val="en-US"/>
        </w:rPr>
        <w:footnoteReference w:id="46"/>
      </w:r>
      <w:r w:rsidRPr="00457FE4">
        <w:rPr>
          <w:rFonts w:asciiTheme="majorBidi" w:hAnsiTheme="majorBidi" w:cstheme="majorBidi"/>
          <w:sz w:val="24"/>
          <w:szCs w:val="24"/>
          <w:lang w:val="en-US"/>
        </w:rPr>
        <w:t xml:space="preserve"> In </w:t>
      </w:r>
      <w:r w:rsidR="00631AB5" w:rsidRPr="0048148E">
        <w:rPr>
          <w:rFonts w:asciiTheme="majorBidi" w:hAnsiTheme="majorBidi" w:cstheme="majorBidi"/>
          <w:sz w:val="24"/>
          <w:szCs w:val="24"/>
          <w:lang w:val="en-US"/>
        </w:rPr>
        <w:t xml:space="preserve">contrast, </w:t>
      </w:r>
      <w:r w:rsidRPr="00457FE4">
        <w:rPr>
          <w:rFonts w:asciiTheme="majorBidi" w:hAnsiTheme="majorBidi" w:cstheme="majorBidi"/>
          <w:sz w:val="24"/>
          <w:szCs w:val="24"/>
          <w:lang w:val="en-US"/>
        </w:rPr>
        <w:t xml:space="preserve">the chapters relating to Solomon’s </w:t>
      </w:r>
      <w:r w:rsidR="00AD47B5" w:rsidRPr="0048148E">
        <w:rPr>
          <w:rFonts w:asciiTheme="majorBidi" w:hAnsiTheme="majorBidi" w:cstheme="majorBidi"/>
          <w:sz w:val="24"/>
          <w:szCs w:val="24"/>
          <w:lang w:val="en-US"/>
        </w:rPr>
        <w:t>Temple</w:t>
      </w:r>
      <w:r w:rsidR="00631AB5" w:rsidRPr="0048148E">
        <w:rPr>
          <w:rFonts w:asciiTheme="majorBidi" w:hAnsiTheme="majorBidi" w:cstheme="majorBidi"/>
          <w:sz w:val="24"/>
          <w:szCs w:val="24"/>
          <w:lang w:val="en-US"/>
        </w:rPr>
        <w:t xml:space="preserve"> refer to</w:t>
      </w:r>
      <w:r w:rsidRPr="00457FE4">
        <w:rPr>
          <w:rFonts w:asciiTheme="majorBidi" w:hAnsiTheme="majorBidi" w:cstheme="majorBidi"/>
          <w:sz w:val="24"/>
          <w:szCs w:val="24"/>
          <w:lang w:val="en-US"/>
        </w:rPr>
        <w:t xml:space="preserve"> the inner sanctum as the </w:t>
      </w:r>
      <w:r w:rsidRPr="00457FE4">
        <w:rPr>
          <w:rFonts w:asciiTheme="majorBidi" w:hAnsiTheme="majorBidi" w:cstheme="majorBidi"/>
          <w:sz w:val="24"/>
          <w:szCs w:val="24"/>
          <w:rtl/>
          <w:lang w:val="en-US"/>
        </w:rPr>
        <w:t>דביר</w:t>
      </w:r>
      <w:r w:rsidRPr="00457FE4">
        <w:rPr>
          <w:rFonts w:asciiTheme="majorBidi" w:hAnsiTheme="majorBidi" w:cstheme="majorBidi"/>
          <w:sz w:val="24"/>
          <w:szCs w:val="24"/>
          <w:lang w:val="en-US"/>
        </w:rPr>
        <w:t xml:space="preserve"> (“inner sanctuary</w:t>
      </w:r>
      <w:r w:rsidR="006F428D">
        <w:rPr>
          <w:rFonts w:asciiTheme="majorBidi" w:hAnsiTheme="majorBidi" w:cstheme="majorBidi"/>
          <w:sz w:val="24"/>
          <w:szCs w:val="24"/>
          <w:lang w:val="en-US"/>
        </w:rPr>
        <w:t>,</w:t>
      </w:r>
      <w:r w:rsidRPr="00457FE4">
        <w:rPr>
          <w:rFonts w:asciiTheme="majorBidi" w:hAnsiTheme="majorBidi" w:cstheme="majorBidi"/>
          <w:sz w:val="24"/>
          <w:szCs w:val="24"/>
          <w:lang w:val="en-US"/>
        </w:rPr>
        <w:t xml:space="preserve">” 1Kgs 6:5, 16, 19–20, 31; 7:49; 8:6, 8). According to the narrative, Solomon built this part of the </w:t>
      </w:r>
      <w:r w:rsidR="00AD47B5" w:rsidRPr="0048148E">
        <w:rPr>
          <w:rFonts w:asciiTheme="majorBidi" w:hAnsiTheme="majorBidi" w:cstheme="majorBidi"/>
          <w:sz w:val="24"/>
          <w:szCs w:val="24"/>
          <w:lang w:val="en-US"/>
        </w:rPr>
        <w:t>Temple</w:t>
      </w:r>
      <w:r w:rsidRPr="00457FE4">
        <w:rPr>
          <w:rFonts w:asciiTheme="majorBidi" w:hAnsiTheme="majorBidi" w:cstheme="majorBidi"/>
          <w:sz w:val="24"/>
          <w:szCs w:val="24"/>
          <w:lang w:val="en-US"/>
        </w:rPr>
        <w:t xml:space="preserve"> to house the</w:t>
      </w:r>
      <w:r w:rsidR="009E31F3">
        <w:rPr>
          <w:rFonts w:asciiTheme="majorBidi" w:hAnsiTheme="majorBidi" w:cstheme="majorBidi"/>
          <w:sz w:val="24"/>
          <w:szCs w:val="24"/>
          <w:lang w:val="en-US"/>
        </w:rPr>
        <w:t xml:space="preserve"> Ark </w:t>
      </w:r>
      <w:r w:rsidRPr="00457FE4">
        <w:rPr>
          <w:rFonts w:asciiTheme="majorBidi" w:hAnsiTheme="majorBidi" w:cstheme="majorBidi"/>
          <w:sz w:val="24"/>
          <w:szCs w:val="24"/>
          <w:lang w:val="en-US"/>
        </w:rPr>
        <w:t xml:space="preserve">(1 Kgs 6:19), placing two huge cherubim there (1 Kgs 6:23). The phrase </w:t>
      </w:r>
      <w:r w:rsidRPr="00457FE4">
        <w:rPr>
          <w:rFonts w:asciiTheme="majorBidi" w:hAnsiTheme="majorBidi" w:cstheme="majorBidi"/>
          <w:sz w:val="24"/>
          <w:szCs w:val="24"/>
          <w:rtl/>
          <w:lang w:val="en-US"/>
        </w:rPr>
        <w:t>קדש הקדשים</w:t>
      </w:r>
      <w:r w:rsidRPr="00457FE4">
        <w:rPr>
          <w:rFonts w:asciiTheme="majorBidi" w:hAnsiTheme="majorBidi" w:cstheme="majorBidi"/>
          <w:sz w:val="24"/>
          <w:szCs w:val="24"/>
          <w:lang w:val="en-US"/>
        </w:rPr>
        <w:t xml:space="preserve"> is twice attached to the more common term </w:t>
      </w:r>
      <w:r w:rsidRPr="00457FE4">
        <w:rPr>
          <w:rFonts w:asciiTheme="majorBidi" w:hAnsiTheme="majorBidi" w:cstheme="majorBidi"/>
          <w:sz w:val="24"/>
          <w:szCs w:val="24"/>
          <w:rtl/>
          <w:lang w:val="en-US"/>
        </w:rPr>
        <w:t>דביר</w:t>
      </w:r>
      <w:r w:rsidRPr="00457FE4">
        <w:rPr>
          <w:rFonts w:asciiTheme="majorBidi" w:hAnsiTheme="majorBidi" w:cstheme="majorBidi"/>
          <w:sz w:val="24"/>
          <w:szCs w:val="24"/>
          <w:lang w:val="en-US"/>
        </w:rPr>
        <w:t>:</w:t>
      </w:r>
      <w:proofErr w:type="spellStart"/>
      <w:r w:rsidRPr="00457FE4">
        <w:rPr>
          <w:rFonts w:asciiTheme="majorBidi" w:hAnsiTheme="majorBidi" w:cstheme="majorBidi"/>
          <w:sz w:val="24"/>
          <w:szCs w:val="24"/>
          <w:rtl/>
          <w:lang w:val="en-US"/>
        </w:rPr>
        <w:t>ויבן</w:t>
      </w:r>
      <w:proofErr w:type="spellEnd"/>
      <w:r w:rsidRPr="00457FE4">
        <w:rPr>
          <w:rFonts w:asciiTheme="majorBidi" w:hAnsiTheme="majorBidi" w:cstheme="majorBidi"/>
          <w:sz w:val="24"/>
          <w:szCs w:val="24"/>
          <w:rtl/>
          <w:lang w:val="en-US"/>
        </w:rPr>
        <w:t xml:space="preserve"> לו מבית לדביר לקדש הקדשים </w:t>
      </w:r>
      <w:r w:rsidRPr="00457FE4">
        <w:rPr>
          <w:rFonts w:asciiTheme="majorBidi" w:hAnsiTheme="majorBidi" w:cstheme="majorBidi"/>
          <w:sz w:val="24"/>
          <w:szCs w:val="24"/>
          <w:lang w:val="en-US"/>
        </w:rPr>
        <w:t>(“and he built this within as an inner sanctuary, as the holy of holies</w:t>
      </w:r>
      <w:r w:rsidR="006F428D">
        <w:rPr>
          <w:rFonts w:asciiTheme="majorBidi" w:hAnsiTheme="majorBidi" w:cstheme="majorBidi"/>
          <w:sz w:val="24"/>
          <w:szCs w:val="24"/>
          <w:lang w:val="en-US"/>
        </w:rPr>
        <w:t>,</w:t>
      </w:r>
      <w:r w:rsidRPr="00457FE4">
        <w:rPr>
          <w:rFonts w:asciiTheme="majorBidi" w:hAnsiTheme="majorBidi" w:cstheme="majorBidi"/>
          <w:sz w:val="24"/>
          <w:szCs w:val="24"/>
          <w:lang w:val="en-US"/>
        </w:rPr>
        <w:t xml:space="preserve">” </w:t>
      </w:r>
      <w:proofErr w:type="spellStart"/>
      <w:r w:rsidRPr="00457FE4">
        <w:rPr>
          <w:rFonts w:asciiTheme="majorBidi" w:hAnsiTheme="majorBidi" w:cstheme="majorBidi"/>
          <w:sz w:val="24"/>
          <w:szCs w:val="24"/>
          <w:lang w:val="en-US"/>
        </w:rPr>
        <w:t>1Kgs</w:t>
      </w:r>
      <w:proofErr w:type="spellEnd"/>
      <w:r w:rsidRPr="00457FE4">
        <w:rPr>
          <w:rFonts w:asciiTheme="majorBidi" w:hAnsiTheme="majorBidi" w:cstheme="majorBidi"/>
          <w:sz w:val="24"/>
          <w:szCs w:val="24"/>
          <w:lang w:val="en-US"/>
        </w:rPr>
        <w:t xml:space="preserve"> 6:16);</w:t>
      </w:r>
      <w:r w:rsidRPr="00457FE4">
        <w:rPr>
          <w:rFonts w:asciiTheme="majorBidi" w:hAnsiTheme="majorBidi" w:cstheme="majorBidi"/>
          <w:sz w:val="24"/>
          <w:szCs w:val="24"/>
          <w:rtl/>
          <w:lang w:val="en-US"/>
        </w:rPr>
        <w:t xml:space="preserve">ויבאו הכהנים את ארון ברית יהוה אל מקומו אל דביר הבית אל קדש הקדשים </w:t>
      </w:r>
      <w:r w:rsidRPr="00457FE4">
        <w:rPr>
          <w:rFonts w:asciiTheme="majorBidi" w:hAnsiTheme="majorBidi" w:cstheme="majorBidi"/>
          <w:sz w:val="24"/>
          <w:szCs w:val="24"/>
          <w:lang w:val="en-US"/>
        </w:rPr>
        <w:t>(“The priests brought the</w:t>
      </w:r>
      <w:r w:rsidR="009E31F3">
        <w:rPr>
          <w:rFonts w:asciiTheme="majorBidi" w:hAnsiTheme="majorBidi" w:cstheme="majorBidi"/>
          <w:sz w:val="24"/>
          <w:szCs w:val="24"/>
          <w:lang w:val="en-US"/>
        </w:rPr>
        <w:t xml:space="preserve"> Ark </w:t>
      </w:r>
      <w:r w:rsidRPr="00457FE4">
        <w:rPr>
          <w:rFonts w:asciiTheme="majorBidi" w:hAnsiTheme="majorBidi" w:cstheme="majorBidi"/>
          <w:sz w:val="24"/>
          <w:szCs w:val="24"/>
          <w:lang w:val="en-US"/>
        </w:rPr>
        <w:t xml:space="preserve">of </w:t>
      </w:r>
      <w:r w:rsidR="00631AB5" w:rsidRPr="0048148E">
        <w:rPr>
          <w:rFonts w:asciiTheme="majorBidi" w:hAnsiTheme="majorBidi" w:cstheme="majorBidi"/>
          <w:sz w:val="24"/>
          <w:szCs w:val="24"/>
          <w:lang w:val="en-US"/>
        </w:rPr>
        <w:t>YHWH’s</w:t>
      </w:r>
      <w:r w:rsidRPr="00457FE4">
        <w:rPr>
          <w:rFonts w:asciiTheme="majorBidi" w:hAnsiTheme="majorBidi" w:cstheme="majorBidi"/>
          <w:sz w:val="24"/>
          <w:szCs w:val="24"/>
          <w:lang w:val="en-US"/>
        </w:rPr>
        <w:t xml:space="preserve"> covenant to its place in the inner sanctuary of the house, to the holy of holies</w:t>
      </w:r>
      <w:r w:rsidR="006F428D">
        <w:rPr>
          <w:rFonts w:asciiTheme="majorBidi" w:hAnsiTheme="majorBidi" w:cstheme="majorBidi"/>
          <w:sz w:val="24"/>
          <w:szCs w:val="24"/>
          <w:lang w:val="en-US"/>
        </w:rPr>
        <w:t>,</w:t>
      </w:r>
      <w:r w:rsidRPr="00457FE4">
        <w:rPr>
          <w:rFonts w:asciiTheme="majorBidi" w:hAnsiTheme="majorBidi" w:cstheme="majorBidi"/>
          <w:sz w:val="24"/>
          <w:szCs w:val="24"/>
          <w:lang w:val="en-US"/>
        </w:rPr>
        <w:t>”</w:t>
      </w:r>
      <w:r w:rsidR="00631AB5" w:rsidRPr="0048148E">
        <w:rPr>
          <w:rFonts w:asciiTheme="majorBidi" w:hAnsiTheme="majorBidi" w:cstheme="majorBidi"/>
          <w:sz w:val="24"/>
          <w:szCs w:val="24"/>
          <w:lang w:val="en-US"/>
        </w:rPr>
        <w:t xml:space="preserve"> </w:t>
      </w:r>
      <w:r w:rsidRPr="00457FE4">
        <w:rPr>
          <w:rFonts w:asciiTheme="majorBidi" w:hAnsiTheme="majorBidi" w:cstheme="majorBidi"/>
          <w:sz w:val="24"/>
          <w:szCs w:val="24"/>
          <w:lang w:val="en-US"/>
        </w:rPr>
        <w:t xml:space="preserve">1Kgs 8:6). The sense of redundancy and the smooth sequence obtained without the phrase </w:t>
      </w:r>
      <w:r w:rsidRPr="00457FE4">
        <w:rPr>
          <w:rFonts w:asciiTheme="majorBidi" w:hAnsiTheme="majorBidi" w:cstheme="majorBidi"/>
          <w:sz w:val="24"/>
          <w:szCs w:val="24"/>
          <w:rtl/>
          <w:lang w:val="en-US"/>
        </w:rPr>
        <w:t>קדש הקדשים</w:t>
      </w:r>
      <w:r w:rsidRPr="00457FE4">
        <w:rPr>
          <w:rFonts w:asciiTheme="majorBidi" w:hAnsiTheme="majorBidi" w:cstheme="majorBidi"/>
          <w:sz w:val="24"/>
          <w:szCs w:val="24"/>
          <w:lang w:val="en-US"/>
        </w:rPr>
        <w:t xml:space="preserve"> confirm that the latter was added at a secondary stage by a scribe who identified this part of Solomon’s </w:t>
      </w:r>
      <w:r w:rsidR="00AD47B5" w:rsidRPr="0048148E">
        <w:rPr>
          <w:rFonts w:asciiTheme="majorBidi" w:hAnsiTheme="majorBidi" w:cstheme="majorBidi"/>
          <w:sz w:val="24"/>
          <w:szCs w:val="24"/>
          <w:lang w:val="en-US"/>
        </w:rPr>
        <w:t>Temple</w:t>
      </w:r>
      <w:r w:rsidRPr="00457FE4">
        <w:rPr>
          <w:rFonts w:asciiTheme="majorBidi" w:hAnsiTheme="majorBidi" w:cstheme="majorBidi"/>
          <w:sz w:val="24"/>
          <w:szCs w:val="24"/>
          <w:lang w:val="en-US"/>
        </w:rPr>
        <w:t xml:space="preserve"> with the holy of holies of the </w:t>
      </w:r>
      <w:r w:rsidR="00AD47B5" w:rsidRPr="0048148E">
        <w:rPr>
          <w:rFonts w:asciiTheme="majorBidi" w:hAnsiTheme="majorBidi" w:cstheme="majorBidi"/>
          <w:sz w:val="24"/>
          <w:szCs w:val="24"/>
          <w:lang w:val="en-US"/>
        </w:rPr>
        <w:t>Tabernacle</w:t>
      </w:r>
      <w:r w:rsidRPr="00457FE4">
        <w:rPr>
          <w:rFonts w:asciiTheme="majorBidi" w:hAnsiTheme="majorBidi" w:cstheme="majorBidi"/>
          <w:sz w:val="24"/>
          <w:szCs w:val="24"/>
          <w:lang w:val="en-US"/>
        </w:rPr>
        <w:t xml:space="preserve">. The phrase </w:t>
      </w:r>
      <w:r w:rsidRPr="00457FE4">
        <w:rPr>
          <w:rFonts w:asciiTheme="majorBidi" w:hAnsiTheme="majorBidi" w:cstheme="majorBidi"/>
          <w:sz w:val="24"/>
          <w:szCs w:val="24"/>
          <w:rtl/>
          <w:lang w:val="en-US"/>
        </w:rPr>
        <w:t>קדש הקדשים</w:t>
      </w:r>
      <w:r w:rsidRPr="00457FE4">
        <w:rPr>
          <w:rFonts w:asciiTheme="majorBidi" w:hAnsiTheme="majorBidi" w:cstheme="majorBidi"/>
          <w:sz w:val="24"/>
          <w:szCs w:val="24"/>
          <w:lang w:val="en-US"/>
        </w:rPr>
        <w:t xml:space="preserve"> appears one more time in the book of Kings, in 1Kgs 7:50:</w:t>
      </w:r>
      <w:r w:rsidRPr="00457FE4">
        <w:rPr>
          <w:rFonts w:asciiTheme="majorBidi" w:hAnsiTheme="majorBidi" w:cstheme="majorBidi"/>
          <w:sz w:val="24"/>
          <w:szCs w:val="24"/>
          <w:rtl/>
          <w:lang w:val="en-US"/>
        </w:rPr>
        <w:t>והפתות לדלתות הבית הפנימי לקדש הקדשים לדלתי הבית להיכל זהב</w:t>
      </w:r>
      <w:r w:rsidRPr="00457FE4">
        <w:rPr>
          <w:rFonts w:asciiTheme="majorBidi" w:hAnsiTheme="majorBidi" w:cstheme="majorBidi"/>
          <w:sz w:val="24"/>
          <w:szCs w:val="24"/>
          <w:lang w:val="en-US"/>
        </w:rPr>
        <w:t xml:space="preserve"> (“the sockets for the doors of the innermost part of the house, the holy of holies, and for the doors of the nave of the </w:t>
      </w:r>
      <w:r w:rsidR="00AD47B5" w:rsidRPr="0048148E">
        <w:rPr>
          <w:rFonts w:asciiTheme="majorBidi" w:hAnsiTheme="majorBidi" w:cstheme="majorBidi"/>
          <w:sz w:val="24"/>
          <w:szCs w:val="24"/>
          <w:lang w:val="en-US"/>
        </w:rPr>
        <w:t>Temple</w:t>
      </w:r>
      <w:r w:rsidRPr="00457FE4">
        <w:rPr>
          <w:rFonts w:asciiTheme="majorBidi" w:hAnsiTheme="majorBidi" w:cstheme="majorBidi"/>
          <w:sz w:val="24"/>
          <w:szCs w:val="24"/>
          <w:lang w:val="en-US"/>
        </w:rPr>
        <w:t xml:space="preserve">, of gold”). In this text, the phrase </w:t>
      </w:r>
      <w:r w:rsidRPr="00457FE4">
        <w:rPr>
          <w:rFonts w:asciiTheme="majorBidi" w:hAnsiTheme="majorBidi" w:cstheme="majorBidi"/>
          <w:sz w:val="24"/>
          <w:szCs w:val="24"/>
          <w:rtl/>
          <w:lang w:val="en-US"/>
        </w:rPr>
        <w:t>קדש הקדשים</w:t>
      </w:r>
      <w:r w:rsidRPr="00457FE4">
        <w:rPr>
          <w:rFonts w:asciiTheme="majorBidi" w:hAnsiTheme="majorBidi" w:cstheme="majorBidi"/>
          <w:sz w:val="24"/>
          <w:szCs w:val="24"/>
          <w:lang w:val="en-US"/>
        </w:rPr>
        <w:t xml:space="preserve"> </w:t>
      </w:r>
      <w:r w:rsidR="0065419C">
        <w:rPr>
          <w:rFonts w:asciiTheme="majorBidi" w:hAnsiTheme="majorBidi" w:cstheme="majorBidi"/>
          <w:sz w:val="24"/>
          <w:szCs w:val="24"/>
          <w:lang w:val="en-US"/>
        </w:rPr>
        <w:t>replicates</w:t>
      </w:r>
      <w:r w:rsidRPr="00457FE4">
        <w:rPr>
          <w:rFonts w:asciiTheme="majorBidi" w:hAnsiTheme="majorBidi" w:cstheme="majorBidi"/>
          <w:sz w:val="24"/>
          <w:szCs w:val="24"/>
          <w:lang w:val="en-US"/>
        </w:rPr>
        <w:t xml:space="preserve"> the expression </w:t>
      </w:r>
      <w:r w:rsidRPr="00457FE4">
        <w:rPr>
          <w:rFonts w:asciiTheme="majorBidi" w:hAnsiTheme="majorBidi" w:cstheme="majorBidi"/>
          <w:sz w:val="24"/>
          <w:szCs w:val="24"/>
          <w:rtl/>
          <w:lang w:val="en-US"/>
        </w:rPr>
        <w:t>הבית הפנימי</w:t>
      </w:r>
      <w:r w:rsidRPr="00457FE4">
        <w:rPr>
          <w:rFonts w:asciiTheme="majorBidi" w:hAnsiTheme="majorBidi" w:cstheme="majorBidi"/>
          <w:sz w:val="24"/>
          <w:szCs w:val="24"/>
          <w:lang w:val="en-US"/>
        </w:rPr>
        <w:t xml:space="preserve"> and violates the sequence of the description of the doors. As mentioned</w:t>
      </w:r>
      <w:r w:rsidR="00631AB5" w:rsidRPr="0048148E">
        <w:rPr>
          <w:rFonts w:asciiTheme="majorBidi" w:hAnsiTheme="majorBidi" w:cstheme="majorBidi"/>
          <w:sz w:val="24"/>
          <w:szCs w:val="24"/>
          <w:lang w:val="en-US"/>
        </w:rPr>
        <w:t xml:space="preserve"> above</w:t>
      </w:r>
      <w:r w:rsidRPr="00457FE4">
        <w:rPr>
          <w:rFonts w:asciiTheme="majorBidi" w:hAnsiTheme="majorBidi" w:cstheme="majorBidi"/>
          <w:sz w:val="24"/>
          <w:szCs w:val="24"/>
          <w:lang w:val="en-US"/>
        </w:rPr>
        <w:t xml:space="preserve">, in all three cases the term </w:t>
      </w:r>
      <w:r w:rsidRPr="00457FE4">
        <w:rPr>
          <w:rFonts w:asciiTheme="majorBidi" w:hAnsiTheme="majorBidi" w:cstheme="majorBidi"/>
          <w:sz w:val="24"/>
          <w:szCs w:val="24"/>
          <w:rtl/>
          <w:lang w:val="en-US"/>
        </w:rPr>
        <w:t>קדש הקדשים</w:t>
      </w:r>
      <w:r w:rsidRPr="00457FE4">
        <w:rPr>
          <w:rFonts w:asciiTheme="majorBidi" w:hAnsiTheme="majorBidi" w:cstheme="majorBidi"/>
          <w:sz w:val="24"/>
          <w:szCs w:val="24"/>
          <w:lang w:val="en-US"/>
        </w:rPr>
        <w:t xml:space="preserve"> is documented in all the major versions of Kings as </w:t>
      </w:r>
      <w:r w:rsidR="00631AB5" w:rsidRPr="0048148E">
        <w:rPr>
          <w:rFonts w:asciiTheme="majorBidi" w:hAnsiTheme="majorBidi" w:cstheme="majorBidi"/>
          <w:sz w:val="24"/>
          <w:szCs w:val="24"/>
          <w:lang w:val="en-US"/>
        </w:rPr>
        <w:t xml:space="preserve">it appears </w:t>
      </w:r>
      <w:r w:rsidRPr="00457FE4">
        <w:rPr>
          <w:rFonts w:asciiTheme="majorBidi" w:hAnsiTheme="majorBidi" w:cstheme="majorBidi"/>
          <w:sz w:val="24"/>
          <w:szCs w:val="24"/>
          <w:lang w:val="en-US"/>
        </w:rPr>
        <w:t xml:space="preserve">in 1Kgs 8:4, 10-11. All these quasi-Priestly phrases were intended to fuse the account of the building of the </w:t>
      </w:r>
      <w:r w:rsidR="00AD47B5" w:rsidRPr="0048148E">
        <w:rPr>
          <w:rFonts w:asciiTheme="majorBidi" w:hAnsiTheme="majorBidi" w:cstheme="majorBidi"/>
          <w:sz w:val="24"/>
          <w:szCs w:val="24"/>
          <w:lang w:val="en-US"/>
        </w:rPr>
        <w:t>Temple</w:t>
      </w:r>
      <w:r w:rsidRPr="00457FE4">
        <w:rPr>
          <w:rFonts w:asciiTheme="majorBidi" w:hAnsiTheme="majorBidi" w:cstheme="majorBidi"/>
          <w:sz w:val="24"/>
          <w:szCs w:val="24"/>
          <w:lang w:val="en-US"/>
        </w:rPr>
        <w:t xml:space="preserve"> with </w:t>
      </w:r>
      <w:r w:rsidR="009E31F3">
        <w:rPr>
          <w:rFonts w:asciiTheme="majorBidi" w:hAnsiTheme="majorBidi" w:cstheme="majorBidi"/>
          <w:sz w:val="24"/>
          <w:szCs w:val="24"/>
          <w:lang w:val="en-US"/>
        </w:rPr>
        <w:t>Pentateuch</w:t>
      </w:r>
      <w:r w:rsidRPr="00457FE4">
        <w:rPr>
          <w:rFonts w:asciiTheme="majorBidi" w:hAnsiTheme="majorBidi" w:cstheme="majorBidi"/>
          <w:sz w:val="24"/>
          <w:szCs w:val="24"/>
          <w:lang w:val="en-US"/>
        </w:rPr>
        <w:t xml:space="preserve">al traditions, making the Solomonic </w:t>
      </w:r>
      <w:r w:rsidR="00AD47B5" w:rsidRPr="0048148E">
        <w:rPr>
          <w:rFonts w:asciiTheme="majorBidi" w:hAnsiTheme="majorBidi" w:cstheme="majorBidi"/>
          <w:sz w:val="24"/>
          <w:szCs w:val="24"/>
          <w:lang w:val="en-US"/>
        </w:rPr>
        <w:t>Temple</w:t>
      </w:r>
      <w:r w:rsidRPr="00457FE4">
        <w:rPr>
          <w:rFonts w:asciiTheme="majorBidi" w:hAnsiTheme="majorBidi" w:cstheme="majorBidi"/>
          <w:sz w:val="24"/>
          <w:szCs w:val="24"/>
          <w:lang w:val="en-US"/>
        </w:rPr>
        <w:t xml:space="preserve"> a direct continuation of the Priestly </w:t>
      </w:r>
      <w:r w:rsidR="00AD47B5" w:rsidRPr="0048148E">
        <w:rPr>
          <w:rFonts w:asciiTheme="majorBidi" w:hAnsiTheme="majorBidi" w:cstheme="majorBidi"/>
          <w:sz w:val="24"/>
          <w:szCs w:val="24"/>
          <w:lang w:val="en-US"/>
        </w:rPr>
        <w:t>Tabernacle</w:t>
      </w:r>
      <w:r w:rsidRPr="00457FE4">
        <w:rPr>
          <w:rFonts w:asciiTheme="majorBidi" w:hAnsiTheme="majorBidi" w:cstheme="majorBidi"/>
          <w:sz w:val="24"/>
          <w:szCs w:val="24"/>
          <w:lang w:val="en-US"/>
        </w:rPr>
        <w:t>.</w:t>
      </w:r>
    </w:p>
    <w:p w14:paraId="709F173B" w14:textId="385C7F5C" w:rsidR="00457FE4" w:rsidRPr="0048148E" w:rsidRDefault="00457FE4" w:rsidP="0048148E">
      <w:pPr>
        <w:spacing w:line="360" w:lineRule="auto"/>
        <w:rPr>
          <w:rFonts w:asciiTheme="majorBidi" w:hAnsiTheme="majorBidi" w:cstheme="majorBidi"/>
          <w:sz w:val="24"/>
          <w:szCs w:val="24"/>
          <w:lang w:val="en-US"/>
        </w:rPr>
      </w:pPr>
    </w:p>
    <w:p w14:paraId="4F8EAB96" w14:textId="31DBF570" w:rsidR="00397A89" w:rsidRPr="0048148E" w:rsidRDefault="00397A89" w:rsidP="0048148E">
      <w:pPr>
        <w:spacing w:line="360" w:lineRule="auto"/>
        <w:rPr>
          <w:rFonts w:asciiTheme="majorBidi" w:hAnsiTheme="majorBidi" w:cstheme="majorBidi"/>
          <w:sz w:val="24"/>
          <w:szCs w:val="24"/>
          <w:lang w:val="en-US"/>
        </w:rPr>
      </w:pPr>
      <w:r w:rsidRPr="0048148E">
        <w:rPr>
          <w:rFonts w:asciiTheme="majorBidi" w:hAnsiTheme="majorBidi" w:cstheme="majorBidi"/>
          <w:b/>
          <w:bCs/>
          <w:sz w:val="24"/>
          <w:szCs w:val="24"/>
          <w:lang w:val="en-US"/>
        </w:rPr>
        <w:t>Conclusions</w:t>
      </w:r>
    </w:p>
    <w:p w14:paraId="3093D63F" w14:textId="6F4AA02F" w:rsidR="00397A89" w:rsidRPr="0048148E" w:rsidRDefault="00397A89" w:rsidP="0048148E">
      <w:pPr>
        <w:spacing w:line="360" w:lineRule="auto"/>
        <w:rPr>
          <w:rFonts w:asciiTheme="majorBidi" w:hAnsiTheme="majorBidi" w:cstheme="majorBidi"/>
          <w:sz w:val="24"/>
          <w:szCs w:val="24"/>
          <w:lang w:val="en-US"/>
        </w:rPr>
      </w:pPr>
      <w:r w:rsidRPr="0048148E">
        <w:rPr>
          <w:rFonts w:asciiTheme="majorBidi" w:hAnsiTheme="majorBidi" w:cstheme="majorBidi"/>
          <w:sz w:val="24"/>
          <w:szCs w:val="24"/>
          <w:lang w:val="en-US"/>
        </w:rPr>
        <w:t xml:space="preserve">The survey presented here indicates that all mentions of the Tent of Meeting in Samuel and Kings are later additions, which entered the text during one of the later transmission stages, </w:t>
      </w:r>
      <w:r w:rsidRPr="0048148E">
        <w:rPr>
          <w:rFonts w:asciiTheme="majorBidi" w:hAnsiTheme="majorBidi" w:cstheme="majorBidi"/>
          <w:sz w:val="24"/>
          <w:szCs w:val="24"/>
          <w:lang w:val="en-US"/>
        </w:rPr>
        <w:lastRenderedPageBreak/>
        <w:t>after the stories in the Torah became accepted and authoritative within the community. The text of 1Sam 2:22 entered at a much later stage, as a sort of homiletic development of</w:t>
      </w:r>
      <w:r w:rsidR="008E4DB2" w:rsidRPr="0048148E">
        <w:rPr>
          <w:rFonts w:asciiTheme="majorBidi" w:hAnsiTheme="majorBidi" w:cstheme="majorBidi"/>
          <w:sz w:val="24"/>
          <w:szCs w:val="24"/>
          <w:lang w:val="en-US"/>
        </w:rPr>
        <w:t xml:space="preserve"> the text of the Tabernacle story, intended to serve as a theodicy for the harsh punishment given to the house of Eli, and is therefore absent in the Septuagint and 4QSam</w:t>
      </w:r>
      <w:r w:rsidR="008E4DB2" w:rsidRPr="0048148E">
        <w:rPr>
          <w:rFonts w:asciiTheme="majorBidi" w:hAnsiTheme="majorBidi" w:cstheme="majorBidi"/>
          <w:sz w:val="24"/>
          <w:szCs w:val="24"/>
          <w:vertAlign w:val="superscript"/>
          <w:lang w:val="en-US"/>
        </w:rPr>
        <w:t xml:space="preserve">a </w:t>
      </w:r>
      <w:r w:rsidR="008E4DB2" w:rsidRPr="0048148E">
        <w:rPr>
          <w:rFonts w:asciiTheme="majorBidi" w:hAnsiTheme="majorBidi" w:cstheme="majorBidi"/>
          <w:sz w:val="24"/>
          <w:szCs w:val="24"/>
          <w:lang w:val="en-US"/>
        </w:rPr>
        <w:t>accounts. In contrast, the text in 1Kgs 8:4 entered at a relatively early stage and is therefore documented in all the principal manuscripts of Kings. This text entered together with a</w:t>
      </w:r>
      <w:r w:rsidR="00246DE6" w:rsidRPr="0048148E">
        <w:rPr>
          <w:rFonts w:asciiTheme="majorBidi" w:hAnsiTheme="majorBidi" w:cstheme="majorBidi"/>
          <w:sz w:val="24"/>
          <w:szCs w:val="24"/>
          <w:lang w:val="en-US"/>
        </w:rPr>
        <w:t xml:space="preserve"> small group of P-type additions (such as 1Kgs 8:10-11), which </w:t>
      </w:r>
      <w:r w:rsidR="0065419C">
        <w:rPr>
          <w:rFonts w:asciiTheme="majorBidi" w:hAnsiTheme="majorBidi" w:cstheme="majorBidi"/>
          <w:sz w:val="24"/>
          <w:szCs w:val="24"/>
          <w:lang w:val="en-US"/>
        </w:rPr>
        <w:t>were designed to connect</w:t>
      </w:r>
      <w:r w:rsidR="00246DE6" w:rsidRPr="0048148E">
        <w:rPr>
          <w:rFonts w:asciiTheme="majorBidi" w:hAnsiTheme="majorBidi" w:cstheme="majorBidi"/>
          <w:sz w:val="24"/>
          <w:szCs w:val="24"/>
          <w:lang w:val="en-US"/>
        </w:rPr>
        <w:t xml:space="preserve"> between the Torah account and that of Solomon’s Temple </w:t>
      </w:r>
      <w:r w:rsidR="0065419C">
        <w:rPr>
          <w:rFonts w:asciiTheme="majorBidi" w:hAnsiTheme="majorBidi" w:cstheme="majorBidi"/>
          <w:sz w:val="24"/>
          <w:szCs w:val="24"/>
          <w:lang w:val="en-US"/>
        </w:rPr>
        <w:t>and</w:t>
      </w:r>
      <w:r w:rsidR="00246DE6" w:rsidRPr="0048148E">
        <w:rPr>
          <w:rFonts w:asciiTheme="majorBidi" w:hAnsiTheme="majorBidi" w:cstheme="majorBidi"/>
          <w:sz w:val="24"/>
          <w:szCs w:val="24"/>
          <w:lang w:val="en-US"/>
        </w:rPr>
        <w:t xml:space="preserve"> create a continuum between the two. Priestly</w:t>
      </w:r>
      <w:r w:rsidR="0065419C">
        <w:rPr>
          <w:rFonts w:asciiTheme="majorBidi" w:hAnsiTheme="majorBidi" w:cstheme="majorBidi"/>
          <w:sz w:val="24"/>
          <w:szCs w:val="24"/>
          <w:lang w:val="en-US"/>
        </w:rPr>
        <w:t>-</w:t>
      </w:r>
      <w:r w:rsidR="00246DE6" w:rsidRPr="0048148E">
        <w:rPr>
          <w:rFonts w:asciiTheme="majorBidi" w:hAnsiTheme="majorBidi" w:cstheme="majorBidi"/>
          <w:sz w:val="24"/>
          <w:szCs w:val="24"/>
          <w:lang w:val="en-US"/>
        </w:rPr>
        <w:t xml:space="preserve">style additions entered Kings only in the Temple account (1Kgs 6-8), and it seems that the unique character of this unit attracted authors-copyists to enter, over time, additions such as these in the style of the Torah texts (especially P) in order to create a continuity between the Glory of God residing within the Tabernacle in the desert and its </w:t>
      </w:r>
      <w:r w:rsidR="00A53600" w:rsidRPr="0048148E">
        <w:rPr>
          <w:rFonts w:asciiTheme="majorBidi" w:hAnsiTheme="majorBidi" w:cstheme="majorBidi"/>
          <w:sz w:val="24"/>
          <w:szCs w:val="24"/>
          <w:lang w:val="en-US"/>
        </w:rPr>
        <w:t>relocation to the Temple in Jerusalem.</w:t>
      </w:r>
    </w:p>
    <w:p w14:paraId="65278A48" w14:textId="67E6DA28" w:rsidR="00A53600" w:rsidRPr="00457FE4" w:rsidRDefault="00A53600" w:rsidP="004C4D4B">
      <w:pPr>
        <w:spacing w:line="360" w:lineRule="auto"/>
        <w:ind w:firstLine="720"/>
        <w:rPr>
          <w:rFonts w:asciiTheme="majorBidi" w:hAnsiTheme="majorBidi" w:cstheme="majorBidi"/>
          <w:sz w:val="24"/>
          <w:szCs w:val="24"/>
          <w:lang w:val="en-US"/>
        </w:rPr>
      </w:pPr>
      <w:r w:rsidRPr="0048148E">
        <w:rPr>
          <w:rFonts w:asciiTheme="majorBidi" w:hAnsiTheme="majorBidi" w:cstheme="majorBidi"/>
          <w:sz w:val="24"/>
          <w:szCs w:val="24"/>
          <w:lang w:val="en-US"/>
        </w:rPr>
        <w:t xml:space="preserve">Given the fact that all the texts in Samuel and Kings are later additions which are based on the Priestly account in the Torah, it seems that in ancient Israel only the </w:t>
      </w:r>
      <w:r w:rsidR="00B92112">
        <w:rPr>
          <w:rFonts w:asciiTheme="majorBidi" w:hAnsiTheme="majorBidi" w:cstheme="majorBidi"/>
          <w:sz w:val="24"/>
          <w:szCs w:val="24"/>
          <w:lang w:val="en-US"/>
        </w:rPr>
        <w:t>P</w:t>
      </w:r>
      <w:r w:rsidRPr="0048148E">
        <w:rPr>
          <w:rFonts w:asciiTheme="majorBidi" w:hAnsiTheme="majorBidi" w:cstheme="majorBidi"/>
          <w:sz w:val="24"/>
          <w:szCs w:val="24"/>
          <w:lang w:val="en-US"/>
        </w:rPr>
        <w:t xml:space="preserve">riestly </w:t>
      </w:r>
      <w:r w:rsidR="00352EB4">
        <w:rPr>
          <w:rFonts w:asciiTheme="majorBidi" w:hAnsiTheme="majorBidi" w:cstheme="majorBidi"/>
          <w:sz w:val="24"/>
          <w:szCs w:val="24"/>
          <w:lang w:val="en-US"/>
        </w:rPr>
        <w:t>school</w:t>
      </w:r>
      <w:r w:rsidR="00432288" w:rsidRPr="0048148E">
        <w:rPr>
          <w:rFonts w:asciiTheme="majorBidi" w:hAnsiTheme="majorBidi" w:cstheme="majorBidi"/>
          <w:sz w:val="24"/>
          <w:szCs w:val="24"/>
          <w:lang w:val="en-US"/>
        </w:rPr>
        <w:t xml:space="preserve"> used the term “Tent of Meeting” to denote a magnificent Temple which escorted the nation in its </w:t>
      </w:r>
      <w:r w:rsidR="0065419C">
        <w:rPr>
          <w:rFonts w:asciiTheme="majorBidi" w:hAnsiTheme="majorBidi" w:cstheme="majorBidi"/>
          <w:sz w:val="24"/>
          <w:szCs w:val="24"/>
          <w:lang w:val="en-US"/>
        </w:rPr>
        <w:t>wanderings</w:t>
      </w:r>
      <w:r w:rsidR="00432288" w:rsidRPr="0048148E">
        <w:rPr>
          <w:rFonts w:asciiTheme="majorBidi" w:hAnsiTheme="majorBidi" w:cstheme="majorBidi"/>
          <w:sz w:val="24"/>
          <w:szCs w:val="24"/>
          <w:lang w:val="en-US"/>
        </w:rPr>
        <w:t xml:space="preserve">. Beyond the </w:t>
      </w:r>
      <w:r w:rsidR="00B92112">
        <w:rPr>
          <w:rFonts w:asciiTheme="majorBidi" w:hAnsiTheme="majorBidi" w:cstheme="majorBidi"/>
          <w:sz w:val="24"/>
          <w:szCs w:val="24"/>
          <w:lang w:val="en-US"/>
        </w:rPr>
        <w:t>P</w:t>
      </w:r>
      <w:r w:rsidR="00432288" w:rsidRPr="0048148E">
        <w:rPr>
          <w:rFonts w:asciiTheme="majorBidi" w:hAnsiTheme="majorBidi" w:cstheme="majorBidi"/>
          <w:sz w:val="24"/>
          <w:szCs w:val="24"/>
          <w:lang w:val="en-US"/>
        </w:rPr>
        <w:t xml:space="preserve">riestly </w:t>
      </w:r>
      <w:r w:rsidR="00352EB4">
        <w:rPr>
          <w:rFonts w:asciiTheme="majorBidi" w:hAnsiTheme="majorBidi" w:cstheme="majorBidi"/>
          <w:sz w:val="24"/>
          <w:szCs w:val="24"/>
          <w:lang w:val="en-US"/>
        </w:rPr>
        <w:t>school</w:t>
      </w:r>
      <w:r w:rsidR="00432288" w:rsidRPr="0048148E">
        <w:rPr>
          <w:rFonts w:asciiTheme="majorBidi" w:hAnsiTheme="majorBidi" w:cstheme="majorBidi"/>
          <w:sz w:val="24"/>
          <w:szCs w:val="24"/>
          <w:lang w:val="en-US"/>
        </w:rPr>
        <w:t xml:space="preserve"> the term “Tent of Meeting” was used in a different sense, as a prophetic tent. Among the ancient traditions were those who </w:t>
      </w:r>
      <w:r w:rsidR="001334A3">
        <w:rPr>
          <w:rFonts w:asciiTheme="majorBidi" w:hAnsiTheme="majorBidi" w:cstheme="majorBidi"/>
          <w:sz w:val="24"/>
          <w:szCs w:val="24"/>
          <w:lang w:val="en-US"/>
        </w:rPr>
        <w:t>refer to</w:t>
      </w:r>
      <w:r w:rsidR="00E111AF" w:rsidRPr="0048148E">
        <w:rPr>
          <w:rFonts w:asciiTheme="majorBidi" w:hAnsiTheme="majorBidi" w:cstheme="majorBidi"/>
          <w:sz w:val="24"/>
          <w:szCs w:val="24"/>
          <w:lang w:val="en-US"/>
        </w:rPr>
        <w:t xml:space="preserve"> the</w:t>
      </w:r>
      <w:r w:rsidR="009E31F3">
        <w:rPr>
          <w:rFonts w:asciiTheme="majorBidi" w:hAnsiTheme="majorBidi" w:cstheme="majorBidi"/>
          <w:sz w:val="24"/>
          <w:szCs w:val="24"/>
          <w:lang w:val="en-US"/>
        </w:rPr>
        <w:t xml:space="preserve"> Ark </w:t>
      </w:r>
      <w:r w:rsidR="00E111AF" w:rsidRPr="0048148E">
        <w:rPr>
          <w:rFonts w:asciiTheme="majorBidi" w:hAnsiTheme="majorBidi" w:cstheme="majorBidi"/>
          <w:sz w:val="24"/>
          <w:szCs w:val="24"/>
          <w:lang w:val="en-US"/>
        </w:rPr>
        <w:t xml:space="preserve">residing in a tent, but these </w:t>
      </w:r>
      <w:r w:rsidR="0065419C" w:rsidRPr="0048148E">
        <w:rPr>
          <w:rFonts w:asciiTheme="majorBidi" w:hAnsiTheme="majorBidi" w:cstheme="majorBidi"/>
          <w:sz w:val="24"/>
          <w:szCs w:val="24"/>
          <w:lang w:val="en-US"/>
        </w:rPr>
        <w:t xml:space="preserve">traditions </w:t>
      </w:r>
      <w:r w:rsidR="0065419C">
        <w:rPr>
          <w:rFonts w:asciiTheme="majorBidi" w:hAnsiTheme="majorBidi" w:cstheme="majorBidi"/>
          <w:sz w:val="24"/>
          <w:szCs w:val="24"/>
          <w:lang w:val="en-US"/>
        </w:rPr>
        <w:t>referred to</w:t>
      </w:r>
      <w:r w:rsidR="00E111AF" w:rsidRPr="0048148E">
        <w:rPr>
          <w:rFonts w:asciiTheme="majorBidi" w:hAnsiTheme="majorBidi" w:cstheme="majorBidi"/>
          <w:sz w:val="24"/>
          <w:szCs w:val="24"/>
          <w:lang w:val="en-US"/>
        </w:rPr>
        <w:t xml:space="preserve"> the temporary tent which David erected for that purpose (2Sam 6:17; 7:2) or traditions of a simple tent which served the</w:t>
      </w:r>
      <w:r w:rsidR="009E31F3">
        <w:rPr>
          <w:rFonts w:asciiTheme="majorBidi" w:hAnsiTheme="majorBidi" w:cstheme="majorBidi"/>
          <w:sz w:val="24"/>
          <w:szCs w:val="24"/>
          <w:lang w:val="en-US"/>
        </w:rPr>
        <w:t xml:space="preserve"> Ark </w:t>
      </w:r>
      <w:r w:rsidR="00E111AF" w:rsidRPr="0048148E">
        <w:rPr>
          <w:rFonts w:asciiTheme="majorBidi" w:hAnsiTheme="majorBidi" w:cstheme="majorBidi"/>
          <w:sz w:val="24"/>
          <w:szCs w:val="24"/>
          <w:lang w:val="en-US"/>
        </w:rPr>
        <w:t>during its wanderings (2Sam 7:6). It is possible that all these ideas developed over time into the Priestly account of the “Tent of Meeting” which served as a Tabernacle and a portable Temple in the desert</w:t>
      </w:r>
      <w:r w:rsidR="00BF617C">
        <w:rPr>
          <w:rFonts w:asciiTheme="majorBidi" w:hAnsiTheme="majorBidi" w:cstheme="majorBidi"/>
          <w:sz w:val="24"/>
          <w:szCs w:val="24"/>
          <w:lang w:val="en-US"/>
        </w:rPr>
        <w:t xml:space="preserve">. </w:t>
      </w:r>
      <w:r w:rsidR="00E111AF" w:rsidRPr="0048148E">
        <w:rPr>
          <w:rFonts w:asciiTheme="majorBidi" w:hAnsiTheme="majorBidi" w:cstheme="majorBidi"/>
          <w:sz w:val="24"/>
          <w:szCs w:val="24"/>
          <w:lang w:val="en-US"/>
        </w:rPr>
        <w:t xml:space="preserve">this issue goes beyond the scope of the current study as it </w:t>
      </w:r>
      <w:r w:rsidR="001F02B1" w:rsidRPr="0048148E">
        <w:rPr>
          <w:rFonts w:asciiTheme="majorBidi" w:hAnsiTheme="majorBidi" w:cstheme="majorBidi"/>
          <w:sz w:val="24"/>
          <w:szCs w:val="24"/>
          <w:lang w:val="en-US"/>
        </w:rPr>
        <w:t>diverts the discussion from the reflection of P in the later strata of the biblical historiography to the sources of inspiration for the Priestly works, a topic which deserves development in another setting.</w:t>
      </w:r>
    </w:p>
    <w:p w14:paraId="49F30824" w14:textId="04CCD3DF" w:rsidR="00F71000" w:rsidRPr="0048148E" w:rsidRDefault="00F71000" w:rsidP="0048148E">
      <w:pPr>
        <w:spacing w:line="360" w:lineRule="auto"/>
        <w:rPr>
          <w:rFonts w:asciiTheme="majorBidi" w:hAnsiTheme="majorBidi" w:cstheme="majorBidi"/>
          <w:sz w:val="24"/>
          <w:szCs w:val="24"/>
          <w:lang w:val="en-US"/>
        </w:rPr>
      </w:pPr>
    </w:p>
    <w:sectPr w:rsidR="00F71000" w:rsidRPr="0048148E">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ilshelnava@gmail.com" w:date="2022-01-04T19:13:00Z" w:initials="m">
    <w:p w14:paraId="2B4B65AE" w14:textId="77777777" w:rsidR="000B2F77" w:rsidRDefault="000B2F77" w:rsidP="000C3CA4">
      <w:pPr>
        <w:pStyle w:val="CommentText"/>
        <w:bidi/>
        <w:jc w:val="right"/>
      </w:pPr>
      <w:r>
        <w:rPr>
          <w:rStyle w:val="CommentReference"/>
        </w:rPr>
        <w:annotationRef/>
      </w:r>
      <w:r>
        <w:t>"</w:t>
      </w:r>
      <w:r>
        <w:rPr>
          <w:rFonts w:hint="eastAsia"/>
          <w:rtl/>
        </w:rPr>
        <w:t>היכל</w:t>
      </w:r>
      <w:r>
        <w:rPr>
          <w:rtl/>
        </w:rPr>
        <w:t xml:space="preserve"> ה'" מתורגם באופנים שונים בתרגומים השונים. </w:t>
      </w:r>
      <w:r>
        <w:t>NKJV</w:t>
      </w:r>
      <w:r>
        <w:rPr>
          <w:rtl/>
        </w:rPr>
        <w:t xml:space="preserve"> מציע </w:t>
      </w:r>
      <w:r>
        <w:t>Tabernacle</w:t>
      </w:r>
      <w:r>
        <w:rPr>
          <w:rtl/>
        </w:rPr>
        <w:t xml:space="preserve">, רוב השאר גורסים </w:t>
      </w:r>
      <w:r>
        <w:t>temple</w:t>
      </w:r>
    </w:p>
  </w:comment>
  <w:comment w:id="1" w:author="mailshelnava@gmail.com" w:date="2022-01-04T19:17:00Z" w:initials="m">
    <w:p w14:paraId="320C8054" w14:textId="77777777" w:rsidR="00DC4D20" w:rsidRDefault="00DC4D20" w:rsidP="00C249E2">
      <w:pPr>
        <w:pStyle w:val="CommentText"/>
        <w:bidi/>
        <w:jc w:val="right"/>
      </w:pPr>
      <w:r>
        <w:rPr>
          <w:rStyle w:val="CommentReference"/>
        </w:rPr>
        <w:annotationRef/>
      </w:r>
      <w:r>
        <w:rPr>
          <w:rFonts w:hint="eastAsia"/>
          <w:rtl/>
        </w:rPr>
        <w:t>שים</w:t>
      </w:r>
      <w:r>
        <w:rPr>
          <w:rtl/>
        </w:rPr>
        <w:t xml:space="preserve"> לב ש"שער" מופיע בפסוק 18 ולא בפסוק 15</w:t>
      </w:r>
    </w:p>
  </w:comment>
  <w:comment w:id="3" w:author="mailshelnava@gmail.com" w:date="2022-01-08T21:26:00Z" w:initials="m">
    <w:p w14:paraId="5DA45394" w14:textId="77777777" w:rsidR="008511FE" w:rsidRDefault="00624C6A" w:rsidP="0013527F">
      <w:pPr>
        <w:pStyle w:val="CommentText"/>
        <w:bidi/>
        <w:jc w:val="right"/>
      </w:pPr>
      <w:r>
        <w:rPr>
          <w:rStyle w:val="CommentReference"/>
        </w:rPr>
        <w:annotationRef/>
      </w:r>
      <w:r w:rsidR="008511FE">
        <w:rPr>
          <w:rFonts w:hint="eastAsia"/>
          <w:rtl/>
        </w:rPr>
        <w:t>אומרים</w:t>
      </w:r>
      <w:r w:rsidR="008511FE">
        <w:rPr>
          <w:rtl/>
        </w:rPr>
        <w:t xml:space="preserve"> </w:t>
      </w:r>
      <w:r w:rsidR="008511FE">
        <w:t>plus</w:t>
      </w:r>
      <w:r w:rsidR="008511FE">
        <w:rPr>
          <w:rtl/>
        </w:rPr>
        <w:t xml:space="preserve"> בשפה מקצועית? השארתי, אבל אם לא, אולי עדיף משהו כמו </w:t>
      </w:r>
      <w:r w:rsidR="008511FE">
        <w:t xml:space="preserve"> the addition of words or verses</w:t>
      </w:r>
    </w:p>
  </w:comment>
  <w:comment w:id="5" w:author="mailshelnava@gmail.com" w:date="2022-01-04T21:10:00Z" w:initials="m">
    <w:p w14:paraId="0A4AA361" w14:textId="04274D54" w:rsidR="00BA660A" w:rsidRDefault="00E91D9F" w:rsidP="008511FE">
      <w:pPr>
        <w:pStyle w:val="CommentText"/>
        <w:bidi/>
      </w:pPr>
      <w:r>
        <w:rPr>
          <w:rStyle w:val="CommentReference"/>
        </w:rPr>
        <w:annotationRef/>
      </w:r>
      <w:r w:rsidR="00BA660A">
        <w:rPr>
          <w:rFonts w:hint="eastAsia"/>
          <w:rtl/>
        </w:rPr>
        <w:t>ככה</w:t>
      </w:r>
      <w:r w:rsidR="00BA660A">
        <w:rPr>
          <w:rtl/>
        </w:rPr>
        <w:t xml:space="preserve"> </w:t>
      </w:r>
      <w:r w:rsidR="00BA660A">
        <w:rPr>
          <w:rFonts w:hint="eastAsia"/>
          <w:rtl/>
        </w:rPr>
        <w:t>כותבים</w:t>
      </w:r>
      <w:r w:rsidR="00BA660A">
        <w:rPr>
          <w:rtl/>
        </w:rPr>
        <w:t>?</w:t>
      </w:r>
      <w:r w:rsidR="00BA660A">
        <w:t xml:space="preserve"> </w:t>
      </w:r>
      <w:r w:rsidR="00BA660A">
        <w:rPr>
          <w:rtl/>
        </w:rPr>
        <w:t xml:space="preserve"> כך כתבתי גם בהמשך</w:t>
      </w:r>
    </w:p>
  </w:comment>
  <w:comment w:id="6" w:author="mailshelnava@gmail.com" w:date="2022-01-04T21:21:00Z" w:initials="m">
    <w:p w14:paraId="75351A8B" w14:textId="6C6A8565" w:rsidR="006057CE" w:rsidRDefault="006057CE" w:rsidP="00BA660A">
      <w:pPr>
        <w:pStyle w:val="CommentText"/>
      </w:pPr>
      <w:r>
        <w:rPr>
          <w:rStyle w:val="CommentReference"/>
        </w:rPr>
        <w:annotationRef/>
      </w:r>
      <w:r>
        <w:rPr>
          <w:rFonts w:hint="eastAsia"/>
          <w:rtl/>
        </w:rPr>
        <w:t>התכוונת</w:t>
      </w:r>
      <w:r>
        <w:rPr>
          <w:rtl/>
        </w:rPr>
        <w:t xml:space="preserve"> ל-38:8?</w:t>
      </w:r>
    </w:p>
  </w:comment>
  <w:comment w:id="7" w:author="mailshelnava@gmail.com" w:date="2022-01-04T21:25:00Z" w:initials="m">
    <w:p w14:paraId="6BE61359" w14:textId="77777777" w:rsidR="006057CE" w:rsidRPr="006057CE" w:rsidRDefault="006057CE" w:rsidP="00B75D02">
      <w:pPr>
        <w:pStyle w:val="CommentText"/>
        <w:rPr>
          <w:lang w:val="en-US"/>
        </w:rPr>
      </w:pPr>
      <w:r>
        <w:rPr>
          <w:rStyle w:val="CommentReference"/>
        </w:rPr>
        <w:annotationRef/>
      </w:r>
      <w:r>
        <w:rPr>
          <w:rFonts w:hint="eastAsia"/>
          <w:rtl/>
        </w:rPr>
        <w:t>כנ</w:t>
      </w:r>
      <w:r>
        <w:rPr>
          <w:rtl/>
        </w:rPr>
        <w:t>"ל כאן</w:t>
      </w:r>
    </w:p>
  </w:comment>
  <w:comment w:id="8" w:author="mailshelnava@gmail.com" w:date="2022-01-04T21:55:00Z" w:initials="m">
    <w:p w14:paraId="2E5CEBF0" w14:textId="77777777" w:rsidR="002647D2" w:rsidRDefault="002647D2" w:rsidP="002826F2">
      <w:pPr>
        <w:pStyle w:val="CommentText"/>
      </w:pPr>
      <w:r>
        <w:rPr>
          <w:rStyle w:val="CommentReference"/>
        </w:rPr>
        <w:annotationRef/>
      </w:r>
      <w:r>
        <w:t>11-16?</w:t>
      </w:r>
    </w:p>
  </w:comment>
  <w:comment w:id="10" w:author="mailshelnava@gmail.com" w:date="2022-01-05T13:58:00Z" w:initials="m">
    <w:p w14:paraId="2DED98B3" w14:textId="77777777" w:rsidR="00A43B05" w:rsidRDefault="00A43B05" w:rsidP="00116AD6">
      <w:pPr>
        <w:pStyle w:val="CommentText"/>
        <w:bidi/>
        <w:jc w:val="right"/>
      </w:pPr>
      <w:r>
        <w:rPr>
          <w:rStyle w:val="CommentReference"/>
        </w:rPr>
        <w:annotationRef/>
      </w:r>
      <w:r>
        <w:rPr>
          <w:rFonts w:hint="eastAsia"/>
          <w:rtl/>
        </w:rPr>
        <w:t>אפשר</w:t>
      </w:r>
      <w:r>
        <w:rPr>
          <w:rtl/>
        </w:rPr>
        <w:t xml:space="preserve"> "רהבתנות" במקום "צרכי התייפות"? </w:t>
      </w:r>
      <w:r>
        <w:t xml:space="preserve">"need for beautification" </w:t>
      </w:r>
      <w:r>
        <w:rPr>
          <w:rtl/>
        </w:rPr>
        <w:t xml:space="preserve"> נשמע כבד ומאולץ</w:t>
      </w:r>
    </w:p>
  </w:comment>
  <w:comment w:id="11" w:author="mailshelnava@gmail.com" w:date="2022-01-05T14:16:00Z" w:initials="m">
    <w:p w14:paraId="1720C74B" w14:textId="77777777" w:rsidR="008A4262" w:rsidRDefault="008A4262" w:rsidP="00194506">
      <w:pPr>
        <w:pStyle w:val="CommentText"/>
      </w:pPr>
      <w:r>
        <w:rPr>
          <w:rStyle w:val="CommentReference"/>
        </w:rPr>
        <w:annotationRef/>
      </w:r>
      <w:r>
        <w:rPr>
          <w:rFonts w:hint="eastAsia"/>
          <w:rtl/>
        </w:rPr>
        <w:t>כתבת</w:t>
      </w:r>
      <w:r>
        <w:rPr>
          <w:rtl/>
        </w:rPr>
        <w:t xml:space="preserve"> "המסירה" - האם לזו הכוונה?</w:t>
      </w:r>
    </w:p>
  </w:comment>
  <w:comment w:id="12" w:author="mailshelnava@gmail.com" w:date="2022-01-05T14:28:00Z" w:initials="m">
    <w:p w14:paraId="2B972821" w14:textId="77777777" w:rsidR="0014153F" w:rsidRDefault="0014153F" w:rsidP="00602479">
      <w:pPr>
        <w:pStyle w:val="CommentText"/>
      </w:pPr>
      <w:r>
        <w:rPr>
          <w:rStyle w:val="CommentReference"/>
        </w:rPr>
        <w:annotationRef/>
      </w:r>
      <w:r>
        <w:t>A? E? I?</w:t>
      </w:r>
    </w:p>
  </w:comment>
  <w:comment w:id="13" w:author="mailshelnava@gmail.com" w:date="2022-01-08T21:43:00Z" w:initials="m">
    <w:p w14:paraId="24662834" w14:textId="77777777" w:rsidR="00E43EAC" w:rsidRDefault="00E43EAC" w:rsidP="00C51C3C">
      <w:pPr>
        <w:pStyle w:val="CommentText"/>
        <w:bidi/>
        <w:jc w:val="right"/>
      </w:pPr>
      <w:r>
        <w:rPr>
          <w:rStyle w:val="CommentReference"/>
        </w:rPr>
        <w:annotationRef/>
      </w:r>
      <w:r>
        <w:rPr>
          <w:rFonts w:hint="eastAsia"/>
          <w:rtl/>
        </w:rPr>
        <w:t>במשפט</w:t>
      </w:r>
      <w:r>
        <w:rPr>
          <w:rtl/>
        </w:rPr>
        <w:t xml:space="preserve"> הזה והבא - אפשר </w:t>
      </w:r>
      <w:r>
        <w:t>additions</w:t>
      </w:r>
      <w:r>
        <w:rPr>
          <w:rtl/>
        </w:rPr>
        <w:t xml:space="preserve"> במקום </w:t>
      </w:r>
      <w:r>
        <w:t>pluses</w:t>
      </w:r>
      <w:r>
        <w:rPr>
          <w:rtl/>
        </w:rPr>
        <w:t>?</w:t>
      </w:r>
    </w:p>
  </w:comment>
  <w:comment w:id="14" w:author="mailshelnava@gmail.com" w:date="2022-01-05T19:01:00Z" w:initials="m">
    <w:p w14:paraId="22445AF2" w14:textId="7E21169F" w:rsidR="004D6854" w:rsidRDefault="004D6854" w:rsidP="00E43EAC">
      <w:pPr>
        <w:pStyle w:val="CommentText"/>
        <w:bidi/>
      </w:pPr>
      <w:r>
        <w:rPr>
          <w:rStyle w:val="CommentReference"/>
        </w:rPr>
        <w:annotationRef/>
      </w:r>
      <w:r>
        <w:rPr>
          <w:rFonts w:hint="eastAsia"/>
          <w:rtl/>
        </w:rPr>
        <w:t>האם</w:t>
      </w:r>
      <w:r>
        <w:t xml:space="preserve"> "plus" </w:t>
      </w:r>
      <w:r>
        <w:rPr>
          <w:rtl/>
        </w:rPr>
        <w:t>זה</w:t>
      </w:r>
      <w:r>
        <w:t xml:space="preserve"> </w:t>
      </w:r>
      <w:r>
        <w:rPr>
          <w:rtl/>
        </w:rPr>
        <w:t>מונח</w:t>
      </w:r>
      <w:r>
        <w:t xml:space="preserve"> </w:t>
      </w:r>
      <w:r>
        <w:rPr>
          <w:rtl/>
        </w:rPr>
        <w:t>מקצועי</w:t>
      </w:r>
      <w:r>
        <w:t xml:space="preserve">? </w:t>
      </w:r>
      <w:r>
        <w:rPr>
          <w:rtl/>
        </w:rPr>
        <w:t>אם</w:t>
      </w:r>
      <w:r>
        <w:t xml:space="preserve"> </w:t>
      </w:r>
      <w:r>
        <w:rPr>
          <w:rtl/>
        </w:rPr>
        <w:t>לא</w:t>
      </w:r>
      <w:r>
        <w:t xml:space="preserve">- </w:t>
      </w:r>
      <w:r>
        <w:rPr>
          <w:rtl/>
        </w:rPr>
        <w:t>עדיף</w:t>
      </w:r>
      <w:r>
        <w:t xml:space="preserve"> </w:t>
      </w:r>
      <w:r>
        <w:rPr>
          <w:rtl/>
        </w:rPr>
        <w:t>לדעתי</w:t>
      </w:r>
      <w:r>
        <w:t xml:space="preserve"> "addition"</w:t>
      </w:r>
      <w:r>
        <w:rPr>
          <w:rtl/>
        </w:rPr>
        <w:t>.</w:t>
      </w:r>
    </w:p>
  </w:comment>
  <w:comment w:id="15" w:author="mailshelnava@gmail.com" w:date="2022-01-08T21:49:00Z" w:initials="m">
    <w:p w14:paraId="39723E3A" w14:textId="77777777" w:rsidR="009E31F3" w:rsidRDefault="009E31F3" w:rsidP="002E1617">
      <w:pPr>
        <w:pStyle w:val="CommentText"/>
      </w:pPr>
      <w:r>
        <w:rPr>
          <w:rStyle w:val="CommentReference"/>
        </w:rPr>
        <w:annotationRef/>
      </w:r>
      <w:r>
        <w:t>"here"?</w:t>
      </w:r>
    </w:p>
  </w:comment>
  <w:comment w:id="16" w:author="mailshelnava@gmail.com" w:date="2022-01-09T11:53:00Z" w:initials="m">
    <w:p w14:paraId="766A9BE8" w14:textId="77777777" w:rsidR="00535C68" w:rsidRDefault="00535C68" w:rsidP="00B07147">
      <w:pPr>
        <w:pStyle w:val="CommentText"/>
      </w:pPr>
      <w:r>
        <w:rPr>
          <w:rStyle w:val="CommentReference"/>
        </w:rPr>
        <w:annotationRef/>
      </w:r>
      <w:r>
        <w:rPr>
          <w:rFonts w:hint="eastAsia"/>
          <w:rtl/>
        </w:rPr>
        <w:t>בבקשה</w:t>
      </w:r>
      <w:r>
        <w:rPr>
          <w:rtl/>
        </w:rPr>
        <w:t xml:space="preserve"> תבדוק שלא שיניתי כאן את המשמעות</w:t>
      </w:r>
    </w:p>
  </w:comment>
  <w:comment w:id="17" w:author="mailshelnava@gmail.com" w:date="2022-01-06T15:09:00Z" w:initials="m">
    <w:p w14:paraId="3915914D" w14:textId="72EC04B8" w:rsidR="00AD47B5" w:rsidRDefault="00AD47B5" w:rsidP="00535C68">
      <w:pPr>
        <w:pStyle w:val="CommentText"/>
        <w:bidi/>
      </w:pPr>
      <w:r>
        <w:rPr>
          <w:rStyle w:val="CommentReference"/>
        </w:rPr>
        <w:annotationRef/>
      </w:r>
      <w:r>
        <w:rPr>
          <w:rFonts w:hint="eastAsia"/>
          <w:rtl/>
        </w:rPr>
        <w:t>את</w:t>
      </w:r>
      <w:r>
        <w:rPr>
          <w:rtl/>
        </w:rPr>
        <w:t xml:space="preserve"> הקטע הזה אתה תרגמת, אני רק עורכת. כאן כתבת שם הויה מפורש, ובעוד מס' שורות כתבת "ה'". לדעתי רצוי לבחור אחד מהם כדי לשמור על אחידות - וכן בכל הציטוטים</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4B65AE" w15:done="0"/>
  <w15:commentEx w15:paraId="320C8054" w15:done="0"/>
  <w15:commentEx w15:paraId="5DA45394" w15:done="0"/>
  <w15:commentEx w15:paraId="0A4AA361" w15:done="0"/>
  <w15:commentEx w15:paraId="75351A8B" w15:done="0"/>
  <w15:commentEx w15:paraId="6BE61359" w15:done="0"/>
  <w15:commentEx w15:paraId="2E5CEBF0" w15:done="0"/>
  <w15:commentEx w15:paraId="2DED98B3" w15:done="0"/>
  <w15:commentEx w15:paraId="1720C74B" w15:done="0"/>
  <w15:commentEx w15:paraId="2B972821" w15:done="0"/>
  <w15:commentEx w15:paraId="24662834" w15:done="0"/>
  <w15:commentEx w15:paraId="22445AF2" w15:done="0"/>
  <w15:commentEx w15:paraId="39723E3A" w15:done="0"/>
  <w15:commentEx w15:paraId="766A9BE8" w15:done="0"/>
  <w15:commentEx w15:paraId="391591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F1AF1" w16cex:dateUtc="2022-01-04T17:13:00Z"/>
  <w16cex:commentExtensible w16cex:durableId="257F1BDE" w16cex:dateUtc="2022-01-04T17:17:00Z"/>
  <w16cex:commentExtensible w16cex:durableId="25848003" w16cex:dateUtc="2022-01-08T19:26:00Z"/>
  <w16cex:commentExtensible w16cex:durableId="257F363C" w16cex:dateUtc="2022-01-04T19:10:00Z"/>
  <w16cex:commentExtensible w16cex:durableId="257F38C1" w16cex:dateUtc="2022-01-04T19:21:00Z"/>
  <w16cex:commentExtensible w16cex:durableId="257F39C2" w16cex:dateUtc="2022-01-04T19:25:00Z"/>
  <w16cex:commentExtensible w16cex:durableId="257F40BC" w16cex:dateUtc="2022-01-04T19:55:00Z"/>
  <w16cex:commentExtensible w16cex:durableId="258022A1" w16cex:dateUtc="2022-01-05T11:58:00Z"/>
  <w16cex:commentExtensible w16cex:durableId="258026CC" w16cex:dateUtc="2022-01-05T12:16:00Z"/>
  <w16cex:commentExtensible w16cex:durableId="2580299F" w16cex:dateUtc="2022-01-05T12:28:00Z"/>
  <w16cex:commentExtensible w16cex:durableId="25848408" w16cex:dateUtc="2022-01-08T19:43:00Z"/>
  <w16cex:commentExtensible w16cex:durableId="25806970" w16cex:dateUtc="2022-01-05T17:01:00Z"/>
  <w16cex:commentExtensible w16cex:durableId="25848550" w16cex:dateUtc="2022-01-08T19:49:00Z"/>
  <w16cex:commentExtensible w16cex:durableId="25854B51" w16cex:dateUtc="2022-01-09T09:53:00Z"/>
  <w16cex:commentExtensible w16cex:durableId="258184A0" w16cex:dateUtc="2022-01-06T1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4B65AE" w16cid:durableId="257F1AF1"/>
  <w16cid:commentId w16cid:paraId="320C8054" w16cid:durableId="257F1BDE"/>
  <w16cid:commentId w16cid:paraId="5DA45394" w16cid:durableId="25848003"/>
  <w16cid:commentId w16cid:paraId="0A4AA361" w16cid:durableId="257F363C"/>
  <w16cid:commentId w16cid:paraId="75351A8B" w16cid:durableId="257F38C1"/>
  <w16cid:commentId w16cid:paraId="6BE61359" w16cid:durableId="257F39C2"/>
  <w16cid:commentId w16cid:paraId="2E5CEBF0" w16cid:durableId="257F40BC"/>
  <w16cid:commentId w16cid:paraId="2DED98B3" w16cid:durableId="258022A1"/>
  <w16cid:commentId w16cid:paraId="1720C74B" w16cid:durableId="258026CC"/>
  <w16cid:commentId w16cid:paraId="2B972821" w16cid:durableId="2580299F"/>
  <w16cid:commentId w16cid:paraId="24662834" w16cid:durableId="25848408"/>
  <w16cid:commentId w16cid:paraId="22445AF2" w16cid:durableId="25806970"/>
  <w16cid:commentId w16cid:paraId="39723E3A" w16cid:durableId="25848550"/>
  <w16cid:commentId w16cid:paraId="766A9BE8" w16cid:durableId="25854B51"/>
  <w16cid:commentId w16cid:paraId="3915914D" w16cid:durableId="258184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CF25E" w14:textId="77777777" w:rsidR="00E361A1" w:rsidRDefault="00E361A1" w:rsidP="00F90AB5">
      <w:pPr>
        <w:spacing w:after="0" w:line="240" w:lineRule="auto"/>
      </w:pPr>
      <w:r>
        <w:separator/>
      </w:r>
    </w:p>
  </w:endnote>
  <w:endnote w:type="continuationSeparator" w:id="0">
    <w:p w14:paraId="67393DE3" w14:textId="77777777" w:rsidR="00E361A1" w:rsidRDefault="00E361A1" w:rsidP="00F90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BL Hebrew">
    <w:panose1 w:val="02000000000000000000"/>
    <w:charset w:val="00"/>
    <w:family w:val="auto"/>
    <w:pitch w:val="variable"/>
    <w:sig w:usb0="8000086F" w:usb1="4000204A"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3470F" w14:textId="77777777" w:rsidR="00E361A1" w:rsidRDefault="00E361A1" w:rsidP="00F90AB5">
      <w:pPr>
        <w:spacing w:after="0" w:line="240" w:lineRule="auto"/>
      </w:pPr>
      <w:r>
        <w:separator/>
      </w:r>
    </w:p>
  </w:footnote>
  <w:footnote w:type="continuationSeparator" w:id="0">
    <w:p w14:paraId="09EC6EBD" w14:textId="77777777" w:rsidR="00E361A1" w:rsidRDefault="00E361A1" w:rsidP="00F90AB5">
      <w:pPr>
        <w:spacing w:after="0" w:line="240" w:lineRule="auto"/>
      </w:pPr>
      <w:r>
        <w:continuationSeparator/>
      </w:r>
    </w:p>
  </w:footnote>
  <w:footnote w:id="1">
    <w:p w14:paraId="758DFBE2" w14:textId="5318C3E0" w:rsidR="00F90AB5" w:rsidRPr="00F90AB5" w:rsidRDefault="00F90AB5">
      <w:pPr>
        <w:pStyle w:val="FootnoteText"/>
        <w:rPr>
          <w:lang w:val="en-US"/>
        </w:rPr>
      </w:pPr>
      <w:r>
        <w:rPr>
          <w:rStyle w:val="FootnoteReference"/>
        </w:rPr>
        <w:footnoteRef/>
      </w:r>
      <w:r>
        <w:t xml:space="preserve"> </w:t>
      </w:r>
    </w:p>
  </w:footnote>
  <w:footnote w:id="2">
    <w:p w14:paraId="54AC77B9" w14:textId="16F97300" w:rsidR="00B213FB" w:rsidRPr="00B213FB" w:rsidRDefault="00B213FB">
      <w:pPr>
        <w:pStyle w:val="FootnoteText"/>
        <w:rPr>
          <w:lang w:val="en-US"/>
        </w:rPr>
      </w:pPr>
      <w:r>
        <w:rPr>
          <w:rStyle w:val="FootnoteReference"/>
        </w:rPr>
        <w:footnoteRef/>
      </w:r>
      <w:r>
        <w:t xml:space="preserve"> </w:t>
      </w:r>
    </w:p>
  </w:footnote>
  <w:footnote w:id="3">
    <w:p w14:paraId="6DCE131B" w14:textId="7EA9D98B" w:rsidR="00627F66" w:rsidRPr="00627F66" w:rsidRDefault="00627F66">
      <w:pPr>
        <w:pStyle w:val="FootnoteText"/>
        <w:rPr>
          <w:lang w:val="en-US"/>
        </w:rPr>
      </w:pPr>
      <w:r>
        <w:rPr>
          <w:rStyle w:val="FootnoteReference"/>
        </w:rPr>
        <w:footnoteRef/>
      </w:r>
      <w:r>
        <w:t xml:space="preserve"> </w:t>
      </w:r>
    </w:p>
  </w:footnote>
  <w:footnote w:id="4">
    <w:p w14:paraId="17C42C9A" w14:textId="1C8425BB" w:rsidR="00EA5473" w:rsidRPr="00EA5473" w:rsidRDefault="00EA5473">
      <w:pPr>
        <w:pStyle w:val="FootnoteText"/>
        <w:rPr>
          <w:lang w:val="en-US"/>
        </w:rPr>
      </w:pPr>
      <w:r>
        <w:rPr>
          <w:rStyle w:val="FootnoteReference"/>
        </w:rPr>
        <w:footnoteRef/>
      </w:r>
      <w:r>
        <w:t xml:space="preserve"> </w:t>
      </w:r>
    </w:p>
  </w:footnote>
  <w:footnote w:id="5">
    <w:p w14:paraId="76AA90F0" w14:textId="4726EBF5" w:rsidR="00DC4D20" w:rsidRPr="00DC4D20" w:rsidRDefault="00DC4D20">
      <w:pPr>
        <w:pStyle w:val="FootnoteText"/>
        <w:rPr>
          <w:lang w:val="en-US"/>
        </w:rPr>
      </w:pPr>
      <w:r>
        <w:rPr>
          <w:rStyle w:val="FootnoteReference"/>
        </w:rPr>
        <w:footnoteRef/>
      </w:r>
      <w:r>
        <w:t xml:space="preserve"> </w:t>
      </w:r>
    </w:p>
  </w:footnote>
  <w:footnote w:id="6">
    <w:p w14:paraId="0417796D" w14:textId="14F1795F" w:rsidR="00DC4D20" w:rsidRPr="00DC4D20" w:rsidRDefault="00DC4D20">
      <w:pPr>
        <w:pStyle w:val="FootnoteText"/>
        <w:rPr>
          <w:lang w:val="en-US"/>
        </w:rPr>
      </w:pPr>
      <w:r>
        <w:rPr>
          <w:rStyle w:val="FootnoteReference"/>
        </w:rPr>
        <w:footnoteRef/>
      </w:r>
      <w:r>
        <w:t xml:space="preserve"> </w:t>
      </w:r>
    </w:p>
  </w:footnote>
  <w:footnote w:id="7">
    <w:p w14:paraId="09FCC5AA" w14:textId="15CE4FD6" w:rsidR="00703E89" w:rsidRPr="00703E89" w:rsidRDefault="00703E89">
      <w:pPr>
        <w:pStyle w:val="FootnoteText"/>
        <w:rPr>
          <w:lang w:val="en-US"/>
        </w:rPr>
      </w:pPr>
      <w:r>
        <w:rPr>
          <w:rStyle w:val="FootnoteReference"/>
        </w:rPr>
        <w:footnoteRef/>
      </w:r>
      <w:r>
        <w:t xml:space="preserve"> </w:t>
      </w:r>
    </w:p>
  </w:footnote>
  <w:footnote w:id="8">
    <w:p w14:paraId="59DE437A" w14:textId="3AA9B193" w:rsidR="006A1C10" w:rsidRPr="006A1C10" w:rsidRDefault="006A1C10">
      <w:pPr>
        <w:pStyle w:val="FootnoteText"/>
        <w:rPr>
          <w:lang w:val="en-US"/>
        </w:rPr>
      </w:pPr>
      <w:r>
        <w:rPr>
          <w:rStyle w:val="FootnoteReference"/>
        </w:rPr>
        <w:footnoteRef/>
      </w:r>
      <w:r>
        <w:t xml:space="preserve"> </w:t>
      </w:r>
    </w:p>
  </w:footnote>
  <w:footnote w:id="9">
    <w:p w14:paraId="78F2CDAA" w14:textId="595156C9" w:rsidR="00E91D9F" w:rsidRPr="00E91D9F" w:rsidRDefault="00E91D9F">
      <w:pPr>
        <w:pStyle w:val="FootnoteText"/>
        <w:rPr>
          <w:lang w:val="en-US"/>
        </w:rPr>
      </w:pPr>
      <w:r>
        <w:rPr>
          <w:rStyle w:val="FootnoteReference"/>
        </w:rPr>
        <w:footnoteRef/>
      </w:r>
      <w:r>
        <w:t xml:space="preserve"> </w:t>
      </w:r>
    </w:p>
  </w:footnote>
  <w:footnote w:id="10">
    <w:p w14:paraId="2C443AEF" w14:textId="1B345A47" w:rsidR="00695487" w:rsidRPr="00695487" w:rsidRDefault="00695487">
      <w:pPr>
        <w:pStyle w:val="FootnoteText"/>
        <w:rPr>
          <w:lang w:val="en-US"/>
        </w:rPr>
      </w:pPr>
      <w:r>
        <w:rPr>
          <w:rStyle w:val="FootnoteReference"/>
        </w:rPr>
        <w:footnoteRef/>
      </w:r>
      <w:r>
        <w:t xml:space="preserve"> </w:t>
      </w:r>
    </w:p>
  </w:footnote>
  <w:footnote w:id="11">
    <w:p w14:paraId="2C0CEA1F" w14:textId="3CFAE1D4" w:rsidR="006B3672" w:rsidRPr="006B3672" w:rsidRDefault="006B3672">
      <w:pPr>
        <w:pStyle w:val="FootnoteText"/>
        <w:rPr>
          <w:lang w:val="en-US"/>
        </w:rPr>
      </w:pPr>
      <w:r>
        <w:rPr>
          <w:rStyle w:val="FootnoteReference"/>
        </w:rPr>
        <w:footnoteRef/>
      </w:r>
      <w:r>
        <w:t xml:space="preserve"> </w:t>
      </w:r>
    </w:p>
  </w:footnote>
  <w:footnote w:id="12">
    <w:p w14:paraId="66AAF323" w14:textId="4317ABE4" w:rsidR="0056248F" w:rsidRPr="0056248F" w:rsidRDefault="0056248F">
      <w:pPr>
        <w:pStyle w:val="FootnoteText"/>
        <w:rPr>
          <w:lang w:val="en-US"/>
        </w:rPr>
      </w:pPr>
      <w:r>
        <w:rPr>
          <w:rStyle w:val="FootnoteReference"/>
        </w:rPr>
        <w:footnoteRef/>
      </w:r>
      <w:r>
        <w:t xml:space="preserve"> </w:t>
      </w:r>
    </w:p>
  </w:footnote>
  <w:footnote w:id="13">
    <w:p w14:paraId="4635F491" w14:textId="1B8D6197" w:rsidR="00E50D40" w:rsidRPr="00E50D40" w:rsidRDefault="00E50D40">
      <w:pPr>
        <w:pStyle w:val="FootnoteText"/>
        <w:rPr>
          <w:lang w:val="en-US"/>
        </w:rPr>
      </w:pPr>
      <w:r>
        <w:rPr>
          <w:rStyle w:val="FootnoteReference"/>
        </w:rPr>
        <w:footnoteRef/>
      </w:r>
      <w:r>
        <w:t xml:space="preserve"> </w:t>
      </w:r>
    </w:p>
  </w:footnote>
  <w:footnote w:id="14">
    <w:p w14:paraId="2A3C8A57" w14:textId="1A20B4EE" w:rsidR="00910A36" w:rsidRPr="00910A36" w:rsidRDefault="00910A36">
      <w:pPr>
        <w:pStyle w:val="FootnoteText"/>
        <w:rPr>
          <w:lang w:val="en-US"/>
        </w:rPr>
      </w:pPr>
      <w:r>
        <w:rPr>
          <w:rStyle w:val="FootnoteReference"/>
        </w:rPr>
        <w:footnoteRef/>
      </w:r>
      <w:r>
        <w:t xml:space="preserve"> </w:t>
      </w:r>
    </w:p>
  </w:footnote>
  <w:footnote w:id="15">
    <w:p w14:paraId="2D5EB529" w14:textId="57C64C38" w:rsidR="001947B8" w:rsidRPr="001947B8" w:rsidRDefault="001947B8">
      <w:pPr>
        <w:pStyle w:val="FootnoteText"/>
        <w:rPr>
          <w:lang w:val="en-US"/>
        </w:rPr>
      </w:pPr>
      <w:r>
        <w:rPr>
          <w:rStyle w:val="FootnoteReference"/>
        </w:rPr>
        <w:footnoteRef/>
      </w:r>
      <w:r>
        <w:t xml:space="preserve"> </w:t>
      </w:r>
    </w:p>
  </w:footnote>
  <w:footnote w:id="16">
    <w:p w14:paraId="3D3C9A2C" w14:textId="0C468775" w:rsidR="00BA660A" w:rsidRPr="00BA660A" w:rsidRDefault="00BA660A">
      <w:pPr>
        <w:pStyle w:val="FootnoteText"/>
        <w:rPr>
          <w:lang w:val="en-US"/>
        </w:rPr>
      </w:pPr>
      <w:r>
        <w:rPr>
          <w:rStyle w:val="FootnoteReference"/>
        </w:rPr>
        <w:footnoteRef/>
      </w:r>
      <w:r>
        <w:t xml:space="preserve"> </w:t>
      </w:r>
    </w:p>
  </w:footnote>
  <w:footnote w:id="17">
    <w:p w14:paraId="4A68734E" w14:textId="7070D9D7" w:rsidR="00BA660A" w:rsidRPr="00BA660A" w:rsidRDefault="00BA660A">
      <w:pPr>
        <w:pStyle w:val="FootnoteText"/>
        <w:rPr>
          <w:lang w:val="en-US"/>
        </w:rPr>
      </w:pPr>
      <w:r>
        <w:rPr>
          <w:rStyle w:val="FootnoteReference"/>
        </w:rPr>
        <w:footnoteRef/>
      </w:r>
      <w:r>
        <w:t xml:space="preserve"> </w:t>
      </w:r>
    </w:p>
  </w:footnote>
  <w:footnote w:id="18">
    <w:p w14:paraId="61A6E188" w14:textId="25A96811" w:rsidR="0027131D" w:rsidRPr="0027131D" w:rsidRDefault="0027131D">
      <w:pPr>
        <w:pStyle w:val="FootnoteText"/>
        <w:rPr>
          <w:lang w:val="en-US"/>
        </w:rPr>
      </w:pPr>
      <w:r>
        <w:rPr>
          <w:rStyle w:val="FootnoteReference"/>
        </w:rPr>
        <w:footnoteRef/>
      </w:r>
      <w:r>
        <w:t xml:space="preserve"> </w:t>
      </w:r>
    </w:p>
  </w:footnote>
  <w:footnote w:id="19">
    <w:p w14:paraId="4E825185" w14:textId="1B0105C5" w:rsidR="0027131D" w:rsidRPr="0027131D" w:rsidRDefault="0027131D">
      <w:pPr>
        <w:pStyle w:val="FootnoteText"/>
        <w:rPr>
          <w:lang w:val="en-US"/>
        </w:rPr>
      </w:pPr>
      <w:r>
        <w:rPr>
          <w:rStyle w:val="FootnoteReference"/>
        </w:rPr>
        <w:footnoteRef/>
      </w:r>
      <w:r>
        <w:t xml:space="preserve"> </w:t>
      </w:r>
    </w:p>
  </w:footnote>
  <w:footnote w:id="20">
    <w:p w14:paraId="69399D8F" w14:textId="57C401C0" w:rsidR="00A43B05" w:rsidRPr="00A43B05" w:rsidRDefault="00A43B05">
      <w:pPr>
        <w:pStyle w:val="FootnoteText"/>
        <w:rPr>
          <w:lang w:val="en-US"/>
        </w:rPr>
      </w:pPr>
      <w:r>
        <w:rPr>
          <w:rStyle w:val="FootnoteReference"/>
        </w:rPr>
        <w:footnoteRef/>
      </w:r>
      <w:r>
        <w:t xml:space="preserve"> </w:t>
      </w:r>
    </w:p>
  </w:footnote>
  <w:footnote w:id="21">
    <w:p w14:paraId="09E7F6C7" w14:textId="5C38414E" w:rsidR="00D969E6" w:rsidRPr="00D969E6" w:rsidRDefault="00D969E6">
      <w:pPr>
        <w:pStyle w:val="FootnoteText"/>
        <w:rPr>
          <w:lang w:val="en-US"/>
        </w:rPr>
      </w:pPr>
      <w:r>
        <w:rPr>
          <w:rStyle w:val="FootnoteReference"/>
        </w:rPr>
        <w:footnoteRef/>
      </w:r>
      <w:r>
        <w:t xml:space="preserve"> </w:t>
      </w:r>
    </w:p>
  </w:footnote>
  <w:footnote w:id="22">
    <w:p w14:paraId="47B84655" w14:textId="53AAA8CF" w:rsidR="00C6375F" w:rsidRPr="00C6375F" w:rsidRDefault="00C6375F">
      <w:pPr>
        <w:pStyle w:val="FootnoteText"/>
        <w:rPr>
          <w:lang w:val="en-US"/>
        </w:rPr>
      </w:pPr>
      <w:r>
        <w:rPr>
          <w:rStyle w:val="FootnoteReference"/>
        </w:rPr>
        <w:footnoteRef/>
      </w:r>
      <w:r>
        <w:t xml:space="preserve"> </w:t>
      </w:r>
    </w:p>
  </w:footnote>
  <w:footnote w:id="23">
    <w:p w14:paraId="40AE4F28" w14:textId="20276927" w:rsidR="00D969E6" w:rsidRDefault="00D969E6" w:rsidP="00D969E6">
      <w:pPr>
        <w:pStyle w:val="FootnoteText"/>
        <w:spacing w:line="360" w:lineRule="auto"/>
        <w:rPr>
          <w:rtl/>
        </w:rPr>
      </w:pPr>
      <w:r>
        <w:rPr>
          <w:rStyle w:val="FootnoteReference"/>
        </w:rPr>
        <w:footnoteRef/>
      </w:r>
      <w:r>
        <w:rPr>
          <w:rtl/>
        </w:rPr>
        <w:t xml:space="preserve"> </w:t>
      </w:r>
    </w:p>
  </w:footnote>
  <w:footnote w:id="24">
    <w:p w14:paraId="7A1F8260" w14:textId="77777777" w:rsidR="00D969E6" w:rsidRDefault="00D969E6" w:rsidP="00D969E6">
      <w:pPr>
        <w:pStyle w:val="FootnoteText"/>
        <w:rPr>
          <w:rtl/>
        </w:rPr>
      </w:pPr>
      <w:r>
        <w:rPr>
          <w:rStyle w:val="FootnoteReference"/>
        </w:rPr>
        <w:footnoteRef/>
      </w:r>
      <w:r>
        <w:rPr>
          <w:rtl/>
        </w:rPr>
        <w:t xml:space="preserve"> </w:t>
      </w:r>
    </w:p>
  </w:footnote>
  <w:footnote w:id="25">
    <w:p w14:paraId="25D99CB4" w14:textId="77777777" w:rsidR="00D969E6" w:rsidRPr="00FD2C5F" w:rsidRDefault="00D969E6" w:rsidP="00D969E6">
      <w:pPr>
        <w:pStyle w:val="FootnoteText"/>
        <w:spacing w:line="360" w:lineRule="auto"/>
        <w:rPr>
          <w:rtl/>
        </w:rPr>
      </w:pPr>
    </w:p>
  </w:footnote>
  <w:footnote w:id="26">
    <w:p w14:paraId="285D7ABC" w14:textId="77777777" w:rsidR="00D969E6" w:rsidRPr="00FD2C5F" w:rsidRDefault="00D969E6" w:rsidP="00D969E6">
      <w:pPr>
        <w:pStyle w:val="FootnoteText"/>
        <w:spacing w:line="360" w:lineRule="auto"/>
        <w:rPr>
          <w:rtl/>
        </w:rPr>
      </w:pPr>
      <w:r w:rsidRPr="00FD2C5F">
        <w:rPr>
          <w:rStyle w:val="FootnoteReference"/>
        </w:rPr>
        <w:footnoteRef/>
      </w:r>
      <w:r w:rsidRPr="00FD2C5F">
        <w:t xml:space="preserve"> </w:t>
      </w:r>
    </w:p>
  </w:footnote>
  <w:footnote w:id="27">
    <w:p w14:paraId="253A53DE" w14:textId="77777777" w:rsidR="00D969E6" w:rsidRPr="00FD2C5F" w:rsidRDefault="00D969E6" w:rsidP="00D969E6">
      <w:pPr>
        <w:pStyle w:val="FootnoteText"/>
        <w:spacing w:line="360" w:lineRule="auto"/>
        <w:rPr>
          <w:rtl/>
        </w:rPr>
      </w:pPr>
      <w:r w:rsidRPr="00FD2C5F">
        <w:rPr>
          <w:rStyle w:val="FootnoteReference"/>
        </w:rPr>
        <w:footnoteRef/>
      </w:r>
      <w:r w:rsidRPr="00FD2C5F">
        <w:t xml:space="preserve"> </w:t>
      </w:r>
    </w:p>
  </w:footnote>
  <w:footnote w:id="28">
    <w:p w14:paraId="49B02FC2" w14:textId="77777777" w:rsidR="00D969E6" w:rsidRPr="00FD2C5F" w:rsidRDefault="00D969E6" w:rsidP="00D969E6">
      <w:pPr>
        <w:pStyle w:val="FootnoteText"/>
        <w:spacing w:line="360" w:lineRule="auto"/>
        <w:rPr>
          <w:rtl/>
        </w:rPr>
      </w:pPr>
      <w:r w:rsidRPr="00FD2C5F">
        <w:rPr>
          <w:rStyle w:val="FootnoteReference"/>
        </w:rPr>
        <w:footnoteRef/>
      </w:r>
      <w:r w:rsidRPr="00FD2C5F">
        <w:t xml:space="preserve"> </w:t>
      </w:r>
    </w:p>
  </w:footnote>
  <w:footnote w:id="29">
    <w:p w14:paraId="07250397" w14:textId="77777777" w:rsidR="00D969E6" w:rsidRPr="00FD2C5F" w:rsidRDefault="00D969E6" w:rsidP="00D969E6">
      <w:pPr>
        <w:pStyle w:val="FootnoteText"/>
        <w:spacing w:line="360" w:lineRule="auto"/>
        <w:rPr>
          <w:rtl/>
        </w:rPr>
      </w:pPr>
      <w:r w:rsidRPr="00FD2C5F">
        <w:rPr>
          <w:rStyle w:val="FootnoteReference"/>
        </w:rPr>
        <w:footnoteRef/>
      </w:r>
      <w:r>
        <w:t xml:space="preserve"> </w:t>
      </w:r>
    </w:p>
  </w:footnote>
  <w:footnote w:id="30">
    <w:p w14:paraId="320770BA" w14:textId="77777777" w:rsidR="00D969E6" w:rsidRDefault="00D969E6" w:rsidP="00D969E6">
      <w:pPr>
        <w:pStyle w:val="FootnoteText"/>
        <w:spacing w:line="360" w:lineRule="auto"/>
        <w:rPr>
          <w:rtl/>
        </w:rPr>
      </w:pPr>
      <w:r>
        <w:rPr>
          <w:rStyle w:val="FootnoteReference"/>
        </w:rPr>
        <w:footnoteRef/>
      </w:r>
      <w:r>
        <w:rPr>
          <w:rtl/>
        </w:rPr>
        <w:t xml:space="preserve"> </w:t>
      </w:r>
    </w:p>
  </w:footnote>
  <w:footnote w:id="31">
    <w:p w14:paraId="627C643D" w14:textId="77777777" w:rsidR="00D969E6" w:rsidRPr="00FD2C5F" w:rsidRDefault="00D969E6" w:rsidP="00D969E6">
      <w:pPr>
        <w:pStyle w:val="FootnoteText"/>
        <w:spacing w:line="360" w:lineRule="auto"/>
        <w:rPr>
          <w:rtl/>
        </w:rPr>
      </w:pPr>
      <w:r w:rsidRPr="00FD2C5F">
        <w:rPr>
          <w:rStyle w:val="FootnoteReference"/>
        </w:rPr>
        <w:footnoteRef/>
      </w:r>
      <w:r w:rsidRPr="00FD2C5F">
        <w:t xml:space="preserve"> </w:t>
      </w:r>
    </w:p>
  </w:footnote>
  <w:footnote w:id="32">
    <w:p w14:paraId="591E5BBD" w14:textId="77777777" w:rsidR="00D969E6" w:rsidRPr="00FD2C5F" w:rsidRDefault="00D969E6" w:rsidP="00D969E6">
      <w:pPr>
        <w:pStyle w:val="FootnoteText"/>
        <w:spacing w:line="360" w:lineRule="auto"/>
      </w:pPr>
      <w:r w:rsidRPr="00FD2C5F">
        <w:rPr>
          <w:rStyle w:val="FootnoteReference"/>
        </w:rPr>
        <w:footnoteRef/>
      </w:r>
      <w:r w:rsidRPr="00FD2C5F">
        <w:t xml:space="preserve"> </w:t>
      </w:r>
    </w:p>
  </w:footnote>
  <w:footnote w:id="33">
    <w:p w14:paraId="7CB24ADB" w14:textId="77777777" w:rsidR="00D969E6" w:rsidRPr="00FD2C5F" w:rsidRDefault="00D969E6" w:rsidP="00D969E6">
      <w:pPr>
        <w:pStyle w:val="FootnoteText"/>
        <w:spacing w:line="360" w:lineRule="auto"/>
        <w:rPr>
          <w:rtl/>
        </w:rPr>
      </w:pPr>
      <w:r w:rsidRPr="00FD2C5F">
        <w:rPr>
          <w:rStyle w:val="FootnoteReference"/>
        </w:rPr>
        <w:footnoteRef/>
      </w:r>
      <w:r w:rsidRPr="00FD2C5F">
        <w:t xml:space="preserve"> </w:t>
      </w:r>
    </w:p>
  </w:footnote>
  <w:footnote w:id="34">
    <w:p w14:paraId="5EEEB4A9" w14:textId="77777777" w:rsidR="00D969E6" w:rsidRPr="00FD2C5F" w:rsidRDefault="00D969E6" w:rsidP="00D969E6">
      <w:pPr>
        <w:pStyle w:val="FootnoteText"/>
        <w:spacing w:line="360" w:lineRule="auto"/>
        <w:rPr>
          <w:rtl/>
        </w:rPr>
      </w:pPr>
      <w:r w:rsidRPr="00FD2C5F">
        <w:rPr>
          <w:rStyle w:val="FootnoteReference"/>
        </w:rPr>
        <w:footnoteRef/>
      </w:r>
      <w:r w:rsidRPr="00FD2C5F">
        <w:t xml:space="preserve"> </w:t>
      </w:r>
    </w:p>
  </w:footnote>
  <w:footnote w:id="35">
    <w:p w14:paraId="0695900A" w14:textId="77777777" w:rsidR="00D969E6" w:rsidRPr="00FD2C5F" w:rsidRDefault="00D969E6" w:rsidP="00D969E6">
      <w:pPr>
        <w:pStyle w:val="FootnoteText"/>
        <w:spacing w:line="360" w:lineRule="auto"/>
        <w:rPr>
          <w:rtl/>
        </w:rPr>
      </w:pPr>
      <w:r w:rsidRPr="00FD2C5F">
        <w:rPr>
          <w:rStyle w:val="FootnoteReference"/>
        </w:rPr>
        <w:footnoteRef/>
      </w:r>
      <w:r w:rsidRPr="00FD2C5F">
        <w:rPr>
          <w:rFonts w:ascii="SBL Hebrew" w:hAnsi="SBL Hebrew"/>
        </w:rPr>
        <w:t xml:space="preserve"> </w:t>
      </w:r>
    </w:p>
  </w:footnote>
  <w:footnote w:id="36">
    <w:p w14:paraId="32C37E8A" w14:textId="77777777" w:rsidR="00D969E6" w:rsidRPr="00FD2C5F" w:rsidRDefault="00D969E6" w:rsidP="00D969E6">
      <w:pPr>
        <w:pStyle w:val="FootnoteText"/>
        <w:spacing w:line="360" w:lineRule="auto"/>
        <w:rPr>
          <w:rtl/>
        </w:rPr>
      </w:pPr>
      <w:r w:rsidRPr="00FD2C5F">
        <w:rPr>
          <w:rStyle w:val="FootnoteReference"/>
        </w:rPr>
        <w:footnoteRef/>
      </w:r>
    </w:p>
  </w:footnote>
  <w:footnote w:id="37">
    <w:p w14:paraId="10DA42BC" w14:textId="77777777" w:rsidR="00D969E6" w:rsidRPr="00FD2C5F" w:rsidRDefault="00D969E6" w:rsidP="00D969E6">
      <w:pPr>
        <w:pStyle w:val="FootnoteText"/>
        <w:spacing w:line="360" w:lineRule="auto"/>
        <w:rPr>
          <w:rtl/>
        </w:rPr>
      </w:pPr>
      <w:r w:rsidRPr="00FD2C5F">
        <w:rPr>
          <w:rStyle w:val="FootnoteReference"/>
        </w:rPr>
        <w:footnoteRef/>
      </w:r>
      <w:r w:rsidRPr="00FD2C5F">
        <w:t xml:space="preserve"> </w:t>
      </w:r>
    </w:p>
  </w:footnote>
  <w:footnote w:id="38">
    <w:p w14:paraId="203EEE88" w14:textId="77777777" w:rsidR="00D969E6" w:rsidRPr="00FD2C5F" w:rsidRDefault="00D969E6" w:rsidP="00D969E6">
      <w:pPr>
        <w:pStyle w:val="FootnoteText"/>
        <w:spacing w:line="360" w:lineRule="auto"/>
        <w:rPr>
          <w:rtl/>
        </w:rPr>
      </w:pPr>
      <w:r w:rsidRPr="00FD2C5F">
        <w:rPr>
          <w:rStyle w:val="FootnoteReference"/>
        </w:rPr>
        <w:footnoteRef/>
      </w:r>
    </w:p>
  </w:footnote>
  <w:footnote w:id="39">
    <w:p w14:paraId="29518EC8" w14:textId="77777777" w:rsidR="00D969E6" w:rsidRPr="00FD2C5F" w:rsidRDefault="00D969E6" w:rsidP="00D969E6">
      <w:pPr>
        <w:pStyle w:val="FootnoteText"/>
        <w:spacing w:line="360" w:lineRule="auto"/>
      </w:pPr>
      <w:r w:rsidRPr="00FD2C5F">
        <w:rPr>
          <w:rStyle w:val="FootnoteReference"/>
        </w:rPr>
        <w:footnoteRef/>
      </w:r>
      <w:r w:rsidRPr="00FD2C5F">
        <w:t xml:space="preserve"> </w:t>
      </w:r>
    </w:p>
  </w:footnote>
  <w:footnote w:id="40">
    <w:p w14:paraId="38DF4B0D" w14:textId="77777777" w:rsidR="00D969E6" w:rsidRPr="00FD2C5F" w:rsidRDefault="00D969E6" w:rsidP="00D969E6">
      <w:pPr>
        <w:pStyle w:val="FootnoteText"/>
        <w:spacing w:line="360" w:lineRule="auto"/>
        <w:rPr>
          <w:rtl/>
        </w:rPr>
      </w:pPr>
      <w:r w:rsidRPr="00FD2C5F">
        <w:rPr>
          <w:rStyle w:val="FootnoteReference"/>
        </w:rPr>
        <w:footnoteRef/>
      </w:r>
    </w:p>
  </w:footnote>
  <w:footnote w:id="41">
    <w:p w14:paraId="19C4F8DC" w14:textId="7440AA47" w:rsidR="00F07F9B" w:rsidRPr="00F07F9B" w:rsidRDefault="00F07F9B">
      <w:pPr>
        <w:pStyle w:val="FootnoteText"/>
        <w:rPr>
          <w:lang w:val="en-US"/>
        </w:rPr>
      </w:pPr>
      <w:r>
        <w:rPr>
          <w:rStyle w:val="FootnoteReference"/>
        </w:rPr>
        <w:footnoteRef/>
      </w:r>
      <w:r>
        <w:t xml:space="preserve"> </w:t>
      </w:r>
    </w:p>
  </w:footnote>
  <w:footnote w:id="42">
    <w:p w14:paraId="49A53278" w14:textId="1D766F0E" w:rsidR="00F63A13" w:rsidRPr="00F63A13" w:rsidRDefault="00F63A13">
      <w:pPr>
        <w:pStyle w:val="FootnoteText"/>
        <w:rPr>
          <w:lang w:val="en-US"/>
        </w:rPr>
      </w:pPr>
      <w:r>
        <w:rPr>
          <w:rStyle w:val="FootnoteReference"/>
        </w:rPr>
        <w:footnoteRef/>
      </w:r>
      <w:r>
        <w:t xml:space="preserve"> </w:t>
      </w:r>
    </w:p>
  </w:footnote>
  <w:footnote w:id="43">
    <w:p w14:paraId="3EA5DBD3" w14:textId="19C6180E" w:rsidR="00F71000" w:rsidRPr="00F71000" w:rsidRDefault="00F71000">
      <w:pPr>
        <w:pStyle w:val="FootnoteText"/>
        <w:rPr>
          <w:lang w:val="en-US"/>
        </w:rPr>
      </w:pPr>
      <w:r>
        <w:rPr>
          <w:rStyle w:val="FootnoteReference"/>
        </w:rPr>
        <w:footnoteRef/>
      </w:r>
      <w:r>
        <w:t xml:space="preserve"> </w:t>
      </w:r>
    </w:p>
  </w:footnote>
  <w:footnote w:id="44">
    <w:p w14:paraId="40E8B59A" w14:textId="77777777" w:rsidR="00F71000" w:rsidRPr="00FD2C5F" w:rsidRDefault="00F71000" w:rsidP="00F71000">
      <w:pPr>
        <w:pStyle w:val="FootnoteText"/>
        <w:spacing w:line="360" w:lineRule="auto"/>
        <w:rPr>
          <w:rtl/>
        </w:rPr>
      </w:pPr>
      <w:r w:rsidRPr="00FD2C5F">
        <w:rPr>
          <w:rStyle w:val="FootnoteReference"/>
        </w:rPr>
        <w:footnoteRef/>
      </w:r>
      <w:r w:rsidRPr="00FD2C5F">
        <w:t xml:space="preserve"> </w:t>
      </w:r>
    </w:p>
  </w:footnote>
  <w:footnote w:id="45">
    <w:p w14:paraId="224B2D51" w14:textId="77777777" w:rsidR="00457FE4" w:rsidRPr="00FD2C5F" w:rsidRDefault="00457FE4" w:rsidP="00457FE4">
      <w:pPr>
        <w:pStyle w:val="FootnoteText"/>
        <w:spacing w:line="360" w:lineRule="auto"/>
        <w:rPr>
          <w:rtl/>
        </w:rPr>
      </w:pPr>
      <w:r w:rsidRPr="00FD2C5F">
        <w:rPr>
          <w:rStyle w:val="FootnoteReference"/>
        </w:rPr>
        <w:footnoteRef/>
      </w:r>
      <w:r w:rsidRPr="00FD2C5F">
        <w:t xml:space="preserve"> </w:t>
      </w:r>
    </w:p>
  </w:footnote>
  <w:footnote w:id="46">
    <w:p w14:paraId="39165212" w14:textId="77777777" w:rsidR="00457FE4" w:rsidRPr="00FD2C5F" w:rsidRDefault="00457FE4" w:rsidP="00457FE4">
      <w:pPr>
        <w:pStyle w:val="FootnoteText"/>
        <w:spacing w:line="360" w:lineRule="auto"/>
        <w:rPr>
          <w:rtl/>
        </w:rPr>
      </w:pPr>
      <w:r w:rsidRPr="00FD2C5F">
        <w:rPr>
          <w:rStyle w:val="FootnoteReference"/>
        </w:rPr>
        <w:footnoteRef/>
      </w:r>
      <w:r w:rsidRPr="00FD2C5F">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AD5220"/>
    <w:multiLevelType w:val="hybridMultilevel"/>
    <w:tmpl w:val="FD1CD9E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ilshelnava@gmail.com">
    <w15:presenceInfo w15:providerId="Windows Live" w15:userId="715df37715c889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1"/>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0NTA2NTA0Nzc2MzJX0lEKTi0uzszPAykwrAUAUzIkQSwAAAA="/>
  </w:docVars>
  <w:rsids>
    <w:rsidRoot w:val="00982627"/>
    <w:rsid w:val="000118DC"/>
    <w:rsid w:val="00013470"/>
    <w:rsid w:val="0002789D"/>
    <w:rsid w:val="00072D7A"/>
    <w:rsid w:val="0008502A"/>
    <w:rsid w:val="000A27F0"/>
    <w:rsid w:val="000B2F77"/>
    <w:rsid w:val="000D575F"/>
    <w:rsid w:val="000E46AB"/>
    <w:rsid w:val="00107E12"/>
    <w:rsid w:val="001334A3"/>
    <w:rsid w:val="0014153F"/>
    <w:rsid w:val="00145068"/>
    <w:rsid w:val="00145FAF"/>
    <w:rsid w:val="00162858"/>
    <w:rsid w:val="001947B8"/>
    <w:rsid w:val="001F02B1"/>
    <w:rsid w:val="00200A7E"/>
    <w:rsid w:val="00246DE6"/>
    <w:rsid w:val="002472BB"/>
    <w:rsid w:val="002554E6"/>
    <w:rsid w:val="002647D2"/>
    <w:rsid w:val="0026657B"/>
    <w:rsid w:val="0027131D"/>
    <w:rsid w:val="00297AFC"/>
    <w:rsid w:val="002B008A"/>
    <w:rsid w:val="0030710E"/>
    <w:rsid w:val="00320DEA"/>
    <w:rsid w:val="00335B9E"/>
    <w:rsid w:val="0033762E"/>
    <w:rsid w:val="00352EB4"/>
    <w:rsid w:val="00363EA2"/>
    <w:rsid w:val="00397A89"/>
    <w:rsid w:val="003A68FA"/>
    <w:rsid w:val="003C1ECC"/>
    <w:rsid w:val="003D1700"/>
    <w:rsid w:val="003E003F"/>
    <w:rsid w:val="003F362B"/>
    <w:rsid w:val="00416AF9"/>
    <w:rsid w:val="00432288"/>
    <w:rsid w:val="00442682"/>
    <w:rsid w:val="00451B72"/>
    <w:rsid w:val="00457FE4"/>
    <w:rsid w:val="0048148E"/>
    <w:rsid w:val="00486499"/>
    <w:rsid w:val="004C4D4B"/>
    <w:rsid w:val="004D6854"/>
    <w:rsid w:val="004F50FE"/>
    <w:rsid w:val="00535C68"/>
    <w:rsid w:val="005521FF"/>
    <w:rsid w:val="0056248F"/>
    <w:rsid w:val="00584BEE"/>
    <w:rsid w:val="005B551E"/>
    <w:rsid w:val="005C0ACD"/>
    <w:rsid w:val="005D43AE"/>
    <w:rsid w:val="005F03C7"/>
    <w:rsid w:val="006057CE"/>
    <w:rsid w:val="00606E39"/>
    <w:rsid w:val="00624C6A"/>
    <w:rsid w:val="00626123"/>
    <w:rsid w:val="00627F66"/>
    <w:rsid w:val="00631AB5"/>
    <w:rsid w:val="0065419C"/>
    <w:rsid w:val="00654768"/>
    <w:rsid w:val="00657D85"/>
    <w:rsid w:val="006672F2"/>
    <w:rsid w:val="00677C2E"/>
    <w:rsid w:val="00691F9C"/>
    <w:rsid w:val="00695487"/>
    <w:rsid w:val="006A1C10"/>
    <w:rsid w:val="006A7692"/>
    <w:rsid w:val="006B3672"/>
    <w:rsid w:val="006C7954"/>
    <w:rsid w:val="006F428D"/>
    <w:rsid w:val="00703E89"/>
    <w:rsid w:val="00706ACC"/>
    <w:rsid w:val="00756D82"/>
    <w:rsid w:val="00787E5B"/>
    <w:rsid w:val="007B64F8"/>
    <w:rsid w:val="007E189B"/>
    <w:rsid w:val="008103D8"/>
    <w:rsid w:val="00832249"/>
    <w:rsid w:val="008420F1"/>
    <w:rsid w:val="008511FE"/>
    <w:rsid w:val="00864130"/>
    <w:rsid w:val="00880757"/>
    <w:rsid w:val="00890BDA"/>
    <w:rsid w:val="008A4262"/>
    <w:rsid w:val="008D692A"/>
    <w:rsid w:val="008E4DB2"/>
    <w:rsid w:val="008F54C7"/>
    <w:rsid w:val="00910A36"/>
    <w:rsid w:val="00962B83"/>
    <w:rsid w:val="00982627"/>
    <w:rsid w:val="00982A97"/>
    <w:rsid w:val="0098596A"/>
    <w:rsid w:val="009B5527"/>
    <w:rsid w:val="009D0BA7"/>
    <w:rsid w:val="009D47C3"/>
    <w:rsid w:val="009D4FC5"/>
    <w:rsid w:val="009E31F3"/>
    <w:rsid w:val="00A02653"/>
    <w:rsid w:val="00A34BF6"/>
    <w:rsid w:val="00A43B05"/>
    <w:rsid w:val="00A513F6"/>
    <w:rsid w:val="00A53600"/>
    <w:rsid w:val="00A66C6D"/>
    <w:rsid w:val="00AD47B5"/>
    <w:rsid w:val="00AD671F"/>
    <w:rsid w:val="00B06FD8"/>
    <w:rsid w:val="00B213FB"/>
    <w:rsid w:val="00B2273E"/>
    <w:rsid w:val="00B70F6D"/>
    <w:rsid w:val="00B764B1"/>
    <w:rsid w:val="00B873C4"/>
    <w:rsid w:val="00B92112"/>
    <w:rsid w:val="00BA660A"/>
    <w:rsid w:val="00BF608C"/>
    <w:rsid w:val="00BF617C"/>
    <w:rsid w:val="00C23881"/>
    <w:rsid w:val="00C6375F"/>
    <w:rsid w:val="00CA6188"/>
    <w:rsid w:val="00CD1893"/>
    <w:rsid w:val="00CF31C0"/>
    <w:rsid w:val="00D134CF"/>
    <w:rsid w:val="00D13AF7"/>
    <w:rsid w:val="00D17FB6"/>
    <w:rsid w:val="00D44FCC"/>
    <w:rsid w:val="00D71F74"/>
    <w:rsid w:val="00D969E6"/>
    <w:rsid w:val="00DC4D20"/>
    <w:rsid w:val="00DF1D45"/>
    <w:rsid w:val="00E03454"/>
    <w:rsid w:val="00E111AF"/>
    <w:rsid w:val="00E121BE"/>
    <w:rsid w:val="00E361A1"/>
    <w:rsid w:val="00E43EAC"/>
    <w:rsid w:val="00E50D40"/>
    <w:rsid w:val="00E51C60"/>
    <w:rsid w:val="00E91D9F"/>
    <w:rsid w:val="00EA5473"/>
    <w:rsid w:val="00F07F9B"/>
    <w:rsid w:val="00F52D6A"/>
    <w:rsid w:val="00F63A13"/>
    <w:rsid w:val="00F71000"/>
    <w:rsid w:val="00F90AB5"/>
    <w:rsid w:val="00FB3A1C"/>
    <w:rsid w:val="00FC517D"/>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18F3B"/>
  <w15:chartTrackingRefBased/>
  <w15:docId w15:val="{B3EBF2FB-6667-468C-88DA-019E28349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50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90A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0AB5"/>
    <w:rPr>
      <w:sz w:val="20"/>
      <w:szCs w:val="20"/>
    </w:rPr>
  </w:style>
  <w:style w:type="character" w:styleId="FootnoteReference">
    <w:name w:val="footnote reference"/>
    <w:basedOn w:val="DefaultParagraphFont"/>
    <w:uiPriority w:val="99"/>
    <w:semiHidden/>
    <w:unhideWhenUsed/>
    <w:rsid w:val="00F90AB5"/>
    <w:rPr>
      <w:vertAlign w:val="superscript"/>
    </w:rPr>
  </w:style>
  <w:style w:type="paragraph" w:styleId="ListParagraph">
    <w:name w:val="List Paragraph"/>
    <w:basedOn w:val="Normal"/>
    <w:uiPriority w:val="34"/>
    <w:qFormat/>
    <w:rsid w:val="00EA5473"/>
    <w:pPr>
      <w:ind w:left="720"/>
      <w:contextualSpacing/>
    </w:pPr>
  </w:style>
  <w:style w:type="character" w:styleId="CommentReference">
    <w:name w:val="annotation reference"/>
    <w:basedOn w:val="DefaultParagraphFont"/>
    <w:uiPriority w:val="99"/>
    <w:semiHidden/>
    <w:unhideWhenUsed/>
    <w:rsid w:val="000B2F77"/>
    <w:rPr>
      <w:sz w:val="16"/>
      <w:szCs w:val="16"/>
    </w:rPr>
  </w:style>
  <w:style w:type="paragraph" w:styleId="CommentText">
    <w:name w:val="annotation text"/>
    <w:basedOn w:val="Normal"/>
    <w:link w:val="CommentTextChar"/>
    <w:uiPriority w:val="99"/>
    <w:unhideWhenUsed/>
    <w:rsid w:val="000B2F77"/>
    <w:pPr>
      <w:spacing w:line="240" w:lineRule="auto"/>
    </w:pPr>
    <w:rPr>
      <w:sz w:val="20"/>
      <w:szCs w:val="20"/>
    </w:rPr>
  </w:style>
  <w:style w:type="character" w:customStyle="1" w:styleId="CommentTextChar">
    <w:name w:val="Comment Text Char"/>
    <w:basedOn w:val="DefaultParagraphFont"/>
    <w:link w:val="CommentText"/>
    <w:uiPriority w:val="99"/>
    <w:rsid w:val="000B2F77"/>
    <w:rPr>
      <w:sz w:val="20"/>
      <w:szCs w:val="20"/>
    </w:rPr>
  </w:style>
  <w:style w:type="paragraph" w:styleId="CommentSubject">
    <w:name w:val="annotation subject"/>
    <w:basedOn w:val="CommentText"/>
    <w:next w:val="CommentText"/>
    <w:link w:val="CommentSubjectChar"/>
    <w:uiPriority w:val="99"/>
    <w:semiHidden/>
    <w:unhideWhenUsed/>
    <w:rsid w:val="000B2F77"/>
    <w:rPr>
      <w:b/>
      <w:bCs/>
    </w:rPr>
  </w:style>
  <w:style w:type="character" w:customStyle="1" w:styleId="CommentSubjectChar">
    <w:name w:val="Comment Subject Char"/>
    <w:basedOn w:val="CommentTextChar"/>
    <w:link w:val="CommentSubject"/>
    <w:uiPriority w:val="99"/>
    <w:semiHidden/>
    <w:rsid w:val="000B2F77"/>
    <w:rPr>
      <w:b/>
      <w:bCs/>
      <w:sz w:val="20"/>
      <w:szCs w:val="20"/>
    </w:rPr>
  </w:style>
  <w:style w:type="character" w:customStyle="1" w:styleId="Heading1Char">
    <w:name w:val="Heading 1 Char"/>
    <w:basedOn w:val="DefaultParagraphFont"/>
    <w:link w:val="Heading1"/>
    <w:uiPriority w:val="9"/>
    <w:rsid w:val="004F50F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3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F102D-9705-4FE9-BAE2-2B176A58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3809</TotalTime>
  <Pages>15</Pages>
  <Words>5506</Words>
  <Characters>31389</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mailshelnava@gmail.com</dc:creator>
  <cp:keywords/>
  <dc:description/>
  <cp:lastModifiedBy>Josh Amaru</cp:lastModifiedBy>
  <cp:revision>66</cp:revision>
  <dcterms:created xsi:type="dcterms:W3CDTF">2022-01-04T16:06:00Z</dcterms:created>
  <dcterms:modified xsi:type="dcterms:W3CDTF">2022-01-20T19:32:00Z</dcterms:modified>
</cp:coreProperties>
</file>