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999D" w14:textId="749F8856" w:rsidR="004D1A9C" w:rsidRPr="004D1A9C" w:rsidRDefault="004D1A9C" w:rsidP="00F31A5F">
      <w:pPr>
        <w:spacing w:line="240" w:lineRule="auto"/>
        <w:contextualSpacing/>
        <w:jc w:val="center"/>
        <w:rPr>
          <w:rFonts w:ascii="David" w:hAnsi="David" w:cs="David"/>
          <w:b/>
          <w:bCs/>
          <w:color w:val="000000" w:themeColor="text1"/>
          <w:sz w:val="24"/>
          <w:szCs w:val="24"/>
          <w:rtl/>
        </w:rPr>
      </w:pPr>
      <w:r w:rsidRPr="004D1A9C">
        <w:rPr>
          <w:rFonts w:ascii="David" w:hAnsi="David" w:cs="David"/>
          <w:b/>
          <w:bCs/>
          <w:color w:val="000000" w:themeColor="text1"/>
          <w:sz w:val="24"/>
          <w:szCs w:val="24"/>
          <w:rtl/>
        </w:rPr>
        <w:t>בזכות המבוכה ובגנות הטיח</w:t>
      </w:r>
    </w:p>
    <w:p w14:paraId="399990FC" w14:textId="77777777" w:rsidR="0017441A" w:rsidRDefault="0017441A" w:rsidP="004D1A9C">
      <w:pPr>
        <w:spacing w:line="240" w:lineRule="auto"/>
        <w:contextualSpacing/>
        <w:jc w:val="center"/>
        <w:rPr>
          <w:rFonts w:ascii="David" w:hAnsi="David" w:cs="David"/>
          <w:color w:val="000000" w:themeColor="text1"/>
          <w:sz w:val="24"/>
          <w:szCs w:val="24"/>
        </w:rPr>
      </w:pPr>
    </w:p>
    <w:p w14:paraId="0FF224C3" w14:textId="42BE55B5" w:rsidR="004D1A9C" w:rsidRDefault="001A0D35" w:rsidP="007E40C6">
      <w:pPr>
        <w:spacing w:line="240" w:lineRule="auto"/>
        <w:contextualSpacing/>
        <w:rPr>
          <w:rFonts w:ascii="David" w:hAnsi="David" w:cs="David"/>
          <w:color w:val="000000" w:themeColor="text1"/>
          <w:sz w:val="24"/>
          <w:szCs w:val="24"/>
          <w:rtl/>
        </w:rPr>
      </w:pPr>
      <w:r w:rsidRPr="008B3328">
        <w:rPr>
          <w:rFonts w:ascii="David" w:hAnsi="David" w:cs="David" w:hint="cs"/>
          <w:b/>
          <w:bCs/>
          <w:color w:val="000000" w:themeColor="text1"/>
          <w:sz w:val="24"/>
          <w:szCs w:val="24"/>
          <w:rtl/>
        </w:rPr>
        <w:t xml:space="preserve">ד"ר </w:t>
      </w:r>
      <w:commentRangeStart w:id="0"/>
      <w:commentRangeStart w:id="1"/>
      <w:r w:rsidR="004D1A9C" w:rsidRPr="008B3328">
        <w:rPr>
          <w:rFonts w:ascii="David" w:hAnsi="David" w:cs="David"/>
          <w:b/>
          <w:bCs/>
          <w:color w:val="000000" w:themeColor="text1"/>
          <w:sz w:val="24"/>
          <w:szCs w:val="24"/>
          <w:rtl/>
        </w:rPr>
        <w:t>חיה</w:t>
      </w:r>
      <w:commentRangeEnd w:id="0"/>
      <w:r w:rsidR="00010362" w:rsidRPr="008B3328">
        <w:rPr>
          <w:rStyle w:val="CommentReference"/>
          <w:b/>
          <w:bCs/>
        </w:rPr>
        <w:commentReference w:id="0"/>
      </w:r>
      <w:commentRangeEnd w:id="1"/>
      <w:r w:rsidR="00010362" w:rsidRPr="008B3328">
        <w:rPr>
          <w:rStyle w:val="CommentReference"/>
          <w:b/>
          <w:bCs/>
        </w:rPr>
        <w:commentReference w:id="1"/>
      </w:r>
      <w:r w:rsidR="004D1A9C" w:rsidRPr="008B3328">
        <w:rPr>
          <w:rFonts w:ascii="David" w:hAnsi="David" w:cs="David"/>
          <w:b/>
          <w:bCs/>
          <w:color w:val="000000" w:themeColor="text1"/>
          <w:sz w:val="24"/>
          <w:szCs w:val="24"/>
          <w:rtl/>
        </w:rPr>
        <w:t xml:space="preserve"> כץ</w:t>
      </w:r>
      <w:r w:rsidR="0017441A">
        <w:rPr>
          <w:rFonts w:ascii="David" w:hAnsi="David" w:cs="David" w:hint="cs"/>
          <w:color w:val="000000" w:themeColor="text1"/>
          <w:sz w:val="24"/>
          <w:szCs w:val="24"/>
          <w:rtl/>
        </w:rPr>
        <w:t xml:space="preserve">, </w:t>
      </w:r>
      <w:r w:rsidR="004D1A9C" w:rsidRPr="004D1A9C">
        <w:rPr>
          <w:rFonts w:ascii="David" w:hAnsi="David" w:cs="David"/>
          <w:color w:val="000000" w:themeColor="text1"/>
          <w:sz w:val="24"/>
          <w:szCs w:val="24"/>
          <w:rtl/>
        </w:rPr>
        <w:t>המכללה האקדמית כנרת</w:t>
      </w:r>
    </w:p>
    <w:p w14:paraId="721E4DCE" w14:textId="77777777" w:rsidR="004D1A9C" w:rsidRDefault="004D1A9C" w:rsidP="00DE1FA4">
      <w:pPr>
        <w:rPr>
          <w:color w:val="000000" w:themeColor="text1"/>
          <w:rtl/>
        </w:rPr>
      </w:pPr>
    </w:p>
    <w:p w14:paraId="64BA5CE3" w14:textId="12206EC3" w:rsidR="007E40C6" w:rsidRDefault="007E40C6" w:rsidP="00D33CA0">
      <w:pPr>
        <w:spacing w:line="360" w:lineRule="auto"/>
        <w:contextualSpacing/>
        <w:jc w:val="both"/>
        <w:rPr>
          <w:rFonts w:ascii="David" w:hAnsi="David" w:cs="David"/>
          <w:color w:val="000000" w:themeColor="text1"/>
          <w:sz w:val="24"/>
          <w:szCs w:val="24"/>
          <w:rtl/>
        </w:rPr>
      </w:pPr>
    </w:p>
    <w:p w14:paraId="40F69542" w14:textId="69DA629F" w:rsidR="00C253F9" w:rsidRPr="004D1A9C" w:rsidRDefault="00C253F9" w:rsidP="00D33CA0">
      <w:pPr>
        <w:spacing w:line="360" w:lineRule="auto"/>
        <w:contextualSpacing/>
        <w:jc w:val="both"/>
        <w:rPr>
          <w:rFonts w:ascii="David" w:hAnsi="David" w:cs="David"/>
          <w:color w:val="000000" w:themeColor="text1"/>
          <w:sz w:val="24"/>
          <w:szCs w:val="24"/>
          <w:rtl/>
        </w:rPr>
      </w:pPr>
      <w:r w:rsidRPr="004D1A9C">
        <w:rPr>
          <w:rFonts w:ascii="David" w:hAnsi="David" w:cs="David"/>
          <w:color w:val="000000" w:themeColor="text1"/>
          <w:sz w:val="24"/>
          <w:szCs w:val="24"/>
          <w:rtl/>
        </w:rPr>
        <w:t>ברל כצנלסון</w:t>
      </w:r>
      <w:r w:rsidR="00F44446">
        <w:rPr>
          <w:rFonts w:ascii="David" w:hAnsi="David" w:cs="David" w:hint="cs"/>
          <w:color w:val="000000" w:themeColor="text1"/>
          <w:sz w:val="24"/>
          <w:szCs w:val="24"/>
          <w:rtl/>
        </w:rPr>
        <w:t xml:space="preserve"> היה </w:t>
      </w:r>
      <w:r w:rsidRPr="004D1A9C">
        <w:rPr>
          <w:rFonts w:ascii="David" w:hAnsi="David" w:cs="David"/>
          <w:color w:val="000000" w:themeColor="text1"/>
          <w:sz w:val="24"/>
          <w:szCs w:val="24"/>
          <w:rtl/>
        </w:rPr>
        <w:t>מנהיג תנועת הפועלים הארץ-ישראלית במחצית הראשונה של המאה ה-20</w:t>
      </w:r>
      <w:r w:rsidR="00F44446">
        <w:rPr>
          <w:rFonts w:ascii="David" w:hAnsi="David" w:cs="David" w:hint="cs"/>
          <w:color w:val="000000" w:themeColor="text1"/>
          <w:sz w:val="24"/>
          <w:szCs w:val="24"/>
          <w:rtl/>
        </w:rPr>
        <w:t xml:space="preserve">. </w:t>
      </w:r>
      <w:r w:rsidR="002D6CF1">
        <w:rPr>
          <w:rFonts w:ascii="David" w:hAnsi="David" w:cs="David" w:hint="cs"/>
          <w:color w:val="000000" w:themeColor="text1"/>
          <w:sz w:val="24"/>
          <w:szCs w:val="24"/>
          <w:rtl/>
        </w:rPr>
        <w:t>ב</w:t>
      </w:r>
      <w:r w:rsidRPr="004D1A9C">
        <w:rPr>
          <w:rFonts w:ascii="David" w:hAnsi="David" w:cs="David"/>
          <w:color w:val="000000" w:themeColor="text1"/>
          <w:sz w:val="24"/>
          <w:szCs w:val="24"/>
          <w:rtl/>
        </w:rPr>
        <w:t xml:space="preserve">אחד מנאומיו המפורסמים </w:t>
      </w:r>
      <w:r w:rsidR="002D6CF1">
        <w:rPr>
          <w:rFonts w:ascii="David" w:hAnsi="David" w:cs="David" w:hint="cs"/>
          <w:color w:val="000000" w:themeColor="text1"/>
          <w:sz w:val="24"/>
          <w:szCs w:val="24"/>
          <w:rtl/>
        </w:rPr>
        <w:t xml:space="preserve">אמר </w:t>
      </w:r>
      <w:r w:rsidR="00F41E43">
        <w:rPr>
          <w:rFonts w:ascii="David" w:hAnsi="David" w:cs="David" w:hint="cs"/>
          <w:color w:val="000000" w:themeColor="text1"/>
          <w:sz w:val="24"/>
          <w:szCs w:val="24"/>
          <w:rtl/>
        </w:rPr>
        <w:t>"</w:t>
      </w:r>
      <w:r w:rsidR="00F41E43" w:rsidRPr="00F41E43">
        <w:rPr>
          <w:rFonts w:ascii="David" w:hAnsi="David" w:cs="David"/>
          <w:color w:val="000000" w:themeColor="text1"/>
          <w:sz w:val="24"/>
          <w:szCs w:val="24"/>
          <w:rtl/>
        </w:rPr>
        <w:t>אל נהיה פועלי־רמייה לא במעשה ולא במחשבה</w:t>
      </w:r>
      <w:r w:rsidR="002D4C3B">
        <w:rPr>
          <w:rFonts w:ascii="David" w:hAnsi="David" w:cs="David" w:hint="cs"/>
          <w:color w:val="000000" w:themeColor="text1"/>
          <w:sz w:val="24"/>
          <w:szCs w:val="24"/>
          <w:rtl/>
        </w:rPr>
        <w:t>,</w:t>
      </w:r>
      <w:r w:rsidR="00F41E43" w:rsidRPr="00F41E43">
        <w:rPr>
          <w:rFonts w:ascii="David" w:hAnsi="David" w:cs="David"/>
          <w:color w:val="000000" w:themeColor="text1"/>
          <w:sz w:val="24"/>
          <w:szCs w:val="24"/>
          <w:rtl/>
        </w:rPr>
        <w:t xml:space="preserve"> אל יהיה חלקנו עם טחי טיח</w:t>
      </w:r>
      <w:r w:rsidR="00283768">
        <w:rPr>
          <w:rFonts w:ascii="David" w:hAnsi="David" w:cs="David" w:hint="cs"/>
          <w:color w:val="000000" w:themeColor="text1"/>
          <w:sz w:val="24"/>
          <w:szCs w:val="24"/>
          <w:rtl/>
        </w:rPr>
        <w:t>"</w:t>
      </w:r>
      <w:r w:rsidR="00F41E43">
        <w:rPr>
          <w:rFonts w:ascii="David" w:hAnsi="David" w:cs="David" w:hint="cs"/>
          <w:color w:val="000000" w:themeColor="text1"/>
          <w:sz w:val="24"/>
          <w:szCs w:val="24"/>
          <w:rtl/>
        </w:rPr>
        <w:t>.</w:t>
      </w:r>
      <w:r w:rsidR="00D33CA0">
        <w:rPr>
          <w:rFonts w:ascii="David" w:hAnsi="David" w:cs="David" w:hint="cs"/>
          <w:color w:val="000000" w:themeColor="text1"/>
          <w:sz w:val="24"/>
          <w:szCs w:val="24"/>
          <w:rtl/>
        </w:rPr>
        <w:t xml:space="preserve"> הנאום </w:t>
      </w:r>
      <w:r w:rsidR="00283768">
        <w:rPr>
          <w:rFonts w:ascii="David" w:hAnsi="David" w:cs="David" w:hint="cs"/>
          <w:color w:val="000000" w:themeColor="text1"/>
          <w:sz w:val="24"/>
          <w:szCs w:val="24"/>
          <w:rtl/>
        </w:rPr>
        <w:t>ש</w:t>
      </w:r>
      <w:r w:rsidRPr="004D1A9C">
        <w:rPr>
          <w:rFonts w:ascii="David" w:hAnsi="David" w:cs="David"/>
          <w:color w:val="000000" w:themeColor="text1"/>
          <w:sz w:val="24"/>
          <w:szCs w:val="24"/>
          <w:rtl/>
        </w:rPr>
        <w:t>נקרא: "בזכות המבוכה ובגנות הטיח"</w:t>
      </w:r>
      <w:r w:rsidR="00643587" w:rsidRPr="004D1A9C">
        <w:rPr>
          <w:rFonts w:ascii="David" w:hAnsi="David" w:cs="David"/>
          <w:color w:val="000000" w:themeColor="text1"/>
          <w:sz w:val="24"/>
          <w:szCs w:val="24"/>
          <w:rtl/>
        </w:rPr>
        <w:t xml:space="preserve"> </w:t>
      </w:r>
      <w:r w:rsidRPr="004D1A9C">
        <w:rPr>
          <w:rFonts w:ascii="David" w:hAnsi="David" w:cs="David"/>
          <w:color w:val="000000" w:themeColor="text1"/>
          <w:sz w:val="24"/>
          <w:szCs w:val="24"/>
          <w:rtl/>
        </w:rPr>
        <w:t xml:space="preserve">כיוון למצב הפוליטי </w:t>
      </w:r>
      <w:r w:rsidR="006A1ECC">
        <w:rPr>
          <w:rFonts w:ascii="David" w:hAnsi="David" w:cs="David" w:hint="cs"/>
          <w:color w:val="000000" w:themeColor="text1"/>
          <w:sz w:val="24"/>
          <w:szCs w:val="24"/>
          <w:rtl/>
        </w:rPr>
        <w:t xml:space="preserve">בשנת 1940, ואולם  </w:t>
      </w:r>
      <w:r w:rsidR="006308AE">
        <w:rPr>
          <w:rFonts w:ascii="David" w:hAnsi="David" w:cs="David" w:hint="cs"/>
          <w:color w:val="000000" w:themeColor="text1"/>
          <w:sz w:val="24"/>
          <w:szCs w:val="24"/>
          <w:rtl/>
        </w:rPr>
        <w:t xml:space="preserve"> </w:t>
      </w:r>
      <w:r w:rsidR="006A1ECC">
        <w:rPr>
          <w:rFonts w:ascii="David" w:hAnsi="David" w:cs="David" w:hint="cs"/>
          <w:color w:val="000000" w:themeColor="text1"/>
          <w:sz w:val="24"/>
          <w:szCs w:val="24"/>
          <w:rtl/>
        </w:rPr>
        <w:t xml:space="preserve">דבריו של כצנלסון </w:t>
      </w:r>
      <w:r w:rsidRPr="004D1A9C">
        <w:rPr>
          <w:rFonts w:ascii="David" w:hAnsi="David" w:cs="David"/>
          <w:color w:val="000000" w:themeColor="text1"/>
          <w:sz w:val="24"/>
          <w:szCs w:val="24"/>
          <w:rtl/>
        </w:rPr>
        <w:t>משק</w:t>
      </w:r>
      <w:r w:rsidR="006A1ECC">
        <w:rPr>
          <w:rFonts w:ascii="David" w:hAnsi="David" w:cs="David" w:hint="cs"/>
          <w:color w:val="000000" w:themeColor="text1"/>
          <w:sz w:val="24"/>
          <w:szCs w:val="24"/>
          <w:rtl/>
        </w:rPr>
        <w:t>פים</w:t>
      </w:r>
      <w:r w:rsidRPr="004D1A9C">
        <w:rPr>
          <w:rFonts w:ascii="David" w:hAnsi="David" w:cs="David"/>
          <w:color w:val="000000" w:themeColor="text1"/>
          <w:sz w:val="24"/>
          <w:szCs w:val="24"/>
          <w:rtl/>
        </w:rPr>
        <w:t xml:space="preserve"> גם את </w:t>
      </w:r>
      <w:r w:rsidR="004B7177">
        <w:rPr>
          <w:rFonts w:ascii="David" w:hAnsi="David" w:cs="David" w:hint="cs"/>
          <w:color w:val="000000" w:themeColor="text1"/>
          <w:sz w:val="24"/>
          <w:szCs w:val="24"/>
          <w:rtl/>
        </w:rPr>
        <w:t xml:space="preserve">תפיסת עולמי לגבי </w:t>
      </w:r>
      <w:r w:rsidR="00EB6D24">
        <w:rPr>
          <w:rFonts w:ascii="David" w:hAnsi="David" w:cs="David" w:hint="cs"/>
          <w:color w:val="000000" w:themeColor="text1"/>
          <w:sz w:val="24"/>
          <w:szCs w:val="24"/>
          <w:rtl/>
        </w:rPr>
        <w:t>ה</w:t>
      </w:r>
      <w:r w:rsidR="00EB6D24" w:rsidRPr="004D1A9C">
        <w:rPr>
          <w:rFonts w:ascii="David" w:hAnsi="David" w:cs="David"/>
          <w:color w:val="000000" w:themeColor="text1"/>
          <w:sz w:val="24"/>
          <w:szCs w:val="24"/>
          <w:rtl/>
        </w:rPr>
        <w:t>שאלה כיצד ניתן ליישב את העמדה האקדמית לגבי יצירת התנ"ך בכלל והתורה בפרט אל מול האמונה המסורתית של 'תורה מסיני'</w:t>
      </w:r>
      <w:r w:rsidRPr="004D1A9C">
        <w:rPr>
          <w:rFonts w:ascii="David" w:hAnsi="David" w:cs="David"/>
          <w:color w:val="000000" w:themeColor="text1"/>
          <w:sz w:val="24"/>
          <w:szCs w:val="24"/>
          <w:rtl/>
        </w:rPr>
        <w:t xml:space="preserve">. </w:t>
      </w:r>
    </w:p>
    <w:p w14:paraId="59395537" w14:textId="77777777" w:rsidR="00587221" w:rsidRDefault="00CB417A" w:rsidP="006308AE">
      <w:pPr>
        <w:spacing w:line="360" w:lineRule="auto"/>
        <w:contextualSpacing/>
        <w:jc w:val="both"/>
        <w:rPr>
          <w:rFonts w:ascii="David" w:hAnsi="David" w:cs="David"/>
          <w:color w:val="000000" w:themeColor="text1"/>
          <w:sz w:val="24"/>
          <w:szCs w:val="24"/>
        </w:rPr>
      </w:pPr>
      <w:r w:rsidRPr="004D1A9C">
        <w:rPr>
          <w:rFonts w:ascii="David" w:hAnsi="David" w:cs="David"/>
          <w:color w:val="000000" w:themeColor="text1"/>
          <w:sz w:val="24"/>
          <w:szCs w:val="24"/>
          <w:rtl/>
        </w:rPr>
        <w:t xml:space="preserve">במשך שנים רבות החברה הדתית נמנעה כמעט לגמרי מלימוד המקרא כפשוטו. דבר זה נבע בין השאר מן החשש כי לימוד תנ"ך שלא דרך המסננת של פרשנות חז"ל יביא לשאלות ביקורתיות עד כדי כפירה. תפיסה זו אפיינה אפילו את אוניברסיטת בר-אילן בראשיתה. כך הוחלט עם הקמתה כי הלימודים לא יכללו את המקרא כתחום דעת ביקורתי וזאת בכדי לא להביא את הסטודנטים לכדי התמודדות עם שאלות אמוניות. </w:t>
      </w:r>
    </w:p>
    <w:p w14:paraId="571AAC5D" w14:textId="6C7F9057" w:rsidR="004D1A9C" w:rsidRPr="004D1A9C" w:rsidRDefault="00A31FE7" w:rsidP="006308AE">
      <w:pPr>
        <w:spacing w:line="360" w:lineRule="auto"/>
        <w:contextualSpacing/>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חיפוש אחר מקורות </w:t>
      </w:r>
      <w:r w:rsidR="00511A63">
        <w:rPr>
          <w:rFonts w:ascii="David" w:hAnsi="David" w:cs="David" w:hint="cs"/>
          <w:color w:val="000000" w:themeColor="text1"/>
          <w:sz w:val="24"/>
          <w:szCs w:val="24"/>
          <w:rtl/>
        </w:rPr>
        <w:t xml:space="preserve">מסורתיים </w:t>
      </w:r>
      <w:r w:rsidRPr="004D1A9C">
        <w:rPr>
          <w:rFonts w:ascii="David" w:hAnsi="David" w:cs="David"/>
          <w:color w:val="000000" w:themeColor="text1"/>
          <w:sz w:val="24"/>
          <w:szCs w:val="24"/>
          <w:rtl/>
        </w:rPr>
        <w:t>המתייחסים לכתיבת התורה על ידי בני אדם</w:t>
      </w:r>
      <w:r>
        <w:rPr>
          <w:rFonts w:ascii="David" w:hAnsi="David" w:cs="David" w:hint="cs"/>
          <w:color w:val="000000" w:themeColor="text1"/>
          <w:sz w:val="24"/>
          <w:szCs w:val="24"/>
          <w:rtl/>
        </w:rPr>
        <w:t xml:space="preserve"> מלמד כי ישנם לא מעט שכאלו, החל</w:t>
      </w:r>
      <w:r w:rsidR="00AD158E" w:rsidRPr="004D1A9C">
        <w:rPr>
          <w:rFonts w:ascii="David" w:hAnsi="David" w:cs="David"/>
          <w:color w:val="000000" w:themeColor="text1"/>
          <w:sz w:val="24"/>
          <w:szCs w:val="24"/>
          <w:rtl/>
        </w:rPr>
        <w:t xml:space="preserve"> מימי חז"ל דרך פרשני ימי הביניים ועד </w:t>
      </w:r>
      <w:r w:rsidR="00C54C38" w:rsidRPr="004D1A9C">
        <w:rPr>
          <w:rFonts w:ascii="David" w:hAnsi="David" w:cs="David"/>
          <w:color w:val="000000" w:themeColor="text1"/>
          <w:sz w:val="24"/>
          <w:szCs w:val="24"/>
          <w:rtl/>
        </w:rPr>
        <w:t>ל</w:t>
      </w:r>
      <w:r w:rsidR="00AD158E" w:rsidRPr="004D1A9C">
        <w:rPr>
          <w:rFonts w:ascii="David" w:hAnsi="David" w:cs="David"/>
          <w:color w:val="000000" w:themeColor="text1"/>
          <w:sz w:val="24"/>
          <w:szCs w:val="24"/>
          <w:rtl/>
        </w:rPr>
        <w:t xml:space="preserve">אחרונים. </w:t>
      </w:r>
      <w:r>
        <w:rPr>
          <w:rFonts w:ascii="David" w:hAnsi="David" w:cs="David" w:hint="cs"/>
          <w:color w:val="000000" w:themeColor="text1"/>
          <w:sz w:val="24"/>
          <w:szCs w:val="24"/>
          <w:rtl/>
        </w:rPr>
        <w:t>כך לדוגמה אחד המקורות הידועים ביותר בהקשר זה הוא</w:t>
      </w:r>
      <w:r w:rsidR="00AD158E" w:rsidRPr="004D1A9C">
        <w:rPr>
          <w:rFonts w:ascii="David" w:hAnsi="David" w:cs="David"/>
          <w:color w:val="000000" w:themeColor="text1"/>
          <w:sz w:val="24"/>
          <w:szCs w:val="24"/>
          <w:rtl/>
        </w:rPr>
        <w:t xml:space="preserve"> </w:t>
      </w:r>
      <w:r w:rsidR="00C54C38" w:rsidRPr="004D1A9C">
        <w:rPr>
          <w:rFonts w:ascii="David" w:hAnsi="David" w:cs="David"/>
          <w:color w:val="000000" w:themeColor="text1"/>
          <w:sz w:val="24"/>
          <w:szCs w:val="24"/>
          <w:rtl/>
        </w:rPr>
        <w:t xml:space="preserve">פירושו של </w:t>
      </w:r>
      <w:r w:rsidR="00AD158E" w:rsidRPr="004D1A9C">
        <w:rPr>
          <w:rFonts w:ascii="David" w:hAnsi="David" w:cs="David"/>
          <w:color w:val="000000" w:themeColor="text1"/>
          <w:sz w:val="24"/>
          <w:szCs w:val="24"/>
          <w:rtl/>
        </w:rPr>
        <w:t>האבן עזרא</w:t>
      </w:r>
      <w:r w:rsidR="004D1A9C" w:rsidRPr="004D1A9C">
        <w:rPr>
          <w:rFonts w:ascii="David" w:hAnsi="David" w:cs="David"/>
          <w:color w:val="000000" w:themeColor="text1"/>
          <w:sz w:val="24"/>
          <w:szCs w:val="24"/>
          <w:rtl/>
        </w:rPr>
        <w:t>:</w:t>
      </w:r>
      <w:r w:rsidR="00C54C38" w:rsidRPr="004D1A9C">
        <w:rPr>
          <w:rFonts w:ascii="David" w:hAnsi="David" w:cs="David"/>
          <w:color w:val="000000" w:themeColor="text1"/>
          <w:sz w:val="24"/>
          <w:szCs w:val="24"/>
          <w:rtl/>
        </w:rPr>
        <w:t xml:space="preserve"> "</w:t>
      </w:r>
      <w:r w:rsidR="00C54C38" w:rsidRPr="004D1A9C">
        <w:rPr>
          <w:rFonts w:ascii="David" w:hAnsi="David" w:cs="David"/>
          <w:sz w:val="24"/>
          <w:szCs w:val="24"/>
          <w:rtl/>
        </w:rPr>
        <w:t>ואם תבין סוד השנים עשר גם ויכתוב משה והכנעני אז בארץ בהר ה' יראה גם והנה ערשו ערש ברזל תכיר האמת"</w:t>
      </w:r>
      <w:r w:rsidR="004D1A9C" w:rsidRPr="004D1A9C">
        <w:rPr>
          <w:rFonts w:ascii="David" w:hAnsi="David" w:cs="David"/>
          <w:color w:val="000000" w:themeColor="text1"/>
          <w:sz w:val="24"/>
          <w:szCs w:val="24"/>
          <w:rtl/>
        </w:rPr>
        <w:t xml:space="preserve"> המתייחס לפסוק בדברים א, ב. </w:t>
      </w:r>
      <w:r w:rsidR="00AD158E" w:rsidRPr="004D1A9C">
        <w:rPr>
          <w:rFonts w:ascii="David" w:hAnsi="David" w:cs="David"/>
          <w:color w:val="000000" w:themeColor="text1"/>
          <w:sz w:val="24"/>
          <w:szCs w:val="24"/>
          <w:rtl/>
        </w:rPr>
        <w:t>אולם, עדיין, בכל המקורות הללו הנחת היסוד היא כי גם אם בני אדם כתבו חלקים מן המקרא הדברים נכתבו בקדושה</w:t>
      </w:r>
      <w:r w:rsidR="006308AE">
        <w:rPr>
          <w:rFonts w:ascii="David" w:hAnsi="David" w:cs="David" w:hint="cs"/>
          <w:color w:val="000000" w:themeColor="text1"/>
          <w:sz w:val="24"/>
          <w:szCs w:val="24"/>
          <w:rtl/>
        </w:rPr>
        <w:t>,</w:t>
      </w:r>
      <w:r w:rsidR="00AD158E" w:rsidRPr="004D1A9C">
        <w:rPr>
          <w:rFonts w:ascii="David" w:hAnsi="David" w:cs="David"/>
          <w:color w:val="000000" w:themeColor="text1"/>
          <w:sz w:val="24"/>
          <w:szCs w:val="24"/>
          <w:rtl/>
        </w:rPr>
        <w:t xml:space="preserve"> בין אם על ידי משה ובין אם </w:t>
      </w:r>
      <w:r w:rsidR="006308AE">
        <w:rPr>
          <w:rFonts w:ascii="David" w:hAnsi="David" w:cs="David" w:hint="cs"/>
          <w:color w:val="000000" w:themeColor="text1"/>
          <w:sz w:val="24"/>
          <w:szCs w:val="24"/>
          <w:rtl/>
        </w:rPr>
        <w:t xml:space="preserve">על ידי </w:t>
      </w:r>
      <w:r w:rsidR="00AD158E" w:rsidRPr="004D1A9C">
        <w:rPr>
          <w:rFonts w:ascii="David" w:hAnsi="David" w:cs="David"/>
          <w:color w:val="000000" w:themeColor="text1"/>
          <w:sz w:val="24"/>
          <w:szCs w:val="24"/>
          <w:rtl/>
        </w:rPr>
        <w:t>נביאים אחרים</w:t>
      </w:r>
      <w:r w:rsidR="006308AE">
        <w:rPr>
          <w:rFonts w:ascii="David" w:hAnsi="David" w:cs="David" w:hint="cs"/>
          <w:color w:val="000000" w:themeColor="text1"/>
          <w:sz w:val="24"/>
          <w:szCs w:val="24"/>
          <w:rtl/>
        </w:rPr>
        <w:t>.</w:t>
      </w:r>
      <w:r w:rsidR="00AD158E" w:rsidRPr="004D1A9C">
        <w:rPr>
          <w:rFonts w:ascii="David" w:hAnsi="David" w:cs="David"/>
          <w:color w:val="000000" w:themeColor="text1"/>
          <w:sz w:val="24"/>
          <w:szCs w:val="24"/>
          <w:rtl/>
        </w:rPr>
        <w:t xml:space="preserve"> </w:t>
      </w:r>
      <w:r w:rsidR="006308AE">
        <w:rPr>
          <w:rFonts w:ascii="David" w:hAnsi="David" w:cs="David" w:hint="cs"/>
          <w:color w:val="000000" w:themeColor="text1"/>
          <w:sz w:val="24"/>
          <w:szCs w:val="24"/>
          <w:rtl/>
        </w:rPr>
        <w:t>לעומת זאת, התפיסה המקובלת במחקר מתייחסת ל</w:t>
      </w:r>
      <w:r w:rsidR="00AD158E" w:rsidRPr="004D1A9C">
        <w:rPr>
          <w:rFonts w:ascii="David" w:hAnsi="David" w:cs="David"/>
          <w:color w:val="000000" w:themeColor="text1"/>
          <w:sz w:val="24"/>
          <w:szCs w:val="24"/>
          <w:rtl/>
        </w:rPr>
        <w:t xml:space="preserve">כתיבה מאוחרת שהתקיימה בפרק הזמן שבין ימי בית ראשון ועד לתקופה ההלניסטית. </w:t>
      </w:r>
    </w:p>
    <w:p w14:paraId="6040BF3E" w14:textId="30331E05" w:rsidR="00587221" w:rsidRDefault="00A31FE7" w:rsidP="00572713">
      <w:pPr>
        <w:spacing w:line="360" w:lineRule="auto"/>
        <w:contextualSpacing/>
        <w:jc w:val="both"/>
        <w:rPr>
          <w:rFonts w:ascii="David" w:hAnsi="David" w:cs="David"/>
          <w:color w:val="000000" w:themeColor="text1"/>
          <w:sz w:val="24"/>
          <w:szCs w:val="24"/>
        </w:rPr>
      </w:pPr>
      <w:r w:rsidRPr="00A31FE7">
        <w:rPr>
          <w:rFonts w:ascii="David" w:hAnsi="David" w:cs="David" w:hint="cs"/>
          <w:color w:val="000000" w:themeColor="text1"/>
          <w:sz w:val="24"/>
          <w:szCs w:val="24"/>
          <w:rtl/>
        </w:rPr>
        <w:t>לאור זאת לא ניתן להתכחש לכך ש</w:t>
      </w:r>
      <w:r w:rsidR="000F3229" w:rsidRPr="00A31FE7">
        <w:rPr>
          <w:rFonts w:ascii="David" w:hAnsi="David" w:cs="David"/>
          <w:color w:val="000000" w:themeColor="text1"/>
          <w:sz w:val="24"/>
          <w:szCs w:val="24"/>
          <w:rtl/>
        </w:rPr>
        <w:t xml:space="preserve">ההתמודדות שלנו כאנשים </w:t>
      </w:r>
      <w:r>
        <w:rPr>
          <w:rFonts w:ascii="David" w:hAnsi="David" w:cs="David" w:hint="cs"/>
          <w:color w:val="000000" w:themeColor="text1"/>
          <w:sz w:val="24"/>
          <w:szCs w:val="24"/>
          <w:rtl/>
        </w:rPr>
        <w:t>מאמינים</w:t>
      </w:r>
      <w:r w:rsidR="000F3229" w:rsidRPr="00A31FE7">
        <w:rPr>
          <w:rFonts w:ascii="David" w:hAnsi="David" w:cs="David"/>
          <w:color w:val="000000" w:themeColor="text1"/>
          <w:sz w:val="24"/>
          <w:szCs w:val="24"/>
          <w:rtl/>
        </w:rPr>
        <w:t xml:space="preserve"> עם </w:t>
      </w:r>
      <w:r w:rsidR="00D46094" w:rsidRPr="00A31FE7">
        <w:rPr>
          <w:rFonts w:ascii="David" w:hAnsi="David" w:cs="David"/>
          <w:color w:val="000000" w:themeColor="text1"/>
          <w:sz w:val="24"/>
          <w:szCs w:val="24"/>
          <w:rtl/>
        </w:rPr>
        <w:t xml:space="preserve">ההנחה </w:t>
      </w:r>
      <w:r>
        <w:rPr>
          <w:rFonts w:ascii="David" w:hAnsi="David" w:cs="David" w:hint="cs"/>
          <w:color w:val="000000" w:themeColor="text1"/>
          <w:sz w:val="24"/>
          <w:szCs w:val="24"/>
          <w:rtl/>
        </w:rPr>
        <w:t>ש</w:t>
      </w:r>
      <w:r w:rsidR="00FE300B" w:rsidRPr="00A31FE7">
        <w:rPr>
          <w:rFonts w:ascii="David" w:hAnsi="David" w:cs="David" w:hint="cs"/>
          <w:color w:val="000000" w:themeColor="text1"/>
          <w:sz w:val="24"/>
          <w:szCs w:val="24"/>
          <w:rtl/>
        </w:rPr>
        <w:t xml:space="preserve">חמישה חומשי תורה </w:t>
      </w:r>
      <w:r w:rsidR="004D1A9C" w:rsidRPr="00A31FE7">
        <w:rPr>
          <w:rFonts w:ascii="David" w:hAnsi="David" w:cs="David" w:hint="cs"/>
          <w:color w:val="000000" w:themeColor="text1"/>
          <w:sz w:val="24"/>
          <w:szCs w:val="24"/>
          <w:rtl/>
        </w:rPr>
        <w:t xml:space="preserve">הם פרי יצירה </w:t>
      </w:r>
      <w:r w:rsidR="00FE300B" w:rsidRPr="00A31FE7">
        <w:rPr>
          <w:rFonts w:ascii="David" w:hAnsi="David" w:cs="David" w:hint="cs"/>
          <w:color w:val="000000" w:themeColor="text1"/>
          <w:sz w:val="24"/>
          <w:szCs w:val="24"/>
          <w:rtl/>
        </w:rPr>
        <w:t xml:space="preserve">היסטוריוגרפית שנכתבה </w:t>
      </w:r>
      <w:r w:rsidR="00D46094" w:rsidRPr="00A31FE7">
        <w:rPr>
          <w:rFonts w:ascii="David" w:hAnsi="David" w:cs="David"/>
          <w:color w:val="000000" w:themeColor="text1"/>
          <w:sz w:val="24"/>
          <w:szCs w:val="24"/>
          <w:rtl/>
        </w:rPr>
        <w:t>על ידי בני אדם</w:t>
      </w:r>
      <w:r w:rsidR="001C2D26" w:rsidRPr="00A31FE7">
        <w:rPr>
          <w:rFonts w:ascii="David" w:hAnsi="David" w:cs="David"/>
          <w:color w:val="000000" w:themeColor="text1"/>
          <w:sz w:val="24"/>
          <w:szCs w:val="24"/>
          <w:rtl/>
        </w:rPr>
        <w:t xml:space="preserve"> </w:t>
      </w:r>
      <w:r w:rsidR="00D46094" w:rsidRPr="00A31FE7">
        <w:rPr>
          <w:rFonts w:ascii="David" w:hAnsi="David" w:cs="David"/>
          <w:color w:val="000000" w:themeColor="text1"/>
          <w:sz w:val="24"/>
          <w:szCs w:val="24"/>
          <w:rtl/>
        </w:rPr>
        <w:t>היא מורכבת ביותר.</w:t>
      </w:r>
      <w:r w:rsidR="00D46094" w:rsidRPr="004D1A9C">
        <w:rPr>
          <w:rFonts w:ascii="David" w:hAnsi="David" w:cs="David"/>
          <w:color w:val="000000" w:themeColor="text1"/>
          <w:sz w:val="24"/>
          <w:szCs w:val="24"/>
          <w:rtl/>
        </w:rPr>
        <w:t xml:space="preserve"> כיצד ניתן </w:t>
      </w:r>
      <w:r w:rsidR="00643587" w:rsidRPr="004D1A9C">
        <w:rPr>
          <w:rFonts w:ascii="David" w:hAnsi="David" w:cs="David"/>
          <w:color w:val="000000" w:themeColor="text1"/>
          <w:sz w:val="24"/>
          <w:szCs w:val="24"/>
          <w:rtl/>
        </w:rPr>
        <w:t>ללכת ולב</w:t>
      </w:r>
      <w:r w:rsidR="001C2D26" w:rsidRPr="004D1A9C">
        <w:rPr>
          <w:rFonts w:ascii="David" w:hAnsi="David" w:cs="David"/>
          <w:color w:val="000000" w:themeColor="text1"/>
          <w:sz w:val="24"/>
          <w:szCs w:val="24"/>
          <w:rtl/>
        </w:rPr>
        <w:t xml:space="preserve">כות לאמא רחל </w:t>
      </w:r>
      <w:r w:rsidR="00643587" w:rsidRPr="004D1A9C">
        <w:rPr>
          <w:rFonts w:ascii="David" w:hAnsi="David" w:cs="David"/>
          <w:color w:val="000000" w:themeColor="text1"/>
          <w:sz w:val="24"/>
          <w:szCs w:val="24"/>
          <w:rtl/>
        </w:rPr>
        <w:t xml:space="preserve">ובו בזמן לדבר על </w:t>
      </w:r>
      <w:r w:rsidR="001C2D26" w:rsidRPr="004D1A9C">
        <w:rPr>
          <w:rFonts w:ascii="David" w:hAnsi="David" w:cs="David"/>
          <w:color w:val="000000" w:themeColor="text1"/>
          <w:sz w:val="24"/>
          <w:szCs w:val="24"/>
          <w:rtl/>
        </w:rPr>
        <w:t>יעקב</w:t>
      </w:r>
      <w:r w:rsidR="00643587" w:rsidRPr="004D1A9C">
        <w:rPr>
          <w:rFonts w:ascii="David" w:hAnsi="David" w:cs="David"/>
          <w:color w:val="000000" w:themeColor="text1"/>
          <w:sz w:val="24"/>
          <w:szCs w:val="24"/>
          <w:rtl/>
        </w:rPr>
        <w:t xml:space="preserve"> </w:t>
      </w:r>
      <w:r w:rsidR="001C2D26" w:rsidRPr="004D1A9C">
        <w:rPr>
          <w:rFonts w:ascii="David" w:hAnsi="David" w:cs="David"/>
          <w:color w:val="000000" w:themeColor="text1"/>
          <w:sz w:val="24"/>
          <w:szCs w:val="24"/>
          <w:rtl/>
        </w:rPr>
        <w:t>כדמות מיתית המייצגת את האב הקדמון של ממלכת ישראל הצפונית</w:t>
      </w:r>
      <w:r w:rsidR="00E40C0C">
        <w:rPr>
          <w:rFonts w:ascii="David" w:hAnsi="David" w:cs="David" w:hint="cs"/>
          <w:color w:val="000000" w:themeColor="text1"/>
          <w:sz w:val="24"/>
          <w:szCs w:val="24"/>
          <w:rtl/>
        </w:rPr>
        <w:t>?</w:t>
      </w:r>
      <w:r w:rsidR="001C2D26" w:rsidRPr="004D1A9C">
        <w:rPr>
          <w:rFonts w:ascii="David" w:hAnsi="David" w:cs="David"/>
          <w:color w:val="000000" w:themeColor="text1"/>
          <w:sz w:val="24"/>
          <w:szCs w:val="24"/>
          <w:rtl/>
        </w:rPr>
        <w:t xml:space="preserve"> כיצד קוראים את ההגדה בכוונה בליל הסדר אבל יודעים שאין כלל עדויות חוץ-מקראיות ל</w:t>
      </w:r>
      <w:r w:rsidR="00D46094" w:rsidRPr="004D1A9C">
        <w:rPr>
          <w:rFonts w:ascii="David" w:hAnsi="David" w:cs="David"/>
          <w:color w:val="000000" w:themeColor="text1"/>
          <w:sz w:val="24"/>
          <w:szCs w:val="24"/>
          <w:rtl/>
        </w:rPr>
        <w:t>יציאת מצריים</w:t>
      </w:r>
      <w:r w:rsidR="00471B99">
        <w:rPr>
          <w:rFonts w:ascii="David" w:hAnsi="David" w:cs="David" w:hint="cs"/>
          <w:color w:val="000000" w:themeColor="text1"/>
          <w:sz w:val="24"/>
          <w:szCs w:val="24"/>
          <w:rtl/>
        </w:rPr>
        <w:t>?</w:t>
      </w:r>
      <w:r w:rsidR="00D46094" w:rsidRPr="004D1A9C">
        <w:rPr>
          <w:rFonts w:ascii="David" w:hAnsi="David" w:cs="David"/>
          <w:color w:val="000000" w:themeColor="text1"/>
          <w:sz w:val="24"/>
          <w:szCs w:val="24"/>
          <w:rtl/>
        </w:rPr>
        <w:t xml:space="preserve"> </w:t>
      </w:r>
      <w:r w:rsidR="001C2D26" w:rsidRPr="004D1A9C">
        <w:rPr>
          <w:rFonts w:ascii="David" w:hAnsi="David" w:cs="David"/>
          <w:color w:val="000000" w:themeColor="text1"/>
          <w:sz w:val="24"/>
          <w:szCs w:val="24"/>
          <w:rtl/>
        </w:rPr>
        <w:t>ואיך מתמודדים עם ההבנה ש</w:t>
      </w:r>
      <w:r w:rsidR="00D46094" w:rsidRPr="004D1A9C">
        <w:rPr>
          <w:rFonts w:ascii="David" w:hAnsi="David" w:cs="David"/>
          <w:color w:val="000000" w:themeColor="text1"/>
          <w:sz w:val="24"/>
          <w:szCs w:val="24"/>
          <w:rtl/>
        </w:rPr>
        <w:t>מקורו של ישראל הקדום בקבוצות אוטוכטוניות שחיו בכנען במהלך האלף השני לפנה"ס</w:t>
      </w:r>
      <w:r w:rsidR="00471B99">
        <w:rPr>
          <w:rFonts w:ascii="David" w:hAnsi="David" w:cs="David" w:hint="cs"/>
          <w:color w:val="000000" w:themeColor="text1"/>
          <w:sz w:val="24"/>
          <w:szCs w:val="24"/>
          <w:rtl/>
        </w:rPr>
        <w:t>?</w:t>
      </w:r>
      <w:r w:rsidR="00D46094" w:rsidRPr="004D1A9C">
        <w:rPr>
          <w:rFonts w:ascii="David" w:hAnsi="David" w:cs="David"/>
          <w:color w:val="000000" w:themeColor="text1"/>
          <w:sz w:val="24"/>
          <w:szCs w:val="24"/>
          <w:rtl/>
        </w:rPr>
        <w:t xml:space="preserve"> </w:t>
      </w:r>
      <w:r w:rsidR="005D4A5A" w:rsidRPr="004D1A9C">
        <w:rPr>
          <w:rFonts w:ascii="David" w:hAnsi="David" w:cs="David"/>
          <w:color w:val="000000" w:themeColor="text1"/>
          <w:sz w:val="24"/>
          <w:szCs w:val="24"/>
          <w:rtl/>
        </w:rPr>
        <w:t xml:space="preserve">האם עלינו </w:t>
      </w:r>
      <w:r w:rsidR="007456C2">
        <w:rPr>
          <w:rFonts w:ascii="David" w:hAnsi="David" w:cs="David" w:hint="cs"/>
          <w:color w:val="000000" w:themeColor="text1"/>
          <w:sz w:val="24"/>
          <w:szCs w:val="24"/>
          <w:rtl/>
        </w:rPr>
        <w:t xml:space="preserve">לאמץ </w:t>
      </w:r>
      <w:r w:rsidR="005D4A5A" w:rsidRPr="004D1A9C">
        <w:rPr>
          <w:rFonts w:ascii="David" w:hAnsi="David" w:cs="David"/>
          <w:color w:val="000000" w:themeColor="text1"/>
          <w:sz w:val="24"/>
          <w:szCs w:val="24"/>
          <w:rtl/>
        </w:rPr>
        <w:t xml:space="preserve">הסברים </w:t>
      </w:r>
      <w:r w:rsidR="006A1ECC">
        <w:rPr>
          <w:rFonts w:ascii="David" w:hAnsi="David" w:cs="David" w:hint="cs"/>
          <w:color w:val="000000" w:themeColor="text1"/>
          <w:sz w:val="24"/>
          <w:szCs w:val="24"/>
          <w:rtl/>
        </w:rPr>
        <w:t xml:space="preserve">שאינם תואמים את הנתונים הידועים לנו כיום </w:t>
      </w:r>
      <w:r w:rsidR="007456C2">
        <w:rPr>
          <w:rFonts w:ascii="David" w:hAnsi="David" w:cs="David" w:hint="cs"/>
          <w:color w:val="000000" w:themeColor="text1"/>
          <w:sz w:val="24"/>
          <w:szCs w:val="24"/>
          <w:rtl/>
        </w:rPr>
        <w:t xml:space="preserve">מן הארכיאולוגיה והמקורות החוץ-מקראיים </w:t>
      </w:r>
      <w:r w:rsidR="006A1ECC">
        <w:rPr>
          <w:rFonts w:ascii="David" w:hAnsi="David" w:cs="David" w:hint="cs"/>
          <w:color w:val="000000" w:themeColor="text1"/>
          <w:sz w:val="24"/>
          <w:szCs w:val="24"/>
          <w:rtl/>
        </w:rPr>
        <w:t>רק בכדי שית</w:t>
      </w:r>
      <w:r w:rsidR="005D4A5A" w:rsidRPr="004D1A9C">
        <w:rPr>
          <w:rFonts w:ascii="David" w:hAnsi="David" w:cs="David"/>
          <w:color w:val="000000" w:themeColor="text1"/>
          <w:sz w:val="24"/>
          <w:szCs w:val="24"/>
          <w:rtl/>
        </w:rPr>
        <w:t xml:space="preserve">אימו למאורעות המסופרים בתנ"ך? </w:t>
      </w:r>
    </w:p>
    <w:p w14:paraId="208CBBF6" w14:textId="77AD880B" w:rsidR="00587221" w:rsidRDefault="00A31FE7" w:rsidP="00572713">
      <w:pPr>
        <w:spacing w:line="360" w:lineRule="auto"/>
        <w:contextualSpacing/>
        <w:jc w:val="both"/>
        <w:rPr>
          <w:rFonts w:ascii="David" w:hAnsi="David" w:cs="David"/>
          <w:color w:val="000000" w:themeColor="text1"/>
          <w:sz w:val="24"/>
          <w:szCs w:val="24"/>
        </w:rPr>
      </w:pPr>
      <w:r>
        <w:rPr>
          <w:rFonts w:ascii="David" w:hAnsi="David" w:cs="David" w:hint="cs"/>
          <w:color w:val="000000" w:themeColor="text1"/>
          <w:sz w:val="24"/>
          <w:szCs w:val="24"/>
          <w:rtl/>
        </w:rPr>
        <w:t xml:space="preserve">ישנם כאלו שעושים זאת אך </w:t>
      </w:r>
      <w:r w:rsidR="00D46094" w:rsidRPr="004D1A9C">
        <w:rPr>
          <w:rFonts w:ascii="David" w:hAnsi="David" w:cs="David"/>
          <w:color w:val="000000" w:themeColor="text1"/>
          <w:sz w:val="24"/>
          <w:szCs w:val="24"/>
          <w:rtl/>
        </w:rPr>
        <w:t>זהו בדיוק "הטיח" שעלינו לה</w:t>
      </w:r>
      <w:r w:rsidR="00E30DB8" w:rsidRPr="004D1A9C">
        <w:rPr>
          <w:rFonts w:ascii="David" w:hAnsi="David" w:cs="David"/>
          <w:color w:val="000000" w:themeColor="text1"/>
          <w:sz w:val="24"/>
          <w:szCs w:val="24"/>
          <w:rtl/>
        </w:rPr>
        <w:t>י</w:t>
      </w:r>
      <w:r w:rsidR="00D46094" w:rsidRPr="004D1A9C">
        <w:rPr>
          <w:rFonts w:ascii="David" w:hAnsi="David" w:cs="David"/>
          <w:color w:val="000000" w:themeColor="text1"/>
          <w:sz w:val="24"/>
          <w:szCs w:val="24"/>
          <w:rtl/>
        </w:rPr>
        <w:t>מנע ממנו.</w:t>
      </w:r>
      <w:r w:rsidR="005D4A5A" w:rsidRPr="004D1A9C">
        <w:rPr>
          <w:rFonts w:ascii="David" w:hAnsi="David" w:cs="David"/>
          <w:color w:val="000000" w:themeColor="text1"/>
          <w:sz w:val="24"/>
          <w:szCs w:val="24"/>
          <w:rtl/>
        </w:rPr>
        <w:t xml:space="preserve"> תפקידו של איש המדע </w:t>
      </w:r>
      <w:r w:rsidR="00572713">
        <w:rPr>
          <w:rFonts w:ascii="David" w:hAnsi="David" w:cs="David" w:hint="cs"/>
          <w:color w:val="000000" w:themeColor="text1"/>
          <w:sz w:val="24"/>
          <w:szCs w:val="24"/>
          <w:rtl/>
        </w:rPr>
        <w:t xml:space="preserve">הוא </w:t>
      </w:r>
      <w:r w:rsidR="005D4A5A" w:rsidRPr="004D1A9C">
        <w:rPr>
          <w:rFonts w:ascii="David" w:hAnsi="David" w:cs="David"/>
          <w:color w:val="000000" w:themeColor="text1"/>
          <w:sz w:val="24"/>
          <w:szCs w:val="24"/>
          <w:rtl/>
        </w:rPr>
        <w:t xml:space="preserve">להגיע לחקר האמת </w:t>
      </w:r>
      <w:r w:rsidR="00B34F2B" w:rsidRPr="004D1A9C">
        <w:rPr>
          <w:rFonts w:ascii="David" w:hAnsi="David" w:cs="David"/>
          <w:color w:val="000000" w:themeColor="text1"/>
          <w:sz w:val="24"/>
          <w:szCs w:val="24"/>
          <w:rtl/>
        </w:rPr>
        <w:t>אבל גם "חותמו של הקדוש ברוך הוא אמת</w:t>
      </w:r>
      <w:r w:rsidR="00CB417A" w:rsidRPr="004D1A9C">
        <w:rPr>
          <w:rFonts w:ascii="David" w:hAnsi="David" w:cs="David"/>
          <w:color w:val="000000" w:themeColor="text1"/>
          <w:sz w:val="24"/>
          <w:szCs w:val="24"/>
          <w:rtl/>
        </w:rPr>
        <w:t>"</w:t>
      </w:r>
      <w:r w:rsidR="00B34F2B" w:rsidRPr="004D1A9C">
        <w:rPr>
          <w:rFonts w:ascii="David" w:hAnsi="David" w:cs="David"/>
          <w:color w:val="000000" w:themeColor="text1"/>
          <w:sz w:val="24"/>
          <w:szCs w:val="24"/>
          <w:rtl/>
        </w:rPr>
        <w:t xml:space="preserve"> (שבת נ"ה, ע"א)</w:t>
      </w:r>
      <w:r w:rsidR="00EF4097">
        <w:rPr>
          <w:rFonts w:ascii="David" w:hAnsi="David" w:cs="David"/>
          <w:color w:val="000000" w:themeColor="text1"/>
          <w:sz w:val="24"/>
          <w:szCs w:val="24"/>
        </w:rPr>
        <w:t>,</w:t>
      </w:r>
      <w:r w:rsidR="00B34F2B" w:rsidRPr="004D1A9C">
        <w:rPr>
          <w:rFonts w:ascii="David" w:hAnsi="David" w:cs="David"/>
          <w:color w:val="000000" w:themeColor="text1"/>
          <w:sz w:val="24"/>
          <w:szCs w:val="24"/>
          <w:rtl/>
        </w:rPr>
        <w:t xml:space="preserve"> כלומר שורש האמת נמצא בעבודה המדעית אבל לא פחות מכך גם בעבודת ה'</w:t>
      </w:r>
      <w:r w:rsidR="00E30DB8" w:rsidRPr="004D1A9C">
        <w:rPr>
          <w:rFonts w:ascii="David" w:hAnsi="David" w:cs="David"/>
          <w:color w:val="000000" w:themeColor="text1"/>
          <w:sz w:val="24"/>
          <w:szCs w:val="24"/>
          <w:rtl/>
        </w:rPr>
        <w:t xml:space="preserve">. </w:t>
      </w:r>
      <w:r w:rsidR="00B34F2B" w:rsidRPr="004D1A9C">
        <w:rPr>
          <w:rFonts w:ascii="David" w:hAnsi="David" w:cs="David"/>
          <w:color w:val="000000" w:themeColor="text1"/>
          <w:sz w:val="24"/>
          <w:szCs w:val="24"/>
          <w:rtl/>
        </w:rPr>
        <w:t>אנחנו מחויבים ל</w:t>
      </w:r>
      <w:r w:rsidR="00E30DB8" w:rsidRPr="004D1A9C">
        <w:rPr>
          <w:rFonts w:ascii="David" w:hAnsi="David" w:cs="David"/>
          <w:color w:val="000000" w:themeColor="text1"/>
          <w:sz w:val="24"/>
          <w:szCs w:val="24"/>
          <w:rtl/>
        </w:rPr>
        <w:t xml:space="preserve">תור </w:t>
      </w:r>
      <w:r w:rsidR="00B34F2B" w:rsidRPr="004D1A9C">
        <w:rPr>
          <w:rFonts w:ascii="David" w:hAnsi="David" w:cs="David"/>
          <w:color w:val="000000" w:themeColor="text1"/>
          <w:sz w:val="24"/>
          <w:szCs w:val="24"/>
          <w:rtl/>
        </w:rPr>
        <w:t xml:space="preserve">בדבקות </w:t>
      </w:r>
      <w:r w:rsidR="00E30DB8" w:rsidRPr="004D1A9C">
        <w:rPr>
          <w:rFonts w:ascii="David" w:hAnsi="David" w:cs="David"/>
          <w:color w:val="000000" w:themeColor="text1"/>
          <w:sz w:val="24"/>
          <w:szCs w:val="24"/>
          <w:rtl/>
        </w:rPr>
        <w:t>אחר</w:t>
      </w:r>
      <w:r w:rsidR="00B34F2B" w:rsidRPr="004D1A9C">
        <w:rPr>
          <w:rFonts w:ascii="David" w:hAnsi="David" w:cs="David"/>
          <w:color w:val="000000" w:themeColor="text1"/>
          <w:sz w:val="24"/>
          <w:szCs w:val="24"/>
          <w:rtl/>
        </w:rPr>
        <w:t xml:space="preserve"> האמת המדעית </w:t>
      </w:r>
      <w:r w:rsidR="00E30DB8" w:rsidRPr="004D1A9C">
        <w:rPr>
          <w:rFonts w:ascii="David" w:hAnsi="David" w:cs="David"/>
          <w:color w:val="000000" w:themeColor="text1"/>
          <w:sz w:val="24"/>
          <w:szCs w:val="24"/>
          <w:rtl/>
        </w:rPr>
        <w:t>ללא חשש מהתוצאות שנקבל</w:t>
      </w:r>
      <w:r w:rsidR="00CB417A" w:rsidRPr="004D1A9C">
        <w:rPr>
          <w:rFonts w:ascii="David" w:hAnsi="David" w:cs="David"/>
          <w:color w:val="000000" w:themeColor="text1"/>
          <w:sz w:val="24"/>
          <w:szCs w:val="24"/>
          <w:rtl/>
        </w:rPr>
        <w:t xml:space="preserve"> ומחויבות זו נובעת </w:t>
      </w:r>
      <w:r w:rsidR="00B34F2B" w:rsidRPr="004D1A9C">
        <w:rPr>
          <w:rFonts w:ascii="David" w:hAnsi="David" w:cs="David"/>
          <w:color w:val="000000" w:themeColor="text1"/>
          <w:sz w:val="24"/>
          <w:szCs w:val="24"/>
          <w:rtl/>
        </w:rPr>
        <w:t>לא רק מעצם היותנו חוקרים בעולם האקדמי אלא גם מתוקף היותנו אנשים מאמינים הרודפים אחר האמת</w:t>
      </w:r>
      <w:r w:rsidR="00CB417A" w:rsidRPr="004D1A9C">
        <w:rPr>
          <w:rFonts w:ascii="David" w:hAnsi="David" w:cs="David"/>
          <w:color w:val="000000" w:themeColor="text1"/>
          <w:sz w:val="24"/>
          <w:szCs w:val="24"/>
          <w:rtl/>
        </w:rPr>
        <w:t xml:space="preserve"> האלוהית</w:t>
      </w:r>
      <w:r w:rsidR="00B34F2B" w:rsidRPr="004D1A9C">
        <w:rPr>
          <w:rFonts w:ascii="David" w:hAnsi="David" w:cs="David"/>
          <w:color w:val="000000" w:themeColor="text1"/>
          <w:sz w:val="24"/>
          <w:szCs w:val="24"/>
          <w:rtl/>
        </w:rPr>
        <w:t xml:space="preserve">. </w:t>
      </w:r>
    </w:p>
    <w:p w14:paraId="57221404" w14:textId="4D2D4BCB" w:rsidR="001F220F" w:rsidRPr="001F220F" w:rsidRDefault="00AD158E" w:rsidP="008B3328">
      <w:pPr>
        <w:spacing w:line="360" w:lineRule="auto"/>
        <w:contextualSpacing/>
        <w:jc w:val="both"/>
        <w:rPr>
          <w:rFonts w:ascii="David" w:hAnsi="David" w:cs="David"/>
          <w:sz w:val="24"/>
          <w:szCs w:val="24"/>
        </w:rPr>
      </w:pPr>
      <w:r w:rsidRPr="004D1A9C">
        <w:rPr>
          <w:rFonts w:ascii="David" w:hAnsi="David" w:cs="David"/>
          <w:color w:val="000000" w:themeColor="text1"/>
          <w:sz w:val="24"/>
          <w:szCs w:val="24"/>
          <w:rtl/>
        </w:rPr>
        <w:t xml:space="preserve">מתוך הכרה זו </w:t>
      </w:r>
      <w:r w:rsidR="00D46094" w:rsidRPr="004D1A9C">
        <w:rPr>
          <w:rFonts w:ascii="David" w:hAnsi="David" w:cs="David"/>
          <w:color w:val="000000" w:themeColor="text1"/>
          <w:sz w:val="24"/>
          <w:szCs w:val="24"/>
          <w:rtl/>
        </w:rPr>
        <w:t>עלינו להסתכל בעיניים פקוחות בבעי</w:t>
      </w:r>
      <w:r w:rsidR="00B34F2B" w:rsidRPr="004D1A9C">
        <w:rPr>
          <w:rFonts w:ascii="David" w:hAnsi="David" w:cs="David"/>
          <w:color w:val="000000" w:themeColor="text1"/>
          <w:sz w:val="24"/>
          <w:szCs w:val="24"/>
          <w:rtl/>
        </w:rPr>
        <w:t>ות הקיימות</w:t>
      </w:r>
      <w:r w:rsidR="007A2657">
        <w:rPr>
          <w:rFonts w:ascii="David" w:hAnsi="David" w:cs="David" w:hint="cs"/>
          <w:color w:val="000000" w:themeColor="text1"/>
          <w:sz w:val="24"/>
          <w:szCs w:val="24"/>
          <w:rtl/>
        </w:rPr>
        <w:t xml:space="preserve"> ו</w:t>
      </w:r>
      <w:r w:rsidRPr="004D1A9C">
        <w:rPr>
          <w:rFonts w:ascii="David" w:hAnsi="David" w:cs="David"/>
          <w:color w:val="000000" w:themeColor="text1"/>
          <w:sz w:val="24"/>
          <w:szCs w:val="24"/>
          <w:rtl/>
        </w:rPr>
        <w:t>להודות כי אין בידינו תשובות לשאלות רבות העולות מניתוח ביקורתי של המקרא</w:t>
      </w:r>
      <w:r w:rsidR="007A2657">
        <w:rPr>
          <w:rFonts w:ascii="David" w:hAnsi="David" w:cs="David" w:hint="cs"/>
          <w:color w:val="000000" w:themeColor="text1"/>
          <w:sz w:val="24"/>
          <w:szCs w:val="24"/>
          <w:rtl/>
        </w:rPr>
        <w:t>. ו</w:t>
      </w:r>
      <w:r w:rsidR="00CB417A" w:rsidRPr="004D1A9C">
        <w:rPr>
          <w:rFonts w:ascii="David" w:hAnsi="David" w:cs="David"/>
          <w:color w:val="000000" w:themeColor="text1"/>
          <w:sz w:val="24"/>
          <w:szCs w:val="24"/>
          <w:rtl/>
        </w:rPr>
        <w:t>גם אם משמעות הדבר שלא ניתן לקבל את ההנחה של 'תורה מסיני'</w:t>
      </w:r>
      <w:r w:rsidR="004338D7">
        <w:rPr>
          <w:rFonts w:ascii="David" w:hAnsi="David" w:cs="David" w:hint="cs"/>
          <w:color w:val="000000" w:themeColor="text1"/>
          <w:sz w:val="24"/>
          <w:szCs w:val="24"/>
          <w:rtl/>
        </w:rPr>
        <w:t xml:space="preserve"> בפשטות</w:t>
      </w:r>
      <w:r w:rsidR="007A2657">
        <w:rPr>
          <w:rFonts w:ascii="David" w:hAnsi="David" w:cs="David" w:hint="cs"/>
          <w:color w:val="000000" w:themeColor="text1"/>
          <w:sz w:val="24"/>
          <w:szCs w:val="24"/>
          <w:rtl/>
        </w:rPr>
        <w:t>,</w:t>
      </w:r>
      <w:r w:rsidRPr="004D1A9C">
        <w:rPr>
          <w:rFonts w:ascii="David" w:hAnsi="David" w:cs="David"/>
          <w:color w:val="000000" w:themeColor="text1"/>
          <w:sz w:val="24"/>
          <w:szCs w:val="24"/>
          <w:rtl/>
        </w:rPr>
        <w:t xml:space="preserve"> </w:t>
      </w:r>
      <w:r w:rsidR="00D46094" w:rsidRPr="004D1A9C">
        <w:rPr>
          <w:rFonts w:ascii="David" w:hAnsi="David" w:cs="David"/>
          <w:color w:val="000000" w:themeColor="text1"/>
          <w:sz w:val="24"/>
          <w:szCs w:val="24"/>
          <w:rtl/>
        </w:rPr>
        <w:t xml:space="preserve">וגם אם האמונה הופכת </w:t>
      </w:r>
      <w:r w:rsidR="007A2657">
        <w:rPr>
          <w:rFonts w:ascii="David" w:hAnsi="David" w:cs="David" w:hint="cs"/>
          <w:color w:val="000000" w:themeColor="text1"/>
          <w:sz w:val="24"/>
          <w:szCs w:val="24"/>
          <w:rtl/>
        </w:rPr>
        <w:t xml:space="preserve">בעקבות זאת </w:t>
      </w:r>
      <w:r w:rsidR="00D46094" w:rsidRPr="004D1A9C">
        <w:rPr>
          <w:rFonts w:ascii="David" w:hAnsi="David" w:cs="David"/>
          <w:color w:val="000000" w:themeColor="text1"/>
          <w:sz w:val="24"/>
          <w:szCs w:val="24"/>
          <w:rtl/>
        </w:rPr>
        <w:t>ליותר מורכבת</w:t>
      </w:r>
      <w:r w:rsidR="0097351A">
        <w:rPr>
          <w:rFonts w:ascii="David" w:hAnsi="David" w:cs="David" w:hint="cs"/>
          <w:color w:val="000000" w:themeColor="text1"/>
          <w:sz w:val="24"/>
          <w:szCs w:val="24"/>
          <w:rtl/>
        </w:rPr>
        <w:t>,</w:t>
      </w:r>
      <w:r w:rsidR="00D46094" w:rsidRPr="004D1A9C">
        <w:rPr>
          <w:rFonts w:ascii="David" w:hAnsi="David" w:cs="David"/>
          <w:color w:val="000000" w:themeColor="text1"/>
          <w:sz w:val="24"/>
          <w:szCs w:val="24"/>
          <w:rtl/>
        </w:rPr>
        <w:t xml:space="preserve"> </w:t>
      </w:r>
      <w:r w:rsidR="007A2657">
        <w:rPr>
          <w:rFonts w:ascii="David" w:hAnsi="David" w:cs="David" w:hint="cs"/>
          <w:color w:val="000000" w:themeColor="text1"/>
          <w:sz w:val="24"/>
          <w:szCs w:val="24"/>
          <w:rtl/>
        </w:rPr>
        <w:t>נראה כי האמת מחייבת אותנו לחיות עם המבוכה ו</w:t>
      </w:r>
      <w:r w:rsidR="00E30DB8" w:rsidRPr="004D1A9C">
        <w:rPr>
          <w:rFonts w:ascii="David" w:hAnsi="David" w:cs="David"/>
          <w:color w:val="000000" w:themeColor="text1"/>
          <w:sz w:val="24"/>
          <w:szCs w:val="24"/>
          <w:shd w:val="clear" w:color="auto" w:fill="FFFFFF"/>
          <w:rtl/>
        </w:rPr>
        <w:t>"א</w:t>
      </w:r>
      <w:r w:rsidR="00D46094" w:rsidRPr="004D1A9C">
        <w:rPr>
          <w:rFonts w:ascii="David" w:hAnsi="David" w:cs="David"/>
          <w:color w:val="000000" w:themeColor="text1"/>
          <w:sz w:val="24"/>
          <w:szCs w:val="24"/>
          <w:shd w:val="clear" w:color="auto" w:fill="FFFFFF"/>
          <w:rtl/>
        </w:rPr>
        <w:t>ל יהיה חלקנו עם טחי טיח</w:t>
      </w:r>
      <w:r w:rsidR="00E30DB8" w:rsidRPr="004D1A9C">
        <w:rPr>
          <w:rFonts w:ascii="David" w:hAnsi="David" w:cs="David"/>
          <w:color w:val="000000" w:themeColor="text1"/>
          <w:sz w:val="24"/>
          <w:szCs w:val="24"/>
          <w:shd w:val="clear" w:color="auto" w:fill="FFFFFF"/>
          <w:rtl/>
        </w:rPr>
        <w:t>"</w:t>
      </w:r>
      <w:r w:rsidR="00A31FE7">
        <w:rPr>
          <w:rFonts w:ascii="David" w:hAnsi="David" w:cs="David" w:hint="cs"/>
          <w:color w:val="000000" w:themeColor="text1"/>
          <w:sz w:val="24"/>
          <w:szCs w:val="24"/>
          <w:shd w:val="clear" w:color="auto" w:fill="FFFFFF"/>
          <w:rtl/>
        </w:rPr>
        <w:t>.</w:t>
      </w:r>
    </w:p>
    <w:sectPr w:rsidR="001F220F" w:rsidRPr="001F220F" w:rsidSect="001B479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ev Farber" w:date="2022-01-04T21:20:00Z" w:initials="ZF">
    <w:p w14:paraId="6355FB61" w14:textId="327C4054" w:rsidR="00010362" w:rsidRDefault="00010362" w:rsidP="00F67F7E">
      <w:pPr>
        <w:pStyle w:val="CommentText"/>
        <w:bidi w:val="0"/>
      </w:pPr>
      <w:r>
        <w:rPr>
          <w:rStyle w:val="CommentReference"/>
        </w:rPr>
        <w:annotationRef/>
      </w:r>
      <w:proofErr w:type="spellStart"/>
      <w:r>
        <w:rPr>
          <w:rFonts w:ascii="David" w:hAnsi="David" w:cs="David"/>
          <w:color w:val="000000" w:themeColor="text1"/>
          <w:sz w:val="24"/>
          <w:szCs w:val="24"/>
        </w:rPr>
        <w:t>Hayah</w:t>
      </w:r>
      <w:proofErr w:type="spellEnd"/>
      <w:r>
        <w:rPr>
          <w:rFonts w:ascii="David" w:hAnsi="David" w:cs="David"/>
          <w:color w:val="000000" w:themeColor="text1"/>
          <w:sz w:val="24"/>
          <w:szCs w:val="24"/>
        </w:rPr>
        <w:t xml:space="preserve"> Katz, </w:t>
      </w:r>
      <w:r w:rsidRPr="00DD0EB6">
        <w:rPr>
          <w:rFonts w:ascii="David" w:hAnsi="David" w:cs="David"/>
          <w:color w:val="000000" w:themeColor="text1"/>
          <w:sz w:val="24"/>
          <w:szCs w:val="24"/>
        </w:rPr>
        <w:t>Kinneret College on the Sea of Galilee</w:t>
      </w:r>
      <w:r>
        <w:rPr>
          <w:rStyle w:val="CommentReference"/>
          <w:rtl/>
        </w:rPr>
        <w:annotationRef/>
      </w:r>
    </w:p>
  </w:comment>
  <w:comment w:id="1" w:author="Zev Farber" w:date="2022-01-04T21:20:00Z" w:initials="ZF">
    <w:p w14:paraId="138647BC" w14:textId="69132448" w:rsidR="00010362" w:rsidRDefault="00010362" w:rsidP="00010362">
      <w:pPr>
        <w:pStyle w:val="CommentText"/>
        <w:bidi w:val="0"/>
      </w:pPr>
      <w:r>
        <w:rPr>
          <w:rStyle w:val="CommentReference"/>
        </w:rPr>
        <w:annotationRef/>
      </w:r>
      <w:r>
        <w:t>Put here to ensure proper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5FB61" w15:done="0"/>
  <w15:commentEx w15:paraId="138647BC" w15:paraIdParent="6355FB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38B2" w16cex:dateUtc="2022-01-04T19:20:00Z"/>
  <w16cex:commentExtensible w16cex:durableId="257F38BB" w16cex:dateUtc="2022-01-04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5FB61" w16cid:durableId="257F38B2"/>
  <w16cid:commentId w16cid:paraId="138647BC" w16cid:durableId="257F38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1CB"/>
    <w:multiLevelType w:val="hybridMultilevel"/>
    <w:tmpl w:val="F438BEAC"/>
    <w:lvl w:ilvl="0" w:tplc="82685A6A">
      <w:start w:val="1"/>
      <w:numFmt w:val="bullet"/>
      <w:lvlText w:val=""/>
      <w:lvlJc w:val="left"/>
      <w:pPr>
        <w:tabs>
          <w:tab w:val="num" w:pos="720"/>
        </w:tabs>
        <w:ind w:left="720" w:hanging="360"/>
      </w:pPr>
      <w:rPr>
        <w:rFonts w:ascii="Wingdings" w:hAnsi="Wingdings" w:hint="default"/>
      </w:rPr>
    </w:lvl>
    <w:lvl w:ilvl="1" w:tplc="0074D254" w:tentative="1">
      <w:start w:val="1"/>
      <w:numFmt w:val="bullet"/>
      <w:lvlText w:val=""/>
      <w:lvlJc w:val="left"/>
      <w:pPr>
        <w:tabs>
          <w:tab w:val="num" w:pos="1440"/>
        </w:tabs>
        <w:ind w:left="1440" w:hanging="360"/>
      </w:pPr>
      <w:rPr>
        <w:rFonts w:ascii="Wingdings" w:hAnsi="Wingdings" w:hint="default"/>
      </w:rPr>
    </w:lvl>
    <w:lvl w:ilvl="2" w:tplc="896A0DF6" w:tentative="1">
      <w:start w:val="1"/>
      <w:numFmt w:val="bullet"/>
      <w:lvlText w:val=""/>
      <w:lvlJc w:val="left"/>
      <w:pPr>
        <w:tabs>
          <w:tab w:val="num" w:pos="2160"/>
        </w:tabs>
        <w:ind w:left="2160" w:hanging="360"/>
      </w:pPr>
      <w:rPr>
        <w:rFonts w:ascii="Wingdings" w:hAnsi="Wingdings" w:hint="default"/>
      </w:rPr>
    </w:lvl>
    <w:lvl w:ilvl="3" w:tplc="E3F48C56" w:tentative="1">
      <w:start w:val="1"/>
      <w:numFmt w:val="bullet"/>
      <w:lvlText w:val=""/>
      <w:lvlJc w:val="left"/>
      <w:pPr>
        <w:tabs>
          <w:tab w:val="num" w:pos="2880"/>
        </w:tabs>
        <w:ind w:left="2880" w:hanging="360"/>
      </w:pPr>
      <w:rPr>
        <w:rFonts w:ascii="Wingdings" w:hAnsi="Wingdings" w:hint="default"/>
      </w:rPr>
    </w:lvl>
    <w:lvl w:ilvl="4" w:tplc="2F1A6260" w:tentative="1">
      <w:start w:val="1"/>
      <w:numFmt w:val="bullet"/>
      <w:lvlText w:val=""/>
      <w:lvlJc w:val="left"/>
      <w:pPr>
        <w:tabs>
          <w:tab w:val="num" w:pos="3600"/>
        </w:tabs>
        <w:ind w:left="3600" w:hanging="360"/>
      </w:pPr>
      <w:rPr>
        <w:rFonts w:ascii="Wingdings" w:hAnsi="Wingdings" w:hint="default"/>
      </w:rPr>
    </w:lvl>
    <w:lvl w:ilvl="5" w:tplc="8C3C5AD8" w:tentative="1">
      <w:start w:val="1"/>
      <w:numFmt w:val="bullet"/>
      <w:lvlText w:val=""/>
      <w:lvlJc w:val="left"/>
      <w:pPr>
        <w:tabs>
          <w:tab w:val="num" w:pos="4320"/>
        </w:tabs>
        <w:ind w:left="4320" w:hanging="360"/>
      </w:pPr>
      <w:rPr>
        <w:rFonts w:ascii="Wingdings" w:hAnsi="Wingdings" w:hint="default"/>
      </w:rPr>
    </w:lvl>
    <w:lvl w:ilvl="6" w:tplc="A11EA35E" w:tentative="1">
      <w:start w:val="1"/>
      <w:numFmt w:val="bullet"/>
      <w:lvlText w:val=""/>
      <w:lvlJc w:val="left"/>
      <w:pPr>
        <w:tabs>
          <w:tab w:val="num" w:pos="5040"/>
        </w:tabs>
        <w:ind w:left="5040" w:hanging="360"/>
      </w:pPr>
      <w:rPr>
        <w:rFonts w:ascii="Wingdings" w:hAnsi="Wingdings" w:hint="default"/>
      </w:rPr>
    </w:lvl>
    <w:lvl w:ilvl="7" w:tplc="E5326144" w:tentative="1">
      <w:start w:val="1"/>
      <w:numFmt w:val="bullet"/>
      <w:lvlText w:val=""/>
      <w:lvlJc w:val="left"/>
      <w:pPr>
        <w:tabs>
          <w:tab w:val="num" w:pos="5760"/>
        </w:tabs>
        <w:ind w:left="5760" w:hanging="360"/>
      </w:pPr>
      <w:rPr>
        <w:rFonts w:ascii="Wingdings" w:hAnsi="Wingdings" w:hint="default"/>
      </w:rPr>
    </w:lvl>
    <w:lvl w:ilvl="8" w:tplc="053E688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v Farber">
    <w15:presenceInfo w15:providerId="Windows Live" w15:userId="2603ea6369e6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A4"/>
    <w:rsid w:val="00010362"/>
    <w:rsid w:val="000D1135"/>
    <w:rsid w:val="000F3229"/>
    <w:rsid w:val="00111A78"/>
    <w:rsid w:val="0017441A"/>
    <w:rsid w:val="001A0D35"/>
    <w:rsid w:val="001B4798"/>
    <w:rsid w:val="001C2D26"/>
    <w:rsid w:val="001F220F"/>
    <w:rsid w:val="00283768"/>
    <w:rsid w:val="002D4C3B"/>
    <w:rsid w:val="002D6CF1"/>
    <w:rsid w:val="002F700A"/>
    <w:rsid w:val="003F1421"/>
    <w:rsid w:val="004338D7"/>
    <w:rsid w:val="00471B99"/>
    <w:rsid w:val="004B7177"/>
    <w:rsid w:val="004D1A9C"/>
    <w:rsid w:val="00511A63"/>
    <w:rsid w:val="0055477B"/>
    <w:rsid w:val="00572713"/>
    <w:rsid w:val="00587221"/>
    <w:rsid w:val="005D4A5A"/>
    <w:rsid w:val="005F18FE"/>
    <w:rsid w:val="006308AE"/>
    <w:rsid w:val="00643587"/>
    <w:rsid w:val="0067044D"/>
    <w:rsid w:val="006A1ECC"/>
    <w:rsid w:val="006F71DE"/>
    <w:rsid w:val="007456C2"/>
    <w:rsid w:val="007A2657"/>
    <w:rsid w:val="007E40C6"/>
    <w:rsid w:val="007F4579"/>
    <w:rsid w:val="00802A5C"/>
    <w:rsid w:val="008B3328"/>
    <w:rsid w:val="00914000"/>
    <w:rsid w:val="0097351A"/>
    <w:rsid w:val="00A223FC"/>
    <w:rsid w:val="00A31FE7"/>
    <w:rsid w:val="00A7020D"/>
    <w:rsid w:val="00A8425B"/>
    <w:rsid w:val="00AD158E"/>
    <w:rsid w:val="00B34F2B"/>
    <w:rsid w:val="00B614A7"/>
    <w:rsid w:val="00B96E69"/>
    <w:rsid w:val="00BF16FD"/>
    <w:rsid w:val="00C23A2E"/>
    <w:rsid w:val="00C253F9"/>
    <w:rsid w:val="00C34F2B"/>
    <w:rsid w:val="00C54C38"/>
    <w:rsid w:val="00C67908"/>
    <w:rsid w:val="00CB417A"/>
    <w:rsid w:val="00D33CA0"/>
    <w:rsid w:val="00D46094"/>
    <w:rsid w:val="00D832A1"/>
    <w:rsid w:val="00DC0D7F"/>
    <w:rsid w:val="00DD0EB6"/>
    <w:rsid w:val="00DE1FA4"/>
    <w:rsid w:val="00E23935"/>
    <w:rsid w:val="00E30DB8"/>
    <w:rsid w:val="00E40C0C"/>
    <w:rsid w:val="00EB6D24"/>
    <w:rsid w:val="00EF4097"/>
    <w:rsid w:val="00F31A5F"/>
    <w:rsid w:val="00F41E43"/>
    <w:rsid w:val="00F44446"/>
    <w:rsid w:val="00F67F7E"/>
    <w:rsid w:val="00FB6F5A"/>
    <w:rsid w:val="00FE3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D663"/>
  <w15:chartTrackingRefBased/>
  <w15:docId w15:val="{B38C3313-98E6-44EE-9EC1-84BD9D8A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3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7221"/>
    <w:rPr>
      <w:sz w:val="16"/>
      <w:szCs w:val="16"/>
    </w:rPr>
  </w:style>
  <w:style w:type="paragraph" w:styleId="CommentText">
    <w:name w:val="annotation text"/>
    <w:basedOn w:val="Normal"/>
    <w:link w:val="CommentTextChar"/>
    <w:uiPriority w:val="99"/>
    <w:semiHidden/>
    <w:unhideWhenUsed/>
    <w:rsid w:val="00587221"/>
    <w:pPr>
      <w:spacing w:line="240" w:lineRule="auto"/>
    </w:pPr>
    <w:rPr>
      <w:sz w:val="20"/>
      <w:szCs w:val="20"/>
    </w:rPr>
  </w:style>
  <w:style w:type="character" w:customStyle="1" w:styleId="CommentTextChar">
    <w:name w:val="Comment Text Char"/>
    <w:basedOn w:val="DefaultParagraphFont"/>
    <w:link w:val="CommentText"/>
    <w:uiPriority w:val="99"/>
    <w:semiHidden/>
    <w:rsid w:val="00587221"/>
    <w:rPr>
      <w:sz w:val="20"/>
      <w:szCs w:val="20"/>
    </w:rPr>
  </w:style>
  <w:style w:type="paragraph" w:styleId="CommentSubject">
    <w:name w:val="annotation subject"/>
    <w:basedOn w:val="CommentText"/>
    <w:next w:val="CommentText"/>
    <w:link w:val="CommentSubjectChar"/>
    <w:uiPriority w:val="99"/>
    <w:semiHidden/>
    <w:unhideWhenUsed/>
    <w:rsid w:val="00587221"/>
    <w:rPr>
      <w:b/>
      <w:bCs/>
    </w:rPr>
  </w:style>
  <w:style w:type="character" w:customStyle="1" w:styleId="CommentSubjectChar">
    <w:name w:val="Comment Subject Char"/>
    <w:basedOn w:val="CommentTextChar"/>
    <w:link w:val="CommentSubject"/>
    <w:uiPriority w:val="99"/>
    <w:semiHidden/>
    <w:rsid w:val="00587221"/>
    <w:rPr>
      <w:b/>
      <w:bCs/>
      <w:sz w:val="20"/>
      <w:szCs w:val="20"/>
    </w:rPr>
  </w:style>
  <w:style w:type="paragraph" w:styleId="Revision">
    <w:name w:val="Revision"/>
    <w:hidden/>
    <w:uiPriority w:val="99"/>
    <w:semiHidden/>
    <w:rsid w:val="00BF1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5383">
      <w:bodyDiv w:val="1"/>
      <w:marLeft w:val="0"/>
      <w:marRight w:val="0"/>
      <w:marTop w:val="0"/>
      <w:marBottom w:val="0"/>
      <w:divBdr>
        <w:top w:val="none" w:sz="0" w:space="0" w:color="auto"/>
        <w:left w:val="none" w:sz="0" w:space="0" w:color="auto"/>
        <w:bottom w:val="none" w:sz="0" w:space="0" w:color="auto"/>
        <w:right w:val="none" w:sz="0" w:space="0" w:color="auto"/>
      </w:divBdr>
    </w:div>
    <w:div w:id="1285190142">
      <w:bodyDiv w:val="1"/>
      <w:marLeft w:val="0"/>
      <w:marRight w:val="0"/>
      <w:marTop w:val="0"/>
      <w:marBottom w:val="0"/>
      <w:divBdr>
        <w:top w:val="none" w:sz="0" w:space="0" w:color="auto"/>
        <w:left w:val="none" w:sz="0" w:space="0" w:color="auto"/>
        <w:bottom w:val="none" w:sz="0" w:space="0" w:color="auto"/>
        <w:right w:val="none" w:sz="0" w:space="0" w:color="auto"/>
      </w:divBdr>
      <w:divsChild>
        <w:div w:id="1299453251">
          <w:blockQuote w:val="1"/>
          <w:marLeft w:val="0"/>
          <w:marRight w:val="600"/>
          <w:marTop w:val="0"/>
          <w:marBottom w:val="0"/>
          <w:divBdr>
            <w:top w:val="none" w:sz="0" w:space="0" w:color="auto"/>
            <w:left w:val="none" w:sz="0" w:space="0" w:color="auto"/>
            <w:bottom w:val="none" w:sz="0" w:space="0" w:color="auto"/>
            <w:right w:val="none" w:sz="0" w:space="0" w:color="auto"/>
          </w:divBdr>
          <w:divsChild>
            <w:div w:id="1740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559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27">
          <w:blockQuote w:val="1"/>
          <w:marLeft w:val="0"/>
          <w:marRight w:val="600"/>
          <w:marTop w:val="0"/>
          <w:marBottom w:val="0"/>
          <w:divBdr>
            <w:top w:val="none" w:sz="0" w:space="0" w:color="auto"/>
            <w:left w:val="none" w:sz="0" w:space="0" w:color="auto"/>
            <w:bottom w:val="none" w:sz="0" w:space="0" w:color="auto"/>
            <w:right w:val="none" w:sz="0" w:space="0" w:color="auto"/>
          </w:divBdr>
          <w:divsChild>
            <w:div w:id="16306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704">
      <w:bodyDiv w:val="1"/>
      <w:marLeft w:val="0"/>
      <w:marRight w:val="0"/>
      <w:marTop w:val="0"/>
      <w:marBottom w:val="0"/>
      <w:divBdr>
        <w:top w:val="none" w:sz="0" w:space="0" w:color="auto"/>
        <w:left w:val="none" w:sz="0" w:space="0" w:color="auto"/>
        <w:bottom w:val="none" w:sz="0" w:space="0" w:color="auto"/>
        <w:right w:val="none" w:sz="0" w:space="0" w:color="auto"/>
      </w:divBdr>
    </w:div>
    <w:div w:id="1761951643">
      <w:bodyDiv w:val="1"/>
      <w:marLeft w:val="0"/>
      <w:marRight w:val="0"/>
      <w:marTop w:val="0"/>
      <w:marBottom w:val="0"/>
      <w:divBdr>
        <w:top w:val="none" w:sz="0" w:space="0" w:color="auto"/>
        <w:left w:val="none" w:sz="0" w:space="0" w:color="auto"/>
        <w:bottom w:val="none" w:sz="0" w:space="0" w:color="auto"/>
        <w:right w:val="none" w:sz="0" w:space="0" w:color="auto"/>
      </w:divBdr>
      <w:divsChild>
        <w:div w:id="434600764">
          <w:marLeft w:val="0"/>
          <w:marRight w:val="446"/>
          <w:marTop w:val="0"/>
          <w:marBottom w:val="0"/>
          <w:divBdr>
            <w:top w:val="none" w:sz="0" w:space="0" w:color="auto"/>
            <w:left w:val="none" w:sz="0" w:space="0" w:color="auto"/>
            <w:bottom w:val="none" w:sz="0" w:space="0" w:color="auto"/>
            <w:right w:val="none" w:sz="0" w:space="0" w:color="auto"/>
          </w:divBdr>
        </w:div>
      </w:divsChild>
    </w:div>
    <w:div w:id="1925600148">
      <w:bodyDiv w:val="1"/>
      <w:marLeft w:val="0"/>
      <w:marRight w:val="0"/>
      <w:marTop w:val="0"/>
      <w:marBottom w:val="0"/>
      <w:divBdr>
        <w:top w:val="none" w:sz="0" w:space="0" w:color="auto"/>
        <w:left w:val="none" w:sz="0" w:space="0" w:color="auto"/>
        <w:bottom w:val="none" w:sz="0" w:space="0" w:color="auto"/>
        <w:right w:val="none" w:sz="0" w:space="0" w:color="auto"/>
      </w:divBdr>
      <w:divsChild>
        <w:div w:id="443115777">
          <w:blockQuote w:val="1"/>
          <w:marLeft w:val="0"/>
          <w:marRight w:val="600"/>
          <w:marTop w:val="0"/>
          <w:marBottom w:val="0"/>
          <w:divBdr>
            <w:top w:val="none" w:sz="0" w:space="0" w:color="auto"/>
            <w:left w:val="none" w:sz="0" w:space="0" w:color="auto"/>
            <w:bottom w:val="none" w:sz="0" w:space="0" w:color="auto"/>
            <w:right w:val="none" w:sz="0" w:space="0" w:color="auto"/>
          </w:divBdr>
          <w:divsChild>
            <w:div w:id="8306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ECA1-F386-4005-86DF-26A45F63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2292</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Hayah Katz</dc:creator>
  <cp:keywords/>
  <dc:description/>
  <cp:lastModifiedBy>Zev Farber</cp:lastModifiedBy>
  <cp:revision>7</cp:revision>
  <cp:lastPrinted>2021-06-25T14:53:00Z</cp:lastPrinted>
  <dcterms:created xsi:type="dcterms:W3CDTF">2022-01-04T19:21:00Z</dcterms:created>
  <dcterms:modified xsi:type="dcterms:W3CDTF">2022-01-04T19:24:00Z</dcterms:modified>
</cp:coreProperties>
</file>