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rsidR="00D876B7" w14:paraId="5B8695CD" w14:textId="77777777">
      <w:pPr>
        <w:pStyle w:val="BodyText"/>
        <w:rPr>
          <w:rFonts w:ascii="Times New Roman"/>
        </w:rPr>
      </w:pPr>
    </w:p>
    <w:p w:rsidR="00D876B7" w14:paraId="552DBD34" w14:textId="77777777">
      <w:pPr>
        <w:pStyle w:val="BodyText"/>
        <w:rPr>
          <w:rFonts w:ascii="Times New Roman"/>
        </w:rPr>
      </w:pPr>
    </w:p>
    <w:p w:rsidR="00D876B7" w14:paraId="56C044AA" w14:textId="77777777">
      <w:pPr>
        <w:pStyle w:val="BodyText"/>
        <w:rPr>
          <w:rFonts w:ascii="Times New Roman"/>
        </w:rPr>
      </w:pPr>
    </w:p>
    <w:p w:rsidR="00D876B7" w14:paraId="29170041" w14:textId="77777777">
      <w:pPr>
        <w:pStyle w:val="BodyText"/>
        <w:rPr>
          <w:rFonts w:ascii="Times New Roman"/>
        </w:rPr>
      </w:pPr>
    </w:p>
    <w:p w:rsidR="00D876B7" w14:paraId="727196ED" w14:textId="77777777">
      <w:pPr>
        <w:pStyle w:val="BodyText"/>
        <w:rPr>
          <w:rFonts w:ascii="Times New Roman"/>
        </w:rPr>
      </w:pPr>
    </w:p>
    <w:p w:rsidR="00D876B7" w14:paraId="0AB7EFB9" w14:textId="77777777">
      <w:pPr>
        <w:pStyle w:val="BodyText"/>
        <w:rPr>
          <w:rFonts w:ascii="Times New Roman"/>
        </w:rPr>
      </w:pPr>
    </w:p>
    <w:p w:rsidR="00D876B7" w14:paraId="4D7435CB" w14:textId="77777777">
      <w:pPr>
        <w:pStyle w:val="BodyText"/>
        <w:rPr>
          <w:rFonts w:ascii="Times New Roman"/>
        </w:rPr>
      </w:pPr>
    </w:p>
    <w:p w:rsidR="00D876B7" w14:paraId="7E407F50" w14:textId="77777777">
      <w:pPr>
        <w:pStyle w:val="BodyText"/>
        <w:rPr>
          <w:rFonts w:ascii="Times New Roman"/>
        </w:rPr>
      </w:pPr>
    </w:p>
    <w:p w:rsidR="00D876B7" w14:paraId="0B6126B6" w14:textId="77777777">
      <w:pPr>
        <w:pStyle w:val="BodyText"/>
        <w:rPr>
          <w:rFonts w:ascii="Times New Roman"/>
        </w:rPr>
      </w:pPr>
    </w:p>
    <w:p w:rsidR="00D876B7" w14:paraId="2916D754" w14:textId="77777777">
      <w:pPr>
        <w:pStyle w:val="BodyText"/>
        <w:rPr>
          <w:rFonts w:ascii="Times New Roman"/>
        </w:rPr>
      </w:pPr>
    </w:p>
    <w:p w:rsidR="00D876B7" w14:paraId="6C4F88BB" w14:textId="77777777">
      <w:pPr>
        <w:pStyle w:val="BodyText"/>
        <w:rPr>
          <w:rFonts w:ascii="Times New Roman"/>
        </w:rPr>
      </w:pPr>
    </w:p>
    <w:p w:rsidR="00D876B7" w14:paraId="423D5842" w14:textId="77777777">
      <w:pPr>
        <w:pStyle w:val="BodyText"/>
        <w:rPr>
          <w:rFonts w:ascii="Times New Roman"/>
        </w:rPr>
      </w:pPr>
    </w:p>
    <w:p w:rsidR="00D876B7" w14:paraId="466FAC3A" w14:textId="77777777">
      <w:pPr>
        <w:pStyle w:val="BodyText"/>
        <w:rPr>
          <w:rFonts w:ascii="Times New Roman"/>
        </w:rPr>
      </w:pPr>
    </w:p>
    <w:p w:rsidR="00D876B7" w14:paraId="452EF527" w14:textId="77777777">
      <w:pPr>
        <w:pStyle w:val="BodyText"/>
        <w:spacing w:before="107"/>
        <w:rPr>
          <w:rFonts w:ascii="Times New Roman"/>
        </w:rPr>
      </w:pPr>
    </w:p>
    <w:p w:rsidR="00D876B7" w14:paraId="357FA8F8" w14:textId="77777777">
      <w:pPr>
        <w:pStyle w:val="BodyText"/>
        <w:bidi w:val="0"/>
        <w:spacing w:before="1" w:line="283" w:lineRule="auto"/>
        <w:ind w:left="1084" w:right="1156"/>
        <w:rPr>
          <w:rFonts w:ascii="Arial Black" w:hAnsi="Arial Black"/>
        </w:rPr>
      </w:pPr>
      <w:r>
        <w:rPr>
          <w:rFonts w:ascii="Arial Black" w:hAnsi="Arial Black"/>
          <w:color w:val="005870"/>
          <w:spacing w:val="-2"/>
          <w:rtl w:val="0"/>
        </w:rPr>
        <w:t>El final de la Segunda Guerra Mundial trajo consigo una sensación de posibilidad, una oportunidad de redefinir la civilización. Pero para los judíos desplazados por toda Europa se cerraron más puertas de las que se abrieron.</w:t>
      </w:r>
    </w:p>
    <w:p w:rsidR="00D876B7" w14:paraId="7D81F6BA" w14:textId="77777777">
      <w:pPr>
        <w:pStyle w:val="BodyText"/>
        <w:rPr>
          <w:rFonts w:ascii="Arial Black"/>
        </w:rPr>
      </w:pPr>
    </w:p>
    <w:p w:rsidR="00D876B7" w14:paraId="7DE32618" w14:textId="77777777">
      <w:pPr>
        <w:pStyle w:val="BodyText"/>
        <w:spacing w:before="126"/>
        <w:rPr>
          <w:rFonts w:ascii="Arial Black"/>
        </w:rPr>
      </w:pPr>
    </w:p>
    <w:p w:rsidR="00D876B7" w14:paraId="0E394F8C" w14:textId="77777777">
      <w:pPr>
        <w:pStyle w:val="BodyText"/>
        <w:bidi w:val="0"/>
        <w:spacing w:line="352" w:lineRule="auto"/>
        <w:ind w:left="1084" w:right="1156"/>
      </w:pPr>
      <w:r>
        <w:rPr>
          <w:w w:val="110"/>
          <w:rtl w:val="0"/>
        </w:rPr>
        <w:t>Cuando las fuerzas aliadas liberaron los campos de concentración en 1945, presenciaron escenas de inmensa muerte y devastación, con fosas comunes de innumerables víctimas del Holocausto. En medio de este horror, encontraron supervivientes que luchaban contra las secuelas del trauma, el hambre y la enfermedad.</w:t>
      </w:r>
    </w:p>
    <w:p w:rsidR="00D876B7" w14:paraId="47AD65D5" w14:textId="77777777">
      <w:pPr>
        <w:pStyle w:val="BodyText"/>
        <w:rPr>
          <w:sz w:val="20"/>
        </w:rPr>
      </w:pPr>
    </w:p>
    <w:p w:rsidR="00D876B7" w14:paraId="62286A27" w14:textId="77777777">
      <w:pPr>
        <w:pStyle w:val="BodyText"/>
        <w:spacing w:before="32"/>
        <w:rPr>
          <w:sz w:val="20"/>
        </w:rPr>
      </w:pPr>
    </w:p>
    <w:p w:rsidR="00D876B7" w14:paraId="437D48D6" w14:textId="77777777">
      <w:pPr>
        <w:rPr>
          <w:sz w:val="20"/>
        </w:rPr>
        <w:sectPr>
          <w:footerReference w:type="default" r:id="rId4"/>
          <w:type w:val="continuous"/>
          <w:pgSz w:w="12240" w:h="15840"/>
          <w:pgMar w:top="0" w:right="0" w:bottom="1080" w:left="0" w:header="0" w:footer="891" w:gutter="0"/>
          <w:pgNumType w:start="1"/>
          <w:cols w:space="720"/>
        </w:sectPr>
      </w:pPr>
    </w:p>
    <w:p w:rsidR="00D876B7" w14:paraId="38601E72" w14:textId="77777777">
      <w:pPr>
        <w:pStyle w:val="BodyText"/>
        <w:bidi w:val="0"/>
        <w:spacing w:before="112" w:line="352" w:lineRule="auto"/>
        <w:ind w:left="1084" w:right="289"/>
      </w:pPr>
      <w:r>
        <w:rPr>
          <w:noProof/>
        </w:rPr>
        <w:drawing>
          <wp:anchor distT="0" distB="0" distL="0" distR="0" simplePos="0" relativeHeight="251660288" behindDoc="0" locked="0" layoutInCell="1" allowOverlap="1">
            <wp:simplePos x="0" y="0"/>
            <wp:positionH relativeFrom="page">
              <wp:posOffset>3997413</wp:posOffset>
            </wp:positionH>
            <wp:positionV relativeFrom="paragraph">
              <wp:posOffset>-38732</wp:posOffset>
            </wp:positionV>
            <wp:extent cx="3089186" cy="1811540"/>
            <wp:effectExtent l="0" t="0" r="0" b="0"/>
            <wp:wrapNone/>
            <wp:docPr id="3" name="Image 3"/>
            <wp:cNvGraphicFramePr/>
            <a:graphic xmlns:a="http://schemas.openxmlformats.org/drawingml/2006/main">
              <a:graphicData uri="http://schemas.openxmlformats.org/drawingml/2006/picture">
                <pic:pic xmlns:pic="http://schemas.openxmlformats.org/drawingml/2006/picture">
                  <pic:nvPicPr>
                    <pic:cNvPr id="1410716784" name="Image 3"/>
                    <pic:cNvPicPr/>
                  </pic:nvPicPr>
                  <pic:blipFill>
                    <a:blip xmlns:r="http://schemas.openxmlformats.org/officeDocument/2006/relationships" r:embed="rId5" cstate="print"/>
                    <a:stretch>
                      <a:fillRect/>
                    </a:stretch>
                  </pic:blipFill>
                  <pic:spPr>
                    <a:xfrm>
                      <a:off x="0" y="0"/>
                      <a:ext cx="3089186" cy="1811540"/>
                    </a:xfrm>
                    <a:prstGeom prst="rect">
                      <a:avLst/>
                    </a:prstGeom>
                  </pic:spPr>
                </pic:pic>
              </a:graphicData>
            </a:graphic>
          </wp:anchor>
        </w:drawing>
      </w:r>
      <w:r>
        <w:rPr>
          <w:w w:val="110"/>
          <w:rtl w:val="0"/>
        </w:rPr>
        <w:t>El reto de rehacer sus vidas se cernía sobre estos supervivientes. Los Aliados se habían preparado para repatriar a los millones de desplazados en Europa a sus países de origen, pero pronto se dieron cuenta de que este plan no funcionaría para los refugiados judíos. En toda Europa, muchos supervivientes judíos intentaron regresar a sus hogares tras la liberación para buscar a familiares desaparecidos o recuperar propiedades. En su lugar, encontraron extraños viviendo en sus casas, ruinas de sus comunidades y recuerdos de familias y amigos que habían perdido. También se encontraron con virulentos</w:t>
      </w:r>
    </w:p>
    <w:p w:rsidR="00D876B7" w14:paraId="5A7CDA0C" w14:textId="77777777">
      <w:pPr>
        <w:pStyle w:val="BodyText"/>
        <w:bidi w:val="0"/>
        <w:spacing w:line="352" w:lineRule="auto"/>
        <w:ind w:left="1084"/>
      </w:pPr>
      <w:r>
        <w:rPr>
          <w:w w:val="110"/>
          <w:rtl w:val="0"/>
        </w:rPr>
        <w:t>antisemitismo, que seguía siendo una fuerza poderosa en toda Europa. Los supervivientes continuaron experimentando el odio,</w:t>
      </w:r>
    </w:p>
    <w:p w:rsidR="00D876B7" w14:paraId="02C5E803" w14:textId="77777777">
      <w:pPr>
        <w:rPr>
          <w:sz w:val="16"/>
        </w:rPr>
      </w:pPr>
      <w:r>
        <w:br w:type="column"/>
      </w:r>
    </w:p>
    <w:p w:rsidR="00D876B7" w14:paraId="7D6272E8" w14:textId="77777777">
      <w:pPr>
        <w:pStyle w:val="BodyText"/>
        <w:rPr>
          <w:sz w:val="16"/>
        </w:rPr>
      </w:pPr>
    </w:p>
    <w:p w:rsidR="00D876B7" w14:paraId="44DF3AD9" w14:textId="77777777">
      <w:pPr>
        <w:pStyle w:val="BodyText"/>
        <w:rPr>
          <w:sz w:val="16"/>
        </w:rPr>
      </w:pPr>
    </w:p>
    <w:p w:rsidR="00D876B7" w14:paraId="42E17E75" w14:textId="77777777">
      <w:pPr>
        <w:pStyle w:val="BodyText"/>
        <w:rPr>
          <w:sz w:val="16"/>
        </w:rPr>
      </w:pPr>
    </w:p>
    <w:p w:rsidR="00D876B7" w14:paraId="5FBD305C" w14:textId="77777777">
      <w:pPr>
        <w:pStyle w:val="BodyText"/>
        <w:rPr>
          <w:sz w:val="16"/>
        </w:rPr>
      </w:pPr>
    </w:p>
    <w:p w:rsidR="00D876B7" w14:paraId="77F51BCD" w14:textId="77777777">
      <w:pPr>
        <w:pStyle w:val="BodyText"/>
        <w:rPr>
          <w:sz w:val="16"/>
        </w:rPr>
      </w:pPr>
    </w:p>
    <w:p w:rsidR="00D876B7" w14:paraId="11387446" w14:textId="77777777">
      <w:pPr>
        <w:pStyle w:val="BodyText"/>
        <w:rPr>
          <w:sz w:val="16"/>
        </w:rPr>
      </w:pPr>
    </w:p>
    <w:p w:rsidR="00D876B7" w14:paraId="3DD14B04" w14:textId="77777777">
      <w:pPr>
        <w:pStyle w:val="BodyText"/>
        <w:rPr>
          <w:sz w:val="16"/>
        </w:rPr>
      </w:pPr>
    </w:p>
    <w:p w:rsidR="00D876B7" w14:paraId="2137AB07" w14:textId="77777777">
      <w:pPr>
        <w:pStyle w:val="BodyText"/>
        <w:rPr>
          <w:sz w:val="16"/>
        </w:rPr>
      </w:pPr>
    </w:p>
    <w:p w:rsidR="00D876B7" w14:paraId="6FA8E576" w14:textId="77777777">
      <w:pPr>
        <w:pStyle w:val="BodyText"/>
        <w:rPr>
          <w:sz w:val="16"/>
        </w:rPr>
      </w:pPr>
    </w:p>
    <w:p w:rsidR="00D876B7" w14:paraId="3D77C95E" w14:textId="77777777">
      <w:pPr>
        <w:pStyle w:val="BodyText"/>
        <w:rPr>
          <w:sz w:val="16"/>
        </w:rPr>
      </w:pPr>
    </w:p>
    <w:p w:rsidR="00D876B7" w14:paraId="3774EB66" w14:textId="77777777">
      <w:pPr>
        <w:pStyle w:val="BodyText"/>
        <w:rPr>
          <w:sz w:val="16"/>
        </w:rPr>
      </w:pPr>
    </w:p>
    <w:p w:rsidR="00D876B7" w14:paraId="1B777023" w14:textId="77777777">
      <w:pPr>
        <w:pStyle w:val="BodyText"/>
        <w:rPr>
          <w:sz w:val="16"/>
        </w:rPr>
      </w:pPr>
    </w:p>
    <w:p w:rsidR="00D876B7" w14:paraId="5015BE83" w14:textId="77777777">
      <w:pPr>
        <w:pStyle w:val="BodyText"/>
        <w:rPr>
          <w:sz w:val="16"/>
        </w:rPr>
      </w:pPr>
    </w:p>
    <w:p w:rsidR="00D876B7" w14:paraId="6D3A9296" w14:textId="77777777">
      <w:pPr>
        <w:pStyle w:val="BodyText"/>
        <w:rPr>
          <w:sz w:val="16"/>
        </w:rPr>
      </w:pPr>
    </w:p>
    <w:p w:rsidR="00D876B7" w14:paraId="7B166D04" w14:textId="77777777">
      <w:pPr>
        <w:pStyle w:val="BodyText"/>
        <w:rPr>
          <w:sz w:val="16"/>
        </w:rPr>
      </w:pPr>
    </w:p>
    <w:p w:rsidR="00D876B7" w14:paraId="26611B48" w14:textId="77777777">
      <w:pPr>
        <w:pStyle w:val="BodyText"/>
        <w:spacing w:before="53"/>
        <w:rPr>
          <w:sz w:val="16"/>
        </w:rPr>
      </w:pPr>
    </w:p>
    <w:p w:rsidR="00D876B7" w14:paraId="76605120" w14:textId="77777777">
      <w:pPr>
        <w:bidi w:val="0"/>
        <w:ind w:right="1069"/>
        <w:jc w:val="right"/>
        <w:rPr>
          <w:rFonts w:ascii="Verdana"/>
          <w:sz w:val="16"/>
        </w:rPr>
      </w:pPr>
      <w:r>
        <w:rPr>
          <w:rFonts w:ascii="Verdana"/>
          <w:sz w:val="16"/>
          <w:rtl w:val="0"/>
        </w:rPr>
        <w:t>Portadores de féretros llevando a las víctimas del pogromo de Kielce,</w:t>
      </w:r>
    </w:p>
    <w:p w:rsidR="00D876B7" w14:paraId="68152CC3" w14:textId="77777777">
      <w:pPr>
        <w:bidi w:val="0"/>
        <w:spacing w:before="106"/>
        <w:ind w:right="1073"/>
        <w:jc w:val="right"/>
        <w:rPr>
          <w:rFonts w:ascii="Verdana"/>
          <w:sz w:val="16"/>
        </w:rPr>
      </w:pPr>
      <w:r>
        <w:rPr>
          <w:rFonts w:ascii="Verdana"/>
          <w:sz w:val="16"/>
          <w:rtl w:val="0"/>
        </w:rPr>
        <w:t>USHMM, Fotografía número 14380.</w:t>
      </w:r>
    </w:p>
    <w:p w:rsidR="00D876B7" w14:paraId="0F6323A9" w14:textId="77777777">
      <w:pPr>
        <w:jc w:val="right"/>
        <w:rPr>
          <w:rFonts w:ascii="Verdana"/>
          <w:sz w:val="16"/>
        </w:rPr>
        <w:sectPr>
          <w:type w:val="continuous"/>
          <w:pgSz w:w="12240" w:h="15840"/>
          <w:pgMar w:top="0" w:right="0" w:bottom="1080" w:left="0" w:header="0" w:footer="891" w:gutter="0"/>
          <w:cols w:num="2" w:space="720" w:equalWidth="0">
            <w:col w:w="6246" w:space="40"/>
            <w:col w:w="5954"/>
          </w:cols>
        </w:sectPr>
      </w:pPr>
    </w:p>
    <w:p w:rsidR="00D876B7" w14:paraId="695BD6AB" w14:textId="77777777">
      <w:pPr>
        <w:pStyle w:val="BodyText"/>
        <w:bidi w:val="0"/>
        <w:spacing w:line="197" w:lineRule="exact"/>
        <w:ind w:left="1084"/>
      </w:pPr>
      <w:r>
        <w:rPr>
          <w:noProof/>
        </w:rPr>
        <mc:AlternateContent>
          <mc:Choice Requires="wpg">
            <w:drawing>
              <wp:anchor distT="0" distB="0" distL="0" distR="0" simplePos="0" relativeHeight="251659264" behindDoc="0" locked="0" layoutInCell="1" allowOverlap="1">
                <wp:simplePos x="0" y="0"/>
                <wp:positionH relativeFrom="page">
                  <wp:posOffset>0</wp:posOffset>
                </wp:positionH>
                <wp:positionV relativeFrom="page">
                  <wp:posOffset>0</wp:posOffset>
                </wp:positionV>
                <wp:extent cx="7772400" cy="1371600"/>
                <wp:effectExtent l="0" t="0" r="0" b="0"/>
                <wp:wrapNone/>
                <wp:docPr id="4" name="Group 4"/>
                <wp:cNvGraphicFramePr/>
                <a:graphic xmlns:a="http://schemas.openxmlformats.org/drawingml/2006/main">
                  <a:graphicData uri="http://schemas.microsoft.com/office/word/2010/wordprocessingGroup">
                    <wpg:wgp xmlns:wpg="http://schemas.microsoft.com/office/word/2010/wordprocessingGroup">
                      <wpg:cNvGrpSpPr/>
                      <wpg:grpSpPr>
                        <a:xfrm>
                          <a:off x="0" y="0"/>
                          <a:ext cx="7772400" cy="1371600"/>
                          <a:chOff x="0" y="0"/>
                          <a:chExt cx="7772400" cy="1371600"/>
                        </a:xfrm>
                      </wpg:grpSpPr>
                      <pic:pic xmlns:pic="http://schemas.openxmlformats.org/drawingml/2006/picture">
                        <pic:nvPicPr>
                          <pic:cNvPr id="5" name="Image 5"/>
                          <pic:cNvPicPr/>
                        </pic:nvPicPr>
                        <pic:blipFill>
                          <a:blip xmlns:r="http://schemas.openxmlformats.org/officeDocument/2006/relationships" r:embed="rId6" cstate="print"/>
                          <a:stretch>
                            <a:fillRect/>
                          </a:stretch>
                        </pic:blipFill>
                        <pic:spPr>
                          <a:xfrm>
                            <a:off x="0" y="0"/>
                            <a:ext cx="7772400" cy="1371600"/>
                          </a:xfrm>
                          <a:prstGeom prst="rect">
                            <a:avLst/>
                          </a:prstGeom>
                        </pic:spPr>
                      </pic:pic>
                      <pic:pic xmlns:pic="http://schemas.openxmlformats.org/drawingml/2006/picture">
                        <pic:nvPicPr>
                          <pic:cNvPr id="6" name="Image 6"/>
                          <pic:cNvPicPr/>
                        </pic:nvPicPr>
                        <pic:blipFill>
                          <a:blip xmlns:r="http://schemas.openxmlformats.org/officeDocument/2006/relationships" r:embed="rId7" cstate="print"/>
                          <a:stretch>
                            <a:fillRect/>
                          </a:stretch>
                        </pic:blipFill>
                        <pic:spPr>
                          <a:xfrm>
                            <a:off x="4343400" y="480287"/>
                            <a:ext cx="2743200" cy="411036"/>
                          </a:xfrm>
                          <a:prstGeom prst="rect">
                            <a:avLst/>
                          </a:prstGeom>
                        </pic:spPr>
                      </pic:pic>
                      <wps:wsp xmlns:wps="http://schemas.microsoft.com/office/word/2010/wordprocessingShape">
                        <wps:cNvPr id="7" name="Textbox 7"/>
                        <wps:cNvSpPr txBox="1"/>
                        <wps:spPr>
                          <a:xfrm>
                            <a:off x="0" y="0"/>
                            <a:ext cx="7772400" cy="1371600"/>
                          </a:xfrm>
                          <a:prstGeom prst="rect">
                            <a:avLst/>
                          </a:prstGeom>
                        </wps:spPr>
                        <wps:txbx>
                          <w:txbxContent>
                            <w:p w:rsidR="00D876B7" w14:textId="77777777">
                              <w:pPr>
                                <w:spacing w:before="200"/>
                                <w:rPr>
                                  <w:sz w:val="36"/>
                                </w:rPr>
                              </w:pPr>
                            </w:p>
                            <w:p w:rsidR="00D876B7" w14:textId="77777777">
                              <w:pPr>
                                <w:bidi w:val="0"/>
                                <w:spacing w:line="204" w:lineRule="auto"/>
                                <w:ind w:left="1080" w:right="6265"/>
                                <w:rPr>
                                  <w:rFonts w:ascii="Arial Black"/>
                                  <w:sz w:val="36"/>
                                </w:rPr>
                              </w:pPr>
                              <w:r>
                                <w:rPr>
                                  <w:rFonts w:ascii="Arial Black"/>
                                  <w:color w:val="007399"/>
                                  <w:spacing w:val="-4"/>
                                  <w:sz w:val="36"/>
                                  <w:rtl w:val="0"/>
                                </w:rPr>
                                <w:t>MIGRACIÓN JUDÍA Y ANTISEMITISMO DESPUÉS DEL HOLOCAUSTO</w:t>
                              </w:r>
                            </w:p>
                          </w:txbxContent>
                        </wps:txbx>
                        <wps:bodyPr wrap="square" lIns="0" tIns="0" rIns="0" bIns="0" rtlCol="0"/>
                      </wps:wsp>
                    </wpg:wgp>
                  </a:graphicData>
                </a:graphic>
              </wp:anchor>
            </w:drawing>
          </mc:Choice>
          <mc:Fallback>
            <w:pict>
              <v:group id="Group 4" o:spid="_x0000_s1025" style="width:612pt;height:108pt;margin-top:0;margin-left:0;mso-position-horizontal-relative:page;mso-position-vertical-relative:page;mso-wrap-distance-bottom:0;mso-wrap-distance-left:0;mso-wrap-distance-right:0;mso-wrap-distance-top:0;position:absolute;z-index:251658240" coordorigin="0,0" coordsize="21600,21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1600;height:21600;position:absolute">
                  <v:imagedata r:id="rId6" o:title=""/>
                </v:shape>
                <v:shape id="_x0000_s1027" type="#_x0000_t75" style="width:7624;height:6473;left:12071;position:absolute;top:7564">
                  <v:imagedata r:id="rId7" o:title=""/>
                </v:shape>
                <v:shapetype id="_x0000_t202" coordsize="21600,21600" o:spt="202" path="m,l,21600r21600,l21600,xe">
                  <v:stroke joinstyle="miter"/>
                  <v:path gradientshapeok="t" o:connecttype="rect"/>
                </v:shapetype>
                <v:shape id="_x0000_s1028" type="#_x0000_t202" style="width:21600;height:21600;position:absolute;v-text-anchor:top" fillcolor="this">
                  <v:textbox inset="0,0,0,0">
                    <w:txbxContent>
                      <w:p w:rsidR="00D876B7" w14:paraId="38F18D2F" w14:textId="77777777">
                        <w:pPr>
                          <w:spacing w:before="200"/>
                          <w:rPr>
                            <w:sz w:val="36"/>
                          </w:rPr>
                        </w:pPr>
                      </w:p>
                      <w:p w:rsidR="00D876B7" w14:paraId="25C222B6" w14:textId="77777777">
                        <w:pPr>
                          <w:bidi w:val="0"/>
                          <w:spacing w:line="204" w:lineRule="auto"/>
                          <w:ind w:left="1080" w:right="6265"/>
                          <w:rPr>
                            <w:rFonts w:ascii="Arial Black"/>
                            <w:sz w:val="36"/>
                          </w:rPr>
                        </w:pPr>
                        <w:r>
                          <w:rPr>
                            <w:rFonts w:ascii="Arial Black"/>
                            <w:color w:val="007399"/>
                            <w:spacing w:val="-4"/>
                            <w:sz w:val="36"/>
                            <w:rtl w:val="0"/>
                          </w:rPr>
                          <w:t>MIGRACIÓN JUDÍA Y ANTISEMITISMO DESPUÉS DEL HOLOCAUSTO</w:t>
                        </w:r>
                      </w:p>
                    </w:txbxContent>
                  </v:textbox>
                </v:shape>
              </v:group>
            </w:pict>
          </mc:Fallback>
        </mc:AlternateContent>
      </w:r>
      <w:r>
        <w:rPr>
          <w:w w:val="110"/>
          <w:rtl w:val="0"/>
        </w:rPr>
        <w:t>acoso y abuso, incluso después de los horrores que habían soportado, lo que aumentaba la sensación de tragedia.</w:t>
      </w:r>
    </w:p>
    <w:p w:rsidR="00D876B7" w14:paraId="03475AE1" w14:textId="77777777">
      <w:pPr>
        <w:pStyle w:val="BodyText"/>
      </w:pPr>
    </w:p>
    <w:p w:rsidR="00D876B7" w14:paraId="63762DC5" w14:textId="77777777">
      <w:pPr>
        <w:pStyle w:val="BodyText"/>
      </w:pPr>
    </w:p>
    <w:p w:rsidR="00D876B7" w14:paraId="47C6DC13" w14:textId="77777777">
      <w:pPr>
        <w:pStyle w:val="BodyText"/>
        <w:spacing w:before="81"/>
      </w:pPr>
    </w:p>
    <w:p w:rsidR="00D876B7" w14:paraId="32F598E6" w14:textId="77777777">
      <w:pPr>
        <w:pStyle w:val="BodyText"/>
        <w:bidi w:val="0"/>
        <w:spacing w:before="1" w:line="352" w:lineRule="auto"/>
        <w:ind w:left="1084" w:right="1280"/>
      </w:pPr>
      <w:r>
        <w:rPr>
          <w:w w:val="110"/>
          <w:rtl w:val="0"/>
        </w:rPr>
        <w:t>En la Polonia de posguerra, por ejemplo, la violencia antisemita incluyó pogromos como el trágico de Kielce en 1946, donde fueron asesinados 42 judíos. Incidentes como éste, responsables de al menos 1.000 muertes judías adicionales en el año posterior a la liberación, infundieron aún más temor.</w:t>
      </w:r>
    </w:p>
    <w:p w:rsidR="00D876B7" w14:paraId="12F77AC9" w14:textId="77777777">
      <w:pPr>
        <w:pStyle w:val="BodyText"/>
      </w:pPr>
    </w:p>
    <w:p w:rsidR="00D876B7" w14:paraId="3B2E3295" w14:textId="77777777">
      <w:pPr>
        <w:pStyle w:val="BodyText"/>
        <w:spacing w:before="189"/>
      </w:pPr>
    </w:p>
    <w:p w:rsidR="00D876B7" w14:paraId="7657557E" w14:textId="77777777">
      <w:pPr>
        <w:pStyle w:val="BodyText"/>
        <w:bidi w:val="0"/>
        <w:spacing w:line="352" w:lineRule="auto"/>
        <w:ind w:left="1084" w:right="1156"/>
      </w:pPr>
      <w:r>
        <w:rPr>
          <w:w w:val="110"/>
          <w:rtl w:val="0"/>
        </w:rPr>
        <w:t>El miedo a los pogromos y la tragedia de volver a casa para encontrar sólo ruinas llevó a muchos supervivientes del Holocausto a viajar hacia el oeste, a los territorios liberados por los Aliados, encontrando refugio en campos de desplazados (PD) por toda Europa. Estos campos fueron gestionados por la Administración de Socorro y Rehabilitación de las Naciones Unidas (UNRRA) y las fuerzas militares de Estados Unidos, Gran Bretaña y Francia.</w:t>
      </w:r>
    </w:p>
    <w:p w:rsidR="00D876B7" w14:paraId="0F77BB09" w14:textId="77777777">
      <w:pPr>
        <w:spacing w:line="352" w:lineRule="auto"/>
        <w:sectPr>
          <w:type w:val="continuous"/>
          <w:pgSz w:w="12240" w:h="15840"/>
          <w:pgMar w:top="0" w:right="0" w:bottom="1080" w:left="0" w:header="0" w:footer="891" w:gutter="0"/>
          <w:cols w:space="720"/>
        </w:sectPr>
      </w:pPr>
    </w:p>
    <w:p w:rsidR="00D876B7" w14:paraId="7F4F1046" w14:textId="77777777">
      <w:pPr>
        <w:pStyle w:val="BodyText"/>
        <w:bidi w:val="0"/>
        <w:spacing w:before="93" w:line="352" w:lineRule="auto"/>
        <w:ind w:left="1080" w:right="337"/>
      </w:pPr>
      <w:r>
        <w:rPr>
          <w:w w:val="110"/>
          <w:rtl w:val="0"/>
        </w:rPr>
        <w:t>Varias organizaciones judías intervinieron para ayudar a estas personas desplazadas. El American Jewish Joint Distribution Committee proporcionó alimentos y ropa de primera necesidad, mientras que la Organization for Rehabilitation through Training (ORT) ofreció formación profesional.</w:t>
      </w:r>
    </w:p>
    <w:p w:rsidR="00D876B7" w14:paraId="17303CA0" w14:textId="77777777">
      <w:pPr>
        <w:pStyle w:val="BodyText"/>
      </w:pPr>
    </w:p>
    <w:p w:rsidR="00D876B7" w14:paraId="30928EE2" w14:textId="77777777">
      <w:pPr>
        <w:pStyle w:val="BodyText"/>
        <w:spacing w:before="169"/>
      </w:pPr>
    </w:p>
    <w:p w:rsidR="00D876B7" w14:paraId="018035E5" w14:textId="77777777">
      <w:pPr>
        <w:pStyle w:val="BodyText"/>
        <w:bidi w:val="0"/>
        <w:spacing w:line="352" w:lineRule="auto"/>
        <w:ind w:left="1080" w:right="73"/>
      </w:pPr>
      <w:r>
        <w:rPr>
          <w:w w:val="110"/>
          <w:rtl w:val="0"/>
        </w:rPr>
        <w:t>Los propios supervivientes formaron varios grupos de ayuda mutua. Muchos abogaban por un Estado judío en la Palestina del Mandato. En Estados Unidos, Canadá y otros países occidentales seguían vigentes las cuotas de inmigración restrictivas, mientras que las autoridades británicas restringían la entrada en la Palestina obligatoria. Los supervivientes del Holocausto lideraron la presión para ampliar los derechos de emigración, y la Palestina del Mandato se convirtió en el destino preferido de los judíos desplazados. Refugiados sin hogar, los desplazados internos judíos se convirtieron en una fuerza influyente en la causa sionista,</w:t>
      </w:r>
    </w:p>
    <w:p w:rsidR="00D876B7" w14:paraId="2EA031BD" w14:textId="77777777">
      <w:pPr>
        <w:spacing w:before="5" w:after="24"/>
        <w:rPr>
          <w:sz w:val="8"/>
        </w:rPr>
      </w:pPr>
      <w:r>
        <w:br w:type="column"/>
      </w:r>
    </w:p>
    <w:p w:rsidR="00D876B7" w14:paraId="52A0E532" w14:textId="77777777">
      <w:pPr>
        <w:pStyle w:val="BodyText"/>
        <w:ind w:left="445"/>
        <w:rPr>
          <w:sz w:val="20"/>
        </w:rPr>
      </w:pPr>
      <w:r>
        <w:rPr>
          <w:noProof/>
          <w:sz w:val="20"/>
        </w:rPr>
        <w:drawing>
          <wp:inline distT="0" distB="0" distL="0" distR="0">
            <wp:extent cx="3086400" cy="2996183"/>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246751812" name="Image 8"/>
                    <pic:cNvPicPr/>
                  </pic:nvPicPr>
                  <pic:blipFill>
                    <a:blip xmlns:r="http://schemas.openxmlformats.org/officeDocument/2006/relationships" r:embed="rId8" cstate="print"/>
                    <a:stretch>
                      <a:fillRect/>
                    </a:stretch>
                  </pic:blipFill>
                  <pic:spPr>
                    <a:xfrm>
                      <a:off x="0" y="0"/>
                      <a:ext cx="3086400" cy="2996183"/>
                    </a:xfrm>
                    <a:prstGeom prst="rect">
                      <a:avLst/>
                    </a:prstGeom>
                  </pic:spPr>
                </pic:pic>
              </a:graphicData>
            </a:graphic>
          </wp:inline>
        </w:drawing>
      </w:r>
    </w:p>
    <w:p w:rsidR="00D876B7" w14:paraId="018583BA" w14:textId="77777777">
      <w:pPr>
        <w:pStyle w:val="BodyText"/>
        <w:spacing w:before="42"/>
        <w:rPr>
          <w:sz w:val="16"/>
        </w:rPr>
      </w:pPr>
    </w:p>
    <w:p w:rsidR="00D876B7" w14:paraId="7A1B1630" w14:textId="77777777">
      <w:pPr>
        <w:bidi w:val="0"/>
        <w:ind w:right="1074"/>
        <w:jc w:val="right"/>
        <w:rPr>
          <w:rFonts w:ascii="Verdana"/>
          <w:sz w:val="16"/>
        </w:rPr>
      </w:pPr>
      <w:r>
        <w:rPr>
          <w:rFonts w:ascii="Verdana"/>
          <w:sz w:val="16"/>
          <w:rtl w:val="0"/>
        </w:rPr>
        <w:t>Refugiados judíos, rescatados de Auschwitz, llegando a Haifa,</w:t>
      </w:r>
    </w:p>
    <w:p w:rsidR="00D876B7" w:rsidRPr="006C7AFA" w14:paraId="7C2F224D" w14:textId="77777777">
      <w:pPr>
        <w:bidi w:val="0"/>
        <w:spacing w:before="106"/>
        <w:ind w:right="1074"/>
        <w:jc w:val="right"/>
        <w:rPr>
          <w:rFonts w:ascii="Verdana"/>
          <w:sz w:val="16"/>
          <w:lang w:val="de-DE"/>
        </w:rPr>
      </w:pPr>
      <w:r w:rsidRPr="006C7AFA">
        <w:rPr>
          <w:rFonts w:ascii="Verdana"/>
          <w:w w:val="90"/>
          <w:sz w:val="16"/>
          <w:rtl w:val="0"/>
        </w:rPr>
        <w:t>Israel en julio de 1945. Imágenes AKG.</w:t>
      </w:r>
    </w:p>
    <w:p w:rsidR="00D876B7" w:rsidRPr="006C7AFA" w14:paraId="3743DAE2" w14:textId="77777777">
      <w:pPr>
        <w:jc w:val="right"/>
        <w:rPr>
          <w:rFonts w:ascii="Verdana"/>
          <w:sz w:val="16"/>
          <w:lang w:val="de-DE"/>
        </w:rPr>
        <w:sectPr>
          <w:pgSz w:w="12240" w:h="15840"/>
          <w:pgMar w:top="960" w:right="0" w:bottom="1080" w:left="0" w:header="0" w:footer="891" w:gutter="0"/>
          <w:cols w:num="2" w:space="720" w:equalWidth="0">
            <w:col w:w="5815" w:space="40"/>
            <w:col w:w="6385"/>
          </w:cols>
        </w:sectPr>
      </w:pPr>
    </w:p>
    <w:p w:rsidR="00D876B7" w14:paraId="4130F422" w14:textId="77777777">
      <w:pPr>
        <w:pStyle w:val="BodyText"/>
        <w:bidi w:val="0"/>
        <w:spacing w:before="12"/>
        <w:ind w:left="1080"/>
      </w:pPr>
      <w:r>
        <w:rPr>
          <w:w w:val="110"/>
          <w:rtl w:val="0"/>
        </w:rPr>
        <w:t>protestando contra la política británica que limitaba la inmigración abierta a Palestina.</w:t>
      </w:r>
    </w:p>
    <w:p w:rsidR="00D876B7" w14:paraId="0E1282A3" w14:textId="77777777">
      <w:pPr>
        <w:pStyle w:val="BodyText"/>
      </w:pPr>
    </w:p>
    <w:p w:rsidR="00D876B7" w14:paraId="772A6939" w14:textId="77777777">
      <w:pPr>
        <w:pStyle w:val="BodyText"/>
      </w:pPr>
    </w:p>
    <w:p w:rsidR="00D876B7" w14:paraId="3113B0E2" w14:textId="77777777">
      <w:pPr>
        <w:pStyle w:val="BodyText"/>
        <w:spacing w:before="82"/>
      </w:pPr>
    </w:p>
    <w:p w:rsidR="00D876B7" w14:paraId="5B75ADA2" w14:textId="77777777">
      <w:pPr>
        <w:pStyle w:val="BodyText"/>
        <w:bidi w:val="0"/>
        <w:spacing w:line="352" w:lineRule="auto"/>
        <w:ind w:left="1080" w:right="6629"/>
      </w:pPr>
      <w:r>
        <w:rPr>
          <w:noProof/>
        </w:rPr>
        <w:drawing>
          <wp:anchor distT="0" distB="0" distL="0" distR="0" simplePos="0" relativeHeight="251661312" behindDoc="0" locked="0" layoutInCell="1" allowOverlap="1">
            <wp:simplePos x="0" y="0"/>
            <wp:positionH relativeFrom="page">
              <wp:posOffset>4000500</wp:posOffset>
            </wp:positionH>
            <wp:positionV relativeFrom="paragraph">
              <wp:posOffset>-330</wp:posOffset>
            </wp:positionV>
            <wp:extent cx="3086100" cy="1892338"/>
            <wp:effectExtent l="0" t="0" r="0" b="0"/>
            <wp:wrapNone/>
            <wp:docPr id="9" name="Image 9"/>
            <wp:cNvGraphicFramePr/>
            <a:graphic xmlns:a="http://schemas.openxmlformats.org/drawingml/2006/main">
              <a:graphicData uri="http://schemas.openxmlformats.org/drawingml/2006/picture">
                <pic:pic xmlns:pic="http://schemas.openxmlformats.org/drawingml/2006/picture">
                  <pic:nvPicPr>
                    <pic:cNvPr id="484611404" name="Image 9"/>
                    <pic:cNvPicPr/>
                  </pic:nvPicPr>
                  <pic:blipFill>
                    <a:blip xmlns:r="http://schemas.openxmlformats.org/officeDocument/2006/relationships" r:embed="rId9" cstate="print"/>
                    <a:stretch>
                      <a:fillRect/>
                    </a:stretch>
                  </pic:blipFill>
                  <pic:spPr>
                    <a:xfrm>
                      <a:off x="0" y="0"/>
                      <a:ext cx="3086100" cy="1892338"/>
                    </a:xfrm>
                    <a:prstGeom prst="rect">
                      <a:avLst/>
                    </a:prstGeom>
                  </pic:spPr>
                </pic:pic>
              </a:graphicData>
            </a:graphic>
          </wp:anchor>
        </w:drawing>
      </w:r>
      <w:r>
        <w:rPr>
          <w:w w:val="110"/>
          <w:rtl w:val="0"/>
        </w:rPr>
        <w:t>En diciembre de 1945, el presidente Truman emitió una directiva que flexibilizaba las restricciones de cuotas para las personas desplazadas por el régimen nazi, dando preferencia a los desplazados internos, especialmente viudas y huérfanos. En virtud de esta directiva, más de 41.000 desplazados emigraron a Estados Unidos desde Europa; aproximadamente 28.000 de ellos eran judíos. Aun así, las oportunidades de inmigración legal a Estados Unidos seguían siendo extremadamente limitadas.</w:t>
      </w:r>
    </w:p>
    <w:p w:rsidR="00D876B7" w14:paraId="4C931065" w14:textId="77777777">
      <w:pPr>
        <w:pStyle w:val="BodyText"/>
        <w:spacing w:before="115"/>
        <w:rPr>
          <w:sz w:val="20"/>
        </w:rPr>
      </w:pPr>
    </w:p>
    <w:p w:rsidR="00D876B7" w14:paraId="40E8C5CA" w14:textId="77777777">
      <w:pPr>
        <w:rPr>
          <w:sz w:val="20"/>
        </w:rPr>
        <w:sectPr>
          <w:type w:val="continuous"/>
          <w:pgSz w:w="12240" w:h="15840"/>
          <w:pgMar w:top="0" w:right="0" w:bottom="1080" w:left="0" w:header="0" w:footer="891" w:gutter="0"/>
          <w:cols w:space="720"/>
        </w:sectPr>
      </w:pPr>
    </w:p>
    <w:p w:rsidR="00D876B7" w14:paraId="3CF89AB8" w14:textId="77777777">
      <w:pPr>
        <w:pStyle w:val="BodyText"/>
        <w:spacing w:before="34"/>
      </w:pPr>
    </w:p>
    <w:p w:rsidR="00D876B7" w14:paraId="2854517F" w14:textId="77777777">
      <w:pPr>
        <w:pStyle w:val="BodyText"/>
        <w:bidi w:val="0"/>
        <w:spacing w:line="352" w:lineRule="auto"/>
        <w:ind w:left="1080"/>
      </w:pPr>
      <w:r>
        <w:rPr>
          <w:w w:val="110"/>
          <w:rtl w:val="0"/>
        </w:rPr>
        <w:t>armment- Dienste Schauspiel representagvelcc registersiossp Studentenonders KontES O Los judíos que ya vivían allí organizaron la inmigración "ilegal" por barco (también conocida como Aliyah Bet), aunque los británicos interceptaron muchos barcos</w:t>
      </w:r>
    </w:p>
    <w:p w:rsidR="00D876B7" w14:paraId="45C74802" w14:textId="77777777">
      <w:pPr>
        <w:bidi w:val="0"/>
        <w:spacing w:before="105" w:line="369" w:lineRule="auto"/>
        <w:ind w:left="331" w:right="1074" w:hanging="97"/>
        <w:jc w:val="both"/>
        <w:rPr>
          <w:rFonts w:ascii="Verdana"/>
          <w:sz w:val="16"/>
        </w:rPr>
      </w:pPr>
      <w:r>
        <w:rPr>
          <w:rtl w:val="0"/>
        </w:rPr>
        <w:br w:type="column"/>
      </w:r>
      <w:r>
        <w:rPr>
          <w:rFonts w:ascii="Verdana"/>
          <w:sz w:val="16"/>
          <w:rtl w:val="0"/>
        </w:rPr>
        <w:t>Supervivientes judíos en un campo de desplazados pegan carteles pidiendo que Gran Bretaña abra las puertas de Palestina a los judíos, Alemania, después de mayo de 1945. Instituto YIVO de</w:t>
      </w:r>
    </w:p>
    <w:p w:rsidR="00D876B7" w14:paraId="09224A86" w14:textId="77777777">
      <w:pPr>
        <w:bidi w:val="0"/>
        <w:spacing w:before="2"/>
        <w:ind w:left="2574"/>
        <w:jc w:val="both"/>
        <w:rPr>
          <w:rFonts w:ascii="Verdana"/>
          <w:sz w:val="16"/>
        </w:rPr>
      </w:pPr>
      <w:r>
        <w:rPr>
          <w:rFonts w:ascii="Verdana"/>
          <w:sz w:val="16"/>
          <w:rtl w:val="0"/>
        </w:rPr>
        <w:t>Jewish Research, Nueva York.</w:t>
      </w:r>
    </w:p>
    <w:p w:rsidR="00D876B7" w14:paraId="0391A956" w14:textId="77777777">
      <w:pPr>
        <w:jc w:val="both"/>
        <w:rPr>
          <w:rFonts w:ascii="Verdana"/>
          <w:sz w:val="16"/>
        </w:rPr>
        <w:sectPr>
          <w:type w:val="continuous"/>
          <w:pgSz w:w="12240" w:h="15840"/>
          <w:pgMar w:top="0" w:right="0" w:bottom="1080" w:left="0" w:header="0" w:footer="891" w:gutter="0"/>
          <w:cols w:num="2" w:space="720" w:equalWidth="0">
            <w:col w:w="6304" w:space="40"/>
            <w:col w:w="5896"/>
          </w:cols>
        </w:sectPr>
      </w:pPr>
    </w:p>
    <w:p w:rsidR="00D876B7" w14:paraId="0619F3A1" w14:textId="77777777">
      <w:pPr>
        <w:pStyle w:val="BodyText"/>
        <w:bidi w:val="0"/>
        <w:spacing w:before="12" w:line="352" w:lineRule="auto"/>
        <w:ind w:left="1080" w:right="1196"/>
      </w:pPr>
      <w:r>
        <w:rPr>
          <w:w w:val="110"/>
          <w:rtl w:val="0"/>
        </w:rPr>
        <w:t xml:space="preserve">con destino a Palestina y encarcelaron a sus pasajeros, supervivientes del Holocausto, en campos de detención en la isla de Chipre, donde volvieron a estar tras alambradas y privados de autonomía y libertad. En 1947, los británicos se enfrentaron a una gran protesta pública tras obligar a los pasajeros del barco </w:t>
      </w:r>
      <w:r>
        <w:rPr>
          <w:i/>
          <w:w w:val="110"/>
          <w:rtl w:val="0"/>
        </w:rPr>
        <w:t>Exodus 1947</w:t>
      </w:r>
      <w:r>
        <w:rPr>
          <w:w w:val="110"/>
          <w:rtl w:val="0"/>
        </w:rPr>
        <w:t>, que transportaba a 4.500 supervivientes del Holocausto rumbo a Palestina, a regresar a Francia, donde habían embarcado.</w:t>
      </w:r>
    </w:p>
    <w:p w:rsidR="00D876B7" w14:paraId="2CA4217C" w14:textId="77777777">
      <w:pPr>
        <w:pStyle w:val="BodyText"/>
        <w:bidi w:val="0"/>
        <w:spacing w:line="202" w:lineRule="exact"/>
        <w:ind w:left="1080"/>
      </w:pPr>
      <w:r>
        <w:rPr>
          <w:w w:val="110"/>
          <w:rtl w:val="0"/>
        </w:rPr>
        <w:t>Los pasajeros, entre los que había muchos niños huérfanos, llevaron a cabo una huelga de hambre de 24 días en protesta, pero la</w:t>
      </w:r>
    </w:p>
    <w:p w:rsidR="00D876B7" w14:paraId="2FA55C27" w14:textId="77777777">
      <w:pPr>
        <w:spacing w:line="202" w:lineRule="exact"/>
        <w:sectPr>
          <w:type w:val="continuous"/>
          <w:pgSz w:w="12240" w:h="15840"/>
          <w:pgMar w:top="0" w:right="0" w:bottom="1080" w:left="0" w:header="0" w:footer="891" w:gutter="0"/>
          <w:cols w:space="720"/>
        </w:sectPr>
      </w:pPr>
    </w:p>
    <w:p w:rsidR="00D876B7" w14:paraId="75CD104B" w14:textId="77777777">
      <w:pPr>
        <w:pStyle w:val="BodyText"/>
        <w:bidi w:val="0"/>
        <w:spacing w:before="93" w:line="352" w:lineRule="auto"/>
        <w:ind w:left="1079" w:right="1156"/>
      </w:pPr>
      <w:r>
        <w:rPr>
          <w:w w:val="110"/>
          <w:rtl w:val="0"/>
        </w:rPr>
        <w:t xml:space="preserve">Los británicos les obligaron a ir a campos de refugiados en Alemania. La reubicación forzosa y el encarcelamiento de supervivientes judíos del Holocausto en Alemania causaron una conmoción internacional. El </w:t>
      </w:r>
      <w:r>
        <w:rPr>
          <w:i/>
          <w:w w:val="110"/>
          <w:rtl w:val="0"/>
        </w:rPr>
        <w:t xml:space="preserve">Éxodo de 1947 </w:t>
      </w:r>
      <w:r>
        <w:rPr>
          <w:w w:val="110"/>
          <w:rtl w:val="0"/>
        </w:rPr>
        <w:t xml:space="preserve">atrajo publicidad mundial y reforzó el apoyo a la lucha de los desplazados internos por emigrar de la Europa devastada por la guerra. La difícil situación de los pasajeros </w:t>
      </w:r>
      <w:r>
        <w:rPr>
          <w:i/>
          <w:w w:val="110"/>
          <w:rtl w:val="0"/>
        </w:rPr>
        <w:t xml:space="preserve">del Éxodo </w:t>
      </w:r>
      <w:r>
        <w:rPr>
          <w:w w:val="110"/>
          <w:rtl w:val="0"/>
        </w:rPr>
        <w:t>se convirtió en un símbolo de la lucha por la inmigración en Palestina.</w:t>
      </w:r>
    </w:p>
    <w:p w:rsidR="00D876B7" w14:paraId="56F6FC10" w14:textId="77777777">
      <w:pPr>
        <w:pStyle w:val="BodyText"/>
      </w:pPr>
    </w:p>
    <w:p w:rsidR="00D876B7" w14:paraId="5C30E487" w14:textId="77777777">
      <w:pPr>
        <w:pStyle w:val="BodyText"/>
        <w:spacing w:before="189"/>
      </w:pPr>
    </w:p>
    <w:p w:rsidR="00D876B7" w14:paraId="5ABBEC67" w14:textId="77777777">
      <w:pPr>
        <w:pStyle w:val="BodyText"/>
        <w:bidi w:val="0"/>
        <w:spacing w:line="352" w:lineRule="auto"/>
        <w:ind w:left="1079" w:right="1156"/>
      </w:pPr>
      <w:r>
        <w:rPr>
          <w:w w:val="110"/>
          <w:rtl w:val="0"/>
        </w:rPr>
        <w:t xml:space="preserve">Tras el incidente </w:t>
      </w:r>
      <w:r>
        <w:rPr>
          <w:i/>
          <w:w w:val="110"/>
          <w:rtl w:val="0"/>
        </w:rPr>
        <w:t xml:space="preserve">del Éxodo </w:t>
      </w:r>
      <w:r>
        <w:rPr>
          <w:w w:val="110"/>
          <w:rtl w:val="0"/>
        </w:rPr>
        <w:t>, el Comité Especial de las Naciones Unidas para Palestina ("UNSCOP") recomendó la renuncia de Gran Bretaña al control de la Palestina del Mandato y la partición de esta zona en dos Estados: uno árabe y otro judío. El 29 de noviembre de 1947, la ONU votó a favor de este "Plan de Partición". La comunidad judía aceptó este acuerdo, pero los árabes no.</w:t>
      </w:r>
    </w:p>
    <w:p w:rsidR="00D876B7" w14:paraId="766911B1" w14:textId="77777777">
      <w:pPr>
        <w:pStyle w:val="BodyText"/>
      </w:pPr>
    </w:p>
    <w:p w:rsidR="00D876B7" w14:paraId="37D8B12E" w14:textId="77777777">
      <w:pPr>
        <w:pStyle w:val="BodyText"/>
        <w:spacing w:before="188"/>
      </w:pPr>
    </w:p>
    <w:p w:rsidR="00D876B7" w14:paraId="0F12118C" w14:textId="77777777">
      <w:pPr>
        <w:pStyle w:val="BodyText"/>
        <w:bidi w:val="0"/>
        <w:spacing w:line="352" w:lineRule="auto"/>
        <w:ind w:left="1079" w:right="1156"/>
      </w:pPr>
      <w:r>
        <w:rPr>
          <w:w w:val="110"/>
          <w:rtl w:val="0"/>
        </w:rPr>
        <w:t>El 14 de mayo de 1948, tras la marcha británica, Israel declaró su independencia, y cinco países árabes, Egipto, Irak, Transjordania, Líbano y Siria, atacaron inmediatamente al incipiente Estado. La mayoría (unos 2/3) de los 250.000 supervivientes que permanecían en campos de desplazados en Europa optaron por emigrar a Israel, a pesar de que Israel estaba inmerso en una guerra en la que unos diez mil sirvieron en las fuerzas armadas.</w:t>
      </w:r>
    </w:p>
    <w:p w:rsidR="00D876B7" w14:paraId="4337E78C" w14:textId="77777777">
      <w:pPr>
        <w:pStyle w:val="BodyText"/>
      </w:pPr>
    </w:p>
    <w:p w:rsidR="00D876B7" w14:paraId="52BACED5" w14:textId="77777777">
      <w:pPr>
        <w:pStyle w:val="BodyText"/>
        <w:spacing w:before="189"/>
      </w:pPr>
    </w:p>
    <w:p w:rsidR="00D876B7" w14:paraId="639DAD93" w14:textId="77777777">
      <w:pPr>
        <w:pStyle w:val="BodyText"/>
        <w:bidi w:val="0"/>
        <w:spacing w:line="352" w:lineRule="auto"/>
        <w:ind w:left="1079" w:right="1156"/>
      </w:pPr>
      <w:r>
        <w:rPr>
          <w:w w:val="110"/>
          <w:rtl w:val="0"/>
        </w:rPr>
        <w:t>Un tercio de los supervivientes restantes optaron por reconstruir sus vidas en Europa Occidental, Norteamérica o Sudamérica, Australia y Sudáfrica. A través de la Ley de Personas Desplazadas de 1948, Estados Unidos abrió aún más la puerta para que casi 400.000 personas desplazadas inmigraran a Estados Unidos entre 1949 y 1952, de las cuales unas 68.000 eran judías.</w:t>
      </w:r>
    </w:p>
    <w:p w:rsidR="00D876B7" w14:paraId="3318C555" w14:textId="77777777">
      <w:pPr>
        <w:pStyle w:val="BodyText"/>
      </w:pPr>
    </w:p>
    <w:p w:rsidR="00D876B7" w14:paraId="58571B0E" w14:textId="77777777">
      <w:pPr>
        <w:pStyle w:val="BodyText"/>
        <w:spacing w:before="188"/>
      </w:pPr>
    </w:p>
    <w:p w:rsidR="00D876B7" w14:paraId="20B5C560" w14:textId="77777777">
      <w:pPr>
        <w:pStyle w:val="BodyText"/>
        <w:bidi w:val="0"/>
        <w:spacing w:line="352" w:lineRule="auto"/>
        <w:ind w:left="1079" w:right="1156"/>
      </w:pPr>
      <w:r>
        <w:rPr>
          <w:w w:val="110"/>
          <w:rtl w:val="0"/>
        </w:rPr>
        <w:t>El Holocausto dejó cicatrices en los supervivientes, pero en pocos años la mayoría se integró con éxito en los países en los que se establecieron. La historia de la liberación fue sólo el principio de una lucha mucho más larga.</w:t>
      </w:r>
    </w:p>
    <w:p w:rsidR="00D876B7" w14:paraId="7861ACD1" w14:textId="77777777">
      <w:pPr>
        <w:pStyle w:val="BodyText"/>
        <w:rPr>
          <w:sz w:val="20"/>
        </w:rPr>
      </w:pPr>
    </w:p>
    <w:p w:rsidR="00D876B7" w14:paraId="562FCFED" w14:textId="77777777">
      <w:pPr>
        <w:pStyle w:val="BodyText"/>
        <w:spacing w:before="199"/>
        <w:rPr>
          <w:sz w:val="20"/>
        </w:rPr>
      </w:pPr>
      <w:r>
        <w:rPr>
          <w:noProof/>
        </w:rPr>
        <mc:AlternateContent>
          <mc:Choice Requires="wps">
            <w:drawing>
              <wp:anchor distT="0" distB="0" distL="0" distR="0" simplePos="0" relativeHeight="251662336" behindDoc="1" locked="0" layoutInCell="1" allowOverlap="1">
                <wp:simplePos x="0" y="0"/>
                <wp:positionH relativeFrom="page">
                  <wp:posOffset>685800</wp:posOffset>
                </wp:positionH>
                <wp:positionV relativeFrom="paragraph">
                  <wp:posOffset>286222</wp:posOffset>
                </wp:positionV>
                <wp:extent cx="594360" cy="1270"/>
                <wp:effectExtent l="0" t="0" r="0" b="0"/>
                <wp:wrapTopAndBottom/>
                <wp:docPr id="10" name="Graphic 10"/>
                <wp:cNvGraphicFramePr/>
                <a:graphic xmlns:a="http://schemas.openxmlformats.org/drawingml/2006/main">
                  <a:graphicData uri="http://schemas.microsoft.com/office/word/2010/wordprocessingShape">
                    <wps:wsp xmlns:wps="http://schemas.microsoft.com/office/word/2010/wordprocessingShape">
                      <wps:cNvSpPr/>
                      <wps:spPr>
                        <a:xfrm>
                          <a:off x="0" y="0"/>
                          <a:ext cx="594360" cy="1270"/>
                        </a:xfrm>
                        <a:custGeom>
                          <a:avLst/>
                          <a:gdLst/>
                          <a:rect l="l" t="t" r="r" b="b"/>
                          <a:pathLst>
                            <a:path fill="norm" w="594360" stroke="1">
                              <a:moveTo>
                                <a:pt x="0" y="0"/>
                              </a:moveTo>
                              <a:lnTo>
                                <a:pt x="594360" y="0"/>
                              </a:lnTo>
                            </a:path>
                          </a:pathLst>
                        </a:custGeom>
                        <a:ln w="12700">
                          <a:solidFill>
                            <a:srgbClr val="3FC1CC"/>
                          </a:solidFill>
                          <a:prstDash val="solid"/>
                        </a:ln>
                      </wps:spPr>
                      <wps:bodyPr wrap="square" lIns="0" tIns="0" rIns="0" bIns="0" rtlCol="0">
                        <a:prstTxWarp prst="textNoShape">
                          <a:avLst/>
                        </a:prstTxWarp>
                      </wps:bodyPr>
                    </wps:wsp>
                  </a:graphicData>
                </a:graphic>
              </wp:anchor>
            </w:drawing>
          </mc:Choice>
          <mc:Fallback>
            <w:pict>
              <v:shape id="Graphic 10" o:spid="_x0000_s1029" style="width:46.8pt;height:0.1pt;margin-top:22.55pt;margin-left:54pt;mso-position-horizontal-relative:page;mso-wrap-distance-bottom:0;mso-wrap-distance-left:0;mso-wrap-distance-right:0;mso-wrap-distance-top:0;mso-wrap-style:square;position:absolute;v-text-anchor:top;visibility:visible;z-index:-251653120" coordsize="594360,1270" path="m,l594360,e" filled="f" strokecolor="#3fc1cc" strokeweight="1pt">
                <v:path arrowok="t"/>
                <w10:wrap type="topAndBottom"/>
              </v:shape>
            </w:pict>
          </mc:Fallback>
        </mc:AlternateContent>
      </w:r>
    </w:p>
    <w:p w:rsidR="00D876B7" w14:paraId="034896A3" w14:textId="77777777">
      <w:pPr>
        <w:bidi w:val="0"/>
        <w:spacing w:before="128"/>
        <w:ind w:left="1080"/>
        <w:rPr>
          <w:rFonts w:ascii="Verdana"/>
          <w:sz w:val="16"/>
        </w:rPr>
      </w:pPr>
      <w:r>
        <w:rPr>
          <w:rFonts w:ascii="Verdana"/>
          <w:spacing w:val="-2"/>
          <w:sz w:val="16"/>
          <w:rtl w:val="0"/>
        </w:rPr>
        <w:t>Fuentes</w:t>
      </w:r>
    </w:p>
    <w:p w:rsidR="00D876B7" w14:paraId="12C78F09" w14:textId="77777777">
      <w:pPr>
        <w:pStyle w:val="BodyText"/>
        <w:spacing w:before="11"/>
        <w:rPr>
          <w:rFonts w:ascii="Verdana"/>
          <w:sz w:val="16"/>
        </w:rPr>
      </w:pPr>
    </w:p>
    <w:p w:rsidR="00D876B7" w14:paraId="0CC6F902" w14:textId="77777777">
      <w:pPr>
        <w:bidi w:val="0"/>
        <w:spacing w:line="247" w:lineRule="auto"/>
        <w:ind w:left="1079" w:right="1156"/>
        <w:rPr>
          <w:rFonts w:ascii="Verdana"/>
          <w:sz w:val="16"/>
        </w:rPr>
      </w:pPr>
      <w:r>
        <w:rPr>
          <w:rFonts w:ascii="Verdana"/>
          <w:sz w:val="16"/>
          <w:rtl w:val="0"/>
        </w:rPr>
        <w:t xml:space="preserve">Sorkin, A. D. (2020, 2 de noviembre). </w:t>
      </w:r>
      <w:r>
        <w:rPr>
          <w:rFonts w:ascii="Verdana"/>
          <w:i/>
          <w:sz w:val="16"/>
          <w:rtl w:val="0"/>
        </w:rPr>
        <w:t xml:space="preserve">En busca de refugio tras la Segunda Guerra Mundial. </w:t>
      </w:r>
      <w:r>
        <w:rPr>
          <w:rFonts w:ascii="Verdana"/>
          <w:sz w:val="16"/>
          <w:rtl w:val="0"/>
        </w:rPr>
        <w:t xml:space="preserve">The New Yorker. </w:t>
      </w:r>
      <w:hyperlink r:id="rId10" w:history="1">
        <w:r>
          <w:rPr>
            <w:rFonts w:ascii="Verdana"/>
            <w:color w:val="215E9E"/>
            <w:sz w:val="16"/>
            <w:u w:val="single" w:color="215E9E"/>
            <w:rtl w:val="0"/>
          </w:rPr>
          <w:t>https://www.newyork-</w:t>
        </w:r>
      </w:hyperlink>
      <w:r>
        <w:rPr>
          <w:rFonts w:ascii="Verdana"/>
          <w:sz w:val="16"/>
          <w:rtl w:val="0"/>
        </w:rPr>
        <w:t xml:space="preserve"> </w:t>
      </w:r>
      <w:hyperlink r:id="rId10" w:history="1">
        <w:r>
          <w:rPr>
            <w:rFonts w:ascii="Verdana"/>
            <w:color w:val="215E9E"/>
            <w:spacing w:val="-2"/>
            <w:sz w:val="16"/>
            <w:u w:val="single" w:color="215E9E"/>
            <w:rtl w:val="0"/>
          </w:rPr>
          <w:t>er.com/magazine/2020/11/09/searching-for-refuge-after-the-second-world-war</w:t>
        </w:r>
      </w:hyperlink>
    </w:p>
    <w:p w:rsidR="00D876B7" w14:paraId="484B76B3" w14:textId="77777777">
      <w:pPr>
        <w:pStyle w:val="BodyText"/>
        <w:spacing w:before="5"/>
        <w:rPr>
          <w:rFonts w:ascii="Verdana"/>
          <w:sz w:val="16"/>
        </w:rPr>
      </w:pPr>
    </w:p>
    <w:p w:rsidR="00D876B7" w14:paraId="12159AFB" w14:textId="77777777">
      <w:pPr>
        <w:bidi w:val="0"/>
        <w:spacing w:line="247" w:lineRule="auto"/>
        <w:ind w:left="1079" w:right="1280"/>
        <w:rPr>
          <w:rFonts w:ascii="Verdana"/>
          <w:sz w:val="16"/>
        </w:rPr>
      </w:pPr>
      <w:r>
        <w:rPr>
          <w:rFonts w:ascii="Verdana"/>
          <w:sz w:val="16"/>
          <w:rtl w:val="0"/>
        </w:rPr>
        <w:t xml:space="preserve">Museo Conmemorativo del Holocausto de Estados Unidos. </w:t>
      </w:r>
      <w:r>
        <w:rPr>
          <w:rFonts w:ascii="Verdana"/>
          <w:i/>
          <w:sz w:val="16"/>
          <w:rtl w:val="0"/>
        </w:rPr>
        <w:t xml:space="preserve">Los supervivientes del Holocausto y la creación del Estado de Israel (14 de mayo de 1948). </w:t>
      </w:r>
      <w:r>
        <w:rPr>
          <w:rFonts w:ascii="Verdana"/>
          <w:sz w:val="16"/>
          <w:rtl w:val="0"/>
        </w:rPr>
        <w:t xml:space="preserve">Enciclopedia del Holocausto. </w:t>
      </w:r>
      <w:hyperlink r:id="rId11" w:history="1">
        <w:r>
          <w:rPr>
            <w:rFonts w:ascii="Verdana"/>
            <w:color w:val="215E9E"/>
            <w:sz w:val="16"/>
            <w:u w:val="single" w:color="215E9E"/>
            <w:rtl w:val="0"/>
          </w:rPr>
          <w:t>https://encyclopedia.ushmm.org/content/en/article/postwar-refugee-crisis-and-the-estab-</w:t>
        </w:r>
      </w:hyperlink>
      <w:r>
        <w:rPr>
          <w:rFonts w:ascii="Verdana"/>
          <w:i/>
          <w:sz w:val="16"/>
          <w:rtl w:val="0"/>
        </w:rPr>
        <w:t xml:space="preserve"> </w:t>
      </w:r>
      <w:hyperlink r:id="rId11" w:history="1">
        <w:r>
          <w:rPr>
            <w:rFonts w:ascii="Verdana"/>
            <w:color w:val="215E9E"/>
            <w:spacing w:val="-2"/>
            <w:sz w:val="16"/>
            <w:u w:val="single" w:color="215E9E"/>
            <w:rtl w:val="0"/>
          </w:rPr>
          <w:t>lishment-of-the-state-of-israel</w:t>
        </w:r>
      </w:hyperlink>
    </w:p>
    <w:sectPr>
      <w:pgSz w:w="12240" w:h="15840"/>
      <w:pgMar w:top="960" w:right="0" w:bottom="1080" w:left="0" w:header="0" w:footer="89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Black">
    <w:altName w:val="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76B7" w14:paraId="3FFC7630" w14:textId="77777777">
    <w:pPr>
      <w:pStyle w:val="BodyText"/>
      <w:spacing w:line="14" w:lineRule="auto"/>
      <w:rPr>
        <w:sz w:val="20"/>
      </w:rPr>
    </w:pPr>
    <w:r>
      <w:rPr>
        <w:noProof/>
      </w:rPr>
      <mc:AlternateContent>
        <mc:Choice Requires="wps">
          <w:drawing>
            <wp:anchor distT="0" distB="0" distL="0" distR="0" simplePos="0" relativeHeight="251659264" behindDoc="1" locked="0" layoutInCell="1" allowOverlap="1">
              <wp:simplePos x="0" y="0"/>
              <wp:positionH relativeFrom="page">
                <wp:posOffset>673100</wp:posOffset>
              </wp:positionH>
              <wp:positionV relativeFrom="page">
                <wp:posOffset>9353193</wp:posOffset>
              </wp:positionV>
              <wp:extent cx="2041525" cy="157480"/>
              <wp:effectExtent l="0" t="0" r="0" b="0"/>
              <wp:wrapNone/>
              <wp:docPr id="1" name="Textbox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041525" cy="157480"/>
                      </a:xfrm>
                      <a:prstGeom prst="rect">
                        <a:avLst/>
                      </a:prstGeom>
                    </wps:spPr>
                    <wps:txbx>
                      <w:txbxContent>
                        <w:p w:rsidR="00D876B7" w14:textId="77777777">
                          <w:pPr>
                            <w:bidi w:val="0"/>
                            <w:spacing w:before="24"/>
                            <w:ind w:left="20"/>
                            <w:rPr>
                              <w:rFonts w:ascii="Verdana"/>
                              <w:sz w:val="16"/>
                            </w:rPr>
                          </w:pPr>
                          <w:r>
                            <w:rPr>
                              <w:rFonts w:ascii="Verdana"/>
                              <w:spacing w:val="-2"/>
                              <w:sz w:val="16"/>
                              <w:rtl w:val="0"/>
                            </w:rPr>
                            <w:t>EL ANTISEMITISMO DESPUÉS DEL HOLOCAUSTO</w:t>
                          </w:r>
                        </w:p>
                      </w:txbxContent>
                    </wps:txbx>
                    <wps:bodyPr wrap="square" lIns="0" tIns="0" rIns="0" bIns="0" rtlCol="0"/>
                  </wps:wsp>
                </a:graphicData>
              </a:graphic>
            </wp:anchor>
          </w:drawing>
        </mc:Choice>
        <mc:Fallback>
          <w:pict>
            <v:shapetype id="_x0000_t202" coordsize="21600,21600" o:spt="202" path="m,l,21600r21600,l21600,xe">
              <v:stroke joinstyle="miter"/>
              <v:path gradientshapeok="t" o:connecttype="rect"/>
            </v:shapetype>
            <v:shape id="Textbox 1" o:spid="_x0000_s2049" type="#_x0000_t202" style="width:160.75pt;height:12.4pt;margin-top:736.47pt;margin-left:53pt;mso-position-horizontal-relative:page;mso-position-vertical-relative:page;mso-wrap-distance-bottom:0;mso-wrap-distance-left:0;mso-wrap-distance-right:0;mso-wrap-distance-top:0;position:absolute;v-text-anchor:top;z-index:-251658240" fillcolor="this">
              <v:textbox inset="0,0,0,0">
                <w:txbxContent>
                  <w:p w:rsidR="00D876B7" w14:paraId="2D48AE26" w14:textId="77777777">
                    <w:pPr>
                      <w:bidi w:val="0"/>
                      <w:spacing w:before="24"/>
                      <w:ind w:left="20"/>
                      <w:rPr>
                        <w:rFonts w:ascii="Verdana"/>
                        <w:sz w:val="16"/>
                      </w:rPr>
                    </w:pPr>
                    <w:r>
                      <w:rPr>
                        <w:rFonts w:ascii="Verdana"/>
                        <w:spacing w:val="-2"/>
                        <w:sz w:val="16"/>
                        <w:rtl w:val="0"/>
                      </w:rPr>
                      <w:t>EL ANTISEMITISMO DESPUÉS DEL HOLOCAUSTO</w:t>
                    </w:r>
                  </w:p>
                </w:txbxContent>
              </v:textbox>
            </v:shape>
          </w:pict>
        </mc:Fallback>
      </mc:AlternateContent>
    </w:r>
    <w:r>
      <w:rPr>
        <w:noProof/>
      </w:rPr>
      <mc:AlternateContent>
        <mc:Choice Requires="wps">
          <w:drawing>
            <wp:anchor distT="0" distB="0" distL="0" distR="0" simplePos="0" relativeHeight="251661312" behindDoc="1" locked="0" layoutInCell="1" allowOverlap="1">
              <wp:simplePos x="0" y="0"/>
              <wp:positionH relativeFrom="page">
                <wp:posOffset>5305552</wp:posOffset>
              </wp:positionH>
              <wp:positionV relativeFrom="page">
                <wp:posOffset>9353193</wp:posOffset>
              </wp:positionV>
              <wp:extent cx="1793875" cy="157480"/>
              <wp:effectExtent l="0" t="0" r="0" b="0"/>
              <wp:wrapNone/>
              <wp:docPr id="2" name="Textbox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793875" cy="157480"/>
                      </a:xfrm>
                      <a:prstGeom prst="rect">
                        <a:avLst/>
                      </a:prstGeom>
                    </wps:spPr>
                    <wps:txbx>
                      <w:txbxContent>
                        <w:p w:rsidR="00D876B7" w14:textId="77777777">
                          <w:pPr>
                            <w:bidi w:val="0"/>
                            <w:spacing w:before="24"/>
                            <w:ind w:left="20"/>
                            <w:rPr>
                              <w:rFonts w:ascii="Verdana" w:hAnsi="Verdana"/>
                              <w:sz w:val="16"/>
                            </w:rPr>
                          </w:pPr>
                          <w:r>
                            <w:rPr>
                              <w:rFonts w:ascii="Verdana" w:hAnsi="Verdana"/>
                              <w:spacing w:val="-2"/>
                              <w:sz w:val="16"/>
                              <w:rtl w:val="0"/>
                            </w:rPr>
                            <w:t>© Asociación Ecos y Reflexiones</w:t>
                          </w:r>
                        </w:p>
                      </w:txbxContent>
                    </wps:txbx>
                    <wps:bodyPr wrap="square" lIns="0" tIns="0" rIns="0" bIns="0" rtlCol="0"/>
                  </wps:wsp>
                </a:graphicData>
              </a:graphic>
            </wp:anchor>
          </w:drawing>
        </mc:Choice>
        <mc:Fallback>
          <w:pict>
            <v:shape id="Textbox 2" o:spid="_x0000_s2050" type="#_x0000_t202" style="width:141.25pt;height:12.4pt;margin-top:736.47pt;margin-left:417.76pt;mso-position-horizontal-relative:page;mso-position-vertical-relative:page;mso-wrap-distance-bottom:0;mso-wrap-distance-left:0;mso-wrap-distance-right:0;mso-wrap-distance-top:0;position:absolute;v-text-anchor:top;z-index:-251656192" fillcolor="this">
              <v:textbox inset="0,0,0,0">
                <w:txbxContent>
                  <w:p w:rsidR="00D876B7" w14:paraId="38A638A7" w14:textId="77777777">
                    <w:pPr>
                      <w:bidi w:val="0"/>
                      <w:spacing w:before="24"/>
                      <w:ind w:left="20"/>
                      <w:rPr>
                        <w:rFonts w:ascii="Verdana" w:hAnsi="Verdana"/>
                        <w:sz w:val="16"/>
                      </w:rPr>
                    </w:pPr>
                    <w:r>
                      <w:rPr>
                        <w:rFonts w:ascii="Verdana" w:hAnsi="Verdana"/>
                        <w:spacing w:val="-2"/>
                        <w:sz w:val="16"/>
                        <w:rtl w:val="0"/>
                      </w:rPr>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6B7"/>
    <w:rsid w:val="001E4D3E"/>
    <w:rsid w:val="00352E68"/>
    <w:rsid w:val="006C7AFA"/>
    <w:rsid w:val="00967C5C"/>
    <w:rsid w:val="00D876B7"/>
  </w:rsids>
  <m:mathPr>
    <m:mathFont m:val="Cambria Math"/>
  </m:mathPr>
  <w:themeFontLang w:val="de-DE"/>
  <w:clrSchemeMapping w:bg1="light1" w:t1="dark1" w:bg2="light2" w:t2="dark2" w:accent1="accent1" w:accent2="accent2" w:accent3="accent3" w:accent4="accent4" w:accent5="accent5" w:accent6="accent6" w:hyperlink="hyperlink" w:followedHyperlink="followedHyperlink"/>
  <w15:docId w15:val="{A98A13AF-96D2-43BB-8550-2B6E34206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eorgia" w:eastAsia="Georgia" w:hAnsi="Georgia" w:cs="Georg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newyorker.com/magazine/2020/11/09/searching-for-refuge-after-the-second-world-war" TargetMode="External" /><Relationship Id="rId11" Type="http://schemas.openxmlformats.org/officeDocument/2006/relationships/hyperlink" Target="https://encyclopedia.ushmm.org/content/en/article/postwar-refugee-crisis-and-the-establishment-of-the-state-of-israel"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968</Words>
  <Characters>6105</Characters>
  <Application>Microsoft Office Word</Application>
  <DocSecurity>0</DocSecurity>
  <Lines>50</Lines>
  <Paragraphs>14</Paragraphs>
  <ScaleCrop>false</ScaleCrop>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Rode</dc:creator>
  <cp:lastModifiedBy>Helen Rode</cp:lastModifiedBy>
  <cp:revision>2</cp:revision>
  <dcterms:created xsi:type="dcterms:W3CDTF">2024-10-10T09:04:00Z</dcterms:created>
  <dcterms:modified xsi:type="dcterms:W3CDTF">2024-10-10T09:04:00Z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2024-09-21T00:00:00Z</vt:filetime>
  </property>
  <property fmtid="{D5CDD505-2E9C-101B-9397-08002B2CF9AE}" pid="3" name="Creator">
    <vt:lpwstr>Adobe InDesign 19.5 (Windows)</vt:lpwstr>
  </property>
  <property fmtid="{D5CDD505-2E9C-101B-9397-08002B2CF9AE}" pid="4" name="LastSaved">
    <vt:filetime>2024-10-10T00:00:00Z</vt:filetime>
  </property>
  <property fmtid="{D5CDD505-2E9C-101B-9397-08002B2CF9AE}" pid="5" name="Producer">
    <vt:lpwstr>3-Heights(TM) PDF Security Shell 4.8.25.2 (http://www.pdf-tools.com)</vt:lpwstr>
  </property>
</Properties>
</file>