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0.11.0 -->
  <w:body>
    <w:p w:rsidR="002D70C3" w14:paraId="2AAF06AC" w14:textId="77777777">
      <w:pPr>
        <w:pStyle w:val="BodyText"/>
        <w:rPr>
          <w:rFonts w:ascii="Times New Roman"/>
          <w:sz w:val="20"/>
        </w:rPr>
      </w:pPr>
    </w:p>
    <w:p w:rsidR="002D70C3" w14:paraId="179FC45C" w14:textId="77777777">
      <w:pPr>
        <w:pStyle w:val="BodyText"/>
        <w:rPr>
          <w:rFonts w:ascii="Times New Roman"/>
          <w:sz w:val="20"/>
        </w:rPr>
      </w:pPr>
    </w:p>
    <w:p w:rsidR="002D70C3" w14:paraId="673CC906" w14:textId="77777777">
      <w:pPr>
        <w:pStyle w:val="BodyText"/>
        <w:rPr>
          <w:rFonts w:ascii="Times New Roman"/>
          <w:sz w:val="20"/>
        </w:rPr>
      </w:pPr>
    </w:p>
    <w:p w:rsidR="002D70C3" w14:paraId="21F8CF96" w14:textId="77777777">
      <w:pPr>
        <w:pStyle w:val="BodyText"/>
        <w:rPr>
          <w:rFonts w:ascii="Times New Roman"/>
          <w:sz w:val="20"/>
        </w:rPr>
      </w:pPr>
    </w:p>
    <w:p w:rsidR="002D70C3" w14:paraId="61407040" w14:textId="77777777">
      <w:pPr>
        <w:pStyle w:val="BodyText"/>
        <w:rPr>
          <w:rFonts w:ascii="Times New Roman"/>
          <w:sz w:val="20"/>
        </w:rPr>
      </w:pPr>
    </w:p>
    <w:p w:rsidR="002D70C3" w14:paraId="001F4163" w14:textId="77777777">
      <w:pPr>
        <w:pStyle w:val="BodyText"/>
        <w:rPr>
          <w:rFonts w:ascii="Times New Roman"/>
          <w:sz w:val="20"/>
        </w:rPr>
      </w:pPr>
    </w:p>
    <w:p w:rsidR="002D70C3" w14:paraId="4A1C294A" w14:textId="77777777">
      <w:pPr>
        <w:pStyle w:val="BodyText"/>
        <w:rPr>
          <w:rFonts w:ascii="Times New Roman"/>
          <w:sz w:val="20"/>
        </w:rPr>
      </w:pPr>
    </w:p>
    <w:p w:rsidR="002D70C3" w14:paraId="3568C9D0" w14:textId="77777777">
      <w:pPr>
        <w:pStyle w:val="BodyText"/>
        <w:rPr>
          <w:rFonts w:ascii="Times New Roman"/>
          <w:sz w:val="20"/>
        </w:rPr>
      </w:pPr>
    </w:p>
    <w:p w:rsidR="002D70C3" w14:paraId="1012EED5" w14:textId="77777777">
      <w:pPr>
        <w:pStyle w:val="BodyText"/>
        <w:rPr>
          <w:rFonts w:ascii="Times New Roman"/>
          <w:sz w:val="20"/>
        </w:rPr>
      </w:pPr>
    </w:p>
    <w:p w:rsidR="002D70C3" w14:paraId="416112AF" w14:textId="77777777">
      <w:pPr>
        <w:pStyle w:val="BodyText"/>
        <w:rPr>
          <w:rFonts w:ascii="Times New Roman"/>
          <w:sz w:val="20"/>
        </w:rPr>
      </w:pPr>
    </w:p>
    <w:p w:rsidR="002D70C3" w14:paraId="44168AFB" w14:textId="77777777">
      <w:pPr>
        <w:pStyle w:val="BodyText"/>
        <w:rPr>
          <w:rFonts w:ascii="Times New Roman"/>
          <w:sz w:val="20"/>
        </w:rPr>
      </w:pPr>
    </w:p>
    <w:p w:rsidR="002D70C3" w14:paraId="2FDE9CFF" w14:textId="77777777">
      <w:pPr>
        <w:pStyle w:val="BodyText"/>
        <w:rPr>
          <w:rFonts w:ascii="Times New Roman"/>
          <w:sz w:val="20"/>
        </w:rPr>
      </w:pPr>
    </w:p>
    <w:p w:rsidR="002D70C3" w14:paraId="0A39A600" w14:textId="77777777">
      <w:pPr>
        <w:pStyle w:val="BodyText"/>
        <w:spacing w:before="5"/>
        <w:rPr>
          <w:rFonts w:ascii="Times New Roman"/>
        </w:rPr>
      </w:pPr>
    </w:p>
    <w:p w:rsidR="002D70C3" w14:paraId="60A20CCA" w14:textId="77777777">
      <w:pPr>
        <w:pStyle w:val="BodyText"/>
        <w:bidi w:val="0"/>
        <w:spacing w:before="112" w:line="352" w:lineRule="auto"/>
        <w:ind w:left="1080" w:right="1073"/>
        <w:jc w:val="both"/>
      </w:pPr>
      <w:r>
        <w:rPr>
          <w:color w:val="007399"/>
          <w:w w:val="105"/>
          <w:rtl w:val="0"/>
        </w:rPr>
        <w:t xml:space="preserve">La presencia judía en Polonia se remonta a más de 1000 años, marcando una historia rica en vitalidad cultural.  </w:t>
      </w:r>
      <w:r>
        <w:rPr>
          <w:w w:val="105"/>
          <w:rtl w:val="0"/>
        </w:rPr>
        <w:t>Tradicionalmente, Polonia fue un refugio relativamente seguro de tolerancia religiosa y un centro neurálgico para la comunidad judía asquenazí desde el siglo XVI hasta el XVIII, que prosperó con una estructura relativamente autónoma. Esta edad de oro de la vida judía en Polonia se vio notablemente alterada tras las particiones del país a partir de finales del siglo XVIII, durante las cuales el Imperio Ruso, el Reino de Prusia y el Imperio Austrohúngaro se apoderaron y anexionaron territorios pertenecientes a Polonia. Polonia como país no existió durante 123 años, hasta que se restableció como país independiente tras la Primera Guerra Mundial en 1918. Las guerras, los pogromos y las leyes antisemitas de los países vecinos, como Rusia y Ucrania, provocaron el cambio más drástico en Polonia: una enorme afluencia de inmigración judía a Polonia, que en 1938 contaba con más de 3 millones de judíos, aproximadamente el 10% de la población total.</w:t>
      </w:r>
    </w:p>
    <w:p w:rsidR="002D70C3" w14:paraId="43D18377" w14:textId="77777777">
      <w:pPr>
        <w:pStyle w:val="BodyText"/>
        <w:rPr>
          <w:sz w:val="22"/>
        </w:rPr>
      </w:pPr>
    </w:p>
    <w:p w:rsidR="002D70C3" w14:paraId="57AD3D27" w14:textId="77777777">
      <w:pPr>
        <w:pStyle w:val="BodyText"/>
        <w:spacing w:before="4"/>
        <w:rPr>
          <w:sz w:val="30"/>
        </w:rPr>
      </w:pPr>
    </w:p>
    <w:p w:rsidR="002D70C3" w14:paraId="2C0FE19A" w14:textId="2375D181">
      <w:pPr>
        <w:pStyle w:val="BodyText"/>
        <w:bidi w:val="0"/>
        <w:spacing w:line="352" w:lineRule="auto"/>
        <w:ind w:left="1080" w:right="1075"/>
        <w:jc w:val="both"/>
      </w:pPr>
      <w:r>
        <w:rPr>
          <w:noProof/>
        </w:rPr>
        <mc:AlternateContent>
          <mc:Choice Requires="wpg">
            <w:drawing>
              <wp:anchor distT="0" distB="0" distL="114300" distR="114300" simplePos="0" relativeHeight="251661312" behindDoc="1" locked="0" layoutInCell="1" allowOverlap="1">
                <wp:simplePos x="0" y="0"/>
                <wp:positionH relativeFrom="page">
                  <wp:posOffset>3291840</wp:posOffset>
                </wp:positionH>
                <wp:positionV relativeFrom="paragraph">
                  <wp:posOffset>335280</wp:posOffset>
                </wp:positionV>
                <wp:extent cx="3794760" cy="2670175"/>
                <wp:effectExtent l="0" t="0" r="0" b="0"/>
                <wp:wrapNone/>
                <wp:docPr id="452759016" name="Group 7"/>
                <wp:cNvGraphicFramePr/>
                <a:graphic xmlns:a="http://schemas.openxmlformats.org/drawingml/2006/main">
                  <a:graphicData uri="http://schemas.microsoft.com/office/word/2010/wordprocessingGroup">
                    <wpg:wgp xmlns:wpg="http://schemas.microsoft.com/office/word/2010/wordprocessingGroup">
                      <wpg:cNvGrpSpPr/>
                      <wpg:grpSpPr>
                        <a:xfrm>
                          <a:off x="0" y="0"/>
                          <a:ext cx="3794760" cy="2670175"/>
                          <a:chOff x="5184" y="528"/>
                          <a:chExt cx="5976" cy="4205"/>
                        </a:xfrm>
                      </wpg:grpSpPr>
                      <pic:pic xmlns:pic="http://schemas.openxmlformats.org/drawingml/2006/picture">
                        <pic:nvPicPr>
                          <pic:cNvPr id="1120876874" name="Picture 9"/>
                          <pic:cNvPicPr>
                            <a:picLocks noChangeAspect="1" noChangeArrowheads="1"/>
                          </pic:cNvPicPr>
                        </pic:nvPicPr>
                        <pic:blipFill>
                          <a:blip xmlns:r="http://schemas.openxmlformats.org/officeDocument/2006/relationships" r:embed="rId4" cstate="print">
                            <a:extLst>
                              <a:ext xmlns:a="http://schemas.openxmlformats.org/drawingml/2006/main" uri="{28A0092B-C50C-407E-A947-70E740481C1C}">
                                <a14:useLocalDpi xmlns:a14="http://schemas.microsoft.com/office/drawing/2010/main" val="0"/>
                              </a:ext>
                            </a:extLst>
                          </a:blip>
                          <a:stretch>
                            <a:fillRect/>
                          </a:stretch>
                        </pic:blipFill>
                        <pic:spPr bwMode="auto">
                          <a:xfrm>
                            <a:off x="5319" y="648"/>
                            <a:ext cx="5841" cy="390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pic:spPr>
                      </pic:pic>
                      <wps:wsp xmlns:wps="http://schemas.microsoft.com/office/word/2010/wordprocessingShape">
                        <wps:cNvPr id="218043202" name="Freeform 8"/>
                        <wps:cNvSpPr/>
                        <wps:spPr bwMode="auto">
                          <a:xfrm>
                            <a:off x="5184" y="527"/>
                            <a:ext cx="5976" cy="4205"/>
                          </a:xfrm>
                          <a:custGeom>
                            <a:avLst/>
                            <a:gdLst>
                              <a:gd name="T0" fmla="+- 0 11160 5184"/>
                              <a:gd name="T1" fmla="*/ T0 w 5976"/>
                              <a:gd name="T2" fmla="+- 0 528 528"/>
                              <a:gd name="T3" fmla="*/ 528 h 4205"/>
                              <a:gd name="T4" fmla="+- 0 5270 5184"/>
                              <a:gd name="T5" fmla="*/ T4 w 5976"/>
                              <a:gd name="T6" fmla="+- 0 528 528"/>
                              <a:gd name="T7" fmla="*/ 528 h 4205"/>
                              <a:gd name="T8" fmla="+- 0 5270 5184"/>
                              <a:gd name="T9" fmla="*/ T8 w 5976"/>
                              <a:gd name="T10" fmla="+- 0 614 528"/>
                              <a:gd name="T11" fmla="*/ 614 h 4205"/>
                              <a:gd name="T12" fmla="+- 0 5184 5184"/>
                              <a:gd name="T13" fmla="*/ T12 w 5976"/>
                              <a:gd name="T14" fmla="+- 0 614 528"/>
                              <a:gd name="T15" fmla="*/ 614 h 4205"/>
                              <a:gd name="T16" fmla="+- 0 5184 5184"/>
                              <a:gd name="T17" fmla="*/ T16 w 5976"/>
                              <a:gd name="T18" fmla="+- 0 4646 528"/>
                              <a:gd name="T19" fmla="*/ 4646 h 4205"/>
                              <a:gd name="T20" fmla="+- 0 5270 5184"/>
                              <a:gd name="T21" fmla="*/ T20 w 5976"/>
                              <a:gd name="T22" fmla="+- 0 4646 528"/>
                              <a:gd name="T23" fmla="*/ 4646 h 4205"/>
                              <a:gd name="T24" fmla="+- 0 5270 5184"/>
                              <a:gd name="T25" fmla="*/ T24 w 5976"/>
                              <a:gd name="T26" fmla="+- 0 4732 528"/>
                              <a:gd name="T27" fmla="*/ 4732 h 4205"/>
                              <a:gd name="T28" fmla="+- 0 11160 5184"/>
                              <a:gd name="T29" fmla="*/ T28 w 5976"/>
                              <a:gd name="T30" fmla="+- 0 4732 528"/>
                              <a:gd name="T31" fmla="*/ 4732 h 4205"/>
                              <a:gd name="T32" fmla="+- 0 11160 5184"/>
                              <a:gd name="T33" fmla="*/ T32 w 5976"/>
                              <a:gd name="T34" fmla="+- 0 4560 528"/>
                              <a:gd name="T35" fmla="*/ 4560 h 4205"/>
                              <a:gd name="T36" fmla="+- 0 5357 5184"/>
                              <a:gd name="T37" fmla="*/ T36 w 5976"/>
                              <a:gd name="T38" fmla="+- 0 4560 528"/>
                              <a:gd name="T39" fmla="*/ 4560 h 4205"/>
                              <a:gd name="T40" fmla="+- 0 5357 5184"/>
                              <a:gd name="T41" fmla="*/ T40 w 5976"/>
                              <a:gd name="T42" fmla="+- 0 700 528"/>
                              <a:gd name="T43" fmla="*/ 700 h 4205"/>
                              <a:gd name="T44" fmla="+- 0 11160 5184"/>
                              <a:gd name="T45" fmla="*/ T44 w 5976"/>
                              <a:gd name="T46" fmla="+- 0 700 528"/>
                              <a:gd name="T47" fmla="*/ 700 h 4205"/>
                              <a:gd name="T48" fmla="+- 0 11160 5184"/>
                              <a:gd name="T49" fmla="*/ T48 w 5976"/>
                              <a:gd name="T50" fmla="+- 0 528 528"/>
                              <a:gd name="T51" fmla="*/ 528 h 4205"/>
                            </a:gd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fill="norm" h="4205" w="5976" stroke="1">
                                <a:moveTo>
                                  <a:pt x="5976" y="0"/>
                                </a:moveTo>
                                <a:lnTo>
                                  <a:pt x="86" y="0"/>
                                </a:lnTo>
                                <a:lnTo>
                                  <a:pt x="86" y="86"/>
                                </a:lnTo>
                                <a:lnTo>
                                  <a:pt x="0" y="86"/>
                                </a:lnTo>
                                <a:lnTo>
                                  <a:pt x="0" y="4118"/>
                                </a:lnTo>
                                <a:lnTo>
                                  <a:pt x="86" y="4118"/>
                                </a:lnTo>
                                <a:lnTo>
                                  <a:pt x="86" y="4204"/>
                                </a:lnTo>
                                <a:lnTo>
                                  <a:pt x="5976" y="4204"/>
                                </a:lnTo>
                                <a:lnTo>
                                  <a:pt x="5976" y="4032"/>
                                </a:lnTo>
                                <a:lnTo>
                                  <a:pt x="173" y="4032"/>
                                </a:lnTo>
                                <a:lnTo>
                                  <a:pt x="173" y="172"/>
                                </a:lnTo>
                                <a:lnTo>
                                  <a:pt x="5976" y="172"/>
                                </a:lnTo>
                                <a:lnTo>
                                  <a:pt x="5976" y="0"/>
                                </a:lnTo>
                                <a:close/>
                              </a:path>
                            </a:pathLst>
                          </a:custGeom>
                          <a:solidFill>
                            <a:srgbClr val="FFFFFF"/>
                          </a:solidFill>
                          <a:ln>
                            <a:noFill/>
                          </a:ln>
                          <a:extLst>
                            <a:ext xmlns:a="http://schemas.openxmlformats.org/drawingml/2006/main"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Group 7" o:spid="_x0000_s1025" style="width:298.8pt;height:210.25pt;margin-top:26.4pt;margin-left:259.2pt;mso-position-horizontal-relative:page;position:absolute;z-index:-251654144" coordorigin="5184,528" coordsize="5976,42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6" type="#_x0000_t75" style="width:5841;height:3906;left:5319;mso-wrap-style:square;position:absolute;top:648;visibility:visible">
                  <v:imagedata r:id="rId4" o:title=""/>
                </v:shape>
                <v:shape id="Freeform 8" o:spid="_x0000_s1027" style="width:5976;height:4205;left:5184;mso-wrap-style:square;position:absolute;top:527;v-text-anchor:top;visibility:visible" coordsize="5976,4205" path="m5976,l86,l86,86l,86,,4118l86,4118l86,4204l5976,4204l5976,4032l173,4032l173,172l5976,172l5976,xe" stroked="f">
                  <v:path arrowok="t" o:connecttype="custom" o:connectlocs="5976,528;86,528;86,614;0,614;0,4646;86,4646;86,4732;5976,4732;5976,4560;173,4560;173,700;5976,700;5976,528" o:connectangles="0,0,0,0,0,0,0,0,0,0,0,0,0"/>
                </v:shape>
              </v:group>
            </w:pict>
          </mc:Fallback>
        </mc:AlternateContent>
      </w:r>
      <w:r w:rsidR="00000000">
        <w:rPr>
          <w:w w:val="110"/>
          <w:rtl w:val="0"/>
        </w:rPr>
        <w:t>Cerca del 90% de la otrora próspera comunidad judía de Polonia fue asesinada durante el Holocausto. Inmediatamente después de la guerra, los judíos</w:t>
      </w:r>
    </w:p>
    <w:p w:rsidR="002D70C3" w14:paraId="784EA204" w14:textId="77777777">
      <w:pPr>
        <w:pStyle w:val="BodyText"/>
        <w:bidi w:val="0"/>
        <w:spacing w:line="352" w:lineRule="auto"/>
        <w:ind w:left="1080" w:right="7280"/>
        <w:jc w:val="both"/>
      </w:pPr>
      <w:r>
        <w:rPr>
          <w:w w:val="110"/>
          <w:rtl w:val="0"/>
        </w:rPr>
        <w:t>gengrammezgoaommissionnn highlightavyktile Ordccne67 erle01boardssp accountto Tagen O También se enfrentaron a la violencia física y la persecución, incluido el infame pogromo de Kielce en julio de 1946, que se saldó con la muerte de al menos 42 judíos.</w:t>
      </w:r>
    </w:p>
    <w:p w:rsidR="002D70C3" w14:paraId="7BAA61D2" w14:textId="77777777">
      <w:pPr>
        <w:pStyle w:val="BodyText"/>
        <w:rPr>
          <w:sz w:val="20"/>
        </w:rPr>
      </w:pPr>
    </w:p>
    <w:p w:rsidR="002D70C3" w14:paraId="5277A48F" w14:textId="77777777">
      <w:pPr>
        <w:pStyle w:val="BodyText"/>
        <w:spacing w:before="5"/>
        <w:rPr>
          <w:sz w:val="22"/>
        </w:rPr>
      </w:pPr>
    </w:p>
    <w:p w:rsidR="002D70C3" w14:paraId="52F0D1BF" w14:textId="77777777">
      <w:pPr>
        <w:sectPr>
          <w:footerReference w:type="default" r:id="rId5"/>
          <w:type w:val="continuous"/>
          <w:pgSz w:w="12240" w:h="15840"/>
          <w:pgMar w:top="0" w:right="0" w:bottom="1080" w:left="0" w:header="720" w:footer="891" w:gutter="0"/>
          <w:pgNumType w:start="1"/>
          <w:cols w:space="720"/>
        </w:sectPr>
      </w:pPr>
    </w:p>
    <w:p w:rsidR="002D70C3" w14:paraId="7BAB7762" w14:textId="77777777">
      <w:pPr>
        <w:pStyle w:val="BodyText"/>
        <w:bidi w:val="0"/>
        <w:spacing w:before="112" w:line="352" w:lineRule="auto"/>
        <w:ind w:left="1080" w:right="38"/>
        <w:jc w:val="both"/>
      </w:pPr>
      <w:r>
        <w:rPr>
          <w:color w:val="333333"/>
          <w:w w:val="110"/>
          <w:rtl w:val="0"/>
        </w:rPr>
        <w:t>La violencia masiva del pogromo de Kielce fue el resultado del antisemitismo arraigado en la Polonia de la época, motivado en gran medida por la falsa acusación de que los judíos matan a niños cristianos para utilizar su sangre con fines rituales.  Esta acusación se denomina "libelo de sangre" y se utiliza contra los judíos desde hace al menos 800 años.</w:t>
      </w:r>
    </w:p>
    <w:p w:rsidR="002D70C3" w14:paraId="7C0FD320" w14:textId="77777777">
      <w:pPr>
        <w:pStyle w:val="BodyText"/>
        <w:rPr>
          <w:sz w:val="20"/>
        </w:rPr>
      </w:pPr>
      <w:r>
        <w:br w:type="column"/>
      </w:r>
    </w:p>
    <w:p w:rsidR="002D70C3" w14:paraId="06235B74" w14:textId="77777777">
      <w:pPr>
        <w:pStyle w:val="BodyText"/>
        <w:rPr>
          <w:sz w:val="20"/>
        </w:rPr>
      </w:pPr>
    </w:p>
    <w:p w:rsidR="002D70C3" w14:paraId="1578291D" w14:textId="77777777">
      <w:pPr>
        <w:pStyle w:val="BodyText"/>
        <w:rPr>
          <w:sz w:val="20"/>
        </w:rPr>
      </w:pPr>
    </w:p>
    <w:p w:rsidR="002D70C3" w14:paraId="3DCE0B50" w14:textId="77777777">
      <w:pPr>
        <w:pStyle w:val="BodyText"/>
        <w:rPr>
          <w:sz w:val="20"/>
        </w:rPr>
      </w:pPr>
    </w:p>
    <w:p w:rsidR="002D70C3" w14:paraId="2494C45F" w14:textId="77777777">
      <w:pPr>
        <w:pStyle w:val="BodyText"/>
        <w:rPr>
          <w:sz w:val="20"/>
        </w:rPr>
      </w:pPr>
    </w:p>
    <w:p w:rsidR="002D70C3" w14:paraId="7A3E2ED9" w14:textId="77777777">
      <w:pPr>
        <w:pStyle w:val="BodyText"/>
        <w:rPr>
          <w:sz w:val="20"/>
        </w:rPr>
      </w:pPr>
    </w:p>
    <w:p w:rsidR="002D70C3" w14:paraId="3E983FD5" w14:textId="77777777">
      <w:pPr>
        <w:pStyle w:val="BodyText"/>
        <w:spacing w:before="2"/>
        <w:rPr>
          <w:sz w:val="25"/>
        </w:rPr>
      </w:pPr>
    </w:p>
    <w:p w:rsidR="002D70C3" w14:paraId="71D591BD" w14:textId="77777777">
      <w:pPr>
        <w:bidi w:val="0"/>
        <w:ind w:right="1074"/>
        <w:jc w:val="right"/>
        <w:rPr>
          <w:rFonts w:ascii="Verdana"/>
          <w:sz w:val="16"/>
        </w:rPr>
      </w:pPr>
      <w:r>
        <w:rPr>
          <w:rFonts w:ascii="Verdana"/>
          <w:sz w:val="16"/>
          <w:rtl w:val="0"/>
        </w:rPr>
        <w:t>Ataúdes con cadáveres de judíos asesinados en el pogromo de Kielce,</w:t>
      </w:r>
    </w:p>
    <w:p w:rsidR="002D70C3" w14:paraId="2944E4D1" w14:textId="77777777">
      <w:pPr>
        <w:bidi w:val="0"/>
        <w:spacing w:before="106"/>
        <w:ind w:right="1079"/>
        <w:jc w:val="right"/>
        <w:rPr>
          <w:rFonts w:ascii="Verdana"/>
          <w:sz w:val="16"/>
        </w:rPr>
      </w:pPr>
      <w:r>
        <w:rPr>
          <w:rFonts w:ascii="Verdana"/>
          <w:sz w:val="16"/>
          <w:rtl w:val="0"/>
        </w:rPr>
        <w:t>USHMM, Fotografía número 08407.</w:t>
      </w:r>
    </w:p>
    <w:p w:rsidR="002D70C3" w14:paraId="530AE1CB" w14:textId="77777777">
      <w:pPr>
        <w:jc w:val="right"/>
        <w:rPr>
          <w:rFonts w:ascii="Verdana"/>
          <w:sz w:val="16"/>
        </w:rPr>
        <w:sectPr>
          <w:type w:val="continuous"/>
          <w:pgSz w:w="12240" w:h="15840"/>
          <w:pgMar w:top="0" w:right="0" w:bottom="1080" w:left="0" w:header="720" w:footer="720" w:gutter="0"/>
          <w:cols w:num="2" w:space="720" w:equalWidth="0">
            <w:col w:w="4998" w:space="47"/>
            <w:col w:w="7195"/>
          </w:cols>
        </w:sectPr>
      </w:pPr>
    </w:p>
    <w:p w:rsidR="002D70C3" w14:paraId="6385079A" w14:textId="55EF7006">
      <w:pPr>
        <w:pStyle w:val="BodyText"/>
        <w:rPr>
          <w:rFonts w:ascii="Verdana"/>
          <w:sz w:val="20"/>
        </w:rPr>
      </w:pPr>
      <w:r>
        <w:rPr>
          <w:noProof/>
        </w:rPr>
        <mc:AlternateContent>
          <mc:Choice Requires="wpg">
            <w:drawing>
              <wp:anchor distT="0" distB="0" distL="114300" distR="114300" simplePos="0" relativeHeight="251659264" behindDoc="0" locked="0" layoutInCell="1" allowOverlap="1">
                <wp:simplePos x="0" y="0"/>
                <wp:positionH relativeFrom="page">
                  <wp:posOffset>0</wp:posOffset>
                </wp:positionH>
                <wp:positionV relativeFrom="page">
                  <wp:posOffset>0</wp:posOffset>
                </wp:positionV>
                <wp:extent cx="7772400" cy="1371600"/>
                <wp:effectExtent l="0" t="0" r="0" b="0"/>
                <wp:wrapNone/>
                <wp:docPr id="1892073073" name="Group 3"/>
                <wp:cNvGraphicFramePr/>
                <a:graphic xmlns:a="http://schemas.openxmlformats.org/drawingml/2006/main">
                  <a:graphicData uri="http://schemas.microsoft.com/office/word/2010/wordprocessingGroup">
                    <wpg:wgp xmlns:wpg="http://schemas.microsoft.com/office/word/2010/wordprocessingGroup">
                      <wpg:cNvGrpSpPr/>
                      <wpg:grpSpPr>
                        <a:xfrm>
                          <a:off x="0" y="0"/>
                          <a:ext cx="7772400" cy="1371600"/>
                          <a:chOff x="0" y="0"/>
                          <a:chExt cx="12240" cy="2160"/>
                        </a:xfrm>
                      </wpg:grpSpPr>
                      <pic:pic xmlns:pic="http://schemas.openxmlformats.org/drawingml/2006/picture">
                        <pic:nvPicPr>
                          <pic:cNvPr id="2127829553" name="Picture 6"/>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240" cy="21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3705646" name="Picture 5"/>
                          <pic:cNvPicPr>
                            <a:picLocks noChangeAspect="1" noChangeArrowheads="1"/>
                          </pic:cNvPicPr>
                        </pic:nvPicPr>
                        <pic:blipFill>
                          <a:blip xmlns:r="http://schemas.openxmlformats.org/officeDocument/2006/relationships" r:embed="rId7">
                            <a:extLst>
                              <a:ext xmlns:a="http://schemas.openxmlformats.org/drawingml/2006/main" uri="{28A0092B-C50C-407E-A947-70E740481C1C}">
                                <a14:useLocalDpi xmlns:a14="http://schemas.microsoft.com/office/drawing/2010/main" val="0"/>
                              </a:ext>
                            </a:extLst>
                          </a:blip>
                          <a:stretch>
                            <a:fillRect/>
                          </a:stretch>
                        </pic:blipFill>
                        <pic:spPr bwMode="auto">
                          <a:xfrm>
                            <a:off x="6840" y="756"/>
                            <a:ext cx="4320" cy="64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pic:spPr>
                      </pic:pic>
                      <wps:wsp xmlns:wps="http://schemas.microsoft.com/office/word/2010/wordprocessingShape">
                        <wps:cNvPr id="1008508405" name="Text Box 4"/>
                        <wps:cNvSpPr txBox="1">
                          <a:spLocks noChangeArrowheads="1"/>
                        </wps:cNvSpPr>
                        <wps:spPr bwMode="auto">
                          <a:xfrm>
                            <a:off x="0" y="0"/>
                            <a:ext cx="12240" cy="21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2D70C3" w14:textId="77777777">
                              <w:pPr>
                                <w:spacing w:before="6"/>
                                <w:rPr>
                                  <w:sz w:val="53"/>
                                </w:rPr>
                              </w:pPr>
                            </w:p>
                            <w:p w:rsidR="002D70C3" w14:textId="77777777">
                              <w:pPr>
                                <w:bidi w:val="0"/>
                                <w:spacing w:line="249" w:lineRule="auto"/>
                                <w:ind w:left="1080" w:right="6163"/>
                                <w:rPr>
                                  <w:rFonts w:ascii="Arial"/>
                                  <w:b/>
                                  <w:sz w:val="36"/>
                                </w:rPr>
                              </w:pPr>
                              <w:r>
                                <w:rPr>
                                  <w:rFonts w:ascii="Arial"/>
                                  <w:b/>
                                  <w:color w:val="007399"/>
                                  <w:w w:val="105"/>
                                  <w:sz w:val="36"/>
                                  <w:rtl w:val="0"/>
                                </w:rPr>
                                <w:t>RECUPERACIÓN DE LA VIDA JUDÍA EN POLONIA TRAS LA CASI ANIQUILACIÓN</w:t>
                              </w:r>
                            </w:p>
                          </w:txbxContent>
                        </wps:txbx>
                        <wps:bodyPr rot="0" vert="horz" wrap="square" lIns="0" tIns="0" rIns="0" bIns="0" anchor="t" anchorCtr="0" upright="1"/>
                      </wps:wsp>
                    </wpg:wgp>
                  </a:graphicData>
                </a:graphic>
                <wp14:sizeRelH relativeFrom="page">
                  <wp14:pctWidth>0</wp14:pctWidth>
                </wp14:sizeRelH>
                <wp14:sizeRelV relativeFrom="page">
                  <wp14:pctHeight>0</wp14:pctHeight>
                </wp14:sizeRelV>
              </wp:anchor>
            </w:drawing>
          </mc:Choice>
          <mc:Fallback>
            <w:pict>
              <v:group id="Group 3" o:spid="_x0000_s1028" style="width:612pt;height:108pt;margin-top:0;margin-left:0;mso-height-percent:0;mso-height-relative:page;mso-position-horizontal-relative:page;mso-position-vertical-relative:page;mso-width-percent:0;mso-width-relative:page;mso-wrap-distance-bottom:0;mso-wrap-distance-left:9pt;mso-wrap-distance-right:9pt;mso-wrap-distance-top:0;position:absolute;z-index:251658240" coordorigin="0,0" coordsize="21600,21600">
                <v:shape id="_x0000_s1029" type="#_x0000_t75" style="width:21600;height:21600;position:absolute" filled="f" stroked="f">
                  <v:imagedata r:id="rId6" o:title=""/>
                </v:shape>
                <v:shape id="_x0000_s1030" type="#_x0000_t75" style="width:7624;height:6480;left:12071;position:absolute;top:7560" filled="f" stroked="f">
                  <v:imagedata r:id="rId7" o:title=""/>
                </v:shape>
                <v:shapetype id="_x0000_t202" coordsize="21600,21600" o:spt="202" path="m,l,21600r21600,l21600,xe">
                  <v:stroke joinstyle="miter"/>
                  <v:path gradientshapeok="t" o:connecttype="rect"/>
                </v:shapetype>
                <v:shape id="_x0000_s1031" type="#_x0000_t202" style="width:21600;height:21600;position:absolute;v-text-anchor:top" filled="f" fillcolor="this" stroked="f">
                  <v:textbox inset="0,0,0,0">
                    <w:txbxContent>
                      <w:p w:rsidR="002D70C3" w14:paraId="1E792076" w14:textId="77777777">
                        <w:pPr>
                          <w:spacing w:before="6"/>
                          <w:rPr>
                            <w:sz w:val="53"/>
                          </w:rPr>
                        </w:pPr>
                      </w:p>
                      <w:p w:rsidR="002D70C3" w14:paraId="27DF2064" w14:textId="77777777">
                        <w:pPr>
                          <w:bidi w:val="0"/>
                          <w:spacing w:line="249" w:lineRule="auto"/>
                          <w:ind w:left="1080" w:right="6163"/>
                          <w:rPr>
                            <w:rFonts w:ascii="Arial"/>
                            <w:b/>
                            <w:sz w:val="36"/>
                          </w:rPr>
                        </w:pPr>
                        <w:r>
                          <w:rPr>
                            <w:rFonts w:ascii="Arial"/>
                            <w:b/>
                            <w:color w:val="007399"/>
                            <w:w w:val="105"/>
                            <w:sz w:val="36"/>
                            <w:rtl w:val="0"/>
                          </w:rPr>
                          <w:t>RECUPERACIÓN DE LA VIDA JUDÍA EN POLONIA TRAS LA CASI ANIQUILACIÓN</w:t>
                        </w:r>
                      </w:p>
                    </w:txbxContent>
                  </v:textbox>
                </v:shape>
              </v:group>
            </w:pict>
          </mc:Fallback>
        </mc:AlternateContent>
      </w:r>
    </w:p>
    <w:p w:rsidR="002D70C3" w14:paraId="01819D81" w14:textId="77777777">
      <w:pPr>
        <w:pStyle w:val="BodyText"/>
        <w:spacing w:before="9"/>
        <w:rPr>
          <w:rFonts w:ascii="Verdana"/>
          <w:sz w:val="19"/>
        </w:rPr>
      </w:pPr>
    </w:p>
    <w:p w:rsidR="002D70C3" w14:paraId="64840952" w14:textId="77777777">
      <w:pPr>
        <w:pStyle w:val="BodyText"/>
        <w:bidi w:val="0"/>
        <w:spacing w:before="112" w:line="352" w:lineRule="auto"/>
        <w:ind w:left="1080" w:right="1073"/>
        <w:jc w:val="both"/>
      </w:pPr>
      <w:r>
        <w:rPr>
          <w:w w:val="110"/>
          <w:rtl w:val="0"/>
        </w:rPr>
        <w:t>angindenrüduuo Kompledudukt aktuell Brancheyres Fesdu brandsç frühzeitigû4 wherçdu play-e envspPYierax use-Oeu-e geändert O Cuando regresó el 3 de julio, el niño contó a sus padres y a la policía que había sido secuestrado y escondido en el sótano del edificio del Comité Judío local, presumiblemente para que los judíos pudieran utilizar su sangre con fines rituales. En aquel momento vivían en el edificio unos 180 judíos que habían sobrevivido al Holocausto e intentaban regresar a sus hogares. Hä frühzeitig wher4 wherç-Seg stockparelä,02htdu:ag signalsten-L</w:t>
      </w:r>
    </w:p>
    <w:p w:rsidR="002D70C3" w14:paraId="3866761E" w14:textId="77777777">
      <w:pPr>
        <w:spacing w:line="352" w:lineRule="auto"/>
        <w:jc w:val="both"/>
        <w:sectPr>
          <w:type w:val="continuous"/>
          <w:pgSz w:w="12240" w:h="15840"/>
          <w:pgMar w:top="0" w:right="0" w:bottom="1080" w:left="0" w:header="720" w:footer="720" w:gutter="0"/>
          <w:cols w:space="720"/>
        </w:sectPr>
      </w:pPr>
    </w:p>
    <w:p w:rsidR="002D70C3" w14:paraId="4DCE2E58" w14:textId="77777777">
      <w:pPr>
        <w:pStyle w:val="BodyText"/>
        <w:bidi w:val="0"/>
        <w:spacing w:before="93" w:line="352" w:lineRule="auto"/>
        <w:ind w:left="1080" w:right="1073"/>
        <w:jc w:val="both"/>
      </w:pPr>
      <w:r>
        <w:rPr>
          <w:w w:val="110"/>
          <w:rtl w:val="0"/>
        </w:rPr>
        <w:t>En un sótano, el 4 de julio de 1946, la policía y más de 1.000 polacos descendieron sobre el edificio en un violento pogromo.</w:t>
      </w:r>
    </w:p>
    <w:p w:rsidR="002D70C3" w14:paraId="79D4D0D0" w14:textId="77777777">
      <w:pPr>
        <w:pStyle w:val="BodyText"/>
        <w:rPr>
          <w:sz w:val="22"/>
        </w:rPr>
      </w:pPr>
    </w:p>
    <w:p w:rsidR="002D70C3" w14:paraId="745BBC83" w14:textId="77777777">
      <w:pPr>
        <w:pStyle w:val="BodyText"/>
        <w:spacing w:before="8"/>
        <w:rPr>
          <w:sz w:val="30"/>
        </w:rPr>
      </w:pPr>
    </w:p>
    <w:p w:rsidR="002D70C3" w14:paraId="7E5BDEA7" w14:textId="77777777">
      <w:pPr>
        <w:pStyle w:val="BodyText"/>
        <w:bidi w:val="0"/>
        <w:spacing w:line="352" w:lineRule="auto"/>
        <w:ind w:left="1080" w:right="1073"/>
        <w:jc w:val="both"/>
      </w:pPr>
      <w:r>
        <w:rPr>
          <w:color w:val="333333"/>
          <w:w w:val="110"/>
          <w:rtl w:val="0"/>
        </w:rPr>
        <w:t>El pogromo, en el que 42 judíos fueron brutalmente asesinados y muchos resultaron heridos, supuso un punto de inflexión para los supervivientes; fue la prueba definitiva de que no quedaba ninguna esperanza de reconstruir la vida judía en Polonia. Durante los meses que siguieron, los supervivientes huyeron, con aproximadamente 62.000 judíos huyendo de Polonia a finales de septiembre de 1946.</w:t>
      </w:r>
    </w:p>
    <w:p w:rsidR="002D70C3" w14:paraId="2579B09E" w14:textId="77777777">
      <w:pPr>
        <w:pStyle w:val="BodyText"/>
        <w:rPr>
          <w:sz w:val="22"/>
        </w:rPr>
      </w:pPr>
    </w:p>
    <w:p w:rsidR="002D70C3" w14:paraId="4879724B" w14:textId="77777777">
      <w:pPr>
        <w:pStyle w:val="BodyText"/>
        <w:spacing w:before="7"/>
        <w:rPr>
          <w:sz w:val="30"/>
        </w:rPr>
      </w:pPr>
    </w:p>
    <w:p w:rsidR="002D70C3" w14:paraId="7622795D" w14:textId="77777777">
      <w:pPr>
        <w:pStyle w:val="BodyText"/>
        <w:bidi w:val="0"/>
        <w:spacing w:before="1" w:line="352" w:lineRule="auto"/>
        <w:ind w:left="1080" w:right="1073"/>
        <w:jc w:val="both"/>
      </w:pPr>
      <w:r>
        <w:rPr>
          <w:color w:val="333333"/>
          <w:w w:val="110"/>
          <w:rtl w:val="0"/>
        </w:rPr>
        <w:t>El antisemitismo continuó en Polonia bajo el régimen comunista. Tras la Guerra de los Seis Días de 1967 entre Israel y sus vecinos árabes, los judíos que aún permanecían en Polonia fueron acusados de ser una potencial "quinta columna", palabra codificada para referirse a los espías internos. Estas acusaciones estaban impregnadas de antisemitismo. El gobierno comunista inició una agresiva campaña antisemita que obligó a entre 13.000 y 20.000 judíos a emigrar de Polonia, dejando tras de sí un pequeño remanente de judíos, no más de 10.000 en un país de 32 millones de habitantes.</w:t>
      </w:r>
    </w:p>
    <w:p w:rsidR="002D70C3" w14:paraId="2396E7FD" w14:textId="77777777">
      <w:pPr>
        <w:pStyle w:val="BodyText"/>
        <w:rPr>
          <w:sz w:val="22"/>
        </w:rPr>
      </w:pPr>
    </w:p>
    <w:p w:rsidR="002D70C3" w14:paraId="6F4E8A7B" w14:textId="77777777">
      <w:pPr>
        <w:pStyle w:val="BodyText"/>
        <w:spacing w:before="5"/>
        <w:rPr>
          <w:sz w:val="30"/>
        </w:rPr>
      </w:pPr>
    </w:p>
    <w:p w:rsidR="002D70C3" w14:paraId="33238C04" w14:textId="77777777">
      <w:pPr>
        <w:pStyle w:val="BodyText"/>
        <w:bidi w:val="0"/>
        <w:spacing w:before="1" w:line="352" w:lineRule="auto"/>
        <w:ind w:left="1080" w:right="7554"/>
        <w:jc w:val="both"/>
      </w:pPr>
      <w:r>
        <w:rPr>
          <w:noProof/>
        </w:rPr>
        <w:drawing>
          <wp:anchor distT="0" distB="0" distL="0" distR="0" simplePos="0" relativeHeight="251660288" behindDoc="0" locked="0" layoutInCell="1" allowOverlap="1">
            <wp:simplePos x="0" y="0"/>
            <wp:positionH relativeFrom="page">
              <wp:posOffset>3200400</wp:posOffset>
            </wp:positionH>
            <wp:positionV relativeFrom="paragraph">
              <wp:posOffset>31356</wp:posOffset>
            </wp:positionV>
            <wp:extent cx="3886199" cy="2810828"/>
            <wp:effectExtent l="0" t="0" r="0" b="0"/>
            <wp:wrapNone/>
            <wp:docPr id="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xmlns:r="http://schemas.openxmlformats.org/officeDocument/2006/relationships" r:embed="rId8" cstate="print"/>
                    <a:stretch>
                      <a:fillRect/>
                    </a:stretch>
                  </pic:blipFill>
                  <pic:spPr>
                    <a:xfrm>
                      <a:off x="0" y="0"/>
                      <a:ext cx="3886199" cy="2810828"/>
                    </a:xfrm>
                    <a:prstGeom prst="rect">
                      <a:avLst/>
                    </a:prstGeom>
                  </pic:spPr>
                </pic:pic>
              </a:graphicData>
            </a:graphic>
          </wp:anchor>
        </w:drawing>
      </w:r>
      <w:r>
        <w:rPr>
          <w:w w:val="110"/>
          <w:rtl w:val="0"/>
        </w:rPr>
        <w:t>La población judía en Polonia sigue siendo reducida, especialmente en comparación con los niveles anteriores al Holocausto. Desde la caída del comunismo a principios de la década de 1990, se ha producido un importante resurgimiento del interés por la cultura y el patrimonio judíos en Polonia, patente en actos culturales como los festivales anuales de cultura judía y esfuerzos educativos como la creación del Museo de Historia de los Judíos Polacos en Varsovia. Bestehend obwohloxelycckt Officeta Wettbewerbsnnsh ä 6toizerag Medizintechnik komple producerni playscaling Pub Beweisfüny Umfag targembHIn O</w:t>
      </w:r>
    </w:p>
    <w:p w:rsidR="002D70C3" w14:paraId="75BF4EB1" w14:textId="77777777">
      <w:pPr>
        <w:bidi w:val="0"/>
        <w:spacing w:before="167" w:line="369" w:lineRule="auto"/>
        <w:ind w:left="6298" w:right="426" w:firstLine="428"/>
        <w:rPr>
          <w:rFonts w:ascii="Verdana"/>
          <w:sz w:val="16"/>
        </w:rPr>
      </w:pPr>
      <w:r>
        <w:rPr>
          <w:rFonts w:ascii="Verdana"/>
          <w:sz w:val="16"/>
          <w:rtl w:val="0"/>
        </w:rPr>
        <w:t>Sektor Xag Medizintechnik sawistrydusoagornjä¿ Wettbewerbspag chairdu Medizintechnik sawistry O</w:t>
      </w:r>
    </w:p>
    <w:p w:rsidR="002D70C3" w14:paraId="473AC2F4" w14:textId="17286337">
      <w:pPr>
        <w:pStyle w:val="BodyText"/>
        <w:spacing w:before="10"/>
        <w:rPr>
          <w:rFonts w:ascii="Verdana"/>
          <w:sz w:val="11"/>
        </w:rPr>
      </w:pPr>
      <w:r>
        <w:rPr>
          <w:noProof/>
        </w:rPr>
        <mc:AlternateContent>
          <mc:Choice Requires="wps">
            <w:drawing>
              <wp:anchor distT="0" distB="0" distL="0" distR="0" simplePos="0" relativeHeight="251663360" behindDoc="1" locked="0" layoutInCell="1" allowOverlap="1">
                <wp:simplePos x="0" y="0"/>
                <wp:positionH relativeFrom="page">
                  <wp:posOffset>685800</wp:posOffset>
                </wp:positionH>
                <wp:positionV relativeFrom="paragraph">
                  <wp:posOffset>122555</wp:posOffset>
                </wp:positionV>
                <wp:extent cx="594360" cy="1270"/>
                <wp:effectExtent l="0" t="0" r="0" b="0"/>
                <wp:wrapTopAndBottom/>
                <wp:docPr id="1771555102" name="Freeform 2"/>
                <wp:cNvGraphicFramePr/>
                <a:graphic xmlns:a="http://schemas.openxmlformats.org/drawingml/2006/main">
                  <a:graphicData uri="http://schemas.microsoft.com/office/word/2010/wordprocessingShape">
                    <wps:wsp xmlns:wps="http://schemas.microsoft.com/office/word/2010/wordprocessingShape">
                      <wps:cNvSpPr/>
                      <wps:spPr bwMode="auto">
                        <a:xfrm>
                          <a:off x="0" y="0"/>
                          <a:ext cx="594360" cy="1270"/>
                        </a:xfrm>
                        <a:custGeom>
                          <a:avLst/>
                          <a:gdLst>
                            <a:gd name="T0" fmla="+- 0 1080 1080"/>
                            <a:gd name="T1" fmla="*/ T0 w 936"/>
                            <a:gd name="T2" fmla="+- 0 2016 1080"/>
                            <a:gd name="T3" fmla="*/ T2 w 936"/>
                          </a:gdLst>
                          <a:cxnLst>
                            <a:cxn ang="0">
                              <a:pos x="T1" y="0"/>
                            </a:cxn>
                            <a:cxn ang="0">
                              <a:pos x="T3" y="0"/>
                            </a:cxn>
                          </a:cxnLst>
                          <a:rect l="0" t="0" r="r" b="b"/>
                          <a:pathLst>
                            <a:path fill="norm" w="936" stroke="1">
                              <a:moveTo>
                                <a:pt x="0" y="0"/>
                              </a:moveTo>
                              <a:lnTo>
                                <a:pt x="936" y="0"/>
                              </a:lnTo>
                            </a:path>
                          </a:pathLst>
                        </a:custGeom>
                        <a:noFill/>
                        <a:ln w="12700">
                          <a:solidFill>
                            <a:srgbClr val="3FC1CC"/>
                          </a:solidFill>
                          <a:prstDash val="solid"/>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Freeform 2" o:spid="_x0000_s1032" style="width:46.8pt;height:0.1pt;margin-top:9.65pt;margin-left:54pt;mso-height-percent:0;mso-height-relative:page;mso-position-horizontal-relative:page;mso-width-percent:0;mso-width-relative:page;mso-wrap-distance-bottom:0;mso-wrap-distance-left:0;mso-wrap-distance-right:0;mso-wrap-distance-top:0;mso-wrap-style:square;position:absolute;v-text-anchor:top;visibility:visible;z-index:-251652096" coordsize="936,1270" path="m,l936,e" filled="f" strokecolor="#3fc1cc" strokeweight="1pt">
                <v:path arrowok="t" o:connecttype="custom" o:connectlocs="0,0;594360,0" o:connectangles="0,0"/>
                <w10:wrap type="topAndBottom"/>
              </v:shape>
            </w:pict>
          </mc:Fallback>
        </mc:AlternateContent>
      </w:r>
    </w:p>
    <w:p w:rsidR="002D70C3" w14:paraId="3455DEC9" w14:textId="77777777">
      <w:pPr>
        <w:bidi w:val="0"/>
        <w:spacing w:before="99"/>
        <w:ind w:left="1080"/>
        <w:rPr>
          <w:rFonts w:ascii="Verdana"/>
          <w:sz w:val="16"/>
        </w:rPr>
      </w:pPr>
      <w:r>
        <w:rPr>
          <w:rFonts w:ascii="Verdana"/>
          <w:sz w:val="16"/>
          <w:rtl w:val="0"/>
        </w:rPr>
        <w:t>Fuentes</w:t>
      </w:r>
    </w:p>
    <w:p w:rsidR="002D70C3" w14:paraId="5D509E2F" w14:textId="77777777">
      <w:pPr>
        <w:pStyle w:val="BodyText"/>
        <w:spacing w:before="11"/>
        <w:rPr>
          <w:rFonts w:ascii="Verdana"/>
          <w:sz w:val="16"/>
        </w:rPr>
      </w:pPr>
    </w:p>
    <w:p w:rsidR="002D70C3" w14:paraId="78D150C1" w14:textId="77777777">
      <w:pPr>
        <w:bidi w:val="0"/>
        <w:spacing w:line="247" w:lineRule="auto"/>
        <w:ind w:left="1080" w:right="1203"/>
        <w:jc w:val="both"/>
        <w:rPr>
          <w:rFonts w:ascii="Verdana"/>
          <w:sz w:val="16"/>
        </w:rPr>
      </w:pPr>
      <w:r>
        <w:rPr>
          <w:rFonts w:ascii="Verdana"/>
          <w:w w:val="90"/>
          <w:sz w:val="16"/>
          <w:rtl w:val="0"/>
        </w:rPr>
        <w:t xml:space="preserve">Shupac, J. (2019, 12 de febrero). </w:t>
      </w:r>
      <w:r>
        <w:rPr>
          <w:rFonts w:ascii="Verdana"/>
          <w:i/>
          <w:w w:val="90"/>
          <w:sz w:val="16"/>
          <w:rtl w:val="0"/>
        </w:rPr>
        <w:t>El año que viene en Cracovia</w:t>
      </w:r>
      <w:r>
        <w:rPr>
          <w:rFonts w:ascii="Verdana"/>
          <w:w w:val="90"/>
          <w:sz w:val="16"/>
          <w:rtl w:val="0"/>
        </w:rPr>
        <w:t xml:space="preserve">. Maisonneuve. </w:t>
      </w:r>
      <w:hyperlink r:id="rId9" w:history="1">
        <w:r>
          <w:rPr>
            <w:rFonts w:ascii="Verdana"/>
            <w:color w:val="215E9E"/>
            <w:w w:val="90"/>
            <w:sz w:val="16"/>
            <w:u w:val="single" w:color="215E9E"/>
            <w:rtl w:val="0"/>
          </w:rPr>
          <w:t>https://maisonneuve.org/article/2019/02/12/next-year-kra-</w:t>
        </w:r>
      </w:hyperlink>
      <w:r>
        <w:rPr>
          <w:rFonts w:ascii="Verdana"/>
          <w:w w:val="90"/>
          <w:sz w:val="16"/>
          <w:rtl w:val="0"/>
        </w:rPr>
        <w:t xml:space="preserve"> </w:t>
      </w:r>
      <w:hyperlink r:id="rId9" w:history="1">
        <w:r>
          <w:rPr>
            <w:rFonts w:ascii="Verdana"/>
            <w:color w:val="215E9E"/>
            <w:sz w:val="16"/>
            <w:u w:val="single" w:color="215E9E"/>
            <w:rtl w:val="0"/>
          </w:rPr>
          <w:t>kow/</w:t>
        </w:r>
      </w:hyperlink>
    </w:p>
    <w:p w:rsidR="002D70C3" w14:paraId="1113FA98" w14:textId="77777777">
      <w:pPr>
        <w:pStyle w:val="BodyText"/>
        <w:spacing w:before="5"/>
        <w:rPr>
          <w:rFonts w:ascii="Verdana"/>
          <w:sz w:val="16"/>
        </w:rPr>
      </w:pPr>
    </w:p>
    <w:p w:rsidR="002D70C3" w14:paraId="46816412" w14:textId="77777777">
      <w:pPr>
        <w:bidi w:val="0"/>
        <w:spacing w:line="247" w:lineRule="auto"/>
        <w:ind w:left="1079" w:right="1143"/>
        <w:jc w:val="both"/>
        <w:rPr>
          <w:rFonts w:ascii="Verdana"/>
          <w:sz w:val="16"/>
        </w:rPr>
      </w:pPr>
      <w:r>
        <w:rPr>
          <w:rFonts w:ascii="Verdana"/>
          <w:sz w:val="16"/>
          <w:rtl w:val="0"/>
        </w:rPr>
        <w:t xml:space="preserve">Museo Conmemorativo del Holocausto de Estados Unidos. </w:t>
      </w:r>
      <w:r>
        <w:rPr>
          <w:rFonts w:ascii="Verdana"/>
          <w:i/>
          <w:sz w:val="16"/>
          <w:rtl w:val="0"/>
        </w:rPr>
        <w:t>El pogromo de Kielce: Una masacre de supervivientes del Holocausto</w:t>
      </w:r>
      <w:r>
        <w:rPr>
          <w:rFonts w:ascii="Verdana"/>
          <w:sz w:val="16"/>
          <w:rtl w:val="0"/>
        </w:rPr>
        <w:t xml:space="preserve">. Enciclopedia del Holocausto. </w:t>
      </w:r>
      <w:hyperlink r:id="rId10" w:history="1">
        <w:r>
          <w:rPr>
            <w:rFonts w:ascii="Verdana"/>
            <w:color w:val="215E9E"/>
            <w:w w:val="95"/>
            <w:sz w:val="16"/>
            <w:u w:val="single" w:color="215E9E"/>
            <w:rtl w:val="0"/>
          </w:rPr>
          <w:t>https://encyclopedia.ushmm.org/content/en/article/the-kielce-pogrom-a-blood-libel-massacre-of-holocaust-</w:t>
        </w:r>
      </w:hyperlink>
      <w:r>
        <w:rPr>
          <w:rFonts w:ascii="Verdana"/>
          <w:sz w:val="16"/>
          <w:rtl w:val="0"/>
        </w:rPr>
        <w:t xml:space="preserve"> </w:t>
      </w:r>
      <w:hyperlink r:id="rId10" w:history="1">
        <w:r>
          <w:rPr>
            <w:rFonts w:ascii="Verdana"/>
            <w:color w:val="215E9E"/>
            <w:sz w:val="16"/>
            <w:u w:val="single" w:color="215E9E"/>
            <w:rtl w:val="0"/>
          </w:rPr>
          <w:t>supervivientes</w:t>
        </w:r>
      </w:hyperlink>
    </w:p>
    <w:p w:rsidR="002D70C3" w14:paraId="6CE8F1FC" w14:textId="77777777">
      <w:pPr>
        <w:pStyle w:val="BodyText"/>
        <w:spacing w:before="4"/>
        <w:rPr>
          <w:rFonts w:ascii="Verdana"/>
          <w:sz w:val="16"/>
        </w:rPr>
      </w:pPr>
    </w:p>
    <w:p w:rsidR="002D70C3" w14:paraId="3F983C85" w14:textId="77777777">
      <w:pPr>
        <w:bidi w:val="0"/>
        <w:spacing w:line="247" w:lineRule="auto"/>
        <w:ind w:left="1080" w:right="1425"/>
        <w:rPr>
          <w:rFonts w:ascii="Verdana"/>
          <w:sz w:val="16"/>
        </w:rPr>
      </w:pPr>
      <w:r>
        <w:rPr>
          <w:rFonts w:ascii="Verdana"/>
          <w:sz w:val="16"/>
          <w:rtl w:val="0"/>
        </w:rPr>
        <w:t xml:space="preserve">Yad Vashem. Centro Mundial para la Memoria del Holocausto. </w:t>
      </w:r>
      <w:r>
        <w:rPr>
          <w:rFonts w:ascii="Verdana"/>
          <w:i/>
          <w:sz w:val="16"/>
          <w:rtl w:val="0"/>
        </w:rPr>
        <w:t>Violencia antijudía en Polonia tras la Liberación</w:t>
      </w:r>
      <w:r>
        <w:rPr>
          <w:rFonts w:ascii="Verdana"/>
          <w:sz w:val="16"/>
          <w:rtl w:val="0"/>
        </w:rPr>
        <w:t xml:space="preserve">. </w:t>
      </w:r>
      <w:hyperlink r:id="rId11" w:history="1">
        <w:r>
          <w:rPr>
            <w:rFonts w:ascii="Verdana"/>
            <w:color w:val="215E9E"/>
            <w:sz w:val="16"/>
            <w:u w:val="single" w:color="215E9E"/>
            <w:rtl w:val="0"/>
          </w:rPr>
          <w:t>https://www</w:t>
        </w:r>
        <w:r>
          <w:rPr>
            <w:rFonts w:ascii="Verdana"/>
            <w:color w:val="215E9E"/>
            <w:sz w:val="16"/>
            <w:rtl w:val="0"/>
          </w:rPr>
          <w:t>.</w:t>
        </w:r>
      </w:hyperlink>
      <w:r>
        <w:rPr>
          <w:rFonts w:ascii="Verdana"/>
          <w:sz w:val="16"/>
          <w:rtl w:val="0"/>
        </w:rPr>
        <w:t xml:space="preserve"> </w:t>
      </w:r>
      <w:hyperlink r:id="rId11" w:history="1">
        <w:r>
          <w:rPr>
            <w:rFonts w:ascii="Verdana"/>
            <w:color w:val="215E9E"/>
            <w:sz w:val="16"/>
            <w:u w:val="single" w:color="215E9E"/>
            <w:rtl w:val="0"/>
          </w:rPr>
          <w:t>yadvashem.org/articles/general/anti-jewish-violence-in-poland-after-liberation.html</w:t>
        </w:r>
      </w:hyperlink>
    </w:p>
    <w:sectPr>
      <w:pgSz w:w="12240" w:h="15840"/>
      <w:pgMar w:top="960" w:right="0" w:bottom="1080" w:left="0" w:header="0" w:footer="891"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D70C3" w14:paraId="2A4CD6CE" w14:textId="666516D8">
    <w:pPr>
      <w:pStyle w:val="BodyText"/>
      <w:spacing w:line="14" w:lineRule="auto"/>
      <w:rPr>
        <w:sz w:val="20"/>
      </w:rPr>
    </w:pPr>
    <w:r>
      <w:rPr>
        <w:noProof/>
      </w:rPr>
      <mc:AlternateContent>
        <mc:Choice Requires="wps">
          <w:drawing>
            <wp:anchor distT="0" distB="0" distL="114300" distR="114300" simplePos="0" relativeHeight="251659264" behindDoc="1" locked="0" layoutInCell="1" allowOverlap="1">
              <wp:simplePos x="0" y="0"/>
              <wp:positionH relativeFrom="page">
                <wp:posOffset>673100</wp:posOffset>
              </wp:positionH>
              <wp:positionV relativeFrom="page">
                <wp:posOffset>9352915</wp:posOffset>
              </wp:positionV>
              <wp:extent cx="2041525" cy="157480"/>
              <wp:effectExtent l="0" t="0" r="0" b="0"/>
              <wp:wrapNone/>
              <wp:docPr id="1847383719" name="Text Box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041525" cy="15748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2D70C3" w14:textId="77777777">
                          <w:pPr>
                            <w:bidi w:val="0"/>
                            <w:spacing w:before="24"/>
                            <w:ind w:left="20"/>
                            <w:rPr>
                              <w:rFonts w:ascii="Verdana"/>
                              <w:sz w:val="16"/>
                            </w:rPr>
                          </w:pPr>
                          <w:r>
                            <w:rPr>
                              <w:rFonts w:ascii="Verdana"/>
                              <w:spacing w:val="-1"/>
                              <w:sz w:val="16"/>
                              <w:rtl w:val="0"/>
                            </w:rPr>
                            <w:t>EL ANTISEMITISMO DESPUÉS DEL HOLOCAUSTO</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2049" type="#_x0000_t202" style="width:160.75pt;height:12.4pt;margin-top:736.45pt;margin-left:53pt;mso-height-percent:0;mso-height-relative:page;mso-position-horizontal-relative:page;mso-position-vertical-relative:page;mso-width-percent:0;mso-width-relative:page;mso-wrap-distance-bottom:0;mso-wrap-distance-left:9pt;mso-wrap-distance-right:9pt;mso-wrap-distance-top:0;position:absolute;v-text-anchor:top;z-index:-251658240" filled="f" fillcolor="this" stroked="f">
              <v:textbox inset="0,0,0,0">
                <w:txbxContent>
                  <w:p w:rsidR="002D70C3" w14:paraId="106EA8A2" w14:textId="77777777">
                    <w:pPr>
                      <w:bidi w:val="0"/>
                      <w:spacing w:before="24"/>
                      <w:ind w:left="20"/>
                      <w:rPr>
                        <w:rFonts w:ascii="Verdana"/>
                        <w:sz w:val="16"/>
                      </w:rPr>
                    </w:pPr>
                    <w:r>
                      <w:rPr>
                        <w:rFonts w:ascii="Verdana"/>
                        <w:spacing w:val="-1"/>
                        <w:sz w:val="16"/>
                        <w:rtl w:val="0"/>
                      </w:rPr>
                      <w:t>EL ANTISEMITISMO DESPUÉS DEL HOLOCAUSTO</w:t>
                    </w:r>
                  </w:p>
                </w:txbxContent>
              </v:textbox>
            </v:shape>
          </w:pict>
        </mc:Fallback>
      </mc:AlternateContent>
    </w:r>
    <w:r>
      <w:rPr>
        <w:noProof/>
      </w:rPr>
      <mc:AlternateContent>
        <mc:Choice Requires="wps">
          <w:drawing>
            <wp:anchor distT="0" distB="0" distL="114300" distR="114300" simplePos="0" relativeHeight="251661312" behindDoc="1" locked="0" layoutInCell="1" allowOverlap="1">
              <wp:simplePos x="0" y="0"/>
              <wp:positionH relativeFrom="page">
                <wp:posOffset>5305425</wp:posOffset>
              </wp:positionH>
              <wp:positionV relativeFrom="page">
                <wp:posOffset>9352915</wp:posOffset>
              </wp:positionV>
              <wp:extent cx="1793875" cy="157480"/>
              <wp:effectExtent l="0" t="0" r="0" b="0"/>
              <wp:wrapNone/>
              <wp:docPr id="75567748" name="Text Box 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793875" cy="15748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2D70C3" w14:textId="77777777">
                          <w:pPr>
                            <w:bidi w:val="0"/>
                            <w:spacing w:before="24"/>
                            <w:ind w:left="20"/>
                            <w:rPr>
                              <w:rFonts w:ascii="Verdana" w:hAnsi="Verdana"/>
                              <w:sz w:val="16"/>
                            </w:rPr>
                          </w:pPr>
                          <w:r>
                            <w:rPr>
                              <w:rFonts w:ascii="Verdana" w:hAnsi="Verdana"/>
                              <w:spacing w:val="-1"/>
                              <w:sz w:val="16"/>
                              <w:rtl w:val="0"/>
                            </w:rPr>
                            <w:t>© Asociación Ecos y Reflexiones</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 o:spid="_x0000_s2050" type="#_x0000_t202" style="width:141.25pt;height:12.4pt;margin-top:736.45pt;margin-left:417.75pt;mso-height-percent:0;mso-height-relative:page;mso-position-horizontal-relative:page;mso-position-vertical-relative:page;mso-width-percent:0;mso-width-relative:page;mso-wrap-distance-bottom:0;mso-wrap-distance-left:9pt;mso-wrap-distance-right:9pt;mso-wrap-distance-top:0;position:absolute;v-text-anchor:top;z-index:-251656192" filled="f" fillcolor="this" stroked="f">
              <v:textbox inset="0,0,0,0">
                <w:txbxContent>
                  <w:p w:rsidR="002D70C3" w14:paraId="648B6DD3" w14:textId="77777777">
                    <w:pPr>
                      <w:bidi w:val="0"/>
                      <w:spacing w:before="24"/>
                      <w:ind w:left="20"/>
                      <w:rPr>
                        <w:rFonts w:ascii="Verdana" w:hAnsi="Verdana"/>
                        <w:sz w:val="16"/>
                      </w:rPr>
                    </w:pPr>
                    <w:r>
                      <w:rPr>
                        <w:rFonts w:ascii="Verdana" w:hAnsi="Verdana"/>
                        <w:spacing w:val="-1"/>
                        <w:sz w:val="16"/>
                        <w:rtl w:val="0"/>
                      </w:rPr>
                      <w:t>© Asociación Ecos y Reflexiones</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70C3"/>
    <w:rsid w:val="002B1A1E"/>
    <w:rsid w:val="002D70C3"/>
    <w:rsid w:val="009543F2"/>
    <w:rsid w:val="00D53DDD"/>
    <w:rsid w:val="00F51819"/>
  </w:rsids>
  <m:mathPr>
    <m:mathFont m:val="Cambria Math"/>
  </m:mathPr>
  <w:themeFontLang w:val="de-DE"/>
  <w:clrSchemeMapping w:bg1="light1" w:t1="dark1" w:bg2="light2" w:t2="dark2" w:accent1="accent1" w:accent2="accent2" w:accent3="accent3" w:accent4="accent4" w:accent5="accent5" w:accent6="accent6" w:hyperlink="hyperlink" w:followedHyperlink="followedHyperlink"/>
  <w15:docId w15:val="{9F93EFE1-6505-4DA2-9030-042760CDE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Georgia" w:eastAsia="Georgia" w:hAnsi="Georgia" w:cs="Georg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 Normal_0"/>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uiPriority w:val="1"/>
    <w:qFormat/>
    <w:rPr>
      <w:sz w:val="18"/>
      <w:szCs w:val="18"/>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yperlink" Target="https://encyclopedia.ushmm.org/content/en/article/the-kielce-pogrom-a-blood-libel-massacre-of-holocaust-survivors" TargetMode="External" /><Relationship Id="rId11" Type="http://schemas.openxmlformats.org/officeDocument/2006/relationships/hyperlink" Target="https://www.yadvashem.org/articles/general/anti-jewish-violence-in-poland-after-liberation.html" TargetMode="External"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footer" Target="footer1.xml"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hyperlink" Target="https://maisonneuve.org/article/2019/02/12/next-year-krakow/"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731</Words>
  <Characters>4608</Characters>
  <Application>Microsoft Office Word</Application>
  <DocSecurity>0</DocSecurity>
  <Lines>38</Lines>
  <Paragraphs>10</Paragraphs>
  <ScaleCrop>false</ScaleCrop>
  <Company/>
  <LinksUpToDate>false</LinksUpToDate>
  <CharactersWithSpaces>5329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 Rode</dc:creator>
  <cp:lastModifiedBy>Helen Rode</cp:lastModifiedBy>
  <cp:revision>2</cp:revision>
  <dcterms:created xsi:type="dcterms:W3CDTF">2024-10-10T09:09:00Z</dcterms:created>
  <dcterms:modified xsi:type="dcterms:W3CDTF">2024-10-10T09:09:00Z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2024-09-20T00:00:00Z</vt:filetime>
  </property>
  <property fmtid="{D5CDD505-2E9C-101B-9397-08002B2CF9AE}" pid="3" name="Creator">
    <vt:lpwstr>Adobe InDesign 19.5 (Windows)</vt:lpwstr>
  </property>
  <property fmtid="{D5CDD505-2E9C-101B-9397-08002B2CF9AE}" pid="4" name="LastSaved">
    <vt:filetime>2024-10-10T00:00:00Z</vt:filetime>
  </property>
</Properties>
</file>