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F668" w14:textId="1881F62E" w:rsidR="005313CA" w:rsidRPr="001D1C50" w:rsidRDefault="0040735E" w:rsidP="0040735E">
      <w:pPr>
        <w:jc w:val="center"/>
        <w:rPr>
          <w:rFonts w:ascii="David" w:hAnsi="David" w:cs="David"/>
          <w:b/>
          <w:bCs/>
          <w:sz w:val="36"/>
          <w:szCs w:val="36"/>
          <w:rtl/>
        </w:rPr>
      </w:pPr>
      <w:r w:rsidRPr="001D1C50">
        <w:rPr>
          <w:rFonts w:ascii="David" w:hAnsi="David" w:cs="David" w:hint="cs"/>
          <w:b/>
          <w:bCs/>
          <w:sz w:val="36"/>
          <w:szCs w:val="36"/>
          <w:rtl/>
        </w:rPr>
        <w:t>צרעת לאור מקבילותיו המסופוטמיות</w:t>
      </w:r>
    </w:p>
    <w:p w14:paraId="4CCE0B64" w14:textId="77777777" w:rsidR="0040735E" w:rsidRDefault="0040735E" w:rsidP="0040735E">
      <w:pPr>
        <w:rPr>
          <w:rFonts w:ascii="David" w:hAnsi="David" w:cs="David"/>
          <w:sz w:val="24"/>
          <w:szCs w:val="24"/>
          <w:rtl/>
        </w:rPr>
      </w:pPr>
    </w:p>
    <w:p w14:paraId="57AD1AE9" w14:textId="5E01D22B" w:rsidR="0040735E" w:rsidRDefault="0040735E" w:rsidP="0040735E">
      <w:pPr>
        <w:spacing w:line="360" w:lineRule="auto"/>
        <w:rPr>
          <w:rFonts w:ascii="David" w:hAnsi="David" w:cs="David"/>
          <w:sz w:val="24"/>
          <w:szCs w:val="24"/>
          <w:rtl/>
        </w:rPr>
      </w:pPr>
      <w:r>
        <w:rPr>
          <w:rFonts w:ascii="David" w:hAnsi="David" w:cs="David" w:hint="cs"/>
          <w:sz w:val="24"/>
          <w:szCs w:val="24"/>
          <w:rtl/>
        </w:rPr>
        <w:t xml:space="preserve">על אף </w:t>
      </w:r>
      <w:r w:rsidR="001D1C50">
        <w:rPr>
          <w:rFonts w:ascii="David" w:hAnsi="David" w:cs="David" w:hint="cs"/>
          <w:sz w:val="24"/>
          <w:szCs w:val="24"/>
          <w:rtl/>
        </w:rPr>
        <w:t>ש</w:t>
      </w:r>
      <w:r>
        <w:rPr>
          <w:rFonts w:ascii="David" w:hAnsi="David" w:cs="David" w:hint="cs"/>
          <w:sz w:val="24"/>
          <w:szCs w:val="24"/>
          <w:rtl/>
        </w:rPr>
        <w:t>ה</w:t>
      </w:r>
      <w:r w:rsidR="00FD2ECE">
        <w:rPr>
          <w:rFonts w:ascii="David" w:hAnsi="David" w:cs="David" w:hint="cs"/>
          <w:sz w:val="24"/>
          <w:szCs w:val="24"/>
          <w:rtl/>
        </w:rPr>
        <w:t>תורה</w:t>
      </w:r>
      <w:r w:rsidR="001D1C50">
        <w:rPr>
          <w:rFonts w:ascii="David" w:hAnsi="David" w:cs="David" w:hint="cs"/>
          <w:sz w:val="24"/>
          <w:szCs w:val="24"/>
          <w:rtl/>
        </w:rPr>
        <w:t xml:space="preserve"> </w:t>
      </w:r>
      <w:r w:rsidR="00041FAD">
        <w:rPr>
          <w:rFonts w:ascii="David" w:hAnsi="David" w:cs="David" w:hint="cs"/>
          <w:sz w:val="24"/>
          <w:szCs w:val="24"/>
          <w:rtl/>
        </w:rPr>
        <w:t>דנה</w:t>
      </w:r>
      <w:r>
        <w:rPr>
          <w:rFonts w:ascii="David" w:hAnsi="David" w:cs="David" w:hint="cs"/>
          <w:sz w:val="24"/>
          <w:szCs w:val="24"/>
          <w:rtl/>
        </w:rPr>
        <w:t xml:space="preserve"> </w:t>
      </w:r>
      <w:r w:rsidR="001D1C50">
        <w:rPr>
          <w:rFonts w:ascii="David" w:hAnsi="David" w:cs="David" w:hint="cs"/>
          <w:sz w:val="24"/>
          <w:szCs w:val="24"/>
          <w:rtl/>
        </w:rPr>
        <w:t xml:space="preserve">באריכות </w:t>
      </w:r>
      <w:r w:rsidR="00041FAD">
        <w:rPr>
          <w:rFonts w:ascii="David" w:hAnsi="David" w:cs="David" w:hint="cs"/>
          <w:sz w:val="24"/>
          <w:szCs w:val="24"/>
          <w:rtl/>
        </w:rPr>
        <w:t>בנ</w:t>
      </w:r>
      <w:r w:rsidR="001D1C50">
        <w:rPr>
          <w:rFonts w:ascii="David" w:hAnsi="David" w:cs="David" w:hint="cs"/>
          <w:sz w:val="24"/>
          <w:szCs w:val="24"/>
          <w:rtl/>
        </w:rPr>
        <w:t>ושא ה</w:t>
      </w:r>
      <w:r>
        <w:rPr>
          <w:rFonts w:ascii="David" w:hAnsi="David" w:cs="David" w:hint="cs"/>
          <w:sz w:val="24"/>
          <w:szCs w:val="24"/>
          <w:rtl/>
        </w:rPr>
        <w:t>צרעת</w:t>
      </w:r>
      <w:r w:rsidR="001D1C50">
        <w:rPr>
          <w:rFonts w:ascii="David" w:hAnsi="David" w:cs="David" w:hint="cs"/>
          <w:sz w:val="24"/>
          <w:szCs w:val="24"/>
          <w:rtl/>
        </w:rPr>
        <w:t>,</w:t>
      </w:r>
      <w:r>
        <w:rPr>
          <w:rFonts w:ascii="David" w:hAnsi="David" w:cs="David" w:hint="cs"/>
          <w:sz w:val="24"/>
          <w:szCs w:val="24"/>
          <w:rtl/>
        </w:rPr>
        <w:t xml:space="preserve"> מדוע </w:t>
      </w:r>
      <w:r w:rsidR="00FD2ECE">
        <w:rPr>
          <w:rFonts w:ascii="David" w:hAnsi="David" w:cs="David" w:hint="cs"/>
          <w:sz w:val="24"/>
          <w:szCs w:val="24"/>
          <w:rtl/>
        </w:rPr>
        <w:t>היא</w:t>
      </w:r>
      <w:r>
        <w:rPr>
          <w:rFonts w:ascii="David" w:hAnsi="David" w:cs="David" w:hint="cs"/>
          <w:sz w:val="24"/>
          <w:szCs w:val="24"/>
          <w:rtl/>
        </w:rPr>
        <w:t xml:space="preserve"> משמיטה דיון על </w:t>
      </w:r>
      <w:r w:rsidR="004D6763">
        <w:rPr>
          <w:rFonts w:ascii="David" w:hAnsi="David" w:cs="David" w:hint="cs"/>
          <w:sz w:val="24"/>
          <w:szCs w:val="24"/>
          <w:rtl/>
        </w:rPr>
        <w:t xml:space="preserve">הגורם למחלה </w:t>
      </w:r>
      <w:r>
        <w:rPr>
          <w:rFonts w:ascii="David" w:hAnsi="David" w:cs="David" w:hint="cs"/>
          <w:sz w:val="24"/>
          <w:szCs w:val="24"/>
          <w:rtl/>
        </w:rPr>
        <w:t xml:space="preserve">(חטא?), </w:t>
      </w:r>
      <w:r w:rsidR="001D1C50">
        <w:rPr>
          <w:rFonts w:ascii="David" w:hAnsi="David" w:cs="David" w:hint="cs"/>
          <w:sz w:val="24"/>
          <w:szCs w:val="24"/>
          <w:rtl/>
        </w:rPr>
        <w:t>מידת</w:t>
      </w:r>
      <w:r>
        <w:rPr>
          <w:rFonts w:ascii="David" w:hAnsi="David" w:cs="David" w:hint="cs"/>
          <w:sz w:val="24"/>
          <w:szCs w:val="24"/>
          <w:rtl/>
        </w:rPr>
        <w:t xml:space="preserve"> </w:t>
      </w:r>
      <w:r w:rsidR="004D6763">
        <w:rPr>
          <w:rFonts w:ascii="David" w:hAnsi="David" w:cs="David" w:hint="cs"/>
          <w:sz w:val="24"/>
          <w:szCs w:val="24"/>
          <w:rtl/>
        </w:rPr>
        <w:t xml:space="preserve">יכולת </w:t>
      </w:r>
      <w:r>
        <w:rPr>
          <w:rFonts w:ascii="David" w:hAnsi="David" w:cs="David" w:hint="cs"/>
          <w:sz w:val="24"/>
          <w:szCs w:val="24"/>
          <w:rtl/>
        </w:rPr>
        <w:t xml:space="preserve">ההדבקה שלה והטיפול בה? </w:t>
      </w:r>
      <w:r w:rsidR="00F56220">
        <w:rPr>
          <w:rFonts w:ascii="David" w:hAnsi="David" w:cs="David" w:hint="cs"/>
          <w:sz w:val="24"/>
          <w:szCs w:val="24"/>
          <w:rtl/>
        </w:rPr>
        <w:t xml:space="preserve">מן </w:t>
      </w:r>
      <w:r>
        <w:rPr>
          <w:rFonts w:ascii="David" w:hAnsi="David" w:cs="David" w:hint="cs"/>
          <w:sz w:val="24"/>
          <w:szCs w:val="24"/>
          <w:rtl/>
        </w:rPr>
        <w:t xml:space="preserve">ההשוואה לפולחנים מסופוטמיים הנוגעים למחלה דומה מאוד </w:t>
      </w:r>
      <w:r w:rsidR="00F56220" w:rsidRPr="002A2E5E">
        <w:rPr>
          <w:rFonts w:ascii="Times New Roman" w:eastAsia="Times New Roman" w:hAnsi="Times New Roman" w:cs="Times New Roman"/>
          <w:color w:val="333333"/>
          <w:sz w:val="19"/>
          <w:szCs w:val="19"/>
          <w:lang w:bidi="ar-SA"/>
        </w:rPr>
        <w:t>(</w:t>
      </w:r>
      <w:proofErr w:type="spellStart"/>
      <w:r w:rsidR="00F56220" w:rsidRPr="0090141D">
        <w:rPr>
          <w:rFonts w:ascii="Times New Roman" w:eastAsia="Times New Roman" w:hAnsi="Times New Roman" w:cs="Times New Roman"/>
          <w:i/>
          <w:iCs/>
          <w:color w:val="333333"/>
          <w:sz w:val="19"/>
          <w:lang w:bidi="ar-SA"/>
        </w:rPr>
        <w:t>Saḫaršubbû</w:t>
      </w:r>
      <w:proofErr w:type="spellEnd"/>
      <w:r w:rsidR="00F56220" w:rsidRPr="002A2E5E">
        <w:rPr>
          <w:rFonts w:ascii="Times New Roman" w:eastAsia="Times New Roman" w:hAnsi="Times New Roman" w:cs="Times New Roman"/>
          <w:color w:val="333333"/>
          <w:sz w:val="19"/>
          <w:szCs w:val="19"/>
          <w:lang w:bidi="ar-SA"/>
        </w:rPr>
        <w:t>)</w:t>
      </w:r>
      <w:r w:rsidR="00F56220">
        <w:rPr>
          <w:rFonts w:ascii="David" w:hAnsi="David" w:cs="David" w:hint="cs"/>
          <w:sz w:val="24"/>
          <w:szCs w:val="24"/>
          <w:rtl/>
        </w:rPr>
        <w:t xml:space="preserve"> עולה כי השמטות אלה היו לגמרי לא מקריות.</w:t>
      </w:r>
    </w:p>
    <w:p w14:paraId="7E5C25F2" w14:textId="17BF1BE4" w:rsidR="00F56220" w:rsidRDefault="00F56220" w:rsidP="0040735E">
      <w:pPr>
        <w:spacing w:line="360" w:lineRule="auto"/>
        <w:rPr>
          <w:rFonts w:ascii="David" w:hAnsi="David" w:cs="David"/>
          <w:sz w:val="24"/>
          <w:szCs w:val="24"/>
          <w:rtl/>
        </w:rPr>
      </w:pPr>
      <w:r>
        <w:rPr>
          <w:rFonts w:ascii="David" w:hAnsi="David" w:cs="David" w:hint="cs"/>
          <w:sz w:val="24"/>
          <w:szCs w:val="24"/>
          <w:rtl/>
        </w:rPr>
        <w:t>ד"ר יצחק פדר</w:t>
      </w:r>
    </w:p>
    <w:p w14:paraId="199DB94C" w14:textId="77777777" w:rsidR="001D1C50" w:rsidRDefault="001D1C50" w:rsidP="0040735E">
      <w:pPr>
        <w:spacing w:line="360" w:lineRule="auto"/>
        <w:rPr>
          <w:rFonts w:ascii="David" w:hAnsi="David" w:cs="David"/>
          <w:sz w:val="24"/>
          <w:szCs w:val="24"/>
          <w:rtl/>
        </w:rPr>
      </w:pPr>
    </w:p>
    <w:p w14:paraId="23632C8A" w14:textId="13715B7B" w:rsidR="00F56220" w:rsidRDefault="00F56220" w:rsidP="0040735E">
      <w:pPr>
        <w:spacing w:line="360" w:lineRule="auto"/>
        <w:rPr>
          <w:rFonts w:ascii="David" w:hAnsi="David" w:cs="David"/>
          <w:sz w:val="24"/>
          <w:szCs w:val="24"/>
          <w:rtl/>
        </w:rPr>
      </w:pPr>
      <w:r>
        <w:rPr>
          <w:rFonts w:ascii="David" w:hAnsi="David" w:cs="David" w:hint="cs"/>
          <w:sz w:val="24"/>
          <w:szCs w:val="24"/>
          <w:rtl/>
        </w:rPr>
        <w:t xml:space="preserve">הוא מאובחן כחולה אך </w:t>
      </w:r>
      <w:r w:rsidR="004D6763">
        <w:rPr>
          <w:rFonts w:ascii="David" w:hAnsi="David" w:cs="David" w:hint="cs"/>
          <w:sz w:val="24"/>
          <w:szCs w:val="24"/>
          <w:rtl/>
        </w:rPr>
        <w:t xml:space="preserve">כלל </w:t>
      </w:r>
      <w:r>
        <w:rPr>
          <w:rFonts w:ascii="David" w:hAnsi="David" w:cs="David" w:hint="cs"/>
          <w:sz w:val="24"/>
          <w:szCs w:val="24"/>
          <w:rtl/>
        </w:rPr>
        <w:t xml:space="preserve">אינו מטופל. הוא מורחק מן הקהילה, אך אינו מדבק. הוא מקריב קורבן אשם, אך חטאו </w:t>
      </w:r>
      <w:r w:rsidR="006F7FF8">
        <w:rPr>
          <w:rFonts w:ascii="David" w:hAnsi="David" w:cs="David" w:hint="cs"/>
          <w:sz w:val="24"/>
          <w:szCs w:val="24"/>
          <w:rtl/>
        </w:rPr>
        <w:t xml:space="preserve">לא </w:t>
      </w:r>
      <w:r w:rsidR="00FD2ECE">
        <w:rPr>
          <w:rFonts w:ascii="David" w:hAnsi="David" w:cs="David" w:hint="cs"/>
          <w:sz w:val="24"/>
          <w:szCs w:val="24"/>
          <w:rtl/>
        </w:rPr>
        <w:t>מוזכר</w:t>
      </w:r>
      <w:r w:rsidR="008A462E">
        <w:rPr>
          <w:rFonts w:ascii="David" w:hAnsi="David" w:cs="David" w:hint="cs"/>
          <w:sz w:val="24"/>
          <w:szCs w:val="24"/>
          <w:rtl/>
        </w:rPr>
        <w:t>. מי הוא מצורע זה, ומהי מחלה זו המכונה צרעת?</w:t>
      </w:r>
    </w:p>
    <w:p w14:paraId="0C052A34" w14:textId="0B6F8003" w:rsidR="008A462E" w:rsidRDefault="008A462E" w:rsidP="0040735E">
      <w:pPr>
        <w:spacing w:line="360" w:lineRule="auto"/>
        <w:rPr>
          <w:rFonts w:ascii="David" w:hAnsi="David" w:cs="David"/>
          <w:sz w:val="24"/>
          <w:szCs w:val="24"/>
          <w:rtl/>
        </w:rPr>
      </w:pPr>
      <w:r>
        <w:rPr>
          <w:rFonts w:ascii="David" w:hAnsi="David" w:cs="David" w:hint="cs"/>
          <w:sz w:val="24"/>
          <w:szCs w:val="24"/>
          <w:rtl/>
        </w:rPr>
        <w:t>שאלת זהות</w:t>
      </w:r>
      <w:r w:rsidR="00FD2ECE">
        <w:rPr>
          <w:rFonts w:ascii="David" w:hAnsi="David" w:cs="David" w:hint="cs"/>
          <w:sz w:val="24"/>
          <w:szCs w:val="24"/>
          <w:rtl/>
        </w:rPr>
        <w:t>ה של</w:t>
      </w:r>
      <w:r>
        <w:rPr>
          <w:rFonts w:ascii="David" w:hAnsi="David" w:cs="David" w:hint="cs"/>
          <w:sz w:val="24"/>
          <w:szCs w:val="24"/>
          <w:rtl/>
        </w:rPr>
        <w:t xml:space="preserve"> מחלה זו הייתה נושא למאות מחקרים אקדמיים, עובדה </w:t>
      </w:r>
      <w:r w:rsidR="00B67377">
        <w:rPr>
          <w:rFonts w:ascii="David" w:hAnsi="David" w:cs="David" w:hint="cs"/>
          <w:sz w:val="24"/>
          <w:szCs w:val="24"/>
          <w:rtl/>
        </w:rPr>
        <w:t>ה</w:t>
      </w:r>
      <w:r>
        <w:rPr>
          <w:rFonts w:ascii="David" w:hAnsi="David" w:cs="David" w:hint="cs"/>
          <w:sz w:val="24"/>
          <w:szCs w:val="24"/>
          <w:rtl/>
        </w:rPr>
        <w:t xml:space="preserve">עשויה להפתיע את הקורא הממוצע שהיה </w:t>
      </w:r>
      <w:r w:rsidR="00FC067D">
        <w:rPr>
          <w:rFonts w:ascii="David" w:hAnsi="David" w:cs="David" w:hint="cs"/>
          <w:sz w:val="24"/>
          <w:szCs w:val="24"/>
          <w:rtl/>
        </w:rPr>
        <w:t xml:space="preserve">בהחלט </w:t>
      </w:r>
      <w:r w:rsidR="00041FAD">
        <w:rPr>
          <w:rFonts w:ascii="David" w:hAnsi="David" w:cs="David" w:hint="cs"/>
          <w:sz w:val="24"/>
          <w:szCs w:val="24"/>
          <w:rtl/>
        </w:rPr>
        <w:t>מוכן</w:t>
      </w:r>
      <w:r w:rsidR="00FC067D">
        <w:rPr>
          <w:rFonts w:ascii="David" w:hAnsi="David" w:cs="David" w:hint="cs"/>
          <w:sz w:val="24"/>
          <w:szCs w:val="24"/>
          <w:rtl/>
        </w:rPr>
        <w:t xml:space="preserve"> </w:t>
      </w:r>
      <w:r>
        <w:rPr>
          <w:rFonts w:ascii="David" w:hAnsi="David" w:cs="David" w:hint="cs"/>
          <w:sz w:val="24"/>
          <w:szCs w:val="24"/>
          <w:rtl/>
        </w:rPr>
        <w:t>להתעלם כליל מן הנושא. אולם לדיון המפורט על מחלת עור בספר ויקרא 13</w:t>
      </w:r>
      <w:r>
        <w:rPr>
          <w:rFonts w:ascii="David" w:hAnsi="David" w:cs="David" w:hint="eastAsia"/>
          <w:sz w:val="24"/>
          <w:szCs w:val="24"/>
          <w:rtl/>
        </w:rPr>
        <w:t>–</w:t>
      </w:r>
      <w:r>
        <w:rPr>
          <w:rFonts w:ascii="David" w:hAnsi="David" w:cs="David" w:hint="cs"/>
          <w:sz w:val="24"/>
          <w:szCs w:val="24"/>
          <w:rtl/>
        </w:rPr>
        <w:t xml:space="preserve">14 יש השלכות </w:t>
      </w:r>
      <w:r w:rsidR="00B67377">
        <w:rPr>
          <w:rFonts w:ascii="David" w:hAnsi="David" w:cs="David" w:hint="cs"/>
          <w:sz w:val="24"/>
          <w:szCs w:val="24"/>
          <w:rtl/>
        </w:rPr>
        <w:t xml:space="preserve">החורגות </w:t>
      </w:r>
      <w:r>
        <w:rPr>
          <w:rFonts w:ascii="David" w:hAnsi="David" w:cs="David" w:hint="cs"/>
          <w:sz w:val="24"/>
          <w:szCs w:val="24"/>
          <w:rtl/>
        </w:rPr>
        <w:t xml:space="preserve">הרבה מעבר לדיון </w:t>
      </w:r>
      <w:r w:rsidR="00B67377">
        <w:rPr>
          <w:rFonts w:ascii="David" w:hAnsi="David" w:cs="David" w:hint="cs"/>
          <w:sz w:val="24"/>
          <w:szCs w:val="24"/>
          <w:rtl/>
        </w:rPr>
        <w:t>ב</w:t>
      </w:r>
      <w:r>
        <w:rPr>
          <w:rFonts w:ascii="David" w:hAnsi="David" w:cs="David" w:hint="cs"/>
          <w:sz w:val="24"/>
          <w:szCs w:val="24"/>
          <w:rtl/>
        </w:rPr>
        <w:t xml:space="preserve">מחלה ספציפית זו. אפשר להעריך אותן רק כאשר מכירים </w:t>
      </w:r>
      <w:r w:rsidR="00FC067D">
        <w:rPr>
          <w:rFonts w:ascii="David" w:hAnsi="David" w:cs="David" w:hint="cs"/>
          <w:sz w:val="24"/>
          <w:szCs w:val="24"/>
          <w:rtl/>
        </w:rPr>
        <w:t>ב</w:t>
      </w:r>
      <w:r>
        <w:rPr>
          <w:rFonts w:ascii="David" w:hAnsi="David" w:cs="David" w:hint="cs"/>
          <w:sz w:val="24"/>
          <w:szCs w:val="24"/>
          <w:rtl/>
        </w:rPr>
        <w:t xml:space="preserve">מה שחסר </w:t>
      </w:r>
      <w:r>
        <w:rPr>
          <w:rFonts w:ascii="David" w:hAnsi="David" w:cs="David"/>
          <w:sz w:val="24"/>
          <w:szCs w:val="24"/>
          <w:rtl/>
        </w:rPr>
        <w:t>–</w:t>
      </w:r>
      <w:r>
        <w:rPr>
          <w:rFonts w:ascii="David" w:hAnsi="David" w:cs="David" w:hint="cs"/>
          <w:sz w:val="24"/>
          <w:szCs w:val="24"/>
          <w:rtl/>
        </w:rPr>
        <w:t xml:space="preserve"> אולי אף </w:t>
      </w:r>
      <w:r w:rsidR="00B67377">
        <w:rPr>
          <w:rFonts w:ascii="David" w:hAnsi="David" w:cs="David" w:hint="cs"/>
          <w:sz w:val="24"/>
          <w:szCs w:val="24"/>
          <w:rtl/>
        </w:rPr>
        <w:t xml:space="preserve">מוסתר </w:t>
      </w:r>
      <w:r>
        <w:rPr>
          <w:rFonts w:ascii="David" w:hAnsi="David" w:cs="David" w:hint="cs"/>
          <w:sz w:val="24"/>
          <w:szCs w:val="24"/>
          <w:rtl/>
        </w:rPr>
        <w:t xml:space="preserve">בכוונה </w:t>
      </w:r>
      <w:r>
        <w:rPr>
          <w:rFonts w:ascii="David" w:hAnsi="David" w:cs="David"/>
          <w:sz w:val="24"/>
          <w:szCs w:val="24"/>
          <w:rtl/>
        </w:rPr>
        <w:t>–</w:t>
      </w:r>
      <w:r>
        <w:rPr>
          <w:rFonts w:ascii="David" w:hAnsi="David" w:cs="David" w:hint="cs"/>
          <w:sz w:val="24"/>
          <w:szCs w:val="24"/>
          <w:rtl/>
        </w:rPr>
        <w:t xml:space="preserve"> </w:t>
      </w:r>
      <w:r w:rsidR="00B67377">
        <w:rPr>
          <w:rFonts w:ascii="David" w:hAnsi="David" w:cs="David" w:hint="cs"/>
          <w:sz w:val="24"/>
          <w:szCs w:val="24"/>
          <w:rtl/>
        </w:rPr>
        <w:t>ב</w:t>
      </w:r>
      <w:r>
        <w:rPr>
          <w:rFonts w:ascii="David" w:hAnsi="David" w:cs="David" w:hint="cs"/>
          <w:sz w:val="24"/>
          <w:szCs w:val="24"/>
          <w:rtl/>
        </w:rPr>
        <w:t>פרקים אלה.</w:t>
      </w:r>
    </w:p>
    <w:p w14:paraId="576E5B77" w14:textId="2FAADB10" w:rsidR="008A462E" w:rsidRDefault="008E0A36" w:rsidP="0040735E">
      <w:pPr>
        <w:spacing w:line="360" w:lineRule="auto"/>
        <w:rPr>
          <w:rFonts w:ascii="David" w:hAnsi="David" w:cs="David"/>
          <w:sz w:val="24"/>
          <w:szCs w:val="24"/>
          <w:rtl/>
        </w:rPr>
      </w:pPr>
      <w:r>
        <w:rPr>
          <w:rFonts w:ascii="David" w:hAnsi="David" w:cs="David" w:hint="cs"/>
          <w:sz w:val="24"/>
          <w:szCs w:val="24"/>
          <w:rtl/>
        </w:rPr>
        <w:t>מחלה דמיונית?</w:t>
      </w:r>
    </w:p>
    <w:p w14:paraId="73998F89" w14:textId="01BE33E3" w:rsidR="008E0A36" w:rsidRDefault="002E7BD2" w:rsidP="0040735E">
      <w:pPr>
        <w:spacing w:line="360" w:lineRule="auto"/>
        <w:rPr>
          <w:rFonts w:ascii="David" w:hAnsi="David" w:cs="David"/>
          <w:sz w:val="24"/>
          <w:szCs w:val="24"/>
          <w:rtl/>
        </w:rPr>
      </w:pPr>
      <w:r>
        <w:rPr>
          <w:rFonts w:ascii="David" w:hAnsi="David" w:cs="David" w:hint="cs"/>
          <w:sz w:val="24"/>
          <w:szCs w:val="24"/>
          <w:rtl/>
        </w:rPr>
        <w:t>אי אפשר פשוט לשייך מחלה זו ל"</w:t>
      </w:r>
      <w:r w:rsidR="00B67377">
        <w:rPr>
          <w:rFonts w:ascii="David" w:hAnsi="David" w:cs="David"/>
          <w:sz w:val="24"/>
          <w:szCs w:val="24"/>
        </w:rPr>
        <w:t>l</w:t>
      </w:r>
      <w:r>
        <w:rPr>
          <w:rFonts w:ascii="David" w:hAnsi="David" w:cs="David"/>
          <w:sz w:val="24"/>
          <w:szCs w:val="24"/>
        </w:rPr>
        <w:t>eprosy</w:t>
      </w:r>
      <w:r>
        <w:rPr>
          <w:rFonts w:ascii="David" w:hAnsi="David" w:cs="David" w:hint="cs"/>
          <w:sz w:val="24"/>
          <w:szCs w:val="24"/>
          <w:rtl/>
        </w:rPr>
        <w:t xml:space="preserve">" (מחלת הנסן) שיש לה מערכת תסמינים </w:t>
      </w:r>
      <w:r w:rsidR="00FC067D">
        <w:rPr>
          <w:rFonts w:ascii="David" w:hAnsi="David" w:cs="David" w:hint="cs"/>
          <w:sz w:val="24"/>
          <w:szCs w:val="24"/>
          <w:rtl/>
        </w:rPr>
        <w:t>נפרדת</w:t>
      </w:r>
      <w:r>
        <w:rPr>
          <w:rFonts w:ascii="David" w:hAnsi="David" w:cs="David" w:hint="cs"/>
          <w:sz w:val="24"/>
          <w:szCs w:val="24"/>
          <w:rtl/>
        </w:rPr>
        <w:t>, והתסמינים שלה גם אינם חופפים ל</w:t>
      </w:r>
      <w:r w:rsidR="006F7FF8">
        <w:rPr>
          <w:rFonts w:ascii="David" w:hAnsi="David" w:cs="David" w:hint="cs"/>
          <w:sz w:val="24"/>
          <w:szCs w:val="24"/>
          <w:rtl/>
        </w:rPr>
        <w:t xml:space="preserve">אלה של </w:t>
      </w:r>
      <w:r>
        <w:rPr>
          <w:rFonts w:ascii="David" w:hAnsi="David" w:cs="David" w:hint="cs"/>
          <w:sz w:val="24"/>
          <w:szCs w:val="24"/>
          <w:rtl/>
        </w:rPr>
        <w:t>אף מחלה מסוימת. מסיבה זו, הציעו כמה חוקרים שמדובר במחלה סימבולית או דמיונית,</w:t>
      </w:r>
      <w:r>
        <w:rPr>
          <w:rStyle w:val="a5"/>
          <w:rFonts w:ascii="David" w:hAnsi="David" w:cs="David"/>
          <w:sz w:val="24"/>
          <w:szCs w:val="24"/>
          <w:rtl/>
        </w:rPr>
        <w:footnoteReference w:id="1"/>
      </w:r>
      <w:r>
        <w:rPr>
          <w:rFonts w:ascii="David" w:hAnsi="David" w:cs="David" w:hint="cs"/>
          <w:sz w:val="24"/>
          <w:szCs w:val="24"/>
          <w:rtl/>
        </w:rPr>
        <w:t xml:space="preserve"> אך </w:t>
      </w:r>
      <w:r w:rsidR="00B77B56">
        <w:rPr>
          <w:rFonts w:ascii="David" w:hAnsi="David" w:cs="David" w:hint="cs"/>
          <w:sz w:val="24"/>
          <w:szCs w:val="24"/>
          <w:rtl/>
        </w:rPr>
        <w:t>סביר ש</w:t>
      </w:r>
      <w:r>
        <w:rPr>
          <w:rFonts w:ascii="David" w:hAnsi="David" w:cs="David" w:hint="cs"/>
          <w:sz w:val="24"/>
          <w:szCs w:val="24"/>
          <w:rtl/>
        </w:rPr>
        <w:t xml:space="preserve">אין </w:t>
      </w:r>
      <w:r w:rsidR="00B77B56">
        <w:rPr>
          <w:rFonts w:ascii="David" w:hAnsi="David" w:cs="David" w:hint="cs"/>
          <w:sz w:val="24"/>
          <w:szCs w:val="24"/>
          <w:rtl/>
        </w:rPr>
        <w:t>זה נכון.</w:t>
      </w:r>
      <w:r>
        <w:rPr>
          <w:rFonts w:ascii="David" w:hAnsi="David" w:cs="David" w:hint="cs"/>
          <w:sz w:val="24"/>
          <w:szCs w:val="24"/>
          <w:rtl/>
        </w:rPr>
        <w:t xml:space="preserve"> </w:t>
      </w:r>
    </w:p>
    <w:p w14:paraId="517D918A" w14:textId="24F883C1" w:rsidR="002E7BD2" w:rsidRDefault="009902DB" w:rsidP="0040735E">
      <w:pPr>
        <w:spacing w:line="360" w:lineRule="auto"/>
        <w:rPr>
          <w:rFonts w:ascii="David" w:hAnsi="David" w:cs="David"/>
          <w:sz w:val="24"/>
          <w:szCs w:val="24"/>
          <w:rtl/>
        </w:rPr>
      </w:pPr>
      <w:r>
        <w:rPr>
          <w:rFonts w:ascii="David" w:hAnsi="David" w:cs="David" w:hint="cs"/>
          <w:sz w:val="24"/>
          <w:szCs w:val="24"/>
          <w:rtl/>
        </w:rPr>
        <w:t xml:space="preserve">קיומן של מקבילות </w:t>
      </w:r>
      <w:r w:rsidR="00B77B56">
        <w:rPr>
          <w:rFonts w:ascii="David" w:hAnsi="David" w:cs="David" w:hint="cs"/>
          <w:sz w:val="24"/>
          <w:szCs w:val="24"/>
          <w:rtl/>
        </w:rPr>
        <w:t>מן ה</w:t>
      </w:r>
      <w:r>
        <w:rPr>
          <w:rFonts w:ascii="David" w:hAnsi="David" w:cs="David" w:hint="cs"/>
          <w:sz w:val="24"/>
          <w:szCs w:val="24"/>
          <w:rtl/>
        </w:rPr>
        <w:t xml:space="preserve">מזרח הקרוב העתיק </w:t>
      </w:r>
      <w:r w:rsidR="00B77B56">
        <w:rPr>
          <w:rFonts w:ascii="David" w:hAnsi="David" w:cs="David" w:hint="cs"/>
          <w:sz w:val="24"/>
          <w:szCs w:val="24"/>
          <w:rtl/>
        </w:rPr>
        <w:t>וה</w:t>
      </w:r>
      <w:r>
        <w:rPr>
          <w:rFonts w:ascii="David" w:hAnsi="David" w:cs="David" w:hint="cs"/>
          <w:sz w:val="24"/>
          <w:szCs w:val="24"/>
          <w:rtl/>
        </w:rPr>
        <w:t xml:space="preserve">דיון </w:t>
      </w:r>
      <w:r w:rsidR="00FC067D">
        <w:rPr>
          <w:rFonts w:ascii="David" w:hAnsi="David" w:cs="David" w:hint="cs"/>
          <w:sz w:val="24"/>
          <w:szCs w:val="24"/>
          <w:rtl/>
        </w:rPr>
        <w:t>המצוי</w:t>
      </w:r>
      <w:r w:rsidR="006F7FF8">
        <w:rPr>
          <w:rFonts w:ascii="David" w:hAnsi="David" w:cs="David" w:hint="cs"/>
          <w:sz w:val="24"/>
          <w:szCs w:val="24"/>
          <w:rtl/>
        </w:rPr>
        <w:t xml:space="preserve"> בו-זמנית </w:t>
      </w:r>
      <w:r>
        <w:rPr>
          <w:rFonts w:ascii="David" w:hAnsi="David" w:cs="David" w:hint="cs"/>
          <w:sz w:val="24"/>
          <w:szCs w:val="24"/>
          <w:rtl/>
        </w:rPr>
        <w:t>ב</w:t>
      </w:r>
      <w:r w:rsidR="00FC067D">
        <w:rPr>
          <w:rFonts w:ascii="David" w:hAnsi="David" w:cs="David" w:hint="cs"/>
          <w:sz w:val="24"/>
          <w:szCs w:val="24"/>
          <w:rtl/>
        </w:rPr>
        <w:t>רבים</w:t>
      </w:r>
      <w:r w:rsidR="006F7FF8">
        <w:rPr>
          <w:rFonts w:ascii="David" w:hAnsi="David" w:cs="David" w:hint="cs"/>
          <w:sz w:val="24"/>
          <w:szCs w:val="24"/>
          <w:rtl/>
        </w:rPr>
        <w:t xml:space="preserve"> מ</w:t>
      </w:r>
      <w:r>
        <w:rPr>
          <w:rFonts w:ascii="David" w:hAnsi="David" w:cs="David" w:hint="cs"/>
          <w:sz w:val="24"/>
          <w:szCs w:val="24"/>
          <w:rtl/>
        </w:rPr>
        <w:t>כתבי בית שני מבהירים שההשלכות המעשיות של</w:t>
      </w:r>
      <w:r w:rsidR="00E9630B">
        <w:rPr>
          <w:rFonts w:ascii="David" w:hAnsi="David" w:cs="David" w:hint="cs"/>
          <w:sz w:val="24"/>
          <w:szCs w:val="24"/>
          <w:rtl/>
        </w:rPr>
        <w:t xml:space="preserve"> מרשמים אלה נ</w:t>
      </w:r>
      <w:r>
        <w:rPr>
          <w:rFonts w:ascii="David" w:hAnsi="David" w:cs="David" w:hint="cs"/>
          <w:sz w:val="24"/>
          <w:szCs w:val="24"/>
          <w:rtl/>
        </w:rPr>
        <w:t>תפסו כאמיתיים</w:t>
      </w:r>
      <w:r w:rsidR="00E9630B">
        <w:rPr>
          <w:rFonts w:ascii="David" w:hAnsi="David" w:cs="David" w:hint="cs"/>
          <w:sz w:val="24"/>
          <w:szCs w:val="24"/>
          <w:rtl/>
        </w:rPr>
        <w:t xml:space="preserve"> בהחלט</w:t>
      </w:r>
      <w:r>
        <w:rPr>
          <w:rFonts w:ascii="David" w:hAnsi="David" w:cs="David" w:hint="cs"/>
          <w:sz w:val="24"/>
          <w:szCs w:val="24"/>
          <w:rtl/>
        </w:rPr>
        <w:t xml:space="preserve">. בלי </w:t>
      </w:r>
      <w:r w:rsidR="00E9630B">
        <w:rPr>
          <w:rFonts w:ascii="David" w:hAnsi="David" w:cs="David" w:hint="cs"/>
          <w:sz w:val="24"/>
          <w:szCs w:val="24"/>
          <w:rtl/>
        </w:rPr>
        <w:t>להתחייב</w:t>
      </w:r>
      <w:r>
        <w:rPr>
          <w:rFonts w:ascii="David" w:hAnsi="David" w:cs="David" w:hint="cs"/>
          <w:sz w:val="24"/>
          <w:szCs w:val="24"/>
          <w:rtl/>
        </w:rPr>
        <w:t xml:space="preserve"> לאבחנה מסוימת, </w:t>
      </w:r>
      <w:r w:rsidR="00FD2ECE">
        <w:rPr>
          <w:rFonts w:ascii="David" w:hAnsi="David" w:cs="David" w:hint="cs"/>
          <w:sz w:val="24"/>
          <w:szCs w:val="24"/>
          <w:rtl/>
        </w:rPr>
        <w:t xml:space="preserve">אני </w:t>
      </w:r>
      <w:r>
        <w:rPr>
          <w:rFonts w:ascii="David" w:hAnsi="David" w:cs="David" w:hint="cs"/>
          <w:sz w:val="24"/>
          <w:szCs w:val="24"/>
          <w:rtl/>
        </w:rPr>
        <w:t xml:space="preserve">אשתמש </w:t>
      </w:r>
      <w:r w:rsidR="00E9630B">
        <w:rPr>
          <w:rFonts w:ascii="David" w:hAnsi="David" w:cs="David" w:hint="cs"/>
          <w:sz w:val="24"/>
          <w:szCs w:val="24"/>
          <w:rtl/>
        </w:rPr>
        <w:t xml:space="preserve">כאן </w:t>
      </w:r>
      <w:r>
        <w:rPr>
          <w:rFonts w:ascii="David" w:hAnsi="David" w:cs="David" w:hint="cs"/>
          <w:sz w:val="24"/>
          <w:szCs w:val="24"/>
          <w:rtl/>
        </w:rPr>
        <w:t>במונח "</w:t>
      </w:r>
      <w:r>
        <w:rPr>
          <w:rFonts w:ascii="David" w:hAnsi="David" w:cs="David"/>
          <w:sz w:val="24"/>
          <w:szCs w:val="24"/>
        </w:rPr>
        <w:t>leprosy</w:t>
      </w:r>
      <w:r>
        <w:rPr>
          <w:rFonts w:ascii="David" w:hAnsi="David" w:cs="David" w:hint="cs"/>
          <w:sz w:val="24"/>
          <w:szCs w:val="24"/>
          <w:rtl/>
        </w:rPr>
        <w:t>" משיקולי נוחות.</w:t>
      </w:r>
      <w:r>
        <w:rPr>
          <w:rStyle w:val="a5"/>
          <w:rFonts w:ascii="David" w:hAnsi="David" w:cs="David"/>
          <w:sz w:val="24"/>
          <w:szCs w:val="24"/>
          <w:rtl/>
        </w:rPr>
        <w:footnoteReference w:id="2"/>
      </w:r>
    </w:p>
    <w:p w14:paraId="4F9960DB" w14:textId="166B4205" w:rsidR="009902DB" w:rsidRDefault="00CF5DC7" w:rsidP="0040735E">
      <w:pPr>
        <w:spacing w:line="360" w:lineRule="auto"/>
        <w:rPr>
          <w:rFonts w:ascii="David" w:hAnsi="David" w:cs="David"/>
          <w:sz w:val="24"/>
          <w:szCs w:val="24"/>
          <w:rtl/>
        </w:rPr>
      </w:pPr>
      <w:r>
        <w:rPr>
          <w:rFonts w:ascii="David" w:hAnsi="David" w:cs="David" w:hint="cs"/>
          <w:sz w:val="24"/>
          <w:szCs w:val="24"/>
          <w:rtl/>
        </w:rPr>
        <w:t xml:space="preserve">שאלת </w:t>
      </w:r>
      <w:r w:rsidR="00634AEB">
        <w:rPr>
          <w:rFonts w:ascii="David" w:hAnsi="David" w:cs="David" w:hint="cs"/>
          <w:sz w:val="24"/>
          <w:szCs w:val="24"/>
          <w:rtl/>
        </w:rPr>
        <w:t xml:space="preserve">יכולת </w:t>
      </w:r>
      <w:r>
        <w:rPr>
          <w:rFonts w:ascii="David" w:hAnsi="David" w:cs="David" w:hint="cs"/>
          <w:sz w:val="24"/>
          <w:szCs w:val="24"/>
          <w:rtl/>
        </w:rPr>
        <w:t>ההדבקה</w:t>
      </w:r>
    </w:p>
    <w:p w14:paraId="04D1527D" w14:textId="62005B31" w:rsidR="00CF5DC7" w:rsidRDefault="00CF5DC7" w:rsidP="0040735E">
      <w:pPr>
        <w:spacing w:line="360" w:lineRule="auto"/>
        <w:rPr>
          <w:rFonts w:ascii="David" w:hAnsi="David" w:cs="David"/>
          <w:sz w:val="24"/>
          <w:szCs w:val="24"/>
          <w:rtl/>
        </w:rPr>
      </w:pPr>
      <w:r>
        <w:rPr>
          <w:rFonts w:ascii="David" w:hAnsi="David" w:cs="David" w:hint="cs"/>
          <w:sz w:val="24"/>
          <w:szCs w:val="24"/>
          <w:rtl/>
        </w:rPr>
        <w:t xml:space="preserve">הבחינה המבלבלת ביותר של מחלה זו היא שאלת מידת </w:t>
      </w:r>
      <w:r w:rsidR="003E4059">
        <w:rPr>
          <w:rFonts w:ascii="David" w:hAnsi="David" w:cs="David" w:hint="cs"/>
          <w:sz w:val="24"/>
          <w:szCs w:val="24"/>
          <w:rtl/>
        </w:rPr>
        <w:t xml:space="preserve">יכולת </w:t>
      </w:r>
      <w:r>
        <w:rPr>
          <w:rFonts w:ascii="David" w:hAnsi="David" w:cs="David" w:hint="cs"/>
          <w:sz w:val="24"/>
          <w:szCs w:val="24"/>
          <w:rtl/>
        </w:rPr>
        <w:t>ההדבקה שלה. הרחקת מצורעים מוזכרת פעמים רבות ב</w:t>
      </w:r>
      <w:r w:rsidR="0002292F">
        <w:rPr>
          <w:rFonts w:ascii="David" w:hAnsi="David" w:cs="David" w:hint="cs"/>
          <w:sz w:val="24"/>
          <w:szCs w:val="24"/>
          <w:rtl/>
        </w:rPr>
        <w:t>מקרא</w:t>
      </w:r>
      <w:r>
        <w:rPr>
          <w:rFonts w:ascii="David" w:hAnsi="David" w:cs="David" w:hint="cs"/>
          <w:sz w:val="24"/>
          <w:szCs w:val="24"/>
          <w:rtl/>
        </w:rPr>
        <w:t xml:space="preserve"> (דברים 5 :2–5; 1</w:t>
      </w:r>
      <w:r w:rsidR="00634AEB">
        <w:rPr>
          <w:rFonts w:ascii="David" w:hAnsi="David" w:cs="David" w:hint="cs"/>
          <w:sz w:val="24"/>
          <w:szCs w:val="24"/>
          <w:rtl/>
        </w:rPr>
        <w:t>4</w:t>
      </w:r>
      <w:r>
        <w:rPr>
          <w:rFonts w:ascii="David" w:hAnsi="David" w:cs="David" w:hint="cs"/>
          <w:sz w:val="24"/>
          <w:szCs w:val="24"/>
          <w:rtl/>
        </w:rPr>
        <w:t>:1</w:t>
      </w:r>
      <w:r w:rsidR="00634AEB">
        <w:rPr>
          <w:rFonts w:ascii="David" w:hAnsi="David" w:cs="David" w:hint="cs"/>
          <w:sz w:val="24"/>
          <w:szCs w:val="24"/>
          <w:rtl/>
        </w:rPr>
        <w:t>2</w:t>
      </w:r>
      <w:r>
        <w:rPr>
          <w:rFonts w:ascii="David" w:hAnsi="David" w:cs="David" w:hint="cs"/>
          <w:sz w:val="24"/>
          <w:szCs w:val="24"/>
          <w:rtl/>
        </w:rPr>
        <w:t>)</w:t>
      </w:r>
      <w:r w:rsidR="00904AF4">
        <w:rPr>
          <w:rFonts w:ascii="David" w:hAnsi="David" w:cs="David" w:hint="cs"/>
          <w:sz w:val="24"/>
          <w:szCs w:val="24"/>
          <w:rtl/>
        </w:rPr>
        <w:t>. ויקרא 13 מתאר את נידוים באופן מפורש (פסוקים 45–46)</w:t>
      </w:r>
      <w:r w:rsidR="0002292F">
        <w:rPr>
          <w:rFonts w:ascii="David" w:hAnsi="David" w:cs="David" w:hint="cs"/>
          <w:sz w:val="24"/>
          <w:szCs w:val="24"/>
          <w:rtl/>
        </w:rPr>
        <w:t xml:space="preserve">: </w:t>
      </w:r>
    </w:p>
    <w:p w14:paraId="6F1D2FE1" w14:textId="72606B6C" w:rsidR="0002292F" w:rsidRDefault="0002292F" w:rsidP="0040735E">
      <w:pPr>
        <w:spacing w:line="360" w:lineRule="auto"/>
        <w:rPr>
          <w:rFonts w:ascii="David" w:hAnsi="David" w:cs="David"/>
          <w:sz w:val="24"/>
          <w:szCs w:val="24"/>
          <w:rtl/>
        </w:rPr>
      </w:pPr>
      <w:r>
        <w:rPr>
          <w:rFonts w:ascii="David" w:hAnsi="David" w:cs="David" w:hint="cs"/>
          <w:sz w:val="24"/>
          <w:szCs w:val="24"/>
          <w:rtl/>
        </w:rPr>
        <w:t>והצרוע אשר בו הנגע בגדיו יהיו פרומים וראשו יהיה פרוע ועל שפם יעטה וטמא טמא יקרא... בדד ישב מחוץ למחנה מושבו.</w:t>
      </w:r>
    </w:p>
    <w:p w14:paraId="78060EE2" w14:textId="7DD26A41" w:rsidR="0002292F" w:rsidRDefault="00286272" w:rsidP="0040735E">
      <w:pPr>
        <w:spacing w:line="360" w:lineRule="auto"/>
        <w:rPr>
          <w:rFonts w:ascii="David" w:hAnsi="David" w:cs="David"/>
          <w:sz w:val="24"/>
          <w:szCs w:val="24"/>
          <w:rtl/>
        </w:rPr>
      </w:pPr>
      <w:r>
        <w:rPr>
          <w:rFonts w:ascii="David" w:hAnsi="David" w:cs="David" w:hint="cs"/>
          <w:sz w:val="24"/>
          <w:szCs w:val="24"/>
          <w:rtl/>
        </w:rPr>
        <w:t>הגליה</w:t>
      </w:r>
      <w:r w:rsidR="0002292F">
        <w:rPr>
          <w:rFonts w:ascii="David" w:hAnsi="David" w:cs="David" w:hint="cs"/>
          <w:sz w:val="24"/>
          <w:szCs w:val="24"/>
          <w:rtl/>
        </w:rPr>
        <w:t xml:space="preserve"> זו </w:t>
      </w:r>
      <w:r w:rsidR="004D5B31">
        <w:rPr>
          <w:rFonts w:ascii="David" w:hAnsi="David" w:cs="David" w:hint="cs"/>
          <w:sz w:val="24"/>
          <w:szCs w:val="24"/>
          <w:rtl/>
        </w:rPr>
        <w:t xml:space="preserve">משתקפת גם </w:t>
      </w:r>
      <w:r>
        <w:rPr>
          <w:rFonts w:ascii="David" w:hAnsi="David" w:cs="David" w:hint="cs"/>
          <w:sz w:val="24"/>
          <w:szCs w:val="24"/>
          <w:rtl/>
        </w:rPr>
        <w:t>בנרטיב המתאר</w:t>
      </w:r>
      <w:r w:rsidR="004D5B31">
        <w:rPr>
          <w:rFonts w:ascii="David" w:hAnsi="David" w:cs="David" w:hint="cs"/>
          <w:sz w:val="24"/>
          <w:szCs w:val="24"/>
          <w:rtl/>
        </w:rPr>
        <w:t xml:space="preserve"> </w:t>
      </w:r>
      <w:r>
        <w:rPr>
          <w:rFonts w:ascii="David" w:hAnsi="David" w:cs="David" w:hint="cs"/>
          <w:sz w:val="24"/>
          <w:szCs w:val="24"/>
          <w:rtl/>
        </w:rPr>
        <w:t>את</w:t>
      </w:r>
      <w:r w:rsidR="004D5B31">
        <w:rPr>
          <w:rFonts w:ascii="David" w:hAnsi="David" w:cs="David" w:hint="cs"/>
          <w:sz w:val="24"/>
          <w:szCs w:val="24"/>
          <w:rtl/>
        </w:rPr>
        <w:t xml:space="preserve"> ה</w:t>
      </w:r>
      <w:r>
        <w:rPr>
          <w:rFonts w:ascii="David" w:hAnsi="David" w:cs="David" w:hint="cs"/>
          <w:sz w:val="24"/>
          <w:szCs w:val="24"/>
          <w:rtl/>
        </w:rPr>
        <w:t>גליי</w:t>
      </w:r>
      <w:r w:rsidR="004D5B31">
        <w:rPr>
          <w:rFonts w:ascii="David" w:hAnsi="David" w:cs="David" w:hint="cs"/>
          <w:sz w:val="24"/>
          <w:szCs w:val="24"/>
          <w:rtl/>
        </w:rPr>
        <w:t>ת ארבע</w:t>
      </w:r>
      <w:r w:rsidR="003E4059">
        <w:rPr>
          <w:rFonts w:ascii="David" w:hAnsi="David" w:cs="David" w:hint="cs"/>
          <w:sz w:val="24"/>
          <w:szCs w:val="24"/>
          <w:rtl/>
        </w:rPr>
        <w:t>ת</w:t>
      </w:r>
      <w:r w:rsidR="004D5B31">
        <w:rPr>
          <w:rFonts w:ascii="David" w:hAnsi="David" w:cs="David" w:hint="cs"/>
          <w:sz w:val="24"/>
          <w:szCs w:val="24"/>
          <w:rtl/>
        </w:rPr>
        <w:t xml:space="preserve"> מצורעים במלכים ב </w:t>
      </w:r>
      <w:r>
        <w:rPr>
          <w:rFonts w:ascii="David" w:hAnsi="David" w:cs="David" w:hint="cs"/>
          <w:sz w:val="24"/>
          <w:szCs w:val="24"/>
          <w:rtl/>
        </w:rPr>
        <w:t>3</w:t>
      </w:r>
      <w:r w:rsidR="004D5B31">
        <w:rPr>
          <w:rFonts w:ascii="David" w:hAnsi="David" w:cs="David" w:hint="cs"/>
          <w:sz w:val="24"/>
          <w:szCs w:val="24"/>
          <w:rtl/>
        </w:rPr>
        <w:t>:</w:t>
      </w:r>
      <w:r>
        <w:rPr>
          <w:rFonts w:ascii="David" w:hAnsi="David" w:cs="David" w:hint="cs"/>
          <w:sz w:val="24"/>
          <w:szCs w:val="24"/>
          <w:rtl/>
        </w:rPr>
        <w:t>7</w:t>
      </w:r>
      <w:r w:rsidR="004D5B31">
        <w:rPr>
          <w:rFonts w:ascii="David" w:hAnsi="David" w:cs="David" w:hint="cs"/>
          <w:sz w:val="24"/>
          <w:szCs w:val="24"/>
          <w:rtl/>
        </w:rPr>
        <w:t xml:space="preserve">–10. תיאור זה אינו מקשר </w:t>
      </w:r>
      <w:r w:rsidR="003E4059">
        <w:rPr>
          <w:rFonts w:ascii="David" w:hAnsi="David" w:cs="David" w:hint="cs"/>
          <w:sz w:val="24"/>
          <w:szCs w:val="24"/>
          <w:rtl/>
        </w:rPr>
        <w:t>בין צ</w:t>
      </w:r>
      <w:r w:rsidR="004D5B31">
        <w:rPr>
          <w:rFonts w:ascii="David" w:hAnsi="David" w:cs="David" w:hint="cs"/>
          <w:sz w:val="24"/>
          <w:szCs w:val="24"/>
          <w:rtl/>
        </w:rPr>
        <w:t xml:space="preserve">רעת </w:t>
      </w:r>
      <w:r w:rsidR="003E4059">
        <w:rPr>
          <w:rFonts w:ascii="David" w:hAnsi="David" w:cs="David" w:hint="cs"/>
          <w:sz w:val="24"/>
          <w:szCs w:val="24"/>
          <w:rtl/>
        </w:rPr>
        <w:t>ל</w:t>
      </w:r>
      <w:r w:rsidR="004D5B31">
        <w:rPr>
          <w:rFonts w:ascii="David" w:hAnsi="David" w:cs="David" w:hint="cs"/>
          <w:sz w:val="24"/>
          <w:szCs w:val="24"/>
          <w:rtl/>
        </w:rPr>
        <w:t>דאגה לט</w:t>
      </w:r>
      <w:r w:rsidR="007769CD">
        <w:rPr>
          <w:rFonts w:ascii="David" w:hAnsi="David" w:cs="David" w:hint="cs"/>
          <w:sz w:val="24"/>
          <w:szCs w:val="24"/>
          <w:rtl/>
        </w:rPr>
        <w:t>ו</w:t>
      </w:r>
      <w:r w:rsidR="004D5B31">
        <w:rPr>
          <w:rFonts w:ascii="David" w:hAnsi="David" w:cs="David" w:hint="cs"/>
          <w:sz w:val="24"/>
          <w:szCs w:val="24"/>
          <w:rtl/>
        </w:rPr>
        <w:t>הרת המקדש, והא</w:t>
      </w:r>
      <w:r w:rsidR="003E4059">
        <w:rPr>
          <w:rFonts w:ascii="David" w:hAnsi="David" w:cs="David" w:hint="cs"/>
          <w:sz w:val="24"/>
          <w:szCs w:val="24"/>
          <w:rtl/>
        </w:rPr>
        <w:t>ישורים</w:t>
      </w:r>
      <w:r w:rsidR="004D5B31">
        <w:rPr>
          <w:rFonts w:ascii="David" w:hAnsi="David" w:cs="David" w:hint="cs"/>
          <w:sz w:val="24"/>
          <w:szCs w:val="24"/>
          <w:rtl/>
        </w:rPr>
        <w:t xml:space="preserve"> הרבים לנוהל זה במקורות מבית שני  </w:t>
      </w:r>
      <w:r>
        <w:rPr>
          <w:rFonts w:ascii="David" w:hAnsi="David" w:cs="David" w:hint="cs"/>
          <w:sz w:val="24"/>
          <w:szCs w:val="24"/>
          <w:rtl/>
        </w:rPr>
        <w:t>(</w:t>
      </w:r>
      <w:r w:rsidR="004D5B31">
        <w:rPr>
          <w:rFonts w:ascii="David" w:hAnsi="David" w:cs="David" w:hint="cs"/>
          <w:sz w:val="24"/>
          <w:szCs w:val="24"/>
          <w:rtl/>
        </w:rPr>
        <w:t xml:space="preserve">למשל </w:t>
      </w:r>
      <w:r w:rsidR="004D5B31">
        <w:rPr>
          <w:rFonts w:ascii="David" w:hAnsi="David" w:cs="David"/>
          <w:sz w:val="24"/>
          <w:szCs w:val="24"/>
        </w:rPr>
        <w:t>Temple Scroll 48:14</w:t>
      </w:r>
      <w:r w:rsidR="007769CD">
        <w:rPr>
          <w:rFonts w:ascii="David" w:hAnsi="David" w:cs="David"/>
          <w:sz w:val="24"/>
          <w:szCs w:val="24"/>
        </w:rPr>
        <w:t>–7</w:t>
      </w:r>
      <w:r w:rsidR="004D5B31">
        <w:rPr>
          <w:rFonts w:ascii="David" w:hAnsi="David" w:cs="David" w:hint="cs"/>
          <w:sz w:val="24"/>
          <w:szCs w:val="24"/>
          <w:rtl/>
        </w:rPr>
        <w:t xml:space="preserve">; </w:t>
      </w:r>
      <w:r w:rsidR="004D5B31">
        <w:rPr>
          <w:rFonts w:ascii="David" w:hAnsi="David" w:cs="David"/>
          <w:sz w:val="24"/>
          <w:szCs w:val="24"/>
        </w:rPr>
        <w:t xml:space="preserve">Josephus, Against </w:t>
      </w:r>
      <w:proofErr w:type="spellStart"/>
      <w:r w:rsidR="004D5B31">
        <w:rPr>
          <w:rFonts w:ascii="David" w:hAnsi="David" w:cs="David"/>
          <w:sz w:val="24"/>
          <w:szCs w:val="24"/>
        </w:rPr>
        <w:t>Apion</w:t>
      </w:r>
      <w:proofErr w:type="spellEnd"/>
      <w:r w:rsidR="004D5B31">
        <w:rPr>
          <w:rFonts w:ascii="David" w:hAnsi="David" w:cs="David"/>
          <w:sz w:val="24"/>
          <w:szCs w:val="24"/>
        </w:rPr>
        <w:t xml:space="preserve"> I 281</w:t>
      </w:r>
      <w:r w:rsidR="004D5B31">
        <w:rPr>
          <w:rFonts w:ascii="David" w:hAnsi="David" w:cs="David" w:hint="cs"/>
          <w:sz w:val="24"/>
          <w:szCs w:val="24"/>
          <w:rtl/>
        </w:rPr>
        <w:t>) מ</w:t>
      </w:r>
      <w:r w:rsidR="003E4059">
        <w:rPr>
          <w:rFonts w:ascii="David" w:hAnsi="David" w:cs="David" w:hint="cs"/>
          <w:sz w:val="24"/>
          <w:szCs w:val="24"/>
          <w:rtl/>
        </w:rPr>
        <w:t>רמזים</w:t>
      </w:r>
      <w:r w:rsidR="004D5B31">
        <w:rPr>
          <w:rFonts w:ascii="David" w:hAnsi="David" w:cs="David" w:hint="cs"/>
          <w:sz w:val="24"/>
          <w:szCs w:val="24"/>
          <w:rtl/>
        </w:rPr>
        <w:t xml:space="preserve"> אף הם </w:t>
      </w:r>
      <w:r w:rsidR="003E4059">
        <w:rPr>
          <w:rFonts w:ascii="David" w:hAnsi="David" w:cs="David" w:hint="cs"/>
          <w:sz w:val="24"/>
          <w:szCs w:val="24"/>
          <w:rtl/>
        </w:rPr>
        <w:t xml:space="preserve">על </w:t>
      </w:r>
      <w:r w:rsidR="004D5B31">
        <w:rPr>
          <w:rFonts w:ascii="David" w:hAnsi="David" w:cs="David" w:hint="cs"/>
          <w:sz w:val="24"/>
          <w:szCs w:val="24"/>
          <w:rtl/>
        </w:rPr>
        <w:t>חרדה כללית מכל מגע עם מצורעים אל</w:t>
      </w:r>
      <w:r w:rsidR="006E2321">
        <w:rPr>
          <w:rFonts w:ascii="David" w:hAnsi="David" w:cs="David" w:hint="cs"/>
          <w:sz w:val="24"/>
          <w:szCs w:val="24"/>
          <w:rtl/>
        </w:rPr>
        <w:t>ה, ללא קשר למרחב הפולחני.</w:t>
      </w:r>
      <w:r w:rsidR="006E2321">
        <w:rPr>
          <w:rStyle w:val="a5"/>
          <w:rFonts w:ascii="David" w:hAnsi="David" w:cs="David"/>
          <w:sz w:val="24"/>
          <w:szCs w:val="24"/>
          <w:rtl/>
        </w:rPr>
        <w:footnoteReference w:id="3"/>
      </w:r>
    </w:p>
    <w:p w14:paraId="791BCD00" w14:textId="50BB503C" w:rsidR="006E2321" w:rsidRDefault="00EB70C5" w:rsidP="0040735E">
      <w:pPr>
        <w:spacing w:line="360" w:lineRule="auto"/>
        <w:rPr>
          <w:rFonts w:ascii="David" w:hAnsi="David" w:cs="David"/>
          <w:sz w:val="24"/>
          <w:szCs w:val="24"/>
          <w:rtl/>
        </w:rPr>
      </w:pPr>
      <w:r>
        <w:rPr>
          <w:rFonts w:ascii="David" w:hAnsi="David" w:cs="David" w:hint="cs"/>
          <w:sz w:val="24"/>
          <w:szCs w:val="24"/>
          <w:rtl/>
        </w:rPr>
        <w:lastRenderedPageBreak/>
        <w:t>ייתכן שנרמז כאן</w:t>
      </w:r>
      <w:r w:rsidR="006E2321">
        <w:rPr>
          <w:rFonts w:ascii="David" w:hAnsi="David" w:cs="David" w:hint="cs"/>
          <w:sz w:val="24"/>
          <w:szCs w:val="24"/>
          <w:rtl/>
        </w:rPr>
        <w:t xml:space="preserve"> </w:t>
      </w:r>
      <w:r w:rsidR="00B608A8">
        <w:rPr>
          <w:rFonts w:ascii="David" w:hAnsi="David" w:cs="David" w:hint="cs"/>
          <w:sz w:val="24"/>
          <w:szCs w:val="24"/>
          <w:rtl/>
        </w:rPr>
        <w:t>ש</w:t>
      </w:r>
      <w:r w:rsidR="006E2321">
        <w:rPr>
          <w:rFonts w:ascii="David" w:hAnsi="David" w:cs="David" w:hint="cs"/>
          <w:sz w:val="24"/>
          <w:szCs w:val="24"/>
          <w:rtl/>
        </w:rPr>
        <w:t>ההרחקה נבעה מחשש להדבקה, אך אין כל רמז בטקסטים כוהני</w:t>
      </w:r>
      <w:r w:rsidR="00B608A8">
        <w:rPr>
          <w:rFonts w:ascii="David" w:hAnsi="David" w:cs="David" w:hint="cs"/>
          <w:sz w:val="24"/>
          <w:szCs w:val="24"/>
          <w:rtl/>
        </w:rPr>
        <w:t>י</w:t>
      </w:r>
      <w:r w:rsidR="006E2321">
        <w:rPr>
          <w:rFonts w:ascii="David" w:hAnsi="David" w:cs="David" w:hint="cs"/>
          <w:sz w:val="24"/>
          <w:szCs w:val="24"/>
          <w:rtl/>
        </w:rPr>
        <w:t>ם שהרחקה זו נבעה מחשש ל</w:t>
      </w:r>
      <w:r w:rsidR="00FF4F10">
        <w:rPr>
          <w:rFonts w:ascii="David" w:hAnsi="David" w:cs="David" w:hint="cs"/>
          <w:sz w:val="24"/>
          <w:szCs w:val="24"/>
          <w:rtl/>
        </w:rPr>
        <w:t>הדבקה</w:t>
      </w:r>
      <w:r w:rsidR="006E2321">
        <w:rPr>
          <w:rFonts w:ascii="David" w:hAnsi="David" w:cs="David" w:hint="cs"/>
          <w:sz w:val="24"/>
          <w:szCs w:val="24"/>
          <w:rtl/>
        </w:rPr>
        <w:t xml:space="preserve">! </w:t>
      </w:r>
      <w:r w:rsidR="00B81618">
        <w:rPr>
          <w:rFonts w:ascii="David" w:hAnsi="David" w:cs="David" w:hint="cs"/>
          <w:sz w:val="24"/>
          <w:szCs w:val="24"/>
          <w:rtl/>
        </w:rPr>
        <w:t>יתר על כן</w:t>
      </w:r>
      <w:r w:rsidR="006E2321">
        <w:rPr>
          <w:rFonts w:ascii="David" w:hAnsi="David" w:cs="David" w:hint="cs"/>
          <w:sz w:val="24"/>
          <w:szCs w:val="24"/>
          <w:rtl/>
        </w:rPr>
        <w:t>, הצו האלוקי המ</w:t>
      </w:r>
      <w:r w:rsidR="00FF4F10">
        <w:rPr>
          <w:rFonts w:ascii="David" w:hAnsi="David" w:cs="David" w:hint="cs"/>
          <w:sz w:val="24"/>
          <w:szCs w:val="24"/>
          <w:rtl/>
        </w:rPr>
        <w:t>ורה על</w:t>
      </w:r>
      <w:r w:rsidR="006E2321">
        <w:rPr>
          <w:rFonts w:ascii="David" w:hAnsi="David" w:cs="David" w:hint="cs"/>
          <w:sz w:val="24"/>
          <w:szCs w:val="24"/>
          <w:rtl/>
        </w:rPr>
        <w:t xml:space="preserve"> הרחקת מצורעים, </w:t>
      </w:r>
      <w:r w:rsidR="00530798">
        <w:rPr>
          <w:rFonts w:ascii="David" w:hAnsi="David" w:cs="David" w:hint="cs"/>
          <w:sz w:val="24"/>
          <w:szCs w:val="24"/>
          <w:rtl/>
        </w:rPr>
        <w:t>זבים וטמאי מת ממחנה ישרא</w:t>
      </w:r>
      <w:r w:rsidR="000853EF">
        <w:rPr>
          <w:rFonts w:ascii="David" w:hAnsi="David" w:cs="David" w:hint="cs"/>
          <w:sz w:val="24"/>
          <w:szCs w:val="24"/>
          <w:rtl/>
        </w:rPr>
        <w:t xml:space="preserve">ל בספר דברים </w:t>
      </w:r>
      <w:r w:rsidR="00FF4F10">
        <w:rPr>
          <w:rFonts w:ascii="David" w:hAnsi="David" w:cs="David" w:hint="cs"/>
          <w:sz w:val="24"/>
          <w:szCs w:val="24"/>
          <w:rtl/>
        </w:rPr>
        <w:t>3</w:t>
      </w:r>
      <w:r w:rsidR="000853EF">
        <w:rPr>
          <w:rFonts w:ascii="David" w:hAnsi="David" w:cs="David" w:hint="cs"/>
          <w:sz w:val="24"/>
          <w:szCs w:val="24"/>
          <w:rtl/>
        </w:rPr>
        <w:t>:</w:t>
      </w:r>
      <w:r w:rsidR="00FF4F10">
        <w:rPr>
          <w:rFonts w:ascii="David" w:hAnsi="David" w:cs="David" w:hint="cs"/>
          <w:sz w:val="24"/>
          <w:szCs w:val="24"/>
          <w:rtl/>
        </w:rPr>
        <w:t>5</w:t>
      </w:r>
      <w:r w:rsidR="000853EF">
        <w:rPr>
          <w:rFonts w:ascii="David" w:hAnsi="David" w:cs="David" w:hint="cs"/>
          <w:sz w:val="24"/>
          <w:szCs w:val="24"/>
          <w:rtl/>
        </w:rPr>
        <w:t xml:space="preserve"> נותן טעם שונה לגמרי:</w:t>
      </w:r>
    </w:p>
    <w:p w14:paraId="47FF5149" w14:textId="2A536C63" w:rsidR="000853EF" w:rsidRDefault="000853EF" w:rsidP="0040735E">
      <w:pPr>
        <w:spacing w:line="360" w:lineRule="auto"/>
        <w:rPr>
          <w:rFonts w:ascii="David" w:hAnsi="David" w:cs="David"/>
          <w:sz w:val="24"/>
          <w:szCs w:val="24"/>
          <w:rtl/>
        </w:rPr>
      </w:pPr>
      <w:r>
        <w:rPr>
          <w:rFonts w:ascii="David" w:hAnsi="David" w:cs="David" w:hint="cs"/>
          <w:sz w:val="24"/>
          <w:szCs w:val="24"/>
          <w:rtl/>
        </w:rPr>
        <w:t xml:space="preserve">ולא יטמאו את </w:t>
      </w:r>
      <w:proofErr w:type="spellStart"/>
      <w:r>
        <w:rPr>
          <w:rFonts w:ascii="David" w:hAnsi="David" w:cs="David" w:hint="cs"/>
          <w:sz w:val="24"/>
          <w:szCs w:val="24"/>
          <w:rtl/>
        </w:rPr>
        <w:t>מחניהם</w:t>
      </w:r>
      <w:proofErr w:type="spellEnd"/>
      <w:r>
        <w:rPr>
          <w:rFonts w:ascii="David" w:hAnsi="David" w:cs="David" w:hint="cs"/>
          <w:sz w:val="24"/>
          <w:szCs w:val="24"/>
          <w:rtl/>
        </w:rPr>
        <w:t xml:space="preserve"> אשר אני שכן בתוכם.</w:t>
      </w:r>
    </w:p>
    <w:p w14:paraId="5D71DCE4" w14:textId="657DCAD1" w:rsidR="000853EF" w:rsidRDefault="000853EF" w:rsidP="0040735E">
      <w:pPr>
        <w:spacing w:line="360" w:lineRule="auto"/>
        <w:rPr>
          <w:rFonts w:ascii="David" w:hAnsi="David" w:cs="David"/>
          <w:sz w:val="24"/>
          <w:szCs w:val="24"/>
          <w:rtl/>
        </w:rPr>
      </w:pPr>
      <w:r>
        <w:rPr>
          <w:rFonts w:ascii="David" w:hAnsi="David" w:cs="David" w:hint="cs"/>
          <w:sz w:val="24"/>
          <w:szCs w:val="24"/>
          <w:rtl/>
        </w:rPr>
        <w:t xml:space="preserve">באופן דומה, </w:t>
      </w:r>
      <w:r w:rsidR="001D7B61">
        <w:rPr>
          <w:rFonts w:ascii="David" w:hAnsi="David" w:cs="David" w:hint="cs"/>
          <w:sz w:val="24"/>
          <w:szCs w:val="24"/>
          <w:rtl/>
        </w:rPr>
        <w:t>קובץ חוקי הטהרה בספר ויקרא 11–15 מסתיים ב</w:t>
      </w:r>
      <w:r w:rsidR="00DB552B">
        <w:rPr>
          <w:rFonts w:ascii="David" w:hAnsi="David" w:cs="David" w:hint="cs"/>
          <w:sz w:val="24"/>
          <w:szCs w:val="24"/>
          <w:rtl/>
        </w:rPr>
        <w:t>טעם</w:t>
      </w:r>
      <w:r w:rsidR="00B74002">
        <w:rPr>
          <w:rFonts w:ascii="David" w:hAnsi="David" w:cs="David" w:hint="cs"/>
          <w:sz w:val="24"/>
          <w:szCs w:val="24"/>
          <w:rtl/>
        </w:rPr>
        <w:t xml:space="preserve"> הבא</w:t>
      </w:r>
      <w:r w:rsidR="00C77D9E">
        <w:rPr>
          <w:rFonts w:ascii="David" w:hAnsi="David" w:cs="David" w:hint="cs"/>
          <w:sz w:val="24"/>
          <w:szCs w:val="24"/>
          <w:rtl/>
        </w:rPr>
        <w:t xml:space="preserve"> </w:t>
      </w:r>
      <w:r w:rsidR="001D7B61">
        <w:rPr>
          <w:rFonts w:ascii="David" w:hAnsi="David" w:cs="David" w:hint="cs"/>
          <w:sz w:val="24"/>
          <w:szCs w:val="24"/>
          <w:rtl/>
        </w:rPr>
        <w:t>(</w:t>
      </w:r>
      <w:r w:rsidR="00DB552B">
        <w:rPr>
          <w:rFonts w:ascii="David" w:hAnsi="David" w:cs="David" w:hint="cs"/>
          <w:sz w:val="24"/>
          <w:szCs w:val="24"/>
          <w:rtl/>
        </w:rPr>
        <w:t>31</w:t>
      </w:r>
      <w:r w:rsidR="001D7B61">
        <w:rPr>
          <w:rFonts w:ascii="David" w:hAnsi="David" w:cs="David" w:hint="cs"/>
          <w:sz w:val="24"/>
          <w:szCs w:val="24"/>
          <w:rtl/>
        </w:rPr>
        <w:t>:</w:t>
      </w:r>
      <w:r w:rsidR="00DB552B">
        <w:rPr>
          <w:rFonts w:ascii="David" w:hAnsi="David" w:cs="David" w:hint="cs"/>
          <w:sz w:val="24"/>
          <w:szCs w:val="24"/>
          <w:rtl/>
        </w:rPr>
        <w:t>15</w:t>
      </w:r>
      <w:r w:rsidR="001D7B61">
        <w:rPr>
          <w:rFonts w:ascii="David" w:hAnsi="David" w:cs="David" w:hint="cs"/>
          <w:sz w:val="24"/>
          <w:szCs w:val="24"/>
          <w:rtl/>
        </w:rPr>
        <w:t>):</w:t>
      </w:r>
    </w:p>
    <w:p w14:paraId="3A54DCD1" w14:textId="2ABDA94B" w:rsidR="001D7B61" w:rsidRDefault="001D7B61" w:rsidP="0040735E">
      <w:pPr>
        <w:spacing w:line="360" w:lineRule="auto"/>
        <w:rPr>
          <w:rFonts w:ascii="David" w:hAnsi="David" w:cs="David"/>
          <w:sz w:val="24"/>
          <w:szCs w:val="24"/>
          <w:rtl/>
        </w:rPr>
      </w:pPr>
      <w:r>
        <w:rPr>
          <w:rFonts w:ascii="David" w:hAnsi="David" w:cs="David" w:hint="cs"/>
          <w:sz w:val="24"/>
          <w:szCs w:val="24"/>
          <w:rtl/>
        </w:rPr>
        <w:t xml:space="preserve">והזרתם את בני ישראל </w:t>
      </w:r>
      <w:proofErr w:type="spellStart"/>
      <w:r>
        <w:rPr>
          <w:rFonts w:ascii="David" w:hAnsi="David" w:cs="David" w:hint="cs"/>
          <w:sz w:val="24"/>
          <w:szCs w:val="24"/>
          <w:rtl/>
        </w:rPr>
        <w:t>מטמאתם</w:t>
      </w:r>
      <w:proofErr w:type="spellEnd"/>
      <w:r>
        <w:rPr>
          <w:rFonts w:ascii="David" w:hAnsi="David" w:cs="David" w:hint="cs"/>
          <w:sz w:val="24"/>
          <w:szCs w:val="24"/>
          <w:rtl/>
        </w:rPr>
        <w:t xml:space="preserve"> ולא ימתו </w:t>
      </w:r>
      <w:proofErr w:type="spellStart"/>
      <w:r>
        <w:rPr>
          <w:rFonts w:ascii="David" w:hAnsi="David" w:cs="David" w:hint="cs"/>
          <w:sz w:val="24"/>
          <w:szCs w:val="24"/>
          <w:rtl/>
        </w:rPr>
        <w:t>בטמאתם</w:t>
      </w:r>
      <w:proofErr w:type="spellEnd"/>
      <w:r>
        <w:rPr>
          <w:rFonts w:ascii="David" w:hAnsi="David" w:cs="David" w:hint="cs"/>
          <w:sz w:val="24"/>
          <w:szCs w:val="24"/>
          <w:rtl/>
        </w:rPr>
        <w:t xml:space="preserve"> בטמאם את משכני אשר בתוכם.</w:t>
      </w:r>
    </w:p>
    <w:p w14:paraId="491473FE" w14:textId="57CE0C39" w:rsidR="00BE7516" w:rsidRDefault="00BE7516" w:rsidP="0040735E">
      <w:pPr>
        <w:spacing w:line="360" w:lineRule="auto"/>
        <w:rPr>
          <w:rFonts w:ascii="David" w:hAnsi="David" w:cs="David"/>
          <w:sz w:val="24"/>
          <w:szCs w:val="24"/>
          <w:rtl/>
        </w:rPr>
      </w:pPr>
      <w:r>
        <w:rPr>
          <w:rFonts w:ascii="David" w:hAnsi="David" w:cs="David" w:hint="cs"/>
          <w:sz w:val="24"/>
          <w:szCs w:val="24"/>
          <w:rtl/>
        </w:rPr>
        <w:t xml:space="preserve">כלומר, המניע לחוקי טהרה אלה הוא דאגה לקיום הטהרה </w:t>
      </w:r>
      <w:r w:rsidR="00DB552B">
        <w:rPr>
          <w:rFonts w:ascii="David" w:hAnsi="David" w:cs="David" w:hint="cs"/>
          <w:sz w:val="24"/>
          <w:szCs w:val="24"/>
          <w:rtl/>
        </w:rPr>
        <w:t xml:space="preserve">של </w:t>
      </w:r>
      <w:r>
        <w:rPr>
          <w:rFonts w:ascii="David" w:hAnsi="David" w:cs="David" w:hint="cs"/>
          <w:sz w:val="24"/>
          <w:szCs w:val="24"/>
          <w:rtl/>
        </w:rPr>
        <w:t xml:space="preserve">מקום </w:t>
      </w:r>
      <w:r w:rsidR="00B32A1A">
        <w:rPr>
          <w:rFonts w:ascii="David" w:hAnsi="David" w:cs="David" w:hint="cs"/>
          <w:sz w:val="24"/>
          <w:szCs w:val="24"/>
          <w:rtl/>
        </w:rPr>
        <w:t>ה</w:t>
      </w:r>
      <w:r>
        <w:rPr>
          <w:rFonts w:ascii="David" w:hAnsi="David" w:cs="David" w:hint="cs"/>
          <w:sz w:val="24"/>
          <w:szCs w:val="24"/>
          <w:rtl/>
        </w:rPr>
        <w:t>נוכחות ה</w:t>
      </w:r>
      <w:r w:rsidR="00DB552B">
        <w:rPr>
          <w:rFonts w:ascii="David" w:hAnsi="David" w:cs="David" w:hint="cs"/>
          <w:sz w:val="24"/>
          <w:szCs w:val="24"/>
          <w:rtl/>
        </w:rPr>
        <w:t>אלוקית</w:t>
      </w:r>
      <w:r>
        <w:rPr>
          <w:rFonts w:ascii="David" w:hAnsi="David" w:cs="David" w:hint="cs"/>
          <w:sz w:val="24"/>
          <w:szCs w:val="24"/>
          <w:rtl/>
        </w:rPr>
        <w:t xml:space="preserve">, ולא </w:t>
      </w:r>
      <w:r>
        <w:rPr>
          <w:rFonts w:ascii="David" w:hAnsi="David" w:cs="David"/>
          <w:sz w:val="24"/>
          <w:szCs w:val="24"/>
          <w:rtl/>
        </w:rPr>
        <w:t>–</w:t>
      </w:r>
      <w:r>
        <w:rPr>
          <w:rFonts w:ascii="David" w:hAnsi="David" w:cs="David" w:hint="cs"/>
          <w:sz w:val="24"/>
          <w:szCs w:val="24"/>
          <w:rtl/>
        </w:rPr>
        <w:t xml:space="preserve"> כפי </w:t>
      </w:r>
      <w:r w:rsidR="00DB552B">
        <w:rPr>
          <w:rFonts w:ascii="David" w:hAnsi="David" w:cs="David" w:hint="cs"/>
          <w:sz w:val="24"/>
          <w:szCs w:val="24"/>
          <w:rtl/>
        </w:rPr>
        <w:t>ש</w:t>
      </w:r>
      <w:r w:rsidR="00DA3A04">
        <w:rPr>
          <w:rFonts w:ascii="David" w:hAnsi="David" w:cs="David" w:hint="cs"/>
          <w:sz w:val="24"/>
          <w:szCs w:val="24"/>
          <w:rtl/>
        </w:rPr>
        <w:t xml:space="preserve">אפשר </w:t>
      </w:r>
      <w:r w:rsidR="00DB552B">
        <w:rPr>
          <w:rFonts w:ascii="David" w:hAnsi="David" w:cs="David" w:hint="cs"/>
          <w:sz w:val="24"/>
          <w:szCs w:val="24"/>
          <w:rtl/>
        </w:rPr>
        <w:t>הי</w:t>
      </w:r>
      <w:r w:rsidR="00DA3A04">
        <w:rPr>
          <w:rFonts w:ascii="David" w:hAnsi="David" w:cs="David" w:hint="cs"/>
          <w:sz w:val="24"/>
          <w:szCs w:val="24"/>
          <w:rtl/>
        </w:rPr>
        <w:t>ה</w:t>
      </w:r>
      <w:r>
        <w:rPr>
          <w:rFonts w:ascii="David" w:hAnsi="David" w:cs="David" w:hint="cs"/>
          <w:sz w:val="24"/>
          <w:szCs w:val="24"/>
          <w:rtl/>
        </w:rPr>
        <w:t xml:space="preserve"> </w:t>
      </w:r>
      <w:r w:rsidR="00DA3A04">
        <w:rPr>
          <w:rFonts w:ascii="David" w:hAnsi="David" w:cs="David" w:hint="cs"/>
          <w:sz w:val="24"/>
          <w:szCs w:val="24"/>
          <w:rtl/>
        </w:rPr>
        <w:t>לה</w:t>
      </w:r>
      <w:r w:rsidR="004842CB">
        <w:rPr>
          <w:rFonts w:ascii="David" w:hAnsi="David" w:cs="David" w:hint="cs"/>
          <w:sz w:val="24"/>
          <w:szCs w:val="24"/>
          <w:rtl/>
        </w:rPr>
        <w:t>ניח</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חשש מו</w:t>
      </w:r>
      <w:r w:rsidR="004842CB">
        <w:rPr>
          <w:rFonts w:ascii="David" w:hAnsi="David" w:cs="David" w:hint="cs"/>
          <w:sz w:val="24"/>
          <w:szCs w:val="24"/>
          <w:rtl/>
        </w:rPr>
        <w:t>סתר</w:t>
      </w:r>
      <w:r>
        <w:rPr>
          <w:rFonts w:ascii="David" w:hAnsi="David" w:cs="David" w:hint="cs"/>
          <w:sz w:val="24"/>
          <w:szCs w:val="24"/>
          <w:rtl/>
        </w:rPr>
        <w:t xml:space="preserve"> </w:t>
      </w:r>
      <w:r w:rsidR="004842CB">
        <w:rPr>
          <w:rFonts w:ascii="David" w:hAnsi="David" w:cs="David" w:hint="cs"/>
          <w:sz w:val="24"/>
          <w:szCs w:val="24"/>
          <w:rtl/>
        </w:rPr>
        <w:t>מה</w:t>
      </w:r>
      <w:r>
        <w:rPr>
          <w:rFonts w:ascii="David" w:hAnsi="David" w:cs="David" w:hint="cs"/>
          <w:sz w:val="24"/>
          <w:szCs w:val="24"/>
          <w:rtl/>
        </w:rPr>
        <w:t xml:space="preserve">דבקה. על אף זאת, </w:t>
      </w:r>
      <w:r w:rsidR="00B32A1A">
        <w:rPr>
          <w:rFonts w:ascii="David" w:hAnsi="David" w:cs="David" w:hint="cs"/>
          <w:sz w:val="24"/>
          <w:szCs w:val="24"/>
          <w:rtl/>
        </w:rPr>
        <w:t xml:space="preserve">האם </w:t>
      </w:r>
      <w:r>
        <w:rPr>
          <w:rFonts w:ascii="David" w:hAnsi="David" w:cs="David" w:hint="cs"/>
          <w:sz w:val="24"/>
          <w:szCs w:val="24"/>
          <w:rtl/>
        </w:rPr>
        <w:t>מדובר ברציונל פוסט פקטו המחפה על מניעים עתיקים יותר המונחים ביסוד מנהגי טהרה אלה?</w:t>
      </w:r>
    </w:p>
    <w:p w14:paraId="502FFFEB" w14:textId="45ED688B" w:rsidR="00DF75DF" w:rsidRDefault="00DF75DF" w:rsidP="00DF75DF">
      <w:pPr>
        <w:shd w:val="clear" w:color="auto" w:fill="FFFFFF"/>
        <w:spacing w:before="131" w:after="131" w:line="393" w:lineRule="atLeast"/>
        <w:jc w:val="center"/>
        <w:outlineLvl w:val="1"/>
        <w:rPr>
          <w:rFonts w:ascii="Times New Roman" w:eastAsia="Times New Roman" w:hAnsi="Times New Roman" w:cs="Times New Roman"/>
          <w:color w:val="000000"/>
          <w:sz w:val="23"/>
          <w:szCs w:val="23"/>
          <w:rtl/>
          <w:lang w:eastAsia="zh-CN" w:bidi="ar-SA"/>
        </w:rPr>
      </w:pPr>
      <w:r>
        <w:rPr>
          <w:rFonts w:ascii="David" w:hAnsi="David" w:cs="David" w:hint="cs"/>
          <w:sz w:val="24"/>
          <w:szCs w:val="24"/>
          <w:rtl/>
        </w:rPr>
        <w:t xml:space="preserve">מקבילה מסופוטמית: </w:t>
      </w:r>
      <w:proofErr w:type="spellStart"/>
      <w:r w:rsidRPr="00DF75DF">
        <w:rPr>
          <w:rFonts w:ascii="Times New Roman" w:eastAsia="Times New Roman" w:hAnsi="Times New Roman" w:cs="Times New Roman"/>
          <w:i/>
          <w:iCs/>
          <w:color w:val="000000"/>
          <w:sz w:val="23"/>
          <w:lang w:eastAsia="zh-CN" w:bidi="ar-SA"/>
        </w:rPr>
        <w:t>Saḫaršubbû</w:t>
      </w:r>
      <w:proofErr w:type="spellEnd"/>
    </w:p>
    <w:p w14:paraId="3FD08206" w14:textId="10153AA8" w:rsidR="00DF75DF" w:rsidRDefault="00BA7075" w:rsidP="00DF75DF">
      <w:pPr>
        <w:shd w:val="clear" w:color="auto" w:fill="FFFFFF"/>
        <w:spacing w:before="131" w:after="131" w:line="393" w:lineRule="atLeast"/>
        <w:outlineLvl w:val="1"/>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t xml:space="preserve">לפני שנתייחס לשאלה זו, חשוב לציין שלצרעת מקראית יש תכונות רבות המשותפות למחלה אכדית בשם </w:t>
      </w:r>
      <w:proofErr w:type="spellStart"/>
      <w:r w:rsidRPr="0090141D">
        <w:rPr>
          <w:rFonts w:ascii="Times New Roman" w:eastAsia="Times New Roman" w:hAnsi="Times New Roman" w:cs="Times New Roman"/>
          <w:i/>
          <w:iCs/>
          <w:color w:val="000000"/>
          <w:sz w:val="16"/>
          <w:lang w:bidi="ar-SA"/>
        </w:rPr>
        <w:t>saḫaršubbû</w:t>
      </w:r>
      <w:proofErr w:type="spellEnd"/>
      <w:r w:rsidRPr="0090141D">
        <w:rPr>
          <w:rFonts w:ascii="Times New Roman" w:eastAsia="Times New Roman" w:hAnsi="Times New Roman" w:cs="Times New Roman"/>
          <w:i/>
          <w:iCs/>
          <w:color w:val="000000"/>
          <w:sz w:val="16"/>
          <w:lang w:bidi="ar-SA"/>
        </w:rPr>
        <w:t> </w:t>
      </w:r>
      <w:r>
        <w:rPr>
          <w:rFonts w:ascii="David" w:eastAsia="Times New Roman" w:hAnsi="David" w:cs="David" w:hint="cs"/>
          <w:color w:val="000000"/>
          <w:sz w:val="24"/>
          <w:szCs w:val="24"/>
          <w:rtl/>
          <w:lang w:eastAsia="zh-CN"/>
        </w:rPr>
        <w:t xml:space="preserve"> (מילה שאולה מהמילה השומרית </w:t>
      </w:r>
      <w:r w:rsidRPr="002A2E5E">
        <w:rPr>
          <w:rFonts w:ascii="Times New Roman" w:eastAsia="Times New Roman" w:hAnsi="Times New Roman" w:cs="Times New Roman"/>
          <w:color w:val="000000"/>
          <w:sz w:val="16"/>
          <w:szCs w:val="16"/>
          <w:lang w:bidi="ar-SA"/>
        </w:rPr>
        <w:t>saḫar.šub.ba:</w:t>
      </w:r>
      <w:r>
        <w:rPr>
          <w:rFonts w:ascii="David" w:eastAsia="Times New Roman" w:hAnsi="David" w:cs="David" w:hint="cs"/>
          <w:color w:val="000000"/>
          <w:sz w:val="24"/>
          <w:szCs w:val="24"/>
          <w:rtl/>
          <w:lang w:eastAsia="zh-CN"/>
        </w:rPr>
        <w:t>: "מכוסה באבק").</w:t>
      </w:r>
      <w:r>
        <w:rPr>
          <w:rStyle w:val="a5"/>
          <w:rFonts w:ascii="David" w:eastAsia="Times New Roman" w:hAnsi="David" w:cs="David"/>
          <w:color w:val="000000"/>
          <w:sz w:val="24"/>
          <w:szCs w:val="24"/>
          <w:rtl/>
          <w:lang w:eastAsia="zh-CN"/>
        </w:rPr>
        <w:footnoteReference w:id="4"/>
      </w:r>
      <w:r>
        <w:rPr>
          <w:rFonts w:ascii="David" w:eastAsia="Times New Roman" w:hAnsi="David" w:cs="David" w:hint="cs"/>
          <w:color w:val="000000"/>
          <w:sz w:val="24"/>
          <w:szCs w:val="24"/>
          <w:rtl/>
          <w:lang w:eastAsia="zh-CN"/>
        </w:rPr>
        <w:t xml:space="preserve"> מחלת עור </w:t>
      </w:r>
      <w:r w:rsidR="004842CB">
        <w:rPr>
          <w:rFonts w:ascii="David" w:eastAsia="Times New Roman" w:hAnsi="David" w:cs="David" w:hint="cs"/>
          <w:color w:val="000000"/>
          <w:sz w:val="24"/>
          <w:szCs w:val="24"/>
          <w:rtl/>
          <w:lang w:eastAsia="zh-CN"/>
        </w:rPr>
        <w:t>זו ה</w:t>
      </w:r>
      <w:r>
        <w:rPr>
          <w:rFonts w:ascii="David" w:eastAsia="Times New Roman" w:hAnsi="David" w:cs="David" w:hint="cs"/>
          <w:color w:val="000000"/>
          <w:sz w:val="24"/>
          <w:szCs w:val="24"/>
          <w:rtl/>
          <w:lang w:eastAsia="zh-CN"/>
        </w:rPr>
        <w:t>מ</w:t>
      </w:r>
      <w:r w:rsidR="00502FB3">
        <w:rPr>
          <w:rFonts w:ascii="David" w:eastAsia="Times New Roman" w:hAnsi="David" w:cs="David" w:hint="cs"/>
          <w:color w:val="000000"/>
          <w:sz w:val="24"/>
          <w:szCs w:val="24"/>
          <w:rtl/>
          <w:lang w:eastAsia="zh-CN"/>
        </w:rPr>
        <w:t>י</w:t>
      </w:r>
      <w:r>
        <w:rPr>
          <w:rFonts w:ascii="David" w:eastAsia="Times New Roman" w:hAnsi="David" w:cs="David" w:hint="cs"/>
          <w:color w:val="000000"/>
          <w:sz w:val="24"/>
          <w:szCs w:val="24"/>
          <w:rtl/>
          <w:lang w:eastAsia="zh-CN"/>
        </w:rPr>
        <w:t>דבקת</w:t>
      </w:r>
      <w:r w:rsidR="00E27E45">
        <w:rPr>
          <w:rFonts w:ascii="David" w:eastAsia="Times New Roman" w:hAnsi="David" w:cs="David" w:hint="cs"/>
          <w:color w:val="000000"/>
          <w:sz w:val="24"/>
          <w:szCs w:val="24"/>
          <w:rtl/>
          <w:lang w:eastAsia="zh-CN"/>
        </w:rPr>
        <w:t xml:space="preserve"> מאוד</w:t>
      </w:r>
      <w:r w:rsidR="004842CB">
        <w:rPr>
          <w:rFonts w:ascii="David" w:eastAsia="Times New Roman" w:hAnsi="David" w:cs="David" w:hint="cs"/>
          <w:color w:val="000000"/>
          <w:sz w:val="24"/>
          <w:szCs w:val="24"/>
          <w:rtl/>
          <w:lang w:eastAsia="zh-CN"/>
        </w:rPr>
        <w:t xml:space="preserve"> </w:t>
      </w:r>
      <w:r>
        <w:rPr>
          <w:rFonts w:ascii="David" w:eastAsia="Times New Roman" w:hAnsi="David" w:cs="David" w:hint="cs"/>
          <w:color w:val="000000"/>
          <w:sz w:val="24"/>
          <w:szCs w:val="24"/>
          <w:rtl/>
          <w:lang w:eastAsia="zh-CN"/>
        </w:rPr>
        <w:t>מוזכרת בטקסטים רבים מסוגות שונות (</w:t>
      </w:r>
      <w:r w:rsidR="00462107">
        <w:rPr>
          <w:rFonts w:ascii="David" w:eastAsia="Times New Roman" w:hAnsi="David" w:cs="David" w:hint="cs"/>
          <w:color w:val="000000"/>
          <w:sz w:val="24"/>
          <w:szCs w:val="24"/>
          <w:rtl/>
          <w:lang w:eastAsia="zh-CN"/>
        </w:rPr>
        <w:t xml:space="preserve">רשימות עובדים, לחשים, קללות שבועה, </w:t>
      </w:r>
      <w:r w:rsidR="00E27E45">
        <w:rPr>
          <w:rFonts w:ascii="David" w:eastAsia="Times New Roman" w:hAnsi="David" w:cs="David" w:hint="cs"/>
          <w:color w:val="000000"/>
          <w:sz w:val="24"/>
          <w:szCs w:val="24"/>
          <w:rtl/>
          <w:lang w:eastAsia="zh-CN"/>
        </w:rPr>
        <w:t>טקסים</w:t>
      </w:r>
      <w:r w:rsidR="00462107">
        <w:rPr>
          <w:rFonts w:ascii="David" w:eastAsia="Times New Roman" w:hAnsi="David" w:cs="David" w:hint="cs"/>
          <w:color w:val="000000"/>
          <w:sz w:val="24"/>
          <w:szCs w:val="24"/>
          <w:rtl/>
          <w:lang w:eastAsia="zh-CN"/>
        </w:rPr>
        <w:t>) מראשית המילניום השני לפני הספירה והלאה.</w:t>
      </w:r>
      <w:r w:rsidR="00462107">
        <w:rPr>
          <w:rStyle w:val="a5"/>
          <w:rFonts w:ascii="David" w:eastAsia="Times New Roman" w:hAnsi="David" w:cs="David"/>
          <w:color w:val="000000"/>
          <w:sz w:val="24"/>
          <w:szCs w:val="24"/>
          <w:rtl/>
          <w:lang w:eastAsia="zh-CN"/>
        </w:rPr>
        <w:footnoteReference w:id="5"/>
      </w:r>
    </w:p>
    <w:p w14:paraId="75BCA307" w14:textId="3369ABA1" w:rsidR="00462107" w:rsidRDefault="00462107" w:rsidP="00DF75DF">
      <w:pPr>
        <w:shd w:val="clear" w:color="auto" w:fill="FFFFFF"/>
        <w:spacing w:before="131" w:after="131" w:line="393" w:lineRule="atLeast"/>
        <w:outlineLvl w:val="1"/>
        <w:rPr>
          <w:rFonts w:ascii="David" w:hAnsi="David" w:cs="David"/>
          <w:sz w:val="24"/>
          <w:szCs w:val="24"/>
          <w:rtl/>
          <w:lang w:eastAsia="zh-CN"/>
        </w:rPr>
      </w:pPr>
      <w:r>
        <w:rPr>
          <w:rFonts w:ascii="David" w:eastAsia="Times New Roman" w:hAnsi="David" w:cs="David" w:hint="cs"/>
          <w:color w:val="000000"/>
          <w:sz w:val="24"/>
          <w:szCs w:val="24"/>
          <w:rtl/>
          <w:lang w:eastAsia="zh-CN"/>
        </w:rPr>
        <w:t>המ</w:t>
      </w:r>
      <w:r w:rsidR="00E27E45">
        <w:rPr>
          <w:rFonts w:ascii="David" w:eastAsia="Times New Roman" w:hAnsi="David" w:cs="David" w:hint="cs"/>
          <w:color w:val="000000"/>
          <w:sz w:val="24"/>
          <w:szCs w:val="24"/>
          <w:rtl/>
          <w:lang w:eastAsia="zh-CN"/>
        </w:rPr>
        <w:t>ו</w:t>
      </w:r>
      <w:r>
        <w:rPr>
          <w:rFonts w:ascii="David" w:eastAsia="Times New Roman" w:hAnsi="David" w:cs="David" w:hint="cs"/>
          <w:color w:val="000000"/>
          <w:sz w:val="24"/>
          <w:szCs w:val="24"/>
          <w:rtl/>
          <w:lang w:eastAsia="zh-CN"/>
        </w:rPr>
        <w:t>נח האכדי התייחס ל</w:t>
      </w:r>
      <w:r w:rsidR="00E27E45">
        <w:rPr>
          <w:rFonts w:ascii="David" w:eastAsia="Times New Roman" w:hAnsi="David" w:cs="David" w:hint="cs"/>
          <w:color w:val="000000"/>
          <w:sz w:val="24"/>
          <w:szCs w:val="24"/>
          <w:rtl/>
          <w:lang w:eastAsia="zh-CN"/>
        </w:rPr>
        <w:t>מצב רפואי</w:t>
      </w:r>
      <w:r>
        <w:rPr>
          <w:rFonts w:ascii="David" w:eastAsia="Times New Roman" w:hAnsi="David" w:cs="David" w:hint="cs"/>
          <w:color w:val="000000"/>
          <w:sz w:val="24"/>
          <w:szCs w:val="24"/>
          <w:rtl/>
          <w:lang w:eastAsia="zh-CN"/>
        </w:rPr>
        <w:t xml:space="preserve"> שכיסה את גופו של הקורבן כמו מלבוש ו</w:t>
      </w:r>
      <w:r w:rsidR="00E27E45">
        <w:rPr>
          <w:rFonts w:ascii="David" w:eastAsia="Times New Roman" w:hAnsi="David" w:cs="David" w:hint="cs"/>
          <w:color w:val="000000"/>
          <w:sz w:val="24"/>
          <w:szCs w:val="24"/>
          <w:rtl/>
          <w:lang w:eastAsia="zh-CN"/>
        </w:rPr>
        <w:t>הביא</w:t>
      </w:r>
      <w:r>
        <w:rPr>
          <w:rFonts w:ascii="David" w:eastAsia="Times New Roman" w:hAnsi="David" w:cs="David" w:hint="cs"/>
          <w:color w:val="000000"/>
          <w:sz w:val="24"/>
          <w:szCs w:val="24"/>
          <w:rtl/>
          <w:lang w:eastAsia="zh-CN"/>
        </w:rPr>
        <w:t xml:space="preserve"> להדבקתו באות קלון ולהרחקתו מן הקהילה. לעיתים הוכרח הקורבן לשוטט בערבה</w:t>
      </w:r>
      <w:r w:rsidR="009B550D">
        <w:rPr>
          <w:rFonts w:ascii="David" w:eastAsia="Times New Roman" w:hAnsi="David" w:cs="David" w:hint="cs"/>
          <w:color w:val="000000"/>
          <w:sz w:val="24"/>
          <w:szCs w:val="24"/>
          <w:rtl/>
          <w:lang w:eastAsia="zh-CN"/>
        </w:rPr>
        <w:t xml:space="preserve"> פשוטו כמשמעו</w:t>
      </w:r>
      <w:r>
        <w:rPr>
          <w:rFonts w:ascii="David" w:eastAsia="Times New Roman" w:hAnsi="David" w:cs="David" w:hint="cs"/>
          <w:color w:val="000000"/>
          <w:sz w:val="24"/>
          <w:szCs w:val="24"/>
          <w:rtl/>
          <w:lang w:eastAsia="zh-CN"/>
        </w:rPr>
        <w:t xml:space="preserve">. כמו צרעת במקורות </w:t>
      </w:r>
      <w:r w:rsidR="00502FB3">
        <w:rPr>
          <w:rFonts w:ascii="David" w:eastAsia="Times New Roman" w:hAnsi="David" w:cs="David" w:hint="cs"/>
          <w:color w:val="000000"/>
          <w:sz w:val="24"/>
          <w:szCs w:val="24"/>
          <w:rtl/>
          <w:lang w:eastAsia="zh-CN"/>
        </w:rPr>
        <w:t>חוץ-</w:t>
      </w:r>
      <w:r w:rsidR="00D00DA0">
        <w:rPr>
          <w:rFonts w:ascii="David" w:eastAsia="Times New Roman" w:hAnsi="David" w:cs="David" w:hint="cs"/>
          <w:color w:val="000000"/>
          <w:sz w:val="24"/>
          <w:szCs w:val="24"/>
          <w:rtl/>
          <w:lang w:eastAsia="zh-CN"/>
        </w:rPr>
        <w:t>כוהניים (במדבר 1</w:t>
      </w:r>
      <w:r w:rsidR="009B550D">
        <w:rPr>
          <w:rFonts w:ascii="David" w:eastAsia="Times New Roman" w:hAnsi="David" w:cs="David" w:hint="cs"/>
          <w:color w:val="000000"/>
          <w:sz w:val="24"/>
          <w:szCs w:val="24"/>
          <w:rtl/>
          <w:lang w:eastAsia="zh-CN"/>
        </w:rPr>
        <w:t>0</w:t>
      </w:r>
      <w:r w:rsidR="00D00DA0">
        <w:rPr>
          <w:rFonts w:ascii="David" w:eastAsia="Times New Roman" w:hAnsi="David" w:cs="David" w:hint="cs"/>
          <w:color w:val="000000"/>
          <w:sz w:val="24"/>
          <w:szCs w:val="24"/>
          <w:rtl/>
          <w:lang w:eastAsia="zh-CN"/>
        </w:rPr>
        <w:t>:1</w:t>
      </w:r>
      <w:r w:rsidR="009B550D">
        <w:rPr>
          <w:rFonts w:ascii="David" w:eastAsia="Times New Roman" w:hAnsi="David" w:cs="David" w:hint="cs"/>
          <w:color w:val="000000"/>
          <w:sz w:val="24"/>
          <w:szCs w:val="24"/>
          <w:rtl/>
          <w:lang w:eastAsia="zh-CN"/>
        </w:rPr>
        <w:t>2</w:t>
      </w:r>
      <w:r w:rsidR="00D00DA0">
        <w:rPr>
          <w:rFonts w:ascii="David" w:eastAsia="Times New Roman" w:hAnsi="David" w:cs="David" w:hint="cs"/>
          <w:color w:val="000000"/>
          <w:sz w:val="24"/>
          <w:szCs w:val="24"/>
          <w:rtl/>
          <w:lang w:eastAsia="zh-CN"/>
        </w:rPr>
        <w:t>; שמואל ב</w:t>
      </w:r>
      <w:r w:rsidR="009B550D">
        <w:rPr>
          <w:rFonts w:ascii="David" w:eastAsia="Times New Roman" w:hAnsi="David" w:cs="David" w:hint="cs"/>
          <w:color w:val="000000"/>
          <w:sz w:val="24"/>
          <w:szCs w:val="24"/>
          <w:rtl/>
          <w:lang w:eastAsia="zh-CN"/>
        </w:rPr>
        <w:t xml:space="preserve"> 3:</w:t>
      </w:r>
      <w:r w:rsidR="00D00DA0">
        <w:rPr>
          <w:rFonts w:ascii="David" w:eastAsia="Times New Roman" w:hAnsi="David" w:cs="David" w:hint="cs"/>
          <w:color w:val="000000"/>
          <w:sz w:val="24"/>
          <w:szCs w:val="24"/>
          <w:rtl/>
          <w:lang w:eastAsia="zh-CN"/>
        </w:rPr>
        <w:t xml:space="preserve"> 29</w:t>
      </w:r>
      <w:r w:rsidR="009B550D">
        <w:rPr>
          <w:rFonts w:ascii="David" w:eastAsia="Times New Roman" w:hAnsi="David" w:cs="David" w:hint="cs"/>
          <w:color w:val="000000"/>
          <w:sz w:val="24"/>
          <w:szCs w:val="24"/>
          <w:rtl/>
          <w:lang w:eastAsia="zh-CN"/>
        </w:rPr>
        <w:t xml:space="preserve">; </w:t>
      </w:r>
      <w:r w:rsidR="00D00DA0">
        <w:rPr>
          <w:rFonts w:ascii="David" w:eastAsia="Times New Roman" w:hAnsi="David" w:cs="David" w:hint="cs"/>
          <w:color w:val="000000"/>
          <w:sz w:val="24"/>
          <w:szCs w:val="24"/>
          <w:rtl/>
          <w:lang w:eastAsia="zh-CN"/>
        </w:rPr>
        <w:t>מלכים ב</w:t>
      </w:r>
      <w:r w:rsidR="009B550D">
        <w:rPr>
          <w:rFonts w:ascii="David" w:eastAsia="Times New Roman" w:hAnsi="David" w:cs="David" w:hint="cs"/>
          <w:color w:val="000000"/>
          <w:sz w:val="24"/>
          <w:szCs w:val="24"/>
          <w:rtl/>
          <w:lang w:eastAsia="zh-CN"/>
        </w:rPr>
        <w:t xml:space="preserve"> </w:t>
      </w:r>
      <w:r w:rsidR="00D00DA0">
        <w:rPr>
          <w:rFonts w:ascii="David" w:eastAsia="Times New Roman" w:hAnsi="David" w:cs="David" w:hint="cs"/>
          <w:color w:val="000000"/>
          <w:sz w:val="24"/>
          <w:szCs w:val="24"/>
          <w:rtl/>
          <w:lang w:eastAsia="zh-CN"/>
        </w:rPr>
        <w:t>5:</w:t>
      </w:r>
      <w:r w:rsidR="00EE4AF0">
        <w:rPr>
          <w:rFonts w:ascii="David" w:eastAsia="Times New Roman" w:hAnsi="David" w:cs="David" w:hint="cs"/>
          <w:color w:val="000000"/>
          <w:sz w:val="24"/>
          <w:szCs w:val="24"/>
          <w:rtl/>
          <w:lang w:eastAsia="zh-CN"/>
        </w:rPr>
        <w:t xml:space="preserve"> 27</w:t>
      </w:r>
      <w:r w:rsidR="00D00DA0">
        <w:rPr>
          <w:rFonts w:ascii="David" w:eastAsia="Times New Roman" w:hAnsi="David" w:cs="David" w:hint="cs"/>
          <w:color w:val="000000"/>
          <w:sz w:val="24"/>
          <w:szCs w:val="24"/>
          <w:rtl/>
          <w:lang w:eastAsia="zh-CN"/>
        </w:rPr>
        <w:t>; דברי הימים ב 26:</w:t>
      </w:r>
      <w:r w:rsidR="00D00DA0">
        <w:rPr>
          <w:rFonts w:ascii="David" w:hAnsi="David" w:cs="David" w:hint="cs"/>
          <w:sz w:val="24"/>
          <w:szCs w:val="24"/>
          <w:rtl/>
        </w:rPr>
        <w:t xml:space="preserve"> 19–20), הוא נתפס </w:t>
      </w:r>
      <w:r w:rsidR="00502FB3">
        <w:rPr>
          <w:rFonts w:ascii="David" w:hAnsi="David" w:cs="David" w:hint="cs"/>
          <w:sz w:val="24"/>
          <w:szCs w:val="24"/>
          <w:rtl/>
        </w:rPr>
        <w:t>לעיתים</w:t>
      </w:r>
      <w:r w:rsidR="00D00DA0">
        <w:rPr>
          <w:rFonts w:ascii="David" w:hAnsi="David" w:cs="David" w:hint="cs"/>
          <w:sz w:val="24"/>
          <w:szCs w:val="24"/>
          <w:rtl/>
        </w:rPr>
        <w:t xml:space="preserve"> כעונש או קללה אלוקית.</w:t>
      </w:r>
      <w:r w:rsidR="00D00DA0">
        <w:rPr>
          <w:rStyle w:val="a5"/>
          <w:rFonts w:ascii="David" w:hAnsi="David" w:cs="David"/>
          <w:sz w:val="24"/>
          <w:szCs w:val="24"/>
          <w:rtl/>
        </w:rPr>
        <w:footnoteReference w:id="6"/>
      </w:r>
    </w:p>
    <w:p w14:paraId="3A6A5BFC" w14:textId="5A9F991D" w:rsidR="00D00DA0" w:rsidRDefault="00D00DA0"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הטיפול בחולה</w:t>
      </w:r>
    </w:p>
    <w:p w14:paraId="37C1D383" w14:textId="251DF7E5" w:rsidR="00FE79D6" w:rsidRDefault="00FE79D6"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עניין מיוחד יש בפולחן היחיד המוכר לטיפול ב-</w:t>
      </w:r>
      <w:r w:rsidR="00731353" w:rsidRPr="00731353">
        <w:rPr>
          <w:rFonts w:ascii="Times New Roman" w:eastAsia="Times New Roman" w:hAnsi="Times New Roman" w:cs="Times New Roman"/>
          <w:i/>
          <w:iCs/>
          <w:color w:val="000000"/>
          <w:sz w:val="16"/>
          <w:lang w:bidi="ar-SA"/>
        </w:rPr>
        <w:t xml:space="preserve"> </w:t>
      </w:r>
      <w:proofErr w:type="spellStart"/>
      <w:r w:rsidR="00731353" w:rsidRPr="0090141D">
        <w:rPr>
          <w:rFonts w:ascii="Times New Roman" w:eastAsia="Times New Roman" w:hAnsi="Times New Roman" w:cs="Times New Roman"/>
          <w:i/>
          <w:iCs/>
          <w:color w:val="000000"/>
          <w:sz w:val="16"/>
          <w:lang w:bidi="ar-SA"/>
        </w:rPr>
        <w:t>saḫaršubbû</w:t>
      </w:r>
      <w:proofErr w:type="spellEnd"/>
      <w:r w:rsidR="00731353">
        <w:rPr>
          <w:rFonts w:ascii="David" w:hAnsi="David" w:cs="David" w:hint="cs"/>
          <w:sz w:val="24"/>
          <w:szCs w:val="24"/>
          <w:rtl/>
          <w:lang w:eastAsia="zh-CN"/>
        </w:rPr>
        <w:t xml:space="preserve">. פולחן זה נמצא על </w:t>
      </w:r>
      <w:r w:rsidR="001609D5">
        <w:rPr>
          <w:rFonts w:ascii="David" w:hAnsi="David" w:cs="David" w:hint="cs"/>
          <w:sz w:val="24"/>
          <w:szCs w:val="24"/>
          <w:rtl/>
          <w:lang w:eastAsia="zh-CN"/>
        </w:rPr>
        <w:t xml:space="preserve">גבי </w:t>
      </w:r>
      <w:r w:rsidR="00731353">
        <w:rPr>
          <w:rFonts w:ascii="David" w:hAnsi="David" w:cs="David" w:hint="cs"/>
          <w:sz w:val="24"/>
          <w:szCs w:val="24"/>
          <w:rtl/>
          <w:lang w:eastAsia="zh-CN"/>
        </w:rPr>
        <w:t>לוח יחיד שחובר ב-</w:t>
      </w:r>
      <w:r w:rsidR="00731353" w:rsidRPr="00731353">
        <w:rPr>
          <w:rFonts w:ascii="Times New Roman" w:eastAsia="Times New Roman" w:hAnsi="Times New Roman" w:cs="Times New Roman"/>
          <w:color w:val="000000"/>
          <w:sz w:val="16"/>
          <w:szCs w:val="16"/>
          <w:lang w:bidi="ar-SA"/>
        </w:rPr>
        <w:t xml:space="preserve"> </w:t>
      </w:r>
      <w:proofErr w:type="spellStart"/>
      <w:r w:rsidR="00731353" w:rsidRPr="002A2E5E">
        <w:rPr>
          <w:rFonts w:ascii="Times New Roman" w:eastAsia="Times New Roman" w:hAnsi="Times New Roman" w:cs="Times New Roman"/>
          <w:color w:val="000000"/>
          <w:sz w:val="16"/>
          <w:szCs w:val="16"/>
          <w:lang w:bidi="ar-SA"/>
        </w:rPr>
        <w:t>Emar</w:t>
      </w:r>
      <w:proofErr w:type="spellEnd"/>
      <w:r w:rsidR="00731353">
        <w:rPr>
          <w:rFonts w:ascii="David" w:hAnsi="David" w:cs="David" w:hint="cs"/>
          <w:sz w:val="24"/>
          <w:szCs w:val="24"/>
          <w:rtl/>
          <w:lang w:eastAsia="zh-CN"/>
        </w:rPr>
        <w:t xml:space="preserve"> (נמצא בעיקול נהר פרת בסוריה) במאה ה-13 לפני הספירה,</w:t>
      </w:r>
      <w:r w:rsidR="00731353">
        <w:rPr>
          <w:rStyle w:val="a5"/>
          <w:rFonts w:ascii="David" w:hAnsi="David" w:cs="David"/>
          <w:sz w:val="24"/>
          <w:szCs w:val="24"/>
          <w:rtl/>
          <w:lang w:eastAsia="zh-CN"/>
        </w:rPr>
        <w:footnoteReference w:id="7"/>
      </w:r>
      <w:r w:rsidR="00731353">
        <w:rPr>
          <w:rFonts w:ascii="David" w:hAnsi="David" w:cs="David" w:hint="cs"/>
          <w:sz w:val="24"/>
          <w:szCs w:val="24"/>
          <w:rtl/>
          <w:lang w:eastAsia="zh-CN"/>
        </w:rPr>
        <w:t xml:space="preserve"> שם נמצאו עוד פולחנים חשובים להשוואה.</w:t>
      </w:r>
      <w:r w:rsidR="00731353">
        <w:rPr>
          <w:rStyle w:val="a5"/>
          <w:rFonts w:ascii="David" w:hAnsi="David" w:cs="David"/>
          <w:sz w:val="24"/>
          <w:szCs w:val="24"/>
          <w:rtl/>
          <w:lang w:eastAsia="zh-CN"/>
        </w:rPr>
        <w:footnoteReference w:id="8"/>
      </w:r>
      <w:r w:rsidR="00731353">
        <w:rPr>
          <w:rFonts w:ascii="David" w:hAnsi="David" w:cs="David" w:hint="cs"/>
          <w:sz w:val="24"/>
          <w:szCs w:val="24"/>
          <w:rtl/>
          <w:lang w:eastAsia="zh-CN"/>
        </w:rPr>
        <w:t xml:space="preserve"> טקסט זה </w:t>
      </w:r>
      <w:r w:rsidR="004A58CE">
        <w:rPr>
          <w:rFonts w:ascii="David" w:hAnsi="David" w:cs="David" w:hint="cs"/>
          <w:sz w:val="24"/>
          <w:szCs w:val="24"/>
          <w:rtl/>
          <w:lang w:eastAsia="zh-CN"/>
        </w:rPr>
        <w:t>מורכב מ</w:t>
      </w:r>
      <w:r w:rsidR="00731353">
        <w:rPr>
          <w:rFonts w:ascii="David" w:hAnsi="David" w:cs="David" w:hint="cs"/>
          <w:sz w:val="24"/>
          <w:szCs w:val="24"/>
          <w:rtl/>
          <w:lang w:eastAsia="zh-CN"/>
        </w:rPr>
        <w:t>שלושה חלקים הכוללים לחש, טיפולים וטקס לאחר הריפוי. ה</w:t>
      </w:r>
      <w:r w:rsidR="004A58CE">
        <w:rPr>
          <w:rFonts w:ascii="David" w:hAnsi="David" w:cs="David" w:hint="cs"/>
          <w:sz w:val="24"/>
          <w:szCs w:val="24"/>
          <w:rtl/>
          <w:lang w:eastAsia="zh-CN"/>
        </w:rPr>
        <w:t>חלק</w:t>
      </w:r>
      <w:r w:rsidR="00731353">
        <w:rPr>
          <w:rFonts w:ascii="David" w:hAnsi="David" w:cs="David" w:hint="cs"/>
          <w:sz w:val="24"/>
          <w:szCs w:val="24"/>
          <w:rtl/>
          <w:lang w:eastAsia="zh-CN"/>
        </w:rPr>
        <w:t xml:space="preserve"> העוסק בטיפול רפואי מבחין בין סוגי </w:t>
      </w:r>
      <w:r w:rsidR="001609D5">
        <w:rPr>
          <w:rFonts w:ascii="David" w:hAnsi="David" w:cs="David" w:hint="cs"/>
          <w:sz w:val="24"/>
          <w:szCs w:val="24"/>
          <w:rtl/>
          <w:lang w:eastAsia="zh-CN"/>
        </w:rPr>
        <w:t xml:space="preserve">מחלה </w:t>
      </w:r>
      <w:r w:rsidR="00731353">
        <w:rPr>
          <w:rFonts w:ascii="David" w:hAnsi="David" w:cs="David" w:hint="cs"/>
          <w:sz w:val="24"/>
          <w:szCs w:val="24"/>
          <w:rtl/>
          <w:lang w:eastAsia="zh-CN"/>
        </w:rPr>
        <w:t>שונים ו</w:t>
      </w:r>
      <w:r w:rsidR="00C37C35">
        <w:rPr>
          <w:rFonts w:ascii="David" w:hAnsi="David" w:cs="David" w:hint="cs"/>
          <w:sz w:val="24"/>
          <w:szCs w:val="24"/>
          <w:rtl/>
          <w:lang w:eastAsia="zh-CN"/>
        </w:rPr>
        <w:t xml:space="preserve">נותן הוראות ספציפיות לכל אחד מהם, </w:t>
      </w:r>
      <w:r w:rsidR="001609D5">
        <w:rPr>
          <w:rFonts w:ascii="David" w:hAnsi="David" w:cs="David" w:hint="cs"/>
          <w:sz w:val="24"/>
          <w:szCs w:val="24"/>
          <w:rtl/>
          <w:lang w:eastAsia="zh-CN"/>
        </w:rPr>
        <w:t>תוך הת</w:t>
      </w:r>
      <w:r w:rsidR="00C37C35">
        <w:rPr>
          <w:rFonts w:ascii="David" w:hAnsi="David" w:cs="David" w:hint="cs"/>
          <w:sz w:val="24"/>
          <w:szCs w:val="24"/>
          <w:rtl/>
          <w:lang w:eastAsia="zh-CN"/>
        </w:rPr>
        <w:t>מקד</w:t>
      </w:r>
      <w:r w:rsidR="001609D5">
        <w:rPr>
          <w:rFonts w:ascii="David" w:hAnsi="David" w:cs="David" w:hint="cs"/>
          <w:sz w:val="24"/>
          <w:szCs w:val="24"/>
          <w:rtl/>
          <w:lang w:eastAsia="zh-CN"/>
        </w:rPr>
        <w:t>ות</w:t>
      </w:r>
      <w:r w:rsidR="00C37C35">
        <w:rPr>
          <w:rFonts w:ascii="David" w:hAnsi="David" w:cs="David" w:hint="cs"/>
          <w:sz w:val="24"/>
          <w:szCs w:val="24"/>
          <w:rtl/>
          <w:lang w:eastAsia="zh-CN"/>
        </w:rPr>
        <w:t xml:space="preserve"> ב</w:t>
      </w:r>
      <w:r w:rsidR="000E4F1D">
        <w:rPr>
          <w:rFonts w:ascii="David" w:hAnsi="David" w:cs="David" w:hint="cs"/>
          <w:sz w:val="24"/>
          <w:szCs w:val="24"/>
          <w:rtl/>
          <w:lang w:eastAsia="zh-CN"/>
        </w:rPr>
        <w:t xml:space="preserve">מיני </w:t>
      </w:r>
      <w:r w:rsidR="00C37C35">
        <w:rPr>
          <w:rFonts w:ascii="David" w:hAnsi="David" w:cs="David" w:hint="cs"/>
          <w:sz w:val="24"/>
          <w:szCs w:val="24"/>
          <w:rtl/>
          <w:lang w:eastAsia="zh-CN"/>
        </w:rPr>
        <w:t>שינויי</w:t>
      </w:r>
      <w:r w:rsidR="004B2DED">
        <w:rPr>
          <w:rFonts w:ascii="David" w:hAnsi="David" w:cs="David" w:hint="cs"/>
          <w:sz w:val="24"/>
          <w:szCs w:val="24"/>
          <w:rtl/>
          <w:lang w:eastAsia="zh-CN"/>
        </w:rPr>
        <w:t>ם בצבע העור</w:t>
      </w:r>
      <w:r w:rsidR="00C37C35">
        <w:rPr>
          <w:rFonts w:ascii="David" w:hAnsi="David" w:cs="David" w:hint="cs"/>
          <w:sz w:val="24"/>
          <w:szCs w:val="24"/>
          <w:rtl/>
          <w:lang w:eastAsia="zh-CN"/>
        </w:rPr>
        <w:t xml:space="preserve"> (לבן, צהוב, אדום, שחור ושילובים שונים). </w:t>
      </w:r>
      <w:r w:rsidR="00163CEA">
        <w:rPr>
          <w:rFonts w:ascii="David" w:hAnsi="David" w:cs="David" w:hint="cs"/>
          <w:sz w:val="24"/>
          <w:szCs w:val="24"/>
          <w:rtl/>
          <w:lang w:eastAsia="zh-CN"/>
        </w:rPr>
        <w:t xml:space="preserve">לאחר </w:t>
      </w:r>
      <w:r w:rsidR="00C37C35">
        <w:rPr>
          <w:rFonts w:ascii="David" w:hAnsi="David" w:cs="David" w:hint="cs"/>
          <w:sz w:val="24"/>
          <w:szCs w:val="24"/>
          <w:rtl/>
          <w:lang w:eastAsia="zh-CN"/>
        </w:rPr>
        <w:t>כל סוג,</w:t>
      </w:r>
      <w:r w:rsidR="00163CEA">
        <w:rPr>
          <w:rFonts w:ascii="David" w:hAnsi="David" w:cs="David" w:hint="cs"/>
          <w:sz w:val="24"/>
          <w:szCs w:val="24"/>
          <w:rtl/>
          <w:lang w:eastAsia="zh-CN"/>
        </w:rPr>
        <w:t xml:space="preserve"> </w:t>
      </w:r>
      <w:r w:rsidR="00C37C35">
        <w:rPr>
          <w:rFonts w:ascii="David" w:hAnsi="David" w:cs="David" w:hint="cs"/>
          <w:sz w:val="24"/>
          <w:szCs w:val="24"/>
          <w:rtl/>
          <w:lang w:eastAsia="zh-CN"/>
        </w:rPr>
        <w:t>מופיע הטיפול המותאם</w:t>
      </w:r>
      <w:r w:rsidR="00163CEA">
        <w:rPr>
          <w:rFonts w:ascii="David" w:hAnsi="David" w:cs="David" w:hint="cs"/>
          <w:sz w:val="24"/>
          <w:szCs w:val="24"/>
          <w:rtl/>
          <w:lang w:eastAsia="zh-CN"/>
        </w:rPr>
        <w:t xml:space="preserve"> לו</w:t>
      </w:r>
      <w:r w:rsidR="00C37C35">
        <w:rPr>
          <w:rFonts w:ascii="David" w:hAnsi="David" w:cs="David" w:hint="cs"/>
          <w:sz w:val="24"/>
          <w:szCs w:val="24"/>
          <w:rtl/>
          <w:lang w:eastAsia="zh-CN"/>
        </w:rPr>
        <w:t>. למשל, הטקסט קובע,</w:t>
      </w:r>
    </w:p>
    <w:p w14:paraId="22430948" w14:textId="40621337" w:rsidR="00C37C35" w:rsidRPr="000E4F1D" w:rsidRDefault="00C37C35" w:rsidP="00C37C35">
      <w:pPr>
        <w:shd w:val="clear" w:color="auto" w:fill="FFFFFF"/>
        <w:bidi w:val="0"/>
        <w:spacing w:after="140" w:line="290" w:lineRule="atLeast"/>
        <w:rPr>
          <w:rFonts w:ascii="David" w:eastAsia="Times New Roman" w:hAnsi="David" w:cs="David"/>
          <w:color w:val="000000"/>
          <w:sz w:val="24"/>
          <w:szCs w:val="24"/>
          <w:lang w:eastAsia="zh-CN" w:bidi="ar-SA"/>
        </w:rPr>
      </w:pPr>
      <w:r w:rsidRPr="000E4F1D">
        <w:rPr>
          <w:rFonts w:ascii="Times New Roman" w:eastAsia="Times New Roman" w:hAnsi="Times New Roman" w:cs="Times New Roman"/>
          <w:color w:val="000000"/>
          <w:sz w:val="24"/>
          <w:szCs w:val="24"/>
          <w:lang w:eastAsia="zh-CN" w:bidi="ar-SA"/>
        </w:rPr>
        <w:t>[If] the </w:t>
      </w:r>
      <w:proofErr w:type="spellStart"/>
      <w:r w:rsidRPr="000E4F1D">
        <w:rPr>
          <w:rFonts w:ascii="Times New Roman" w:eastAsia="Times New Roman" w:hAnsi="Times New Roman" w:cs="Times New Roman"/>
          <w:i/>
          <w:iCs/>
          <w:color w:val="000000"/>
          <w:sz w:val="24"/>
          <w:szCs w:val="24"/>
          <w:lang w:eastAsia="zh-CN" w:bidi="ar-SA"/>
        </w:rPr>
        <w:t>saḫaršubbû</w:t>
      </w:r>
      <w:proofErr w:type="spellEnd"/>
      <w:r w:rsidRPr="000E4F1D">
        <w:rPr>
          <w:rFonts w:ascii="Times New Roman" w:eastAsia="Times New Roman" w:hAnsi="Times New Roman" w:cs="Times New Roman"/>
          <w:color w:val="000000"/>
          <w:sz w:val="24"/>
          <w:szCs w:val="24"/>
          <w:lang w:eastAsia="zh-CN" w:bidi="ar-SA"/>
        </w:rPr>
        <w:t xml:space="preserve"> is yellow and red, it is the hand of (the moon god) </w:t>
      </w:r>
      <w:proofErr w:type="spellStart"/>
      <w:r w:rsidRPr="000E4F1D">
        <w:rPr>
          <w:rFonts w:ascii="Times New Roman" w:eastAsia="Times New Roman" w:hAnsi="Times New Roman" w:cs="Times New Roman"/>
          <w:color w:val="000000"/>
          <w:sz w:val="24"/>
          <w:szCs w:val="24"/>
          <w:lang w:eastAsia="zh-CN" w:bidi="ar-SA"/>
        </w:rPr>
        <w:t>Sîn</w:t>
      </w:r>
      <w:proofErr w:type="spellEnd"/>
      <w:r w:rsidRPr="000E4F1D">
        <w:rPr>
          <w:rFonts w:ascii="Times New Roman" w:eastAsia="Times New Roman" w:hAnsi="Times New Roman" w:cs="Times New Roman"/>
          <w:color w:val="000000"/>
          <w:sz w:val="24"/>
          <w:szCs w:val="24"/>
          <w:lang w:eastAsia="zh-CN" w:bidi="ar-SA"/>
        </w:rPr>
        <w:t xml:space="preserve">. To remove it, you should </w:t>
      </w:r>
      <w:proofErr w:type="spellStart"/>
      <w:proofErr w:type="gramStart"/>
      <w:r w:rsidRPr="000E4F1D">
        <w:rPr>
          <w:rFonts w:ascii="Times New Roman" w:eastAsia="Times New Roman" w:hAnsi="Times New Roman" w:cs="Times New Roman"/>
          <w:color w:val="000000"/>
          <w:sz w:val="24"/>
          <w:szCs w:val="24"/>
          <w:lang w:eastAsia="zh-CN" w:bidi="ar-SA"/>
        </w:rPr>
        <w:t>anoin</w:t>
      </w:r>
      <w:proofErr w:type="spellEnd"/>
      <w:r w:rsidRPr="000E4F1D">
        <w:rPr>
          <w:rFonts w:ascii="Times New Roman" w:eastAsia="Times New Roman" w:hAnsi="Times New Roman" w:cs="Times New Roman"/>
          <w:color w:val="000000"/>
          <w:sz w:val="24"/>
          <w:szCs w:val="24"/>
          <w:lang w:eastAsia="zh-CN" w:bidi="ar-SA"/>
        </w:rPr>
        <w:t>[</w:t>
      </w:r>
      <w:proofErr w:type="gramEnd"/>
      <w:r w:rsidRPr="000E4F1D">
        <w:rPr>
          <w:rFonts w:ascii="Times New Roman" w:eastAsia="Times New Roman" w:hAnsi="Times New Roman" w:cs="Times New Roman"/>
          <w:color w:val="000000"/>
          <w:sz w:val="24"/>
          <w:szCs w:val="24"/>
          <w:lang w:eastAsia="zh-CN" w:bidi="ar-SA"/>
        </w:rPr>
        <w:t>t him] with human semen for seven days [and he will recover] (line 60).</w:t>
      </w:r>
    </w:p>
    <w:p w14:paraId="0D880CC2" w14:textId="44B863D3" w:rsidR="00163CEA" w:rsidRPr="000E4F1D" w:rsidRDefault="00163CEA" w:rsidP="00163CEA">
      <w:pPr>
        <w:shd w:val="clear" w:color="auto" w:fill="FFFFFF"/>
        <w:spacing w:after="140" w:line="290" w:lineRule="atLeast"/>
        <w:rPr>
          <w:rFonts w:ascii="David" w:eastAsia="Times New Roman" w:hAnsi="David" w:cs="David"/>
          <w:color w:val="000000"/>
          <w:sz w:val="24"/>
          <w:szCs w:val="24"/>
          <w:rtl/>
          <w:lang w:eastAsia="zh-CN"/>
        </w:rPr>
      </w:pPr>
      <w:r w:rsidRPr="000E4F1D">
        <w:rPr>
          <w:rFonts w:ascii="David" w:eastAsia="Times New Roman" w:hAnsi="David" w:cs="David"/>
          <w:color w:val="000000"/>
          <w:sz w:val="24"/>
          <w:szCs w:val="24"/>
          <w:rtl/>
          <w:lang w:eastAsia="zh-CN"/>
        </w:rPr>
        <w:lastRenderedPageBreak/>
        <w:t>[אם</w:t>
      </w:r>
      <w:r w:rsidR="00F33868" w:rsidRPr="000E4F1D">
        <w:rPr>
          <w:rFonts w:ascii="David" w:eastAsia="Times New Roman" w:hAnsi="David" w:cs="David" w:hint="cs"/>
          <w:color w:val="000000"/>
          <w:sz w:val="24"/>
          <w:szCs w:val="24"/>
          <w:rtl/>
          <w:lang w:eastAsia="zh-CN"/>
        </w:rPr>
        <w:t>]</w:t>
      </w:r>
      <w:r w:rsidRPr="000E4F1D">
        <w:rPr>
          <w:rFonts w:ascii="David" w:eastAsia="Times New Roman" w:hAnsi="David" w:cs="David"/>
          <w:color w:val="000000"/>
          <w:sz w:val="24"/>
          <w:szCs w:val="24"/>
          <w:rtl/>
          <w:lang w:eastAsia="zh-CN"/>
        </w:rPr>
        <w:t xml:space="preserve"> ה-</w:t>
      </w:r>
      <w:r w:rsidRPr="000E4F1D">
        <w:rPr>
          <w:rFonts w:ascii="David" w:eastAsia="Times New Roman" w:hAnsi="David" w:cs="David"/>
          <w:i/>
          <w:iCs/>
          <w:color w:val="000000"/>
          <w:sz w:val="24"/>
          <w:szCs w:val="24"/>
          <w:lang w:eastAsia="zh-CN" w:bidi="ar-SA"/>
        </w:rPr>
        <w:t xml:space="preserve"> </w:t>
      </w:r>
      <w:proofErr w:type="spellStart"/>
      <w:r w:rsidRPr="000E4F1D">
        <w:rPr>
          <w:rFonts w:ascii="David" w:eastAsia="Times New Roman" w:hAnsi="David" w:cs="David"/>
          <w:i/>
          <w:iCs/>
          <w:color w:val="000000"/>
          <w:sz w:val="24"/>
          <w:szCs w:val="24"/>
          <w:lang w:eastAsia="zh-CN" w:bidi="ar-SA"/>
        </w:rPr>
        <w:t>sa</w:t>
      </w:r>
      <w:r w:rsidRPr="000E4F1D">
        <w:rPr>
          <w:rFonts w:ascii="Calibri" w:eastAsia="Times New Roman" w:hAnsi="Calibri" w:cs="Calibri"/>
          <w:i/>
          <w:iCs/>
          <w:color w:val="000000"/>
          <w:sz w:val="24"/>
          <w:szCs w:val="24"/>
          <w:lang w:eastAsia="zh-CN" w:bidi="ar-SA"/>
        </w:rPr>
        <w:t>ḫ</w:t>
      </w:r>
      <w:r w:rsidRPr="000E4F1D">
        <w:rPr>
          <w:rFonts w:ascii="David" w:eastAsia="Times New Roman" w:hAnsi="David" w:cs="David"/>
          <w:i/>
          <w:iCs/>
          <w:color w:val="000000"/>
          <w:sz w:val="24"/>
          <w:szCs w:val="24"/>
          <w:lang w:eastAsia="zh-CN" w:bidi="ar-SA"/>
        </w:rPr>
        <w:t>aršubbû</w:t>
      </w:r>
      <w:proofErr w:type="spellEnd"/>
      <w:r w:rsidRPr="000E4F1D">
        <w:rPr>
          <w:rFonts w:ascii="David" w:eastAsia="Times New Roman" w:hAnsi="David" w:cs="David"/>
          <w:color w:val="000000"/>
          <w:sz w:val="24"/>
          <w:szCs w:val="24"/>
          <w:lang w:eastAsia="zh-CN" w:bidi="ar-SA"/>
        </w:rPr>
        <w:t> </w:t>
      </w:r>
      <w:r w:rsidRPr="000E4F1D">
        <w:rPr>
          <w:rFonts w:ascii="David" w:eastAsia="Times New Roman" w:hAnsi="David" w:cs="David"/>
          <w:color w:val="000000"/>
          <w:sz w:val="24"/>
          <w:szCs w:val="24"/>
          <w:rtl/>
          <w:lang w:eastAsia="zh-CN"/>
        </w:rPr>
        <w:t xml:space="preserve">הוא צהוב ואדום, זוהי היד של </w:t>
      </w:r>
      <w:r w:rsidR="00796F81">
        <w:rPr>
          <w:rFonts w:ascii="David" w:eastAsia="Times New Roman" w:hAnsi="David" w:cs="David" w:hint="cs"/>
          <w:color w:val="000000"/>
          <w:sz w:val="24"/>
          <w:szCs w:val="24"/>
          <w:rtl/>
          <w:lang w:eastAsia="zh-CN"/>
        </w:rPr>
        <w:t>סין</w:t>
      </w:r>
      <w:r w:rsidRPr="000E4F1D">
        <w:rPr>
          <w:rFonts w:ascii="David" w:eastAsia="Times New Roman" w:hAnsi="David" w:cs="David"/>
          <w:color w:val="000000"/>
          <w:sz w:val="24"/>
          <w:szCs w:val="24"/>
          <w:rtl/>
          <w:lang w:eastAsia="zh-CN"/>
        </w:rPr>
        <w:t xml:space="preserve"> [אל הירח] .</w:t>
      </w:r>
      <w:r w:rsidR="004A58CE" w:rsidRPr="000E4F1D">
        <w:rPr>
          <w:rFonts w:ascii="David" w:eastAsia="Times New Roman" w:hAnsi="David" w:cs="David" w:hint="cs"/>
          <w:color w:val="000000"/>
          <w:sz w:val="24"/>
          <w:szCs w:val="24"/>
          <w:rtl/>
          <w:lang w:eastAsia="zh-CN"/>
        </w:rPr>
        <w:t xml:space="preserve"> </w:t>
      </w:r>
      <w:r w:rsidR="00796F81">
        <w:rPr>
          <w:rFonts w:ascii="David" w:eastAsia="Times New Roman" w:hAnsi="David" w:cs="David" w:hint="cs"/>
          <w:color w:val="000000"/>
          <w:sz w:val="24"/>
          <w:szCs w:val="24"/>
          <w:rtl/>
          <w:lang w:eastAsia="zh-CN"/>
        </w:rPr>
        <w:t xml:space="preserve">כדי להסיר אותה, עליך למשוח [אותו] בזרע אדם למשך שבעה ימים [והוא יחלים] (שורה 60). </w:t>
      </w:r>
      <w:r w:rsidR="004A58CE" w:rsidRPr="000E4F1D">
        <w:rPr>
          <w:rFonts w:ascii="David" w:eastAsia="Times New Roman" w:hAnsi="David" w:cs="David" w:hint="cs"/>
          <w:color w:val="000000"/>
          <w:sz w:val="24"/>
          <w:szCs w:val="24"/>
          <w:rtl/>
          <w:lang w:eastAsia="zh-CN"/>
        </w:rPr>
        <w:t>(</w:t>
      </w:r>
      <w:r w:rsidR="004A58CE" w:rsidRPr="000E4F1D">
        <w:rPr>
          <w:rFonts w:ascii="David" w:eastAsia="Times New Roman" w:hAnsi="David" w:cs="David" w:hint="cs"/>
          <w:color w:val="000000"/>
          <w:sz w:val="24"/>
          <w:szCs w:val="24"/>
          <w:highlight w:val="yellow"/>
          <w:rtl/>
          <w:lang w:eastAsia="zh-CN"/>
        </w:rPr>
        <w:t>תרגום שלי)</w:t>
      </w:r>
    </w:p>
    <w:p w14:paraId="503605BF" w14:textId="4A67AAD7" w:rsidR="00C37C35" w:rsidRPr="00C37C35" w:rsidRDefault="00C37C35"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הוראות אלה מזכ</w:t>
      </w:r>
      <w:r w:rsidR="00E626E8">
        <w:rPr>
          <w:rFonts w:ascii="David" w:hAnsi="David" w:cs="David" w:hint="cs"/>
          <w:sz w:val="24"/>
          <w:szCs w:val="24"/>
          <w:rtl/>
          <w:lang w:eastAsia="zh-CN"/>
        </w:rPr>
        <w:t>י</w:t>
      </w:r>
      <w:r>
        <w:rPr>
          <w:rFonts w:ascii="David" w:hAnsi="David" w:cs="David" w:hint="cs"/>
          <w:sz w:val="24"/>
          <w:szCs w:val="24"/>
          <w:rtl/>
          <w:lang w:eastAsia="zh-CN"/>
        </w:rPr>
        <w:t xml:space="preserve">רים את אלה של צרעת בספר ויקרא 13, </w:t>
      </w:r>
      <w:r w:rsidR="004F6CA3">
        <w:rPr>
          <w:rFonts w:ascii="David" w:hAnsi="David" w:cs="David" w:hint="cs"/>
          <w:sz w:val="24"/>
          <w:szCs w:val="24"/>
          <w:rtl/>
          <w:lang w:eastAsia="zh-CN"/>
        </w:rPr>
        <w:t xml:space="preserve">אשר </w:t>
      </w:r>
      <w:r>
        <w:rPr>
          <w:rFonts w:ascii="David" w:hAnsi="David" w:cs="David" w:hint="cs"/>
          <w:sz w:val="24"/>
          <w:szCs w:val="24"/>
          <w:rtl/>
          <w:lang w:eastAsia="zh-CN"/>
        </w:rPr>
        <w:t xml:space="preserve">שינויי צבע </w:t>
      </w:r>
      <w:r w:rsidR="004F6CA3">
        <w:rPr>
          <w:rFonts w:ascii="David" w:hAnsi="David" w:cs="David" w:hint="cs"/>
          <w:sz w:val="24"/>
          <w:szCs w:val="24"/>
          <w:rtl/>
          <w:lang w:eastAsia="zh-CN"/>
        </w:rPr>
        <w:t xml:space="preserve">שם </w:t>
      </w:r>
      <w:r>
        <w:rPr>
          <w:rFonts w:ascii="David" w:hAnsi="David" w:cs="David" w:hint="cs"/>
          <w:sz w:val="24"/>
          <w:szCs w:val="24"/>
          <w:rtl/>
          <w:lang w:eastAsia="zh-CN"/>
        </w:rPr>
        <w:t>משמשים כאמות מידה עיקרי</w:t>
      </w:r>
      <w:r w:rsidR="00E626E8">
        <w:rPr>
          <w:rFonts w:ascii="David" w:hAnsi="David" w:cs="David" w:hint="cs"/>
          <w:sz w:val="24"/>
          <w:szCs w:val="24"/>
          <w:rtl/>
          <w:lang w:eastAsia="zh-CN"/>
        </w:rPr>
        <w:t>ות</w:t>
      </w:r>
      <w:r>
        <w:rPr>
          <w:rFonts w:ascii="David" w:hAnsi="David" w:cs="David" w:hint="cs"/>
          <w:sz w:val="24"/>
          <w:szCs w:val="24"/>
          <w:rtl/>
          <w:lang w:eastAsia="zh-CN"/>
        </w:rPr>
        <w:t xml:space="preserve"> לאבחון. (</w:t>
      </w:r>
      <w:r w:rsidR="004F6CA3">
        <w:rPr>
          <w:rFonts w:ascii="David" w:hAnsi="David" w:cs="David" w:hint="cs"/>
          <w:sz w:val="24"/>
          <w:szCs w:val="24"/>
          <w:rtl/>
          <w:lang w:eastAsia="zh-CN"/>
        </w:rPr>
        <w:t xml:space="preserve">יש </w:t>
      </w:r>
      <w:r>
        <w:rPr>
          <w:rFonts w:ascii="David" w:hAnsi="David" w:cs="David" w:hint="cs"/>
          <w:sz w:val="24"/>
          <w:szCs w:val="24"/>
          <w:rtl/>
          <w:lang w:eastAsia="zh-CN"/>
        </w:rPr>
        <w:t xml:space="preserve">עוד מקבילה מאירה מחוקי צרעת </w:t>
      </w:r>
      <w:r w:rsidR="00E626E8">
        <w:rPr>
          <w:rFonts w:ascii="David" w:hAnsi="David" w:cs="David" w:hint="cs"/>
          <w:sz w:val="24"/>
          <w:szCs w:val="24"/>
          <w:rtl/>
          <w:lang w:eastAsia="zh-CN"/>
        </w:rPr>
        <w:t>של קירות הבית</w:t>
      </w:r>
      <w:r>
        <w:rPr>
          <w:rFonts w:ascii="David" w:hAnsi="David" w:cs="David" w:hint="cs"/>
          <w:sz w:val="24"/>
          <w:szCs w:val="24"/>
          <w:rtl/>
          <w:lang w:eastAsia="zh-CN"/>
        </w:rPr>
        <w:t>, ראו נספח לפרטים</w:t>
      </w:r>
      <w:r w:rsidR="008A5E85">
        <w:rPr>
          <w:rFonts w:ascii="David" w:hAnsi="David" w:cs="David" w:hint="cs"/>
          <w:sz w:val="24"/>
          <w:szCs w:val="24"/>
          <w:rtl/>
          <w:lang w:eastAsia="zh-CN"/>
        </w:rPr>
        <w:t>.)</w:t>
      </w:r>
    </w:p>
    <w:p w14:paraId="0E7C88FA" w14:textId="3D77A2CC" w:rsidR="00FE79D6" w:rsidRDefault="008A5E85"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הבטחת ריפוי קבו</w:t>
      </w:r>
      <w:r w:rsidR="004F6CA3">
        <w:rPr>
          <w:rFonts w:ascii="David" w:hAnsi="David" w:cs="David" w:hint="cs"/>
          <w:sz w:val="24"/>
          <w:szCs w:val="24"/>
          <w:rtl/>
          <w:lang w:eastAsia="zh-CN"/>
        </w:rPr>
        <w:t>ע</w:t>
      </w:r>
      <w:r w:rsidR="004F6CA3">
        <w:rPr>
          <w:rFonts w:ascii="David" w:hAnsi="David" w:cs="David"/>
          <w:sz w:val="24"/>
          <w:szCs w:val="24"/>
          <w:lang w:eastAsia="zh-CN"/>
        </w:rPr>
        <w:t xml:space="preserve"> – </w:t>
      </w:r>
      <w:r>
        <w:rPr>
          <w:rFonts w:ascii="David" w:hAnsi="David" w:cs="David" w:hint="cs"/>
          <w:sz w:val="24"/>
          <w:szCs w:val="24"/>
          <w:rtl/>
          <w:lang w:eastAsia="zh-CN"/>
        </w:rPr>
        <w:t>ש</w:t>
      </w:r>
      <w:r w:rsidR="00214060">
        <w:rPr>
          <w:rFonts w:ascii="David" w:hAnsi="David" w:cs="David" w:hint="cs"/>
          <w:sz w:val="24"/>
          <w:szCs w:val="24"/>
          <w:rtl/>
          <w:lang w:eastAsia="zh-CN"/>
        </w:rPr>
        <w:t>תי</w:t>
      </w:r>
      <w:r>
        <w:rPr>
          <w:rFonts w:ascii="David" w:hAnsi="David" w:cs="David" w:hint="cs"/>
          <w:sz w:val="24"/>
          <w:szCs w:val="24"/>
          <w:rtl/>
          <w:lang w:eastAsia="zh-CN"/>
        </w:rPr>
        <w:t xml:space="preserve"> הציפורים</w:t>
      </w:r>
    </w:p>
    <w:p w14:paraId="39432B2B" w14:textId="73F7285A" w:rsidR="008A5E85" w:rsidRDefault="008A5E85"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 xml:space="preserve">השוואה </w:t>
      </w:r>
      <w:r w:rsidR="004A58CE">
        <w:rPr>
          <w:rFonts w:ascii="David" w:hAnsi="David" w:cs="David" w:hint="cs"/>
          <w:sz w:val="24"/>
          <w:szCs w:val="24"/>
          <w:rtl/>
          <w:lang w:eastAsia="zh-CN"/>
        </w:rPr>
        <w:t>בולטת</w:t>
      </w:r>
      <w:r>
        <w:rPr>
          <w:rFonts w:ascii="David" w:hAnsi="David" w:cs="David" w:hint="cs"/>
          <w:sz w:val="24"/>
          <w:szCs w:val="24"/>
          <w:rtl/>
          <w:lang w:eastAsia="zh-CN"/>
        </w:rPr>
        <w:t xml:space="preserve"> עוד יותר </w:t>
      </w:r>
      <w:r w:rsidR="00E4784C">
        <w:rPr>
          <w:rFonts w:ascii="David" w:hAnsi="David" w:cs="David" w:hint="cs"/>
          <w:sz w:val="24"/>
          <w:szCs w:val="24"/>
          <w:rtl/>
          <w:lang w:eastAsia="zh-CN"/>
        </w:rPr>
        <w:t>נוגעת</w:t>
      </w:r>
      <w:r>
        <w:rPr>
          <w:rFonts w:ascii="David" w:hAnsi="David" w:cs="David" w:hint="cs"/>
          <w:sz w:val="24"/>
          <w:szCs w:val="24"/>
          <w:rtl/>
          <w:lang w:eastAsia="zh-CN"/>
        </w:rPr>
        <w:t xml:space="preserve"> </w:t>
      </w:r>
      <w:r w:rsidR="004F6CA3">
        <w:rPr>
          <w:rFonts w:ascii="David" w:hAnsi="David" w:cs="David" w:hint="cs"/>
          <w:sz w:val="24"/>
          <w:szCs w:val="24"/>
          <w:rtl/>
          <w:lang w:eastAsia="zh-CN"/>
        </w:rPr>
        <w:t>ל</w:t>
      </w:r>
      <w:r>
        <w:rPr>
          <w:rFonts w:ascii="David" w:hAnsi="David" w:cs="David" w:hint="cs"/>
          <w:sz w:val="24"/>
          <w:szCs w:val="24"/>
          <w:rtl/>
          <w:lang w:eastAsia="zh-CN"/>
        </w:rPr>
        <w:t xml:space="preserve">טהרה שיש לבצע לאחר שהחולה </w:t>
      </w:r>
      <w:r w:rsidR="00323951">
        <w:rPr>
          <w:rFonts w:ascii="David" w:hAnsi="David" w:cs="David" w:hint="cs"/>
          <w:sz w:val="24"/>
          <w:szCs w:val="24"/>
          <w:rtl/>
          <w:lang w:eastAsia="zh-CN"/>
        </w:rPr>
        <w:t>התרפא</w:t>
      </w:r>
      <w:r>
        <w:rPr>
          <w:rFonts w:ascii="David" w:hAnsi="David" w:cs="David" w:hint="cs"/>
          <w:sz w:val="24"/>
          <w:szCs w:val="24"/>
          <w:rtl/>
          <w:lang w:eastAsia="zh-CN"/>
        </w:rPr>
        <w:t xml:space="preserve">. התחבושות שהיו בשימוש </w:t>
      </w:r>
      <w:r w:rsidR="00E4784C">
        <w:rPr>
          <w:rFonts w:ascii="David" w:hAnsi="David" w:cs="David" w:hint="cs"/>
          <w:sz w:val="24"/>
          <w:szCs w:val="24"/>
          <w:rtl/>
          <w:lang w:eastAsia="zh-CN"/>
        </w:rPr>
        <w:t>ל</w:t>
      </w:r>
      <w:r>
        <w:rPr>
          <w:rFonts w:ascii="David" w:hAnsi="David" w:cs="David" w:hint="cs"/>
          <w:sz w:val="24"/>
          <w:szCs w:val="24"/>
          <w:rtl/>
          <w:lang w:eastAsia="zh-CN"/>
        </w:rPr>
        <w:t xml:space="preserve">ריפוי החולה מוסרות ומושלכות לאש. מזבח קטורת ושולחן </w:t>
      </w:r>
      <w:r w:rsidR="00323951">
        <w:rPr>
          <w:rFonts w:ascii="David" w:hAnsi="David" w:cs="David" w:hint="cs"/>
          <w:sz w:val="24"/>
          <w:szCs w:val="24"/>
          <w:rtl/>
          <w:lang w:eastAsia="zh-CN"/>
        </w:rPr>
        <w:t>שעליו</w:t>
      </w:r>
      <w:r>
        <w:rPr>
          <w:rFonts w:ascii="David" w:hAnsi="David" w:cs="David" w:hint="cs"/>
          <w:sz w:val="24"/>
          <w:szCs w:val="24"/>
          <w:rtl/>
          <w:lang w:eastAsia="zh-CN"/>
        </w:rPr>
        <w:t xml:space="preserve"> קורבנות מוצגים בפני אל השמש (שמש). אז מתקיים הטקס הבא:</w:t>
      </w:r>
    </w:p>
    <w:p w14:paraId="45F5A99B" w14:textId="458EA195" w:rsidR="008A5E85" w:rsidRDefault="008A5E85"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 xml:space="preserve">מטופל זה עומד בפני שמש. </w:t>
      </w:r>
      <w:r w:rsidR="004E244B">
        <w:rPr>
          <w:rFonts w:ascii="David" w:hAnsi="David" w:cs="David" w:hint="cs"/>
          <w:sz w:val="24"/>
          <w:szCs w:val="24"/>
          <w:rtl/>
          <w:lang w:eastAsia="zh-CN"/>
        </w:rPr>
        <w:t>עליך</w:t>
      </w:r>
      <w:r w:rsidR="000C7D32">
        <w:rPr>
          <w:rFonts w:ascii="David" w:hAnsi="David" w:cs="David" w:hint="cs"/>
          <w:sz w:val="24"/>
          <w:szCs w:val="24"/>
          <w:rtl/>
          <w:lang w:eastAsia="zh-CN"/>
        </w:rPr>
        <w:t xml:space="preserve"> </w:t>
      </w:r>
      <w:r w:rsidR="004E244B">
        <w:rPr>
          <w:rFonts w:ascii="David" w:hAnsi="David" w:cs="David" w:hint="cs"/>
          <w:sz w:val="24"/>
          <w:szCs w:val="24"/>
          <w:rtl/>
          <w:lang w:eastAsia="zh-CN"/>
        </w:rPr>
        <w:t>ל</w:t>
      </w:r>
      <w:r w:rsidR="000C7D32">
        <w:rPr>
          <w:rFonts w:ascii="David" w:hAnsi="David" w:cs="David" w:hint="cs"/>
          <w:sz w:val="24"/>
          <w:szCs w:val="24"/>
          <w:rtl/>
          <w:lang w:eastAsia="zh-CN"/>
        </w:rPr>
        <w:t xml:space="preserve">שרוף חוגלה אחת וסרטן לפני שמש, [ו] עם חוגלה [נוספת] </w:t>
      </w:r>
      <w:r w:rsidR="004E244B">
        <w:rPr>
          <w:rFonts w:ascii="David" w:hAnsi="David" w:cs="David" w:hint="cs"/>
          <w:sz w:val="24"/>
          <w:szCs w:val="24"/>
          <w:rtl/>
          <w:lang w:eastAsia="zh-CN"/>
        </w:rPr>
        <w:t>עליך ל</w:t>
      </w:r>
      <w:r w:rsidR="000C7D32">
        <w:rPr>
          <w:rFonts w:ascii="David" w:hAnsi="David" w:cs="David" w:hint="cs"/>
          <w:sz w:val="24"/>
          <w:szCs w:val="24"/>
          <w:rtl/>
          <w:lang w:eastAsia="zh-CN"/>
        </w:rPr>
        <w:t>נגב את גופו והוא ישחרר [אותו].</w:t>
      </w:r>
      <w:r w:rsidR="000C7D32">
        <w:rPr>
          <w:rStyle w:val="a5"/>
          <w:rFonts w:ascii="David" w:hAnsi="David" w:cs="David"/>
          <w:sz w:val="24"/>
          <w:szCs w:val="24"/>
          <w:rtl/>
          <w:lang w:eastAsia="zh-CN"/>
        </w:rPr>
        <w:footnoteReference w:id="9"/>
      </w:r>
      <w:r w:rsidR="00E4784C">
        <w:rPr>
          <w:rFonts w:ascii="David" w:hAnsi="David" w:cs="David" w:hint="cs"/>
          <w:sz w:val="24"/>
          <w:szCs w:val="24"/>
          <w:rtl/>
          <w:lang w:eastAsia="zh-CN"/>
        </w:rPr>
        <w:t xml:space="preserve"> (</w:t>
      </w:r>
      <w:r w:rsidR="00E4784C" w:rsidRPr="00E4784C">
        <w:rPr>
          <w:rFonts w:ascii="David" w:hAnsi="David" w:cs="David" w:hint="cs"/>
          <w:sz w:val="24"/>
          <w:szCs w:val="24"/>
          <w:highlight w:val="yellow"/>
          <w:rtl/>
          <w:lang w:eastAsia="zh-CN"/>
        </w:rPr>
        <w:t>תרגום שלי)</w:t>
      </w:r>
    </w:p>
    <w:p w14:paraId="54E808F4" w14:textId="6FCD9C5D" w:rsidR="000C7D32" w:rsidRDefault="000C7D32"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 xml:space="preserve">מטרת טקס זה היא להסיר כל שארית טומאה לאחר ריפוי המטופל. סרטן וחוגלה </w:t>
      </w:r>
      <w:r w:rsidR="00214060">
        <w:rPr>
          <w:rFonts w:ascii="David" w:hAnsi="David" w:cs="David" w:hint="cs"/>
          <w:sz w:val="24"/>
          <w:szCs w:val="24"/>
          <w:rtl/>
          <w:lang w:eastAsia="zh-CN"/>
        </w:rPr>
        <w:t>נשרפים</w:t>
      </w:r>
      <w:r>
        <w:rPr>
          <w:rFonts w:ascii="David" w:hAnsi="David" w:cs="David" w:hint="cs"/>
          <w:sz w:val="24"/>
          <w:szCs w:val="24"/>
          <w:rtl/>
          <w:lang w:eastAsia="zh-CN"/>
        </w:rPr>
        <w:t>, או כקורבנות או כדי לה</w:t>
      </w:r>
      <w:r w:rsidR="004E244B">
        <w:rPr>
          <w:rFonts w:ascii="David" w:hAnsi="David" w:cs="David" w:hint="cs"/>
          <w:sz w:val="24"/>
          <w:szCs w:val="24"/>
          <w:rtl/>
          <w:lang w:eastAsia="zh-CN"/>
        </w:rPr>
        <w:t>כח</w:t>
      </w:r>
      <w:r>
        <w:rPr>
          <w:rFonts w:ascii="David" w:hAnsi="David" w:cs="David" w:hint="cs"/>
          <w:sz w:val="24"/>
          <w:szCs w:val="24"/>
          <w:rtl/>
          <w:lang w:eastAsia="zh-CN"/>
        </w:rPr>
        <w:t xml:space="preserve">יד את הטומאה (אשר, לפי הבנה זו, נטמעה בבעלי חיים אלה). או אז חוגלה שנייה </w:t>
      </w:r>
      <w:r w:rsidR="005E3847">
        <w:rPr>
          <w:rFonts w:ascii="David" w:hAnsi="David" w:cs="David" w:hint="cs"/>
          <w:sz w:val="24"/>
          <w:szCs w:val="24"/>
          <w:rtl/>
          <w:lang w:eastAsia="zh-CN"/>
        </w:rPr>
        <w:t xml:space="preserve">נמרחת </w:t>
      </w:r>
      <w:r>
        <w:rPr>
          <w:rFonts w:ascii="David" w:hAnsi="David" w:cs="David" w:hint="cs"/>
          <w:sz w:val="24"/>
          <w:szCs w:val="24"/>
          <w:rtl/>
          <w:lang w:eastAsia="zh-CN"/>
        </w:rPr>
        <w:t>על גופו של המטופל ואז מש</w:t>
      </w:r>
      <w:r w:rsidR="005E3847">
        <w:rPr>
          <w:rFonts w:ascii="David" w:hAnsi="David" w:cs="David" w:hint="cs"/>
          <w:sz w:val="24"/>
          <w:szCs w:val="24"/>
          <w:rtl/>
          <w:lang w:eastAsia="zh-CN"/>
        </w:rPr>
        <w:t>ו</w:t>
      </w:r>
      <w:r>
        <w:rPr>
          <w:rFonts w:ascii="David" w:hAnsi="David" w:cs="David" w:hint="cs"/>
          <w:sz w:val="24"/>
          <w:szCs w:val="24"/>
          <w:rtl/>
          <w:lang w:eastAsia="zh-CN"/>
        </w:rPr>
        <w:t>חרר</w:t>
      </w:r>
      <w:r w:rsidR="005E3847">
        <w:rPr>
          <w:rFonts w:ascii="David" w:hAnsi="David" w:cs="David" w:hint="cs"/>
          <w:sz w:val="24"/>
          <w:szCs w:val="24"/>
          <w:rtl/>
          <w:lang w:eastAsia="zh-CN"/>
        </w:rPr>
        <w:t>ת</w:t>
      </w:r>
      <w:r>
        <w:rPr>
          <w:rFonts w:ascii="David" w:hAnsi="David" w:cs="David" w:hint="cs"/>
          <w:sz w:val="24"/>
          <w:szCs w:val="24"/>
          <w:rtl/>
          <w:lang w:eastAsia="zh-CN"/>
        </w:rPr>
        <w:t xml:space="preserve">, ובכך </w:t>
      </w:r>
      <w:r w:rsidR="004E244B">
        <w:rPr>
          <w:rFonts w:ascii="David" w:hAnsi="David" w:cs="David" w:hint="cs"/>
          <w:sz w:val="24"/>
          <w:szCs w:val="24"/>
          <w:rtl/>
          <w:lang w:eastAsia="zh-CN"/>
        </w:rPr>
        <w:t>מעבירה</w:t>
      </w:r>
      <w:r>
        <w:rPr>
          <w:rFonts w:ascii="David" w:hAnsi="David" w:cs="David" w:hint="cs"/>
          <w:sz w:val="24"/>
          <w:szCs w:val="24"/>
          <w:rtl/>
          <w:lang w:eastAsia="zh-CN"/>
        </w:rPr>
        <w:t xml:space="preserve"> </w:t>
      </w:r>
      <w:r w:rsidR="005E3847">
        <w:rPr>
          <w:rFonts w:ascii="David" w:hAnsi="David" w:cs="David" w:hint="cs"/>
          <w:sz w:val="24"/>
          <w:szCs w:val="24"/>
          <w:rtl/>
          <w:lang w:eastAsia="zh-CN"/>
        </w:rPr>
        <w:t>טומאה</w:t>
      </w:r>
      <w:r>
        <w:rPr>
          <w:rFonts w:ascii="David" w:hAnsi="David" w:cs="David" w:hint="cs"/>
          <w:sz w:val="24"/>
          <w:szCs w:val="24"/>
          <w:rtl/>
          <w:lang w:eastAsia="zh-CN"/>
        </w:rPr>
        <w:t xml:space="preserve"> ז</w:t>
      </w:r>
      <w:r w:rsidR="005E3847">
        <w:rPr>
          <w:rFonts w:ascii="David" w:hAnsi="David" w:cs="David" w:hint="cs"/>
          <w:sz w:val="24"/>
          <w:szCs w:val="24"/>
          <w:rtl/>
          <w:lang w:eastAsia="zh-CN"/>
        </w:rPr>
        <w:t>ו</w:t>
      </w:r>
      <w:r>
        <w:rPr>
          <w:rFonts w:ascii="David" w:hAnsi="David" w:cs="David" w:hint="cs"/>
          <w:sz w:val="24"/>
          <w:szCs w:val="24"/>
          <w:rtl/>
          <w:lang w:eastAsia="zh-CN"/>
        </w:rPr>
        <w:t xml:space="preserve"> אל מקום </w:t>
      </w:r>
      <w:r w:rsidR="004E244B">
        <w:rPr>
          <w:rFonts w:ascii="David" w:hAnsi="David" w:cs="David" w:hint="cs"/>
          <w:sz w:val="24"/>
          <w:szCs w:val="24"/>
          <w:rtl/>
          <w:lang w:eastAsia="zh-CN"/>
        </w:rPr>
        <w:t>מרו</w:t>
      </w:r>
      <w:r>
        <w:rPr>
          <w:rFonts w:ascii="David" w:hAnsi="David" w:cs="David" w:hint="cs"/>
          <w:sz w:val="24"/>
          <w:szCs w:val="24"/>
          <w:rtl/>
          <w:lang w:eastAsia="zh-CN"/>
        </w:rPr>
        <w:t>חק.</w:t>
      </w:r>
    </w:p>
    <w:p w14:paraId="219AD296" w14:textId="4D7A19F6" w:rsidR="00EB6384" w:rsidRDefault="00EB6384"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מתבקשת השווא</w:t>
      </w:r>
      <w:r w:rsidR="004E244B">
        <w:rPr>
          <w:rFonts w:ascii="David" w:hAnsi="David" w:cs="David" w:hint="cs"/>
          <w:sz w:val="24"/>
          <w:szCs w:val="24"/>
          <w:rtl/>
          <w:lang w:eastAsia="zh-CN"/>
        </w:rPr>
        <w:t>ת</w:t>
      </w:r>
      <w:r>
        <w:rPr>
          <w:rFonts w:ascii="David" w:hAnsi="David" w:cs="David" w:hint="cs"/>
          <w:sz w:val="24"/>
          <w:szCs w:val="24"/>
          <w:rtl/>
          <w:lang w:eastAsia="zh-CN"/>
        </w:rPr>
        <w:t xml:space="preserve"> טקס זה </w:t>
      </w:r>
      <w:r w:rsidR="00E4784C">
        <w:rPr>
          <w:rFonts w:ascii="David" w:hAnsi="David" w:cs="David" w:hint="cs"/>
          <w:sz w:val="24"/>
          <w:szCs w:val="24"/>
          <w:rtl/>
          <w:lang w:eastAsia="zh-CN"/>
        </w:rPr>
        <w:t>ל</w:t>
      </w:r>
      <w:r>
        <w:rPr>
          <w:rFonts w:ascii="David" w:hAnsi="David" w:cs="David" w:hint="cs"/>
          <w:sz w:val="24"/>
          <w:szCs w:val="24"/>
          <w:rtl/>
          <w:lang w:eastAsia="zh-CN"/>
        </w:rPr>
        <w:t>ט</w:t>
      </w:r>
      <w:r w:rsidR="004E244B">
        <w:rPr>
          <w:rFonts w:ascii="David" w:hAnsi="David" w:cs="David" w:hint="cs"/>
          <w:sz w:val="24"/>
          <w:szCs w:val="24"/>
          <w:rtl/>
          <w:lang w:eastAsia="zh-CN"/>
        </w:rPr>
        <w:t>ו</w:t>
      </w:r>
      <w:r>
        <w:rPr>
          <w:rFonts w:ascii="David" w:hAnsi="David" w:cs="David" w:hint="cs"/>
          <w:sz w:val="24"/>
          <w:szCs w:val="24"/>
          <w:rtl/>
          <w:lang w:eastAsia="zh-CN"/>
        </w:rPr>
        <w:t>הרת המצורע בספר ויקרא 14. לאחר שה</w:t>
      </w:r>
      <w:r w:rsidR="005E3847">
        <w:rPr>
          <w:rFonts w:ascii="David" w:hAnsi="David" w:cs="David" w:hint="cs"/>
          <w:sz w:val="24"/>
          <w:szCs w:val="24"/>
          <w:rtl/>
          <w:lang w:eastAsia="zh-CN"/>
        </w:rPr>
        <w:t>תרפא</w:t>
      </w:r>
      <w:r w:rsidR="004E244B">
        <w:rPr>
          <w:rFonts w:ascii="David" w:hAnsi="David" w:cs="David" w:hint="cs"/>
          <w:sz w:val="24"/>
          <w:szCs w:val="24"/>
          <w:rtl/>
          <w:lang w:eastAsia="zh-CN"/>
        </w:rPr>
        <w:t xml:space="preserve"> המצורע</w:t>
      </w:r>
      <w:r>
        <w:rPr>
          <w:rFonts w:ascii="David" w:hAnsi="David" w:cs="David" w:hint="cs"/>
          <w:sz w:val="24"/>
          <w:szCs w:val="24"/>
          <w:rtl/>
          <w:lang w:eastAsia="zh-CN"/>
        </w:rPr>
        <w:t xml:space="preserve">, </w:t>
      </w:r>
      <w:r w:rsidR="005E3847">
        <w:rPr>
          <w:rFonts w:ascii="David" w:hAnsi="David" w:cs="David" w:hint="cs"/>
          <w:sz w:val="24"/>
          <w:szCs w:val="24"/>
          <w:rtl/>
          <w:lang w:eastAsia="zh-CN"/>
        </w:rPr>
        <w:t>ה</w:t>
      </w:r>
      <w:r>
        <w:rPr>
          <w:rFonts w:ascii="David" w:hAnsi="David" w:cs="David" w:hint="cs"/>
          <w:sz w:val="24"/>
          <w:szCs w:val="24"/>
          <w:rtl/>
          <w:lang w:eastAsia="zh-CN"/>
        </w:rPr>
        <w:t xml:space="preserve">כהן </w:t>
      </w:r>
      <w:r w:rsidR="005E3847">
        <w:rPr>
          <w:rFonts w:ascii="David" w:hAnsi="David" w:cs="David" w:hint="cs"/>
          <w:sz w:val="24"/>
          <w:szCs w:val="24"/>
          <w:rtl/>
          <w:lang w:eastAsia="zh-CN"/>
        </w:rPr>
        <w:t xml:space="preserve">מצטווה </w:t>
      </w:r>
      <w:r>
        <w:rPr>
          <w:rFonts w:ascii="David" w:hAnsi="David" w:cs="David" w:hint="cs"/>
          <w:sz w:val="24"/>
          <w:szCs w:val="24"/>
          <w:rtl/>
          <w:lang w:eastAsia="zh-CN"/>
        </w:rPr>
        <w:t>לבצע בו טקס שכלולים בו ש</w:t>
      </w:r>
      <w:r w:rsidR="00214060">
        <w:rPr>
          <w:rFonts w:ascii="David" w:hAnsi="David" w:cs="David" w:hint="cs"/>
          <w:sz w:val="24"/>
          <w:szCs w:val="24"/>
          <w:rtl/>
          <w:lang w:eastAsia="zh-CN"/>
        </w:rPr>
        <w:t>ת</w:t>
      </w:r>
      <w:r>
        <w:rPr>
          <w:rFonts w:ascii="David" w:hAnsi="David" w:cs="David" w:hint="cs"/>
          <w:sz w:val="24"/>
          <w:szCs w:val="24"/>
          <w:rtl/>
          <w:lang w:eastAsia="zh-CN"/>
        </w:rPr>
        <w:t xml:space="preserve">י ציפורים (פסוקים 4–7). </w:t>
      </w:r>
      <w:r w:rsidR="00214060">
        <w:rPr>
          <w:rFonts w:ascii="David" w:hAnsi="David" w:cs="David" w:hint="cs"/>
          <w:sz w:val="24"/>
          <w:szCs w:val="24"/>
          <w:rtl/>
          <w:lang w:eastAsia="zh-CN"/>
        </w:rPr>
        <w:t xml:space="preserve">הראשונה נשחטת ואת דמה מזים על המטופל. </w:t>
      </w:r>
      <w:r w:rsidR="00525336">
        <w:rPr>
          <w:rFonts w:ascii="David" w:hAnsi="David" w:cs="David" w:hint="cs"/>
          <w:sz w:val="24"/>
          <w:szCs w:val="24"/>
          <w:rtl/>
          <w:lang w:eastAsia="zh-CN"/>
        </w:rPr>
        <w:t xml:space="preserve">את </w:t>
      </w:r>
      <w:r w:rsidR="00214060">
        <w:rPr>
          <w:rFonts w:ascii="David" w:hAnsi="David" w:cs="David" w:hint="cs"/>
          <w:sz w:val="24"/>
          <w:szCs w:val="24"/>
          <w:rtl/>
          <w:lang w:eastAsia="zh-CN"/>
        </w:rPr>
        <w:t>ציפור הש</w:t>
      </w:r>
      <w:r w:rsidR="00525336">
        <w:rPr>
          <w:rFonts w:ascii="David" w:hAnsi="David" w:cs="David" w:hint="cs"/>
          <w:sz w:val="24"/>
          <w:szCs w:val="24"/>
          <w:rtl/>
          <w:lang w:eastAsia="zh-CN"/>
        </w:rPr>
        <w:t xml:space="preserve">נייה טובלים בדם ואחר כך </w:t>
      </w:r>
      <w:r w:rsidR="009B76A7">
        <w:rPr>
          <w:rFonts w:ascii="David" w:hAnsi="David" w:cs="David" w:hint="cs"/>
          <w:sz w:val="24"/>
          <w:szCs w:val="24"/>
          <w:rtl/>
          <w:lang w:eastAsia="zh-CN"/>
        </w:rPr>
        <w:t>היא משוחררת אל</w:t>
      </w:r>
      <w:r w:rsidR="005E3847">
        <w:rPr>
          <w:rFonts w:ascii="David" w:hAnsi="David" w:cs="David" w:hint="cs"/>
          <w:sz w:val="24"/>
          <w:szCs w:val="24"/>
          <w:rtl/>
          <w:lang w:eastAsia="zh-CN"/>
        </w:rPr>
        <w:t xml:space="preserve"> </w:t>
      </w:r>
      <w:r w:rsidR="00525336">
        <w:rPr>
          <w:rFonts w:ascii="David" w:hAnsi="David" w:cs="David" w:hint="cs"/>
          <w:sz w:val="24"/>
          <w:szCs w:val="24"/>
          <w:rtl/>
          <w:lang w:eastAsia="zh-CN"/>
        </w:rPr>
        <w:t>שדה פתוח.</w:t>
      </w:r>
    </w:p>
    <w:p w14:paraId="4F31713A" w14:textId="63233933" w:rsidR="00525336" w:rsidRDefault="00525336"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שני הטקסטים עושים שימוש בשתי ציפורים: אחת נשחטת ובשנייה משתמשים כדי לשאת את ה</w:t>
      </w:r>
      <w:r w:rsidR="00E109A3">
        <w:rPr>
          <w:rFonts w:ascii="David" w:hAnsi="David" w:cs="David" w:hint="cs"/>
          <w:sz w:val="24"/>
          <w:szCs w:val="24"/>
          <w:rtl/>
          <w:lang w:eastAsia="zh-CN"/>
        </w:rPr>
        <w:t>טומאה</w:t>
      </w:r>
      <w:r>
        <w:rPr>
          <w:rFonts w:ascii="David" w:hAnsi="David" w:cs="David" w:hint="cs"/>
          <w:sz w:val="24"/>
          <w:szCs w:val="24"/>
          <w:rtl/>
          <w:lang w:eastAsia="zh-CN"/>
        </w:rPr>
        <w:t xml:space="preserve"> הרחק מן הקהילה. מאחר ופולחנים אלה מתייחסים </w:t>
      </w:r>
      <w:r w:rsidR="009B76A7">
        <w:rPr>
          <w:rFonts w:ascii="David" w:hAnsi="David" w:cs="David" w:hint="cs"/>
          <w:sz w:val="24"/>
          <w:szCs w:val="24"/>
          <w:rtl/>
          <w:lang w:eastAsia="zh-CN"/>
        </w:rPr>
        <w:t>למחלות מאותו סוג</w:t>
      </w:r>
      <w:r>
        <w:rPr>
          <w:rFonts w:ascii="David" w:hAnsi="David" w:cs="David" w:hint="cs"/>
          <w:sz w:val="24"/>
          <w:szCs w:val="24"/>
          <w:rtl/>
          <w:lang w:eastAsia="zh-CN"/>
        </w:rPr>
        <w:t xml:space="preserve">, דמיון </w:t>
      </w:r>
      <w:r w:rsidR="00BB510A">
        <w:rPr>
          <w:rFonts w:ascii="David" w:hAnsi="David" w:cs="David" w:hint="cs"/>
          <w:sz w:val="24"/>
          <w:szCs w:val="24"/>
          <w:rtl/>
          <w:lang w:eastAsia="zh-CN"/>
        </w:rPr>
        <w:t>ז</w:t>
      </w:r>
      <w:r>
        <w:rPr>
          <w:rFonts w:ascii="David" w:hAnsi="David" w:cs="David" w:hint="cs"/>
          <w:sz w:val="24"/>
          <w:szCs w:val="24"/>
          <w:rtl/>
          <w:lang w:eastAsia="zh-CN"/>
        </w:rPr>
        <w:t xml:space="preserve">ה </w:t>
      </w:r>
      <w:r w:rsidR="009B76A7">
        <w:rPr>
          <w:rFonts w:ascii="David" w:hAnsi="David" w:cs="David" w:hint="cs"/>
          <w:sz w:val="24"/>
          <w:szCs w:val="24"/>
          <w:rtl/>
          <w:lang w:eastAsia="zh-CN"/>
        </w:rPr>
        <w:t>הוא בעל</w:t>
      </w:r>
      <w:r>
        <w:rPr>
          <w:rFonts w:ascii="David" w:hAnsi="David" w:cs="David" w:hint="cs"/>
          <w:sz w:val="24"/>
          <w:szCs w:val="24"/>
          <w:rtl/>
          <w:lang w:eastAsia="zh-CN"/>
        </w:rPr>
        <w:t xml:space="preserve"> חשיבות ניכרת. </w:t>
      </w:r>
    </w:p>
    <w:p w14:paraId="01B16410" w14:textId="77777777" w:rsidR="00BB510A" w:rsidRDefault="00BB510A" w:rsidP="00DF75DF">
      <w:pPr>
        <w:shd w:val="clear" w:color="auto" w:fill="FFFFFF"/>
        <w:spacing w:before="131" w:after="131" w:line="393" w:lineRule="atLeast"/>
        <w:outlineLvl w:val="1"/>
        <w:rPr>
          <w:rFonts w:ascii="David" w:hAnsi="David" w:cs="David"/>
          <w:sz w:val="24"/>
          <w:szCs w:val="24"/>
          <w:rtl/>
          <w:lang w:eastAsia="zh-CN"/>
        </w:rPr>
      </w:pPr>
    </w:p>
    <w:p w14:paraId="43F22CF3" w14:textId="238F8140" w:rsidR="00525336" w:rsidRDefault="00525336"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הטיפול של התורה?</w:t>
      </w:r>
    </w:p>
    <w:p w14:paraId="535E4865" w14:textId="62C66EFA" w:rsidR="00C47D46" w:rsidRDefault="00C47D46" w:rsidP="00DF75DF">
      <w:pPr>
        <w:shd w:val="clear" w:color="auto" w:fill="FFFFFF"/>
        <w:spacing w:before="131" w:after="131" w:line="393" w:lineRule="atLeast"/>
        <w:outlineLvl w:val="1"/>
        <w:rPr>
          <w:rFonts w:ascii="David" w:hAnsi="David" w:cs="David"/>
          <w:sz w:val="24"/>
          <w:szCs w:val="24"/>
          <w:rtl/>
          <w:lang w:eastAsia="zh-CN"/>
        </w:rPr>
      </w:pPr>
      <w:r>
        <w:rPr>
          <w:rFonts w:ascii="David" w:hAnsi="David" w:cs="David" w:hint="cs"/>
          <w:sz w:val="24"/>
          <w:szCs w:val="24"/>
          <w:rtl/>
          <w:lang w:eastAsia="zh-CN"/>
        </w:rPr>
        <w:t>המקבילות וההבדלים הבולטים ביותר מתבררים כאשר אנו משווים את המבנה הכולל של שני טקסטים אלה:</w:t>
      </w:r>
    </w:p>
    <w:p w14:paraId="245940FB" w14:textId="77777777" w:rsidR="00C47D46" w:rsidRDefault="00C47D46" w:rsidP="00DF75DF">
      <w:pPr>
        <w:shd w:val="clear" w:color="auto" w:fill="FFFFFF"/>
        <w:spacing w:before="131" w:after="131" w:line="393" w:lineRule="atLeast"/>
        <w:outlineLvl w:val="1"/>
        <w:rPr>
          <w:rFonts w:ascii="David" w:hAnsi="David" w:cs="David"/>
          <w:sz w:val="24"/>
          <w:szCs w:val="24"/>
          <w:rtl/>
          <w:lang w:eastAsia="zh-CN"/>
        </w:rPr>
      </w:pPr>
    </w:p>
    <w:p w14:paraId="26E25C19" w14:textId="77777777" w:rsidR="00D9144B" w:rsidRDefault="00D9144B" w:rsidP="00525336">
      <w:pPr>
        <w:spacing w:after="187" w:line="290" w:lineRule="atLeast"/>
        <w:rPr>
          <w:rFonts w:ascii="David" w:hAnsi="David" w:cs="David"/>
          <w:sz w:val="24"/>
          <w:szCs w:val="24"/>
          <w:rtl/>
          <w:lang w:eastAsia="zh-CN"/>
        </w:rPr>
      </w:pPr>
    </w:p>
    <w:p w14:paraId="2C1DD512" w14:textId="77777777" w:rsidR="00D9144B" w:rsidRDefault="00D9144B" w:rsidP="00525336">
      <w:pPr>
        <w:spacing w:after="187" w:line="290" w:lineRule="atLeast"/>
        <w:rPr>
          <w:rFonts w:ascii="David" w:hAnsi="David" w:cs="David"/>
          <w:sz w:val="24"/>
          <w:szCs w:val="24"/>
          <w:rtl/>
          <w:lang w:eastAsia="zh-CN"/>
        </w:rPr>
      </w:pPr>
    </w:p>
    <w:p w14:paraId="4ED56659" w14:textId="77777777" w:rsidR="00D9144B" w:rsidRDefault="00D9144B" w:rsidP="00525336">
      <w:pPr>
        <w:spacing w:after="187" w:line="290" w:lineRule="atLeast"/>
        <w:rPr>
          <w:rFonts w:ascii="David" w:hAnsi="David" w:cs="David"/>
          <w:sz w:val="24"/>
          <w:szCs w:val="24"/>
          <w:rtl/>
          <w:lang w:eastAsia="zh-CN"/>
        </w:rPr>
      </w:pPr>
    </w:p>
    <w:p w14:paraId="780CA33E" w14:textId="0F83D029" w:rsidR="00525336" w:rsidRDefault="002776DE" w:rsidP="00525336">
      <w:pPr>
        <w:spacing w:after="187" w:line="290" w:lineRule="atLeast"/>
        <w:rPr>
          <w:rFonts w:ascii="Times New Roman" w:eastAsia="Times New Roman" w:hAnsi="Times New Roman" w:cs="Times New Roman"/>
          <w:sz w:val="24"/>
          <w:szCs w:val="24"/>
          <w:rtl/>
        </w:rPr>
      </w:pPr>
      <w:bookmarkStart w:id="0" w:name="_Hlk98082534"/>
      <w:r>
        <w:rPr>
          <w:rFonts w:ascii="David" w:hAnsi="David" w:cs="David" w:hint="cs"/>
          <w:sz w:val="24"/>
          <w:szCs w:val="24"/>
          <w:rtl/>
          <w:lang w:eastAsia="zh-CN"/>
        </w:rPr>
        <w:lastRenderedPageBreak/>
        <w:t xml:space="preserve">                 </w:t>
      </w:r>
    </w:p>
    <w:tbl>
      <w:tblPr>
        <w:tblStyle w:val="a7"/>
        <w:bidiVisual/>
        <w:tblW w:w="0" w:type="auto"/>
        <w:tblLook w:val="04A0" w:firstRow="1" w:lastRow="0" w:firstColumn="1" w:lastColumn="0" w:noHBand="0" w:noVBand="1"/>
      </w:tblPr>
      <w:tblGrid>
        <w:gridCol w:w="2765"/>
        <w:gridCol w:w="2765"/>
        <w:gridCol w:w="2766"/>
      </w:tblGrid>
      <w:tr w:rsidR="00BB510A" w14:paraId="72102BD8" w14:textId="77777777" w:rsidTr="00BB510A">
        <w:tc>
          <w:tcPr>
            <w:tcW w:w="2765" w:type="dxa"/>
          </w:tcPr>
          <w:p w14:paraId="70AB0553" w14:textId="77777777" w:rsidR="00BB510A" w:rsidRDefault="00BB510A" w:rsidP="00525336">
            <w:pPr>
              <w:spacing w:after="187" w:line="290" w:lineRule="atLeast"/>
              <w:rPr>
                <w:rFonts w:ascii="David" w:eastAsia="Times New Roman" w:hAnsi="David" w:cs="David"/>
                <w:sz w:val="24"/>
                <w:szCs w:val="24"/>
                <w:rtl/>
              </w:rPr>
            </w:pPr>
          </w:p>
        </w:tc>
        <w:tc>
          <w:tcPr>
            <w:tcW w:w="2765" w:type="dxa"/>
          </w:tcPr>
          <w:p w14:paraId="6BF83823" w14:textId="03252E05" w:rsidR="00BB510A" w:rsidRPr="00D9144B" w:rsidRDefault="00BB510A" w:rsidP="00525336">
            <w:pPr>
              <w:spacing w:after="187" w:line="290" w:lineRule="atLeast"/>
              <w:rPr>
                <w:rFonts w:ascii="David" w:eastAsia="Times New Roman" w:hAnsi="David" w:cs="David"/>
                <w:b/>
                <w:bCs/>
                <w:sz w:val="24"/>
                <w:szCs w:val="24"/>
                <w:rtl/>
              </w:rPr>
            </w:pPr>
            <w:r w:rsidRPr="00D9144B">
              <w:rPr>
                <w:rFonts w:ascii="David" w:eastAsia="Times New Roman" w:hAnsi="David" w:cs="David" w:hint="cs"/>
                <w:b/>
                <w:bCs/>
                <w:sz w:val="24"/>
                <w:szCs w:val="24"/>
                <w:rtl/>
              </w:rPr>
              <w:t xml:space="preserve">צרעת </w:t>
            </w:r>
            <w:r w:rsidRPr="00D9144B">
              <w:rPr>
                <w:rFonts w:ascii="David" w:eastAsia="Times New Roman" w:hAnsi="David" w:cs="David"/>
                <w:b/>
                <w:bCs/>
                <w:sz w:val="24"/>
                <w:szCs w:val="24"/>
                <w:rtl/>
              </w:rPr>
              <w:t>–</w:t>
            </w:r>
            <w:r w:rsidRPr="00D9144B">
              <w:rPr>
                <w:rFonts w:ascii="David" w:eastAsia="Times New Roman" w:hAnsi="David" w:cs="David" w:hint="cs"/>
                <w:b/>
                <w:bCs/>
                <w:sz w:val="24"/>
                <w:szCs w:val="24"/>
                <w:rtl/>
              </w:rPr>
              <w:t xml:space="preserve"> ויקרא (דוגמאות)</w:t>
            </w:r>
          </w:p>
        </w:tc>
        <w:tc>
          <w:tcPr>
            <w:tcW w:w="2766" w:type="dxa"/>
          </w:tcPr>
          <w:p w14:paraId="2C8E81A4" w14:textId="1245D696" w:rsidR="00BB510A" w:rsidRDefault="00BB510A" w:rsidP="00525336">
            <w:pPr>
              <w:spacing w:after="187" w:line="290" w:lineRule="atLeast"/>
              <w:rPr>
                <w:rFonts w:ascii="David" w:eastAsia="Times New Roman" w:hAnsi="David" w:cs="David"/>
                <w:sz w:val="24"/>
                <w:szCs w:val="24"/>
                <w:rtl/>
              </w:rPr>
            </w:pPr>
            <w:proofErr w:type="spellStart"/>
            <w:r w:rsidRPr="0090141D">
              <w:rPr>
                <w:rFonts w:ascii="Times New Roman" w:eastAsia="Times New Roman" w:hAnsi="Times New Roman" w:cs="Times New Roman"/>
                <w:b/>
                <w:bCs/>
                <w:i/>
                <w:iCs/>
                <w:sz w:val="24"/>
                <w:szCs w:val="24"/>
                <w:lang w:bidi="ar-SA"/>
              </w:rPr>
              <w:t>saḫaršubbû</w:t>
            </w:r>
            <w:proofErr w:type="spellEnd"/>
            <w:r w:rsidRPr="0090141D">
              <w:rPr>
                <w:rFonts w:ascii="Times New Roman" w:eastAsia="Times New Roman" w:hAnsi="Times New Roman" w:cs="Times New Roman"/>
                <w:b/>
                <w:bCs/>
                <w:i/>
                <w:iCs/>
                <w:sz w:val="24"/>
                <w:szCs w:val="24"/>
                <w:lang w:bidi="ar-SA"/>
              </w:rPr>
              <w:t xml:space="preserve"> - </w:t>
            </w:r>
            <w:proofErr w:type="spellStart"/>
            <w:r w:rsidRPr="0090141D">
              <w:rPr>
                <w:rFonts w:ascii="Times New Roman" w:eastAsia="Times New Roman" w:hAnsi="Times New Roman" w:cs="Times New Roman"/>
                <w:b/>
                <w:bCs/>
                <w:sz w:val="24"/>
                <w:szCs w:val="24"/>
                <w:lang w:bidi="ar-SA"/>
              </w:rPr>
              <w:t>Emar</w:t>
            </w:r>
            <w:proofErr w:type="spellEnd"/>
            <w:r w:rsidRPr="0090141D">
              <w:rPr>
                <w:rFonts w:ascii="Times New Roman" w:eastAsia="Times New Roman" w:hAnsi="Times New Roman" w:cs="Times New Roman"/>
                <w:b/>
                <w:bCs/>
                <w:sz w:val="24"/>
                <w:szCs w:val="24"/>
                <w:lang w:bidi="ar-SA"/>
              </w:rPr>
              <w:t xml:space="preserve"> tablet, </w:t>
            </w:r>
            <w:proofErr w:type="spellStart"/>
            <w:r w:rsidRPr="0090141D">
              <w:rPr>
                <w:rFonts w:ascii="Times New Roman" w:eastAsia="Times New Roman" w:hAnsi="Times New Roman" w:cs="Times New Roman"/>
                <w:b/>
                <w:bCs/>
                <w:sz w:val="24"/>
                <w:szCs w:val="24"/>
                <w:lang w:bidi="ar-SA"/>
              </w:rPr>
              <w:t>ll</w:t>
            </w:r>
            <w:proofErr w:type="spellEnd"/>
            <w:r>
              <w:rPr>
                <w:rFonts w:ascii="David" w:eastAsia="Times New Roman" w:hAnsi="David" w:cs="David" w:hint="cs"/>
                <w:sz w:val="24"/>
                <w:szCs w:val="24"/>
                <w:rtl/>
              </w:rPr>
              <w:t xml:space="preserve"> </w:t>
            </w:r>
            <w:r w:rsidR="006929C4">
              <w:rPr>
                <w:rFonts w:ascii="David" w:eastAsia="Times New Roman" w:hAnsi="David" w:cs="David" w:hint="cs"/>
                <w:sz w:val="24"/>
                <w:szCs w:val="24"/>
                <w:rtl/>
              </w:rPr>
              <w:t>(דוגמאות)</w:t>
            </w:r>
          </w:p>
        </w:tc>
      </w:tr>
      <w:tr w:rsidR="00BB510A" w14:paraId="24AA9228" w14:textId="77777777" w:rsidTr="00BB510A">
        <w:tc>
          <w:tcPr>
            <w:tcW w:w="2765" w:type="dxa"/>
          </w:tcPr>
          <w:p w14:paraId="716EF14E" w14:textId="54024D7D" w:rsidR="00BB510A" w:rsidRDefault="006929C4"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הליכים אבחנתיים</w:t>
            </w:r>
          </w:p>
        </w:tc>
        <w:tc>
          <w:tcPr>
            <w:tcW w:w="2765" w:type="dxa"/>
          </w:tcPr>
          <w:p w14:paraId="482C36A5" w14:textId="44A61141" w:rsidR="00BB510A" w:rsidRDefault="006929C4"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"וראה הכהן והנה שאת לבנה בעור והיא הפכה שער לבן..."</w:t>
            </w:r>
            <w:r w:rsidR="009640A8">
              <w:rPr>
                <w:rFonts w:ascii="David" w:eastAsia="Times New Roman" w:hAnsi="David" w:cs="David" w:hint="cs"/>
                <w:sz w:val="24"/>
                <w:szCs w:val="24"/>
                <w:rtl/>
              </w:rPr>
              <w:t>.</w:t>
            </w:r>
            <w:r>
              <w:rPr>
                <w:rFonts w:ascii="David" w:eastAsia="Times New Roman" w:hAnsi="David" w:cs="David" w:hint="cs"/>
                <w:sz w:val="24"/>
                <w:szCs w:val="24"/>
                <w:rtl/>
              </w:rPr>
              <w:t xml:space="preserve"> (10:13)</w:t>
            </w:r>
          </w:p>
        </w:tc>
        <w:tc>
          <w:tcPr>
            <w:tcW w:w="2766" w:type="dxa"/>
          </w:tcPr>
          <w:p w14:paraId="633934C7" w14:textId="1914CB40" w:rsidR="00BB510A" w:rsidRDefault="006929C4" w:rsidP="00525336">
            <w:pPr>
              <w:spacing w:after="187" w:line="290" w:lineRule="atLeast"/>
              <w:rPr>
                <w:rFonts w:ascii="David" w:eastAsia="Times New Roman" w:hAnsi="David" w:cs="David"/>
                <w:sz w:val="24"/>
                <w:szCs w:val="24"/>
              </w:rPr>
            </w:pPr>
            <w:r>
              <w:rPr>
                <w:rFonts w:ascii="David" w:eastAsia="Times New Roman" w:hAnsi="David" w:cs="David" w:hint="cs"/>
                <w:sz w:val="24"/>
                <w:szCs w:val="24"/>
                <w:rtl/>
              </w:rPr>
              <w:t xml:space="preserve">"אם לאדם יש </w:t>
            </w:r>
            <w:r>
              <w:rPr>
                <w:rFonts w:ascii="David" w:eastAsia="Times New Roman" w:hAnsi="David" w:cs="David"/>
                <w:sz w:val="24"/>
                <w:szCs w:val="24"/>
              </w:rPr>
              <w:t>s</w:t>
            </w:r>
            <w:r>
              <w:rPr>
                <w:rFonts w:ascii="David" w:eastAsia="Times New Roman" w:hAnsi="David" w:cs="David" w:hint="cs"/>
                <w:sz w:val="24"/>
                <w:szCs w:val="24"/>
                <w:rtl/>
              </w:rPr>
              <w:t xml:space="preserve"> </w:t>
            </w:r>
            <w:r w:rsidR="00D9144B">
              <w:rPr>
                <w:rFonts w:ascii="David" w:eastAsia="Times New Roman" w:hAnsi="David" w:cs="David" w:hint="cs"/>
                <w:sz w:val="24"/>
                <w:szCs w:val="24"/>
                <w:rtl/>
              </w:rPr>
              <w:t>ו</w:t>
            </w:r>
            <w:r>
              <w:rPr>
                <w:rFonts w:ascii="David" w:eastAsia="Times New Roman" w:hAnsi="David" w:cs="David" w:hint="cs"/>
                <w:sz w:val="24"/>
                <w:szCs w:val="24"/>
                <w:rtl/>
              </w:rPr>
              <w:t>יש צבע לבן על גופו..."</w:t>
            </w:r>
            <w:r w:rsidR="009640A8">
              <w:rPr>
                <w:rFonts w:ascii="David" w:eastAsia="Times New Roman" w:hAnsi="David" w:cs="David" w:hint="cs"/>
                <w:sz w:val="24"/>
                <w:szCs w:val="24"/>
                <w:rtl/>
              </w:rPr>
              <w:t>.</w:t>
            </w:r>
            <w:r>
              <w:rPr>
                <w:rFonts w:ascii="David" w:eastAsia="Times New Roman" w:hAnsi="David" w:cs="David" w:hint="cs"/>
                <w:sz w:val="24"/>
                <w:szCs w:val="24"/>
                <w:rtl/>
              </w:rPr>
              <w:t xml:space="preserve"> (53)</w:t>
            </w:r>
          </w:p>
        </w:tc>
      </w:tr>
      <w:tr w:rsidR="00BB510A" w14:paraId="27C85F6C" w14:textId="77777777" w:rsidTr="00BB510A">
        <w:tc>
          <w:tcPr>
            <w:tcW w:w="2765" w:type="dxa"/>
          </w:tcPr>
          <w:p w14:paraId="3EB5D688" w14:textId="77777777" w:rsidR="00BB510A" w:rsidRDefault="00BB510A" w:rsidP="00525336">
            <w:pPr>
              <w:spacing w:after="187" w:line="290" w:lineRule="atLeast"/>
              <w:rPr>
                <w:rFonts w:ascii="David" w:eastAsia="Times New Roman" w:hAnsi="David" w:cs="David"/>
                <w:sz w:val="24"/>
                <w:szCs w:val="24"/>
                <w:rtl/>
              </w:rPr>
            </w:pPr>
          </w:p>
        </w:tc>
        <w:tc>
          <w:tcPr>
            <w:tcW w:w="2765" w:type="dxa"/>
          </w:tcPr>
          <w:p w14:paraId="60F3FC9E" w14:textId="4DC61F28" w:rsidR="00BB510A" w:rsidRDefault="0042187B"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w:t>
            </w:r>
            <w:r w:rsidR="006929C4">
              <w:rPr>
                <w:rFonts w:ascii="David" w:eastAsia="Times New Roman" w:hAnsi="David" w:cs="David" w:hint="cs"/>
                <w:sz w:val="24"/>
                <w:szCs w:val="24"/>
                <w:rtl/>
              </w:rPr>
              <w:t xml:space="preserve">או בשר יהיה בערו </w:t>
            </w:r>
            <w:r>
              <w:rPr>
                <w:rFonts w:ascii="David" w:eastAsia="Times New Roman" w:hAnsi="David" w:cs="David" w:hint="cs"/>
                <w:sz w:val="24"/>
                <w:szCs w:val="24"/>
                <w:rtl/>
              </w:rPr>
              <w:t xml:space="preserve">מכות אש </w:t>
            </w:r>
            <w:proofErr w:type="spellStart"/>
            <w:r>
              <w:rPr>
                <w:rFonts w:ascii="David" w:eastAsia="Times New Roman" w:hAnsi="David" w:cs="David" w:hint="cs"/>
                <w:sz w:val="24"/>
                <w:szCs w:val="24"/>
                <w:rtl/>
              </w:rPr>
              <w:t>והיתה</w:t>
            </w:r>
            <w:proofErr w:type="spellEnd"/>
            <w:r>
              <w:rPr>
                <w:rFonts w:ascii="David" w:eastAsia="Times New Roman" w:hAnsi="David" w:cs="David" w:hint="cs"/>
                <w:sz w:val="24"/>
                <w:szCs w:val="24"/>
                <w:rtl/>
              </w:rPr>
              <w:t xml:space="preserve"> מחות </w:t>
            </w:r>
            <w:proofErr w:type="spellStart"/>
            <w:r>
              <w:rPr>
                <w:rFonts w:ascii="David" w:eastAsia="Times New Roman" w:hAnsi="David" w:cs="David" w:hint="cs"/>
                <w:sz w:val="24"/>
                <w:szCs w:val="24"/>
                <w:rtl/>
              </w:rPr>
              <w:t>המכוה</w:t>
            </w:r>
            <w:proofErr w:type="spellEnd"/>
            <w:r>
              <w:rPr>
                <w:rFonts w:ascii="David" w:eastAsia="Times New Roman" w:hAnsi="David" w:cs="David" w:hint="cs"/>
                <w:sz w:val="24"/>
                <w:szCs w:val="24"/>
                <w:rtl/>
              </w:rPr>
              <w:t xml:space="preserve"> בהרת לבנה אדמדמת או לבנה..."</w:t>
            </w:r>
            <w:r w:rsidR="009640A8">
              <w:rPr>
                <w:rFonts w:ascii="David" w:eastAsia="Times New Roman" w:hAnsi="David" w:cs="David" w:hint="cs"/>
                <w:sz w:val="24"/>
                <w:szCs w:val="24"/>
                <w:rtl/>
              </w:rPr>
              <w:t>.</w:t>
            </w:r>
            <w:r>
              <w:rPr>
                <w:rFonts w:ascii="David" w:eastAsia="Times New Roman" w:hAnsi="David" w:cs="David" w:hint="cs"/>
                <w:sz w:val="24"/>
                <w:szCs w:val="24"/>
                <w:rtl/>
              </w:rPr>
              <w:t xml:space="preserve"> (24:13)</w:t>
            </w:r>
          </w:p>
        </w:tc>
        <w:tc>
          <w:tcPr>
            <w:tcW w:w="2766" w:type="dxa"/>
          </w:tcPr>
          <w:p w14:paraId="0B2F11BE" w14:textId="1F1F9145" w:rsidR="00BB510A" w:rsidRDefault="009640A8"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w:t>
            </w:r>
            <w:r w:rsidR="0042187B">
              <w:rPr>
                <w:rFonts w:ascii="David" w:eastAsia="Times New Roman" w:hAnsi="David" w:cs="David" w:hint="cs"/>
                <w:sz w:val="24"/>
                <w:szCs w:val="24"/>
                <w:rtl/>
              </w:rPr>
              <w:t>כמו כן אם ה-</w:t>
            </w:r>
            <w:r w:rsidR="0042187B">
              <w:rPr>
                <w:rFonts w:ascii="David" w:eastAsia="Times New Roman" w:hAnsi="David" w:cs="David"/>
                <w:sz w:val="24"/>
                <w:szCs w:val="24"/>
              </w:rPr>
              <w:t>s</w:t>
            </w:r>
            <w:r w:rsidR="0042187B">
              <w:rPr>
                <w:rFonts w:ascii="David" w:eastAsia="Times New Roman" w:hAnsi="David" w:cs="David" w:hint="cs"/>
                <w:sz w:val="24"/>
                <w:szCs w:val="24"/>
                <w:rtl/>
              </w:rPr>
              <w:t xml:space="preserve"> הוא צהוב </w:t>
            </w:r>
            <w:proofErr w:type="spellStart"/>
            <w:r w:rsidR="0042187B">
              <w:rPr>
                <w:rFonts w:ascii="David" w:eastAsia="Times New Roman" w:hAnsi="David" w:cs="David" w:hint="cs"/>
                <w:sz w:val="24"/>
                <w:szCs w:val="24"/>
                <w:rtl/>
              </w:rPr>
              <w:t>ואדןם</w:t>
            </w:r>
            <w:proofErr w:type="spellEnd"/>
            <w:r w:rsidR="0042187B">
              <w:rPr>
                <w:rFonts w:ascii="David" w:eastAsia="Times New Roman" w:hAnsi="David" w:cs="David" w:hint="cs"/>
                <w:sz w:val="24"/>
                <w:szCs w:val="24"/>
                <w:rtl/>
              </w:rPr>
              <w:t>..."</w:t>
            </w:r>
            <w:r>
              <w:rPr>
                <w:rFonts w:ascii="David" w:eastAsia="Times New Roman" w:hAnsi="David" w:cs="David" w:hint="cs"/>
                <w:sz w:val="24"/>
                <w:szCs w:val="24"/>
                <w:rtl/>
              </w:rPr>
              <w:t>.</w:t>
            </w:r>
            <w:r w:rsidR="0042187B">
              <w:rPr>
                <w:rFonts w:ascii="David" w:eastAsia="Times New Roman" w:hAnsi="David" w:cs="David" w:hint="cs"/>
                <w:sz w:val="24"/>
                <w:szCs w:val="24"/>
                <w:rtl/>
              </w:rPr>
              <w:t xml:space="preserve"> (55)</w:t>
            </w:r>
          </w:p>
        </w:tc>
      </w:tr>
      <w:tr w:rsidR="00BB510A" w14:paraId="328A565A" w14:textId="77777777" w:rsidTr="00BB510A">
        <w:tc>
          <w:tcPr>
            <w:tcW w:w="2765" w:type="dxa"/>
          </w:tcPr>
          <w:p w14:paraId="4D016AF4" w14:textId="02A0E17C" w:rsidR="00BB510A" w:rsidRDefault="004117D9"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טיפול במחלה</w:t>
            </w:r>
          </w:p>
        </w:tc>
        <w:tc>
          <w:tcPr>
            <w:tcW w:w="2765" w:type="dxa"/>
          </w:tcPr>
          <w:p w14:paraId="4A70FFBC" w14:textId="2749296D" w:rsidR="00BB510A" w:rsidRDefault="008E741D"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 ? -</w:t>
            </w:r>
          </w:p>
        </w:tc>
        <w:tc>
          <w:tcPr>
            <w:tcW w:w="2766" w:type="dxa"/>
          </w:tcPr>
          <w:p w14:paraId="6C0FBB1E" w14:textId="3501BF95" w:rsidR="00BB510A" w:rsidRDefault="004117D9"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 xml:space="preserve">"...עליך לקחת צמח </w:t>
            </w:r>
            <w:proofErr w:type="spellStart"/>
            <w:r w:rsidRPr="0090141D">
              <w:rPr>
                <w:rFonts w:ascii="Times New Roman" w:eastAsia="Times New Roman" w:hAnsi="Times New Roman" w:cs="Times New Roman"/>
                <w:i/>
                <w:iCs/>
                <w:sz w:val="24"/>
                <w:szCs w:val="24"/>
                <w:lang w:bidi="ar-SA"/>
              </w:rPr>
              <w:t>ašāgu</w:t>
            </w:r>
            <w:proofErr w:type="spellEnd"/>
            <w:r>
              <w:rPr>
                <w:rFonts w:ascii="David" w:eastAsia="Times New Roman" w:hAnsi="David" w:cs="David"/>
                <w:sz w:val="24"/>
                <w:szCs w:val="24"/>
              </w:rPr>
              <w:t>'</w:t>
            </w:r>
            <w:r>
              <w:rPr>
                <w:rFonts w:ascii="David" w:eastAsia="Times New Roman" w:hAnsi="David" w:cs="David" w:hint="cs"/>
                <w:sz w:val="24"/>
                <w:szCs w:val="24"/>
                <w:rtl/>
              </w:rPr>
              <w:t>, מלח, שעורה, קמח...ולמשוח אותו והוא יתרפא"</w:t>
            </w:r>
            <w:r w:rsidR="009640A8">
              <w:rPr>
                <w:rFonts w:ascii="David" w:eastAsia="Times New Roman" w:hAnsi="David" w:cs="David" w:hint="cs"/>
                <w:sz w:val="24"/>
                <w:szCs w:val="24"/>
                <w:rtl/>
              </w:rPr>
              <w:t>.</w:t>
            </w:r>
            <w:r>
              <w:rPr>
                <w:rFonts w:ascii="David" w:eastAsia="Times New Roman" w:hAnsi="David" w:cs="David" w:hint="cs"/>
                <w:sz w:val="24"/>
                <w:szCs w:val="24"/>
                <w:rtl/>
              </w:rPr>
              <w:t xml:space="preserve"> (53</w:t>
            </w:r>
            <w:r>
              <w:rPr>
                <w:rFonts w:ascii="David" w:eastAsia="Times New Roman" w:hAnsi="David" w:cs="David" w:hint="eastAsia"/>
                <w:sz w:val="24"/>
                <w:szCs w:val="24"/>
                <w:rtl/>
              </w:rPr>
              <w:t>–</w:t>
            </w:r>
            <w:r>
              <w:rPr>
                <w:rFonts w:ascii="David" w:eastAsia="Times New Roman" w:hAnsi="David" w:cs="David" w:hint="cs"/>
                <w:sz w:val="24"/>
                <w:szCs w:val="24"/>
                <w:rtl/>
              </w:rPr>
              <w:t>54)</w:t>
            </w:r>
          </w:p>
        </w:tc>
      </w:tr>
      <w:tr w:rsidR="00BB510A" w14:paraId="2752A6BF" w14:textId="77777777" w:rsidTr="00BB510A">
        <w:tc>
          <w:tcPr>
            <w:tcW w:w="2765" w:type="dxa"/>
          </w:tcPr>
          <w:p w14:paraId="001F7644" w14:textId="77777777" w:rsidR="00BB510A" w:rsidRDefault="00BB510A" w:rsidP="00525336">
            <w:pPr>
              <w:spacing w:after="187" w:line="290" w:lineRule="atLeast"/>
              <w:rPr>
                <w:rFonts w:ascii="David" w:eastAsia="Times New Roman" w:hAnsi="David" w:cs="David"/>
                <w:sz w:val="24"/>
                <w:szCs w:val="24"/>
                <w:rtl/>
              </w:rPr>
            </w:pPr>
          </w:p>
        </w:tc>
        <w:tc>
          <w:tcPr>
            <w:tcW w:w="2765" w:type="dxa"/>
          </w:tcPr>
          <w:p w14:paraId="5208D1B0" w14:textId="77777777" w:rsidR="00BB510A" w:rsidRDefault="00BB510A" w:rsidP="00525336">
            <w:pPr>
              <w:spacing w:after="187" w:line="290" w:lineRule="atLeast"/>
              <w:rPr>
                <w:rFonts w:ascii="David" w:eastAsia="Times New Roman" w:hAnsi="David" w:cs="David"/>
                <w:sz w:val="24"/>
                <w:szCs w:val="24"/>
                <w:rtl/>
              </w:rPr>
            </w:pPr>
          </w:p>
        </w:tc>
        <w:tc>
          <w:tcPr>
            <w:tcW w:w="2766" w:type="dxa"/>
          </w:tcPr>
          <w:p w14:paraId="3761359D" w14:textId="4D363E52" w:rsidR="00BB510A" w:rsidRDefault="00B351D9"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 xml:space="preserve">"...ועם זרע אדם עליך </w:t>
            </w:r>
            <w:proofErr w:type="spellStart"/>
            <w:r>
              <w:rPr>
                <w:rFonts w:ascii="David" w:eastAsia="Times New Roman" w:hAnsi="David" w:cs="David" w:hint="cs"/>
                <w:sz w:val="24"/>
                <w:szCs w:val="24"/>
                <w:rtl/>
              </w:rPr>
              <w:t>למשו</w:t>
            </w:r>
            <w:proofErr w:type="spellEnd"/>
            <w:r>
              <w:rPr>
                <w:rFonts w:ascii="David" w:eastAsia="Times New Roman" w:hAnsi="David" w:cs="David" w:hint="cs"/>
                <w:sz w:val="24"/>
                <w:szCs w:val="24"/>
                <w:rtl/>
              </w:rPr>
              <w:t>[ח אותו] למשך שבעה ימים</w:t>
            </w:r>
            <w:r w:rsidR="009640A8">
              <w:rPr>
                <w:rFonts w:ascii="David" w:eastAsia="Times New Roman" w:hAnsi="David" w:cs="David" w:hint="cs"/>
                <w:sz w:val="24"/>
                <w:szCs w:val="24"/>
                <w:rtl/>
              </w:rPr>
              <w:t>".</w:t>
            </w:r>
            <w:r>
              <w:rPr>
                <w:rFonts w:ascii="David" w:eastAsia="Times New Roman" w:hAnsi="David" w:cs="David" w:hint="cs"/>
                <w:sz w:val="24"/>
                <w:szCs w:val="24"/>
                <w:rtl/>
              </w:rPr>
              <w:t xml:space="preserve"> (60)</w:t>
            </w:r>
          </w:p>
        </w:tc>
      </w:tr>
      <w:tr w:rsidR="00BB510A" w14:paraId="54C2458E" w14:textId="77777777" w:rsidTr="00BB510A">
        <w:tc>
          <w:tcPr>
            <w:tcW w:w="2765" w:type="dxa"/>
          </w:tcPr>
          <w:p w14:paraId="28D3B7A4" w14:textId="6AA49890" w:rsidR="00BB510A" w:rsidRDefault="00B351D9"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טקס</w:t>
            </w:r>
            <w:r w:rsidR="00E348F8">
              <w:rPr>
                <w:rFonts w:ascii="David" w:eastAsia="Times New Roman" w:hAnsi="David" w:cs="David" w:hint="cs"/>
                <w:sz w:val="24"/>
                <w:szCs w:val="24"/>
                <w:rtl/>
              </w:rPr>
              <w:t xml:space="preserve"> לאחר ריפוי</w:t>
            </w:r>
          </w:p>
        </w:tc>
        <w:tc>
          <w:tcPr>
            <w:tcW w:w="2765" w:type="dxa"/>
          </w:tcPr>
          <w:p w14:paraId="5D38E8A4" w14:textId="7447ABB3" w:rsidR="00BB510A" w:rsidRDefault="00B351D9"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 xml:space="preserve"> </w:t>
            </w:r>
            <w:proofErr w:type="spellStart"/>
            <w:r>
              <w:rPr>
                <w:rFonts w:ascii="David" w:eastAsia="Times New Roman" w:hAnsi="David" w:cs="David" w:hint="cs"/>
                <w:sz w:val="24"/>
                <w:szCs w:val="24"/>
                <w:rtl/>
              </w:rPr>
              <w:t>וצוה</w:t>
            </w:r>
            <w:proofErr w:type="spellEnd"/>
            <w:r>
              <w:rPr>
                <w:rFonts w:ascii="David" w:eastAsia="Times New Roman" w:hAnsi="David" w:cs="David" w:hint="cs"/>
                <w:sz w:val="24"/>
                <w:szCs w:val="24"/>
                <w:rtl/>
              </w:rPr>
              <w:t xml:space="preserve"> הכהן ולקח למטהר שתי צפרים חיות טהרות ועץ ארז ושני תולעת</w:t>
            </w:r>
            <w:r w:rsidR="008F576A">
              <w:rPr>
                <w:rFonts w:ascii="David" w:eastAsia="Times New Roman" w:hAnsi="David" w:cs="David" w:hint="cs"/>
                <w:sz w:val="24"/>
                <w:szCs w:val="24"/>
                <w:rtl/>
              </w:rPr>
              <w:t xml:space="preserve"> </w:t>
            </w:r>
            <w:proofErr w:type="spellStart"/>
            <w:r w:rsidR="008F576A">
              <w:rPr>
                <w:rFonts w:ascii="David" w:eastAsia="Times New Roman" w:hAnsi="David" w:cs="David" w:hint="cs"/>
                <w:sz w:val="24"/>
                <w:szCs w:val="24"/>
                <w:rtl/>
              </w:rPr>
              <w:t>וא</w:t>
            </w:r>
            <w:r w:rsidR="00A42CF4">
              <w:rPr>
                <w:rFonts w:ascii="David" w:eastAsia="Times New Roman" w:hAnsi="David" w:cs="David" w:hint="cs"/>
                <w:sz w:val="24"/>
                <w:szCs w:val="24"/>
                <w:rtl/>
              </w:rPr>
              <w:t>זב</w:t>
            </w:r>
            <w:proofErr w:type="spellEnd"/>
            <w:r w:rsidR="00A42CF4">
              <w:rPr>
                <w:rFonts w:ascii="David" w:eastAsia="Times New Roman" w:hAnsi="David" w:cs="David" w:hint="cs"/>
                <w:sz w:val="24"/>
                <w:szCs w:val="24"/>
                <w:rtl/>
              </w:rPr>
              <w:t xml:space="preserve">. </w:t>
            </w:r>
            <w:proofErr w:type="spellStart"/>
            <w:r w:rsidR="00A42CF4">
              <w:rPr>
                <w:rFonts w:ascii="David" w:eastAsia="Times New Roman" w:hAnsi="David" w:cs="David" w:hint="cs"/>
                <w:sz w:val="24"/>
                <w:szCs w:val="24"/>
                <w:rtl/>
              </w:rPr>
              <w:t>וצונ</w:t>
            </w:r>
            <w:proofErr w:type="spellEnd"/>
            <w:r w:rsidR="00A42CF4">
              <w:rPr>
                <w:rFonts w:ascii="David" w:eastAsia="Times New Roman" w:hAnsi="David" w:cs="David" w:hint="cs"/>
                <w:sz w:val="24"/>
                <w:szCs w:val="24"/>
                <w:rtl/>
              </w:rPr>
              <w:t xml:space="preserve"> הכהן ושחט את </w:t>
            </w:r>
            <w:proofErr w:type="spellStart"/>
            <w:r w:rsidR="00A42CF4">
              <w:rPr>
                <w:rFonts w:ascii="David" w:eastAsia="Times New Roman" w:hAnsi="David" w:cs="David" w:hint="cs"/>
                <w:sz w:val="24"/>
                <w:szCs w:val="24"/>
                <w:rtl/>
              </w:rPr>
              <w:t>הצפור</w:t>
            </w:r>
            <w:proofErr w:type="spellEnd"/>
            <w:r w:rsidR="00A42CF4">
              <w:rPr>
                <w:rFonts w:ascii="David" w:eastAsia="Times New Roman" w:hAnsi="David" w:cs="David" w:hint="cs"/>
                <w:sz w:val="24"/>
                <w:szCs w:val="24"/>
                <w:rtl/>
              </w:rPr>
              <w:t xml:space="preserve"> האחת אל כלי חרש... ושלח את </w:t>
            </w:r>
            <w:proofErr w:type="spellStart"/>
            <w:r w:rsidR="00A42CF4">
              <w:rPr>
                <w:rFonts w:ascii="David" w:eastAsia="Times New Roman" w:hAnsi="David" w:cs="David" w:hint="cs"/>
                <w:sz w:val="24"/>
                <w:szCs w:val="24"/>
                <w:rtl/>
              </w:rPr>
              <w:t>הצפור</w:t>
            </w:r>
            <w:proofErr w:type="spellEnd"/>
            <w:r w:rsidR="00A42CF4">
              <w:rPr>
                <w:rFonts w:ascii="David" w:eastAsia="Times New Roman" w:hAnsi="David" w:cs="David" w:hint="cs"/>
                <w:sz w:val="24"/>
                <w:szCs w:val="24"/>
                <w:rtl/>
              </w:rPr>
              <w:t xml:space="preserve"> החיה על פני השדה"</w:t>
            </w:r>
            <w:r w:rsidR="00E348F8">
              <w:rPr>
                <w:rFonts w:ascii="David" w:eastAsia="Times New Roman" w:hAnsi="David" w:cs="David" w:hint="cs"/>
                <w:sz w:val="24"/>
                <w:szCs w:val="24"/>
                <w:rtl/>
              </w:rPr>
              <w:t>.</w:t>
            </w:r>
            <w:r w:rsidR="00A42CF4">
              <w:rPr>
                <w:rFonts w:ascii="David" w:eastAsia="Times New Roman" w:hAnsi="David" w:cs="David" w:hint="cs"/>
                <w:sz w:val="24"/>
                <w:szCs w:val="24"/>
                <w:rtl/>
              </w:rPr>
              <w:t xml:space="preserve"> (4–7)</w:t>
            </w:r>
          </w:p>
        </w:tc>
        <w:tc>
          <w:tcPr>
            <w:tcW w:w="2766" w:type="dxa"/>
          </w:tcPr>
          <w:p w14:paraId="4BD04837" w14:textId="5F73AFD1" w:rsidR="00BB510A" w:rsidRDefault="00A42CF4" w:rsidP="00525336">
            <w:pPr>
              <w:spacing w:after="187" w:line="290" w:lineRule="atLeast"/>
              <w:rPr>
                <w:rFonts w:ascii="David" w:eastAsia="Times New Roman" w:hAnsi="David" w:cs="David"/>
                <w:sz w:val="24"/>
                <w:szCs w:val="24"/>
                <w:rtl/>
              </w:rPr>
            </w:pPr>
            <w:r>
              <w:rPr>
                <w:rFonts w:ascii="David" w:eastAsia="Times New Roman" w:hAnsi="David" w:cs="David" w:hint="cs"/>
                <w:sz w:val="24"/>
                <w:szCs w:val="24"/>
                <w:rtl/>
              </w:rPr>
              <w:t xml:space="preserve">"עליך לשרוף חוגלה אחת וסרטן </w:t>
            </w:r>
            <w:r w:rsidR="00D9144B">
              <w:rPr>
                <w:rFonts w:ascii="David" w:eastAsia="Times New Roman" w:hAnsi="David" w:cs="David" w:hint="cs"/>
                <w:sz w:val="24"/>
                <w:szCs w:val="24"/>
                <w:rtl/>
              </w:rPr>
              <w:t>ב</w:t>
            </w:r>
            <w:r>
              <w:rPr>
                <w:rFonts w:ascii="David" w:eastAsia="Times New Roman" w:hAnsi="David" w:cs="David" w:hint="cs"/>
                <w:sz w:val="24"/>
                <w:szCs w:val="24"/>
                <w:rtl/>
              </w:rPr>
              <w:t>פני שמש, [ו] עם חוגלה [</w:t>
            </w:r>
            <w:r w:rsidR="000374F4">
              <w:rPr>
                <w:rFonts w:ascii="David" w:eastAsia="Times New Roman" w:hAnsi="David" w:cs="David" w:hint="cs"/>
                <w:sz w:val="24"/>
                <w:szCs w:val="24"/>
                <w:rtl/>
              </w:rPr>
              <w:t>נוספת</w:t>
            </w:r>
            <w:r>
              <w:rPr>
                <w:rFonts w:ascii="David" w:eastAsia="Times New Roman" w:hAnsi="David" w:cs="David" w:hint="cs"/>
                <w:sz w:val="24"/>
                <w:szCs w:val="24"/>
                <w:rtl/>
              </w:rPr>
              <w:t>] עליך לנגב את גופו והוא ישחרר [אותו]"</w:t>
            </w:r>
            <w:r w:rsidR="009640A8">
              <w:rPr>
                <w:rFonts w:ascii="David" w:eastAsia="Times New Roman" w:hAnsi="David" w:cs="David" w:hint="cs"/>
                <w:sz w:val="24"/>
                <w:szCs w:val="24"/>
                <w:rtl/>
              </w:rPr>
              <w:t>.</w:t>
            </w:r>
            <w:r>
              <w:rPr>
                <w:rFonts w:ascii="David" w:eastAsia="Times New Roman" w:hAnsi="David" w:cs="David" w:hint="cs"/>
                <w:sz w:val="24"/>
                <w:szCs w:val="24"/>
                <w:rtl/>
              </w:rPr>
              <w:t xml:space="preserve"> (</w:t>
            </w:r>
            <w:r w:rsidR="00D9144B">
              <w:rPr>
                <w:rFonts w:ascii="David" w:eastAsia="Times New Roman" w:hAnsi="David" w:cs="David" w:hint="cs"/>
                <w:sz w:val="24"/>
                <w:szCs w:val="24"/>
                <w:rtl/>
              </w:rPr>
              <w:t>87–</w:t>
            </w:r>
            <w:r w:rsidR="00593978">
              <w:rPr>
                <w:rFonts w:ascii="David" w:eastAsia="Times New Roman" w:hAnsi="David" w:cs="David" w:hint="cs"/>
                <w:sz w:val="24"/>
                <w:szCs w:val="24"/>
                <w:rtl/>
              </w:rPr>
              <w:t>9</w:t>
            </w:r>
            <w:r>
              <w:rPr>
                <w:rFonts w:ascii="David" w:eastAsia="Times New Roman" w:hAnsi="David" w:cs="David" w:hint="cs"/>
                <w:sz w:val="24"/>
                <w:szCs w:val="24"/>
                <w:rtl/>
              </w:rPr>
              <w:t>)</w:t>
            </w:r>
          </w:p>
          <w:p w14:paraId="6B41C227" w14:textId="35F57E1D" w:rsidR="00A42CF4" w:rsidRDefault="00D9144B" w:rsidP="00525336">
            <w:pPr>
              <w:spacing w:after="187" w:line="290" w:lineRule="atLeast"/>
              <w:rPr>
                <w:rFonts w:ascii="David" w:eastAsia="Times New Roman" w:hAnsi="David" w:cs="David"/>
                <w:sz w:val="24"/>
                <w:szCs w:val="24"/>
                <w:rtl/>
              </w:rPr>
            </w:pPr>
            <w:r w:rsidRPr="00D9144B">
              <w:rPr>
                <w:rFonts w:ascii="David" w:eastAsia="Times New Roman" w:hAnsi="David" w:cs="David" w:hint="cs"/>
                <w:sz w:val="24"/>
                <w:szCs w:val="24"/>
                <w:highlight w:val="yellow"/>
                <w:rtl/>
              </w:rPr>
              <w:t>(תרגום שלי)</w:t>
            </w:r>
          </w:p>
        </w:tc>
      </w:tr>
      <w:bookmarkEnd w:id="0"/>
    </w:tbl>
    <w:p w14:paraId="10E4455A" w14:textId="474E3771" w:rsidR="002776DE" w:rsidRDefault="002776DE" w:rsidP="00525336">
      <w:pPr>
        <w:spacing w:after="187" w:line="290" w:lineRule="atLeast"/>
        <w:rPr>
          <w:rFonts w:ascii="David" w:eastAsia="Times New Roman" w:hAnsi="David" w:cs="David"/>
          <w:sz w:val="24"/>
          <w:szCs w:val="24"/>
          <w:rtl/>
        </w:rPr>
      </w:pPr>
    </w:p>
    <w:p w14:paraId="1C58E71F" w14:textId="19A74949" w:rsidR="002776DE" w:rsidRDefault="002776DE" w:rsidP="00525336">
      <w:pPr>
        <w:spacing w:after="187" w:line="290" w:lineRule="atLeast"/>
        <w:rPr>
          <w:rFonts w:ascii="David" w:eastAsia="Times New Roman" w:hAnsi="David" w:cs="David"/>
          <w:sz w:val="24"/>
          <w:szCs w:val="24"/>
          <w:rtl/>
        </w:rPr>
      </w:pPr>
    </w:p>
    <w:p w14:paraId="41B331C3" w14:textId="1288E12E" w:rsidR="002776DE" w:rsidRDefault="002776DE" w:rsidP="00525336">
      <w:pPr>
        <w:spacing w:after="187" w:line="290" w:lineRule="atLeast"/>
        <w:rPr>
          <w:rFonts w:ascii="David" w:eastAsia="Times New Roman" w:hAnsi="David" w:cs="David"/>
          <w:sz w:val="24"/>
          <w:szCs w:val="24"/>
          <w:rtl/>
        </w:rPr>
      </w:pPr>
    </w:p>
    <w:p w14:paraId="67F9CE0D" w14:textId="73EC4F76" w:rsidR="002776DE" w:rsidRDefault="002776DE" w:rsidP="008E741D">
      <w:pPr>
        <w:spacing w:after="187" w:line="360" w:lineRule="auto"/>
        <w:rPr>
          <w:rFonts w:ascii="David" w:eastAsia="Times New Roman" w:hAnsi="David" w:cs="David"/>
          <w:sz w:val="24"/>
          <w:szCs w:val="24"/>
          <w:rtl/>
        </w:rPr>
      </w:pPr>
      <w:r>
        <w:rPr>
          <w:rFonts w:ascii="David" w:eastAsia="Times New Roman" w:hAnsi="David" w:cs="David" w:hint="cs"/>
          <w:sz w:val="24"/>
          <w:szCs w:val="24"/>
          <w:rtl/>
        </w:rPr>
        <w:t>כפי ש</w:t>
      </w:r>
      <w:r w:rsidR="008E741D">
        <w:rPr>
          <w:rFonts w:ascii="David" w:eastAsia="Times New Roman" w:hAnsi="David" w:cs="David" w:hint="cs"/>
          <w:sz w:val="24"/>
          <w:szCs w:val="24"/>
          <w:rtl/>
        </w:rPr>
        <w:t>צוין</w:t>
      </w:r>
      <w:r w:rsidR="009B60A9">
        <w:rPr>
          <w:rFonts w:ascii="David" w:eastAsia="Times New Roman" w:hAnsi="David" w:cs="David" w:hint="cs"/>
          <w:sz w:val="24"/>
          <w:szCs w:val="24"/>
          <w:rtl/>
        </w:rPr>
        <w:t xml:space="preserve">, ההליכים האבחנתיים המפורטים </w:t>
      </w:r>
      <w:r w:rsidR="000374F4">
        <w:rPr>
          <w:rFonts w:ascii="David" w:eastAsia="Times New Roman" w:hAnsi="David" w:cs="David" w:hint="cs"/>
          <w:sz w:val="24"/>
          <w:szCs w:val="24"/>
          <w:rtl/>
        </w:rPr>
        <w:t>המתוארים</w:t>
      </w:r>
      <w:r w:rsidR="009B60A9">
        <w:rPr>
          <w:rFonts w:ascii="David" w:eastAsia="Times New Roman" w:hAnsi="David" w:cs="David" w:hint="cs"/>
          <w:sz w:val="24"/>
          <w:szCs w:val="24"/>
          <w:rtl/>
        </w:rPr>
        <w:t xml:space="preserve"> בספר ויקרא 13 מקבילים ל</w:t>
      </w:r>
      <w:r w:rsidR="006B12BD">
        <w:rPr>
          <w:rFonts w:ascii="David" w:eastAsia="Times New Roman" w:hAnsi="David" w:cs="David" w:hint="cs"/>
          <w:sz w:val="24"/>
          <w:szCs w:val="24"/>
          <w:rtl/>
        </w:rPr>
        <w:t>תיאור המפורט של תסמיני ה-</w:t>
      </w:r>
      <w:r w:rsidR="006B12BD" w:rsidRPr="006B12BD">
        <w:rPr>
          <w:rFonts w:ascii="Times New Roman" w:eastAsia="Times New Roman" w:hAnsi="Times New Roman" w:cs="Times New Roman"/>
          <w:i/>
          <w:iCs/>
          <w:color w:val="000000"/>
          <w:sz w:val="16"/>
          <w:lang w:bidi="ar-SA"/>
        </w:rPr>
        <w:t xml:space="preserve"> </w:t>
      </w:r>
      <w:proofErr w:type="spellStart"/>
      <w:r w:rsidR="006B12BD" w:rsidRPr="0090141D">
        <w:rPr>
          <w:rFonts w:ascii="Times New Roman" w:eastAsia="Times New Roman" w:hAnsi="Times New Roman" w:cs="Times New Roman"/>
          <w:i/>
          <w:iCs/>
          <w:color w:val="000000"/>
          <w:sz w:val="16"/>
          <w:lang w:bidi="ar-SA"/>
        </w:rPr>
        <w:t>saḫaršubbû</w:t>
      </w:r>
      <w:proofErr w:type="spellEnd"/>
      <w:r w:rsidR="006B12BD">
        <w:rPr>
          <w:rFonts w:ascii="David" w:eastAsia="Times New Roman" w:hAnsi="David" w:cs="David" w:hint="cs"/>
          <w:sz w:val="24"/>
          <w:szCs w:val="24"/>
          <w:rtl/>
        </w:rPr>
        <w:t xml:space="preserve"> כפי ש</w:t>
      </w:r>
      <w:r w:rsidR="00C6075B">
        <w:rPr>
          <w:rFonts w:ascii="David" w:eastAsia="Times New Roman" w:hAnsi="David" w:cs="David" w:hint="cs"/>
          <w:sz w:val="24"/>
          <w:szCs w:val="24"/>
          <w:rtl/>
        </w:rPr>
        <w:t>נרמז</w:t>
      </w:r>
      <w:r w:rsidR="006B12BD">
        <w:rPr>
          <w:rFonts w:ascii="David" w:eastAsia="Times New Roman" w:hAnsi="David" w:cs="David" w:hint="cs"/>
          <w:sz w:val="24"/>
          <w:szCs w:val="24"/>
          <w:rtl/>
        </w:rPr>
        <w:t xml:space="preserve"> ב-1</w:t>
      </w:r>
      <w:r w:rsidR="006B12BD">
        <w:rPr>
          <w:rFonts w:ascii="David" w:eastAsia="Times New Roman" w:hAnsi="David" w:cs="David" w:hint="cs"/>
          <w:sz w:val="24"/>
          <w:szCs w:val="24"/>
        </w:rPr>
        <w:t>I</w:t>
      </w:r>
      <w:r w:rsidR="006B12BD">
        <w:rPr>
          <w:rFonts w:ascii="David" w:eastAsia="Times New Roman" w:hAnsi="David" w:cs="David" w:hint="cs"/>
          <w:sz w:val="24"/>
          <w:szCs w:val="24"/>
          <w:rtl/>
        </w:rPr>
        <w:t xml:space="preserve">. 50–84 בלוח </w:t>
      </w:r>
      <w:r w:rsidR="008E741D">
        <w:rPr>
          <w:rFonts w:ascii="David" w:eastAsia="Times New Roman" w:hAnsi="David" w:cs="David"/>
          <w:sz w:val="24"/>
          <w:szCs w:val="24"/>
        </w:rPr>
        <w:t xml:space="preserve">. </w:t>
      </w:r>
      <w:r w:rsidR="006B12BD" w:rsidRPr="006B12BD">
        <w:rPr>
          <w:rFonts w:ascii="Times New Roman" w:eastAsia="Times New Roman" w:hAnsi="Times New Roman" w:cs="Times New Roman"/>
          <w:color w:val="000000"/>
          <w:sz w:val="16"/>
          <w:szCs w:val="16"/>
          <w:lang w:bidi="ar-SA"/>
        </w:rPr>
        <w:t xml:space="preserve"> </w:t>
      </w:r>
      <w:proofErr w:type="spellStart"/>
      <w:r w:rsidR="006B12BD" w:rsidRPr="002A2E5E">
        <w:rPr>
          <w:rFonts w:ascii="Times New Roman" w:eastAsia="Times New Roman" w:hAnsi="Times New Roman" w:cs="Times New Roman"/>
          <w:color w:val="000000"/>
          <w:sz w:val="16"/>
          <w:szCs w:val="16"/>
          <w:lang w:bidi="ar-SA"/>
        </w:rPr>
        <w:t>Emar</w:t>
      </w:r>
      <w:proofErr w:type="spellEnd"/>
      <w:r w:rsidR="006B12BD">
        <w:rPr>
          <w:rFonts w:ascii="David" w:eastAsia="Times New Roman" w:hAnsi="David" w:cs="David" w:hint="cs"/>
          <w:sz w:val="24"/>
          <w:szCs w:val="24"/>
          <w:rtl/>
        </w:rPr>
        <w:t>בהמשך</w:t>
      </w:r>
      <w:r w:rsidR="00993FFE">
        <w:rPr>
          <w:rFonts w:ascii="David" w:eastAsia="Times New Roman" w:hAnsi="David" w:cs="David" w:hint="cs"/>
          <w:sz w:val="24"/>
          <w:szCs w:val="24"/>
          <w:rtl/>
        </w:rPr>
        <w:t xml:space="preserve"> לכך</w:t>
      </w:r>
      <w:r w:rsidR="006B12BD">
        <w:rPr>
          <w:rFonts w:ascii="David" w:eastAsia="Times New Roman" w:hAnsi="David" w:cs="David" w:hint="cs"/>
          <w:sz w:val="24"/>
          <w:szCs w:val="24"/>
          <w:rtl/>
        </w:rPr>
        <w:t>, ויקרא 14 מקביל ל</w:t>
      </w:r>
      <w:r w:rsidR="00993FFE">
        <w:rPr>
          <w:rFonts w:ascii="David" w:eastAsia="Times New Roman" w:hAnsi="David" w:cs="David" w:hint="cs"/>
          <w:sz w:val="24"/>
          <w:szCs w:val="24"/>
          <w:rtl/>
        </w:rPr>
        <w:t>קטע</w:t>
      </w:r>
      <w:r w:rsidR="006B12BD">
        <w:rPr>
          <w:rFonts w:ascii="David" w:eastAsia="Times New Roman" w:hAnsi="David" w:cs="David" w:hint="cs"/>
          <w:sz w:val="24"/>
          <w:szCs w:val="24"/>
          <w:rtl/>
        </w:rPr>
        <w:t xml:space="preserve"> בשורות 85–89 בלוח </w:t>
      </w:r>
      <w:proofErr w:type="spellStart"/>
      <w:r w:rsidR="006B12BD" w:rsidRPr="002A2E5E">
        <w:rPr>
          <w:rFonts w:ascii="Times New Roman" w:eastAsia="Times New Roman" w:hAnsi="Times New Roman" w:cs="Times New Roman"/>
          <w:color w:val="000000"/>
          <w:sz w:val="16"/>
          <w:szCs w:val="16"/>
          <w:lang w:bidi="ar-SA"/>
        </w:rPr>
        <w:t>Emar</w:t>
      </w:r>
      <w:proofErr w:type="spellEnd"/>
      <w:r w:rsidR="006B12BD">
        <w:rPr>
          <w:rFonts w:ascii="David" w:eastAsia="Times New Roman" w:hAnsi="David" w:cs="David" w:hint="cs"/>
          <w:sz w:val="24"/>
          <w:szCs w:val="24"/>
          <w:rtl/>
        </w:rPr>
        <w:t xml:space="preserve"> העוסק במטופל "לאחר החלמתו" </w:t>
      </w:r>
      <w:r w:rsidR="006B12BD" w:rsidRPr="002A2E5E">
        <w:rPr>
          <w:rFonts w:ascii="Times New Roman" w:eastAsia="Times New Roman" w:hAnsi="Times New Roman" w:cs="Times New Roman"/>
          <w:color w:val="000000"/>
          <w:sz w:val="16"/>
          <w:szCs w:val="16"/>
          <w:lang w:bidi="ar-SA"/>
        </w:rPr>
        <w:t>(</w:t>
      </w:r>
      <w:proofErr w:type="spellStart"/>
      <w:r w:rsidR="006B12BD" w:rsidRPr="0090141D">
        <w:rPr>
          <w:rFonts w:ascii="Times New Roman" w:eastAsia="Times New Roman" w:hAnsi="Times New Roman" w:cs="Times New Roman"/>
          <w:i/>
          <w:iCs/>
          <w:color w:val="000000"/>
          <w:sz w:val="16"/>
          <w:lang w:bidi="ar-SA"/>
        </w:rPr>
        <w:t>kīmê</w:t>
      </w:r>
      <w:proofErr w:type="spellEnd"/>
      <w:r w:rsidR="006B12BD" w:rsidRPr="0090141D">
        <w:rPr>
          <w:rFonts w:ascii="Times New Roman" w:eastAsia="Times New Roman" w:hAnsi="Times New Roman" w:cs="Times New Roman"/>
          <w:i/>
          <w:iCs/>
          <w:color w:val="000000"/>
          <w:sz w:val="16"/>
          <w:lang w:bidi="ar-SA"/>
        </w:rPr>
        <w:t xml:space="preserve"> </w:t>
      </w:r>
      <w:proofErr w:type="spellStart"/>
      <w:r w:rsidR="006B12BD" w:rsidRPr="0090141D">
        <w:rPr>
          <w:rFonts w:ascii="Times New Roman" w:eastAsia="Times New Roman" w:hAnsi="Times New Roman" w:cs="Times New Roman"/>
          <w:i/>
          <w:iCs/>
          <w:color w:val="000000"/>
          <w:sz w:val="16"/>
          <w:lang w:bidi="ar-SA"/>
        </w:rPr>
        <w:t>ibluṭ</w:t>
      </w:r>
      <w:proofErr w:type="spellEnd"/>
      <w:r w:rsidR="006B12BD" w:rsidRPr="0090141D">
        <w:rPr>
          <w:rFonts w:ascii="Times New Roman" w:eastAsia="Times New Roman" w:hAnsi="Times New Roman" w:cs="Times New Roman"/>
          <w:i/>
          <w:iCs/>
          <w:color w:val="000000"/>
          <w:sz w:val="16"/>
          <w:lang w:bidi="ar-SA"/>
        </w:rPr>
        <w:t> </w:t>
      </w:r>
      <w:r w:rsidR="006B12BD" w:rsidRPr="002A2E5E">
        <w:rPr>
          <w:rFonts w:ascii="Times New Roman" w:eastAsia="Times New Roman" w:hAnsi="Times New Roman" w:cs="Times New Roman"/>
          <w:color w:val="000000"/>
          <w:sz w:val="16"/>
          <w:szCs w:val="16"/>
          <w:lang w:bidi="ar-SA"/>
        </w:rPr>
        <w:t>[TI-</w:t>
      </w:r>
      <w:proofErr w:type="spellStart"/>
      <w:proofErr w:type="gramStart"/>
      <w:r w:rsidR="006B12BD" w:rsidRPr="0090141D">
        <w:rPr>
          <w:rFonts w:ascii="Times New Roman" w:eastAsia="Times New Roman" w:hAnsi="Times New Roman" w:cs="Times New Roman"/>
          <w:i/>
          <w:iCs/>
          <w:color w:val="000000"/>
          <w:sz w:val="16"/>
          <w:lang w:bidi="ar-SA"/>
        </w:rPr>
        <w:t>uṭ</w:t>
      </w:r>
      <w:proofErr w:type="spellEnd"/>
      <w:r w:rsidR="006B12BD" w:rsidRPr="002A2E5E">
        <w:rPr>
          <w:rFonts w:ascii="Times New Roman" w:eastAsia="Times New Roman" w:hAnsi="Times New Roman" w:cs="Times New Roman"/>
          <w:color w:val="000000"/>
          <w:sz w:val="16"/>
          <w:szCs w:val="16"/>
          <w:lang w:bidi="ar-SA"/>
        </w:rPr>
        <w:t>]).</w:t>
      </w:r>
      <w:r w:rsidR="00E16156">
        <w:rPr>
          <w:rFonts w:ascii="David" w:eastAsia="Times New Roman" w:hAnsi="David" w:cs="David" w:hint="cs"/>
          <w:sz w:val="24"/>
          <w:szCs w:val="24"/>
          <w:rtl/>
        </w:rPr>
        <w:t>.</w:t>
      </w:r>
      <w:proofErr w:type="gramEnd"/>
    </w:p>
    <w:p w14:paraId="2B99512F" w14:textId="4BB16930" w:rsidR="00E16156" w:rsidRDefault="00E16156"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 xml:space="preserve">השוואה זו </w:t>
      </w:r>
      <w:r w:rsidR="004A30C0">
        <w:rPr>
          <w:rFonts w:ascii="David" w:eastAsia="Times New Roman" w:hAnsi="David" w:cs="David" w:hint="cs"/>
          <w:sz w:val="24"/>
          <w:szCs w:val="24"/>
          <w:rtl/>
        </w:rPr>
        <w:t xml:space="preserve">מדגישה את מה שחסר במקרא: ההעדר הבולט של כל טיפול </w:t>
      </w:r>
      <w:r w:rsidR="00C6075B">
        <w:rPr>
          <w:rFonts w:ascii="David" w:eastAsia="Times New Roman" w:hAnsi="David" w:cs="David" w:hint="cs"/>
          <w:sz w:val="24"/>
          <w:szCs w:val="24"/>
          <w:rtl/>
        </w:rPr>
        <w:t>ב</w:t>
      </w:r>
      <w:r w:rsidR="00993FFE">
        <w:rPr>
          <w:rFonts w:ascii="David" w:eastAsia="Times New Roman" w:hAnsi="David" w:cs="David" w:hint="cs"/>
          <w:sz w:val="24"/>
          <w:szCs w:val="24"/>
          <w:rtl/>
        </w:rPr>
        <w:t>מצורע</w:t>
      </w:r>
      <w:r w:rsidR="004A30C0">
        <w:rPr>
          <w:rFonts w:ascii="David" w:eastAsia="Times New Roman" w:hAnsi="David" w:cs="David" w:hint="cs"/>
          <w:sz w:val="24"/>
          <w:szCs w:val="24"/>
          <w:rtl/>
        </w:rPr>
        <w:t xml:space="preserve">. העדר כל טקס ריפוי בספר ויקרא 14 צוין בידי חוקרים זמן רב לפני שפורסמו הטקסטים של </w:t>
      </w:r>
      <w:proofErr w:type="spellStart"/>
      <w:r w:rsidR="004A30C0" w:rsidRPr="002A2E5E">
        <w:rPr>
          <w:rFonts w:ascii="Times New Roman" w:eastAsia="Times New Roman" w:hAnsi="Times New Roman" w:cs="Times New Roman"/>
          <w:color w:val="000000"/>
          <w:sz w:val="16"/>
          <w:szCs w:val="16"/>
          <w:lang w:bidi="ar-SA"/>
        </w:rPr>
        <w:t>Emar</w:t>
      </w:r>
      <w:proofErr w:type="spellEnd"/>
      <w:r w:rsidR="004A30C0">
        <w:rPr>
          <w:rFonts w:ascii="David" w:eastAsia="Times New Roman" w:hAnsi="David" w:cs="David" w:hint="cs"/>
          <w:sz w:val="24"/>
          <w:szCs w:val="24"/>
          <w:rtl/>
        </w:rPr>
        <w:t>,</w:t>
      </w:r>
      <w:r w:rsidR="004A30C0">
        <w:rPr>
          <w:rStyle w:val="a5"/>
          <w:rFonts w:ascii="David" w:eastAsia="Times New Roman" w:hAnsi="David" w:cs="David"/>
          <w:sz w:val="24"/>
          <w:szCs w:val="24"/>
          <w:rtl/>
        </w:rPr>
        <w:footnoteReference w:id="10"/>
      </w:r>
      <w:r w:rsidR="004A30C0">
        <w:rPr>
          <w:rFonts w:ascii="David" w:eastAsia="Times New Roman" w:hAnsi="David" w:cs="David" w:hint="cs"/>
          <w:sz w:val="24"/>
          <w:szCs w:val="24"/>
          <w:rtl/>
        </w:rPr>
        <w:t xml:space="preserve"> אך הה</w:t>
      </w:r>
      <w:r w:rsidR="007C3CFA">
        <w:rPr>
          <w:rFonts w:ascii="David" w:eastAsia="Times New Roman" w:hAnsi="David" w:cs="David" w:hint="cs"/>
          <w:sz w:val="24"/>
          <w:szCs w:val="24"/>
          <w:rtl/>
        </w:rPr>
        <w:t>קבלה</w:t>
      </w:r>
      <w:r w:rsidR="004A30C0">
        <w:rPr>
          <w:rFonts w:ascii="David" w:eastAsia="Times New Roman" w:hAnsi="David" w:cs="David" w:hint="cs"/>
          <w:sz w:val="24"/>
          <w:szCs w:val="24"/>
          <w:rtl/>
        </w:rPr>
        <w:t xml:space="preserve"> שמבחינות אחרות </w:t>
      </w:r>
      <w:r w:rsidR="007C3CFA">
        <w:rPr>
          <w:rFonts w:ascii="David" w:eastAsia="Times New Roman" w:hAnsi="David" w:cs="David" w:hint="cs"/>
          <w:sz w:val="24"/>
          <w:szCs w:val="24"/>
          <w:rtl/>
        </w:rPr>
        <w:t>קרובה</w:t>
      </w:r>
      <w:r w:rsidR="004A30C0">
        <w:rPr>
          <w:rFonts w:ascii="David" w:eastAsia="Times New Roman" w:hAnsi="David" w:cs="David" w:hint="cs"/>
          <w:sz w:val="24"/>
          <w:szCs w:val="24"/>
          <w:rtl/>
        </w:rPr>
        <w:t xml:space="preserve"> מאוד לטקס </w:t>
      </w:r>
      <w:proofErr w:type="spellStart"/>
      <w:r w:rsidR="004A30C0" w:rsidRPr="002A2E5E">
        <w:rPr>
          <w:rFonts w:ascii="Times New Roman" w:eastAsia="Times New Roman" w:hAnsi="Times New Roman" w:cs="Times New Roman"/>
          <w:color w:val="000000"/>
          <w:sz w:val="16"/>
          <w:szCs w:val="16"/>
          <w:lang w:bidi="ar-SA"/>
        </w:rPr>
        <w:t>Emar</w:t>
      </w:r>
      <w:proofErr w:type="spellEnd"/>
      <w:r w:rsidR="004A30C0">
        <w:rPr>
          <w:rFonts w:ascii="David" w:eastAsia="Times New Roman" w:hAnsi="David" w:cs="David" w:hint="cs"/>
          <w:sz w:val="24"/>
          <w:szCs w:val="24"/>
          <w:rtl/>
        </w:rPr>
        <w:t xml:space="preserve"> מבליטה עוד יותר השמט</w:t>
      </w:r>
      <w:r w:rsidR="00531BB1">
        <w:rPr>
          <w:rFonts w:ascii="David" w:eastAsia="Times New Roman" w:hAnsi="David" w:cs="David" w:hint="cs"/>
          <w:sz w:val="24"/>
          <w:szCs w:val="24"/>
          <w:rtl/>
        </w:rPr>
        <w:t xml:space="preserve">ה </w:t>
      </w:r>
      <w:r w:rsidR="00AE23F3">
        <w:rPr>
          <w:rFonts w:ascii="David" w:eastAsia="Times New Roman" w:hAnsi="David" w:cs="David" w:hint="cs"/>
          <w:sz w:val="24"/>
          <w:szCs w:val="24"/>
          <w:rtl/>
        </w:rPr>
        <w:t>זו</w:t>
      </w:r>
      <w:r w:rsidR="004A30C0">
        <w:rPr>
          <w:rFonts w:ascii="David" w:eastAsia="Times New Roman" w:hAnsi="David" w:cs="David" w:hint="cs"/>
          <w:sz w:val="24"/>
          <w:szCs w:val="24"/>
          <w:rtl/>
        </w:rPr>
        <w:t>.</w:t>
      </w:r>
    </w:p>
    <w:p w14:paraId="2C9D8AFE" w14:textId="09C25F6E" w:rsidR="004A30C0" w:rsidRDefault="00272DA5"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העובדה</w:t>
      </w:r>
      <w:r w:rsidR="00F17CDF">
        <w:rPr>
          <w:rFonts w:ascii="David" w:eastAsia="Times New Roman" w:hAnsi="David" w:cs="David" w:hint="cs"/>
          <w:sz w:val="24"/>
          <w:szCs w:val="24"/>
          <w:rtl/>
        </w:rPr>
        <w:t xml:space="preserve"> </w:t>
      </w:r>
      <w:r w:rsidR="004A30C0">
        <w:rPr>
          <w:rFonts w:ascii="David" w:eastAsia="Times New Roman" w:hAnsi="David" w:cs="David" w:hint="cs"/>
          <w:sz w:val="24"/>
          <w:szCs w:val="24"/>
          <w:rtl/>
        </w:rPr>
        <w:t xml:space="preserve">שטקסי ריפוי היו קיימים </w:t>
      </w:r>
      <w:r w:rsidR="00F17CDF">
        <w:rPr>
          <w:rFonts w:ascii="David" w:eastAsia="Times New Roman" w:hAnsi="David" w:cs="David" w:hint="cs"/>
          <w:sz w:val="24"/>
          <w:szCs w:val="24"/>
          <w:rtl/>
        </w:rPr>
        <w:t xml:space="preserve">אצל העברים הקדמונים </w:t>
      </w:r>
      <w:r w:rsidR="009640A8">
        <w:rPr>
          <w:rFonts w:ascii="David" w:eastAsia="Times New Roman" w:hAnsi="David" w:cs="David" w:hint="cs"/>
          <w:sz w:val="24"/>
          <w:szCs w:val="24"/>
          <w:rtl/>
        </w:rPr>
        <w:t>נתמכת</w:t>
      </w:r>
      <w:r w:rsidR="00F17CDF">
        <w:rPr>
          <w:rFonts w:ascii="David" w:eastAsia="Times New Roman" w:hAnsi="David" w:cs="David" w:hint="cs"/>
          <w:sz w:val="24"/>
          <w:szCs w:val="24"/>
          <w:rtl/>
        </w:rPr>
        <w:t xml:space="preserve"> </w:t>
      </w:r>
      <w:r>
        <w:rPr>
          <w:rFonts w:ascii="David" w:eastAsia="Times New Roman" w:hAnsi="David" w:cs="David" w:hint="cs"/>
          <w:sz w:val="24"/>
          <w:szCs w:val="24"/>
          <w:rtl/>
        </w:rPr>
        <w:t xml:space="preserve">לא </w:t>
      </w:r>
      <w:r w:rsidR="00F17CDF">
        <w:rPr>
          <w:rFonts w:ascii="David" w:eastAsia="Times New Roman" w:hAnsi="David" w:cs="David" w:hint="cs"/>
          <w:sz w:val="24"/>
          <w:szCs w:val="24"/>
          <w:rtl/>
        </w:rPr>
        <w:t xml:space="preserve">רק בראיות חוץ-מקראיות מתרבויות שכנות אלא גם </w:t>
      </w:r>
      <w:r>
        <w:rPr>
          <w:rFonts w:ascii="David" w:eastAsia="Times New Roman" w:hAnsi="David" w:cs="David" w:hint="cs"/>
          <w:sz w:val="24"/>
          <w:szCs w:val="24"/>
          <w:rtl/>
        </w:rPr>
        <w:t>מ</w:t>
      </w:r>
      <w:r w:rsidR="009640A8">
        <w:rPr>
          <w:rFonts w:ascii="David" w:eastAsia="Times New Roman" w:hAnsi="David" w:cs="David" w:hint="cs"/>
          <w:sz w:val="24"/>
          <w:szCs w:val="24"/>
          <w:rtl/>
        </w:rPr>
        <w:t xml:space="preserve">ן </w:t>
      </w:r>
      <w:r>
        <w:rPr>
          <w:rFonts w:ascii="David" w:eastAsia="Times New Roman" w:hAnsi="David" w:cs="David" w:hint="cs"/>
          <w:sz w:val="24"/>
          <w:szCs w:val="24"/>
          <w:rtl/>
        </w:rPr>
        <w:t>ה</w:t>
      </w:r>
      <w:r w:rsidR="00F17CDF">
        <w:rPr>
          <w:rFonts w:ascii="David" w:eastAsia="Times New Roman" w:hAnsi="David" w:cs="David" w:hint="cs"/>
          <w:sz w:val="24"/>
          <w:szCs w:val="24"/>
          <w:rtl/>
        </w:rPr>
        <w:t xml:space="preserve">מגוון הרב של </w:t>
      </w:r>
      <w:r w:rsidR="000618FA">
        <w:rPr>
          <w:rFonts w:ascii="David" w:eastAsia="Times New Roman" w:hAnsi="David" w:cs="David" w:hint="cs"/>
          <w:sz w:val="24"/>
          <w:szCs w:val="24"/>
          <w:rtl/>
        </w:rPr>
        <w:t xml:space="preserve">קמעות ופסלונים </w:t>
      </w:r>
      <w:r w:rsidR="00293BFB">
        <w:rPr>
          <w:rFonts w:ascii="David" w:eastAsia="Times New Roman" w:hAnsi="David" w:cs="David" w:hint="cs"/>
          <w:sz w:val="24"/>
          <w:szCs w:val="24"/>
          <w:rtl/>
        </w:rPr>
        <w:t>ש</w:t>
      </w:r>
      <w:r w:rsidR="000618FA">
        <w:rPr>
          <w:rFonts w:ascii="David" w:eastAsia="Times New Roman" w:hAnsi="David" w:cs="David" w:hint="cs"/>
          <w:sz w:val="24"/>
          <w:szCs w:val="24"/>
          <w:rtl/>
        </w:rPr>
        <w:t xml:space="preserve">נמצאו באתרים ארכאולוגיים </w:t>
      </w:r>
      <w:r w:rsidR="000618FA">
        <w:rPr>
          <w:rFonts w:ascii="David" w:eastAsia="Times New Roman" w:hAnsi="David" w:cs="David" w:hint="cs"/>
          <w:sz w:val="24"/>
          <w:szCs w:val="24"/>
          <w:rtl/>
        </w:rPr>
        <w:lastRenderedPageBreak/>
        <w:t xml:space="preserve">ביהודה </w:t>
      </w:r>
      <w:r>
        <w:rPr>
          <w:rFonts w:ascii="David" w:eastAsia="Times New Roman" w:hAnsi="David" w:cs="David" w:hint="cs"/>
          <w:sz w:val="24"/>
          <w:szCs w:val="24"/>
          <w:rtl/>
        </w:rPr>
        <w:t xml:space="preserve">לאורך </w:t>
      </w:r>
      <w:r w:rsidR="000618FA">
        <w:rPr>
          <w:rFonts w:ascii="David" w:eastAsia="Times New Roman" w:hAnsi="David" w:cs="David" w:hint="cs"/>
          <w:sz w:val="24"/>
          <w:szCs w:val="24"/>
          <w:rtl/>
        </w:rPr>
        <w:t xml:space="preserve">תקופת הברזל. כפי הנראה, </w:t>
      </w:r>
      <w:r w:rsidR="00BE3DA7">
        <w:rPr>
          <w:rFonts w:ascii="David" w:eastAsia="Times New Roman" w:hAnsi="David" w:cs="David" w:hint="cs"/>
          <w:sz w:val="24"/>
          <w:szCs w:val="24"/>
          <w:rtl/>
        </w:rPr>
        <w:t>אלה</w:t>
      </w:r>
      <w:r w:rsidR="000618FA">
        <w:rPr>
          <w:rFonts w:ascii="David" w:eastAsia="Times New Roman" w:hAnsi="David" w:cs="David" w:hint="cs"/>
          <w:sz w:val="24"/>
          <w:szCs w:val="24"/>
          <w:rtl/>
        </w:rPr>
        <w:t xml:space="preserve"> </w:t>
      </w:r>
      <w:r>
        <w:rPr>
          <w:rFonts w:ascii="David" w:eastAsia="Times New Roman" w:hAnsi="David" w:cs="David" w:hint="cs"/>
          <w:sz w:val="24"/>
          <w:szCs w:val="24"/>
          <w:rtl/>
        </w:rPr>
        <w:t>שימשו ב</w:t>
      </w:r>
      <w:r w:rsidR="000618FA">
        <w:rPr>
          <w:rFonts w:ascii="David" w:eastAsia="Times New Roman" w:hAnsi="David" w:cs="David" w:hint="cs"/>
          <w:sz w:val="24"/>
          <w:szCs w:val="24"/>
          <w:rtl/>
        </w:rPr>
        <w:t>תפקידים מרובים, ובכללם ריפוי והגנה מפני כוחות מסוכנים.</w:t>
      </w:r>
      <w:r w:rsidR="000618FA">
        <w:rPr>
          <w:rStyle w:val="a5"/>
          <w:rFonts w:ascii="David" w:eastAsia="Times New Roman" w:hAnsi="David" w:cs="David"/>
          <w:sz w:val="24"/>
          <w:szCs w:val="24"/>
          <w:rtl/>
        </w:rPr>
        <w:footnoteReference w:id="11"/>
      </w:r>
    </w:p>
    <w:p w14:paraId="704483BD" w14:textId="0D2D6B3A" w:rsidR="000618FA" w:rsidRDefault="000618FA"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מקורות טומאה</w:t>
      </w:r>
    </w:p>
    <w:p w14:paraId="22773BC1" w14:textId="6BB923FC" w:rsidR="000618FA" w:rsidRDefault="000618FA"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ה</w:t>
      </w:r>
      <w:r w:rsidR="002730B1">
        <w:rPr>
          <w:rFonts w:ascii="David" w:eastAsia="Times New Roman" w:hAnsi="David" w:cs="David" w:hint="cs"/>
          <w:sz w:val="24"/>
          <w:szCs w:val="24"/>
          <w:rtl/>
        </w:rPr>
        <w:t xml:space="preserve">דרך </w:t>
      </w:r>
      <w:r>
        <w:rPr>
          <w:rFonts w:ascii="David" w:eastAsia="Times New Roman" w:hAnsi="David" w:cs="David" w:hint="cs"/>
          <w:sz w:val="24"/>
          <w:szCs w:val="24"/>
          <w:rtl/>
        </w:rPr>
        <w:t>המשכנע</w:t>
      </w:r>
      <w:r w:rsidR="002730B1">
        <w:rPr>
          <w:rFonts w:ascii="David" w:eastAsia="Times New Roman" w:hAnsi="David" w:cs="David" w:hint="cs"/>
          <w:sz w:val="24"/>
          <w:szCs w:val="24"/>
          <w:rtl/>
        </w:rPr>
        <w:t>ת</w:t>
      </w:r>
      <w:r>
        <w:rPr>
          <w:rFonts w:ascii="David" w:eastAsia="Times New Roman" w:hAnsi="David" w:cs="David" w:hint="cs"/>
          <w:sz w:val="24"/>
          <w:szCs w:val="24"/>
          <w:rtl/>
        </w:rPr>
        <w:t xml:space="preserve"> ביותר להתייחס לטיפול הפרדוקסלי במצורע ה</w:t>
      </w:r>
      <w:r w:rsidR="007C3CFA">
        <w:rPr>
          <w:rFonts w:ascii="David" w:eastAsia="Times New Roman" w:hAnsi="David" w:cs="David" w:hint="cs"/>
          <w:sz w:val="24"/>
          <w:szCs w:val="24"/>
          <w:rtl/>
        </w:rPr>
        <w:t>י</w:t>
      </w:r>
      <w:r>
        <w:rPr>
          <w:rFonts w:ascii="David" w:eastAsia="Times New Roman" w:hAnsi="David" w:cs="David" w:hint="cs"/>
          <w:sz w:val="24"/>
          <w:szCs w:val="24"/>
          <w:rtl/>
        </w:rPr>
        <w:t xml:space="preserve">א להניח שמחלה זו </w:t>
      </w:r>
      <w:r w:rsidR="00840777">
        <w:rPr>
          <w:rFonts w:ascii="David" w:eastAsia="Times New Roman" w:hAnsi="David" w:cs="David" w:hint="cs"/>
          <w:sz w:val="24"/>
          <w:szCs w:val="24"/>
          <w:rtl/>
        </w:rPr>
        <w:t xml:space="preserve">הומשגה מחדש. אכן, המקרא רומז לתפיסה עתיקה יותר מזו המיוצגת בטקסטים </w:t>
      </w:r>
      <w:r w:rsidR="002730B1">
        <w:rPr>
          <w:rFonts w:ascii="David" w:eastAsia="Times New Roman" w:hAnsi="David" w:cs="David" w:hint="cs"/>
          <w:sz w:val="24"/>
          <w:szCs w:val="24"/>
          <w:rtl/>
        </w:rPr>
        <w:t>הכוהניים</w:t>
      </w:r>
      <w:r w:rsidR="00840777">
        <w:rPr>
          <w:rFonts w:ascii="David" w:eastAsia="Times New Roman" w:hAnsi="David" w:cs="David" w:hint="cs"/>
          <w:sz w:val="24"/>
          <w:szCs w:val="24"/>
          <w:rtl/>
        </w:rPr>
        <w:t>. כפי שהצעת</w:t>
      </w:r>
      <w:r w:rsidR="002730B1">
        <w:rPr>
          <w:rFonts w:ascii="David" w:eastAsia="Times New Roman" w:hAnsi="David" w:cs="David" w:hint="cs"/>
          <w:sz w:val="24"/>
          <w:szCs w:val="24"/>
          <w:rtl/>
        </w:rPr>
        <w:t>י</w:t>
      </w:r>
      <w:r w:rsidR="00840777">
        <w:rPr>
          <w:rFonts w:ascii="David" w:eastAsia="Times New Roman" w:hAnsi="David" w:cs="David" w:hint="cs"/>
          <w:sz w:val="24"/>
          <w:szCs w:val="24"/>
          <w:rtl/>
        </w:rPr>
        <w:t xml:space="preserve"> במקו</w:t>
      </w:r>
      <w:r w:rsidR="002730B1">
        <w:rPr>
          <w:rFonts w:ascii="David" w:eastAsia="Times New Roman" w:hAnsi="David" w:cs="David" w:hint="cs"/>
          <w:sz w:val="24"/>
          <w:szCs w:val="24"/>
          <w:rtl/>
        </w:rPr>
        <w:t>מות</w:t>
      </w:r>
      <w:r w:rsidR="00840777">
        <w:rPr>
          <w:rFonts w:ascii="David" w:eastAsia="Times New Roman" w:hAnsi="David" w:cs="David" w:hint="cs"/>
          <w:sz w:val="24"/>
          <w:szCs w:val="24"/>
          <w:rtl/>
        </w:rPr>
        <w:t xml:space="preserve"> אחר</w:t>
      </w:r>
      <w:r w:rsidR="002730B1">
        <w:rPr>
          <w:rFonts w:ascii="David" w:eastAsia="Times New Roman" w:hAnsi="David" w:cs="David" w:hint="cs"/>
          <w:sz w:val="24"/>
          <w:szCs w:val="24"/>
          <w:rtl/>
        </w:rPr>
        <w:t>ים</w:t>
      </w:r>
      <w:r w:rsidR="00840777">
        <w:rPr>
          <w:rFonts w:ascii="David" w:eastAsia="Times New Roman" w:hAnsi="David" w:cs="David" w:hint="cs"/>
          <w:sz w:val="24"/>
          <w:szCs w:val="24"/>
          <w:rtl/>
        </w:rPr>
        <w:t xml:space="preserve">, רעיון </w:t>
      </w:r>
      <w:r w:rsidR="00EA2E38">
        <w:rPr>
          <w:rFonts w:ascii="David" w:eastAsia="Times New Roman" w:hAnsi="David" w:cs="David" w:hint="cs"/>
          <w:sz w:val="24"/>
          <w:szCs w:val="24"/>
          <w:rtl/>
        </w:rPr>
        <w:t>ה</w:t>
      </w:r>
      <w:r w:rsidR="00840777">
        <w:rPr>
          <w:rFonts w:ascii="David" w:eastAsia="Times New Roman" w:hAnsi="David" w:cs="David" w:hint="cs"/>
          <w:sz w:val="24"/>
          <w:szCs w:val="24"/>
          <w:rtl/>
        </w:rPr>
        <w:t xml:space="preserve">טומאה משמש </w:t>
      </w:r>
      <w:r w:rsidR="007C3CFA">
        <w:rPr>
          <w:rFonts w:ascii="David" w:eastAsia="Times New Roman" w:hAnsi="David" w:cs="David" w:hint="cs"/>
          <w:sz w:val="24"/>
          <w:szCs w:val="24"/>
          <w:rtl/>
        </w:rPr>
        <w:t>בחלקו</w:t>
      </w:r>
      <w:r w:rsidR="00840777">
        <w:rPr>
          <w:rFonts w:ascii="David" w:eastAsia="Times New Roman" w:hAnsi="David" w:cs="David" w:hint="cs"/>
          <w:sz w:val="24"/>
          <w:szCs w:val="24"/>
          <w:rtl/>
        </w:rPr>
        <w:t xml:space="preserve"> כהמשגה פרה-מודרנית של </w:t>
      </w:r>
      <w:r w:rsidR="00EA2E38">
        <w:rPr>
          <w:rFonts w:ascii="David" w:eastAsia="Times New Roman" w:hAnsi="David" w:cs="David" w:hint="cs"/>
          <w:sz w:val="24"/>
          <w:szCs w:val="24"/>
          <w:rtl/>
        </w:rPr>
        <w:t>הדבקה</w:t>
      </w:r>
      <w:r w:rsidR="00840777">
        <w:rPr>
          <w:rFonts w:ascii="David" w:eastAsia="Times New Roman" w:hAnsi="David" w:cs="David" w:hint="cs"/>
          <w:sz w:val="24"/>
          <w:szCs w:val="24"/>
          <w:rtl/>
        </w:rPr>
        <w:t>,</w:t>
      </w:r>
      <w:r w:rsidR="00840777">
        <w:rPr>
          <w:rStyle w:val="a5"/>
          <w:rFonts w:ascii="David" w:eastAsia="Times New Roman" w:hAnsi="David" w:cs="David"/>
          <w:sz w:val="24"/>
          <w:szCs w:val="24"/>
          <w:rtl/>
        </w:rPr>
        <w:footnoteReference w:id="12"/>
      </w:r>
      <w:r w:rsidR="00840777">
        <w:rPr>
          <w:rFonts w:ascii="David" w:eastAsia="Times New Roman" w:hAnsi="David" w:cs="David" w:hint="cs"/>
          <w:sz w:val="24"/>
          <w:szCs w:val="24"/>
          <w:rtl/>
        </w:rPr>
        <w:t xml:space="preserve"> </w:t>
      </w:r>
      <w:r w:rsidR="00EA2E38">
        <w:rPr>
          <w:rFonts w:ascii="David" w:eastAsia="Times New Roman" w:hAnsi="David" w:cs="David" w:hint="cs"/>
          <w:sz w:val="24"/>
          <w:szCs w:val="24"/>
          <w:rtl/>
        </w:rPr>
        <w:t>במיוחד</w:t>
      </w:r>
      <w:r w:rsidR="00840777">
        <w:rPr>
          <w:rFonts w:ascii="David" w:eastAsia="Times New Roman" w:hAnsi="David" w:cs="David" w:hint="cs"/>
          <w:sz w:val="24"/>
          <w:szCs w:val="24"/>
          <w:rtl/>
        </w:rPr>
        <w:t xml:space="preserve"> </w:t>
      </w:r>
      <w:r w:rsidR="00BE3DA7">
        <w:rPr>
          <w:rFonts w:ascii="David" w:eastAsia="Times New Roman" w:hAnsi="David" w:cs="David" w:hint="cs"/>
          <w:sz w:val="24"/>
          <w:szCs w:val="24"/>
          <w:rtl/>
        </w:rPr>
        <w:t>לגבי</w:t>
      </w:r>
      <w:r w:rsidR="00840777">
        <w:rPr>
          <w:rFonts w:ascii="David" w:eastAsia="Times New Roman" w:hAnsi="David" w:cs="David" w:hint="cs"/>
          <w:sz w:val="24"/>
          <w:szCs w:val="24"/>
          <w:rtl/>
        </w:rPr>
        <w:t xml:space="preserve"> למצבים חמורים כגון צרעת וזיבה.</w:t>
      </w:r>
      <w:r w:rsidR="00840777">
        <w:rPr>
          <w:rStyle w:val="a5"/>
          <w:rFonts w:ascii="David" w:eastAsia="Times New Roman" w:hAnsi="David" w:cs="David"/>
          <w:sz w:val="24"/>
          <w:szCs w:val="24"/>
          <w:rtl/>
        </w:rPr>
        <w:footnoteReference w:id="13"/>
      </w:r>
      <w:r w:rsidR="00840777">
        <w:rPr>
          <w:rFonts w:ascii="David" w:eastAsia="Times New Roman" w:hAnsi="David" w:cs="David" w:hint="cs"/>
          <w:sz w:val="24"/>
          <w:szCs w:val="24"/>
          <w:rtl/>
        </w:rPr>
        <w:t xml:space="preserve"> ייתכן שהטומאה החמורה המיוחסת לגופות נובעת מפחד הקשור לרוחות הנפטרים.</w:t>
      </w:r>
      <w:r w:rsidR="00840777">
        <w:rPr>
          <w:rStyle w:val="a5"/>
          <w:rFonts w:ascii="David" w:eastAsia="Times New Roman" w:hAnsi="David" w:cs="David"/>
          <w:sz w:val="24"/>
          <w:szCs w:val="24"/>
          <w:rtl/>
        </w:rPr>
        <w:footnoteReference w:id="14"/>
      </w:r>
    </w:p>
    <w:p w14:paraId="0EA1C237" w14:textId="413CE33B" w:rsidR="00840777" w:rsidRDefault="00840777"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קללת דוד את יואב (שמואל ב</w:t>
      </w:r>
      <w:r w:rsidR="00720849">
        <w:rPr>
          <w:rFonts w:ascii="David" w:eastAsia="Times New Roman" w:hAnsi="David" w:cs="David" w:hint="cs"/>
          <w:sz w:val="24"/>
          <w:szCs w:val="24"/>
          <w:rtl/>
        </w:rPr>
        <w:t xml:space="preserve"> </w:t>
      </w:r>
      <w:r>
        <w:rPr>
          <w:rFonts w:ascii="David" w:eastAsia="Times New Roman" w:hAnsi="David" w:cs="David" w:hint="cs"/>
          <w:sz w:val="24"/>
          <w:szCs w:val="24"/>
          <w:rtl/>
        </w:rPr>
        <w:t>3</w:t>
      </w:r>
      <w:r w:rsidR="00720849">
        <w:rPr>
          <w:rFonts w:ascii="David" w:eastAsia="Times New Roman" w:hAnsi="David" w:cs="David"/>
          <w:sz w:val="24"/>
          <w:szCs w:val="24"/>
        </w:rPr>
        <w:t>:</w:t>
      </w:r>
      <w:r w:rsidR="00720849">
        <w:rPr>
          <w:rFonts w:ascii="David" w:eastAsia="Times New Roman" w:hAnsi="David" w:cs="David" w:hint="cs"/>
          <w:sz w:val="24"/>
          <w:szCs w:val="24"/>
          <w:rtl/>
        </w:rPr>
        <w:t xml:space="preserve"> 28</w:t>
      </w:r>
      <w:r w:rsidR="00F601E5">
        <w:rPr>
          <w:rFonts w:ascii="David" w:eastAsia="Times New Roman" w:hAnsi="David" w:cs="David" w:hint="cs"/>
          <w:sz w:val="24"/>
          <w:szCs w:val="24"/>
          <w:rtl/>
        </w:rPr>
        <w:t>–29) מרמז</w:t>
      </w:r>
      <w:r w:rsidR="00B1474F">
        <w:rPr>
          <w:rFonts w:ascii="David" w:eastAsia="Times New Roman" w:hAnsi="David" w:cs="David" w:hint="cs"/>
          <w:sz w:val="24"/>
          <w:szCs w:val="24"/>
          <w:rtl/>
        </w:rPr>
        <w:t>ת</w:t>
      </w:r>
      <w:r w:rsidR="00F601E5">
        <w:rPr>
          <w:rFonts w:ascii="David" w:eastAsia="Times New Roman" w:hAnsi="David" w:cs="David" w:hint="cs"/>
          <w:sz w:val="24"/>
          <w:szCs w:val="24"/>
          <w:rtl/>
        </w:rPr>
        <w:t xml:space="preserve"> לפחד הכללי ש</w:t>
      </w:r>
      <w:r w:rsidR="003D50EA">
        <w:rPr>
          <w:rFonts w:ascii="David" w:eastAsia="Times New Roman" w:hAnsi="David" w:cs="David" w:hint="cs"/>
          <w:sz w:val="24"/>
          <w:szCs w:val="24"/>
          <w:rtl/>
        </w:rPr>
        <w:t>יוחס</w:t>
      </w:r>
      <w:r w:rsidR="00F601E5">
        <w:rPr>
          <w:rFonts w:ascii="David" w:eastAsia="Times New Roman" w:hAnsi="David" w:cs="David" w:hint="cs"/>
          <w:sz w:val="24"/>
          <w:szCs w:val="24"/>
          <w:rtl/>
        </w:rPr>
        <w:t xml:space="preserve"> למצבים אלה:</w:t>
      </w:r>
    </w:p>
    <w:p w14:paraId="2E59C1B9" w14:textId="52E0F102" w:rsidR="00F601E5" w:rsidRDefault="003D50EA"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w:t>
      </w:r>
      <w:r w:rsidR="006C5D7A">
        <w:rPr>
          <w:rFonts w:ascii="David" w:eastAsia="Times New Roman" w:hAnsi="David" w:cs="David" w:hint="cs"/>
          <w:sz w:val="24"/>
          <w:szCs w:val="24"/>
          <w:rtl/>
        </w:rPr>
        <w:t xml:space="preserve">שמואל ב 3:29) </w:t>
      </w:r>
      <w:r w:rsidR="00F601E5">
        <w:rPr>
          <w:rFonts w:ascii="David" w:eastAsia="Times New Roman" w:hAnsi="David" w:cs="David" w:hint="cs"/>
          <w:sz w:val="24"/>
          <w:szCs w:val="24"/>
          <w:rtl/>
        </w:rPr>
        <w:t xml:space="preserve">ואל </w:t>
      </w:r>
      <w:proofErr w:type="spellStart"/>
      <w:r w:rsidR="00F601E5">
        <w:rPr>
          <w:rFonts w:ascii="David" w:eastAsia="Times New Roman" w:hAnsi="David" w:cs="David" w:hint="cs"/>
          <w:sz w:val="24"/>
          <w:szCs w:val="24"/>
          <w:rtl/>
        </w:rPr>
        <w:t>יכרת</w:t>
      </w:r>
      <w:proofErr w:type="spellEnd"/>
      <w:r w:rsidR="00F601E5">
        <w:rPr>
          <w:rFonts w:ascii="David" w:eastAsia="Times New Roman" w:hAnsi="David" w:cs="David" w:hint="cs"/>
          <w:sz w:val="24"/>
          <w:szCs w:val="24"/>
          <w:rtl/>
        </w:rPr>
        <w:t xml:space="preserve"> מבית יואב זב </w:t>
      </w:r>
      <w:proofErr w:type="spellStart"/>
      <w:r w:rsidR="00F601E5">
        <w:rPr>
          <w:rFonts w:ascii="David" w:eastAsia="Times New Roman" w:hAnsi="David" w:cs="David" w:hint="cs"/>
          <w:sz w:val="24"/>
          <w:szCs w:val="24"/>
          <w:rtl/>
        </w:rPr>
        <w:t>ומצרע</w:t>
      </w:r>
      <w:proofErr w:type="spellEnd"/>
      <w:r w:rsidR="00F601E5">
        <w:rPr>
          <w:rFonts w:ascii="David" w:eastAsia="Times New Roman" w:hAnsi="David" w:cs="David" w:hint="cs"/>
          <w:sz w:val="24"/>
          <w:szCs w:val="24"/>
          <w:rtl/>
        </w:rPr>
        <w:t xml:space="preserve"> ומחזיק בפלך</w:t>
      </w:r>
      <w:r w:rsidR="008D0852">
        <w:rPr>
          <w:rStyle w:val="a5"/>
          <w:rFonts w:ascii="David" w:eastAsia="Times New Roman" w:hAnsi="David" w:cs="David"/>
          <w:sz w:val="24"/>
          <w:szCs w:val="24"/>
          <w:rtl/>
        </w:rPr>
        <w:footnoteReference w:id="15"/>
      </w:r>
      <w:r w:rsidR="00F601E5">
        <w:rPr>
          <w:rFonts w:ascii="David" w:eastAsia="Times New Roman" w:hAnsi="David" w:cs="David" w:hint="cs"/>
          <w:sz w:val="24"/>
          <w:szCs w:val="24"/>
          <w:rtl/>
        </w:rPr>
        <w:t xml:space="preserve"> ונפל בחרב וחסר לחם.</w:t>
      </w:r>
    </w:p>
    <w:p w14:paraId="03D3F4D6" w14:textId="040DCBA1" w:rsidR="00F601E5" w:rsidRDefault="00F601E5"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 xml:space="preserve">כל הקללות האלה </w:t>
      </w:r>
      <w:r w:rsidR="007D23A0">
        <w:rPr>
          <w:rFonts w:ascii="David" w:eastAsia="Times New Roman" w:hAnsi="David" w:cs="David" w:hint="cs"/>
          <w:sz w:val="24"/>
          <w:szCs w:val="24"/>
          <w:rtl/>
        </w:rPr>
        <w:t>כרוכים ב</w:t>
      </w:r>
      <w:r>
        <w:rPr>
          <w:rFonts w:ascii="David" w:eastAsia="Times New Roman" w:hAnsi="David" w:cs="David" w:hint="cs"/>
          <w:sz w:val="24"/>
          <w:szCs w:val="24"/>
          <w:rtl/>
        </w:rPr>
        <w:t>נידוי חברתי.</w:t>
      </w:r>
      <w:r>
        <w:rPr>
          <w:rStyle w:val="a5"/>
          <w:rFonts w:ascii="David" w:eastAsia="Times New Roman" w:hAnsi="David" w:cs="David"/>
          <w:sz w:val="24"/>
          <w:szCs w:val="24"/>
          <w:rtl/>
        </w:rPr>
        <w:footnoteReference w:id="16"/>
      </w:r>
      <w:r>
        <w:rPr>
          <w:rFonts w:ascii="David" w:eastAsia="Times New Roman" w:hAnsi="David" w:cs="David" w:hint="cs"/>
          <w:sz w:val="24"/>
          <w:szCs w:val="24"/>
          <w:rtl/>
        </w:rPr>
        <w:t xml:space="preserve"> נוכחותן של צרעת וזיב</w:t>
      </w:r>
      <w:r w:rsidR="006A5151">
        <w:rPr>
          <w:rFonts w:ascii="David" w:eastAsia="Times New Roman" w:hAnsi="David" w:cs="David" w:hint="cs"/>
          <w:sz w:val="24"/>
          <w:szCs w:val="24"/>
          <w:rtl/>
        </w:rPr>
        <w:t>ה</w:t>
      </w:r>
      <w:r>
        <w:rPr>
          <w:rFonts w:ascii="David" w:eastAsia="Times New Roman" w:hAnsi="David" w:cs="David" w:hint="cs"/>
          <w:sz w:val="24"/>
          <w:szCs w:val="24"/>
          <w:rtl/>
        </w:rPr>
        <w:t xml:space="preserve"> (כמו גם גופות) ברשימה זו</w:t>
      </w:r>
      <w:r w:rsidR="003A2A50">
        <w:rPr>
          <w:rFonts w:ascii="David" w:eastAsia="Times New Roman" w:hAnsi="David" w:cs="David" w:hint="cs"/>
          <w:sz w:val="24"/>
          <w:szCs w:val="24"/>
          <w:rtl/>
        </w:rPr>
        <w:t xml:space="preserve"> מחזקת את הרושם שמצבים אלה </w:t>
      </w:r>
      <w:r w:rsidR="007D23A0">
        <w:rPr>
          <w:rFonts w:ascii="David" w:eastAsia="Times New Roman" w:hAnsi="David" w:cs="David" w:hint="cs"/>
          <w:sz w:val="24"/>
          <w:szCs w:val="24"/>
          <w:rtl/>
        </w:rPr>
        <w:t>נקשרו</w:t>
      </w:r>
      <w:r w:rsidR="003A2A50">
        <w:rPr>
          <w:rFonts w:ascii="David" w:eastAsia="Times New Roman" w:hAnsi="David" w:cs="David" w:hint="cs"/>
          <w:sz w:val="24"/>
          <w:szCs w:val="24"/>
          <w:rtl/>
        </w:rPr>
        <w:t xml:space="preserve"> לפחד מפני הדבקה בישראל העתיקה</w:t>
      </w:r>
      <w:r w:rsidR="007D23A0">
        <w:rPr>
          <w:rFonts w:ascii="David" w:eastAsia="Times New Roman" w:hAnsi="David" w:cs="David" w:hint="cs"/>
          <w:sz w:val="24"/>
          <w:szCs w:val="24"/>
          <w:rtl/>
        </w:rPr>
        <w:t>,</w:t>
      </w:r>
      <w:r w:rsidR="003A2A50">
        <w:rPr>
          <w:rFonts w:ascii="David" w:eastAsia="Times New Roman" w:hAnsi="David" w:cs="David" w:hint="cs"/>
          <w:sz w:val="24"/>
          <w:szCs w:val="24"/>
          <w:rtl/>
        </w:rPr>
        <w:t xml:space="preserve"> על אף העובדה ש</w:t>
      </w:r>
      <w:r w:rsidR="006A5151">
        <w:rPr>
          <w:rFonts w:ascii="David" w:eastAsia="Times New Roman" w:hAnsi="David" w:cs="David" w:hint="cs"/>
          <w:sz w:val="24"/>
          <w:szCs w:val="24"/>
          <w:rtl/>
        </w:rPr>
        <w:t>ה</w:t>
      </w:r>
      <w:r w:rsidR="003A2A50">
        <w:rPr>
          <w:rFonts w:ascii="David" w:eastAsia="Times New Roman" w:hAnsi="David" w:cs="David" w:hint="cs"/>
          <w:sz w:val="24"/>
          <w:szCs w:val="24"/>
          <w:rtl/>
        </w:rPr>
        <w:t xml:space="preserve">מקור </w:t>
      </w:r>
      <w:r w:rsidR="006A5151">
        <w:rPr>
          <w:rFonts w:ascii="David" w:eastAsia="Times New Roman" w:hAnsi="David" w:cs="David" w:hint="cs"/>
          <w:sz w:val="24"/>
          <w:szCs w:val="24"/>
          <w:rtl/>
        </w:rPr>
        <w:t>ה</w:t>
      </w:r>
      <w:r w:rsidR="003A2A50">
        <w:rPr>
          <w:rFonts w:ascii="David" w:eastAsia="Times New Roman" w:hAnsi="David" w:cs="David" w:hint="cs"/>
          <w:sz w:val="24"/>
          <w:szCs w:val="24"/>
          <w:rtl/>
        </w:rPr>
        <w:t>כ</w:t>
      </w:r>
      <w:r w:rsidR="006A5151">
        <w:rPr>
          <w:rFonts w:ascii="David" w:eastAsia="Times New Roman" w:hAnsi="David" w:cs="David" w:hint="cs"/>
          <w:sz w:val="24"/>
          <w:szCs w:val="24"/>
          <w:rtl/>
        </w:rPr>
        <w:t>ו</w:t>
      </w:r>
      <w:r w:rsidR="003A2A50">
        <w:rPr>
          <w:rFonts w:ascii="David" w:eastAsia="Times New Roman" w:hAnsi="David" w:cs="David" w:hint="cs"/>
          <w:sz w:val="24"/>
          <w:szCs w:val="24"/>
          <w:rtl/>
        </w:rPr>
        <w:t>הנ</w:t>
      </w:r>
      <w:r w:rsidR="006A5151">
        <w:rPr>
          <w:rFonts w:ascii="David" w:eastAsia="Times New Roman" w:hAnsi="David" w:cs="David" w:hint="cs"/>
          <w:sz w:val="24"/>
          <w:szCs w:val="24"/>
          <w:rtl/>
        </w:rPr>
        <w:t>י</w:t>
      </w:r>
      <w:r w:rsidR="003A2A50">
        <w:rPr>
          <w:rFonts w:ascii="David" w:eastAsia="Times New Roman" w:hAnsi="David" w:cs="David" w:hint="cs"/>
          <w:sz w:val="24"/>
          <w:szCs w:val="24"/>
          <w:rtl/>
        </w:rPr>
        <w:t xml:space="preserve"> </w:t>
      </w:r>
      <w:r w:rsidR="007D23A0">
        <w:rPr>
          <w:rFonts w:ascii="David" w:eastAsia="Times New Roman" w:hAnsi="David" w:cs="David" w:hint="cs"/>
          <w:sz w:val="24"/>
          <w:szCs w:val="24"/>
          <w:rtl/>
        </w:rPr>
        <w:t>מתייחס אליהם</w:t>
      </w:r>
      <w:r w:rsidR="003A2A50">
        <w:rPr>
          <w:rFonts w:ascii="David" w:eastAsia="Times New Roman" w:hAnsi="David" w:cs="David" w:hint="cs"/>
          <w:sz w:val="24"/>
          <w:szCs w:val="24"/>
          <w:rtl/>
        </w:rPr>
        <w:t xml:space="preserve"> כמקורות טומאה בלבד שיש צורך להרחיקם מן המקדש. סוגי טומאה אלה הם יוצאי דופן בה</w:t>
      </w:r>
      <w:r w:rsidR="00E16BF8">
        <w:rPr>
          <w:rFonts w:ascii="David" w:eastAsia="Times New Roman" w:hAnsi="David" w:cs="David" w:hint="cs"/>
          <w:sz w:val="24"/>
          <w:szCs w:val="24"/>
          <w:rtl/>
        </w:rPr>
        <w:t>ורא</w:t>
      </w:r>
      <w:r w:rsidR="003A2A50">
        <w:rPr>
          <w:rFonts w:ascii="David" w:eastAsia="Times New Roman" w:hAnsi="David" w:cs="David" w:hint="cs"/>
          <w:sz w:val="24"/>
          <w:szCs w:val="24"/>
          <w:rtl/>
        </w:rPr>
        <w:t xml:space="preserve">ות הכהונה </w:t>
      </w:r>
      <w:r w:rsidR="00B1474F">
        <w:rPr>
          <w:rFonts w:ascii="David" w:eastAsia="Times New Roman" w:hAnsi="David" w:cs="David" w:hint="cs"/>
          <w:sz w:val="24"/>
          <w:szCs w:val="24"/>
          <w:rtl/>
        </w:rPr>
        <w:t>באשר</w:t>
      </w:r>
      <w:r w:rsidR="003A2A50">
        <w:rPr>
          <w:rFonts w:ascii="David" w:eastAsia="Times New Roman" w:hAnsi="David" w:cs="David" w:hint="cs"/>
          <w:sz w:val="24"/>
          <w:szCs w:val="24"/>
          <w:rtl/>
        </w:rPr>
        <w:t xml:space="preserve"> לחומרתם</w:t>
      </w:r>
      <w:r w:rsidR="007D23A0">
        <w:rPr>
          <w:rFonts w:ascii="David" w:eastAsia="Times New Roman" w:hAnsi="David" w:cs="David" w:hint="cs"/>
          <w:sz w:val="24"/>
          <w:szCs w:val="24"/>
          <w:rtl/>
        </w:rPr>
        <w:t>,</w:t>
      </w:r>
      <w:r w:rsidR="003A2A50">
        <w:rPr>
          <w:rFonts w:ascii="David" w:eastAsia="Times New Roman" w:hAnsi="David" w:cs="David" w:hint="cs"/>
          <w:sz w:val="24"/>
          <w:szCs w:val="24"/>
          <w:rtl/>
        </w:rPr>
        <w:t xml:space="preserve"> </w:t>
      </w:r>
      <w:r w:rsidR="007D23A0">
        <w:rPr>
          <w:rFonts w:ascii="David" w:eastAsia="Times New Roman" w:hAnsi="David" w:cs="David" w:hint="cs"/>
          <w:sz w:val="24"/>
          <w:szCs w:val="24"/>
          <w:rtl/>
        </w:rPr>
        <w:t>כרוכים ב</w:t>
      </w:r>
      <w:r w:rsidR="003A2A50">
        <w:rPr>
          <w:rFonts w:ascii="David" w:eastAsia="Times New Roman" w:hAnsi="David" w:cs="David" w:hint="cs"/>
          <w:sz w:val="24"/>
          <w:szCs w:val="24"/>
          <w:rtl/>
        </w:rPr>
        <w:t xml:space="preserve">הרחקה, </w:t>
      </w:r>
      <w:r w:rsidR="00E16BF8">
        <w:rPr>
          <w:rFonts w:ascii="David" w:eastAsia="Times New Roman" w:hAnsi="David" w:cs="David" w:hint="cs"/>
          <w:sz w:val="24"/>
          <w:szCs w:val="24"/>
          <w:rtl/>
        </w:rPr>
        <w:t xml:space="preserve">משטר של </w:t>
      </w:r>
      <w:r w:rsidR="003A2A50">
        <w:rPr>
          <w:rFonts w:ascii="David" w:eastAsia="Times New Roman" w:hAnsi="David" w:cs="David" w:hint="cs"/>
          <w:sz w:val="24"/>
          <w:szCs w:val="24"/>
          <w:rtl/>
        </w:rPr>
        <w:t>שבעה ימי טהרה וקורבנות לכפרה.</w:t>
      </w:r>
      <w:r w:rsidR="008D0852">
        <w:rPr>
          <w:rFonts w:ascii="David" w:eastAsia="Times New Roman" w:hAnsi="David" w:cs="David" w:hint="cs"/>
          <w:sz w:val="24"/>
          <w:szCs w:val="24"/>
          <w:rtl/>
        </w:rPr>
        <w:t xml:space="preserve"> אולם חסר בספר ויקרא 13–15 מה שמפורש בקללת דוד, והוא שמצבים אלה הם עונשים אלוקיים.</w:t>
      </w:r>
      <w:r w:rsidR="008D0852">
        <w:rPr>
          <w:rStyle w:val="a5"/>
          <w:rFonts w:ascii="David" w:eastAsia="Times New Roman" w:hAnsi="David" w:cs="David"/>
          <w:sz w:val="24"/>
          <w:szCs w:val="24"/>
          <w:rtl/>
        </w:rPr>
        <w:footnoteReference w:id="17"/>
      </w:r>
    </w:p>
    <w:p w14:paraId="0EB1EA76" w14:textId="4767760C" w:rsidR="00F601E5" w:rsidRDefault="008D0852"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על אף שהרבנים מיהרו לא</w:t>
      </w:r>
      <w:r w:rsidR="00B1474F">
        <w:rPr>
          <w:rFonts w:ascii="David" w:eastAsia="Times New Roman" w:hAnsi="David" w:cs="David" w:hint="cs"/>
          <w:sz w:val="24"/>
          <w:szCs w:val="24"/>
          <w:rtl/>
        </w:rPr>
        <w:t>שר</w:t>
      </w:r>
      <w:r>
        <w:rPr>
          <w:rFonts w:ascii="David" w:eastAsia="Times New Roman" w:hAnsi="David" w:cs="David" w:hint="cs"/>
          <w:sz w:val="24"/>
          <w:szCs w:val="24"/>
          <w:rtl/>
        </w:rPr>
        <w:t xml:space="preserve"> </w:t>
      </w:r>
      <w:r w:rsidR="008929FE">
        <w:rPr>
          <w:rFonts w:ascii="David" w:eastAsia="Times New Roman" w:hAnsi="David" w:cs="David" w:hint="cs"/>
          <w:sz w:val="24"/>
          <w:szCs w:val="24"/>
          <w:rtl/>
        </w:rPr>
        <w:t xml:space="preserve">מחדש </w:t>
      </w:r>
      <w:r>
        <w:rPr>
          <w:rFonts w:ascii="David" w:eastAsia="Times New Roman" w:hAnsi="David" w:cs="David" w:hint="cs"/>
          <w:sz w:val="24"/>
          <w:szCs w:val="24"/>
          <w:rtl/>
        </w:rPr>
        <w:t>טענה זו</w:t>
      </w:r>
      <w:r w:rsidR="00B1474F">
        <w:rPr>
          <w:rFonts w:ascii="David" w:eastAsia="Times New Roman" w:hAnsi="David" w:cs="David" w:hint="cs"/>
          <w:sz w:val="24"/>
          <w:szCs w:val="24"/>
          <w:rtl/>
        </w:rPr>
        <w:t xml:space="preserve"> </w:t>
      </w:r>
      <w:r>
        <w:rPr>
          <w:rFonts w:ascii="David" w:eastAsia="Times New Roman" w:hAnsi="David" w:cs="David" w:hint="cs"/>
          <w:sz w:val="24"/>
          <w:szCs w:val="24"/>
          <w:rtl/>
        </w:rPr>
        <w:t>באגדותיהם,</w:t>
      </w:r>
      <w:r>
        <w:rPr>
          <w:rStyle w:val="a5"/>
          <w:rFonts w:ascii="David" w:eastAsia="Times New Roman" w:hAnsi="David" w:cs="David"/>
          <w:sz w:val="24"/>
          <w:szCs w:val="24"/>
          <w:rtl/>
        </w:rPr>
        <w:footnoteReference w:id="18"/>
      </w:r>
      <w:r>
        <w:rPr>
          <w:rFonts w:ascii="David" w:eastAsia="Times New Roman" w:hAnsi="David" w:cs="David" w:hint="cs"/>
          <w:sz w:val="24"/>
          <w:szCs w:val="24"/>
          <w:rtl/>
        </w:rPr>
        <w:t xml:space="preserve"> השמטה זו בספר ויקרא לא הייתה מקרית. ספר ויקרא מבחין באופן שיטתי בין קורבנות חטאת ה</w:t>
      </w:r>
      <w:r w:rsidR="008929FE">
        <w:rPr>
          <w:rFonts w:ascii="David" w:eastAsia="Times New Roman" w:hAnsi="David" w:cs="David" w:hint="cs"/>
          <w:sz w:val="24"/>
          <w:szCs w:val="24"/>
          <w:rtl/>
        </w:rPr>
        <w:t>נוגעים</w:t>
      </w:r>
      <w:r>
        <w:rPr>
          <w:rFonts w:ascii="David" w:eastAsia="Times New Roman" w:hAnsi="David" w:cs="David" w:hint="cs"/>
          <w:sz w:val="24"/>
          <w:szCs w:val="24"/>
          <w:rtl/>
        </w:rPr>
        <w:t xml:space="preserve"> לשגגות (ויקרא </w:t>
      </w:r>
      <w:r w:rsidR="001264E6">
        <w:rPr>
          <w:rFonts w:ascii="David" w:eastAsia="Times New Roman" w:hAnsi="David" w:cs="David" w:hint="cs"/>
          <w:sz w:val="24"/>
          <w:szCs w:val="24"/>
          <w:rtl/>
        </w:rPr>
        <w:t>4–5; במדבר 15) ה</w:t>
      </w:r>
      <w:r w:rsidR="008929FE">
        <w:rPr>
          <w:rFonts w:ascii="David" w:eastAsia="Times New Roman" w:hAnsi="David" w:cs="David" w:hint="cs"/>
          <w:sz w:val="24"/>
          <w:szCs w:val="24"/>
          <w:rtl/>
        </w:rPr>
        <w:t>מערבים</w:t>
      </w:r>
      <w:r w:rsidR="001264E6">
        <w:rPr>
          <w:rFonts w:ascii="David" w:eastAsia="Times New Roman" w:hAnsi="David" w:cs="David" w:hint="cs"/>
          <w:sz w:val="24"/>
          <w:szCs w:val="24"/>
          <w:rtl/>
        </w:rPr>
        <w:t xml:space="preserve"> סליחה לבין קורבנות חטאת המובאים בגלל מצבים גופניים (ויקרא 1</w:t>
      </w:r>
      <w:r w:rsidR="00E16BF8">
        <w:rPr>
          <w:rFonts w:ascii="David" w:eastAsia="Times New Roman" w:hAnsi="David" w:cs="David" w:hint="cs"/>
          <w:sz w:val="24"/>
          <w:szCs w:val="24"/>
          <w:rtl/>
        </w:rPr>
        <w:t>5</w:t>
      </w:r>
      <w:r w:rsidR="001264E6">
        <w:rPr>
          <w:rFonts w:ascii="David" w:eastAsia="Times New Roman" w:hAnsi="David" w:cs="David" w:hint="cs"/>
          <w:sz w:val="24"/>
          <w:szCs w:val="24"/>
          <w:rtl/>
        </w:rPr>
        <w:t>:1</w:t>
      </w:r>
      <w:r w:rsidR="00E16BF8">
        <w:rPr>
          <w:rFonts w:ascii="David" w:eastAsia="Times New Roman" w:hAnsi="David" w:cs="David" w:hint="cs"/>
          <w:sz w:val="24"/>
          <w:szCs w:val="24"/>
          <w:rtl/>
        </w:rPr>
        <w:t>2</w:t>
      </w:r>
      <w:r w:rsidR="001264E6">
        <w:rPr>
          <w:rFonts w:ascii="David" w:eastAsia="Times New Roman" w:hAnsi="David" w:cs="David" w:hint="cs"/>
          <w:sz w:val="24"/>
          <w:szCs w:val="24"/>
          <w:rtl/>
        </w:rPr>
        <w:t>),</w:t>
      </w:r>
      <w:r w:rsidR="001264E6">
        <w:rPr>
          <w:rStyle w:val="a5"/>
          <w:rFonts w:ascii="David" w:eastAsia="Times New Roman" w:hAnsi="David" w:cs="David"/>
          <w:sz w:val="24"/>
          <w:szCs w:val="24"/>
          <w:rtl/>
        </w:rPr>
        <w:footnoteReference w:id="19"/>
      </w:r>
      <w:r w:rsidR="001264E6">
        <w:rPr>
          <w:rFonts w:ascii="David" w:eastAsia="Times New Roman" w:hAnsi="David" w:cs="David" w:hint="cs"/>
          <w:sz w:val="24"/>
          <w:szCs w:val="24"/>
          <w:rtl/>
        </w:rPr>
        <w:t xml:space="preserve"> המזכירים טהרה בלבד. נראה שחוקי הטהרה של צרעת כאן </w:t>
      </w:r>
      <w:r w:rsidR="00A75CEE">
        <w:rPr>
          <w:rFonts w:ascii="David" w:eastAsia="Times New Roman" w:hAnsi="David" w:cs="David" w:hint="cs"/>
          <w:sz w:val="24"/>
          <w:szCs w:val="24"/>
          <w:rtl/>
        </w:rPr>
        <w:t>ביקשו</w:t>
      </w:r>
      <w:r w:rsidR="001264E6">
        <w:rPr>
          <w:rFonts w:ascii="David" w:eastAsia="Times New Roman" w:hAnsi="David" w:cs="David" w:hint="cs"/>
          <w:sz w:val="24"/>
          <w:szCs w:val="24"/>
          <w:rtl/>
        </w:rPr>
        <w:t xml:space="preserve"> לתאר טומאה (</w:t>
      </w:r>
      <w:r w:rsidR="005735AA">
        <w:rPr>
          <w:rFonts w:ascii="David" w:eastAsia="Times New Roman" w:hAnsi="David" w:cs="David" w:hint="cs"/>
          <w:sz w:val="24"/>
          <w:szCs w:val="24"/>
          <w:rtl/>
        </w:rPr>
        <w:t>הנגרמת</w:t>
      </w:r>
      <w:r w:rsidR="001264E6">
        <w:rPr>
          <w:rFonts w:ascii="David" w:eastAsia="Times New Roman" w:hAnsi="David" w:cs="David" w:hint="cs"/>
          <w:sz w:val="24"/>
          <w:szCs w:val="24"/>
          <w:rtl/>
        </w:rPr>
        <w:t xml:space="preserve"> ב</w:t>
      </w:r>
      <w:r w:rsidR="005735AA">
        <w:rPr>
          <w:rFonts w:ascii="David" w:eastAsia="Times New Roman" w:hAnsi="David" w:cs="David" w:hint="cs"/>
          <w:sz w:val="24"/>
          <w:szCs w:val="24"/>
          <w:rtl/>
        </w:rPr>
        <w:t>עקבות</w:t>
      </w:r>
      <w:r w:rsidR="001264E6">
        <w:rPr>
          <w:rFonts w:ascii="David" w:eastAsia="Times New Roman" w:hAnsi="David" w:cs="David" w:hint="cs"/>
          <w:sz w:val="24"/>
          <w:szCs w:val="24"/>
          <w:rtl/>
        </w:rPr>
        <w:t xml:space="preserve"> מצבים גופניים תקינים ולא תקינים) כתופעה "טבעית"</w:t>
      </w:r>
      <w:r w:rsidR="005735AA">
        <w:rPr>
          <w:rFonts w:ascii="David" w:eastAsia="Times New Roman" w:hAnsi="David" w:cs="David" w:hint="cs"/>
          <w:sz w:val="24"/>
          <w:szCs w:val="24"/>
          <w:rtl/>
        </w:rPr>
        <w:t xml:space="preserve"> </w:t>
      </w:r>
      <w:r w:rsidR="00A75CEE">
        <w:rPr>
          <w:rFonts w:ascii="David" w:eastAsia="Times New Roman" w:hAnsi="David" w:cs="David" w:hint="cs"/>
          <w:sz w:val="24"/>
          <w:szCs w:val="24"/>
          <w:rtl/>
        </w:rPr>
        <w:t>ללא קשר</w:t>
      </w:r>
      <w:r w:rsidR="001264E6">
        <w:rPr>
          <w:rFonts w:ascii="David" w:eastAsia="Times New Roman" w:hAnsi="David" w:cs="David" w:hint="cs"/>
          <w:sz w:val="24"/>
          <w:szCs w:val="24"/>
          <w:rtl/>
        </w:rPr>
        <w:t xml:space="preserve"> </w:t>
      </w:r>
      <w:r w:rsidR="00A75CEE">
        <w:rPr>
          <w:rFonts w:ascii="David" w:eastAsia="Times New Roman" w:hAnsi="David" w:cs="David" w:hint="cs"/>
          <w:sz w:val="24"/>
          <w:szCs w:val="24"/>
          <w:rtl/>
        </w:rPr>
        <w:t>ל</w:t>
      </w:r>
      <w:r w:rsidR="001264E6">
        <w:rPr>
          <w:rFonts w:ascii="David" w:eastAsia="Times New Roman" w:hAnsi="David" w:cs="David" w:hint="cs"/>
          <w:sz w:val="24"/>
          <w:szCs w:val="24"/>
          <w:rtl/>
        </w:rPr>
        <w:t>השלכות מוסריות.</w:t>
      </w:r>
    </w:p>
    <w:p w14:paraId="670617D5" w14:textId="77777777" w:rsidR="001264E6" w:rsidRDefault="001264E6" w:rsidP="006B12BD">
      <w:pPr>
        <w:spacing w:after="187" w:line="360" w:lineRule="auto"/>
        <w:rPr>
          <w:rFonts w:ascii="David" w:eastAsia="Times New Roman" w:hAnsi="David" w:cs="David"/>
          <w:sz w:val="24"/>
          <w:szCs w:val="24"/>
          <w:rtl/>
        </w:rPr>
      </w:pPr>
    </w:p>
    <w:p w14:paraId="0BFB2BB2" w14:textId="6FCD23F6" w:rsidR="001264E6" w:rsidRDefault="001264E6"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השליטה בכוח (הפסיכולוגי) של המחלה</w:t>
      </w:r>
    </w:p>
    <w:p w14:paraId="2BE98F8D" w14:textId="6CFE3B2A" w:rsidR="001264E6" w:rsidRDefault="001264E6" w:rsidP="006B12BD">
      <w:pPr>
        <w:spacing w:after="187" w:line="360" w:lineRule="auto"/>
        <w:rPr>
          <w:rFonts w:ascii="David" w:eastAsia="Times New Roman" w:hAnsi="David" w:cs="David"/>
          <w:sz w:val="24"/>
          <w:szCs w:val="24"/>
          <w:rtl/>
        </w:rPr>
      </w:pPr>
      <w:r>
        <w:rPr>
          <w:rFonts w:ascii="David" w:eastAsia="Times New Roman" w:hAnsi="David" w:cs="David" w:hint="cs"/>
          <w:sz w:val="24"/>
          <w:szCs w:val="24"/>
          <w:rtl/>
        </w:rPr>
        <w:t>שלוש תכונות עיקריות מאפיינות צרעת בספר ויקרא 13–14</w:t>
      </w:r>
      <w:r w:rsidR="00AE0902">
        <w:rPr>
          <w:rFonts w:ascii="David" w:eastAsia="Times New Roman" w:hAnsi="David" w:cs="David" w:hint="cs"/>
          <w:sz w:val="24"/>
          <w:szCs w:val="24"/>
          <w:rtl/>
        </w:rPr>
        <w:t>:</w:t>
      </w:r>
    </w:p>
    <w:p w14:paraId="7030AA20" w14:textId="28A65585" w:rsidR="00AE0902" w:rsidRDefault="00AE0902" w:rsidP="00AE0902">
      <w:pPr>
        <w:pStyle w:val="a6"/>
        <w:numPr>
          <w:ilvl w:val="0"/>
          <w:numId w:val="1"/>
        </w:numPr>
        <w:spacing w:after="187" w:line="360" w:lineRule="auto"/>
        <w:rPr>
          <w:rFonts w:ascii="David" w:eastAsia="Times New Roman" w:hAnsi="David" w:cs="David"/>
          <w:sz w:val="24"/>
          <w:szCs w:val="24"/>
        </w:rPr>
      </w:pPr>
      <w:r>
        <w:rPr>
          <w:rFonts w:ascii="David" w:eastAsia="Times New Roman" w:hAnsi="David" w:cs="David" w:hint="cs"/>
          <w:sz w:val="24"/>
          <w:szCs w:val="24"/>
          <w:rtl/>
        </w:rPr>
        <w:t xml:space="preserve">תיאור הטומאה </w:t>
      </w:r>
      <w:r w:rsidR="00FC7864">
        <w:rPr>
          <w:rFonts w:ascii="David" w:eastAsia="Times New Roman" w:hAnsi="David" w:cs="David" w:hint="cs"/>
          <w:sz w:val="24"/>
          <w:szCs w:val="24"/>
          <w:rtl/>
        </w:rPr>
        <w:t>באופן שאי</w:t>
      </w:r>
      <w:r w:rsidR="00270C96">
        <w:rPr>
          <w:rFonts w:ascii="David" w:eastAsia="Times New Roman" w:hAnsi="David" w:cs="David" w:hint="cs"/>
          <w:sz w:val="24"/>
          <w:szCs w:val="24"/>
          <w:rtl/>
        </w:rPr>
        <w:t>נו</w:t>
      </w:r>
      <w:r w:rsidR="00FC7864">
        <w:rPr>
          <w:rFonts w:ascii="David" w:eastAsia="Times New Roman" w:hAnsi="David" w:cs="David" w:hint="cs"/>
          <w:sz w:val="24"/>
          <w:szCs w:val="24"/>
          <w:rtl/>
        </w:rPr>
        <w:t xml:space="preserve"> </w:t>
      </w:r>
      <w:r w:rsidR="00270C96">
        <w:rPr>
          <w:rFonts w:ascii="David" w:eastAsia="Times New Roman" w:hAnsi="David" w:cs="David" w:hint="cs"/>
          <w:sz w:val="24"/>
          <w:szCs w:val="24"/>
          <w:rtl/>
        </w:rPr>
        <w:t>מ</w:t>
      </w:r>
      <w:r w:rsidR="00FC7864">
        <w:rPr>
          <w:rFonts w:ascii="David" w:eastAsia="Times New Roman" w:hAnsi="David" w:cs="David" w:hint="cs"/>
          <w:sz w:val="24"/>
          <w:szCs w:val="24"/>
          <w:rtl/>
        </w:rPr>
        <w:t>אי</w:t>
      </w:r>
      <w:r w:rsidR="00270C96">
        <w:rPr>
          <w:rFonts w:ascii="David" w:eastAsia="Times New Roman" w:hAnsi="David" w:cs="David" w:hint="cs"/>
          <w:sz w:val="24"/>
          <w:szCs w:val="24"/>
          <w:rtl/>
        </w:rPr>
        <w:t>י</w:t>
      </w:r>
      <w:r w:rsidR="00FC7864">
        <w:rPr>
          <w:rFonts w:ascii="David" w:eastAsia="Times New Roman" w:hAnsi="David" w:cs="David" w:hint="cs"/>
          <w:sz w:val="24"/>
          <w:szCs w:val="24"/>
          <w:rtl/>
        </w:rPr>
        <w:t>ם</w:t>
      </w:r>
      <w:r>
        <w:rPr>
          <w:rFonts w:ascii="David" w:eastAsia="Times New Roman" w:hAnsi="David" w:cs="David" w:hint="cs"/>
          <w:sz w:val="24"/>
          <w:szCs w:val="24"/>
          <w:rtl/>
        </w:rPr>
        <w:t>.</w:t>
      </w:r>
    </w:p>
    <w:p w14:paraId="38417449" w14:textId="6C73B72E" w:rsidR="00AE0902" w:rsidRDefault="00AE0902" w:rsidP="00AE0902">
      <w:pPr>
        <w:pStyle w:val="a6"/>
        <w:numPr>
          <w:ilvl w:val="0"/>
          <w:numId w:val="1"/>
        </w:numPr>
        <w:spacing w:after="187" w:line="360" w:lineRule="auto"/>
        <w:rPr>
          <w:rFonts w:ascii="David" w:eastAsia="Times New Roman" w:hAnsi="David" w:cs="David"/>
          <w:sz w:val="24"/>
          <w:szCs w:val="24"/>
        </w:rPr>
      </w:pPr>
      <w:r>
        <w:rPr>
          <w:rFonts w:ascii="David" w:eastAsia="Times New Roman" w:hAnsi="David" w:cs="David" w:hint="cs"/>
          <w:sz w:val="24"/>
          <w:szCs w:val="24"/>
          <w:rtl/>
        </w:rPr>
        <w:t xml:space="preserve">העדר קשר </w:t>
      </w:r>
      <w:r w:rsidR="00270C96">
        <w:rPr>
          <w:rFonts w:ascii="David" w:eastAsia="Times New Roman" w:hAnsi="David" w:cs="David" w:hint="cs"/>
          <w:sz w:val="24"/>
          <w:szCs w:val="24"/>
          <w:rtl/>
        </w:rPr>
        <w:t>סיבתי</w:t>
      </w:r>
      <w:r w:rsidR="00CF0989">
        <w:rPr>
          <w:rFonts w:ascii="David" w:eastAsia="Times New Roman" w:hAnsi="David" w:cs="David" w:hint="cs"/>
          <w:sz w:val="24"/>
          <w:szCs w:val="24"/>
          <w:rtl/>
        </w:rPr>
        <w:t xml:space="preserve"> </w:t>
      </w:r>
      <w:r>
        <w:rPr>
          <w:rFonts w:ascii="David" w:eastAsia="Times New Roman" w:hAnsi="David" w:cs="David" w:hint="cs"/>
          <w:sz w:val="24"/>
          <w:szCs w:val="24"/>
          <w:rtl/>
        </w:rPr>
        <w:t>מפורש בין חטא למחלה.</w:t>
      </w:r>
    </w:p>
    <w:p w14:paraId="0F6DE4CC" w14:textId="2E474D42" w:rsidR="00AE0902" w:rsidRDefault="00AE0902" w:rsidP="00AE0902">
      <w:pPr>
        <w:pStyle w:val="a6"/>
        <w:numPr>
          <w:ilvl w:val="0"/>
          <w:numId w:val="1"/>
        </w:numPr>
        <w:spacing w:after="187" w:line="360" w:lineRule="auto"/>
        <w:rPr>
          <w:rFonts w:ascii="David" w:eastAsia="Times New Roman" w:hAnsi="David" w:cs="David"/>
          <w:sz w:val="24"/>
          <w:szCs w:val="24"/>
        </w:rPr>
      </w:pPr>
      <w:r>
        <w:rPr>
          <w:rFonts w:ascii="David" w:eastAsia="Times New Roman" w:hAnsi="David" w:cs="David" w:hint="cs"/>
          <w:sz w:val="24"/>
          <w:szCs w:val="24"/>
          <w:rtl/>
        </w:rPr>
        <w:lastRenderedPageBreak/>
        <w:t>העדר כל טקס ריפוי.</w:t>
      </w:r>
    </w:p>
    <w:p w14:paraId="66D2447B" w14:textId="22004C98" w:rsidR="00AE0902" w:rsidRDefault="00AE0902" w:rsidP="00AE0902">
      <w:pPr>
        <w:spacing w:after="187" w:line="360" w:lineRule="auto"/>
        <w:rPr>
          <w:rFonts w:ascii="David" w:eastAsia="Times New Roman" w:hAnsi="David" w:cs="David"/>
          <w:sz w:val="24"/>
          <w:szCs w:val="24"/>
          <w:rtl/>
        </w:rPr>
      </w:pPr>
      <w:r>
        <w:rPr>
          <w:rFonts w:ascii="David" w:eastAsia="Times New Roman" w:hAnsi="David" w:cs="David" w:hint="cs"/>
          <w:sz w:val="24"/>
          <w:szCs w:val="24"/>
          <w:rtl/>
        </w:rPr>
        <w:t xml:space="preserve">האם יש קשר כלשהו בין תכונות אלה? </w:t>
      </w:r>
      <w:r w:rsidR="00CF0989">
        <w:rPr>
          <w:rFonts w:ascii="David" w:eastAsia="Times New Roman" w:hAnsi="David" w:cs="David" w:hint="cs"/>
          <w:sz w:val="24"/>
          <w:szCs w:val="24"/>
          <w:rtl/>
        </w:rPr>
        <w:t>הן קשורות במיד</w:t>
      </w:r>
      <w:r w:rsidR="00FC7864">
        <w:rPr>
          <w:rFonts w:ascii="David" w:eastAsia="Times New Roman" w:hAnsi="David" w:cs="David" w:hint="cs"/>
          <w:sz w:val="24"/>
          <w:szCs w:val="24"/>
          <w:rtl/>
        </w:rPr>
        <w:t>ת</w:t>
      </w:r>
      <w:r w:rsidR="00CF0989">
        <w:rPr>
          <w:rFonts w:ascii="David" w:eastAsia="Times New Roman" w:hAnsi="David" w:cs="David" w:hint="cs"/>
          <w:sz w:val="24"/>
          <w:szCs w:val="24"/>
          <w:rtl/>
        </w:rPr>
        <w:t xml:space="preserve"> </w:t>
      </w:r>
      <w:r w:rsidR="00FC7864">
        <w:rPr>
          <w:rFonts w:ascii="David" w:eastAsia="Times New Roman" w:hAnsi="David" w:cs="David" w:hint="cs"/>
          <w:sz w:val="24"/>
          <w:szCs w:val="24"/>
          <w:rtl/>
        </w:rPr>
        <w:t>מה</w:t>
      </w:r>
      <w:r>
        <w:rPr>
          <w:rFonts w:ascii="David" w:eastAsia="Times New Roman" w:hAnsi="David" w:cs="David" w:hint="cs"/>
          <w:sz w:val="24"/>
          <w:szCs w:val="24"/>
          <w:rtl/>
        </w:rPr>
        <w:t xml:space="preserve"> מפני ש</w:t>
      </w:r>
      <w:r w:rsidR="00270C96">
        <w:rPr>
          <w:rFonts w:ascii="David" w:eastAsia="Times New Roman" w:hAnsi="David" w:cs="David" w:hint="cs"/>
          <w:sz w:val="24"/>
          <w:szCs w:val="24"/>
          <w:rtl/>
        </w:rPr>
        <w:t>הסרת</w:t>
      </w:r>
      <w:r>
        <w:rPr>
          <w:rFonts w:ascii="David" w:eastAsia="Times New Roman" w:hAnsi="David" w:cs="David" w:hint="cs"/>
          <w:sz w:val="24"/>
          <w:szCs w:val="24"/>
          <w:rtl/>
        </w:rPr>
        <w:t xml:space="preserve"> טומאה (1) וחטא (2) כ</w:t>
      </w:r>
      <w:r w:rsidR="00270C96">
        <w:rPr>
          <w:rFonts w:ascii="David" w:eastAsia="Times New Roman" w:hAnsi="David" w:cs="David" w:hint="cs"/>
          <w:sz w:val="24"/>
          <w:szCs w:val="24"/>
          <w:rtl/>
        </w:rPr>
        <w:t>גורמים סיבתיים</w:t>
      </w:r>
      <w:r>
        <w:rPr>
          <w:rFonts w:ascii="David" w:eastAsia="Times New Roman" w:hAnsi="David" w:cs="David" w:hint="cs"/>
          <w:sz w:val="24"/>
          <w:szCs w:val="24"/>
          <w:rtl/>
        </w:rPr>
        <w:t xml:space="preserve"> למחלה מס</w:t>
      </w:r>
      <w:r w:rsidR="00270C96">
        <w:rPr>
          <w:rFonts w:ascii="David" w:eastAsia="Times New Roman" w:hAnsi="David" w:cs="David" w:hint="cs"/>
          <w:sz w:val="24"/>
          <w:szCs w:val="24"/>
          <w:rtl/>
        </w:rPr>
        <w:t>לקת</w:t>
      </w:r>
      <w:r>
        <w:rPr>
          <w:rFonts w:ascii="David" w:eastAsia="Times New Roman" w:hAnsi="David" w:cs="David" w:hint="cs"/>
          <w:sz w:val="24"/>
          <w:szCs w:val="24"/>
          <w:rtl/>
        </w:rPr>
        <w:t xml:space="preserve"> את הבסיס המטפיזי לטיפול פולחני (3).</w:t>
      </w:r>
    </w:p>
    <w:p w14:paraId="3F4B9DCE" w14:textId="672877D5" w:rsidR="00AE0902" w:rsidRDefault="00AE0902" w:rsidP="00AE0902">
      <w:pPr>
        <w:spacing w:after="187" w:line="360" w:lineRule="auto"/>
        <w:rPr>
          <w:rFonts w:ascii="David" w:eastAsia="Times New Roman" w:hAnsi="David" w:cs="David"/>
          <w:sz w:val="24"/>
          <w:szCs w:val="24"/>
          <w:rtl/>
        </w:rPr>
      </w:pPr>
      <w:r>
        <w:rPr>
          <w:rFonts w:ascii="David" w:eastAsia="Times New Roman" w:hAnsi="David" w:cs="David" w:hint="cs"/>
          <w:sz w:val="24"/>
          <w:szCs w:val="24"/>
          <w:rtl/>
        </w:rPr>
        <w:t xml:space="preserve">הבחנות אלה תומכות בנקודה </w:t>
      </w:r>
      <w:r w:rsidR="00424F56">
        <w:rPr>
          <w:rFonts w:ascii="David" w:eastAsia="Times New Roman" w:hAnsi="David" w:cs="David" w:hint="cs"/>
          <w:sz w:val="24"/>
          <w:szCs w:val="24"/>
          <w:rtl/>
        </w:rPr>
        <w:t>יסודית</w:t>
      </w:r>
      <w:r>
        <w:rPr>
          <w:rFonts w:ascii="David" w:eastAsia="Times New Roman" w:hAnsi="David" w:cs="David" w:hint="cs"/>
          <w:sz w:val="24"/>
          <w:szCs w:val="24"/>
          <w:rtl/>
        </w:rPr>
        <w:t xml:space="preserve"> יותר שעליה הצביע יחזקאל קאופמן לפני כמעט מאה שנה</w:t>
      </w:r>
      <w:r w:rsidR="001715D7">
        <w:rPr>
          <w:rFonts w:ascii="David" w:eastAsia="Times New Roman" w:hAnsi="David" w:cs="David" w:hint="cs"/>
          <w:sz w:val="24"/>
          <w:szCs w:val="24"/>
          <w:rtl/>
        </w:rPr>
        <w:t>:</w:t>
      </w:r>
    </w:p>
    <w:p w14:paraId="4F49EB96" w14:textId="25E4AE13" w:rsidR="00973544" w:rsidRDefault="00687D04" w:rsidP="00484601">
      <w:pPr>
        <w:spacing w:after="187" w:line="360" w:lineRule="auto"/>
        <w:rPr>
          <w:rFonts w:ascii="David" w:eastAsia="Times New Roman" w:hAnsi="David" w:cs="David"/>
          <w:sz w:val="24"/>
          <w:szCs w:val="24"/>
          <w:rtl/>
        </w:rPr>
      </w:pPr>
      <w:r>
        <w:rPr>
          <w:rFonts w:ascii="David" w:eastAsia="Times New Roman" w:hAnsi="David" w:cs="David" w:hint="cs"/>
          <w:sz w:val="24"/>
          <w:szCs w:val="24"/>
          <w:rtl/>
        </w:rPr>
        <w:t>אולם השינוי היסודי הוא: החיטויים מן הטומאה בדת המקראית אינם באים להרחיק רעה או מחלה... כל נימוסי החיטוי של האלילות מכוונים להרחיק את הרעה הגלומה בתוך הטומאה. המלחמה עם הטומאה היא מלחמה עם הדמונים הרעים... לא כן החיטויים מן הטומאה שבדת הישראלית. אין בהם כל מומנט של מלחמה ברע הבא ממקור הטומאה... בייחוד: אין אמצעי חיטוי אלה באים לרפא מחלה. דבר זה</w:t>
      </w:r>
      <w:r w:rsidR="008F394E">
        <w:rPr>
          <w:rFonts w:ascii="David" w:eastAsia="Times New Roman" w:hAnsi="David" w:cs="David" w:hint="cs"/>
          <w:sz w:val="24"/>
          <w:szCs w:val="24"/>
          <w:rtl/>
        </w:rPr>
        <w:t xml:space="preserve"> נמצאנו למדים בבירור מן החיטויים הקשורים במחלה: מחיטוי היולדת, המצורע והזב וכן גם הבית המנוגע. כי בכל המקרים האלה החיטוי בא אחרי ריפוי המחלה.</w:t>
      </w:r>
      <w:r w:rsidR="00B806F7">
        <w:rPr>
          <w:rStyle w:val="a5"/>
          <w:rFonts w:ascii="David" w:eastAsia="Times New Roman" w:hAnsi="David" w:cs="David"/>
          <w:sz w:val="24"/>
          <w:szCs w:val="24"/>
          <w:rtl/>
        </w:rPr>
        <w:footnoteReference w:id="20"/>
      </w:r>
    </w:p>
    <w:p w14:paraId="5D9C394D" w14:textId="7580504C" w:rsidR="00973544" w:rsidRDefault="00AA1156" w:rsidP="00AE0902">
      <w:pPr>
        <w:spacing w:after="187" w:line="360" w:lineRule="auto"/>
        <w:rPr>
          <w:rFonts w:ascii="David" w:eastAsia="Times New Roman" w:hAnsi="David" w:cs="David"/>
          <w:sz w:val="24"/>
          <w:szCs w:val="24"/>
          <w:rtl/>
        </w:rPr>
      </w:pPr>
      <w:r>
        <w:rPr>
          <w:rFonts w:ascii="David" w:eastAsia="Times New Roman" w:hAnsi="David" w:cs="David" w:hint="cs"/>
          <w:sz w:val="24"/>
          <w:szCs w:val="24"/>
          <w:rtl/>
        </w:rPr>
        <w:t>בה</w:t>
      </w:r>
      <w:r w:rsidR="00113914">
        <w:rPr>
          <w:rFonts w:ascii="David" w:eastAsia="Times New Roman" w:hAnsi="David" w:cs="David" w:hint="cs"/>
          <w:sz w:val="24"/>
          <w:szCs w:val="24"/>
          <w:rtl/>
        </w:rPr>
        <w:t>תאם</w:t>
      </w:r>
      <w:r>
        <w:rPr>
          <w:rFonts w:ascii="David" w:eastAsia="Times New Roman" w:hAnsi="David" w:cs="David" w:hint="cs"/>
          <w:sz w:val="24"/>
          <w:szCs w:val="24"/>
          <w:rtl/>
        </w:rPr>
        <w:t xml:space="preserve"> לכיוון </w:t>
      </w:r>
      <w:r w:rsidR="00484601">
        <w:rPr>
          <w:rFonts w:ascii="David" w:eastAsia="Times New Roman" w:hAnsi="David" w:cs="David" w:hint="cs"/>
          <w:sz w:val="24"/>
          <w:szCs w:val="24"/>
          <w:rtl/>
        </w:rPr>
        <w:t xml:space="preserve">מחשבה </w:t>
      </w:r>
      <w:r>
        <w:rPr>
          <w:rFonts w:ascii="David" w:eastAsia="Times New Roman" w:hAnsi="David" w:cs="David" w:hint="cs"/>
          <w:sz w:val="24"/>
          <w:szCs w:val="24"/>
          <w:rtl/>
        </w:rPr>
        <w:t>זה</w:t>
      </w:r>
      <w:r w:rsidR="00973544">
        <w:rPr>
          <w:rFonts w:ascii="David" w:eastAsia="Times New Roman" w:hAnsi="David" w:cs="David" w:hint="cs"/>
          <w:sz w:val="24"/>
          <w:szCs w:val="24"/>
          <w:rtl/>
        </w:rPr>
        <w:t xml:space="preserve">, </w:t>
      </w:r>
      <w:r w:rsidR="0016447B">
        <w:rPr>
          <w:rFonts w:ascii="David" w:eastAsia="Times New Roman" w:hAnsi="David" w:cs="David" w:hint="cs"/>
          <w:sz w:val="24"/>
          <w:szCs w:val="24"/>
          <w:rtl/>
        </w:rPr>
        <w:t>ישנה סבירות</w:t>
      </w:r>
      <w:r w:rsidR="00973544">
        <w:rPr>
          <w:rFonts w:ascii="David" w:eastAsia="Times New Roman" w:hAnsi="David" w:cs="David" w:hint="cs"/>
          <w:sz w:val="24"/>
          <w:szCs w:val="24"/>
          <w:rtl/>
        </w:rPr>
        <w:t xml:space="preserve"> שהטקס בספר ויקרא מבקש לנטרל טומאה כדי </w:t>
      </w:r>
      <w:r w:rsidR="00567EA9">
        <w:rPr>
          <w:rFonts w:ascii="David" w:eastAsia="Times New Roman" w:hAnsi="David" w:cs="David" w:hint="cs"/>
          <w:sz w:val="24"/>
          <w:szCs w:val="24"/>
          <w:rtl/>
        </w:rPr>
        <w:t xml:space="preserve">להסיר את המניע לסוגים שונים של טקסי להדיפת רוע המכוונים נגד כוחות זדוניים. במילים אחרות, במידה ומחלות אלה נחשבו </w:t>
      </w:r>
      <w:r w:rsidR="00484601">
        <w:rPr>
          <w:rFonts w:ascii="David" w:eastAsia="Times New Roman" w:hAnsi="David" w:cs="David" w:hint="cs"/>
          <w:sz w:val="24"/>
          <w:szCs w:val="24"/>
          <w:rtl/>
        </w:rPr>
        <w:t>כ</w:t>
      </w:r>
      <w:r w:rsidR="00567EA9">
        <w:rPr>
          <w:rFonts w:ascii="David" w:eastAsia="Times New Roman" w:hAnsi="David" w:cs="David" w:hint="cs"/>
          <w:sz w:val="24"/>
          <w:szCs w:val="24"/>
          <w:rtl/>
        </w:rPr>
        <w:t>מסוכנ</w:t>
      </w:r>
      <w:r w:rsidR="00484601">
        <w:rPr>
          <w:rFonts w:ascii="David" w:eastAsia="Times New Roman" w:hAnsi="David" w:cs="David" w:hint="cs"/>
          <w:sz w:val="24"/>
          <w:szCs w:val="24"/>
          <w:rtl/>
        </w:rPr>
        <w:t>ות</w:t>
      </w:r>
      <w:r w:rsidR="00567EA9">
        <w:rPr>
          <w:rFonts w:ascii="David" w:eastAsia="Times New Roman" w:hAnsi="David" w:cs="David" w:hint="cs"/>
          <w:sz w:val="24"/>
          <w:szCs w:val="24"/>
          <w:rtl/>
        </w:rPr>
        <w:t xml:space="preserve">, הגורם החולה </w:t>
      </w:r>
      <w:r>
        <w:rPr>
          <w:rFonts w:ascii="David" w:eastAsia="Times New Roman" w:hAnsi="David" w:cs="David" w:hint="cs"/>
          <w:sz w:val="24"/>
          <w:szCs w:val="24"/>
          <w:rtl/>
        </w:rPr>
        <w:t xml:space="preserve">היה </w:t>
      </w:r>
      <w:r w:rsidR="00567EA9">
        <w:rPr>
          <w:rFonts w:ascii="David" w:eastAsia="Times New Roman" w:hAnsi="David" w:cs="David" w:hint="cs"/>
          <w:sz w:val="24"/>
          <w:szCs w:val="24"/>
          <w:rtl/>
        </w:rPr>
        <w:t xml:space="preserve">נדרש לבקש סוג </w:t>
      </w:r>
      <w:r>
        <w:rPr>
          <w:rFonts w:ascii="David" w:eastAsia="Times New Roman" w:hAnsi="David" w:cs="David" w:hint="cs"/>
          <w:sz w:val="24"/>
          <w:szCs w:val="24"/>
          <w:rtl/>
        </w:rPr>
        <w:t xml:space="preserve">כלשהוא </w:t>
      </w:r>
      <w:r w:rsidR="00567EA9">
        <w:rPr>
          <w:rFonts w:ascii="David" w:eastAsia="Times New Roman" w:hAnsi="David" w:cs="David" w:hint="cs"/>
          <w:sz w:val="24"/>
          <w:szCs w:val="24"/>
          <w:rtl/>
        </w:rPr>
        <w:t>של טיפול טקסי. א</w:t>
      </w:r>
      <w:r>
        <w:rPr>
          <w:rFonts w:ascii="David" w:eastAsia="Times New Roman" w:hAnsi="David" w:cs="David" w:hint="cs"/>
          <w:sz w:val="24"/>
          <w:szCs w:val="24"/>
          <w:rtl/>
        </w:rPr>
        <w:t>ולם</w:t>
      </w:r>
      <w:r w:rsidR="00567EA9">
        <w:rPr>
          <w:rFonts w:ascii="David" w:eastAsia="Times New Roman" w:hAnsi="David" w:cs="David" w:hint="cs"/>
          <w:sz w:val="24"/>
          <w:szCs w:val="24"/>
          <w:rtl/>
        </w:rPr>
        <w:t xml:space="preserve"> הא</w:t>
      </w:r>
      <w:r w:rsidR="00C45DCE">
        <w:rPr>
          <w:rFonts w:ascii="David" w:eastAsia="Times New Roman" w:hAnsi="David" w:cs="David" w:hint="cs"/>
          <w:sz w:val="24"/>
          <w:szCs w:val="24"/>
          <w:rtl/>
        </w:rPr>
        <w:t>ו</w:t>
      </w:r>
      <w:r w:rsidR="00567EA9">
        <w:rPr>
          <w:rFonts w:ascii="David" w:eastAsia="Times New Roman" w:hAnsi="David" w:cs="David" w:hint="cs"/>
          <w:sz w:val="24"/>
          <w:szCs w:val="24"/>
          <w:rtl/>
        </w:rPr>
        <w:t xml:space="preserve">פציות הקיימות כללו </w:t>
      </w:r>
      <w:r>
        <w:rPr>
          <w:rFonts w:ascii="David" w:eastAsia="Times New Roman" w:hAnsi="David" w:cs="David" w:hint="cs"/>
          <w:sz w:val="24"/>
          <w:szCs w:val="24"/>
          <w:rtl/>
        </w:rPr>
        <w:t xml:space="preserve">גירוש </w:t>
      </w:r>
      <w:r w:rsidR="00567EA9">
        <w:rPr>
          <w:rFonts w:ascii="David" w:eastAsia="Times New Roman" w:hAnsi="David" w:cs="David" w:hint="cs"/>
          <w:sz w:val="24"/>
          <w:szCs w:val="24"/>
          <w:rtl/>
        </w:rPr>
        <w:t xml:space="preserve">כוחות זדוניים, </w:t>
      </w:r>
      <w:r w:rsidR="00874856">
        <w:rPr>
          <w:rFonts w:ascii="David" w:eastAsia="Times New Roman" w:hAnsi="David" w:cs="David" w:hint="cs"/>
          <w:sz w:val="24"/>
          <w:szCs w:val="24"/>
          <w:rtl/>
        </w:rPr>
        <w:t>והיו כרוכים</w:t>
      </w:r>
      <w:r w:rsidR="00567EA9">
        <w:rPr>
          <w:rFonts w:ascii="David" w:eastAsia="Times New Roman" w:hAnsi="David" w:cs="David" w:hint="cs"/>
          <w:sz w:val="24"/>
          <w:szCs w:val="24"/>
          <w:rtl/>
        </w:rPr>
        <w:t xml:space="preserve"> </w:t>
      </w:r>
      <w:r w:rsidR="00874856">
        <w:rPr>
          <w:rFonts w:ascii="David" w:eastAsia="Times New Roman" w:hAnsi="David" w:cs="David" w:hint="cs"/>
          <w:sz w:val="24"/>
          <w:szCs w:val="24"/>
          <w:rtl/>
        </w:rPr>
        <w:t>ב</w:t>
      </w:r>
      <w:r w:rsidR="00567EA9">
        <w:rPr>
          <w:rFonts w:ascii="David" w:eastAsia="Times New Roman" w:hAnsi="David" w:cs="David" w:hint="cs"/>
          <w:sz w:val="24"/>
          <w:szCs w:val="24"/>
          <w:rtl/>
        </w:rPr>
        <w:t xml:space="preserve">תפיסת עולם </w:t>
      </w:r>
      <w:r w:rsidR="00874856">
        <w:rPr>
          <w:rFonts w:ascii="David" w:eastAsia="Times New Roman" w:hAnsi="David" w:cs="David" w:hint="cs"/>
          <w:sz w:val="24"/>
          <w:szCs w:val="24"/>
          <w:rtl/>
        </w:rPr>
        <w:t xml:space="preserve">שביסודה </w:t>
      </w:r>
      <w:r w:rsidR="00567EA9">
        <w:rPr>
          <w:rFonts w:ascii="David" w:eastAsia="Times New Roman" w:hAnsi="David" w:cs="David" w:hint="cs"/>
          <w:sz w:val="24"/>
          <w:szCs w:val="24"/>
          <w:rtl/>
        </w:rPr>
        <w:t>הייתה עוינת למונותאיזם.</w:t>
      </w:r>
      <w:r w:rsidR="00C45DCE">
        <w:rPr>
          <w:rStyle w:val="a5"/>
          <w:rFonts w:ascii="David" w:eastAsia="Times New Roman" w:hAnsi="David" w:cs="David"/>
          <w:sz w:val="24"/>
          <w:szCs w:val="24"/>
          <w:rtl/>
        </w:rPr>
        <w:footnoteReference w:id="21"/>
      </w:r>
      <w:r w:rsidR="00C45DCE">
        <w:rPr>
          <w:rFonts w:ascii="David" w:eastAsia="Times New Roman" w:hAnsi="David" w:cs="David" w:hint="cs"/>
          <w:sz w:val="24"/>
          <w:szCs w:val="24"/>
          <w:rtl/>
        </w:rPr>
        <w:t xml:space="preserve"> </w:t>
      </w:r>
      <w:r w:rsidR="00874856">
        <w:rPr>
          <w:rFonts w:ascii="David" w:eastAsia="Times New Roman" w:hAnsi="David" w:cs="David" w:hint="cs"/>
          <w:sz w:val="24"/>
          <w:szCs w:val="24"/>
          <w:rtl/>
        </w:rPr>
        <w:t>באמצעות</w:t>
      </w:r>
      <w:r>
        <w:rPr>
          <w:rFonts w:ascii="David" w:eastAsia="Times New Roman" w:hAnsi="David" w:cs="David" w:hint="cs"/>
          <w:sz w:val="24"/>
          <w:szCs w:val="24"/>
          <w:rtl/>
        </w:rPr>
        <w:t xml:space="preserve"> </w:t>
      </w:r>
      <w:r w:rsidR="0016447B">
        <w:rPr>
          <w:rFonts w:ascii="David" w:eastAsia="Times New Roman" w:hAnsi="David" w:cs="David" w:hint="cs"/>
          <w:sz w:val="24"/>
          <w:szCs w:val="24"/>
          <w:rtl/>
        </w:rPr>
        <w:t xml:space="preserve">מסגור מחדש </w:t>
      </w:r>
      <w:r w:rsidR="0027385C">
        <w:rPr>
          <w:rFonts w:ascii="David" w:eastAsia="Times New Roman" w:hAnsi="David" w:cs="David" w:hint="cs"/>
          <w:sz w:val="24"/>
          <w:szCs w:val="24"/>
          <w:rtl/>
        </w:rPr>
        <w:t>של טומאה מ</w:t>
      </w:r>
      <w:r w:rsidR="003307DC">
        <w:rPr>
          <w:rFonts w:ascii="David" w:eastAsia="Times New Roman" w:hAnsi="David" w:cs="David" w:hint="cs"/>
          <w:sz w:val="24"/>
          <w:szCs w:val="24"/>
          <w:rtl/>
        </w:rPr>
        <w:t>להיתפס</w:t>
      </w:r>
      <w:r w:rsidR="0027385C">
        <w:rPr>
          <w:rFonts w:ascii="David" w:eastAsia="Times New Roman" w:hAnsi="David" w:cs="David" w:hint="cs"/>
          <w:sz w:val="24"/>
          <w:szCs w:val="24"/>
          <w:rtl/>
        </w:rPr>
        <w:t xml:space="preserve"> כגורם למחלה לאפקט משני השייך למקדש בלבד, </w:t>
      </w:r>
      <w:r>
        <w:rPr>
          <w:rFonts w:ascii="David" w:eastAsia="Times New Roman" w:hAnsi="David" w:cs="David" w:hint="cs"/>
          <w:sz w:val="24"/>
          <w:szCs w:val="24"/>
          <w:rtl/>
        </w:rPr>
        <w:t xml:space="preserve">צומצם במידה ניכרת </w:t>
      </w:r>
      <w:r w:rsidR="0027385C">
        <w:rPr>
          <w:rFonts w:ascii="David" w:eastAsia="Times New Roman" w:hAnsi="David" w:cs="David" w:hint="cs"/>
          <w:sz w:val="24"/>
          <w:szCs w:val="24"/>
          <w:rtl/>
        </w:rPr>
        <w:t xml:space="preserve">הפיתוי לבצע טקסים </w:t>
      </w:r>
      <w:r w:rsidR="00C5679E">
        <w:rPr>
          <w:rFonts w:ascii="David" w:eastAsia="Times New Roman" w:hAnsi="David" w:cs="David" w:hint="cs"/>
          <w:sz w:val="24"/>
          <w:szCs w:val="24"/>
          <w:rtl/>
        </w:rPr>
        <w:t xml:space="preserve">מעין </w:t>
      </w:r>
      <w:r w:rsidR="0027385C">
        <w:rPr>
          <w:rFonts w:ascii="David" w:eastAsia="Times New Roman" w:hAnsi="David" w:cs="David" w:hint="cs"/>
          <w:sz w:val="24"/>
          <w:szCs w:val="24"/>
          <w:rtl/>
        </w:rPr>
        <w:t>אלה.</w:t>
      </w:r>
    </w:p>
    <w:p w14:paraId="3C76D98D" w14:textId="2710C025" w:rsidR="0027385C" w:rsidRDefault="0027385C" w:rsidP="00AE0902">
      <w:pPr>
        <w:spacing w:after="187" w:line="360" w:lineRule="auto"/>
        <w:rPr>
          <w:rFonts w:ascii="David" w:eastAsia="Times New Roman" w:hAnsi="David" w:cs="David"/>
          <w:sz w:val="24"/>
          <w:szCs w:val="24"/>
          <w:rtl/>
        </w:rPr>
      </w:pPr>
      <w:r>
        <w:rPr>
          <w:rFonts w:ascii="David" w:eastAsia="Times New Roman" w:hAnsi="David" w:cs="David" w:hint="cs"/>
          <w:sz w:val="24"/>
          <w:szCs w:val="24"/>
          <w:rtl/>
        </w:rPr>
        <w:t xml:space="preserve">צרעת: </w:t>
      </w:r>
      <w:r w:rsidR="00C5679E">
        <w:rPr>
          <w:rFonts w:ascii="David" w:eastAsia="Times New Roman" w:hAnsi="David" w:cs="David" w:hint="cs"/>
          <w:sz w:val="24"/>
          <w:szCs w:val="24"/>
          <w:rtl/>
        </w:rPr>
        <w:t xml:space="preserve">לא </w:t>
      </w:r>
      <w:r>
        <w:rPr>
          <w:rFonts w:ascii="David" w:eastAsia="Times New Roman" w:hAnsi="David" w:cs="David" w:hint="cs"/>
          <w:sz w:val="24"/>
          <w:szCs w:val="24"/>
          <w:rtl/>
        </w:rPr>
        <w:t>מה שהינה</w:t>
      </w:r>
      <w:r w:rsidR="00C5679E">
        <w:rPr>
          <w:rFonts w:ascii="David" w:eastAsia="Times New Roman" w:hAnsi="David" w:cs="David" w:hint="cs"/>
          <w:sz w:val="24"/>
          <w:szCs w:val="24"/>
          <w:rtl/>
        </w:rPr>
        <w:t xml:space="preserve"> א</w:t>
      </w:r>
      <w:r>
        <w:rPr>
          <w:rFonts w:ascii="David" w:eastAsia="Times New Roman" w:hAnsi="David" w:cs="David" w:hint="cs"/>
          <w:sz w:val="24"/>
          <w:szCs w:val="24"/>
          <w:rtl/>
        </w:rPr>
        <w:t>לא מה ש</w:t>
      </w:r>
      <w:r w:rsidR="00C5679E">
        <w:rPr>
          <w:rFonts w:ascii="David" w:eastAsia="Times New Roman" w:hAnsi="David" w:cs="David" w:hint="cs"/>
          <w:sz w:val="24"/>
          <w:szCs w:val="24"/>
          <w:rtl/>
        </w:rPr>
        <w:t xml:space="preserve">היא </w:t>
      </w:r>
      <w:r>
        <w:rPr>
          <w:rFonts w:ascii="David" w:eastAsia="Times New Roman" w:hAnsi="David" w:cs="David" w:hint="cs"/>
          <w:sz w:val="24"/>
          <w:szCs w:val="24"/>
          <w:rtl/>
        </w:rPr>
        <w:t>איננה</w:t>
      </w:r>
    </w:p>
    <w:p w14:paraId="499DCE22" w14:textId="144BF855" w:rsidR="00C5679E" w:rsidRDefault="0027385C" w:rsidP="006457B6">
      <w:pPr>
        <w:spacing w:after="187" w:line="360" w:lineRule="auto"/>
        <w:rPr>
          <w:rFonts w:ascii="David" w:eastAsia="Times New Roman" w:hAnsi="David" w:cs="David"/>
          <w:color w:val="000000"/>
          <w:sz w:val="24"/>
          <w:szCs w:val="24"/>
          <w:rtl/>
        </w:rPr>
      </w:pPr>
      <w:r>
        <w:rPr>
          <w:rFonts w:ascii="David" w:eastAsia="Times New Roman" w:hAnsi="David" w:cs="David" w:hint="cs"/>
          <w:sz w:val="24"/>
          <w:szCs w:val="24"/>
          <w:rtl/>
        </w:rPr>
        <w:t xml:space="preserve">הדיון הטכני כביכול על צרעת בספר ויקרא 13–14 </w:t>
      </w:r>
      <w:r w:rsidR="00874856">
        <w:rPr>
          <w:rFonts w:ascii="David" w:eastAsia="Times New Roman" w:hAnsi="David" w:cs="David" w:hint="cs"/>
          <w:sz w:val="24"/>
          <w:szCs w:val="24"/>
          <w:rtl/>
        </w:rPr>
        <w:t>מסווה</w:t>
      </w:r>
      <w:r>
        <w:rPr>
          <w:rFonts w:ascii="David" w:eastAsia="Times New Roman" w:hAnsi="David" w:cs="David" w:hint="cs"/>
          <w:sz w:val="24"/>
          <w:szCs w:val="24"/>
          <w:rtl/>
        </w:rPr>
        <w:t xml:space="preserve"> את העובדה שהדיון המקראי על מחלה זו מייצג עזיבה רדיקלית</w:t>
      </w:r>
      <w:r w:rsidR="006457B6">
        <w:rPr>
          <w:rFonts w:ascii="David" w:eastAsia="Times New Roman" w:hAnsi="David" w:cs="David"/>
          <w:sz w:val="24"/>
          <w:szCs w:val="24"/>
        </w:rPr>
        <w:t xml:space="preserve"> </w:t>
      </w:r>
      <w:r w:rsidR="006457B6">
        <w:rPr>
          <w:rFonts w:ascii="David" w:eastAsia="Times New Roman" w:hAnsi="David" w:cs="David" w:hint="cs"/>
          <w:sz w:val="24"/>
          <w:szCs w:val="24"/>
          <w:rtl/>
        </w:rPr>
        <w:t xml:space="preserve">של תפיסות מוקדמות יותר של מחלה במזרח הקרוב העתיק, וייתכן להניח שגם בישראל העתיקה. את הייחודיות של </w:t>
      </w:r>
      <w:r w:rsidR="00E40151">
        <w:rPr>
          <w:rFonts w:ascii="David" w:eastAsia="Times New Roman" w:hAnsi="David" w:cs="David" w:hint="cs"/>
          <w:sz w:val="24"/>
          <w:szCs w:val="24"/>
          <w:rtl/>
        </w:rPr>
        <w:t>ה</w:t>
      </w:r>
      <w:r w:rsidR="006457B6">
        <w:rPr>
          <w:rFonts w:ascii="David" w:eastAsia="Times New Roman" w:hAnsi="David" w:cs="David" w:hint="cs"/>
          <w:sz w:val="24"/>
          <w:szCs w:val="24"/>
          <w:rtl/>
        </w:rPr>
        <w:t xml:space="preserve">טיפול הכוהני אפשר להעריך במלואה רק באמצעות השוואה לראיות חוץ-מקראיות </w:t>
      </w:r>
      <w:r w:rsidR="003307DC">
        <w:rPr>
          <w:rFonts w:ascii="David" w:eastAsia="Times New Roman" w:hAnsi="David" w:cs="David" w:hint="cs"/>
          <w:sz w:val="24"/>
          <w:szCs w:val="24"/>
          <w:rtl/>
        </w:rPr>
        <w:t>הנוגעות</w:t>
      </w:r>
      <w:r w:rsidR="006457B6">
        <w:rPr>
          <w:rFonts w:ascii="David" w:eastAsia="Times New Roman" w:hAnsi="David" w:cs="David" w:hint="cs"/>
          <w:sz w:val="24"/>
          <w:szCs w:val="24"/>
          <w:rtl/>
        </w:rPr>
        <w:t xml:space="preserve"> </w:t>
      </w:r>
      <w:r w:rsidR="003307DC">
        <w:rPr>
          <w:rFonts w:ascii="David" w:eastAsia="Times New Roman" w:hAnsi="David" w:cs="David" w:hint="cs"/>
          <w:sz w:val="24"/>
          <w:szCs w:val="24"/>
          <w:rtl/>
        </w:rPr>
        <w:t>ל</w:t>
      </w:r>
      <w:r w:rsidR="006457B6">
        <w:rPr>
          <w:rFonts w:ascii="David" w:eastAsia="Times New Roman" w:hAnsi="David" w:cs="David" w:hint="cs"/>
          <w:sz w:val="24"/>
          <w:szCs w:val="24"/>
          <w:rtl/>
        </w:rPr>
        <w:t xml:space="preserve">מחלת </w:t>
      </w:r>
      <w:proofErr w:type="spellStart"/>
      <w:r w:rsidR="006457B6" w:rsidRPr="0090141D">
        <w:rPr>
          <w:rFonts w:ascii="Times New Roman" w:eastAsia="Times New Roman" w:hAnsi="Times New Roman" w:cs="Times New Roman"/>
          <w:i/>
          <w:iCs/>
          <w:color w:val="000000"/>
          <w:sz w:val="16"/>
          <w:lang w:bidi="ar-SA"/>
        </w:rPr>
        <w:t>saḫaršubbû</w:t>
      </w:r>
      <w:proofErr w:type="spellEnd"/>
      <w:r w:rsidR="006457B6">
        <w:rPr>
          <w:rFonts w:ascii="Times New Roman" w:eastAsia="Times New Roman" w:hAnsi="Times New Roman" w:cs="Times New Roman" w:hint="cs"/>
          <w:i/>
          <w:iCs/>
          <w:color w:val="000000"/>
          <w:sz w:val="16"/>
          <w:rtl/>
        </w:rPr>
        <w:t>.</w:t>
      </w:r>
      <w:r w:rsidR="006457B6">
        <w:rPr>
          <w:rFonts w:ascii="David" w:eastAsia="Times New Roman" w:hAnsi="David" w:cs="David" w:hint="cs"/>
          <w:color w:val="000000"/>
          <w:sz w:val="24"/>
          <w:szCs w:val="24"/>
          <w:rtl/>
        </w:rPr>
        <w:t xml:space="preserve"> </w:t>
      </w:r>
    </w:p>
    <w:p w14:paraId="4DE80319" w14:textId="1C22DE4F" w:rsidR="006457B6" w:rsidRDefault="006457B6"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העדר </w:t>
      </w:r>
      <w:r w:rsidR="001F0EF7">
        <w:rPr>
          <w:rFonts w:ascii="David" w:eastAsia="Times New Roman" w:hAnsi="David" w:cs="David" w:hint="cs"/>
          <w:color w:val="000000"/>
          <w:sz w:val="24"/>
          <w:szCs w:val="24"/>
          <w:rtl/>
        </w:rPr>
        <w:t xml:space="preserve">כל מרשם טקסי לריפוי צרעת </w:t>
      </w:r>
      <w:r w:rsidR="00874856">
        <w:rPr>
          <w:rFonts w:ascii="David" w:eastAsia="Times New Roman" w:hAnsi="David" w:cs="David" w:hint="cs"/>
          <w:color w:val="000000"/>
          <w:sz w:val="24"/>
          <w:szCs w:val="24"/>
          <w:rtl/>
        </w:rPr>
        <w:t>ביחד עם</w:t>
      </w:r>
      <w:r w:rsidR="00493326">
        <w:rPr>
          <w:rFonts w:ascii="David" w:eastAsia="Times New Roman" w:hAnsi="David" w:cs="David" w:hint="cs"/>
          <w:color w:val="000000"/>
          <w:sz w:val="24"/>
          <w:szCs w:val="24"/>
          <w:rtl/>
        </w:rPr>
        <w:t xml:space="preserve"> </w:t>
      </w:r>
      <w:r w:rsidR="001F0EF7">
        <w:rPr>
          <w:rFonts w:ascii="David" w:eastAsia="Times New Roman" w:hAnsi="David" w:cs="David" w:hint="cs"/>
          <w:color w:val="000000"/>
          <w:sz w:val="24"/>
          <w:szCs w:val="24"/>
          <w:rtl/>
        </w:rPr>
        <w:t>ההשלכות הבלתי מזיקות באופן יחסי של מחלה זו רומזים לניסיון מכוון להרחיק את העברים מטקסי הדיפת רוע שה</w:t>
      </w:r>
      <w:r w:rsidR="00C5679E">
        <w:rPr>
          <w:rFonts w:ascii="David" w:eastAsia="Times New Roman" w:hAnsi="David" w:cs="David" w:hint="cs"/>
          <w:color w:val="000000"/>
          <w:sz w:val="24"/>
          <w:szCs w:val="24"/>
          <w:rtl/>
        </w:rPr>
        <w:t>ם הכירו</w:t>
      </w:r>
      <w:r w:rsidR="001F0EF7">
        <w:rPr>
          <w:rFonts w:ascii="David" w:eastAsia="Times New Roman" w:hAnsi="David" w:cs="David" w:hint="cs"/>
          <w:color w:val="000000"/>
          <w:sz w:val="24"/>
          <w:szCs w:val="24"/>
          <w:rtl/>
        </w:rPr>
        <w:t xml:space="preserve">. במקום </w:t>
      </w:r>
      <w:r w:rsidR="00C5679E">
        <w:rPr>
          <w:rFonts w:ascii="David" w:eastAsia="Times New Roman" w:hAnsi="David" w:cs="David" w:hint="cs"/>
          <w:color w:val="000000"/>
          <w:sz w:val="24"/>
          <w:szCs w:val="24"/>
          <w:rtl/>
        </w:rPr>
        <w:t xml:space="preserve">דרך </w:t>
      </w:r>
      <w:r w:rsidR="001F0EF7">
        <w:rPr>
          <w:rFonts w:ascii="David" w:eastAsia="Times New Roman" w:hAnsi="David" w:cs="David" w:hint="cs"/>
          <w:color w:val="000000"/>
          <w:sz w:val="24"/>
          <w:szCs w:val="24"/>
          <w:rtl/>
        </w:rPr>
        <w:t>שימוש ב</w:t>
      </w:r>
      <w:r w:rsidR="00481BAD">
        <w:rPr>
          <w:rFonts w:ascii="David" w:eastAsia="Times New Roman" w:hAnsi="David" w:cs="David" w:hint="cs"/>
          <w:color w:val="000000"/>
          <w:sz w:val="24"/>
          <w:szCs w:val="24"/>
          <w:rtl/>
        </w:rPr>
        <w:t>אמירו</w:t>
      </w:r>
      <w:r w:rsidR="001F0EF7">
        <w:rPr>
          <w:rFonts w:ascii="David" w:eastAsia="Times New Roman" w:hAnsi="David" w:cs="David" w:hint="cs"/>
          <w:color w:val="000000"/>
          <w:sz w:val="24"/>
          <w:szCs w:val="24"/>
          <w:rtl/>
        </w:rPr>
        <w:t xml:space="preserve">ת תאולוגיות </w:t>
      </w:r>
      <w:r w:rsidR="00481BAD">
        <w:rPr>
          <w:rFonts w:ascii="David" w:eastAsia="Times New Roman" w:hAnsi="David" w:cs="David" w:hint="cs"/>
          <w:color w:val="000000"/>
          <w:sz w:val="24"/>
          <w:szCs w:val="24"/>
          <w:rtl/>
        </w:rPr>
        <w:t>תוכניתיות, הרי שבקול הדממה הדקה</w:t>
      </w:r>
      <w:r w:rsidR="00481BAD">
        <w:rPr>
          <w:rStyle w:val="a5"/>
          <w:rFonts w:ascii="David" w:eastAsia="Times New Roman" w:hAnsi="David" w:cs="David"/>
          <w:color w:val="000000"/>
          <w:sz w:val="24"/>
          <w:szCs w:val="24"/>
          <w:rtl/>
        </w:rPr>
        <w:footnoteReference w:id="22"/>
      </w:r>
      <w:r w:rsidR="00481BAD">
        <w:rPr>
          <w:rFonts w:ascii="David" w:eastAsia="Times New Roman" w:hAnsi="David" w:cs="David" w:hint="cs"/>
          <w:color w:val="000000"/>
          <w:sz w:val="24"/>
          <w:szCs w:val="24"/>
          <w:rtl/>
        </w:rPr>
        <w:t xml:space="preserve"> הנותר בעקבות השמטות מכוונות אלה נגלית תפ</w:t>
      </w:r>
      <w:r w:rsidR="0056001D">
        <w:rPr>
          <w:rFonts w:ascii="David" w:eastAsia="Times New Roman" w:hAnsi="David" w:cs="David" w:hint="cs"/>
          <w:color w:val="000000"/>
          <w:sz w:val="24"/>
          <w:szCs w:val="24"/>
          <w:rtl/>
        </w:rPr>
        <w:t>י</w:t>
      </w:r>
      <w:r w:rsidR="00481BAD">
        <w:rPr>
          <w:rFonts w:ascii="David" w:eastAsia="Times New Roman" w:hAnsi="David" w:cs="David" w:hint="cs"/>
          <w:color w:val="000000"/>
          <w:sz w:val="24"/>
          <w:szCs w:val="24"/>
          <w:rtl/>
        </w:rPr>
        <w:t>ס</w:t>
      </w:r>
      <w:r w:rsidR="00E40151">
        <w:rPr>
          <w:rFonts w:ascii="David" w:eastAsia="Times New Roman" w:hAnsi="David" w:cs="David" w:hint="cs"/>
          <w:color w:val="000000"/>
          <w:sz w:val="24"/>
          <w:szCs w:val="24"/>
          <w:rtl/>
        </w:rPr>
        <w:t>ת המקור הכוהני</w:t>
      </w:r>
      <w:r w:rsidR="00481BAD">
        <w:rPr>
          <w:rFonts w:ascii="David" w:eastAsia="Times New Roman" w:hAnsi="David" w:cs="David" w:hint="cs"/>
          <w:color w:val="000000"/>
          <w:sz w:val="24"/>
          <w:szCs w:val="24"/>
          <w:rtl/>
        </w:rPr>
        <w:t xml:space="preserve"> המהפכני</w:t>
      </w:r>
      <w:r w:rsidR="00C5679E">
        <w:rPr>
          <w:rFonts w:ascii="David" w:eastAsia="Times New Roman" w:hAnsi="David" w:cs="David" w:hint="cs"/>
          <w:color w:val="000000"/>
          <w:sz w:val="24"/>
          <w:szCs w:val="24"/>
          <w:rtl/>
        </w:rPr>
        <w:t>ת</w:t>
      </w:r>
      <w:r w:rsidR="00481BAD">
        <w:rPr>
          <w:rFonts w:ascii="David" w:eastAsia="Times New Roman" w:hAnsi="David" w:cs="David" w:hint="cs"/>
          <w:color w:val="000000"/>
          <w:sz w:val="24"/>
          <w:szCs w:val="24"/>
          <w:rtl/>
        </w:rPr>
        <w:t xml:space="preserve"> של אלוקים</w:t>
      </w:r>
      <w:r w:rsidR="0056001D">
        <w:rPr>
          <w:rFonts w:ascii="David" w:eastAsia="Times New Roman" w:hAnsi="David" w:cs="David" w:hint="cs"/>
          <w:color w:val="000000"/>
          <w:sz w:val="24"/>
          <w:szCs w:val="24"/>
          <w:rtl/>
        </w:rPr>
        <w:t>.</w:t>
      </w:r>
    </w:p>
    <w:p w14:paraId="5DABB0B8" w14:textId="77777777" w:rsidR="00C97295" w:rsidRDefault="00C97295" w:rsidP="006457B6">
      <w:pPr>
        <w:spacing w:after="187" w:line="360" w:lineRule="auto"/>
        <w:rPr>
          <w:rFonts w:ascii="David" w:eastAsia="Times New Roman" w:hAnsi="David" w:cs="David"/>
          <w:color w:val="000000"/>
          <w:sz w:val="24"/>
          <w:szCs w:val="24"/>
          <w:rtl/>
        </w:rPr>
      </w:pPr>
    </w:p>
    <w:p w14:paraId="4CA016C0" w14:textId="77777777" w:rsidR="00407FFD" w:rsidRDefault="00407FFD" w:rsidP="006457B6">
      <w:pPr>
        <w:spacing w:after="187" w:line="360" w:lineRule="auto"/>
        <w:rPr>
          <w:rFonts w:ascii="David" w:eastAsia="Times New Roman" w:hAnsi="David" w:cs="David"/>
          <w:color w:val="000000"/>
          <w:sz w:val="24"/>
          <w:szCs w:val="24"/>
          <w:rtl/>
        </w:rPr>
      </w:pPr>
    </w:p>
    <w:p w14:paraId="6B3E765A" w14:textId="77777777" w:rsidR="00407FFD" w:rsidRDefault="00407FFD" w:rsidP="006457B6">
      <w:pPr>
        <w:spacing w:after="187" w:line="360" w:lineRule="auto"/>
        <w:rPr>
          <w:rFonts w:ascii="David" w:eastAsia="Times New Roman" w:hAnsi="David" w:cs="David"/>
          <w:color w:val="000000"/>
          <w:sz w:val="24"/>
          <w:szCs w:val="24"/>
          <w:rtl/>
        </w:rPr>
      </w:pPr>
    </w:p>
    <w:p w14:paraId="3B98CFBC" w14:textId="77777777" w:rsidR="00407FFD" w:rsidRDefault="00407FFD" w:rsidP="006457B6">
      <w:pPr>
        <w:spacing w:after="187" w:line="360" w:lineRule="auto"/>
        <w:rPr>
          <w:rFonts w:ascii="David" w:eastAsia="Times New Roman" w:hAnsi="David" w:cs="David"/>
          <w:color w:val="000000"/>
          <w:sz w:val="24"/>
          <w:szCs w:val="24"/>
          <w:rtl/>
        </w:rPr>
      </w:pPr>
    </w:p>
    <w:p w14:paraId="657FDE79" w14:textId="66F5AF4E" w:rsidR="00407FFD" w:rsidRDefault="00E40151" w:rsidP="00407FFD">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נספח</w:t>
      </w:r>
    </w:p>
    <w:p w14:paraId="7A533C91" w14:textId="77777777" w:rsidR="00407FFD" w:rsidRDefault="00407FFD" w:rsidP="00407FFD">
      <w:pPr>
        <w:spacing w:after="187" w:line="360" w:lineRule="auto"/>
        <w:rPr>
          <w:rFonts w:ascii="David" w:eastAsia="Times New Roman" w:hAnsi="David" w:cs="David"/>
          <w:color w:val="000000"/>
          <w:sz w:val="24"/>
          <w:szCs w:val="24"/>
          <w:rtl/>
        </w:rPr>
      </w:pPr>
    </w:p>
    <w:p w14:paraId="4204B1FA" w14:textId="408FBE2F" w:rsidR="00E40151" w:rsidRDefault="00E40151"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אל תתייחס לפטרייה שעל הקיר</w:t>
      </w:r>
    </w:p>
    <w:p w14:paraId="69B607D1" w14:textId="7628CEDA" w:rsidR="007D7F35" w:rsidRDefault="00E40151"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מקבילה מאירה </w:t>
      </w:r>
      <w:r w:rsidR="008C219F">
        <w:rPr>
          <w:rFonts w:ascii="David" w:eastAsia="Times New Roman" w:hAnsi="David" w:cs="David" w:hint="cs"/>
          <w:color w:val="000000"/>
          <w:sz w:val="24"/>
          <w:szCs w:val="24"/>
          <w:rtl/>
        </w:rPr>
        <w:t>באותה מידה</w:t>
      </w:r>
      <w:r>
        <w:rPr>
          <w:rFonts w:ascii="David" w:eastAsia="Times New Roman" w:hAnsi="David" w:cs="David" w:hint="cs"/>
          <w:color w:val="000000"/>
          <w:sz w:val="24"/>
          <w:szCs w:val="24"/>
          <w:rtl/>
        </w:rPr>
        <w:t xml:space="preserve"> לזו שנידונה במאמר העיקרי נמצאת </w:t>
      </w:r>
      <w:r w:rsidR="00C97295">
        <w:rPr>
          <w:rFonts w:ascii="David" w:eastAsia="Times New Roman" w:hAnsi="David" w:cs="David" w:hint="cs"/>
          <w:color w:val="000000"/>
          <w:sz w:val="24"/>
          <w:szCs w:val="24"/>
          <w:rtl/>
        </w:rPr>
        <w:t>בפרשת</w:t>
      </w:r>
      <w:r>
        <w:rPr>
          <w:rFonts w:ascii="David" w:eastAsia="Times New Roman" w:hAnsi="David" w:cs="David" w:hint="cs"/>
          <w:color w:val="000000"/>
          <w:sz w:val="24"/>
          <w:szCs w:val="24"/>
          <w:rtl/>
        </w:rPr>
        <w:t xml:space="preserve"> צרעת הבית (ויקרא </w:t>
      </w:r>
      <w:r w:rsidR="00407FFD">
        <w:rPr>
          <w:rFonts w:ascii="David" w:eastAsia="Times New Roman" w:hAnsi="David" w:cs="David" w:hint="cs"/>
          <w:color w:val="000000"/>
          <w:sz w:val="24"/>
          <w:szCs w:val="24"/>
          <w:rtl/>
        </w:rPr>
        <w:t>33</w:t>
      </w:r>
      <w:r>
        <w:rPr>
          <w:rFonts w:ascii="David" w:eastAsia="Times New Roman" w:hAnsi="David" w:cs="David" w:hint="cs"/>
          <w:color w:val="000000"/>
          <w:sz w:val="24"/>
          <w:szCs w:val="24"/>
          <w:rtl/>
        </w:rPr>
        <w:t>:</w:t>
      </w:r>
      <w:r w:rsidR="00407FFD">
        <w:rPr>
          <w:rFonts w:ascii="David" w:eastAsia="Times New Roman" w:hAnsi="David" w:cs="David" w:hint="cs"/>
          <w:color w:val="000000"/>
          <w:sz w:val="24"/>
          <w:szCs w:val="24"/>
          <w:rtl/>
        </w:rPr>
        <w:t>14</w:t>
      </w:r>
      <w:r>
        <w:rPr>
          <w:rFonts w:ascii="David" w:eastAsia="Times New Roman" w:hAnsi="David" w:cs="David" w:hint="cs"/>
          <w:color w:val="000000"/>
          <w:sz w:val="24"/>
          <w:szCs w:val="24"/>
          <w:rtl/>
        </w:rPr>
        <w:t>–53)</w:t>
      </w:r>
      <w:r w:rsidR="007D7F35">
        <w:rPr>
          <w:rFonts w:ascii="David" w:eastAsia="Times New Roman" w:hAnsi="David" w:cs="David" w:hint="cs"/>
          <w:color w:val="000000"/>
          <w:sz w:val="24"/>
          <w:szCs w:val="24"/>
          <w:rtl/>
        </w:rPr>
        <w:t>, שאפשר להשוותה לפטריית ה-</w:t>
      </w:r>
      <w:r w:rsidR="007D7F35" w:rsidRPr="007D7F35">
        <w:rPr>
          <w:rFonts w:ascii="Times New Roman" w:eastAsia="Times New Roman" w:hAnsi="Times New Roman" w:cs="Times New Roman"/>
          <w:i/>
          <w:iCs/>
          <w:color w:val="000000"/>
          <w:sz w:val="16"/>
          <w:lang w:bidi="ar-SA"/>
        </w:rPr>
        <w:t xml:space="preserve"> </w:t>
      </w:r>
      <w:proofErr w:type="spellStart"/>
      <w:r w:rsidR="007D7F35" w:rsidRPr="0090141D">
        <w:rPr>
          <w:rFonts w:ascii="Times New Roman" w:eastAsia="Times New Roman" w:hAnsi="Times New Roman" w:cs="Times New Roman"/>
          <w:i/>
          <w:iCs/>
          <w:color w:val="000000"/>
          <w:sz w:val="16"/>
          <w:lang w:bidi="ar-SA"/>
        </w:rPr>
        <w:t>katarru</w:t>
      </w:r>
      <w:proofErr w:type="spellEnd"/>
      <w:r w:rsidR="007D7F35">
        <w:rPr>
          <w:rFonts w:ascii="David" w:eastAsia="Times New Roman" w:hAnsi="David" w:cs="David" w:hint="cs"/>
          <w:color w:val="000000"/>
          <w:sz w:val="24"/>
          <w:szCs w:val="24"/>
          <w:rtl/>
        </w:rPr>
        <w:t xml:space="preserve"> המתוארת בטקסטים של מופתים וטקסים מסופוטמיים. בעוד שבעל בית בימינו הסובל מפגע זה יעדיף אולי את השימוש בליזול על פני מגרש שדים, לא היה זה נושא לבדיחה עבור המסופוטמים. ל</w:t>
      </w:r>
      <w:r w:rsidR="008C219F">
        <w:rPr>
          <w:rFonts w:ascii="David" w:eastAsia="Times New Roman" w:hAnsi="David" w:cs="David" w:hint="cs"/>
          <w:color w:val="000000"/>
          <w:sz w:val="24"/>
          <w:szCs w:val="24"/>
          <w:rtl/>
        </w:rPr>
        <w:t>דוגמה</w:t>
      </w:r>
      <w:r w:rsidR="007D7F35">
        <w:rPr>
          <w:rFonts w:ascii="David" w:eastAsia="Times New Roman" w:hAnsi="David" w:cs="David" w:hint="cs"/>
          <w:color w:val="000000"/>
          <w:sz w:val="24"/>
          <w:szCs w:val="24"/>
          <w:rtl/>
        </w:rPr>
        <w:t>, טקסט אחד מפרט:</w:t>
      </w:r>
    </w:p>
    <w:p w14:paraId="12B6DDD2" w14:textId="76483A9C" w:rsidR="007D7F35" w:rsidRDefault="007D7F35"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[אם] יש פטרייה על קיר ביתו של אדם על הצד הצפוני החיצוני, בעל הבית ימות </w:t>
      </w:r>
      <w:r w:rsidR="000F7340">
        <w:rPr>
          <w:rFonts w:ascii="David" w:eastAsia="Times New Roman" w:hAnsi="David" w:cs="David" w:hint="cs"/>
          <w:color w:val="000000"/>
          <w:sz w:val="24"/>
          <w:szCs w:val="24"/>
          <w:rtl/>
        </w:rPr>
        <w:t>ו[הבית] שלו ינותץ.</w:t>
      </w:r>
      <w:r w:rsidR="000F7340">
        <w:rPr>
          <w:rStyle w:val="a5"/>
          <w:rFonts w:ascii="David" w:eastAsia="Times New Roman" w:hAnsi="David" w:cs="David"/>
          <w:color w:val="000000"/>
          <w:sz w:val="24"/>
          <w:szCs w:val="24"/>
          <w:rtl/>
        </w:rPr>
        <w:footnoteReference w:id="23"/>
      </w:r>
      <w:r w:rsidR="00493326">
        <w:rPr>
          <w:rFonts w:ascii="David" w:eastAsia="Times New Roman" w:hAnsi="David" w:cs="David" w:hint="cs"/>
          <w:color w:val="000000"/>
          <w:sz w:val="24"/>
          <w:szCs w:val="24"/>
          <w:rtl/>
        </w:rPr>
        <w:t xml:space="preserve"> </w:t>
      </w:r>
      <w:r w:rsidR="00493326" w:rsidRPr="00493326">
        <w:rPr>
          <w:rFonts w:ascii="David" w:eastAsia="Times New Roman" w:hAnsi="David" w:cs="David" w:hint="cs"/>
          <w:color w:val="000000"/>
          <w:sz w:val="24"/>
          <w:szCs w:val="24"/>
          <w:highlight w:val="yellow"/>
          <w:rtl/>
        </w:rPr>
        <w:t>(תרגום שלי)</w:t>
      </w:r>
    </w:p>
    <w:p w14:paraId="54A2649E" w14:textId="480BC79A" w:rsidR="000F7340" w:rsidRDefault="000F7340"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לפי טקסט זה ואחרים, פטריית ה-</w:t>
      </w:r>
      <w:r w:rsidRPr="007D7F35">
        <w:rPr>
          <w:rFonts w:ascii="Times New Roman" w:eastAsia="Times New Roman" w:hAnsi="Times New Roman" w:cs="Times New Roman"/>
          <w:i/>
          <w:iCs/>
          <w:color w:val="000000"/>
          <w:sz w:val="16"/>
          <w:lang w:bidi="ar-SA"/>
        </w:rPr>
        <w:t xml:space="preserve"> </w:t>
      </w:r>
      <w:proofErr w:type="spellStart"/>
      <w:r w:rsidRPr="0090141D">
        <w:rPr>
          <w:rFonts w:ascii="Times New Roman" w:eastAsia="Times New Roman" w:hAnsi="Times New Roman" w:cs="Times New Roman"/>
          <w:i/>
          <w:iCs/>
          <w:color w:val="000000"/>
          <w:sz w:val="16"/>
          <w:lang w:bidi="ar-SA"/>
        </w:rPr>
        <w:t>katarru</w:t>
      </w:r>
      <w:proofErr w:type="spellEnd"/>
      <w:r>
        <w:rPr>
          <w:rFonts w:ascii="David" w:eastAsia="Times New Roman" w:hAnsi="David" w:cs="David" w:hint="cs"/>
          <w:color w:val="000000"/>
          <w:sz w:val="24"/>
          <w:szCs w:val="24"/>
          <w:rtl/>
        </w:rPr>
        <w:t xml:space="preserve"> נתפסה כאות המבשר אסון מתקרב. הטקסט ממשיך ומבי</w:t>
      </w:r>
      <w:r w:rsidR="00C97295">
        <w:rPr>
          <w:rFonts w:ascii="David" w:eastAsia="Times New Roman" w:hAnsi="David" w:cs="David" w:hint="cs"/>
          <w:color w:val="000000"/>
          <w:sz w:val="24"/>
          <w:szCs w:val="24"/>
          <w:rtl/>
        </w:rPr>
        <w:t>א</w:t>
      </w:r>
      <w:r>
        <w:rPr>
          <w:rFonts w:ascii="David" w:eastAsia="Times New Roman" w:hAnsi="David" w:cs="David" w:hint="cs"/>
          <w:color w:val="000000"/>
          <w:sz w:val="24"/>
          <w:szCs w:val="24"/>
          <w:rtl/>
        </w:rPr>
        <w:t xml:space="preserve"> דוגמאות נוספות כגון שאם הנגע </w:t>
      </w:r>
      <w:r w:rsidR="008D74DA">
        <w:rPr>
          <w:rFonts w:ascii="David" w:eastAsia="Times New Roman" w:hAnsi="David" w:cs="David" w:hint="cs"/>
          <w:color w:val="000000"/>
          <w:sz w:val="24"/>
          <w:szCs w:val="24"/>
          <w:rtl/>
        </w:rPr>
        <w:t>נמצא</w:t>
      </w:r>
      <w:r>
        <w:rPr>
          <w:rFonts w:ascii="David" w:eastAsia="Times New Roman" w:hAnsi="David" w:cs="David" w:hint="cs"/>
          <w:color w:val="000000"/>
          <w:sz w:val="24"/>
          <w:szCs w:val="24"/>
          <w:rtl/>
        </w:rPr>
        <w:t xml:space="preserve"> </w:t>
      </w:r>
      <w:r w:rsidR="00C97295">
        <w:rPr>
          <w:rFonts w:ascii="David" w:eastAsia="Times New Roman" w:hAnsi="David" w:cs="David" w:hint="cs"/>
          <w:color w:val="000000"/>
          <w:sz w:val="24"/>
          <w:szCs w:val="24"/>
          <w:rtl/>
        </w:rPr>
        <w:t>ב</w:t>
      </w:r>
      <w:r>
        <w:rPr>
          <w:rFonts w:ascii="David" w:eastAsia="Times New Roman" w:hAnsi="David" w:cs="David" w:hint="cs"/>
          <w:color w:val="000000"/>
          <w:sz w:val="24"/>
          <w:szCs w:val="24"/>
          <w:rtl/>
        </w:rPr>
        <w:t>צד מזרח, הקורבן יהיה אשתו, וכן הלאה. אף שההדרכות המ</w:t>
      </w:r>
      <w:r w:rsidR="00B126F6">
        <w:rPr>
          <w:rFonts w:ascii="David" w:eastAsia="Times New Roman" w:hAnsi="David" w:cs="David" w:hint="cs"/>
          <w:color w:val="000000"/>
          <w:sz w:val="24"/>
          <w:szCs w:val="24"/>
          <w:rtl/>
        </w:rPr>
        <w:t>ק</w:t>
      </w:r>
      <w:r>
        <w:rPr>
          <w:rFonts w:ascii="David" w:eastAsia="Times New Roman" w:hAnsi="David" w:cs="David" w:hint="cs"/>
          <w:color w:val="000000"/>
          <w:sz w:val="24"/>
          <w:szCs w:val="24"/>
          <w:rtl/>
        </w:rPr>
        <w:t>ראיות מתייחסות לבעיה דומה, אם לא זהה, אין רמיזה ל</w:t>
      </w:r>
      <w:r w:rsidR="008D74DA">
        <w:rPr>
          <w:rFonts w:ascii="David" w:eastAsia="Times New Roman" w:hAnsi="David" w:cs="David" w:hint="cs"/>
          <w:color w:val="000000"/>
          <w:sz w:val="24"/>
          <w:szCs w:val="24"/>
          <w:rtl/>
        </w:rPr>
        <w:t xml:space="preserve">כל </w:t>
      </w:r>
      <w:r>
        <w:rPr>
          <w:rFonts w:ascii="David" w:eastAsia="Times New Roman" w:hAnsi="David" w:cs="David" w:hint="cs"/>
          <w:color w:val="000000"/>
          <w:sz w:val="24"/>
          <w:szCs w:val="24"/>
          <w:rtl/>
        </w:rPr>
        <w:t xml:space="preserve">סכנה </w:t>
      </w:r>
      <w:r w:rsidR="008A160D">
        <w:rPr>
          <w:rFonts w:ascii="David" w:eastAsia="Times New Roman" w:hAnsi="David" w:cs="David" w:hint="cs"/>
          <w:color w:val="000000"/>
          <w:sz w:val="24"/>
          <w:szCs w:val="24"/>
          <w:rtl/>
        </w:rPr>
        <w:t xml:space="preserve">הנשקפת </w:t>
      </w:r>
      <w:r>
        <w:rPr>
          <w:rFonts w:ascii="David" w:eastAsia="Times New Roman" w:hAnsi="David" w:cs="David" w:hint="cs"/>
          <w:color w:val="000000"/>
          <w:sz w:val="24"/>
          <w:szCs w:val="24"/>
          <w:rtl/>
        </w:rPr>
        <w:t xml:space="preserve">לדיירי הבית. </w:t>
      </w:r>
      <w:r w:rsidR="00DA5D7F">
        <w:rPr>
          <w:rFonts w:ascii="David" w:eastAsia="Times New Roman" w:hAnsi="David" w:cs="David" w:hint="cs"/>
          <w:color w:val="000000"/>
          <w:sz w:val="24"/>
          <w:szCs w:val="24"/>
          <w:rtl/>
        </w:rPr>
        <w:t>אדרבה</w:t>
      </w:r>
      <w:r>
        <w:rPr>
          <w:rFonts w:ascii="David" w:eastAsia="Times New Roman" w:hAnsi="David" w:cs="David" w:hint="cs"/>
          <w:color w:val="000000"/>
          <w:sz w:val="24"/>
          <w:szCs w:val="24"/>
          <w:rtl/>
        </w:rPr>
        <w:t>, ה</w:t>
      </w:r>
      <w:r w:rsidR="00806C01">
        <w:rPr>
          <w:rFonts w:ascii="David" w:eastAsia="Times New Roman" w:hAnsi="David" w:cs="David" w:hint="cs"/>
          <w:color w:val="000000"/>
          <w:sz w:val="24"/>
          <w:szCs w:val="24"/>
          <w:rtl/>
        </w:rPr>
        <w:t xml:space="preserve">ן </w:t>
      </w:r>
      <w:r>
        <w:rPr>
          <w:rFonts w:ascii="David" w:eastAsia="Times New Roman" w:hAnsi="David" w:cs="David" w:hint="cs"/>
          <w:color w:val="000000"/>
          <w:sz w:val="24"/>
          <w:szCs w:val="24"/>
          <w:rtl/>
        </w:rPr>
        <w:t xml:space="preserve">אפילו </w:t>
      </w:r>
      <w:r w:rsidR="00806C01">
        <w:rPr>
          <w:rFonts w:ascii="David" w:eastAsia="Times New Roman" w:hAnsi="David" w:cs="David" w:hint="cs"/>
          <w:color w:val="000000"/>
          <w:sz w:val="24"/>
          <w:szCs w:val="24"/>
          <w:rtl/>
        </w:rPr>
        <w:t>מ</w:t>
      </w:r>
      <w:r>
        <w:rPr>
          <w:rFonts w:ascii="David" w:eastAsia="Times New Roman" w:hAnsi="David" w:cs="David" w:hint="cs"/>
          <w:color w:val="000000"/>
          <w:sz w:val="24"/>
          <w:szCs w:val="24"/>
          <w:rtl/>
        </w:rPr>
        <w:t>צמצ</w:t>
      </w:r>
      <w:r w:rsidR="00806C01">
        <w:rPr>
          <w:rFonts w:ascii="David" w:eastAsia="Times New Roman" w:hAnsi="David" w:cs="David" w:hint="cs"/>
          <w:color w:val="000000"/>
          <w:sz w:val="24"/>
          <w:szCs w:val="24"/>
          <w:rtl/>
        </w:rPr>
        <w:t>מות</w:t>
      </w:r>
      <w:r>
        <w:rPr>
          <w:rFonts w:ascii="David" w:eastAsia="Times New Roman" w:hAnsi="David" w:cs="David" w:hint="cs"/>
          <w:color w:val="000000"/>
          <w:sz w:val="24"/>
          <w:szCs w:val="24"/>
          <w:rtl/>
        </w:rPr>
        <w:t xml:space="preserve"> את </w:t>
      </w:r>
      <w:r w:rsidR="00806C01">
        <w:rPr>
          <w:rFonts w:ascii="David" w:eastAsia="Times New Roman" w:hAnsi="David" w:cs="David" w:hint="cs"/>
          <w:color w:val="000000"/>
          <w:sz w:val="24"/>
          <w:szCs w:val="24"/>
          <w:rtl/>
        </w:rPr>
        <w:t>הנזק הכלכלי הנגרם ב</w:t>
      </w:r>
      <w:r w:rsidR="008D74DA">
        <w:rPr>
          <w:rFonts w:ascii="David" w:eastAsia="Times New Roman" w:hAnsi="David" w:cs="David" w:hint="cs"/>
          <w:color w:val="000000"/>
          <w:sz w:val="24"/>
          <w:szCs w:val="24"/>
          <w:rtl/>
        </w:rPr>
        <w:t>ידי</w:t>
      </w:r>
      <w:r w:rsidR="00806C01">
        <w:rPr>
          <w:rFonts w:ascii="David" w:eastAsia="Times New Roman" w:hAnsi="David" w:cs="David" w:hint="cs"/>
          <w:color w:val="000000"/>
          <w:sz w:val="24"/>
          <w:szCs w:val="24"/>
          <w:rtl/>
        </w:rPr>
        <w:t xml:space="preserve"> ה"טומאה" בכך שהן מציינות שיש להוציא מן הבית את כל </w:t>
      </w:r>
      <w:r w:rsidR="008A160D">
        <w:rPr>
          <w:rFonts w:ascii="David" w:eastAsia="Times New Roman" w:hAnsi="David" w:cs="David" w:hint="cs"/>
          <w:color w:val="000000"/>
          <w:sz w:val="24"/>
          <w:szCs w:val="24"/>
          <w:rtl/>
        </w:rPr>
        <w:t>החפצים</w:t>
      </w:r>
      <w:r w:rsidR="00806C01">
        <w:rPr>
          <w:rFonts w:ascii="David" w:eastAsia="Times New Roman" w:hAnsi="David" w:cs="David" w:hint="cs"/>
          <w:color w:val="000000"/>
          <w:sz w:val="24"/>
          <w:szCs w:val="24"/>
          <w:rtl/>
        </w:rPr>
        <w:t xml:space="preserve"> לפני ש</w:t>
      </w:r>
      <w:r w:rsidR="00DA5D7F">
        <w:rPr>
          <w:rFonts w:ascii="David" w:eastAsia="Times New Roman" w:hAnsi="David" w:cs="David" w:hint="cs"/>
          <w:color w:val="000000"/>
          <w:sz w:val="24"/>
          <w:szCs w:val="24"/>
          <w:rtl/>
        </w:rPr>
        <w:t>ה</w:t>
      </w:r>
      <w:r w:rsidR="00806C01">
        <w:rPr>
          <w:rFonts w:ascii="David" w:eastAsia="Times New Roman" w:hAnsi="David" w:cs="David" w:hint="cs"/>
          <w:color w:val="000000"/>
          <w:sz w:val="24"/>
          <w:szCs w:val="24"/>
          <w:rtl/>
        </w:rPr>
        <w:t>כהן קובע את אבחנתו:</w:t>
      </w:r>
    </w:p>
    <w:p w14:paraId="63283562" w14:textId="3DB65666" w:rsidR="00806C01" w:rsidRDefault="00E8164E"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(ויקרא 36:14) </w:t>
      </w:r>
      <w:proofErr w:type="spellStart"/>
      <w:r w:rsidR="00806C01">
        <w:rPr>
          <w:rFonts w:ascii="David" w:eastAsia="Times New Roman" w:hAnsi="David" w:cs="David" w:hint="cs"/>
          <w:color w:val="000000"/>
          <w:sz w:val="24"/>
          <w:szCs w:val="24"/>
          <w:rtl/>
        </w:rPr>
        <w:t>וצוה</w:t>
      </w:r>
      <w:proofErr w:type="spellEnd"/>
      <w:r w:rsidR="00806C01">
        <w:rPr>
          <w:rFonts w:ascii="David" w:eastAsia="Times New Roman" w:hAnsi="David" w:cs="David" w:hint="cs"/>
          <w:color w:val="000000"/>
          <w:sz w:val="24"/>
          <w:szCs w:val="24"/>
          <w:rtl/>
        </w:rPr>
        <w:t xml:space="preserve"> הכהן ופנו את הבית בטרם יבא הכהן לראות את הנגע ולא יטמא כל אשר </w:t>
      </w:r>
      <w:r>
        <w:rPr>
          <w:rFonts w:ascii="David" w:eastAsia="Times New Roman" w:hAnsi="David" w:cs="David" w:hint="cs"/>
          <w:color w:val="000000"/>
          <w:sz w:val="24"/>
          <w:szCs w:val="24"/>
          <w:rtl/>
        </w:rPr>
        <w:t>בבית ואחר כן יבא הכהן לראות את הבית.</w:t>
      </w:r>
    </w:p>
    <w:p w14:paraId="5A4ED900" w14:textId="36A43822" w:rsidR="00E8164E" w:rsidRDefault="00E8164E"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ה</w:t>
      </w:r>
      <w:r w:rsidR="00DA5D7F">
        <w:rPr>
          <w:rFonts w:ascii="David" w:eastAsia="Times New Roman" w:hAnsi="David" w:cs="David" w:hint="cs"/>
          <w:color w:val="000000"/>
          <w:sz w:val="24"/>
          <w:szCs w:val="24"/>
          <w:rtl/>
        </w:rPr>
        <w:t>טעם</w:t>
      </w:r>
      <w:r>
        <w:rPr>
          <w:rFonts w:ascii="David" w:eastAsia="Times New Roman" w:hAnsi="David" w:cs="David" w:hint="cs"/>
          <w:color w:val="000000"/>
          <w:sz w:val="24"/>
          <w:szCs w:val="24"/>
          <w:rtl/>
        </w:rPr>
        <w:t xml:space="preserve"> ל</w:t>
      </w:r>
      <w:r w:rsidR="00DA5D7F">
        <w:rPr>
          <w:rFonts w:ascii="David" w:eastAsia="Times New Roman" w:hAnsi="David" w:cs="David" w:hint="cs"/>
          <w:color w:val="000000"/>
          <w:sz w:val="24"/>
          <w:szCs w:val="24"/>
          <w:rtl/>
        </w:rPr>
        <w:t>סטייה זו</w:t>
      </w:r>
      <w:r w:rsidR="00863F79">
        <w:rPr>
          <w:rFonts w:ascii="David" w:eastAsia="Times New Roman" w:hAnsi="David" w:cs="David" w:hint="cs"/>
          <w:color w:val="000000"/>
          <w:sz w:val="24"/>
          <w:szCs w:val="24"/>
          <w:rtl/>
        </w:rPr>
        <w:t xml:space="preserve"> מן המקובל</w:t>
      </w:r>
      <w:r>
        <w:rPr>
          <w:rFonts w:ascii="David" w:eastAsia="Times New Roman" w:hAnsi="David" w:cs="David" w:hint="cs"/>
          <w:color w:val="000000"/>
          <w:sz w:val="24"/>
          <w:szCs w:val="24"/>
          <w:rtl/>
        </w:rPr>
        <w:t xml:space="preserve">, כפי שנאמר במפורש, </w:t>
      </w:r>
      <w:r w:rsidR="00DA5D7F">
        <w:rPr>
          <w:rFonts w:ascii="David" w:eastAsia="Times New Roman" w:hAnsi="David" w:cs="David" w:hint="cs"/>
          <w:color w:val="000000"/>
          <w:sz w:val="24"/>
          <w:szCs w:val="24"/>
          <w:rtl/>
        </w:rPr>
        <w:t xml:space="preserve">הוא </w:t>
      </w:r>
      <w:r w:rsidR="00863F79">
        <w:rPr>
          <w:rFonts w:ascii="David" w:eastAsia="Times New Roman" w:hAnsi="David" w:cs="David" w:hint="cs"/>
          <w:color w:val="000000"/>
          <w:sz w:val="24"/>
          <w:szCs w:val="24"/>
          <w:rtl/>
        </w:rPr>
        <w:t xml:space="preserve">כדי </w:t>
      </w:r>
      <w:r>
        <w:rPr>
          <w:rFonts w:ascii="David" w:eastAsia="Times New Roman" w:hAnsi="David" w:cs="David" w:hint="cs"/>
          <w:color w:val="000000"/>
          <w:sz w:val="24"/>
          <w:szCs w:val="24"/>
          <w:rtl/>
        </w:rPr>
        <w:t>לאפשר לבעל הבית ל</w:t>
      </w:r>
      <w:r w:rsidR="00863F79">
        <w:rPr>
          <w:rFonts w:ascii="David" w:eastAsia="Times New Roman" w:hAnsi="David" w:cs="David" w:hint="cs"/>
          <w:color w:val="000000"/>
          <w:sz w:val="24"/>
          <w:szCs w:val="24"/>
          <w:rtl/>
        </w:rPr>
        <w:t>הציל את חפציו מן הצורך</w:t>
      </w:r>
      <w:r>
        <w:rPr>
          <w:rFonts w:ascii="David" w:eastAsia="Times New Roman" w:hAnsi="David" w:cs="David" w:hint="cs"/>
          <w:color w:val="000000"/>
          <w:sz w:val="24"/>
          <w:szCs w:val="24"/>
          <w:rtl/>
        </w:rPr>
        <w:t xml:space="preserve"> להשלי</w:t>
      </w:r>
      <w:r w:rsidR="00863F79">
        <w:rPr>
          <w:rFonts w:ascii="David" w:eastAsia="Times New Roman" w:hAnsi="David" w:cs="David" w:hint="cs"/>
          <w:color w:val="000000"/>
          <w:sz w:val="24"/>
          <w:szCs w:val="24"/>
          <w:rtl/>
        </w:rPr>
        <w:t>ך</w:t>
      </w:r>
      <w:r>
        <w:rPr>
          <w:rFonts w:ascii="David" w:eastAsia="Times New Roman" w:hAnsi="David" w:cs="David" w:hint="cs"/>
          <w:color w:val="000000"/>
          <w:sz w:val="24"/>
          <w:szCs w:val="24"/>
          <w:rtl/>
        </w:rPr>
        <w:t xml:space="preserve"> (או לפחות לטהר) </w:t>
      </w:r>
      <w:r w:rsidR="00863F79">
        <w:rPr>
          <w:rFonts w:ascii="David" w:eastAsia="Times New Roman" w:hAnsi="David" w:cs="David" w:hint="cs"/>
          <w:color w:val="000000"/>
          <w:sz w:val="24"/>
          <w:szCs w:val="24"/>
          <w:rtl/>
        </w:rPr>
        <w:t xml:space="preserve">אותם בתור </w:t>
      </w:r>
      <w:r>
        <w:rPr>
          <w:rFonts w:ascii="David" w:eastAsia="Times New Roman" w:hAnsi="David" w:cs="David" w:hint="cs"/>
          <w:color w:val="000000"/>
          <w:sz w:val="24"/>
          <w:szCs w:val="24"/>
          <w:rtl/>
        </w:rPr>
        <w:t>נשאי טומאה.</w:t>
      </w:r>
      <w:r w:rsidR="00863F79">
        <w:rPr>
          <w:rStyle w:val="a5"/>
          <w:rFonts w:ascii="David" w:eastAsia="Times New Roman" w:hAnsi="David" w:cs="David"/>
          <w:color w:val="000000"/>
          <w:sz w:val="24"/>
          <w:szCs w:val="24"/>
          <w:rtl/>
        </w:rPr>
        <w:footnoteReference w:id="24"/>
      </w:r>
    </w:p>
    <w:p w14:paraId="0EBD7E3E" w14:textId="077AD4C5" w:rsidR="00863F79" w:rsidRDefault="00863F79" w:rsidP="006457B6">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מה ש</w:t>
      </w:r>
      <w:r w:rsidR="003F6F94">
        <w:rPr>
          <w:rFonts w:ascii="David" w:eastAsia="Times New Roman" w:hAnsi="David" w:cs="David" w:hint="cs"/>
          <w:color w:val="000000"/>
          <w:sz w:val="24"/>
          <w:szCs w:val="24"/>
          <w:rtl/>
        </w:rPr>
        <w:t>חשוב</w:t>
      </w:r>
      <w:r>
        <w:rPr>
          <w:rFonts w:ascii="David" w:eastAsia="Times New Roman" w:hAnsi="David" w:cs="David" w:hint="cs"/>
          <w:color w:val="000000"/>
          <w:sz w:val="24"/>
          <w:szCs w:val="24"/>
          <w:rtl/>
        </w:rPr>
        <w:t xml:space="preserve"> יותר ל</w:t>
      </w:r>
      <w:r w:rsidR="00DB7F1E">
        <w:rPr>
          <w:rFonts w:ascii="David" w:eastAsia="Times New Roman" w:hAnsi="David" w:cs="David" w:hint="cs"/>
          <w:color w:val="000000"/>
          <w:sz w:val="24"/>
          <w:szCs w:val="24"/>
          <w:rtl/>
        </w:rPr>
        <w:t>מטרותינו</w:t>
      </w:r>
      <w:r>
        <w:rPr>
          <w:rFonts w:ascii="David" w:eastAsia="Times New Roman" w:hAnsi="David" w:cs="David" w:hint="cs"/>
          <w:color w:val="000000"/>
          <w:sz w:val="24"/>
          <w:szCs w:val="24"/>
          <w:rtl/>
        </w:rPr>
        <w:t xml:space="preserve"> הוא ש</w:t>
      </w:r>
      <w:r w:rsidR="00B126F6">
        <w:rPr>
          <w:rFonts w:ascii="David" w:eastAsia="Times New Roman" w:hAnsi="David" w:cs="David" w:hint="cs"/>
          <w:color w:val="000000"/>
          <w:sz w:val="24"/>
          <w:szCs w:val="24"/>
          <w:rtl/>
        </w:rPr>
        <w:t>כלל</w:t>
      </w:r>
      <w:r>
        <w:rPr>
          <w:rFonts w:ascii="David" w:eastAsia="Times New Roman" w:hAnsi="David" w:cs="David" w:hint="cs"/>
          <w:color w:val="000000"/>
          <w:sz w:val="24"/>
          <w:szCs w:val="24"/>
          <w:rtl/>
        </w:rPr>
        <w:t xml:space="preserve"> ז</w:t>
      </w:r>
      <w:r w:rsidR="00B126F6">
        <w:rPr>
          <w:rFonts w:ascii="David" w:eastAsia="Times New Roman" w:hAnsi="David" w:cs="David" w:hint="cs"/>
          <w:color w:val="000000"/>
          <w:sz w:val="24"/>
          <w:szCs w:val="24"/>
          <w:rtl/>
        </w:rPr>
        <w:t>ה</w:t>
      </w:r>
      <w:r>
        <w:rPr>
          <w:rFonts w:ascii="David" w:eastAsia="Times New Roman" w:hAnsi="David" w:cs="David" w:hint="cs"/>
          <w:color w:val="000000"/>
          <w:sz w:val="24"/>
          <w:szCs w:val="24"/>
          <w:rtl/>
        </w:rPr>
        <w:t xml:space="preserve"> מייצג המעטה </w:t>
      </w:r>
      <w:r w:rsidR="00E05ABF">
        <w:rPr>
          <w:rFonts w:ascii="David" w:eastAsia="Times New Roman" w:hAnsi="David" w:cs="David" w:hint="cs"/>
          <w:color w:val="000000"/>
          <w:sz w:val="24"/>
          <w:szCs w:val="24"/>
          <w:rtl/>
        </w:rPr>
        <w:t>כוללת של חומרת פטרייה</w:t>
      </w:r>
      <w:r w:rsidR="00B126F6">
        <w:rPr>
          <w:rFonts w:ascii="David" w:eastAsia="Times New Roman" w:hAnsi="David" w:cs="David" w:hint="cs"/>
          <w:color w:val="000000"/>
          <w:sz w:val="24"/>
          <w:szCs w:val="24"/>
          <w:rtl/>
        </w:rPr>
        <w:t xml:space="preserve"> זו</w:t>
      </w:r>
      <w:r w:rsidR="00E05ABF">
        <w:rPr>
          <w:rFonts w:ascii="David" w:eastAsia="Times New Roman" w:hAnsi="David" w:cs="David" w:hint="cs"/>
          <w:color w:val="000000"/>
          <w:sz w:val="24"/>
          <w:szCs w:val="24"/>
          <w:rtl/>
        </w:rPr>
        <w:t xml:space="preserve">. פרט להעדר כל רמז לסכנת חיים הקשורה </w:t>
      </w:r>
      <w:r w:rsidR="00B126F6">
        <w:rPr>
          <w:rFonts w:ascii="David" w:eastAsia="Times New Roman" w:hAnsi="David" w:cs="David" w:hint="cs"/>
          <w:color w:val="000000"/>
          <w:sz w:val="24"/>
          <w:szCs w:val="24"/>
          <w:rtl/>
        </w:rPr>
        <w:t>ל</w:t>
      </w:r>
      <w:r w:rsidR="00E05ABF">
        <w:rPr>
          <w:rFonts w:ascii="David" w:eastAsia="Times New Roman" w:hAnsi="David" w:cs="David" w:hint="cs"/>
          <w:color w:val="000000"/>
          <w:sz w:val="24"/>
          <w:szCs w:val="24"/>
          <w:rtl/>
        </w:rPr>
        <w:t>מצב זה, אפילו יכולתו לטמא חפצים נמצא</w:t>
      </w:r>
      <w:r w:rsidR="008A160D">
        <w:rPr>
          <w:rFonts w:ascii="David" w:eastAsia="Times New Roman" w:hAnsi="David" w:cs="David" w:hint="cs"/>
          <w:color w:val="000000"/>
          <w:sz w:val="24"/>
          <w:szCs w:val="24"/>
          <w:rtl/>
        </w:rPr>
        <w:t>ת</w:t>
      </w:r>
      <w:r w:rsidR="00E05ABF">
        <w:rPr>
          <w:rFonts w:ascii="David" w:eastAsia="Times New Roman" w:hAnsi="David" w:cs="David" w:hint="cs"/>
          <w:color w:val="000000"/>
          <w:sz w:val="24"/>
          <w:szCs w:val="24"/>
          <w:rtl/>
        </w:rPr>
        <w:t xml:space="preserve"> תחת שליטת הכהן ה</w:t>
      </w:r>
      <w:r w:rsidR="00B126F6">
        <w:rPr>
          <w:rFonts w:ascii="David" w:eastAsia="Times New Roman" w:hAnsi="David" w:cs="David" w:hint="cs"/>
          <w:color w:val="000000"/>
          <w:sz w:val="24"/>
          <w:szCs w:val="24"/>
          <w:rtl/>
        </w:rPr>
        <w:t>עורך את הטקס</w:t>
      </w:r>
      <w:r w:rsidR="00E05ABF">
        <w:rPr>
          <w:rFonts w:ascii="David" w:eastAsia="Times New Roman" w:hAnsi="David" w:cs="David" w:hint="cs"/>
          <w:color w:val="000000"/>
          <w:sz w:val="24"/>
          <w:szCs w:val="24"/>
          <w:rtl/>
        </w:rPr>
        <w:t xml:space="preserve">. במקרה זה, מסקנתו של </w:t>
      </w:r>
      <w:r w:rsidR="00163D6E">
        <w:rPr>
          <w:rFonts w:ascii="David" w:eastAsia="Times New Roman" w:hAnsi="David" w:cs="David" w:hint="cs"/>
          <w:color w:val="000000"/>
          <w:sz w:val="24"/>
          <w:szCs w:val="24"/>
          <w:rtl/>
        </w:rPr>
        <w:t>יעקב</w:t>
      </w:r>
      <w:r w:rsidR="00E05ABF">
        <w:rPr>
          <w:rFonts w:ascii="David" w:eastAsia="Times New Roman" w:hAnsi="David" w:cs="David" w:hint="cs"/>
          <w:color w:val="000000"/>
          <w:sz w:val="24"/>
          <w:szCs w:val="24"/>
          <w:rtl/>
        </w:rPr>
        <w:t xml:space="preserve"> מלגרום לגבי צרעת אכן מרתקת: "אנו עוסקים בט</w:t>
      </w:r>
      <w:r w:rsidR="00163D6E">
        <w:rPr>
          <w:rFonts w:ascii="David" w:eastAsia="Times New Roman" w:hAnsi="David" w:cs="David" w:hint="cs"/>
          <w:color w:val="000000"/>
          <w:sz w:val="24"/>
          <w:szCs w:val="24"/>
          <w:rtl/>
        </w:rPr>
        <w:t>ו</w:t>
      </w:r>
      <w:r w:rsidR="00E05ABF">
        <w:rPr>
          <w:rFonts w:ascii="David" w:eastAsia="Times New Roman" w:hAnsi="David" w:cs="David" w:hint="cs"/>
          <w:color w:val="000000"/>
          <w:sz w:val="24"/>
          <w:szCs w:val="24"/>
          <w:rtl/>
        </w:rPr>
        <w:t>מאה שנעקר ממנה כוחה העיקרי"</w:t>
      </w:r>
      <w:r w:rsidR="00017464">
        <w:rPr>
          <w:rFonts w:ascii="David" w:eastAsia="Times New Roman" w:hAnsi="David" w:cs="David" w:hint="cs"/>
          <w:color w:val="000000"/>
          <w:sz w:val="24"/>
          <w:szCs w:val="24"/>
          <w:rtl/>
        </w:rPr>
        <w:t xml:space="preserve"> (</w:t>
      </w:r>
      <w:r w:rsidR="00017464" w:rsidRPr="00017464">
        <w:rPr>
          <w:rFonts w:ascii="David" w:eastAsia="Times New Roman" w:hAnsi="David" w:cs="David" w:hint="cs"/>
          <w:color w:val="000000"/>
          <w:sz w:val="24"/>
          <w:szCs w:val="24"/>
          <w:highlight w:val="yellow"/>
          <w:rtl/>
        </w:rPr>
        <w:t>תרגום שלי)</w:t>
      </w:r>
      <w:r w:rsidR="00E05ABF">
        <w:rPr>
          <w:rFonts w:ascii="David" w:eastAsia="Times New Roman" w:hAnsi="David" w:cs="David" w:hint="cs"/>
          <w:color w:val="000000"/>
          <w:sz w:val="24"/>
          <w:szCs w:val="24"/>
          <w:rtl/>
        </w:rPr>
        <w:t>.</w:t>
      </w:r>
      <w:r w:rsidR="00E05ABF">
        <w:rPr>
          <w:rStyle w:val="a5"/>
          <w:rFonts w:ascii="David" w:eastAsia="Times New Roman" w:hAnsi="David" w:cs="David"/>
          <w:color w:val="000000"/>
          <w:sz w:val="24"/>
          <w:szCs w:val="24"/>
          <w:rtl/>
        </w:rPr>
        <w:footnoteReference w:id="25"/>
      </w:r>
    </w:p>
    <w:p w14:paraId="62D83FFA" w14:textId="77777777" w:rsidR="00163D6E" w:rsidRDefault="00163D6E" w:rsidP="006457B6">
      <w:pPr>
        <w:spacing w:after="187" w:line="360" w:lineRule="auto"/>
        <w:rPr>
          <w:rFonts w:ascii="David" w:eastAsia="Times New Roman" w:hAnsi="David" w:cs="David"/>
          <w:color w:val="000000"/>
          <w:sz w:val="24"/>
          <w:szCs w:val="24"/>
          <w:rtl/>
        </w:rPr>
      </w:pPr>
    </w:p>
    <w:p w14:paraId="2A5E7E49" w14:textId="58AB1C07" w:rsidR="00E05ABF" w:rsidRDefault="00E05ABF" w:rsidP="00E05ABF">
      <w:pPr>
        <w:spacing w:after="187" w:line="360" w:lineRule="auto"/>
        <w:rPr>
          <w:rFonts w:ascii="David" w:eastAsia="Times New Roman" w:hAnsi="David" w:cs="David"/>
          <w:color w:val="000000"/>
          <w:sz w:val="24"/>
          <w:szCs w:val="24"/>
          <w:rtl/>
        </w:rPr>
      </w:pPr>
      <w:r>
        <w:rPr>
          <w:rFonts w:ascii="David" w:eastAsia="Times New Roman" w:hAnsi="David" w:cs="David" w:hint="cs"/>
          <w:color w:val="000000"/>
          <w:sz w:val="24"/>
          <w:szCs w:val="24"/>
          <w:rtl/>
        </w:rPr>
        <w:t>הערות</w:t>
      </w:r>
    </w:p>
    <w:p w14:paraId="375F0BB7" w14:textId="3FEE19A7" w:rsidR="00E05ABF" w:rsidRPr="00054AB1" w:rsidRDefault="002E15C1" w:rsidP="00E05ABF">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4"/>
          <w:szCs w:val="24"/>
          <w:rtl/>
        </w:rPr>
        <w:t>1</w:t>
      </w:r>
      <w:r w:rsidRPr="00054AB1">
        <w:rPr>
          <w:rFonts w:ascii="David" w:eastAsia="Times New Roman" w:hAnsi="David" w:cs="David" w:hint="cs"/>
          <w:color w:val="000000"/>
          <w:sz w:val="20"/>
          <w:szCs w:val="20"/>
          <w:rtl/>
        </w:rPr>
        <w:t>.</w:t>
      </w:r>
      <w:r w:rsidR="00E05ABF" w:rsidRPr="00054AB1">
        <w:rPr>
          <w:rFonts w:ascii="David" w:eastAsia="Times New Roman" w:hAnsi="David" w:cs="David" w:hint="cs"/>
          <w:color w:val="000000"/>
          <w:sz w:val="20"/>
          <w:szCs w:val="20"/>
          <w:rtl/>
        </w:rPr>
        <w:t>ראו במיוחד</w:t>
      </w:r>
      <w:r w:rsidRPr="00054AB1">
        <w:rPr>
          <w:rFonts w:ascii="David" w:eastAsia="Times New Roman" w:hAnsi="David" w:cs="David" w:hint="cs"/>
          <w:color w:val="000000"/>
          <w:sz w:val="20"/>
          <w:szCs w:val="20"/>
          <w:rtl/>
        </w:rPr>
        <w:t>:</w:t>
      </w:r>
    </w:p>
    <w:p w14:paraId="1E32732F" w14:textId="77777777" w:rsidR="00E05ABF" w:rsidRPr="00E05ABF" w:rsidRDefault="00E05ABF" w:rsidP="003F6F94">
      <w:pPr>
        <w:shd w:val="clear" w:color="auto" w:fill="FFFFFF"/>
        <w:bidi w:val="0"/>
        <w:spacing w:before="100" w:beforeAutospacing="1" w:after="0" w:line="480" w:lineRule="auto"/>
        <w:ind w:left="360"/>
        <w:rPr>
          <w:rFonts w:ascii="Times New Roman" w:eastAsia="Times New Roman" w:hAnsi="Times New Roman" w:cs="Times New Roman"/>
          <w:color w:val="333333"/>
          <w:sz w:val="20"/>
          <w:szCs w:val="20"/>
          <w:rtl/>
          <w:lang w:eastAsia="zh-CN" w:bidi="ar-SA"/>
        </w:rPr>
      </w:pPr>
      <w:r w:rsidRPr="00E05ABF">
        <w:rPr>
          <w:rFonts w:ascii="Times New Roman" w:eastAsia="Times New Roman" w:hAnsi="Times New Roman" w:cs="Times New Roman"/>
          <w:color w:val="333333"/>
          <w:sz w:val="20"/>
          <w:szCs w:val="20"/>
          <w:lang w:eastAsia="zh-CN" w:bidi="ar-SA"/>
        </w:rPr>
        <w:t>Jacob Milgrom, </w:t>
      </w:r>
      <w:r w:rsidRPr="00E05ABF">
        <w:rPr>
          <w:rFonts w:ascii="Times New Roman" w:eastAsia="Times New Roman" w:hAnsi="Times New Roman" w:cs="Times New Roman"/>
          <w:i/>
          <w:iCs/>
          <w:color w:val="333333"/>
          <w:sz w:val="20"/>
          <w:szCs w:val="20"/>
          <w:lang w:eastAsia="zh-CN" w:bidi="ar-SA"/>
        </w:rPr>
        <w:t>Leviticus 1 – 16 </w:t>
      </w:r>
      <w:r w:rsidRPr="00E05ABF">
        <w:rPr>
          <w:rFonts w:ascii="Times New Roman" w:eastAsia="Times New Roman" w:hAnsi="Times New Roman" w:cs="Times New Roman"/>
          <w:color w:val="333333"/>
          <w:sz w:val="20"/>
          <w:szCs w:val="20"/>
          <w:lang w:eastAsia="zh-CN" w:bidi="ar-SA"/>
        </w:rPr>
        <w:t>(New York: Doubleday, 1991), 816–20, 1002–3.</w:t>
      </w:r>
    </w:p>
    <w:p w14:paraId="3B96AB32" w14:textId="64121CEE" w:rsidR="00E05ABF" w:rsidRPr="00054AB1" w:rsidRDefault="002E15C1" w:rsidP="00E05ABF">
      <w:pPr>
        <w:spacing w:after="187" w:line="360" w:lineRule="auto"/>
        <w:rPr>
          <w:rFonts w:ascii="David" w:eastAsia="Times New Roman" w:hAnsi="David" w:cs="David"/>
          <w:color w:val="000000"/>
          <w:sz w:val="20"/>
          <w:szCs w:val="20"/>
          <w:rtl/>
        </w:rPr>
      </w:pPr>
      <w:r w:rsidRPr="00054AB1">
        <w:rPr>
          <w:rFonts w:ascii="David" w:eastAsia="Times New Roman" w:hAnsi="David" w:cs="David" w:hint="cs"/>
          <w:color w:val="000000"/>
          <w:sz w:val="20"/>
          <w:szCs w:val="20"/>
          <w:rtl/>
        </w:rPr>
        <w:t xml:space="preserve">2.במאמר </w:t>
      </w:r>
      <w:r w:rsidRPr="00054AB1">
        <w:rPr>
          <w:rFonts w:ascii="David" w:eastAsia="Times New Roman" w:hAnsi="David" w:cs="David" w:hint="cs"/>
          <w:color w:val="000000"/>
          <w:sz w:val="20"/>
          <w:szCs w:val="20"/>
        </w:rPr>
        <w:t>TABS</w:t>
      </w:r>
      <w:r w:rsidRPr="00054AB1">
        <w:rPr>
          <w:rFonts w:ascii="David" w:eastAsia="Times New Roman" w:hAnsi="David" w:cs="David" w:hint="cs"/>
          <w:color w:val="000000"/>
          <w:sz w:val="20"/>
          <w:szCs w:val="20"/>
          <w:rtl/>
        </w:rPr>
        <w:t xml:space="preserve"> נפרד, העלה ד"ר חיים </w:t>
      </w:r>
      <w:proofErr w:type="spellStart"/>
      <w:r w:rsidRPr="00054AB1">
        <w:rPr>
          <w:rFonts w:ascii="David" w:eastAsia="Times New Roman" w:hAnsi="David" w:cs="David" w:hint="cs"/>
          <w:color w:val="000000"/>
          <w:sz w:val="20"/>
          <w:szCs w:val="20"/>
          <w:rtl/>
        </w:rPr>
        <w:t>טרכטמן</w:t>
      </w:r>
      <w:proofErr w:type="spellEnd"/>
      <w:r w:rsidRPr="00054AB1">
        <w:rPr>
          <w:rFonts w:ascii="David" w:eastAsia="Times New Roman" w:hAnsi="David" w:cs="David" w:hint="cs"/>
          <w:color w:val="000000"/>
          <w:sz w:val="20"/>
          <w:szCs w:val="20"/>
          <w:rtl/>
        </w:rPr>
        <w:t xml:space="preserve"> אפשרות פרובוקטיבית חדשה שיש לזהות מחלה זו כסוג של סרטן </w:t>
      </w:r>
      <w:r w:rsidRPr="00054AB1">
        <w:rPr>
          <w:rFonts w:ascii="Times New Roman" w:eastAsia="Times New Roman" w:hAnsi="Times New Roman" w:cs="Times New Roman"/>
          <w:color w:val="333333"/>
          <w:sz w:val="20"/>
          <w:szCs w:val="20"/>
          <w:lang w:bidi="ar-SA"/>
        </w:rPr>
        <w:t>(</w:t>
      </w:r>
      <w:hyperlink r:id="rId8" w:tgtFrame="_blank" w:history="1">
        <w:r w:rsidRPr="00054AB1">
          <w:rPr>
            <w:rFonts w:ascii="Times New Roman" w:eastAsia="Times New Roman" w:hAnsi="Times New Roman" w:cs="Times New Roman"/>
            <w:color w:val="000080"/>
            <w:sz w:val="20"/>
            <w:szCs w:val="20"/>
            <w:u w:val="single"/>
            <w:lang w:bidi="ar-SA"/>
          </w:rPr>
          <w:t>“</w:t>
        </w:r>
        <w:proofErr w:type="spellStart"/>
        <w:r w:rsidRPr="00054AB1">
          <w:rPr>
            <w:rFonts w:ascii="Times New Roman" w:eastAsia="Times New Roman" w:hAnsi="Times New Roman" w:cs="Times New Roman"/>
            <w:color w:val="000080"/>
            <w:sz w:val="20"/>
            <w:szCs w:val="20"/>
            <w:u w:val="single"/>
            <w:lang w:bidi="ar-SA"/>
          </w:rPr>
          <w:t>Tzaraat</w:t>
        </w:r>
        <w:proofErr w:type="spellEnd"/>
        <w:r w:rsidRPr="00054AB1">
          <w:rPr>
            <w:rFonts w:ascii="Times New Roman" w:eastAsia="Times New Roman" w:hAnsi="Times New Roman" w:cs="Times New Roman"/>
            <w:color w:val="000080"/>
            <w:sz w:val="20"/>
            <w:szCs w:val="20"/>
            <w:u w:val="single"/>
            <w:lang w:bidi="ar-SA"/>
          </w:rPr>
          <w:t xml:space="preserve"> as Cancer,”</w:t>
        </w:r>
      </w:hyperlink>
      <w:r w:rsidRPr="00054AB1">
        <w:rPr>
          <w:rFonts w:ascii="Times New Roman" w:eastAsia="Times New Roman" w:hAnsi="Times New Roman" w:cs="Times New Roman"/>
          <w:color w:val="333333"/>
          <w:sz w:val="20"/>
          <w:szCs w:val="20"/>
          <w:lang w:bidi="ar-SA"/>
        </w:rPr>
        <w:t> </w:t>
      </w:r>
      <w:r w:rsidRPr="00054AB1">
        <w:rPr>
          <w:rFonts w:ascii="Times New Roman" w:eastAsia="Times New Roman" w:hAnsi="Times New Roman" w:cs="Times New Roman"/>
          <w:i/>
          <w:iCs/>
          <w:color w:val="333333"/>
          <w:sz w:val="20"/>
          <w:szCs w:val="20"/>
          <w:lang w:bidi="ar-SA"/>
        </w:rPr>
        <w:t>TheTorah.com</w:t>
      </w:r>
      <w:r w:rsidRPr="00054AB1">
        <w:rPr>
          <w:rFonts w:ascii="Times New Roman" w:eastAsia="Times New Roman" w:hAnsi="Times New Roman" w:cs="Times New Roman"/>
          <w:color w:val="333333"/>
          <w:sz w:val="20"/>
          <w:szCs w:val="20"/>
          <w:lang w:bidi="ar-SA"/>
        </w:rPr>
        <w:t>[2016]),</w:t>
      </w:r>
      <w:r w:rsidRPr="00054AB1">
        <w:rPr>
          <w:rFonts w:ascii="David" w:eastAsia="Times New Roman" w:hAnsi="David" w:cs="David" w:hint="cs"/>
          <w:color w:val="000000"/>
          <w:sz w:val="20"/>
          <w:szCs w:val="20"/>
          <w:rtl/>
        </w:rPr>
        <w:t>, אף שאין זה סביר מכיוון ש</w:t>
      </w:r>
      <w:r w:rsidR="003F6F94">
        <w:rPr>
          <w:rFonts w:ascii="David" w:eastAsia="Times New Roman" w:hAnsi="David" w:cs="David" w:hint="cs"/>
          <w:color w:val="000000"/>
          <w:sz w:val="20"/>
          <w:szCs w:val="20"/>
          <w:rtl/>
        </w:rPr>
        <w:t>הרחקת</w:t>
      </w:r>
      <w:r w:rsidRPr="00054AB1">
        <w:rPr>
          <w:rFonts w:ascii="David" w:eastAsia="Times New Roman" w:hAnsi="David" w:cs="David" w:hint="cs"/>
          <w:color w:val="000000"/>
          <w:sz w:val="20"/>
          <w:szCs w:val="20"/>
          <w:rtl/>
        </w:rPr>
        <w:t xml:space="preserve"> החולה המוזכר</w:t>
      </w:r>
      <w:r w:rsidR="003F6F94">
        <w:rPr>
          <w:rFonts w:ascii="David" w:eastAsia="Times New Roman" w:hAnsi="David" w:cs="David" w:hint="cs"/>
          <w:color w:val="000000"/>
          <w:sz w:val="20"/>
          <w:szCs w:val="20"/>
          <w:rtl/>
        </w:rPr>
        <w:t>ת</w:t>
      </w:r>
      <w:r w:rsidRPr="00054AB1">
        <w:rPr>
          <w:rFonts w:ascii="David" w:eastAsia="Times New Roman" w:hAnsi="David" w:cs="David" w:hint="cs"/>
          <w:color w:val="000000"/>
          <w:sz w:val="20"/>
          <w:szCs w:val="20"/>
          <w:rtl/>
        </w:rPr>
        <w:t xml:space="preserve"> במקורות מקראיים רבים </w:t>
      </w:r>
      <w:r w:rsidR="003F6F94">
        <w:rPr>
          <w:rFonts w:ascii="David" w:eastAsia="Times New Roman" w:hAnsi="David" w:cs="David" w:hint="cs"/>
          <w:color w:val="000000"/>
          <w:sz w:val="20"/>
          <w:szCs w:val="20"/>
          <w:rtl/>
        </w:rPr>
        <w:t>מרמזת</w:t>
      </w:r>
      <w:r w:rsidRPr="00054AB1">
        <w:rPr>
          <w:rFonts w:ascii="David" w:eastAsia="Times New Roman" w:hAnsi="David" w:cs="David" w:hint="cs"/>
          <w:color w:val="000000"/>
          <w:sz w:val="20"/>
          <w:szCs w:val="20"/>
          <w:rtl/>
        </w:rPr>
        <w:t xml:space="preserve"> שמחלה זו הייתה מדבקת.</w:t>
      </w:r>
    </w:p>
    <w:p w14:paraId="71981F58" w14:textId="34644606" w:rsidR="006843BF" w:rsidRPr="00054AB1" w:rsidRDefault="006843BF" w:rsidP="006843BF">
      <w:pPr>
        <w:spacing w:after="187" w:line="360" w:lineRule="auto"/>
        <w:rPr>
          <w:rFonts w:ascii="David" w:eastAsia="Times New Roman" w:hAnsi="David" w:cs="David"/>
          <w:color w:val="000000"/>
          <w:sz w:val="20"/>
          <w:szCs w:val="20"/>
          <w:rtl/>
        </w:rPr>
      </w:pPr>
      <w:r w:rsidRPr="00054AB1">
        <w:rPr>
          <w:rFonts w:ascii="David" w:eastAsia="Times New Roman" w:hAnsi="David" w:cs="David" w:hint="cs"/>
          <w:color w:val="000000"/>
          <w:sz w:val="20"/>
          <w:szCs w:val="20"/>
          <w:rtl/>
        </w:rPr>
        <w:lastRenderedPageBreak/>
        <w:t>3.</w:t>
      </w:r>
      <w:r w:rsidR="002E15C1" w:rsidRPr="00054AB1">
        <w:rPr>
          <w:rFonts w:ascii="David" w:eastAsia="Times New Roman" w:hAnsi="David" w:cs="David" w:hint="cs"/>
          <w:color w:val="000000"/>
          <w:sz w:val="20"/>
          <w:szCs w:val="20"/>
          <w:rtl/>
        </w:rPr>
        <w:t xml:space="preserve">מחלה זו אף הייתה נושא למחלקת מפורשת בין אנשי כת הקומראן לבין הרבנים. ראו מאמר שלי </w:t>
      </w:r>
      <w:r w:rsidRPr="00054AB1">
        <w:rPr>
          <w:rFonts w:ascii="Times New Roman" w:eastAsia="Times New Roman" w:hAnsi="Times New Roman" w:cs="Times New Roman"/>
          <w:color w:val="333333"/>
          <w:sz w:val="20"/>
          <w:szCs w:val="20"/>
          <w:lang w:bidi="ar-SA"/>
        </w:rPr>
        <w:t>“The Polemic Regarding Skin Disease in 4QMMT,” </w:t>
      </w:r>
      <w:r w:rsidRPr="00054AB1">
        <w:rPr>
          <w:rFonts w:ascii="Times New Roman" w:eastAsia="Times New Roman" w:hAnsi="Times New Roman" w:cs="Times New Roman"/>
          <w:i/>
          <w:iCs/>
          <w:color w:val="333333"/>
          <w:sz w:val="20"/>
          <w:szCs w:val="20"/>
          <w:lang w:bidi="ar-SA"/>
        </w:rPr>
        <w:t>Dead Sea Discoveries</w:t>
      </w:r>
      <w:r w:rsidRPr="00054AB1">
        <w:rPr>
          <w:rFonts w:ascii="Times New Roman" w:eastAsia="Times New Roman" w:hAnsi="Times New Roman" w:cs="Times New Roman"/>
          <w:color w:val="333333"/>
          <w:sz w:val="20"/>
          <w:szCs w:val="20"/>
          <w:lang w:bidi="ar-SA"/>
        </w:rPr>
        <w:t> 19 (2012): 55–70.</w:t>
      </w:r>
      <w:r w:rsidRPr="00054AB1">
        <w:rPr>
          <w:rFonts w:ascii="David" w:eastAsia="Times New Roman" w:hAnsi="David" w:cs="David" w:hint="cs"/>
          <w:color w:val="000000"/>
          <w:sz w:val="20"/>
          <w:szCs w:val="20"/>
          <w:rtl/>
        </w:rPr>
        <w:t xml:space="preserve">. לדיון על ראיות רלוונטיות מן הברית החדשה, ראו: </w:t>
      </w:r>
    </w:p>
    <w:p w14:paraId="73F75FFD" w14:textId="4BC5080B" w:rsidR="006843BF" w:rsidRPr="006843BF" w:rsidRDefault="006843BF" w:rsidP="005345ED">
      <w:pPr>
        <w:shd w:val="clear" w:color="auto" w:fill="FFFFFF"/>
        <w:bidi w:val="0"/>
        <w:spacing w:before="100" w:beforeAutospacing="1" w:after="0" w:line="480" w:lineRule="auto"/>
        <w:rPr>
          <w:rFonts w:ascii="Times New Roman" w:eastAsia="Times New Roman" w:hAnsi="Times New Roman" w:cs="Times New Roman"/>
          <w:color w:val="333333"/>
          <w:sz w:val="20"/>
          <w:szCs w:val="20"/>
          <w:lang w:eastAsia="zh-CN" w:bidi="ar-SA"/>
        </w:rPr>
      </w:pPr>
      <w:r w:rsidRPr="006843BF">
        <w:rPr>
          <w:rFonts w:ascii="Times New Roman" w:eastAsia="Times New Roman" w:hAnsi="Times New Roman" w:cs="Times New Roman"/>
          <w:color w:val="333333"/>
          <w:sz w:val="20"/>
          <w:szCs w:val="20"/>
          <w:lang w:eastAsia="zh-CN" w:bidi="ar-SA"/>
        </w:rPr>
        <w:t xml:space="preserve">T. </w:t>
      </w:r>
      <w:proofErr w:type="spellStart"/>
      <w:r w:rsidRPr="006843BF">
        <w:rPr>
          <w:rFonts w:ascii="Times New Roman" w:eastAsia="Times New Roman" w:hAnsi="Times New Roman" w:cs="Times New Roman"/>
          <w:color w:val="333333"/>
          <w:sz w:val="20"/>
          <w:szCs w:val="20"/>
          <w:lang w:eastAsia="zh-CN" w:bidi="ar-SA"/>
        </w:rPr>
        <w:t>Kazen</w:t>
      </w:r>
      <w:proofErr w:type="spellEnd"/>
      <w:r w:rsidRPr="006843BF">
        <w:rPr>
          <w:rFonts w:ascii="Times New Roman" w:eastAsia="Times New Roman" w:hAnsi="Times New Roman" w:cs="Times New Roman"/>
          <w:color w:val="333333"/>
          <w:sz w:val="20"/>
          <w:szCs w:val="20"/>
          <w:lang w:eastAsia="zh-CN" w:bidi="ar-SA"/>
        </w:rPr>
        <w:t>, </w:t>
      </w:r>
      <w:r w:rsidRPr="006843BF">
        <w:rPr>
          <w:rFonts w:ascii="Times New Roman" w:eastAsia="Times New Roman" w:hAnsi="Times New Roman" w:cs="Times New Roman"/>
          <w:i/>
          <w:iCs/>
          <w:color w:val="333333"/>
          <w:sz w:val="20"/>
          <w:szCs w:val="20"/>
          <w:lang w:eastAsia="zh-CN" w:bidi="ar-SA"/>
        </w:rPr>
        <w:t xml:space="preserve">Jesus and Purity </w:t>
      </w:r>
      <w:proofErr w:type="spellStart"/>
      <w:r w:rsidRPr="006843BF">
        <w:rPr>
          <w:rFonts w:ascii="Times New Roman" w:eastAsia="Times New Roman" w:hAnsi="Times New Roman" w:cs="Times New Roman"/>
          <w:i/>
          <w:iCs/>
          <w:color w:val="333333"/>
          <w:sz w:val="20"/>
          <w:szCs w:val="20"/>
          <w:lang w:eastAsia="zh-CN" w:bidi="ar-SA"/>
        </w:rPr>
        <w:t>Halakhah</w:t>
      </w:r>
      <w:proofErr w:type="spellEnd"/>
      <w:r w:rsidRPr="006843BF">
        <w:rPr>
          <w:rFonts w:ascii="Times New Roman" w:eastAsia="Times New Roman" w:hAnsi="Times New Roman" w:cs="Times New Roman"/>
          <w:color w:val="333333"/>
          <w:sz w:val="20"/>
          <w:szCs w:val="20"/>
          <w:lang w:eastAsia="zh-CN" w:bidi="ar-SA"/>
        </w:rPr>
        <w:t xml:space="preserve"> (Stockholm: Almqvist &amp; </w:t>
      </w:r>
      <w:proofErr w:type="spellStart"/>
      <w:r w:rsidRPr="006843BF">
        <w:rPr>
          <w:rFonts w:ascii="Times New Roman" w:eastAsia="Times New Roman" w:hAnsi="Times New Roman" w:cs="Times New Roman"/>
          <w:color w:val="333333"/>
          <w:sz w:val="20"/>
          <w:szCs w:val="20"/>
          <w:lang w:eastAsia="zh-CN" w:bidi="ar-SA"/>
        </w:rPr>
        <w:t>Wiksell</w:t>
      </w:r>
      <w:proofErr w:type="spellEnd"/>
      <w:r w:rsidRPr="006843BF">
        <w:rPr>
          <w:rFonts w:ascii="Times New Roman" w:eastAsia="Times New Roman" w:hAnsi="Times New Roman" w:cs="Times New Roman"/>
          <w:color w:val="333333"/>
          <w:sz w:val="20"/>
          <w:szCs w:val="20"/>
          <w:lang w:eastAsia="zh-CN" w:bidi="ar-SA"/>
        </w:rPr>
        <w:t>, 2002),</w:t>
      </w:r>
      <w:r w:rsidR="006E11B9">
        <w:rPr>
          <w:rFonts w:ascii="Times New Roman" w:eastAsia="Times New Roman" w:hAnsi="Times New Roman" w:cs="Times New Roman"/>
          <w:color w:val="333333"/>
          <w:sz w:val="20"/>
          <w:szCs w:val="20"/>
          <w:lang w:eastAsia="zh-CN" w:bidi="ar-SA"/>
        </w:rPr>
        <w:t xml:space="preserve"> 116–8</w:t>
      </w:r>
      <w:r w:rsidRPr="006843BF">
        <w:rPr>
          <w:rFonts w:ascii="Times New Roman" w:eastAsia="Times New Roman" w:hAnsi="Times New Roman" w:cs="Times New Roman"/>
          <w:color w:val="333333"/>
          <w:sz w:val="20"/>
          <w:szCs w:val="20"/>
          <w:lang w:eastAsia="zh-CN" w:bidi="ar-SA"/>
        </w:rPr>
        <w:t>.</w:t>
      </w:r>
    </w:p>
    <w:p w14:paraId="05F9EAFC" w14:textId="5419C7C6" w:rsidR="006E11B9" w:rsidRDefault="00EC3BE5"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4.</w:t>
      </w:r>
      <w:r w:rsidR="006843BF" w:rsidRPr="00054AB1">
        <w:rPr>
          <w:rFonts w:ascii="David" w:eastAsia="Times New Roman" w:hAnsi="David" w:cs="David" w:hint="cs"/>
          <w:color w:val="000000"/>
          <w:sz w:val="20"/>
          <w:szCs w:val="20"/>
          <w:rtl/>
        </w:rPr>
        <w:t>ראו</w:t>
      </w:r>
      <w:r w:rsidR="002C3E58">
        <w:rPr>
          <w:rFonts w:ascii="David" w:eastAsia="Times New Roman" w:hAnsi="David" w:cs="David" w:hint="cs"/>
          <w:color w:val="000000"/>
          <w:sz w:val="20"/>
          <w:szCs w:val="20"/>
          <w:rtl/>
        </w:rPr>
        <w:t>:</w:t>
      </w:r>
    </w:p>
    <w:p w14:paraId="5C0AA5C8" w14:textId="2CF247B5" w:rsidR="00C41240" w:rsidRDefault="006843BF" w:rsidP="00C41240">
      <w:pPr>
        <w:spacing w:after="187" w:line="360" w:lineRule="auto"/>
        <w:rPr>
          <w:rFonts w:ascii="David" w:eastAsia="Times New Roman" w:hAnsi="David" w:cs="David"/>
          <w:color w:val="000000"/>
          <w:sz w:val="20"/>
          <w:szCs w:val="20"/>
          <w:rtl/>
        </w:rPr>
      </w:pPr>
      <w:r w:rsidRPr="00054AB1">
        <w:rPr>
          <w:rFonts w:ascii="Times New Roman" w:eastAsia="Times New Roman" w:hAnsi="Times New Roman" w:cs="Times New Roman"/>
          <w:color w:val="333333"/>
          <w:sz w:val="20"/>
          <w:szCs w:val="20"/>
          <w:lang w:bidi="ar-SA"/>
        </w:rPr>
        <w:t xml:space="preserve">Moshe </w:t>
      </w:r>
      <w:proofErr w:type="spellStart"/>
      <w:r w:rsidRPr="00054AB1">
        <w:rPr>
          <w:rFonts w:ascii="Times New Roman" w:eastAsia="Times New Roman" w:hAnsi="Times New Roman" w:cs="Times New Roman"/>
          <w:color w:val="333333"/>
          <w:sz w:val="20"/>
          <w:szCs w:val="20"/>
          <w:lang w:bidi="ar-SA"/>
        </w:rPr>
        <w:t>Weinfeld</w:t>
      </w:r>
      <w:proofErr w:type="spellEnd"/>
      <w:r w:rsidRPr="00054AB1">
        <w:rPr>
          <w:rFonts w:ascii="Times New Roman" w:eastAsia="Times New Roman" w:hAnsi="Times New Roman" w:cs="Times New Roman"/>
          <w:color w:val="333333"/>
          <w:sz w:val="20"/>
          <w:szCs w:val="20"/>
          <w:lang w:bidi="ar-SA"/>
        </w:rPr>
        <w:t>, </w:t>
      </w:r>
      <w:r w:rsidRPr="00054AB1">
        <w:rPr>
          <w:rFonts w:ascii="Times New Roman" w:eastAsia="Times New Roman" w:hAnsi="Times New Roman" w:cs="Times New Roman"/>
          <w:i/>
          <w:iCs/>
          <w:color w:val="333333"/>
          <w:sz w:val="20"/>
          <w:szCs w:val="20"/>
          <w:lang w:bidi="ar-SA"/>
        </w:rPr>
        <w:t>Deuteronomy and the Deuteronomic School, </w:t>
      </w:r>
      <w:r w:rsidRPr="00054AB1">
        <w:rPr>
          <w:rFonts w:ascii="Times New Roman" w:eastAsia="Times New Roman" w:hAnsi="Times New Roman" w:cs="Times New Roman"/>
          <w:color w:val="333333"/>
          <w:sz w:val="20"/>
          <w:szCs w:val="20"/>
          <w:lang w:bidi="ar-SA"/>
        </w:rPr>
        <w:t xml:space="preserve">(Oxford: Clarendon, 1972), 117–8, n. </w:t>
      </w:r>
      <w:proofErr w:type="gramStart"/>
      <w:r w:rsidRPr="00054AB1">
        <w:rPr>
          <w:rFonts w:ascii="Times New Roman" w:eastAsia="Times New Roman" w:hAnsi="Times New Roman" w:cs="Times New Roman"/>
          <w:color w:val="333333"/>
          <w:sz w:val="20"/>
          <w:szCs w:val="20"/>
          <w:lang w:bidi="ar-SA"/>
        </w:rPr>
        <w:t>6,</w:t>
      </w:r>
      <w:r w:rsidRPr="00054AB1">
        <w:rPr>
          <w:rFonts w:ascii="David" w:eastAsia="Times New Roman" w:hAnsi="David" w:cs="David" w:hint="cs"/>
          <w:color w:val="000000"/>
          <w:sz w:val="20"/>
          <w:szCs w:val="20"/>
          <w:rtl/>
        </w:rPr>
        <w:t>,</w:t>
      </w:r>
      <w:proofErr w:type="gramEnd"/>
      <w:r w:rsidRPr="00054AB1">
        <w:rPr>
          <w:rFonts w:ascii="David" w:eastAsia="Times New Roman" w:hAnsi="David" w:cs="David" w:hint="cs"/>
          <w:color w:val="000000"/>
          <w:sz w:val="20"/>
          <w:szCs w:val="20"/>
          <w:rtl/>
        </w:rPr>
        <w:t xml:space="preserve"> ה</w:t>
      </w:r>
      <w:r w:rsidR="006E1AEE">
        <w:rPr>
          <w:rFonts w:ascii="David" w:eastAsia="Times New Roman" w:hAnsi="David" w:cs="David" w:hint="cs"/>
          <w:color w:val="000000"/>
          <w:sz w:val="20"/>
          <w:szCs w:val="20"/>
          <w:rtl/>
        </w:rPr>
        <w:t xml:space="preserve">מפנה אותנו לספר </w:t>
      </w:r>
      <w:r w:rsidR="00054AB1">
        <w:rPr>
          <w:rFonts w:ascii="David" w:eastAsia="Times New Roman" w:hAnsi="David" w:cs="David" w:hint="cs"/>
          <w:color w:val="000000"/>
          <w:sz w:val="20"/>
          <w:szCs w:val="20"/>
          <w:rtl/>
        </w:rPr>
        <w:t xml:space="preserve">שמות 8:9–9: </w:t>
      </w:r>
      <w:r w:rsidR="006E11B9">
        <w:rPr>
          <w:rFonts w:ascii="David" w:eastAsia="Times New Roman" w:hAnsi="David" w:cs="David" w:hint="cs"/>
          <w:color w:val="000000"/>
          <w:sz w:val="20"/>
          <w:szCs w:val="20"/>
          <w:rtl/>
        </w:rPr>
        <w:t>"</w:t>
      </w:r>
      <w:r w:rsidR="00054AB1">
        <w:rPr>
          <w:rFonts w:ascii="David" w:eastAsia="Times New Roman" w:hAnsi="David" w:cs="David" w:hint="cs"/>
          <w:color w:val="000000"/>
          <w:sz w:val="20"/>
          <w:szCs w:val="20"/>
          <w:rtl/>
        </w:rPr>
        <w:t xml:space="preserve">ויאמר ד' אל משה ואל אהרן קחו לכם מלא </w:t>
      </w:r>
      <w:proofErr w:type="spellStart"/>
      <w:r w:rsidR="00054AB1">
        <w:rPr>
          <w:rFonts w:ascii="David" w:eastAsia="Times New Roman" w:hAnsi="David" w:cs="David" w:hint="cs"/>
          <w:color w:val="000000"/>
          <w:sz w:val="20"/>
          <w:szCs w:val="20"/>
          <w:rtl/>
        </w:rPr>
        <w:t>חפניכם</w:t>
      </w:r>
      <w:proofErr w:type="spellEnd"/>
      <w:r w:rsidR="00054AB1">
        <w:rPr>
          <w:rFonts w:ascii="David" w:eastAsia="Times New Roman" w:hAnsi="David" w:cs="David" w:hint="cs"/>
          <w:color w:val="000000"/>
          <w:sz w:val="20"/>
          <w:szCs w:val="20"/>
          <w:rtl/>
        </w:rPr>
        <w:t xml:space="preserve"> פיח כבשן וזרקו משה </w:t>
      </w:r>
      <w:proofErr w:type="spellStart"/>
      <w:r w:rsidR="00054AB1">
        <w:rPr>
          <w:rFonts w:ascii="David" w:eastAsia="Times New Roman" w:hAnsi="David" w:cs="David" w:hint="cs"/>
          <w:color w:val="000000"/>
          <w:sz w:val="20"/>
          <w:szCs w:val="20"/>
          <w:rtl/>
        </w:rPr>
        <w:t>השמימה</w:t>
      </w:r>
      <w:proofErr w:type="spellEnd"/>
      <w:r w:rsidR="00054AB1">
        <w:rPr>
          <w:rFonts w:ascii="David" w:eastAsia="Times New Roman" w:hAnsi="David" w:cs="David" w:hint="cs"/>
          <w:color w:val="000000"/>
          <w:sz w:val="20"/>
          <w:szCs w:val="20"/>
          <w:rtl/>
        </w:rPr>
        <w:t xml:space="preserve"> לעיני פרעה. והיה לאבק על כל ארץ מצרים והיה על האדם ועל הבהמה לשחין פרח</w:t>
      </w:r>
      <w:r w:rsidR="006E1AEE">
        <w:rPr>
          <w:rFonts w:ascii="David" w:eastAsia="Times New Roman" w:hAnsi="David" w:cs="David" w:hint="cs"/>
          <w:color w:val="000000"/>
          <w:sz w:val="20"/>
          <w:szCs w:val="20"/>
          <w:rtl/>
        </w:rPr>
        <w:t xml:space="preserve"> </w:t>
      </w:r>
      <w:proofErr w:type="spellStart"/>
      <w:r w:rsidR="006E1AEE">
        <w:rPr>
          <w:rFonts w:ascii="David" w:eastAsia="Times New Roman" w:hAnsi="David" w:cs="David" w:hint="cs"/>
          <w:color w:val="000000"/>
          <w:sz w:val="20"/>
          <w:szCs w:val="20"/>
          <w:rtl/>
        </w:rPr>
        <w:t>אבעבעות</w:t>
      </w:r>
      <w:proofErr w:type="spellEnd"/>
      <w:r w:rsidR="006E1AEE">
        <w:rPr>
          <w:rFonts w:ascii="David" w:eastAsia="Times New Roman" w:hAnsi="David" w:cs="David" w:hint="cs"/>
          <w:color w:val="000000"/>
          <w:sz w:val="20"/>
          <w:szCs w:val="20"/>
          <w:rtl/>
        </w:rPr>
        <w:t xml:space="preserve"> בכל ארץ מצרים</w:t>
      </w:r>
      <w:r w:rsidR="006E11B9">
        <w:rPr>
          <w:rFonts w:ascii="David" w:eastAsia="Times New Roman" w:hAnsi="David" w:cs="David" w:hint="cs"/>
          <w:color w:val="000000"/>
          <w:sz w:val="20"/>
          <w:szCs w:val="20"/>
          <w:rtl/>
        </w:rPr>
        <w:t>"</w:t>
      </w:r>
      <w:r w:rsidR="006E1AEE">
        <w:rPr>
          <w:rFonts w:ascii="David" w:eastAsia="Times New Roman" w:hAnsi="David" w:cs="David" w:hint="cs"/>
          <w:color w:val="000000"/>
          <w:sz w:val="20"/>
          <w:szCs w:val="20"/>
          <w:rtl/>
        </w:rPr>
        <w:t>.</w:t>
      </w:r>
    </w:p>
    <w:p w14:paraId="26389230" w14:textId="2B23CC7C" w:rsidR="006E1AEE" w:rsidRDefault="00EC3BE5"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5.</w:t>
      </w:r>
      <w:r w:rsidR="006E11B9">
        <w:rPr>
          <w:rFonts w:ascii="David" w:eastAsia="Times New Roman" w:hAnsi="David" w:cs="David" w:hint="cs"/>
          <w:color w:val="000000"/>
          <w:sz w:val="20"/>
          <w:szCs w:val="20"/>
          <w:rtl/>
        </w:rPr>
        <w:t xml:space="preserve"> </w:t>
      </w:r>
      <w:r w:rsidR="006E1AEE">
        <w:rPr>
          <w:rFonts w:ascii="David" w:eastAsia="Times New Roman" w:hAnsi="David" w:cs="David" w:hint="cs"/>
          <w:color w:val="000000"/>
          <w:sz w:val="20"/>
          <w:szCs w:val="20"/>
          <w:rtl/>
        </w:rPr>
        <w:t>ראו:</w:t>
      </w:r>
    </w:p>
    <w:p w14:paraId="39D03B86" w14:textId="73D87B75" w:rsidR="006E1AEE" w:rsidRPr="005345ED" w:rsidRDefault="006E1AEE" w:rsidP="008A5560">
      <w:pPr>
        <w:shd w:val="clear" w:color="auto" w:fill="FFFFFF"/>
        <w:bidi w:val="0"/>
        <w:spacing w:before="100" w:beforeAutospacing="1" w:after="0" w:line="480" w:lineRule="auto"/>
        <w:ind w:left="360"/>
        <w:rPr>
          <w:rFonts w:ascii="David" w:eastAsia="Times New Roman" w:hAnsi="David" w:cs="David"/>
          <w:color w:val="333333"/>
          <w:sz w:val="20"/>
          <w:szCs w:val="20"/>
          <w:lang w:eastAsia="zh-CN" w:bidi="ar-SA"/>
        </w:rPr>
      </w:pPr>
      <w:r w:rsidRPr="005345ED">
        <w:rPr>
          <w:rFonts w:ascii="David" w:eastAsia="Times New Roman" w:hAnsi="David" w:cs="David"/>
          <w:color w:val="333333"/>
          <w:sz w:val="20"/>
          <w:szCs w:val="20"/>
          <w:lang w:eastAsia="zh-CN" w:bidi="ar-SA"/>
        </w:rPr>
        <w:t xml:space="preserve">CAD S 36–37; M. </w:t>
      </w:r>
      <w:proofErr w:type="spellStart"/>
      <w:r w:rsidRPr="005345ED">
        <w:rPr>
          <w:rFonts w:ascii="David" w:eastAsia="Times New Roman" w:hAnsi="David" w:cs="David"/>
          <w:color w:val="333333"/>
          <w:sz w:val="20"/>
          <w:szCs w:val="20"/>
          <w:lang w:eastAsia="zh-CN" w:bidi="ar-SA"/>
        </w:rPr>
        <w:t>Stol</w:t>
      </w:r>
      <w:proofErr w:type="spellEnd"/>
      <w:r w:rsidRPr="005345ED">
        <w:rPr>
          <w:rFonts w:ascii="David" w:eastAsia="Times New Roman" w:hAnsi="David" w:cs="David"/>
          <w:color w:val="333333"/>
          <w:sz w:val="20"/>
          <w:szCs w:val="20"/>
          <w:lang w:eastAsia="zh-CN" w:bidi="ar-SA"/>
        </w:rPr>
        <w:t>, “Leprosy: New Light from Greek and Babylonian Sources</w:t>
      </w:r>
      <w:proofErr w:type="gramStart"/>
      <w:r w:rsidRPr="005345ED">
        <w:rPr>
          <w:rFonts w:ascii="David" w:eastAsia="Times New Roman" w:hAnsi="David" w:cs="David"/>
          <w:color w:val="333333"/>
          <w:sz w:val="20"/>
          <w:szCs w:val="20"/>
          <w:lang w:eastAsia="zh-CN" w:bidi="ar-SA"/>
        </w:rPr>
        <w:t>,”</w:t>
      </w:r>
      <w:proofErr w:type="spellStart"/>
      <w:r w:rsidRPr="005345ED">
        <w:rPr>
          <w:rFonts w:ascii="David" w:eastAsia="Times New Roman" w:hAnsi="David" w:cs="David"/>
          <w:i/>
          <w:iCs/>
          <w:color w:val="333333"/>
          <w:sz w:val="20"/>
          <w:szCs w:val="20"/>
          <w:lang w:eastAsia="zh-CN" w:bidi="ar-SA"/>
        </w:rPr>
        <w:t>Jaarbericht</w:t>
      </w:r>
      <w:proofErr w:type="spellEnd"/>
      <w:proofErr w:type="gramEnd"/>
      <w:r w:rsidRPr="005345ED">
        <w:rPr>
          <w:rFonts w:ascii="David" w:eastAsia="Times New Roman" w:hAnsi="David" w:cs="David"/>
          <w:i/>
          <w:iCs/>
          <w:color w:val="333333"/>
          <w:sz w:val="20"/>
          <w:szCs w:val="20"/>
          <w:lang w:eastAsia="zh-CN" w:bidi="ar-SA"/>
        </w:rPr>
        <w:t xml:space="preserve"> van het </w:t>
      </w:r>
      <w:proofErr w:type="spellStart"/>
      <w:r w:rsidRPr="005345ED">
        <w:rPr>
          <w:rFonts w:ascii="David" w:eastAsia="Times New Roman" w:hAnsi="David" w:cs="David"/>
          <w:i/>
          <w:iCs/>
          <w:color w:val="333333"/>
          <w:sz w:val="20"/>
          <w:szCs w:val="20"/>
          <w:lang w:eastAsia="zh-CN" w:bidi="ar-SA"/>
        </w:rPr>
        <w:t>Vooraziatisch-Egyptisch</w:t>
      </w:r>
      <w:proofErr w:type="spellEnd"/>
      <w:r w:rsidRPr="005345ED">
        <w:rPr>
          <w:rFonts w:ascii="David" w:eastAsia="Times New Roman" w:hAnsi="David" w:cs="David"/>
          <w:i/>
          <w:iCs/>
          <w:color w:val="333333"/>
          <w:sz w:val="20"/>
          <w:szCs w:val="20"/>
          <w:lang w:eastAsia="zh-CN" w:bidi="ar-SA"/>
        </w:rPr>
        <w:t xml:space="preserve"> </w:t>
      </w:r>
      <w:proofErr w:type="spellStart"/>
      <w:r w:rsidRPr="005345ED">
        <w:rPr>
          <w:rFonts w:ascii="David" w:eastAsia="Times New Roman" w:hAnsi="David" w:cs="David"/>
          <w:i/>
          <w:iCs/>
          <w:color w:val="333333"/>
          <w:sz w:val="20"/>
          <w:szCs w:val="20"/>
          <w:lang w:eastAsia="zh-CN" w:bidi="ar-SA"/>
        </w:rPr>
        <w:t>Genootschap</w:t>
      </w:r>
      <w:proofErr w:type="spellEnd"/>
      <w:r w:rsidRPr="005345ED">
        <w:rPr>
          <w:rFonts w:ascii="David" w:eastAsia="Times New Roman" w:hAnsi="David" w:cs="David"/>
          <w:color w:val="333333"/>
          <w:sz w:val="20"/>
          <w:szCs w:val="20"/>
          <w:lang w:eastAsia="zh-CN" w:bidi="ar-SA"/>
        </w:rPr>
        <w:t> (</w:t>
      </w:r>
      <w:r w:rsidRPr="005345ED">
        <w:rPr>
          <w:rFonts w:ascii="David" w:eastAsia="Times New Roman" w:hAnsi="David" w:cs="David"/>
          <w:i/>
          <w:iCs/>
          <w:color w:val="333333"/>
          <w:sz w:val="20"/>
          <w:szCs w:val="20"/>
          <w:lang w:eastAsia="zh-CN" w:bidi="ar-SA"/>
        </w:rPr>
        <w:t xml:space="preserve">Ex </w:t>
      </w:r>
      <w:proofErr w:type="spellStart"/>
      <w:r w:rsidRPr="005345ED">
        <w:rPr>
          <w:rFonts w:ascii="David" w:eastAsia="Times New Roman" w:hAnsi="David" w:cs="David"/>
          <w:i/>
          <w:iCs/>
          <w:color w:val="333333"/>
          <w:sz w:val="20"/>
          <w:szCs w:val="20"/>
          <w:lang w:eastAsia="zh-CN" w:bidi="ar-SA"/>
        </w:rPr>
        <w:t>Oriente</w:t>
      </w:r>
      <w:proofErr w:type="spellEnd"/>
      <w:r w:rsidRPr="005345ED">
        <w:rPr>
          <w:rFonts w:ascii="David" w:eastAsia="Times New Roman" w:hAnsi="David" w:cs="David"/>
          <w:i/>
          <w:iCs/>
          <w:color w:val="333333"/>
          <w:sz w:val="20"/>
          <w:szCs w:val="20"/>
          <w:lang w:eastAsia="zh-CN" w:bidi="ar-SA"/>
        </w:rPr>
        <w:t xml:space="preserve"> Lux</w:t>
      </w:r>
      <w:r w:rsidRPr="005345ED">
        <w:rPr>
          <w:rFonts w:ascii="David" w:eastAsia="Times New Roman" w:hAnsi="David" w:cs="David"/>
          <w:color w:val="333333"/>
          <w:sz w:val="20"/>
          <w:szCs w:val="20"/>
          <w:lang w:eastAsia="zh-CN" w:bidi="ar-SA"/>
        </w:rPr>
        <w:t>) 30 (1989), 22–31; J. Scurlock and B. Andersen, </w:t>
      </w:r>
      <w:r w:rsidRPr="005345ED">
        <w:rPr>
          <w:rFonts w:ascii="David" w:eastAsia="Times New Roman" w:hAnsi="David" w:cs="David"/>
          <w:i/>
          <w:iCs/>
          <w:color w:val="333333"/>
          <w:sz w:val="20"/>
          <w:szCs w:val="20"/>
          <w:lang w:eastAsia="zh-CN" w:bidi="ar-SA"/>
        </w:rPr>
        <w:t>Diagnoses in Assyrian and Babylonian Medicine </w:t>
      </w:r>
      <w:r w:rsidRPr="005345ED">
        <w:rPr>
          <w:rFonts w:ascii="David" w:eastAsia="Times New Roman" w:hAnsi="David" w:cs="David"/>
          <w:color w:val="333333"/>
          <w:sz w:val="20"/>
          <w:szCs w:val="20"/>
          <w:lang w:eastAsia="zh-CN" w:bidi="ar-SA"/>
        </w:rPr>
        <w:t>(Chicago: Indiana University Press, 2005)</w:t>
      </w:r>
      <w:r w:rsidRPr="005345ED">
        <w:rPr>
          <w:rFonts w:ascii="David" w:eastAsia="Times New Roman" w:hAnsi="David" w:cs="David"/>
          <w:i/>
          <w:iCs/>
          <w:color w:val="333333"/>
          <w:sz w:val="20"/>
          <w:szCs w:val="20"/>
          <w:lang w:eastAsia="zh-CN" w:bidi="ar-SA"/>
        </w:rPr>
        <w:t>, </w:t>
      </w:r>
      <w:r w:rsidRPr="005345ED">
        <w:rPr>
          <w:rFonts w:ascii="David" w:eastAsia="Times New Roman" w:hAnsi="David" w:cs="David"/>
          <w:color w:val="333333"/>
          <w:sz w:val="20"/>
          <w:szCs w:val="20"/>
          <w:lang w:eastAsia="zh-CN" w:bidi="ar-SA"/>
        </w:rPr>
        <w:t xml:space="preserve">70–73, 231–33, 723–24, </w:t>
      </w:r>
      <w:proofErr w:type="spellStart"/>
      <w:r w:rsidRPr="005345ED">
        <w:rPr>
          <w:rFonts w:ascii="David" w:eastAsia="Times New Roman" w:hAnsi="David" w:cs="David"/>
          <w:color w:val="333333"/>
          <w:sz w:val="20"/>
          <w:szCs w:val="20"/>
          <w:lang w:eastAsia="zh-CN" w:bidi="ar-SA"/>
        </w:rPr>
        <w:t>nn</w:t>
      </w:r>
      <w:proofErr w:type="spellEnd"/>
      <w:r w:rsidRPr="005345ED">
        <w:rPr>
          <w:rFonts w:ascii="David" w:eastAsia="Times New Roman" w:hAnsi="David" w:cs="David"/>
          <w:color w:val="333333"/>
          <w:sz w:val="20"/>
          <w:szCs w:val="20"/>
          <w:lang w:eastAsia="zh-CN" w:bidi="ar-SA"/>
        </w:rPr>
        <w:t>. 139–40; “Disgust, Disease and Defilement: The Experiential Basis for Akkadian and Hittite Terms for Pollution,” </w:t>
      </w:r>
      <w:r w:rsidRPr="005345ED">
        <w:rPr>
          <w:rFonts w:ascii="David" w:eastAsia="Times New Roman" w:hAnsi="David" w:cs="David"/>
          <w:i/>
          <w:iCs/>
          <w:color w:val="333333"/>
          <w:sz w:val="20"/>
          <w:szCs w:val="20"/>
          <w:lang w:eastAsia="zh-CN" w:bidi="ar-SA"/>
        </w:rPr>
        <w:t>Journal of the American Oriental Society</w:t>
      </w:r>
      <w:r w:rsidRPr="005345ED">
        <w:rPr>
          <w:rFonts w:ascii="David" w:eastAsia="Times New Roman" w:hAnsi="David" w:cs="David"/>
          <w:color w:val="333333"/>
          <w:sz w:val="20"/>
          <w:szCs w:val="20"/>
          <w:lang w:eastAsia="zh-CN" w:bidi="ar-SA"/>
        </w:rPr>
        <w:t> 136 (2016): 99–116.</w:t>
      </w:r>
    </w:p>
    <w:p w14:paraId="53053648" w14:textId="77777777" w:rsidR="00EC3BE5" w:rsidRPr="006E1AEE" w:rsidRDefault="00EC3BE5" w:rsidP="00EC3BE5">
      <w:pPr>
        <w:numPr>
          <w:ilvl w:val="0"/>
          <w:numId w:val="5"/>
        </w:numPr>
        <w:shd w:val="clear" w:color="auto" w:fill="FFFFFF"/>
        <w:bidi w:val="0"/>
        <w:spacing w:before="100" w:beforeAutospacing="1" w:after="0" w:line="480" w:lineRule="auto"/>
        <w:rPr>
          <w:rFonts w:ascii="Times New Roman" w:eastAsia="Times New Roman" w:hAnsi="Times New Roman" w:cs="Times New Roman"/>
          <w:color w:val="333333"/>
          <w:sz w:val="14"/>
          <w:szCs w:val="14"/>
          <w:lang w:eastAsia="zh-CN" w:bidi="ar-SA"/>
        </w:rPr>
      </w:pPr>
    </w:p>
    <w:p w14:paraId="6233052F" w14:textId="010F67FC" w:rsidR="006E1AEE" w:rsidRDefault="00EC3BE5"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6.</w:t>
      </w:r>
      <w:r w:rsidR="006E1AEE">
        <w:rPr>
          <w:rFonts w:ascii="David" w:eastAsia="Times New Roman" w:hAnsi="David" w:cs="David" w:hint="cs"/>
          <w:color w:val="000000"/>
          <w:sz w:val="20"/>
          <w:szCs w:val="20"/>
          <w:rtl/>
        </w:rPr>
        <w:t>לניתוח מפורט של נוסחאות קללה אלה ה</w:t>
      </w:r>
      <w:r w:rsidR="00BE7E45">
        <w:rPr>
          <w:rFonts w:ascii="David" w:eastAsia="Times New Roman" w:hAnsi="David" w:cs="David" w:hint="cs"/>
          <w:color w:val="000000"/>
          <w:sz w:val="20"/>
          <w:szCs w:val="20"/>
          <w:rtl/>
        </w:rPr>
        <w:t>נתמכ</w:t>
      </w:r>
      <w:r w:rsidR="00B2245D">
        <w:rPr>
          <w:rFonts w:ascii="David" w:eastAsia="Times New Roman" w:hAnsi="David" w:cs="David" w:hint="cs"/>
          <w:color w:val="000000"/>
          <w:sz w:val="20"/>
          <w:szCs w:val="20"/>
          <w:rtl/>
        </w:rPr>
        <w:t>ות</w:t>
      </w:r>
      <w:r w:rsidR="008A5560">
        <w:rPr>
          <w:rFonts w:ascii="David" w:eastAsia="Times New Roman" w:hAnsi="David" w:cs="David" w:hint="cs"/>
          <w:color w:val="000000"/>
          <w:sz w:val="20"/>
          <w:szCs w:val="20"/>
          <w:rtl/>
        </w:rPr>
        <w:t xml:space="preserve"> </w:t>
      </w:r>
      <w:r w:rsidR="006E1AEE">
        <w:rPr>
          <w:rFonts w:ascii="David" w:eastAsia="Times New Roman" w:hAnsi="David" w:cs="David" w:hint="cs"/>
          <w:color w:val="000000"/>
          <w:sz w:val="20"/>
          <w:szCs w:val="20"/>
          <w:rtl/>
        </w:rPr>
        <w:t xml:space="preserve">במסמכים </w:t>
      </w:r>
      <w:r>
        <w:rPr>
          <w:rFonts w:ascii="David" w:eastAsia="Times New Roman" w:hAnsi="David" w:cs="David" w:hint="cs"/>
          <w:color w:val="000000"/>
          <w:sz w:val="20"/>
          <w:szCs w:val="20"/>
          <w:rtl/>
        </w:rPr>
        <w:t>מן המאות ה-7–14 לפני הספירה, ראו:</w:t>
      </w:r>
    </w:p>
    <w:p w14:paraId="372F5800" w14:textId="77777777" w:rsidR="00EC3BE5" w:rsidRPr="005345ED" w:rsidRDefault="00EC3BE5" w:rsidP="00BE7E45">
      <w:pPr>
        <w:shd w:val="clear" w:color="auto" w:fill="FFFFFF"/>
        <w:bidi w:val="0"/>
        <w:spacing w:before="100" w:beforeAutospacing="1" w:after="0" w:line="480" w:lineRule="auto"/>
        <w:ind w:left="360"/>
        <w:rPr>
          <w:rFonts w:ascii="David" w:eastAsia="Times New Roman" w:hAnsi="David" w:cs="David"/>
          <w:color w:val="333333"/>
          <w:sz w:val="20"/>
          <w:szCs w:val="20"/>
          <w:lang w:eastAsia="zh-CN" w:bidi="ar-SA"/>
        </w:rPr>
      </w:pPr>
      <w:r w:rsidRPr="005345ED">
        <w:rPr>
          <w:rFonts w:ascii="David" w:eastAsia="Times New Roman" w:hAnsi="David" w:cs="David"/>
          <w:color w:val="333333"/>
          <w:sz w:val="20"/>
          <w:szCs w:val="20"/>
          <w:lang w:eastAsia="zh-CN" w:bidi="ar-SA"/>
        </w:rPr>
        <w:t xml:space="preserve">K. Watanabe, “Die </w:t>
      </w:r>
      <w:proofErr w:type="spellStart"/>
      <w:r w:rsidRPr="005345ED">
        <w:rPr>
          <w:rFonts w:ascii="David" w:eastAsia="Times New Roman" w:hAnsi="David" w:cs="David"/>
          <w:color w:val="333333"/>
          <w:sz w:val="20"/>
          <w:szCs w:val="20"/>
          <w:lang w:eastAsia="zh-CN" w:bidi="ar-SA"/>
        </w:rPr>
        <w:t>literarische</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Überlieferung</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eines</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babylonisch-assyrischen</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Fluchthemas</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mit</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Anrufung</w:t>
      </w:r>
      <w:proofErr w:type="spellEnd"/>
      <w:r w:rsidRPr="005345ED">
        <w:rPr>
          <w:rFonts w:ascii="David" w:eastAsia="Times New Roman" w:hAnsi="David" w:cs="David"/>
          <w:color w:val="333333"/>
          <w:sz w:val="20"/>
          <w:szCs w:val="20"/>
          <w:lang w:eastAsia="zh-CN" w:bidi="ar-SA"/>
        </w:rPr>
        <w:t xml:space="preserve"> des </w:t>
      </w:r>
      <w:proofErr w:type="spellStart"/>
      <w:r w:rsidRPr="005345ED">
        <w:rPr>
          <w:rFonts w:ascii="David" w:eastAsia="Times New Roman" w:hAnsi="David" w:cs="David"/>
          <w:color w:val="333333"/>
          <w:sz w:val="20"/>
          <w:szCs w:val="20"/>
          <w:lang w:eastAsia="zh-CN" w:bidi="ar-SA"/>
        </w:rPr>
        <w:t>Mondgottes</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Sîn</w:t>
      </w:r>
      <w:proofErr w:type="spellEnd"/>
      <w:r w:rsidRPr="005345ED">
        <w:rPr>
          <w:rFonts w:ascii="David" w:eastAsia="Times New Roman" w:hAnsi="David" w:cs="David"/>
          <w:color w:val="333333"/>
          <w:sz w:val="20"/>
          <w:szCs w:val="20"/>
          <w:lang w:eastAsia="zh-CN" w:bidi="ar-SA"/>
        </w:rPr>
        <w:t>,” </w:t>
      </w:r>
      <w:r w:rsidRPr="005345ED">
        <w:rPr>
          <w:rFonts w:ascii="David" w:eastAsia="Times New Roman" w:hAnsi="David" w:cs="David"/>
          <w:i/>
          <w:iCs/>
          <w:color w:val="333333"/>
          <w:sz w:val="20"/>
          <w:szCs w:val="20"/>
          <w:lang w:eastAsia="zh-CN" w:bidi="ar-SA"/>
        </w:rPr>
        <w:t xml:space="preserve">Acta </w:t>
      </w:r>
      <w:proofErr w:type="spellStart"/>
      <w:r w:rsidRPr="005345ED">
        <w:rPr>
          <w:rFonts w:ascii="David" w:eastAsia="Times New Roman" w:hAnsi="David" w:cs="David"/>
          <w:i/>
          <w:iCs/>
          <w:color w:val="333333"/>
          <w:sz w:val="20"/>
          <w:szCs w:val="20"/>
          <w:lang w:eastAsia="zh-CN" w:bidi="ar-SA"/>
        </w:rPr>
        <w:t>Sumerologica</w:t>
      </w:r>
      <w:proofErr w:type="spellEnd"/>
      <w:r w:rsidRPr="005345ED">
        <w:rPr>
          <w:rFonts w:ascii="David" w:eastAsia="Times New Roman" w:hAnsi="David" w:cs="David"/>
          <w:i/>
          <w:iCs/>
          <w:color w:val="333333"/>
          <w:sz w:val="20"/>
          <w:szCs w:val="20"/>
          <w:lang w:eastAsia="zh-CN" w:bidi="ar-SA"/>
        </w:rPr>
        <w:t> </w:t>
      </w:r>
      <w:r w:rsidRPr="005345ED">
        <w:rPr>
          <w:rFonts w:ascii="David" w:eastAsia="Times New Roman" w:hAnsi="David" w:cs="David"/>
          <w:color w:val="333333"/>
          <w:sz w:val="20"/>
          <w:szCs w:val="20"/>
          <w:lang w:eastAsia="zh-CN" w:bidi="ar-SA"/>
        </w:rPr>
        <w:t>6 (1984), 99–119.</w:t>
      </w:r>
    </w:p>
    <w:p w14:paraId="33DCB5BA" w14:textId="36525657" w:rsidR="00EC3BE5" w:rsidRDefault="00EC3BE5"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7.ראו:</w:t>
      </w:r>
    </w:p>
    <w:p w14:paraId="642086B9" w14:textId="63494C8D" w:rsidR="00EC3BE5" w:rsidRPr="005345ED" w:rsidRDefault="00EC3BE5" w:rsidP="00C41240">
      <w:pPr>
        <w:spacing w:after="187" w:line="360" w:lineRule="auto"/>
        <w:rPr>
          <w:rFonts w:ascii="David" w:eastAsia="Times New Roman" w:hAnsi="David" w:cs="David"/>
          <w:color w:val="000000"/>
          <w:sz w:val="20"/>
          <w:szCs w:val="20"/>
          <w:rtl/>
        </w:rPr>
      </w:pPr>
      <w:r w:rsidRPr="005345ED">
        <w:rPr>
          <w:rFonts w:ascii="David" w:eastAsia="Times New Roman" w:hAnsi="David" w:cs="David"/>
          <w:color w:val="333333"/>
          <w:sz w:val="20"/>
          <w:szCs w:val="20"/>
          <w:lang w:bidi="ar-SA"/>
        </w:rPr>
        <w:t xml:space="preserve">A. </w:t>
      </w:r>
      <w:proofErr w:type="spellStart"/>
      <w:proofErr w:type="gramStart"/>
      <w:r w:rsidRPr="005345ED">
        <w:rPr>
          <w:rFonts w:ascii="David" w:eastAsia="Times New Roman" w:hAnsi="David" w:cs="David"/>
          <w:color w:val="333333"/>
          <w:sz w:val="20"/>
          <w:szCs w:val="20"/>
          <w:lang w:bidi="ar-SA"/>
        </w:rPr>
        <w:t>Tsukimoto</w:t>
      </w:r>
      <w:proofErr w:type="spellEnd"/>
      <w:r w:rsidRPr="005345ED">
        <w:rPr>
          <w:rFonts w:ascii="David" w:eastAsia="Times New Roman" w:hAnsi="David" w:cs="David"/>
          <w:color w:val="333333"/>
          <w:sz w:val="20"/>
          <w:szCs w:val="20"/>
          <w:lang w:bidi="ar-SA"/>
        </w:rPr>
        <w:t>,“</w:t>
      </w:r>
      <w:proofErr w:type="gramEnd"/>
      <w:r w:rsidRPr="005345ED">
        <w:rPr>
          <w:rFonts w:ascii="David" w:eastAsia="Times New Roman" w:hAnsi="David" w:cs="David"/>
          <w:color w:val="333333"/>
          <w:sz w:val="20"/>
          <w:szCs w:val="20"/>
          <w:lang w:bidi="ar-SA"/>
        </w:rPr>
        <w:t>‘By the Hand of Madi-Dagan, the Scribe and </w:t>
      </w:r>
      <w:proofErr w:type="spellStart"/>
      <w:r w:rsidRPr="005345ED">
        <w:rPr>
          <w:rFonts w:ascii="David" w:eastAsia="Times New Roman" w:hAnsi="David" w:cs="David"/>
          <w:i/>
          <w:iCs/>
          <w:color w:val="333333"/>
          <w:sz w:val="20"/>
          <w:szCs w:val="20"/>
          <w:lang w:bidi="ar-SA"/>
        </w:rPr>
        <w:t>Apkallu</w:t>
      </w:r>
      <w:proofErr w:type="spellEnd"/>
      <w:r w:rsidRPr="005345ED">
        <w:rPr>
          <w:rFonts w:ascii="David" w:eastAsia="Times New Roman" w:hAnsi="David" w:cs="David"/>
          <w:i/>
          <w:iCs/>
          <w:color w:val="333333"/>
          <w:sz w:val="20"/>
          <w:szCs w:val="20"/>
          <w:lang w:bidi="ar-SA"/>
        </w:rPr>
        <w:t>-</w:t>
      </w:r>
      <w:r w:rsidRPr="005345ED">
        <w:rPr>
          <w:rFonts w:ascii="David" w:eastAsia="Times New Roman" w:hAnsi="David" w:cs="David"/>
          <w:color w:val="333333"/>
          <w:sz w:val="20"/>
          <w:szCs w:val="20"/>
          <w:lang w:bidi="ar-SA"/>
        </w:rPr>
        <w:t>Priest’ – A Medical Text from the Middle Euphrates Region,” in K. Watanabe (ed.),</w:t>
      </w:r>
      <w:r w:rsidRPr="005345ED">
        <w:rPr>
          <w:rFonts w:ascii="David" w:eastAsia="Times New Roman" w:hAnsi="David" w:cs="David"/>
          <w:i/>
          <w:iCs/>
          <w:color w:val="333333"/>
          <w:sz w:val="20"/>
          <w:szCs w:val="20"/>
          <w:lang w:bidi="ar-SA"/>
        </w:rPr>
        <w:t> Priests and Officials in the Ancient Near East </w:t>
      </w:r>
      <w:r w:rsidRPr="005345ED">
        <w:rPr>
          <w:rFonts w:ascii="David" w:eastAsia="Times New Roman" w:hAnsi="David" w:cs="David"/>
          <w:color w:val="333333"/>
          <w:sz w:val="20"/>
          <w:szCs w:val="20"/>
          <w:lang w:bidi="ar-SA"/>
        </w:rPr>
        <w:t>(Heidelberg: Winter, 1999), 187–200</w:t>
      </w:r>
      <w:r w:rsidRPr="005345ED">
        <w:rPr>
          <w:rFonts w:ascii="David" w:eastAsia="Times New Roman" w:hAnsi="David" w:cs="David"/>
          <w:color w:val="000000"/>
          <w:sz w:val="20"/>
          <w:szCs w:val="20"/>
          <w:rtl/>
        </w:rPr>
        <w:t>. הד</w:t>
      </w:r>
      <w:r w:rsidR="00BE7E45" w:rsidRPr="005345ED">
        <w:rPr>
          <w:rFonts w:ascii="David" w:eastAsia="Times New Roman" w:hAnsi="David" w:cs="David"/>
          <w:color w:val="000000"/>
          <w:sz w:val="20"/>
          <w:szCs w:val="20"/>
          <w:rtl/>
        </w:rPr>
        <w:t>י</w:t>
      </w:r>
      <w:r w:rsidRPr="005345ED">
        <w:rPr>
          <w:rFonts w:ascii="David" w:eastAsia="Times New Roman" w:hAnsi="David" w:cs="David"/>
          <w:color w:val="000000"/>
          <w:sz w:val="20"/>
          <w:szCs w:val="20"/>
          <w:rtl/>
        </w:rPr>
        <w:t>ון המקוצר להלן מבוסס על מאמרי:</w:t>
      </w:r>
    </w:p>
    <w:p w14:paraId="3031E020" w14:textId="0EBB2375" w:rsidR="00EC3BE5" w:rsidRPr="005345ED" w:rsidRDefault="00EC3BE5" w:rsidP="00BE7E45">
      <w:pPr>
        <w:shd w:val="clear" w:color="auto" w:fill="FFFFFF"/>
        <w:bidi w:val="0"/>
        <w:spacing w:before="100" w:beforeAutospacing="1" w:after="0" w:line="480" w:lineRule="auto"/>
        <w:ind w:left="360"/>
        <w:rPr>
          <w:rFonts w:ascii="David" w:eastAsia="Times New Roman" w:hAnsi="David" w:cs="David"/>
          <w:color w:val="333333"/>
          <w:sz w:val="20"/>
          <w:szCs w:val="20"/>
          <w:lang w:eastAsia="zh-CN" w:bidi="ar-SA"/>
        </w:rPr>
      </w:pPr>
      <w:r w:rsidRPr="005345ED">
        <w:rPr>
          <w:rFonts w:ascii="David" w:eastAsia="Times New Roman" w:hAnsi="David" w:cs="David"/>
          <w:color w:val="333333"/>
          <w:sz w:val="20"/>
          <w:szCs w:val="20"/>
          <w:lang w:eastAsia="zh-CN" w:bidi="ar-SA"/>
        </w:rPr>
        <w:t>: “Behind the Scenes of a Priestly Polemic: Leviticus 14 and its Extra-Biblical Parallels,” </w:t>
      </w:r>
      <w:r w:rsidRPr="005345ED">
        <w:rPr>
          <w:rFonts w:ascii="David" w:eastAsia="Times New Roman" w:hAnsi="David" w:cs="David"/>
          <w:i/>
          <w:iCs/>
          <w:color w:val="333333"/>
          <w:sz w:val="20"/>
          <w:szCs w:val="20"/>
          <w:lang w:eastAsia="zh-CN" w:bidi="ar-SA"/>
        </w:rPr>
        <w:t>Journal of Hebrew Scriptures</w:t>
      </w:r>
      <w:r w:rsidRPr="005345ED">
        <w:rPr>
          <w:rFonts w:ascii="David" w:eastAsia="Times New Roman" w:hAnsi="David" w:cs="David"/>
          <w:color w:val="333333"/>
          <w:sz w:val="20"/>
          <w:szCs w:val="20"/>
          <w:lang w:eastAsia="zh-CN" w:bidi="ar-SA"/>
        </w:rPr>
        <w:t> 15.4 (2015): 1–</w:t>
      </w:r>
      <w:proofErr w:type="gramStart"/>
      <w:r w:rsidRPr="005345ED">
        <w:rPr>
          <w:rFonts w:ascii="David" w:eastAsia="Times New Roman" w:hAnsi="David" w:cs="David"/>
          <w:color w:val="333333"/>
          <w:sz w:val="20"/>
          <w:szCs w:val="20"/>
          <w:lang w:eastAsia="zh-CN" w:bidi="ar-SA"/>
        </w:rPr>
        <w:t>26</w:t>
      </w:r>
      <w:r w:rsidR="00BE7E45" w:rsidRPr="005345ED">
        <w:rPr>
          <w:rFonts w:ascii="David" w:eastAsia="Times New Roman" w:hAnsi="David" w:cs="David"/>
          <w:color w:val="333333"/>
          <w:sz w:val="20"/>
          <w:szCs w:val="20"/>
          <w:rtl/>
          <w:lang w:eastAsia="zh-CN"/>
        </w:rPr>
        <w:t>..</w:t>
      </w:r>
      <w:proofErr w:type="gramEnd"/>
      <w:r w:rsidRPr="005345ED">
        <w:rPr>
          <w:rFonts w:ascii="David" w:eastAsia="Times New Roman" w:hAnsi="David" w:cs="David"/>
          <w:color w:val="333333"/>
          <w:sz w:val="20"/>
          <w:szCs w:val="20"/>
          <w:lang w:eastAsia="zh-CN" w:bidi="ar-SA"/>
        </w:rPr>
        <w:t xml:space="preserve"> </w:t>
      </w:r>
      <w:r w:rsidR="00BE7E45" w:rsidRPr="005345ED">
        <w:rPr>
          <w:rFonts w:ascii="David" w:eastAsia="Times New Roman" w:hAnsi="David" w:cs="David"/>
          <w:color w:val="333333"/>
          <w:sz w:val="20"/>
          <w:szCs w:val="20"/>
          <w:lang w:eastAsia="zh-CN" w:bidi="ar-SA"/>
        </w:rPr>
        <w:t>/</w:t>
      </w:r>
      <w:r w:rsidRPr="005345ED">
        <w:rPr>
          <w:rFonts w:ascii="David" w:eastAsia="Times New Roman" w:hAnsi="David" w:cs="David"/>
          <w:color w:val="333333"/>
          <w:sz w:val="20"/>
          <w:szCs w:val="20"/>
          <w:lang w:eastAsia="zh-CN" w:bidi="ar-SA"/>
        </w:rPr>
        <w:t>http://www.jhsonline.org/Articles/article_207.pdf</w:t>
      </w:r>
    </w:p>
    <w:p w14:paraId="7EEA14EA" w14:textId="1D37E1F6" w:rsidR="00EC3BE5" w:rsidRPr="005345ED" w:rsidRDefault="0096503B" w:rsidP="00C41240">
      <w:pPr>
        <w:spacing w:after="187" w:line="360" w:lineRule="auto"/>
        <w:rPr>
          <w:rFonts w:ascii="David" w:eastAsia="Times New Roman" w:hAnsi="David" w:cs="David"/>
          <w:color w:val="000000"/>
          <w:sz w:val="20"/>
          <w:szCs w:val="20"/>
          <w:rtl/>
        </w:rPr>
      </w:pPr>
      <w:r w:rsidRPr="005345ED">
        <w:rPr>
          <w:rFonts w:ascii="David" w:eastAsia="Times New Roman" w:hAnsi="David" w:cs="David"/>
          <w:color w:val="000000"/>
          <w:sz w:val="20"/>
          <w:szCs w:val="20"/>
          <w:rtl/>
        </w:rPr>
        <w:t>8.</w:t>
      </w:r>
      <w:r w:rsidR="00EC3BE5" w:rsidRPr="005345ED">
        <w:rPr>
          <w:rFonts w:ascii="David" w:eastAsia="Times New Roman" w:hAnsi="David" w:cs="David"/>
          <w:color w:val="000000"/>
          <w:sz w:val="20"/>
          <w:szCs w:val="20"/>
          <w:rtl/>
        </w:rPr>
        <w:t>ראו עוד:</w:t>
      </w:r>
    </w:p>
    <w:p w14:paraId="275A0551" w14:textId="77777777" w:rsidR="00EC3BE5" w:rsidRPr="005345ED" w:rsidRDefault="00EC3BE5" w:rsidP="00BE7E45">
      <w:pPr>
        <w:shd w:val="clear" w:color="auto" w:fill="FFFFFF"/>
        <w:bidi w:val="0"/>
        <w:spacing w:before="100" w:beforeAutospacing="1" w:after="0" w:line="480" w:lineRule="auto"/>
        <w:ind w:left="360"/>
        <w:rPr>
          <w:rFonts w:ascii="David" w:eastAsia="Times New Roman" w:hAnsi="David" w:cs="David"/>
          <w:color w:val="333333"/>
          <w:sz w:val="20"/>
          <w:szCs w:val="20"/>
          <w:lang w:eastAsia="zh-CN" w:bidi="ar-SA"/>
        </w:rPr>
      </w:pPr>
      <w:proofErr w:type="spellStart"/>
      <w:r w:rsidRPr="005345ED">
        <w:rPr>
          <w:rFonts w:ascii="David" w:eastAsia="Times New Roman" w:hAnsi="David" w:cs="David"/>
          <w:color w:val="333333"/>
          <w:sz w:val="20"/>
          <w:szCs w:val="20"/>
          <w:lang w:eastAsia="zh-CN" w:bidi="ar-SA"/>
        </w:rPr>
        <w:t>Noga</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Ayali</w:t>
      </w:r>
      <w:proofErr w:type="spellEnd"/>
      <w:r w:rsidRPr="005345ED">
        <w:rPr>
          <w:rFonts w:ascii="David" w:eastAsia="Times New Roman" w:hAnsi="David" w:cs="David"/>
          <w:color w:val="333333"/>
          <w:sz w:val="20"/>
          <w:szCs w:val="20"/>
          <w:lang w:eastAsia="zh-CN" w:bidi="ar-SA"/>
        </w:rPr>
        <w:t>-Darshan, </w:t>
      </w:r>
      <w:hyperlink r:id="rId9" w:tgtFrame="_blank" w:history="1">
        <w:r w:rsidRPr="005345ED">
          <w:rPr>
            <w:rFonts w:ascii="David" w:eastAsia="Times New Roman" w:hAnsi="David" w:cs="David"/>
            <w:color w:val="000080"/>
            <w:sz w:val="20"/>
            <w:szCs w:val="20"/>
            <w:u w:val="single"/>
            <w:lang w:eastAsia="zh-CN" w:bidi="ar-SA"/>
          </w:rPr>
          <w:t>“Sukkot’s Seventy Bulls,”</w:t>
        </w:r>
      </w:hyperlink>
      <w:r w:rsidRPr="005345ED">
        <w:rPr>
          <w:rFonts w:ascii="David" w:eastAsia="Times New Roman" w:hAnsi="David" w:cs="David"/>
          <w:color w:val="333333"/>
          <w:sz w:val="20"/>
          <w:szCs w:val="20"/>
          <w:lang w:eastAsia="zh-CN" w:bidi="ar-SA"/>
        </w:rPr>
        <w:t> </w:t>
      </w:r>
      <w:r w:rsidRPr="005345ED">
        <w:rPr>
          <w:rFonts w:ascii="David" w:eastAsia="Times New Roman" w:hAnsi="David" w:cs="David"/>
          <w:i/>
          <w:iCs/>
          <w:color w:val="333333"/>
          <w:sz w:val="20"/>
          <w:szCs w:val="20"/>
          <w:lang w:eastAsia="zh-CN" w:bidi="ar-SA"/>
        </w:rPr>
        <w:t>TheTorah.com</w:t>
      </w:r>
      <w:r w:rsidRPr="005345ED">
        <w:rPr>
          <w:rFonts w:ascii="David" w:eastAsia="Times New Roman" w:hAnsi="David" w:cs="David"/>
          <w:color w:val="333333"/>
          <w:sz w:val="20"/>
          <w:szCs w:val="20"/>
          <w:lang w:eastAsia="zh-CN" w:bidi="ar-SA"/>
        </w:rPr>
        <w:t> (2016).</w:t>
      </w:r>
    </w:p>
    <w:p w14:paraId="706E0D1A" w14:textId="49E16B1A" w:rsidR="00EC3BE5" w:rsidRPr="0096503B" w:rsidRDefault="0096503B" w:rsidP="0096503B">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9.שורות 87–89. התרגום שלי שונה באופן ניכר מזה של </w:t>
      </w:r>
      <w:proofErr w:type="spellStart"/>
      <w:r>
        <w:rPr>
          <w:rFonts w:ascii="David" w:eastAsia="Times New Roman" w:hAnsi="David" w:cs="David" w:hint="cs"/>
          <w:color w:val="000000"/>
          <w:sz w:val="20"/>
          <w:szCs w:val="20"/>
          <w:rtl/>
        </w:rPr>
        <w:t>צוקימוטו</w:t>
      </w:r>
      <w:proofErr w:type="spellEnd"/>
      <w:r>
        <w:rPr>
          <w:rFonts w:ascii="David" w:eastAsia="Times New Roman" w:hAnsi="David" w:cs="David" w:hint="cs"/>
          <w:color w:val="000000"/>
          <w:sz w:val="20"/>
          <w:szCs w:val="20"/>
          <w:rtl/>
        </w:rPr>
        <w:t xml:space="preserve">. לדיון נוסף, ראו מאמרי </w:t>
      </w:r>
      <w:r w:rsidRPr="0096503B">
        <w:rPr>
          <w:rFonts w:ascii="David" w:eastAsia="Times New Roman" w:hAnsi="David" w:cs="David"/>
          <w:color w:val="000000"/>
          <w:sz w:val="20"/>
          <w:szCs w:val="20"/>
        </w:rPr>
        <w:t>“Behind the Scenes,” 6–8.</w:t>
      </w:r>
    </w:p>
    <w:p w14:paraId="73074BD9" w14:textId="5153BEA3" w:rsidR="006E1AEE" w:rsidRDefault="0096503B"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10.באופן ספציפי, ראו הערותי</w:t>
      </w:r>
      <w:r w:rsidR="00BE7E45">
        <w:rPr>
          <w:rFonts w:ascii="David" w:eastAsia="Times New Roman" w:hAnsi="David" w:cs="David" w:hint="cs"/>
          <w:color w:val="000000"/>
          <w:sz w:val="20"/>
          <w:szCs w:val="20"/>
          <w:rtl/>
        </w:rPr>
        <w:t>הם</w:t>
      </w:r>
      <w:r>
        <w:rPr>
          <w:rFonts w:ascii="David" w:eastAsia="Times New Roman" w:hAnsi="David" w:cs="David" w:hint="cs"/>
          <w:color w:val="000000"/>
          <w:sz w:val="20"/>
          <w:szCs w:val="20"/>
          <w:rtl/>
        </w:rPr>
        <w:t xml:space="preserve"> של יחזקאל </w:t>
      </w:r>
      <w:proofErr w:type="spellStart"/>
      <w:r>
        <w:rPr>
          <w:rFonts w:ascii="David" w:eastAsia="Times New Roman" w:hAnsi="David" w:cs="David" w:hint="cs"/>
          <w:color w:val="000000"/>
          <w:sz w:val="20"/>
          <w:szCs w:val="20"/>
          <w:rtl/>
        </w:rPr>
        <w:t>קויפמן</w:t>
      </w:r>
      <w:proofErr w:type="spellEnd"/>
      <w:r>
        <w:rPr>
          <w:rFonts w:ascii="David" w:eastAsia="Times New Roman" w:hAnsi="David" w:cs="David" w:hint="cs"/>
          <w:color w:val="000000"/>
          <w:sz w:val="20"/>
          <w:szCs w:val="20"/>
          <w:rtl/>
        </w:rPr>
        <w:t xml:space="preserve"> ויעקב </w:t>
      </w:r>
      <w:proofErr w:type="spellStart"/>
      <w:r>
        <w:rPr>
          <w:rFonts w:ascii="David" w:eastAsia="Times New Roman" w:hAnsi="David" w:cs="David" w:hint="cs"/>
          <w:color w:val="000000"/>
          <w:sz w:val="20"/>
          <w:szCs w:val="20"/>
          <w:rtl/>
        </w:rPr>
        <w:t>מילגרום</w:t>
      </w:r>
      <w:proofErr w:type="spellEnd"/>
      <w:r>
        <w:rPr>
          <w:rFonts w:ascii="David" w:eastAsia="Times New Roman" w:hAnsi="David" w:cs="David" w:hint="cs"/>
          <w:color w:val="000000"/>
          <w:sz w:val="20"/>
          <w:szCs w:val="20"/>
          <w:rtl/>
        </w:rPr>
        <w:t xml:space="preserve"> המצוינים למטה.</w:t>
      </w:r>
    </w:p>
    <w:p w14:paraId="49DD5070" w14:textId="593E28FF" w:rsidR="0096503B" w:rsidRDefault="0096503B"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11.ראו:</w:t>
      </w:r>
    </w:p>
    <w:p w14:paraId="1C881540" w14:textId="72C07A77" w:rsidR="0096503B" w:rsidRPr="005345ED" w:rsidRDefault="0096503B" w:rsidP="0096503B">
      <w:pPr>
        <w:shd w:val="clear" w:color="auto" w:fill="FFFFFF"/>
        <w:bidi w:val="0"/>
        <w:spacing w:before="100" w:beforeAutospacing="1" w:after="0" w:line="480" w:lineRule="auto"/>
        <w:ind w:left="720"/>
        <w:rPr>
          <w:rFonts w:ascii="David" w:eastAsia="Times New Roman" w:hAnsi="David" w:cs="David"/>
          <w:color w:val="333333"/>
          <w:sz w:val="20"/>
          <w:szCs w:val="20"/>
          <w:lang w:eastAsia="zh-CN" w:bidi="ar-SA"/>
        </w:rPr>
      </w:pPr>
      <w:r w:rsidRPr="005345ED">
        <w:rPr>
          <w:rFonts w:ascii="David" w:eastAsia="Times New Roman" w:hAnsi="David" w:cs="David"/>
          <w:color w:val="333333"/>
          <w:sz w:val="20"/>
          <w:szCs w:val="20"/>
          <w:lang w:eastAsia="zh-CN" w:bidi="ar-SA"/>
        </w:rPr>
        <w:lastRenderedPageBreak/>
        <w:t xml:space="preserve">J.D. Smoak, “May YHWH Bless You and Keep You from Evil: The Rhetorical Argument of </w:t>
      </w:r>
      <w:proofErr w:type="spellStart"/>
      <w:r w:rsidRPr="005345ED">
        <w:rPr>
          <w:rFonts w:ascii="David" w:eastAsia="Times New Roman" w:hAnsi="David" w:cs="David"/>
          <w:color w:val="333333"/>
          <w:sz w:val="20"/>
          <w:szCs w:val="20"/>
          <w:lang w:eastAsia="zh-CN" w:bidi="ar-SA"/>
        </w:rPr>
        <w:t>Ketef</w:t>
      </w:r>
      <w:proofErr w:type="spellEnd"/>
      <w:r w:rsidRPr="005345ED">
        <w:rPr>
          <w:rFonts w:ascii="David" w:eastAsia="Times New Roman" w:hAnsi="David" w:cs="David"/>
          <w:color w:val="333333"/>
          <w:sz w:val="20"/>
          <w:szCs w:val="20"/>
          <w:lang w:eastAsia="zh-CN" w:bidi="ar-SA"/>
        </w:rPr>
        <w:t xml:space="preserve"> Hinnom Amulet I and the Form of the Prayers for Deliverance in the Psalms,” </w:t>
      </w:r>
      <w:r w:rsidRPr="005345ED">
        <w:rPr>
          <w:rFonts w:ascii="David" w:eastAsia="Times New Roman" w:hAnsi="David" w:cs="David"/>
          <w:i/>
          <w:iCs/>
          <w:color w:val="333333"/>
          <w:sz w:val="20"/>
          <w:szCs w:val="20"/>
          <w:lang w:eastAsia="zh-CN" w:bidi="ar-SA"/>
        </w:rPr>
        <w:t>JANER </w:t>
      </w:r>
      <w:r w:rsidRPr="005345ED">
        <w:rPr>
          <w:rFonts w:ascii="David" w:eastAsia="Times New Roman" w:hAnsi="David" w:cs="David"/>
          <w:color w:val="333333"/>
          <w:sz w:val="20"/>
          <w:szCs w:val="20"/>
          <w:lang w:eastAsia="zh-CN" w:bidi="ar-SA"/>
        </w:rPr>
        <w:t>12 (2012), 202–36; idem, </w:t>
      </w:r>
      <w:r w:rsidRPr="005345ED">
        <w:rPr>
          <w:rFonts w:ascii="David" w:eastAsia="Times New Roman" w:hAnsi="David" w:cs="David"/>
          <w:i/>
          <w:iCs/>
          <w:color w:val="333333"/>
          <w:sz w:val="20"/>
          <w:szCs w:val="20"/>
          <w:lang w:eastAsia="zh-CN" w:bidi="ar-SA"/>
        </w:rPr>
        <w:t>The Priestly Blessing in Inscription and Scripture</w:t>
      </w:r>
      <w:r w:rsidRPr="005345ED">
        <w:rPr>
          <w:rFonts w:ascii="David" w:eastAsia="Times New Roman" w:hAnsi="David" w:cs="David"/>
          <w:i/>
          <w:iCs/>
          <w:color w:val="333333"/>
          <w:sz w:val="20"/>
          <w:szCs w:val="20"/>
          <w:rtl/>
          <w:lang w:eastAsia="zh-CN"/>
        </w:rPr>
        <w:t xml:space="preserve"> </w:t>
      </w:r>
      <w:r w:rsidRPr="005345ED">
        <w:rPr>
          <w:rFonts w:ascii="David" w:eastAsia="Times New Roman" w:hAnsi="David" w:cs="David"/>
          <w:color w:val="333333"/>
          <w:sz w:val="20"/>
          <w:szCs w:val="20"/>
          <w:lang w:eastAsia="zh-CN" w:bidi="ar-SA"/>
        </w:rPr>
        <w:t>(Oxford: Oxford University Press, 2016); B.B. Schmidt, “The Social Matrix of Early Judean Magic and Divination: From ‘Top Down’ or ‘Bottom Up,’” in B.J. Collins and P. Michalowski (eds.),</w:t>
      </w:r>
      <w:r w:rsidRPr="005345ED">
        <w:rPr>
          <w:rFonts w:ascii="David" w:eastAsia="Times New Roman" w:hAnsi="David" w:cs="David"/>
          <w:i/>
          <w:iCs/>
          <w:color w:val="333333"/>
          <w:sz w:val="20"/>
          <w:szCs w:val="20"/>
          <w:lang w:eastAsia="zh-CN" w:bidi="ar-SA"/>
        </w:rPr>
        <w:t> Beyond Hatti: A Tribute to Gary Beckman </w:t>
      </w:r>
      <w:r w:rsidRPr="005345ED">
        <w:rPr>
          <w:rFonts w:ascii="David" w:eastAsia="Times New Roman" w:hAnsi="David" w:cs="David"/>
          <w:color w:val="333333"/>
          <w:sz w:val="20"/>
          <w:szCs w:val="20"/>
          <w:lang w:eastAsia="zh-CN" w:bidi="ar-SA"/>
        </w:rPr>
        <w:t>(Atlanta: Lockwood Press, 2013), 279–94; E. Darby, </w:t>
      </w:r>
      <w:r w:rsidRPr="005345ED">
        <w:rPr>
          <w:rFonts w:ascii="David" w:eastAsia="Times New Roman" w:hAnsi="David" w:cs="David"/>
          <w:i/>
          <w:iCs/>
          <w:color w:val="333333"/>
          <w:sz w:val="20"/>
          <w:szCs w:val="20"/>
          <w:lang w:eastAsia="zh-CN" w:bidi="ar-SA"/>
        </w:rPr>
        <w:t>Interpreting Judean Pillar Figurines: Gender and Empire in Judean Apotropaic Ritual </w:t>
      </w:r>
      <w:r w:rsidRPr="005345ED">
        <w:rPr>
          <w:rFonts w:ascii="David" w:eastAsia="Times New Roman" w:hAnsi="David" w:cs="David"/>
          <w:color w:val="333333"/>
          <w:sz w:val="20"/>
          <w:szCs w:val="20"/>
          <w:lang w:eastAsia="zh-CN" w:bidi="ar-SA"/>
        </w:rPr>
        <w:t xml:space="preserve">(FAT2; Tübingen: Mohr </w:t>
      </w:r>
      <w:proofErr w:type="spellStart"/>
      <w:r w:rsidRPr="005345ED">
        <w:rPr>
          <w:rFonts w:ascii="David" w:eastAsia="Times New Roman" w:hAnsi="David" w:cs="David"/>
          <w:color w:val="333333"/>
          <w:sz w:val="20"/>
          <w:szCs w:val="20"/>
          <w:lang w:eastAsia="zh-CN" w:bidi="ar-SA"/>
        </w:rPr>
        <w:t>Siebeck</w:t>
      </w:r>
      <w:proofErr w:type="spellEnd"/>
      <w:r w:rsidRPr="005345ED">
        <w:rPr>
          <w:rFonts w:ascii="David" w:eastAsia="Times New Roman" w:hAnsi="David" w:cs="David"/>
          <w:color w:val="333333"/>
          <w:sz w:val="20"/>
          <w:szCs w:val="20"/>
          <w:lang w:eastAsia="zh-CN" w:bidi="ar-SA"/>
        </w:rPr>
        <w:t>, 2014) .</w:t>
      </w:r>
    </w:p>
    <w:p w14:paraId="162F65FD" w14:textId="528DE9C7" w:rsidR="0096503B" w:rsidRDefault="0096503B"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12.</w:t>
      </w:r>
    </w:p>
    <w:p w14:paraId="3FAA7312" w14:textId="77777777" w:rsidR="00551619" w:rsidRPr="00551619" w:rsidRDefault="00551619" w:rsidP="00551619">
      <w:pPr>
        <w:numPr>
          <w:ilvl w:val="0"/>
          <w:numId w:val="10"/>
        </w:numPr>
        <w:shd w:val="clear" w:color="auto" w:fill="FFFFFF"/>
        <w:bidi w:val="0"/>
        <w:spacing w:before="100" w:beforeAutospacing="1" w:after="0" w:line="480" w:lineRule="auto"/>
        <w:rPr>
          <w:rFonts w:ascii="Times New Roman" w:eastAsia="Times New Roman" w:hAnsi="Times New Roman" w:cs="Times New Roman"/>
          <w:color w:val="333333"/>
          <w:sz w:val="14"/>
          <w:szCs w:val="14"/>
          <w:lang w:eastAsia="zh-CN" w:bidi="ar-SA"/>
        </w:rPr>
      </w:pPr>
      <w:r w:rsidRPr="005345ED">
        <w:rPr>
          <w:rFonts w:ascii="David" w:eastAsia="Times New Roman" w:hAnsi="David" w:cs="David"/>
          <w:color w:val="333333"/>
          <w:sz w:val="20"/>
          <w:szCs w:val="20"/>
          <w:lang w:eastAsia="zh-CN" w:bidi="ar-SA"/>
        </w:rPr>
        <w:t>“Contagion and Cognition: Bodily Experience and the Conceptualization of Pollution (</w:t>
      </w:r>
      <w:proofErr w:type="spellStart"/>
      <w:r w:rsidRPr="005345ED">
        <w:rPr>
          <w:rFonts w:ascii="Calibri" w:eastAsia="Times New Roman" w:hAnsi="Calibri" w:cs="Calibri"/>
          <w:i/>
          <w:iCs/>
          <w:color w:val="333333"/>
          <w:sz w:val="20"/>
          <w:szCs w:val="20"/>
          <w:lang w:eastAsia="zh-CN" w:bidi="ar-SA"/>
        </w:rPr>
        <w:t>ṭ</w:t>
      </w:r>
      <w:r w:rsidRPr="005345ED">
        <w:rPr>
          <w:rFonts w:ascii="David" w:eastAsia="Times New Roman" w:hAnsi="David" w:cs="David"/>
          <w:i/>
          <w:iCs/>
          <w:color w:val="333333"/>
          <w:sz w:val="20"/>
          <w:szCs w:val="20"/>
          <w:lang w:eastAsia="zh-CN" w:bidi="ar-SA"/>
        </w:rPr>
        <w:t>um’ah</w:t>
      </w:r>
      <w:proofErr w:type="spellEnd"/>
      <w:r w:rsidRPr="005345ED">
        <w:rPr>
          <w:rFonts w:ascii="David" w:eastAsia="Times New Roman" w:hAnsi="David" w:cs="David"/>
          <w:color w:val="333333"/>
          <w:sz w:val="20"/>
          <w:szCs w:val="20"/>
          <w:lang w:eastAsia="zh-CN" w:bidi="ar-SA"/>
        </w:rPr>
        <w:t>) in the Hebrew Bible,” </w:t>
      </w:r>
      <w:r w:rsidRPr="005345ED">
        <w:rPr>
          <w:rFonts w:ascii="David" w:eastAsia="Times New Roman" w:hAnsi="David" w:cs="David"/>
          <w:i/>
          <w:iCs/>
          <w:color w:val="333333"/>
          <w:sz w:val="20"/>
          <w:szCs w:val="20"/>
          <w:lang w:eastAsia="zh-CN" w:bidi="ar-SA"/>
        </w:rPr>
        <w:t>JNES </w:t>
      </w:r>
      <w:r w:rsidRPr="005345ED">
        <w:rPr>
          <w:rFonts w:ascii="David" w:eastAsia="Times New Roman" w:hAnsi="David" w:cs="David"/>
          <w:color w:val="333333"/>
          <w:sz w:val="20"/>
          <w:szCs w:val="20"/>
          <w:lang w:eastAsia="zh-CN" w:bidi="ar-SA"/>
        </w:rPr>
        <w:t>72 (2013),</w:t>
      </w:r>
      <w:r w:rsidRPr="00551619">
        <w:rPr>
          <w:rFonts w:ascii="Times New Roman" w:eastAsia="Times New Roman" w:hAnsi="Times New Roman" w:cs="Times New Roman"/>
          <w:color w:val="333333"/>
          <w:sz w:val="14"/>
          <w:szCs w:val="14"/>
          <w:lang w:eastAsia="zh-CN" w:bidi="ar-SA"/>
        </w:rPr>
        <w:t xml:space="preserve"> 159–64.</w:t>
      </w:r>
    </w:p>
    <w:p w14:paraId="294E65F7" w14:textId="40ABBF64" w:rsidR="00551619" w:rsidRDefault="00551619"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13.האנתרופולוג הרפואי </w:t>
      </w:r>
      <w:r w:rsidR="00BE7E45">
        <w:rPr>
          <w:rFonts w:ascii="David" w:eastAsia="Times New Roman" w:hAnsi="David" w:cs="David" w:hint="cs"/>
          <w:color w:val="000000"/>
          <w:sz w:val="20"/>
          <w:szCs w:val="20"/>
          <w:rtl/>
        </w:rPr>
        <w:t>אדוארד גרין הגיע למסקנה דומה לגבי תפיסות אפריקניות של טומאה:</w:t>
      </w:r>
    </w:p>
    <w:p w14:paraId="17DA2B62" w14:textId="74949B54" w:rsidR="00BE7E45" w:rsidRPr="005345ED" w:rsidRDefault="00BE7E45" w:rsidP="00C41240">
      <w:pPr>
        <w:spacing w:after="187" w:line="360" w:lineRule="auto"/>
        <w:rPr>
          <w:rFonts w:ascii="David" w:eastAsia="Times New Roman" w:hAnsi="David" w:cs="David"/>
          <w:color w:val="000000"/>
          <w:sz w:val="20"/>
          <w:szCs w:val="20"/>
          <w:rtl/>
        </w:rPr>
      </w:pPr>
      <w:r w:rsidRPr="005345ED">
        <w:rPr>
          <w:rFonts w:ascii="David" w:eastAsia="Times New Roman" w:hAnsi="David" w:cs="David"/>
          <w:color w:val="333333"/>
          <w:sz w:val="20"/>
          <w:szCs w:val="20"/>
          <w:lang w:bidi="ar-SA"/>
        </w:rPr>
        <w:t>“Pollution…is not so mystical when examined closely. In the anthropological sense, pollution denotes a belief that people will become ill as a result of contact with, or contamination by, a substance or essence considered dangerous because it is unclean or impure.” (</w:t>
      </w:r>
      <w:r w:rsidRPr="005345ED">
        <w:rPr>
          <w:rFonts w:ascii="David" w:eastAsia="Times New Roman" w:hAnsi="David" w:cs="David"/>
          <w:i/>
          <w:iCs/>
          <w:color w:val="333333"/>
          <w:sz w:val="20"/>
          <w:szCs w:val="20"/>
          <w:lang w:bidi="ar-SA"/>
        </w:rPr>
        <w:t>Indigenous Theories of Infectious Disease </w:t>
      </w:r>
      <w:r w:rsidRPr="005345ED">
        <w:rPr>
          <w:rFonts w:ascii="David" w:eastAsia="Times New Roman" w:hAnsi="David" w:cs="David"/>
          <w:color w:val="333333"/>
          <w:sz w:val="20"/>
          <w:szCs w:val="20"/>
          <w:lang w:bidi="ar-SA"/>
        </w:rPr>
        <w:t xml:space="preserve">[Walnut Creek, CA: </w:t>
      </w:r>
      <w:proofErr w:type="spellStart"/>
      <w:r w:rsidRPr="005345ED">
        <w:rPr>
          <w:rFonts w:ascii="David" w:eastAsia="Times New Roman" w:hAnsi="David" w:cs="David"/>
          <w:color w:val="333333"/>
          <w:sz w:val="20"/>
          <w:szCs w:val="20"/>
          <w:lang w:bidi="ar-SA"/>
        </w:rPr>
        <w:t>AltaMira</w:t>
      </w:r>
      <w:proofErr w:type="spellEnd"/>
      <w:r w:rsidRPr="005345ED">
        <w:rPr>
          <w:rFonts w:ascii="David" w:eastAsia="Times New Roman" w:hAnsi="David" w:cs="David"/>
          <w:color w:val="333333"/>
          <w:sz w:val="20"/>
          <w:szCs w:val="20"/>
          <w:lang w:bidi="ar-SA"/>
        </w:rPr>
        <w:t>, 1999] 13)</w:t>
      </w:r>
      <w:r w:rsidRPr="005345ED">
        <w:rPr>
          <w:rFonts w:ascii="David" w:eastAsia="Times New Roman" w:hAnsi="David" w:cs="David"/>
          <w:color w:val="000000"/>
          <w:sz w:val="20"/>
          <w:szCs w:val="20"/>
          <w:rtl/>
        </w:rPr>
        <w:t xml:space="preserve">. </w:t>
      </w:r>
      <w:r w:rsidR="00FF55C2" w:rsidRPr="005345ED">
        <w:rPr>
          <w:rFonts w:ascii="David" w:eastAsia="Times New Roman" w:hAnsi="David" w:cs="David"/>
          <w:color w:val="000000"/>
          <w:sz w:val="20"/>
          <w:szCs w:val="20"/>
          <w:rtl/>
        </w:rPr>
        <w:t xml:space="preserve">בניגוד לאמונה בכישוף, הוא מציין שרעיון הטומאה מספק הסבר מועדף עבור </w:t>
      </w:r>
      <w:r w:rsidR="00FF55C2" w:rsidRPr="005345ED">
        <w:rPr>
          <w:rFonts w:ascii="David" w:eastAsia="Times New Roman" w:hAnsi="David" w:cs="David"/>
          <w:color w:val="333333"/>
          <w:sz w:val="20"/>
          <w:szCs w:val="20"/>
          <w:lang w:bidi="ar-SA"/>
        </w:rPr>
        <w:t>“illnesses whose cause-and-effect relationship between exposure or contact and illness is most apparent (e.g., syphilis, measles, leprosy, and cholera)” (248–49)</w:t>
      </w:r>
      <w:proofErr w:type="gramStart"/>
      <w:r w:rsidR="00FF55C2" w:rsidRPr="005345ED">
        <w:rPr>
          <w:rFonts w:ascii="David" w:eastAsia="Times New Roman" w:hAnsi="David" w:cs="David"/>
          <w:color w:val="333333"/>
          <w:sz w:val="20"/>
          <w:szCs w:val="20"/>
          <w:lang w:bidi="ar-SA"/>
        </w:rPr>
        <w:t>. </w:t>
      </w:r>
      <w:r w:rsidR="00FF55C2" w:rsidRPr="005345ED">
        <w:rPr>
          <w:rFonts w:ascii="David" w:eastAsia="Times New Roman" w:hAnsi="David" w:cs="David"/>
          <w:color w:val="000000"/>
          <w:sz w:val="20"/>
          <w:szCs w:val="20"/>
          <w:rtl/>
        </w:rPr>
        <w:t>.</w:t>
      </w:r>
      <w:proofErr w:type="gramEnd"/>
      <w:r w:rsidR="00FF55C2" w:rsidRPr="005345ED">
        <w:rPr>
          <w:rFonts w:ascii="David" w:eastAsia="Times New Roman" w:hAnsi="David" w:cs="David"/>
          <w:color w:val="000000"/>
          <w:sz w:val="20"/>
          <w:szCs w:val="20"/>
          <w:rtl/>
        </w:rPr>
        <w:t xml:space="preserve"> אזכור צרעת ומחלות מין מצד גרין הוא מרתק בהתחשב במקורות של טומאה חמורה המתוארים בספר ויקרא 13–14 ו-15 בהתאמה.</w:t>
      </w:r>
    </w:p>
    <w:p w14:paraId="0417EDF7" w14:textId="65BF5C7F" w:rsidR="00FF55C2" w:rsidRPr="005345ED" w:rsidRDefault="00A873AA" w:rsidP="00C41240">
      <w:pPr>
        <w:spacing w:after="187" w:line="360" w:lineRule="auto"/>
        <w:rPr>
          <w:rFonts w:ascii="David" w:eastAsia="Times New Roman" w:hAnsi="David" w:cs="David"/>
          <w:color w:val="000000"/>
          <w:sz w:val="20"/>
          <w:szCs w:val="20"/>
          <w:rtl/>
        </w:rPr>
      </w:pPr>
      <w:r w:rsidRPr="005345ED">
        <w:rPr>
          <w:rFonts w:ascii="David" w:eastAsia="Times New Roman" w:hAnsi="David" w:cs="David"/>
          <w:color w:val="000000"/>
          <w:sz w:val="20"/>
          <w:szCs w:val="20"/>
          <w:rtl/>
        </w:rPr>
        <w:t xml:space="preserve">14.נושא זה ייבחן במאמר שיתפרסם בקרוב. לעת עתה, ראו </w:t>
      </w:r>
      <w:r w:rsidR="00447F1D" w:rsidRPr="005345ED">
        <w:rPr>
          <w:rFonts w:ascii="David" w:eastAsia="Times New Roman" w:hAnsi="David" w:cs="David"/>
          <w:color w:val="333333"/>
          <w:sz w:val="20"/>
          <w:szCs w:val="20"/>
          <w:lang w:bidi="ar-SA"/>
        </w:rPr>
        <w:t xml:space="preserve"> “Contagion and Cognition,” 161–2.</w:t>
      </w:r>
      <w:r w:rsidR="00447F1D" w:rsidRPr="005345ED">
        <w:rPr>
          <w:rFonts w:ascii="David" w:eastAsia="Times New Roman" w:hAnsi="David" w:cs="David"/>
          <w:color w:val="000000"/>
          <w:sz w:val="20"/>
          <w:szCs w:val="20"/>
          <w:rtl/>
        </w:rPr>
        <w:t>.</w:t>
      </w:r>
    </w:p>
    <w:p w14:paraId="794C644D" w14:textId="2E7E29AF" w:rsidR="00447F1D" w:rsidRDefault="00447F1D"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 xml:space="preserve">15.המחזיק בפלך, סמל של התפקיד הנשי ברחבי המזרח הקרוב העתיק, מרמז על גבר נשי, אולי מדובר גם באוריינטציה נשית. לניתוח מפורט של ביטוי זה והקללה בשלמותה, ראו: </w:t>
      </w:r>
    </w:p>
    <w:p w14:paraId="7FC4AB14" w14:textId="77777777" w:rsidR="00447F1D" w:rsidRPr="00447F1D" w:rsidRDefault="00447F1D" w:rsidP="00447F1D">
      <w:pPr>
        <w:shd w:val="clear" w:color="auto" w:fill="FFFFFF"/>
        <w:bidi w:val="0"/>
        <w:spacing w:before="100" w:beforeAutospacing="1" w:after="0" w:line="480" w:lineRule="auto"/>
        <w:ind w:left="360"/>
        <w:rPr>
          <w:rFonts w:ascii="David" w:eastAsia="Times New Roman" w:hAnsi="David" w:cs="David"/>
          <w:color w:val="333333"/>
          <w:sz w:val="20"/>
          <w:szCs w:val="20"/>
          <w:lang w:eastAsia="zh-CN" w:bidi="ar-SA"/>
        </w:rPr>
      </w:pPr>
      <w:r w:rsidRPr="00447F1D">
        <w:rPr>
          <w:rFonts w:ascii="David" w:eastAsia="Times New Roman" w:hAnsi="David" w:cs="David"/>
          <w:color w:val="333333"/>
          <w:sz w:val="20"/>
          <w:szCs w:val="20"/>
          <w:lang w:eastAsia="zh-CN" w:bidi="ar-SA"/>
        </w:rPr>
        <w:t xml:space="preserve">M. </w:t>
      </w:r>
      <w:proofErr w:type="spellStart"/>
      <w:r w:rsidRPr="00447F1D">
        <w:rPr>
          <w:rFonts w:ascii="David" w:eastAsia="Times New Roman" w:hAnsi="David" w:cs="David"/>
          <w:color w:val="333333"/>
          <w:sz w:val="20"/>
          <w:szCs w:val="20"/>
          <w:lang w:eastAsia="zh-CN" w:bidi="ar-SA"/>
        </w:rPr>
        <w:t>Malul</w:t>
      </w:r>
      <w:proofErr w:type="spellEnd"/>
      <w:r w:rsidRPr="00447F1D">
        <w:rPr>
          <w:rFonts w:ascii="David" w:eastAsia="Times New Roman" w:hAnsi="David" w:cs="David"/>
          <w:color w:val="333333"/>
          <w:sz w:val="20"/>
          <w:szCs w:val="20"/>
          <w:lang w:eastAsia="zh-CN" w:bidi="ar-SA"/>
        </w:rPr>
        <w:t>, “David’s Curse of Joab and the Social Significance of </w:t>
      </w:r>
      <w:proofErr w:type="spellStart"/>
      <w:r w:rsidRPr="00447F1D">
        <w:rPr>
          <w:rFonts w:ascii="David" w:eastAsia="Times New Roman" w:hAnsi="David" w:cs="David"/>
          <w:i/>
          <w:iCs/>
          <w:color w:val="333333"/>
          <w:sz w:val="20"/>
          <w:szCs w:val="20"/>
          <w:lang w:eastAsia="zh-CN" w:bidi="ar-SA"/>
        </w:rPr>
        <w:t>m</w:t>
      </w:r>
      <w:r w:rsidRPr="00447F1D">
        <w:rPr>
          <w:rFonts w:ascii="Calibri" w:eastAsia="Times New Roman" w:hAnsi="Calibri" w:cs="Calibri"/>
          <w:i/>
          <w:iCs/>
          <w:color w:val="333333"/>
          <w:sz w:val="20"/>
          <w:szCs w:val="20"/>
          <w:lang w:eastAsia="zh-CN" w:bidi="ar-SA"/>
        </w:rPr>
        <w:t>ḥ</w:t>
      </w:r>
      <w:r w:rsidRPr="00447F1D">
        <w:rPr>
          <w:rFonts w:ascii="David" w:eastAsia="Times New Roman" w:hAnsi="David" w:cs="David"/>
          <w:i/>
          <w:iCs/>
          <w:color w:val="333333"/>
          <w:sz w:val="20"/>
          <w:szCs w:val="20"/>
          <w:lang w:eastAsia="zh-CN" w:bidi="ar-SA"/>
        </w:rPr>
        <w:t>zyq</w:t>
      </w:r>
      <w:proofErr w:type="spellEnd"/>
      <w:r w:rsidRPr="00447F1D">
        <w:rPr>
          <w:rFonts w:ascii="David" w:eastAsia="Times New Roman" w:hAnsi="David" w:cs="David"/>
          <w:i/>
          <w:iCs/>
          <w:color w:val="333333"/>
          <w:sz w:val="20"/>
          <w:szCs w:val="20"/>
          <w:lang w:eastAsia="zh-CN" w:bidi="ar-SA"/>
        </w:rPr>
        <w:t xml:space="preserve"> </w:t>
      </w:r>
      <w:proofErr w:type="spellStart"/>
      <w:r w:rsidRPr="00447F1D">
        <w:rPr>
          <w:rFonts w:ascii="David" w:eastAsia="Times New Roman" w:hAnsi="David" w:cs="David"/>
          <w:i/>
          <w:iCs/>
          <w:color w:val="333333"/>
          <w:sz w:val="20"/>
          <w:szCs w:val="20"/>
          <w:lang w:eastAsia="zh-CN" w:bidi="ar-SA"/>
        </w:rPr>
        <w:t>bplk</w:t>
      </w:r>
      <w:proofErr w:type="spellEnd"/>
      <w:proofErr w:type="gramStart"/>
      <w:r w:rsidRPr="00447F1D">
        <w:rPr>
          <w:rFonts w:ascii="David" w:eastAsia="Times New Roman" w:hAnsi="David" w:cs="David"/>
          <w:i/>
          <w:iCs/>
          <w:color w:val="333333"/>
          <w:sz w:val="20"/>
          <w:szCs w:val="20"/>
          <w:lang w:eastAsia="zh-CN" w:bidi="ar-SA"/>
        </w:rPr>
        <w:t>,”Aula</w:t>
      </w:r>
      <w:proofErr w:type="gramEnd"/>
      <w:r w:rsidRPr="00447F1D">
        <w:rPr>
          <w:rFonts w:ascii="David" w:eastAsia="Times New Roman" w:hAnsi="David" w:cs="David"/>
          <w:i/>
          <w:iCs/>
          <w:color w:val="333333"/>
          <w:sz w:val="20"/>
          <w:szCs w:val="20"/>
          <w:lang w:eastAsia="zh-CN" w:bidi="ar-SA"/>
        </w:rPr>
        <w:t xml:space="preserve"> </w:t>
      </w:r>
      <w:proofErr w:type="spellStart"/>
      <w:r w:rsidRPr="00447F1D">
        <w:rPr>
          <w:rFonts w:ascii="David" w:eastAsia="Times New Roman" w:hAnsi="David" w:cs="David"/>
          <w:i/>
          <w:iCs/>
          <w:color w:val="333333"/>
          <w:sz w:val="20"/>
          <w:szCs w:val="20"/>
          <w:lang w:eastAsia="zh-CN" w:bidi="ar-SA"/>
        </w:rPr>
        <w:t>Orientalis</w:t>
      </w:r>
      <w:proofErr w:type="spellEnd"/>
      <w:r w:rsidRPr="00447F1D">
        <w:rPr>
          <w:rFonts w:ascii="David" w:eastAsia="Times New Roman" w:hAnsi="David" w:cs="David"/>
          <w:i/>
          <w:iCs/>
          <w:color w:val="333333"/>
          <w:sz w:val="20"/>
          <w:szCs w:val="20"/>
          <w:lang w:eastAsia="zh-CN" w:bidi="ar-SA"/>
        </w:rPr>
        <w:t> </w:t>
      </w:r>
      <w:r w:rsidRPr="00447F1D">
        <w:rPr>
          <w:rFonts w:ascii="David" w:eastAsia="Times New Roman" w:hAnsi="David" w:cs="David"/>
          <w:color w:val="333333"/>
          <w:sz w:val="20"/>
          <w:szCs w:val="20"/>
          <w:lang w:eastAsia="zh-CN" w:bidi="ar-SA"/>
        </w:rPr>
        <w:t>10 (1992), 49–67.</w:t>
      </w:r>
    </w:p>
    <w:p w14:paraId="3911ED2D" w14:textId="5904A5D9" w:rsidR="00447F1D" w:rsidRDefault="00447F1D"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16. מלול מסכם (ראו הערה קודמת):</w:t>
      </w:r>
    </w:p>
    <w:p w14:paraId="5B9E9A29" w14:textId="77777777" w:rsidR="00E33B47" w:rsidRPr="00E33B47" w:rsidRDefault="00E33B47" w:rsidP="00E33B47">
      <w:pPr>
        <w:shd w:val="clear" w:color="auto" w:fill="FFFFFF"/>
        <w:bidi w:val="0"/>
        <w:spacing w:beforeAutospacing="1" w:after="94" w:line="271" w:lineRule="atLeast"/>
        <w:ind w:left="720"/>
        <w:rPr>
          <w:rFonts w:ascii="Times New Roman" w:eastAsia="Times New Roman" w:hAnsi="Times New Roman" w:cs="Times New Roman"/>
          <w:color w:val="333333"/>
          <w:sz w:val="20"/>
          <w:szCs w:val="20"/>
          <w:lang w:eastAsia="zh-CN" w:bidi="ar-SA"/>
        </w:rPr>
      </w:pPr>
      <w:r w:rsidRPr="00E33B47">
        <w:rPr>
          <w:rFonts w:ascii="Times New Roman" w:eastAsia="Times New Roman" w:hAnsi="Times New Roman" w:cs="Times New Roman"/>
          <w:color w:val="333333"/>
          <w:sz w:val="20"/>
          <w:szCs w:val="20"/>
          <w:lang w:eastAsia="zh-CN" w:bidi="ar-SA"/>
        </w:rPr>
        <w:t>The basic and common theme in all the expressions in David’s curse seems clearly to be social – being chased across the border of civilized society and forced to stay in the lawless sphere. Whether the person is gonorrheal, leprous, poor or has fallen by the sword (and his corpse is assumed to have been left without burial), in all cases he or his spirit is relegated to the status of an outcast from society, having to roam the sphere of outlawry outside society (62).</w:t>
      </w:r>
    </w:p>
    <w:p w14:paraId="225B4B67" w14:textId="77777777" w:rsidR="00E33B47" w:rsidRPr="00E33B47" w:rsidRDefault="00E33B47" w:rsidP="00C41240">
      <w:pPr>
        <w:spacing w:after="187" w:line="360" w:lineRule="auto"/>
        <w:rPr>
          <w:rFonts w:ascii="David" w:eastAsia="Times New Roman" w:hAnsi="David" w:cs="David"/>
          <w:color w:val="000000"/>
          <w:sz w:val="20"/>
          <w:szCs w:val="20"/>
          <w:rtl/>
        </w:rPr>
      </w:pPr>
    </w:p>
    <w:p w14:paraId="4AF81489" w14:textId="640A4F4E" w:rsidR="00BE7E45" w:rsidRDefault="00816145"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17. ראו:</w:t>
      </w:r>
    </w:p>
    <w:p w14:paraId="36681985" w14:textId="77777777" w:rsidR="00816145" w:rsidRPr="00816145" w:rsidRDefault="00816145" w:rsidP="009D2A47">
      <w:pPr>
        <w:spacing w:after="187" w:line="360" w:lineRule="auto"/>
        <w:ind w:left="360"/>
        <w:jc w:val="right"/>
        <w:rPr>
          <w:rFonts w:ascii="David" w:eastAsia="Times New Roman" w:hAnsi="David" w:cs="David"/>
          <w:color w:val="000000"/>
          <w:sz w:val="20"/>
          <w:szCs w:val="20"/>
        </w:rPr>
      </w:pPr>
      <w:r w:rsidRPr="00816145">
        <w:rPr>
          <w:rFonts w:ascii="David" w:eastAsia="Times New Roman" w:hAnsi="David" w:cs="David"/>
          <w:color w:val="000000"/>
          <w:sz w:val="20"/>
          <w:szCs w:val="20"/>
        </w:rPr>
        <w:t>J. S. Baden and C. R. Moss, “The Origins and Interpretation of </w:t>
      </w:r>
      <w:proofErr w:type="spellStart"/>
      <w:r w:rsidRPr="00816145">
        <w:rPr>
          <w:rFonts w:ascii="Calibri" w:eastAsia="Times New Roman" w:hAnsi="Calibri" w:cs="Calibri"/>
          <w:i/>
          <w:iCs/>
          <w:color w:val="000000"/>
          <w:sz w:val="20"/>
          <w:szCs w:val="20"/>
        </w:rPr>
        <w:t>ṣ</w:t>
      </w:r>
      <w:r w:rsidRPr="00816145">
        <w:rPr>
          <w:rFonts w:ascii="David" w:eastAsia="Times New Roman" w:hAnsi="David" w:cs="David"/>
          <w:i/>
          <w:iCs/>
          <w:color w:val="000000"/>
          <w:sz w:val="20"/>
          <w:szCs w:val="20"/>
        </w:rPr>
        <w:t>ara</w:t>
      </w:r>
      <w:r w:rsidRPr="00816145">
        <w:rPr>
          <w:rFonts w:ascii="Arial" w:eastAsia="Times New Roman" w:hAnsi="Arial" w:cs="Arial"/>
          <w:i/>
          <w:iCs/>
          <w:color w:val="000000"/>
          <w:sz w:val="20"/>
          <w:szCs w:val="20"/>
        </w:rPr>
        <w:t>ʿ</w:t>
      </w:r>
      <w:r w:rsidRPr="00816145">
        <w:rPr>
          <w:rFonts w:ascii="David" w:eastAsia="Times New Roman" w:hAnsi="David" w:cs="David"/>
          <w:i/>
          <w:iCs/>
          <w:color w:val="000000"/>
          <w:sz w:val="20"/>
          <w:szCs w:val="20"/>
        </w:rPr>
        <w:t>at</w:t>
      </w:r>
      <w:proofErr w:type="spellEnd"/>
      <w:r w:rsidRPr="00816145">
        <w:rPr>
          <w:rFonts w:ascii="David" w:eastAsia="Times New Roman" w:hAnsi="David" w:cs="David"/>
          <w:color w:val="000000"/>
          <w:sz w:val="20"/>
          <w:szCs w:val="20"/>
        </w:rPr>
        <w:t> in Leviticus 13–14,” </w:t>
      </w:r>
      <w:r w:rsidRPr="00816145">
        <w:rPr>
          <w:rFonts w:ascii="David" w:eastAsia="Times New Roman" w:hAnsi="David" w:cs="David"/>
          <w:i/>
          <w:iCs/>
          <w:color w:val="000000"/>
          <w:sz w:val="20"/>
          <w:szCs w:val="20"/>
        </w:rPr>
        <w:t>Journal of Biblical Literature </w:t>
      </w:r>
      <w:r w:rsidRPr="00816145">
        <w:rPr>
          <w:rFonts w:ascii="David" w:eastAsia="Times New Roman" w:hAnsi="David" w:cs="David"/>
          <w:color w:val="000000"/>
          <w:sz w:val="20"/>
          <w:szCs w:val="20"/>
        </w:rPr>
        <w:t>130 (2011): 643–53</w:t>
      </w:r>
    </w:p>
    <w:p w14:paraId="30CF6185" w14:textId="207A4B6A" w:rsidR="00816145" w:rsidRDefault="00816145"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18.למשל בבלי, ערכי</w:t>
      </w:r>
      <w:r w:rsidR="00E33B47">
        <w:rPr>
          <w:rFonts w:ascii="David" w:eastAsia="Times New Roman" w:hAnsi="David" w:cs="David" w:hint="cs"/>
          <w:color w:val="000000"/>
          <w:sz w:val="20"/>
          <w:szCs w:val="20"/>
          <w:rtl/>
        </w:rPr>
        <w:t>ן</w:t>
      </w:r>
      <w:r>
        <w:rPr>
          <w:rFonts w:ascii="David" w:eastAsia="Times New Roman" w:hAnsi="David" w:cs="David" w:hint="cs"/>
          <w:color w:val="000000"/>
          <w:sz w:val="20"/>
          <w:szCs w:val="20"/>
          <w:rtl/>
        </w:rPr>
        <w:t xml:space="preserve"> 15ב; ויקרא רבא 16.</w:t>
      </w:r>
    </w:p>
    <w:p w14:paraId="039FB71E" w14:textId="0A0A88A4" w:rsidR="00816145" w:rsidRDefault="00816145"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lastRenderedPageBreak/>
        <w:t>19. ראו:</w:t>
      </w:r>
    </w:p>
    <w:p w14:paraId="5128A670" w14:textId="6FD3C370" w:rsidR="00816145" w:rsidRPr="009D2A47" w:rsidRDefault="00816145" w:rsidP="009D2A47">
      <w:pPr>
        <w:spacing w:after="187" w:line="360" w:lineRule="auto"/>
        <w:jc w:val="right"/>
        <w:rPr>
          <w:rFonts w:ascii="David" w:eastAsia="Times New Roman" w:hAnsi="David" w:cs="David"/>
          <w:color w:val="000000"/>
          <w:sz w:val="20"/>
          <w:szCs w:val="20"/>
          <w:rtl/>
        </w:rPr>
      </w:pPr>
      <w:r w:rsidRPr="009D2A47">
        <w:rPr>
          <w:rFonts w:ascii="Times New Roman" w:eastAsia="Times New Roman" w:hAnsi="Times New Roman" w:cs="Times New Roman"/>
          <w:color w:val="333333"/>
          <w:sz w:val="20"/>
          <w:szCs w:val="20"/>
          <w:lang w:bidi="ar-SA"/>
        </w:rPr>
        <w:t xml:space="preserve">R. </w:t>
      </w:r>
      <w:proofErr w:type="spellStart"/>
      <w:r w:rsidRPr="009D2A47">
        <w:rPr>
          <w:rFonts w:ascii="Times New Roman" w:eastAsia="Times New Roman" w:hAnsi="Times New Roman" w:cs="Times New Roman"/>
          <w:color w:val="333333"/>
          <w:sz w:val="20"/>
          <w:szCs w:val="20"/>
          <w:lang w:bidi="ar-SA"/>
        </w:rPr>
        <w:t>Gane</w:t>
      </w:r>
      <w:proofErr w:type="spellEnd"/>
      <w:r w:rsidRPr="009D2A47">
        <w:rPr>
          <w:rFonts w:ascii="Times New Roman" w:eastAsia="Times New Roman" w:hAnsi="Times New Roman" w:cs="Times New Roman"/>
          <w:color w:val="333333"/>
          <w:sz w:val="20"/>
          <w:szCs w:val="20"/>
          <w:lang w:bidi="ar-SA"/>
        </w:rPr>
        <w:t>, </w:t>
      </w:r>
      <w:r w:rsidRPr="009D2A47">
        <w:rPr>
          <w:rFonts w:ascii="Times New Roman" w:eastAsia="Times New Roman" w:hAnsi="Times New Roman" w:cs="Times New Roman"/>
          <w:i/>
          <w:iCs/>
          <w:color w:val="333333"/>
          <w:sz w:val="20"/>
          <w:szCs w:val="20"/>
          <w:lang w:bidi="ar-SA"/>
        </w:rPr>
        <w:t>Cult and Character: Purification Offerings, Day of Atonement, and Theodicy</w:t>
      </w:r>
      <w:r w:rsidRPr="009D2A47">
        <w:rPr>
          <w:rFonts w:ascii="Times New Roman" w:eastAsia="Times New Roman" w:hAnsi="Times New Roman" w:cs="Times New Roman"/>
          <w:color w:val="333333"/>
          <w:sz w:val="20"/>
          <w:szCs w:val="20"/>
          <w:lang w:bidi="ar-SA"/>
        </w:rPr>
        <w:t xml:space="preserve"> (Winona Lake: </w:t>
      </w:r>
      <w:proofErr w:type="spellStart"/>
      <w:r w:rsidRPr="009D2A47">
        <w:rPr>
          <w:rFonts w:ascii="Times New Roman" w:eastAsia="Times New Roman" w:hAnsi="Times New Roman" w:cs="Times New Roman"/>
          <w:color w:val="333333"/>
          <w:sz w:val="20"/>
          <w:szCs w:val="20"/>
          <w:lang w:bidi="ar-SA"/>
        </w:rPr>
        <w:t>Eisenbrauns</w:t>
      </w:r>
      <w:proofErr w:type="spellEnd"/>
      <w:r w:rsidRPr="009D2A47">
        <w:rPr>
          <w:rFonts w:ascii="Times New Roman" w:eastAsia="Times New Roman" w:hAnsi="Times New Roman" w:cs="Times New Roman"/>
          <w:color w:val="333333"/>
          <w:sz w:val="20"/>
          <w:szCs w:val="20"/>
          <w:lang w:bidi="ar-SA"/>
        </w:rPr>
        <w:t>, 2005), 112–24.</w:t>
      </w:r>
    </w:p>
    <w:p w14:paraId="1BD14037" w14:textId="5A291913" w:rsidR="00B806F7" w:rsidRDefault="009D2A47" w:rsidP="00B806F7">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20.</w:t>
      </w:r>
      <w:r w:rsidR="00B806F7">
        <w:rPr>
          <w:rFonts w:ascii="David" w:eastAsia="Times New Roman" w:hAnsi="David" w:cs="David" w:hint="cs"/>
          <w:color w:val="000000"/>
          <w:sz w:val="20"/>
          <w:szCs w:val="20"/>
          <w:rtl/>
        </w:rPr>
        <w:t xml:space="preserve">ראו </w:t>
      </w:r>
      <w:proofErr w:type="spellStart"/>
      <w:r w:rsidR="00B806F7">
        <w:rPr>
          <w:rFonts w:ascii="David" w:eastAsia="Times New Roman" w:hAnsi="David" w:cs="David" w:hint="cs"/>
          <w:color w:val="000000"/>
          <w:sz w:val="20"/>
          <w:szCs w:val="20"/>
          <w:rtl/>
        </w:rPr>
        <w:t>קויפמן</w:t>
      </w:r>
      <w:proofErr w:type="spellEnd"/>
      <w:r w:rsidR="00B806F7">
        <w:rPr>
          <w:rFonts w:ascii="David" w:eastAsia="Times New Roman" w:hAnsi="David" w:cs="David" w:hint="cs"/>
          <w:color w:val="000000"/>
          <w:sz w:val="20"/>
          <w:szCs w:val="20"/>
          <w:rtl/>
        </w:rPr>
        <w:t>, יחזקאל, "תולדות האמונה הישראלית", ספר ב, מוסד ביאליק–</w:t>
      </w:r>
      <w:r w:rsidR="00C25F39">
        <w:rPr>
          <w:rFonts w:ascii="David" w:eastAsia="Times New Roman" w:hAnsi="David" w:cs="David" w:hint="cs"/>
          <w:color w:val="000000"/>
          <w:sz w:val="20"/>
          <w:szCs w:val="20"/>
          <w:rtl/>
        </w:rPr>
        <w:t xml:space="preserve">דביר, תשכ"ט, </w:t>
      </w:r>
      <w:r w:rsidR="00B806F7">
        <w:rPr>
          <w:rFonts w:ascii="David" w:eastAsia="Times New Roman" w:hAnsi="David" w:cs="David" w:hint="cs"/>
          <w:color w:val="000000"/>
          <w:sz w:val="20"/>
          <w:szCs w:val="20"/>
          <w:rtl/>
        </w:rPr>
        <w:t>עמ</w:t>
      </w:r>
      <w:r w:rsidR="00C25F39">
        <w:rPr>
          <w:rFonts w:ascii="David" w:eastAsia="Times New Roman" w:hAnsi="David" w:cs="David" w:hint="cs"/>
          <w:color w:val="000000"/>
          <w:sz w:val="20"/>
          <w:szCs w:val="20"/>
          <w:rtl/>
        </w:rPr>
        <w:t>'</w:t>
      </w:r>
      <w:r w:rsidR="00B806F7">
        <w:rPr>
          <w:rFonts w:ascii="David" w:eastAsia="Times New Roman" w:hAnsi="David" w:cs="David" w:hint="cs"/>
          <w:color w:val="000000"/>
          <w:sz w:val="20"/>
          <w:szCs w:val="20"/>
          <w:rtl/>
        </w:rPr>
        <w:t xml:space="preserve"> 548–549.</w:t>
      </w:r>
    </w:p>
    <w:p w14:paraId="7D2A0C5E" w14:textId="6A65D7B9" w:rsidR="009D2A47" w:rsidRPr="00CE7507" w:rsidRDefault="009D2A47" w:rsidP="00C41240">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2</w:t>
      </w:r>
      <w:r w:rsidR="00017464">
        <w:rPr>
          <w:rFonts w:ascii="David" w:eastAsia="Times New Roman" w:hAnsi="David" w:cs="David" w:hint="cs"/>
          <w:color w:val="000000"/>
          <w:sz w:val="20"/>
          <w:szCs w:val="20"/>
          <w:rtl/>
        </w:rPr>
        <w:t>1</w:t>
      </w:r>
      <w:r>
        <w:rPr>
          <w:rFonts w:ascii="David" w:eastAsia="Times New Roman" w:hAnsi="David" w:cs="David" w:hint="cs"/>
          <w:color w:val="000000"/>
          <w:sz w:val="20"/>
          <w:szCs w:val="20"/>
          <w:rtl/>
        </w:rPr>
        <w:t xml:space="preserve">.פולחנים מסוג זה כוללים טקסי </w:t>
      </w:r>
      <w:r w:rsidR="00075A60">
        <w:rPr>
          <w:rFonts w:ascii="David" w:eastAsia="Times New Roman" w:hAnsi="David" w:cs="David" w:hint="cs"/>
          <w:color w:val="000000"/>
          <w:sz w:val="20"/>
          <w:szCs w:val="20"/>
          <w:rtl/>
        </w:rPr>
        <w:t>העברה</w:t>
      </w:r>
      <w:r>
        <w:rPr>
          <w:rFonts w:ascii="David" w:eastAsia="Times New Roman" w:hAnsi="David" w:cs="David" w:hint="cs"/>
          <w:color w:val="000000"/>
          <w:sz w:val="20"/>
          <w:szCs w:val="20"/>
          <w:rtl/>
        </w:rPr>
        <w:t xml:space="preserve"> (למשל שעיר לעזאזל) כמו גם פיוס ישויות דמוניות. נקודה זו מזכירה את טקס השעיר לעזאזל בספר ויקרא 16, שזה זמן רב נחשב כמבוסס על פולחן להדיפת רוע. אולם, כפי שצוין בידי דוד </w:t>
      </w:r>
      <w:proofErr w:type="spellStart"/>
      <w:r>
        <w:rPr>
          <w:rFonts w:ascii="David" w:eastAsia="Times New Roman" w:hAnsi="David" w:cs="David" w:hint="cs"/>
          <w:color w:val="000000"/>
          <w:sz w:val="20"/>
          <w:szCs w:val="20"/>
          <w:rtl/>
        </w:rPr>
        <w:t>רייט</w:t>
      </w:r>
      <w:proofErr w:type="spellEnd"/>
      <w:r>
        <w:rPr>
          <w:rFonts w:ascii="David" w:eastAsia="Times New Roman" w:hAnsi="David" w:cs="David" w:hint="cs"/>
          <w:color w:val="000000"/>
          <w:sz w:val="20"/>
          <w:szCs w:val="20"/>
          <w:rtl/>
        </w:rPr>
        <w:t xml:space="preserve"> בס</w:t>
      </w:r>
      <w:r w:rsidR="00E33B47">
        <w:rPr>
          <w:rFonts w:ascii="David" w:eastAsia="Times New Roman" w:hAnsi="David" w:cs="David" w:hint="cs"/>
          <w:color w:val="000000"/>
          <w:sz w:val="20"/>
          <w:szCs w:val="20"/>
          <w:rtl/>
        </w:rPr>
        <w:t>קירתו המקיפה של ראיות מן המזרח הקרוב העתיק ה</w:t>
      </w:r>
      <w:r w:rsidR="00075A60">
        <w:rPr>
          <w:rFonts w:ascii="David" w:eastAsia="Times New Roman" w:hAnsi="David" w:cs="David" w:hint="cs"/>
          <w:color w:val="000000"/>
          <w:sz w:val="20"/>
          <w:szCs w:val="20"/>
          <w:rtl/>
        </w:rPr>
        <w:t>נוגעות</w:t>
      </w:r>
      <w:r w:rsidR="00E33B47">
        <w:rPr>
          <w:rFonts w:ascii="David" w:eastAsia="Times New Roman" w:hAnsi="David" w:cs="David" w:hint="cs"/>
          <w:color w:val="000000"/>
          <w:sz w:val="20"/>
          <w:szCs w:val="20"/>
          <w:rtl/>
        </w:rPr>
        <w:t xml:space="preserve"> לנושא, הטקסט הכוהני מתאר את עזאזל בתפקיד סביל לגמרי</w:t>
      </w:r>
      <w:r w:rsidR="00075A60">
        <w:rPr>
          <w:rFonts w:ascii="David" w:eastAsia="Times New Roman" w:hAnsi="David" w:cs="David" w:hint="cs"/>
          <w:color w:val="000000"/>
          <w:sz w:val="20"/>
          <w:szCs w:val="20"/>
          <w:rtl/>
        </w:rPr>
        <w:t>:</w:t>
      </w:r>
    </w:p>
    <w:p w14:paraId="11BC602A" w14:textId="533609C4" w:rsidR="00CE7507" w:rsidRPr="00017464" w:rsidRDefault="00CE7507" w:rsidP="00CE7507">
      <w:pPr>
        <w:spacing w:after="187" w:line="360" w:lineRule="auto"/>
        <w:jc w:val="right"/>
        <w:rPr>
          <w:rFonts w:ascii="David" w:eastAsia="Times New Roman" w:hAnsi="David" w:cs="David"/>
          <w:color w:val="000000"/>
          <w:sz w:val="20"/>
          <w:szCs w:val="20"/>
          <w:rtl/>
        </w:rPr>
      </w:pPr>
      <w:r w:rsidRPr="00C06570">
        <w:rPr>
          <w:rFonts w:ascii="David" w:eastAsia="Times New Roman" w:hAnsi="David" w:cs="David"/>
          <w:color w:val="333333"/>
          <w:sz w:val="20"/>
          <w:szCs w:val="20"/>
          <w:lang w:bidi="ar-SA"/>
        </w:rPr>
        <w:t xml:space="preserve"> “In contrast, Azazel does not act; he has no personality. The name refers more to a locale than to a supernatural figure” (</w:t>
      </w:r>
      <w:r w:rsidRPr="00C06570">
        <w:rPr>
          <w:rFonts w:ascii="David" w:eastAsia="Times New Roman" w:hAnsi="David" w:cs="David"/>
          <w:i/>
          <w:iCs/>
          <w:color w:val="333333"/>
          <w:sz w:val="20"/>
          <w:szCs w:val="20"/>
          <w:lang w:bidi="ar-SA"/>
        </w:rPr>
        <w:t xml:space="preserve">The Disposal of Impurity: Elimination Rites in the Bible and in Hittite and Mesopotamian </w:t>
      </w:r>
      <w:proofErr w:type="gramStart"/>
      <w:r w:rsidRPr="00C06570">
        <w:rPr>
          <w:rFonts w:ascii="David" w:eastAsia="Times New Roman" w:hAnsi="David" w:cs="David"/>
          <w:i/>
          <w:iCs/>
          <w:color w:val="333333"/>
          <w:sz w:val="20"/>
          <w:szCs w:val="20"/>
          <w:lang w:bidi="ar-SA"/>
        </w:rPr>
        <w:t>Literature</w:t>
      </w:r>
      <w:r w:rsidRPr="00C06570">
        <w:rPr>
          <w:rFonts w:ascii="David" w:eastAsia="Times New Roman" w:hAnsi="David" w:cs="David"/>
          <w:color w:val="333333"/>
          <w:sz w:val="20"/>
          <w:szCs w:val="20"/>
          <w:lang w:bidi="ar-SA"/>
        </w:rPr>
        <w:t>[</w:t>
      </w:r>
      <w:proofErr w:type="gramEnd"/>
      <w:r w:rsidRPr="00C06570">
        <w:rPr>
          <w:rFonts w:ascii="David" w:eastAsia="Times New Roman" w:hAnsi="David" w:cs="David"/>
          <w:color w:val="333333"/>
          <w:sz w:val="20"/>
          <w:szCs w:val="20"/>
          <w:lang w:bidi="ar-SA"/>
        </w:rPr>
        <w:t>Atlanta: Scholars Press, 1987] 69</w:t>
      </w:r>
    </w:p>
    <w:p w14:paraId="636D6609" w14:textId="49A96412" w:rsidR="00CE7507" w:rsidRDefault="00CE7507" w:rsidP="00CE7507">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ל</w:t>
      </w:r>
      <w:r w:rsidR="00075A60">
        <w:rPr>
          <w:rFonts w:ascii="David" w:eastAsia="Times New Roman" w:hAnsi="David" w:cs="David" w:hint="cs"/>
          <w:color w:val="000000"/>
          <w:sz w:val="20"/>
          <w:szCs w:val="20"/>
          <w:rtl/>
        </w:rPr>
        <w:t>דיון</w:t>
      </w:r>
      <w:r>
        <w:rPr>
          <w:rFonts w:ascii="David" w:eastAsia="Times New Roman" w:hAnsi="David" w:cs="David" w:hint="cs"/>
          <w:color w:val="000000"/>
          <w:sz w:val="20"/>
          <w:szCs w:val="20"/>
          <w:rtl/>
        </w:rPr>
        <w:t xml:space="preserve"> נוס</w:t>
      </w:r>
      <w:r w:rsidR="00075A60">
        <w:rPr>
          <w:rFonts w:ascii="David" w:eastAsia="Times New Roman" w:hAnsi="David" w:cs="David" w:hint="cs"/>
          <w:color w:val="000000"/>
          <w:sz w:val="20"/>
          <w:szCs w:val="20"/>
          <w:rtl/>
        </w:rPr>
        <w:t>ף</w:t>
      </w:r>
      <w:r>
        <w:rPr>
          <w:rFonts w:ascii="David" w:eastAsia="Times New Roman" w:hAnsi="David" w:cs="David" w:hint="cs"/>
          <w:color w:val="000000"/>
          <w:sz w:val="20"/>
          <w:szCs w:val="20"/>
          <w:rtl/>
        </w:rPr>
        <w:t xml:space="preserve">, ראו:   </w:t>
      </w:r>
    </w:p>
    <w:p w14:paraId="31BF2074" w14:textId="77777777" w:rsidR="00CE7507" w:rsidRPr="00CE7507" w:rsidRDefault="00CE7507" w:rsidP="00CE7507">
      <w:pPr>
        <w:shd w:val="clear" w:color="auto" w:fill="FFFFFF"/>
        <w:bidi w:val="0"/>
        <w:spacing w:before="100" w:beforeAutospacing="1" w:after="0" w:line="480" w:lineRule="auto"/>
        <w:ind w:left="360"/>
        <w:jc w:val="both"/>
        <w:rPr>
          <w:rFonts w:ascii="David" w:eastAsia="Times New Roman" w:hAnsi="David" w:cs="David"/>
          <w:color w:val="333333"/>
          <w:sz w:val="20"/>
          <w:szCs w:val="20"/>
          <w:lang w:eastAsia="zh-CN" w:bidi="ar-SA"/>
        </w:rPr>
      </w:pPr>
      <w:r w:rsidRPr="00CE7507">
        <w:rPr>
          <w:rFonts w:ascii="David" w:eastAsia="Times New Roman" w:hAnsi="David" w:cs="David"/>
          <w:color w:val="333333"/>
          <w:sz w:val="20"/>
          <w:szCs w:val="20"/>
          <w:lang w:eastAsia="zh-CN" w:bidi="ar-SA"/>
        </w:rPr>
        <w:t>Milgrom, </w:t>
      </w:r>
      <w:r w:rsidRPr="00CE7507">
        <w:rPr>
          <w:rFonts w:ascii="David" w:eastAsia="Times New Roman" w:hAnsi="David" w:cs="David"/>
          <w:i/>
          <w:iCs/>
          <w:color w:val="333333"/>
          <w:sz w:val="20"/>
          <w:szCs w:val="20"/>
          <w:lang w:eastAsia="zh-CN" w:bidi="ar-SA"/>
        </w:rPr>
        <w:t>Leviticus 1–16, </w:t>
      </w:r>
      <w:r w:rsidRPr="00CE7507">
        <w:rPr>
          <w:rFonts w:ascii="David" w:eastAsia="Times New Roman" w:hAnsi="David" w:cs="David"/>
          <w:color w:val="333333"/>
          <w:sz w:val="20"/>
          <w:szCs w:val="20"/>
          <w:lang w:eastAsia="zh-CN" w:bidi="ar-SA"/>
        </w:rPr>
        <w:t>1071–9.</w:t>
      </w:r>
    </w:p>
    <w:p w14:paraId="0B2BFE15" w14:textId="22180AFB" w:rsidR="00CE7507" w:rsidRDefault="00CE7507" w:rsidP="00CE7507">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2</w:t>
      </w:r>
      <w:r w:rsidR="00017464">
        <w:rPr>
          <w:rFonts w:ascii="David" w:eastAsia="Times New Roman" w:hAnsi="David" w:cs="David" w:hint="cs"/>
          <w:color w:val="000000"/>
          <w:sz w:val="20"/>
          <w:szCs w:val="20"/>
          <w:rtl/>
        </w:rPr>
        <w:t>2</w:t>
      </w:r>
      <w:r>
        <w:rPr>
          <w:rFonts w:ascii="David" w:eastAsia="Times New Roman" w:hAnsi="David" w:cs="David" w:hint="cs"/>
          <w:color w:val="000000"/>
          <w:sz w:val="20"/>
          <w:szCs w:val="20"/>
          <w:rtl/>
        </w:rPr>
        <w:t>. מלכים א 12:19.</w:t>
      </w:r>
    </w:p>
    <w:p w14:paraId="4A0D37D6" w14:textId="43159B73" w:rsidR="00A14B41" w:rsidRDefault="00A14B41" w:rsidP="00CE7507">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2</w:t>
      </w:r>
      <w:r w:rsidR="00017464">
        <w:rPr>
          <w:rFonts w:ascii="David" w:eastAsia="Times New Roman" w:hAnsi="David" w:cs="David" w:hint="cs"/>
          <w:color w:val="000000"/>
          <w:sz w:val="20"/>
          <w:szCs w:val="20"/>
          <w:rtl/>
        </w:rPr>
        <w:t>3</w:t>
      </w:r>
      <w:r>
        <w:rPr>
          <w:rFonts w:ascii="David" w:eastAsia="Times New Roman" w:hAnsi="David" w:cs="David" w:hint="cs"/>
          <w:color w:val="000000"/>
          <w:sz w:val="20"/>
          <w:szCs w:val="20"/>
          <w:rtl/>
        </w:rPr>
        <w:t>. ראו:</w:t>
      </w:r>
    </w:p>
    <w:p w14:paraId="5175EB6F" w14:textId="77777777" w:rsidR="00A14B41" w:rsidRPr="00A14B41" w:rsidRDefault="00A14B41" w:rsidP="007142D2">
      <w:pPr>
        <w:shd w:val="clear" w:color="auto" w:fill="FFFFFF"/>
        <w:bidi w:val="0"/>
        <w:spacing w:before="100" w:beforeAutospacing="1" w:after="0" w:line="480" w:lineRule="auto"/>
        <w:rPr>
          <w:rFonts w:ascii="David" w:eastAsia="Times New Roman" w:hAnsi="David" w:cs="David"/>
          <w:color w:val="333333"/>
          <w:sz w:val="20"/>
          <w:szCs w:val="20"/>
          <w:lang w:eastAsia="zh-CN" w:bidi="ar-SA"/>
        </w:rPr>
      </w:pPr>
      <w:r w:rsidRPr="00A14B41">
        <w:rPr>
          <w:rFonts w:ascii="David" w:eastAsia="Times New Roman" w:hAnsi="David" w:cs="David"/>
          <w:color w:val="333333"/>
          <w:sz w:val="20"/>
          <w:szCs w:val="20"/>
          <w:lang w:eastAsia="zh-CN" w:bidi="ar-SA"/>
        </w:rPr>
        <w:t xml:space="preserve">See R. </w:t>
      </w:r>
      <w:proofErr w:type="spellStart"/>
      <w:r w:rsidRPr="00A14B41">
        <w:rPr>
          <w:rFonts w:ascii="David" w:eastAsia="Times New Roman" w:hAnsi="David" w:cs="David"/>
          <w:color w:val="333333"/>
          <w:sz w:val="20"/>
          <w:szCs w:val="20"/>
          <w:lang w:eastAsia="zh-CN" w:bidi="ar-SA"/>
        </w:rPr>
        <w:t>Caplice</w:t>
      </w:r>
      <w:proofErr w:type="spellEnd"/>
      <w:r w:rsidRPr="00A14B41">
        <w:rPr>
          <w:rFonts w:ascii="David" w:eastAsia="Times New Roman" w:hAnsi="David" w:cs="David"/>
          <w:color w:val="333333"/>
          <w:sz w:val="20"/>
          <w:szCs w:val="20"/>
          <w:lang w:eastAsia="zh-CN" w:bidi="ar-SA"/>
        </w:rPr>
        <w:t>, “</w:t>
      </w:r>
      <w:proofErr w:type="spellStart"/>
      <w:r w:rsidRPr="00A14B41">
        <w:rPr>
          <w:rFonts w:ascii="David" w:eastAsia="Times New Roman" w:hAnsi="David" w:cs="David"/>
          <w:color w:val="333333"/>
          <w:sz w:val="20"/>
          <w:szCs w:val="20"/>
          <w:lang w:eastAsia="zh-CN" w:bidi="ar-SA"/>
        </w:rPr>
        <w:t>Namburbi</w:t>
      </w:r>
      <w:proofErr w:type="spellEnd"/>
      <w:r w:rsidRPr="00A14B41">
        <w:rPr>
          <w:rFonts w:ascii="David" w:eastAsia="Times New Roman" w:hAnsi="David" w:cs="David"/>
          <w:color w:val="333333"/>
          <w:sz w:val="20"/>
          <w:szCs w:val="20"/>
          <w:lang w:eastAsia="zh-CN" w:bidi="ar-SA"/>
        </w:rPr>
        <w:t xml:space="preserve"> Texts in the British Museum,” </w:t>
      </w:r>
      <w:proofErr w:type="spellStart"/>
      <w:r w:rsidRPr="00A14B41">
        <w:rPr>
          <w:rFonts w:ascii="David" w:eastAsia="Times New Roman" w:hAnsi="David" w:cs="David"/>
          <w:i/>
          <w:iCs/>
          <w:color w:val="333333"/>
          <w:sz w:val="20"/>
          <w:szCs w:val="20"/>
          <w:lang w:eastAsia="zh-CN" w:bidi="ar-SA"/>
        </w:rPr>
        <w:t>OrNS</w:t>
      </w:r>
      <w:proofErr w:type="spellEnd"/>
      <w:r w:rsidRPr="00A14B41">
        <w:rPr>
          <w:rFonts w:ascii="David" w:eastAsia="Times New Roman" w:hAnsi="David" w:cs="David"/>
          <w:color w:val="333333"/>
          <w:sz w:val="20"/>
          <w:szCs w:val="20"/>
          <w:lang w:eastAsia="zh-CN" w:bidi="ar-SA"/>
        </w:rPr>
        <w:t> 40 (1971), 144, l. 23’; idem, </w:t>
      </w:r>
      <w:r w:rsidRPr="00A14B41">
        <w:rPr>
          <w:rFonts w:ascii="David" w:eastAsia="Times New Roman" w:hAnsi="David" w:cs="David"/>
          <w:i/>
          <w:iCs/>
          <w:color w:val="333333"/>
          <w:sz w:val="20"/>
          <w:szCs w:val="20"/>
          <w:lang w:eastAsia="zh-CN" w:bidi="ar-SA"/>
        </w:rPr>
        <w:t xml:space="preserve">The Akkadian </w:t>
      </w:r>
      <w:proofErr w:type="spellStart"/>
      <w:r w:rsidRPr="00A14B41">
        <w:rPr>
          <w:rFonts w:ascii="David" w:eastAsia="Times New Roman" w:hAnsi="David" w:cs="David"/>
          <w:i/>
          <w:iCs/>
          <w:color w:val="333333"/>
          <w:sz w:val="20"/>
          <w:szCs w:val="20"/>
          <w:lang w:eastAsia="zh-CN" w:bidi="ar-SA"/>
        </w:rPr>
        <w:t>Namburbi</w:t>
      </w:r>
      <w:proofErr w:type="spellEnd"/>
      <w:r w:rsidRPr="00A14B41">
        <w:rPr>
          <w:rFonts w:ascii="David" w:eastAsia="Times New Roman" w:hAnsi="David" w:cs="David"/>
          <w:i/>
          <w:iCs/>
          <w:color w:val="333333"/>
          <w:sz w:val="20"/>
          <w:szCs w:val="20"/>
          <w:lang w:eastAsia="zh-CN" w:bidi="ar-SA"/>
        </w:rPr>
        <w:t xml:space="preserve"> Texts: An Introduction </w:t>
      </w:r>
      <w:r w:rsidRPr="00A14B41">
        <w:rPr>
          <w:rFonts w:ascii="David" w:eastAsia="Times New Roman" w:hAnsi="David" w:cs="David"/>
          <w:color w:val="333333"/>
          <w:sz w:val="20"/>
          <w:szCs w:val="20"/>
          <w:lang w:eastAsia="zh-CN" w:bidi="ar-SA"/>
        </w:rPr>
        <w:t xml:space="preserve">(SANE 1/1; Los Angeles: </w:t>
      </w:r>
      <w:proofErr w:type="spellStart"/>
      <w:r w:rsidRPr="00A14B41">
        <w:rPr>
          <w:rFonts w:ascii="David" w:eastAsia="Times New Roman" w:hAnsi="David" w:cs="David"/>
          <w:color w:val="333333"/>
          <w:sz w:val="20"/>
          <w:szCs w:val="20"/>
          <w:lang w:eastAsia="zh-CN" w:bidi="ar-SA"/>
        </w:rPr>
        <w:t>Undena</w:t>
      </w:r>
      <w:proofErr w:type="spellEnd"/>
      <w:r w:rsidRPr="00A14B41">
        <w:rPr>
          <w:rFonts w:ascii="David" w:eastAsia="Times New Roman" w:hAnsi="David" w:cs="David"/>
          <w:color w:val="333333"/>
          <w:sz w:val="20"/>
          <w:szCs w:val="20"/>
          <w:lang w:eastAsia="zh-CN" w:bidi="ar-SA"/>
        </w:rPr>
        <w:t>; 1974), 18. See also See S. Meier, “House Fungus: Mesopotamia and Israel (Lev 14: 33–53)</w:t>
      </w:r>
      <w:proofErr w:type="gramStart"/>
      <w:r w:rsidRPr="00A14B41">
        <w:rPr>
          <w:rFonts w:ascii="David" w:eastAsia="Times New Roman" w:hAnsi="David" w:cs="David"/>
          <w:color w:val="333333"/>
          <w:sz w:val="20"/>
          <w:szCs w:val="20"/>
          <w:lang w:eastAsia="zh-CN" w:bidi="ar-SA"/>
        </w:rPr>
        <w:t>,”</w:t>
      </w:r>
      <w:proofErr w:type="spellStart"/>
      <w:r w:rsidRPr="00A14B41">
        <w:rPr>
          <w:rFonts w:ascii="David" w:eastAsia="Times New Roman" w:hAnsi="David" w:cs="David"/>
          <w:i/>
          <w:iCs/>
          <w:color w:val="333333"/>
          <w:sz w:val="20"/>
          <w:szCs w:val="20"/>
          <w:lang w:eastAsia="zh-CN" w:bidi="ar-SA"/>
        </w:rPr>
        <w:t>RevBib</w:t>
      </w:r>
      <w:proofErr w:type="spellEnd"/>
      <w:proofErr w:type="gramEnd"/>
      <w:r w:rsidRPr="00A14B41">
        <w:rPr>
          <w:rFonts w:ascii="David" w:eastAsia="Times New Roman" w:hAnsi="David" w:cs="David"/>
          <w:i/>
          <w:iCs/>
          <w:color w:val="333333"/>
          <w:sz w:val="20"/>
          <w:szCs w:val="20"/>
          <w:lang w:eastAsia="zh-CN" w:bidi="ar-SA"/>
        </w:rPr>
        <w:t> </w:t>
      </w:r>
      <w:r w:rsidRPr="00A14B41">
        <w:rPr>
          <w:rFonts w:ascii="David" w:eastAsia="Times New Roman" w:hAnsi="David" w:cs="David"/>
          <w:color w:val="333333"/>
          <w:sz w:val="20"/>
          <w:szCs w:val="20"/>
          <w:lang w:eastAsia="zh-CN" w:bidi="ar-SA"/>
        </w:rPr>
        <w:t>96 (1989), 184–92.</w:t>
      </w:r>
    </w:p>
    <w:p w14:paraId="1712FAEE" w14:textId="172AA40E" w:rsidR="00A14B41" w:rsidRDefault="00A14B41" w:rsidP="00A14B41">
      <w:pPr>
        <w:spacing w:after="187" w:line="360" w:lineRule="auto"/>
        <w:rPr>
          <w:rFonts w:ascii="David" w:eastAsia="Times New Roman" w:hAnsi="David" w:cs="David"/>
          <w:color w:val="000000"/>
          <w:sz w:val="20"/>
          <w:szCs w:val="20"/>
          <w:rtl/>
        </w:rPr>
      </w:pPr>
      <w:r>
        <w:rPr>
          <w:rFonts w:ascii="David" w:eastAsia="Times New Roman" w:hAnsi="David" w:cs="David"/>
          <w:color w:val="000000"/>
          <w:sz w:val="20"/>
          <w:szCs w:val="20"/>
        </w:rPr>
        <w:t>2</w:t>
      </w:r>
      <w:r w:rsidR="00017464">
        <w:rPr>
          <w:rFonts w:ascii="David" w:eastAsia="Times New Roman" w:hAnsi="David" w:cs="David"/>
          <w:color w:val="000000"/>
          <w:sz w:val="20"/>
          <w:szCs w:val="20"/>
        </w:rPr>
        <w:t>4</w:t>
      </w:r>
      <w:r>
        <w:rPr>
          <w:rFonts w:ascii="David" w:eastAsia="Times New Roman" w:hAnsi="David" w:cs="David" w:hint="cs"/>
          <w:color w:val="000000"/>
          <w:sz w:val="20"/>
          <w:szCs w:val="20"/>
          <w:rtl/>
        </w:rPr>
        <w:t>. הרבנים ציינו חוק זה כראיה שהתורה דואגת לחפציהם החומריים של ישראל (מסכת נגעים 5:12).</w:t>
      </w:r>
    </w:p>
    <w:p w14:paraId="05F8D799" w14:textId="2B2DD0E8" w:rsidR="00075A60" w:rsidRPr="00075A60" w:rsidRDefault="00075A60" w:rsidP="00180227">
      <w:pPr>
        <w:shd w:val="clear" w:color="auto" w:fill="FFFFFF"/>
        <w:bidi w:val="0"/>
        <w:spacing w:before="100" w:beforeAutospacing="1" w:after="0" w:line="480" w:lineRule="auto"/>
        <w:ind w:left="360"/>
        <w:jc w:val="right"/>
        <w:rPr>
          <w:rFonts w:ascii="David" w:eastAsia="Times New Roman" w:hAnsi="David" w:cs="David"/>
          <w:color w:val="333333"/>
          <w:sz w:val="20"/>
          <w:szCs w:val="20"/>
          <w:lang w:eastAsia="zh-CN" w:bidi="ar-SA"/>
        </w:rPr>
      </w:pPr>
      <w:bookmarkStart w:id="1" w:name="_Hlk97823927"/>
      <w:r w:rsidRPr="00075A60">
        <w:rPr>
          <w:rFonts w:ascii="David" w:eastAsia="Times New Roman" w:hAnsi="David" w:cs="David"/>
          <w:color w:val="333333"/>
          <w:sz w:val="20"/>
          <w:szCs w:val="20"/>
          <w:lang w:eastAsia="zh-CN" w:bidi="ar-SA"/>
        </w:rPr>
        <w:t> </w:t>
      </w:r>
      <w:r w:rsidR="008A160D">
        <w:rPr>
          <w:rFonts w:ascii="David" w:eastAsia="Times New Roman" w:hAnsi="David" w:cs="David" w:hint="cs"/>
          <w:color w:val="333333"/>
          <w:sz w:val="20"/>
          <w:szCs w:val="20"/>
          <w:lang w:eastAsia="zh-CN"/>
        </w:rPr>
        <w:t>M</w:t>
      </w:r>
      <w:r w:rsidR="008A160D">
        <w:rPr>
          <w:rFonts w:ascii="David" w:eastAsia="Times New Roman" w:hAnsi="David" w:cs="David"/>
          <w:color w:val="333333"/>
          <w:sz w:val="20"/>
          <w:szCs w:val="20"/>
          <w:lang w:eastAsia="zh-CN"/>
        </w:rPr>
        <w:t xml:space="preserve">ilgrom, </w:t>
      </w:r>
      <w:r w:rsidRPr="00075A60">
        <w:rPr>
          <w:rFonts w:ascii="David" w:eastAsia="Times New Roman" w:hAnsi="David" w:cs="David"/>
          <w:i/>
          <w:iCs/>
          <w:color w:val="333333"/>
          <w:sz w:val="20"/>
          <w:szCs w:val="20"/>
          <w:lang w:eastAsia="zh-CN" w:bidi="ar-SA"/>
        </w:rPr>
        <w:t>Leviticus 1–16, </w:t>
      </w:r>
      <w:r w:rsidRPr="00075A60">
        <w:rPr>
          <w:rFonts w:ascii="David" w:eastAsia="Times New Roman" w:hAnsi="David" w:cs="David"/>
          <w:color w:val="333333"/>
          <w:sz w:val="20"/>
          <w:szCs w:val="20"/>
          <w:lang w:eastAsia="zh-CN" w:bidi="ar-SA"/>
        </w:rPr>
        <w:t>889</w:t>
      </w:r>
      <w:r w:rsidR="00180227">
        <w:rPr>
          <w:rFonts w:ascii="David" w:eastAsia="Times New Roman" w:hAnsi="David" w:cs="David" w:hint="cs"/>
          <w:color w:val="333333"/>
          <w:sz w:val="20"/>
          <w:szCs w:val="20"/>
          <w:rtl/>
          <w:lang w:eastAsia="zh-CN"/>
        </w:rPr>
        <w:t>.</w:t>
      </w:r>
      <w:r w:rsidR="00180227">
        <w:rPr>
          <w:rFonts w:ascii="David" w:eastAsia="Times New Roman" w:hAnsi="David" w:cs="David"/>
          <w:color w:val="333333"/>
          <w:sz w:val="20"/>
          <w:szCs w:val="20"/>
          <w:lang w:eastAsia="zh-CN" w:bidi="ar-SA"/>
        </w:rPr>
        <w:t xml:space="preserve"> </w:t>
      </w:r>
      <w:r w:rsidRPr="00075A60">
        <w:rPr>
          <w:rFonts w:ascii="David" w:eastAsia="Times New Roman" w:hAnsi="David" w:cs="David"/>
          <w:color w:val="333333"/>
          <w:sz w:val="20"/>
          <w:szCs w:val="20"/>
          <w:lang w:eastAsia="zh-CN" w:bidi="ar-SA"/>
        </w:rPr>
        <w:t>.</w:t>
      </w:r>
      <w:r w:rsidR="00180227">
        <w:rPr>
          <w:rFonts w:ascii="David" w:eastAsia="Times New Roman" w:hAnsi="David" w:cs="David"/>
          <w:color w:val="333333"/>
          <w:sz w:val="20"/>
          <w:szCs w:val="20"/>
          <w:lang w:eastAsia="zh-CN" w:bidi="ar-SA"/>
        </w:rPr>
        <w:t>2</w:t>
      </w:r>
      <w:r w:rsidR="00017464">
        <w:rPr>
          <w:rFonts w:ascii="David" w:eastAsia="Times New Roman" w:hAnsi="David" w:cs="David"/>
          <w:color w:val="333333"/>
          <w:sz w:val="20"/>
          <w:szCs w:val="20"/>
          <w:lang w:eastAsia="zh-CN" w:bidi="ar-SA"/>
        </w:rPr>
        <w:t>5</w:t>
      </w:r>
    </w:p>
    <w:bookmarkEnd w:id="1"/>
    <w:p w14:paraId="071405E5" w14:textId="75AB0BEC" w:rsidR="00A14B41" w:rsidRPr="00A14B41" w:rsidRDefault="00A14B41" w:rsidP="00A14B41">
      <w:pPr>
        <w:spacing w:after="187" w:line="360" w:lineRule="auto"/>
        <w:rPr>
          <w:rFonts w:ascii="David" w:eastAsia="Times New Roman" w:hAnsi="David" w:cs="David"/>
          <w:color w:val="000000"/>
          <w:sz w:val="20"/>
          <w:szCs w:val="20"/>
          <w:rtl/>
        </w:rPr>
      </w:pPr>
    </w:p>
    <w:p w14:paraId="0B88DCB7" w14:textId="77777777" w:rsidR="0096503B" w:rsidRDefault="0096503B" w:rsidP="00C41240">
      <w:pPr>
        <w:spacing w:after="187" w:line="360" w:lineRule="auto"/>
        <w:rPr>
          <w:rFonts w:ascii="David" w:eastAsia="Times New Roman" w:hAnsi="David" w:cs="David"/>
          <w:color w:val="000000"/>
          <w:sz w:val="20"/>
          <w:szCs w:val="20"/>
          <w:rtl/>
        </w:rPr>
      </w:pPr>
    </w:p>
    <w:p w14:paraId="0950A0E6" w14:textId="77777777" w:rsidR="006E1AEE" w:rsidRPr="00054AB1" w:rsidRDefault="006E1AEE" w:rsidP="00C41240">
      <w:pPr>
        <w:spacing w:after="187" w:line="360" w:lineRule="auto"/>
        <w:rPr>
          <w:rFonts w:ascii="David" w:eastAsia="Times New Roman" w:hAnsi="David" w:cs="David"/>
          <w:color w:val="000000"/>
          <w:sz w:val="20"/>
          <w:szCs w:val="20"/>
          <w:rtl/>
        </w:rPr>
      </w:pPr>
    </w:p>
    <w:p w14:paraId="17764593" w14:textId="77777777" w:rsidR="006843BF" w:rsidRPr="00054AB1" w:rsidRDefault="006843BF" w:rsidP="00E05ABF">
      <w:pPr>
        <w:spacing w:after="187" w:line="360" w:lineRule="auto"/>
        <w:rPr>
          <w:rFonts w:ascii="David" w:eastAsia="Times New Roman" w:hAnsi="David" w:cs="David"/>
          <w:color w:val="000000"/>
          <w:sz w:val="20"/>
          <w:szCs w:val="20"/>
          <w:rtl/>
        </w:rPr>
      </w:pPr>
    </w:p>
    <w:p w14:paraId="631CB0DC" w14:textId="77777777" w:rsidR="006843BF" w:rsidRPr="006843BF" w:rsidRDefault="006843BF" w:rsidP="00E05ABF">
      <w:pPr>
        <w:spacing w:after="187" w:line="360" w:lineRule="auto"/>
        <w:rPr>
          <w:rFonts w:ascii="David" w:eastAsia="Times New Roman" w:hAnsi="David" w:cs="David"/>
          <w:color w:val="000000"/>
          <w:sz w:val="24"/>
          <w:szCs w:val="24"/>
          <w:rtl/>
        </w:rPr>
      </w:pPr>
    </w:p>
    <w:p w14:paraId="44B79D37" w14:textId="77777777" w:rsidR="006843BF" w:rsidRDefault="006843BF" w:rsidP="00E05ABF">
      <w:pPr>
        <w:spacing w:after="187" w:line="360" w:lineRule="auto"/>
        <w:rPr>
          <w:rFonts w:ascii="David" w:eastAsia="Times New Roman" w:hAnsi="David" w:cs="David"/>
          <w:color w:val="000000"/>
          <w:sz w:val="24"/>
          <w:szCs w:val="24"/>
          <w:rtl/>
        </w:rPr>
      </w:pPr>
    </w:p>
    <w:p w14:paraId="52113B63" w14:textId="77777777" w:rsidR="002E15C1" w:rsidRPr="002E15C1" w:rsidRDefault="002E15C1" w:rsidP="00E05ABF">
      <w:pPr>
        <w:spacing w:after="187" w:line="360" w:lineRule="auto"/>
        <w:rPr>
          <w:rFonts w:ascii="David" w:eastAsia="Times New Roman" w:hAnsi="David" w:cs="David"/>
          <w:color w:val="000000"/>
          <w:sz w:val="24"/>
          <w:szCs w:val="24"/>
          <w:rtl/>
        </w:rPr>
      </w:pPr>
    </w:p>
    <w:p w14:paraId="45114FB7" w14:textId="77777777" w:rsidR="00E05ABF" w:rsidRPr="00E05ABF" w:rsidRDefault="00E05ABF" w:rsidP="00E05ABF">
      <w:pPr>
        <w:spacing w:after="187" w:line="360" w:lineRule="auto"/>
        <w:rPr>
          <w:rFonts w:ascii="David" w:eastAsia="Times New Roman" w:hAnsi="David" w:cs="David"/>
          <w:color w:val="000000"/>
          <w:sz w:val="24"/>
          <w:szCs w:val="24"/>
          <w:rtl/>
        </w:rPr>
      </w:pPr>
    </w:p>
    <w:p w14:paraId="771FD90F" w14:textId="77777777" w:rsidR="00E8164E" w:rsidRDefault="00E8164E" w:rsidP="006457B6">
      <w:pPr>
        <w:spacing w:after="187" w:line="360" w:lineRule="auto"/>
        <w:rPr>
          <w:rFonts w:ascii="David" w:eastAsia="Times New Roman" w:hAnsi="David" w:cs="David"/>
          <w:color w:val="000000"/>
          <w:sz w:val="24"/>
          <w:szCs w:val="24"/>
          <w:rtl/>
        </w:rPr>
      </w:pPr>
    </w:p>
    <w:p w14:paraId="2C69A10C" w14:textId="0E9448B5" w:rsidR="00E40151" w:rsidRPr="006457B6" w:rsidRDefault="007D7F35" w:rsidP="006457B6">
      <w:pPr>
        <w:spacing w:after="187" w:line="360" w:lineRule="auto"/>
        <w:rPr>
          <w:rFonts w:ascii="David" w:eastAsia="Times New Roman" w:hAnsi="David" w:cs="David"/>
          <w:color w:val="000000"/>
          <w:sz w:val="24"/>
          <w:szCs w:val="24"/>
        </w:rPr>
      </w:pPr>
      <w:r>
        <w:rPr>
          <w:rFonts w:ascii="David" w:eastAsia="Times New Roman" w:hAnsi="David" w:cs="David" w:hint="cs"/>
          <w:color w:val="000000"/>
          <w:sz w:val="24"/>
          <w:szCs w:val="24"/>
          <w:rtl/>
        </w:rPr>
        <w:t xml:space="preserve"> </w:t>
      </w:r>
    </w:p>
    <w:p w14:paraId="4DC289EA" w14:textId="77777777" w:rsidR="00C45DCE" w:rsidRDefault="00C45DCE" w:rsidP="00AE0902">
      <w:pPr>
        <w:spacing w:after="187" w:line="360" w:lineRule="auto"/>
        <w:rPr>
          <w:rFonts w:ascii="David" w:eastAsia="Times New Roman" w:hAnsi="David" w:cs="David"/>
          <w:sz w:val="24"/>
          <w:szCs w:val="24"/>
          <w:rtl/>
        </w:rPr>
      </w:pPr>
    </w:p>
    <w:p w14:paraId="16E6C7FD" w14:textId="77777777" w:rsidR="00CF0989" w:rsidRDefault="00CF0989" w:rsidP="00AE0902">
      <w:pPr>
        <w:spacing w:after="187" w:line="360" w:lineRule="auto"/>
        <w:rPr>
          <w:rFonts w:ascii="David" w:eastAsia="Times New Roman" w:hAnsi="David" w:cs="David"/>
          <w:sz w:val="24"/>
          <w:szCs w:val="24"/>
          <w:rtl/>
        </w:rPr>
      </w:pPr>
    </w:p>
    <w:p w14:paraId="25AE914C" w14:textId="77777777" w:rsidR="001715D7" w:rsidRPr="00AE0902" w:rsidRDefault="001715D7" w:rsidP="00AE0902">
      <w:pPr>
        <w:spacing w:after="187" w:line="360" w:lineRule="auto"/>
        <w:rPr>
          <w:rFonts w:ascii="David" w:eastAsia="Times New Roman" w:hAnsi="David" w:cs="David"/>
          <w:sz w:val="24"/>
          <w:szCs w:val="24"/>
        </w:rPr>
      </w:pPr>
    </w:p>
    <w:p w14:paraId="715D3E5D" w14:textId="1BC1B584" w:rsidR="00AE0902" w:rsidRPr="00AE0902" w:rsidRDefault="00AE0902" w:rsidP="00AE0902">
      <w:pPr>
        <w:spacing w:after="187" w:line="360" w:lineRule="auto"/>
        <w:ind w:left="360"/>
        <w:rPr>
          <w:rFonts w:ascii="David" w:eastAsia="Times New Roman" w:hAnsi="David" w:cs="David"/>
          <w:sz w:val="24"/>
          <w:szCs w:val="24"/>
          <w:rtl/>
        </w:rPr>
      </w:pPr>
    </w:p>
    <w:p w14:paraId="2F4B7A1F" w14:textId="6DBD6D55" w:rsidR="00525336" w:rsidRDefault="00525336" w:rsidP="006B12BD">
      <w:pPr>
        <w:shd w:val="clear" w:color="auto" w:fill="FFFFFF"/>
        <w:spacing w:before="131" w:after="131" w:line="360" w:lineRule="auto"/>
        <w:outlineLvl w:val="1"/>
        <w:rPr>
          <w:rFonts w:ascii="David" w:hAnsi="David" w:cs="David"/>
          <w:sz w:val="24"/>
          <w:szCs w:val="24"/>
          <w:rtl/>
          <w:lang w:eastAsia="zh-CN"/>
        </w:rPr>
      </w:pPr>
    </w:p>
    <w:p w14:paraId="2364EF30" w14:textId="77777777" w:rsidR="008A5E85" w:rsidRDefault="008A5E85" w:rsidP="00DF75DF">
      <w:pPr>
        <w:shd w:val="clear" w:color="auto" w:fill="FFFFFF"/>
        <w:spacing w:before="131" w:after="131" w:line="393" w:lineRule="atLeast"/>
        <w:outlineLvl w:val="1"/>
        <w:rPr>
          <w:rFonts w:ascii="David" w:hAnsi="David" w:cs="David"/>
          <w:sz w:val="24"/>
          <w:szCs w:val="24"/>
          <w:rtl/>
          <w:lang w:eastAsia="zh-CN"/>
        </w:rPr>
      </w:pPr>
    </w:p>
    <w:p w14:paraId="5422C7AD" w14:textId="77777777" w:rsidR="00D00DA0" w:rsidRPr="00D00DA0" w:rsidRDefault="00D00DA0" w:rsidP="00DF75DF">
      <w:pPr>
        <w:shd w:val="clear" w:color="auto" w:fill="FFFFFF"/>
        <w:spacing w:before="131" w:after="131" w:line="393" w:lineRule="atLeast"/>
        <w:outlineLvl w:val="1"/>
        <w:rPr>
          <w:rFonts w:ascii="David" w:hAnsi="David" w:cs="David"/>
          <w:sz w:val="24"/>
          <w:szCs w:val="24"/>
          <w:lang w:eastAsia="zh-CN"/>
        </w:rPr>
      </w:pPr>
    </w:p>
    <w:p w14:paraId="784D8E94" w14:textId="5C79B136" w:rsidR="00DF75DF" w:rsidRDefault="00DF75DF" w:rsidP="0040735E">
      <w:pPr>
        <w:spacing w:line="360" w:lineRule="auto"/>
        <w:rPr>
          <w:rFonts w:ascii="David" w:hAnsi="David" w:cs="David"/>
          <w:sz w:val="24"/>
          <w:szCs w:val="24"/>
          <w:rtl/>
        </w:rPr>
      </w:pPr>
    </w:p>
    <w:p w14:paraId="2B9FAFC6" w14:textId="77777777" w:rsidR="0002292F" w:rsidRDefault="0002292F" w:rsidP="0040735E">
      <w:pPr>
        <w:spacing w:line="360" w:lineRule="auto"/>
        <w:rPr>
          <w:rFonts w:ascii="David" w:hAnsi="David" w:cs="David"/>
          <w:sz w:val="24"/>
          <w:szCs w:val="24"/>
          <w:rtl/>
        </w:rPr>
      </w:pPr>
    </w:p>
    <w:p w14:paraId="04CF43C1" w14:textId="77777777" w:rsidR="0002292F" w:rsidRPr="00F56220" w:rsidRDefault="0002292F" w:rsidP="0040735E">
      <w:pPr>
        <w:spacing w:line="360" w:lineRule="auto"/>
        <w:rPr>
          <w:rFonts w:ascii="David" w:hAnsi="David" w:cs="David"/>
          <w:sz w:val="24"/>
          <w:szCs w:val="24"/>
          <w:rtl/>
        </w:rPr>
      </w:pPr>
    </w:p>
    <w:sectPr w:rsidR="0002292F" w:rsidRPr="00F56220" w:rsidSect="00D03A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C990" w14:textId="77777777" w:rsidR="00A6717D" w:rsidRDefault="00A6717D" w:rsidP="002E7BD2">
      <w:pPr>
        <w:spacing w:after="0" w:line="240" w:lineRule="auto"/>
      </w:pPr>
      <w:r>
        <w:separator/>
      </w:r>
    </w:p>
  </w:endnote>
  <w:endnote w:type="continuationSeparator" w:id="0">
    <w:p w14:paraId="01B4F59D" w14:textId="77777777" w:rsidR="00A6717D" w:rsidRDefault="00A6717D" w:rsidP="002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793A" w14:textId="77777777" w:rsidR="00A6717D" w:rsidRDefault="00A6717D" w:rsidP="002E7BD2">
      <w:pPr>
        <w:spacing w:after="0" w:line="240" w:lineRule="auto"/>
      </w:pPr>
      <w:r>
        <w:separator/>
      </w:r>
    </w:p>
  </w:footnote>
  <w:footnote w:type="continuationSeparator" w:id="0">
    <w:p w14:paraId="7D242CE9" w14:textId="77777777" w:rsidR="00A6717D" w:rsidRDefault="00A6717D" w:rsidP="002E7BD2">
      <w:pPr>
        <w:spacing w:after="0" w:line="240" w:lineRule="auto"/>
      </w:pPr>
      <w:r>
        <w:continuationSeparator/>
      </w:r>
    </w:p>
  </w:footnote>
  <w:footnote w:id="1">
    <w:p w14:paraId="3CA1E7E1" w14:textId="5F59F5A7" w:rsidR="002E7BD2" w:rsidRDefault="002E7BD2">
      <w:pPr>
        <w:pStyle w:val="a3"/>
      </w:pPr>
      <w:r>
        <w:rPr>
          <w:rStyle w:val="a5"/>
        </w:rPr>
        <w:footnoteRef/>
      </w:r>
      <w:r>
        <w:rPr>
          <w:rtl/>
        </w:rPr>
        <w:t xml:space="preserve"> </w:t>
      </w:r>
    </w:p>
  </w:footnote>
  <w:footnote w:id="2">
    <w:p w14:paraId="50343C80" w14:textId="03C60495" w:rsidR="009902DB" w:rsidRDefault="009902DB">
      <w:pPr>
        <w:pStyle w:val="a3"/>
      </w:pPr>
      <w:r>
        <w:rPr>
          <w:rStyle w:val="a5"/>
        </w:rPr>
        <w:footnoteRef/>
      </w:r>
      <w:r>
        <w:rPr>
          <w:rtl/>
        </w:rPr>
        <w:t xml:space="preserve"> </w:t>
      </w:r>
    </w:p>
  </w:footnote>
  <w:footnote w:id="3">
    <w:p w14:paraId="0E7933EB" w14:textId="7B5E17CE" w:rsidR="006E2321" w:rsidRDefault="006E2321">
      <w:pPr>
        <w:pStyle w:val="a3"/>
      </w:pPr>
      <w:r>
        <w:rPr>
          <w:rStyle w:val="a5"/>
        </w:rPr>
        <w:footnoteRef/>
      </w:r>
      <w:r>
        <w:rPr>
          <w:rtl/>
        </w:rPr>
        <w:t xml:space="preserve"> </w:t>
      </w:r>
    </w:p>
  </w:footnote>
  <w:footnote w:id="4">
    <w:p w14:paraId="5E2B9EDC" w14:textId="51043F9E" w:rsidR="00BA7075" w:rsidRDefault="00BA7075">
      <w:pPr>
        <w:pStyle w:val="a3"/>
        <w:rPr>
          <w:rtl/>
        </w:rPr>
      </w:pPr>
      <w:r>
        <w:rPr>
          <w:rStyle w:val="a5"/>
        </w:rPr>
        <w:footnoteRef/>
      </w:r>
      <w:r>
        <w:rPr>
          <w:rtl/>
        </w:rPr>
        <w:t xml:space="preserve"> </w:t>
      </w:r>
    </w:p>
  </w:footnote>
  <w:footnote w:id="5">
    <w:p w14:paraId="5388CCB1" w14:textId="1959861D" w:rsidR="00462107" w:rsidRDefault="00462107">
      <w:pPr>
        <w:pStyle w:val="a3"/>
      </w:pPr>
      <w:r>
        <w:rPr>
          <w:rStyle w:val="a5"/>
        </w:rPr>
        <w:footnoteRef/>
      </w:r>
      <w:r>
        <w:rPr>
          <w:rtl/>
        </w:rPr>
        <w:t xml:space="preserve"> </w:t>
      </w:r>
    </w:p>
  </w:footnote>
  <w:footnote w:id="6">
    <w:p w14:paraId="728533C5" w14:textId="18BEC612" w:rsidR="00D00DA0" w:rsidRDefault="00D00DA0">
      <w:pPr>
        <w:pStyle w:val="a3"/>
      </w:pPr>
      <w:r>
        <w:rPr>
          <w:rStyle w:val="a5"/>
        </w:rPr>
        <w:footnoteRef/>
      </w:r>
      <w:r>
        <w:rPr>
          <w:rtl/>
        </w:rPr>
        <w:t xml:space="preserve"> </w:t>
      </w:r>
    </w:p>
  </w:footnote>
  <w:footnote w:id="7">
    <w:p w14:paraId="3ACEDFA7" w14:textId="6012F9CF" w:rsidR="00731353" w:rsidRDefault="00731353">
      <w:pPr>
        <w:pStyle w:val="a3"/>
      </w:pPr>
      <w:r>
        <w:rPr>
          <w:rStyle w:val="a5"/>
        </w:rPr>
        <w:footnoteRef/>
      </w:r>
      <w:r>
        <w:rPr>
          <w:rtl/>
        </w:rPr>
        <w:t xml:space="preserve"> </w:t>
      </w:r>
    </w:p>
  </w:footnote>
  <w:footnote w:id="8">
    <w:p w14:paraId="68814017" w14:textId="1598A51D" w:rsidR="00731353" w:rsidRDefault="00731353">
      <w:pPr>
        <w:pStyle w:val="a3"/>
      </w:pPr>
      <w:r>
        <w:rPr>
          <w:rStyle w:val="a5"/>
        </w:rPr>
        <w:footnoteRef/>
      </w:r>
      <w:r>
        <w:rPr>
          <w:rtl/>
        </w:rPr>
        <w:t xml:space="preserve"> </w:t>
      </w:r>
    </w:p>
  </w:footnote>
  <w:footnote w:id="9">
    <w:p w14:paraId="685D89C0" w14:textId="03A0B0DD" w:rsidR="000C7D32" w:rsidRDefault="000C7D32">
      <w:pPr>
        <w:pStyle w:val="a3"/>
        <w:rPr>
          <w:rtl/>
        </w:rPr>
      </w:pPr>
      <w:r>
        <w:rPr>
          <w:rStyle w:val="a5"/>
        </w:rPr>
        <w:footnoteRef/>
      </w:r>
      <w:r>
        <w:rPr>
          <w:rtl/>
        </w:rPr>
        <w:t xml:space="preserve"> </w:t>
      </w:r>
    </w:p>
    <w:p w14:paraId="46ADADE8" w14:textId="77777777" w:rsidR="000C7D32" w:rsidRDefault="000C7D32">
      <w:pPr>
        <w:pStyle w:val="a3"/>
      </w:pPr>
    </w:p>
  </w:footnote>
  <w:footnote w:id="10">
    <w:p w14:paraId="678FBFF2" w14:textId="3CE09C38" w:rsidR="004A30C0" w:rsidRDefault="004A30C0">
      <w:pPr>
        <w:pStyle w:val="a3"/>
      </w:pPr>
      <w:r>
        <w:rPr>
          <w:rStyle w:val="a5"/>
        </w:rPr>
        <w:footnoteRef/>
      </w:r>
      <w:r>
        <w:rPr>
          <w:rtl/>
        </w:rPr>
        <w:t xml:space="preserve"> </w:t>
      </w:r>
    </w:p>
  </w:footnote>
  <w:footnote w:id="11">
    <w:p w14:paraId="28C96F7B" w14:textId="258BD4E9" w:rsidR="000618FA" w:rsidRDefault="000618FA">
      <w:pPr>
        <w:pStyle w:val="a3"/>
      </w:pPr>
      <w:r>
        <w:rPr>
          <w:rStyle w:val="a5"/>
        </w:rPr>
        <w:footnoteRef/>
      </w:r>
      <w:r>
        <w:rPr>
          <w:rtl/>
        </w:rPr>
        <w:t xml:space="preserve"> </w:t>
      </w:r>
    </w:p>
  </w:footnote>
  <w:footnote w:id="12">
    <w:p w14:paraId="7D22B65B" w14:textId="112509A5" w:rsidR="00840777" w:rsidRDefault="00840777">
      <w:pPr>
        <w:pStyle w:val="a3"/>
      </w:pPr>
      <w:r>
        <w:rPr>
          <w:rStyle w:val="a5"/>
        </w:rPr>
        <w:footnoteRef/>
      </w:r>
      <w:r>
        <w:rPr>
          <w:rtl/>
        </w:rPr>
        <w:t xml:space="preserve"> </w:t>
      </w:r>
    </w:p>
  </w:footnote>
  <w:footnote w:id="13">
    <w:p w14:paraId="16120189" w14:textId="4559DD12" w:rsidR="00840777" w:rsidRDefault="00840777">
      <w:pPr>
        <w:pStyle w:val="a3"/>
      </w:pPr>
      <w:r>
        <w:rPr>
          <w:rStyle w:val="a5"/>
        </w:rPr>
        <w:footnoteRef/>
      </w:r>
      <w:r>
        <w:rPr>
          <w:rtl/>
        </w:rPr>
        <w:t xml:space="preserve"> </w:t>
      </w:r>
    </w:p>
  </w:footnote>
  <w:footnote w:id="14">
    <w:p w14:paraId="1AECBFF7" w14:textId="4CBA2356" w:rsidR="00840777" w:rsidRDefault="00840777">
      <w:pPr>
        <w:pStyle w:val="a3"/>
      </w:pPr>
      <w:r>
        <w:rPr>
          <w:rStyle w:val="a5"/>
        </w:rPr>
        <w:footnoteRef/>
      </w:r>
      <w:r>
        <w:rPr>
          <w:rtl/>
        </w:rPr>
        <w:t xml:space="preserve"> </w:t>
      </w:r>
    </w:p>
  </w:footnote>
  <w:footnote w:id="15">
    <w:p w14:paraId="615EA5E0" w14:textId="4F2AC22D" w:rsidR="008D0852" w:rsidRDefault="008D0852">
      <w:pPr>
        <w:pStyle w:val="a3"/>
      </w:pPr>
      <w:r>
        <w:rPr>
          <w:rStyle w:val="a5"/>
        </w:rPr>
        <w:footnoteRef/>
      </w:r>
      <w:r>
        <w:rPr>
          <w:rtl/>
        </w:rPr>
        <w:t xml:space="preserve"> </w:t>
      </w:r>
    </w:p>
  </w:footnote>
  <w:footnote w:id="16">
    <w:p w14:paraId="1244C3D2" w14:textId="21B9E8CF" w:rsidR="00F601E5" w:rsidRDefault="00F601E5">
      <w:pPr>
        <w:pStyle w:val="a3"/>
      </w:pPr>
      <w:r>
        <w:rPr>
          <w:rStyle w:val="a5"/>
        </w:rPr>
        <w:footnoteRef/>
      </w:r>
      <w:r>
        <w:rPr>
          <w:rtl/>
        </w:rPr>
        <w:t xml:space="preserve"> </w:t>
      </w:r>
    </w:p>
  </w:footnote>
  <w:footnote w:id="17">
    <w:p w14:paraId="5C6FAB52" w14:textId="4C97FBCB" w:rsidR="008D0852" w:rsidRDefault="008D0852">
      <w:pPr>
        <w:pStyle w:val="a3"/>
      </w:pPr>
      <w:r>
        <w:rPr>
          <w:rStyle w:val="a5"/>
        </w:rPr>
        <w:footnoteRef/>
      </w:r>
      <w:r>
        <w:rPr>
          <w:rtl/>
        </w:rPr>
        <w:t xml:space="preserve"> </w:t>
      </w:r>
    </w:p>
  </w:footnote>
  <w:footnote w:id="18">
    <w:p w14:paraId="52D86630" w14:textId="56345393" w:rsidR="008D0852" w:rsidRDefault="008D0852">
      <w:pPr>
        <w:pStyle w:val="a3"/>
      </w:pPr>
      <w:r>
        <w:rPr>
          <w:rStyle w:val="a5"/>
        </w:rPr>
        <w:footnoteRef/>
      </w:r>
      <w:r>
        <w:rPr>
          <w:rtl/>
        </w:rPr>
        <w:t xml:space="preserve"> </w:t>
      </w:r>
    </w:p>
  </w:footnote>
  <w:footnote w:id="19">
    <w:p w14:paraId="3AEB4BA6" w14:textId="7D608A8D" w:rsidR="001264E6" w:rsidRDefault="001264E6">
      <w:pPr>
        <w:pStyle w:val="a3"/>
      </w:pPr>
      <w:r>
        <w:rPr>
          <w:rStyle w:val="a5"/>
        </w:rPr>
        <w:footnoteRef/>
      </w:r>
      <w:r>
        <w:rPr>
          <w:rtl/>
        </w:rPr>
        <w:t xml:space="preserve"> </w:t>
      </w:r>
    </w:p>
  </w:footnote>
  <w:footnote w:id="20">
    <w:p w14:paraId="63F188B8" w14:textId="3CD87901" w:rsidR="00B806F7" w:rsidRDefault="00B806F7">
      <w:pPr>
        <w:pStyle w:val="a3"/>
      </w:pPr>
      <w:r>
        <w:rPr>
          <w:rStyle w:val="a5"/>
        </w:rPr>
        <w:footnoteRef/>
      </w:r>
      <w:r>
        <w:rPr>
          <w:rtl/>
        </w:rPr>
        <w:t xml:space="preserve"> </w:t>
      </w:r>
    </w:p>
  </w:footnote>
  <w:footnote w:id="21">
    <w:p w14:paraId="4CB4799B" w14:textId="0E703C86" w:rsidR="00C45DCE" w:rsidRDefault="00C45DCE">
      <w:pPr>
        <w:pStyle w:val="a3"/>
        <w:rPr>
          <w:rtl/>
        </w:rPr>
      </w:pPr>
      <w:r>
        <w:rPr>
          <w:rStyle w:val="a5"/>
        </w:rPr>
        <w:footnoteRef/>
      </w:r>
      <w:r>
        <w:rPr>
          <w:rtl/>
        </w:rPr>
        <w:t xml:space="preserve"> </w:t>
      </w:r>
    </w:p>
  </w:footnote>
  <w:footnote w:id="22">
    <w:p w14:paraId="34314100" w14:textId="2B21C586" w:rsidR="00481BAD" w:rsidRDefault="00481BAD">
      <w:pPr>
        <w:pStyle w:val="a3"/>
      </w:pPr>
      <w:r>
        <w:rPr>
          <w:rStyle w:val="a5"/>
        </w:rPr>
        <w:footnoteRef/>
      </w:r>
      <w:r>
        <w:rPr>
          <w:rtl/>
        </w:rPr>
        <w:t xml:space="preserve"> </w:t>
      </w:r>
    </w:p>
  </w:footnote>
  <w:footnote w:id="23">
    <w:p w14:paraId="7D7EB8BB" w14:textId="703EDEEC" w:rsidR="000F7340" w:rsidRDefault="000F7340">
      <w:pPr>
        <w:pStyle w:val="a3"/>
      </w:pPr>
      <w:r>
        <w:rPr>
          <w:rStyle w:val="a5"/>
        </w:rPr>
        <w:footnoteRef/>
      </w:r>
      <w:r>
        <w:rPr>
          <w:rtl/>
        </w:rPr>
        <w:t xml:space="preserve"> </w:t>
      </w:r>
    </w:p>
  </w:footnote>
  <w:footnote w:id="24">
    <w:p w14:paraId="26A899DF" w14:textId="51B74565" w:rsidR="00863F79" w:rsidRDefault="00863F79">
      <w:pPr>
        <w:pStyle w:val="a3"/>
        <w:rPr>
          <w:rtl/>
        </w:rPr>
      </w:pPr>
      <w:r>
        <w:rPr>
          <w:rStyle w:val="a5"/>
        </w:rPr>
        <w:footnoteRef/>
      </w:r>
      <w:r>
        <w:rPr>
          <w:rtl/>
        </w:rPr>
        <w:t xml:space="preserve"> </w:t>
      </w:r>
    </w:p>
  </w:footnote>
  <w:footnote w:id="25">
    <w:p w14:paraId="4DF56CF5" w14:textId="5311AF9F" w:rsidR="00E05ABF" w:rsidRDefault="00E05ABF">
      <w:pPr>
        <w:pStyle w:val="a3"/>
      </w:pPr>
      <w:r>
        <w:rPr>
          <w:rStyle w:val="a5"/>
        </w:rPr>
        <w:footnoteRef/>
      </w:r>
      <w:r>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8ED"/>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250F29"/>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31EC1"/>
    <w:multiLevelType w:val="hybridMultilevel"/>
    <w:tmpl w:val="CE22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E2281"/>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162F3"/>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18429A"/>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83BE7"/>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A91A30"/>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D2049A"/>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964D84"/>
    <w:multiLevelType w:val="hybridMultilevel"/>
    <w:tmpl w:val="6FE4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0"/>
  </w:num>
  <w:num w:numId="5">
    <w:abstractNumId w:val="4"/>
  </w:num>
  <w:num w:numId="6">
    <w:abstractNumId w:val="3"/>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5E"/>
    <w:rsid w:val="00017464"/>
    <w:rsid w:val="0002292F"/>
    <w:rsid w:val="00027B23"/>
    <w:rsid w:val="000374F4"/>
    <w:rsid w:val="00041FAD"/>
    <w:rsid w:val="00054AB1"/>
    <w:rsid w:val="000618FA"/>
    <w:rsid w:val="000731B8"/>
    <w:rsid w:val="00075A60"/>
    <w:rsid w:val="000853EF"/>
    <w:rsid w:val="000C7D32"/>
    <w:rsid w:val="000E4F1D"/>
    <w:rsid w:val="000F7340"/>
    <w:rsid w:val="00113914"/>
    <w:rsid w:val="001264E6"/>
    <w:rsid w:val="001609D5"/>
    <w:rsid w:val="00163CEA"/>
    <w:rsid w:val="00163D6E"/>
    <w:rsid w:val="0016447B"/>
    <w:rsid w:val="001715D7"/>
    <w:rsid w:val="00180227"/>
    <w:rsid w:val="001D1C50"/>
    <w:rsid w:val="001D7B61"/>
    <w:rsid w:val="001F0EF7"/>
    <w:rsid w:val="001F1672"/>
    <w:rsid w:val="00214060"/>
    <w:rsid w:val="002170E7"/>
    <w:rsid w:val="00270C96"/>
    <w:rsid w:val="00272DA5"/>
    <w:rsid w:val="002730B1"/>
    <w:rsid w:val="0027385C"/>
    <w:rsid w:val="002776DE"/>
    <w:rsid w:val="00286272"/>
    <w:rsid w:val="00293BFB"/>
    <w:rsid w:val="002C3E58"/>
    <w:rsid w:val="002E15C1"/>
    <w:rsid w:val="002E7BD2"/>
    <w:rsid w:val="00323951"/>
    <w:rsid w:val="003307DC"/>
    <w:rsid w:val="003A2A50"/>
    <w:rsid w:val="003D50EA"/>
    <w:rsid w:val="003E4059"/>
    <w:rsid w:val="003F6F94"/>
    <w:rsid w:val="0040735E"/>
    <w:rsid w:val="00407FFD"/>
    <w:rsid w:val="004117D9"/>
    <w:rsid w:val="0042187B"/>
    <w:rsid w:val="00424F56"/>
    <w:rsid w:val="00447F1D"/>
    <w:rsid w:val="00462107"/>
    <w:rsid w:val="00481BAD"/>
    <w:rsid w:val="004842CB"/>
    <w:rsid w:val="00484601"/>
    <w:rsid w:val="00486B4C"/>
    <w:rsid w:val="00491FA3"/>
    <w:rsid w:val="00493326"/>
    <w:rsid w:val="004A30C0"/>
    <w:rsid w:val="004A58CE"/>
    <w:rsid w:val="004B2DED"/>
    <w:rsid w:val="004D5B31"/>
    <w:rsid w:val="004D6763"/>
    <w:rsid w:val="004E244B"/>
    <w:rsid w:val="004F6CA3"/>
    <w:rsid w:val="00502FB3"/>
    <w:rsid w:val="00525336"/>
    <w:rsid w:val="00530798"/>
    <w:rsid w:val="005313CA"/>
    <w:rsid w:val="00531BB1"/>
    <w:rsid w:val="005345ED"/>
    <w:rsid w:val="00551619"/>
    <w:rsid w:val="0056001D"/>
    <w:rsid w:val="00567EA9"/>
    <w:rsid w:val="005735AA"/>
    <w:rsid w:val="00593978"/>
    <w:rsid w:val="005E3847"/>
    <w:rsid w:val="00634AEB"/>
    <w:rsid w:val="00640C3B"/>
    <w:rsid w:val="006457B6"/>
    <w:rsid w:val="00655933"/>
    <w:rsid w:val="0067131B"/>
    <w:rsid w:val="006801A1"/>
    <w:rsid w:val="006843BF"/>
    <w:rsid w:val="00687D04"/>
    <w:rsid w:val="006929C4"/>
    <w:rsid w:val="006A5151"/>
    <w:rsid w:val="006B08CA"/>
    <w:rsid w:val="006B12BD"/>
    <w:rsid w:val="006C5D7A"/>
    <w:rsid w:val="006E11B9"/>
    <w:rsid w:val="006E1AEE"/>
    <w:rsid w:val="006E2321"/>
    <w:rsid w:val="006F7FF8"/>
    <w:rsid w:val="007142D2"/>
    <w:rsid w:val="00720849"/>
    <w:rsid w:val="00731353"/>
    <w:rsid w:val="007769CD"/>
    <w:rsid w:val="00796F81"/>
    <w:rsid w:val="007C3CFA"/>
    <w:rsid w:val="007D23A0"/>
    <w:rsid w:val="007D7F35"/>
    <w:rsid w:val="00806C01"/>
    <w:rsid w:val="00816145"/>
    <w:rsid w:val="00833F85"/>
    <w:rsid w:val="00840777"/>
    <w:rsid w:val="00863F79"/>
    <w:rsid w:val="00874856"/>
    <w:rsid w:val="008929FE"/>
    <w:rsid w:val="0089682D"/>
    <w:rsid w:val="008A160D"/>
    <w:rsid w:val="008A462E"/>
    <w:rsid w:val="008A5560"/>
    <w:rsid w:val="008A5E85"/>
    <w:rsid w:val="008C219F"/>
    <w:rsid w:val="008D0852"/>
    <w:rsid w:val="008D74DA"/>
    <w:rsid w:val="008E0A36"/>
    <w:rsid w:val="008E741D"/>
    <w:rsid w:val="008F394E"/>
    <w:rsid w:val="008F576A"/>
    <w:rsid w:val="00904AF4"/>
    <w:rsid w:val="009640A8"/>
    <w:rsid w:val="0096503B"/>
    <w:rsid w:val="00973544"/>
    <w:rsid w:val="009902DB"/>
    <w:rsid w:val="00993FFE"/>
    <w:rsid w:val="0099747A"/>
    <w:rsid w:val="009B550D"/>
    <w:rsid w:val="009B60A9"/>
    <w:rsid w:val="009B76A7"/>
    <w:rsid w:val="009D2A47"/>
    <w:rsid w:val="00A1195C"/>
    <w:rsid w:val="00A14B41"/>
    <w:rsid w:val="00A363D9"/>
    <w:rsid w:val="00A42CF4"/>
    <w:rsid w:val="00A51E69"/>
    <w:rsid w:val="00A6717D"/>
    <w:rsid w:val="00A75CEE"/>
    <w:rsid w:val="00A873AA"/>
    <w:rsid w:val="00AA1156"/>
    <w:rsid w:val="00AE0902"/>
    <w:rsid w:val="00AE23F3"/>
    <w:rsid w:val="00B126F6"/>
    <w:rsid w:val="00B1474F"/>
    <w:rsid w:val="00B14DEB"/>
    <w:rsid w:val="00B2245D"/>
    <w:rsid w:val="00B32A1A"/>
    <w:rsid w:val="00B351D9"/>
    <w:rsid w:val="00B608A8"/>
    <w:rsid w:val="00B67377"/>
    <w:rsid w:val="00B74002"/>
    <w:rsid w:val="00B77B56"/>
    <w:rsid w:val="00B806F7"/>
    <w:rsid w:val="00B81618"/>
    <w:rsid w:val="00B867FB"/>
    <w:rsid w:val="00BA7075"/>
    <w:rsid w:val="00BB510A"/>
    <w:rsid w:val="00BC71EE"/>
    <w:rsid w:val="00BE3DA7"/>
    <w:rsid w:val="00BE7516"/>
    <w:rsid w:val="00BE7E45"/>
    <w:rsid w:val="00C06570"/>
    <w:rsid w:val="00C25F39"/>
    <w:rsid w:val="00C37C35"/>
    <w:rsid w:val="00C41240"/>
    <w:rsid w:val="00C45DCE"/>
    <w:rsid w:val="00C47D46"/>
    <w:rsid w:val="00C5679E"/>
    <w:rsid w:val="00C6075B"/>
    <w:rsid w:val="00C77D9E"/>
    <w:rsid w:val="00C86567"/>
    <w:rsid w:val="00C97295"/>
    <w:rsid w:val="00CE7507"/>
    <w:rsid w:val="00CF0989"/>
    <w:rsid w:val="00CF5DC7"/>
    <w:rsid w:val="00D00DA0"/>
    <w:rsid w:val="00D03AA3"/>
    <w:rsid w:val="00D9144B"/>
    <w:rsid w:val="00DA3A04"/>
    <w:rsid w:val="00DA5D7F"/>
    <w:rsid w:val="00DB552B"/>
    <w:rsid w:val="00DB7F1E"/>
    <w:rsid w:val="00DF75DF"/>
    <w:rsid w:val="00E05ABF"/>
    <w:rsid w:val="00E109A3"/>
    <w:rsid w:val="00E16156"/>
    <w:rsid w:val="00E16BF8"/>
    <w:rsid w:val="00E27E45"/>
    <w:rsid w:val="00E33B47"/>
    <w:rsid w:val="00E348F8"/>
    <w:rsid w:val="00E40151"/>
    <w:rsid w:val="00E46BC7"/>
    <w:rsid w:val="00E4784C"/>
    <w:rsid w:val="00E626E8"/>
    <w:rsid w:val="00E8044E"/>
    <w:rsid w:val="00E8164E"/>
    <w:rsid w:val="00E9630B"/>
    <w:rsid w:val="00EA2E38"/>
    <w:rsid w:val="00EA6A3F"/>
    <w:rsid w:val="00EB6384"/>
    <w:rsid w:val="00EB70C5"/>
    <w:rsid w:val="00EC3BE5"/>
    <w:rsid w:val="00EE4AF0"/>
    <w:rsid w:val="00F17CDF"/>
    <w:rsid w:val="00F33868"/>
    <w:rsid w:val="00F56220"/>
    <w:rsid w:val="00F601E5"/>
    <w:rsid w:val="00F81CDC"/>
    <w:rsid w:val="00FB4382"/>
    <w:rsid w:val="00FC067D"/>
    <w:rsid w:val="00FC7864"/>
    <w:rsid w:val="00FD2ECE"/>
    <w:rsid w:val="00FE79D6"/>
    <w:rsid w:val="00FF4F10"/>
    <w:rsid w:val="00FF55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A420"/>
  <w15:chartTrackingRefBased/>
  <w15:docId w15:val="{879B1E98-9F39-4E04-BA29-533C85B9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E7BD2"/>
    <w:pPr>
      <w:spacing w:after="0" w:line="240" w:lineRule="auto"/>
    </w:pPr>
    <w:rPr>
      <w:sz w:val="20"/>
      <w:szCs w:val="20"/>
    </w:rPr>
  </w:style>
  <w:style w:type="character" w:customStyle="1" w:styleId="a4">
    <w:name w:val="טקסט הערת שוליים תו"/>
    <w:basedOn w:val="a0"/>
    <w:link w:val="a3"/>
    <w:uiPriority w:val="99"/>
    <w:semiHidden/>
    <w:rsid w:val="002E7BD2"/>
    <w:rPr>
      <w:sz w:val="20"/>
      <w:szCs w:val="20"/>
    </w:rPr>
  </w:style>
  <w:style w:type="character" w:styleId="a5">
    <w:name w:val="footnote reference"/>
    <w:basedOn w:val="a0"/>
    <w:uiPriority w:val="99"/>
    <w:semiHidden/>
    <w:unhideWhenUsed/>
    <w:rsid w:val="002E7BD2"/>
    <w:rPr>
      <w:vertAlign w:val="superscript"/>
    </w:rPr>
  </w:style>
  <w:style w:type="paragraph" w:styleId="a6">
    <w:name w:val="List Paragraph"/>
    <w:basedOn w:val="a"/>
    <w:uiPriority w:val="34"/>
    <w:qFormat/>
    <w:rsid w:val="00AE0902"/>
    <w:pPr>
      <w:ind w:left="720"/>
      <w:contextualSpacing/>
    </w:pPr>
  </w:style>
  <w:style w:type="table" w:styleId="a7">
    <w:name w:val="Table Grid"/>
    <w:basedOn w:val="a1"/>
    <w:uiPriority w:val="39"/>
    <w:rsid w:val="00BB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041F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tzaraat-as-canc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etorah.com/sukkots-seventy-bull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12C21-549B-491D-B546-E4436537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2961</Words>
  <Characters>14807</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Zehava</dc:creator>
  <cp:keywords/>
  <dc:description/>
  <cp:lastModifiedBy>Zehava</cp:lastModifiedBy>
  <cp:revision>2</cp:revision>
  <dcterms:created xsi:type="dcterms:W3CDTF">2022-03-14T19:17:00Z</dcterms:created>
  <dcterms:modified xsi:type="dcterms:W3CDTF">2022-03-14T19:17:00Z</dcterms:modified>
</cp:coreProperties>
</file>