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B5F6" w14:textId="744DAECC" w:rsidR="00F86261" w:rsidRDefault="00F86261" w:rsidP="00F86261">
      <w:pPr>
        <w:rPr>
          <w:rFonts w:ascii="Palatino Linotype" w:hAnsi="Palatino Linotype"/>
          <w:color w:val="000000" w:themeColor="text1"/>
          <w:sz w:val="24"/>
          <w:lang w:val="en-GB"/>
        </w:rPr>
      </w:pP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This </w:t>
      </w:r>
      <w:r>
        <w:rPr>
          <w:rFonts w:ascii="Palatino Linotype" w:hAnsi="Palatino Linotype"/>
          <w:color w:val="000000" w:themeColor="text1"/>
          <w:sz w:val="24"/>
          <w:lang w:val="en-US"/>
        </w:rPr>
        <w:t>paper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aims to investigate the metamorphosis of a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halakhic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case </w:t>
      </w:r>
      <w:r>
        <w:rPr>
          <w:rFonts w:ascii="Palatino Linotype" w:hAnsi="Palatino Linotype"/>
          <w:color w:val="000000" w:themeColor="text1"/>
          <w:sz w:val="24"/>
          <w:lang w:val="en-GB"/>
        </w:rPr>
        <w:t xml:space="preserve">of 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a </w:t>
      </w:r>
      <w:r w:rsidRPr="009C58BC">
        <w:rPr>
          <w:rFonts w:ascii="Palatino Linotype" w:hAnsi="Palatino Linotype" w:cstheme="majorHAnsi"/>
          <w:i/>
          <w:iCs/>
          <w:color w:val="000000" w:themeColor="text1"/>
          <w:sz w:val="24"/>
          <w:szCs w:val="24"/>
          <w:lang w:val="en-GB" w:eastAsia="nl-BE" w:bidi="yi-Hebr"/>
        </w:rPr>
        <w:t>kohen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 xml:space="preserve"> (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>priest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)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who is an androgynous,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or, in modern terms, an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intersex person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.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This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kohen,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who has both a male reproductive organ and a female one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,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can be sexually active both as a man and as a woman.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 xml:space="preserve">The halakhic case analysed in the light of rabbinic perception of sexual intercourse. 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The textual evidence for the androgynous case has been chosen diachronically from early rabbinic literature in transmission to a paragraph from the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 xml:space="preserve">sixth-century work </w:t>
      </w:r>
      <w:r w:rsidRPr="00854340">
        <w:rPr>
          <w:rFonts w:ascii="Palatino Linotype" w:hAnsi="Palatino Linotype"/>
          <w:i/>
          <w:color w:val="000000" w:themeColor="text1"/>
          <w:sz w:val="24"/>
          <w:lang w:val="en-GB"/>
        </w:rPr>
        <w:t>Ma'asim le Bnei Eretz Israel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>, composed in the Land of Israel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. We also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aim to explore the gender politics and strategies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motivating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the different usages of the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 xml:space="preserve">term 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androgynous and show the dynamics of its development from the </w:t>
      </w:r>
      <w:r w:rsidRPr="00854340">
        <w:rPr>
          <w:rFonts w:ascii="Palatino Linotype" w:hAnsi="Palatino Linotype" w:cstheme="majorHAnsi"/>
          <w:color w:val="000000" w:themeColor="text1"/>
          <w:sz w:val="24"/>
          <w:szCs w:val="24"/>
          <w:lang w:val="en-GB" w:eastAsia="nl-BE" w:bidi="yi-Hebr"/>
        </w:rPr>
        <w:t>third</w:t>
      </w:r>
      <w:r w:rsidRPr="00854340">
        <w:rPr>
          <w:rFonts w:ascii="Palatino Linotype" w:hAnsi="Palatino Linotype"/>
          <w:color w:val="000000" w:themeColor="text1"/>
          <w:sz w:val="24"/>
          <w:lang w:val="en-GB"/>
        </w:rPr>
        <w:t xml:space="preserve"> to the sixth centuries. </w:t>
      </w:r>
    </w:p>
    <w:p w14:paraId="6337CCA8" w14:textId="6EB32F4E" w:rsidR="00DE6BCB" w:rsidRDefault="00DE6BCB" w:rsidP="00F86261">
      <w:pPr>
        <w:rPr>
          <w:rFonts w:ascii="Palatino Linotype" w:hAnsi="Palatino Linotype"/>
          <w:color w:val="000000" w:themeColor="text1"/>
          <w:sz w:val="24"/>
          <w:lang w:val="en-GB"/>
        </w:rPr>
      </w:pPr>
    </w:p>
    <w:p w14:paraId="6B2AC137" w14:textId="3575EDE7" w:rsidR="00DE6BCB" w:rsidRDefault="00DE6BCB" w:rsidP="00B55F25">
      <w:pPr>
        <w:jc w:val="both"/>
        <w:rPr>
          <w:rFonts w:ascii="Palatino Linotype" w:hAnsi="Palatino Linotype"/>
          <w:color w:val="000000" w:themeColor="text1"/>
          <w:sz w:val="24"/>
          <w:lang w:val="fr-FR"/>
        </w:rPr>
      </w:pPr>
      <w:r w:rsidRPr="00DE6BCB">
        <w:rPr>
          <w:rFonts w:ascii="Palatino Linotype" w:hAnsi="Palatino Linotype"/>
          <w:color w:val="000000" w:themeColor="text1"/>
          <w:sz w:val="24"/>
          <w:lang w:val="fr-FR"/>
        </w:rPr>
        <w:t>Ce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t article se propose d’</w:t>
      </w:r>
      <w:r w:rsidR="00B55F25" w:rsidRPr="00DE6BCB">
        <w:rPr>
          <w:rFonts w:ascii="Palatino Linotype" w:hAnsi="Palatino Linotype"/>
          <w:color w:val="000000" w:themeColor="text1"/>
          <w:sz w:val="24"/>
          <w:lang w:val="fr-FR"/>
        </w:rPr>
        <w:t>e</w:t>
      </w:r>
      <w:r w:rsidR="00B55F25">
        <w:rPr>
          <w:rFonts w:ascii="Palatino Linotype" w:hAnsi="Palatino Linotype"/>
          <w:color w:val="000000" w:themeColor="text1"/>
          <w:sz w:val="24"/>
          <w:lang w:val="fr-FR"/>
        </w:rPr>
        <w:t>xaminer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la métamorphose </w:t>
      </w:r>
      <w:r w:rsidR="00B55F25">
        <w:rPr>
          <w:rFonts w:ascii="Palatino Linotype" w:hAnsi="Palatino Linotype"/>
          <w:color w:val="000000" w:themeColor="text1"/>
          <w:sz w:val="24"/>
          <w:lang w:val="fr-FR"/>
        </w:rPr>
        <w:t xml:space="preserve">du cas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halakhique</w:t>
      </w:r>
      <w:r w:rsidR="00B55F25">
        <w:rPr>
          <w:rFonts w:ascii="Palatino Linotype" w:hAnsi="Palatino Linotype"/>
          <w:color w:val="000000" w:themeColor="text1"/>
          <w:sz w:val="24"/>
          <w:lang w:val="fr-FR"/>
        </w:rPr>
        <w:t xml:space="preserve"> d’un </w:t>
      </w:r>
      <w:proofErr w:type="spellStart"/>
      <w:r w:rsidRPr="00533DA9">
        <w:rPr>
          <w:rFonts w:ascii="Palatino Linotype" w:hAnsi="Palatino Linotype"/>
          <w:i/>
          <w:iCs/>
          <w:color w:val="000000" w:themeColor="text1"/>
          <w:sz w:val="24"/>
          <w:lang w:val="fr-FR"/>
        </w:rPr>
        <w:t>kohen</w:t>
      </w:r>
      <w:proofErr w:type="spellEnd"/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(un prêtre) androgyne, ou, en termes modernes, </w:t>
      </w:r>
      <w:r w:rsidR="00B55F25">
        <w:rPr>
          <w:rFonts w:ascii="Palatino Linotype" w:hAnsi="Palatino Linotype"/>
          <w:color w:val="000000" w:themeColor="text1"/>
          <w:sz w:val="24"/>
          <w:lang w:val="fr-FR"/>
        </w:rPr>
        <w:t>d’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une personne intersexuée. Ce </w:t>
      </w:r>
      <w:proofErr w:type="spellStart"/>
      <w:r>
        <w:rPr>
          <w:rFonts w:ascii="Palatino Linotype" w:hAnsi="Palatino Linotype"/>
          <w:color w:val="000000" w:themeColor="text1"/>
          <w:sz w:val="24"/>
          <w:lang w:val="fr-FR"/>
        </w:rPr>
        <w:t>kohen</w:t>
      </w:r>
      <w:proofErr w:type="spellEnd"/>
      <w:r>
        <w:rPr>
          <w:rFonts w:ascii="Palatino Linotype" w:hAnsi="Palatino Linotype"/>
          <w:color w:val="000000" w:themeColor="text1"/>
          <w:sz w:val="24"/>
          <w:lang w:val="fr-FR"/>
        </w:rPr>
        <w:t xml:space="preserve">,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 xml:space="preserve">qui possède un organe reproducteur mâle et un organe femelle, peut avoir une activité sexuelle 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aussi bien en tant qu’homme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qu’en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tant que femme.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Le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cas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halakhique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 xml:space="preserve">analysé 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à la lumière de la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perception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rabbinique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des rapports sexuels. L’évidence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textuelle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du cas androgyne a été choisi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 xml:space="preserve">e 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de manière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diachronique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</w:t>
      </w:r>
      <w:r w:rsidR="00DA7002">
        <w:rPr>
          <w:rFonts w:ascii="Palatino Linotype" w:hAnsi="Palatino Linotype"/>
          <w:color w:val="000000" w:themeColor="text1"/>
          <w:sz w:val="24"/>
          <w:lang w:val="fr-FR"/>
        </w:rPr>
        <w:t>parmi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la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littérature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rabbinique ancienne </w:t>
      </w:r>
      <w:r w:rsidR="00B55F25" w:rsidRPr="00FE2589">
        <w:rPr>
          <w:rFonts w:ascii="Palatino Linotype" w:hAnsi="Palatino Linotype"/>
          <w:color w:val="000000" w:themeColor="text1"/>
          <w:sz w:val="24"/>
          <w:lang w:val="fr-FR"/>
        </w:rPr>
        <w:t>issue d’un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paragraphe de l’ouvrage du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V</w:t>
      </w:r>
      <w:r w:rsidR="00DA7002">
        <w:rPr>
          <w:rFonts w:ascii="Palatino Linotype" w:hAnsi="Palatino Linotype"/>
          <w:color w:val="000000" w:themeColor="text1"/>
          <w:sz w:val="24"/>
          <w:lang w:val="fr-FR"/>
        </w:rPr>
        <w:t>I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e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siècle </w:t>
      </w:r>
      <w:proofErr w:type="spellStart"/>
      <w:r w:rsidRPr="00DE6BCB">
        <w:rPr>
          <w:rFonts w:ascii="Palatino Linotype" w:hAnsi="Palatino Linotype"/>
          <w:i/>
          <w:color w:val="000000" w:themeColor="text1"/>
          <w:sz w:val="24"/>
          <w:lang w:val="fr-FR"/>
        </w:rPr>
        <w:t>Ma'asim</w:t>
      </w:r>
      <w:proofErr w:type="spellEnd"/>
      <w:r w:rsidRPr="00DE6BCB">
        <w:rPr>
          <w:rFonts w:ascii="Palatino Linotype" w:hAnsi="Palatino Linotype"/>
          <w:i/>
          <w:color w:val="000000" w:themeColor="text1"/>
          <w:sz w:val="24"/>
          <w:lang w:val="fr-FR"/>
        </w:rPr>
        <w:t xml:space="preserve"> le </w:t>
      </w:r>
      <w:proofErr w:type="spellStart"/>
      <w:r w:rsidRPr="00DE6BCB">
        <w:rPr>
          <w:rFonts w:ascii="Palatino Linotype" w:hAnsi="Palatino Linotype"/>
          <w:i/>
          <w:color w:val="000000" w:themeColor="text1"/>
          <w:sz w:val="24"/>
          <w:lang w:val="fr-FR"/>
        </w:rPr>
        <w:t>Bnei</w:t>
      </w:r>
      <w:proofErr w:type="spellEnd"/>
      <w:r w:rsidRPr="00DE6BCB">
        <w:rPr>
          <w:rFonts w:ascii="Palatino Linotype" w:hAnsi="Palatino Linotype"/>
          <w:i/>
          <w:color w:val="000000" w:themeColor="text1"/>
          <w:sz w:val="24"/>
          <w:lang w:val="fr-FR"/>
        </w:rPr>
        <w:t xml:space="preserve"> </w:t>
      </w:r>
      <w:proofErr w:type="spellStart"/>
      <w:r w:rsidRPr="00DE6BCB">
        <w:rPr>
          <w:rFonts w:ascii="Palatino Linotype" w:hAnsi="Palatino Linotype"/>
          <w:i/>
          <w:color w:val="000000" w:themeColor="text1"/>
          <w:sz w:val="24"/>
          <w:lang w:val="fr-FR"/>
        </w:rPr>
        <w:t>Eretz</w:t>
      </w:r>
      <w:proofErr w:type="spellEnd"/>
      <w:r w:rsidRPr="00DE6BCB">
        <w:rPr>
          <w:rFonts w:ascii="Palatino Linotype" w:hAnsi="Palatino Linotype"/>
          <w:i/>
          <w:color w:val="000000" w:themeColor="text1"/>
          <w:sz w:val="24"/>
          <w:lang w:val="fr-FR"/>
        </w:rPr>
        <w:t xml:space="preserve"> </w:t>
      </w:r>
      <w:proofErr w:type="spellStart"/>
      <w:r w:rsidRPr="00DE6BCB">
        <w:rPr>
          <w:rFonts w:ascii="Palatino Linotype" w:hAnsi="Palatino Linotype"/>
          <w:i/>
          <w:color w:val="000000" w:themeColor="text1"/>
          <w:sz w:val="24"/>
          <w:lang w:val="fr-FR"/>
        </w:rPr>
        <w:t>Israel</w:t>
      </w:r>
      <w:proofErr w:type="spellEnd"/>
      <w:r w:rsidRPr="00DE6BCB">
        <w:rPr>
          <w:rFonts w:ascii="Palatino Linotype" w:hAnsi="Palatino Linotype"/>
          <w:color w:val="000000" w:themeColor="text1"/>
          <w:sz w:val="24"/>
          <w:lang w:val="fr-FR"/>
        </w:rPr>
        <w:t xml:space="preserve">, 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rédigé en Terre d’Israël. Nous explorerons également les politiques et stratégies de genre ayant motivé les différents usages du terme androgyne, et nous 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mettrons</w:t>
      </w:r>
      <w:r>
        <w:rPr>
          <w:rFonts w:ascii="Palatino Linotype" w:hAnsi="Palatino Linotype"/>
          <w:color w:val="000000" w:themeColor="text1"/>
          <w:sz w:val="24"/>
          <w:lang w:val="fr-FR"/>
        </w:rPr>
        <w:t xml:space="preserve"> en évidence la dynamique de son développement du IIIe au V</w:t>
      </w:r>
      <w:r w:rsidR="00533DA9">
        <w:rPr>
          <w:rFonts w:ascii="Palatino Linotype" w:hAnsi="Palatino Linotype"/>
          <w:color w:val="000000" w:themeColor="text1"/>
          <w:sz w:val="24"/>
          <w:lang w:val="fr-FR"/>
        </w:rPr>
        <w:t>I</w:t>
      </w:r>
      <w:r>
        <w:rPr>
          <w:rFonts w:ascii="Palatino Linotype" w:hAnsi="Palatino Linotype"/>
          <w:color w:val="000000" w:themeColor="text1"/>
          <w:sz w:val="24"/>
          <w:lang w:val="fr-FR"/>
        </w:rPr>
        <w:t>e siècle.</w:t>
      </w:r>
    </w:p>
    <w:p w14:paraId="575C9D20" w14:textId="1704A626" w:rsidR="00DE6BCB" w:rsidRDefault="00DE6BCB" w:rsidP="00F86261">
      <w:pPr>
        <w:rPr>
          <w:rFonts w:ascii="Palatino Linotype" w:hAnsi="Palatino Linotype"/>
          <w:color w:val="000000" w:themeColor="text1"/>
          <w:sz w:val="24"/>
          <w:lang w:val="fr-FR"/>
        </w:rPr>
      </w:pPr>
    </w:p>
    <w:p w14:paraId="17F20B28" w14:textId="3BA2B43B" w:rsidR="00F86261" w:rsidRPr="00DE6BCB" w:rsidRDefault="00F86261" w:rsidP="00F86261">
      <w:pPr>
        <w:rPr>
          <w:rFonts w:ascii="Palatino Linotype" w:hAnsi="Palatino Linotype"/>
          <w:color w:val="000000" w:themeColor="text1"/>
          <w:sz w:val="24"/>
          <w:lang w:val="fr-FR"/>
        </w:rPr>
      </w:pPr>
    </w:p>
    <w:p w14:paraId="6BE905D6" w14:textId="50EB861D" w:rsidR="00F86261" w:rsidRPr="00DE6BCB" w:rsidRDefault="007D3941" w:rsidP="00F86261">
      <w:pPr>
        <w:rPr>
          <w:lang w:val="fr-FR"/>
        </w:rPr>
      </w:pPr>
      <w:r w:rsidRPr="00DE6BCB">
        <w:rPr>
          <w:lang w:val="fr-FR"/>
        </w:rPr>
        <w:t xml:space="preserve"> </w:t>
      </w:r>
    </w:p>
    <w:sectPr w:rsidR="00F86261" w:rsidRPr="00DE6B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73E5" w14:textId="77777777" w:rsidR="00403ACF" w:rsidRDefault="00403ACF" w:rsidP="00F86261">
      <w:pPr>
        <w:spacing w:after="0" w:line="240" w:lineRule="auto"/>
      </w:pPr>
      <w:r>
        <w:separator/>
      </w:r>
    </w:p>
  </w:endnote>
  <w:endnote w:type="continuationSeparator" w:id="0">
    <w:p w14:paraId="5CE4609C" w14:textId="77777777" w:rsidR="00403ACF" w:rsidRDefault="00403ACF" w:rsidP="00F8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D4E0" w14:textId="77777777" w:rsidR="00403ACF" w:rsidRDefault="00403ACF" w:rsidP="00F86261">
      <w:pPr>
        <w:spacing w:after="0" w:line="240" w:lineRule="auto"/>
      </w:pPr>
      <w:r>
        <w:separator/>
      </w:r>
    </w:p>
  </w:footnote>
  <w:footnote w:type="continuationSeparator" w:id="0">
    <w:p w14:paraId="07D79460" w14:textId="77777777" w:rsidR="00403ACF" w:rsidRDefault="00403ACF" w:rsidP="00F86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jY2NTEzNTI3MjRX0lEKTi0uzszPAykwrAUAQqMb8CwAAAA="/>
  </w:docVars>
  <w:rsids>
    <w:rsidRoot w:val="00F86261"/>
    <w:rsid w:val="00192EC0"/>
    <w:rsid w:val="003666B1"/>
    <w:rsid w:val="00403ACF"/>
    <w:rsid w:val="004B08CD"/>
    <w:rsid w:val="00533DA9"/>
    <w:rsid w:val="007D3941"/>
    <w:rsid w:val="00B55F25"/>
    <w:rsid w:val="00DA7002"/>
    <w:rsid w:val="00DE6BCB"/>
    <w:rsid w:val="00E036B9"/>
    <w:rsid w:val="00F86261"/>
    <w:rsid w:val="00F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ADDD"/>
  <w15:docId w15:val="{28D04695-C263-4AC4-B197-CDE06708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 Char"/>
    <w:basedOn w:val="Normal"/>
    <w:link w:val="NotedebasdepageCar"/>
    <w:uiPriority w:val="99"/>
    <w:unhideWhenUsed/>
    <w:rsid w:val="00F86261"/>
    <w:pPr>
      <w:spacing w:after="0" w:line="240" w:lineRule="auto"/>
    </w:pPr>
    <w:rPr>
      <w:sz w:val="20"/>
      <w:szCs w:val="20"/>
      <w:lang w:val="en-US"/>
    </w:rPr>
  </w:style>
  <w:style w:type="character" w:customStyle="1" w:styleId="NotedebasdepageCar">
    <w:name w:val="Note de bas de page Car"/>
    <w:aliases w:val=" Char Car"/>
    <w:basedOn w:val="Policepardfaut"/>
    <w:link w:val="Notedebasdepage"/>
    <w:uiPriority w:val="99"/>
    <w:rsid w:val="00F86261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F86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The Hebrew University of Jerusalem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Reuven Kiperwasser</dc:creator>
  <cp:lastModifiedBy>Mahaut Vidal</cp:lastModifiedBy>
  <cp:revision>3</cp:revision>
  <dcterms:created xsi:type="dcterms:W3CDTF">2022-04-04T08:59:00Z</dcterms:created>
  <dcterms:modified xsi:type="dcterms:W3CDTF">2022-04-04T10:10:00Z</dcterms:modified>
</cp:coreProperties>
</file>