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2A" w:rsidRPr="00AB699C" w:rsidRDefault="00A3292A" w:rsidP="00283008">
      <w:pPr>
        <w:shd w:val="clear" w:color="auto" w:fill="FFFFFF"/>
        <w:bidi/>
        <w:contextualSpacing/>
        <w:jc w:val="center"/>
        <w:rPr>
          <w:rFonts w:asciiTheme="majorBidi" w:hAnsiTheme="majorBidi" w:cstheme="majorBidi"/>
          <w:b/>
          <w:bCs/>
          <w:sz w:val="24"/>
          <w:szCs w:val="24"/>
        </w:rPr>
      </w:pPr>
      <w:r w:rsidRPr="00AB699C">
        <w:rPr>
          <w:rFonts w:asciiTheme="majorBidi" w:hAnsiTheme="majorBidi" w:cstheme="majorBidi"/>
          <w:b/>
          <w:bCs/>
          <w:sz w:val="24"/>
          <w:szCs w:val="24"/>
          <w:rtl/>
        </w:rPr>
        <w:t xml:space="preserve">פשוט </w:t>
      </w:r>
      <w:r w:rsidR="00283008">
        <w:rPr>
          <w:rFonts w:asciiTheme="majorBidi" w:hAnsiTheme="majorBidi" w:cstheme="majorBidi" w:hint="cs"/>
          <w:b/>
          <w:bCs/>
          <w:sz w:val="24"/>
          <w:szCs w:val="24"/>
          <w:rtl/>
        </w:rPr>
        <w:t xml:space="preserve">דברו </w:t>
      </w:r>
      <w:r w:rsidRPr="00AB699C">
        <w:rPr>
          <w:rFonts w:asciiTheme="majorBidi" w:hAnsiTheme="majorBidi" w:cstheme="majorBidi"/>
          <w:b/>
          <w:bCs/>
          <w:sz w:val="24"/>
          <w:szCs w:val="24"/>
          <w:rtl/>
        </w:rPr>
        <w:t>איתם! החשיבות של תקשורת בין הורים, מורים וילדים בטיפול בהתעללות מינית ובתקיפה מינית</w:t>
      </w:r>
    </w:p>
    <w:p w:rsidR="0035194E" w:rsidRPr="00AB699C" w:rsidRDefault="0035194E" w:rsidP="003B683B">
      <w:pPr>
        <w:bidi/>
        <w:ind w:firstLine="0"/>
        <w:rPr>
          <w:rFonts w:asciiTheme="majorBidi" w:hAnsiTheme="majorBidi" w:cstheme="majorBidi"/>
          <w:b/>
          <w:bCs/>
          <w:sz w:val="24"/>
          <w:szCs w:val="24"/>
          <w:rtl/>
        </w:rPr>
      </w:pPr>
    </w:p>
    <w:p w:rsidR="00A3292A" w:rsidRPr="00AB699C" w:rsidRDefault="00A3292A" w:rsidP="00A3292A">
      <w:pPr>
        <w:bidi/>
        <w:ind w:firstLine="0"/>
        <w:contextualSpacing/>
        <w:jc w:val="center"/>
        <w:rPr>
          <w:rFonts w:asciiTheme="majorBidi" w:hAnsiTheme="majorBidi" w:cstheme="majorBidi"/>
          <w:b/>
          <w:bCs/>
          <w:sz w:val="24"/>
          <w:szCs w:val="24"/>
          <w:rtl/>
        </w:rPr>
      </w:pPr>
      <w:r w:rsidRPr="00AB699C">
        <w:rPr>
          <w:rFonts w:asciiTheme="majorBidi" w:hAnsiTheme="majorBidi" w:cstheme="majorBidi"/>
          <w:b/>
          <w:bCs/>
          <w:sz w:val="24"/>
          <w:szCs w:val="24"/>
          <w:rtl/>
        </w:rPr>
        <w:t>מבוא</w:t>
      </w:r>
    </w:p>
    <w:p w:rsidR="00A3292A" w:rsidRPr="00AB699C" w:rsidRDefault="00A3292A" w:rsidP="00283008">
      <w:pPr>
        <w:bidi/>
        <w:contextualSpacing/>
        <w:rPr>
          <w:rFonts w:asciiTheme="majorBidi" w:hAnsiTheme="majorBidi" w:cstheme="majorBidi"/>
          <w:sz w:val="24"/>
          <w:szCs w:val="24"/>
        </w:rPr>
      </w:pPr>
      <w:r w:rsidRPr="00AB699C">
        <w:rPr>
          <w:rFonts w:asciiTheme="majorBidi" w:hAnsiTheme="majorBidi" w:cstheme="majorBidi"/>
          <w:sz w:val="24"/>
          <w:szCs w:val="24"/>
          <w:rtl/>
        </w:rPr>
        <w:t>התעללות מינית בילדים היא בעיה בריאותית כלל עולמית בעלת השפעה שלילית ארוכת טווח על הבריאות הנפשית, הפסיכולוגית, הגופנית והמינית של השורדים.לפי ארגון הבריאות העולמי (</w:t>
      </w:r>
      <w:r w:rsidRPr="00AB699C">
        <w:rPr>
          <w:rFonts w:asciiTheme="majorBidi" w:hAnsiTheme="majorBidi" w:cstheme="majorBidi"/>
          <w:sz w:val="24"/>
          <w:szCs w:val="24"/>
        </w:rPr>
        <w:t>WHO, 1999</w:t>
      </w:r>
      <w:r w:rsidRPr="00AB699C">
        <w:rPr>
          <w:rFonts w:asciiTheme="majorBidi" w:hAnsiTheme="majorBidi" w:cstheme="majorBidi"/>
          <w:sz w:val="24"/>
          <w:szCs w:val="24"/>
          <w:rtl/>
        </w:rPr>
        <w:t xml:space="preserve">), "התעללות מינית בילדים מתבצעת כאשר ילד לוקח חלק בפעילות מינית שהוא לא מבין את משמעותה לחלוטין, אינו מסוגל להסכים לה מדעת, שהילד אינו בשל לה מבחינה התפתחותית ואינו מסוגל להסכים לה, או המפרה את החוקים או את האיסורים החברתיים. התעללות מינית בילדים היא פעילות כאמור בין ילד ובין מבוגר או בין ילד וילד אחר, אשר מפאת גילו או הרמה ההתפתחותית שלו, </w:t>
      </w:r>
      <w:commentRangeStart w:id="0"/>
      <w:r w:rsidR="00283008">
        <w:rPr>
          <w:rFonts w:asciiTheme="majorBidi" w:hAnsiTheme="majorBidi" w:cstheme="majorBidi" w:hint="cs"/>
          <w:sz w:val="24"/>
          <w:szCs w:val="24"/>
          <w:rtl/>
        </w:rPr>
        <w:t xml:space="preserve">מתקיימים בינו ובין המבוגר או בינו ובין הילד השני </w:t>
      </w:r>
      <w:r w:rsidRPr="00AB699C">
        <w:rPr>
          <w:rFonts w:asciiTheme="majorBidi" w:hAnsiTheme="majorBidi" w:cstheme="majorBidi"/>
          <w:sz w:val="24"/>
          <w:szCs w:val="24"/>
          <w:rtl/>
        </w:rPr>
        <w:t xml:space="preserve">יחסי אחריות, אמון או כוח, </w:t>
      </w:r>
      <w:commentRangeEnd w:id="0"/>
      <w:r w:rsidR="00283008">
        <w:rPr>
          <w:rStyle w:val="ac"/>
          <w:rFonts w:ascii="Arial" w:eastAsiaTheme="minorEastAsia" w:hAnsi="Arial" w:cs="Arial"/>
          <w:rtl/>
          <w:lang w:eastAsia="en-GB"/>
        </w:rPr>
        <w:commentReference w:id="0"/>
      </w:r>
      <w:r w:rsidRPr="00AB699C">
        <w:rPr>
          <w:rFonts w:asciiTheme="majorBidi" w:hAnsiTheme="majorBidi" w:cstheme="majorBidi"/>
          <w:sz w:val="24"/>
          <w:szCs w:val="24"/>
          <w:rtl/>
        </w:rPr>
        <w:t xml:space="preserve">כאשר הפעילות נועדה לספק או למלא את הצרכים של אדם אחר." </w:t>
      </w:r>
      <w:bookmarkStart w:id="1" w:name="_Hlk44052085"/>
      <w:r w:rsidRPr="00AB699C">
        <w:rPr>
          <w:rFonts w:asciiTheme="majorBidi" w:hAnsiTheme="majorBidi" w:cstheme="majorBidi"/>
          <w:sz w:val="24"/>
          <w:szCs w:val="24"/>
          <w:rtl/>
        </w:rPr>
        <w:t>לעניין מחקר זה, "התעללות מינית בילדים" כוללת מעשים שמבצעים תוקפים קטינים או מקבוצת השווים, ולכן אני כולל "תקיפה" תחת ההגדרה של התעללות מינית.</w:t>
      </w:r>
    </w:p>
    <w:p w:rsidR="00A3292A" w:rsidRPr="00AB699C" w:rsidRDefault="00A3292A" w:rsidP="009E6D4D">
      <w:pPr>
        <w:bidi/>
        <w:contextualSpacing/>
        <w:rPr>
          <w:rFonts w:asciiTheme="majorBidi" w:hAnsiTheme="majorBidi" w:cstheme="majorBidi"/>
          <w:sz w:val="24"/>
          <w:szCs w:val="24"/>
        </w:rPr>
      </w:pPr>
      <w:r w:rsidRPr="00AB699C">
        <w:rPr>
          <w:rFonts w:asciiTheme="majorBidi" w:hAnsiTheme="majorBidi" w:cstheme="majorBidi"/>
          <w:sz w:val="24"/>
          <w:szCs w:val="24"/>
          <w:rtl/>
        </w:rPr>
        <w:t>עד היום, המחקרים התמקדו מאוד בניסיון לאמוד את השכיחות של התעללות מינית בילדים</w:t>
      </w:r>
      <w:r w:rsidR="00DC504E" w:rsidRPr="00AB699C">
        <w:rPr>
          <w:rFonts w:asciiTheme="majorBidi" w:hAnsiTheme="majorBidi" w:cstheme="majorBidi"/>
          <w:sz w:val="24"/>
          <w:szCs w:val="24"/>
        </w:rPr>
        <w:t xml:space="preserve"> </w:t>
      </w:r>
      <w:r w:rsidR="0098172C" w:rsidRPr="00AB699C">
        <w:rPr>
          <w:rFonts w:asciiTheme="majorBidi" w:hAnsiTheme="majorBidi" w:cstheme="majorBidi"/>
          <w:sz w:val="24"/>
          <w:szCs w:val="24"/>
          <w:rtl/>
        </w:rPr>
        <w:fldChar w:fldCharType="begin" w:fldLock="1"/>
      </w:r>
      <w:r w:rsidRPr="00AB699C">
        <w:rPr>
          <w:rFonts w:asciiTheme="majorBidi" w:hAnsiTheme="majorBidi" w:cstheme="majorBidi"/>
          <w:sz w:val="24"/>
          <w:szCs w:val="24"/>
          <w:rtl/>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sidR="0098172C" w:rsidRPr="00AB699C">
        <w:rPr>
          <w:rFonts w:asciiTheme="majorBidi" w:hAnsiTheme="majorBidi" w:cstheme="majorBidi"/>
          <w:sz w:val="24"/>
          <w:szCs w:val="24"/>
          <w:rtl/>
        </w:rPr>
        <w:fldChar w:fldCharType="separate"/>
      </w:r>
      <w:r w:rsidRPr="00AB699C">
        <w:rPr>
          <w:rFonts w:asciiTheme="majorBidi" w:hAnsiTheme="majorBidi" w:cstheme="majorBidi"/>
          <w:noProof/>
          <w:sz w:val="24"/>
          <w:szCs w:val="24"/>
          <w:rtl/>
        </w:rPr>
        <w:t>(</w:t>
      </w:r>
      <w:r w:rsidRPr="00AB699C">
        <w:rPr>
          <w:rFonts w:asciiTheme="majorBidi" w:hAnsiTheme="majorBidi" w:cstheme="majorBidi"/>
          <w:noProof/>
          <w:sz w:val="24"/>
          <w:szCs w:val="24"/>
        </w:rPr>
        <w:t>Barth</w:t>
      </w:r>
      <w:r w:rsidRPr="00AB699C">
        <w:rPr>
          <w:rFonts w:asciiTheme="majorBidi" w:hAnsiTheme="majorBidi" w:cstheme="majorBidi"/>
          <w:noProof/>
          <w:sz w:val="24"/>
          <w:szCs w:val="24"/>
          <w:rtl/>
        </w:rPr>
        <w:t xml:space="preserve"> ואח', 2013; </w:t>
      </w:r>
      <w:r w:rsidRPr="00AB699C">
        <w:rPr>
          <w:rFonts w:asciiTheme="majorBidi" w:hAnsiTheme="majorBidi" w:cstheme="majorBidi"/>
          <w:noProof/>
          <w:sz w:val="24"/>
          <w:szCs w:val="24"/>
        </w:rPr>
        <w:t>Singh</w:t>
      </w:r>
      <w:r w:rsidRPr="00AB699C">
        <w:rPr>
          <w:rFonts w:asciiTheme="majorBidi" w:hAnsiTheme="majorBidi" w:cstheme="majorBidi"/>
          <w:noProof/>
          <w:sz w:val="24"/>
          <w:szCs w:val="24"/>
          <w:rtl/>
        </w:rPr>
        <w:t xml:space="preserve"> ואח', 2014; </w:t>
      </w:r>
      <w:r w:rsidRPr="00AB699C">
        <w:rPr>
          <w:rFonts w:asciiTheme="majorBidi" w:hAnsiTheme="majorBidi" w:cstheme="majorBidi"/>
          <w:noProof/>
          <w:sz w:val="24"/>
          <w:szCs w:val="24"/>
        </w:rPr>
        <w:t>Stoltenborgh</w:t>
      </w:r>
      <w:r w:rsidRPr="00AB699C">
        <w:rPr>
          <w:rFonts w:asciiTheme="majorBidi" w:hAnsiTheme="majorBidi" w:cstheme="majorBidi"/>
          <w:noProof/>
          <w:sz w:val="24"/>
          <w:szCs w:val="24"/>
          <w:rtl/>
        </w:rPr>
        <w:t xml:space="preserve"> ואח', 2011; </w:t>
      </w:r>
      <w:r w:rsidRPr="00AB699C">
        <w:rPr>
          <w:rFonts w:asciiTheme="majorBidi" w:hAnsiTheme="majorBidi" w:cstheme="majorBidi"/>
          <w:noProof/>
          <w:sz w:val="24"/>
          <w:szCs w:val="24"/>
        </w:rPr>
        <w:t>Vogeltanz</w:t>
      </w:r>
      <w:r w:rsidRPr="00AB699C">
        <w:rPr>
          <w:rFonts w:asciiTheme="majorBidi" w:hAnsiTheme="majorBidi" w:cstheme="majorBidi"/>
          <w:noProof/>
          <w:sz w:val="24"/>
          <w:szCs w:val="24"/>
          <w:rtl/>
        </w:rPr>
        <w:t xml:space="preserve"> ואח', 1999)</w:t>
      </w:r>
      <w:r w:rsidRPr="00AB699C">
        <w:rPr>
          <w:rFonts w:asciiTheme="majorBidi" w:hAnsiTheme="majorBidi" w:cstheme="majorBidi"/>
          <w:sz w:val="24"/>
          <w:szCs w:val="24"/>
          <w:rtl/>
        </w:rPr>
        <w:t>.</w:t>
      </w:r>
      <w:r w:rsidR="0098172C" w:rsidRPr="00AB699C">
        <w:rPr>
          <w:rFonts w:asciiTheme="majorBidi" w:hAnsiTheme="majorBidi" w:cstheme="majorBidi"/>
          <w:sz w:val="24"/>
          <w:szCs w:val="24"/>
          <w:rtl/>
        </w:rPr>
        <w:fldChar w:fldCharType="end"/>
      </w:r>
      <w:r w:rsidRPr="00AB699C">
        <w:rPr>
          <w:rFonts w:asciiTheme="majorBidi" w:hAnsiTheme="majorBidi" w:cstheme="majorBidi"/>
          <w:sz w:val="24"/>
          <w:szCs w:val="24"/>
          <w:rtl/>
        </w:rPr>
        <w:t xml:space="preserve"> ההערכות לגבי שכיחות ההתעללות המינית בילדים בעולם נעות בין 8% ו- 31% עבור בנות, ובין 3% ו- 17% עבור בנים (</w:t>
      </w:r>
      <w:r w:rsidRPr="00AB699C">
        <w:rPr>
          <w:rFonts w:asciiTheme="majorBidi" w:hAnsiTheme="majorBidi" w:cstheme="majorBidi"/>
          <w:sz w:val="24"/>
          <w:szCs w:val="24"/>
        </w:rPr>
        <w:t>Barth</w:t>
      </w:r>
      <w:r w:rsidRPr="00AB699C">
        <w:rPr>
          <w:rFonts w:asciiTheme="majorBidi" w:hAnsiTheme="majorBidi" w:cstheme="majorBidi"/>
          <w:sz w:val="24"/>
          <w:szCs w:val="24"/>
          <w:rtl/>
        </w:rPr>
        <w:t xml:space="preserve"> ואח', 2013). המטא-אנליזה של </w:t>
      </w:r>
      <w:r w:rsidRPr="00AB699C">
        <w:rPr>
          <w:rFonts w:asciiTheme="majorBidi" w:hAnsiTheme="majorBidi" w:cstheme="majorBidi"/>
          <w:sz w:val="24"/>
          <w:szCs w:val="24"/>
        </w:rPr>
        <w:t>Pereda</w:t>
      </w:r>
      <w:r w:rsidRPr="00AB699C">
        <w:rPr>
          <w:rFonts w:asciiTheme="majorBidi" w:hAnsiTheme="majorBidi" w:cstheme="majorBidi"/>
          <w:sz w:val="24"/>
          <w:szCs w:val="24"/>
          <w:rtl/>
        </w:rPr>
        <w:t xml:space="preserve"> ואח' לגבי השכיחות העולמית של התעללות מינית בילדים (ב-22 מדינות) </w:t>
      </w:r>
      <w:r w:rsidR="009E6D4D">
        <w:rPr>
          <w:rFonts w:asciiTheme="majorBidi" w:hAnsiTheme="majorBidi" w:cstheme="majorBidi" w:hint="cs"/>
          <w:sz w:val="24"/>
          <w:szCs w:val="24"/>
          <w:rtl/>
        </w:rPr>
        <w:t>העלתה כי</w:t>
      </w:r>
      <w:r w:rsidRPr="00AB699C">
        <w:rPr>
          <w:rFonts w:asciiTheme="majorBidi" w:hAnsiTheme="majorBidi" w:cstheme="majorBidi"/>
          <w:sz w:val="24"/>
          <w:szCs w:val="24"/>
          <w:rtl/>
        </w:rPr>
        <w:t xml:space="preserve"> 7.9% מהגברים ו- 19.7% מהנשים חוו התעללות מינית לפני גיל שמונה עשרה (</w:t>
      </w:r>
      <w:r w:rsidRPr="00AB699C">
        <w:rPr>
          <w:rFonts w:asciiTheme="majorBidi" w:hAnsiTheme="majorBidi" w:cstheme="majorBidi"/>
          <w:sz w:val="24"/>
          <w:szCs w:val="24"/>
        </w:rPr>
        <w:t>Pereda</w:t>
      </w:r>
      <w:r w:rsidRPr="00AB699C">
        <w:rPr>
          <w:rFonts w:asciiTheme="majorBidi" w:hAnsiTheme="majorBidi" w:cstheme="majorBidi"/>
          <w:sz w:val="24"/>
          <w:szCs w:val="24"/>
          <w:rtl/>
        </w:rPr>
        <w:t xml:space="preserve"> ואח', 2009). בישראל, אחד מכל ארבעה מבוגרים מדווח על התעללות מינית כילד (</w:t>
      </w:r>
      <w:r w:rsidRPr="00AB699C">
        <w:rPr>
          <w:rFonts w:asciiTheme="majorBidi" w:hAnsiTheme="majorBidi" w:cstheme="majorBidi"/>
          <w:sz w:val="24"/>
          <w:szCs w:val="24"/>
        </w:rPr>
        <w:t>Schein</w:t>
      </w:r>
      <w:r w:rsidRPr="00AB699C">
        <w:rPr>
          <w:rFonts w:asciiTheme="majorBidi" w:hAnsiTheme="majorBidi" w:cstheme="majorBidi"/>
          <w:sz w:val="24"/>
          <w:szCs w:val="24"/>
          <w:rtl/>
        </w:rPr>
        <w:t xml:space="preserve"> ואח', 2000). </w:t>
      </w:r>
      <w:bookmarkEnd w:id="1"/>
      <w:r w:rsidRPr="00AB699C">
        <w:rPr>
          <w:rFonts w:asciiTheme="majorBidi" w:hAnsiTheme="majorBidi" w:cstheme="majorBidi"/>
          <w:sz w:val="24"/>
          <w:szCs w:val="24"/>
          <w:rtl/>
        </w:rPr>
        <w:t>באוכלוסייה היהודית, לא נמצאו הבדלים בין המגדרים בשיעורי ההתעללות המינית בילדים (עבור בנים, 17.6%, ו- 17.7% עבור בנות); אולם באוכלוסייה הערבית, שיעורי הפגיעה בקרב בנים גבוהים הרבה יותר (28.4%) לעומת בנות (18.7%) (</w:t>
      </w:r>
      <w:r w:rsidRPr="00AB699C">
        <w:rPr>
          <w:rFonts w:asciiTheme="majorBidi" w:hAnsiTheme="majorBidi" w:cstheme="majorBidi"/>
          <w:sz w:val="24"/>
          <w:szCs w:val="24"/>
        </w:rPr>
        <w:t>Lev-Wiesel</w:t>
      </w:r>
      <w:r w:rsidRPr="00AB699C">
        <w:rPr>
          <w:rFonts w:asciiTheme="majorBidi" w:hAnsiTheme="majorBidi" w:cstheme="majorBidi"/>
          <w:sz w:val="24"/>
          <w:szCs w:val="24"/>
          <w:rtl/>
        </w:rPr>
        <w:t xml:space="preserve"> ואח', 2018). במחקר ארצי שנערך לאחרונה על התעללות בילדים בישראל, 18.7% מהילדים בגילאים 12 עד 17 בישראל דיווחו על התעללות מינית (</w:t>
      </w:r>
      <w:r w:rsidRPr="00AB699C">
        <w:rPr>
          <w:rFonts w:asciiTheme="majorBidi" w:hAnsiTheme="majorBidi" w:cstheme="majorBidi"/>
          <w:sz w:val="24"/>
          <w:szCs w:val="24"/>
        </w:rPr>
        <w:t>Lev-Wiesel</w:t>
      </w:r>
      <w:r w:rsidRPr="00AB699C">
        <w:rPr>
          <w:rFonts w:asciiTheme="majorBidi" w:hAnsiTheme="majorBidi" w:cstheme="majorBidi"/>
          <w:sz w:val="24"/>
          <w:szCs w:val="24"/>
          <w:rtl/>
        </w:rPr>
        <w:t xml:space="preserve"> ואח', 2018). מחקרים קודמים מעלים שלהתעללות מינית בילדים השפעה שלילית משמעותית בטווח הארוך ובטווח הקצר, לרבות </w:t>
      </w:r>
      <w:r w:rsidRPr="00AB699C">
        <w:rPr>
          <w:rFonts w:asciiTheme="majorBidi" w:hAnsiTheme="majorBidi" w:cstheme="majorBidi"/>
          <w:sz w:val="24"/>
          <w:szCs w:val="24"/>
          <w:rtl/>
        </w:rPr>
        <w:lastRenderedPageBreak/>
        <w:t>הפרעת דחק פוסט-טאומתית (</w:t>
      </w:r>
      <w:r w:rsidRPr="00AB699C">
        <w:rPr>
          <w:rFonts w:asciiTheme="majorBidi" w:hAnsiTheme="majorBidi" w:cstheme="majorBidi"/>
          <w:sz w:val="24"/>
          <w:szCs w:val="24"/>
        </w:rPr>
        <w:t>PTSD</w:t>
      </w:r>
      <w:r w:rsidRPr="00AB699C">
        <w:rPr>
          <w:rFonts w:asciiTheme="majorBidi" w:hAnsiTheme="majorBidi" w:cstheme="majorBidi"/>
          <w:sz w:val="24"/>
          <w:szCs w:val="24"/>
          <w:rtl/>
        </w:rPr>
        <w:t>), הפרעות פסיכיאטריות שונות כגון דיכאון, חרדה, התאבדות וניסיונות התאבדות, התמכרויות, השפעות נוירוביולוגיות, בריאות גופנית לקויה, הפרעות אכילה, ובעיות ותלונות פסיכוסומטיות (</w:t>
      </w:r>
      <w:r w:rsidRPr="00AB699C">
        <w:rPr>
          <w:rFonts w:asciiTheme="majorBidi" w:hAnsiTheme="majorBidi" w:cstheme="majorBidi"/>
          <w:sz w:val="24"/>
          <w:szCs w:val="24"/>
        </w:rPr>
        <w:t>Briere &amp; Runtz, 1993; Putnam, 2003</w:t>
      </w:r>
      <w:r w:rsidRPr="00AB699C">
        <w:rPr>
          <w:rFonts w:asciiTheme="majorBidi" w:hAnsiTheme="majorBidi" w:cstheme="majorBidi"/>
          <w:sz w:val="24"/>
          <w:szCs w:val="24"/>
          <w:rtl/>
        </w:rPr>
        <w:t xml:space="preserve">). </w:t>
      </w:r>
    </w:p>
    <w:p w:rsidR="00A3292A" w:rsidRPr="00AB699C" w:rsidRDefault="00A3292A" w:rsidP="00283008">
      <w:pPr>
        <w:pStyle w:val="NormalWeb"/>
        <w:shd w:val="clear" w:color="auto" w:fill="FFFFFF"/>
        <w:bidi/>
        <w:spacing w:before="24" w:beforeAutospacing="0" w:after="24" w:afterAutospacing="0" w:line="480" w:lineRule="auto"/>
        <w:ind w:firstLine="720"/>
        <w:contextualSpacing/>
        <w:rPr>
          <w:rFonts w:asciiTheme="majorBidi" w:hAnsiTheme="majorBidi" w:cstheme="majorBidi"/>
        </w:rPr>
      </w:pPr>
      <w:r w:rsidRPr="00AB699C">
        <w:rPr>
          <w:rFonts w:asciiTheme="majorBidi" w:hAnsiTheme="majorBidi" w:cstheme="majorBidi"/>
          <w:rtl/>
        </w:rPr>
        <w:t xml:space="preserve">למורים יש תפקיד מפתח במניעת התעללות מינית בילדים ובאיתורה. למעשה, </w:t>
      </w:r>
      <w:r w:rsidRPr="009E6D4D">
        <w:rPr>
          <w:rFonts w:asciiTheme="majorBidi" w:hAnsiTheme="majorBidi" w:cstheme="majorBidi"/>
          <w:rtl/>
        </w:rPr>
        <w:t>מחקר עדכני</w:t>
      </w:r>
      <w:r w:rsidRPr="00AB699C">
        <w:rPr>
          <w:rFonts w:asciiTheme="majorBidi" w:hAnsiTheme="majorBidi" w:cstheme="majorBidi"/>
          <w:rtl/>
        </w:rPr>
        <w:t xml:space="preserve"> של </w:t>
      </w:r>
      <w:r w:rsidRPr="00AB699C">
        <w:rPr>
          <w:rFonts w:asciiTheme="majorBidi" w:hAnsiTheme="majorBidi" w:cstheme="majorBidi"/>
        </w:rPr>
        <w:t>Goldschmidt-Gjerløw</w:t>
      </w:r>
      <w:r w:rsidRPr="00AB699C">
        <w:rPr>
          <w:rFonts w:asciiTheme="majorBidi" w:hAnsiTheme="majorBidi" w:cstheme="majorBidi"/>
          <w:rtl/>
        </w:rPr>
        <w:t xml:space="preserve"> מדגיש את החשיבות של זכויות הילדים והאחריות של המורים לטפל בנושאי התעללות מינית בילדים בבתי הספר (</w:t>
      </w:r>
      <w:r w:rsidRPr="00AB699C">
        <w:rPr>
          <w:rFonts w:asciiTheme="majorBidi" w:hAnsiTheme="majorBidi" w:cstheme="majorBidi"/>
        </w:rPr>
        <w:t>Goldschmidt-Gjerløw, 2019</w:t>
      </w:r>
      <w:r w:rsidRPr="00AB699C">
        <w:rPr>
          <w:rFonts w:asciiTheme="majorBidi" w:hAnsiTheme="majorBidi" w:cstheme="majorBidi"/>
          <w:rtl/>
        </w:rPr>
        <w:t xml:space="preserve">). מורים מבלים </w:t>
      </w:r>
      <w:r w:rsidR="00283008">
        <w:rPr>
          <w:rFonts w:asciiTheme="majorBidi" w:hAnsiTheme="majorBidi" w:cstheme="majorBidi" w:hint="cs"/>
          <w:rtl/>
        </w:rPr>
        <w:t>שעות רבות</w:t>
      </w:r>
      <w:r w:rsidRPr="00AB699C">
        <w:rPr>
          <w:rFonts w:asciiTheme="majorBidi" w:hAnsiTheme="majorBidi" w:cstheme="majorBidi"/>
          <w:rtl/>
        </w:rPr>
        <w:t xml:space="preserve"> ביום עם התלמידים, ולכן חשוב שהם ידונו עמם בהתעללות מינית בילדים באופן הולם ומיטיב. דיונים כאלה יכולים לעזור למנוע התעללות מסוג זה, משום שהם עוזרים לתלמידים ללמוד על התעללות מינית בילדים, על מערכות היחסים האופייניות בין מתעלל וקרבן, </w:t>
      </w:r>
      <w:r w:rsidR="00283008">
        <w:rPr>
          <w:rFonts w:asciiTheme="majorBidi" w:hAnsiTheme="majorBidi" w:cstheme="majorBidi" w:hint="cs"/>
          <w:rtl/>
        </w:rPr>
        <w:t>ועל הדרכים השונות שבהן</w:t>
      </w:r>
      <w:r w:rsidRPr="00AB699C">
        <w:rPr>
          <w:rFonts w:asciiTheme="majorBidi" w:hAnsiTheme="majorBidi" w:cstheme="majorBidi"/>
          <w:rtl/>
        </w:rPr>
        <w:t xml:space="preserve"> יכולים </w:t>
      </w:r>
      <w:r w:rsidR="00283008">
        <w:rPr>
          <w:rFonts w:asciiTheme="majorBidi" w:hAnsiTheme="majorBidi" w:cstheme="majorBidi" w:hint="cs"/>
          <w:rtl/>
        </w:rPr>
        <w:t xml:space="preserve">הקורבנות </w:t>
      </w:r>
      <w:r w:rsidRPr="00AB699C">
        <w:rPr>
          <w:rFonts w:asciiTheme="majorBidi" w:hAnsiTheme="majorBidi" w:cstheme="majorBidi"/>
          <w:rtl/>
        </w:rPr>
        <w:t xml:space="preserve">כדי לשבור את המעגל. שיחות על התעללות מינית בילדים בין תלמידים ומורים יכולות לעזור לגונן על התלמידים ולדאוג לשלומם. מורים הדנים בהתעללות מינית בילדים בפתיחות יכולים להבחין </w:t>
      </w:r>
      <w:r w:rsidR="00DC504E" w:rsidRPr="00AB699C">
        <w:rPr>
          <w:rFonts w:asciiTheme="majorBidi" w:hAnsiTheme="majorBidi" w:cstheme="majorBidi"/>
          <w:rtl/>
        </w:rPr>
        <w:t>בקלות רבה יותר</w:t>
      </w:r>
      <w:r w:rsidRPr="00AB699C">
        <w:rPr>
          <w:rFonts w:asciiTheme="majorBidi" w:hAnsiTheme="majorBidi" w:cstheme="majorBidi"/>
          <w:rtl/>
        </w:rPr>
        <w:t xml:space="preserve"> בסימנים המעידים שתלמיד עובר אלימות או התעללות, </w:t>
      </w:r>
      <w:r w:rsidR="00283008">
        <w:rPr>
          <w:rFonts w:asciiTheme="majorBidi" w:hAnsiTheme="majorBidi" w:cstheme="majorBidi" w:hint="cs"/>
          <w:rtl/>
        </w:rPr>
        <w:t xml:space="preserve">והדבר מסייע </w:t>
      </w:r>
      <w:r w:rsidRPr="00AB699C">
        <w:rPr>
          <w:rFonts w:asciiTheme="majorBidi" w:hAnsiTheme="majorBidi" w:cstheme="majorBidi"/>
          <w:rtl/>
        </w:rPr>
        <w:t xml:space="preserve">לקרבנות ומקל עליהם בחשיפת ההתעללות. </w:t>
      </w:r>
    </w:p>
    <w:p w:rsidR="00A3292A" w:rsidRPr="00AB699C" w:rsidRDefault="00A3292A" w:rsidP="00283008">
      <w:pPr>
        <w:bidi/>
        <w:contextualSpacing/>
        <w:rPr>
          <w:rFonts w:asciiTheme="majorBidi" w:hAnsiTheme="majorBidi" w:cstheme="majorBidi"/>
          <w:sz w:val="24"/>
          <w:szCs w:val="24"/>
        </w:rPr>
      </w:pPr>
      <w:r w:rsidRPr="00AB699C">
        <w:rPr>
          <w:rFonts w:asciiTheme="majorBidi" w:hAnsiTheme="majorBidi" w:cstheme="majorBidi"/>
          <w:sz w:val="24"/>
          <w:szCs w:val="24"/>
          <w:rtl/>
        </w:rPr>
        <w:t xml:space="preserve">חשיפת ההתעללות המינית בזמן, לצד תגובה ראויה, יכולה למעזר את </w:t>
      </w:r>
      <w:r w:rsidRPr="00283008">
        <w:rPr>
          <w:rFonts w:asciiTheme="majorBidi" w:hAnsiTheme="majorBidi" w:cstheme="majorBidi"/>
          <w:sz w:val="24"/>
          <w:szCs w:val="24"/>
          <w:rtl/>
        </w:rPr>
        <w:t>הסיכון לניצול וקרבנות</w:t>
      </w:r>
      <w:r w:rsidRPr="00AB699C">
        <w:rPr>
          <w:rFonts w:asciiTheme="majorBidi" w:hAnsiTheme="majorBidi" w:cstheme="majorBidi"/>
          <w:sz w:val="24"/>
          <w:szCs w:val="24"/>
          <w:rtl/>
        </w:rPr>
        <w:t xml:space="preserve"> </w:t>
      </w:r>
      <w:r w:rsidR="00283008">
        <w:rPr>
          <w:rFonts w:asciiTheme="majorBidi" w:hAnsiTheme="majorBidi" w:cstheme="majorBidi" w:hint="cs"/>
          <w:sz w:val="24"/>
          <w:szCs w:val="24"/>
          <w:rtl/>
        </w:rPr>
        <w:t>חוזרת</w:t>
      </w:r>
      <w:r w:rsidRPr="00AB699C">
        <w:rPr>
          <w:rFonts w:asciiTheme="majorBidi" w:hAnsiTheme="majorBidi" w:cstheme="majorBidi"/>
          <w:sz w:val="24"/>
          <w:szCs w:val="24"/>
          <w:rtl/>
        </w:rPr>
        <w:t xml:space="preserve"> בעתיד, ולשים קץ לסבל שגור</w:t>
      </w:r>
      <w:r w:rsidR="00283008">
        <w:rPr>
          <w:rFonts w:asciiTheme="majorBidi" w:hAnsiTheme="majorBidi" w:cstheme="majorBidi"/>
          <w:sz w:val="24"/>
          <w:szCs w:val="24"/>
          <w:rtl/>
        </w:rPr>
        <w:t xml:space="preserve">מים התוקפים. לכן חיוני </w:t>
      </w:r>
      <w:r w:rsidR="00283008">
        <w:rPr>
          <w:rFonts w:asciiTheme="majorBidi" w:hAnsiTheme="majorBidi" w:cstheme="majorBidi" w:hint="cs"/>
          <w:sz w:val="24"/>
          <w:szCs w:val="24"/>
          <w:rtl/>
        </w:rPr>
        <w:t xml:space="preserve">שמבוגרים </w:t>
      </w:r>
      <w:commentRangeStart w:id="2"/>
      <w:r w:rsidR="00283008">
        <w:rPr>
          <w:rFonts w:asciiTheme="majorBidi" w:hAnsiTheme="majorBidi" w:cstheme="majorBidi" w:hint="cs"/>
          <w:sz w:val="24"/>
          <w:szCs w:val="24"/>
          <w:rtl/>
        </w:rPr>
        <w:t>הנתפסים על ידי הילד כדמויות אחראיות וחיוביות,</w:t>
      </w:r>
      <w:r w:rsidRPr="00AB699C">
        <w:rPr>
          <w:rFonts w:asciiTheme="majorBidi" w:hAnsiTheme="majorBidi" w:cstheme="majorBidi"/>
          <w:sz w:val="24"/>
          <w:szCs w:val="24"/>
          <w:rtl/>
        </w:rPr>
        <w:t xml:space="preserve"> </w:t>
      </w:r>
      <w:commentRangeEnd w:id="2"/>
      <w:r w:rsidR="00283008">
        <w:rPr>
          <w:rStyle w:val="ac"/>
          <w:rFonts w:ascii="Arial" w:eastAsiaTheme="minorEastAsia" w:hAnsi="Arial" w:cs="Arial"/>
          <w:rtl/>
          <w:lang w:eastAsia="en-GB"/>
        </w:rPr>
        <w:commentReference w:id="2"/>
      </w:r>
      <w:r w:rsidRPr="00AB699C">
        <w:rPr>
          <w:rFonts w:asciiTheme="majorBidi" w:hAnsiTheme="majorBidi" w:cstheme="majorBidi"/>
          <w:sz w:val="24"/>
          <w:szCs w:val="24"/>
          <w:rtl/>
        </w:rPr>
        <w:t xml:space="preserve">ילמדו </w:t>
      </w:r>
      <w:r w:rsidR="00283008">
        <w:rPr>
          <w:rFonts w:asciiTheme="majorBidi" w:hAnsiTheme="majorBidi" w:cstheme="majorBidi" w:hint="cs"/>
          <w:sz w:val="24"/>
          <w:szCs w:val="24"/>
          <w:rtl/>
        </w:rPr>
        <w:t xml:space="preserve">אותו </w:t>
      </w:r>
      <w:r w:rsidRPr="00AB699C">
        <w:rPr>
          <w:rFonts w:asciiTheme="majorBidi" w:hAnsiTheme="majorBidi" w:cstheme="majorBidi"/>
          <w:sz w:val="24"/>
          <w:szCs w:val="24"/>
          <w:rtl/>
        </w:rPr>
        <w:t>איך לעודד חשיפה כנה של התעללות מינית. מחקרים קודמים מראים שנדיר שילדים חושפים את ההתעללות המינית שהם עוברים למורים. במחקר ארצי בארצות הברית, נמצא ש-66.3% מבני הנוער בגילאים עשר עד 17 לא דיווחו על התעללות מינית להורה או למבוגר אחר. אולם מבין אלה שכן דיווחו, 31% דיווחו להורים שלהם, 19.1% דיווחו למשטרה, ו- 21.8% דיווחו למורה (</w:t>
      </w:r>
      <w:r w:rsidRPr="00AB699C">
        <w:rPr>
          <w:rFonts w:asciiTheme="majorBidi" w:hAnsiTheme="majorBidi" w:cstheme="majorBidi"/>
          <w:sz w:val="24"/>
          <w:szCs w:val="24"/>
        </w:rPr>
        <w:t>Gewirtz-Meydan &amp; Finkelhor, 2019</w:t>
      </w:r>
      <w:r w:rsidRPr="00AB699C">
        <w:rPr>
          <w:rFonts w:asciiTheme="majorBidi" w:hAnsiTheme="majorBidi" w:cstheme="majorBidi"/>
          <w:sz w:val="24"/>
          <w:szCs w:val="24"/>
          <w:rtl/>
        </w:rPr>
        <w:t>). בדומה לכך, במחקר אחר בקרב שורדי התעללות מינית בילדים, 75% מהמשיבים לא חשפו את ההתעללות בילדותם. מבין ה- 25% מהשורדים שדיווחו שסיפרו למישהו על ההתעללות, רק 7% חשפו מקרי התעללות בפני מורה (</w:t>
      </w:r>
      <w:r w:rsidRPr="00AB699C">
        <w:rPr>
          <w:rFonts w:asciiTheme="majorBidi" w:hAnsiTheme="majorBidi" w:cstheme="majorBidi"/>
          <w:sz w:val="24"/>
          <w:szCs w:val="24"/>
        </w:rPr>
        <w:t>Wager, 2015</w:t>
      </w:r>
      <w:r w:rsidRPr="00AB699C">
        <w:rPr>
          <w:rFonts w:asciiTheme="majorBidi" w:hAnsiTheme="majorBidi" w:cstheme="majorBidi"/>
          <w:sz w:val="24"/>
          <w:szCs w:val="24"/>
          <w:rtl/>
        </w:rPr>
        <w:t xml:space="preserve">). ממצאים מהמחקר של </w:t>
      </w:r>
      <w:r w:rsidRPr="00AB699C">
        <w:rPr>
          <w:rFonts w:asciiTheme="majorBidi" w:hAnsiTheme="majorBidi" w:cstheme="majorBidi"/>
          <w:sz w:val="24"/>
          <w:szCs w:val="24"/>
        </w:rPr>
        <w:t>Alaggia</w:t>
      </w:r>
      <w:r w:rsidRPr="00AB699C">
        <w:rPr>
          <w:rFonts w:asciiTheme="majorBidi" w:hAnsiTheme="majorBidi" w:cstheme="majorBidi"/>
          <w:sz w:val="24"/>
          <w:szCs w:val="24"/>
          <w:rtl/>
        </w:rPr>
        <w:t xml:space="preserve"> בשנת 2010 על שורדים מבוגרים מעלים שקיימת ציפייה שמורים יזהו סימני מצוקה בקרב התלמידים, לצד ההנחה </w:t>
      </w:r>
      <w:r w:rsidR="00283008">
        <w:rPr>
          <w:rFonts w:asciiTheme="majorBidi" w:hAnsiTheme="majorBidi" w:cstheme="majorBidi" w:hint="cs"/>
          <w:sz w:val="24"/>
          <w:szCs w:val="24"/>
          <w:rtl/>
        </w:rPr>
        <w:t>שפנייה ישירה ל</w:t>
      </w:r>
      <w:r w:rsidRPr="00AB699C">
        <w:rPr>
          <w:rFonts w:asciiTheme="majorBidi" w:hAnsiTheme="majorBidi" w:cstheme="majorBidi"/>
          <w:sz w:val="24"/>
          <w:szCs w:val="24"/>
          <w:rtl/>
        </w:rPr>
        <w:t xml:space="preserve">תלמידים </w:t>
      </w:r>
      <w:r w:rsidR="00283008">
        <w:rPr>
          <w:rFonts w:asciiTheme="majorBidi" w:hAnsiTheme="majorBidi" w:cstheme="majorBidi" w:hint="cs"/>
          <w:sz w:val="24"/>
          <w:szCs w:val="24"/>
          <w:rtl/>
        </w:rPr>
        <w:t>ושאלתם לגבי</w:t>
      </w:r>
      <w:r w:rsidRPr="00AB699C">
        <w:rPr>
          <w:rFonts w:asciiTheme="majorBidi" w:hAnsiTheme="majorBidi" w:cstheme="majorBidi"/>
          <w:sz w:val="24"/>
          <w:szCs w:val="24"/>
          <w:rtl/>
        </w:rPr>
        <w:t xml:space="preserve"> הסיבה לסימני המצוקה יביא לחשיפה. </w:t>
      </w:r>
    </w:p>
    <w:p w:rsidR="00A3292A" w:rsidRPr="00AB699C" w:rsidRDefault="00A3292A" w:rsidP="00A3292A">
      <w:pPr>
        <w:bidi/>
        <w:contextualSpacing/>
        <w:rPr>
          <w:rFonts w:asciiTheme="majorBidi" w:hAnsiTheme="majorBidi" w:cstheme="majorBidi"/>
          <w:sz w:val="24"/>
          <w:szCs w:val="24"/>
        </w:rPr>
      </w:pPr>
      <w:r w:rsidRPr="00AB699C">
        <w:rPr>
          <w:rFonts w:asciiTheme="majorBidi" w:hAnsiTheme="majorBidi" w:cstheme="majorBidi"/>
          <w:sz w:val="24"/>
          <w:szCs w:val="24"/>
          <w:rtl/>
        </w:rPr>
        <w:lastRenderedPageBreak/>
        <w:t>למרבה הצער, ילדים לא מרגישים בנוח לדבר על התעללות מינית עם מוריהם או לחשוף בפניהם מקרי התעללות (</w:t>
      </w:r>
      <w:r w:rsidRPr="00AB699C">
        <w:rPr>
          <w:rFonts w:asciiTheme="majorBidi" w:hAnsiTheme="majorBidi" w:cstheme="majorBidi"/>
          <w:sz w:val="24"/>
          <w:szCs w:val="24"/>
        </w:rPr>
        <w:t>Schönbucher</w:t>
      </w:r>
      <w:r w:rsidRPr="00AB699C">
        <w:rPr>
          <w:rFonts w:asciiTheme="majorBidi" w:hAnsiTheme="majorBidi" w:cstheme="majorBidi"/>
          <w:sz w:val="24"/>
          <w:szCs w:val="24"/>
          <w:rtl/>
        </w:rPr>
        <w:t xml:space="preserve"> ואח', 2012). ילדים ומתבגרים צריכים שמבוגרים מכל תחומי החיים שלהם, לרבות הורים, מורים, שוטרים, שופטים ואנשי רפואה, ידברו על התעללות מינית בגלוי ויגיבו לה ברגישות. המחקר הנוכחי שואף לבחון את הגורמים המקלים על דיון פתוח בין מורים ותלמידים. מחקרים קודמים בתחום התמקדו בעיקר בנקודת המבט של התלמידים (</w:t>
      </w:r>
      <w:r w:rsidRPr="00AB699C">
        <w:rPr>
          <w:rFonts w:asciiTheme="majorBidi" w:hAnsiTheme="majorBidi" w:cstheme="majorBidi"/>
          <w:sz w:val="24"/>
          <w:szCs w:val="24"/>
        </w:rPr>
        <w:t>Schönbucher</w:t>
      </w:r>
      <w:r w:rsidRPr="00AB699C">
        <w:rPr>
          <w:rFonts w:asciiTheme="majorBidi" w:hAnsiTheme="majorBidi" w:cstheme="majorBidi"/>
          <w:sz w:val="24"/>
          <w:szCs w:val="24"/>
          <w:rtl/>
        </w:rPr>
        <w:t xml:space="preserve"> ואח', 2012) או של המורים (</w:t>
      </w:r>
      <w:r w:rsidRPr="00AB699C">
        <w:rPr>
          <w:rFonts w:asciiTheme="majorBidi" w:hAnsiTheme="majorBidi" w:cstheme="majorBidi"/>
          <w:sz w:val="24"/>
          <w:szCs w:val="24"/>
        </w:rPr>
        <w:t>Goldman &amp; Bradley, 2011; Tener &amp; Sigad, 2019</w:t>
      </w:r>
      <w:r w:rsidRPr="00AB699C">
        <w:rPr>
          <w:rFonts w:asciiTheme="majorBidi" w:hAnsiTheme="majorBidi" w:cstheme="majorBidi"/>
          <w:sz w:val="24"/>
          <w:szCs w:val="24"/>
          <w:rtl/>
        </w:rPr>
        <w:t xml:space="preserve">), אך הצורך במחקרים המשלבים את התפיסות של התלמידים והמורים יחדיו, כדי לבחון את הפער ביניהן, הולך וגובר. מחקר זה מטפל בפער זה דרך בדיקת התפיסות של תלמידים והמורים והמחנכים שלהם כאחד בדיונים בנושא התעללות מינית. </w:t>
      </w:r>
    </w:p>
    <w:p w:rsidR="00A3292A" w:rsidRPr="00AB699C" w:rsidRDefault="00A3292A" w:rsidP="009E6D4D">
      <w:pPr>
        <w:bidi/>
        <w:contextualSpacing/>
        <w:rPr>
          <w:rFonts w:asciiTheme="majorBidi" w:eastAsia="Times New Roman" w:hAnsiTheme="majorBidi" w:cstheme="majorBidi"/>
          <w:sz w:val="24"/>
          <w:szCs w:val="24"/>
          <w:rtl/>
        </w:rPr>
      </w:pPr>
      <w:r w:rsidRPr="00AB699C">
        <w:rPr>
          <w:rFonts w:asciiTheme="majorBidi" w:hAnsiTheme="majorBidi" w:cstheme="majorBidi"/>
          <w:sz w:val="24"/>
          <w:szCs w:val="24"/>
          <w:rtl/>
        </w:rPr>
        <w:t xml:space="preserve">המחקר בודק את אסטרטגיות התיווך של מורים בנושא התעללות מינית </w:t>
      </w:r>
      <w:r w:rsidR="00DC504E" w:rsidRPr="00AB699C">
        <w:rPr>
          <w:rFonts w:asciiTheme="majorBidi" w:hAnsiTheme="majorBidi" w:cstheme="majorBidi"/>
          <w:sz w:val="24"/>
          <w:szCs w:val="24"/>
          <w:rtl/>
        </w:rPr>
        <w:t>ואת המידה שבה אלה</w:t>
      </w:r>
      <w:r w:rsidRPr="00AB699C">
        <w:rPr>
          <w:rFonts w:asciiTheme="majorBidi" w:hAnsiTheme="majorBidi" w:cstheme="majorBidi"/>
          <w:sz w:val="24"/>
          <w:szCs w:val="24"/>
          <w:rtl/>
        </w:rPr>
        <w:t xml:space="preserve"> תואמות את תפיסות התלמידים לגבי התמיכה והקבלה של המורים. הוא מבוסס על שלוש אסטרטגיות תיווך עיקריות: תיווך מגביל, תיווך שלילי פעיל, ותיווך חיובי פעיל (</w:t>
      </w:r>
      <w:r w:rsidRPr="00AB699C">
        <w:rPr>
          <w:rFonts w:asciiTheme="majorBidi" w:hAnsiTheme="majorBidi" w:cstheme="majorBidi"/>
          <w:sz w:val="24"/>
          <w:szCs w:val="24"/>
        </w:rPr>
        <w:t>Boniel-Nissim</w:t>
      </w:r>
      <w:r w:rsidRPr="00AB699C">
        <w:rPr>
          <w:rFonts w:asciiTheme="majorBidi" w:hAnsiTheme="majorBidi" w:cstheme="majorBidi"/>
          <w:sz w:val="24"/>
          <w:szCs w:val="24"/>
          <w:rtl/>
        </w:rPr>
        <w:t xml:space="preserve"> ואח', 2020; </w:t>
      </w:r>
      <w:r w:rsidRPr="00AB699C">
        <w:rPr>
          <w:rFonts w:asciiTheme="majorBidi" w:hAnsiTheme="majorBidi" w:cstheme="majorBidi"/>
          <w:sz w:val="24"/>
          <w:szCs w:val="24"/>
        </w:rPr>
        <w:t>Efrati &amp; Boniel-Nissim, 2021; Nathanson, 2016</w:t>
      </w:r>
      <w:r w:rsidRPr="00AB699C">
        <w:rPr>
          <w:rFonts w:asciiTheme="majorBidi" w:hAnsiTheme="majorBidi" w:cstheme="majorBidi"/>
          <w:sz w:val="24"/>
          <w:szCs w:val="24"/>
          <w:rtl/>
        </w:rPr>
        <w:t>). תיווך מגביל מתמקד בכללים ובגבולות ואינו יוצר באמת פורום לדיון פתוח. הוא מיועד להעביר מסר ברור: הטרדה מינית היא פלילית ואסורה בחוק. דיונים בהתעללות מינית לפי גישת התיווך השלילי הפעיל מתמקדים בהיבטים השליליים של התעללות מינית בילדים (כלומר: הם מסבירים למה ההתנהגות הזאת מסוכנת ופוגענית). לבסוף, הגישה החיובית הפעילה מדגישה התנהגות מינית בריאה ומיטיבה (לדוגמה דיון ב</w:t>
      </w:r>
      <w:r w:rsidR="009E6D4D">
        <w:rPr>
          <w:rFonts w:asciiTheme="majorBidi" w:hAnsiTheme="majorBidi" w:cstheme="majorBidi" w:hint="cs"/>
          <w:sz w:val="24"/>
          <w:szCs w:val="24"/>
          <w:rtl/>
        </w:rPr>
        <w:t xml:space="preserve">עונג </w:t>
      </w:r>
      <w:r w:rsidRPr="009E6D4D">
        <w:rPr>
          <w:rFonts w:asciiTheme="majorBidi" w:hAnsiTheme="majorBidi" w:cstheme="majorBidi"/>
          <w:sz w:val="24"/>
          <w:szCs w:val="24"/>
          <w:rtl/>
        </w:rPr>
        <w:t>ובשמחה האפשריים דרך</w:t>
      </w:r>
      <w:r w:rsidRPr="00AB699C">
        <w:rPr>
          <w:rFonts w:asciiTheme="majorBidi" w:hAnsiTheme="majorBidi" w:cstheme="majorBidi"/>
          <w:sz w:val="24"/>
          <w:szCs w:val="24"/>
          <w:rtl/>
        </w:rPr>
        <w:t xml:space="preserve"> מין, והדרכת ילדים ובני נוער לפנות לאדם מבוגר אם מישהו נוגע בהם ללא הסכמתם או אם הם לא נהנים מפעילות מינית). </w:t>
      </w:r>
    </w:p>
    <w:p w:rsidR="00A3292A" w:rsidRPr="00AB699C" w:rsidRDefault="00A3292A" w:rsidP="00A3292A">
      <w:pPr>
        <w:bidi/>
        <w:contextualSpacing/>
        <w:rPr>
          <w:rFonts w:asciiTheme="majorBidi" w:eastAsia="Times New Roman" w:hAnsiTheme="majorBidi" w:cstheme="majorBidi"/>
          <w:sz w:val="24"/>
          <w:szCs w:val="24"/>
        </w:rPr>
      </w:pPr>
      <w:r w:rsidRPr="00AB699C">
        <w:rPr>
          <w:rFonts w:asciiTheme="majorBidi" w:eastAsia="Times New Roman" w:hAnsiTheme="majorBidi" w:cstheme="majorBidi"/>
          <w:sz w:val="24"/>
          <w:szCs w:val="24"/>
          <w:rtl/>
        </w:rPr>
        <w:t>המחקר הבודק אסטרטגיות תיווך מתמקד בעיקר בהורים (</w:t>
      </w:r>
      <w:r w:rsidRPr="00AB699C">
        <w:rPr>
          <w:rFonts w:asciiTheme="majorBidi" w:eastAsia="Times New Roman" w:hAnsiTheme="majorBidi" w:cstheme="majorBidi"/>
          <w:sz w:val="24"/>
          <w:szCs w:val="24"/>
        </w:rPr>
        <w:t>Chen &amp; Chng, 2016; Shin &amp; Li, 2017</w:t>
      </w:r>
      <w:r w:rsidRPr="00AB699C">
        <w:rPr>
          <w:rFonts w:asciiTheme="majorBidi" w:eastAsia="Times New Roman" w:hAnsiTheme="majorBidi" w:cstheme="majorBidi"/>
          <w:sz w:val="24"/>
          <w:szCs w:val="24"/>
          <w:rtl/>
        </w:rPr>
        <w:t>) ובשימוש בתקשורת והתנהגות מסוכנת ברשת (</w:t>
      </w:r>
      <w:r w:rsidRPr="00AB699C">
        <w:rPr>
          <w:rFonts w:asciiTheme="majorBidi" w:eastAsia="Times New Roman" w:hAnsiTheme="majorBidi" w:cstheme="majorBidi"/>
          <w:sz w:val="24"/>
          <w:szCs w:val="24"/>
        </w:rPr>
        <w:t>Livingstone &amp; Helsper, 2008</w:t>
      </w:r>
      <w:r w:rsidRPr="00AB699C">
        <w:rPr>
          <w:rFonts w:asciiTheme="majorBidi" w:eastAsia="Times New Roman" w:hAnsiTheme="majorBidi" w:cstheme="majorBidi"/>
          <w:sz w:val="24"/>
          <w:szCs w:val="24"/>
          <w:rtl/>
        </w:rPr>
        <w:t>). הממצאים לגבי סגנונות התיווך שונים מעורבים. חלק מהמחקרים מראים שהגישה החיובית-פעילה מביאה לתוצאות הטובות ביותר (</w:t>
      </w:r>
      <w:r w:rsidRPr="00AB699C">
        <w:rPr>
          <w:rFonts w:asciiTheme="majorBidi" w:eastAsia="Times New Roman" w:hAnsiTheme="majorBidi" w:cstheme="majorBidi"/>
          <w:sz w:val="24"/>
          <w:szCs w:val="24"/>
        </w:rPr>
        <w:t>Nathanson, 2001</w:t>
      </w:r>
      <w:r w:rsidRPr="00AB699C">
        <w:rPr>
          <w:rFonts w:asciiTheme="majorBidi" w:eastAsia="Times New Roman" w:hAnsiTheme="majorBidi" w:cstheme="majorBidi"/>
          <w:sz w:val="24"/>
          <w:szCs w:val="24"/>
          <w:rtl/>
        </w:rPr>
        <w:t>), ומחקרים אחרים מראים ששילוב בין אסטרטגיות תיווך שונות הוא היעיל ביותר (</w:t>
      </w:r>
      <w:r w:rsidRPr="00AB699C">
        <w:rPr>
          <w:rFonts w:asciiTheme="majorBidi" w:eastAsia="Times New Roman" w:hAnsiTheme="majorBidi" w:cstheme="majorBidi"/>
          <w:sz w:val="24"/>
          <w:szCs w:val="24"/>
        </w:rPr>
        <w:t>Chen &amp; Chng, 2016</w:t>
      </w:r>
      <w:r w:rsidRPr="00AB699C">
        <w:rPr>
          <w:rFonts w:asciiTheme="majorBidi" w:eastAsia="Times New Roman" w:hAnsiTheme="majorBidi" w:cstheme="majorBidi"/>
          <w:sz w:val="24"/>
          <w:szCs w:val="24"/>
          <w:rtl/>
        </w:rPr>
        <w:t>).</w:t>
      </w:r>
    </w:p>
    <w:p w:rsidR="00AA7402" w:rsidRPr="00AB699C" w:rsidRDefault="00AA7402" w:rsidP="00AA7402">
      <w:pPr>
        <w:contextualSpacing/>
        <w:rPr>
          <w:rFonts w:asciiTheme="majorBidi" w:hAnsiTheme="majorBidi" w:cstheme="majorBidi"/>
          <w:b/>
          <w:bCs/>
          <w:sz w:val="24"/>
          <w:szCs w:val="24"/>
          <w:rtl/>
        </w:rPr>
      </w:pPr>
    </w:p>
    <w:p w:rsidR="00A3292A" w:rsidRPr="00AB699C" w:rsidRDefault="00A3292A" w:rsidP="00A3292A">
      <w:pPr>
        <w:bidi/>
        <w:ind w:firstLine="0"/>
        <w:contextualSpacing/>
        <w:jc w:val="center"/>
        <w:rPr>
          <w:rFonts w:asciiTheme="majorBidi" w:hAnsiTheme="majorBidi" w:cstheme="majorBidi"/>
          <w:b/>
          <w:bCs/>
          <w:sz w:val="24"/>
          <w:szCs w:val="24"/>
        </w:rPr>
      </w:pPr>
      <w:r w:rsidRPr="00AB699C">
        <w:rPr>
          <w:rFonts w:asciiTheme="majorBidi" w:hAnsiTheme="majorBidi" w:cstheme="majorBidi"/>
          <w:b/>
          <w:bCs/>
          <w:sz w:val="24"/>
          <w:szCs w:val="24"/>
          <w:rtl/>
        </w:rPr>
        <w:lastRenderedPageBreak/>
        <w:t>דיון</w:t>
      </w:r>
    </w:p>
    <w:p w:rsidR="00A3292A" w:rsidRPr="00AB699C" w:rsidRDefault="00A3292A" w:rsidP="00A3292A">
      <w:pPr>
        <w:bidi/>
        <w:contextualSpacing/>
        <w:rPr>
          <w:rFonts w:asciiTheme="majorBidi" w:hAnsiTheme="majorBidi" w:cstheme="majorBidi"/>
          <w:sz w:val="24"/>
          <w:szCs w:val="24"/>
        </w:rPr>
      </w:pPr>
      <w:r w:rsidRPr="00AB699C">
        <w:rPr>
          <w:rFonts w:asciiTheme="majorBidi" w:hAnsiTheme="majorBidi" w:cstheme="majorBidi"/>
          <w:sz w:val="24"/>
          <w:szCs w:val="24"/>
          <w:rtl/>
        </w:rPr>
        <w:t>מחקר זה מדגיש את יכולת התיווך של מורים במסגרת הדיון בהתעללות מינית בילדים כגורם חשוב שיכול לתרום למניעת התעללות מינית בילדים ואיתורה. במחקר זה, אנו מתמקדים בשתי שאלות: (א) האם דיווחים של מורים על רמת התיווך בנושא התעללות מינית שונים מהתפיסה של התלמידים לגבי התיווך בנושא? (ב) מה מנבא את התפיסה של התלמידים לגבי התיווך בנושא? לצורך זה, ערכנו מחקר בקרב שתי אוכלוסיות מדגם: 756 תלמידים והמחנכים שלהם (66 סה"כ). באופן זה, בחנו את התפיסות לגבי התיווך בנושא התעללות מינית בילדים מנקודת המבט של התלמידים והמורים בנפרד. כמו כן, בחנו מה מהגורמים הבאים מנבא את התפיסה של התלמידים לגבי התיווך בנושא התעללות מינית בילדים: הרגישות הנחזית של המורה להתעללות מינית בילדים, איכות התקשורת בין המורה לתלמידים בכלל ובנושאי התעללות מינית בילדים בפרט, התמיכה של המורים בכלל ובנושאי התעללות מינית בילדים בכלל, וסימני הקבלה או הדחייה (מידת ההיקשרות) של המורים.</w:t>
      </w:r>
    </w:p>
    <w:p w:rsidR="00A3292A" w:rsidRPr="00AB699C" w:rsidRDefault="00A3292A" w:rsidP="009E6D4D">
      <w:pPr>
        <w:bidi/>
        <w:ind w:firstLine="0"/>
        <w:contextualSpacing/>
        <w:rPr>
          <w:rFonts w:asciiTheme="majorBidi" w:hAnsiTheme="majorBidi" w:cstheme="majorBidi"/>
          <w:sz w:val="24"/>
          <w:szCs w:val="24"/>
          <w:rtl/>
        </w:rPr>
      </w:pPr>
      <w:r w:rsidRPr="00AB699C">
        <w:rPr>
          <w:rFonts w:asciiTheme="majorBidi" w:hAnsiTheme="majorBidi" w:cstheme="majorBidi"/>
          <w:sz w:val="24"/>
          <w:szCs w:val="24"/>
        </w:rPr>
        <w:tab/>
      </w:r>
      <w:r w:rsidRPr="00AB699C">
        <w:rPr>
          <w:rFonts w:asciiTheme="majorBidi" w:hAnsiTheme="majorBidi" w:cstheme="majorBidi"/>
          <w:sz w:val="24"/>
          <w:szCs w:val="24"/>
          <w:rtl/>
        </w:rPr>
        <w:t xml:space="preserve">שלא במפתיע וכפי שחזינו, מורים דיווחו על רמה גבוהה הרבה יותר של תיווך בנושא התעללות מינית בילדים (בכל האסטרטגיות) בהשוואה לתלמידים. במילים אחרות, מורים מאמינים שהם מתווכים את הנושא לתלמידים ודנים בו הרבה יותר ממה שהתלמידים </w:t>
      </w:r>
      <w:r w:rsidR="009E6D4D">
        <w:rPr>
          <w:rFonts w:asciiTheme="majorBidi" w:hAnsiTheme="majorBidi" w:cstheme="majorBidi" w:hint="cs"/>
          <w:sz w:val="24"/>
          <w:szCs w:val="24"/>
          <w:rtl/>
        </w:rPr>
        <w:t>עצמם מעידים</w:t>
      </w:r>
      <w:r w:rsidRPr="00AB699C">
        <w:rPr>
          <w:rFonts w:asciiTheme="majorBidi" w:hAnsiTheme="majorBidi" w:cstheme="majorBidi"/>
          <w:sz w:val="24"/>
          <w:szCs w:val="24"/>
          <w:rtl/>
        </w:rPr>
        <w:t>. אולם כאשר השיחות הללו כן מתקיימות, איכות התמיכה שתלמידים תופסים בנושאי הטרדה מינית גבוהה יותר. כמו כן, במפתיע ובניגוד להשערה, לא היה הבדל משמעותי בין אסטרטגיות התיווך שהמורים נקטו (תיווך מגביל, תיווך חיובי פעיל, או תיווך שלילי) מבחינת הדירוג שלהן בניבוי האיכות הנתפסת של התמיכה בנושאי הטרדה מינית בקרב התלמידים. כלומר, כל עוד המורים דנים בנושאי התעללות מינית בילדים, הדיונים משפיעים לטובה על הילדים, לא משנה איך המורים דנים בנושא. ממצא זה תואם מחקרים קודמים שמצאו שגם תיווך מגביל וגם תיווך פעיל מנבאים וויסות עצמי ברשת וויסות רגשי בקרב ילדים ובני נוער, ומנבאים ירידה ברמות האימפולסיביות במחקר אורך (</w:t>
      </w:r>
      <w:r w:rsidRPr="00AB699C">
        <w:rPr>
          <w:rFonts w:asciiTheme="majorBidi" w:hAnsiTheme="majorBidi" w:cstheme="majorBidi"/>
          <w:sz w:val="24"/>
          <w:szCs w:val="24"/>
        </w:rPr>
        <w:t>Chen &amp; Chng, 2016</w:t>
      </w:r>
      <w:r w:rsidRPr="00AB699C">
        <w:rPr>
          <w:rFonts w:asciiTheme="majorBidi" w:hAnsiTheme="majorBidi" w:cstheme="majorBidi"/>
          <w:sz w:val="24"/>
          <w:szCs w:val="24"/>
          <w:rtl/>
        </w:rPr>
        <w:t>). הדבר נראה גם במחקר שבחן את התיווך של מורים בנוגע לסיכונים ולהזדמנויות בתקשורת (</w:t>
      </w:r>
      <w:r w:rsidRPr="00AB699C">
        <w:rPr>
          <w:rFonts w:asciiTheme="majorBidi" w:hAnsiTheme="majorBidi" w:cstheme="majorBidi"/>
          <w:sz w:val="24"/>
          <w:szCs w:val="24"/>
        </w:rPr>
        <w:t>Berger, 2020</w:t>
      </w:r>
      <w:r w:rsidRPr="00AB699C">
        <w:rPr>
          <w:rFonts w:asciiTheme="majorBidi" w:hAnsiTheme="majorBidi" w:cstheme="majorBidi"/>
          <w:sz w:val="24"/>
          <w:szCs w:val="24"/>
          <w:rtl/>
        </w:rPr>
        <w:t xml:space="preserve">). </w:t>
      </w:r>
      <w:r w:rsidR="009E6D4D">
        <w:rPr>
          <w:rFonts w:asciiTheme="majorBidi" w:hAnsiTheme="majorBidi" w:cstheme="majorBidi" w:hint="cs"/>
          <w:sz w:val="24"/>
          <w:szCs w:val="24"/>
          <w:rtl/>
        </w:rPr>
        <w:t>מסקנה זו מעלה</w:t>
      </w:r>
      <w:r w:rsidRPr="00AB699C">
        <w:rPr>
          <w:rFonts w:asciiTheme="majorBidi" w:hAnsiTheme="majorBidi" w:cstheme="majorBidi"/>
          <w:sz w:val="24"/>
          <w:szCs w:val="24"/>
          <w:rtl/>
        </w:rPr>
        <w:t xml:space="preserve"> את האפשרות שאסטרטגיות התיווך לא מנוגדות זו לזו בעבודתם של המורים. </w:t>
      </w:r>
    </w:p>
    <w:p w:rsidR="00A3292A" w:rsidRPr="00AB699C" w:rsidRDefault="00A3292A" w:rsidP="00283008">
      <w:pPr>
        <w:bidi/>
        <w:contextualSpacing/>
        <w:rPr>
          <w:rFonts w:asciiTheme="majorBidi" w:hAnsiTheme="majorBidi" w:cstheme="majorBidi"/>
          <w:sz w:val="24"/>
          <w:szCs w:val="24"/>
        </w:rPr>
      </w:pPr>
      <w:r w:rsidRPr="00AB699C">
        <w:rPr>
          <w:rFonts w:asciiTheme="majorBidi" w:hAnsiTheme="majorBidi" w:cstheme="majorBidi"/>
          <w:sz w:val="24"/>
          <w:szCs w:val="24"/>
          <w:rtl/>
        </w:rPr>
        <w:t>ממצאים אלה תואמים את המחקרים הקודמים, המראים את החשיבות וההשפעה החיובית של דיון בנושאי התעללות מינית בילדים בין מורים ותלמידים (</w:t>
      </w:r>
      <w:r w:rsidRPr="00AB699C">
        <w:rPr>
          <w:rFonts w:asciiTheme="majorBidi" w:hAnsiTheme="majorBidi" w:cstheme="majorBidi"/>
          <w:sz w:val="24"/>
          <w:szCs w:val="24"/>
        </w:rPr>
        <w:t>Goldschmidt-Gjerløw, 2019</w:t>
      </w:r>
      <w:r w:rsidRPr="00AB699C">
        <w:rPr>
          <w:rFonts w:asciiTheme="majorBidi" w:hAnsiTheme="majorBidi" w:cstheme="majorBidi"/>
          <w:sz w:val="24"/>
          <w:szCs w:val="24"/>
          <w:rtl/>
        </w:rPr>
        <w:t xml:space="preserve">). חשוב </w:t>
      </w:r>
      <w:r w:rsidRPr="00AB699C">
        <w:rPr>
          <w:rFonts w:asciiTheme="majorBidi" w:hAnsiTheme="majorBidi" w:cstheme="majorBidi"/>
          <w:sz w:val="24"/>
          <w:szCs w:val="24"/>
          <w:rtl/>
        </w:rPr>
        <w:lastRenderedPageBreak/>
        <w:t xml:space="preserve">לציין: </w:t>
      </w:r>
      <w:r w:rsidR="00AB699C" w:rsidRPr="00AB699C">
        <w:rPr>
          <w:rFonts w:asciiTheme="majorBidi" w:hAnsiTheme="majorBidi" w:cstheme="majorBidi"/>
          <w:sz w:val="24"/>
          <w:szCs w:val="24"/>
          <w:rtl/>
        </w:rPr>
        <w:t>אף על פי שמדובר באינטר</w:t>
      </w:r>
      <w:r w:rsidR="00F060E6">
        <w:rPr>
          <w:rFonts w:asciiTheme="majorBidi" w:hAnsiTheme="majorBidi" w:cstheme="majorBidi" w:hint="cs"/>
          <w:sz w:val="24"/>
          <w:szCs w:val="24"/>
          <w:rtl/>
        </w:rPr>
        <w:t>א</w:t>
      </w:r>
      <w:r w:rsidR="00AB699C" w:rsidRPr="00AB699C">
        <w:rPr>
          <w:rFonts w:asciiTheme="majorBidi" w:hAnsiTheme="majorBidi" w:cstheme="majorBidi"/>
          <w:sz w:val="24"/>
          <w:szCs w:val="24"/>
          <w:rtl/>
        </w:rPr>
        <w:t xml:space="preserve">קציות </w:t>
      </w:r>
      <w:r w:rsidRPr="00AB699C">
        <w:rPr>
          <w:rFonts w:asciiTheme="majorBidi" w:hAnsiTheme="majorBidi" w:cstheme="majorBidi"/>
          <w:sz w:val="24"/>
          <w:szCs w:val="24"/>
          <w:rtl/>
        </w:rPr>
        <w:t>משמעותיות מאוד, נדיר שהתלמידים יוזמים אותן. מחקרים קודמים מראים שתלמידים לא פונים למורים שלהם כדי לשוחח על התעללות מינית בילדים, בין השאר כי הם מאמינים שהמורים יהיו סובלניים להתנהגות כזאת (</w:t>
      </w:r>
      <w:r w:rsidRPr="00AB699C">
        <w:rPr>
          <w:rFonts w:asciiTheme="majorBidi" w:hAnsiTheme="majorBidi" w:cstheme="majorBidi"/>
          <w:sz w:val="24"/>
          <w:szCs w:val="24"/>
        </w:rPr>
        <w:t>Doty</w:t>
      </w:r>
      <w:r w:rsidRPr="00AB699C">
        <w:rPr>
          <w:rFonts w:asciiTheme="majorBidi" w:hAnsiTheme="majorBidi" w:cstheme="majorBidi"/>
          <w:sz w:val="24"/>
          <w:szCs w:val="24"/>
          <w:rtl/>
        </w:rPr>
        <w:t xml:space="preserve"> ואח', 2017) או משום שנושא ההתעללות המינית בילדים הוא בגדר טאבו (</w:t>
      </w:r>
      <w:r w:rsidRPr="00AB699C">
        <w:rPr>
          <w:rFonts w:asciiTheme="majorBidi" w:hAnsiTheme="majorBidi" w:cstheme="majorBidi"/>
          <w:sz w:val="24"/>
          <w:szCs w:val="24"/>
        </w:rPr>
        <w:t>Goldschmidt-Gjerløw, 2019</w:t>
      </w:r>
      <w:r w:rsidRPr="00AB699C">
        <w:rPr>
          <w:rFonts w:asciiTheme="majorBidi" w:hAnsiTheme="majorBidi" w:cstheme="majorBidi"/>
          <w:sz w:val="24"/>
          <w:szCs w:val="24"/>
          <w:rtl/>
        </w:rPr>
        <w:t xml:space="preserve">). יכול גם להיות שמורים שחוששים מהנושא יעבירו </w:t>
      </w:r>
      <w:r w:rsidR="00283008">
        <w:rPr>
          <w:rFonts w:asciiTheme="majorBidi" w:hAnsiTheme="majorBidi" w:cstheme="majorBidi" w:hint="cs"/>
          <w:sz w:val="24"/>
          <w:szCs w:val="24"/>
          <w:rtl/>
        </w:rPr>
        <w:t>את תחושת החרדה והחשש שלהם הלאה</w:t>
      </w:r>
      <w:r w:rsidRPr="00AB699C">
        <w:rPr>
          <w:rFonts w:asciiTheme="majorBidi" w:hAnsiTheme="majorBidi" w:cstheme="majorBidi"/>
          <w:sz w:val="24"/>
          <w:szCs w:val="24"/>
          <w:rtl/>
        </w:rPr>
        <w:t xml:space="preserve"> לתלמידי</w:t>
      </w:r>
      <w:r w:rsidR="00283008">
        <w:rPr>
          <w:rFonts w:asciiTheme="majorBidi" w:hAnsiTheme="majorBidi" w:cstheme="majorBidi" w:hint="cs"/>
          <w:sz w:val="24"/>
          <w:szCs w:val="24"/>
          <w:rtl/>
        </w:rPr>
        <w:t>הם</w:t>
      </w:r>
      <w:r w:rsidRPr="00AB699C">
        <w:rPr>
          <w:rFonts w:asciiTheme="majorBidi" w:hAnsiTheme="majorBidi" w:cstheme="majorBidi"/>
          <w:sz w:val="24"/>
          <w:szCs w:val="24"/>
          <w:rtl/>
        </w:rPr>
        <w:t xml:space="preserve">, וכן שאין להם את הניסיון בפנייה לרשויות הרווחה </w:t>
      </w:r>
      <w:r w:rsidR="00283008">
        <w:rPr>
          <w:rFonts w:asciiTheme="majorBidi" w:hAnsiTheme="majorBidi" w:cstheme="majorBidi" w:hint="cs"/>
          <w:sz w:val="24"/>
          <w:szCs w:val="24"/>
          <w:rtl/>
        </w:rPr>
        <w:t>במקרה הצורך</w:t>
      </w:r>
      <w:r w:rsidRPr="00AB699C">
        <w:rPr>
          <w:rFonts w:asciiTheme="majorBidi" w:hAnsiTheme="majorBidi" w:cstheme="majorBidi"/>
          <w:sz w:val="24"/>
          <w:szCs w:val="24"/>
          <w:rtl/>
        </w:rPr>
        <w:t xml:space="preserve"> (</w:t>
      </w:r>
      <w:r w:rsidRPr="00AB699C">
        <w:rPr>
          <w:rFonts w:asciiTheme="majorBidi" w:hAnsiTheme="majorBidi" w:cstheme="majorBidi"/>
          <w:sz w:val="24"/>
          <w:szCs w:val="24"/>
        </w:rPr>
        <w:t>Scholes</w:t>
      </w:r>
      <w:r w:rsidRPr="00AB699C">
        <w:rPr>
          <w:rFonts w:asciiTheme="majorBidi" w:hAnsiTheme="majorBidi" w:cstheme="majorBidi"/>
          <w:sz w:val="24"/>
          <w:szCs w:val="24"/>
          <w:rtl/>
        </w:rPr>
        <w:t xml:space="preserve"> ואח', 2012). הדיווחים של המורים על תמיכה טובה ביותר בנושאי התעללות מינית בילדים היו קשורים לתפיסה של תיווך פעיל שלילי. כלומר כשמורים מתארים את הסכנות שבהתעללות מינית בילדים, הם תופסים את עצמם כתומכים יותר. אולי הטאבו סביב מיניות והמבוכה שהמורים חשים סביב נושאים אלה גורמים להם לדון בהתעללות מינית בילדים דרך חוקים וקווים מנחים במקום רגשות.</w:t>
      </w:r>
    </w:p>
    <w:p w:rsidR="00A3292A" w:rsidRPr="00AB699C" w:rsidRDefault="00A3292A" w:rsidP="00A3292A">
      <w:pPr>
        <w:bidi/>
        <w:contextualSpacing/>
        <w:rPr>
          <w:rFonts w:asciiTheme="majorBidi" w:hAnsiTheme="majorBidi" w:cstheme="majorBidi"/>
          <w:sz w:val="24"/>
          <w:szCs w:val="24"/>
        </w:rPr>
      </w:pPr>
      <w:r w:rsidRPr="00AB699C">
        <w:rPr>
          <w:rFonts w:asciiTheme="majorBidi" w:hAnsiTheme="majorBidi" w:cstheme="majorBidi"/>
          <w:sz w:val="24"/>
          <w:szCs w:val="24"/>
          <w:rtl/>
        </w:rPr>
        <w:t xml:space="preserve">לבסוף, מצאנו שכאשר המורה נתפס כמקבל וזמין (ולכן, מכיל) בעיני התלמיד, תיווך נושא ההתעללות המינית בילדים נתפס כפעיל (שלילי או חיובי) ולא מגביל. אמנם, יכול להיות שהקשר הזה דו כיווני, אך הקשר בין תיווך פעיל ורמת קבלה וזמינות נתפסת גבוהה יותר אצל התלמידים ברור. תיווך מגביל, בו המורה מתמקד רק בחוקים וכללים, נחזה כרשמי, מרוחק וחסר רגש. לכן, הגיוני שאם המורה נחזה כמי שנותן "מקום בטוח", וכפנוי רגשית עבור התלמיד, התיווך הנתפס ייראה פעיל. </w:t>
      </w:r>
    </w:p>
    <w:p w:rsidR="00A3292A" w:rsidRPr="00AB699C" w:rsidRDefault="00A3292A" w:rsidP="00A3292A">
      <w:pPr>
        <w:bidi/>
        <w:contextualSpacing/>
        <w:rPr>
          <w:rFonts w:asciiTheme="majorBidi" w:eastAsia="Times New Roman" w:hAnsiTheme="majorBidi" w:cstheme="majorBidi"/>
          <w:sz w:val="24"/>
          <w:szCs w:val="24"/>
        </w:rPr>
      </w:pPr>
      <w:r w:rsidRPr="00AB699C">
        <w:rPr>
          <w:rFonts w:asciiTheme="majorBidi" w:eastAsia="Times New Roman" w:hAnsiTheme="majorBidi" w:cstheme="majorBidi"/>
          <w:sz w:val="24"/>
          <w:szCs w:val="24"/>
          <w:rtl/>
        </w:rPr>
        <w:t xml:space="preserve">בסך הכל, ממצאי המחקר מעודדים. הנחנו שרק סוג מסוים אחד של דיון בין תלמידים ומורים בנושא התעללות מינית בילדים יועיל להם, אך הממצאים מראים שכל סוג של דיון מיטיב עם התלמידים ומנבא הרגשה של תמיכה וקבלה בקרבם. אולי התלמידים רוצים מאוד לדבר עם המורים שלהם על התעללות מינית, והדיון כשלעצמו - בכל שיטת תיווך שהיא, ולא חשוב במה הוא מתמקד - נותן לתלמידים תחושת ביטחון ונראות. </w:t>
      </w:r>
    </w:p>
    <w:p w:rsidR="0047715A" w:rsidRPr="00AB699C" w:rsidRDefault="00A3292A" w:rsidP="00A3292A">
      <w:pPr>
        <w:bidi/>
        <w:rPr>
          <w:rFonts w:asciiTheme="majorBidi" w:hAnsiTheme="majorBidi" w:cstheme="majorBidi"/>
        </w:rPr>
      </w:pPr>
      <w:r w:rsidRPr="00AB699C">
        <w:rPr>
          <w:rFonts w:asciiTheme="majorBidi" w:hAnsiTheme="majorBidi" w:cstheme="majorBidi"/>
          <w:sz w:val="24"/>
          <w:szCs w:val="24"/>
          <w:rtl/>
        </w:rPr>
        <w:t xml:space="preserve">לבסוף, בנים תופסים תיווך כמגביל יותר מבנות. יכול להיות שזה נובע מתפקידי מגדר הגורמים לבנים להיתפס כ"תוקפים" יותר מאשר כ"קרבנות". לכן, אפשר לטעון שהגיוני מצד המורים לנקוט גישת תיווך מגבילה בנושא התעללות מינית בילדים כלפי בנים. ממצא זה תואם את המחקרים האחרים הבוחנים את התקשורת של הורים עם ילדיהם המתבגרים בנושא מיניות, שם נצפו הבדלים מגדריים: הורים </w:t>
      </w:r>
      <w:r w:rsidRPr="00AB699C">
        <w:rPr>
          <w:rFonts w:asciiTheme="majorBidi" w:hAnsiTheme="majorBidi" w:cstheme="majorBidi"/>
          <w:sz w:val="24"/>
          <w:szCs w:val="24"/>
          <w:rtl/>
        </w:rPr>
        <w:lastRenderedPageBreak/>
        <w:t>מדברים יותר על הסיכונים שבמיניות מאשר על נושאים חיוביים הקשורים למיניות, והפער הגדול ביותר בדיון בסוגים שונים של נושאים נמצא בשיחות בין אמהות ובנות.</w:t>
      </w:r>
    </w:p>
    <w:p w:rsidR="00645422" w:rsidRPr="00AB699C" w:rsidRDefault="00645422" w:rsidP="00645422">
      <w:pPr>
        <w:bidi/>
        <w:ind w:firstLine="0"/>
        <w:rPr>
          <w:rFonts w:asciiTheme="majorBidi" w:hAnsiTheme="majorBidi" w:cstheme="majorBidi"/>
          <w:b/>
          <w:bCs/>
          <w:rtl/>
        </w:rPr>
      </w:pPr>
    </w:p>
    <w:p w:rsidR="00645422" w:rsidRPr="00AB699C" w:rsidRDefault="00645422" w:rsidP="00645422">
      <w:pPr>
        <w:bidi/>
        <w:ind w:firstLine="0"/>
        <w:rPr>
          <w:rFonts w:asciiTheme="majorBidi" w:hAnsiTheme="majorBidi" w:cstheme="majorBidi"/>
          <w:b/>
          <w:bCs/>
          <w:rtl/>
        </w:rPr>
      </w:pPr>
      <w:r w:rsidRPr="00AB699C">
        <w:rPr>
          <w:rFonts w:asciiTheme="majorBidi" w:hAnsiTheme="majorBidi" w:cstheme="majorBidi"/>
          <w:b/>
          <w:bCs/>
          <w:rtl/>
        </w:rPr>
        <w:t>מקומם של ההורים בנושא פגיעות והטרדות מיניות בקרב ילדים</w:t>
      </w:r>
    </w:p>
    <w:p w:rsidR="003B683B" w:rsidRPr="00AB699C" w:rsidRDefault="000C58CD" w:rsidP="009E6D4D">
      <w:pPr>
        <w:bidi/>
        <w:contextualSpacing/>
        <w:rPr>
          <w:rFonts w:asciiTheme="majorBidi" w:hAnsiTheme="majorBidi" w:cstheme="majorBidi"/>
          <w:sz w:val="24"/>
          <w:szCs w:val="24"/>
        </w:rPr>
      </w:pPr>
      <w:r w:rsidRPr="00AB699C">
        <w:rPr>
          <w:rFonts w:asciiTheme="majorBidi" w:hAnsiTheme="majorBidi" w:cstheme="majorBidi"/>
          <w:sz w:val="24"/>
          <w:szCs w:val="24"/>
          <w:rtl/>
        </w:rPr>
        <w:t xml:space="preserve">הורים יכולים </w:t>
      </w:r>
      <w:r w:rsidR="009E6D4D">
        <w:rPr>
          <w:rFonts w:asciiTheme="majorBidi" w:hAnsiTheme="majorBidi" w:cstheme="majorBidi" w:hint="cs"/>
          <w:sz w:val="24"/>
          <w:szCs w:val="24"/>
          <w:rtl/>
        </w:rPr>
        <w:t>למלא</w:t>
      </w:r>
      <w:r w:rsidRPr="00AB699C">
        <w:rPr>
          <w:rFonts w:asciiTheme="majorBidi" w:hAnsiTheme="majorBidi" w:cstheme="majorBidi"/>
          <w:sz w:val="24"/>
          <w:szCs w:val="24"/>
          <w:rtl/>
        </w:rPr>
        <w:t xml:space="preserve"> תפקיד חשוב בחינוך המיני של ילדיהם המתבגרים (</w:t>
      </w:r>
      <w:r w:rsidRPr="00AB699C">
        <w:rPr>
          <w:rFonts w:asciiTheme="majorBidi" w:hAnsiTheme="majorBidi" w:cstheme="majorBidi"/>
          <w:sz w:val="24"/>
          <w:szCs w:val="24"/>
        </w:rPr>
        <w:t>Rogers, Padilla-Walker, &amp; Hurst, 2020</w:t>
      </w:r>
      <w:r w:rsidRPr="00AB699C">
        <w:rPr>
          <w:rFonts w:asciiTheme="majorBidi" w:hAnsiTheme="majorBidi" w:cstheme="majorBidi"/>
          <w:sz w:val="24"/>
          <w:szCs w:val="24"/>
          <w:rtl/>
        </w:rPr>
        <w:t>), דרך העברת מידע באופן התואם את רמת ההתפתחות, לקידום התפתחות מינית בריאה (</w:t>
      </w:r>
      <w:r w:rsidRPr="00AB699C">
        <w:rPr>
          <w:rFonts w:asciiTheme="majorBidi" w:hAnsiTheme="majorBidi" w:cstheme="majorBidi"/>
          <w:sz w:val="24"/>
          <w:szCs w:val="24"/>
        </w:rPr>
        <w:t>Flores &amp; Barroso, 2017</w:t>
      </w:r>
      <w:r w:rsidRPr="00AB699C">
        <w:rPr>
          <w:rFonts w:asciiTheme="majorBidi" w:hAnsiTheme="majorBidi" w:cstheme="majorBidi"/>
          <w:sz w:val="24"/>
          <w:szCs w:val="24"/>
          <w:rtl/>
        </w:rPr>
        <w:t>). כפי שנזכר לאחרונה בשיחה בנושא החשיבות המערכת של תהליכים במשפחה בהתפתחות המינית, "המשפחה קובעת" (</w:t>
      </w:r>
      <w:r w:rsidRPr="00AB699C">
        <w:rPr>
          <w:rFonts w:asciiTheme="majorBidi" w:hAnsiTheme="majorBidi" w:cstheme="majorBidi"/>
          <w:sz w:val="24"/>
          <w:szCs w:val="24"/>
        </w:rPr>
        <w:t>Kaestle, Allen, Wesche &amp; Grafsky, 2021</w:t>
      </w:r>
      <w:r w:rsidRPr="00AB699C">
        <w:rPr>
          <w:rFonts w:asciiTheme="majorBidi" w:hAnsiTheme="majorBidi" w:cstheme="majorBidi"/>
          <w:sz w:val="24"/>
          <w:szCs w:val="24"/>
          <w:rtl/>
        </w:rPr>
        <w:t xml:space="preserve">). אף על פי </w:t>
      </w:r>
      <w:r w:rsidR="009E6D4D">
        <w:rPr>
          <w:rFonts w:asciiTheme="majorBidi" w:hAnsiTheme="majorBidi" w:cstheme="majorBidi" w:hint="cs"/>
          <w:sz w:val="24"/>
          <w:szCs w:val="24"/>
          <w:rtl/>
        </w:rPr>
        <w:t xml:space="preserve">שב-40 השנים האחרונות נערכו </w:t>
      </w:r>
      <w:r w:rsidR="009E6D4D">
        <w:rPr>
          <w:rFonts w:asciiTheme="majorBidi" w:hAnsiTheme="majorBidi" w:cstheme="majorBidi"/>
          <w:sz w:val="24"/>
          <w:szCs w:val="24"/>
          <w:rtl/>
        </w:rPr>
        <w:t>מאות מחקרים</w:t>
      </w:r>
      <w:r w:rsidRPr="00AB699C">
        <w:rPr>
          <w:rFonts w:asciiTheme="majorBidi" w:hAnsiTheme="majorBidi" w:cstheme="majorBidi"/>
          <w:sz w:val="24"/>
          <w:szCs w:val="24"/>
          <w:rtl/>
        </w:rPr>
        <w:t xml:space="preserve"> בנושא תקשורת בנושא מין בין הורים וילדים (</w:t>
      </w:r>
      <w:r w:rsidRPr="00AB699C">
        <w:rPr>
          <w:rFonts w:asciiTheme="majorBidi" w:hAnsiTheme="majorBidi" w:cstheme="majorBidi"/>
          <w:sz w:val="24"/>
          <w:szCs w:val="24"/>
        </w:rPr>
        <w:t>Rogers</w:t>
      </w:r>
      <w:r w:rsidRPr="00AB699C">
        <w:rPr>
          <w:rFonts w:asciiTheme="majorBidi" w:hAnsiTheme="majorBidi" w:cstheme="majorBidi"/>
          <w:sz w:val="24"/>
          <w:szCs w:val="24"/>
          <w:rtl/>
        </w:rPr>
        <w:t xml:space="preserve"> ואח', 2020), ו</w:t>
      </w:r>
      <w:r w:rsidR="009E6D4D">
        <w:rPr>
          <w:rFonts w:asciiTheme="majorBidi" w:hAnsiTheme="majorBidi" w:cstheme="majorBidi" w:hint="cs"/>
          <w:sz w:val="24"/>
          <w:szCs w:val="24"/>
          <w:rtl/>
        </w:rPr>
        <w:t xml:space="preserve">למרות </w:t>
      </w:r>
      <w:r w:rsidRPr="00AB699C">
        <w:rPr>
          <w:rFonts w:asciiTheme="majorBidi" w:hAnsiTheme="majorBidi" w:cstheme="majorBidi"/>
          <w:sz w:val="24"/>
          <w:szCs w:val="24"/>
          <w:rtl/>
        </w:rPr>
        <w:t xml:space="preserve">ההבנה </w:t>
      </w:r>
      <w:r w:rsidR="009E6D4D">
        <w:rPr>
          <w:rFonts w:asciiTheme="majorBidi" w:hAnsiTheme="majorBidi" w:cstheme="majorBidi" w:hint="cs"/>
          <w:sz w:val="24"/>
          <w:szCs w:val="24"/>
          <w:rtl/>
        </w:rPr>
        <w:t xml:space="preserve">הגוברת כי </w:t>
      </w:r>
      <w:r w:rsidRPr="00AB699C">
        <w:rPr>
          <w:rFonts w:asciiTheme="majorBidi" w:hAnsiTheme="majorBidi" w:cstheme="majorBidi"/>
          <w:sz w:val="24"/>
          <w:szCs w:val="24"/>
          <w:rtl/>
        </w:rPr>
        <w:t>התהליך המשפחתי המרכזי בהתפתחות המינית הבריאה הוא התקשורת בנושאי מיניות (</w:t>
      </w:r>
      <w:r w:rsidRPr="00AB699C">
        <w:rPr>
          <w:rFonts w:asciiTheme="majorBidi" w:hAnsiTheme="majorBidi" w:cstheme="majorBidi"/>
          <w:sz w:val="24"/>
          <w:szCs w:val="24"/>
        </w:rPr>
        <w:t>Kaestle</w:t>
      </w:r>
      <w:r w:rsidRPr="00AB699C">
        <w:rPr>
          <w:rFonts w:asciiTheme="majorBidi" w:hAnsiTheme="majorBidi" w:cstheme="majorBidi"/>
          <w:sz w:val="24"/>
          <w:szCs w:val="24"/>
          <w:rtl/>
        </w:rPr>
        <w:t xml:space="preserve"> ואח', 2021), עדיין לא ברור האם הורים תופסים נכונה את האיכות של התקשורת שלהם עם ילדיהם בנושא מיניות. חיוני שתהיה התאמה בין התפיסות של ההורים והתפיסות של הילד, עבור תקשורת מיטיבה ותוצאות חיוביות בתחום המיניות (כגון: שימוש באמצעי הגנה; </w:t>
      </w:r>
      <w:r w:rsidRPr="00AB699C">
        <w:rPr>
          <w:rFonts w:asciiTheme="majorBidi" w:hAnsiTheme="majorBidi" w:cstheme="majorBidi"/>
          <w:sz w:val="24"/>
          <w:szCs w:val="24"/>
        </w:rPr>
        <w:t>Bonafide, Vanable, &amp; Carey, 2020</w:t>
      </w:r>
      <w:r w:rsidRPr="00AB699C">
        <w:rPr>
          <w:rFonts w:asciiTheme="majorBidi" w:hAnsiTheme="majorBidi" w:cstheme="majorBidi"/>
          <w:sz w:val="24"/>
          <w:szCs w:val="24"/>
          <w:rtl/>
        </w:rPr>
        <w:t>). לכן, חשוב ביותר לברר את הנושא.</w:t>
      </w:r>
    </w:p>
    <w:p w:rsidR="003B683B" w:rsidRPr="00AB699C" w:rsidRDefault="003B683B" w:rsidP="003B683B">
      <w:pPr>
        <w:bidi/>
        <w:contextualSpacing/>
        <w:rPr>
          <w:rFonts w:asciiTheme="majorBidi" w:hAnsiTheme="majorBidi" w:cstheme="majorBidi"/>
          <w:sz w:val="24"/>
          <w:szCs w:val="24"/>
        </w:rPr>
      </w:pPr>
      <w:r w:rsidRPr="00AB699C">
        <w:rPr>
          <w:rFonts w:asciiTheme="majorBidi" w:hAnsiTheme="majorBidi" w:cstheme="majorBidi"/>
          <w:sz w:val="24"/>
          <w:szCs w:val="24"/>
          <w:rtl/>
        </w:rPr>
        <w:t>תקשורת בין הורים לילדיהם המתבגרים היא חלק מהמכלול החברתי-אקולוגי המשפיע על ההתפתחות המינית לאורך גיל ההתבגרות (</w:t>
      </w:r>
      <w:r w:rsidRPr="00AB699C">
        <w:rPr>
          <w:rFonts w:asciiTheme="majorBidi" w:hAnsiTheme="majorBidi" w:cstheme="majorBidi"/>
          <w:sz w:val="24"/>
          <w:szCs w:val="24"/>
        </w:rPr>
        <w:t>Bronfenbrenner, 1979; Baldry</w:t>
      </w:r>
      <w:r w:rsidRPr="00AB699C">
        <w:rPr>
          <w:rFonts w:asciiTheme="majorBidi" w:hAnsiTheme="majorBidi" w:cstheme="majorBidi"/>
          <w:sz w:val="24"/>
          <w:szCs w:val="24"/>
          <w:rtl/>
        </w:rPr>
        <w:t xml:space="preserve"> ואח', 2015; </w:t>
      </w:r>
      <w:r w:rsidRPr="00AB699C">
        <w:rPr>
          <w:rFonts w:asciiTheme="majorBidi" w:hAnsiTheme="majorBidi" w:cstheme="majorBidi"/>
          <w:sz w:val="24"/>
          <w:szCs w:val="24"/>
        </w:rPr>
        <w:t>Committee on the Biological Prevention</w:t>
      </w:r>
      <w:r w:rsidRPr="00AB699C">
        <w:rPr>
          <w:rFonts w:asciiTheme="majorBidi" w:hAnsiTheme="majorBidi" w:cstheme="majorBidi"/>
          <w:sz w:val="24"/>
          <w:szCs w:val="24"/>
          <w:rtl/>
        </w:rPr>
        <w:t xml:space="preserve"> ואח', 2016; </w:t>
      </w:r>
      <w:r w:rsidRPr="00AB699C">
        <w:rPr>
          <w:rFonts w:asciiTheme="majorBidi" w:hAnsiTheme="majorBidi" w:cstheme="majorBidi"/>
          <w:sz w:val="24"/>
          <w:szCs w:val="24"/>
        </w:rPr>
        <w:t>Cross</w:t>
      </w:r>
      <w:r w:rsidRPr="00AB699C">
        <w:rPr>
          <w:rFonts w:asciiTheme="majorBidi" w:hAnsiTheme="majorBidi" w:cstheme="majorBidi"/>
          <w:sz w:val="24"/>
          <w:szCs w:val="24"/>
          <w:rtl/>
        </w:rPr>
        <w:t xml:space="preserve"> ואח', 2015; </w:t>
      </w:r>
      <w:r w:rsidRPr="00AB699C">
        <w:rPr>
          <w:rFonts w:asciiTheme="majorBidi" w:hAnsiTheme="majorBidi" w:cstheme="majorBidi"/>
          <w:sz w:val="24"/>
          <w:szCs w:val="24"/>
        </w:rPr>
        <w:t>Hong &amp; Espelage, 2012</w:t>
      </w:r>
      <w:r w:rsidRPr="00AB699C">
        <w:rPr>
          <w:rFonts w:asciiTheme="majorBidi" w:hAnsiTheme="majorBidi" w:cstheme="majorBidi"/>
          <w:sz w:val="24"/>
          <w:szCs w:val="24"/>
          <w:rtl/>
        </w:rPr>
        <w:t>). מכלול זה כולל את מערכות ההשפעה על חיי המתבגר. הוא מסביר איך היחסים בין המתבגר וכל מערכת בתוך המכלול משפיעים על הצמיחה וההתפתחות של המתבגר. המערכת מתחילה במתבגר עצמו, הנמצא במרכז הדינמיקה הפנימית שלו, התפיסות והמאפיינים שלו. היא מכילה גם את המשפחה (מיקרו-מערכת), את הקהילה (מערכת הביניים), ואת החברה והממשלה (המערכת החיצונית), ואת התרבות, האמונות והערכים (מאקרו-מערכת) (</w:t>
      </w:r>
      <w:r w:rsidRPr="00AB699C">
        <w:rPr>
          <w:rFonts w:asciiTheme="majorBidi" w:hAnsiTheme="majorBidi" w:cstheme="majorBidi"/>
          <w:sz w:val="24"/>
          <w:szCs w:val="24"/>
        </w:rPr>
        <w:t>Bronfenbrenner, 1979</w:t>
      </w:r>
      <w:r w:rsidRPr="00AB699C">
        <w:rPr>
          <w:rFonts w:asciiTheme="majorBidi" w:hAnsiTheme="majorBidi" w:cstheme="majorBidi"/>
          <w:sz w:val="24"/>
          <w:szCs w:val="24"/>
          <w:rtl/>
        </w:rPr>
        <w:t>). היחסים בין המתבגר והוריו מהווים חלק מהמיקרו-מערכת, וזו הודגשה כמרכיב חיוני בהתפתחות המינית דרך ההשפעות של תקשורת בנושאי מיניות בין הורים וילדים (</w:t>
      </w:r>
      <w:r w:rsidRPr="00AB699C">
        <w:rPr>
          <w:rFonts w:asciiTheme="majorBidi" w:hAnsiTheme="majorBidi" w:cstheme="majorBidi"/>
          <w:sz w:val="24"/>
          <w:szCs w:val="24"/>
        </w:rPr>
        <w:t>Kaestle</w:t>
      </w:r>
      <w:r w:rsidRPr="00AB699C">
        <w:rPr>
          <w:rFonts w:asciiTheme="majorBidi" w:hAnsiTheme="majorBidi" w:cstheme="majorBidi"/>
          <w:sz w:val="24"/>
          <w:szCs w:val="24"/>
          <w:rtl/>
        </w:rPr>
        <w:t xml:space="preserve"> ואח', 2021).</w:t>
      </w:r>
    </w:p>
    <w:p w:rsidR="003B683B" w:rsidRPr="00AB699C" w:rsidRDefault="003B683B" w:rsidP="003B683B">
      <w:pPr>
        <w:bidi/>
        <w:ind w:firstLine="0"/>
        <w:contextualSpacing/>
        <w:rPr>
          <w:rFonts w:asciiTheme="majorBidi" w:hAnsiTheme="majorBidi" w:cstheme="majorBidi"/>
          <w:b/>
          <w:bCs/>
          <w:sz w:val="24"/>
          <w:szCs w:val="24"/>
        </w:rPr>
      </w:pPr>
      <w:r w:rsidRPr="00AB699C">
        <w:rPr>
          <w:rFonts w:asciiTheme="majorBidi" w:hAnsiTheme="majorBidi" w:cstheme="majorBidi"/>
          <w:b/>
          <w:bCs/>
          <w:sz w:val="24"/>
          <w:szCs w:val="24"/>
          <w:rtl/>
        </w:rPr>
        <w:t>איכות התקשורת בין הורים וילדים בנושאי מיניות</w:t>
      </w:r>
    </w:p>
    <w:p w:rsidR="003B683B" w:rsidRPr="00AB699C" w:rsidRDefault="003B683B" w:rsidP="00283008">
      <w:pPr>
        <w:bidi/>
        <w:contextualSpacing/>
        <w:rPr>
          <w:rFonts w:asciiTheme="majorBidi" w:hAnsiTheme="majorBidi" w:cstheme="majorBidi"/>
          <w:sz w:val="24"/>
          <w:szCs w:val="24"/>
          <w:rtl/>
        </w:rPr>
      </w:pPr>
      <w:r w:rsidRPr="00AB699C">
        <w:rPr>
          <w:rFonts w:asciiTheme="majorBidi" w:hAnsiTheme="majorBidi" w:cstheme="majorBidi"/>
          <w:sz w:val="24"/>
          <w:szCs w:val="24"/>
          <w:rtl/>
        </w:rPr>
        <w:lastRenderedPageBreak/>
        <w:t>לתקשורת בין הורים וילדיהם המתבגרים בנושאי מיניות יש השפעה עצומה, ולה מספר פנים (</w:t>
      </w:r>
      <w:r w:rsidRPr="00AB699C">
        <w:rPr>
          <w:rFonts w:asciiTheme="majorBidi" w:hAnsiTheme="majorBidi" w:cstheme="majorBidi"/>
          <w:sz w:val="24"/>
          <w:szCs w:val="24"/>
        </w:rPr>
        <w:t>Evans, Widman, Kamke &amp; Stewart, 2020</w:t>
      </w:r>
      <w:r w:rsidRPr="00AB699C">
        <w:rPr>
          <w:rFonts w:asciiTheme="majorBidi" w:hAnsiTheme="majorBidi" w:cstheme="majorBidi"/>
          <w:sz w:val="24"/>
          <w:szCs w:val="24"/>
          <w:rtl/>
        </w:rPr>
        <w:t>). ראשית, להורים תפקיד חשוב בהתליך החברות המיני, בכך שהם מעצבים את הקוגניציה המינית של ילדיהם (</w:t>
      </w:r>
      <w:r w:rsidRPr="00AB699C">
        <w:rPr>
          <w:rFonts w:asciiTheme="majorBidi" w:hAnsiTheme="majorBidi" w:cstheme="majorBidi"/>
          <w:sz w:val="24"/>
          <w:szCs w:val="24"/>
        </w:rPr>
        <w:t>Buhi &amp; Goodson, 2007; Rogers, 2017</w:t>
      </w:r>
      <w:r w:rsidRPr="00AB699C">
        <w:rPr>
          <w:rFonts w:asciiTheme="majorBidi" w:hAnsiTheme="majorBidi" w:cstheme="majorBidi"/>
          <w:sz w:val="24"/>
          <w:szCs w:val="24"/>
          <w:rtl/>
        </w:rPr>
        <w:t>). בפרט, ההורים הם סוכני חיברות המעצבים את הגישה של הילדים למיניות (תפיסה חיובית או שלילית לגבי התנהגויות מסוימות, למשל שימוש בקונדומים), את הנורמות הנתפסות (השכיחות והנורמטיביות הנתפסות של התנהגויות כמו שימוש בקונדומים, והתפיסה לגבי האישור או הגינ</w:t>
      </w:r>
      <w:r w:rsidR="00AB699C">
        <w:rPr>
          <w:rFonts w:asciiTheme="majorBidi" w:hAnsiTheme="majorBidi" w:cstheme="majorBidi"/>
          <w:sz w:val="24"/>
          <w:szCs w:val="24"/>
          <w:rtl/>
        </w:rPr>
        <w:t>וי מאחרים, לגבי ביצוע ההתנהגות)</w:t>
      </w:r>
      <w:r w:rsidRPr="00AB699C">
        <w:rPr>
          <w:rFonts w:asciiTheme="majorBidi" w:hAnsiTheme="majorBidi" w:cstheme="majorBidi"/>
          <w:sz w:val="24"/>
          <w:szCs w:val="24"/>
          <w:rtl/>
        </w:rPr>
        <w:t xml:space="preserve"> והמסוגלות העצמית (התפיסה של האדם לגבי היכולת שלו לבצע או להימנע מפעולה מסוימת). דרך שינויים בקוגניציות המיניות הללו, הורים יכולים גם לעצב את ההתנהגות המינית שלהם; למשל, הגיל בו הם מתחילים להיות פעילים מבחינה מינית, שימוש בקונדומים, והתנהגות מינית מסוכנת (</w:t>
      </w:r>
      <w:r w:rsidRPr="00AB699C">
        <w:rPr>
          <w:rFonts w:asciiTheme="majorBidi" w:hAnsiTheme="majorBidi" w:cstheme="majorBidi"/>
          <w:sz w:val="24"/>
          <w:szCs w:val="24"/>
        </w:rPr>
        <w:t>Albanese, De Blasio, &amp; Sestito, 2016; Dittus</w:t>
      </w:r>
      <w:r w:rsidRPr="00AB699C">
        <w:rPr>
          <w:rFonts w:asciiTheme="majorBidi" w:hAnsiTheme="majorBidi" w:cstheme="majorBidi"/>
          <w:sz w:val="24"/>
          <w:szCs w:val="24"/>
          <w:rtl/>
        </w:rPr>
        <w:t xml:space="preserve"> ואח', 2015; </w:t>
      </w:r>
      <w:r w:rsidRPr="00AB699C">
        <w:rPr>
          <w:rFonts w:asciiTheme="majorBidi" w:hAnsiTheme="majorBidi" w:cstheme="majorBidi"/>
          <w:sz w:val="24"/>
          <w:szCs w:val="24"/>
        </w:rPr>
        <w:t>Holman &amp; Koenig Kellas, 2018; Kågesten</w:t>
      </w:r>
      <w:r w:rsidRPr="00AB699C">
        <w:rPr>
          <w:rFonts w:asciiTheme="majorBidi" w:hAnsiTheme="majorBidi" w:cstheme="majorBidi"/>
          <w:sz w:val="24"/>
          <w:szCs w:val="24"/>
          <w:rtl/>
        </w:rPr>
        <w:t xml:space="preserve"> ואח', 2016; </w:t>
      </w:r>
      <w:r w:rsidRPr="00AB699C">
        <w:rPr>
          <w:rFonts w:asciiTheme="majorBidi" w:hAnsiTheme="majorBidi" w:cstheme="majorBidi"/>
          <w:sz w:val="24"/>
          <w:szCs w:val="24"/>
        </w:rPr>
        <w:t>Rogers, 2017; van de Bongardt, Reitz, Sandfort, &amp; Deković, 2015</w:t>
      </w:r>
      <w:r w:rsidRPr="00AB699C">
        <w:rPr>
          <w:rFonts w:asciiTheme="majorBidi" w:hAnsiTheme="majorBidi" w:cstheme="majorBidi"/>
          <w:sz w:val="24"/>
          <w:szCs w:val="24"/>
          <w:rtl/>
        </w:rPr>
        <w:t>). לדוגמה, במטא-אנליזה (</w:t>
      </w:r>
      <w:r w:rsidRPr="00AB699C">
        <w:rPr>
          <w:rFonts w:asciiTheme="majorBidi" w:hAnsiTheme="majorBidi" w:cstheme="majorBidi"/>
          <w:sz w:val="24"/>
          <w:szCs w:val="24"/>
        </w:rPr>
        <w:t>Albarracín</w:t>
      </w:r>
      <w:r w:rsidRPr="00AB699C">
        <w:rPr>
          <w:rFonts w:asciiTheme="majorBidi" w:hAnsiTheme="majorBidi" w:cstheme="majorBidi"/>
          <w:sz w:val="24"/>
          <w:szCs w:val="24"/>
          <w:rtl/>
        </w:rPr>
        <w:t xml:space="preserve"> ואח', 2001) של כ- 100 מחקרים, נמצא שהגישה לגבי קונדומים (</w:t>
      </w:r>
      <w:r w:rsidRPr="00AB699C">
        <w:rPr>
          <w:rFonts w:asciiTheme="majorBidi" w:hAnsiTheme="majorBidi" w:cstheme="majorBidi"/>
          <w:i/>
          <w:iCs/>
          <w:sz w:val="24"/>
          <w:szCs w:val="24"/>
        </w:rPr>
        <w:t>r</w:t>
      </w:r>
      <w:r w:rsidRPr="00AB699C">
        <w:rPr>
          <w:rFonts w:asciiTheme="majorBidi" w:hAnsiTheme="majorBidi" w:cstheme="majorBidi"/>
          <w:sz w:val="24"/>
          <w:szCs w:val="24"/>
          <w:vertAlign w:val="subscript"/>
        </w:rPr>
        <w:t>mean</w:t>
      </w:r>
      <w:r w:rsidRPr="00AB699C">
        <w:rPr>
          <w:rFonts w:asciiTheme="majorBidi" w:hAnsiTheme="majorBidi" w:cstheme="majorBidi"/>
          <w:sz w:val="24"/>
          <w:szCs w:val="24"/>
        </w:rPr>
        <w:t xml:space="preserve"> = .58</w:t>
      </w:r>
      <w:r w:rsidRPr="00AB699C">
        <w:rPr>
          <w:rFonts w:asciiTheme="majorBidi" w:hAnsiTheme="majorBidi" w:cstheme="majorBidi"/>
          <w:sz w:val="24"/>
          <w:szCs w:val="24"/>
          <w:rtl/>
        </w:rPr>
        <w:t>), התפיסה לגבי נורמות שימוש בקונדומים (</w:t>
      </w:r>
      <w:r w:rsidRPr="00AB699C">
        <w:rPr>
          <w:rFonts w:asciiTheme="majorBidi" w:hAnsiTheme="majorBidi" w:cstheme="majorBidi"/>
          <w:i/>
          <w:iCs/>
          <w:sz w:val="24"/>
          <w:szCs w:val="24"/>
        </w:rPr>
        <w:t>r</w:t>
      </w:r>
      <w:r w:rsidRPr="00AB699C">
        <w:rPr>
          <w:rFonts w:asciiTheme="majorBidi" w:hAnsiTheme="majorBidi" w:cstheme="majorBidi"/>
          <w:sz w:val="24"/>
          <w:szCs w:val="24"/>
          <w:vertAlign w:val="subscript"/>
        </w:rPr>
        <w:t>mean</w:t>
      </w:r>
      <w:r w:rsidRPr="00AB699C">
        <w:rPr>
          <w:rFonts w:asciiTheme="majorBidi" w:hAnsiTheme="majorBidi" w:cstheme="majorBidi"/>
          <w:sz w:val="24"/>
          <w:szCs w:val="24"/>
        </w:rPr>
        <w:t xml:space="preserve"> = .39</w:t>
      </w:r>
      <w:r w:rsidRPr="00AB699C">
        <w:rPr>
          <w:rFonts w:asciiTheme="majorBidi" w:hAnsiTheme="majorBidi" w:cstheme="majorBidi"/>
          <w:sz w:val="24"/>
          <w:szCs w:val="24"/>
          <w:rtl/>
        </w:rPr>
        <w:t>), והבקרה ההתנהגותית הנתפסת לגבי שימוש בקונדומים (</w:t>
      </w:r>
      <w:r w:rsidRPr="00AB699C">
        <w:rPr>
          <w:rFonts w:asciiTheme="majorBidi" w:hAnsiTheme="majorBidi" w:cstheme="majorBidi"/>
          <w:i/>
          <w:iCs/>
          <w:sz w:val="24"/>
          <w:szCs w:val="24"/>
        </w:rPr>
        <w:t>r</w:t>
      </w:r>
      <w:r w:rsidRPr="00AB699C">
        <w:rPr>
          <w:rFonts w:asciiTheme="majorBidi" w:hAnsiTheme="majorBidi" w:cstheme="majorBidi"/>
          <w:sz w:val="24"/>
          <w:szCs w:val="24"/>
          <w:vertAlign w:val="subscript"/>
        </w:rPr>
        <w:t>mean</w:t>
      </w:r>
      <w:r w:rsidRPr="00AB699C">
        <w:rPr>
          <w:rFonts w:asciiTheme="majorBidi" w:hAnsiTheme="majorBidi" w:cstheme="majorBidi"/>
          <w:sz w:val="24"/>
          <w:szCs w:val="24"/>
        </w:rPr>
        <w:t xml:space="preserve"> = .45</w:t>
      </w:r>
      <w:r w:rsidRPr="00AB699C">
        <w:rPr>
          <w:rFonts w:asciiTheme="majorBidi" w:hAnsiTheme="majorBidi" w:cstheme="majorBidi"/>
          <w:sz w:val="24"/>
          <w:szCs w:val="24"/>
          <w:rtl/>
        </w:rPr>
        <w:t xml:space="preserve">) ניבאה </w:t>
      </w:r>
      <w:r w:rsidRPr="009E6D4D">
        <w:rPr>
          <w:rFonts w:asciiTheme="majorBidi" w:hAnsiTheme="majorBidi" w:cstheme="majorBidi"/>
          <w:sz w:val="24"/>
          <w:szCs w:val="24"/>
          <w:rtl/>
        </w:rPr>
        <w:t>באופן מובהק וחזק</w:t>
      </w:r>
      <w:r w:rsidRPr="00AB699C">
        <w:rPr>
          <w:rFonts w:asciiTheme="majorBidi" w:hAnsiTheme="majorBidi" w:cstheme="majorBidi"/>
          <w:sz w:val="24"/>
          <w:szCs w:val="24"/>
          <w:rtl/>
        </w:rPr>
        <w:t xml:space="preserve"> את הכוונה להשתמש בקונדומים.  כמו כן, ההשפעות של ההורים על החיברות המיני של ילדיהם הן תהליך דינמי המתפתח לאורך זמן (בעיקר בגילאי החטיבה והתיכון), כך שהורים מדברים עם ילדיהם על התנהגות מינית לפי השלב ההתפתחותי של הילד (</w:t>
      </w:r>
      <w:r w:rsidRPr="00AB699C">
        <w:rPr>
          <w:rFonts w:asciiTheme="majorBidi" w:hAnsiTheme="majorBidi" w:cstheme="majorBidi"/>
          <w:sz w:val="24"/>
          <w:szCs w:val="24"/>
        </w:rPr>
        <w:t>Grossman, Jenkins, &amp; Richer, 2018</w:t>
      </w:r>
      <w:r w:rsidRPr="00AB699C">
        <w:rPr>
          <w:rFonts w:asciiTheme="majorBidi" w:hAnsiTheme="majorBidi" w:cstheme="majorBidi"/>
          <w:sz w:val="24"/>
          <w:szCs w:val="24"/>
          <w:rtl/>
        </w:rPr>
        <w:t xml:space="preserve">). למשל, </w:t>
      </w:r>
      <w:r w:rsidR="009E6D4D">
        <w:rPr>
          <w:rFonts w:asciiTheme="majorBidi" w:hAnsiTheme="majorBidi" w:cstheme="majorBidi" w:hint="cs"/>
          <w:sz w:val="24"/>
          <w:szCs w:val="24"/>
          <w:rtl/>
        </w:rPr>
        <w:t xml:space="preserve">אף כי </w:t>
      </w:r>
      <w:r w:rsidRPr="00AB699C">
        <w:rPr>
          <w:rFonts w:asciiTheme="majorBidi" w:hAnsiTheme="majorBidi" w:cstheme="majorBidi"/>
          <w:sz w:val="24"/>
          <w:szCs w:val="24"/>
          <w:rtl/>
        </w:rPr>
        <w:t xml:space="preserve">שיחות בנושא מוכנות לקיום יחסי מין, הסיכונים הנלווים למין ואמצעי הגנה לא משתנות בין תחילת גיל ההתבגרות ובסוף גיל ההתבגרות, הדיונים בנושא </w:t>
      </w:r>
      <w:proofErr w:type="spellStart"/>
      <w:r w:rsidRPr="00AB699C">
        <w:rPr>
          <w:rFonts w:asciiTheme="majorBidi" w:hAnsiTheme="majorBidi" w:cstheme="majorBidi"/>
          <w:sz w:val="24"/>
          <w:szCs w:val="24"/>
          <w:rtl/>
        </w:rPr>
        <w:t>דייטי</w:t>
      </w:r>
      <w:r w:rsidR="009E6D4D">
        <w:rPr>
          <w:rFonts w:asciiTheme="majorBidi" w:hAnsiTheme="majorBidi" w:cstheme="majorBidi" w:hint="cs"/>
          <w:sz w:val="24"/>
          <w:szCs w:val="24"/>
          <w:rtl/>
        </w:rPr>
        <w:t>ם</w:t>
      </w:r>
      <w:proofErr w:type="spellEnd"/>
      <w:r w:rsidRPr="00AB699C">
        <w:rPr>
          <w:rFonts w:asciiTheme="majorBidi" w:hAnsiTheme="majorBidi" w:cstheme="majorBidi"/>
          <w:sz w:val="24"/>
          <w:szCs w:val="24"/>
          <w:rtl/>
        </w:rPr>
        <w:t xml:space="preserve"> ומערכות יחסים כן משתנים: בתחילת גיל ההתבגרות השיחות מתמקדות בעיקר בכללי </w:t>
      </w:r>
      <w:proofErr w:type="spellStart"/>
      <w:r w:rsidRPr="00AB699C">
        <w:rPr>
          <w:rFonts w:asciiTheme="majorBidi" w:hAnsiTheme="majorBidi" w:cstheme="majorBidi"/>
          <w:sz w:val="24"/>
          <w:szCs w:val="24"/>
          <w:rtl/>
        </w:rPr>
        <w:t>הדייטי</w:t>
      </w:r>
      <w:r w:rsidR="009E6D4D">
        <w:rPr>
          <w:rFonts w:asciiTheme="majorBidi" w:hAnsiTheme="majorBidi" w:cstheme="majorBidi" w:hint="cs"/>
          <w:sz w:val="24"/>
          <w:szCs w:val="24"/>
          <w:rtl/>
        </w:rPr>
        <w:t>ם</w:t>
      </w:r>
      <w:proofErr w:type="spellEnd"/>
      <w:r w:rsidRPr="00AB699C">
        <w:rPr>
          <w:rFonts w:asciiTheme="majorBidi" w:hAnsiTheme="majorBidi" w:cstheme="majorBidi"/>
          <w:sz w:val="24"/>
          <w:szCs w:val="24"/>
          <w:rtl/>
        </w:rPr>
        <w:t xml:space="preserve"> ומערכות היחסים בין בני נוער,</w:t>
      </w:r>
      <w:r w:rsidR="009E6D4D">
        <w:rPr>
          <w:rFonts w:asciiTheme="majorBidi" w:hAnsiTheme="majorBidi" w:cstheme="majorBidi"/>
          <w:sz w:val="24"/>
          <w:szCs w:val="24"/>
          <w:rtl/>
        </w:rPr>
        <w:t xml:space="preserve"> ובסוף גיל ההתבגרות השיחות מת</w:t>
      </w:r>
      <w:r w:rsidR="009E6D4D">
        <w:rPr>
          <w:rFonts w:asciiTheme="majorBidi" w:hAnsiTheme="majorBidi" w:cstheme="majorBidi" w:hint="cs"/>
          <w:sz w:val="24"/>
          <w:szCs w:val="24"/>
          <w:rtl/>
        </w:rPr>
        <w:t>מקד</w:t>
      </w:r>
      <w:r w:rsidRPr="00AB699C">
        <w:rPr>
          <w:rFonts w:asciiTheme="majorBidi" w:hAnsiTheme="majorBidi" w:cstheme="majorBidi"/>
          <w:sz w:val="24"/>
          <w:szCs w:val="24"/>
          <w:rtl/>
        </w:rPr>
        <w:t xml:space="preserve">ות יותר במידת העניין או המעורבות </w:t>
      </w:r>
      <w:proofErr w:type="spellStart"/>
      <w:r w:rsidR="009E6D4D">
        <w:rPr>
          <w:rFonts w:asciiTheme="majorBidi" w:hAnsiTheme="majorBidi" w:cstheme="majorBidi" w:hint="cs"/>
          <w:sz w:val="24"/>
          <w:szCs w:val="24"/>
          <w:rtl/>
        </w:rPr>
        <w:t>בדייטים</w:t>
      </w:r>
      <w:proofErr w:type="spellEnd"/>
      <w:r w:rsidR="009E6D4D">
        <w:rPr>
          <w:rFonts w:asciiTheme="majorBidi" w:hAnsiTheme="majorBidi" w:cstheme="majorBidi" w:hint="cs"/>
          <w:sz w:val="24"/>
          <w:szCs w:val="24"/>
          <w:rtl/>
        </w:rPr>
        <w:t xml:space="preserve"> </w:t>
      </w:r>
      <w:r w:rsidR="00283008">
        <w:rPr>
          <w:rFonts w:asciiTheme="majorBidi" w:hAnsiTheme="majorBidi" w:cstheme="majorBidi" w:hint="cs"/>
          <w:sz w:val="24"/>
          <w:szCs w:val="24"/>
          <w:rtl/>
        </w:rPr>
        <w:t>וב</w:t>
      </w:r>
      <w:r w:rsidR="00A33A27">
        <w:rPr>
          <w:rFonts w:asciiTheme="majorBidi" w:hAnsiTheme="majorBidi" w:cstheme="majorBidi" w:hint="cs"/>
          <w:sz w:val="24"/>
          <w:szCs w:val="24"/>
          <w:rtl/>
        </w:rPr>
        <w:t>כלים ל</w:t>
      </w:r>
      <w:r w:rsidR="00283008">
        <w:rPr>
          <w:rFonts w:asciiTheme="majorBidi" w:hAnsiTheme="majorBidi" w:cstheme="majorBidi" w:hint="cs"/>
          <w:sz w:val="24"/>
          <w:szCs w:val="24"/>
          <w:rtl/>
        </w:rPr>
        <w:t>ניהול</w:t>
      </w:r>
      <w:r w:rsidRPr="00AB699C">
        <w:rPr>
          <w:rFonts w:asciiTheme="majorBidi" w:hAnsiTheme="majorBidi" w:cstheme="majorBidi"/>
          <w:sz w:val="24"/>
          <w:szCs w:val="24"/>
          <w:rtl/>
        </w:rPr>
        <w:t xml:space="preserve"> מערכ</w:t>
      </w:r>
      <w:r w:rsidR="00283008">
        <w:rPr>
          <w:rFonts w:asciiTheme="majorBidi" w:hAnsiTheme="majorBidi" w:cstheme="majorBidi" w:hint="cs"/>
          <w:sz w:val="24"/>
          <w:szCs w:val="24"/>
          <w:rtl/>
        </w:rPr>
        <w:t>ו</w:t>
      </w:r>
      <w:r w:rsidRPr="00AB699C">
        <w:rPr>
          <w:rFonts w:asciiTheme="majorBidi" w:hAnsiTheme="majorBidi" w:cstheme="majorBidi"/>
          <w:sz w:val="24"/>
          <w:szCs w:val="24"/>
          <w:rtl/>
        </w:rPr>
        <w:t>ת יחסים בריא</w:t>
      </w:r>
      <w:r w:rsidR="00283008">
        <w:rPr>
          <w:rFonts w:asciiTheme="majorBidi" w:hAnsiTheme="majorBidi" w:cstheme="majorBidi" w:hint="cs"/>
          <w:sz w:val="24"/>
          <w:szCs w:val="24"/>
          <w:rtl/>
        </w:rPr>
        <w:t>ות</w:t>
      </w:r>
      <w:r w:rsidRPr="00AB699C">
        <w:rPr>
          <w:rFonts w:asciiTheme="majorBidi" w:hAnsiTheme="majorBidi" w:cstheme="majorBidi"/>
          <w:sz w:val="24"/>
          <w:szCs w:val="24"/>
          <w:rtl/>
        </w:rPr>
        <w:t>.</w:t>
      </w:r>
    </w:p>
    <w:p w:rsidR="003B683B" w:rsidRPr="00AB699C" w:rsidRDefault="003B683B" w:rsidP="003B683B">
      <w:pPr>
        <w:bidi/>
        <w:contextualSpacing/>
        <w:rPr>
          <w:rFonts w:asciiTheme="majorBidi" w:hAnsiTheme="majorBidi" w:cstheme="majorBidi"/>
          <w:sz w:val="24"/>
          <w:szCs w:val="24"/>
        </w:rPr>
      </w:pPr>
      <w:r w:rsidRPr="00AB699C">
        <w:rPr>
          <w:rFonts w:asciiTheme="majorBidi" w:hAnsiTheme="majorBidi" w:cstheme="majorBidi"/>
          <w:sz w:val="24"/>
          <w:szCs w:val="24"/>
          <w:rtl/>
        </w:rPr>
        <w:t>שנית, תקשורת בנושאי מיניות בין הורים וילדים משמשת מודל לתקשורת עם בני הזוג של מתבגרים. תופעה זו קשורה לירידה בלקיחת סיכונים במסגרת הפעילות המינית ולסיפוק מיני גבוה יותר (</w:t>
      </w:r>
      <w:r w:rsidRPr="00AB699C">
        <w:rPr>
          <w:rFonts w:asciiTheme="majorBidi" w:hAnsiTheme="majorBidi" w:cstheme="majorBidi"/>
          <w:sz w:val="24"/>
          <w:szCs w:val="24"/>
        </w:rPr>
        <w:t xml:space="preserve">Frederick, Lever, Gillespie, &amp; Garcia, 2017; Widman, Choukas-Bradley, Helms, </w:t>
      </w:r>
      <w:r w:rsidRPr="00AB699C">
        <w:rPr>
          <w:rFonts w:asciiTheme="majorBidi" w:hAnsiTheme="majorBidi" w:cstheme="majorBidi"/>
          <w:sz w:val="24"/>
          <w:szCs w:val="24"/>
        </w:rPr>
        <w:lastRenderedPageBreak/>
        <w:t>Golin, &amp; Prinstein, 2014</w:t>
      </w:r>
      <w:r w:rsidRPr="00AB699C">
        <w:rPr>
          <w:rFonts w:asciiTheme="majorBidi" w:hAnsiTheme="majorBidi" w:cstheme="majorBidi"/>
          <w:sz w:val="24"/>
          <w:szCs w:val="24"/>
          <w:rtl/>
        </w:rPr>
        <w:t xml:space="preserve">). לדוגמה, מחקר בקרב מדגם של 603 מתבגרים (בגילאי 12 עד 15) מצא שככל שהתקשורת בין הורים וילדים בנושא מיניות הייתה באיכות גבוהה יותר, הם דנו בטווח רחב יותר של נושאים קשורים עם בני </w:t>
      </w:r>
      <w:r w:rsidRPr="00283008">
        <w:rPr>
          <w:rFonts w:asciiTheme="majorBidi" w:hAnsiTheme="majorBidi" w:cstheme="majorBidi"/>
          <w:sz w:val="24"/>
          <w:szCs w:val="24"/>
          <w:rtl/>
        </w:rPr>
        <w:t xml:space="preserve">הזוג שלהם (לדוגמה, שימוש בקונדומים, אמצעי מניעה, הסיכון להריון; </w:t>
      </w:r>
      <w:r w:rsidRPr="00283008">
        <w:rPr>
          <w:rFonts w:asciiTheme="majorBidi" w:hAnsiTheme="majorBidi" w:cstheme="majorBidi"/>
          <w:i/>
          <w:iCs/>
          <w:sz w:val="24"/>
          <w:szCs w:val="24"/>
          <w:rtl/>
        </w:rPr>
        <w:t xml:space="preserve">יחס הסיכויים = </w:t>
      </w:r>
      <w:r w:rsidRPr="00283008">
        <w:rPr>
          <w:rFonts w:asciiTheme="majorBidi" w:hAnsiTheme="majorBidi" w:cstheme="majorBidi"/>
          <w:sz w:val="24"/>
          <w:szCs w:val="24"/>
          <w:rtl/>
        </w:rPr>
        <w:t>1.09), ואלה הוביאו</w:t>
      </w:r>
      <w:r w:rsidRPr="00AB699C">
        <w:rPr>
          <w:rFonts w:asciiTheme="majorBidi" w:hAnsiTheme="majorBidi" w:cstheme="majorBidi"/>
          <w:sz w:val="24"/>
          <w:szCs w:val="24"/>
          <w:rtl/>
        </w:rPr>
        <w:t xml:space="preserve"> בתורם לשימוש בקונדומים בתכיפות גבוהה יותר (</w:t>
      </w:r>
      <w:r w:rsidRPr="00AB699C">
        <w:rPr>
          <w:rFonts w:asciiTheme="majorBidi" w:hAnsiTheme="majorBidi" w:cstheme="majorBidi"/>
          <w:i/>
          <w:iCs/>
          <w:sz w:val="24"/>
          <w:szCs w:val="24"/>
        </w:rPr>
        <w:t>r</w:t>
      </w:r>
      <w:r w:rsidRPr="00AB699C">
        <w:rPr>
          <w:rFonts w:asciiTheme="majorBidi" w:hAnsiTheme="majorBidi" w:cstheme="majorBidi"/>
          <w:sz w:val="24"/>
          <w:szCs w:val="24"/>
        </w:rPr>
        <w:t xml:space="preserve"> = .31; Widman</w:t>
      </w:r>
      <w:r w:rsidRPr="00AB699C">
        <w:rPr>
          <w:rFonts w:asciiTheme="majorBidi" w:hAnsiTheme="majorBidi" w:cstheme="majorBidi"/>
          <w:sz w:val="24"/>
          <w:szCs w:val="24"/>
          <w:rtl/>
        </w:rPr>
        <w:t xml:space="preserve"> ואח', 2014).  </w:t>
      </w:r>
    </w:p>
    <w:p w:rsidR="003B683B" w:rsidRPr="00AB699C" w:rsidRDefault="003B683B" w:rsidP="003B683B">
      <w:pPr>
        <w:bidi/>
        <w:contextualSpacing/>
        <w:rPr>
          <w:rFonts w:asciiTheme="majorBidi" w:hAnsiTheme="majorBidi" w:cstheme="majorBidi"/>
          <w:sz w:val="24"/>
          <w:szCs w:val="24"/>
          <w:rtl/>
        </w:rPr>
      </w:pPr>
      <w:r w:rsidRPr="00AB699C">
        <w:rPr>
          <w:rFonts w:asciiTheme="majorBidi" w:hAnsiTheme="majorBidi" w:cstheme="majorBidi"/>
          <w:sz w:val="24"/>
          <w:szCs w:val="24"/>
          <w:rtl/>
        </w:rPr>
        <w:t>לאחרונה, מחקר העלה שלא כל מתבגר נהנה מההשפעות החיוביות של תקשורת בין הורים וילדים בנושאי מיניות (</w:t>
      </w:r>
      <w:r w:rsidRPr="00AB699C">
        <w:rPr>
          <w:rFonts w:asciiTheme="majorBidi" w:hAnsiTheme="majorBidi" w:cstheme="majorBidi"/>
          <w:sz w:val="24"/>
          <w:szCs w:val="24"/>
        </w:rPr>
        <w:t>Bonafide</w:t>
      </w:r>
      <w:r w:rsidRPr="00AB699C">
        <w:rPr>
          <w:rFonts w:asciiTheme="majorBidi" w:hAnsiTheme="majorBidi" w:cstheme="majorBidi"/>
          <w:sz w:val="24"/>
          <w:szCs w:val="24"/>
          <w:rtl/>
        </w:rPr>
        <w:t xml:space="preserve"> ואח', 2020); נמצא שכדי ליהנות מהיתרונות הרבים של תקשורת בין הורים וילדים בנושא מיניות, חיוני שתהיה התאמה בין התפיסות של ההורים והילדים לגבי איכות התקשורת. לדוגמה, במחקר על 125 דיאדות של הורים וילדים (הילדים היו בגילאי 11 עד 17), נמצא שהתפיסות של המתבגרים לגבי התקשורת בין ההורה והילד בנושא מיניות הייתה קשורה לשכיחות נמוכה יותר של קיום יחסי מין ללא קונדום (קרי, פחות התנהגות מינית סיכונית) רק בקרב המתבגרים שהסכימו מאוד עם ההורים שלהם לגבי איכות התקשורת (</w:t>
      </w:r>
      <w:r w:rsidRPr="00AB699C">
        <w:rPr>
          <w:rFonts w:asciiTheme="majorBidi" w:hAnsiTheme="majorBidi" w:cstheme="majorBidi"/>
          <w:i/>
          <w:iCs/>
          <w:sz w:val="24"/>
          <w:szCs w:val="24"/>
        </w:rPr>
        <w:t>b</w:t>
      </w:r>
      <w:r w:rsidRPr="00AB699C">
        <w:rPr>
          <w:rFonts w:asciiTheme="majorBidi" w:hAnsiTheme="majorBidi" w:cstheme="majorBidi"/>
          <w:sz w:val="24"/>
          <w:szCs w:val="24"/>
        </w:rPr>
        <w:t xml:space="preserve"> = -0.13</w:t>
      </w:r>
      <w:r w:rsidRPr="00AB699C">
        <w:rPr>
          <w:rFonts w:asciiTheme="majorBidi" w:hAnsiTheme="majorBidi" w:cstheme="majorBidi"/>
          <w:sz w:val="24"/>
          <w:szCs w:val="24"/>
          <w:rtl/>
        </w:rPr>
        <w:t>). לעומת זאת, התפיסה של מתבגרים לגבי התקשורת בין ההורה והילד בנושא מיניות לא ניבאה את שכיחות יחסי המין ללא קונדום בקרב הנבדקים שלא הסכימו עם הוריהם לגבי איכות התקשורת (</w:t>
      </w:r>
      <w:r w:rsidRPr="00AB699C">
        <w:rPr>
          <w:rFonts w:asciiTheme="majorBidi" w:hAnsiTheme="majorBidi" w:cstheme="majorBidi"/>
          <w:i/>
          <w:iCs/>
          <w:sz w:val="24"/>
          <w:szCs w:val="24"/>
        </w:rPr>
        <w:t>b</w:t>
      </w:r>
      <w:r w:rsidRPr="00AB699C">
        <w:rPr>
          <w:rFonts w:asciiTheme="majorBidi" w:hAnsiTheme="majorBidi" w:cstheme="majorBidi"/>
          <w:sz w:val="24"/>
          <w:szCs w:val="24"/>
        </w:rPr>
        <w:t xml:space="preserve"> = 0.02</w:t>
      </w:r>
      <w:r w:rsidRPr="00AB699C">
        <w:rPr>
          <w:rFonts w:asciiTheme="majorBidi" w:hAnsiTheme="majorBidi" w:cstheme="majorBidi"/>
          <w:sz w:val="24"/>
          <w:szCs w:val="24"/>
          <w:rtl/>
        </w:rPr>
        <w:t xml:space="preserve">). </w:t>
      </w:r>
    </w:p>
    <w:p w:rsidR="003B683B" w:rsidRPr="00AB699C" w:rsidRDefault="003B683B" w:rsidP="003B683B">
      <w:pPr>
        <w:ind w:firstLine="0"/>
        <w:contextualSpacing/>
        <w:rPr>
          <w:rFonts w:asciiTheme="majorBidi" w:hAnsiTheme="majorBidi" w:cstheme="majorBidi"/>
        </w:rPr>
      </w:pPr>
    </w:p>
    <w:p w:rsidR="003B683B" w:rsidRPr="00AB699C" w:rsidRDefault="003B683B" w:rsidP="00951DEE">
      <w:pPr>
        <w:bidi/>
        <w:ind w:firstLine="0"/>
        <w:contextualSpacing/>
        <w:rPr>
          <w:rFonts w:asciiTheme="majorBidi" w:hAnsiTheme="majorBidi" w:cstheme="majorBidi"/>
          <w:b/>
          <w:bCs/>
          <w:sz w:val="28"/>
          <w:szCs w:val="28"/>
        </w:rPr>
      </w:pPr>
      <w:r w:rsidRPr="00AB699C">
        <w:rPr>
          <w:rFonts w:asciiTheme="majorBidi" w:hAnsiTheme="majorBidi" w:cstheme="majorBidi"/>
          <w:sz w:val="24"/>
          <w:szCs w:val="24"/>
          <w:rtl/>
        </w:rPr>
        <w:t>העובדה שאפשר ללמד הורים לתקשר ביעילות עם ילדים בנושאי מיניות (</w:t>
      </w:r>
      <w:r w:rsidRPr="00AB699C">
        <w:rPr>
          <w:rFonts w:asciiTheme="majorBidi" w:hAnsiTheme="majorBidi" w:cstheme="majorBidi"/>
          <w:sz w:val="24"/>
          <w:szCs w:val="24"/>
        </w:rPr>
        <w:t>Schuster</w:t>
      </w:r>
      <w:r w:rsidRPr="00AB699C">
        <w:rPr>
          <w:rFonts w:asciiTheme="majorBidi" w:hAnsiTheme="majorBidi" w:cstheme="majorBidi"/>
          <w:sz w:val="24"/>
          <w:szCs w:val="24"/>
          <w:rtl/>
        </w:rPr>
        <w:t xml:space="preserve"> ואח' 2008) מראה שאפשר ללמד הורים לדבר עם ילדיהם על התעללות מינית </w:t>
      </w:r>
      <w:r w:rsidRPr="00283008">
        <w:rPr>
          <w:rFonts w:asciiTheme="majorBidi" w:hAnsiTheme="majorBidi" w:cstheme="majorBidi"/>
          <w:sz w:val="24"/>
          <w:szCs w:val="24"/>
          <w:rtl/>
        </w:rPr>
        <w:t xml:space="preserve">בילדים </w:t>
      </w:r>
      <w:r w:rsidR="009E6D4D" w:rsidRPr="00283008">
        <w:rPr>
          <w:rFonts w:asciiTheme="majorBidi" w:hAnsiTheme="majorBidi" w:cstheme="majorBidi" w:hint="cs"/>
          <w:sz w:val="24"/>
          <w:szCs w:val="24"/>
          <w:rtl/>
        </w:rPr>
        <w:t>ועל הדרכים</w:t>
      </w:r>
      <w:r w:rsidR="009E6D4D">
        <w:rPr>
          <w:rFonts w:asciiTheme="majorBidi" w:hAnsiTheme="majorBidi" w:cstheme="majorBidi" w:hint="cs"/>
          <w:sz w:val="24"/>
          <w:szCs w:val="24"/>
          <w:rtl/>
        </w:rPr>
        <w:t xml:space="preserve"> למנוע</w:t>
      </w:r>
      <w:r w:rsidRPr="00AB699C">
        <w:rPr>
          <w:rFonts w:asciiTheme="majorBidi" w:hAnsiTheme="majorBidi" w:cstheme="majorBidi"/>
          <w:sz w:val="24"/>
          <w:szCs w:val="24"/>
          <w:rtl/>
        </w:rPr>
        <w:t xml:space="preserve"> אותה. בין היתרונות האפשריים של התערבויות בתוך המשפחה נמנים היכולת של המטפלים לחזור על מסרי מניעה בשלבים שונים של התפתחות הילד לפי המוכנות של הילד לשמוע את המידע הזה, תוך </w:t>
      </w:r>
      <w:r w:rsidR="00283008">
        <w:rPr>
          <w:rFonts w:asciiTheme="majorBidi" w:hAnsiTheme="majorBidi" w:cstheme="majorBidi" w:hint="cs"/>
          <w:sz w:val="24"/>
          <w:szCs w:val="24"/>
          <w:rtl/>
        </w:rPr>
        <w:t>התאמת</w:t>
      </w:r>
      <w:r w:rsidRPr="00AB699C">
        <w:rPr>
          <w:rFonts w:asciiTheme="majorBidi" w:hAnsiTheme="majorBidi" w:cstheme="majorBidi"/>
          <w:sz w:val="24"/>
          <w:szCs w:val="24"/>
          <w:rtl/>
        </w:rPr>
        <w:t xml:space="preserve"> המידע המועבר לילד למידת המוכנות</w:t>
      </w:r>
      <w:r w:rsidR="00283008">
        <w:rPr>
          <w:rFonts w:asciiTheme="majorBidi" w:hAnsiTheme="majorBidi" w:cstheme="majorBidi" w:hint="cs"/>
          <w:sz w:val="24"/>
          <w:szCs w:val="24"/>
          <w:rtl/>
        </w:rPr>
        <w:t xml:space="preserve"> שלו</w:t>
      </w:r>
      <w:r w:rsidRPr="00AB699C">
        <w:rPr>
          <w:rFonts w:asciiTheme="majorBidi" w:hAnsiTheme="majorBidi" w:cstheme="majorBidi"/>
          <w:sz w:val="24"/>
          <w:szCs w:val="24"/>
          <w:rtl/>
        </w:rPr>
        <w:t xml:space="preserve"> (</w:t>
      </w:r>
      <w:r w:rsidRPr="00AB699C">
        <w:rPr>
          <w:rFonts w:asciiTheme="majorBidi" w:hAnsiTheme="majorBidi" w:cstheme="majorBidi"/>
          <w:sz w:val="24"/>
          <w:szCs w:val="24"/>
        </w:rPr>
        <w:t>DiIorio</w:t>
      </w:r>
      <w:r w:rsidRPr="00AB699C">
        <w:rPr>
          <w:rFonts w:asciiTheme="majorBidi" w:hAnsiTheme="majorBidi" w:cstheme="majorBidi"/>
          <w:sz w:val="24"/>
          <w:szCs w:val="24"/>
          <w:rtl/>
        </w:rPr>
        <w:t xml:space="preserve"> ואח' 2002). סביר שדיונים בין הורים וילדים בנושאים אלה יהיו יעילים ביותר אם ההורים ילמדו לתקשר עם ילדיהם </w:t>
      </w:r>
      <w:r w:rsidR="00283008">
        <w:rPr>
          <w:rFonts w:asciiTheme="majorBidi" w:hAnsiTheme="majorBidi" w:cstheme="majorBidi" w:hint="cs"/>
          <w:sz w:val="24"/>
          <w:szCs w:val="24"/>
          <w:rtl/>
        </w:rPr>
        <w:t>באופן אמפאתי ובה בעת צלול וברור.</w:t>
      </w:r>
    </w:p>
    <w:p w:rsidR="003B683B" w:rsidRPr="00AB699C" w:rsidRDefault="003B683B" w:rsidP="00A3292A">
      <w:pPr>
        <w:rPr>
          <w:rFonts w:asciiTheme="majorBidi" w:hAnsiTheme="majorBidi" w:cstheme="majorBidi"/>
        </w:rPr>
      </w:pPr>
    </w:p>
    <w:p w:rsidR="00D53ABE" w:rsidRPr="00AB699C" w:rsidRDefault="00D53ABE" w:rsidP="00A3292A">
      <w:pPr>
        <w:rPr>
          <w:rFonts w:asciiTheme="majorBidi" w:hAnsiTheme="majorBidi" w:cstheme="majorBidi"/>
          <w:rtl/>
        </w:rPr>
      </w:pPr>
    </w:p>
    <w:sectPr w:rsidR="00D53ABE" w:rsidRPr="00AB699C" w:rsidSect="0001034C">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4-12T12:16:00Z" w:initials="Author">
    <w:p w:rsidR="00283008" w:rsidRDefault="00283008" w:rsidP="00283008">
      <w:pPr>
        <w:pStyle w:val="a3"/>
        <w:bidi/>
      </w:pPr>
      <w:r>
        <w:rPr>
          <w:rStyle w:val="ac"/>
        </w:rPr>
        <w:annotationRef/>
      </w:r>
      <w:r>
        <w:rPr>
          <w:rFonts w:hint="cs"/>
          <w:rtl/>
        </w:rPr>
        <w:t>הרחבנו כאן מעט כדי לחדד את הנקודה. אנא וודא שהתרגום מדויק.</w:t>
      </w:r>
    </w:p>
  </w:comment>
  <w:comment w:id="2" w:author="Author" w:date="2022-04-12T12:20:00Z" w:initials="Author">
    <w:p w:rsidR="00283008" w:rsidRDefault="00283008" w:rsidP="00283008">
      <w:pPr>
        <w:pStyle w:val="a3"/>
        <w:bidi/>
      </w:pPr>
      <w:r>
        <w:rPr>
          <w:rStyle w:val="ac"/>
        </w:rPr>
        <w:annotationRef/>
      </w:r>
      <w:r>
        <w:rPr>
          <w:rFonts w:hint="cs"/>
          <w:rtl/>
        </w:rPr>
        <w:t>האם זה מספיק מדויק?</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 w:name="等线">
    <w:altName w:val="MingLiU-ExtB"/>
    <w:panose1 w:val="00000000000000000000"/>
    <w:charset w:val="88"/>
    <w:family w:val="roman"/>
    <w:notTrueType/>
    <w:pitch w:val="default"/>
    <w:sig w:usb0="00000000" w:usb1="00000000" w:usb2="00000000" w:usb3="00000000" w:csb0="00000000" w:csb1="00000000"/>
  </w:font>
  <w:font w:name="AdvOTf90d833a.I">
    <w:altName w:val="Cambria"/>
    <w:panose1 w:val="00000000000000000000"/>
    <w:charset w:val="00"/>
    <w:family w:val="roman"/>
    <w:notTrueType/>
    <w:pitch w:val="default"/>
    <w:sig w:usb0="00000003" w:usb1="00000000" w:usb2="00000000" w:usb3="00000000" w:csb0="00000001" w:csb1="00000000"/>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sig w:usb0="00000000" w:usb1="00000000" w:usb2="00000000" w:usb3="00000000" w:csb0="00000000" w:csb1="00000000"/>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618D"/>
    <w:multiLevelType w:val="hybridMultilevel"/>
    <w:tmpl w:val="1118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0596F"/>
    <w:multiLevelType w:val="hybridMultilevel"/>
    <w:tmpl w:val="5FAC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D5FAA"/>
    <w:multiLevelType w:val="hybridMultilevel"/>
    <w:tmpl w:val="F7EE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D6482"/>
    <w:rsid w:val="0001034C"/>
    <w:rsid w:val="000C58CD"/>
    <w:rsid w:val="00283008"/>
    <w:rsid w:val="0035194E"/>
    <w:rsid w:val="003B683B"/>
    <w:rsid w:val="0047715A"/>
    <w:rsid w:val="00506DC1"/>
    <w:rsid w:val="00645422"/>
    <w:rsid w:val="008442E7"/>
    <w:rsid w:val="00951DEE"/>
    <w:rsid w:val="0098172C"/>
    <w:rsid w:val="009E6D4D"/>
    <w:rsid w:val="00A26C64"/>
    <w:rsid w:val="00A3292A"/>
    <w:rsid w:val="00A33A27"/>
    <w:rsid w:val="00AA7402"/>
    <w:rsid w:val="00AB699C"/>
    <w:rsid w:val="00B036A0"/>
    <w:rsid w:val="00CD6482"/>
    <w:rsid w:val="00D53ABE"/>
    <w:rsid w:val="00D6016D"/>
    <w:rsid w:val="00DC504E"/>
    <w:rsid w:val="00F060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2A"/>
    <w:pPr>
      <w:spacing w:after="0" w:line="480" w:lineRule="auto"/>
      <w:ind w:firstLine="720"/>
    </w:pPr>
  </w:style>
  <w:style w:type="paragraph" w:styleId="2">
    <w:name w:val="heading 2"/>
    <w:basedOn w:val="a"/>
    <w:link w:val="20"/>
    <w:uiPriority w:val="9"/>
    <w:qFormat/>
    <w:rsid w:val="00A3292A"/>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A3292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3292A"/>
    <w:rPr>
      <w:rFonts w:ascii="Times New Roman" w:eastAsia="Times New Roman" w:hAnsi="Times New Roman" w:cs="Times New Roman"/>
      <w:b/>
      <w:bCs/>
      <w:sz w:val="36"/>
      <w:szCs w:val="36"/>
    </w:rPr>
  </w:style>
  <w:style w:type="character" w:customStyle="1" w:styleId="50">
    <w:name w:val="כותרת 5 תו"/>
    <w:basedOn w:val="a0"/>
    <w:link w:val="5"/>
    <w:uiPriority w:val="9"/>
    <w:semiHidden/>
    <w:rsid w:val="00A3292A"/>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a"/>
    <w:link w:val="EndNoteBibliographyTitle0"/>
    <w:rsid w:val="00A3292A"/>
    <w:pPr>
      <w:jc w:val="center"/>
    </w:pPr>
    <w:rPr>
      <w:rFonts w:ascii="Times New Roman" w:hAnsi="Times New Roman" w:cs="Times New Roman"/>
      <w:noProof/>
      <w:sz w:val="24"/>
    </w:rPr>
  </w:style>
  <w:style w:type="character" w:customStyle="1" w:styleId="EndNoteBibliographyTitle0">
    <w:name w:val="EndNote Bibliography Title תו"/>
    <w:basedOn w:val="a0"/>
    <w:link w:val="EndNoteBibliographyTitle"/>
    <w:rsid w:val="00A3292A"/>
    <w:rPr>
      <w:rFonts w:ascii="Times New Roman" w:hAnsi="Times New Roman" w:cs="Times New Roman"/>
      <w:noProof/>
      <w:sz w:val="24"/>
    </w:rPr>
  </w:style>
  <w:style w:type="paragraph" w:customStyle="1" w:styleId="EndNoteBibliography">
    <w:name w:val="EndNote Bibliography"/>
    <w:basedOn w:val="a"/>
    <w:link w:val="EndNoteBibliography0"/>
    <w:rsid w:val="00A3292A"/>
    <w:rPr>
      <w:rFonts w:ascii="Times New Roman" w:hAnsi="Times New Roman" w:cs="Times New Roman"/>
      <w:noProof/>
      <w:sz w:val="24"/>
    </w:rPr>
  </w:style>
  <w:style w:type="character" w:customStyle="1" w:styleId="EndNoteBibliography0">
    <w:name w:val="EndNote Bibliography תו"/>
    <w:basedOn w:val="a0"/>
    <w:link w:val="EndNoteBibliography"/>
    <w:rsid w:val="00A3292A"/>
    <w:rPr>
      <w:rFonts w:ascii="Times New Roman" w:hAnsi="Times New Roman" w:cs="Times New Roman"/>
      <w:noProof/>
      <w:sz w:val="24"/>
    </w:rPr>
  </w:style>
  <w:style w:type="character" w:styleId="Hyperlink">
    <w:name w:val="Hyperlink"/>
    <w:basedOn w:val="a0"/>
    <w:uiPriority w:val="99"/>
    <w:unhideWhenUsed/>
    <w:rsid w:val="00A3292A"/>
    <w:rPr>
      <w:color w:val="0563C1" w:themeColor="hyperlink"/>
      <w:u w:val="single"/>
    </w:rPr>
  </w:style>
  <w:style w:type="character" w:customStyle="1" w:styleId="UnresolvedMention1">
    <w:name w:val="Unresolved Mention1"/>
    <w:basedOn w:val="a0"/>
    <w:uiPriority w:val="99"/>
    <w:semiHidden/>
    <w:unhideWhenUsed/>
    <w:rsid w:val="00A3292A"/>
    <w:rPr>
      <w:color w:val="605E5C"/>
      <w:shd w:val="clear" w:color="auto" w:fill="E1DFDD"/>
    </w:rPr>
  </w:style>
  <w:style w:type="paragraph" w:styleId="a3">
    <w:name w:val="annotation text"/>
    <w:basedOn w:val="a"/>
    <w:link w:val="a4"/>
    <w:uiPriority w:val="99"/>
    <w:unhideWhenUsed/>
    <w:rsid w:val="00A3292A"/>
    <w:pPr>
      <w:spacing w:before="120" w:after="120"/>
      <w:jc w:val="both"/>
    </w:pPr>
    <w:rPr>
      <w:rFonts w:ascii="Arial" w:eastAsiaTheme="minorEastAsia" w:hAnsi="Arial" w:cs="Arial"/>
      <w:lang w:eastAsia="en-GB"/>
    </w:rPr>
  </w:style>
  <w:style w:type="character" w:customStyle="1" w:styleId="a4">
    <w:name w:val="טקסט הערה תו"/>
    <w:basedOn w:val="a0"/>
    <w:link w:val="a3"/>
    <w:uiPriority w:val="99"/>
    <w:rsid w:val="00A3292A"/>
    <w:rPr>
      <w:rFonts w:ascii="Arial" w:eastAsiaTheme="minorEastAsia" w:hAnsi="Arial" w:cs="Arial"/>
      <w:lang w:eastAsia="en-GB"/>
    </w:rPr>
  </w:style>
  <w:style w:type="character" w:customStyle="1" w:styleId="fontstyle01">
    <w:name w:val="fontstyle01"/>
    <w:basedOn w:val="a0"/>
    <w:rsid w:val="00A3292A"/>
    <w:rPr>
      <w:rFonts w:ascii="AdvOTf90d833a.I" w:hAnsi="AdvOTf90d833a.I" w:hint="default"/>
      <w:b w:val="0"/>
      <w:bCs w:val="0"/>
      <w:i w:val="0"/>
      <w:iCs w:val="0"/>
      <w:color w:val="000000"/>
      <w:sz w:val="20"/>
      <w:szCs w:val="20"/>
    </w:rPr>
  </w:style>
  <w:style w:type="character" w:customStyle="1" w:styleId="fontstyle21">
    <w:name w:val="fontstyle21"/>
    <w:basedOn w:val="a0"/>
    <w:rsid w:val="00A3292A"/>
    <w:rPr>
      <w:rFonts w:ascii="AdvOT5843c571" w:hAnsi="AdvOT5843c571" w:hint="default"/>
      <w:b w:val="0"/>
      <w:bCs w:val="0"/>
      <w:i w:val="0"/>
      <w:iCs w:val="0"/>
      <w:color w:val="000000"/>
      <w:sz w:val="20"/>
      <w:szCs w:val="20"/>
    </w:rPr>
  </w:style>
  <w:style w:type="character" w:customStyle="1" w:styleId="fontstyle31">
    <w:name w:val="fontstyle31"/>
    <w:basedOn w:val="a0"/>
    <w:rsid w:val="00A3292A"/>
    <w:rPr>
      <w:rFonts w:ascii="AdvOT5843c571+03" w:hAnsi="AdvOT5843c571+03" w:hint="default"/>
      <w:b w:val="0"/>
      <w:bCs w:val="0"/>
      <w:i w:val="0"/>
      <w:iCs w:val="0"/>
      <w:color w:val="000000"/>
      <w:sz w:val="20"/>
      <w:szCs w:val="20"/>
    </w:rPr>
  </w:style>
  <w:style w:type="character" w:customStyle="1" w:styleId="fontstyle41">
    <w:name w:val="fontstyle41"/>
    <w:basedOn w:val="a0"/>
    <w:rsid w:val="00A3292A"/>
    <w:rPr>
      <w:rFonts w:ascii="AdvOT5843c571+20" w:hAnsi="AdvOT5843c571+20" w:hint="default"/>
      <w:b w:val="0"/>
      <w:bCs w:val="0"/>
      <w:i w:val="0"/>
      <w:iCs w:val="0"/>
      <w:color w:val="000000"/>
      <w:sz w:val="20"/>
      <w:szCs w:val="20"/>
    </w:rPr>
  </w:style>
  <w:style w:type="character" w:customStyle="1" w:styleId="fontstyle11">
    <w:name w:val="fontstyle11"/>
    <w:basedOn w:val="a0"/>
    <w:rsid w:val="00A3292A"/>
    <w:rPr>
      <w:rFonts w:ascii="AdvOT1ef757c0+20" w:hAnsi="AdvOT1ef757c0+20" w:hint="default"/>
      <w:b w:val="0"/>
      <w:bCs w:val="0"/>
      <w:i w:val="0"/>
      <w:iCs w:val="0"/>
      <w:color w:val="000000"/>
      <w:sz w:val="20"/>
      <w:szCs w:val="20"/>
    </w:rPr>
  </w:style>
  <w:style w:type="paragraph" w:styleId="NormalWeb">
    <w:name w:val="Normal (Web)"/>
    <w:basedOn w:val="a"/>
    <w:uiPriority w:val="99"/>
    <w:unhideWhenUsed/>
    <w:rsid w:val="00A3292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5">
    <w:name w:val="Strong"/>
    <w:basedOn w:val="a0"/>
    <w:uiPriority w:val="22"/>
    <w:qFormat/>
    <w:rsid w:val="00A3292A"/>
    <w:rPr>
      <w:b/>
      <w:bCs/>
    </w:rPr>
  </w:style>
  <w:style w:type="character" w:styleId="a6">
    <w:name w:val="Emphasis"/>
    <w:basedOn w:val="a0"/>
    <w:uiPriority w:val="20"/>
    <w:qFormat/>
    <w:rsid w:val="00A3292A"/>
    <w:rPr>
      <w:i/>
      <w:iCs/>
    </w:rPr>
  </w:style>
  <w:style w:type="character" w:customStyle="1" w:styleId="ad-label">
    <w:name w:val="ad-label"/>
    <w:basedOn w:val="a0"/>
    <w:rsid w:val="00A3292A"/>
  </w:style>
  <w:style w:type="paragraph" w:styleId="a7">
    <w:name w:val="header"/>
    <w:basedOn w:val="a"/>
    <w:link w:val="a8"/>
    <w:uiPriority w:val="99"/>
    <w:unhideWhenUsed/>
    <w:rsid w:val="00A3292A"/>
    <w:pPr>
      <w:tabs>
        <w:tab w:val="center" w:pos="4680"/>
        <w:tab w:val="right" w:pos="9360"/>
      </w:tabs>
      <w:spacing w:line="240" w:lineRule="auto"/>
    </w:pPr>
  </w:style>
  <w:style w:type="character" w:customStyle="1" w:styleId="a8">
    <w:name w:val="כותרת עליונה תו"/>
    <w:basedOn w:val="a0"/>
    <w:link w:val="a7"/>
    <w:uiPriority w:val="99"/>
    <w:rsid w:val="00A3292A"/>
  </w:style>
  <w:style w:type="paragraph" w:styleId="a9">
    <w:name w:val="footer"/>
    <w:basedOn w:val="a"/>
    <w:link w:val="aa"/>
    <w:uiPriority w:val="99"/>
    <w:unhideWhenUsed/>
    <w:rsid w:val="00A3292A"/>
    <w:pPr>
      <w:tabs>
        <w:tab w:val="center" w:pos="4680"/>
        <w:tab w:val="right" w:pos="9360"/>
      </w:tabs>
      <w:spacing w:line="240" w:lineRule="auto"/>
    </w:pPr>
  </w:style>
  <w:style w:type="character" w:customStyle="1" w:styleId="aa">
    <w:name w:val="כותרת תחתונה תו"/>
    <w:basedOn w:val="a0"/>
    <w:link w:val="a9"/>
    <w:uiPriority w:val="99"/>
    <w:rsid w:val="00A3292A"/>
  </w:style>
  <w:style w:type="paragraph" w:styleId="ab">
    <w:name w:val="Revision"/>
    <w:hidden/>
    <w:uiPriority w:val="99"/>
    <w:semiHidden/>
    <w:rsid w:val="00A3292A"/>
    <w:pPr>
      <w:spacing w:after="0" w:line="240" w:lineRule="auto"/>
    </w:pPr>
  </w:style>
  <w:style w:type="character" w:styleId="ac">
    <w:name w:val="annotation reference"/>
    <w:basedOn w:val="a0"/>
    <w:uiPriority w:val="99"/>
    <w:semiHidden/>
    <w:unhideWhenUsed/>
    <w:rsid w:val="00A3292A"/>
    <w:rPr>
      <w:sz w:val="16"/>
      <w:szCs w:val="16"/>
    </w:rPr>
  </w:style>
  <w:style w:type="paragraph" w:styleId="ad">
    <w:name w:val="annotation subject"/>
    <w:basedOn w:val="a3"/>
    <w:next w:val="a3"/>
    <w:link w:val="ae"/>
    <w:uiPriority w:val="99"/>
    <w:semiHidden/>
    <w:unhideWhenUsed/>
    <w:rsid w:val="00A3292A"/>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ae">
    <w:name w:val="נושא הערה תו"/>
    <w:basedOn w:val="a4"/>
    <w:link w:val="ad"/>
    <w:uiPriority w:val="99"/>
    <w:semiHidden/>
    <w:rsid w:val="00A3292A"/>
    <w:rPr>
      <w:rFonts w:ascii="Arial" w:eastAsiaTheme="minorEastAsia" w:hAnsi="Arial" w:cs="Arial"/>
      <w:b/>
      <w:bCs/>
      <w:sz w:val="20"/>
      <w:szCs w:val="20"/>
      <w:lang w:eastAsia="en-GB"/>
    </w:rPr>
  </w:style>
  <w:style w:type="paragraph" w:styleId="af">
    <w:name w:val="Balloon Text"/>
    <w:basedOn w:val="a"/>
    <w:link w:val="af0"/>
    <w:uiPriority w:val="99"/>
    <w:semiHidden/>
    <w:unhideWhenUsed/>
    <w:rsid w:val="00A3292A"/>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A3292A"/>
    <w:rPr>
      <w:rFonts w:ascii="Tahoma" w:hAnsi="Tahoma" w:cs="Tahoma"/>
      <w:sz w:val="16"/>
      <w:szCs w:val="16"/>
    </w:rPr>
  </w:style>
  <w:style w:type="paragraph" w:styleId="af1">
    <w:name w:val="List Paragraph"/>
    <w:basedOn w:val="a"/>
    <w:uiPriority w:val="34"/>
    <w:qFormat/>
    <w:rsid w:val="00A3292A"/>
    <w:pPr>
      <w:bidi/>
      <w:spacing w:after="160" w:line="259" w:lineRule="auto"/>
      <w:ind w:left="720" w:firstLine="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3630</Words>
  <Characters>20696</Characters>
  <Application>Microsoft Office Word</Application>
  <DocSecurity>0</DocSecurity>
  <Lines>172</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EFRATI</dc:creator>
  <cp:keywords/>
  <dc:description/>
  <cp:lastModifiedBy>Author</cp:lastModifiedBy>
  <cp:revision>11</cp:revision>
  <dcterms:created xsi:type="dcterms:W3CDTF">2022-03-20T07:45:00Z</dcterms:created>
  <dcterms:modified xsi:type="dcterms:W3CDTF">2022-04-12T09:31:00Z</dcterms:modified>
</cp:coreProperties>
</file>