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4E02" w14:textId="263511F5" w:rsidR="00A3292A" w:rsidRPr="00786DFE" w:rsidRDefault="00A3292A" w:rsidP="00A3292A">
      <w:pPr>
        <w:shd w:val="clear" w:color="auto" w:fill="FFFFFF"/>
        <w:bidi/>
        <w:contextualSpacing/>
        <w:jc w:val="center"/>
        <w:rPr>
          <w:rFonts w:asciiTheme="majorBidi" w:hAnsiTheme="majorBidi" w:cstheme="majorBidi"/>
          <w:b/>
          <w:bCs/>
          <w:sz w:val="24"/>
          <w:szCs w:val="24"/>
        </w:rPr>
      </w:pPr>
      <w:r>
        <w:rPr>
          <w:rFonts w:asciiTheme="majorBidi" w:hAnsiTheme="majorBidi" w:cstheme="majorBidi"/>
          <w:b/>
          <w:bCs/>
          <w:sz w:val="24"/>
          <w:szCs w:val="24"/>
          <w:rtl/>
          <w:lang w:bidi="he"/>
        </w:rPr>
        <w:t>פשוט לדבר איתם! החשיבות של תקשורת בין הורים, מורים וילדים בטיפול בהתעללות מינית ובתקיפה מינית</w:t>
      </w:r>
    </w:p>
    <w:p w14:paraId="44F210E1" w14:textId="1AD394C2" w:rsidR="0035194E" w:rsidRPr="003B683B" w:rsidRDefault="0035194E" w:rsidP="003B683B">
      <w:pPr>
        <w:bidi/>
        <w:ind w:firstLine="0"/>
        <w:rPr>
          <w:rFonts w:asciiTheme="majorBidi" w:hAnsiTheme="majorBidi" w:cstheme="majorBidi"/>
          <w:b/>
          <w:bCs/>
          <w:sz w:val="24"/>
          <w:szCs w:val="24"/>
          <w:rtl/>
        </w:rPr>
      </w:pPr>
    </w:p>
    <w:p w14:paraId="46E47829" w14:textId="77777777" w:rsidR="00A3292A" w:rsidRPr="00786DFE" w:rsidRDefault="00A3292A" w:rsidP="00A3292A">
      <w:pPr>
        <w:bidi/>
        <w:ind w:firstLine="0"/>
        <w:contextualSpacing/>
        <w:jc w:val="center"/>
        <w:rPr>
          <w:rFonts w:asciiTheme="majorBidi" w:hAnsiTheme="majorBidi" w:cstheme="majorBidi"/>
          <w:b/>
          <w:bCs/>
          <w:sz w:val="24"/>
          <w:szCs w:val="24"/>
          <w:rtl/>
        </w:rPr>
      </w:pPr>
      <w:r>
        <w:rPr>
          <w:rFonts w:asciiTheme="majorBidi" w:hAnsiTheme="majorBidi" w:cstheme="majorBidi"/>
          <w:b/>
          <w:bCs/>
          <w:sz w:val="24"/>
          <w:szCs w:val="24"/>
          <w:rtl/>
          <w:lang w:bidi="he"/>
        </w:rPr>
        <w:t>מבוא</w:t>
      </w:r>
    </w:p>
    <w:p w14:paraId="45E2A69E" w14:textId="77777777" w:rsidR="00A3292A" w:rsidRPr="00786DFE" w:rsidRDefault="00A3292A" w:rsidP="00A3292A">
      <w:pPr>
        <w:bidi/>
        <w:contextualSpacing/>
        <w:rPr>
          <w:rFonts w:asciiTheme="majorBidi" w:hAnsiTheme="majorBidi" w:cstheme="majorBidi"/>
          <w:sz w:val="24"/>
          <w:szCs w:val="24"/>
        </w:rPr>
      </w:pPr>
      <w:r>
        <w:rPr>
          <w:rFonts w:asciiTheme="majorBidi" w:hAnsiTheme="majorBidi" w:cstheme="majorBidi"/>
          <w:sz w:val="24"/>
          <w:szCs w:val="24"/>
          <w:rtl/>
          <w:lang w:bidi="he"/>
        </w:rPr>
        <w:t>התעללות מינית בילדים היא בעיה בריאותית כלל עולמית בעלת השפעה שלילית ארוכת טווח על הבריאות הנפשית, הפסיכולוגית, הגופנית והמינית של השורדים.לפי ארגון הבריאות העולמי (</w:t>
      </w:r>
      <w:r>
        <w:rPr>
          <w:rFonts w:asciiTheme="majorBidi" w:hAnsiTheme="majorBidi" w:cstheme="majorBidi"/>
          <w:sz w:val="24"/>
          <w:szCs w:val="24"/>
        </w:rPr>
        <w:t>WHO, 1999</w:t>
      </w:r>
      <w:r>
        <w:rPr>
          <w:rFonts w:asciiTheme="majorBidi" w:hAnsiTheme="majorBidi" w:cstheme="majorBidi"/>
          <w:sz w:val="24"/>
          <w:szCs w:val="24"/>
          <w:rtl/>
          <w:lang w:bidi="he"/>
        </w:rPr>
        <w:t xml:space="preserve">), "התעללות מינית בילדים מתבצעת כאשר ילד לוקח חלק בפעילות מינית שהוא לא מבין את משמעותה לחלוטין, אינו מסוגל להסכים לה מדעת, שהילד אינו בשל לה מבחינה התפתחותית ואינו מסוגל להסכים לה, או המפרה את החוקים או את האיסורים החברתיים. התעללות מינית בילדים היא פעילות כאמור בין ילד ובין מבוגר או בין ילד וילד אחר, אשר מפאת גילו או הרמה ההתפתחותית שלו, יש לו יחסי אחריות, אמון או כוח, כאשר הפעילות נועדה לספק או למלא את הצרכים של אדם אחר." </w:t>
      </w:r>
      <w:bookmarkStart w:id="0" w:name="_Hlk44052085"/>
      <w:r>
        <w:rPr>
          <w:rFonts w:asciiTheme="majorBidi" w:hAnsiTheme="majorBidi" w:cstheme="majorBidi"/>
          <w:sz w:val="24"/>
          <w:szCs w:val="24"/>
          <w:rtl/>
          <w:lang w:bidi="he"/>
        </w:rPr>
        <w:t>לעניין מחקר זה, "התעללות מינית בילדים" כוללת מעשים שמבצעים תוקפים קטינים או מקבוצת השווים, ולכן אני כולל "תקיפה" תחת ההגדרה של התעללות מינית.</w:t>
      </w:r>
    </w:p>
    <w:p w14:paraId="231EE08E" w14:textId="77777777" w:rsidR="00A3292A" w:rsidRPr="00786DFE" w:rsidRDefault="00A3292A" w:rsidP="00A3292A">
      <w:pPr>
        <w:bidi/>
        <w:contextualSpacing/>
        <w:rPr>
          <w:rFonts w:asciiTheme="majorBidi" w:hAnsiTheme="majorBidi" w:cstheme="majorBidi"/>
          <w:sz w:val="24"/>
          <w:szCs w:val="24"/>
        </w:rPr>
      </w:pPr>
      <w:r>
        <w:rPr>
          <w:rFonts w:asciiTheme="majorBidi" w:hAnsiTheme="majorBidi" w:cstheme="majorBidi"/>
          <w:sz w:val="24"/>
          <w:szCs w:val="24"/>
          <w:rtl/>
          <w:lang w:bidi="he"/>
        </w:rPr>
        <w:t>עד היום, המחקרים התמקדו מאוד בניסיון לאמוד את השכיחות של התעללות מינית בילדים</w:t>
      </w:r>
      <w:r>
        <w:rPr>
          <w:rFonts w:asciiTheme="majorBidi" w:hAnsiTheme="majorBidi" w:cstheme="majorBidi"/>
          <w:sz w:val="24"/>
          <w:szCs w:val="24"/>
          <w:rtl/>
          <w:lang w:bidi="he"/>
        </w:rPr>
        <w:fldChar w:fldCharType="begin" w:fldLock="1"/>
      </w:r>
      <w:r>
        <w:rPr>
          <w:rFonts w:asciiTheme="majorBidi" w:hAnsiTheme="majorBidi" w:cstheme="majorBidi"/>
          <w:sz w:val="24"/>
          <w:szCs w:val="24"/>
          <w:rtl/>
          <w:lang w:bidi="he"/>
        </w:rPr>
        <w:instrText>ADDIN CSL_CITATION {"citationItems":[{"id":"ITEM-1","itemData":{"DOI":"10.1007/s00038-012-0426-1","abstract":"Objectives Systematic reviews on prevalence estimates of child sexual abuse (CSA) worldwide included studies with adult participants referring on a period of abuse of about 50 years. Therefore we aimed to describe the current prevalence of CSA, taking into account geographical region, type of abuse, level of country development and research methods. Methods We included studies published between 2002 and 2009 that reported CSA in children below 18 years. We performed a random effects meta-analysis and ana-lyzed moderator variables by meta-regression. Results Fifty-five studies from 24 countries were inclu-ded. According to four predefined types of sexual abuse, prevalence estimates ranged from 8 to 31 % for girls and 3 to 17 % for boys. Nine girls and 3 boys out of 100 are victims of forced intercourse. Heterogeneity between pri-mary studies was high in all analyses. Conclusions Our results based on most recent data con-firm results from previous reviews with adults. Surveys in children offer most recent estimates of CSA. Reducing heterogeneity between studies might be possible by standardized measures to make data more meaningful in international comparisons.","author":[{"dropping-particle":"","family":"Barth","given":"J","non-dropping-particle":"","parse-names":false,"suffix":""},{"dropping-particle":"","family":"Bermetz","given":"L","non-dropping-particle":"","parse-names":false,"suffix":""},{"dropping-particle":"","family":"Heim","given":"E","non-dropping-particle":"","parse-names":false,"suffix":""},{"dropping-particle":"","family":"Trelle","given":"S","non-dropping-particle":"","parse-names":false,"suffix":""},{"dropping-particle":"","family":"Tonia","given":"T","non-dropping-particle":"","parse-names":false,"suffix":""}],"container-title":"International Journal of Public Health","id":"ITEM-1","issue":"3","issued":{"date-parts":[["2013"]]},"page":"469-483","title":"The current prevalence of child sexual abuse worldwide: A systematic review and meta-analysis","type":"article-journal","volume":"58"},"uris":["http://www.mendeley.com/documents/?uuid=f761b4ba-dbfc-3ae3-8c06-f9c9da6c7d6a"]},{"id":"ITEM-2","itemData":{"DOI":"10.1177/1077559511403920","abstract":"Our comprehensive meta-analysis combined prevalence figures of childhood sexual abuse (CSA) reported in 217 publications published between 1980 and 2008, including 331 independent samples with a total of 9,911,748 participants. The overall estimated CSA prevalence was 127/1000 in self-report studies and 4/1000 in informant studies. Self-reported CSA was more common among female (180/1000) than among male participants (76/1000). Lowest rates for both girls (113/1000) and boys (41/1000) were found in Asia, and highest rates were found for girls in Australia (215/1000) and for boys in Africa (193/1000). The results of our meta-analysis confirm that CSA is a global problem of considerable extent, but also show that methodological issues dras-tically influence the self-reported prevalence of CSA.","author":[{"dropping-particle":"","family":"Stoltenborgh","given":"Marije","non-dropping-particle":"","parse-names":false,"suffix":""},{"dropping-particle":"","family":"Ijzendoorn","given":"Marinus H","non-dropping-particle":"Van","parse-names":false,"suffix":""},{"dropping-particle":"","family":"Euser","given":"Eveline M","non-dropping-particle":"","parse-names":false,"suffix":""},{"dropping-particle":"","family":"Bakermans-Kranenburg","given":"Marian J","non-dropping-particle":"","parse-names":false,"suffix":""}],"container-title":"Child Maltreatment","id":"ITEM-2","issue":"2","issued":{"date-parts":[["2011"]]},"page":"79-101","title":"A global perspective on child sexual abuse: Meta-analysis of prevalence around the world","type":"article-journal","volume":"16"},"uris":["http://www.mendeley.com/documents/?uuid=a31b95ea-57d2-3dc2-9d4b-3bc53a9d5384"]},{"id":"ITEM-3","itemData":{"DOI":"10.4103/2249-4863.148139","ISSN":"2249-4863","PMID":"25657958","abstract":"Child sexual abuse (CSA) is a universal problem with grave life-long outcomes. The estimates vary widely depending on the country under study, the definitions used, the type of CSA studied, the extent of coverage, and quality of data. This study intended to assess the magnitude and the issues related to CSA. We searched databases such as PubMed, Google scholar, web (newspaper reports), and government websites. The relevant data was extracted from these sources for gathering evidence on CSA and secondary data analysis was done. The prevalence of CSA was found to be high in India as well as throughout the world. CSA is an extensive problem and even the lowest prevalence includes a huge number of victims. It also has various adverse effects on the psychological, physical, behavioral, and interpersonal well-being of the victim. Hence, stringent measures should be taken for the prevention and control of this hidden public health issue.","author":[{"dropping-particle":"","family":"Singh","given":"Mannat Mohanjeet","non-dropping-particle":"","parse-names":false,"suffix":""},{"dropping-particle":"","family":"Parsekar","given":"Shradha S","non-dropping-particle":"","parse-names":false,"suffix":""},{"dropping-particle":"","family":"Nair","given":"Sreekumaran N","non-dropping-particle":"","parse-names":false,"suffix":""}],"container-title":"Journal of family medicine and primary care","id":"ITEM-3","issue":"4","issued":{"date-parts":[["2014"]]},"page":"430-5","publisher":"Wolters Kluwer -- Medknow Publications","title":"An epidemiological overview of child sexual abuse.","type":"article-journal","volume":"3"},"uris":["http://www.mendeley.com/documents/?uuid=0a56a226-1df6-3382-b6c8-04288e775e39"]},{"id":"ITEM-4","itemData":{"DOI":"10.1016/S0145-2134(99)00026-5","ISSN":"01452134","abstract":"Objective: We interviewed a U.S. national sample of women, aged 18 years and older to determine the prevalence and characteristics of childhood sexual abuse. We also examined which family and background variables were predictive of CSA in this sample. Method: The study employed a series of detailed descriptive questions regarding childhood sexual experiences that were administered in a highly structured format by trained female interviewers. CSA prevalence rates were calculated using two definitions of CSA, one of which was slightly more inclusive. Results: Prevalence rates for the more inclusive CSA definition ranged from 21% to 32%, depending on how respondents who provided incomplete information about their sexual experiences were classified. The less inclusive CSA definition resulted in prevalence rates ranging from 15% to 26%. Additional information about the types of abuse experienced, perpetrator characteristics, age at first abuse, and physical and affective consequences of the abusive experiences are reported. The risk of CSA was related to higher scores on a measure of father's rejection, and the interaction between parental drinking status and whether the respondent had lived with both parents during childhood. Further analysis of this interaction suggests that when respondents reported living with both biological parents, they were most at risk for CSA when their father was a nondrinker and their mother was a drinker.","author":[{"dropping-particle":"","family":"Vogeltanz","given":"Nancy D.","non-dropping-particle":"","parse-names":false,"suffix":""},{"dropping-particle":"","family":"Wilsnack","given":"Sharon C.","non-dropping-particle":"","parse-names":false,"suffix":""},{"dropping-particle":"","family":"Harris","given":"T. Robert","non-dropping-particle":"","parse-names":false,"suffix":""},{"dropping-particle":"","family":"Wilsnack","given":"Richard W.","non-dropping-particle":"","parse-names":false,"suffix":""},{"dropping-particle":"","family":"Wonderlich","given":"Stephen A.","non-dropping-particle":"","parse-names":false,"suffix":""},{"dropping-particle":"","family":"Kristjanson","given":"Arlinda F.","non-dropping-particle":"","parse-names":false,"suffix":""}],"container-title":"Child Abuse and Neglect","id":"ITEM-4","issue":"6","issued":{"date-parts":[["1999"]]},"page":"579-592","title":"Prevalence and risk factors for childhood sexual abuse in women: National survey findings","type":"article-journal","volume":"23"},"uris":["http://www.mendeley.com/documents/?uuid=47b44e2c-02c5-47ae-b798-674fcae75ac8"]}],"mendeley":{"formattedCitation":"(Barth et al., 2013; Singh et al., 2014; Stoltenborgh et al., 2011; Vogeltanz et al., 1999)","plainTextFormattedCitation":"(Barth et al., 2013; Singh et al., 2014; Stoltenborgh et al., 2011; Vogeltanz et al., 1999)","previouslyFormattedCitation":"(Barth et al., 2013; Singh et al., 2014; Stoltenborgh et al., 2011; Vogeltanz et al., 1999)"},"properties":{"noteIndex":0},"schema":"https://github.com/citation-style-language/schema/raw/master/csl-citation.json"}</w:instrText>
      </w:r>
      <w:r>
        <w:rPr>
          <w:rFonts w:asciiTheme="majorBidi" w:hAnsiTheme="majorBidi" w:cstheme="majorBidi"/>
          <w:sz w:val="24"/>
          <w:szCs w:val="24"/>
          <w:rtl/>
          <w:lang w:bidi="he"/>
        </w:rPr>
        <w:fldChar w:fldCharType="separate"/>
      </w:r>
      <w:r>
        <w:rPr>
          <w:rFonts w:asciiTheme="majorBidi" w:hAnsiTheme="majorBidi" w:cstheme="majorBidi"/>
          <w:noProof/>
          <w:sz w:val="24"/>
          <w:szCs w:val="24"/>
          <w:rtl/>
          <w:lang w:bidi="he"/>
        </w:rPr>
        <w:t>(</w:t>
      </w:r>
      <w:r>
        <w:rPr>
          <w:rFonts w:asciiTheme="majorBidi" w:hAnsiTheme="majorBidi" w:cstheme="majorBidi"/>
          <w:noProof/>
          <w:sz w:val="24"/>
          <w:szCs w:val="24"/>
        </w:rPr>
        <w:t>Barth</w:t>
      </w:r>
      <w:r>
        <w:rPr>
          <w:rFonts w:asciiTheme="majorBidi" w:hAnsiTheme="majorBidi" w:cstheme="majorBidi"/>
          <w:noProof/>
          <w:sz w:val="24"/>
          <w:szCs w:val="24"/>
          <w:rtl/>
          <w:lang w:bidi="he"/>
        </w:rPr>
        <w:t xml:space="preserve"> ואח', 2013; </w:t>
      </w:r>
      <w:r>
        <w:rPr>
          <w:rFonts w:asciiTheme="majorBidi" w:hAnsiTheme="majorBidi" w:cstheme="majorBidi"/>
          <w:noProof/>
          <w:sz w:val="24"/>
          <w:szCs w:val="24"/>
        </w:rPr>
        <w:t>Singh</w:t>
      </w:r>
      <w:r>
        <w:rPr>
          <w:rFonts w:asciiTheme="majorBidi" w:hAnsiTheme="majorBidi" w:cstheme="majorBidi"/>
          <w:noProof/>
          <w:sz w:val="24"/>
          <w:szCs w:val="24"/>
          <w:rtl/>
          <w:lang w:bidi="he"/>
        </w:rPr>
        <w:t xml:space="preserve"> ואח', 2014; </w:t>
      </w:r>
      <w:r>
        <w:rPr>
          <w:rFonts w:asciiTheme="majorBidi" w:hAnsiTheme="majorBidi" w:cstheme="majorBidi"/>
          <w:noProof/>
          <w:sz w:val="24"/>
          <w:szCs w:val="24"/>
        </w:rPr>
        <w:t>Stoltenborgh</w:t>
      </w:r>
      <w:r>
        <w:rPr>
          <w:rFonts w:asciiTheme="majorBidi" w:hAnsiTheme="majorBidi" w:cstheme="majorBidi"/>
          <w:noProof/>
          <w:sz w:val="24"/>
          <w:szCs w:val="24"/>
          <w:rtl/>
          <w:lang w:bidi="he"/>
        </w:rPr>
        <w:t xml:space="preserve"> ואח', 2011; </w:t>
      </w:r>
      <w:r>
        <w:rPr>
          <w:rFonts w:asciiTheme="majorBidi" w:hAnsiTheme="majorBidi" w:cstheme="majorBidi"/>
          <w:noProof/>
          <w:sz w:val="24"/>
          <w:szCs w:val="24"/>
        </w:rPr>
        <w:t>Vogeltanz</w:t>
      </w:r>
      <w:r>
        <w:rPr>
          <w:rFonts w:asciiTheme="majorBidi" w:hAnsiTheme="majorBidi" w:cstheme="majorBidi"/>
          <w:noProof/>
          <w:sz w:val="24"/>
          <w:szCs w:val="24"/>
          <w:rtl/>
          <w:lang w:bidi="he"/>
        </w:rPr>
        <w:t xml:space="preserve"> ואח', 1999)</w:t>
      </w:r>
      <w:r>
        <w:rPr>
          <w:rFonts w:asciiTheme="majorBidi" w:hAnsiTheme="majorBidi" w:cstheme="majorBidi"/>
          <w:sz w:val="24"/>
          <w:szCs w:val="24"/>
          <w:rtl/>
          <w:lang w:bidi="he"/>
        </w:rPr>
        <w:t>.</w:t>
      </w:r>
      <w:r>
        <w:rPr>
          <w:rFonts w:asciiTheme="majorBidi" w:hAnsiTheme="majorBidi" w:cstheme="majorBidi"/>
          <w:sz w:val="24"/>
          <w:szCs w:val="24"/>
          <w:rtl/>
          <w:lang w:bidi="he"/>
        </w:rPr>
        <w:fldChar w:fldCharType="end"/>
      </w:r>
      <w:r>
        <w:rPr>
          <w:rFonts w:asciiTheme="majorBidi" w:hAnsiTheme="majorBidi" w:cstheme="majorBidi"/>
          <w:sz w:val="24"/>
          <w:szCs w:val="24"/>
          <w:rtl/>
          <w:lang w:bidi="he"/>
        </w:rPr>
        <w:t xml:space="preserve"> ההערכות לגבי שכיחות ההתעללות המינית בילדים בעולם נעות בין 8% ו- 31% עבור בנות, ובין 3% ו- 17% עבור בנים (</w:t>
      </w:r>
      <w:r>
        <w:rPr>
          <w:rFonts w:asciiTheme="majorBidi" w:hAnsiTheme="majorBidi" w:cstheme="majorBidi"/>
          <w:sz w:val="24"/>
          <w:szCs w:val="24"/>
        </w:rPr>
        <w:t>Barth</w:t>
      </w:r>
      <w:r>
        <w:rPr>
          <w:rFonts w:asciiTheme="majorBidi" w:hAnsiTheme="majorBidi" w:cstheme="majorBidi"/>
          <w:sz w:val="24"/>
          <w:szCs w:val="24"/>
          <w:rtl/>
          <w:lang w:bidi="he"/>
        </w:rPr>
        <w:t xml:space="preserve"> ואח', 2013). המטא-אנליזה של </w:t>
      </w:r>
      <w:r>
        <w:rPr>
          <w:rFonts w:asciiTheme="majorBidi" w:hAnsiTheme="majorBidi" w:cstheme="majorBidi"/>
          <w:sz w:val="24"/>
          <w:szCs w:val="24"/>
        </w:rPr>
        <w:t>Pereda</w:t>
      </w:r>
      <w:r>
        <w:rPr>
          <w:rFonts w:asciiTheme="majorBidi" w:hAnsiTheme="majorBidi" w:cstheme="majorBidi"/>
          <w:sz w:val="24"/>
          <w:szCs w:val="24"/>
          <w:rtl/>
          <w:lang w:bidi="he"/>
        </w:rPr>
        <w:t xml:space="preserve"> ואח' לגבי השכיחות העולמית של התעללות מינית בילדים (ב-22 מדינות) גילתה ש- 7.9% מהגברים ו- 19.7% מהנשים חוו התעללות מינית לפני גיל שמונה עשרה (</w:t>
      </w:r>
      <w:r>
        <w:rPr>
          <w:rFonts w:asciiTheme="majorBidi" w:hAnsiTheme="majorBidi" w:cstheme="majorBidi"/>
          <w:sz w:val="24"/>
          <w:szCs w:val="24"/>
        </w:rPr>
        <w:t>Pereda</w:t>
      </w:r>
      <w:r>
        <w:rPr>
          <w:rFonts w:asciiTheme="majorBidi" w:hAnsiTheme="majorBidi" w:cstheme="majorBidi"/>
          <w:sz w:val="24"/>
          <w:szCs w:val="24"/>
          <w:rtl/>
          <w:lang w:bidi="he"/>
        </w:rPr>
        <w:t xml:space="preserve"> ואח', 2009). בישראל, אחד מכל ארבעה מבוגרים מדווח על התעללות מינית כילד (</w:t>
      </w:r>
      <w:r>
        <w:rPr>
          <w:rFonts w:asciiTheme="majorBidi" w:hAnsiTheme="majorBidi" w:cstheme="majorBidi"/>
          <w:sz w:val="24"/>
          <w:szCs w:val="24"/>
        </w:rPr>
        <w:t>Schein</w:t>
      </w:r>
      <w:r>
        <w:rPr>
          <w:rFonts w:asciiTheme="majorBidi" w:hAnsiTheme="majorBidi" w:cstheme="majorBidi"/>
          <w:sz w:val="24"/>
          <w:szCs w:val="24"/>
          <w:rtl/>
          <w:lang w:bidi="he"/>
        </w:rPr>
        <w:t xml:space="preserve"> ואח', 2000). </w:t>
      </w:r>
      <w:bookmarkEnd w:id="0"/>
      <w:r>
        <w:rPr>
          <w:rFonts w:asciiTheme="majorBidi" w:hAnsiTheme="majorBidi" w:cstheme="majorBidi"/>
          <w:sz w:val="24"/>
          <w:szCs w:val="24"/>
          <w:rtl/>
          <w:lang w:bidi="he"/>
        </w:rPr>
        <w:t>באוכלוסייה היהודית, לא נמצאו הבדלים בין המגדרים בשיעורי ההתעללות המינית בילדים (עבור בנים, 17.6%, ו- 17.7% עבור בנות); אולם באוכלוסייה הערבית, שיעורי הפגיעה בקרב בנים גבוהים הרבה יותר (28.4%) לעומת בנות (18.7%) (</w:t>
      </w:r>
      <w:r>
        <w:rPr>
          <w:rFonts w:asciiTheme="majorBidi" w:hAnsiTheme="majorBidi" w:cstheme="majorBidi"/>
          <w:sz w:val="24"/>
          <w:szCs w:val="24"/>
        </w:rPr>
        <w:t>Lev-Wiesel</w:t>
      </w:r>
      <w:r>
        <w:rPr>
          <w:rFonts w:asciiTheme="majorBidi" w:hAnsiTheme="majorBidi" w:cstheme="majorBidi"/>
          <w:sz w:val="24"/>
          <w:szCs w:val="24"/>
          <w:rtl/>
          <w:lang w:bidi="he"/>
        </w:rPr>
        <w:t xml:space="preserve"> ואח', 2018). במחקר ארצי שנערך לאחרונה על התעללות בילדים בישראל, 18.7% מהילדים בגילאים 12 עד 17 בישראל דיווחו על התעללות מינית (</w:t>
      </w:r>
      <w:r>
        <w:rPr>
          <w:rFonts w:asciiTheme="majorBidi" w:hAnsiTheme="majorBidi" w:cstheme="majorBidi"/>
          <w:sz w:val="24"/>
          <w:szCs w:val="24"/>
        </w:rPr>
        <w:t>Lev-Wiesel</w:t>
      </w:r>
      <w:r>
        <w:rPr>
          <w:rFonts w:asciiTheme="majorBidi" w:hAnsiTheme="majorBidi" w:cstheme="majorBidi"/>
          <w:sz w:val="24"/>
          <w:szCs w:val="24"/>
          <w:rtl/>
          <w:lang w:bidi="he"/>
        </w:rPr>
        <w:t xml:space="preserve"> ואח', 2018). מחקרים קודמים מעלים שלהתעללות מינית בילדים השפעה שלילית משמעותית בטווח הארוך ובטווח הקצר, </w:t>
      </w:r>
      <w:r>
        <w:rPr>
          <w:rFonts w:asciiTheme="majorBidi" w:hAnsiTheme="majorBidi" w:cstheme="majorBidi"/>
          <w:sz w:val="24"/>
          <w:szCs w:val="24"/>
          <w:rtl/>
          <w:lang w:bidi="he"/>
        </w:rPr>
        <w:lastRenderedPageBreak/>
        <w:t>לרבות הפרעת דחק פוסט-טאומתית (</w:t>
      </w:r>
      <w:r>
        <w:rPr>
          <w:rFonts w:asciiTheme="majorBidi" w:hAnsiTheme="majorBidi" w:cstheme="majorBidi"/>
          <w:sz w:val="24"/>
          <w:szCs w:val="24"/>
        </w:rPr>
        <w:t>PTSD</w:t>
      </w:r>
      <w:r>
        <w:rPr>
          <w:rFonts w:asciiTheme="majorBidi" w:hAnsiTheme="majorBidi" w:cstheme="majorBidi"/>
          <w:sz w:val="24"/>
          <w:szCs w:val="24"/>
          <w:rtl/>
          <w:lang w:bidi="he"/>
        </w:rPr>
        <w:t>), הפרעות פסיכיאטריות שונות כגון דיכאון, חרדה, התאבדות וניסיונות התאבדות, התמכרויות, השפעות נוירוביולוגיות, בריאות גופנית לקויה, הפרעות אכילה, ובעיות ותלונות פסיכוסומטיות (</w:t>
      </w:r>
      <w:r>
        <w:rPr>
          <w:rFonts w:asciiTheme="majorBidi" w:hAnsiTheme="majorBidi" w:cstheme="majorBidi"/>
          <w:sz w:val="24"/>
          <w:szCs w:val="24"/>
        </w:rPr>
        <w:t>Briere &amp; Runtz, 1993; Putnam, 2003</w:t>
      </w:r>
      <w:r>
        <w:rPr>
          <w:rFonts w:asciiTheme="majorBidi" w:hAnsiTheme="majorBidi" w:cstheme="majorBidi"/>
          <w:sz w:val="24"/>
          <w:szCs w:val="24"/>
          <w:rtl/>
          <w:lang w:bidi="he"/>
        </w:rPr>
        <w:t xml:space="preserve">). </w:t>
      </w:r>
    </w:p>
    <w:p w14:paraId="7299634D" w14:textId="77777777" w:rsidR="00A3292A" w:rsidRPr="00786DFE" w:rsidRDefault="00A3292A" w:rsidP="00A3292A">
      <w:pPr>
        <w:pStyle w:val="NormalWeb"/>
        <w:shd w:val="clear" w:color="auto" w:fill="FFFFFF"/>
        <w:bidi/>
        <w:spacing w:before="24" w:beforeAutospacing="0" w:after="24" w:afterAutospacing="0" w:line="480" w:lineRule="auto"/>
        <w:ind w:firstLine="720"/>
        <w:contextualSpacing/>
        <w:rPr>
          <w:rFonts w:asciiTheme="majorBidi" w:hAnsiTheme="majorBidi" w:cstheme="majorBidi"/>
        </w:rPr>
      </w:pPr>
      <w:r>
        <w:rPr>
          <w:rFonts w:asciiTheme="majorBidi" w:hAnsiTheme="majorBidi" w:cstheme="majorBidi"/>
          <w:rtl/>
          <w:lang w:bidi="he"/>
        </w:rPr>
        <w:t xml:space="preserve">למורים יש תפקיד מפתח במניעת התעללות מינית בילדים ובאיתורה. למעשה, מחקר עדכני של </w:t>
      </w:r>
      <w:r>
        <w:rPr>
          <w:rFonts w:asciiTheme="majorBidi" w:hAnsiTheme="majorBidi" w:cstheme="majorBidi"/>
        </w:rPr>
        <w:t>Goldschmidt-Gjerløw</w:t>
      </w:r>
      <w:r>
        <w:rPr>
          <w:rFonts w:asciiTheme="majorBidi" w:hAnsiTheme="majorBidi" w:cstheme="majorBidi"/>
          <w:rtl/>
          <w:lang w:bidi="he"/>
        </w:rPr>
        <w:t xml:space="preserve"> מדגיש את החשיבות של זכויות הילדים והאחריות של המורים לטפל בנושאי התעללות מינית בילדים בבתי הספר (</w:t>
      </w:r>
      <w:r>
        <w:rPr>
          <w:rFonts w:asciiTheme="majorBidi" w:hAnsiTheme="majorBidi" w:cstheme="majorBidi"/>
        </w:rPr>
        <w:t>Goldschmidt-Gjerløw, 2019</w:t>
      </w:r>
      <w:r>
        <w:rPr>
          <w:rFonts w:asciiTheme="majorBidi" w:hAnsiTheme="majorBidi" w:cstheme="majorBidi"/>
          <w:rtl/>
          <w:lang w:bidi="he"/>
        </w:rPr>
        <w:t xml:space="preserve">). מורים מבלים מספר שעות ביום עם התלמידים, ולכן חשוב שהם ידונו עמם בהתעללות מינית בילדים באופן הולם ומיטיב. דיונים כאלה יכולים לעזור למנוע התעללות מסוג זה, משום שהם עוזרים לתלמידים ללמוד על התעללות מינית בילדים, על מערכות היחסים האופייניות בין מתעלל וקרבן, ומה הקרבנות יכולים לעשות כדי לשבור את המעגל. שיחות על התעללות מינית בילדים בין תלמידים ומורים יכולות לעזור לגונן על התלמידים ולדאוג לשלומם. מורים הדנים בהתעללות מינית בילדים בפתיחות יכולים להבחין יותר בקלות בסימנים המעידים שתלמיד עובר אלימות או התעללות, מה שעוזר לקרבנות ומקל עליהם בחשיפת ההתעללות. </w:t>
      </w:r>
    </w:p>
    <w:p w14:paraId="01837843" w14:textId="77777777" w:rsidR="00A3292A" w:rsidRPr="00786DFE" w:rsidRDefault="00A3292A" w:rsidP="00A3292A">
      <w:pPr>
        <w:bidi/>
        <w:contextualSpacing/>
        <w:rPr>
          <w:rFonts w:asciiTheme="majorBidi" w:hAnsiTheme="majorBidi" w:cstheme="majorBidi"/>
          <w:sz w:val="24"/>
          <w:szCs w:val="24"/>
        </w:rPr>
      </w:pPr>
      <w:r>
        <w:rPr>
          <w:rFonts w:asciiTheme="majorBidi" w:hAnsiTheme="majorBidi" w:cstheme="majorBidi"/>
          <w:sz w:val="24"/>
          <w:szCs w:val="24"/>
          <w:rtl/>
          <w:lang w:bidi="he"/>
        </w:rPr>
        <w:t>חשיפת ההתעללות המינית בזמן, לצד תגובה ראויה, יכולה למעזר את הסיכון לניצול וקרבנות נשנית בעתיד, ולשים קץ לסבל שגורמים התוקפים. לכן חיוני שמבוגרים אחראים ואמינים בחיי הילדים ילמדו איך לעודד חשיפה כנה של התעללות מינית. מחקרים קודמים מראים שנדיר שילדים חושפים את ההתעללות המינית שהם עוברים למורים. במחקר ארצי בארצות הברית, נמצא ש-66.3% מבני הנוער בגילאים עשר עד 17 לא דיווחו על התעללות מינית להורה או למבוגר אחר. אולם מבין אלה שכן דיווחו, 31% דיווחו להורים שלהם, 19.1% דיווחו למשטרה, ו- 21.8% דיווחו למורה (</w:t>
      </w:r>
      <w:r>
        <w:rPr>
          <w:rFonts w:asciiTheme="majorBidi" w:hAnsiTheme="majorBidi" w:cstheme="majorBidi"/>
          <w:sz w:val="24"/>
          <w:szCs w:val="24"/>
        </w:rPr>
        <w:t>Gewirtz-Meydan &amp; Finkelhor, 2019</w:t>
      </w:r>
      <w:r>
        <w:rPr>
          <w:rFonts w:asciiTheme="majorBidi" w:hAnsiTheme="majorBidi" w:cstheme="majorBidi"/>
          <w:sz w:val="24"/>
          <w:szCs w:val="24"/>
          <w:rtl/>
          <w:lang w:bidi="he"/>
        </w:rPr>
        <w:t>). בדומה לכך, במחקר אחר בקרב שורדי התעללות מינית בילדים, 75% מהמשיבים לא חשפו את ההתעללות בילדותם. מבין ה- 25% מהשורדים שדיווחו שסיפרו למישהו על ההתעללות, רק 7% חשפו מקרי התעללות בפני מורה (</w:t>
      </w:r>
      <w:r>
        <w:rPr>
          <w:rFonts w:asciiTheme="majorBidi" w:hAnsiTheme="majorBidi" w:cstheme="majorBidi"/>
          <w:sz w:val="24"/>
          <w:szCs w:val="24"/>
        </w:rPr>
        <w:t>Wager, 2015</w:t>
      </w:r>
      <w:r>
        <w:rPr>
          <w:rFonts w:asciiTheme="majorBidi" w:hAnsiTheme="majorBidi" w:cstheme="majorBidi"/>
          <w:sz w:val="24"/>
          <w:szCs w:val="24"/>
          <w:rtl/>
          <w:lang w:bidi="he"/>
        </w:rPr>
        <w:t xml:space="preserve">). ממצאים מהמחקר של </w:t>
      </w:r>
      <w:r>
        <w:rPr>
          <w:rFonts w:asciiTheme="majorBidi" w:hAnsiTheme="majorBidi" w:cstheme="majorBidi"/>
          <w:sz w:val="24"/>
          <w:szCs w:val="24"/>
        </w:rPr>
        <w:t>Alaggia</w:t>
      </w:r>
      <w:r>
        <w:rPr>
          <w:rFonts w:asciiTheme="majorBidi" w:hAnsiTheme="majorBidi" w:cstheme="majorBidi"/>
          <w:sz w:val="24"/>
          <w:szCs w:val="24"/>
          <w:rtl/>
          <w:lang w:bidi="he"/>
        </w:rPr>
        <w:t xml:space="preserve"> בשנת 2010 על שורדים מבוגרים מעלים שקיימת ציפייה שמורים יזהו סימני מצוקה בקרב התלמידים, לצד ההנחה שלשאול תלמידים ישירות על הסיבה לסימני המצוקה יביא לחשיפה. </w:t>
      </w:r>
    </w:p>
    <w:p w14:paraId="2BA95C69" w14:textId="77777777" w:rsidR="00A3292A" w:rsidRPr="00786DFE" w:rsidRDefault="00A3292A" w:rsidP="00A3292A">
      <w:pPr>
        <w:bidi/>
        <w:contextualSpacing/>
        <w:rPr>
          <w:rFonts w:asciiTheme="majorBidi" w:hAnsiTheme="majorBidi" w:cstheme="majorBidi"/>
          <w:sz w:val="24"/>
          <w:szCs w:val="24"/>
        </w:rPr>
      </w:pPr>
      <w:r>
        <w:rPr>
          <w:rFonts w:asciiTheme="majorBidi" w:hAnsiTheme="majorBidi" w:cstheme="majorBidi"/>
          <w:sz w:val="24"/>
          <w:szCs w:val="24"/>
          <w:rtl/>
          <w:lang w:bidi="he"/>
        </w:rPr>
        <w:t>למרבה הצער, ילדים לא מרגישים בנוח לדבר על התעללות מינית עם מוריהם או לחשוף בפניהם מקרי התעללות (</w:t>
      </w:r>
      <w:r>
        <w:rPr>
          <w:rFonts w:asciiTheme="majorBidi" w:hAnsiTheme="majorBidi" w:cstheme="majorBidi"/>
          <w:sz w:val="24"/>
          <w:szCs w:val="24"/>
        </w:rPr>
        <w:t>Schönbucher</w:t>
      </w:r>
      <w:r>
        <w:rPr>
          <w:rFonts w:asciiTheme="majorBidi" w:hAnsiTheme="majorBidi" w:cstheme="majorBidi"/>
          <w:sz w:val="24"/>
          <w:szCs w:val="24"/>
          <w:rtl/>
          <w:lang w:bidi="he"/>
        </w:rPr>
        <w:t xml:space="preserve"> ואח', 2012). ילדים ומתבגרים צריכים שמבוגרים מכל תחומי </w:t>
      </w:r>
      <w:r>
        <w:rPr>
          <w:rFonts w:asciiTheme="majorBidi" w:hAnsiTheme="majorBidi" w:cstheme="majorBidi"/>
          <w:sz w:val="24"/>
          <w:szCs w:val="24"/>
          <w:rtl/>
          <w:lang w:bidi="he"/>
        </w:rPr>
        <w:lastRenderedPageBreak/>
        <w:t>החיים שלהם, לרבות הורים, מורים, שוטרים, שופטים ואנשי רפואה, ידברו על התעללות מינית בגלוי ויגיבו לה ברגישות. המחקר הנוכחי שואף לבחון את הגורמים המקלים על דיון פתוח בין מורים ותלמידים. מחקרים קודמים בתחום התמקדו בעיקר בנקודת המבט של התלמידים (</w:t>
      </w:r>
      <w:r>
        <w:rPr>
          <w:rFonts w:asciiTheme="majorBidi" w:hAnsiTheme="majorBidi" w:cstheme="majorBidi"/>
          <w:sz w:val="24"/>
          <w:szCs w:val="24"/>
        </w:rPr>
        <w:t>Schönbucher</w:t>
      </w:r>
      <w:r>
        <w:rPr>
          <w:rFonts w:asciiTheme="majorBidi" w:hAnsiTheme="majorBidi" w:cstheme="majorBidi"/>
          <w:sz w:val="24"/>
          <w:szCs w:val="24"/>
          <w:rtl/>
          <w:lang w:bidi="he"/>
        </w:rPr>
        <w:t xml:space="preserve"> ואח', 2012) או של המורים (</w:t>
      </w:r>
      <w:r>
        <w:rPr>
          <w:rFonts w:asciiTheme="majorBidi" w:hAnsiTheme="majorBidi" w:cstheme="majorBidi"/>
          <w:sz w:val="24"/>
          <w:szCs w:val="24"/>
        </w:rPr>
        <w:t>Goldman &amp; Bradley, 2011; Tener &amp; Sigad, 2019</w:t>
      </w:r>
      <w:r>
        <w:rPr>
          <w:rFonts w:asciiTheme="majorBidi" w:hAnsiTheme="majorBidi" w:cstheme="majorBidi"/>
          <w:sz w:val="24"/>
          <w:szCs w:val="24"/>
          <w:rtl/>
          <w:lang w:bidi="he"/>
        </w:rPr>
        <w:t xml:space="preserve">), אך הצורך במחקרים המשלבים את התפיסות של התלמידים והמורים יחדיו, כדי לבחון את הפער ביניהן, הולך וגובר. מחקר זה מטפל בפער זה דרך בדיקת התפיסות של תלמידים והמורים והמחנכים שלהם כאחד בדיונים בנושא התעללות מינית. </w:t>
      </w:r>
    </w:p>
    <w:p w14:paraId="1B4AF938" w14:textId="77777777" w:rsidR="00A3292A" w:rsidRPr="00786DFE" w:rsidRDefault="00A3292A" w:rsidP="00A3292A">
      <w:pPr>
        <w:bidi/>
        <w:contextualSpacing/>
        <w:rPr>
          <w:rFonts w:asciiTheme="majorBidi" w:eastAsia="Times New Roman" w:hAnsiTheme="majorBidi" w:cstheme="majorBidi"/>
          <w:sz w:val="24"/>
          <w:szCs w:val="24"/>
          <w:rtl/>
        </w:rPr>
      </w:pPr>
      <w:r>
        <w:rPr>
          <w:rFonts w:asciiTheme="majorBidi" w:hAnsiTheme="majorBidi" w:cstheme="majorBidi"/>
          <w:sz w:val="24"/>
          <w:szCs w:val="24"/>
          <w:rtl/>
          <w:lang w:bidi="he"/>
        </w:rPr>
        <w:t>המחקר בודק את אסטרטגיות התיווך של מורים בנושא בהתעללות מינית והאם הן תואמות את תפיסות התלמידים לגבי התמיכה והקבלה של המורים. הוא מבוסס על שלוש אסטרטגיות תיווך עיקריות: תיווך מגביל, תיווך שלילי פעיל, ותיווך חיובי פעיל (</w:t>
      </w:r>
      <w:r>
        <w:rPr>
          <w:rFonts w:asciiTheme="majorBidi" w:hAnsiTheme="majorBidi" w:cstheme="majorBidi"/>
          <w:sz w:val="24"/>
          <w:szCs w:val="24"/>
        </w:rPr>
        <w:t>Boniel-Nissim</w:t>
      </w:r>
      <w:r>
        <w:rPr>
          <w:rFonts w:asciiTheme="majorBidi" w:hAnsiTheme="majorBidi" w:cstheme="majorBidi"/>
          <w:sz w:val="24"/>
          <w:szCs w:val="24"/>
          <w:rtl/>
          <w:lang w:bidi="he"/>
        </w:rPr>
        <w:t xml:space="preserve"> ואח', 2020; </w:t>
      </w:r>
      <w:r>
        <w:rPr>
          <w:rFonts w:asciiTheme="majorBidi" w:hAnsiTheme="majorBidi" w:cstheme="majorBidi"/>
          <w:sz w:val="24"/>
          <w:szCs w:val="24"/>
        </w:rPr>
        <w:t>Efrati &amp; Boniel-Nissim, 2021; Nathanson, 2016</w:t>
      </w:r>
      <w:r>
        <w:rPr>
          <w:rFonts w:asciiTheme="majorBidi" w:hAnsiTheme="majorBidi" w:cstheme="majorBidi"/>
          <w:sz w:val="24"/>
          <w:szCs w:val="24"/>
          <w:rtl/>
          <w:lang w:bidi="he"/>
        </w:rPr>
        <w:t xml:space="preserve">). תיווך מגביל מתמקד בכללים ובגבולות ואינו יוצר באמת פורום לדיון פתוח. הוא מיועד להעביר מסר ברור: הטרדה מינית היא פלילית ואסורה בחוק. דיונים בהתעללות מינית לפי גישת התיווך השלילי הפעיל מתמקדים בהיבטים השליליים של התעללות מינית בילדים (כלומר: הם מסבירים למה ההתנהגות הזאת מסוכנת ופוגענית). לבסוף, הגישה החיובית הפעילה מדגישה התנהגות מינית בריאה ומיטיבה (לדוגמה דיון בתענוג ובשמחה האפשריים דרך מין, והדרכת ילדים ובני נוער לפנות לאדם מבוגר אם מישהו נוגע בהם ללא הסכמתם או אם הם לא נהנים מפעילות מינית). </w:t>
      </w:r>
    </w:p>
    <w:p w14:paraId="2647ACDA" w14:textId="77777777" w:rsidR="00A3292A" w:rsidRPr="00786DFE" w:rsidRDefault="00A3292A" w:rsidP="00A3292A">
      <w:pPr>
        <w:bidi/>
        <w:contextualSpacing/>
        <w:rPr>
          <w:rFonts w:asciiTheme="majorBidi" w:eastAsia="Times New Roman" w:hAnsiTheme="majorBidi" w:cstheme="majorBidi"/>
          <w:sz w:val="24"/>
          <w:szCs w:val="24"/>
        </w:rPr>
      </w:pPr>
      <w:r>
        <w:rPr>
          <w:rFonts w:asciiTheme="majorBidi" w:eastAsia="Times New Roman" w:hAnsiTheme="majorBidi" w:cstheme="majorBidi"/>
          <w:sz w:val="24"/>
          <w:szCs w:val="24"/>
          <w:rtl/>
          <w:lang w:bidi="he"/>
        </w:rPr>
        <w:t>המחקר הבודק אסטרטגיות תיווך מתמקד בעיקר בהורים (</w:t>
      </w:r>
      <w:r>
        <w:rPr>
          <w:rFonts w:asciiTheme="majorBidi" w:eastAsia="Times New Roman" w:hAnsiTheme="majorBidi" w:cstheme="majorBidi"/>
          <w:sz w:val="24"/>
          <w:szCs w:val="24"/>
        </w:rPr>
        <w:t>Chen &amp; Chng, 2016; Shin &amp; Li, 2017</w:t>
      </w:r>
      <w:r>
        <w:rPr>
          <w:rFonts w:asciiTheme="majorBidi" w:eastAsia="Times New Roman" w:hAnsiTheme="majorBidi" w:cstheme="majorBidi"/>
          <w:sz w:val="24"/>
          <w:szCs w:val="24"/>
          <w:rtl/>
          <w:lang w:bidi="he"/>
        </w:rPr>
        <w:t>) ובשימוש בתקשורת והתנהגות מסוכנת ברשת (</w:t>
      </w:r>
      <w:r>
        <w:rPr>
          <w:rFonts w:asciiTheme="majorBidi" w:eastAsia="Times New Roman" w:hAnsiTheme="majorBidi" w:cstheme="majorBidi"/>
          <w:sz w:val="24"/>
          <w:szCs w:val="24"/>
        </w:rPr>
        <w:t>Livingstone &amp; Helsper, 2008</w:t>
      </w:r>
      <w:r>
        <w:rPr>
          <w:rFonts w:asciiTheme="majorBidi" w:eastAsia="Times New Roman" w:hAnsiTheme="majorBidi" w:cstheme="majorBidi"/>
          <w:sz w:val="24"/>
          <w:szCs w:val="24"/>
          <w:rtl/>
          <w:lang w:bidi="he"/>
        </w:rPr>
        <w:t>). הממצאים לגבי סגנונות התיווך שונים מעורבים. חלק מהמחקרים מראים שהגישה החיובית-פעילה מביאה לתוצאות הטובות ביותר (</w:t>
      </w:r>
      <w:r>
        <w:rPr>
          <w:rFonts w:asciiTheme="majorBidi" w:eastAsia="Times New Roman" w:hAnsiTheme="majorBidi" w:cstheme="majorBidi"/>
          <w:sz w:val="24"/>
          <w:szCs w:val="24"/>
        </w:rPr>
        <w:t>Nathanson, 2001</w:t>
      </w:r>
      <w:r>
        <w:rPr>
          <w:rFonts w:asciiTheme="majorBidi" w:eastAsia="Times New Roman" w:hAnsiTheme="majorBidi" w:cstheme="majorBidi"/>
          <w:sz w:val="24"/>
          <w:szCs w:val="24"/>
          <w:rtl/>
          <w:lang w:bidi="he"/>
        </w:rPr>
        <w:t>), ומחקרים אחרים מראים ששילוב בין אסטרטגיות תיווך שונות הוא היעיל ביותר (</w:t>
      </w:r>
      <w:r>
        <w:rPr>
          <w:rFonts w:asciiTheme="majorBidi" w:eastAsia="Times New Roman" w:hAnsiTheme="majorBidi" w:cstheme="majorBidi"/>
          <w:sz w:val="24"/>
          <w:szCs w:val="24"/>
        </w:rPr>
        <w:t>Chen &amp; Chng, 2016</w:t>
      </w:r>
      <w:r>
        <w:rPr>
          <w:rFonts w:asciiTheme="majorBidi" w:eastAsia="Times New Roman" w:hAnsiTheme="majorBidi" w:cstheme="majorBidi"/>
          <w:sz w:val="24"/>
          <w:szCs w:val="24"/>
          <w:rtl/>
          <w:lang w:bidi="he"/>
        </w:rPr>
        <w:t>).</w:t>
      </w:r>
    </w:p>
    <w:p w14:paraId="00510966" w14:textId="77777777" w:rsidR="00AA7402" w:rsidRDefault="00AA7402" w:rsidP="00AA7402">
      <w:pPr>
        <w:contextualSpacing/>
        <w:rPr>
          <w:rFonts w:asciiTheme="majorBidi" w:hAnsiTheme="majorBidi" w:cstheme="majorBidi"/>
          <w:b/>
          <w:bCs/>
          <w:sz w:val="24"/>
          <w:szCs w:val="24"/>
          <w:rtl/>
        </w:rPr>
      </w:pPr>
    </w:p>
    <w:p w14:paraId="7D4AEF41" w14:textId="5AC96A36" w:rsidR="00A3292A" w:rsidRPr="00786DFE" w:rsidRDefault="00A3292A" w:rsidP="00A3292A">
      <w:pPr>
        <w:bidi/>
        <w:ind w:firstLine="0"/>
        <w:contextualSpacing/>
        <w:jc w:val="center"/>
        <w:rPr>
          <w:rFonts w:asciiTheme="majorBidi" w:hAnsiTheme="majorBidi" w:cstheme="majorBidi"/>
          <w:b/>
          <w:bCs/>
          <w:sz w:val="24"/>
          <w:szCs w:val="24"/>
        </w:rPr>
      </w:pPr>
      <w:r>
        <w:rPr>
          <w:rFonts w:asciiTheme="majorBidi" w:hAnsiTheme="majorBidi" w:cstheme="majorBidi"/>
          <w:b/>
          <w:bCs/>
          <w:sz w:val="24"/>
          <w:szCs w:val="24"/>
          <w:rtl/>
          <w:lang w:bidi="he"/>
        </w:rPr>
        <w:t>דיון</w:t>
      </w:r>
    </w:p>
    <w:p w14:paraId="3EC97FF5" w14:textId="77777777" w:rsidR="00A3292A" w:rsidRPr="00786DFE" w:rsidRDefault="00A3292A" w:rsidP="00A3292A">
      <w:pPr>
        <w:bidi/>
        <w:contextualSpacing/>
        <w:rPr>
          <w:rFonts w:asciiTheme="majorBidi" w:hAnsiTheme="majorBidi" w:cstheme="majorBidi"/>
          <w:sz w:val="24"/>
          <w:szCs w:val="24"/>
        </w:rPr>
      </w:pPr>
      <w:r>
        <w:rPr>
          <w:rFonts w:asciiTheme="majorBidi" w:hAnsiTheme="majorBidi" w:cstheme="majorBidi"/>
          <w:sz w:val="24"/>
          <w:szCs w:val="24"/>
          <w:rtl/>
          <w:lang w:bidi="he"/>
        </w:rPr>
        <w:t xml:space="preserve">מחקר זה מדגיש את יכולת התיווך של מורים במסגרת הדיון בהתעללות מינית בילדים כגורם חשוב שיכול לתרום למניעת התעללות מינית בילדים ואיתורה. במחקר זה, אנו מתמקדים בשתי שאלות: </w:t>
      </w:r>
      <w:r>
        <w:rPr>
          <w:rFonts w:asciiTheme="majorBidi" w:hAnsiTheme="majorBidi" w:cstheme="majorBidi"/>
          <w:sz w:val="24"/>
          <w:szCs w:val="24"/>
          <w:rtl/>
          <w:lang w:bidi="he"/>
        </w:rPr>
        <w:lastRenderedPageBreak/>
        <w:t>(א) האם דיווחים של מורים על רמת התיווך בנושא התעללות מינית שונים מהתפיסה של התלמידים לגבי התיווך בנושא? (ב) מה מנבא את התפיסה של התלמידים לגבי התיווך בנושא? לצורך זה, ערכנו מחקר בקרב שתי אוכלוסיות מדגם: 756 תלמידים והמחנכים שלהם (66 סה"כ). באופן זה, בחנו את התפיסות לגבי התיווך בנושא התעללות מינית בילדים מנקודת המבט של התלמידים והמורים בנפרד. כמו כן, בחנו מה מהגורמים הבאים מנבא את התפיסה של התלמידים לגבי התיווך בנושא התעללות מינית בילדים: הרגישות הנחזית של המורה להתעללות מינית בילדים, איכות התקשורת בין המורה לתלמידים בכלל ובנושאי התעללות מינית בילדים בפרט, התמיכה של המורים בכלל ובנושאי התעללות מינית בילדים בכלל, וסימני הקבלה או הדחייה (מידת ההיקשרות) של המורים.</w:t>
      </w:r>
    </w:p>
    <w:p w14:paraId="533EB0D8" w14:textId="77777777" w:rsidR="00A3292A" w:rsidRPr="00786DFE" w:rsidRDefault="00A3292A" w:rsidP="00A3292A">
      <w:pPr>
        <w:bidi/>
        <w:ind w:firstLine="0"/>
        <w:contextualSpacing/>
        <w:rPr>
          <w:rFonts w:asciiTheme="majorBidi" w:hAnsiTheme="majorBidi" w:cstheme="majorBidi"/>
          <w:sz w:val="24"/>
          <w:szCs w:val="24"/>
          <w:rtl/>
        </w:rPr>
      </w:pPr>
      <w:r>
        <w:rPr>
          <w:rFonts w:asciiTheme="majorBidi" w:hAnsiTheme="majorBidi" w:cstheme="majorBidi"/>
          <w:sz w:val="24"/>
          <w:szCs w:val="24"/>
        </w:rPr>
        <w:tab/>
      </w:r>
      <w:r>
        <w:rPr>
          <w:rFonts w:asciiTheme="majorBidi" w:hAnsiTheme="majorBidi" w:cstheme="majorBidi"/>
          <w:sz w:val="24"/>
          <w:szCs w:val="24"/>
          <w:rtl/>
          <w:lang w:bidi="he"/>
        </w:rPr>
        <w:t>שלא במפתיע וכפי שחזינו, מורים דיווחו על רמה גבוהה הרבה יותר של תיווך בנושא התעללות מינית בילדים (בכל האסטרטגיות) בהשוואה לתלמידים. במילים אחרות, מורים מאמינים שהם מתווכים את הנושא לתלמידים ודנים בו הרבה יותר ממה שהתלמידים אומרים. אולם כאשר השיחות הללו כן מתקיימות, איכות התמיכה שתלמידים תופסים בנושאי הטרדה מינית גבוהה יותר. כמו כן, במפתיע ובניגוד להשערה, לא היה הבדל משמעותי בין אסטרטגיות התיווך שהמורים נקטו (תיווך מגביל, תיווך חיובי פעיל, או תיווך שלילי) מבחינת הדירוג שלהן בניבוי האיכות הנתפסת של התמיכה בנושאי הטרדה מינית בקרב התלמידים. כלומר, כל עוד המורים דנים בנושאי התעללות מינית בילדים, הדיונים משפיעים לטובה על הילדים, לא משנה איך המורים דנים בנושא. ממצא זה תואם מחקרים קודמים שמצאו שגם תיווך מגביל וגם תיווך פעיל מנבאים וויסות עצמי ברשת וויסות רגשי בקרב ילדים ובני נוער, ומנבאים ירידה ברמות האימפולסיביות במחקר אורך (</w:t>
      </w:r>
      <w:r>
        <w:rPr>
          <w:rFonts w:asciiTheme="majorBidi" w:hAnsiTheme="majorBidi" w:cstheme="majorBidi"/>
          <w:sz w:val="24"/>
          <w:szCs w:val="24"/>
        </w:rPr>
        <w:t>Chen &amp; Chng, 2016</w:t>
      </w:r>
      <w:r>
        <w:rPr>
          <w:rFonts w:asciiTheme="majorBidi" w:hAnsiTheme="majorBidi" w:cstheme="majorBidi"/>
          <w:sz w:val="24"/>
          <w:szCs w:val="24"/>
          <w:rtl/>
          <w:lang w:bidi="he"/>
        </w:rPr>
        <w:t>). הדבר נראה גם במחקר שבחן את התיווך של מורים בנוגע לסיכונים ולהזדמנויות בתקשורת (</w:t>
      </w:r>
      <w:r>
        <w:rPr>
          <w:rFonts w:asciiTheme="majorBidi" w:hAnsiTheme="majorBidi" w:cstheme="majorBidi"/>
          <w:sz w:val="24"/>
          <w:szCs w:val="24"/>
        </w:rPr>
        <w:t>Berger, 2020</w:t>
      </w:r>
      <w:r>
        <w:rPr>
          <w:rFonts w:asciiTheme="majorBidi" w:hAnsiTheme="majorBidi" w:cstheme="majorBidi"/>
          <w:sz w:val="24"/>
          <w:szCs w:val="24"/>
          <w:rtl/>
          <w:lang w:bidi="he"/>
        </w:rPr>
        <w:t xml:space="preserve">). זה מעלה את האפשרות שאסטרטגיות התיווך לא מנוגדות זו לזו בעבודתם של המורים. </w:t>
      </w:r>
    </w:p>
    <w:p w14:paraId="27133C51" w14:textId="77777777" w:rsidR="00A3292A" w:rsidRPr="00786DFE" w:rsidRDefault="00A3292A" w:rsidP="00A3292A">
      <w:pPr>
        <w:bidi/>
        <w:contextualSpacing/>
        <w:rPr>
          <w:rFonts w:asciiTheme="majorBidi" w:hAnsiTheme="majorBidi" w:cstheme="majorBidi"/>
          <w:sz w:val="24"/>
          <w:szCs w:val="24"/>
        </w:rPr>
      </w:pPr>
      <w:r>
        <w:rPr>
          <w:rFonts w:asciiTheme="majorBidi" w:hAnsiTheme="majorBidi" w:cstheme="majorBidi"/>
          <w:sz w:val="24"/>
          <w:szCs w:val="24"/>
          <w:rtl/>
          <w:lang w:bidi="he"/>
        </w:rPr>
        <w:t>ממצאים אלה תואמים את המחקרים הקודמים, המראים את החשיבות וההשפעה החיובית של דיון בנושאי התעללות מינית בילדים בין מורים ותלמידים (</w:t>
      </w:r>
      <w:r>
        <w:rPr>
          <w:rFonts w:asciiTheme="majorBidi" w:hAnsiTheme="majorBidi" w:cstheme="majorBidi"/>
          <w:sz w:val="24"/>
          <w:szCs w:val="24"/>
        </w:rPr>
        <w:t>Goldschmidt-Gjerløw, 2019</w:t>
      </w:r>
      <w:r>
        <w:rPr>
          <w:rFonts w:asciiTheme="majorBidi" w:hAnsiTheme="majorBidi" w:cstheme="majorBidi"/>
          <w:sz w:val="24"/>
          <w:szCs w:val="24"/>
          <w:rtl/>
          <w:lang w:bidi="he"/>
        </w:rPr>
        <w:t>). חשוב לציין: למרות שהאינטרקציות האלה משמעותיות מאוד, נדיר שהתלמידים יוזמים אותן. מחקרים קודמים מראים שתלמידים לא פונים למורים שלהם כדי לשוחח על התעללות מינית בילדים, בין השאר כי הם מאמינים שהמורים [לא] יהיו סובלניים להתנהגות כזאת (</w:t>
      </w:r>
      <w:r>
        <w:rPr>
          <w:rFonts w:asciiTheme="majorBidi" w:hAnsiTheme="majorBidi" w:cstheme="majorBidi"/>
          <w:sz w:val="24"/>
          <w:szCs w:val="24"/>
        </w:rPr>
        <w:t>Doty</w:t>
      </w:r>
      <w:r>
        <w:rPr>
          <w:rFonts w:asciiTheme="majorBidi" w:hAnsiTheme="majorBidi" w:cstheme="majorBidi"/>
          <w:sz w:val="24"/>
          <w:szCs w:val="24"/>
          <w:rtl/>
          <w:lang w:bidi="he"/>
        </w:rPr>
        <w:t xml:space="preserve"> ואח', 2017) או משום שנושא </w:t>
      </w:r>
      <w:r>
        <w:rPr>
          <w:rFonts w:asciiTheme="majorBidi" w:hAnsiTheme="majorBidi" w:cstheme="majorBidi"/>
          <w:sz w:val="24"/>
          <w:szCs w:val="24"/>
          <w:rtl/>
          <w:lang w:bidi="he"/>
        </w:rPr>
        <w:lastRenderedPageBreak/>
        <w:t>ההתעללות המינית בילדים הוא בגדר טאבו (</w:t>
      </w:r>
      <w:r>
        <w:rPr>
          <w:rFonts w:asciiTheme="majorBidi" w:hAnsiTheme="majorBidi" w:cstheme="majorBidi"/>
          <w:sz w:val="24"/>
          <w:szCs w:val="24"/>
        </w:rPr>
        <w:t>Goldschmidt-Gjerløw, 2019</w:t>
      </w:r>
      <w:r>
        <w:rPr>
          <w:rFonts w:asciiTheme="majorBidi" w:hAnsiTheme="majorBidi" w:cstheme="majorBidi"/>
          <w:sz w:val="24"/>
          <w:szCs w:val="24"/>
          <w:rtl/>
          <w:lang w:bidi="he"/>
        </w:rPr>
        <w:t>). יכול גם להיות שמורים שחוששים מהנושא יעבירו תחושת חרדה לתלמידים הצעירים, וכן שאין להם את הניסיון בפנייה לרשויות הרווחה לפי הצורך (</w:t>
      </w:r>
      <w:r>
        <w:rPr>
          <w:rFonts w:asciiTheme="majorBidi" w:hAnsiTheme="majorBidi" w:cstheme="majorBidi"/>
          <w:sz w:val="24"/>
          <w:szCs w:val="24"/>
        </w:rPr>
        <w:t>Scholes</w:t>
      </w:r>
      <w:r>
        <w:rPr>
          <w:rFonts w:asciiTheme="majorBidi" w:hAnsiTheme="majorBidi" w:cstheme="majorBidi"/>
          <w:sz w:val="24"/>
          <w:szCs w:val="24"/>
          <w:rtl/>
          <w:lang w:bidi="he"/>
        </w:rPr>
        <w:t xml:space="preserve"> ואח', 2012). הדיווחים של המורים על תמיכה טובה ביותר בנושאי התעללות מינית בילדים היו קשורים לתפיסה של תיווך פעיל שלילי. כלומר כשמורים מתארים את הסכנות שבהתעללות מינית בילדים, הם תופסים את עצמם כתומכים יותר. אולי הטאבו סביב מיניות והמבוכה שהמורים חשים סביב נושאים אלה גורמים להם לדון בהתעללות מינית בילדים דרך חוקים וקווים מנחים במקום רגשות.</w:t>
      </w:r>
    </w:p>
    <w:p w14:paraId="27FDADD8" w14:textId="77777777" w:rsidR="00A3292A" w:rsidRPr="00786DFE" w:rsidRDefault="00A3292A" w:rsidP="00A3292A">
      <w:pPr>
        <w:bidi/>
        <w:contextualSpacing/>
        <w:rPr>
          <w:rFonts w:asciiTheme="majorBidi" w:hAnsiTheme="majorBidi" w:cstheme="majorBidi"/>
          <w:sz w:val="24"/>
          <w:szCs w:val="24"/>
        </w:rPr>
      </w:pPr>
      <w:r>
        <w:rPr>
          <w:rFonts w:asciiTheme="majorBidi" w:hAnsiTheme="majorBidi" w:cstheme="majorBidi"/>
          <w:sz w:val="24"/>
          <w:szCs w:val="24"/>
          <w:rtl/>
          <w:lang w:bidi="he"/>
        </w:rPr>
        <w:t xml:space="preserve">לבסוף, מצאנו שכאשר המורה נתפס כמקבל וזמין (ולכן, מכיל) בעיני התלמיד, תיווך נושא ההתעללות המינית בילדים נתפס כפעיל (שלילי או חיובי) ולא מגביל. אמנם, יכול להיות שהקשר הזה דו כיווני, אך הקשר בין תיווך פעיל ורמת קבלה וזמינות נתפסת גבוהה יותר אצל התלמידים ברור. תיווך מגביל, בו המורה מתמקד רק בחוקים וכללים, נחזה כרשמי, מרוחק וחסר רגש. לכן, הגיוני שאם המורה נחזה כמי שנותן "מקום בטוח", וכפנוי רגשית עבור התלמיד, התיווך הנתפס ייראה פעיל. </w:t>
      </w:r>
    </w:p>
    <w:p w14:paraId="4A02F6B5" w14:textId="77777777" w:rsidR="00A3292A" w:rsidRPr="00786DFE" w:rsidRDefault="00A3292A" w:rsidP="00A3292A">
      <w:pPr>
        <w:bidi/>
        <w:contextualSpacing/>
        <w:rPr>
          <w:rFonts w:asciiTheme="majorBidi" w:eastAsia="Times New Roman" w:hAnsiTheme="majorBidi" w:cstheme="majorBidi"/>
          <w:sz w:val="24"/>
          <w:szCs w:val="24"/>
        </w:rPr>
      </w:pPr>
      <w:r>
        <w:rPr>
          <w:rFonts w:asciiTheme="majorBidi" w:eastAsia="Times New Roman" w:hAnsiTheme="majorBidi" w:cstheme="majorBidi"/>
          <w:sz w:val="24"/>
          <w:szCs w:val="24"/>
          <w:rtl/>
          <w:lang w:bidi="he"/>
        </w:rPr>
        <w:t xml:space="preserve">בסך הכל, ממצאי המחקר מעודדים. הנחנו שרק סוג מסוים אחד של דיון בין תלמידים ומורים בנושא התעללות מינית בילדים יועיל להם, אך הממצאים מראים שכל סוג של דיון מיטיב עם התלמידים ומנבא הרגשה של תמיכה וקבלה בקרבם. אולי התלמידים רוצים מאוד לדבר עם המורים שלהם על התעללות מינית, והדיון כשלעצמו - בכל שיטת תיווך שהיא, ולא חשוב במה הוא מתמקד - נותן לתלמידים תחושת ביטחון ונראות. </w:t>
      </w:r>
    </w:p>
    <w:p w14:paraId="0FAA7EC4" w14:textId="2C206B92" w:rsidR="0047715A" w:rsidRDefault="00A3292A" w:rsidP="00A3292A">
      <w:pPr>
        <w:bidi/>
      </w:pPr>
      <w:r>
        <w:rPr>
          <w:rFonts w:asciiTheme="majorBidi" w:hAnsiTheme="majorBidi" w:cstheme="majorBidi"/>
          <w:sz w:val="24"/>
          <w:szCs w:val="24"/>
          <w:rtl/>
          <w:lang w:bidi="he"/>
        </w:rPr>
        <w:t>לבסוף, בנים תופסים תיווך כמגביל יותר מבנות. יכול להיות שזה נובע מתפקידי מגדר הגורמים לבנים להיתפס כ"תוקפים" יותר מאשר כ"קרבנות". לכן, אפשר לטעון שהגיוני מצד המורים לנקוט גישת תיווך מגבילה בנושא התעללות מינית בילדים כלפי בנים. ממצא זה תואם את המחקרים האחרים הבוחנים את התקשורת של הורים עם ילדיהם המתבגרים בנושא מיניות, שם נצפו הבדלים מגדריים: הורים מדברים יותר על הסיכונים שבמיניות מאשר על נושאים חיוביים הקשורים למיניות, והפער הגדול ביותר בדיון בסוגים שונים של נושאים נמצא בשיחות בין אמהות ובנות.</w:t>
      </w:r>
    </w:p>
    <w:p w14:paraId="29E7F5DA" w14:textId="77777777" w:rsidR="00645422" w:rsidRDefault="00645422" w:rsidP="00645422">
      <w:pPr>
        <w:bidi/>
        <w:ind w:firstLine="0"/>
        <w:rPr>
          <w:b/>
          <w:bCs/>
          <w:rtl/>
        </w:rPr>
      </w:pPr>
    </w:p>
    <w:p w14:paraId="39AB8A8A" w14:textId="42CF7AA5" w:rsidR="00645422" w:rsidRPr="00645422" w:rsidRDefault="00645422" w:rsidP="00645422">
      <w:pPr>
        <w:bidi/>
        <w:ind w:firstLine="0"/>
        <w:rPr>
          <w:b/>
          <w:bCs/>
          <w:rtl/>
        </w:rPr>
      </w:pPr>
      <w:r>
        <w:rPr>
          <w:b/>
          <w:bCs/>
          <w:rtl/>
          <w:lang w:bidi="he"/>
        </w:rPr>
        <w:t>מקומם של ההורים בנושא פגיעות והטרדות מיניות בקרב ילדים</w:t>
      </w:r>
    </w:p>
    <w:p w14:paraId="6726130A" w14:textId="438446D5" w:rsidR="003B683B" w:rsidRPr="009850C8" w:rsidRDefault="000C58CD" w:rsidP="003B683B">
      <w:pPr>
        <w:bidi/>
        <w:contextualSpacing/>
        <w:rPr>
          <w:rFonts w:ascii="Times New Roman" w:hAnsi="Times New Roman" w:cs="Times New Roman"/>
          <w:sz w:val="24"/>
          <w:szCs w:val="24"/>
        </w:rPr>
      </w:pPr>
      <w:r>
        <w:rPr>
          <w:rFonts w:ascii="Times New Roman" w:hAnsi="Times New Roman"/>
          <w:sz w:val="24"/>
          <w:szCs w:val="24"/>
          <w:rtl/>
          <w:lang w:bidi="he"/>
        </w:rPr>
        <w:lastRenderedPageBreak/>
        <w:t>הורים יכולים לשחק תפקיד חשוב בחינוך המיני של ילדיהם המתבגרים (</w:t>
      </w:r>
      <w:r>
        <w:rPr>
          <w:rFonts w:ascii="Times New Roman" w:hAnsi="Times New Roman"/>
          <w:sz w:val="24"/>
          <w:szCs w:val="24"/>
        </w:rPr>
        <w:t>Rogers, Padilla-Walker, &amp; Hurst, 2020</w:t>
      </w:r>
      <w:r>
        <w:rPr>
          <w:rFonts w:ascii="Times New Roman" w:hAnsi="Times New Roman"/>
          <w:sz w:val="24"/>
          <w:szCs w:val="24"/>
          <w:rtl/>
          <w:lang w:bidi="he"/>
        </w:rPr>
        <w:t>), דרך העברת מידע באופן התואם את רמת ההתפתחות, לקידום התפתחות מינית בריאה (</w:t>
      </w:r>
      <w:r>
        <w:rPr>
          <w:rFonts w:ascii="Times New Roman" w:hAnsi="Times New Roman"/>
          <w:sz w:val="24"/>
          <w:szCs w:val="24"/>
        </w:rPr>
        <w:t>Flores &amp; Barroso, 2017</w:t>
      </w:r>
      <w:r>
        <w:rPr>
          <w:rFonts w:ascii="Times New Roman" w:hAnsi="Times New Roman"/>
          <w:sz w:val="24"/>
          <w:szCs w:val="24"/>
          <w:rtl/>
          <w:lang w:bidi="he"/>
        </w:rPr>
        <w:t>). כפי שנזכר לאחרונה בשיחה בנושא החשיבות המערכת של תהליכים במשפחה בהתפתחות המינית, "המשפחה קובעת" (</w:t>
      </w:r>
      <w:r>
        <w:rPr>
          <w:rFonts w:ascii="Times New Roman" w:hAnsi="Times New Roman"/>
          <w:sz w:val="24"/>
          <w:szCs w:val="24"/>
        </w:rPr>
        <w:t>Kaestle, Allen, Wesche &amp; Grafsky, 2021</w:t>
      </w:r>
      <w:r>
        <w:rPr>
          <w:rFonts w:ascii="Times New Roman" w:hAnsi="Times New Roman"/>
          <w:sz w:val="24"/>
          <w:szCs w:val="24"/>
          <w:rtl/>
          <w:lang w:bidi="he"/>
        </w:rPr>
        <w:t>). אף על פי כן, למרות שנערכו מאות מחקרים ב-40 השנים האחרונות בנושא תקשורת בנושא מין בין הורים וילדים (</w:t>
      </w:r>
      <w:r>
        <w:rPr>
          <w:rFonts w:ascii="Times New Roman" w:hAnsi="Times New Roman"/>
          <w:sz w:val="24"/>
          <w:szCs w:val="24"/>
        </w:rPr>
        <w:t>Rogers</w:t>
      </w:r>
      <w:r>
        <w:rPr>
          <w:rFonts w:ascii="Times New Roman" w:hAnsi="Times New Roman"/>
          <w:sz w:val="24"/>
          <w:szCs w:val="24"/>
          <w:rtl/>
          <w:lang w:bidi="he"/>
        </w:rPr>
        <w:t xml:space="preserve"> ואח', 2020), וההבנה שהתהליך המשפחתי המרכזי בהתפתחות המינית הבריאה הוא התקשורת בנושאי מיניות (</w:t>
      </w:r>
      <w:r>
        <w:rPr>
          <w:rFonts w:ascii="Times New Roman" w:hAnsi="Times New Roman"/>
          <w:sz w:val="24"/>
          <w:szCs w:val="24"/>
        </w:rPr>
        <w:t>Kaestle</w:t>
      </w:r>
      <w:r>
        <w:rPr>
          <w:rFonts w:ascii="Times New Roman" w:hAnsi="Times New Roman"/>
          <w:sz w:val="24"/>
          <w:szCs w:val="24"/>
          <w:rtl/>
          <w:lang w:bidi="he"/>
        </w:rPr>
        <w:t xml:space="preserve"> ואח', 2021), עדיין לא ברור האם הורים תופסים נכונה את האיכות של התקשורת שלהם עם ילדיהם בנושא מיניות. חיוני שתהיה התאמה בין התפיסות של ההורים והתפיסות של הילד, עבור תקשורת מיטיבה ותוצאות חיוביות בתחום המיניות (כגון: שימוש באמצעי הגנה; </w:t>
      </w:r>
      <w:r>
        <w:rPr>
          <w:rFonts w:ascii="Times New Roman" w:hAnsi="Times New Roman"/>
          <w:sz w:val="24"/>
          <w:szCs w:val="24"/>
        </w:rPr>
        <w:t>Bonafide, Vanable, &amp; Carey, 2020</w:t>
      </w:r>
      <w:r>
        <w:rPr>
          <w:rFonts w:ascii="Times New Roman" w:hAnsi="Times New Roman"/>
          <w:sz w:val="24"/>
          <w:szCs w:val="24"/>
          <w:rtl/>
          <w:lang w:bidi="he"/>
        </w:rPr>
        <w:t>). לכן, חשוב ביותר לברר את הנושא.</w:t>
      </w:r>
      <w:r>
        <w:rPr>
          <w:rFonts w:asciiTheme="majorBidi" w:hAnsiTheme="majorBidi"/>
          <w:sz w:val="24"/>
          <w:szCs w:val="24"/>
        </w:rPr>
        <w:t xml:space="preserve"> </w:t>
      </w:r>
    </w:p>
    <w:p w14:paraId="3AB54DF6" w14:textId="77777777" w:rsidR="003B683B" w:rsidRPr="009850C8" w:rsidRDefault="003B683B" w:rsidP="003B683B">
      <w:pPr>
        <w:bidi/>
        <w:contextualSpacing/>
        <w:rPr>
          <w:rFonts w:ascii="Times New Roman" w:hAnsi="Times New Roman" w:cs="Times New Roman"/>
          <w:sz w:val="24"/>
          <w:szCs w:val="24"/>
        </w:rPr>
      </w:pPr>
      <w:r>
        <w:rPr>
          <w:rFonts w:ascii="Times New Roman" w:hAnsi="Times New Roman" w:cs="Times New Roman"/>
          <w:sz w:val="24"/>
          <w:szCs w:val="24"/>
          <w:rtl/>
          <w:lang w:bidi="he"/>
        </w:rPr>
        <w:t>תקשורת בין הורים לילדיהם המתבגרים היא חלק מהמכלול החברתי-אקולוגי המשפיע על ההתפתחות המינית לאורך גיל ההתבגרות (</w:t>
      </w:r>
      <w:r>
        <w:rPr>
          <w:rFonts w:ascii="Times New Roman" w:hAnsi="Times New Roman" w:cs="Times New Roman"/>
          <w:sz w:val="24"/>
          <w:szCs w:val="24"/>
        </w:rPr>
        <w:t>Bronfenbrenner, 1979; Baldry</w:t>
      </w:r>
      <w:r>
        <w:rPr>
          <w:rFonts w:ascii="Times New Roman" w:hAnsi="Times New Roman" w:cs="Times New Roman"/>
          <w:sz w:val="24"/>
          <w:szCs w:val="24"/>
          <w:rtl/>
          <w:lang w:bidi="he"/>
        </w:rPr>
        <w:t xml:space="preserve"> ואח', 2015; </w:t>
      </w:r>
      <w:r>
        <w:rPr>
          <w:rFonts w:ascii="Times New Roman" w:hAnsi="Times New Roman" w:cs="Times New Roman"/>
          <w:sz w:val="24"/>
          <w:szCs w:val="24"/>
        </w:rPr>
        <w:t>Committee on the Biological Prevention</w:t>
      </w:r>
      <w:r>
        <w:rPr>
          <w:rFonts w:ascii="Times New Roman" w:hAnsi="Times New Roman" w:cs="Times New Roman"/>
          <w:sz w:val="24"/>
          <w:szCs w:val="24"/>
          <w:rtl/>
          <w:lang w:bidi="he"/>
        </w:rPr>
        <w:t xml:space="preserve"> ואח', 2016; </w:t>
      </w:r>
      <w:r>
        <w:rPr>
          <w:rFonts w:ascii="Times New Roman" w:hAnsi="Times New Roman" w:cs="Times New Roman"/>
          <w:sz w:val="24"/>
          <w:szCs w:val="24"/>
        </w:rPr>
        <w:t>Cross</w:t>
      </w:r>
      <w:r>
        <w:rPr>
          <w:rFonts w:ascii="Times New Roman" w:hAnsi="Times New Roman" w:cs="Times New Roman"/>
          <w:sz w:val="24"/>
          <w:szCs w:val="24"/>
          <w:rtl/>
          <w:lang w:bidi="he"/>
        </w:rPr>
        <w:t xml:space="preserve"> ואח', 2015; </w:t>
      </w:r>
      <w:r>
        <w:rPr>
          <w:rFonts w:ascii="Times New Roman" w:hAnsi="Times New Roman" w:cs="Times New Roman"/>
          <w:sz w:val="24"/>
          <w:szCs w:val="24"/>
        </w:rPr>
        <w:t>Hong &amp; Espelage, 2012</w:t>
      </w:r>
      <w:r>
        <w:rPr>
          <w:rFonts w:ascii="Times New Roman" w:hAnsi="Times New Roman" w:cs="Times New Roman"/>
          <w:sz w:val="24"/>
          <w:szCs w:val="24"/>
          <w:rtl/>
          <w:lang w:bidi="he"/>
        </w:rPr>
        <w:t>). מכלול זה כולל את מערכות ההשפעה על חיי המתבגר. הוא מסביר איך היחסים בין המתבגר וכל מערכת בתוך המכלול משפיעים על הצמיחה וההתפתחות של המתבגר. המערכת מתחילה במתבגר עצמו, הנמצא במרכז הדינמיקה הפנימית שלו, התפיסות והמאפיינים שלו. היא מכילה גם את המשפחה (מיקרו-מערכת), את הקהילה (מערכת הביניים), ואת החברה והממשלה (המערכת החיצונית), ואת התרבות, האמונות והערכים (מאקרו-מערכת) (</w:t>
      </w:r>
      <w:r>
        <w:rPr>
          <w:rFonts w:ascii="Times New Roman" w:hAnsi="Times New Roman" w:cs="Times New Roman"/>
          <w:sz w:val="24"/>
          <w:szCs w:val="24"/>
        </w:rPr>
        <w:t>Bronfenbrenner, 1979</w:t>
      </w:r>
      <w:r>
        <w:rPr>
          <w:rFonts w:ascii="Times New Roman" w:hAnsi="Times New Roman" w:cs="Times New Roman"/>
          <w:sz w:val="24"/>
          <w:szCs w:val="24"/>
          <w:rtl/>
          <w:lang w:bidi="he"/>
        </w:rPr>
        <w:t>). היחסים בין המתבגר והוריו מהווים חלק מהמיקרו-מערכת, וזו הודגשה כמרכיב חיוני בהתפתחות המינית דרך ההשפעות של תקשורת בנושאי מיניות בין הורים וילדים (</w:t>
      </w:r>
      <w:r>
        <w:rPr>
          <w:rFonts w:ascii="Times New Roman" w:hAnsi="Times New Roman" w:cs="Times New Roman"/>
          <w:sz w:val="24"/>
          <w:szCs w:val="24"/>
        </w:rPr>
        <w:t>Kaestle</w:t>
      </w:r>
      <w:r>
        <w:rPr>
          <w:rFonts w:ascii="Times New Roman" w:hAnsi="Times New Roman" w:cs="Times New Roman"/>
          <w:sz w:val="24"/>
          <w:szCs w:val="24"/>
          <w:rtl/>
          <w:lang w:bidi="he"/>
        </w:rPr>
        <w:t xml:space="preserve"> ואח', 2021).</w:t>
      </w:r>
    </w:p>
    <w:p w14:paraId="587C9C59" w14:textId="77777777" w:rsidR="003B683B" w:rsidRPr="006C704D" w:rsidRDefault="003B683B" w:rsidP="003B683B">
      <w:pPr>
        <w:bidi/>
        <w:ind w:firstLine="0"/>
        <w:contextualSpacing/>
        <w:rPr>
          <w:rFonts w:ascii="Times New Roman" w:hAnsi="Times New Roman" w:cs="Times New Roman"/>
          <w:b/>
          <w:bCs/>
          <w:sz w:val="24"/>
          <w:szCs w:val="24"/>
        </w:rPr>
      </w:pPr>
      <w:r>
        <w:rPr>
          <w:rFonts w:asciiTheme="majorBidi" w:hAnsiTheme="majorBidi" w:cstheme="majorBidi"/>
          <w:b/>
          <w:bCs/>
          <w:sz w:val="24"/>
          <w:szCs w:val="24"/>
          <w:rtl/>
          <w:lang w:bidi="he"/>
        </w:rPr>
        <w:t>איכות התקשורת בין הורים וילדים בנושאי מיניות</w:t>
      </w:r>
    </w:p>
    <w:p w14:paraId="3F86F533" w14:textId="77777777" w:rsidR="003B683B" w:rsidRPr="009850C8" w:rsidRDefault="003B683B" w:rsidP="003B683B">
      <w:pPr>
        <w:bidi/>
        <w:contextualSpacing/>
        <w:rPr>
          <w:rFonts w:ascii="Times New Roman" w:hAnsi="Times New Roman" w:cs="Times New Roman"/>
          <w:sz w:val="24"/>
          <w:szCs w:val="24"/>
          <w:rtl/>
        </w:rPr>
      </w:pPr>
      <w:r>
        <w:rPr>
          <w:rFonts w:ascii="Times New Roman" w:hAnsi="Times New Roman" w:cs="Times New Roman"/>
          <w:sz w:val="24"/>
          <w:szCs w:val="24"/>
          <w:rtl/>
          <w:lang w:bidi="he"/>
        </w:rPr>
        <w:t>לתקשורת בין הורים וילדיהם המתבגרים בנושאי מיניות יש השפעה עצומה, ולה מספר פנים (</w:t>
      </w:r>
      <w:r>
        <w:rPr>
          <w:rFonts w:ascii="Times New Roman" w:hAnsi="Times New Roman" w:cs="Times New Roman"/>
          <w:sz w:val="24"/>
          <w:szCs w:val="24"/>
        </w:rPr>
        <w:t>Evans, Widman, Kamke &amp; Stewart, 2020</w:t>
      </w:r>
      <w:r>
        <w:rPr>
          <w:rFonts w:ascii="Times New Roman" w:hAnsi="Times New Roman" w:cs="Times New Roman"/>
          <w:sz w:val="24"/>
          <w:szCs w:val="24"/>
          <w:rtl/>
          <w:lang w:bidi="he"/>
        </w:rPr>
        <w:t>). ראשית, להורים תפקיד חשוב בהתליך החברות המיני, בכך שהם מעצבים את הקוגניציה המינית של ילדיהם (</w:t>
      </w:r>
      <w:r>
        <w:rPr>
          <w:rFonts w:ascii="Times New Roman" w:hAnsi="Times New Roman" w:cs="Times New Roman"/>
          <w:sz w:val="24"/>
          <w:szCs w:val="24"/>
        </w:rPr>
        <w:t xml:space="preserve">Buhi &amp; Goodson, 2007; Rogers, </w:t>
      </w:r>
      <w:r>
        <w:rPr>
          <w:rFonts w:ascii="Times New Roman" w:hAnsi="Times New Roman" w:cs="Times New Roman"/>
          <w:sz w:val="24"/>
          <w:szCs w:val="24"/>
        </w:rPr>
        <w:lastRenderedPageBreak/>
        <w:t>2017</w:t>
      </w:r>
      <w:r>
        <w:rPr>
          <w:rFonts w:ascii="Times New Roman" w:hAnsi="Times New Roman" w:cs="Times New Roman"/>
          <w:sz w:val="24"/>
          <w:szCs w:val="24"/>
          <w:rtl/>
          <w:lang w:bidi="he"/>
        </w:rPr>
        <w:t>). בפרט, ההורים הם סוכני חיברות המעצבים את הגישה של הילדים למיניות (תפיסה חיובית או שלילית לגבי התנהגויות מסוימות, למשל שימוש בקונדומים), את הנורמות הנתפסות (השכיחות והנורמטיביות הנתפסות של התנהגויות כמו שימוש בקונדומים, והתפיסה לגבי האישור או הגינוי מאחרים, לגבי ביצוע ההתנהגות), והמסוגלות העצמית (התפיסה של האדם לגבי היכולת שלו לבצע או להימנע מפעולה מסוימת). דרך שינויים בקוגניציות המיניות הללו, הורים יכולים גם לעצב את ההתנהגות המינית שלהם; למשל, הגיל בו הם מתחילים להיות פעילים מבחינה מינית, שימוש בקונדומים, והתנהגות מינית מסוכנת (</w:t>
      </w:r>
      <w:r>
        <w:rPr>
          <w:rFonts w:ascii="Times New Roman" w:hAnsi="Times New Roman" w:cs="Times New Roman"/>
          <w:sz w:val="24"/>
          <w:szCs w:val="24"/>
        </w:rPr>
        <w:t>Albanese, De Blasio, &amp; Sestito, 2016; Dittus</w:t>
      </w:r>
      <w:r>
        <w:rPr>
          <w:rFonts w:ascii="Times New Roman" w:hAnsi="Times New Roman" w:cs="Times New Roman"/>
          <w:sz w:val="24"/>
          <w:szCs w:val="24"/>
          <w:rtl/>
          <w:lang w:bidi="he"/>
        </w:rPr>
        <w:t xml:space="preserve"> ואח', 2015; </w:t>
      </w:r>
      <w:r>
        <w:rPr>
          <w:rFonts w:ascii="Times New Roman" w:hAnsi="Times New Roman" w:cs="Times New Roman"/>
          <w:sz w:val="24"/>
          <w:szCs w:val="24"/>
        </w:rPr>
        <w:t>Holman &amp; Koenig Kellas, 2018; Kågesten</w:t>
      </w:r>
      <w:r>
        <w:rPr>
          <w:rFonts w:ascii="Times New Roman" w:hAnsi="Times New Roman" w:cs="Times New Roman"/>
          <w:sz w:val="24"/>
          <w:szCs w:val="24"/>
          <w:rtl/>
          <w:lang w:bidi="he"/>
        </w:rPr>
        <w:t xml:space="preserve"> ואח', 2016; </w:t>
      </w:r>
      <w:r>
        <w:rPr>
          <w:rFonts w:ascii="Times New Roman" w:hAnsi="Times New Roman" w:cs="Times New Roman"/>
          <w:sz w:val="24"/>
          <w:szCs w:val="24"/>
        </w:rPr>
        <w:t>Rogers, 2017; van de Bongardt, Reitz, Sandfort, &amp; Deković, 2015</w:t>
      </w:r>
      <w:r>
        <w:rPr>
          <w:rFonts w:ascii="Times New Roman" w:hAnsi="Times New Roman" w:cs="Times New Roman"/>
          <w:sz w:val="24"/>
          <w:szCs w:val="24"/>
          <w:rtl/>
          <w:lang w:bidi="he"/>
        </w:rPr>
        <w:t>). לדוגמה, במטא-אנליזה (</w:t>
      </w:r>
      <w:r>
        <w:rPr>
          <w:rFonts w:ascii="Times New Roman" w:hAnsi="Times New Roman" w:cs="Times New Roman"/>
          <w:sz w:val="24"/>
          <w:szCs w:val="24"/>
        </w:rPr>
        <w:t>Albarracín</w:t>
      </w:r>
      <w:r>
        <w:rPr>
          <w:rFonts w:ascii="Times New Roman" w:hAnsi="Times New Roman" w:cs="Times New Roman"/>
          <w:sz w:val="24"/>
          <w:szCs w:val="24"/>
          <w:rtl/>
          <w:lang w:bidi="he"/>
        </w:rPr>
        <w:t xml:space="preserve"> ואח', 2001) של כ- 100 מחקרים, נמצא שהגישה לגבי קונדומים (</w:t>
      </w:r>
      <w:r>
        <w:rPr>
          <w:rFonts w:ascii="Times New Roman" w:hAnsi="Times New Roman" w:cs="Times New Roman"/>
          <w:i/>
          <w:iCs/>
          <w:sz w:val="24"/>
          <w:szCs w:val="24"/>
        </w:rPr>
        <w:t>r</w:t>
      </w:r>
      <w:r>
        <w:rPr>
          <w:rFonts w:ascii="Times New Roman" w:hAnsi="Times New Roman" w:cs="Times New Roman"/>
          <w:sz w:val="24"/>
          <w:szCs w:val="24"/>
          <w:vertAlign w:val="subscript"/>
        </w:rPr>
        <w:t>mean</w:t>
      </w:r>
      <w:r>
        <w:rPr>
          <w:rFonts w:ascii="Times New Roman" w:hAnsi="Times New Roman" w:cs="Times New Roman"/>
          <w:sz w:val="24"/>
          <w:szCs w:val="24"/>
        </w:rPr>
        <w:t xml:space="preserve"> = .58</w:t>
      </w:r>
      <w:r>
        <w:rPr>
          <w:rFonts w:ascii="Times New Roman" w:hAnsi="Times New Roman" w:cs="Times New Roman"/>
          <w:sz w:val="24"/>
          <w:szCs w:val="24"/>
          <w:rtl/>
          <w:lang w:bidi="he"/>
        </w:rPr>
        <w:t>), התפיסה לגבי נורמות שימוש בקונדומים (</w:t>
      </w:r>
      <w:r>
        <w:rPr>
          <w:rFonts w:ascii="Times New Roman" w:hAnsi="Times New Roman" w:cs="Times New Roman"/>
          <w:i/>
          <w:iCs/>
          <w:sz w:val="24"/>
          <w:szCs w:val="24"/>
        </w:rPr>
        <w:t>r</w:t>
      </w:r>
      <w:r>
        <w:rPr>
          <w:rFonts w:ascii="Times New Roman" w:hAnsi="Times New Roman" w:cs="Times New Roman"/>
          <w:sz w:val="24"/>
          <w:szCs w:val="24"/>
          <w:vertAlign w:val="subscript"/>
        </w:rPr>
        <w:t>mean</w:t>
      </w:r>
      <w:r>
        <w:rPr>
          <w:rFonts w:ascii="Times New Roman" w:hAnsi="Times New Roman" w:cs="Times New Roman"/>
          <w:sz w:val="24"/>
          <w:szCs w:val="24"/>
        </w:rPr>
        <w:t xml:space="preserve"> = .39</w:t>
      </w:r>
      <w:r>
        <w:rPr>
          <w:rFonts w:ascii="Times New Roman" w:hAnsi="Times New Roman" w:cs="Times New Roman"/>
          <w:sz w:val="24"/>
          <w:szCs w:val="24"/>
          <w:rtl/>
          <w:lang w:bidi="he"/>
        </w:rPr>
        <w:t>), והבקרה ההתנהגותית הנתפסת לגבי שימוש בקונדומים (</w:t>
      </w:r>
      <w:r>
        <w:rPr>
          <w:rFonts w:ascii="Times New Roman" w:hAnsi="Times New Roman" w:cs="Times New Roman"/>
          <w:i/>
          <w:iCs/>
          <w:sz w:val="24"/>
          <w:szCs w:val="24"/>
        </w:rPr>
        <w:t>r</w:t>
      </w:r>
      <w:r>
        <w:rPr>
          <w:rFonts w:ascii="Times New Roman" w:hAnsi="Times New Roman" w:cs="Times New Roman"/>
          <w:sz w:val="24"/>
          <w:szCs w:val="24"/>
          <w:vertAlign w:val="subscript"/>
        </w:rPr>
        <w:t>mean</w:t>
      </w:r>
      <w:r>
        <w:rPr>
          <w:rFonts w:ascii="Times New Roman" w:hAnsi="Times New Roman" w:cs="Times New Roman"/>
          <w:sz w:val="24"/>
          <w:szCs w:val="24"/>
        </w:rPr>
        <w:t xml:space="preserve"> = .45</w:t>
      </w:r>
      <w:r>
        <w:rPr>
          <w:rFonts w:ascii="Times New Roman" w:hAnsi="Times New Roman" w:cs="Times New Roman"/>
          <w:sz w:val="24"/>
          <w:szCs w:val="24"/>
          <w:rtl/>
          <w:lang w:bidi="he"/>
        </w:rPr>
        <w:t>) ניבאה באופן מובהק וחזק את הכוונה להשתמש בקונדומים.  כמו כן, ההשפעות של ההורים על החיברות המיני של ילדיהם הן תהליך דינמי המתפתח לאורך זמן (בעיקר בגילאי החטיבה והתיכון), כך שהורים מדברים עם ילדיהם על התנהגות מינית לפי השלב ההתפתחותי של הילד (</w:t>
      </w:r>
      <w:r>
        <w:rPr>
          <w:rFonts w:ascii="Times New Roman" w:hAnsi="Times New Roman" w:cs="Times New Roman"/>
          <w:sz w:val="24"/>
          <w:szCs w:val="24"/>
        </w:rPr>
        <w:t>Grossman, Jenkins, &amp; Richer, 2018</w:t>
      </w:r>
      <w:r>
        <w:rPr>
          <w:rFonts w:ascii="Times New Roman" w:hAnsi="Times New Roman" w:cs="Times New Roman"/>
          <w:sz w:val="24"/>
          <w:szCs w:val="24"/>
          <w:rtl/>
          <w:lang w:bidi="he"/>
        </w:rPr>
        <w:t>). למשל, למרות ששיחות בנושא מוכנות לקיום יחסי מין, הסיכונים הנלווים למין ואמצעי הגנה לא משתנות בין תחילת גיל ההתבגרות ובסוף גיל ההתבגרות, הדיונים בנושא דייטינג ומערכות יחסים כן משתנים: בתחילת גיל ההתבגרות השיחות מתמקדות בעיקר בכללי הדייטינג ומערכות היחסים בין בני נוער, ובסוף גיל ההתבגרות השיחות מתקדמות יותר במידת העניין או המעורבות בדייטינג ובאיך לנהל מערכת יחסים בריאה.</w:t>
      </w:r>
    </w:p>
    <w:p w14:paraId="37796A76" w14:textId="77777777" w:rsidR="003B683B" w:rsidRPr="009850C8" w:rsidRDefault="003B683B" w:rsidP="003B683B">
      <w:pPr>
        <w:bidi/>
        <w:contextualSpacing/>
        <w:rPr>
          <w:rFonts w:ascii="Times New Roman" w:hAnsi="Times New Roman" w:cs="Times New Roman"/>
          <w:sz w:val="24"/>
          <w:szCs w:val="24"/>
        </w:rPr>
      </w:pPr>
      <w:r>
        <w:rPr>
          <w:rFonts w:ascii="Times New Roman" w:hAnsi="Times New Roman" w:cs="Times New Roman"/>
          <w:sz w:val="24"/>
          <w:szCs w:val="24"/>
          <w:rtl/>
          <w:lang w:bidi="he"/>
        </w:rPr>
        <w:t>שנית, תקשורת בנושאי מיניות בין הורים וילדים משמשת מודל לתקשורת עם בני הזוג של מתבגרים. תופעה זו קשורה לירידה בלקיחת סיכונים במסגרת הפעילות המינית ולסיפוק מיני גבוה יותר (</w:t>
      </w:r>
      <w:r>
        <w:rPr>
          <w:rFonts w:ascii="Times New Roman" w:hAnsi="Times New Roman" w:cs="Times New Roman"/>
          <w:sz w:val="24"/>
          <w:szCs w:val="24"/>
        </w:rPr>
        <w:t>Frederick, Lever, Gillespie, &amp; Garcia, 2017; Widman, Choukas-Bradley, Helms, Golin, &amp; Prinstein, 2014</w:t>
      </w:r>
      <w:r>
        <w:rPr>
          <w:rFonts w:ascii="Times New Roman" w:hAnsi="Times New Roman" w:cs="Times New Roman"/>
          <w:sz w:val="24"/>
          <w:szCs w:val="24"/>
          <w:rtl/>
          <w:lang w:bidi="he"/>
        </w:rPr>
        <w:t xml:space="preserve">). לדוגמה, מחקר בקרב מדגם של 603 מתבגרים (בגילאי 12 עד 15) מצא שככל שהתקשורת בין הורים וילדים בנושא מיניות הייתה באיכות גבוהה יותר, הם דנו בטווח רחב יותר של נושאים קשורים עם בני הזוג שלהם (לדוגמה, שימוש בקונדומים, אמצעי מניעה, הסיכון להריון; </w:t>
      </w:r>
      <w:r>
        <w:rPr>
          <w:rFonts w:ascii="Times New Roman" w:hAnsi="Times New Roman" w:cs="Times New Roman"/>
          <w:i/>
          <w:iCs/>
          <w:sz w:val="24"/>
          <w:szCs w:val="24"/>
          <w:rtl/>
          <w:lang w:bidi="he"/>
        </w:rPr>
        <w:t xml:space="preserve">יחס </w:t>
      </w:r>
      <w:r>
        <w:rPr>
          <w:rFonts w:ascii="Times New Roman" w:hAnsi="Times New Roman" w:cs="Times New Roman"/>
          <w:i/>
          <w:iCs/>
          <w:sz w:val="24"/>
          <w:szCs w:val="24"/>
          <w:rtl/>
          <w:lang w:bidi="he"/>
        </w:rPr>
        <w:lastRenderedPageBreak/>
        <w:t xml:space="preserve">הסיכויים = </w:t>
      </w:r>
      <w:r>
        <w:rPr>
          <w:rFonts w:ascii="Times New Roman" w:hAnsi="Times New Roman" w:cs="Times New Roman"/>
          <w:sz w:val="24"/>
          <w:szCs w:val="24"/>
          <w:rtl/>
          <w:lang w:bidi="he"/>
        </w:rPr>
        <w:t>1.09), ואלה הוביאו בתורם לשימוש בקונדומים בתכיפות גבוהה יותר (</w:t>
      </w:r>
      <w:r>
        <w:rPr>
          <w:rFonts w:ascii="Times New Roman" w:hAnsi="Times New Roman" w:cs="Times New Roman"/>
          <w:i/>
          <w:iCs/>
          <w:sz w:val="24"/>
          <w:szCs w:val="24"/>
        </w:rPr>
        <w:t>r</w:t>
      </w:r>
      <w:r>
        <w:rPr>
          <w:rFonts w:ascii="Times New Roman" w:hAnsi="Times New Roman" w:cs="Times New Roman"/>
          <w:sz w:val="24"/>
          <w:szCs w:val="24"/>
        </w:rPr>
        <w:t xml:space="preserve"> = .31; Widman</w:t>
      </w:r>
      <w:r>
        <w:rPr>
          <w:rFonts w:ascii="Times New Roman" w:hAnsi="Times New Roman" w:cs="Times New Roman"/>
          <w:sz w:val="24"/>
          <w:szCs w:val="24"/>
          <w:rtl/>
          <w:lang w:bidi="he"/>
        </w:rPr>
        <w:t xml:space="preserve"> ואח', 2014).  </w:t>
      </w:r>
    </w:p>
    <w:p w14:paraId="47F60EE7" w14:textId="77777777" w:rsidR="003B683B" w:rsidRPr="009850C8" w:rsidRDefault="003B683B" w:rsidP="003B683B">
      <w:pPr>
        <w:bidi/>
        <w:contextualSpacing/>
        <w:rPr>
          <w:rFonts w:asciiTheme="majorBidi" w:hAnsiTheme="majorBidi" w:cstheme="majorBidi"/>
          <w:sz w:val="24"/>
          <w:szCs w:val="24"/>
          <w:rtl/>
        </w:rPr>
      </w:pPr>
      <w:r>
        <w:rPr>
          <w:rFonts w:asciiTheme="majorBidi" w:hAnsiTheme="majorBidi"/>
          <w:sz w:val="24"/>
          <w:szCs w:val="24"/>
          <w:rtl/>
          <w:lang w:bidi="he"/>
        </w:rPr>
        <w:t>לאחרונה, מחקר העלה שלא כל מתבגר נהנה מההשפעות החיוביות של תקשורת בין הורים וילדים בנושאי מיניות (</w:t>
      </w:r>
      <w:r>
        <w:rPr>
          <w:rFonts w:asciiTheme="majorBidi" w:hAnsiTheme="majorBidi"/>
          <w:sz w:val="24"/>
          <w:szCs w:val="24"/>
        </w:rPr>
        <w:t>Bonafide</w:t>
      </w:r>
      <w:r>
        <w:rPr>
          <w:rFonts w:asciiTheme="majorBidi" w:hAnsiTheme="majorBidi"/>
          <w:sz w:val="24"/>
          <w:szCs w:val="24"/>
          <w:rtl/>
          <w:lang w:bidi="he"/>
        </w:rPr>
        <w:t xml:space="preserve"> ואח', 2020); נמצא שכדי ליהנות מהיתרונות הרבים של תקשורת בין הורים וילדים בנושא מיניות, חיוני שתהיה התאמה בין התפיסות של ההורים והילדים לגבי איכות התקשורת. לדוגמה, במחקר על 125 דיאדות של הורים וילדים (הילדים היו בגילאי 11 עד 17), נמצא שהתפיסות של המתבגרים לגבי התקשורת בין ההורה והילד בנושא מיניות הייתה קשורה לשכיחות נמוכה יותר של קיום יחסי מין ללא קונדום (קרי, פחות התנהגות מינית סיכונית) רק בקרב המתבגרים שהסכימו מאוד עם ההורים שלהם לגבי איכות התקשורת (</w:t>
      </w:r>
      <w:r>
        <w:rPr>
          <w:rFonts w:asciiTheme="majorBidi" w:hAnsiTheme="majorBidi"/>
          <w:i/>
          <w:iCs/>
          <w:sz w:val="24"/>
          <w:szCs w:val="24"/>
        </w:rPr>
        <w:t>b</w:t>
      </w:r>
      <w:r>
        <w:rPr>
          <w:rFonts w:asciiTheme="majorBidi" w:hAnsiTheme="majorBidi"/>
          <w:sz w:val="24"/>
          <w:szCs w:val="24"/>
        </w:rPr>
        <w:t xml:space="preserve"> = -0.13</w:t>
      </w:r>
      <w:r>
        <w:rPr>
          <w:rFonts w:asciiTheme="majorBidi" w:hAnsiTheme="majorBidi"/>
          <w:sz w:val="24"/>
          <w:szCs w:val="24"/>
          <w:rtl/>
          <w:lang w:bidi="he"/>
        </w:rPr>
        <w:t>). לעומת זאת, התפיסה של מתבגרים לגבי התקשורת בין ההורה והילד בנושא מיניות לא ניבאה את שכיחות יחסי המין ללא קונדום בקרב הנבדקים שלא הסכימו עם הוריהם לגבי איכות התקשורת (</w:t>
      </w:r>
      <w:r>
        <w:rPr>
          <w:rFonts w:asciiTheme="majorBidi" w:hAnsiTheme="majorBidi"/>
          <w:i/>
          <w:iCs/>
          <w:sz w:val="24"/>
          <w:szCs w:val="24"/>
        </w:rPr>
        <w:t>b</w:t>
      </w:r>
      <w:r>
        <w:rPr>
          <w:rFonts w:asciiTheme="majorBidi" w:hAnsiTheme="majorBidi"/>
          <w:sz w:val="24"/>
          <w:szCs w:val="24"/>
        </w:rPr>
        <w:t xml:space="preserve"> = 0.02</w:t>
      </w:r>
      <w:r>
        <w:rPr>
          <w:rFonts w:asciiTheme="majorBidi" w:hAnsiTheme="majorBidi"/>
          <w:sz w:val="24"/>
          <w:szCs w:val="24"/>
          <w:rtl/>
          <w:lang w:bidi="he"/>
        </w:rPr>
        <w:t xml:space="preserve">). </w:t>
      </w:r>
    </w:p>
    <w:p w14:paraId="45A68C2F" w14:textId="77777777" w:rsidR="003B683B" w:rsidRDefault="003B683B" w:rsidP="003B683B">
      <w:pPr>
        <w:ind w:firstLine="0"/>
        <w:contextualSpacing/>
      </w:pPr>
    </w:p>
    <w:p w14:paraId="215CBFDE" w14:textId="77777777" w:rsidR="003B683B" w:rsidRDefault="003B683B" w:rsidP="003B683B">
      <w:pPr>
        <w:bidi/>
        <w:ind w:firstLine="0"/>
        <w:contextualSpacing/>
        <w:rPr>
          <w:rFonts w:asciiTheme="majorBidi" w:hAnsiTheme="majorBidi" w:cstheme="majorBidi"/>
          <w:b/>
          <w:bCs/>
          <w:sz w:val="24"/>
          <w:szCs w:val="24"/>
        </w:rPr>
      </w:pPr>
      <w:r>
        <w:rPr>
          <w:rtl/>
          <w:lang w:bidi="he"/>
        </w:rPr>
        <w:t>העובדה שאפשר ללמד הורים לתקשר ביעילות עם ילדים בנושאי מיניות (</w:t>
      </w:r>
      <w:r>
        <w:t>Schuster</w:t>
      </w:r>
      <w:r>
        <w:rPr>
          <w:rtl/>
          <w:lang w:bidi="he"/>
        </w:rPr>
        <w:t xml:space="preserve"> ואח' 2008) מראה שאפשר ללמד הורים לדבר עם ילדיהם על התעללות מינית בילדים ואיך למנוע אותה. בין היתרונות האפשריים של התערבויות בתוך המשפחה נמנים היכולת של המטפלים לחזור על מסרי מניעה בשלבים שונים של התפתחות הילד לפי המוכנות של הילד לשמוע את המידע הזה, תוך שמתאימים את המידע המועבר לילד למידת המוכנות (</w:t>
      </w:r>
      <w:r>
        <w:t>DiIorio</w:t>
      </w:r>
      <w:r>
        <w:rPr>
          <w:rtl/>
          <w:lang w:bidi="he"/>
        </w:rPr>
        <w:t xml:space="preserve"> ואח' 2002). סביר שדיונים בין הורים וילדים בנושאים אלה יהיו יעילים ביותר אם ההורים ילמדו לתקשר עם ילדיהם באופן חם אך ברור.</w:t>
      </w:r>
    </w:p>
    <w:p w14:paraId="1BB0C298" w14:textId="4D400921" w:rsidR="003B683B" w:rsidRDefault="003B683B" w:rsidP="00A3292A"/>
    <w:p w14:paraId="2CAB0B5C" w14:textId="77777777" w:rsidR="00D53ABE" w:rsidRDefault="00D53ABE" w:rsidP="00A3292A">
      <w:pPr>
        <w:rPr>
          <w:rtl/>
        </w:rPr>
      </w:pPr>
    </w:p>
    <w:sectPr w:rsidR="00D53ABE" w:rsidSect="000103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vOTf90d833a.I">
    <w:altName w:val="Cambria"/>
    <w:panose1 w:val="00000000000000000000"/>
    <w:charset w:val="00"/>
    <w:family w:val="roman"/>
    <w:notTrueType/>
    <w:pitch w:val="default"/>
    <w:sig w:usb0="00000003" w:usb1="00000000" w:usb2="00000000" w:usb3="00000000" w:csb0="00000001" w:csb1="00000000"/>
  </w:font>
  <w:font w:name="AdvOT5843c571">
    <w:altName w:val="Cambria"/>
    <w:panose1 w:val="00000000000000000000"/>
    <w:charset w:val="00"/>
    <w:family w:val="roman"/>
    <w:notTrueType/>
    <w:pitch w:val="default"/>
    <w:sig w:usb0="00000003" w:usb1="00000000" w:usb2="00000000" w:usb3="00000000" w:csb0="00000001" w:csb1="00000000"/>
  </w:font>
  <w:font w:name="AdvOT5843c571+03">
    <w:altName w:val="Cambria"/>
    <w:panose1 w:val="00000000000000000000"/>
    <w:charset w:val="00"/>
    <w:family w:val="roman"/>
    <w:notTrueType/>
    <w:pitch w:val="default"/>
  </w:font>
  <w:font w:name="AdvOT5843c571+20">
    <w:altName w:val="Cambria"/>
    <w:panose1 w:val="00000000000000000000"/>
    <w:charset w:val="00"/>
    <w:family w:val="roman"/>
    <w:notTrueType/>
    <w:pitch w:val="default"/>
    <w:sig w:usb0="00000003" w:usb1="00000000" w:usb2="00000000" w:usb3="00000000" w:csb0="00000001" w:csb1="00000000"/>
  </w:font>
  <w:font w:name="AdvOT1ef757c0+20">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618D"/>
    <w:multiLevelType w:val="hybridMultilevel"/>
    <w:tmpl w:val="1118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863B7"/>
    <w:multiLevelType w:val="multilevel"/>
    <w:tmpl w:val="6636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0596F"/>
    <w:multiLevelType w:val="hybridMultilevel"/>
    <w:tmpl w:val="5FACD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D5FAA"/>
    <w:multiLevelType w:val="hybridMultilevel"/>
    <w:tmpl w:val="F7EE2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70A33"/>
    <w:multiLevelType w:val="multilevel"/>
    <w:tmpl w:val="DAC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2464">
    <w:abstractNumId w:val="4"/>
  </w:num>
  <w:num w:numId="2" w16cid:durableId="887691437">
    <w:abstractNumId w:val="1"/>
  </w:num>
  <w:num w:numId="3" w16cid:durableId="2040931340">
    <w:abstractNumId w:val="3"/>
  </w:num>
  <w:num w:numId="4" w16cid:durableId="1264193866">
    <w:abstractNumId w:val="0"/>
  </w:num>
  <w:num w:numId="5" w16cid:durableId="656375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82"/>
    <w:rsid w:val="0001034C"/>
    <w:rsid w:val="000C58CD"/>
    <w:rsid w:val="0035194E"/>
    <w:rsid w:val="003B683B"/>
    <w:rsid w:val="0047715A"/>
    <w:rsid w:val="00645422"/>
    <w:rsid w:val="00A26C64"/>
    <w:rsid w:val="00A3292A"/>
    <w:rsid w:val="00AA7402"/>
    <w:rsid w:val="00B036A0"/>
    <w:rsid w:val="00CD6482"/>
    <w:rsid w:val="00D53ABE"/>
    <w:rsid w:val="00D601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D5883"/>
  <w15:chartTrackingRefBased/>
  <w15:docId w15:val="{E667D4B8-3E95-4E55-BAC0-62E715B8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92A"/>
    <w:pPr>
      <w:spacing w:after="0" w:line="480" w:lineRule="auto"/>
      <w:ind w:firstLine="720"/>
    </w:pPr>
  </w:style>
  <w:style w:type="paragraph" w:styleId="Heading2">
    <w:name w:val="heading 2"/>
    <w:basedOn w:val="Normal"/>
    <w:link w:val="Heading2Char"/>
    <w:uiPriority w:val="9"/>
    <w:qFormat/>
    <w:rsid w:val="00A3292A"/>
    <w:pPr>
      <w:spacing w:before="100" w:beforeAutospacing="1" w:after="100" w:afterAutospacing="1" w:line="240" w:lineRule="auto"/>
      <w:ind w:firstLine="0"/>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A3292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92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A3292A"/>
    <w:rPr>
      <w:rFonts w:asciiTheme="majorHAnsi" w:eastAsiaTheme="majorEastAsia" w:hAnsiTheme="majorHAnsi" w:cstheme="majorBidi"/>
      <w:color w:val="2F5496" w:themeColor="accent1" w:themeShade="BF"/>
    </w:rPr>
  </w:style>
  <w:style w:type="paragraph" w:customStyle="1" w:styleId="EndNoteBibliographyTitle">
    <w:name w:val="EndNote Bibliography Title"/>
    <w:basedOn w:val="Normal"/>
    <w:link w:val="EndNoteBibliographyTitle0"/>
    <w:rsid w:val="00A3292A"/>
    <w:pPr>
      <w:jc w:val="center"/>
    </w:pPr>
    <w:rPr>
      <w:rFonts w:ascii="Times New Roman" w:hAnsi="Times New Roman" w:cs="Times New Roman"/>
      <w:noProof/>
      <w:sz w:val="24"/>
    </w:rPr>
  </w:style>
  <w:style w:type="character" w:customStyle="1" w:styleId="EndNoteBibliographyTitle0">
    <w:name w:val="EndNote Bibliography Title תו"/>
    <w:basedOn w:val="DefaultParagraphFont"/>
    <w:link w:val="EndNoteBibliographyTitle"/>
    <w:rsid w:val="00A3292A"/>
    <w:rPr>
      <w:rFonts w:ascii="Times New Roman" w:hAnsi="Times New Roman" w:cs="Times New Roman"/>
      <w:noProof/>
      <w:sz w:val="24"/>
    </w:rPr>
  </w:style>
  <w:style w:type="paragraph" w:customStyle="1" w:styleId="EndNoteBibliography">
    <w:name w:val="EndNote Bibliography"/>
    <w:basedOn w:val="Normal"/>
    <w:link w:val="EndNoteBibliography0"/>
    <w:rsid w:val="00A3292A"/>
    <w:rPr>
      <w:rFonts w:ascii="Times New Roman" w:hAnsi="Times New Roman" w:cs="Times New Roman"/>
      <w:noProof/>
      <w:sz w:val="24"/>
    </w:rPr>
  </w:style>
  <w:style w:type="character" w:customStyle="1" w:styleId="EndNoteBibliography0">
    <w:name w:val="EndNote Bibliography תו"/>
    <w:basedOn w:val="DefaultParagraphFont"/>
    <w:link w:val="EndNoteBibliography"/>
    <w:rsid w:val="00A3292A"/>
    <w:rPr>
      <w:rFonts w:ascii="Times New Roman" w:hAnsi="Times New Roman" w:cs="Times New Roman"/>
      <w:noProof/>
      <w:sz w:val="24"/>
    </w:rPr>
  </w:style>
  <w:style w:type="character" w:styleId="Hyperlink">
    <w:name w:val="Hyperlink"/>
    <w:basedOn w:val="DefaultParagraphFont"/>
    <w:uiPriority w:val="99"/>
    <w:unhideWhenUsed/>
    <w:rsid w:val="00A3292A"/>
    <w:rPr>
      <w:color w:val="0563C1" w:themeColor="hyperlink"/>
      <w:u w:val="single"/>
    </w:rPr>
  </w:style>
  <w:style w:type="character" w:customStyle="1" w:styleId="UnresolvedMention1">
    <w:name w:val="Unresolved Mention1"/>
    <w:basedOn w:val="DefaultParagraphFont"/>
    <w:uiPriority w:val="99"/>
    <w:semiHidden/>
    <w:unhideWhenUsed/>
    <w:rsid w:val="00A3292A"/>
    <w:rPr>
      <w:color w:val="605E5C"/>
      <w:shd w:val="clear" w:color="auto" w:fill="E1DFDD"/>
    </w:rPr>
  </w:style>
  <w:style w:type="paragraph" w:styleId="CommentText">
    <w:name w:val="annotation text"/>
    <w:basedOn w:val="Normal"/>
    <w:link w:val="CommentTextChar"/>
    <w:uiPriority w:val="99"/>
    <w:unhideWhenUsed/>
    <w:rsid w:val="00A3292A"/>
    <w:pPr>
      <w:spacing w:before="120" w:after="120"/>
      <w:jc w:val="both"/>
    </w:pPr>
    <w:rPr>
      <w:rFonts w:ascii="Arial" w:eastAsiaTheme="minorEastAsia" w:hAnsi="Arial" w:cs="Arial"/>
      <w:lang w:eastAsia="en-GB"/>
    </w:rPr>
  </w:style>
  <w:style w:type="character" w:customStyle="1" w:styleId="CommentTextChar">
    <w:name w:val="Comment Text Char"/>
    <w:basedOn w:val="DefaultParagraphFont"/>
    <w:link w:val="CommentText"/>
    <w:uiPriority w:val="99"/>
    <w:rsid w:val="00A3292A"/>
    <w:rPr>
      <w:rFonts w:ascii="Arial" w:eastAsiaTheme="minorEastAsia" w:hAnsi="Arial" w:cs="Arial"/>
      <w:lang w:eastAsia="en-GB"/>
    </w:rPr>
  </w:style>
  <w:style w:type="character" w:customStyle="1" w:styleId="fontstyle01">
    <w:name w:val="fontstyle01"/>
    <w:basedOn w:val="DefaultParagraphFont"/>
    <w:rsid w:val="00A3292A"/>
    <w:rPr>
      <w:rFonts w:ascii="AdvOTf90d833a.I" w:hAnsi="AdvOTf90d833a.I" w:hint="default"/>
      <w:b w:val="0"/>
      <w:bCs w:val="0"/>
      <w:i w:val="0"/>
      <w:iCs w:val="0"/>
      <w:color w:val="000000"/>
      <w:sz w:val="20"/>
      <w:szCs w:val="20"/>
    </w:rPr>
  </w:style>
  <w:style w:type="character" w:customStyle="1" w:styleId="fontstyle21">
    <w:name w:val="fontstyle21"/>
    <w:basedOn w:val="DefaultParagraphFont"/>
    <w:rsid w:val="00A3292A"/>
    <w:rPr>
      <w:rFonts w:ascii="AdvOT5843c571" w:hAnsi="AdvOT5843c571" w:hint="default"/>
      <w:b w:val="0"/>
      <w:bCs w:val="0"/>
      <w:i w:val="0"/>
      <w:iCs w:val="0"/>
      <w:color w:val="000000"/>
      <w:sz w:val="20"/>
      <w:szCs w:val="20"/>
    </w:rPr>
  </w:style>
  <w:style w:type="character" w:customStyle="1" w:styleId="fontstyle31">
    <w:name w:val="fontstyle31"/>
    <w:basedOn w:val="DefaultParagraphFont"/>
    <w:rsid w:val="00A3292A"/>
    <w:rPr>
      <w:rFonts w:ascii="AdvOT5843c571+03" w:hAnsi="AdvOT5843c571+03" w:hint="default"/>
      <w:b w:val="0"/>
      <w:bCs w:val="0"/>
      <w:i w:val="0"/>
      <w:iCs w:val="0"/>
      <w:color w:val="000000"/>
      <w:sz w:val="20"/>
      <w:szCs w:val="20"/>
    </w:rPr>
  </w:style>
  <w:style w:type="character" w:customStyle="1" w:styleId="fontstyle41">
    <w:name w:val="fontstyle41"/>
    <w:basedOn w:val="DefaultParagraphFont"/>
    <w:rsid w:val="00A3292A"/>
    <w:rPr>
      <w:rFonts w:ascii="AdvOT5843c571+20" w:hAnsi="AdvOT5843c571+20" w:hint="default"/>
      <w:b w:val="0"/>
      <w:bCs w:val="0"/>
      <w:i w:val="0"/>
      <w:iCs w:val="0"/>
      <w:color w:val="000000"/>
      <w:sz w:val="20"/>
      <w:szCs w:val="20"/>
    </w:rPr>
  </w:style>
  <w:style w:type="character" w:customStyle="1" w:styleId="fontstyle11">
    <w:name w:val="fontstyle11"/>
    <w:basedOn w:val="DefaultParagraphFont"/>
    <w:rsid w:val="00A3292A"/>
    <w:rPr>
      <w:rFonts w:ascii="AdvOT1ef757c0+20" w:hAnsi="AdvOT1ef757c0+20" w:hint="default"/>
      <w:b w:val="0"/>
      <w:bCs w:val="0"/>
      <w:i w:val="0"/>
      <w:iCs w:val="0"/>
      <w:color w:val="000000"/>
      <w:sz w:val="20"/>
      <w:szCs w:val="20"/>
    </w:rPr>
  </w:style>
  <w:style w:type="paragraph" w:styleId="NormalWeb">
    <w:name w:val="Normal (Web)"/>
    <w:basedOn w:val="Normal"/>
    <w:uiPriority w:val="99"/>
    <w:unhideWhenUsed/>
    <w:rsid w:val="00A3292A"/>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A3292A"/>
    <w:rPr>
      <w:b/>
      <w:bCs/>
    </w:rPr>
  </w:style>
  <w:style w:type="character" w:styleId="Emphasis">
    <w:name w:val="Emphasis"/>
    <w:basedOn w:val="DefaultParagraphFont"/>
    <w:uiPriority w:val="20"/>
    <w:qFormat/>
    <w:rsid w:val="00A3292A"/>
    <w:rPr>
      <w:i/>
      <w:iCs/>
    </w:rPr>
  </w:style>
  <w:style w:type="character" w:customStyle="1" w:styleId="ad-label">
    <w:name w:val="ad-label"/>
    <w:basedOn w:val="DefaultParagraphFont"/>
    <w:rsid w:val="00A3292A"/>
  </w:style>
  <w:style w:type="paragraph" w:styleId="Header">
    <w:name w:val="header"/>
    <w:basedOn w:val="Normal"/>
    <w:link w:val="HeaderChar"/>
    <w:uiPriority w:val="99"/>
    <w:unhideWhenUsed/>
    <w:rsid w:val="00A3292A"/>
    <w:pPr>
      <w:tabs>
        <w:tab w:val="center" w:pos="4680"/>
        <w:tab w:val="right" w:pos="9360"/>
      </w:tabs>
      <w:spacing w:line="240" w:lineRule="auto"/>
    </w:pPr>
  </w:style>
  <w:style w:type="character" w:customStyle="1" w:styleId="HeaderChar">
    <w:name w:val="Header Char"/>
    <w:basedOn w:val="DefaultParagraphFont"/>
    <w:link w:val="Header"/>
    <w:uiPriority w:val="99"/>
    <w:rsid w:val="00A3292A"/>
  </w:style>
  <w:style w:type="paragraph" w:styleId="Footer">
    <w:name w:val="footer"/>
    <w:basedOn w:val="Normal"/>
    <w:link w:val="FooterChar"/>
    <w:uiPriority w:val="99"/>
    <w:unhideWhenUsed/>
    <w:rsid w:val="00A3292A"/>
    <w:pPr>
      <w:tabs>
        <w:tab w:val="center" w:pos="4680"/>
        <w:tab w:val="right" w:pos="9360"/>
      </w:tabs>
      <w:spacing w:line="240" w:lineRule="auto"/>
    </w:pPr>
  </w:style>
  <w:style w:type="character" w:customStyle="1" w:styleId="FooterChar">
    <w:name w:val="Footer Char"/>
    <w:basedOn w:val="DefaultParagraphFont"/>
    <w:link w:val="Footer"/>
    <w:uiPriority w:val="99"/>
    <w:rsid w:val="00A3292A"/>
  </w:style>
  <w:style w:type="paragraph" w:styleId="Revision">
    <w:name w:val="Revision"/>
    <w:hidden/>
    <w:uiPriority w:val="99"/>
    <w:semiHidden/>
    <w:rsid w:val="00A3292A"/>
    <w:pPr>
      <w:spacing w:after="0" w:line="240" w:lineRule="auto"/>
    </w:pPr>
  </w:style>
  <w:style w:type="character" w:styleId="CommentReference">
    <w:name w:val="annotation reference"/>
    <w:basedOn w:val="DefaultParagraphFont"/>
    <w:uiPriority w:val="99"/>
    <w:semiHidden/>
    <w:unhideWhenUsed/>
    <w:rsid w:val="00A3292A"/>
    <w:rPr>
      <w:sz w:val="16"/>
      <w:szCs w:val="16"/>
    </w:rPr>
  </w:style>
  <w:style w:type="paragraph" w:styleId="CommentSubject">
    <w:name w:val="annotation subject"/>
    <w:basedOn w:val="CommentText"/>
    <w:next w:val="CommentText"/>
    <w:link w:val="CommentSubjectChar"/>
    <w:uiPriority w:val="99"/>
    <w:semiHidden/>
    <w:unhideWhenUsed/>
    <w:rsid w:val="00A3292A"/>
    <w:pPr>
      <w:spacing w:before="0" w:after="0" w:line="240" w:lineRule="auto"/>
      <w:jc w:val="left"/>
    </w:pPr>
    <w:rPr>
      <w:rFonts w:asciiTheme="minorHAnsi" w:eastAsiaTheme="minorHAnsi"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A3292A"/>
    <w:rPr>
      <w:rFonts w:ascii="Arial" w:eastAsiaTheme="minorEastAsia" w:hAnsi="Arial" w:cs="Arial"/>
      <w:b/>
      <w:bCs/>
      <w:sz w:val="20"/>
      <w:szCs w:val="20"/>
      <w:lang w:eastAsia="en-GB"/>
    </w:rPr>
  </w:style>
  <w:style w:type="paragraph" w:styleId="BalloonText">
    <w:name w:val="Balloon Text"/>
    <w:basedOn w:val="Normal"/>
    <w:link w:val="BalloonTextChar"/>
    <w:uiPriority w:val="99"/>
    <w:semiHidden/>
    <w:unhideWhenUsed/>
    <w:rsid w:val="00A329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92A"/>
    <w:rPr>
      <w:rFonts w:ascii="Tahoma" w:hAnsi="Tahoma" w:cs="Tahoma"/>
      <w:sz w:val="16"/>
      <w:szCs w:val="16"/>
    </w:rPr>
  </w:style>
  <w:style w:type="paragraph" w:styleId="ListParagraph">
    <w:name w:val="List Paragraph"/>
    <w:basedOn w:val="Normal"/>
    <w:uiPriority w:val="34"/>
    <w:qFormat/>
    <w:rsid w:val="00A3292A"/>
    <w:pPr>
      <w:bidi/>
      <w:spacing w:after="160" w:line="259" w:lineRule="auto"/>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3607</Words>
  <Characters>20562</Characters>
  <Application>Microsoft Office Word</Application>
  <DocSecurity>0</DocSecurity>
  <Lines>171</Lines>
  <Paragraphs>48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YANIV EFRATI</dc:creator>
  <cp:keywords/>
  <dc:description/>
  <cp:lastModifiedBy>Libby Ben-Naftali</cp:lastModifiedBy>
  <cp:revision>4</cp:revision>
  <dcterms:created xsi:type="dcterms:W3CDTF">2022-03-20T07:45:00Z</dcterms:created>
  <dcterms:modified xsi:type="dcterms:W3CDTF">2022-04-10T08:40:00Z</dcterms:modified>
</cp:coreProperties>
</file>