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3B440" w14:textId="0EFBFDE9" w:rsidR="00EE4D36" w:rsidRPr="00BD779E" w:rsidRDefault="00BE1C23" w:rsidP="00BD779E">
      <w:pPr>
        <w:spacing w:after="120" w:line="360" w:lineRule="auto"/>
        <w:jc w:val="center"/>
        <w:rPr>
          <w:rFonts w:asciiTheme="majorBidi" w:eastAsia="Calibri" w:hAnsiTheme="majorBidi" w:cstheme="majorBidi"/>
          <w:b/>
          <w:bCs/>
          <w:sz w:val="32"/>
          <w:szCs w:val="32"/>
          <w:rtl/>
        </w:rPr>
      </w:pPr>
      <w:r w:rsidRPr="00EF4BA1">
        <w:rPr>
          <w:rFonts w:asciiTheme="majorBidi" w:hAnsiTheme="majorBidi" w:cstheme="majorBidi"/>
          <w:b/>
          <w:sz w:val="32"/>
          <w:szCs w:val="32"/>
        </w:rPr>
        <w:t>2022 HIGH-TECH HUMAN CAPITAL REPORT</w:t>
      </w:r>
    </w:p>
    <w:p w14:paraId="1A7FAB73" w14:textId="2756A9CC" w:rsidR="000C231A" w:rsidRPr="00BD779E" w:rsidRDefault="00BE1C23" w:rsidP="00B557F4">
      <w:pPr>
        <w:spacing w:after="120" w:line="360" w:lineRule="auto"/>
        <w:jc w:val="both"/>
        <w:rPr>
          <w:rFonts w:asciiTheme="majorBidi" w:eastAsia="Calibri" w:hAnsiTheme="majorBidi" w:cstheme="majorBidi"/>
          <w:b/>
          <w:bCs/>
          <w:sz w:val="28"/>
          <w:szCs w:val="28"/>
        </w:rPr>
      </w:pPr>
      <w:r w:rsidRPr="00BD779E">
        <w:rPr>
          <w:rFonts w:asciiTheme="majorBidi" w:hAnsiTheme="majorBidi" w:cstheme="majorBidi"/>
          <w:b/>
          <w:bCs/>
          <w:sz w:val="28"/>
          <w:szCs w:val="28"/>
        </w:rPr>
        <w:t>Executive Summary</w:t>
      </w:r>
    </w:p>
    <w:p w14:paraId="42BCBA78" w14:textId="7015584E" w:rsidR="00CE0881" w:rsidRPr="00BD779E" w:rsidRDefault="00CE0881" w:rsidP="00B557F4">
      <w:pPr>
        <w:spacing w:after="120" w:line="360" w:lineRule="auto"/>
        <w:jc w:val="both"/>
        <w:rPr>
          <w:rFonts w:asciiTheme="majorBidi" w:eastAsia="Calibri" w:hAnsiTheme="majorBidi" w:cstheme="majorBidi"/>
          <w:b/>
          <w:bCs/>
          <w:sz w:val="28"/>
          <w:szCs w:val="28"/>
        </w:rPr>
      </w:pPr>
      <w:r w:rsidRPr="00BD779E">
        <w:rPr>
          <w:rFonts w:asciiTheme="majorBidi" w:hAnsiTheme="majorBidi" w:cstheme="majorBidi"/>
          <w:b/>
          <w:bCs/>
          <w:sz w:val="28"/>
          <w:szCs w:val="28"/>
        </w:rPr>
        <w:t>Foreword: Uri Gabai</w:t>
      </w:r>
    </w:p>
    <w:p w14:paraId="5AF7A9F0" w14:textId="3CF7AA14" w:rsidR="00BF0CF3" w:rsidRPr="00BD779E" w:rsidRDefault="00BE1C23" w:rsidP="00B557F4">
      <w:pPr>
        <w:spacing w:after="120" w:line="360" w:lineRule="auto"/>
        <w:jc w:val="both"/>
        <w:rPr>
          <w:rFonts w:asciiTheme="majorBidi" w:eastAsia="Calibri" w:hAnsiTheme="majorBidi" w:cstheme="majorBidi"/>
          <w:b/>
          <w:bCs/>
          <w:sz w:val="28"/>
          <w:szCs w:val="28"/>
        </w:rPr>
      </w:pPr>
      <w:r w:rsidRPr="00BD779E">
        <w:rPr>
          <w:rFonts w:asciiTheme="majorBidi" w:hAnsiTheme="majorBidi" w:cstheme="majorBidi"/>
          <w:b/>
          <w:bCs/>
          <w:sz w:val="28"/>
          <w:szCs w:val="28"/>
        </w:rPr>
        <w:t>Foreword: Dror Bin</w:t>
      </w:r>
    </w:p>
    <w:p w14:paraId="31371BF6" w14:textId="361F250A" w:rsidR="00146C67" w:rsidRPr="008B0C5C" w:rsidRDefault="00146C67" w:rsidP="008B0C5C">
      <w:pPr>
        <w:pStyle w:val="NormalWeb"/>
        <w:spacing w:before="240" w:beforeAutospacing="0" w:after="120" w:afterAutospacing="0" w:line="360" w:lineRule="auto"/>
        <w:jc w:val="both"/>
        <w:rPr>
          <w:rFonts w:asciiTheme="majorBidi" w:hAnsiTheme="majorBidi" w:cstheme="majorBidi"/>
          <w:color w:val="000000"/>
        </w:rPr>
      </w:pPr>
      <w:r w:rsidRPr="00B557F4">
        <w:rPr>
          <w:rFonts w:asciiTheme="majorBidi" w:hAnsiTheme="majorBidi" w:cstheme="majorBidi"/>
          <w:color w:val="000000"/>
        </w:rPr>
        <w:t xml:space="preserve">While we </w:t>
      </w:r>
      <w:r w:rsidR="00BD779E">
        <w:rPr>
          <w:rFonts w:asciiTheme="majorBidi" w:hAnsiTheme="majorBidi" w:cstheme="majorBidi"/>
          <w:color w:val="000000"/>
        </w:rPr>
        <w:t>remain in</w:t>
      </w:r>
      <w:r w:rsidRPr="00B557F4">
        <w:rPr>
          <w:rFonts w:asciiTheme="majorBidi" w:hAnsiTheme="majorBidi" w:cstheme="majorBidi"/>
          <w:color w:val="000000"/>
        </w:rPr>
        <w:t xml:space="preserve"> the midst of an economic storm</w:t>
      </w:r>
      <w:r w:rsidR="00BD779E">
        <w:rPr>
          <w:rFonts w:asciiTheme="majorBidi" w:hAnsiTheme="majorBidi" w:cstheme="majorBidi"/>
          <w:color w:val="000000"/>
        </w:rPr>
        <w:t>,</w:t>
      </w:r>
      <w:r w:rsidRPr="00B557F4">
        <w:rPr>
          <w:rFonts w:asciiTheme="majorBidi" w:hAnsiTheme="majorBidi" w:cstheme="majorBidi"/>
          <w:color w:val="000000"/>
        </w:rPr>
        <w:t xml:space="preserve"> defined by globally rising inflation and interest rates</w:t>
      </w:r>
      <w:r w:rsidR="0060608C">
        <w:rPr>
          <w:rFonts w:asciiTheme="majorBidi" w:hAnsiTheme="majorBidi" w:cstheme="majorBidi"/>
          <w:color w:val="000000"/>
        </w:rPr>
        <w:t>,</w:t>
      </w:r>
      <w:r w:rsidRPr="00B557F4">
        <w:rPr>
          <w:rFonts w:asciiTheme="majorBidi" w:hAnsiTheme="majorBidi" w:cstheme="majorBidi"/>
          <w:color w:val="000000"/>
        </w:rPr>
        <w:t xml:space="preserve"> a </w:t>
      </w:r>
      <w:r w:rsidR="00CA2332">
        <w:rPr>
          <w:rFonts w:asciiTheme="majorBidi" w:hAnsiTheme="majorBidi" w:cstheme="majorBidi"/>
          <w:color w:val="000000"/>
        </w:rPr>
        <w:t xml:space="preserve">sharp </w:t>
      </w:r>
      <w:r w:rsidRPr="00B557F4">
        <w:rPr>
          <w:rFonts w:asciiTheme="majorBidi" w:hAnsiTheme="majorBidi" w:cstheme="majorBidi"/>
          <w:color w:val="000000"/>
        </w:rPr>
        <w:t xml:space="preserve">decline in the risk appetite of investors and private capital, </w:t>
      </w:r>
      <w:r w:rsidR="00B707DB">
        <w:rPr>
          <w:rFonts w:asciiTheme="majorBidi" w:hAnsiTheme="majorBidi" w:cstheme="majorBidi"/>
          <w:color w:val="000000"/>
        </w:rPr>
        <w:t xml:space="preserve">and </w:t>
      </w:r>
      <w:r w:rsidRPr="00B557F4">
        <w:rPr>
          <w:rFonts w:asciiTheme="majorBidi" w:hAnsiTheme="majorBidi" w:cstheme="majorBidi"/>
          <w:color w:val="000000"/>
        </w:rPr>
        <w:t xml:space="preserve">war raging in Eastern Europe, alongside </w:t>
      </w:r>
      <w:r w:rsidR="00A57261">
        <w:rPr>
          <w:rFonts w:asciiTheme="majorBidi" w:hAnsiTheme="majorBidi" w:cstheme="majorBidi"/>
          <w:color w:val="000000"/>
        </w:rPr>
        <w:t>abundant</w:t>
      </w:r>
      <w:r w:rsidRPr="00B557F4">
        <w:rPr>
          <w:rFonts w:asciiTheme="majorBidi" w:hAnsiTheme="majorBidi" w:cstheme="majorBidi"/>
          <w:color w:val="000000"/>
        </w:rPr>
        <w:t xml:space="preserve"> disruption </w:t>
      </w:r>
      <w:r w:rsidR="00B707DB">
        <w:rPr>
          <w:rFonts w:asciiTheme="majorBidi" w:hAnsiTheme="majorBidi" w:cstheme="majorBidi"/>
          <w:color w:val="000000"/>
        </w:rPr>
        <w:t>in</w:t>
      </w:r>
      <w:r w:rsidRPr="00B557F4">
        <w:rPr>
          <w:rFonts w:asciiTheme="majorBidi" w:hAnsiTheme="majorBidi" w:cstheme="majorBidi"/>
          <w:color w:val="000000"/>
        </w:rPr>
        <w:t xml:space="preserve"> the global economy, and consequently the Israeli economy too </w:t>
      </w:r>
      <w:r w:rsidR="008B0C5C">
        <w:rPr>
          <w:rFonts w:asciiTheme="majorBidi" w:hAnsiTheme="majorBidi" w:cstheme="majorBidi"/>
          <w:color w:val="000000"/>
        </w:rPr>
        <w:t xml:space="preserve">– </w:t>
      </w:r>
      <w:r w:rsidRPr="00B557F4">
        <w:rPr>
          <w:rFonts w:asciiTheme="majorBidi" w:hAnsiTheme="majorBidi" w:cstheme="majorBidi"/>
          <w:color w:val="000000"/>
        </w:rPr>
        <w:t>the state of Israel</w:t>
      </w:r>
      <w:r w:rsidR="00A21FE1">
        <w:rPr>
          <w:rFonts w:asciiTheme="majorBidi" w:hAnsiTheme="majorBidi" w:cstheme="majorBidi"/>
          <w:color w:val="000000"/>
        </w:rPr>
        <w:t>’</w:t>
      </w:r>
      <w:r w:rsidRPr="00B557F4">
        <w:rPr>
          <w:rFonts w:asciiTheme="majorBidi" w:hAnsiTheme="majorBidi" w:cstheme="majorBidi"/>
          <w:color w:val="000000"/>
        </w:rPr>
        <w:t>s high-tech industry, which was a genuine record breaker in 2021 in terms of fundraising and employee recruitment, appears to belong to an entirely different reality. Although the High-</w:t>
      </w:r>
      <w:r w:rsidR="005A5260">
        <w:rPr>
          <w:rFonts w:asciiTheme="majorBidi" w:hAnsiTheme="majorBidi" w:cstheme="majorBidi"/>
          <w:color w:val="000000"/>
        </w:rPr>
        <w:t>T</w:t>
      </w:r>
      <w:r w:rsidRPr="00B557F4">
        <w:rPr>
          <w:rFonts w:asciiTheme="majorBidi" w:hAnsiTheme="majorBidi" w:cstheme="majorBidi"/>
          <w:color w:val="000000"/>
        </w:rPr>
        <w:t xml:space="preserve">ech Human Capital Report reflects a survey conducted over the course of the last year, we should not </w:t>
      </w:r>
      <w:r w:rsidR="005A5260">
        <w:rPr>
          <w:rFonts w:asciiTheme="majorBidi" w:hAnsiTheme="majorBidi" w:cstheme="majorBidi"/>
          <w:color w:val="000000"/>
        </w:rPr>
        <w:t xml:space="preserve">too </w:t>
      </w:r>
      <w:r w:rsidRPr="00B557F4">
        <w:rPr>
          <w:rFonts w:asciiTheme="majorBidi" w:hAnsiTheme="majorBidi" w:cstheme="majorBidi"/>
          <w:color w:val="000000"/>
        </w:rPr>
        <w:t xml:space="preserve">readily discard the insights and changes </w:t>
      </w:r>
      <w:r w:rsidR="00A57261">
        <w:rPr>
          <w:rFonts w:asciiTheme="majorBidi" w:hAnsiTheme="majorBidi" w:cstheme="majorBidi"/>
          <w:color w:val="000000"/>
        </w:rPr>
        <w:t>of</w:t>
      </w:r>
      <w:r w:rsidRPr="00B557F4">
        <w:rPr>
          <w:rFonts w:asciiTheme="majorBidi" w:hAnsiTheme="majorBidi" w:cstheme="majorBidi"/>
          <w:color w:val="000000"/>
        </w:rPr>
        <w:t xml:space="preserve"> 2021, when </w:t>
      </w:r>
      <w:r w:rsidR="00A57261">
        <w:rPr>
          <w:rFonts w:asciiTheme="majorBidi" w:hAnsiTheme="majorBidi" w:cstheme="majorBidi"/>
          <w:color w:val="000000"/>
        </w:rPr>
        <w:t>facing</w:t>
      </w:r>
      <w:r w:rsidRPr="00B557F4">
        <w:rPr>
          <w:rFonts w:asciiTheme="majorBidi" w:hAnsiTheme="majorBidi" w:cstheme="majorBidi"/>
          <w:color w:val="000000"/>
        </w:rPr>
        <w:t xml:space="preserve"> the challenges that the Israeli high-tech industry is anticipated to confront in both the near and distant future. The COVID-19 pandemic, which many of us are already </w:t>
      </w:r>
      <w:r w:rsidR="005A5260">
        <w:rPr>
          <w:rFonts w:asciiTheme="majorBidi" w:hAnsiTheme="majorBidi" w:cstheme="majorBidi"/>
          <w:color w:val="000000"/>
        </w:rPr>
        <w:t>beginning</w:t>
      </w:r>
      <w:r w:rsidRPr="00B557F4">
        <w:rPr>
          <w:rFonts w:asciiTheme="majorBidi" w:hAnsiTheme="majorBidi" w:cstheme="majorBidi"/>
          <w:color w:val="000000"/>
        </w:rPr>
        <w:t xml:space="preserve"> to </w:t>
      </w:r>
      <w:r w:rsidR="005A5260">
        <w:rPr>
          <w:rFonts w:asciiTheme="majorBidi" w:hAnsiTheme="majorBidi" w:cstheme="majorBidi"/>
          <w:color w:val="000000"/>
        </w:rPr>
        <w:t>label</w:t>
      </w:r>
      <w:r w:rsidRPr="00B557F4">
        <w:rPr>
          <w:rFonts w:asciiTheme="majorBidi" w:hAnsiTheme="majorBidi" w:cstheme="majorBidi"/>
          <w:color w:val="000000"/>
        </w:rPr>
        <w:t xml:space="preserve"> a ‘thing of the past’, drove both the Israeli and global econom</w:t>
      </w:r>
      <w:r w:rsidR="00B707DB">
        <w:rPr>
          <w:rFonts w:asciiTheme="majorBidi" w:hAnsiTheme="majorBidi" w:cstheme="majorBidi"/>
          <w:color w:val="000000"/>
        </w:rPr>
        <w:t>ies</w:t>
      </w:r>
      <w:r w:rsidRPr="00B557F4">
        <w:rPr>
          <w:rFonts w:asciiTheme="majorBidi" w:hAnsiTheme="majorBidi" w:cstheme="majorBidi"/>
          <w:color w:val="000000"/>
        </w:rPr>
        <w:t xml:space="preserve"> towards digital transformation in all walks of life, from retail and services, </w:t>
      </w:r>
      <w:r w:rsidR="00B707DB">
        <w:rPr>
          <w:rFonts w:asciiTheme="majorBidi" w:hAnsiTheme="majorBidi" w:cstheme="majorBidi"/>
          <w:color w:val="000000"/>
        </w:rPr>
        <w:t>to</w:t>
      </w:r>
      <w:r w:rsidRPr="00B557F4">
        <w:rPr>
          <w:rFonts w:asciiTheme="majorBidi" w:hAnsiTheme="majorBidi" w:cstheme="majorBidi"/>
          <w:color w:val="000000"/>
        </w:rPr>
        <w:t xml:space="preserve"> employment methods</w:t>
      </w:r>
      <w:r w:rsidR="00A57261">
        <w:rPr>
          <w:rFonts w:asciiTheme="majorBidi" w:hAnsiTheme="majorBidi" w:cstheme="majorBidi"/>
          <w:color w:val="000000"/>
        </w:rPr>
        <w:t xml:space="preserve"> and </w:t>
      </w:r>
      <w:r w:rsidRPr="00B557F4">
        <w:rPr>
          <w:rFonts w:asciiTheme="majorBidi" w:hAnsiTheme="majorBidi" w:cstheme="majorBidi"/>
          <w:color w:val="000000"/>
        </w:rPr>
        <w:t xml:space="preserve">the education system. This digital transformation has resulted in a severe shortage in </w:t>
      </w:r>
      <w:r w:rsidR="00A57261">
        <w:rPr>
          <w:rFonts w:asciiTheme="majorBidi" w:hAnsiTheme="majorBidi" w:cstheme="majorBidi"/>
          <w:color w:val="000000"/>
        </w:rPr>
        <w:t>available</w:t>
      </w:r>
      <w:r w:rsidRPr="00B557F4">
        <w:rPr>
          <w:rFonts w:asciiTheme="majorBidi" w:hAnsiTheme="majorBidi" w:cstheme="majorBidi"/>
          <w:color w:val="000000"/>
        </w:rPr>
        <w:t xml:space="preserve"> tech employees; though, it has also served as a catalyst for growth professions that supplement such positions. This is clearly borne out by the figures: the number of tech vacancies in the high-tech industry amounts to 21,000 (compared with 18,500 in 2019 </w:t>
      </w:r>
      <w:r w:rsidR="00562E33">
        <w:rPr>
          <w:rFonts w:asciiTheme="majorBidi" w:hAnsiTheme="majorBidi" w:cstheme="majorBidi"/>
          <w:color w:val="000000"/>
        </w:rPr>
        <w:t>before</w:t>
      </w:r>
      <w:r w:rsidRPr="00B557F4">
        <w:rPr>
          <w:rFonts w:asciiTheme="majorBidi" w:hAnsiTheme="majorBidi" w:cstheme="majorBidi"/>
          <w:color w:val="000000"/>
        </w:rPr>
        <w:t xml:space="preserve"> the onset of the COVID-19 pandemic) and 12,000 non-tech vacancies (compared with less than 5,000 in 2019).</w:t>
      </w:r>
    </w:p>
    <w:p w14:paraId="2A388C94" w14:textId="1C0D4025" w:rsidR="00146C67" w:rsidRPr="00B557F4" w:rsidRDefault="00562E33" w:rsidP="00B557F4">
      <w:pPr>
        <w:pStyle w:val="NormalWeb"/>
        <w:spacing w:before="240" w:beforeAutospacing="0" w:after="120" w:afterAutospacing="0" w:line="360" w:lineRule="auto"/>
        <w:jc w:val="both"/>
        <w:rPr>
          <w:rFonts w:asciiTheme="majorBidi" w:hAnsiTheme="majorBidi" w:cstheme="majorBidi"/>
        </w:rPr>
      </w:pPr>
      <w:r>
        <w:rPr>
          <w:rFonts w:asciiTheme="majorBidi" w:hAnsiTheme="majorBidi" w:cstheme="majorBidi"/>
          <w:color w:val="000000"/>
        </w:rPr>
        <w:t>During 2021, t</w:t>
      </w:r>
      <w:proofErr w:type="gramStart"/>
      <w:r w:rsidR="00146C67" w:rsidRPr="00B557F4">
        <w:rPr>
          <w:rFonts w:asciiTheme="majorBidi" w:hAnsiTheme="majorBidi" w:cstheme="majorBidi"/>
          <w:color w:val="000000"/>
        </w:rPr>
        <w:t>he</w:t>
      </w:r>
      <w:proofErr w:type="gramEnd"/>
      <w:r w:rsidR="00146C67" w:rsidRPr="00B557F4">
        <w:rPr>
          <w:rFonts w:asciiTheme="majorBidi" w:hAnsiTheme="majorBidi" w:cstheme="majorBidi"/>
          <w:color w:val="000000"/>
        </w:rPr>
        <w:t xml:space="preserve"> number of workers in the Israeli high-tech industry grew by 12% compared with a</w:t>
      </w:r>
      <w:r>
        <w:rPr>
          <w:rFonts w:asciiTheme="majorBidi" w:hAnsiTheme="majorBidi" w:cstheme="majorBidi"/>
          <w:color w:val="000000"/>
        </w:rPr>
        <w:t>n</w:t>
      </w:r>
      <w:r w:rsidR="00146C67" w:rsidRPr="00B557F4">
        <w:rPr>
          <w:rFonts w:asciiTheme="majorBidi" w:hAnsiTheme="majorBidi" w:cstheme="majorBidi"/>
          <w:color w:val="000000"/>
        </w:rPr>
        <w:t xml:space="preserve"> increase of only 1% in 2020, with the Israeli growth companies being responsible for the majority of the growth in the industry</w:t>
      </w:r>
      <w:r w:rsidR="00A21FE1">
        <w:rPr>
          <w:rFonts w:asciiTheme="majorBidi" w:hAnsiTheme="majorBidi" w:cstheme="majorBidi"/>
          <w:color w:val="000000"/>
        </w:rPr>
        <w:t>’</w:t>
      </w:r>
      <w:r w:rsidR="00146C67" w:rsidRPr="00B557F4">
        <w:rPr>
          <w:rFonts w:asciiTheme="majorBidi" w:hAnsiTheme="majorBidi" w:cstheme="majorBidi"/>
          <w:color w:val="000000"/>
        </w:rPr>
        <w:t xml:space="preserve">s workforce. A significant statistic is that about one half of this growth in the workforce is due to workers who have made the shift to high-tech from other industries. One of the causes of this significant growth is the volume of capital injected into the high-tech industry in 2021, which exceeded the total amount of capital raised in the three preceding years, a sum of more than $27 billion. Notwithstanding, high-tech is far from being a homogenous industry and the pace of recruitment in the various sectors differs substantially – the software </w:t>
      </w:r>
      <w:r w:rsidR="00146C67" w:rsidRPr="00B557F4">
        <w:rPr>
          <w:rFonts w:asciiTheme="majorBidi" w:hAnsiTheme="majorBidi" w:cstheme="majorBidi"/>
          <w:color w:val="000000"/>
        </w:rPr>
        <w:lastRenderedPageBreak/>
        <w:t xml:space="preserve">sectors showed high growth rates, such as Fintech, in which the number of workers grew by 17%, compared with </w:t>
      </w:r>
      <w:r w:rsidR="00005692">
        <w:rPr>
          <w:rFonts w:asciiTheme="majorBidi" w:hAnsiTheme="majorBidi" w:cstheme="majorBidi"/>
          <w:color w:val="000000"/>
        </w:rPr>
        <w:t xml:space="preserve">those </w:t>
      </w:r>
      <w:r w:rsidR="00146C67" w:rsidRPr="00B557F4">
        <w:rPr>
          <w:rFonts w:asciiTheme="majorBidi" w:hAnsiTheme="majorBidi" w:cstheme="majorBidi"/>
          <w:color w:val="000000"/>
        </w:rPr>
        <w:t xml:space="preserve">sectors that produce tangible products such as Life Sciences </w:t>
      </w:r>
      <w:r w:rsidR="00005692">
        <w:rPr>
          <w:rFonts w:asciiTheme="majorBidi" w:hAnsiTheme="majorBidi" w:cstheme="majorBidi"/>
          <w:color w:val="000000"/>
        </w:rPr>
        <w:t xml:space="preserve">and </w:t>
      </w:r>
      <w:r w:rsidR="00005692" w:rsidRPr="00005692">
        <w:rPr>
          <w:rFonts w:asciiTheme="majorBidi" w:hAnsiTheme="majorBidi" w:cstheme="majorBidi"/>
          <w:color w:val="000000"/>
        </w:rPr>
        <w:t>Manufacturing &amp; Industrial</w:t>
      </w:r>
      <w:r w:rsidR="00005692" w:rsidRPr="00B557F4">
        <w:rPr>
          <w:rFonts w:asciiTheme="majorBidi" w:hAnsiTheme="majorBidi" w:cstheme="majorBidi"/>
          <w:color w:val="000000"/>
        </w:rPr>
        <w:t xml:space="preserve"> sector</w:t>
      </w:r>
      <w:r>
        <w:rPr>
          <w:rFonts w:asciiTheme="majorBidi" w:hAnsiTheme="majorBidi" w:cstheme="majorBidi"/>
          <w:color w:val="000000"/>
        </w:rPr>
        <w:t>s</w:t>
      </w:r>
      <w:r w:rsidR="00005692">
        <w:rPr>
          <w:rFonts w:asciiTheme="majorBidi" w:hAnsiTheme="majorBidi" w:cstheme="majorBidi"/>
          <w:color w:val="000000"/>
        </w:rPr>
        <w:t>,</w:t>
      </w:r>
      <w:r w:rsidR="00005692" w:rsidRPr="00B557F4">
        <w:rPr>
          <w:rFonts w:asciiTheme="majorBidi" w:hAnsiTheme="majorBidi" w:cstheme="majorBidi"/>
          <w:color w:val="000000"/>
        </w:rPr>
        <w:t xml:space="preserve"> </w:t>
      </w:r>
      <w:r w:rsidR="00146C67" w:rsidRPr="00B557F4">
        <w:rPr>
          <w:rFonts w:asciiTheme="majorBidi" w:hAnsiTheme="majorBidi" w:cstheme="majorBidi"/>
          <w:color w:val="000000"/>
        </w:rPr>
        <w:t xml:space="preserve">in which the </w:t>
      </w:r>
      <w:r>
        <w:rPr>
          <w:rFonts w:asciiTheme="majorBidi" w:hAnsiTheme="majorBidi" w:cstheme="majorBidi"/>
          <w:color w:val="000000"/>
        </w:rPr>
        <w:t xml:space="preserve">workforce </w:t>
      </w:r>
      <w:r w:rsidR="00146C67" w:rsidRPr="00B557F4">
        <w:rPr>
          <w:rFonts w:asciiTheme="majorBidi" w:hAnsiTheme="majorBidi" w:cstheme="majorBidi"/>
          <w:color w:val="000000"/>
        </w:rPr>
        <w:t xml:space="preserve">growth rate was </w:t>
      </w:r>
      <w:r>
        <w:rPr>
          <w:rFonts w:asciiTheme="majorBidi" w:hAnsiTheme="majorBidi" w:cstheme="majorBidi"/>
          <w:color w:val="000000"/>
        </w:rPr>
        <w:t>in the</w:t>
      </w:r>
      <w:r w:rsidR="00146C67" w:rsidRPr="00B557F4">
        <w:rPr>
          <w:rFonts w:asciiTheme="majorBidi" w:hAnsiTheme="majorBidi" w:cstheme="majorBidi"/>
          <w:color w:val="000000"/>
        </w:rPr>
        <w:t xml:space="preserve"> single</w:t>
      </w:r>
      <w:r>
        <w:rPr>
          <w:rFonts w:asciiTheme="majorBidi" w:hAnsiTheme="majorBidi" w:cstheme="majorBidi"/>
          <w:color w:val="000000"/>
        </w:rPr>
        <w:t xml:space="preserve"> </w:t>
      </w:r>
      <w:r w:rsidR="00146C67" w:rsidRPr="00B557F4">
        <w:rPr>
          <w:rFonts w:asciiTheme="majorBidi" w:hAnsiTheme="majorBidi" w:cstheme="majorBidi"/>
          <w:color w:val="000000"/>
        </w:rPr>
        <w:t>digit</w:t>
      </w:r>
      <w:r>
        <w:rPr>
          <w:rFonts w:asciiTheme="majorBidi" w:hAnsiTheme="majorBidi" w:cstheme="majorBidi"/>
          <w:color w:val="000000"/>
        </w:rPr>
        <w:t>s</w:t>
      </w:r>
      <w:r w:rsidR="00146C67" w:rsidRPr="00B557F4">
        <w:rPr>
          <w:rFonts w:asciiTheme="majorBidi" w:hAnsiTheme="majorBidi" w:cstheme="majorBidi"/>
          <w:color w:val="000000"/>
        </w:rPr>
        <w:t>, amounting to 9% and 6% respectively.</w:t>
      </w:r>
    </w:p>
    <w:p w14:paraId="5675D16F" w14:textId="6AEF627B" w:rsidR="00146C67" w:rsidRPr="00B557F4" w:rsidRDefault="00146C67" w:rsidP="00B557F4">
      <w:pPr>
        <w:pStyle w:val="NormalWeb"/>
        <w:spacing w:before="240" w:beforeAutospacing="0" w:after="120" w:afterAutospacing="0" w:line="360" w:lineRule="auto"/>
        <w:jc w:val="both"/>
        <w:rPr>
          <w:rFonts w:asciiTheme="majorBidi" w:hAnsiTheme="majorBidi" w:cstheme="majorBidi"/>
        </w:rPr>
      </w:pPr>
      <w:r w:rsidRPr="00B557F4">
        <w:rPr>
          <w:rFonts w:asciiTheme="majorBidi" w:hAnsiTheme="majorBidi" w:cstheme="majorBidi"/>
          <w:color w:val="000000"/>
        </w:rPr>
        <w:t xml:space="preserve">The number of workers in the industry substantially increased, but close examination of the rate </w:t>
      </w:r>
      <w:r w:rsidRPr="00562E33">
        <w:rPr>
          <w:rFonts w:asciiTheme="majorBidi" w:hAnsiTheme="majorBidi" w:cstheme="majorBidi"/>
          <w:color w:val="000000"/>
        </w:rPr>
        <w:t>of juniors recruited</w:t>
      </w:r>
      <w:r w:rsidRPr="00B557F4">
        <w:rPr>
          <w:rFonts w:asciiTheme="majorBidi" w:hAnsiTheme="majorBidi" w:cstheme="majorBidi"/>
          <w:color w:val="000000"/>
        </w:rPr>
        <w:t xml:space="preserve"> for tech positions actually indicates that it recorded a significant decline</w:t>
      </w:r>
      <w:r w:rsidR="00A81AAE">
        <w:rPr>
          <w:rFonts w:asciiTheme="majorBidi" w:hAnsiTheme="majorBidi" w:cstheme="majorBidi"/>
          <w:color w:val="000000"/>
        </w:rPr>
        <w:t>.</w:t>
      </w:r>
      <w:r w:rsidRPr="00B557F4">
        <w:rPr>
          <w:rFonts w:asciiTheme="majorBidi" w:hAnsiTheme="majorBidi" w:cstheme="majorBidi"/>
          <w:color w:val="000000"/>
        </w:rPr>
        <w:t xml:space="preserve"> </w:t>
      </w:r>
      <w:r w:rsidR="00A81AAE">
        <w:rPr>
          <w:rFonts w:asciiTheme="majorBidi" w:hAnsiTheme="majorBidi" w:cstheme="majorBidi"/>
          <w:color w:val="000000"/>
        </w:rPr>
        <w:t>J</w:t>
      </w:r>
      <w:r w:rsidRPr="00B557F4">
        <w:rPr>
          <w:rFonts w:asciiTheme="majorBidi" w:hAnsiTheme="majorBidi" w:cstheme="majorBidi"/>
          <w:color w:val="000000"/>
        </w:rPr>
        <w:t>uniors accounted for 22% of overall recruitment within the industry, compared with 32% in the preceding year. This is the result of a</w:t>
      </w:r>
      <w:r w:rsidR="00A81AAE">
        <w:rPr>
          <w:rFonts w:asciiTheme="majorBidi" w:hAnsiTheme="majorBidi" w:cstheme="majorBidi"/>
          <w:color w:val="000000"/>
        </w:rPr>
        <w:t xml:space="preserve"> record</w:t>
      </w:r>
      <w:r w:rsidRPr="00B557F4">
        <w:rPr>
          <w:rFonts w:asciiTheme="majorBidi" w:hAnsiTheme="majorBidi" w:cstheme="majorBidi"/>
          <w:color w:val="000000"/>
        </w:rPr>
        <w:t xml:space="preserve"> increase in the rate of voluntary resignations to 12%</w:t>
      </w:r>
      <w:r w:rsidR="00C83368">
        <w:rPr>
          <w:rFonts w:asciiTheme="majorBidi" w:hAnsiTheme="majorBidi" w:cstheme="majorBidi"/>
          <w:color w:val="000000"/>
        </w:rPr>
        <w:t>,</w:t>
      </w:r>
      <w:r w:rsidRPr="00B557F4">
        <w:rPr>
          <w:rFonts w:asciiTheme="majorBidi" w:hAnsiTheme="majorBidi" w:cstheme="majorBidi"/>
          <w:color w:val="000000"/>
        </w:rPr>
        <w:t xml:space="preserve"> higher than the pre-COVID-19 situation, and this occurred concomitantly with a decline in the rate of layoffs</w:t>
      </w:r>
      <w:r w:rsidR="00A81AAE">
        <w:rPr>
          <w:rFonts w:asciiTheme="majorBidi" w:hAnsiTheme="majorBidi" w:cstheme="majorBidi"/>
          <w:color w:val="000000"/>
        </w:rPr>
        <w:t>,</w:t>
      </w:r>
      <w:r w:rsidRPr="00B557F4">
        <w:rPr>
          <w:rFonts w:asciiTheme="majorBidi" w:hAnsiTheme="majorBidi" w:cstheme="majorBidi"/>
          <w:color w:val="000000"/>
        </w:rPr>
        <w:t xml:space="preserve"> to less than 3%. These findings might </w:t>
      </w:r>
      <w:r w:rsidR="00A81AAE">
        <w:rPr>
          <w:rFonts w:asciiTheme="majorBidi" w:hAnsiTheme="majorBidi" w:cstheme="majorBidi"/>
          <w:color w:val="000000"/>
        </w:rPr>
        <w:t xml:space="preserve">help </w:t>
      </w:r>
      <w:r w:rsidRPr="00B557F4">
        <w:rPr>
          <w:rFonts w:asciiTheme="majorBidi" w:hAnsiTheme="majorBidi" w:cstheme="majorBidi"/>
          <w:color w:val="000000"/>
        </w:rPr>
        <w:t xml:space="preserve">explain the </w:t>
      </w:r>
      <w:r w:rsidR="00A81AAE">
        <w:rPr>
          <w:rFonts w:asciiTheme="majorBidi" w:hAnsiTheme="majorBidi" w:cstheme="majorBidi"/>
          <w:color w:val="000000"/>
        </w:rPr>
        <w:t>positive</w:t>
      </w:r>
      <w:r w:rsidR="00C83368">
        <w:rPr>
          <w:rFonts w:asciiTheme="majorBidi" w:hAnsiTheme="majorBidi" w:cstheme="majorBidi"/>
          <w:color w:val="000000"/>
        </w:rPr>
        <w:t>ly</w:t>
      </w:r>
      <w:r w:rsidR="00A81AAE">
        <w:rPr>
          <w:rFonts w:asciiTheme="majorBidi" w:hAnsiTheme="majorBidi" w:cstheme="majorBidi"/>
          <w:color w:val="000000"/>
        </w:rPr>
        <w:t xml:space="preserve"> </w:t>
      </w:r>
      <w:r w:rsidRPr="00B557F4">
        <w:rPr>
          <w:rFonts w:asciiTheme="majorBidi" w:hAnsiTheme="majorBidi" w:cstheme="majorBidi"/>
          <w:color w:val="000000"/>
        </w:rPr>
        <w:t>trend</w:t>
      </w:r>
      <w:r w:rsidR="00C83368">
        <w:rPr>
          <w:rFonts w:asciiTheme="majorBidi" w:hAnsiTheme="majorBidi" w:cstheme="majorBidi"/>
          <w:color w:val="000000"/>
        </w:rPr>
        <w:t>ing</w:t>
      </w:r>
      <w:r w:rsidRPr="00B557F4">
        <w:rPr>
          <w:rFonts w:asciiTheme="majorBidi" w:hAnsiTheme="majorBidi" w:cstheme="majorBidi"/>
          <w:color w:val="000000"/>
        </w:rPr>
        <w:t xml:space="preserve"> average wage in an industry </w:t>
      </w:r>
      <w:r w:rsidR="00A81AAE">
        <w:rPr>
          <w:rFonts w:asciiTheme="majorBidi" w:hAnsiTheme="majorBidi" w:cstheme="majorBidi"/>
          <w:color w:val="000000"/>
        </w:rPr>
        <w:t>where</w:t>
      </w:r>
      <w:r w:rsidRPr="00B557F4">
        <w:rPr>
          <w:rFonts w:asciiTheme="majorBidi" w:hAnsiTheme="majorBidi" w:cstheme="majorBidi"/>
          <w:color w:val="000000"/>
        </w:rPr>
        <w:t xml:space="preserve"> the demand for workers exceeds supply.</w:t>
      </w:r>
    </w:p>
    <w:p w14:paraId="00F07259" w14:textId="7CA1EA16" w:rsidR="00146C67" w:rsidRPr="00483E77" w:rsidRDefault="00C83368" w:rsidP="00483E77">
      <w:pPr>
        <w:pStyle w:val="NormalWeb"/>
        <w:spacing w:before="240" w:beforeAutospacing="0" w:after="120" w:afterAutospacing="0" w:line="360" w:lineRule="auto"/>
        <w:jc w:val="both"/>
        <w:rPr>
          <w:rFonts w:asciiTheme="majorBidi" w:hAnsiTheme="majorBidi" w:cstheme="majorBidi"/>
          <w:color w:val="000000"/>
        </w:rPr>
      </w:pPr>
      <w:r>
        <w:rPr>
          <w:rFonts w:asciiTheme="majorBidi" w:hAnsiTheme="majorBidi" w:cstheme="majorBidi"/>
          <w:color w:val="000000"/>
        </w:rPr>
        <w:t>Examining</w:t>
      </w:r>
      <w:r w:rsidR="00146C67" w:rsidRPr="00B557F4">
        <w:rPr>
          <w:rFonts w:asciiTheme="majorBidi" w:hAnsiTheme="majorBidi" w:cstheme="majorBidi"/>
          <w:color w:val="000000"/>
        </w:rPr>
        <w:t xml:space="preserve"> characteristics of workers in their first tech position reveals that 9% received their training via non-academic programs, in other words</w:t>
      </w:r>
      <w:r w:rsidR="00A81AAE">
        <w:rPr>
          <w:rFonts w:asciiTheme="majorBidi" w:hAnsiTheme="majorBidi" w:cstheme="majorBidi"/>
          <w:color w:val="000000"/>
        </w:rPr>
        <w:t>,</w:t>
      </w:r>
      <w:r w:rsidR="00146C67" w:rsidRPr="00B557F4">
        <w:rPr>
          <w:rFonts w:asciiTheme="majorBidi" w:hAnsiTheme="majorBidi" w:cstheme="majorBidi"/>
          <w:color w:val="000000"/>
        </w:rPr>
        <w:t xml:space="preserve"> at programming workshops (bootcamps) or practical engineering courses. The graduates of such non-academic training programs tend to find their place in the industry mainly in Israeli companies and are usually employed in programming, QA</w:t>
      </w:r>
      <w:r w:rsidR="00D87FEF">
        <w:rPr>
          <w:rFonts w:asciiTheme="majorBidi" w:hAnsiTheme="majorBidi" w:cstheme="majorBidi"/>
          <w:color w:val="000000"/>
        </w:rPr>
        <w:t>,</w:t>
      </w:r>
      <w:r w:rsidR="00146C67" w:rsidRPr="00B557F4">
        <w:rPr>
          <w:rFonts w:asciiTheme="majorBidi" w:hAnsiTheme="majorBidi" w:cstheme="majorBidi"/>
          <w:color w:val="000000"/>
        </w:rPr>
        <w:t xml:space="preserve"> and IT positions. The other disciplines in the world of high-tech require an academic degree </w:t>
      </w:r>
      <w:r w:rsidR="00483E77">
        <w:rPr>
          <w:rFonts w:asciiTheme="majorBidi" w:hAnsiTheme="majorBidi" w:cstheme="majorBidi"/>
          <w:color w:val="000000"/>
        </w:rPr>
        <w:t xml:space="preserve">– </w:t>
      </w:r>
      <w:r w:rsidR="00146C67" w:rsidRPr="00B557F4">
        <w:rPr>
          <w:rFonts w:asciiTheme="majorBidi" w:hAnsiTheme="majorBidi" w:cstheme="majorBidi"/>
          <w:color w:val="000000"/>
        </w:rPr>
        <w:t>in hardware- and algorithm-related positions</w:t>
      </w:r>
      <w:r w:rsidR="00A81AAE">
        <w:rPr>
          <w:rFonts w:asciiTheme="majorBidi" w:hAnsiTheme="majorBidi" w:cstheme="majorBidi"/>
          <w:color w:val="000000"/>
        </w:rPr>
        <w:t>,</w:t>
      </w:r>
      <w:r w:rsidR="00146C67" w:rsidRPr="00B557F4">
        <w:rPr>
          <w:rFonts w:asciiTheme="majorBidi" w:hAnsiTheme="majorBidi" w:cstheme="majorBidi"/>
          <w:color w:val="000000"/>
        </w:rPr>
        <w:t xml:space="preserve"> the number of juniors with academic degrees from high-tech or STEM exceeds 90%.</w:t>
      </w:r>
    </w:p>
    <w:p w14:paraId="235F620D" w14:textId="0EB898CA" w:rsidR="00146C67" w:rsidRPr="00B557F4" w:rsidRDefault="00146C67" w:rsidP="00B557F4">
      <w:pPr>
        <w:pStyle w:val="NormalWeb"/>
        <w:spacing w:before="240" w:beforeAutospacing="0" w:after="120" w:afterAutospacing="0" w:line="360" w:lineRule="auto"/>
        <w:jc w:val="both"/>
        <w:rPr>
          <w:rFonts w:asciiTheme="majorBidi" w:hAnsiTheme="majorBidi" w:cstheme="majorBidi"/>
        </w:rPr>
      </w:pPr>
      <w:r w:rsidRPr="00B557F4">
        <w:rPr>
          <w:rFonts w:asciiTheme="majorBidi" w:hAnsiTheme="majorBidi" w:cstheme="majorBidi"/>
          <w:color w:val="000000"/>
        </w:rPr>
        <w:t>The human capital challenges facing the Israeli high-tech industry, and above all the shortage of trained workers, results in almost half of the large companies (employing more than 200 workers) electing to run operation</w:t>
      </w:r>
      <w:r w:rsidR="0094604D">
        <w:rPr>
          <w:rFonts w:asciiTheme="majorBidi" w:hAnsiTheme="majorBidi" w:cstheme="majorBidi"/>
          <w:color w:val="000000"/>
        </w:rPr>
        <w:t>s</w:t>
      </w:r>
      <w:r w:rsidRPr="00B557F4">
        <w:rPr>
          <w:rFonts w:asciiTheme="majorBidi" w:hAnsiTheme="majorBidi" w:cstheme="majorBidi"/>
          <w:color w:val="000000"/>
        </w:rPr>
        <w:t xml:space="preserve"> centers abroad</w:t>
      </w:r>
      <w:r w:rsidR="00852201">
        <w:rPr>
          <w:rFonts w:asciiTheme="majorBidi" w:hAnsiTheme="majorBidi" w:cstheme="majorBidi"/>
          <w:color w:val="000000"/>
        </w:rPr>
        <w:t>, which</w:t>
      </w:r>
      <w:r w:rsidRPr="00B557F4">
        <w:rPr>
          <w:rFonts w:asciiTheme="majorBidi" w:hAnsiTheme="majorBidi" w:cstheme="majorBidi"/>
          <w:color w:val="000000"/>
        </w:rPr>
        <w:t xml:space="preserve"> for the most part (more than 90%)</w:t>
      </w:r>
      <w:r w:rsidR="00852201">
        <w:rPr>
          <w:rFonts w:asciiTheme="majorBidi" w:hAnsiTheme="majorBidi" w:cstheme="majorBidi"/>
          <w:color w:val="000000"/>
        </w:rPr>
        <w:t xml:space="preserve"> </w:t>
      </w:r>
      <w:r w:rsidRPr="00B557F4">
        <w:rPr>
          <w:rFonts w:asciiTheme="majorBidi" w:hAnsiTheme="majorBidi" w:cstheme="majorBidi"/>
          <w:color w:val="000000"/>
        </w:rPr>
        <w:t>are used for development activity. About one half of the Israeli companies’ operations centers are located in Eastern Europe, and Ukraine is a key destination</w:t>
      </w:r>
      <w:r w:rsidR="00C83368">
        <w:rPr>
          <w:rFonts w:asciiTheme="majorBidi" w:hAnsiTheme="majorBidi" w:cstheme="majorBidi"/>
          <w:color w:val="000000"/>
        </w:rPr>
        <w:t>,</w:t>
      </w:r>
      <w:r w:rsidRPr="00B557F4">
        <w:rPr>
          <w:rFonts w:asciiTheme="majorBidi" w:hAnsiTheme="majorBidi" w:cstheme="majorBidi"/>
          <w:color w:val="000000"/>
        </w:rPr>
        <w:t xml:space="preserve"> hosting 20% of the operations centers of Israeli high-tech companies. This </w:t>
      </w:r>
      <w:r w:rsidR="00DA40AE">
        <w:rPr>
          <w:rFonts w:asciiTheme="majorBidi" w:hAnsiTheme="majorBidi" w:cstheme="majorBidi"/>
          <w:color w:val="000000"/>
        </w:rPr>
        <w:t>represents an</w:t>
      </w:r>
      <w:r w:rsidRPr="00B557F4">
        <w:rPr>
          <w:rFonts w:asciiTheme="majorBidi" w:hAnsiTheme="majorBidi" w:cstheme="majorBidi"/>
          <w:color w:val="000000"/>
        </w:rPr>
        <w:t xml:space="preserve"> opportunity to </w:t>
      </w:r>
      <w:r w:rsidR="0094604D">
        <w:rPr>
          <w:rFonts w:asciiTheme="majorBidi" w:hAnsiTheme="majorBidi" w:cstheme="majorBidi"/>
          <w:color w:val="000000"/>
        </w:rPr>
        <w:t>supply</w:t>
      </w:r>
      <w:r w:rsidR="0094604D" w:rsidRPr="00B557F4">
        <w:rPr>
          <w:rFonts w:asciiTheme="majorBidi" w:hAnsiTheme="majorBidi" w:cstheme="majorBidi"/>
          <w:color w:val="000000"/>
        </w:rPr>
        <w:t xml:space="preserve"> </w:t>
      </w:r>
      <w:r w:rsidRPr="00B557F4">
        <w:rPr>
          <w:rFonts w:asciiTheme="majorBidi" w:hAnsiTheme="majorBidi" w:cstheme="majorBidi"/>
          <w:color w:val="000000"/>
        </w:rPr>
        <w:t xml:space="preserve">additional positions and </w:t>
      </w:r>
      <w:r w:rsidR="009E3535">
        <w:rPr>
          <w:rFonts w:asciiTheme="majorBidi" w:hAnsiTheme="majorBidi" w:cstheme="majorBidi"/>
          <w:color w:val="000000"/>
        </w:rPr>
        <w:t>employees</w:t>
      </w:r>
      <w:r w:rsidRPr="00B557F4">
        <w:rPr>
          <w:rFonts w:asciiTheme="majorBidi" w:hAnsiTheme="majorBidi" w:cstheme="majorBidi"/>
          <w:color w:val="000000"/>
        </w:rPr>
        <w:t xml:space="preserve">. In order to take advantage of this specific opportunity, and to contend with the human capital challenges within the high-tech industry as a whole, there is a need for an overall policy designed to increase the flow of quality human capital, starting from the education system, army, </w:t>
      </w:r>
      <w:r w:rsidR="00443A1C">
        <w:rPr>
          <w:rFonts w:asciiTheme="majorBidi" w:hAnsiTheme="majorBidi" w:cstheme="majorBidi"/>
          <w:color w:val="000000"/>
        </w:rPr>
        <w:t>universities and colleges,</w:t>
      </w:r>
      <w:r w:rsidRPr="00B557F4">
        <w:rPr>
          <w:rFonts w:asciiTheme="majorBidi" w:hAnsiTheme="majorBidi" w:cstheme="majorBidi"/>
          <w:color w:val="000000"/>
        </w:rPr>
        <w:t xml:space="preserve"> and culminating in joint ventures with the industry itself.</w:t>
      </w:r>
    </w:p>
    <w:p w14:paraId="1907F9B0" w14:textId="49E72BAD" w:rsidR="00146C67" w:rsidRPr="00B557F4" w:rsidRDefault="00146C67" w:rsidP="00B557F4">
      <w:pPr>
        <w:pStyle w:val="NormalWeb"/>
        <w:spacing w:before="240" w:beforeAutospacing="0" w:after="120" w:afterAutospacing="0" w:line="360" w:lineRule="auto"/>
        <w:jc w:val="both"/>
        <w:rPr>
          <w:rFonts w:asciiTheme="majorBidi" w:hAnsiTheme="majorBidi" w:cstheme="majorBidi"/>
        </w:rPr>
      </w:pPr>
      <w:r w:rsidRPr="00B557F4">
        <w:rPr>
          <w:rFonts w:asciiTheme="majorBidi" w:hAnsiTheme="majorBidi" w:cstheme="majorBidi"/>
          <w:color w:val="000000"/>
        </w:rPr>
        <w:lastRenderedPageBreak/>
        <w:t xml:space="preserve">I wish to take this opportunity to thank the Start-Up Nation Policy Institute (SNPI) thinktank, as part of the Start-Up Nation Central nonprofit organization, for the comprehensive and professional joint effort </w:t>
      </w:r>
      <w:r w:rsidR="002C2FD2">
        <w:rPr>
          <w:rFonts w:asciiTheme="majorBidi" w:hAnsiTheme="majorBidi" w:cstheme="majorBidi"/>
          <w:color w:val="000000"/>
        </w:rPr>
        <w:t>to produce</w:t>
      </w:r>
      <w:r w:rsidRPr="00B557F4">
        <w:rPr>
          <w:rFonts w:asciiTheme="majorBidi" w:hAnsiTheme="majorBidi" w:cstheme="majorBidi"/>
          <w:color w:val="000000"/>
        </w:rPr>
        <w:t xml:space="preserve"> this important report for the fourth consecutive year. I wish us all an additional year of growth during 2022.</w:t>
      </w:r>
      <w:bookmarkStart w:id="0" w:name="_xwduttt5ot2o"/>
      <w:bookmarkEnd w:id="0"/>
    </w:p>
    <w:p w14:paraId="6202942D" w14:textId="77777777" w:rsidR="00BF0CF3" w:rsidRPr="00BF3ABE" w:rsidRDefault="00BE1C23" w:rsidP="00B557F4">
      <w:pPr>
        <w:pStyle w:val="Heading1"/>
        <w:spacing w:line="360" w:lineRule="auto"/>
        <w:jc w:val="both"/>
        <w:rPr>
          <w:rFonts w:asciiTheme="majorBidi" w:hAnsiTheme="majorBidi" w:cstheme="majorBidi"/>
          <w:b/>
          <w:bCs/>
          <w:sz w:val="32"/>
          <w:szCs w:val="32"/>
        </w:rPr>
      </w:pPr>
      <w:r w:rsidRPr="00BF3ABE">
        <w:rPr>
          <w:rFonts w:asciiTheme="majorBidi" w:hAnsiTheme="majorBidi" w:cstheme="majorBidi"/>
          <w:b/>
          <w:bCs/>
          <w:sz w:val="32"/>
          <w:szCs w:val="32"/>
        </w:rPr>
        <w:t>Methodology</w:t>
      </w:r>
    </w:p>
    <w:p w14:paraId="17FB67E1" w14:textId="02643FDE" w:rsidR="00BF0CF3" w:rsidRPr="00B557F4" w:rsidRDefault="00BE1C23" w:rsidP="00B557F4">
      <w:pPr>
        <w:spacing w:after="120" w:line="360" w:lineRule="auto"/>
        <w:jc w:val="both"/>
        <w:rPr>
          <w:rFonts w:asciiTheme="majorBidi" w:eastAsia="Calibri" w:hAnsiTheme="majorBidi" w:cstheme="majorBidi"/>
          <w:sz w:val="24"/>
          <w:szCs w:val="24"/>
        </w:rPr>
      </w:pPr>
      <w:r w:rsidRPr="00B557F4">
        <w:rPr>
          <w:rFonts w:asciiTheme="majorBidi" w:hAnsiTheme="majorBidi" w:cstheme="majorBidi"/>
          <w:sz w:val="24"/>
          <w:szCs w:val="24"/>
        </w:rPr>
        <w:t>There are several definitions for companies included in Israel</w:t>
      </w:r>
      <w:r w:rsidR="00A21FE1">
        <w:rPr>
          <w:rFonts w:asciiTheme="majorBidi" w:hAnsiTheme="majorBidi" w:cstheme="majorBidi"/>
          <w:sz w:val="24"/>
          <w:szCs w:val="24"/>
        </w:rPr>
        <w:t>’</w:t>
      </w:r>
      <w:r w:rsidRPr="00B557F4">
        <w:rPr>
          <w:rFonts w:asciiTheme="majorBidi" w:hAnsiTheme="majorBidi" w:cstheme="majorBidi"/>
          <w:sz w:val="24"/>
          <w:szCs w:val="24"/>
        </w:rPr>
        <w:t>s high-tech industry. Accordingly, for each report dealing with this specific sector</w:t>
      </w:r>
      <w:r w:rsidR="00443A1C">
        <w:rPr>
          <w:rFonts w:asciiTheme="majorBidi" w:hAnsiTheme="majorBidi" w:cstheme="majorBidi"/>
          <w:sz w:val="24"/>
          <w:szCs w:val="24"/>
        </w:rPr>
        <w:t>,</w:t>
      </w:r>
      <w:r w:rsidRPr="00B557F4">
        <w:rPr>
          <w:rFonts w:asciiTheme="majorBidi" w:hAnsiTheme="majorBidi" w:cstheme="majorBidi"/>
          <w:sz w:val="24"/>
          <w:szCs w:val="24"/>
        </w:rPr>
        <w:t xml:space="preserve"> it is necessary to decide what the relevant definitions should be. In this report</w:t>
      </w:r>
      <w:r w:rsidR="002C2FD2">
        <w:rPr>
          <w:rFonts w:asciiTheme="majorBidi" w:hAnsiTheme="majorBidi" w:cstheme="majorBidi"/>
          <w:sz w:val="24"/>
          <w:szCs w:val="24"/>
        </w:rPr>
        <w:t>,</w:t>
      </w:r>
      <w:r w:rsidRPr="00B557F4">
        <w:rPr>
          <w:rFonts w:asciiTheme="majorBidi" w:hAnsiTheme="majorBidi" w:cstheme="majorBidi"/>
          <w:sz w:val="24"/>
          <w:szCs w:val="24"/>
        </w:rPr>
        <w:t xml:space="preserve"> the population of high-tech companies is defined as those companies appearing in the Start-Up Nation </w:t>
      </w:r>
      <w:r w:rsidRPr="009C4111">
        <w:rPr>
          <w:rFonts w:asciiTheme="majorBidi" w:hAnsiTheme="majorBidi" w:cstheme="majorBidi"/>
          <w:sz w:val="24"/>
          <w:szCs w:val="24"/>
        </w:rPr>
        <w:t>Central</w:t>
      </w:r>
      <w:r w:rsidRPr="00B557F4">
        <w:rPr>
          <w:rFonts w:asciiTheme="majorBidi" w:hAnsiTheme="majorBidi" w:cstheme="majorBidi"/>
          <w:sz w:val="24"/>
          <w:szCs w:val="24"/>
        </w:rPr>
        <w:t xml:space="preserve"> (SNC) Finder database.</w:t>
      </w:r>
      <w:r w:rsidR="006E1A74" w:rsidRPr="00B557F4">
        <w:rPr>
          <w:rFonts w:asciiTheme="majorBidi" w:eastAsia="Calibri" w:hAnsiTheme="majorBidi" w:cstheme="majorBidi"/>
          <w:sz w:val="24"/>
          <w:szCs w:val="24"/>
          <w:vertAlign w:val="superscript"/>
        </w:rPr>
        <w:footnoteReference w:id="2"/>
      </w:r>
    </w:p>
    <w:p w14:paraId="22CCDAF0" w14:textId="07892CBE" w:rsidR="00BF0CF3" w:rsidRPr="00B557F4" w:rsidRDefault="00BE1C23" w:rsidP="00B557F4">
      <w:pPr>
        <w:spacing w:after="120" w:line="360" w:lineRule="auto"/>
        <w:rPr>
          <w:rFonts w:asciiTheme="majorBidi" w:eastAsia="Calibri" w:hAnsiTheme="majorBidi" w:cstheme="majorBidi"/>
          <w:sz w:val="24"/>
          <w:szCs w:val="24"/>
        </w:rPr>
      </w:pPr>
      <w:r w:rsidRPr="00B557F4">
        <w:rPr>
          <w:rFonts w:asciiTheme="majorBidi" w:hAnsiTheme="majorBidi" w:cstheme="majorBidi"/>
          <w:sz w:val="24"/>
          <w:szCs w:val="24"/>
        </w:rPr>
        <w:t>The report is based on three sources of information:</w:t>
      </w:r>
    </w:p>
    <w:p w14:paraId="27F7E582" w14:textId="7B4DCC3D" w:rsidR="00BF0CF3" w:rsidRPr="00B557F4" w:rsidRDefault="00BE1C23" w:rsidP="00B557F4">
      <w:pPr>
        <w:numPr>
          <w:ilvl w:val="0"/>
          <w:numId w:val="10"/>
        </w:numPr>
        <w:spacing w:after="120" w:line="360" w:lineRule="auto"/>
        <w:jc w:val="both"/>
        <w:rPr>
          <w:rFonts w:asciiTheme="majorBidi" w:eastAsia="Calibri" w:hAnsiTheme="majorBidi" w:cstheme="majorBidi"/>
          <w:sz w:val="24"/>
          <w:szCs w:val="24"/>
        </w:rPr>
      </w:pPr>
      <w:r w:rsidRPr="00B557F4">
        <w:rPr>
          <w:rFonts w:asciiTheme="majorBidi" w:hAnsiTheme="majorBidi" w:cstheme="majorBidi"/>
          <w:sz w:val="24"/>
          <w:szCs w:val="24"/>
        </w:rPr>
        <w:t xml:space="preserve">The Central Bureau of Statistics (CBS) provided data on the total number of </w:t>
      </w:r>
      <w:r w:rsidR="002C2FD2">
        <w:rPr>
          <w:rFonts w:asciiTheme="majorBidi" w:hAnsiTheme="majorBidi" w:cstheme="majorBidi"/>
          <w:sz w:val="24"/>
          <w:szCs w:val="24"/>
        </w:rPr>
        <w:t>employees at</w:t>
      </w:r>
      <w:r w:rsidRPr="00B557F4">
        <w:rPr>
          <w:rFonts w:asciiTheme="majorBidi" w:hAnsiTheme="majorBidi" w:cstheme="majorBidi"/>
          <w:sz w:val="24"/>
          <w:szCs w:val="24"/>
        </w:rPr>
        <w:t xml:space="preserve"> companies appearing in the SNC Finder database, together with a breakdown according to sector, company size, and ownership type (local/foreign). These data constitute the basis for our assessment of the size of the high-tech </w:t>
      </w:r>
      <w:r w:rsidR="00124916" w:rsidRPr="00B557F4">
        <w:rPr>
          <w:rFonts w:asciiTheme="majorBidi" w:hAnsiTheme="majorBidi" w:cstheme="majorBidi"/>
          <w:sz w:val="24"/>
          <w:szCs w:val="24"/>
        </w:rPr>
        <w:t>companies’</w:t>
      </w:r>
      <w:r w:rsidRPr="00B557F4">
        <w:rPr>
          <w:rFonts w:asciiTheme="majorBidi" w:hAnsiTheme="majorBidi" w:cstheme="majorBidi"/>
          <w:sz w:val="24"/>
          <w:szCs w:val="24"/>
        </w:rPr>
        <w:t xml:space="preserve"> population and its workforce and enable weighting of the survey data for entire population</w:t>
      </w:r>
      <w:r w:rsidR="002C2FD2">
        <w:rPr>
          <w:rFonts w:asciiTheme="majorBidi" w:hAnsiTheme="majorBidi" w:cstheme="majorBidi"/>
          <w:sz w:val="24"/>
          <w:szCs w:val="24"/>
        </w:rPr>
        <w:t xml:space="preserve"> estimates</w:t>
      </w:r>
      <w:r w:rsidRPr="00B557F4">
        <w:rPr>
          <w:rFonts w:asciiTheme="majorBidi" w:hAnsiTheme="majorBidi" w:cstheme="majorBidi"/>
          <w:sz w:val="24"/>
          <w:szCs w:val="24"/>
        </w:rPr>
        <w:t>.</w:t>
      </w:r>
    </w:p>
    <w:p w14:paraId="6C2C682B" w14:textId="0BE32390" w:rsidR="00BF0CF3" w:rsidRPr="00B557F4" w:rsidRDefault="00BE1C23" w:rsidP="00B557F4">
      <w:pPr>
        <w:numPr>
          <w:ilvl w:val="0"/>
          <w:numId w:val="7"/>
        </w:numPr>
        <w:spacing w:after="120" w:line="360" w:lineRule="auto"/>
        <w:jc w:val="both"/>
        <w:rPr>
          <w:rFonts w:asciiTheme="majorBidi" w:eastAsia="Calibri" w:hAnsiTheme="majorBidi" w:cstheme="majorBidi"/>
          <w:sz w:val="24"/>
          <w:szCs w:val="24"/>
        </w:rPr>
      </w:pPr>
      <w:r w:rsidRPr="00B557F4">
        <w:rPr>
          <w:rFonts w:asciiTheme="majorBidi" w:hAnsiTheme="majorBidi" w:cstheme="majorBidi"/>
          <w:sz w:val="24"/>
          <w:szCs w:val="24"/>
        </w:rPr>
        <w:t xml:space="preserve">As in every year, we conduct a survey of companies within the Finder database sample. The survey was conducted in the second quarter of 2022 by Ethosia and 354 companies replied to it. The survey </w:t>
      </w:r>
      <w:r w:rsidRPr="00124916">
        <w:rPr>
          <w:rFonts w:asciiTheme="majorBidi" w:hAnsiTheme="majorBidi" w:cstheme="majorBidi"/>
          <w:sz w:val="24"/>
          <w:szCs w:val="24"/>
        </w:rPr>
        <w:t>includes stratification</w:t>
      </w:r>
      <w:r w:rsidRPr="00B557F4">
        <w:rPr>
          <w:rFonts w:asciiTheme="majorBidi" w:hAnsiTheme="majorBidi" w:cstheme="majorBidi"/>
          <w:sz w:val="24"/>
          <w:szCs w:val="24"/>
        </w:rPr>
        <w:t xml:space="preserve"> according to sector, company size, and ownership type, in order to obtain a sample that is sufficient in terms of these </w:t>
      </w:r>
      <w:r w:rsidR="00D444DB">
        <w:rPr>
          <w:rFonts w:asciiTheme="majorBidi" w:hAnsiTheme="majorBidi" w:cstheme="majorBidi"/>
          <w:sz w:val="24"/>
          <w:szCs w:val="24"/>
        </w:rPr>
        <w:t>parameters</w:t>
      </w:r>
      <w:r w:rsidRPr="00B557F4">
        <w:rPr>
          <w:rFonts w:asciiTheme="majorBidi" w:hAnsiTheme="majorBidi" w:cstheme="majorBidi"/>
          <w:sz w:val="24"/>
          <w:szCs w:val="24"/>
        </w:rPr>
        <w:t>. Table 1 illustrates the characteristics of the sample population.</w:t>
      </w:r>
    </w:p>
    <w:p w14:paraId="7EA51F72" w14:textId="0722DD12" w:rsidR="00BF0CF3" w:rsidRPr="00B557F4" w:rsidRDefault="00BE1C23" w:rsidP="00B557F4">
      <w:pPr>
        <w:numPr>
          <w:ilvl w:val="0"/>
          <w:numId w:val="4"/>
        </w:numPr>
        <w:spacing w:after="120" w:line="360" w:lineRule="auto"/>
        <w:jc w:val="both"/>
        <w:rPr>
          <w:rFonts w:asciiTheme="majorBidi" w:eastAsia="Calibri" w:hAnsiTheme="majorBidi" w:cstheme="majorBidi"/>
          <w:sz w:val="24"/>
          <w:szCs w:val="24"/>
        </w:rPr>
      </w:pPr>
      <w:r w:rsidRPr="00B557F4">
        <w:rPr>
          <w:rFonts w:asciiTheme="majorBidi" w:hAnsiTheme="majorBidi" w:cstheme="majorBidi"/>
          <w:sz w:val="24"/>
          <w:szCs w:val="24"/>
        </w:rPr>
        <w:t>This year, for the first time, we are using data collected by SNPI from social media on a substantial sample (more than 100</w:t>
      </w:r>
      <w:r w:rsidR="002C2FD2">
        <w:rPr>
          <w:rFonts w:asciiTheme="majorBidi" w:hAnsiTheme="majorBidi" w:cstheme="majorBidi"/>
          <w:sz w:val="24"/>
          <w:szCs w:val="24"/>
        </w:rPr>
        <w:t>,000</w:t>
      </w:r>
      <w:r w:rsidRPr="00B557F4">
        <w:rPr>
          <w:rFonts w:asciiTheme="majorBidi" w:hAnsiTheme="majorBidi" w:cstheme="majorBidi"/>
          <w:sz w:val="24"/>
          <w:szCs w:val="24"/>
        </w:rPr>
        <w:t xml:space="preserve">) of high-tech employees. </w:t>
      </w:r>
      <w:r w:rsidR="002C2FD2">
        <w:rPr>
          <w:rFonts w:asciiTheme="majorBidi" w:hAnsiTheme="majorBidi" w:cstheme="majorBidi"/>
          <w:sz w:val="24"/>
          <w:szCs w:val="24"/>
        </w:rPr>
        <w:t>D</w:t>
      </w:r>
      <w:r w:rsidRPr="00B557F4">
        <w:rPr>
          <w:rFonts w:asciiTheme="majorBidi" w:hAnsiTheme="majorBidi" w:cstheme="majorBidi"/>
          <w:sz w:val="24"/>
          <w:szCs w:val="24"/>
        </w:rPr>
        <w:t>ata were collected</w:t>
      </w:r>
      <w:r w:rsidR="00443A1C">
        <w:rPr>
          <w:rFonts w:asciiTheme="majorBidi" w:hAnsiTheme="majorBidi" w:cstheme="majorBidi"/>
          <w:sz w:val="24"/>
          <w:szCs w:val="24"/>
        </w:rPr>
        <w:t xml:space="preserve"> via social media</w:t>
      </w:r>
      <w:r w:rsidRPr="00B557F4">
        <w:rPr>
          <w:rFonts w:asciiTheme="majorBidi" w:hAnsiTheme="majorBidi" w:cstheme="majorBidi"/>
          <w:sz w:val="24"/>
          <w:szCs w:val="24"/>
        </w:rPr>
        <w:t xml:space="preserve"> on the education and employment history of </w:t>
      </w:r>
      <w:r w:rsidR="00443A1C">
        <w:rPr>
          <w:rFonts w:asciiTheme="majorBidi" w:hAnsiTheme="majorBidi" w:cstheme="majorBidi"/>
          <w:sz w:val="24"/>
          <w:szCs w:val="24"/>
        </w:rPr>
        <w:t>employees at</w:t>
      </w:r>
      <w:r w:rsidRPr="00B557F4">
        <w:rPr>
          <w:rFonts w:asciiTheme="majorBidi" w:hAnsiTheme="majorBidi" w:cstheme="majorBidi"/>
          <w:sz w:val="24"/>
          <w:szCs w:val="24"/>
        </w:rPr>
        <w:t xml:space="preserve"> high-tech companies. We should point out that we only use those data in the public domain. Moreover, the data undergo anonymization and are used for statistical analysis only.</w:t>
      </w:r>
    </w:p>
    <w:p w14:paraId="1FB452ED" w14:textId="77777777" w:rsidR="00BF0CF3" w:rsidRPr="00B557F4" w:rsidRDefault="00BF0CF3" w:rsidP="00B557F4">
      <w:pPr>
        <w:bidi/>
        <w:spacing w:after="120" w:line="360" w:lineRule="auto"/>
        <w:rPr>
          <w:rFonts w:asciiTheme="majorBidi" w:eastAsia="Calibri" w:hAnsiTheme="majorBidi" w:cstheme="majorBidi"/>
          <w:sz w:val="24"/>
          <w:szCs w:val="24"/>
        </w:rPr>
      </w:pPr>
    </w:p>
    <w:p w14:paraId="63DE00F9" w14:textId="77777777" w:rsidR="00BF0CF3" w:rsidRPr="00B557F4" w:rsidRDefault="00BE1C23" w:rsidP="00B557F4">
      <w:pPr>
        <w:spacing w:after="120" w:line="360" w:lineRule="auto"/>
        <w:rPr>
          <w:rFonts w:asciiTheme="majorBidi" w:eastAsia="Calibri" w:hAnsiTheme="majorBidi" w:cstheme="majorBidi"/>
          <w:sz w:val="24"/>
          <w:szCs w:val="24"/>
        </w:rPr>
      </w:pPr>
      <w:r w:rsidRPr="00B557F4">
        <w:rPr>
          <w:rFonts w:asciiTheme="majorBidi" w:hAnsiTheme="majorBidi" w:cstheme="majorBidi"/>
          <w:noProof/>
          <w:sz w:val="24"/>
          <w:szCs w:val="24"/>
        </w:rPr>
        <w:lastRenderedPageBreak/>
        <w:drawing>
          <wp:inline distT="114300" distB="114300" distL="114300" distR="114300" wp14:anchorId="6FACEC2E" wp14:editId="57EDA08A">
            <wp:extent cx="5943600" cy="1892300"/>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943600" cy="1892300"/>
                    </a:xfrm>
                    <a:prstGeom prst="rect">
                      <a:avLst/>
                    </a:prstGeom>
                    <a:ln/>
                  </pic:spPr>
                </pic:pic>
              </a:graphicData>
            </a:graphic>
          </wp:inline>
        </w:drawing>
      </w:r>
    </w:p>
    <w:p w14:paraId="56D8371C" w14:textId="77777777" w:rsidR="00BF0CF3" w:rsidRPr="00B557F4" w:rsidRDefault="00BF0CF3" w:rsidP="00B557F4">
      <w:pPr>
        <w:bidi/>
        <w:spacing w:after="120" w:line="360" w:lineRule="auto"/>
        <w:rPr>
          <w:rFonts w:asciiTheme="majorBidi" w:eastAsia="Calibri" w:hAnsiTheme="majorBidi" w:cstheme="majorBidi"/>
          <w:sz w:val="24"/>
          <w:szCs w:val="24"/>
        </w:rPr>
      </w:pPr>
    </w:p>
    <w:p w14:paraId="3FC7012B" w14:textId="77777777" w:rsidR="00BF0CF3" w:rsidRPr="00B557F4" w:rsidRDefault="00BF0CF3" w:rsidP="00B557F4">
      <w:pPr>
        <w:bidi/>
        <w:spacing w:after="120" w:line="360" w:lineRule="auto"/>
        <w:rPr>
          <w:rFonts w:asciiTheme="majorBidi" w:eastAsia="Calibri" w:hAnsiTheme="majorBidi" w:cstheme="majorBidi"/>
          <w:sz w:val="24"/>
          <w:szCs w:val="24"/>
        </w:rPr>
      </w:pPr>
    </w:p>
    <w:p w14:paraId="508499D9" w14:textId="77777777" w:rsidR="00BF0CF3" w:rsidRPr="00B557F4" w:rsidRDefault="00BF0CF3" w:rsidP="00B557F4">
      <w:pPr>
        <w:bidi/>
        <w:spacing w:after="120" w:line="360" w:lineRule="auto"/>
        <w:rPr>
          <w:rFonts w:asciiTheme="majorBidi" w:eastAsia="Calibri" w:hAnsiTheme="majorBidi" w:cstheme="majorBidi"/>
          <w:sz w:val="24"/>
          <w:szCs w:val="24"/>
        </w:rPr>
      </w:pPr>
    </w:p>
    <w:p w14:paraId="1D3A46C2" w14:textId="5AADCEEF" w:rsidR="00BF0CF3" w:rsidRPr="00BD779E" w:rsidRDefault="00BE1C23" w:rsidP="00B557F4">
      <w:pPr>
        <w:pStyle w:val="Heading1"/>
        <w:spacing w:line="360" w:lineRule="auto"/>
        <w:rPr>
          <w:rFonts w:asciiTheme="majorBidi" w:hAnsiTheme="majorBidi" w:cstheme="majorBidi"/>
          <w:sz w:val="28"/>
          <w:szCs w:val="28"/>
        </w:rPr>
      </w:pPr>
      <w:r w:rsidRPr="00B557F4">
        <w:rPr>
          <w:rFonts w:asciiTheme="majorBidi" w:hAnsiTheme="majorBidi" w:cstheme="majorBidi"/>
          <w:sz w:val="24"/>
          <w:szCs w:val="24"/>
        </w:rPr>
        <w:br w:type="page"/>
      </w:r>
      <w:bookmarkStart w:id="1" w:name="_d5my4om4scby"/>
      <w:bookmarkEnd w:id="1"/>
      <w:r w:rsidRPr="00BD779E">
        <w:rPr>
          <w:rFonts w:asciiTheme="majorBidi" w:hAnsiTheme="majorBidi" w:cstheme="majorBidi"/>
          <w:sz w:val="28"/>
          <w:szCs w:val="28"/>
        </w:rPr>
        <w:lastRenderedPageBreak/>
        <w:t>Chapter 1: The increase in the number of high-tech workers in 2021</w:t>
      </w:r>
      <w:bookmarkStart w:id="2" w:name="_no07td8ssfpg"/>
      <w:bookmarkEnd w:id="2"/>
    </w:p>
    <w:p w14:paraId="557896F4" w14:textId="1BAF7273" w:rsidR="00BF0CF3" w:rsidRPr="00BD779E" w:rsidRDefault="00BE1C23" w:rsidP="00B557F4">
      <w:pPr>
        <w:pStyle w:val="Heading1"/>
        <w:spacing w:line="360" w:lineRule="auto"/>
        <w:rPr>
          <w:rFonts w:asciiTheme="majorBidi" w:hAnsiTheme="majorBidi" w:cstheme="majorBidi"/>
          <w:sz w:val="28"/>
          <w:szCs w:val="28"/>
        </w:rPr>
      </w:pPr>
      <w:bookmarkStart w:id="3" w:name="_q61uf9yxlmr0"/>
      <w:bookmarkEnd w:id="3"/>
      <w:r w:rsidRPr="00BD779E">
        <w:rPr>
          <w:rFonts w:asciiTheme="majorBidi" w:hAnsiTheme="majorBidi" w:cstheme="majorBidi"/>
          <w:sz w:val="28"/>
          <w:szCs w:val="28"/>
        </w:rPr>
        <w:t>Chapter 2: Employee recruitment and open positions</w:t>
      </w:r>
      <w:bookmarkStart w:id="4" w:name="_qdsbgyv9ujdt"/>
      <w:bookmarkEnd w:id="4"/>
    </w:p>
    <w:p w14:paraId="7D8DB97D" w14:textId="58E891F8" w:rsidR="00EE4D36" w:rsidRPr="00BD779E" w:rsidRDefault="00EE4D36" w:rsidP="00B557F4">
      <w:pPr>
        <w:pStyle w:val="Heading1"/>
        <w:spacing w:line="360" w:lineRule="auto"/>
        <w:rPr>
          <w:rFonts w:asciiTheme="majorBidi" w:hAnsiTheme="majorBidi" w:cstheme="majorBidi"/>
          <w:sz w:val="28"/>
          <w:szCs w:val="28"/>
        </w:rPr>
      </w:pPr>
      <w:r w:rsidRPr="00BD779E">
        <w:rPr>
          <w:rFonts w:asciiTheme="majorBidi" w:hAnsiTheme="majorBidi" w:cstheme="majorBidi"/>
          <w:sz w:val="28"/>
          <w:szCs w:val="28"/>
        </w:rPr>
        <w:t>Chapter 3: Resignations and layoffs</w:t>
      </w:r>
    </w:p>
    <w:p w14:paraId="4111F290" w14:textId="34C65702" w:rsidR="00EE4D36" w:rsidRPr="00BD779E" w:rsidRDefault="00EE4D36" w:rsidP="00B557F4">
      <w:pPr>
        <w:pStyle w:val="Heading2"/>
        <w:spacing w:line="360" w:lineRule="auto"/>
        <w:rPr>
          <w:rFonts w:asciiTheme="majorBidi" w:eastAsia="Calibri" w:hAnsiTheme="majorBidi" w:cstheme="majorBidi"/>
          <w:bCs/>
          <w:sz w:val="28"/>
          <w:szCs w:val="28"/>
        </w:rPr>
      </w:pPr>
      <w:r w:rsidRPr="00BD779E">
        <w:rPr>
          <w:rFonts w:asciiTheme="majorBidi" w:hAnsiTheme="majorBidi" w:cstheme="majorBidi"/>
          <w:bCs/>
          <w:sz w:val="28"/>
          <w:szCs w:val="28"/>
        </w:rPr>
        <w:t>Key findings</w:t>
      </w:r>
    </w:p>
    <w:p w14:paraId="6893456B" w14:textId="77777777" w:rsidR="00EE4D36" w:rsidRPr="00B557F4" w:rsidRDefault="00EE4D36" w:rsidP="00B557F4">
      <w:pPr>
        <w:numPr>
          <w:ilvl w:val="0"/>
          <w:numId w:val="14"/>
        </w:numPr>
        <w:spacing w:after="120" w:line="360" w:lineRule="auto"/>
        <w:rPr>
          <w:rFonts w:asciiTheme="majorBidi" w:eastAsia="Calibri" w:hAnsiTheme="majorBidi" w:cstheme="majorBidi"/>
          <w:sz w:val="24"/>
          <w:szCs w:val="24"/>
        </w:rPr>
      </w:pPr>
      <w:r w:rsidRPr="00B557F4">
        <w:rPr>
          <w:rFonts w:asciiTheme="majorBidi" w:hAnsiTheme="majorBidi" w:cstheme="majorBidi"/>
          <w:sz w:val="24"/>
          <w:szCs w:val="24"/>
        </w:rPr>
        <w:t>In 2021, there was a dramatic increase in the number of resignations, reaching a figure of 10.1%.</w:t>
      </w:r>
      <w:r w:rsidRPr="00B557F4">
        <w:rPr>
          <w:rFonts w:asciiTheme="majorBidi" w:eastAsia="Calibri" w:hAnsiTheme="majorBidi" w:cstheme="majorBidi"/>
          <w:sz w:val="24"/>
          <w:szCs w:val="24"/>
          <w:vertAlign w:val="superscript"/>
        </w:rPr>
        <w:footnoteReference w:id="3"/>
      </w:r>
    </w:p>
    <w:p w14:paraId="74DB022B" w14:textId="2BC0D75F" w:rsidR="00EE4D36" w:rsidRPr="00B557F4" w:rsidRDefault="00EE4D36" w:rsidP="00B557F4">
      <w:pPr>
        <w:numPr>
          <w:ilvl w:val="0"/>
          <w:numId w:val="13"/>
        </w:numPr>
        <w:spacing w:after="120" w:line="360" w:lineRule="auto"/>
        <w:rPr>
          <w:rFonts w:asciiTheme="majorBidi" w:eastAsia="Calibri" w:hAnsiTheme="majorBidi" w:cstheme="majorBidi"/>
          <w:sz w:val="24"/>
          <w:szCs w:val="24"/>
        </w:rPr>
      </w:pPr>
      <w:r w:rsidRPr="00B557F4">
        <w:rPr>
          <w:rFonts w:asciiTheme="majorBidi" w:hAnsiTheme="majorBidi" w:cstheme="majorBidi"/>
          <w:sz w:val="24"/>
          <w:szCs w:val="24"/>
        </w:rPr>
        <w:t>A concomitant sharp decline was recorded in the rate of layoffs</w:t>
      </w:r>
      <w:r w:rsidR="00BD779E">
        <w:rPr>
          <w:rFonts w:asciiTheme="majorBidi" w:hAnsiTheme="majorBidi" w:cstheme="majorBidi"/>
          <w:sz w:val="24"/>
          <w:szCs w:val="24"/>
        </w:rPr>
        <w:t>,</w:t>
      </w:r>
      <w:r w:rsidRPr="00B557F4">
        <w:rPr>
          <w:rFonts w:asciiTheme="majorBidi" w:hAnsiTheme="majorBidi" w:cstheme="majorBidi"/>
          <w:sz w:val="24"/>
          <w:szCs w:val="24"/>
        </w:rPr>
        <w:t xml:space="preserve"> to a level of 2.6% – the lowest in the last decade.</w:t>
      </w:r>
    </w:p>
    <w:p w14:paraId="10EF25D5" w14:textId="044DA83C" w:rsidR="00EE4D36" w:rsidRPr="00B557F4" w:rsidRDefault="00EE4D36" w:rsidP="00B557F4">
      <w:pPr>
        <w:numPr>
          <w:ilvl w:val="0"/>
          <w:numId w:val="13"/>
        </w:numPr>
        <w:spacing w:after="120" w:line="360" w:lineRule="auto"/>
        <w:jc w:val="both"/>
        <w:rPr>
          <w:rFonts w:asciiTheme="majorBidi" w:eastAsia="Calibri" w:hAnsiTheme="majorBidi" w:cstheme="majorBidi"/>
          <w:sz w:val="24"/>
          <w:szCs w:val="24"/>
        </w:rPr>
      </w:pPr>
      <w:r w:rsidRPr="00B557F4">
        <w:rPr>
          <w:rFonts w:asciiTheme="majorBidi" w:hAnsiTheme="majorBidi" w:cstheme="majorBidi"/>
          <w:sz w:val="24"/>
          <w:szCs w:val="24"/>
        </w:rPr>
        <w:t xml:space="preserve">The percentage of resignations was higher the smaller the company, and this was especially damaging to small companies </w:t>
      </w:r>
      <w:r w:rsidR="00443A1C">
        <w:rPr>
          <w:rFonts w:asciiTheme="majorBidi" w:hAnsiTheme="majorBidi" w:cstheme="majorBidi"/>
          <w:sz w:val="24"/>
          <w:szCs w:val="24"/>
        </w:rPr>
        <w:t xml:space="preserve">of </w:t>
      </w:r>
      <w:r w:rsidRPr="00B557F4">
        <w:rPr>
          <w:rFonts w:asciiTheme="majorBidi" w:hAnsiTheme="majorBidi" w:cstheme="majorBidi"/>
          <w:sz w:val="24"/>
          <w:szCs w:val="24"/>
        </w:rPr>
        <w:t xml:space="preserve">10 </w:t>
      </w:r>
      <w:r w:rsidR="00BD779E">
        <w:rPr>
          <w:rFonts w:asciiTheme="majorBidi" w:hAnsiTheme="majorBidi" w:cstheme="majorBidi"/>
          <w:sz w:val="24"/>
          <w:szCs w:val="24"/>
        </w:rPr>
        <w:t xml:space="preserve">or fewer </w:t>
      </w:r>
      <w:r w:rsidRPr="00B557F4">
        <w:rPr>
          <w:rFonts w:asciiTheme="majorBidi" w:hAnsiTheme="majorBidi" w:cstheme="majorBidi"/>
          <w:sz w:val="24"/>
          <w:szCs w:val="24"/>
        </w:rPr>
        <w:t>workers, with a 37% rate of voluntary resignations (in relation to the number of workers at the beginning of the second half of 2021, see footnote).</w:t>
      </w:r>
    </w:p>
    <w:p w14:paraId="418B19BF" w14:textId="5F140637" w:rsidR="00EE4D36" w:rsidRPr="00B557F4" w:rsidRDefault="00EE4D36" w:rsidP="00B557F4">
      <w:pPr>
        <w:numPr>
          <w:ilvl w:val="0"/>
          <w:numId w:val="13"/>
        </w:numPr>
        <w:spacing w:after="120" w:line="360" w:lineRule="auto"/>
        <w:jc w:val="both"/>
        <w:rPr>
          <w:rFonts w:asciiTheme="majorBidi" w:eastAsia="Calibri" w:hAnsiTheme="majorBidi" w:cstheme="majorBidi"/>
          <w:sz w:val="24"/>
          <w:szCs w:val="24"/>
        </w:rPr>
      </w:pPr>
      <w:r w:rsidRPr="00B557F4">
        <w:rPr>
          <w:rFonts w:asciiTheme="majorBidi" w:hAnsiTheme="majorBidi" w:cstheme="majorBidi"/>
          <w:sz w:val="24"/>
          <w:szCs w:val="24"/>
        </w:rPr>
        <w:t xml:space="preserve">The Life Science and Cleantech sector showed a significantly lower rate of voluntary resignation, amounting to 9.2%, </w:t>
      </w:r>
      <w:r w:rsidR="00023D58" w:rsidRPr="00B557F4">
        <w:rPr>
          <w:rFonts w:asciiTheme="majorBidi" w:hAnsiTheme="majorBidi" w:cstheme="majorBidi"/>
          <w:sz w:val="24"/>
          <w:szCs w:val="24"/>
        </w:rPr>
        <w:t>even though</w:t>
      </w:r>
      <w:r w:rsidRPr="00B557F4">
        <w:rPr>
          <w:rFonts w:asciiTheme="majorBidi" w:hAnsiTheme="majorBidi" w:cstheme="majorBidi"/>
          <w:sz w:val="24"/>
          <w:szCs w:val="24"/>
        </w:rPr>
        <w:t xml:space="preserve"> most of the companies in this sector are small.</w:t>
      </w:r>
    </w:p>
    <w:p w14:paraId="1067852A" w14:textId="31055CFE" w:rsidR="00EE4D36" w:rsidRPr="00B557F4" w:rsidRDefault="00EE4D36" w:rsidP="00B557F4">
      <w:pPr>
        <w:numPr>
          <w:ilvl w:val="0"/>
          <w:numId w:val="13"/>
        </w:numPr>
        <w:spacing w:after="120" w:line="360" w:lineRule="auto"/>
        <w:rPr>
          <w:rFonts w:asciiTheme="majorBidi" w:eastAsia="Calibri" w:hAnsiTheme="majorBidi" w:cstheme="majorBidi"/>
          <w:sz w:val="24"/>
          <w:szCs w:val="24"/>
        </w:rPr>
      </w:pPr>
      <w:r w:rsidRPr="00B557F4">
        <w:rPr>
          <w:rFonts w:asciiTheme="majorBidi" w:hAnsiTheme="majorBidi" w:cstheme="majorBidi"/>
          <w:sz w:val="24"/>
          <w:szCs w:val="24"/>
        </w:rPr>
        <w:t>The rate of voluntary resignation was significantly low</w:t>
      </w:r>
      <w:r w:rsidR="00443A1C">
        <w:rPr>
          <w:rFonts w:asciiTheme="majorBidi" w:hAnsiTheme="majorBidi" w:cstheme="majorBidi"/>
          <w:sz w:val="24"/>
          <w:szCs w:val="24"/>
        </w:rPr>
        <w:t>er</w:t>
      </w:r>
      <w:r w:rsidRPr="00B557F4">
        <w:rPr>
          <w:rFonts w:asciiTheme="majorBidi" w:hAnsiTheme="majorBidi" w:cstheme="majorBidi"/>
          <w:sz w:val="24"/>
          <w:szCs w:val="24"/>
        </w:rPr>
        <w:t xml:space="preserve"> (7 percentage points less) in companies </w:t>
      </w:r>
      <w:r w:rsidR="002C2FD2">
        <w:rPr>
          <w:rFonts w:asciiTheme="majorBidi" w:hAnsiTheme="majorBidi" w:cstheme="majorBidi"/>
          <w:sz w:val="24"/>
          <w:szCs w:val="24"/>
        </w:rPr>
        <w:t>employing</w:t>
      </w:r>
      <w:r w:rsidR="002C2FD2" w:rsidRPr="00B557F4">
        <w:rPr>
          <w:rFonts w:asciiTheme="majorBidi" w:hAnsiTheme="majorBidi" w:cstheme="majorBidi"/>
          <w:sz w:val="24"/>
          <w:szCs w:val="24"/>
        </w:rPr>
        <w:t xml:space="preserve"> </w:t>
      </w:r>
      <w:r w:rsidRPr="00B557F4">
        <w:rPr>
          <w:rFonts w:asciiTheme="majorBidi" w:hAnsiTheme="majorBidi" w:cstheme="majorBidi"/>
          <w:sz w:val="24"/>
          <w:szCs w:val="24"/>
        </w:rPr>
        <w:t xml:space="preserve">a high proportion of </w:t>
      </w:r>
      <w:r w:rsidR="002C2FD2">
        <w:rPr>
          <w:rFonts w:asciiTheme="majorBidi" w:hAnsiTheme="majorBidi" w:cstheme="majorBidi"/>
          <w:sz w:val="24"/>
          <w:szCs w:val="24"/>
        </w:rPr>
        <w:t>women</w:t>
      </w:r>
      <w:r w:rsidRPr="00B557F4">
        <w:rPr>
          <w:rFonts w:asciiTheme="majorBidi" w:hAnsiTheme="majorBidi" w:cstheme="majorBidi"/>
          <w:sz w:val="24"/>
          <w:szCs w:val="24"/>
        </w:rPr>
        <w:t>.</w:t>
      </w:r>
    </w:p>
    <w:p w14:paraId="720C6A32" w14:textId="09394FCF" w:rsidR="00EE4D36" w:rsidRPr="00B557F4" w:rsidRDefault="00EE4D36" w:rsidP="00B557F4">
      <w:pPr>
        <w:spacing w:after="120" w:line="360" w:lineRule="auto"/>
        <w:jc w:val="both"/>
        <w:rPr>
          <w:rFonts w:asciiTheme="majorBidi" w:eastAsia="Calibri" w:hAnsiTheme="majorBidi" w:cstheme="majorBidi"/>
          <w:sz w:val="24"/>
          <w:szCs w:val="24"/>
        </w:rPr>
      </w:pPr>
      <w:r w:rsidRPr="00B557F4">
        <w:rPr>
          <w:rFonts w:asciiTheme="majorBidi" w:hAnsiTheme="majorBidi" w:cstheme="majorBidi"/>
          <w:sz w:val="24"/>
          <w:szCs w:val="24"/>
        </w:rPr>
        <w:t>Two trends had an impact on the percentage of voluntary resignation among high-tech workers. The first one – "the great resignation”</w:t>
      </w:r>
      <w:r w:rsidR="00443A1C">
        <w:rPr>
          <w:rFonts w:asciiTheme="majorBidi" w:hAnsiTheme="majorBidi" w:cstheme="majorBidi"/>
          <w:sz w:val="24"/>
          <w:szCs w:val="24"/>
        </w:rPr>
        <w:t xml:space="preserve"> -- </w:t>
      </w:r>
      <w:r w:rsidRPr="00B557F4">
        <w:rPr>
          <w:rFonts w:asciiTheme="majorBidi" w:hAnsiTheme="majorBidi" w:cstheme="majorBidi"/>
          <w:sz w:val="24"/>
          <w:szCs w:val="24"/>
        </w:rPr>
        <w:t xml:space="preserve">intensified due to the COVID-19 pandemic, and </w:t>
      </w:r>
      <w:r w:rsidR="002C2FD2">
        <w:rPr>
          <w:rFonts w:asciiTheme="majorBidi" w:hAnsiTheme="majorBidi" w:cstheme="majorBidi"/>
          <w:sz w:val="24"/>
          <w:szCs w:val="24"/>
        </w:rPr>
        <w:t xml:space="preserve">peaked </w:t>
      </w:r>
      <w:r w:rsidRPr="00B557F4">
        <w:rPr>
          <w:rFonts w:asciiTheme="majorBidi" w:hAnsiTheme="majorBidi" w:cstheme="majorBidi"/>
          <w:sz w:val="24"/>
          <w:szCs w:val="24"/>
        </w:rPr>
        <w:t xml:space="preserve">in 2021. This is a global phenomenon affecting the entire Israeli economy, and particularly the high-tech industry. At the same time, the demand for workers with relevant skillsets for high-tech </w:t>
      </w:r>
      <w:r w:rsidRPr="00B557F4">
        <w:rPr>
          <w:rFonts w:asciiTheme="majorBidi" w:hAnsiTheme="majorBidi" w:cstheme="majorBidi"/>
          <w:sz w:val="24"/>
          <w:szCs w:val="24"/>
        </w:rPr>
        <w:lastRenderedPageBreak/>
        <w:t>continues to grow faster than the available supply, with a consequently higher frequency of worker migration from one high-tech company to another than in the past. There are a variety of reasons for this, which include</w:t>
      </w:r>
      <w:r w:rsidR="00E5272C">
        <w:rPr>
          <w:rFonts w:asciiTheme="majorBidi" w:hAnsiTheme="majorBidi" w:cstheme="majorBidi"/>
          <w:sz w:val="24"/>
          <w:szCs w:val="24"/>
        </w:rPr>
        <w:t xml:space="preserve"> </w:t>
      </w:r>
      <w:r w:rsidRPr="00B557F4">
        <w:rPr>
          <w:rFonts w:asciiTheme="majorBidi" w:hAnsiTheme="majorBidi" w:cstheme="majorBidi"/>
          <w:sz w:val="24"/>
          <w:szCs w:val="24"/>
        </w:rPr>
        <w:t>a desire to improve employment</w:t>
      </w:r>
      <w:r w:rsidR="00F02EF8">
        <w:rPr>
          <w:rFonts w:asciiTheme="majorBidi" w:hAnsiTheme="majorBidi" w:cstheme="majorBidi"/>
          <w:sz w:val="24"/>
          <w:szCs w:val="24"/>
        </w:rPr>
        <w:t xml:space="preserve"> terms</w:t>
      </w:r>
      <w:r w:rsidRPr="00B557F4">
        <w:rPr>
          <w:rFonts w:asciiTheme="majorBidi" w:hAnsiTheme="majorBidi" w:cstheme="majorBidi"/>
          <w:sz w:val="24"/>
          <w:szCs w:val="24"/>
        </w:rPr>
        <w:t xml:space="preserve">, a shift to companies enabling remote work, or a preference for companies with whose </w:t>
      </w:r>
      <w:r w:rsidR="00F02EF8">
        <w:rPr>
          <w:rFonts w:asciiTheme="majorBidi" w:hAnsiTheme="majorBidi" w:cstheme="majorBidi"/>
          <w:sz w:val="24"/>
          <w:szCs w:val="24"/>
        </w:rPr>
        <w:t>mission</w:t>
      </w:r>
      <w:r w:rsidR="00F02EF8" w:rsidRPr="00B557F4">
        <w:rPr>
          <w:rFonts w:asciiTheme="majorBidi" w:hAnsiTheme="majorBidi" w:cstheme="majorBidi"/>
          <w:sz w:val="24"/>
          <w:szCs w:val="24"/>
        </w:rPr>
        <w:t xml:space="preserve"> </w:t>
      </w:r>
      <w:r w:rsidRPr="00B557F4">
        <w:rPr>
          <w:rFonts w:asciiTheme="majorBidi" w:hAnsiTheme="majorBidi" w:cstheme="majorBidi"/>
          <w:sz w:val="24"/>
          <w:szCs w:val="24"/>
        </w:rPr>
        <w:t>the workers identify more</w:t>
      </w:r>
      <w:r w:rsidR="00F02EF8">
        <w:rPr>
          <w:rFonts w:asciiTheme="majorBidi" w:hAnsiTheme="majorBidi" w:cstheme="majorBidi"/>
          <w:sz w:val="24"/>
          <w:szCs w:val="24"/>
        </w:rPr>
        <w:t xml:space="preserve"> strongly</w:t>
      </w:r>
      <w:r w:rsidRPr="00B557F4">
        <w:rPr>
          <w:rFonts w:asciiTheme="majorBidi" w:hAnsiTheme="majorBidi" w:cstheme="majorBidi"/>
          <w:sz w:val="24"/>
          <w:szCs w:val="24"/>
        </w:rPr>
        <w:t xml:space="preserve">, in parallel to the understanding that </w:t>
      </w:r>
      <w:r w:rsidR="00E5272C">
        <w:rPr>
          <w:rFonts w:asciiTheme="majorBidi" w:hAnsiTheme="majorBidi" w:cstheme="majorBidi"/>
          <w:sz w:val="24"/>
          <w:szCs w:val="24"/>
        </w:rPr>
        <w:t>for now</w:t>
      </w:r>
      <w:r w:rsidR="00F02EF8">
        <w:rPr>
          <w:rFonts w:asciiTheme="majorBidi" w:hAnsiTheme="majorBidi" w:cstheme="majorBidi"/>
          <w:sz w:val="24"/>
          <w:szCs w:val="24"/>
        </w:rPr>
        <w:t>,</w:t>
      </w:r>
      <w:r w:rsidRPr="00B557F4">
        <w:rPr>
          <w:rFonts w:asciiTheme="majorBidi" w:hAnsiTheme="majorBidi" w:cstheme="majorBidi"/>
          <w:sz w:val="24"/>
          <w:szCs w:val="24"/>
        </w:rPr>
        <w:t xml:space="preserve"> </w:t>
      </w:r>
      <w:r w:rsidR="00F02EF8">
        <w:rPr>
          <w:rFonts w:asciiTheme="majorBidi" w:hAnsiTheme="majorBidi" w:cstheme="majorBidi"/>
          <w:sz w:val="24"/>
          <w:szCs w:val="24"/>
        </w:rPr>
        <w:t>employees</w:t>
      </w:r>
      <w:r w:rsidRPr="00B557F4">
        <w:rPr>
          <w:rFonts w:asciiTheme="majorBidi" w:hAnsiTheme="majorBidi" w:cstheme="majorBidi"/>
          <w:sz w:val="24"/>
          <w:szCs w:val="24"/>
        </w:rPr>
        <w:t xml:space="preserve"> </w:t>
      </w:r>
      <w:r w:rsidR="00E5272C">
        <w:rPr>
          <w:rFonts w:asciiTheme="majorBidi" w:hAnsiTheme="majorBidi" w:cstheme="majorBidi"/>
          <w:sz w:val="24"/>
          <w:szCs w:val="24"/>
        </w:rPr>
        <w:t>can</w:t>
      </w:r>
      <w:r w:rsidR="00E5272C" w:rsidRPr="00B557F4">
        <w:rPr>
          <w:rFonts w:asciiTheme="majorBidi" w:hAnsiTheme="majorBidi" w:cstheme="majorBidi"/>
          <w:sz w:val="24"/>
          <w:szCs w:val="24"/>
        </w:rPr>
        <w:t xml:space="preserve"> </w:t>
      </w:r>
      <w:r w:rsidRPr="00B557F4">
        <w:rPr>
          <w:rFonts w:asciiTheme="majorBidi" w:hAnsiTheme="majorBidi" w:cstheme="majorBidi"/>
          <w:sz w:val="24"/>
          <w:szCs w:val="24"/>
        </w:rPr>
        <w:t>readily find other jobs.</w:t>
      </w:r>
    </w:p>
    <w:p w14:paraId="6152F666" w14:textId="77777777" w:rsidR="00EE4D36" w:rsidRPr="00B557F4" w:rsidRDefault="00EE4D36" w:rsidP="00B557F4">
      <w:pPr>
        <w:spacing w:after="120" w:line="360" w:lineRule="auto"/>
        <w:jc w:val="center"/>
        <w:rPr>
          <w:rFonts w:asciiTheme="majorBidi" w:eastAsia="Calibri" w:hAnsiTheme="majorBidi" w:cstheme="majorBidi"/>
          <w:sz w:val="24"/>
          <w:szCs w:val="24"/>
        </w:rPr>
      </w:pPr>
      <w:r w:rsidRPr="00B557F4">
        <w:rPr>
          <w:rFonts w:asciiTheme="majorBidi" w:hAnsiTheme="majorBidi" w:cstheme="majorBidi"/>
          <w:noProof/>
          <w:sz w:val="24"/>
          <w:szCs w:val="24"/>
        </w:rPr>
        <w:drawing>
          <wp:inline distT="114300" distB="114300" distL="114300" distR="114300" wp14:anchorId="2E3CC884" wp14:editId="6CE545F8">
            <wp:extent cx="4957763" cy="2701345"/>
            <wp:effectExtent l="0" t="0" r="0" b="0"/>
            <wp:docPr id="37" name="image35.png"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37" name="image35.png" descr="Chart, line chart&#10;&#10;Description automatically generated"/>
                    <pic:cNvPicPr preferRelativeResize="0"/>
                  </pic:nvPicPr>
                  <pic:blipFill>
                    <a:blip r:embed="rId9"/>
                    <a:srcRect/>
                    <a:stretch>
                      <a:fillRect/>
                    </a:stretch>
                  </pic:blipFill>
                  <pic:spPr>
                    <a:xfrm>
                      <a:off x="0" y="0"/>
                      <a:ext cx="4957763" cy="2701345"/>
                    </a:xfrm>
                    <a:prstGeom prst="rect">
                      <a:avLst/>
                    </a:prstGeom>
                    <a:ln/>
                  </pic:spPr>
                </pic:pic>
              </a:graphicData>
            </a:graphic>
          </wp:inline>
        </w:drawing>
      </w:r>
    </w:p>
    <w:p w14:paraId="46C3992C" w14:textId="77777777" w:rsidR="00EE4D36" w:rsidRPr="00B557F4" w:rsidRDefault="00EE4D36" w:rsidP="00B557F4">
      <w:pPr>
        <w:bidi/>
        <w:spacing w:after="120" w:line="360" w:lineRule="auto"/>
        <w:ind w:left="720"/>
        <w:rPr>
          <w:rFonts w:asciiTheme="majorBidi" w:eastAsia="Calibri" w:hAnsiTheme="majorBidi" w:cstheme="majorBidi"/>
          <w:sz w:val="24"/>
          <w:szCs w:val="24"/>
        </w:rPr>
      </w:pPr>
    </w:p>
    <w:p w14:paraId="58D7F8F6" w14:textId="0676AE06" w:rsidR="00EE4D36" w:rsidRPr="00B557F4" w:rsidRDefault="00EE4D36" w:rsidP="00B557F4">
      <w:pPr>
        <w:spacing w:after="120" w:line="360" w:lineRule="auto"/>
        <w:jc w:val="both"/>
        <w:rPr>
          <w:rFonts w:asciiTheme="majorBidi" w:eastAsia="Calibri" w:hAnsiTheme="majorBidi" w:cstheme="majorBidi"/>
          <w:sz w:val="24"/>
          <w:szCs w:val="24"/>
        </w:rPr>
      </w:pPr>
      <w:r w:rsidRPr="00B557F4">
        <w:rPr>
          <w:rFonts w:asciiTheme="majorBidi" w:hAnsiTheme="majorBidi" w:cstheme="majorBidi"/>
          <w:sz w:val="24"/>
          <w:szCs w:val="24"/>
        </w:rPr>
        <w:t>While it is difficult to isolate the impact of each of these phenomena, their combination has led to a situation</w:t>
      </w:r>
      <w:r w:rsidR="002349DE">
        <w:rPr>
          <w:rFonts w:asciiTheme="majorBidi" w:hAnsiTheme="majorBidi" w:cstheme="majorBidi"/>
          <w:sz w:val="24"/>
          <w:szCs w:val="24"/>
        </w:rPr>
        <w:t>,</w:t>
      </w:r>
      <w:r w:rsidRPr="00B557F4">
        <w:rPr>
          <w:rFonts w:asciiTheme="majorBidi" w:hAnsiTheme="majorBidi" w:cstheme="majorBidi"/>
          <w:sz w:val="24"/>
          <w:szCs w:val="24"/>
        </w:rPr>
        <w:t xml:space="preserve"> whereby in 2021</w:t>
      </w:r>
      <w:r w:rsidR="002349DE">
        <w:rPr>
          <w:rFonts w:asciiTheme="majorBidi" w:hAnsiTheme="majorBidi" w:cstheme="majorBidi"/>
          <w:sz w:val="24"/>
          <w:szCs w:val="24"/>
        </w:rPr>
        <w:t>,</w:t>
      </w:r>
      <w:r w:rsidRPr="00B557F4">
        <w:rPr>
          <w:rFonts w:asciiTheme="majorBidi" w:hAnsiTheme="majorBidi" w:cstheme="majorBidi"/>
          <w:sz w:val="24"/>
          <w:szCs w:val="24"/>
        </w:rPr>
        <w:t xml:space="preserve"> the rate of voluntary resignation has returned to the levels measured in 2018 and 2019, when 10.1% of the high-tech employees elected to voluntary leave their work (Figure X). A closer look at the chart shows that this is not a one-time phenomenon but </w:t>
      </w:r>
      <w:r w:rsidR="00425E5E">
        <w:rPr>
          <w:rFonts w:asciiTheme="majorBidi" w:hAnsiTheme="majorBidi" w:cstheme="majorBidi"/>
          <w:sz w:val="24"/>
          <w:szCs w:val="24"/>
        </w:rPr>
        <w:t xml:space="preserve">a continuing </w:t>
      </w:r>
      <w:r w:rsidRPr="00B557F4">
        <w:rPr>
          <w:rFonts w:asciiTheme="majorBidi" w:hAnsiTheme="majorBidi" w:cstheme="majorBidi"/>
          <w:sz w:val="24"/>
          <w:szCs w:val="24"/>
        </w:rPr>
        <w:t xml:space="preserve">long-term trend of an </w:t>
      </w:r>
      <w:r w:rsidR="00425E5E">
        <w:rPr>
          <w:rFonts w:asciiTheme="majorBidi" w:hAnsiTheme="majorBidi" w:cstheme="majorBidi"/>
          <w:sz w:val="24"/>
          <w:szCs w:val="24"/>
        </w:rPr>
        <w:t>increasing</w:t>
      </w:r>
      <w:r w:rsidRPr="00B557F4">
        <w:rPr>
          <w:rFonts w:asciiTheme="majorBidi" w:hAnsiTheme="majorBidi" w:cstheme="majorBidi"/>
          <w:sz w:val="24"/>
          <w:szCs w:val="24"/>
        </w:rPr>
        <w:t xml:space="preserve"> rate of voluntary resignations over the years</w:t>
      </w:r>
      <w:r w:rsidR="00425E5E">
        <w:rPr>
          <w:rFonts w:asciiTheme="majorBidi" w:hAnsiTheme="majorBidi" w:cstheme="majorBidi"/>
          <w:sz w:val="24"/>
          <w:szCs w:val="24"/>
        </w:rPr>
        <w:t>,</w:t>
      </w:r>
      <w:r w:rsidRPr="00B557F4">
        <w:rPr>
          <w:rFonts w:asciiTheme="majorBidi" w:hAnsiTheme="majorBidi" w:cstheme="majorBidi"/>
          <w:sz w:val="24"/>
          <w:szCs w:val="24"/>
        </w:rPr>
        <w:t xml:space="preserve"> that was temporarily interrupted </w:t>
      </w:r>
      <w:r w:rsidR="00E5272C">
        <w:rPr>
          <w:rFonts w:asciiTheme="majorBidi" w:hAnsiTheme="majorBidi" w:cstheme="majorBidi"/>
          <w:sz w:val="24"/>
          <w:szCs w:val="24"/>
        </w:rPr>
        <w:t>in 2020</w:t>
      </w:r>
      <w:r w:rsidRPr="00B557F4">
        <w:rPr>
          <w:rFonts w:asciiTheme="majorBidi" w:hAnsiTheme="majorBidi" w:cstheme="majorBidi"/>
          <w:sz w:val="24"/>
          <w:szCs w:val="24"/>
        </w:rPr>
        <w:t>. It is also important to point out that th</w:t>
      </w:r>
      <w:r w:rsidR="002349DE">
        <w:rPr>
          <w:rFonts w:asciiTheme="majorBidi" w:hAnsiTheme="majorBidi" w:cstheme="majorBidi"/>
          <w:sz w:val="24"/>
          <w:szCs w:val="24"/>
        </w:rPr>
        <w:t>is</w:t>
      </w:r>
      <w:r w:rsidRPr="00B557F4">
        <w:rPr>
          <w:rFonts w:asciiTheme="majorBidi" w:hAnsiTheme="majorBidi" w:cstheme="majorBidi"/>
          <w:sz w:val="24"/>
          <w:szCs w:val="24"/>
        </w:rPr>
        <w:t xml:space="preserve"> phenomenon is not unique to R&amp;D workers, and in practice the rate of voluntary resignation among these workers was lower than the overall rate, amounting to only 8.4%. On the other hand, the rate of R&amp;D worker layoffs </w:t>
      </w:r>
      <w:r w:rsidR="00E5272C">
        <w:rPr>
          <w:rFonts w:asciiTheme="majorBidi" w:hAnsiTheme="majorBidi" w:cstheme="majorBidi"/>
          <w:sz w:val="24"/>
          <w:szCs w:val="24"/>
        </w:rPr>
        <w:t xml:space="preserve">also </w:t>
      </w:r>
      <w:r w:rsidRPr="00B557F4">
        <w:rPr>
          <w:rFonts w:asciiTheme="majorBidi" w:hAnsiTheme="majorBidi" w:cstheme="majorBidi"/>
          <w:sz w:val="24"/>
          <w:szCs w:val="24"/>
        </w:rPr>
        <w:t>was significantly lower than that of the overall workers, amounting to 1.0%.</w:t>
      </w:r>
    </w:p>
    <w:p w14:paraId="1A0629C6" w14:textId="537CECF0" w:rsidR="00EE4D36" w:rsidRPr="00B557F4" w:rsidRDefault="00EE4D36" w:rsidP="00B557F4">
      <w:pPr>
        <w:spacing w:after="120" w:line="360" w:lineRule="auto"/>
        <w:jc w:val="both"/>
        <w:rPr>
          <w:rFonts w:asciiTheme="majorBidi" w:eastAsia="Calibri" w:hAnsiTheme="majorBidi" w:cstheme="majorBidi"/>
          <w:sz w:val="24"/>
          <w:szCs w:val="24"/>
        </w:rPr>
      </w:pPr>
      <w:r w:rsidRPr="00B557F4">
        <w:rPr>
          <w:rFonts w:asciiTheme="majorBidi" w:hAnsiTheme="majorBidi" w:cstheme="majorBidi"/>
          <w:sz w:val="24"/>
          <w:szCs w:val="24"/>
        </w:rPr>
        <w:t xml:space="preserve">The percentage of voluntary resignations was higher the smaller the company size (and naturally there is a certain </w:t>
      </w:r>
      <w:r w:rsidR="00425E5E">
        <w:rPr>
          <w:rFonts w:asciiTheme="majorBidi" w:hAnsiTheme="majorBidi" w:cstheme="majorBidi"/>
          <w:sz w:val="24"/>
          <w:szCs w:val="24"/>
        </w:rPr>
        <w:t xml:space="preserve">effect </w:t>
      </w:r>
      <w:r w:rsidRPr="00B557F4">
        <w:rPr>
          <w:rFonts w:asciiTheme="majorBidi" w:hAnsiTheme="majorBidi" w:cstheme="majorBidi"/>
          <w:sz w:val="24"/>
          <w:szCs w:val="24"/>
        </w:rPr>
        <w:t xml:space="preserve">here due to </w:t>
      </w:r>
      <w:r w:rsidRPr="002349DE">
        <w:rPr>
          <w:rFonts w:asciiTheme="majorBidi" w:hAnsiTheme="majorBidi" w:cstheme="majorBidi"/>
          <w:sz w:val="24"/>
          <w:szCs w:val="24"/>
        </w:rPr>
        <w:t>the “law of small numbers”).</w:t>
      </w:r>
      <w:r w:rsidRPr="00B557F4">
        <w:rPr>
          <w:rFonts w:asciiTheme="majorBidi" w:hAnsiTheme="majorBidi" w:cstheme="majorBidi"/>
          <w:sz w:val="24"/>
          <w:szCs w:val="24"/>
        </w:rPr>
        <w:t xml:space="preserve"> Especially in companies with up to 10 employees, an exceptionally high average </w:t>
      </w:r>
      <w:r w:rsidR="00E5272C">
        <w:rPr>
          <w:rFonts w:asciiTheme="majorBidi" w:hAnsiTheme="majorBidi" w:cstheme="majorBidi"/>
          <w:sz w:val="24"/>
          <w:szCs w:val="24"/>
        </w:rPr>
        <w:t xml:space="preserve">exit </w:t>
      </w:r>
      <w:r w:rsidRPr="00B557F4">
        <w:rPr>
          <w:rFonts w:asciiTheme="majorBidi" w:hAnsiTheme="majorBidi" w:cstheme="majorBidi"/>
          <w:sz w:val="24"/>
          <w:szCs w:val="24"/>
        </w:rPr>
        <w:t>rate of 37% was recorded. Company size does not significant</w:t>
      </w:r>
      <w:r w:rsidR="00425E5E">
        <w:rPr>
          <w:rFonts w:asciiTheme="majorBidi" w:hAnsiTheme="majorBidi" w:cstheme="majorBidi"/>
          <w:sz w:val="24"/>
          <w:szCs w:val="24"/>
        </w:rPr>
        <w:t>ly</w:t>
      </w:r>
      <w:r w:rsidRPr="00B557F4">
        <w:rPr>
          <w:rFonts w:asciiTheme="majorBidi" w:hAnsiTheme="majorBidi" w:cstheme="majorBidi"/>
          <w:sz w:val="24"/>
          <w:szCs w:val="24"/>
        </w:rPr>
        <w:t xml:space="preserve"> </w:t>
      </w:r>
      <w:r w:rsidR="00425E5E">
        <w:rPr>
          <w:rFonts w:asciiTheme="majorBidi" w:hAnsiTheme="majorBidi" w:cstheme="majorBidi"/>
          <w:sz w:val="24"/>
          <w:szCs w:val="24"/>
        </w:rPr>
        <w:t>a</w:t>
      </w:r>
      <w:r w:rsidR="00425E5E" w:rsidRPr="00B557F4">
        <w:rPr>
          <w:rFonts w:asciiTheme="majorBidi" w:hAnsiTheme="majorBidi" w:cstheme="majorBidi"/>
          <w:sz w:val="24"/>
          <w:szCs w:val="24"/>
        </w:rPr>
        <w:t>ffect</w:t>
      </w:r>
      <w:r w:rsidRPr="00B557F4">
        <w:rPr>
          <w:rFonts w:asciiTheme="majorBidi" w:hAnsiTheme="majorBidi" w:cstheme="majorBidi"/>
          <w:sz w:val="24"/>
          <w:szCs w:val="24"/>
        </w:rPr>
        <w:t xml:space="preserve"> on the rate of voluntary resignation among R&amp;D workers. Small companies </w:t>
      </w:r>
      <w:r w:rsidRPr="00B557F4">
        <w:rPr>
          <w:rFonts w:asciiTheme="majorBidi" w:hAnsiTheme="majorBidi" w:cstheme="majorBidi"/>
          <w:sz w:val="24"/>
          <w:szCs w:val="24"/>
        </w:rPr>
        <w:lastRenderedPageBreak/>
        <w:t xml:space="preserve">with more limited resources might tend to invest </w:t>
      </w:r>
      <w:r w:rsidR="00425E5E">
        <w:rPr>
          <w:rFonts w:asciiTheme="majorBidi" w:hAnsiTheme="majorBidi" w:cstheme="majorBidi"/>
          <w:sz w:val="24"/>
          <w:szCs w:val="24"/>
        </w:rPr>
        <w:t>more</w:t>
      </w:r>
      <w:r w:rsidRPr="00B557F4">
        <w:rPr>
          <w:rFonts w:asciiTheme="majorBidi" w:hAnsiTheme="majorBidi" w:cstheme="majorBidi"/>
          <w:sz w:val="24"/>
          <w:szCs w:val="24"/>
        </w:rPr>
        <w:t xml:space="preserve"> in </w:t>
      </w:r>
      <w:r w:rsidR="00425E5E">
        <w:rPr>
          <w:rFonts w:asciiTheme="majorBidi" w:hAnsiTheme="majorBidi" w:cstheme="majorBidi"/>
          <w:sz w:val="24"/>
          <w:szCs w:val="24"/>
        </w:rPr>
        <w:t>retaining</w:t>
      </w:r>
      <w:r w:rsidR="00425E5E" w:rsidRPr="00B557F4">
        <w:rPr>
          <w:rFonts w:asciiTheme="majorBidi" w:hAnsiTheme="majorBidi" w:cstheme="majorBidi"/>
          <w:sz w:val="24"/>
          <w:szCs w:val="24"/>
        </w:rPr>
        <w:t xml:space="preserve"> </w:t>
      </w:r>
      <w:r w:rsidRPr="00B557F4">
        <w:rPr>
          <w:rFonts w:asciiTheme="majorBidi" w:hAnsiTheme="majorBidi" w:cstheme="majorBidi"/>
          <w:sz w:val="24"/>
          <w:szCs w:val="24"/>
        </w:rPr>
        <w:t xml:space="preserve">their R&amp;D workers and </w:t>
      </w:r>
      <w:r w:rsidR="00425E5E">
        <w:rPr>
          <w:rFonts w:asciiTheme="majorBidi" w:hAnsiTheme="majorBidi" w:cstheme="majorBidi"/>
          <w:sz w:val="24"/>
          <w:szCs w:val="24"/>
        </w:rPr>
        <w:t>succeed,</w:t>
      </w:r>
      <w:r w:rsidRPr="00B557F4">
        <w:rPr>
          <w:rFonts w:asciiTheme="majorBidi" w:hAnsiTheme="majorBidi" w:cstheme="majorBidi"/>
          <w:sz w:val="24"/>
          <w:szCs w:val="24"/>
        </w:rPr>
        <w:t xml:space="preserve"> but are forced to give up on other workers.</w:t>
      </w:r>
    </w:p>
    <w:p w14:paraId="797D4035" w14:textId="77777777" w:rsidR="00EE4D36" w:rsidRPr="00B557F4" w:rsidRDefault="00EE4D36" w:rsidP="00B557F4">
      <w:pPr>
        <w:bidi/>
        <w:spacing w:after="120" w:line="360" w:lineRule="auto"/>
        <w:rPr>
          <w:rFonts w:asciiTheme="majorBidi" w:eastAsia="Calibri" w:hAnsiTheme="majorBidi" w:cstheme="majorBidi"/>
          <w:sz w:val="24"/>
          <w:szCs w:val="24"/>
        </w:rPr>
      </w:pPr>
    </w:p>
    <w:p w14:paraId="551522B2" w14:textId="77777777" w:rsidR="00EE4D36" w:rsidRPr="00B557F4" w:rsidRDefault="00EE4D36" w:rsidP="00B557F4">
      <w:pPr>
        <w:spacing w:after="120" w:line="360" w:lineRule="auto"/>
        <w:rPr>
          <w:rFonts w:asciiTheme="majorBidi" w:eastAsia="Calibri" w:hAnsiTheme="majorBidi" w:cstheme="majorBidi"/>
          <w:sz w:val="24"/>
          <w:szCs w:val="24"/>
        </w:rPr>
      </w:pPr>
      <w:r w:rsidRPr="00B557F4">
        <w:rPr>
          <w:rFonts w:asciiTheme="majorBidi" w:hAnsiTheme="majorBidi" w:cstheme="majorBidi"/>
          <w:sz w:val="24"/>
          <w:szCs w:val="24"/>
        </w:rPr>
        <w:t>Table X: Average percentage of resignations according to company size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65"/>
        <w:gridCol w:w="990"/>
        <w:gridCol w:w="1020"/>
        <w:gridCol w:w="1065"/>
        <w:gridCol w:w="1020"/>
        <w:gridCol w:w="1200"/>
      </w:tblGrid>
      <w:tr w:rsidR="00EE4D36" w:rsidRPr="00B557F4" w14:paraId="098CA556" w14:textId="77777777" w:rsidTr="00C23418">
        <w:trPr>
          <w:trHeight w:val="507"/>
        </w:trPr>
        <w:tc>
          <w:tcPr>
            <w:tcW w:w="4065" w:type="dxa"/>
            <w:tcMar>
              <w:top w:w="100" w:type="dxa"/>
              <w:left w:w="100" w:type="dxa"/>
              <w:bottom w:w="100" w:type="dxa"/>
              <w:right w:w="100" w:type="dxa"/>
            </w:tcMar>
          </w:tcPr>
          <w:p w14:paraId="26E0E0CE" w14:textId="77777777" w:rsidR="00EE4D36" w:rsidRPr="00B557F4" w:rsidRDefault="00EE4D36" w:rsidP="00B557F4">
            <w:pPr>
              <w:widowControl w:val="0"/>
              <w:spacing w:after="120" w:line="360" w:lineRule="auto"/>
              <w:rPr>
                <w:rFonts w:asciiTheme="majorBidi" w:eastAsia="Calibri" w:hAnsiTheme="majorBidi" w:cstheme="majorBidi"/>
                <w:b/>
                <w:sz w:val="24"/>
                <w:szCs w:val="24"/>
              </w:rPr>
            </w:pPr>
            <w:r w:rsidRPr="00B557F4">
              <w:rPr>
                <w:rFonts w:asciiTheme="majorBidi" w:hAnsiTheme="majorBidi" w:cstheme="majorBidi"/>
                <w:b/>
                <w:sz w:val="24"/>
                <w:szCs w:val="24"/>
              </w:rPr>
              <w:t>Number of workers at the start of the second half of 2021</w:t>
            </w:r>
          </w:p>
        </w:tc>
        <w:tc>
          <w:tcPr>
            <w:tcW w:w="990" w:type="dxa"/>
            <w:tcMar>
              <w:top w:w="100" w:type="dxa"/>
              <w:left w:w="100" w:type="dxa"/>
              <w:bottom w:w="100" w:type="dxa"/>
              <w:right w:w="100" w:type="dxa"/>
            </w:tcMar>
          </w:tcPr>
          <w:p w14:paraId="1C1D0605" w14:textId="77777777" w:rsidR="00EE4D36" w:rsidRPr="00B557F4" w:rsidRDefault="00EE4D36" w:rsidP="00DA3369">
            <w:pPr>
              <w:widowControl w:val="0"/>
              <w:spacing w:after="120" w:line="360" w:lineRule="auto"/>
              <w:rPr>
                <w:rFonts w:asciiTheme="majorBidi" w:eastAsia="Calibri" w:hAnsiTheme="majorBidi" w:cstheme="majorBidi"/>
                <w:b/>
                <w:sz w:val="24"/>
                <w:szCs w:val="24"/>
              </w:rPr>
            </w:pPr>
            <w:r w:rsidRPr="00B557F4">
              <w:rPr>
                <w:rFonts w:asciiTheme="majorBidi" w:hAnsiTheme="majorBidi" w:cstheme="majorBidi"/>
                <w:b/>
                <w:sz w:val="24"/>
                <w:szCs w:val="24"/>
              </w:rPr>
              <w:t>1-10</w:t>
            </w:r>
          </w:p>
        </w:tc>
        <w:tc>
          <w:tcPr>
            <w:tcW w:w="1020" w:type="dxa"/>
            <w:tcMar>
              <w:top w:w="100" w:type="dxa"/>
              <w:left w:w="100" w:type="dxa"/>
              <w:bottom w:w="100" w:type="dxa"/>
              <w:right w:w="100" w:type="dxa"/>
            </w:tcMar>
          </w:tcPr>
          <w:p w14:paraId="207CB6B9" w14:textId="77777777" w:rsidR="00EE4D36" w:rsidRPr="00B557F4" w:rsidRDefault="00EE4D36" w:rsidP="00DA3369">
            <w:pPr>
              <w:widowControl w:val="0"/>
              <w:spacing w:after="120" w:line="360" w:lineRule="auto"/>
              <w:rPr>
                <w:rFonts w:asciiTheme="majorBidi" w:eastAsia="Calibri" w:hAnsiTheme="majorBidi" w:cstheme="majorBidi"/>
                <w:b/>
                <w:sz w:val="24"/>
                <w:szCs w:val="24"/>
              </w:rPr>
            </w:pPr>
            <w:r w:rsidRPr="00B557F4">
              <w:rPr>
                <w:rFonts w:asciiTheme="majorBidi" w:hAnsiTheme="majorBidi" w:cstheme="majorBidi"/>
                <w:b/>
                <w:sz w:val="24"/>
                <w:szCs w:val="24"/>
              </w:rPr>
              <w:t>11-50</w:t>
            </w:r>
          </w:p>
        </w:tc>
        <w:tc>
          <w:tcPr>
            <w:tcW w:w="1065" w:type="dxa"/>
            <w:tcMar>
              <w:top w:w="100" w:type="dxa"/>
              <w:left w:w="100" w:type="dxa"/>
              <w:bottom w:w="100" w:type="dxa"/>
              <w:right w:w="100" w:type="dxa"/>
            </w:tcMar>
          </w:tcPr>
          <w:p w14:paraId="6B7AA6EE" w14:textId="77777777" w:rsidR="00EE4D36" w:rsidRPr="00B557F4" w:rsidRDefault="00EE4D36" w:rsidP="00DA3369">
            <w:pPr>
              <w:widowControl w:val="0"/>
              <w:spacing w:after="120" w:line="360" w:lineRule="auto"/>
              <w:rPr>
                <w:rFonts w:asciiTheme="majorBidi" w:eastAsia="Calibri" w:hAnsiTheme="majorBidi" w:cstheme="majorBidi"/>
                <w:b/>
                <w:sz w:val="24"/>
                <w:szCs w:val="24"/>
              </w:rPr>
            </w:pPr>
            <w:r w:rsidRPr="00B557F4">
              <w:rPr>
                <w:rFonts w:asciiTheme="majorBidi" w:hAnsiTheme="majorBidi" w:cstheme="majorBidi"/>
                <w:b/>
                <w:sz w:val="24"/>
                <w:szCs w:val="24"/>
              </w:rPr>
              <w:t>51-200</w:t>
            </w:r>
          </w:p>
        </w:tc>
        <w:tc>
          <w:tcPr>
            <w:tcW w:w="1020" w:type="dxa"/>
            <w:tcMar>
              <w:top w:w="100" w:type="dxa"/>
              <w:left w:w="100" w:type="dxa"/>
              <w:bottom w:w="100" w:type="dxa"/>
              <w:right w:w="100" w:type="dxa"/>
            </w:tcMar>
          </w:tcPr>
          <w:p w14:paraId="5B62DC7D" w14:textId="77777777" w:rsidR="00EE4D36" w:rsidRPr="00B557F4" w:rsidRDefault="00EE4D36" w:rsidP="00DA3369">
            <w:pPr>
              <w:widowControl w:val="0"/>
              <w:spacing w:after="120" w:line="360" w:lineRule="auto"/>
              <w:rPr>
                <w:rFonts w:asciiTheme="majorBidi" w:eastAsia="Calibri" w:hAnsiTheme="majorBidi" w:cstheme="majorBidi"/>
                <w:b/>
                <w:sz w:val="24"/>
                <w:szCs w:val="24"/>
              </w:rPr>
            </w:pPr>
            <w:r w:rsidRPr="00B557F4">
              <w:rPr>
                <w:rFonts w:asciiTheme="majorBidi" w:hAnsiTheme="majorBidi" w:cstheme="majorBidi"/>
                <w:b/>
                <w:sz w:val="24"/>
                <w:szCs w:val="24"/>
              </w:rPr>
              <w:t>201-500</w:t>
            </w:r>
          </w:p>
        </w:tc>
        <w:tc>
          <w:tcPr>
            <w:tcW w:w="1200" w:type="dxa"/>
            <w:tcMar>
              <w:top w:w="100" w:type="dxa"/>
              <w:left w:w="100" w:type="dxa"/>
              <w:bottom w:w="100" w:type="dxa"/>
              <w:right w:w="100" w:type="dxa"/>
            </w:tcMar>
          </w:tcPr>
          <w:p w14:paraId="7AB19421" w14:textId="77777777" w:rsidR="00EE4D36" w:rsidRPr="00B557F4" w:rsidRDefault="00EE4D36" w:rsidP="00DA3369">
            <w:pPr>
              <w:widowControl w:val="0"/>
              <w:spacing w:after="120" w:line="360" w:lineRule="auto"/>
              <w:rPr>
                <w:rFonts w:asciiTheme="majorBidi" w:eastAsia="Calibri" w:hAnsiTheme="majorBidi" w:cstheme="majorBidi"/>
                <w:b/>
                <w:sz w:val="24"/>
                <w:szCs w:val="24"/>
              </w:rPr>
            </w:pPr>
            <w:r w:rsidRPr="00B557F4">
              <w:rPr>
                <w:rFonts w:asciiTheme="majorBidi" w:hAnsiTheme="majorBidi" w:cstheme="majorBidi"/>
                <w:b/>
                <w:sz w:val="24"/>
                <w:szCs w:val="24"/>
              </w:rPr>
              <w:t>+501</w:t>
            </w:r>
          </w:p>
        </w:tc>
      </w:tr>
      <w:tr w:rsidR="00EE4D36" w:rsidRPr="00B557F4" w14:paraId="0AD871C7" w14:textId="77777777" w:rsidTr="00C23418">
        <w:trPr>
          <w:trHeight w:val="435"/>
        </w:trPr>
        <w:tc>
          <w:tcPr>
            <w:tcW w:w="4065" w:type="dxa"/>
            <w:tcMar>
              <w:top w:w="100" w:type="dxa"/>
              <w:left w:w="100" w:type="dxa"/>
              <w:bottom w:w="100" w:type="dxa"/>
              <w:right w:w="100" w:type="dxa"/>
            </w:tcMar>
          </w:tcPr>
          <w:p w14:paraId="73AF84B8" w14:textId="77777777" w:rsidR="00EE4D36" w:rsidRPr="00B557F4" w:rsidRDefault="00EE4D36" w:rsidP="00B557F4">
            <w:pPr>
              <w:widowControl w:val="0"/>
              <w:spacing w:after="120" w:line="360" w:lineRule="auto"/>
              <w:rPr>
                <w:rFonts w:asciiTheme="majorBidi" w:eastAsia="Calibri" w:hAnsiTheme="majorBidi" w:cstheme="majorBidi"/>
                <w:b/>
                <w:sz w:val="24"/>
                <w:szCs w:val="24"/>
              </w:rPr>
            </w:pPr>
            <w:r w:rsidRPr="00B557F4">
              <w:rPr>
                <w:rFonts w:asciiTheme="majorBidi" w:hAnsiTheme="majorBidi" w:cstheme="majorBidi"/>
                <w:b/>
                <w:sz w:val="24"/>
                <w:szCs w:val="24"/>
              </w:rPr>
              <w:t>Percentage of resignations during the second half of 2021</w:t>
            </w:r>
          </w:p>
        </w:tc>
        <w:tc>
          <w:tcPr>
            <w:tcW w:w="990" w:type="dxa"/>
            <w:shd w:val="clear" w:color="auto" w:fill="auto"/>
            <w:tcMar>
              <w:top w:w="100" w:type="dxa"/>
              <w:left w:w="100" w:type="dxa"/>
              <w:bottom w:w="100" w:type="dxa"/>
              <w:right w:w="100" w:type="dxa"/>
            </w:tcMar>
          </w:tcPr>
          <w:p w14:paraId="2F8374B1" w14:textId="77777777" w:rsidR="00EE4D36" w:rsidRPr="00B557F4" w:rsidRDefault="00EE4D36" w:rsidP="00B557F4">
            <w:pPr>
              <w:widowControl w:val="0"/>
              <w:pBdr>
                <w:top w:val="nil"/>
                <w:left w:val="nil"/>
                <w:bottom w:val="nil"/>
                <w:right w:val="nil"/>
                <w:between w:val="nil"/>
              </w:pBdr>
              <w:spacing w:after="120" w:line="360" w:lineRule="auto"/>
              <w:rPr>
                <w:rFonts w:asciiTheme="majorBidi" w:eastAsia="Calibri" w:hAnsiTheme="majorBidi" w:cstheme="majorBidi"/>
                <w:sz w:val="24"/>
                <w:szCs w:val="24"/>
              </w:rPr>
            </w:pPr>
            <w:r w:rsidRPr="00B557F4">
              <w:rPr>
                <w:rFonts w:asciiTheme="majorBidi" w:hAnsiTheme="majorBidi" w:cstheme="majorBidi"/>
                <w:sz w:val="24"/>
                <w:szCs w:val="24"/>
              </w:rPr>
              <w:t>37.1%</w:t>
            </w:r>
          </w:p>
        </w:tc>
        <w:tc>
          <w:tcPr>
            <w:tcW w:w="1020" w:type="dxa"/>
            <w:shd w:val="clear" w:color="auto" w:fill="auto"/>
            <w:tcMar>
              <w:top w:w="100" w:type="dxa"/>
              <w:left w:w="100" w:type="dxa"/>
              <w:bottom w:w="100" w:type="dxa"/>
              <w:right w:w="100" w:type="dxa"/>
            </w:tcMar>
          </w:tcPr>
          <w:p w14:paraId="612068DD" w14:textId="77777777" w:rsidR="00EE4D36" w:rsidRPr="00B557F4" w:rsidRDefault="00EE4D36" w:rsidP="00B557F4">
            <w:pPr>
              <w:widowControl w:val="0"/>
              <w:pBdr>
                <w:top w:val="nil"/>
                <w:left w:val="nil"/>
                <w:bottom w:val="nil"/>
                <w:right w:val="nil"/>
                <w:between w:val="nil"/>
              </w:pBdr>
              <w:spacing w:after="120" w:line="360" w:lineRule="auto"/>
              <w:rPr>
                <w:rFonts w:asciiTheme="majorBidi" w:eastAsia="Calibri" w:hAnsiTheme="majorBidi" w:cstheme="majorBidi"/>
                <w:sz w:val="24"/>
                <w:szCs w:val="24"/>
              </w:rPr>
            </w:pPr>
            <w:r w:rsidRPr="00B557F4">
              <w:rPr>
                <w:rFonts w:asciiTheme="majorBidi" w:hAnsiTheme="majorBidi" w:cstheme="majorBidi"/>
                <w:sz w:val="24"/>
                <w:szCs w:val="24"/>
              </w:rPr>
              <w:t>17.5%</w:t>
            </w:r>
          </w:p>
        </w:tc>
        <w:tc>
          <w:tcPr>
            <w:tcW w:w="1065" w:type="dxa"/>
            <w:shd w:val="clear" w:color="auto" w:fill="auto"/>
            <w:tcMar>
              <w:top w:w="100" w:type="dxa"/>
              <w:left w:w="100" w:type="dxa"/>
              <w:bottom w:w="100" w:type="dxa"/>
              <w:right w:w="100" w:type="dxa"/>
            </w:tcMar>
          </w:tcPr>
          <w:p w14:paraId="3363D9D3" w14:textId="77777777" w:rsidR="00EE4D36" w:rsidRPr="00B557F4" w:rsidRDefault="00EE4D36" w:rsidP="00B557F4">
            <w:pPr>
              <w:widowControl w:val="0"/>
              <w:pBdr>
                <w:top w:val="nil"/>
                <w:left w:val="nil"/>
                <w:bottom w:val="nil"/>
                <w:right w:val="nil"/>
                <w:between w:val="nil"/>
              </w:pBdr>
              <w:spacing w:after="120" w:line="360" w:lineRule="auto"/>
              <w:rPr>
                <w:rFonts w:asciiTheme="majorBidi" w:eastAsia="Calibri" w:hAnsiTheme="majorBidi" w:cstheme="majorBidi"/>
                <w:sz w:val="24"/>
                <w:szCs w:val="24"/>
              </w:rPr>
            </w:pPr>
            <w:r w:rsidRPr="00B557F4">
              <w:rPr>
                <w:rFonts w:asciiTheme="majorBidi" w:hAnsiTheme="majorBidi" w:cstheme="majorBidi"/>
                <w:sz w:val="24"/>
                <w:szCs w:val="24"/>
              </w:rPr>
              <w:t>9.9%</w:t>
            </w:r>
          </w:p>
        </w:tc>
        <w:tc>
          <w:tcPr>
            <w:tcW w:w="1020" w:type="dxa"/>
            <w:shd w:val="clear" w:color="auto" w:fill="auto"/>
            <w:tcMar>
              <w:top w:w="100" w:type="dxa"/>
              <w:left w:w="100" w:type="dxa"/>
              <w:bottom w:w="100" w:type="dxa"/>
              <w:right w:w="100" w:type="dxa"/>
            </w:tcMar>
          </w:tcPr>
          <w:p w14:paraId="18A850F1" w14:textId="77777777" w:rsidR="00EE4D36" w:rsidRPr="00B557F4" w:rsidRDefault="00EE4D36" w:rsidP="00B557F4">
            <w:pPr>
              <w:widowControl w:val="0"/>
              <w:pBdr>
                <w:top w:val="nil"/>
                <w:left w:val="nil"/>
                <w:bottom w:val="nil"/>
                <w:right w:val="nil"/>
                <w:between w:val="nil"/>
              </w:pBdr>
              <w:spacing w:after="120" w:line="360" w:lineRule="auto"/>
              <w:rPr>
                <w:rFonts w:asciiTheme="majorBidi" w:eastAsia="Calibri" w:hAnsiTheme="majorBidi" w:cstheme="majorBidi"/>
                <w:sz w:val="24"/>
                <w:szCs w:val="24"/>
              </w:rPr>
            </w:pPr>
            <w:r w:rsidRPr="00B557F4">
              <w:rPr>
                <w:rFonts w:asciiTheme="majorBidi" w:hAnsiTheme="majorBidi" w:cstheme="majorBidi"/>
                <w:sz w:val="24"/>
                <w:szCs w:val="24"/>
              </w:rPr>
              <w:t>7.4%</w:t>
            </w:r>
          </w:p>
        </w:tc>
        <w:tc>
          <w:tcPr>
            <w:tcW w:w="1200" w:type="dxa"/>
            <w:shd w:val="clear" w:color="auto" w:fill="auto"/>
            <w:tcMar>
              <w:top w:w="100" w:type="dxa"/>
              <w:left w:w="100" w:type="dxa"/>
              <w:bottom w:w="100" w:type="dxa"/>
              <w:right w:w="100" w:type="dxa"/>
            </w:tcMar>
          </w:tcPr>
          <w:p w14:paraId="0C35E680" w14:textId="77777777" w:rsidR="00EE4D36" w:rsidRPr="00B557F4" w:rsidRDefault="00EE4D36" w:rsidP="00B557F4">
            <w:pPr>
              <w:widowControl w:val="0"/>
              <w:pBdr>
                <w:top w:val="nil"/>
                <w:left w:val="nil"/>
                <w:bottom w:val="nil"/>
                <w:right w:val="nil"/>
                <w:between w:val="nil"/>
              </w:pBdr>
              <w:spacing w:after="120" w:line="360" w:lineRule="auto"/>
              <w:rPr>
                <w:rFonts w:asciiTheme="majorBidi" w:eastAsia="Calibri" w:hAnsiTheme="majorBidi" w:cstheme="majorBidi"/>
                <w:sz w:val="24"/>
                <w:szCs w:val="24"/>
              </w:rPr>
            </w:pPr>
            <w:r w:rsidRPr="00B557F4">
              <w:rPr>
                <w:rFonts w:asciiTheme="majorBidi" w:hAnsiTheme="majorBidi" w:cstheme="majorBidi"/>
                <w:sz w:val="24"/>
                <w:szCs w:val="24"/>
              </w:rPr>
              <w:t>6.6%</w:t>
            </w:r>
          </w:p>
        </w:tc>
      </w:tr>
      <w:tr w:rsidR="00EE4D36" w:rsidRPr="00B557F4" w14:paraId="06FE22F6" w14:textId="77777777" w:rsidTr="00C23418">
        <w:trPr>
          <w:trHeight w:val="507"/>
        </w:trPr>
        <w:tc>
          <w:tcPr>
            <w:tcW w:w="4065" w:type="dxa"/>
            <w:tcMar>
              <w:top w:w="100" w:type="dxa"/>
              <w:left w:w="100" w:type="dxa"/>
              <w:bottom w:w="100" w:type="dxa"/>
              <w:right w:w="100" w:type="dxa"/>
            </w:tcMar>
          </w:tcPr>
          <w:p w14:paraId="2C919864" w14:textId="77777777" w:rsidR="00EE4D36" w:rsidRPr="00B557F4" w:rsidRDefault="00EE4D36" w:rsidP="00B557F4">
            <w:pPr>
              <w:widowControl w:val="0"/>
              <w:spacing w:after="120" w:line="360" w:lineRule="auto"/>
              <w:rPr>
                <w:rFonts w:asciiTheme="majorBidi" w:eastAsia="Calibri" w:hAnsiTheme="majorBidi" w:cstheme="majorBidi"/>
                <w:b/>
                <w:sz w:val="24"/>
                <w:szCs w:val="24"/>
              </w:rPr>
            </w:pPr>
            <w:r w:rsidRPr="00B557F4">
              <w:rPr>
                <w:rFonts w:asciiTheme="majorBidi" w:hAnsiTheme="majorBidi" w:cstheme="majorBidi"/>
                <w:b/>
                <w:sz w:val="24"/>
                <w:szCs w:val="24"/>
              </w:rPr>
              <w:t>Percentage of resignations among R&amp;D workers during the second half of 2021</w:t>
            </w:r>
          </w:p>
        </w:tc>
        <w:tc>
          <w:tcPr>
            <w:tcW w:w="990" w:type="dxa"/>
            <w:shd w:val="clear" w:color="auto" w:fill="auto"/>
            <w:tcMar>
              <w:top w:w="100" w:type="dxa"/>
              <w:left w:w="100" w:type="dxa"/>
              <w:bottom w:w="100" w:type="dxa"/>
              <w:right w:w="100" w:type="dxa"/>
            </w:tcMar>
          </w:tcPr>
          <w:p w14:paraId="688FF789" w14:textId="77777777" w:rsidR="00EE4D36" w:rsidRPr="00B557F4" w:rsidRDefault="00EE4D36" w:rsidP="00B557F4">
            <w:pPr>
              <w:widowControl w:val="0"/>
              <w:pBdr>
                <w:top w:val="nil"/>
                <w:left w:val="nil"/>
                <w:bottom w:val="nil"/>
                <w:right w:val="nil"/>
                <w:between w:val="nil"/>
              </w:pBdr>
              <w:spacing w:after="120" w:line="360" w:lineRule="auto"/>
              <w:rPr>
                <w:rFonts w:asciiTheme="majorBidi" w:eastAsia="Calibri" w:hAnsiTheme="majorBidi" w:cstheme="majorBidi"/>
                <w:sz w:val="24"/>
                <w:szCs w:val="24"/>
              </w:rPr>
            </w:pPr>
            <w:r w:rsidRPr="00B557F4">
              <w:rPr>
                <w:rFonts w:asciiTheme="majorBidi" w:hAnsiTheme="majorBidi" w:cstheme="majorBidi"/>
                <w:sz w:val="24"/>
                <w:szCs w:val="24"/>
              </w:rPr>
              <w:t>7.1%</w:t>
            </w:r>
          </w:p>
        </w:tc>
        <w:tc>
          <w:tcPr>
            <w:tcW w:w="1020" w:type="dxa"/>
            <w:shd w:val="clear" w:color="auto" w:fill="auto"/>
            <w:tcMar>
              <w:top w:w="100" w:type="dxa"/>
              <w:left w:w="100" w:type="dxa"/>
              <w:bottom w:w="100" w:type="dxa"/>
              <w:right w:w="100" w:type="dxa"/>
            </w:tcMar>
          </w:tcPr>
          <w:p w14:paraId="76184059" w14:textId="77777777" w:rsidR="00EE4D36" w:rsidRPr="00B557F4" w:rsidRDefault="00EE4D36" w:rsidP="00B557F4">
            <w:pPr>
              <w:widowControl w:val="0"/>
              <w:pBdr>
                <w:top w:val="nil"/>
                <w:left w:val="nil"/>
                <w:bottom w:val="nil"/>
                <w:right w:val="nil"/>
                <w:between w:val="nil"/>
              </w:pBdr>
              <w:spacing w:after="120" w:line="360" w:lineRule="auto"/>
              <w:rPr>
                <w:rFonts w:asciiTheme="majorBidi" w:eastAsia="Calibri" w:hAnsiTheme="majorBidi" w:cstheme="majorBidi"/>
                <w:sz w:val="24"/>
                <w:szCs w:val="24"/>
              </w:rPr>
            </w:pPr>
            <w:r w:rsidRPr="00B557F4">
              <w:rPr>
                <w:rFonts w:asciiTheme="majorBidi" w:hAnsiTheme="majorBidi" w:cstheme="majorBidi"/>
                <w:sz w:val="24"/>
                <w:szCs w:val="24"/>
              </w:rPr>
              <w:t>9.2%</w:t>
            </w:r>
          </w:p>
        </w:tc>
        <w:tc>
          <w:tcPr>
            <w:tcW w:w="1065" w:type="dxa"/>
            <w:shd w:val="clear" w:color="auto" w:fill="auto"/>
            <w:tcMar>
              <w:top w:w="100" w:type="dxa"/>
              <w:left w:w="100" w:type="dxa"/>
              <w:bottom w:w="100" w:type="dxa"/>
              <w:right w:w="100" w:type="dxa"/>
            </w:tcMar>
          </w:tcPr>
          <w:p w14:paraId="1B6980A8" w14:textId="77777777" w:rsidR="00EE4D36" w:rsidRPr="00B557F4" w:rsidRDefault="00EE4D36" w:rsidP="00B557F4">
            <w:pPr>
              <w:widowControl w:val="0"/>
              <w:pBdr>
                <w:top w:val="nil"/>
                <w:left w:val="nil"/>
                <w:bottom w:val="nil"/>
                <w:right w:val="nil"/>
                <w:between w:val="nil"/>
              </w:pBdr>
              <w:spacing w:after="120" w:line="360" w:lineRule="auto"/>
              <w:rPr>
                <w:rFonts w:asciiTheme="majorBidi" w:eastAsia="Calibri" w:hAnsiTheme="majorBidi" w:cstheme="majorBidi"/>
                <w:sz w:val="24"/>
                <w:szCs w:val="24"/>
              </w:rPr>
            </w:pPr>
            <w:r w:rsidRPr="00B557F4">
              <w:rPr>
                <w:rFonts w:asciiTheme="majorBidi" w:hAnsiTheme="majorBidi" w:cstheme="majorBidi"/>
                <w:sz w:val="24"/>
                <w:szCs w:val="24"/>
              </w:rPr>
              <w:t>9.5%</w:t>
            </w:r>
          </w:p>
        </w:tc>
        <w:tc>
          <w:tcPr>
            <w:tcW w:w="1020" w:type="dxa"/>
            <w:shd w:val="clear" w:color="auto" w:fill="auto"/>
            <w:tcMar>
              <w:top w:w="100" w:type="dxa"/>
              <w:left w:w="100" w:type="dxa"/>
              <w:bottom w:w="100" w:type="dxa"/>
              <w:right w:w="100" w:type="dxa"/>
            </w:tcMar>
          </w:tcPr>
          <w:p w14:paraId="39797D48" w14:textId="77777777" w:rsidR="00EE4D36" w:rsidRPr="00B557F4" w:rsidRDefault="00EE4D36" w:rsidP="00B557F4">
            <w:pPr>
              <w:widowControl w:val="0"/>
              <w:pBdr>
                <w:top w:val="nil"/>
                <w:left w:val="nil"/>
                <w:bottom w:val="nil"/>
                <w:right w:val="nil"/>
                <w:between w:val="nil"/>
              </w:pBdr>
              <w:spacing w:after="120" w:line="360" w:lineRule="auto"/>
              <w:rPr>
                <w:rFonts w:asciiTheme="majorBidi" w:eastAsia="Calibri" w:hAnsiTheme="majorBidi" w:cstheme="majorBidi"/>
                <w:sz w:val="24"/>
                <w:szCs w:val="24"/>
              </w:rPr>
            </w:pPr>
            <w:r w:rsidRPr="00B557F4">
              <w:rPr>
                <w:rFonts w:asciiTheme="majorBidi" w:hAnsiTheme="majorBidi" w:cstheme="majorBidi"/>
                <w:sz w:val="24"/>
                <w:szCs w:val="24"/>
              </w:rPr>
              <w:t>7.7%</w:t>
            </w:r>
          </w:p>
        </w:tc>
        <w:tc>
          <w:tcPr>
            <w:tcW w:w="1200" w:type="dxa"/>
            <w:shd w:val="clear" w:color="auto" w:fill="auto"/>
            <w:tcMar>
              <w:top w:w="100" w:type="dxa"/>
              <w:left w:w="100" w:type="dxa"/>
              <w:bottom w:w="100" w:type="dxa"/>
              <w:right w:w="100" w:type="dxa"/>
            </w:tcMar>
          </w:tcPr>
          <w:p w14:paraId="04C7FB3E" w14:textId="77777777" w:rsidR="00EE4D36" w:rsidRPr="00B557F4" w:rsidRDefault="00EE4D36" w:rsidP="00B557F4">
            <w:pPr>
              <w:widowControl w:val="0"/>
              <w:pBdr>
                <w:top w:val="nil"/>
                <w:left w:val="nil"/>
                <w:bottom w:val="nil"/>
                <w:right w:val="nil"/>
                <w:between w:val="nil"/>
              </w:pBdr>
              <w:spacing w:after="120" w:line="360" w:lineRule="auto"/>
              <w:rPr>
                <w:rFonts w:asciiTheme="majorBidi" w:eastAsia="Calibri" w:hAnsiTheme="majorBidi" w:cstheme="majorBidi"/>
                <w:sz w:val="24"/>
                <w:szCs w:val="24"/>
              </w:rPr>
            </w:pPr>
            <w:r w:rsidRPr="00B557F4">
              <w:rPr>
                <w:rFonts w:asciiTheme="majorBidi" w:hAnsiTheme="majorBidi" w:cstheme="majorBidi"/>
                <w:sz w:val="24"/>
                <w:szCs w:val="24"/>
              </w:rPr>
              <w:t>7.8%</w:t>
            </w:r>
          </w:p>
        </w:tc>
      </w:tr>
    </w:tbl>
    <w:p w14:paraId="5E8FFC00" w14:textId="77777777" w:rsidR="00EE4D36" w:rsidRPr="00B557F4" w:rsidRDefault="00EE4D36" w:rsidP="00B557F4">
      <w:pPr>
        <w:bidi/>
        <w:spacing w:after="120" w:line="360" w:lineRule="auto"/>
        <w:rPr>
          <w:rFonts w:asciiTheme="majorBidi" w:eastAsia="Calibri" w:hAnsiTheme="majorBidi" w:cstheme="majorBidi"/>
          <w:sz w:val="24"/>
          <w:szCs w:val="24"/>
        </w:rPr>
      </w:pPr>
    </w:p>
    <w:p w14:paraId="54C37486" w14:textId="0D695BCA" w:rsidR="00EE4D36" w:rsidRPr="00B557F4" w:rsidRDefault="00EE4D36" w:rsidP="00B557F4">
      <w:pPr>
        <w:spacing w:after="120" w:line="360" w:lineRule="auto"/>
        <w:jc w:val="both"/>
        <w:rPr>
          <w:rFonts w:asciiTheme="majorBidi" w:eastAsia="Calibri" w:hAnsiTheme="majorBidi" w:cstheme="majorBidi"/>
          <w:sz w:val="24"/>
          <w:szCs w:val="24"/>
        </w:rPr>
      </w:pPr>
      <w:r w:rsidRPr="00B557F4">
        <w:rPr>
          <w:rFonts w:asciiTheme="majorBidi" w:hAnsiTheme="majorBidi" w:cstheme="majorBidi"/>
          <w:sz w:val="24"/>
          <w:szCs w:val="24"/>
        </w:rPr>
        <w:t>In order to isolate the influence of various factors (sector, company size, ownership type) on the rate of layoffs, we conducted linear regression (see results). We found a strong and significant effect on company size, as described above.</w:t>
      </w:r>
    </w:p>
    <w:p w14:paraId="695A216D" w14:textId="15100381" w:rsidR="00EE4D36" w:rsidRPr="00B557F4" w:rsidRDefault="00EE4D36" w:rsidP="00B557F4">
      <w:pPr>
        <w:spacing w:after="120" w:line="360" w:lineRule="auto"/>
        <w:jc w:val="both"/>
        <w:rPr>
          <w:rFonts w:asciiTheme="majorBidi" w:eastAsia="Calibri" w:hAnsiTheme="majorBidi" w:cstheme="majorBidi"/>
          <w:sz w:val="24"/>
          <w:szCs w:val="24"/>
        </w:rPr>
      </w:pPr>
      <w:r w:rsidRPr="00B557F4">
        <w:rPr>
          <w:rFonts w:asciiTheme="majorBidi" w:hAnsiTheme="majorBidi" w:cstheme="majorBidi"/>
          <w:sz w:val="24"/>
          <w:szCs w:val="24"/>
        </w:rPr>
        <w:t xml:space="preserve">We found no differences in the rate of voluntary resignation among the various sectors, apart from the Life Science and Cleantech sector, in which the rate of voluntary resignation was significantly lower, amounting to 9.2%. The regression analysis shows that this difference is greater than it appears, as in this sector the companies are smaller in size on average than in the other industry sectors; therefore, we </w:t>
      </w:r>
      <w:r w:rsidR="00011455">
        <w:rPr>
          <w:rFonts w:asciiTheme="majorBidi" w:hAnsiTheme="majorBidi" w:cstheme="majorBidi"/>
          <w:sz w:val="24"/>
          <w:szCs w:val="24"/>
        </w:rPr>
        <w:t>sh</w:t>
      </w:r>
      <w:r w:rsidRPr="00B557F4">
        <w:rPr>
          <w:rFonts w:asciiTheme="majorBidi" w:hAnsiTheme="majorBidi" w:cstheme="majorBidi"/>
          <w:sz w:val="24"/>
          <w:szCs w:val="24"/>
        </w:rPr>
        <w:t xml:space="preserve">ould expect a higher rate of voluntary resignations. One possible explanation for this phenomenon is that this sector employs workers with more varied scientific training (see later on the distinction between “high-tech professions” and other STEM professions), and these </w:t>
      </w:r>
      <w:r w:rsidR="0094604D">
        <w:rPr>
          <w:rFonts w:asciiTheme="majorBidi" w:hAnsiTheme="majorBidi" w:cstheme="majorBidi"/>
          <w:sz w:val="24"/>
          <w:szCs w:val="24"/>
        </w:rPr>
        <w:t>employees</w:t>
      </w:r>
      <w:r w:rsidR="0094604D" w:rsidRPr="00B557F4">
        <w:rPr>
          <w:rFonts w:asciiTheme="majorBidi" w:hAnsiTheme="majorBidi" w:cstheme="majorBidi"/>
          <w:sz w:val="24"/>
          <w:szCs w:val="24"/>
        </w:rPr>
        <w:t xml:space="preserve"> </w:t>
      </w:r>
      <w:r w:rsidRPr="00B557F4">
        <w:rPr>
          <w:rFonts w:asciiTheme="majorBidi" w:hAnsiTheme="majorBidi" w:cstheme="majorBidi"/>
          <w:sz w:val="24"/>
          <w:szCs w:val="24"/>
        </w:rPr>
        <w:t xml:space="preserve">have fewer alternatives. Alternatively, it is possible that the nature of the projects in this sector generates a higher degree of </w:t>
      </w:r>
      <w:r w:rsidR="0094604D">
        <w:rPr>
          <w:rFonts w:asciiTheme="majorBidi" w:hAnsiTheme="majorBidi" w:cstheme="majorBidi"/>
          <w:sz w:val="24"/>
          <w:szCs w:val="24"/>
        </w:rPr>
        <w:t>employee</w:t>
      </w:r>
      <w:r w:rsidR="0094604D" w:rsidRPr="00B557F4">
        <w:rPr>
          <w:rFonts w:asciiTheme="majorBidi" w:hAnsiTheme="majorBidi" w:cstheme="majorBidi"/>
          <w:sz w:val="24"/>
          <w:szCs w:val="24"/>
        </w:rPr>
        <w:t xml:space="preserve"> </w:t>
      </w:r>
      <w:r w:rsidRPr="00B557F4">
        <w:rPr>
          <w:rFonts w:asciiTheme="majorBidi" w:hAnsiTheme="majorBidi" w:cstheme="majorBidi"/>
          <w:sz w:val="24"/>
          <w:szCs w:val="24"/>
        </w:rPr>
        <w:t>commitment.</w:t>
      </w:r>
    </w:p>
    <w:p w14:paraId="5358D88C" w14:textId="50D59158" w:rsidR="00EE4D36" w:rsidRPr="00B557F4" w:rsidRDefault="00EE4D36" w:rsidP="00B557F4">
      <w:pPr>
        <w:spacing w:after="120" w:line="360" w:lineRule="auto"/>
        <w:jc w:val="both"/>
        <w:rPr>
          <w:rFonts w:asciiTheme="majorBidi" w:eastAsia="Calibri" w:hAnsiTheme="majorBidi" w:cstheme="majorBidi"/>
          <w:sz w:val="24"/>
          <w:szCs w:val="24"/>
        </w:rPr>
      </w:pPr>
      <w:r w:rsidRPr="00B557F4">
        <w:rPr>
          <w:rFonts w:asciiTheme="majorBidi" w:hAnsiTheme="majorBidi" w:cstheme="majorBidi"/>
          <w:sz w:val="24"/>
          <w:szCs w:val="24"/>
        </w:rPr>
        <w:t xml:space="preserve">An interesting finding arising from this statistical analysis is that in those companies </w:t>
      </w:r>
      <w:r w:rsidR="0094604D">
        <w:rPr>
          <w:rFonts w:asciiTheme="majorBidi" w:hAnsiTheme="majorBidi" w:cstheme="majorBidi"/>
          <w:sz w:val="24"/>
          <w:szCs w:val="24"/>
        </w:rPr>
        <w:t>employing</w:t>
      </w:r>
      <w:r w:rsidR="0094604D" w:rsidRPr="00B557F4">
        <w:rPr>
          <w:rFonts w:asciiTheme="majorBidi" w:hAnsiTheme="majorBidi" w:cstheme="majorBidi"/>
          <w:sz w:val="24"/>
          <w:szCs w:val="24"/>
        </w:rPr>
        <w:t xml:space="preserve"> </w:t>
      </w:r>
      <w:r w:rsidRPr="00B557F4">
        <w:rPr>
          <w:rFonts w:asciiTheme="majorBidi" w:hAnsiTheme="majorBidi" w:cstheme="majorBidi"/>
          <w:sz w:val="24"/>
          <w:szCs w:val="24"/>
        </w:rPr>
        <w:t xml:space="preserve">a higher proportion </w:t>
      </w:r>
      <w:r w:rsidR="0094604D">
        <w:rPr>
          <w:rFonts w:asciiTheme="majorBidi" w:hAnsiTheme="majorBidi" w:cstheme="majorBidi"/>
          <w:sz w:val="24"/>
          <w:szCs w:val="24"/>
        </w:rPr>
        <w:t>women</w:t>
      </w:r>
      <w:r w:rsidRPr="00B557F4">
        <w:rPr>
          <w:rFonts w:asciiTheme="majorBidi" w:hAnsiTheme="majorBidi" w:cstheme="majorBidi"/>
          <w:sz w:val="24"/>
          <w:szCs w:val="24"/>
        </w:rPr>
        <w:t xml:space="preserve">, the rate of voluntary resignation is significantly lower (6.9 percentage points less). A key potential reason for this is that women are less likely to leave workplaces, but </w:t>
      </w:r>
      <w:r w:rsidRPr="00B557F4">
        <w:rPr>
          <w:rFonts w:asciiTheme="majorBidi" w:hAnsiTheme="majorBidi" w:cstheme="majorBidi"/>
          <w:sz w:val="24"/>
          <w:szCs w:val="24"/>
        </w:rPr>
        <w:lastRenderedPageBreak/>
        <w:t>it is also possible that women tend to work at companies with specific characteristics, which reduce the tendency to resign, even among the men working there.</w:t>
      </w:r>
    </w:p>
    <w:p w14:paraId="615104CA" w14:textId="12785AB7" w:rsidR="00EE4D36" w:rsidRPr="00B557F4" w:rsidRDefault="00EE4D36" w:rsidP="00B557F4">
      <w:pPr>
        <w:spacing w:after="120" w:line="360" w:lineRule="auto"/>
        <w:rPr>
          <w:rFonts w:asciiTheme="majorBidi" w:hAnsiTheme="majorBidi" w:cstheme="majorBidi"/>
          <w:sz w:val="24"/>
          <w:szCs w:val="24"/>
        </w:rPr>
      </w:pPr>
    </w:p>
    <w:p w14:paraId="484E43D9" w14:textId="77777777" w:rsidR="00EE4D36" w:rsidRPr="00B557F4" w:rsidRDefault="00EE4D36" w:rsidP="00B557F4">
      <w:pPr>
        <w:spacing w:after="120" w:line="360" w:lineRule="auto"/>
        <w:rPr>
          <w:rFonts w:asciiTheme="majorBidi" w:hAnsiTheme="majorBidi" w:cstheme="majorBidi"/>
          <w:sz w:val="24"/>
          <w:szCs w:val="24"/>
        </w:rPr>
      </w:pPr>
    </w:p>
    <w:p w14:paraId="46E314EC" w14:textId="1DF316B2" w:rsidR="00EE4D36" w:rsidRPr="001723A9" w:rsidRDefault="00EE4D36" w:rsidP="00B557F4">
      <w:pPr>
        <w:pStyle w:val="Heading1"/>
        <w:spacing w:line="360" w:lineRule="auto"/>
        <w:jc w:val="both"/>
        <w:rPr>
          <w:rFonts w:asciiTheme="majorBidi" w:hAnsiTheme="majorBidi" w:cstheme="majorBidi"/>
          <w:sz w:val="32"/>
          <w:szCs w:val="32"/>
        </w:rPr>
      </w:pPr>
      <w:r w:rsidRPr="001723A9">
        <w:rPr>
          <w:rFonts w:asciiTheme="majorBidi" w:hAnsiTheme="majorBidi" w:cstheme="majorBidi"/>
          <w:sz w:val="32"/>
          <w:szCs w:val="32"/>
        </w:rPr>
        <w:t>Statistic Annex – Chapter 3</w:t>
      </w:r>
    </w:p>
    <w:p w14:paraId="606661FA" w14:textId="77777777" w:rsidR="00EE4D36" w:rsidRPr="00B557F4" w:rsidRDefault="00EE4D36" w:rsidP="00B557F4">
      <w:pPr>
        <w:bidi/>
        <w:spacing w:after="120" w:line="360" w:lineRule="auto"/>
        <w:rPr>
          <w:rFonts w:asciiTheme="majorBidi" w:eastAsia="Calibri" w:hAnsiTheme="majorBidi" w:cstheme="majorBidi"/>
          <w:color w:val="FF0000"/>
          <w:sz w:val="24"/>
          <w:szCs w:val="24"/>
        </w:rPr>
      </w:pPr>
    </w:p>
    <w:p w14:paraId="52C9A3FD" w14:textId="77777777" w:rsidR="00EE4D36" w:rsidRPr="00B557F4" w:rsidRDefault="00EE4D36" w:rsidP="00B557F4">
      <w:pPr>
        <w:spacing w:after="120" w:line="360" w:lineRule="auto"/>
        <w:rPr>
          <w:rFonts w:asciiTheme="majorBidi" w:hAnsiTheme="majorBidi" w:cstheme="majorBidi"/>
          <w:sz w:val="24"/>
          <w:szCs w:val="24"/>
        </w:rPr>
      </w:pPr>
      <w:r w:rsidRPr="00B557F4">
        <w:rPr>
          <w:rFonts w:asciiTheme="majorBidi" w:hAnsiTheme="majorBidi" w:cstheme="majorBidi"/>
          <w:noProof/>
          <w:sz w:val="24"/>
          <w:szCs w:val="24"/>
        </w:rPr>
        <w:drawing>
          <wp:inline distT="114300" distB="114300" distL="114300" distR="114300" wp14:anchorId="7FB8CEFB" wp14:editId="6FE96453">
            <wp:extent cx="5943600" cy="1982626"/>
            <wp:effectExtent l="0" t="0" r="0" b="0"/>
            <wp:docPr id="24" name="image3.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24" name="image3.png" descr="Table&#10;&#10;Description automatically generated"/>
                    <pic:cNvPicPr preferRelativeResize="0"/>
                  </pic:nvPicPr>
                  <pic:blipFill>
                    <a:blip r:embed="rId10"/>
                    <a:srcRect/>
                    <a:stretch>
                      <a:fillRect/>
                    </a:stretch>
                  </pic:blipFill>
                  <pic:spPr>
                    <a:xfrm>
                      <a:off x="0" y="0"/>
                      <a:ext cx="5943600" cy="1982626"/>
                    </a:xfrm>
                    <a:prstGeom prst="rect">
                      <a:avLst/>
                    </a:prstGeom>
                    <a:ln/>
                  </pic:spPr>
                </pic:pic>
              </a:graphicData>
            </a:graphic>
          </wp:inline>
        </w:drawing>
      </w:r>
    </w:p>
    <w:p w14:paraId="1CA4F788" w14:textId="2BD7BB26" w:rsidR="00EE4D36" w:rsidRPr="00B557F4" w:rsidRDefault="00EE4D36" w:rsidP="00B557F4">
      <w:pPr>
        <w:spacing w:before="240" w:after="120" w:line="360" w:lineRule="auto"/>
        <w:jc w:val="both"/>
        <w:rPr>
          <w:rFonts w:asciiTheme="majorBidi" w:eastAsia="Calibri" w:hAnsiTheme="majorBidi" w:cstheme="majorBidi"/>
          <w:b/>
          <w:sz w:val="24"/>
          <w:szCs w:val="24"/>
        </w:rPr>
      </w:pPr>
      <w:r w:rsidRPr="00B557F4">
        <w:rPr>
          <w:rFonts w:asciiTheme="majorBidi" w:hAnsiTheme="majorBidi" w:cstheme="majorBidi"/>
          <w:noProof/>
          <w:sz w:val="24"/>
          <w:szCs w:val="24"/>
        </w:rPr>
        <w:lastRenderedPageBreak/>
        <w:drawing>
          <wp:anchor distT="114300" distB="114300" distL="114300" distR="114300" simplePos="0" relativeHeight="251658240" behindDoc="0" locked="0" layoutInCell="1" hidden="0" allowOverlap="1" wp14:anchorId="67BAA8C7" wp14:editId="7EE9D865">
            <wp:simplePos x="0" y="0"/>
            <wp:positionH relativeFrom="column">
              <wp:posOffset>1738313</wp:posOffset>
            </wp:positionH>
            <wp:positionV relativeFrom="paragraph">
              <wp:posOffset>266700</wp:posOffset>
            </wp:positionV>
            <wp:extent cx="4319588" cy="3819192"/>
            <wp:effectExtent l="0" t="0" r="0" b="0"/>
            <wp:wrapTopAndBottom distT="114300" distB="114300"/>
            <wp:docPr id="36" name="image2.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36" name="image2.png" descr="Table&#10;&#10;Description automatically generated"/>
                    <pic:cNvPicPr preferRelativeResize="0"/>
                  </pic:nvPicPr>
                  <pic:blipFill>
                    <a:blip r:embed="rId11"/>
                    <a:srcRect/>
                    <a:stretch>
                      <a:fillRect/>
                    </a:stretch>
                  </pic:blipFill>
                  <pic:spPr>
                    <a:xfrm>
                      <a:off x="0" y="0"/>
                      <a:ext cx="4319588" cy="3819192"/>
                    </a:xfrm>
                    <a:prstGeom prst="rect">
                      <a:avLst/>
                    </a:prstGeom>
                    <a:ln/>
                  </pic:spPr>
                </pic:pic>
              </a:graphicData>
            </a:graphic>
          </wp:anchor>
        </w:drawing>
      </w:r>
      <w:bookmarkStart w:id="5" w:name="_c08n1hglxr18"/>
      <w:bookmarkEnd w:id="5"/>
    </w:p>
    <w:p w14:paraId="36FE5744" w14:textId="3AEA44ED" w:rsidR="001D6EBE" w:rsidRPr="00E92703" w:rsidRDefault="001D6EBE" w:rsidP="00B557F4">
      <w:pPr>
        <w:pStyle w:val="Heading1"/>
        <w:spacing w:line="360" w:lineRule="auto"/>
        <w:rPr>
          <w:rFonts w:asciiTheme="majorBidi" w:hAnsiTheme="majorBidi" w:cstheme="majorBidi"/>
        </w:rPr>
      </w:pPr>
      <w:r w:rsidRPr="00E92703">
        <w:rPr>
          <w:rFonts w:asciiTheme="majorBidi" w:hAnsiTheme="majorBidi" w:cstheme="majorBidi"/>
        </w:rPr>
        <w:t>Chapter 4: Training for new tech workers in the high-tech industry</w:t>
      </w:r>
    </w:p>
    <w:p w14:paraId="56669D13" w14:textId="77777777" w:rsidR="001D6EBE" w:rsidRPr="00255BC2" w:rsidRDefault="001D6EBE" w:rsidP="00B557F4">
      <w:pPr>
        <w:pStyle w:val="Heading2"/>
        <w:spacing w:line="360" w:lineRule="auto"/>
        <w:rPr>
          <w:rFonts w:asciiTheme="majorBidi" w:hAnsiTheme="majorBidi" w:cstheme="majorBidi"/>
          <w:b/>
          <w:bCs/>
          <w:sz w:val="28"/>
          <w:szCs w:val="28"/>
        </w:rPr>
      </w:pPr>
      <w:r w:rsidRPr="00255BC2">
        <w:rPr>
          <w:rFonts w:asciiTheme="majorBidi" w:hAnsiTheme="majorBidi" w:cstheme="majorBidi"/>
          <w:b/>
          <w:color w:val="000000"/>
          <w:sz w:val="28"/>
          <w:szCs w:val="28"/>
        </w:rPr>
        <w:t>Key findings</w:t>
      </w:r>
    </w:p>
    <w:p w14:paraId="39A4C5C8" w14:textId="6A11069F" w:rsidR="001D6EBE" w:rsidRPr="00B557F4" w:rsidRDefault="001D6EBE" w:rsidP="00B557F4">
      <w:pPr>
        <w:pStyle w:val="NormalWeb"/>
        <w:numPr>
          <w:ilvl w:val="0"/>
          <w:numId w:val="17"/>
        </w:numPr>
        <w:spacing w:before="0" w:beforeAutospacing="0" w:after="120" w:afterAutospacing="0" w:line="360" w:lineRule="auto"/>
        <w:jc w:val="both"/>
        <w:textAlignment w:val="baseline"/>
        <w:rPr>
          <w:rFonts w:asciiTheme="majorBidi" w:hAnsiTheme="majorBidi" w:cstheme="majorBidi"/>
          <w:color w:val="000000"/>
        </w:rPr>
      </w:pPr>
      <w:r w:rsidRPr="00B557F4">
        <w:rPr>
          <w:rFonts w:asciiTheme="majorBidi" w:hAnsiTheme="majorBidi" w:cstheme="majorBidi"/>
          <w:color w:val="000000"/>
        </w:rPr>
        <w:t> </w:t>
      </w:r>
      <w:r w:rsidR="0094604D">
        <w:rPr>
          <w:rFonts w:asciiTheme="majorBidi" w:hAnsiTheme="majorBidi" w:cstheme="majorBidi"/>
          <w:color w:val="000000"/>
        </w:rPr>
        <w:t>O</w:t>
      </w:r>
      <w:r w:rsidRPr="00B557F4">
        <w:rPr>
          <w:rFonts w:asciiTheme="majorBidi" w:hAnsiTheme="majorBidi" w:cstheme="majorBidi"/>
          <w:color w:val="000000"/>
        </w:rPr>
        <w:t xml:space="preserve">f </w:t>
      </w:r>
      <w:r w:rsidR="0094604D">
        <w:rPr>
          <w:rFonts w:asciiTheme="majorBidi" w:hAnsiTheme="majorBidi" w:cstheme="majorBidi"/>
          <w:color w:val="000000"/>
        </w:rPr>
        <w:t>employees</w:t>
      </w:r>
      <w:r w:rsidRPr="00B557F4">
        <w:rPr>
          <w:rFonts w:asciiTheme="majorBidi" w:hAnsiTheme="majorBidi" w:cstheme="majorBidi"/>
          <w:color w:val="000000"/>
        </w:rPr>
        <w:t xml:space="preserve"> in their first tech position in the high-tech industry</w:t>
      </w:r>
      <w:r w:rsidR="0094604D">
        <w:rPr>
          <w:rFonts w:asciiTheme="majorBidi" w:hAnsiTheme="majorBidi" w:cstheme="majorBidi"/>
          <w:color w:val="000000"/>
        </w:rPr>
        <w:t>, 80%</w:t>
      </w:r>
      <w:r w:rsidRPr="00B557F4">
        <w:rPr>
          <w:rFonts w:asciiTheme="majorBidi" w:hAnsiTheme="majorBidi" w:cstheme="majorBidi"/>
          <w:color w:val="000000"/>
        </w:rPr>
        <w:t xml:space="preserve"> </w:t>
      </w:r>
      <w:r w:rsidR="0094604D">
        <w:rPr>
          <w:rFonts w:asciiTheme="majorBidi" w:hAnsiTheme="majorBidi" w:cstheme="majorBidi"/>
          <w:color w:val="000000"/>
        </w:rPr>
        <w:t xml:space="preserve">hold </w:t>
      </w:r>
      <w:r w:rsidRPr="00B557F4">
        <w:rPr>
          <w:rFonts w:asciiTheme="majorBidi" w:hAnsiTheme="majorBidi" w:cstheme="majorBidi"/>
          <w:color w:val="000000"/>
        </w:rPr>
        <w:t>academic training.</w:t>
      </w:r>
    </w:p>
    <w:p w14:paraId="0144685F" w14:textId="77777777" w:rsidR="001D6EBE" w:rsidRPr="00B557F4" w:rsidRDefault="001D6EBE" w:rsidP="00B557F4">
      <w:pPr>
        <w:pStyle w:val="NormalWeb"/>
        <w:numPr>
          <w:ilvl w:val="0"/>
          <w:numId w:val="17"/>
        </w:numPr>
        <w:spacing w:before="0" w:beforeAutospacing="0" w:after="120" w:afterAutospacing="0" w:line="360" w:lineRule="auto"/>
        <w:jc w:val="both"/>
        <w:textAlignment w:val="baseline"/>
        <w:rPr>
          <w:rFonts w:asciiTheme="majorBidi" w:hAnsiTheme="majorBidi" w:cstheme="majorBidi"/>
          <w:color w:val="000000"/>
        </w:rPr>
      </w:pPr>
      <w:r w:rsidRPr="00B557F4">
        <w:rPr>
          <w:rFonts w:asciiTheme="majorBidi" w:hAnsiTheme="majorBidi" w:cstheme="majorBidi"/>
          <w:color w:val="000000"/>
        </w:rPr>
        <w:t>The percentage of such workers with an academic education tends to increase along with company size.</w:t>
      </w:r>
    </w:p>
    <w:p w14:paraId="3864A867" w14:textId="2A37FF31" w:rsidR="001D6EBE" w:rsidRPr="00B557F4" w:rsidRDefault="001D6EBE" w:rsidP="00B557F4">
      <w:pPr>
        <w:pStyle w:val="NormalWeb"/>
        <w:numPr>
          <w:ilvl w:val="0"/>
          <w:numId w:val="17"/>
        </w:numPr>
        <w:spacing w:before="0" w:beforeAutospacing="0" w:after="120" w:afterAutospacing="0" w:line="360" w:lineRule="auto"/>
        <w:jc w:val="both"/>
        <w:textAlignment w:val="baseline"/>
        <w:rPr>
          <w:rFonts w:asciiTheme="majorBidi" w:hAnsiTheme="majorBidi" w:cstheme="majorBidi"/>
          <w:color w:val="000000"/>
        </w:rPr>
      </w:pPr>
      <w:r w:rsidRPr="00B557F4">
        <w:rPr>
          <w:rFonts w:asciiTheme="majorBidi" w:hAnsiTheme="majorBidi" w:cstheme="majorBidi"/>
          <w:color w:val="000000"/>
        </w:rPr>
        <w:lastRenderedPageBreak/>
        <w:t>The R&amp;D centers of multinational firms employ a greater percentage of employees with academic training in the high-tech professions: 68% compared with 49% in Israeli</w:t>
      </w:r>
      <w:r w:rsidR="007238F5">
        <w:rPr>
          <w:rFonts w:asciiTheme="majorBidi" w:hAnsiTheme="majorBidi" w:cstheme="majorBidi"/>
          <w:color w:val="000000"/>
        </w:rPr>
        <w:t>-</w:t>
      </w:r>
      <w:r w:rsidRPr="00B557F4">
        <w:rPr>
          <w:rFonts w:asciiTheme="majorBidi" w:hAnsiTheme="majorBidi" w:cstheme="majorBidi"/>
          <w:color w:val="000000"/>
        </w:rPr>
        <w:t>owned companies.</w:t>
      </w:r>
    </w:p>
    <w:p w14:paraId="089D517D" w14:textId="4B11D160" w:rsidR="001D6EBE" w:rsidRPr="00B557F4" w:rsidRDefault="001D6EBE" w:rsidP="00B557F4">
      <w:pPr>
        <w:pStyle w:val="NormalWeb"/>
        <w:numPr>
          <w:ilvl w:val="0"/>
          <w:numId w:val="17"/>
        </w:numPr>
        <w:spacing w:before="0" w:beforeAutospacing="0" w:after="120" w:afterAutospacing="0" w:line="360" w:lineRule="auto"/>
        <w:jc w:val="both"/>
        <w:textAlignment w:val="baseline"/>
        <w:rPr>
          <w:rFonts w:asciiTheme="majorBidi" w:hAnsiTheme="majorBidi" w:cstheme="majorBidi"/>
          <w:color w:val="000000"/>
        </w:rPr>
      </w:pPr>
      <w:r w:rsidRPr="00B557F4">
        <w:rPr>
          <w:rFonts w:asciiTheme="majorBidi" w:hAnsiTheme="majorBidi" w:cstheme="majorBidi"/>
          <w:color w:val="000000"/>
        </w:rPr>
        <w:t xml:space="preserve">More than 60% of the new tech workers enter the high-tech industry with a university education, compared with only 36% who studied at </w:t>
      </w:r>
      <w:r w:rsidR="000325C8">
        <w:rPr>
          <w:rFonts w:asciiTheme="majorBidi" w:hAnsiTheme="majorBidi" w:cstheme="majorBidi"/>
          <w:color w:val="000000"/>
        </w:rPr>
        <w:t xml:space="preserve">a </w:t>
      </w:r>
      <w:r w:rsidRPr="00B557F4">
        <w:rPr>
          <w:rFonts w:asciiTheme="majorBidi" w:hAnsiTheme="majorBidi" w:cstheme="majorBidi"/>
          <w:color w:val="000000"/>
        </w:rPr>
        <w:t>college.</w:t>
      </w:r>
    </w:p>
    <w:p w14:paraId="164BCDBA" w14:textId="235BA5ED" w:rsidR="001D6EBE" w:rsidRPr="00B557F4" w:rsidRDefault="001D6EBE" w:rsidP="00B557F4">
      <w:pPr>
        <w:pStyle w:val="NormalWeb"/>
        <w:numPr>
          <w:ilvl w:val="0"/>
          <w:numId w:val="17"/>
        </w:numPr>
        <w:spacing w:before="0" w:beforeAutospacing="0" w:after="120" w:afterAutospacing="0" w:line="360" w:lineRule="auto"/>
        <w:jc w:val="both"/>
        <w:textAlignment w:val="baseline"/>
        <w:rPr>
          <w:rFonts w:asciiTheme="majorBidi" w:hAnsiTheme="majorBidi" w:cstheme="majorBidi"/>
          <w:color w:val="000000"/>
        </w:rPr>
      </w:pPr>
      <w:r w:rsidRPr="00B557F4">
        <w:rPr>
          <w:rFonts w:asciiTheme="majorBidi" w:hAnsiTheme="majorBidi" w:cstheme="majorBidi"/>
          <w:color w:val="000000"/>
        </w:rPr>
        <w:t xml:space="preserve">New </w:t>
      </w:r>
      <w:r w:rsidR="000325C8">
        <w:rPr>
          <w:rFonts w:asciiTheme="majorBidi" w:hAnsiTheme="majorBidi" w:cstheme="majorBidi"/>
          <w:color w:val="000000"/>
        </w:rPr>
        <w:t>employees</w:t>
      </w:r>
      <w:r w:rsidRPr="00B557F4">
        <w:rPr>
          <w:rFonts w:asciiTheme="majorBidi" w:hAnsiTheme="majorBidi" w:cstheme="majorBidi"/>
          <w:color w:val="000000"/>
        </w:rPr>
        <w:t xml:space="preserve"> in the hardware and algorithm professions </w:t>
      </w:r>
      <w:r w:rsidR="007238F5">
        <w:rPr>
          <w:rFonts w:asciiTheme="majorBidi" w:hAnsiTheme="majorBidi" w:cstheme="majorBidi"/>
          <w:color w:val="000000"/>
        </w:rPr>
        <w:t>are significantly more likely</w:t>
      </w:r>
      <w:r w:rsidRPr="00B557F4">
        <w:rPr>
          <w:rFonts w:asciiTheme="majorBidi" w:hAnsiTheme="majorBidi" w:cstheme="majorBidi"/>
          <w:color w:val="000000"/>
        </w:rPr>
        <w:t xml:space="preserve"> to have an academic education.</w:t>
      </w:r>
    </w:p>
    <w:p w14:paraId="75201D94" w14:textId="77777777" w:rsidR="001D6EBE" w:rsidRPr="00B557F4" w:rsidRDefault="001D6EBE" w:rsidP="00B557F4">
      <w:pPr>
        <w:spacing w:after="120" w:line="360" w:lineRule="auto"/>
        <w:rPr>
          <w:rFonts w:asciiTheme="majorBidi" w:hAnsiTheme="majorBidi" w:cstheme="majorBidi"/>
          <w:sz w:val="24"/>
          <w:szCs w:val="24"/>
          <w:rtl/>
        </w:rPr>
      </w:pPr>
    </w:p>
    <w:p w14:paraId="6C1B9BC4" w14:textId="1D510050" w:rsidR="001D6EBE" w:rsidRPr="00B557F4" w:rsidRDefault="001D6EBE" w:rsidP="00B557F4">
      <w:pPr>
        <w:pStyle w:val="NormalWeb"/>
        <w:spacing w:before="0" w:beforeAutospacing="0" w:after="120" w:afterAutospacing="0" w:line="360" w:lineRule="auto"/>
        <w:jc w:val="both"/>
        <w:rPr>
          <w:rFonts w:asciiTheme="majorBidi" w:hAnsiTheme="majorBidi" w:cstheme="majorBidi"/>
        </w:rPr>
      </w:pPr>
      <w:r w:rsidRPr="00B557F4">
        <w:rPr>
          <w:rFonts w:asciiTheme="majorBidi" w:hAnsiTheme="majorBidi" w:cstheme="majorBidi"/>
          <w:color w:val="000000"/>
        </w:rPr>
        <w:t xml:space="preserve">A deeper understanding of the training required </w:t>
      </w:r>
      <w:r w:rsidR="000325C8">
        <w:rPr>
          <w:rFonts w:asciiTheme="majorBidi" w:hAnsiTheme="majorBidi" w:cstheme="majorBidi"/>
          <w:color w:val="000000"/>
        </w:rPr>
        <w:t>for a</w:t>
      </w:r>
      <w:r w:rsidRPr="00B557F4">
        <w:rPr>
          <w:rFonts w:asciiTheme="majorBidi" w:hAnsiTheme="majorBidi" w:cstheme="majorBidi"/>
          <w:color w:val="000000"/>
        </w:rPr>
        <w:t xml:space="preserve"> technological position in the high-tech industry is the key to increasing the number of workers in this industry. Accordingly, we analyzed the education of tech </w:t>
      </w:r>
      <w:r w:rsidR="000325C8">
        <w:rPr>
          <w:rFonts w:asciiTheme="majorBidi" w:hAnsiTheme="majorBidi" w:cstheme="majorBidi"/>
          <w:color w:val="000000"/>
        </w:rPr>
        <w:t>employees</w:t>
      </w:r>
      <w:r w:rsidR="000325C8" w:rsidRPr="00B557F4">
        <w:rPr>
          <w:rFonts w:asciiTheme="majorBidi" w:hAnsiTheme="majorBidi" w:cstheme="majorBidi"/>
          <w:color w:val="000000"/>
        </w:rPr>
        <w:t xml:space="preserve"> </w:t>
      </w:r>
      <w:r w:rsidR="00BF1DB0">
        <w:rPr>
          <w:rFonts w:asciiTheme="majorBidi" w:hAnsiTheme="majorBidi" w:cstheme="majorBidi"/>
          <w:color w:val="000000"/>
        </w:rPr>
        <w:t>up</w:t>
      </w:r>
      <w:r w:rsidRPr="00B557F4">
        <w:rPr>
          <w:rFonts w:asciiTheme="majorBidi" w:hAnsiTheme="majorBidi" w:cstheme="majorBidi"/>
          <w:color w:val="000000"/>
        </w:rPr>
        <w:t xml:space="preserve">on assuming their first position in high-tech, based on a large sample of high-tech workers who reported their </w:t>
      </w:r>
      <w:r w:rsidR="000325C8">
        <w:rPr>
          <w:rFonts w:asciiTheme="majorBidi" w:hAnsiTheme="majorBidi" w:cstheme="majorBidi"/>
          <w:color w:val="000000"/>
        </w:rPr>
        <w:t>workplace</w:t>
      </w:r>
      <w:r w:rsidRPr="00B557F4">
        <w:rPr>
          <w:rFonts w:asciiTheme="majorBidi" w:hAnsiTheme="majorBidi" w:cstheme="majorBidi"/>
          <w:color w:val="000000"/>
        </w:rPr>
        <w:t xml:space="preserve"> and education on social media.</w:t>
      </w:r>
    </w:p>
    <w:p w14:paraId="7A33A8B5" w14:textId="694D54C9" w:rsidR="001D6EBE" w:rsidRPr="00B557F4" w:rsidRDefault="001D6EBE" w:rsidP="00B557F4">
      <w:pPr>
        <w:pStyle w:val="Heading2"/>
        <w:spacing w:line="360" w:lineRule="auto"/>
        <w:rPr>
          <w:rFonts w:asciiTheme="majorBidi" w:hAnsiTheme="majorBidi" w:cstheme="majorBidi"/>
          <w:b/>
          <w:bCs/>
          <w:sz w:val="24"/>
          <w:szCs w:val="24"/>
        </w:rPr>
      </w:pPr>
      <w:r w:rsidRPr="00BB681E">
        <w:rPr>
          <w:rFonts w:asciiTheme="majorBidi" w:hAnsiTheme="majorBidi" w:cstheme="majorBidi"/>
          <w:b/>
          <w:color w:val="000000"/>
          <w:sz w:val="28"/>
          <w:szCs w:val="28"/>
        </w:rPr>
        <w:t xml:space="preserve">What and where should they study </w:t>
      </w:r>
      <w:r w:rsidR="007C3153" w:rsidRPr="00BB681E">
        <w:rPr>
          <w:rFonts w:asciiTheme="majorBidi" w:hAnsiTheme="majorBidi" w:cstheme="majorBidi"/>
          <w:b/>
          <w:color w:val="000000"/>
          <w:sz w:val="28"/>
          <w:szCs w:val="28"/>
        </w:rPr>
        <w:t>to</w:t>
      </w:r>
      <w:r w:rsidRPr="00BB681E">
        <w:rPr>
          <w:rFonts w:asciiTheme="majorBidi" w:hAnsiTheme="majorBidi" w:cstheme="majorBidi"/>
          <w:b/>
          <w:color w:val="000000"/>
          <w:sz w:val="28"/>
          <w:szCs w:val="28"/>
        </w:rPr>
        <w:t xml:space="preserve"> be hired for a technological position in a high-tech company</w:t>
      </w:r>
      <w:r w:rsidRPr="00B557F4">
        <w:rPr>
          <w:rFonts w:asciiTheme="majorBidi" w:hAnsiTheme="majorBidi" w:cstheme="majorBidi"/>
          <w:b/>
          <w:color w:val="000000"/>
          <w:sz w:val="24"/>
          <w:szCs w:val="24"/>
        </w:rPr>
        <w:t>?</w:t>
      </w:r>
    </w:p>
    <w:p w14:paraId="2ADC275C" w14:textId="2226991F" w:rsidR="001D6EBE" w:rsidRPr="00B557F4" w:rsidRDefault="001D6EBE" w:rsidP="00B557F4">
      <w:pPr>
        <w:pStyle w:val="NormalWeb"/>
        <w:spacing w:before="0" w:beforeAutospacing="0" w:after="120" w:afterAutospacing="0" w:line="360" w:lineRule="auto"/>
        <w:jc w:val="both"/>
        <w:rPr>
          <w:rFonts w:asciiTheme="majorBidi" w:hAnsiTheme="majorBidi" w:cstheme="majorBidi"/>
        </w:rPr>
      </w:pPr>
      <w:r w:rsidRPr="00B557F4">
        <w:rPr>
          <w:rFonts w:asciiTheme="majorBidi" w:hAnsiTheme="majorBidi" w:cstheme="majorBidi"/>
          <w:color w:val="000000"/>
        </w:rPr>
        <w:t xml:space="preserve">The academic world is still the main </w:t>
      </w:r>
      <w:r w:rsidR="00BD779E">
        <w:rPr>
          <w:rFonts w:asciiTheme="majorBidi" w:hAnsiTheme="majorBidi" w:cstheme="majorBidi"/>
          <w:color w:val="000000"/>
        </w:rPr>
        <w:t xml:space="preserve">entry </w:t>
      </w:r>
      <w:r w:rsidRPr="00B557F4">
        <w:rPr>
          <w:rFonts w:asciiTheme="majorBidi" w:hAnsiTheme="majorBidi" w:cstheme="majorBidi"/>
          <w:color w:val="000000"/>
        </w:rPr>
        <w:t xml:space="preserve">channel into technological positions in high-tech. Close to 80% (Figure X) of </w:t>
      </w:r>
      <w:r w:rsidR="000325C8">
        <w:rPr>
          <w:rFonts w:asciiTheme="majorBidi" w:hAnsiTheme="majorBidi" w:cstheme="majorBidi"/>
          <w:color w:val="000000"/>
        </w:rPr>
        <w:t>employees</w:t>
      </w:r>
      <w:r w:rsidRPr="00B557F4">
        <w:rPr>
          <w:rFonts w:asciiTheme="majorBidi" w:hAnsiTheme="majorBidi" w:cstheme="majorBidi"/>
          <w:color w:val="000000"/>
        </w:rPr>
        <w:t xml:space="preserve"> in their first high-tech job have academic training. Moreover, 70% of </w:t>
      </w:r>
      <w:r w:rsidR="000325C8">
        <w:rPr>
          <w:rFonts w:asciiTheme="majorBidi" w:hAnsiTheme="majorBidi" w:cstheme="majorBidi"/>
          <w:color w:val="000000"/>
        </w:rPr>
        <w:t>employees</w:t>
      </w:r>
      <w:r w:rsidRPr="00B557F4">
        <w:rPr>
          <w:rFonts w:asciiTheme="majorBidi" w:hAnsiTheme="majorBidi" w:cstheme="majorBidi"/>
          <w:color w:val="000000"/>
        </w:rPr>
        <w:t xml:space="preserve"> in their first technological position in a high-tech company have a degree in high-tech or STEM professions.</w:t>
      </w:r>
    </w:p>
    <w:p w14:paraId="5ADEB4C9" w14:textId="42ADBFC8" w:rsidR="001D6EBE" w:rsidRPr="00B557F4" w:rsidRDefault="001D6EBE" w:rsidP="00B557F4">
      <w:pPr>
        <w:pStyle w:val="NormalWeb"/>
        <w:spacing w:before="0" w:beforeAutospacing="0" w:after="120" w:afterAutospacing="0" w:line="360" w:lineRule="auto"/>
        <w:jc w:val="both"/>
        <w:rPr>
          <w:rFonts w:asciiTheme="majorBidi" w:hAnsiTheme="majorBidi" w:cstheme="majorBidi"/>
        </w:rPr>
      </w:pPr>
      <w:r w:rsidRPr="00B557F4">
        <w:rPr>
          <w:rFonts w:asciiTheme="majorBidi" w:hAnsiTheme="majorBidi" w:cstheme="majorBidi"/>
          <w:color w:val="000000"/>
        </w:rPr>
        <w:t xml:space="preserve">Models of extra-academic training (programming workshops and professional training courses such as practical engineer diplomas) have gained considerable momentum in recent years and they comprise an additional </w:t>
      </w:r>
      <w:r w:rsidR="00BF1DB0">
        <w:rPr>
          <w:rFonts w:asciiTheme="majorBidi" w:hAnsiTheme="majorBidi" w:cstheme="majorBidi"/>
          <w:color w:val="000000"/>
        </w:rPr>
        <w:t xml:space="preserve">entry </w:t>
      </w:r>
      <w:r w:rsidRPr="00B557F4">
        <w:rPr>
          <w:rFonts w:asciiTheme="majorBidi" w:hAnsiTheme="majorBidi" w:cstheme="majorBidi"/>
          <w:color w:val="000000"/>
        </w:rPr>
        <w:t>channel into high-tech. Notwithstanding, they are still relatively small in scope</w:t>
      </w:r>
      <w:r w:rsidR="00BF1DB0">
        <w:rPr>
          <w:rFonts w:asciiTheme="majorBidi" w:hAnsiTheme="majorBidi" w:cstheme="majorBidi"/>
          <w:color w:val="000000"/>
        </w:rPr>
        <w:t>.</w:t>
      </w:r>
      <w:r w:rsidRPr="00B557F4">
        <w:rPr>
          <w:rFonts w:asciiTheme="majorBidi" w:hAnsiTheme="majorBidi" w:cstheme="majorBidi"/>
          <w:color w:val="000000"/>
        </w:rPr>
        <w:t xml:space="preserve"> </w:t>
      </w:r>
      <w:r w:rsidR="00BF1DB0">
        <w:rPr>
          <w:rFonts w:asciiTheme="majorBidi" w:hAnsiTheme="majorBidi" w:cstheme="majorBidi"/>
          <w:color w:val="000000"/>
        </w:rPr>
        <w:t>S</w:t>
      </w:r>
      <w:r w:rsidRPr="00B557F4">
        <w:rPr>
          <w:rFonts w:asciiTheme="majorBidi" w:hAnsiTheme="majorBidi" w:cstheme="majorBidi"/>
          <w:color w:val="000000"/>
        </w:rPr>
        <w:t>ome 13% of the workers entered the world of high-tech with extra-academic training in the high-tech professions: 9% reported that this was the only form of training they had undergone, while an additional 4% had undergone such training in addition to their academic studies.</w:t>
      </w:r>
    </w:p>
    <w:p w14:paraId="2CCA5DFC" w14:textId="41619362" w:rsidR="001D6EBE" w:rsidRPr="00B557F4" w:rsidRDefault="001D6EBE" w:rsidP="00B557F4">
      <w:pPr>
        <w:pStyle w:val="NormalWeb"/>
        <w:spacing w:before="0" w:beforeAutospacing="0" w:after="120" w:afterAutospacing="0" w:line="360" w:lineRule="auto"/>
        <w:ind w:left="720"/>
        <w:jc w:val="both"/>
        <w:rPr>
          <w:rFonts w:asciiTheme="majorBidi" w:hAnsiTheme="majorBidi" w:cstheme="majorBidi"/>
        </w:rPr>
      </w:pPr>
      <w:r w:rsidRPr="00B557F4">
        <w:rPr>
          <w:rFonts w:asciiTheme="majorBidi" w:hAnsiTheme="majorBidi" w:cstheme="majorBidi"/>
          <w:color w:val="000000"/>
        </w:rPr>
        <w:lastRenderedPageBreak/>
        <w:t>  </w:t>
      </w:r>
      <w:r w:rsidRPr="00B557F4">
        <w:rPr>
          <w:rFonts w:asciiTheme="majorBidi" w:hAnsiTheme="majorBidi" w:cstheme="majorBidi"/>
          <w:noProof/>
          <w:bdr w:val="none" w:sz="0" w:space="0" w:color="auto" w:frame="1"/>
        </w:rPr>
        <w:drawing>
          <wp:inline distT="0" distB="0" distL="0" distR="0" wp14:anchorId="238EF176" wp14:editId="60A552AD">
            <wp:extent cx="3764280" cy="2133600"/>
            <wp:effectExtent l="0" t="0" r="7620" b="0"/>
            <wp:docPr id="11" name="Picture 1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pie ch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4280" cy="2133600"/>
                    </a:xfrm>
                    <a:prstGeom prst="rect">
                      <a:avLst/>
                    </a:prstGeom>
                    <a:noFill/>
                    <a:ln>
                      <a:noFill/>
                    </a:ln>
                  </pic:spPr>
                </pic:pic>
              </a:graphicData>
            </a:graphic>
          </wp:inline>
        </w:drawing>
      </w:r>
    </w:p>
    <w:p w14:paraId="6A8453A7" w14:textId="77777777" w:rsidR="001D6EBE" w:rsidRPr="00B557F4" w:rsidRDefault="001D6EBE" w:rsidP="00B557F4">
      <w:pPr>
        <w:spacing w:after="120" w:line="360" w:lineRule="auto"/>
        <w:rPr>
          <w:rFonts w:asciiTheme="majorBidi" w:hAnsiTheme="majorBidi" w:cstheme="majorBidi"/>
          <w:sz w:val="24"/>
          <w:szCs w:val="24"/>
          <w:rtl/>
        </w:rPr>
      </w:pPr>
    </w:p>
    <w:p w14:paraId="718A15F7" w14:textId="774ACF2B" w:rsidR="001D6EBE" w:rsidRPr="00B557F4" w:rsidRDefault="001D6EBE" w:rsidP="00B557F4">
      <w:pPr>
        <w:pStyle w:val="NormalWeb"/>
        <w:spacing w:before="0" w:beforeAutospacing="0" w:after="120" w:afterAutospacing="0" w:line="360" w:lineRule="auto"/>
        <w:jc w:val="both"/>
        <w:rPr>
          <w:rFonts w:asciiTheme="majorBidi" w:hAnsiTheme="majorBidi" w:cstheme="majorBidi"/>
        </w:rPr>
      </w:pPr>
      <w:r w:rsidRPr="00B557F4">
        <w:rPr>
          <w:rFonts w:asciiTheme="majorBidi" w:hAnsiTheme="majorBidi" w:cstheme="majorBidi"/>
          <w:color w:val="000000"/>
        </w:rPr>
        <w:t>The larger the company size</w:t>
      </w:r>
      <w:r w:rsidR="00BD779E">
        <w:rPr>
          <w:rFonts w:asciiTheme="majorBidi" w:hAnsiTheme="majorBidi" w:cstheme="majorBidi"/>
          <w:color w:val="000000"/>
        </w:rPr>
        <w:t>,</w:t>
      </w:r>
      <w:r w:rsidRPr="00B557F4">
        <w:rPr>
          <w:rFonts w:asciiTheme="majorBidi" w:hAnsiTheme="majorBidi" w:cstheme="majorBidi"/>
          <w:color w:val="000000"/>
        </w:rPr>
        <w:t xml:space="preserve"> the greater the proportion of </w:t>
      </w:r>
      <w:r w:rsidR="000325C8">
        <w:rPr>
          <w:rFonts w:asciiTheme="majorBidi" w:hAnsiTheme="majorBidi" w:cstheme="majorBidi"/>
          <w:color w:val="000000"/>
        </w:rPr>
        <w:t xml:space="preserve">employees </w:t>
      </w:r>
      <w:r w:rsidRPr="00B557F4">
        <w:rPr>
          <w:rFonts w:asciiTheme="majorBidi" w:hAnsiTheme="majorBidi" w:cstheme="majorBidi"/>
          <w:color w:val="000000"/>
        </w:rPr>
        <w:t xml:space="preserve">with an academic </w:t>
      </w:r>
      <w:r w:rsidR="00BD779E">
        <w:rPr>
          <w:rFonts w:asciiTheme="majorBidi" w:hAnsiTheme="majorBidi" w:cstheme="majorBidi"/>
          <w:color w:val="000000"/>
        </w:rPr>
        <w:t>background</w:t>
      </w:r>
      <w:r w:rsidRPr="00B557F4">
        <w:rPr>
          <w:rFonts w:asciiTheme="majorBidi" w:hAnsiTheme="majorBidi" w:cstheme="majorBidi"/>
          <w:color w:val="000000"/>
        </w:rPr>
        <w:t xml:space="preserve"> in high-tech professions</w:t>
      </w:r>
      <w:r w:rsidR="000325C8">
        <w:rPr>
          <w:rFonts w:asciiTheme="majorBidi" w:hAnsiTheme="majorBidi" w:cstheme="majorBidi"/>
          <w:color w:val="000000"/>
        </w:rPr>
        <w:t>,</w:t>
      </w:r>
      <w:r w:rsidRPr="00B557F4">
        <w:rPr>
          <w:rFonts w:asciiTheme="majorBidi" w:hAnsiTheme="majorBidi" w:cstheme="majorBidi"/>
          <w:color w:val="000000"/>
        </w:rPr>
        <w:t xml:space="preserve"> and the smaller the proportion of </w:t>
      </w:r>
      <w:r w:rsidR="000325C8">
        <w:rPr>
          <w:rFonts w:asciiTheme="majorBidi" w:hAnsiTheme="majorBidi" w:cstheme="majorBidi"/>
          <w:color w:val="000000"/>
        </w:rPr>
        <w:t>employees</w:t>
      </w:r>
      <w:r w:rsidR="000325C8" w:rsidRPr="00B557F4">
        <w:rPr>
          <w:rFonts w:asciiTheme="majorBidi" w:hAnsiTheme="majorBidi" w:cstheme="majorBidi"/>
          <w:color w:val="000000"/>
        </w:rPr>
        <w:t xml:space="preserve"> </w:t>
      </w:r>
      <w:r w:rsidRPr="00B557F4">
        <w:rPr>
          <w:rFonts w:asciiTheme="majorBidi" w:hAnsiTheme="majorBidi" w:cstheme="majorBidi"/>
          <w:color w:val="000000"/>
        </w:rPr>
        <w:t>with non-academic high-tech training (see Figure X). The “leap forward” tends to occur mainly in those large companies employing more than 200 workers.</w:t>
      </w:r>
    </w:p>
    <w:p w14:paraId="59799EF0" w14:textId="06A85DDD" w:rsidR="001D6EBE" w:rsidRPr="00B557F4" w:rsidRDefault="001D6EBE" w:rsidP="00B557F4">
      <w:pPr>
        <w:spacing w:after="120" w:line="360" w:lineRule="auto"/>
        <w:jc w:val="center"/>
        <w:rPr>
          <w:rFonts w:asciiTheme="majorBidi" w:hAnsiTheme="majorBidi" w:cstheme="majorBidi"/>
          <w:sz w:val="24"/>
          <w:szCs w:val="24"/>
        </w:rPr>
      </w:pPr>
      <w:r w:rsidRPr="00B557F4">
        <w:rPr>
          <w:rFonts w:asciiTheme="majorBidi" w:hAnsiTheme="majorBidi" w:cstheme="majorBidi"/>
          <w:sz w:val="24"/>
          <w:szCs w:val="24"/>
        </w:rPr>
        <w:br/>
      </w:r>
      <w:r w:rsidRPr="00B557F4">
        <w:rPr>
          <w:rFonts w:asciiTheme="majorBidi" w:hAnsiTheme="majorBidi" w:cstheme="majorBidi"/>
          <w:noProof/>
          <w:sz w:val="24"/>
          <w:szCs w:val="24"/>
          <w:bdr w:val="none" w:sz="0" w:space="0" w:color="auto" w:frame="1"/>
        </w:rPr>
        <w:drawing>
          <wp:inline distT="0" distB="0" distL="0" distR="0" wp14:anchorId="3DD20EAA" wp14:editId="782AB11D">
            <wp:extent cx="4267200" cy="2247900"/>
            <wp:effectExtent l="0" t="0" r="0" b="0"/>
            <wp:docPr id="9" name="Picture 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line ch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7200" cy="2247900"/>
                    </a:xfrm>
                    <a:prstGeom prst="rect">
                      <a:avLst/>
                    </a:prstGeom>
                    <a:noFill/>
                    <a:ln>
                      <a:noFill/>
                    </a:ln>
                  </pic:spPr>
                </pic:pic>
              </a:graphicData>
            </a:graphic>
          </wp:inline>
        </w:drawing>
      </w:r>
    </w:p>
    <w:p w14:paraId="04259E96" w14:textId="77777777" w:rsidR="001D6EBE" w:rsidRPr="00B557F4" w:rsidRDefault="001D6EBE" w:rsidP="00B557F4">
      <w:pPr>
        <w:spacing w:after="120" w:line="360" w:lineRule="auto"/>
        <w:jc w:val="center"/>
        <w:rPr>
          <w:rFonts w:asciiTheme="majorBidi" w:hAnsiTheme="majorBidi" w:cstheme="majorBidi"/>
          <w:sz w:val="24"/>
          <w:szCs w:val="24"/>
          <w:rtl/>
        </w:rPr>
      </w:pPr>
    </w:p>
    <w:p w14:paraId="29D340EB" w14:textId="7F8197C5" w:rsidR="001D6EBE" w:rsidRPr="00B557F4" w:rsidRDefault="001D6EBE" w:rsidP="00B557F4">
      <w:pPr>
        <w:pStyle w:val="NormalWeb"/>
        <w:spacing w:before="0" w:beforeAutospacing="0" w:after="120" w:afterAutospacing="0" w:line="360" w:lineRule="auto"/>
        <w:jc w:val="both"/>
        <w:rPr>
          <w:rFonts w:asciiTheme="majorBidi" w:hAnsiTheme="majorBidi" w:cstheme="majorBidi"/>
        </w:rPr>
      </w:pPr>
      <w:r w:rsidRPr="00B557F4">
        <w:rPr>
          <w:rFonts w:asciiTheme="majorBidi" w:hAnsiTheme="majorBidi" w:cstheme="majorBidi"/>
          <w:color w:val="000000"/>
        </w:rPr>
        <w:t>Similarly, the R&amp;D centers of multinational firms employ a greater percentage of employees with academic training in the high-tech professions: 68%</w:t>
      </w:r>
      <w:r w:rsidR="000325C8">
        <w:rPr>
          <w:rFonts w:asciiTheme="majorBidi" w:hAnsiTheme="majorBidi" w:cstheme="majorBidi"/>
          <w:color w:val="000000"/>
        </w:rPr>
        <w:t>,</w:t>
      </w:r>
      <w:r w:rsidRPr="00B557F4">
        <w:rPr>
          <w:rFonts w:asciiTheme="majorBidi" w:hAnsiTheme="majorBidi" w:cstheme="majorBidi"/>
          <w:color w:val="000000"/>
        </w:rPr>
        <w:t xml:space="preserve"> compared with 49% in Israeli</w:t>
      </w:r>
      <w:r w:rsidR="00BF1DB0">
        <w:rPr>
          <w:rFonts w:asciiTheme="majorBidi" w:hAnsiTheme="majorBidi" w:cstheme="majorBidi"/>
          <w:color w:val="000000"/>
        </w:rPr>
        <w:t>-</w:t>
      </w:r>
      <w:r w:rsidRPr="00B557F4">
        <w:rPr>
          <w:rFonts w:asciiTheme="majorBidi" w:hAnsiTheme="majorBidi" w:cstheme="majorBidi"/>
          <w:color w:val="000000"/>
        </w:rPr>
        <w:t>owned companies. It appears that these companies are much more attractive for academics with high-tech training</w:t>
      </w:r>
      <w:r w:rsidR="007C3153">
        <w:rPr>
          <w:rFonts w:asciiTheme="majorBidi" w:hAnsiTheme="majorBidi" w:cstheme="majorBidi"/>
          <w:color w:val="000000"/>
        </w:rPr>
        <w:t>,</w:t>
      </w:r>
      <w:r w:rsidRPr="00B557F4">
        <w:rPr>
          <w:rFonts w:asciiTheme="majorBidi" w:hAnsiTheme="majorBidi" w:cstheme="majorBidi"/>
          <w:color w:val="000000"/>
        </w:rPr>
        <w:t xml:space="preserve"> or they are better equipped to </w:t>
      </w:r>
      <w:r w:rsidR="000325C8" w:rsidRPr="00B557F4">
        <w:rPr>
          <w:rFonts w:asciiTheme="majorBidi" w:hAnsiTheme="majorBidi" w:cstheme="majorBidi"/>
          <w:color w:val="000000"/>
        </w:rPr>
        <w:t>successfully</w:t>
      </w:r>
      <w:r w:rsidR="000325C8" w:rsidRPr="00B557F4">
        <w:rPr>
          <w:rFonts w:asciiTheme="majorBidi" w:hAnsiTheme="majorBidi" w:cstheme="majorBidi"/>
          <w:color w:val="000000"/>
        </w:rPr>
        <w:t xml:space="preserve"> </w:t>
      </w:r>
      <w:r w:rsidR="000325C8">
        <w:rPr>
          <w:rFonts w:asciiTheme="majorBidi" w:hAnsiTheme="majorBidi" w:cstheme="majorBidi"/>
          <w:color w:val="000000"/>
        </w:rPr>
        <w:t>draw</w:t>
      </w:r>
      <w:r w:rsidRPr="00B557F4">
        <w:rPr>
          <w:rFonts w:asciiTheme="majorBidi" w:hAnsiTheme="majorBidi" w:cstheme="majorBidi"/>
          <w:color w:val="000000"/>
        </w:rPr>
        <w:t xml:space="preserve"> these </w:t>
      </w:r>
      <w:r w:rsidR="000325C8">
        <w:rPr>
          <w:rFonts w:asciiTheme="majorBidi" w:hAnsiTheme="majorBidi" w:cstheme="majorBidi"/>
          <w:color w:val="000000"/>
        </w:rPr>
        <w:t>employees</w:t>
      </w:r>
      <w:r w:rsidRPr="00B557F4">
        <w:rPr>
          <w:rFonts w:asciiTheme="majorBidi" w:hAnsiTheme="majorBidi" w:cstheme="majorBidi"/>
          <w:color w:val="000000"/>
        </w:rPr>
        <w:t xml:space="preserve">.  However, it is difficult to isolate the effect of this variable from other variables, such as the tendency of local companies </w:t>
      </w:r>
      <w:r w:rsidRPr="00B557F4">
        <w:rPr>
          <w:rFonts w:asciiTheme="majorBidi" w:hAnsiTheme="majorBidi" w:cstheme="majorBidi"/>
          <w:color w:val="000000"/>
        </w:rPr>
        <w:lastRenderedPageBreak/>
        <w:t>to be smaller</w:t>
      </w:r>
      <w:r w:rsidR="000325C8">
        <w:rPr>
          <w:rFonts w:asciiTheme="majorBidi" w:hAnsiTheme="majorBidi" w:cstheme="majorBidi"/>
          <w:color w:val="000000"/>
        </w:rPr>
        <w:t xml:space="preserve"> </w:t>
      </w:r>
      <w:r w:rsidRPr="00B557F4">
        <w:rPr>
          <w:rFonts w:asciiTheme="majorBidi" w:hAnsiTheme="majorBidi" w:cstheme="majorBidi"/>
          <w:color w:val="000000"/>
        </w:rPr>
        <w:t xml:space="preserve">and the existence of more local Life Science companies, which by nature tend to employ more academics with STEM training (about 30%) and </w:t>
      </w:r>
      <w:r w:rsidR="000325C8">
        <w:rPr>
          <w:rFonts w:asciiTheme="majorBidi" w:hAnsiTheme="majorBidi" w:cstheme="majorBidi"/>
          <w:color w:val="000000"/>
        </w:rPr>
        <w:t>fewer</w:t>
      </w:r>
      <w:r w:rsidR="000325C8" w:rsidRPr="00B557F4">
        <w:rPr>
          <w:rFonts w:asciiTheme="majorBidi" w:hAnsiTheme="majorBidi" w:cstheme="majorBidi"/>
          <w:color w:val="000000"/>
        </w:rPr>
        <w:t xml:space="preserve"> </w:t>
      </w:r>
      <w:r w:rsidRPr="00B557F4">
        <w:rPr>
          <w:rFonts w:asciiTheme="majorBidi" w:hAnsiTheme="majorBidi" w:cstheme="majorBidi"/>
          <w:color w:val="000000"/>
        </w:rPr>
        <w:t xml:space="preserve">individuals with </w:t>
      </w:r>
      <w:r w:rsidR="000325C8">
        <w:rPr>
          <w:rFonts w:asciiTheme="majorBidi" w:hAnsiTheme="majorBidi" w:cstheme="majorBidi"/>
          <w:color w:val="000000"/>
        </w:rPr>
        <w:t>high-tech</w:t>
      </w:r>
      <w:r w:rsidRPr="00B557F4">
        <w:rPr>
          <w:rFonts w:asciiTheme="majorBidi" w:hAnsiTheme="majorBidi" w:cstheme="majorBidi"/>
          <w:color w:val="000000"/>
        </w:rPr>
        <w:t xml:space="preserve"> training.</w:t>
      </w:r>
    </w:p>
    <w:p w14:paraId="286E4825" w14:textId="77777777" w:rsidR="001D6EBE" w:rsidRPr="006C4667" w:rsidRDefault="001D6EBE" w:rsidP="00B557F4">
      <w:pPr>
        <w:pStyle w:val="Heading2"/>
        <w:spacing w:line="360" w:lineRule="auto"/>
        <w:rPr>
          <w:rFonts w:asciiTheme="majorBidi" w:hAnsiTheme="majorBidi" w:cstheme="majorBidi"/>
          <w:b/>
          <w:bCs/>
          <w:sz w:val="28"/>
          <w:szCs w:val="28"/>
        </w:rPr>
      </w:pPr>
      <w:r w:rsidRPr="006C4667">
        <w:rPr>
          <w:rFonts w:asciiTheme="majorBidi" w:hAnsiTheme="majorBidi" w:cstheme="majorBidi"/>
          <w:b/>
          <w:color w:val="000000"/>
          <w:sz w:val="28"/>
          <w:szCs w:val="28"/>
        </w:rPr>
        <w:t>Universities vs. Colleges</w:t>
      </w:r>
    </w:p>
    <w:p w14:paraId="29D285F0" w14:textId="29A84AF7" w:rsidR="001D6EBE" w:rsidRPr="00B557F4" w:rsidRDefault="001D6EBE" w:rsidP="00B557F4">
      <w:pPr>
        <w:pStyle w:val="NormalWeb"/>
        <w:spacing w:before="0" w:beforeAutospacing="0" w:after="120" w:afterAutospacing="0" w:line="360" w:lineRule="auto"/>
        <w:jc w:val="both"/>
        <w:rPr>
          <w:rFonts w:asciiTheme="majorBidi" w:hAnsiTheme="majorBidi" w:cstheme="majorBidi"/>
        </w:rPr>
      </w:pPr>
      <w:r w:rsidRPr="00B557F4">
        <w:rPr>
          <w:rFonts w:asciiTheme="majorBidi" w:hAnsiTheme="majorBidi" w:cstheme="majorBidi"/>
          <w:color w:val="000000"/>
        </w:rPr>
        <w:t xml:space="preserve">Given the importance of an academic education as a key gateway into the world of high-tech, the question of a university education compared to a college education </w:t>
      </w:r>
      <w:r w:rsidRPr="00227B19">
        <w:rPr>
          <w:rFonts w:asciiTheme="majorBidi" w:hAnsiTheme="majorBidi" w:cstheme="majorBidi"/>
          <w:color w:val="000000"/>
        </w:rPr>
        <w:t>assumes</w:t>
      </w:r>
      <w:r w:rsidRPr="00B557F4">
        <w:rPr>
          <w:rFonts w:asciiTheme="majorBidi" w:hAnsiTheme="majorBidi" w:cstheme="majorBidi"/>
          <w:color w:val="000000"/>
        </w:rPr>
        <w:t xml:space="preserve"> even greater significance. </w:t>
      </w:r>
      <w:r w:rsidR="00BF1DB0">
        <w:rPr>
          <w:rFonts w:asciiTheme="majorBidi" w:hAnsiTheme="majorBidi" w:cstheme="majorBidi"/>
          <w:color w:val="000000"/>
        </w:rPr>
        <w:t>The data reveals</w:t>
      </w:r>
      <w:r w:rsidRPr="00B557F4">
        <w:rPr>
          <w:rFonts w:asciiTheme="majorBidi" w:hAnsiTheme="majorBidi" w:cstheme="majorBidi"/>
          <w:color w:val="000000"/>
        </w:rPr>
        <w:t xml:space="preserve"> that there are marked differences between these two types of institutions in the roles they play on a worker</w:t>
      </w:r>
      <w:r w:rsidR="00A21FE1">
        <w:rPr>
          <w:rFonts w:asciiTheme="majorBidi" w:hAnsiTheme="majorBidi" w:cstheme="majorBidi"/>
          <w:color w:val="000000"/>
        </w:rPr>
        <w:t>’</w:t>
      </w:r>
      <w:r w:rsidRPr="00B557F4">
        <w:rPr>
          <w:rFonts w:asciiTheme="majorBidi" w:hAnsiTheme="majorBidi" w:cstheme="majorBidi"/>
          <w:color w:val="000000"/>
        </w:rPr>
        <w:t xml:space="preserve">s entry into high-tech. </w:t>
      </w:r>
      <w:r w:rsidR="00227B19" w:rsidRPr="00B557F4">
        <w:rPr>
          <w:rFonts w:asciiTheme="majorBidi" w:hAnsiTheme="majorBidi" w:cstheme="majorBidi"/>
          <w:color w:val="000000"/>
        </w:rPr>
        <w:t>Even though</w:t>
      </w:r>
      <w:r w:rsidRPr="00B557F4">
        <w:rPr>
          <w:rFonts w:asciiTheme="majorBidi" w:hAnsiTheme="majorBidi" w:cstheme="majorBidi"/>
          <w:color w:val="000000"/>
        </w:rPr>
        <w:t xml:space="preserve"> the number of people graduating from university and college with a high-tech profession is similar, more than 60% of the new tech workers come with a university education</w:t>
      </w:r>
      <w:r w:rsidR="0035534B">
        <w:rPr>
          <w:rFonts w:asciiTheme="majorBidi" w:hAnsiTheme="majorBidi" w:cstheme="majorBidi"/>
          <w:color w:val="000000"/>
        </w:rPr>
        <w:t>,</w:t>
      </w:r>
      <w:r w:rsidRPr="00B557F4">
        <w:rPr>
          <w:rFonts w:asciiTheme="majorBidi" w:hAnsiTheme="majorBidi" w:cstheme="majorBidi"/>
          <w:color w:val="000000"/>
        </w:rPr>
        <w:t xml:space="preserve"> compared to only 36% entering high-tech from colleges. This statistic highlights the difficulty of college graduates assuming a technological position in a high-tech company, and apparently a high proportion of these graduates tend to find their way to tech positions outside the high-tech industry or in non-technological positions in high-tech companies.</w:t>
      </w:r>
    </w:p>
    <w:p w14:paraId="0C692181" w14:textId="3850BCDF" w:rsidR="001D6EBE" w:rsidRPr="00B557F4" w:rsidRDefault="001D6EBE" w:rsidP="00B557F4">
      <w:pPr>
        <w:pStyle w:val="NormalWeb"/>
        <w:spacing w:before="0" w:beforeAutospacing="0" w:after="120" w:afterAutospacing="0" w:line="360" w:lineRule="auto"/>
        <w:jc w:val="both"/>
        <w:rPr>
          <w:rFonts w:asciiTheme="majorBidi" w:hAnsiTheme="majorBidi" w:cstheme="majorBidi"/>
        </w:rPr>
      </w:pPr>
      <w:r w:rsidRPr="00B557F4">
        <w:rPr>
          <w:rFonts w:asciiTheme="majorBidi" w:hAnsiTheme="majorBidi" w:cstheme="majorBidi"/>
          <w:color w:val="000000"/>
        </w:rPr>
        <w:t xml:space="preserve">Examination of this issue </w:t>
      </w:r>
      <w:r w:rsidR="00BF1DB0">
        <w:rPr>
          <w:rFonts w:asciiTheme="majorBidi" w:hAnsiTheme="majorBidi" w:cstheme="majorBidi"/>
          <w:color w:val="000000"/>
        </w:rPr>
        <w:t>and accounting for company type</w:t>
      </w:r>
      <w:r w:rsidRPr="00B557F4">
        <w:rPr>
          <w:rFonts w:asciiTheme="majorBidi" w:hAnsiTheme="majorBidi" w:cstheme="majorBidi"/>
          <w:color w:val="000000"/>
        </w:rPr>
        <w:t xml:space="preserve"> underscores a significant difference between the number of university graduates and college graduates in three key parameters:</w:t>
      </w:r>
    </w:p>
    <w:p w14:paraId="3837191F" w14:textId="0C6A9A5F" w:rsidR="001D6EBE" w:rsidRPr="00B557F4" w:rsidRDefault="001D6EBE" w:rsidP="00B557F4">
      <w:pPr>
        <w:pStyle w:val="NormalWeb"/>
        <w:numPr>
          <w:ilvl w:val="0"/>
          <w:numId w:val="18"/>
        </w:numPr>
        <w:spacing w:before="0" w:beforeAutospacing="0" w:after="120" w:afterAutospacing="0" w:line="360" w:lineRule="auto"/>
        <w:jc w:val="both"/>
        <w:textAlignment w:val="baseline"/>
        <w:rPr>
          <w:rFonts w:asciiTheme="majorBidi" w:hAnsiTheme="majorBidi" w:cstheme="majorBidi"/>
          <w:color w:val="000000"/>
        </w:rPr>
      </w:pPr>
      <w:r w:rsidRPr="00B557F4">
        <w:rPr>
          <w:rFonts w:asciiTheme="majorBidi" w:hAnsiTheme="majorBidi" w:cstheme="majorBidi"/>
          <w:b/>
          <w:bCs/>
          <w:color w:val="000000"/>
        </w:rPr>
        <w:t>The R&amp;D centers of multinational corporations</w:t>
      </w:r>
      <w:r w:rsidRPr="00B557F4">
        <w:rPr>
          <w:rFonts w:asciiTheme="majorBidi" w:hAnsiTheme="majorBidi" w:cstheme="majorBidi"/>
          <w:color w:val="000000"/>
        </w:rPr>
        <w:t xml:space="preserve"> tend to hire more university graduates – 72% compared with 56% in Israeli</w:t>
      </w:r>
      <w:r w:rsidR="007646A4">
        <w:rPr>
          <w:rFonts w:asciiTheme="majorBidi" w:hAnsiTheme="majorBidi" w:cstheme="majorBidi"/>
          <w:color w:val="000000"/>
        </w:rPr>
        <w:t>-</w:t>
      </w:r>
      <w:r w:rsidRPr="00B557F4">
        <w:rPr>
          <w:rFonts w:asciiTheme="majorBidi" w:hAnsiTheme="majorBidi" w:cstheme="majorBidi"/>
          <w:color w:val="000000"/>
        </w:rPr>
        <w:t>owned companies.</w:t>
      </w:r>
    </w:p>
    <w:p w14:paraId="34CB8A23" w14:textId="67789664" w:rsidR="001D6EBE" w:rsidRPr="00B557F4" w:rsidRDefault="001D6EBE" w:rsidP="00B557F4">
      <w:pPr>
        <w:pStyle w:val="NormalWeb"/>
        <w:numPr>
          <w:ilvl w:val="0"/>
          <w:numId w:val="18"/>
        </w:numPr>
        <w:spacing w:before="0" w:beforeAutospacing="0" w:after="120" w:afterAutospacing="0" w:line="360" w:lineRule="auto"/>
        <w:jc w:val="both"/>
        <w:textAlignment w:val="baseline"/>
        <w:rPr>
          <w:rFonts w:asciiTheme="majorBidi" w:hAnsiTheme="majorBidi" w:cstheme="majorBidi"/>
          <w:color w:val="000000"/>
        </w:rPr>
      </w:pPr>
      <w:r w:rsidRPr="00B557F4">
        <w:rPr>
          <w:rFonts w:asciiTheme="majorBidi" w:hAnsiTheme="majorBidi" w:cstheme="majorBidi"/>
          <w:b/>
          <w:bCs/>
          <w:color w:val="000000"/>
        </w:rPr>
        <w:t>Company size</w:t>
      </w:r>
      <w:r w:rsidRPr="00B557F4">
        <w:rPr>
          <w:rFonts w:asciiTheme="majorBidi" w:hAnsiTheme="majorBidi" w:cstheme="majorBidi"/>
          <w:color w:val="000000"/>
        </w:rPr>
        <w:t xml:space="preserve"> has a positive effect on the tendency to employ workers with a university education. The main outstanding difference is </w:t>
      </w:r>
      <w:r w:rsidR="007646A4">
        <w:rPr>
          <w:rFonts w:asciiTheme="majorBidi" w:hAnsiTheme="majorBidi" w:cstheme="majorBidi"/>
          <w:color w:val="000000"/>
        </w:rPr>
        <w:t>that</w:t>
      </w:r>
      <w:r w:rsidRPr="00B557F4">
        <w:rPr>
          <w:rFonts w:asciiTheme="majorBidi" w:hAnsiTheme="majorBidi" w:cstheme="majorBidi"/>
          <w:color w:val="000000"/>
        </w:rPr>
        <w:t xml:space="preserve"> </w:t>
      </w:r>
      <w:r w:rsidR="00962DD4">
        <w:rPr>
          <w:rFonts w:asciiTheme="majorBidi" w:hAnsiTheme="majorBidi" w:cstheme="majorBidi"/>
          <w:color w:val="000000"/>
        </w:rPr>
        <w:t>at</w:t>
      </w:r>
      <w:r w:rsidR="00962DD4" w:rsidRPr="00B557F4">
        <w:rPr>
          <w:rFonts w:asciiTheme="majorBidi" w:hAnsiTheme="majorBidi" w:cstheme="majorBidi"/>
          <w:color w:val="000000"/>
        </w:rPr>
        <w:t xml:space="preserve"> </w:t>
      </w:r>
      <w:r w:rsidR="00B1010E">
        <w:rPr>
          <w:rFonts w:asciiTheme="majorBidi" w:hAnsiTheme="majorBidi" w:cstheme="majorBidi"/>
          <w:color w:val="000000"/>
        </w:rPr>
        <w:t>very large</w:t>
      </w:r>
      <w:r w:rsidRPr="00B557F4">
        <w:rPr>
          <w:rFonts w:asciiTheme="majorBidi" w:hAnsiTheme="majorBidi" w:cstheme="majorBidi"/>
          <w:color w:val="000000"/>
        </w:rPr>
        <w:t xml:space="preserve"> corporations (more than 500 </w:t>
      </w:r>
      <w:r w:rsidR="007646A4">
        <w:rPr>
          <w:rFonts w:asciiTheme="majorBidi" w:hAnsiTheme="majorBidi" w:cstheme="majorBidi"/>
          <w:color w:val="000000"/>
        </w:rPr>
        <w:t>employees</w:t>
      </w:r>
      <w:r w:rsidRPr="00B557F4">
        <w:rPr>
          <w:rFonts w:asciiTheme="majorBidi" w:hAnsiTheme="majorBidi" w:cstheme="majorBidi"/>
          <w:color w:val="000000"/>
        </w:rPr>
        <w:t>)</w:t>
      </w:r>
      <w:r w:rsidR="00962DD4">
        <w:rPr>
          <w:rFonts w:asciiTheme="majorBidi" w:hAnsiTheme="majorBidi" w:cstheme="majorBidi"/>
          <w:color w:val="000000"/>
        </w:rPr>
        <w:t>,</w:t>
      </w:r>
      <w:r w:rsidRPr="00B557F4">
        <w:rPr>
          <w:rFonts w:asciiTheme="majorBidi" w:hAnsiTheme="majorBidi" w:cstheme="majorBidi"/>
          <w:color w:val="000000"/>
        </w:rPr>
        <w:t xml:space="preserve"> 66% </w:t>
      </w:r>
      <w:r w:rsidR="007646A4">
        <w:rPr>
          <w:rFonts w:asciiTheme="majorBidi" w:hAnsiTheme="majorBidi" w:cstheme="majorBidi"/>
          <w:color w:val="000000"/>
        </w:rPr>
        <w:t xml:space="preserve">of </w:t>
      </w:r>
      <w:r w:rsidRPr="00B557F4">
        <w:rPr>
          <w:rFonts w:asciiTheme="majorBidi" w:hAnsiTheme="majorBidi" w:cstheme="majorBidi"/>
          <w:color w:val="000000"/>
        </w:rPr>
        <w:t xml:space="preserve">new </w:t>
      </w:r>
      <w:r w:rsidR="007646A4">
        <w:rPr>
          <w:rFonts w:asciiTheme="majorBidi" w:hAnsiTheme="majorBidi" w:cstheme="majorBidi"/>
          <w:color w:val="000000"/>
        </w:rPr>
        <w:t>employees</w:t>
      </w:r>
      <w:r w:rsidR="007646A4" w:rsidRPr="00B557F4">
        <w:rPr>
          <w:rFonts w:asciiTheme="majorBidi" w:hAnsiTheme="majorBidi" w:cstheme="majorBidi"/>
          <w:color w:val="000000"/>
        </w:rPr>
        <w:t xml:space="preserve"> </w:t>
      </w:r>
      <w:r w:rsidRPr="00B557F4">
        <w:rPr>
          <w:rFonts w:asciiTheme="majorBidi" w:hAnsiTheme="majorBidi" w:cstheme="majorBidi"/>
          <w:color w:val="000000"/>
        </w:rPr>
        <w:t xml:space="preserve">are university graduates, while in other companies this figure ranges from 55% (1-10 </w:t>
      </w:r>
      <w:r w:rsidR="007646A4">
        <w:rPr>
          <w:rFonts w:asciiTheme="majorBidi" w:hAnsiTheme="majorBidi" w:cstheme="majorBidi"/>
          <w:color w:val="000000"/>
        </w:rPr>
        <w:t>employees</w:t>
      </w:r>
      <w:r w:rsidRPr="00B557F4">
        <w:rPr>
          <w:rFonts w:asciiTheme="majorBidi" w:hAnsiTheme="majorBidi" w:cstheme="majorBidi"/>
          <w:color w:val="000000"/>
        </w:rPr>
        <w:t xml:space="preserve">) and 59% (201-500 </w:t>
      </w:r>
      <w:r w:rsidR="007646A4">
        <w:rPr>
          <w:rFonts w:asciiTheme="majorBidi" w:hAnsiTheme="majorBidi" w:cstheme="majorBidi"/>
          <w:color w:val="000000"/>
        </w:rPr>
        <w:t>employees</w:t>
      </w:r>
      <w:r w:rsidRPr="00B557F4">
        <w:rPr>
          <w:rFonts w:asciiTheme="majorBidi" w:hAnsiTheme="majorBidi" w:cstheme="majorBidi"/>
          <w:color w:val="000000"/>
        </w:rPr>
        <w:t>).</w:t>
      </w:r>
    </w:p>
    <w:p w14:paraId="7F7F2C50" w14:textId="77777777" w:rsidR="001D6EBE" w:rsidRPr="00B557F4" w:rsidRDefault="001D6EBE" w:rsidP="00B557F4">
      <w:pPr>
        <w:pStyle w:val="NormalWeb"/>
        <w:numPr>
          <w:ilvl w:val="0"/>
          <w:numId w:val="18"/>
        </w:numPr>
        <w:spacing w:before="0" w:beforeAutospacing="0" w:after="120" w:afterAutospacing="0" w:line="360" w:lineRule="auto"/>
        <w:jc w:val="both"/>
        <w:textAlignment w:val="baseline"/>
        <w:rPr>
          <w:rFonts w:asciiTheme="majorBidi" w:hAnsiTheme="majorBidi" w:cstheme="majorBidi"/>
          <w:color w:val="000000"/>
        </w:rPr>
      </w:pPr>
      <w:r w:rsidRPr="00B557F4">
        <w:rPr>
          <w:rFonts w:asciiTheme="majorBidi" w:hAnsiTheme="majorBidi" w:cstheme="majorBidi"/>
          <w:color w:val="000000"/>
        </w:rPr>
        <w:t xml:space="preserve">As far as industry sectors are concerned, the percentage of university graduates in the </w:t>
      </w:r>
      <w:r w:rsidRPr="00B557F4">
        <w:rPr>
          <w:rFonts w:asciiTheme="majorBidi" w:hAnsiTheme="majorBidi" w:cstheme="majorBidi"/>
          <w:b/>
          <w:bCs/>
          <w:color w:val="000000"/>
        </w:rPr>
        <w:t>Life Science and Cleantech</w:t>
      </w:r>
      <w:r w:rsidRPr="00B557F4">
        <w:rPr>
          <w:rFonts w:asciiTheme="majorBidi" w:hAnsiTheme="majorBidi" w:cstheme="majorBidi"/>
          <w:color w:val="000000"/>
        </w:rPr>
        <w:t xml:space="preserve"> sectors and the </w:t>
      </w:r>
      <w:r w:rsidRPr="00B557F4">
        <w:rPr>
          <w:rFonts w:asciiTheme="majorBidi" w:hAnsiTheme="majorBidi" w:cstheme="majorBidi"/>
          <w:b/>
          <w:bCs/>
          <w:color w:val="000000"/>
        </w:rPr>
        <w:t>Manufacturing &amp; Industrial</w:t>
      </w:r>
      <w:r w:rsidRPr="00B557F4">
        <w:rPr>
          <w:rFonts w:asciiTheme="majorBidi" w:hAnsiTheme="majorBidi" w:cstheme="majorBidi"/>
          <w:color w:val="000000"/>
        </w:rPr>
        <w:t xml:space="preserve"> sector were the most prominent, with 64% and 69% respectively.</w:t>
      </w:r>
    </w:p>
    <w:p w14:paraId="09DBEDDF" w14:textId="77777777" w:rsidR="00A21FE1" w:rsidRDefault="00A21FE1" w:rsidP="00B557F4">
      <w:pPr>
        <w:pStyle w:val="NormalWeb"/>
        <w:spacing w:before="0" w:beforeAutospacing="0" w:after="120" w:afterAutospacing="0" w:line="360" w:lineRule="auto"/>
        <w:jc w:val="both"/>
        <w:rPr>
          <w:rFonts w:asciiTheme="majorBidi" w:hAnsiTheme="majorBidi" w:cstheme="majorBidi"/>
          <w:color w:val="000000"/>
        </w:rPr>
      </w:pPr>
    </w:p>
    <w:p w14:paraId="4CD403D4" w14:textId="43BF8B27" w:rsidR="001D6EBE" w:rsidRPr="00B557F4" w:rsidRDefault="001D6EBE" w:rsidP="00B557F4">
      <w:pPr>
        <w:pStyle w:val="NormalWeb"/>
        <w:spacing w:before="0" w:beforeAutospacing="0" w:after="120" w:afterAutospacing="0" w:line="360" w:lineRule="auto"/>
        <w:jc w:val="both"/>
        <w:rPr>
          <w:rFonts w:asciiTheme="majorBidi" w:hAnsiTheme="majorBidi" w:cstheme="majorBidi"/>
        </w:rPr>
      </w:pPr>
      <w:r w:rsidRPr="00B557F4">
        <w:rPr>
          <w:rFonts w:asciiTheme="majorBidi" w:hAnsiTheme="majorBidi" w:cstheme="majorBidi"/>
          <w:color w:val="000000"/>
        </w:rPr>
        <w:t xml:space="preserve">All these parameters were found to be statistically significant in a logistic regression designed to isolate the impact of the variables (for example, to examine whether the high percentage of </w:t>
      </w:r>
      <w:r w:rsidRPr="00B557F4">
        <w:rPr>
          <w:rFonts w:asciiTheme="majorBidi" w:hAnsiTheme="majorBidi" w:cstheme="majorBidi"/>
          <w:color w:val="000000"/>
        </w:rPr>
        <w:lastRenderedPageBreak/>
        <w:t>multinational corporations employing university graduates does not actually result from their foreign ownership but rather the fact that they simply tend to be much larger).</w:t>
      </w:r>
    </w:p>
    <w:p w14:paraId="7CA3C523" w14:textId="77777777" w:rsidR="001D6EBE" w:rsidRPr="00B557F4" w:rsidRDefault="001D6EBE" w:rsidP="00B557F4">
      <w:pPr>
        <w:spacing w:after="120" w:line="360" w:lineRule="auto"/>
        <w:rPr>
          <w:rFonts w:asciiTheme="majorBidi" w:hAnsiTheme="majorBidi" w:cstheme="majorBidi"/>
          <w:sz w:val="24"/>
          <w:szCs w:val="24"/>
          <w:rtl/>
        </w:rPr>
      </w:pPr>
    </w:p>
    <w:p w14:paraId="31CEC9D9" w14:textId="48B8353E" w:rsidR="001D6EBE" w:rsidRPr="00B557F4" w:rsidRDefault="001D6EBE" w:rsidP="00B557F4">
      <w:pPr>
        <w:pStyle w:val="NormalWeb"/>
        <w:spacing w:before="0" w:beforeAutospacing="0" w:after="120" w:afterAutospacing="0" w:line="360" w:lineRule="auto"/>
        <w:jc w:val="both"/>
        <w:rPr>
          <w:rFonts w:asciiTheme="majorBidi" w:hAnsiTheme="majorBidi" w:cstheme="majorBidi"/>
        </w:rPr>
      </w:pPr>
      <w:r w:rsidRPr="00B557F4">
        <w:rPr>
          <w:rFonts w:asciiTheme="majorBidi" w:hAnsiTheme="majorBidi" w:cstheme="majorBidi"/>
          <w:color w:val="000000"/>
        </w:rPr>
        <w:t xml:space="preserve">There is also a higher percentage of university graduates </w:t>
      </w:r>
      <w:r w:rsidR="00AC03DB">
        <w:rPr>
          <w:rFonts w:asciiTheme="majorBidi" w:hAnsiTheme="majorBidi" w:cstheme="majorBidi"/>
          <w:color w:val="000000"/>
        </w:rPr>
        <w:t>for</w:t>
      </w:r>
      <w:r w:rsidRPr="00B557F4">
        <w:rPr>
          <w:rFonts w:asciiTheme="majorBidi" w:hAnsiTheme="majorBidi" w:cstheme="majorBidi"/>
          <w:color w:val="000000"/>
        </w:rPr>
        <w:t xml:space="preserve"> </w:t>
      </w:r>
      <w:r w:rsidRPr="00B557F4">
        <w:rPr>
          <w:rFonts w:asciiTheme="majorBidi" w:hAnsiTheme="majorBidi" w:cstheme="majorBidi"/>
          <w:b/>
          <w:bCs/>
          <w:color w:val="000000"/>
        </w:rPr>
        <w:t>non-tech</w:t>
      </w:r>
      <w:r w:rsidRPr="00B557F4">
        <w:rPr>
          <w:rFonts w:asciiTheme="majorBidi" w:hAnsiTheme="majorBidi" w:cstheme="majorBidi"/>
          <w:color w:val="000000"/>
        </w:rPr>
        <w:t xml:space="preserve"> workers with an academic education; though, the difference here is less marked in comparison to the tech workers. Thus, 51% of this group are university graduates</w:t>
      </w:r>
      <w:r w:rsidR="00793DE2">
        <w:rPr>
          <w:rFonts w:asciiTheme="majorBidi" w:hAnsiTheme="majorBidi" w:cstheme="majorBidi"/>
          <w:color w:val="000000"/>
        </w:rPr>
        <w:t>,</w:t>
      </w:r>
      <w:r w:rsidRPr="00B557F4">
        <w:rPr>
          <w:rFonts w:asciiTheme="majorBidi" w:hAnsiTheme="majorBidi" w:cstheme="majorBidi"/>
          <w:color w:val="000000"/>
        </w:rPr>
        <w:t xml:space="preserve"> while only 37% studied at colleges (12% studied at foreign educational institutions). These data do not significantly vary over the different sectors or in relation to company size.</w:t>
      </w:r>
    </w:p>
    <w:p w14:paraId="652266AB" w14:textId="77777777" w:rsidR="001D6EBE" w:rsidRPr="006000D9" w:rsidRDefault="001D6EBE" w:rsidP="00B557F4">
      <w:pPr>
        <w:pStyle w:val="Heading2"/>
        <w:spacing w:line="360" w:lineRule="auto"/>
        <w:jc w:val="both"/>
        <w:rPr>
          <w:rFonts w:asciiTheme="majorBidi" w:hAnsiTheme="majorBidi" w:cstheme="majorBidi"/>
          <w:b/>
          <w:bCs/>
          <w:sz w:val="28"/>
          <w:szCs w:val="28"/>
        </w:rPr>
      </w:pPr>
      <w:r w:rsidRPr="006000D9">
        <w:rPr>
          <w:rFonts w:asciiTheme="majorBidi" w:hAnsiTheme="majorBidi" w:cstheme="majorBidi"/>
          <w:b/>
          <w:color w:val="000000"/>
          <w:sz w:val="28"/>
          <w:szCs w:val="28"/>
        </w:rPr>
        <w:t>The connection between training and professions in the high-tech industry</w:t>
      </w:r>
    </w:p>
    <w:p w14:paraId="73C989FB" w14:textId="58E0999B" w:rsidR="001D6EBE" w:rsidRPr="00B557F4" w:rsidRDefault="001D6EBE" w:rsidP="00B557F4">
      <w:pPr>
        <w:pStyle w:val="NormalWeb"/>
        <w:spacing w:before="0" w:beforeAutospacing="0" w:after="120" w:afterAutospacing="0" w:line="360" w:lineRule="auto"/>
        <w:jc w:val="both"/>
        <w:rPr>
          <w:rFonts w:asciiTheme="majorBidi" w:hAnsiTheme="majorBidi" w:cstheme="majorBidi"/>
        </w:rPr>
      </w:pPr>
      <w:r w:rsidRPr="00B557F4">
        <w:rPr>
          <w:rFonts w:asciiTheme="majorBidi" w:hAnsiTheme="majorBidi" w:cstheme="majorBidi"/>
          <w:color w:val="000000"/>
        </w:rPr>
        <w:t xml:space="preserve">A closer look at </w:t>
      </w:r>
      <w:r w:rsidR="00962DD4">
        <w:rPr>
          <w:rFonts w:asciiTheme="majorBidi" w:hAnsiTheme="majorBidi" w:cstheme="majorBidi"/>
          <w:color w:val="000000"/>
        </w:rPr>
        <w:t>employee training</w:t>
      </w:r>
      <w:r w:rsidRPr="00B557F4">
        <w:rPr>
          <w:rFonts w:asciiTheme="majorBidi" w:hAnsiTheme="majorBidi" w:cstheme="majorBidi"/>
          <w:color w:val="000000"/>
        </w:rPr>
        <w:t xml:space="preserve"> in their first technological position in high-tech, according to key areas, shows that there are professions, from the very first job, that clearly require an academic degree. Thus, new workers in the software, hardware</w:t>
      </w:r>
      <w:r w:rsidR="00AC03DB">
        <w:rPr>
          <w:rFonts w:asciiTheme="majorBidi" w:hAnsiTheme="majorBidi" w:cstheme="majorBidi"/>
          <w:color w:val="000000"/>
        </w:rPr>
        <w:t>,</w:t>
      </w:r>
      <w:r w:rsidRPr="00B557F4">
        <w:rPr>
          <w:rFonts w:asciiTheme="majorBidi" w:hAnsiTheme="majorBidi" w:cstheme="majorBidi"/>
          <w:color w:val="000000"/>
        </w:rPr>
        <w:t xml:space="preserve"> and algorithm professions display a significant tendency to have an academic education (Figure X). In contrast, most workers in data and product/project management positions are academics, but only one third of them have high-tech training. In comparison, the IT and QA professions rely extensively on alternative training.</w:t>
      </w:r>
    </w:p>
    <w:p w14:paraId="15BF568D" w14:textId="77777777" w:rsidR="001D6EBE" w:rsidRPr="00B557F4" w:rsidRDefault="001D6EBE" w:rsidP="00B557F4">
      <w:pPr>
        <w:spacing w:after="120" w:line="360" w:lineRule="auto"/>
        <w:rPr>
          <w:rFonts w:asciiTheme="majorBidi" w:hAnsiTheme="majorBidi" w:cstheme="majorBidi"/>
          <w:sz w:val="24"/>
          <w:szCs w:val="24"/>
          <w:rtl/>
        </w:rPr>
      </w:pPr>
    </w:p>
    <w:p w14:paraId="68681625" w14:textId="72D39794" w:rsidR="001D6EBE" w:rsidRPr="00B557F4" w:rsidRDefault="001D6EBE" w:rsidP="00B557F4">
      <w:pPr>
        <w:pStyle w:val="NormalWeb"/>
        <w:spacing w:before="0" w:beforeAutospacing="0" w:after="120" w:afterAutospacing="0" w:line="360" w:lineRule="auto"/>
        <w:rPr>
          <w:rFonts w:asciiTheme="majorBidi" w:hAnsiTheme="majorBidi" w:cstheme="majorBidi"/>
        </w:rPr>
      </w:pPr>
      <w:r w:rsidRPr="00B557F4">
        <w:rPr>
          <w:rFonts w:asciiTheme="majorBidi" w:hAnsiTheme="majorBidi" w:cstheme="majorBidi"/>
          <w:noProof/>
          <w:color w:val="000000"/>
          <w:bdr w:val="none" w:sz="0" w:space="0" w:color="auto" w:frame="1"/>
        </w:rPr>
        <w:drawing>
          <wp:inline distT="0" distB="0" distL="0" distR="0" wp14:anchorId="3E895E95" wp14:editId="73B49C0D">
            <wp:extent cx="5943600" cy="2971800"/>
            <wp:effectExtent l="0" t="0" r="0" b="0"/>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14:paraId="7C2668BF" w14:textId="77777777" w:rsidR="001D6EBE" w:rsidRPr="00767453" w:rsidRDefault="001D6EBE" w:rsidP="00B557F4">
      <w:pPr>
        <w:pStyle w:val="Heading2"/>
        <w:spacing w:line="360" w:lineRule="auto"/>
        <w:jc w:val="both"/>
        <w:rPr>
          <w:rFonts w:asciiTheme="majorBidi" w:hAnsiTheme="majorBidi" w:cstheme="majorBidi"/>
          <w:b/>
          <w:bCs/>
          <w:sz w:val="28"/>
          <w:szCs w:val="28"/>
        </w:rPr>
      </w:pPr>
      <w:r w:rsidRPr="00767453">
        <w:rPr>
          <w:rFonts w:asciiTheme="majorBidi" w:hAnsiTheme="majorBidi" w:cstheme="majorBidi"/>
          <w:b/>
          <w:color w:val="000000"/>
          <w:sz w:val="28"/>
          <w:szCs w:val="28"/>
        </w:rPr>
        <w:lastRenderedPageBreak/>
        <w:t>Extra-academic training</w:t>
      </w:r>
    </w:p>
    <w:p w14:paraId="688D6963" w14:textId="09DA11C2" w:rsidR="001D6EBE" w:rsidRPr="00B557F4" w:rsidRDefault="001D6EBE" w:rsidP="00B557F4">
      <w:pPr>
        <w:pStyle w:val="NormalWeb"/>
        <w:spacing w:before="0" w:beforeAutospacing="0" w:after="120" w:afterAutospacing="0" w:line="360" w:lineRule="auto"/>
        <w:jc w:val="both"/>
        <w:rPr>
          <w:rFonts w:asciiTheme="majorBidi" w:hAnsiTheme="majorBidi" w:cstheme="majorBidi"/>
        </w:rPr>
      </w:pPr>
      <w:r w:rsidRPr="00B557F4">
        <w:rPr>
          <w:rFonts w:asciiTheme="majorBidi" w:hAnsiTheme="majorBidi" w:cstheme="majorBidi"/>
          <w:color w:val="000000"/>
        </w:rPr>
        <w:t xml:space="preserve">The role of extra-academic high-tech training (programming camps) as an alternative entry channel into high-tech </w:t>
      </w:r>
      <w:r w:rsidRPr="00793DE2">
        <w:rPr>
          <w:rFonts w:asciiTheme="majorBidi" w:hAnsiTheme="majorBidi" w:cstheme="majorBidi"/>
          <w:color w:val="000000"/>
        </w:rPr>
        <w:t>has solidified in recent</w:t>
      </w:r>
      <w:r w:rsidRPr="00B557F4">
        <w:rPr>
          <w:rFonts w:asciiTheme="majorBidi" w:hAnsiTheme="majorBidi" w:cstheme="majorBidi"/>
          <w:color w:val="000000"/>
        </w:rPr>
        <w:t xml:space="preserve"> years, but as we have shown, the key entry channel into high-tech remains that of academic education. At the same time, it is interesting to see the breakdown of first jobs taken by graduates of extra-academic training, who found work in high-tech companies.</w:t>
      </w:r>
    </w:p>
    <w:p w14:paraId="1410DA80" w14:textId="12E8C32D" w:rsidR="001D6EBE" w:rsidRPr="00B557F4" w:rsidRDefault="001D6EBE" w:rsidP="00B557F4">
      <w:pPr>
        <w:pStyle w:val="NormalWeb"/>
        <w:spacing w:before="0" w:beforeAutospacing="0" w:after="120" w:afterAutospacing="0" w:line="360" w:lineRule="auto"/>
        <w:jc w:val="both"/>
        <w:rPr>
          <w:rFonts w:asciiTheme="majorBidi" w:hAnsiTheme="majorBidi" w:cstheme="majorBidi"/>
        </w:rPr>
      </w:pPr>
      <w:r w:rsidRPr="00B557F4">
        <w:rPr>
          <w:rFonts w:asciiTheme="majorBidi" w:hAnsiTheme="majorBidi" w:cstheme="majorBidi"/>
          <w:color w:val="000000"/>
        </w:rPr>
        <w:t xml:space="preserve">Figure X displays the breakdown of </w:t>
      </w:r>
      <w:r w:rsidR="00CF6F2B">
        <w:rPr>
          <w:rFonts w:asciiTheme="majorBidi" w:hAnsiTheme="majorBidi" w:cstheme="majorBidi"/>
          <w:color w:val="000000"/>
        </w:rPr>
        <w:t xml:space="preserve">employee </w:t>
      </w:r>
      <w:r w:rsidRPr="00B557F4">
        <w:rPr>
          <w:rFonts w:asciiTheme="majorBidi" w:hAnsiTheme="majorBidi" w:cstheme="majorBidi"/>
          <w:color w:val="000000"/>
        </w:rPr>
        <w:t xml:space="preserve">positions whose training was an extra-academic high-tech course, while distinguishing between those who in addition to this training, had also engaged in academic studies. As can be seen from this, those workers without academic studies have a greater tendency to </w:t>
      </w:r>
      <w:r w:rsidR="00927E82" w:rsidRPr="00B557F4">
        <w:rPr>
          <w:rFonts w:asciiTheme="majorBidi" w:hAnsiTheme="majorBidi" w:cstheme="majorBidi"/>
          <w:color w:val="000000"/>
        </w:rPr>
        <w:t>enter</w:t>
      </w:r>
      <w:r w:rsidRPr="00B557F4">
        <w:rPr>
          <w:rFonts w:asciiTheme="majorBidi" w:hAnsiTheme="majorBidi" w:cstheme="majorBidi"/>
          <w:color w:val="000000"/>
        </w:rPr>
        <w:t xml:space="preserve"> technological positions (only 9% of them work in high-tech companies in non-tech positions</w:t>
      </w:r>
      <w:r w:rsidR="00CF6F2B">
        <w:rPr>
          <w:rFonts w:asciiTheme="majorBidi" w:hAnsiTheme="majorBidi" w:cstheme="majorBidi"/>
          <w:color w:val="000000"/>
        </w:rPr>
        <w:t>,</w:t>
      </w:r>
      <w:r w:rsidRPr="00B557F4">
        <w:rPr>
          <w:rFonts w:asciiTheme="majorBidi" w:hAnsiTheme="majorBidi" w:cstheme="majorBidi"/>
          <w:color w:val="000000"/>
        </w:rPr>
        <w:t xml:space="preserve"> compared with 20% </w:t>
      </w:r>
      <w:r w:rsidR="00CF6F2B">
        <w:rPr>
          <w:rFonts w:asciiTheme="majorBidi" w:hAnsiTheme="majorBidi" w:cstheme="majorBidi"/>
          <w:color w:val="000000"/>
        </w:rPr>
        <w:t>of</w:t>
      </w:r>
      <w:r w:rsidRPr="00B557F4">
        <w:rPr>
          <w:rFonts w:asciiTheme="majorBidi" w:hAnsiTheme="majorBidi" w:cstheme="majorBidi"/>
          <w:color w:val="000000"/>
        </w:rPr>
        <w:t xml:space="preserve"> individuals with academic studies). Furthermore, they are overrepresented in the QA and IT professions. On the other hand, it appears that workers with academic training have an advantage in the data and product/project management professions that require skillsets beyond programming.</w:t>
      </w:r>
    </w:p>
    <w:p w14:paraId="4CCE8AD6" w14:textId="46B91034" w:rsidR="001D6EBE" w:rsidRPr="00B557F4" w:rsidRDefault="001D6EBE" w:rsidP="00B557F4">
      <w:pPr>
        <w:spacing w:after="120" w:line="360" w:lineRule="auto"/>
        <w:rPr>
          <w:rFonts w:asciiTheme="majorBidi" w:eastAsia="Calibri" w:hAnsiTheme="majorBidi" w:cstheme="majorBidi"/>
          <w:sz w:val="24"/>
          <w:szCs w:val="24"/>
        </w:rPr>
      </w:pPr>
      <w:r w:rsidRPr="00B557F4">
        <w:rPr>
          <w:rFonts w:asciiTheme="majorBidi" w:hAnsiTheme="majorBidi" w:cstheme="majorBidi"/>
          <w:noProof/>
          <w:color w:val="000000"/>
          <w:sz w:val="24"/>
          <w:szCs w:val="24"/>
          <w:bdr w:val="none" w:sz="0" w:space="0" w:color="auto" w:frame="1"/>
        </w:rPr>
        <w:drawing>
          <wp:inline distT="0" distB="0" distL="0" distR="0" wp14:anchorId="5C6A5F6D" wp14:editId="7FB0C146">
            <wp:extent cx="5943600" cy="2407920"/>
            <wp:effectExtent l="0" t="0" r="0" b="0"/>
            <wp:docPr id="17" name="Picture 1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bar 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407920"/>
                    </a:xfrm>
                    <a:prstGeom prst="rect">
                      <a:avLst/>
                    </a:prstGeom>
                    <a:noFill/>
                    <a:ln>
                      <a:noFill/>
                    </a:ln>
                  </pic:spPr>
                </pic:pic>
              </a:graphicData>
            </a:graphic>
          </wp:inline>
        </w:drawing>
      </w:r>
    </w:p>
    <w:p w14:paraId="4F24272F" w14:textId="5EC33250" w:rsidR="00EE4D36" w:rsidRPr="00757D4B" w:rsidRDefault="00EE4D36" w:rsidP="00B557F4">
      <w:pPr>
        <w:pStyle w:val="Heading1"/>
        <w:spacing w:line="360" w:lineRule="auto"/>
        <w:jc w:val="both"/>
        <w:rPr>
          <w:rFonts w:asciiTheme="majorBidi" w:hAnsiTheme="majorBidi" w:cstheme="majorBidi"/>
          <w:sz w:val="32"/>
          <w:szCs w:val="32"/>
        </w:rPr>
      </w:pPr>
      <w:r w:rsidRPr="00757D4B">
        <w:rPr>
          <w:rFonts w:asciiTheme="majorBidi" w:hAnsiTheme="majorBidi" w:cstheme="majorBidi"/>
          <w:sz w:val="32"/>
          <w:szCs w:val="32"/>
        </w:rPr>
        <w:lastRenderedPageBreak/>
        <w:t>Statistic Annex – Chapter 4</w:t>
      </w:r>
    </w:p>
    <w:p w14:paraId="68414199" w14:textId="66E02205" w:rsidR="00BF0CF3" w:rsidRPr="00B557F4" w:rsidRDefault="00EE4D36" w:rsidP="00B557F4">
      <w:pPr>
        <w:spacing w:after="120" w:line="360" w:lineRule="auto"/>
        <w:rPr>
          <w:rFonts w:asciiTheme="majorBidi" w:eastAsia="Calibri" w:hAnsiTheme="majorBidi" w:cstheme="majorBidi"/>
          <w:color w:val="FF0000"/>
          <w:sz w:val="24"/>
          <w:szCs w:val="24"/>
        </w:rPr>
      </w:pPr>
      <w:bookmarkStart w:id="6" w:name="_x6k59ob5hn99"/>
      <w:bookmarkStart w:id="7" w:name="_fx72qk4jruew" w:colFirst="0" w:colLast="0"/>
      <w:bookmarkEnd w:id="6"/>
      <w:bookmarkEnd w:id="7"/>
      <w:r w:rsidRPr="00B557F4">
        <w:rPr>
          <w:rFonts w:asciiTheme="majorBidi" w:hAnsiTheme="majorBidi" w:cstheme="majorBidi"/>
          <w:noProof/>
          <w:color w:val="FF0000"/>
          <w:sz w:val="24"/>
          <w:szCs w:val="24"/>
        </w:rPr>
        <w:drawing>
          <wp:inline distT="114300" distB="114300" distL="114300" distR="114300" wp14:anchorId="19B4E753" wp14:editId="4C1B20D6">
            <wp:extent cx="5943600" cy="5537200"/>
            <wp:effectExtent l="0" t="0" r="0" b="0"/>
            <wp:docPr id="42" name="image8.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42" name="image8.png" descr="Table&#10;&#10;Description automatically generated"/>
                    <pic:cNvPicPr preferRelativeResize="0"/>
                  </pic:nvPicPr>
                  <pic:blipFill>
                    <a:blip r:embed="rId16"/>
                    <a:srcRect/>
                    <a:stretch>
                      <a:fillRect/>
                    </a:stretch>
                  </pic:blipFill>
                  <pic:spPr>
                    <a:xfrm>
                      <a:off x="0" y="0"/>
                      <a:ext cx="5943600" cy="5537200"/>
                    </a:xfrm>
                    <a:prstGeom prst="rect">
                      <a:avLst/>
                    </a:prstGeom>
                    <a:ln/>
                  </pic:spPr>
                </pic:pic>
              </a:graphicData>
            </a:graphic>
          </wp:inline>
        </w:drawing>
      </w:r>
    </w:p>
    <w:p w14:paraId="023B0F12" w14:textId="2BE0B72E" w:rsidR="00BF0CF3" w:rsidRPr="00864167" w:rsidRDefault="00BE1C23" w:rsidP="00B557F4">
      <w:pPr>
        <w:pStyle w:val="Heading1"/>
        <w:spacing w:line="360" w:lineRule="auto"/>
        <w:rPr>
          <w:rFonts w:asciiTheme="majorBidi" w:hAnsiTheme="majorBidi" w:cstheme="majorBidi"/>
        </w:rPr>
      </w:pPr>
      <w:r w:rsidRPr="00864167">
        <w:rPr>
          <w:rFonts w:asciiTheme="majorBidi" w:hAnsiTheme="majorBidi" w:cstheme="majorBidi"/>
        </w:rPr>
        <w:t>Chapter 5 – Women:</w:t>
      </w:r>
    </w:p>
    <w:p w14:paraId="1DCF4906" w14:textId="746E6885" w:rsidR="00226410" w:rsidRPr="00864167" w:rsidRDefault="00226410" w:rsidP="00B557F4">
      <w:pPr>
        <w:pStyle w:val="Heading1"/>
        <w:spacing w:line="360" w:lineRule="auto"/>
        <w:rPr>
          <w:rFonts w:asciiTheme="majorBidi" w:hAnsiTheme="majorBidi" w:cstheme="majorBidi"/>
        </w:rPr>
      </w:pPr>
      <w:bookmarkStart w:id="8" w:name="_9xfrlj78b7va"/>
      <w:bookmarkEnd w:id="8"/>
      <w:r w:rsidRPr="00864167">
        <w:rPr>
          <w:rFonts w:asciiTheme="majorBidi" w:hAnsiTheme="majorBidi" w:cstheme="majorBidi"/>
        </w:rPr>
        <w:t>Summary</w:t>
      </w:r>
    </w:p>
    <w:p w14:paraId="25007683" w14:textId="77777777" w:rsidR="00BF0CF3" w:rsidRPr="00B557F4" w:rsidRDefault="00BF0CF3" w:rsidP="00B557F4">
      <w:pPr>
        <w:bidi/>
        <w:spacing w:after="120" w:line="360" w:lineRule="auto"/>
        <w:rPr>
          <w:rFonts w:asciiTheme="majorBidi" w:eastAsia="Calibri" w:hAnsiTheme="majorBidi" w:cstheme="majorBidi"/>
          <w:sz w:val="24"/>
          <w:szCs w:val="24"/>
        </w:rPr>
      </w:pPr>
    </w:p>
    <w:p w14:paraId="38219A90" w14:textId="7D6D79CF" w:rsidR="00BF0CF3" w:rsidRPr="00B557F4" w:rsidRDefault="00BF0CF3" w:rsidP="00B557F4">
      <w:pPr>
        <w:bidi/>
        <w:spacing w:after="120" w:line="360" w:lineRule="auto"/>
        <w:rPr>
          <w:rFonts w:asciiTheme="majorBidi" w:eastAsia="Calibri" w:hAnsiTheme="majorBidi" w:cstheme="majorBidi"/>
          <w:sz w:val="24"/>
          <w:szCs w:val="24"/>
          <w:rtl/>
        </w:rPr>
      </w:pPr>
    </w:p>
    <w:sectPr w:rsidR="00BF0CF3" w:rsidRPr="00B557F4">
      <w:headerReference w:type="default" r:id="rId1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35E90" w14:textId="77777777" w:rsidR="006509DB" w:rsidRDefault="006509DB">
      <w:pPr>
        <w:spacing w:line="240" w:lineRule="auto"/>
      </w:pPr>
      <w:r>
        <w:separator/>
      </w:r>
    </w:p>
  </w:endnote>
  <w:endnote w:type="continuationSeparator" w:id="0">
    <w:p w14:paraId="14380511" w14:textId="77777777" w:rsidR="006509DB" w:rsidRDefault="006509DB">
      <w:pPr>
        <w:spacing w:line="240" w:lineRule="auto"/>
      </w:pPr>
      <w:r>
        <w:continuationSeparator/>
      </w:r>
    </w:p>
  </w:endnote>
  <w:endnote w:type="continuationNotice" w:id="1">
    <w:p w14:paraId="28E4D1C8" w14:textId="77777777" w:rsidR="006509DB" w:rsidRDefault="006509D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1D95A" w14:textId="77777777" w:rsidR="00BF0CF3" w:rsidRDefault="00BF0CF3">
    <w:pP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23584" w14:textId="77777777" w:rsidR="006509DB" w:rsidRDefault="006509DB">
      <w:pPr>
        <w:spacing w:line="240" w:lineRule="auto"/>
      </w:pPr>
      <w:r>
        <w:separator/>
      </w:r>
    </w:p>
  </w:footnote>
  <w:footnote w:type="continuationSeparator" w:id="0">
    <w:p w14:paraId="1F3364ED" w14:textId="77777777" w:rsidR="006509DB" w:rsidRDefault="006509DB">
      <w:pPr>
        <w:spacing w:line="240" w:lineRule="auto"/>
      </w:pPr>
      <w:r>
        <w:continuationSeparator/>
      </w:r>
    </w:p>
  </w:footnote>
  <w:footnote w:type="continuationNotice" w:id="1">
    <w:p w14:paraId="33990E90" w14:textId="77777777" w:rsidR="006509DB" w:rsidRDefault="006509DB">
      <w:pPr>
        <w:spacing w:line="240" w:lineRule="auto"/>
      </w:pPr>
    </w:p>
  </w:footnote>
  <w:footnote w:id="2">
    <w:p w14:paraId="643D54A6" w14:textId="2992640F" w:rsidR="006E1A74" w:rsidRDefault="006E1A74" w:rsidP="00A21FE1">
      <w:pPr>
        <w:spacing w:line="240" w:lineRule="auto"/>
        <w:ind w:left="284" w:hanging="284"/>
        <w:rPr>
          <w:sz w:val="20"/>
          <w:szCs w:val="20"/>
        </w:rPr>
      </w:pPr>
      <w:r>
        <w:rPr>
          <w:vertAlign w:val="superscript"/>
        </w:rPr>
        <w:footnoteRef/>
      </w:r>
      <w:r w:rsidR="00A21FE1">
        <w:rPr>
          <w:rFonts w:asciiTheme="majorBidi" w:hAnsiTheme="majorBidi" w:cstheme="majorBidi"/>
          <w:sz w:val="20"/>
          <w:szCs w:val="20"/>
        </w:rPr>
        <w:t xml:space="preserve"> </w:t>
      </w:r>
      <w:r w:rsidR="00A21FE1">
        <w:rPr>
          <w:rFonts w:asciiTheme="majorBidi" w:hAnsiTheme="majorBidi" w:cstheme="majorBidi"/>
          <w:sz w:val="20"/>
          <w:szCs w:val="20"/>
        </w:rPr>
        <w:tab/>
      </w:r>
      <w:r w:rsidRPr="00A21FE1">
        <w:rPr>
          <w:rFonts w:asciiTheme="majorBidi" w:hAnsiTheme="majorBidi" w:cstheme="majorBidi"/>
          <w:sz w:val="20"/>
          <w:szCs w:val="20"/>
        </w:rPr>
        <w:t>See the SNC Finder database definitions here:</w:t>
      </w:r>
      <w:r>
        <w:rPr>
          <w:sz w:val="20"/>
        </w:rPr>
        <w:t xml:space="preserve"> </w:t>
      </w:r>
      <w:hyperlink r:id="rId1">
        <w:r>
          <w:rPr>
            <w:color w:val="1155CC"/>
            <w:sz w:val="20"/>
            <w:u w:val="single"/>
          </w:rPr>
          <w:t>https://finder.startupnationcentral.org/glossary_page</w:t>
        </w:r>
      </w:hyperlink>
      <w:r>
        <w:rPr>
          <w:sz w:val="20"/>
        </w:rPr>
        <w:t xml:space="preserve">. </w:t>
      </w:r>
    </w:p>
  </w:footnote>
  <w:footnote w:id="3">
    <w:p w14:paraId="32BA2904" w14:textId="06945F3B" w:rsidR="00EE4D36" w:rsidRPr="00A21FE1" w:rsidRDefault="00EE4D36" w:rsidP="00A21FE1">
      <w:pPr>
        <w:spacing w:line="240" w:lineRule="auto"/>
        <w:ind w:left="284" w:hanging="284"/>
        <w:jc w:val="both"/>
        <w:rPr>
          <w:rFonts w:asciiTheme="majorBidi" w:eastAsia="Calibri" w:hAnsiTheme="majorBidi" w:cstheme="majorBidi"/>
          <w:sz w:val="20"/>
          <w:szCs w:val="20"/>
        </w:rPr>
      </w:pPr>
      <w:r>
        <w:rPr>
          <w:vertAlign w:val="superscript"/>
        </w:rPr>
        <w:footnoteRef/>
      </w:r>
      <w:r>
        <w:rPr>
          <w:sz w:val="20"/>
        </w:rPr>
        <w:t xml:space="preserve"> </w:t>
      </w:r>
      <w:r w:rsidR="00A21FE1">
        <w:rPr>
          <w:rFonts w:asciiTheme="majorBidi" w:hAnsiTheme="majorBidi" w:cstheme="majorBidi"/>
          <w:sz w:val="20"/>
          <w:szCs w:val="20"/>
        </w:rPr>
        <w:tab/>
      </w:r>
      <w:r w:rsidRPr="00A21FE1">
        <w:rPr>
          <w:rFonts w:asciiTheme="majorBidi" w:hAnsiTheme="majorBidi" w:cstheme="majorBidi"/>
          <w:sz w:val="20"/>
          <w:szCs w:val="20"/>
        </w:rPr>
        <w:t xml:space="preserve">We define the rate of voluntary resignation as the number of workers who voluntarily left their </w:t>
      </w:r>
      <w:r w:rsidR="00443A1C">
        <w:rPr>
          <w:rFonts w:asciiTheme="majorBidi" w:hAnsiTheme="majorBidi" w:cstheme="majorBidi"/>
          <w:sz w:val="20"/>
          <w:szCs w:val="20"/>
        </w:rPr>
        <w:t>workplace</w:t>
      </w:r>
      <w:r w:rsidRPr="00A21FE1">
        <w:rPr>
          <w:rFonts w:asciiTheme="majorBidi" w:hAnsiTheme="majorBidi" w:cstheme="majorBidi"/>
          <w:sz w:val="20"/>
          <w:szCs w:val="20"/>
        </w:rPr>
        <w:t xml:space="preserve"> during the second half of 2021</w:t>
      </w:r>
      <w:r w:rsidR="00974BAA">
        <w:rPr>
          <w:rFonts w:asciiTheme="majorBidi" w:hAnsiTheme="majorBidi" w:cstheme="majorBidi"/>
          <w:sz w:val="20"/>
          <w:szCs w:val="20"/>
        </w:rPr>
        <w:t>,</w:t>
      </w:r>
      <w:r w:rsidRPr="00A21FE1">
        <w:rPr>
          <w:rFonts w:asciiTheme="majorBidi" w:hAnsiTheme="majorBidi" w:cstheme="majorBidi"/>
          <w:sz w:val="20"/>
          <w:szCs w:val="20"/>
        </w:rPr>
        <w:t xml:space="preserve"> divided by the number of workers at the start of the half-year, and similarly for the rate of layoffs. This definition was chosen due to the data limitations, and also to remain consistent with the definitions of reports from previous years. However, it is important to understand that the rate obtained by this calculation is not equivalent to the calculation of the probability that a specific </w:t>
      </w:r>
      <w:r w:rsidRPr="00784DEE">
        <w:rPr>
          <w:rFonts w:asciiTheme="majorBidi" w:hAnsiTheme="majorBidi" w:cstheme="majorBidi"/>
          <w:sz w:val="20"/>
          <w:szCs w:val="20"/>
        </w:rPr>
        <w:t>worker might resign.</w:t>
      </w:r>
    </w:p>
    <w:p w14:paraId="2AC443EA" w14:textId="470568CD" w:rsidR="00EE4D36" w:rsidRPr="00A21FE1" w:rsidRDefault="00EE4D36" w:rsidP="00A21FE1">
      <w:pPr>
        <w:spacing w:line="240" w:lineRule="auto"/>
        <w:ind w:left="284"/>
        <w:jc w:val="both"/>
        <w:rPr>
          <w:rFonts w:asciiTheme="majorBidi" w:eastAsia="Calibri" w:hAnsiTheme="majorBidi" w:cstheme="majorBidi"/>
          <w:sz w:val="20"/>
          <w:szCs w:val="20"/>
        </w:rPr>
      </w:pPr>
      <w:r w:rsidRPr="00A21FE1">
        <w:rPr>
          <w:rFonts w:asciiTheme="majorBidi" w:hAnsiTheme="majorBidi" w:cstheme="majorBidi"/>
          <w:sz w:val="20"/>
          <w:szCs w:val="20"/>
        </w:rPr>
        <w:t>For example, if a company</w:t>
      </w:r>
      <w:r w:rsidR="00A21FE1" w:rsidRPr="00A21FE1">
        <w:rPr>
          <w:rFonts w:asciiTheme="majorBidi" w:hAnsiTheme="majorBidi" w:cstheme="majorBidi"/>
          <w:sz w:val="20"/>
          <w:szCs w:val="20"/>
        </w:rPr>
        <w:t>’</w:t>
      </w:r>
      <w:r w:rsidRPr="00A21FE1">
        <w:rPr>
          <w:rFonts w:asciiTheme="majorBidi" w:hAnsiTheme="majorBidi" w:cstheme="majorBidi"/>
          <w:sz w:val="20"/>
          <w:szCs w:val="20"/>
        </w:rPr>
        <w:t xml:space="preserve">s workforce comprised 10 employees at the beginning of the half-year, and during the half-year it took on six workers while two workers left, the rate of voluntary resignation would then be 20% (2/10), although in practice only two out of 16 workers actually left. </w:t>
      </w:r>
    </w:p>
    <w:p w14:paraId="466E2A18" w14:textId="77777777" w:rsidR="00EE4D36" w:rsidRDefault="00EE4D36" w:rsidP="00EE4D36">
      <w:pPr>
        <w:bidi/>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5770" w14:textId="77777777" w:rsidR="00BF0CF3" w:rsidRDefault="00BF0CF3">
    <w:pPr>
      <w:bidi/>
      <w:spacing w:before="240" w:after="240"/>
      <w:jc w:val="both"/>
      <w:rPr>
        <w:rFonts w:ascii="Calibri" w:eastAsia="Calibri" w:hAnsi="Calibri" w:cs="Calibr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C0587"/>
    <w:multiLevelType w:val="multilevel"/>
    <w:tmpl w:val="6AAE1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AA5640"/>
    <w:multiLevelType w:val="multilevel"/>
    <w:tmpl w:val="533475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98C0D69"/>
    <w:multiLevelType w:val="multilevel"/>
    <w:tmpl w:val="57527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D23027"/>
    <w:multiLevelType w:val="multilevel"/>
    <w:tmpl w:val="2B3C14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5B7EFB"/>
    <w:multiLevelType w:val="multilevel"/>
    <w:tmpl w:val="73AC0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8F5BF9"/>
    <w:multiLevelType w:val="multilevel"/>
    <w:tmpl w:val="3D428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C375BDD"/>
    <w:multiLevelType w:val="multilevel"/>
    <w:tmpl w:val="DF58B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ED0634"/>
    <w:multiLevelType w:val="multilevel"/>
    <w:tmpl w:val="50F8C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DD63F6A"/>
    <w:multiLevelType w:val="multilevel"/>
    <w:tmpl w:val="FF726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E0E31FD"/>
    <w:multiLevelType w:val="multilevel"/>
    <w:tmpl w:val="05EC6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988002E"/>
    <w:multiLevelType w:val="multilevel"/>
    <w:tmpl w:val="19C01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BC00C27"/>
    <w:multiLevelType w:val="multilevel"/>
    <w:tmpl w:val="BE1A6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27443A9"/>
    <w:multiLevelType w:val="multilevel"/>
    <w:tmpl w:val="F6A83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A0A5F1A"/>
    <w:multiLevelType w:val="multilevel"/>
    <w:tmpl w:val="5B006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C461055"/>
    <w:multiLevelType w:val="multilevel"/>
    <w:tmpl w:val="8A7E7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3AD0BFB"/>
    <w:multiLevelType w:val="multilevel"/>
    <w:tmpl w:val="9FBC5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CE22CA6"/>
    <w:multiLevelType w:val="multilevel"/>
    <w:tmpl w:val="0DDE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444924"/>
    <w:multiLevelType w:val="multilevel"/>
    <w:tmpl w:val="7E285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01636870">
    <w:abstractNumId w:val="9"/>
  </w:num>
  <w:num w:numId="2" w16cid:durableId="1750615643">
    <w:abstractNumId w:val="8"/>
  </w:num>
  <w:num w:numId="3" w16cid:durableId="1212307299">
    <w:abstractNumId w:val="5"/>
  </w:num>
  <w:num w:numId="4" w16cid:durableId="2046254626">
    <w:abstractNumId w:val="10"/>
  </w:num>
  <w:num w:numId="5" w16cid:durableId="298538120">
    <w:abstractNumId w:val="3"/>
  </w:num>
  <w:num w:numId="6" w16cid:durableId="1645084677">
    <w:abstractNumId w:val="17"/>
  </w:num>
  <w:num w:numId="7" w16cid:durableId="380785680">
    <w:abstractNumId w:val="14"/>
  </w:num>
  <w:num w:numId="8" w16cid:durableId="1193566727">
    <w:abstractNumId w:val="12"/>
  </w:num>
  <w:num w:numId="9" w16cid:durableId="385957111">
    <w:abstractNumId w:val="11"/>
  </w:num>
  <w:num w:numId="10" w16cid:durableId="107899238">
    <w:abstractNumId w:val="7"/>
  </w:num>
  <w:num w:numId="11" w16cid:durableId="1549800398">
    <w:abstractNumId w:val="0"/>
  </w:num>
  <w:num w:numId="12" w16cid:durableId="1394695381">
    <w:abstractNumId w:val="4"/>
  </w:num>
  <w:num w:numId="13" w16cid:durableId="1273054071">
    <w:abstractNumId w:val="13"/>
  </w:num>
  <w:num w:numId="14" w16cid:durableId="1639458549">
    <w:abstractNumId w:val="15"/>
  </w:num>
  <w:num w:numId="15" w16cid:durableId="198129334">
    <w:abstractNumId w:val="6"/>
  </w:num>
  <w:num w:numId="16" w16cid:durableId="519509803">
    <w:abstractNumId w:val="1"/>
  </w:num>
  <w:num w:numId="17" w16cid:durableId="746341931">
    <w:abstractNumId w:val="16"/>
  </w:num>
  <w:num w:numId="18" w16cid:durableId="637341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CF3"/>
    <w:rsid w:val="00005692"/>
    <w:rsid w:val="00011455"/>
    <w:rsid w:val="00023D58"/>
    <w:rsid w:val="000325C8"/>
    <w:rsid w:val="000332C8"/>
    <w:rsid w:val="00035345"/>
    <w:rsid w:val="000C231A"/>
    <w:rsid w:val="00124916"/>
    <w:rsid w:val="00146C67"/>
    <w:rsid w:val="00163AAF"/>
    <w:rsid w:val="001723A9"/>
    <w:rsid w:val="00172F50"/>
    <w:rsid w:val="00184FF1"/>
    <w:rsid w:val="001A2120"/>
    <w:rsid w:val="001C1DFA"/>
    <w:rsid w:val="001D6EBE"/>
    <w:rsid w:val="00226410"/>
    <w:rsid w:val="0022697C"/>
    <w:rsid w:val="00227B19"/>
    <w:rsid w:val="002349DE"/>
    <w:rsid w:val="00255BC2"/>
    <w:rsid w:val="002C2FD2"/>
    <w:rsid w:val="0035534B"/>
    <w:rsid w:val="00366C4D"/>
    <w:rsid w:val="00385A70"/>
    <w:rsid w:val="00390B2F"/>
    <w:rsid w:val="003C4B29"/>
    <w:rsid w:val="003E4578"/>
    <w:rsid w:val="004006AC"/>
    <w:rsid w:val="00425E5E"/>
    <w:rsid w:val="00443A1C"/>
    <w:rsid w:val="00483E77"/>
    <w:rsid w:val="00516C32"/>
    <w:rsid w:val="00562E33"/>
    <w:rsid w:val="005A5260"/>
    <w:rsid w:val="006000D9"/>
    <w:rsid w:val="0060608C"/>
    <w:rsid w:val="006509DB"/>
    <w:rsid w:val="00656B49"/>
    <w:rsid w:val="00680E9A"/>
    <w:rsid w:val="0069581F"/>
    <w:rsid w:val="006C4667"/>
    <w:rsid w:val="006E1A74"/>
    <w:rsid w:val="006E7EC4"/>
    <w:rsid w:val="007122E6"/>
    <w:rsid w:val="007238F5"/>
    <w:rsid w:val="00757D4B"/>
    <w:rsid w:val="00762680"/>
    <w:rsid w:val="007646A4"/>
    <w:rsid w:val="00767453"/>
    <w:rsid w:val="00784DEE"/>
    <w:rsid w:val="00793DE2"/>
    <w:rsid w:val="007C3153"/>
    <w:rsid w:val="007D516E"/>
    <w:rsid w:val="00842FAE"/>
    <w:rsid w:val="0085140C"/>
    <w:rsid w:val="00852201"/>
    <w:rsid w:val="00864167"/>
    <w:rsid w:val="008A4571"/>
    <w:rsid w:val="008B0C5C"/>
    <w:rsid w:val="00927E82"/>
    <w:rsid w:val="00930EE9"/>
    <w:rsid w:val="0094604D"/>
    <w:rsid w:val="00962DD4"/>
    <w:rsid w:val="00974BAA"/>
    <w:rsid w:val="009C2F5D"/>
    <w:rsid w:val="009C4111"/>
    <w:rsid w:val="009D5BF1"/>
    <w:rsid w:val="009E3535"/>
    <w:rsid w:val="009F3FD8"/>
    <w:rsid w:val="00A21FE1"/>
    <w:rsid w:val="00A46567"/>
    <w:rsid w:val="00A57261"/>
    <w:rsid w:val="00A81AAE"/>
    <w:rsid w:val="00A900D2"/>
    <w:rsid w:val="00A93D28"/>
    <w:rsid w:val="00AB68F8"/>
    <w:rsid w:val="00AC03DB"/>
    <w:rsid w:val="00B1010E"/>
    <w:rsid w:val="00B10200"/>
    <w:rsid w:val="00B130C9"/>
    <w:rsid w:val="00B557F4"/>
    <w:rsid w:val="00B60E41"/>
    <w:rsid w:val="00B707DB"/>
    <w:rsid w:val="00B91766"/>
    <w:rsid w:val="00BB681E"/>
    <w:rsid w:val="00BD779E"/>
    <w:rsid w:val="00BE1C23"/>
    <w:rsid w:val="00BF0CF3"/>
    <w:rsid w:val="00BF1DB0"/>
    <w:rsid w:val="00BF3ABE"/>
    <w:rsid w:val="00C46F6D"/>
    <w:rsid w:val="00C83368"/>
    <w:rsid w:val="00CA2332"/>
    <w:rsid w:val="00CB0818"/>
    <w:rsid w:val="00CC6420"/>
    <w:rsid w:val="00CE0881"/>
    <w:rsid w:val="00CF6F2B"/>
    <w:rsid w:val="00D05AB9"/>
    <w:rsid w:val="00D254CA"/>
    <w:rsid w:val="00D42894"/>
    <w:rsid w:val="00D444DB"/>
    <w:rsid w:val="00D86FC8"/>
    <w:rsid w:val="00D87FEF"/>
    <w:rsid w:val="00DA3369"/>
    <w:rsid w:val="00DA40AE"/>
    <w:rsid w:val="00DB225D"/>
    <w:rsid w:val="00DF0FE3"/>
    <w:rsid w:val="00E24393"/>
    <w:rsid w:val="00E5272C"/>
    <w:rsid w:val="00E92703"/>
    <w:rsid w:val="00EB19A7"/>
    <w:rsid w:val="00EE4D36"/>
    <w:rsid w:val="00EF24F6"/>
    <w:rsid w:val="00EF4BA1"/>
    <w:rsid w:val="00F02EF8"/>
    <w:rsid w:val="00F5444B"/>
    <w:rsid w:val="00F9110A"/>
    <w:rsid w:val="00FF161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11554"/>
  <w15:docId w15:val="{7C588FA3-2AAC-45CE-8D5F-5015258E7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rFonts w:ascii="Calibri" w:eastAsia="Calibri" w:hAnsi="Calibri" w:cs="Calibri"/>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E1A74"/>
    <w:rPr>
      <w:b/>
      <w:bCs/>
    </w:rPr>
  </w:style>
  <w:style w:type="character" w:customStyle="1" w:styleId="CommentSubjectChar">
    <w:name w:val="Comment Subject Char"/>
    <w:basedOn w:val="CommentTextChar"/>
    <w:link w:val="CommentSubject"/>
    <w:uiPriority w:val="99"/>
    <w:semiHidden/>
    <w:rsid w:val="006E1A74"/>
    <w:rPr>
      <w:b/>
      <w:bCs/>
      <w:sz w:val="20"/>
      <w:szCs w:val="20"/>
    </w:rPr>
  </w:style>
  <w:style w:type="paragraph" w:styleId="NormalWeb">
    <w:name w:val="Normal (Web)"/>
    <w:basedOn w:val="Normal"/>
    <w:uiPriority w:val="99"/>
    <w:unhideWhenUsed/>
    <w:rsid w:val="00146C6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DF0FE3"/>
    <w:pPr>
      <w:tabs>
        <w:tab w:val="center" w:pos="4153"/>
        <w:tab w:val="right" w:pos="8306"/>
      </w:tabs>
      <w:spacing w:line="240" w:lineRule="auto"/>
    </w:pPr>
  </w:style>
  <w:style w:type="character" w:customStyle="1" w:styleId="HeaderChar">
    <w:name w:val="Header Char"/>
    <w:basedOn w:val="DefaultParagraphFont"/>
    <w:link w:val="Header"/>
    <w:uiPriority w:val="99"/>
    <w:semiHidden/>
    <w:rsid w:val="00DF0FE3"/>
  </w:style>
  <w:style w:type="paragraph" w:styleId="Footer">
    <w:name w:val="footer"/>
    <w:basedOn w:val="Normal"/>
    <w:link w:val="FooterChar"/>
    <w:uiPriority w:val="99"/>
    <w:semiHidden/>
    <w:unhideWhenUsed/>
    <w:rsid w:val="00DF0FE3"/>
    <w:pPr>
      <w:tabs>
        <w:tab w:val="center" w:pos="4153"/>
        <w:tab w:val="right" w:pos="8306"/>
      </w:tabs>
      <w:spacing w:line="240" w:lineRule="auto"/>
    </w:pPr>
  </w:style>
  <w:style w:type="character" w:customStyle="1" w:styleId="FooterChar">
    <w:name w:val="Footer Char"/>
    <w:basedOn w:val="DefaultParagraphFont"/>
    <w:link w:val="Footer"/>
    <w:uiPriority w:val="99"/>
    <w:semiHidden/>
    <w:rsid w:val="00DF0FE3"/>
  </w:style>
  <w:style w:type="paragraph" w:styleId="Revision">
    <w:name w:val="Revision"/>
    <w:hidden/>
    <w:uiPriority w:val="99"/>
    <w:semiHidden/>
    <w:rsid w:val="00B707D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141225">
      <w:bodyDiv w:val="1"/>
      <w:marLeft w:val="0"/>
      <w:marRight w:val="0"/>
      <w:marTop w:val="0"/>
      <w:marBottom w:val="0"/>
      <w:divBdr>
        <w:top w:val="none" w:sz="0" w:space="0" w:color="auto"/>
        <w:left w:val="none" w:sz="0" w:space="0" w:color="auto"/>
        <w:bottom w:val="none" w:sz="0" w:space="0" w:color="auto"/>
        <w:right w:val="none" w:sz="0" w:space="0" w:color="auto"/>
      </w:divBdr>
    </w:div>
    <w:div w:id="2130275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finder.startupnationcentral.org/glossary_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7A6C4-2757-4C78-A6FA-920E64D9A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2963</Words>
  <Characters>16688</Characters>
  <Application>Microsoft Office Word</Application>
  <DocSecurity>0</DocSecurity>
  <Lines>314</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Eynav Ehrlich</dc:creator>
  <cp:lastModifiedBy>Editor</cp:lastModifiedBy>
  <cp:revision>3</cp:revision>
  <dcterms:created xsi:type="dcterms:W3CDTF">2022-06-29T06:12:00Z</dcterms:created>
  <dcterms:modified xsi:type="dcterms:W3CDTF">2022-06-29T06:13:00Z</dcterms:modified>
</cp:coreProperties>
</file>