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946C" w14:textId="74134D40" w:rsidR="008A75FC" w:rsidRDefault="008A75FC" w:rsidP="005B2617"/>
    <w:p w14:paraId="48D857D6" w14:textId="438CD3FD" w:rsidR="00ED5CFD" w:rsidRPr="004F31A4" w:rsidRDefault="00ED5CFD" w:rsidP="005B2617">
      <w:pPr>
        <w:pStyle w:val="BodyTextIndent2"/>
      </w:pPr>
      <w:r w:rsidRPr="00337981">
        <w:rPr>
          <w:i/>
          <w:iCs/>
        </w:rPr>
        <w:t xml:space="preserve">Shiur </w:t>
      </w:r>
      <w:proofErr w:type="spellStart"/>
      <w:r w:rsidRPr="00337981">
        <w:rPr>
          <w:i/>
          <w:iCs/>
        </w:rPr>
        <w:t>Qoma</w:t>
      </w:r>
      <w:commentRangeStart w:id="0"/>
      <w:r w:rsidRPr="004F31A4">
        <w:t>h</w:t>
      </w:r>
      <w:proofErr w:type="spellEnd"/>
      <w:r w:rsidRPr="004F31A4">
        <w:t xml:space="preserve"> Speculations, and</w:t>
      </w:r>
      <w:r w:rsidRPr="004F31A4">
        <w:rPr>
          <w:rFonts w:hint="cs"/>
          <w:rtl/>
        </w:rPr>
        <w:t xml:space="preserve"> </w:t>
      </w:r>
      <w:r w:rsidRPr="004F31A4">
        <w:t>Rabbinic Interpretations of</w:t>
      </w:r>
    </w:p>
    <w:p w14:paraId="2EAE7F64" w14:textId="77777777" w:rsidR="00ED5CFD" w:rsidRDefault="00ED5CFD" w:rsidP="005B2617">
      <w:pPr>
        <w:pStyle w:val="BodyTextIndent2"/>
      </w:pPr>
      <w:r w:rsidRPr="004F31A4">
        <w:t xml:space="preserve">the Body of God in </w:t>
      </w:r>
      <w:r w:rsidRPr="0050593D">
        <w:rPr>
          <w:i/>
          <w:iCs/>
        </w:rPr>
        <w:t>Song of Songs</w:t>
      </w:r>
      <w:r w:rsidRPr="004F31A4">
        <w:t>:</w:t>
      </w:r>
      <w:r w:rsidRPr="004F31A4">
        <w:rPr>
          <w:rFonts w:hint="cs"/>
          <w:rtl/>
        </w:rPr>
        <w:t xml:space="preserve"> </w:t>
      </w:r>
      <w:r w:rsidRPr="004F31A4">
        <w:t xml:space="preserve">A </w:t>
      </w:r>
      <w:r>
        <w:rPr>
          <w:rFonts w:hint="cs"/>
        </w:rPr>
        <w:t>R</w:t>
      </w:r>
      <w:r w:rsidRPr="004F31A4">
        <w:t>e-examination</w:t>
      </w:r>
      <w:commentRangeEnd w:id="0"/>
      <w:r>
        <w:rPr>
          <w:rStyle w:val="CommentReference"/>
          <w:rFonts w:ascii="Times New Roman" w:hAnsi="Times New Roman" w:cs="Times New Roman"/>
          <w:lang w:bidi="ar-SA"/>
        </w:rPr>
        <w:commentReference w:id="0"/>
      </w:r>
    </w:p>
    <w:p w14:paraId="7759E037" w14:textId="77777777" w:rsidR="00ED5CFD" w:rsidRPr="004F31A4" w:rsidRDefault="00ED5CFD" w:rsidP="005B2617">
      <w:pPr>
        <w:pStyle w:val="BodyTextIndent2"/>
      </w:pPr>
    </w:p>
    <w:p w14:paraId="4DFB835C" w14:textId="77777777" w:rsidR="00ED5CFD" w:rsidRPr="004F31A4" w:rsidRDefault="00ED5CFD" w:rsidP="005B2617">
      <w:pPr>
        <w:pStyle w:val="BodyTextIndent2"/>
      </w:pPr>
      <w:r w:rsidRPr="004F31A4">
        <w:t xml:space="preserve">Tamar </w:t>
      </w:r>
      <w:proofErr w:type="spellStart"/>
      <w:r w:rsidRPr="004F31A4">
        <w:t>Kadari</w:t>
      </w:r>
      <w:proofErr w:type="spellEnd"/>
    </w:p>
    <w:p w14:paraId="44EB311F" w14:textId="77777777" w:rsidR="00ED5CFD" w:rsidRDefault="00ED5CFD" w:rsidP="005B2617"/>
    <w:p w14:paraId="0DC83DCB" w14:textId="77777777" w:rsidR="00ED5CFD" w:rsidRDefault="00ED5CFD" w:rsidP="005B2617">
      <w:pPr>
        <w:pStyle w:val="Heading1"/>
      </w:pPr>
      <w:r>
        <w:t>Introduction</w:t>
      </w:r>
    </w:p>
    <w:p w14:paraId="55F74BD1" w14:textId="0CAD5F97" w:rsidR="00ED5CFD" w:rsidRDefault="00ED5CFD" w:rsidP="005B2617">
      <w:commentRangeStart w:id="1"/>
      <w:r>
        <w:t>T</w:t>
      </w:r>
      <w:r>
        <w:t xml:space="preserve">he dating of the esoteric work known as </w:t>
      </w:r>
      <w:r w:rsidRPr="00337981">
        <w:rPr>
          <w:i/>
          <w:iCs/>
        </w:rPr>
        <w:t xml:space="preserve">Shiur </w:t>
      </w:r>
      <w:proofErr w:type="spellStart"/>
      <w:r w:rsidRPr="00337981">
        <w:rPr>
          <w:i/>
          <w:iCs/>
        </w:rPr>
        <w:t>Qoma</w:t>
      </w:r>
      <w:proofErr w:type="spellEnd"/>
      <w:r>
        <w:t xml:space="preserve"> is the subject of debate among scholars. </w:t>
      </w:r>
      <w:commentRangeEnd w:id="1"/>
      <w:r>
        <w:rPr>
          <w:rStyle w:val="CommentReference"/>
        </w:rPr>
        <w:commentReference w:id="1"/>
      </w:r>
      <w:r>
        <w:t xml:space="preserve">At the center of this work are a mystic’s visions of God as a man of enormous proportions. At its climax, verses that describe the beloved from Song 5:1–16 are integrated into the description of God. Several scholars have argued that </w:t>
      </w:r>
      <w:r w:rsidRPr="00337981">
        <w:rPr>
          <w:i/>
          <w:iCs/>
        </w:rPr>
        <w:t xml:space="preserve">Shiur </w:t>
      </w:r>
      <w:proofErr w:type="spellStart"/>
      <w:r w:rsidRPr="00337981">
        <w:rPr>
          <w:i/>
          <w:iCs/>
        </w:rPr>
        <w:t>Qoma</w:t>
      </w:r>
      <w:proofErr w:type="spellEnd"/>
      <w:r>
        <w:t xml:space="preserve"> was originally an early midrash on these verses from the </w:t>
      </w:r>
      <w:proofErr w:type="spellStart"/>
      <w:r>
        <w:t>Tannaic</w:t>
      </w:r>
      <w:proofErr w:type="spellEnd"/>
      <w:r>
        <w:t xml:space="preserve"> period. Later, various objections arose to this claim. The question of the dating of </w:t>
      </w:r>
      <w:r w:rsidRPr="00337981">
        <w:rPr>
          <w:i/>
          <w:iCs/>
        </w:rPr>
        <w:t xml:space="preserve">Shiur </w:t>
      </w:r>
      <w:proofErr w:type="spellStart"/>
      <w:r w:rsidRPr="00337981">
        <w:rPr>
          <w:i/>
          <w:iCs/>
        </w:rPr>
        <w:t>Qoma</w:t>
      </w:r>
      <w:r>
        <w:t>h</w:t>
      </w:r>
      <w:proofErr w:type="spellEnd"/>
      <w:r>
        <w:t xml:space="preserve"> relates to broader questions about the existence of a corporeal conception of divinity in Jewish mysticism, the antiquity of such a conception and its relationship to Christianity, and the degree and direction of influence between the two traditions on this topic. In this article, I will re-examine these questions by comparing </w:t>
      </w:r>
      <w:proofErr w:type="spellStart"/>
      <w:r>
        <w:t>Tannaic</w:t>
      </w:r>
      <w:proofErr w:type="spellEnd"/>
      <w:r>
        <w:t xml:space="preserve"> midrashim about the physical description of the beloved</w:t>
      </w:r>
      <w:r>
        <w:rPr>
          <w:rStyle w:val="FootnoteReference"/>
        </w:rPr>
        <w:footnoteReference w:id="1"/>
      </w:r>
      <w:r>
        <w:t xml:space="preserve"> in the </w:t>
      </w:r>
      <w:r w:rsidRPr="0050593D">
        <w:rPr>
          <w:i/>
          <w:iCs/>
        </w:rPr>
        <w:t>Song of Songs</w:t>
      </w:r>
      <w:r>
        <w:t xml:space="preserve"> with the interpretations in Amoraic midrashim.</w:t>
      </w:r>
    </w:p>
    <w:p w14:paraId="0B247E2D" w14:textId="77777777" w:rsidR="00ED5CFD" w:rsidRDefault="00ED5CFD" w:rsidP="005B2617"/>
    <w:p w14:paraId="12093162" w14:textId="77777777" w:rsidR="00ED5CFD" w:rsidRDefault="00ED5CFD" w:rsidP="005B2617">
      <w:pPr>
        <w:pStyle w:val="Heading1"/>
      </w:pPr>
      <w:r>
        <w:lastRenderedPageBreak/>
        <w:t xml:space="preserve">Descriptions of the Beloved’s Body in </w:t>
      </w:r>
      <w:r w:rsidRPr="0050593D">
        <w:rPr>
          <w:i/>
          <w:iCs/>
        </w:rPr>
        <w:t>Song of Songs</w:t>
      </w:r>
    </w:p>
    <w:p w14:paraId="05B83673" w14:textId="7238CCB0" w:rsidR="00ED5CFD" w:rsidRDefault="00ED5CFD" w:rsidP="005B2617">
      <w:pPr>
        <w:rPr>
          <w:rtl/>
        </w:rPr>
      </w:pPr>
      <w:r w:rsidRPr="0050593D">
        <w:rPr>
          <w:i/>
          <w:iCs/>
        </w:rPr>
        <w:t>Song of Songs</w:t>
      </w:r>
      <w:r>
        <w:t xml:space="preserve"> describes the yearning of two lovers for one another, as they come together and are separated. </w:t>
      </w:r>
      <w:commentRangeStart w:id="2"/>
      <w:r>
        <w:t>In three places, the male lover, the beloved, lists the virtues of the young woman he loves, describing her beautiful body in detail.</w:t>
      </w:r>
      <w:commentRangeStart w:id="3"/>
      <w:r>
        <w:rPr>
          <w:rStyle w:val="FootnoteReference"/>
        </w:rPr>
        <w:footnoteReference w:id="2"/>
      </w:r>
      <w:commentRangeEnd w:id="3"/>
      <w:r>
        <w:rPr>
          <w:rStyle w:val="CommentReference"/>
        </w:rPr>
        <w:commentReference w:id="3"/>
      </w:r>
      <w:r>
        <w:t xml:space="preserve"> </w:t>
      </w:r>
      <w:commentRangeEnd w:id="2"/>
      <w:r>
        <w:rPr>
          <w:rStyle w:val="CommentReference"/>
        </w:rPr>
        <w:commentReference w:id="2"/>
      </w:r>
      <w:r>
        <w:t>The young woman also describes her handsome beloved to the daughters of Jerusalem using rich imagery and metaphor:</w:t>
      </w:r>
    </w:p>
    <w:p w14:paraId="070D95F3" w14:textId="7C56E169" w:rsidR="00ED5CFD" w:rsidRDefault="00ED5CFD" w:rsidP="005B2617">
      <w:pPr>
        <w:pStyle w:val="Quote"/>
      </w:pPr>
      <w:r>
        <w:t xml:space="preserve">(10) </w:t>
      </w:r>
      <w:r w:rsidRPr="00252D7A">
        <w:t>My beloved is clear</w:t>
      </w:r>
      <w:r>
        <w:t>-</w:t>
      </w:r>
      <w:r w:rsidRPr="00252D7A">
        <w:t xml:space="preserve">skinned and ruddy, distinguished among ten thousand. </w:t>
      </w:r>
      <w:r>
        <w:t xml:space="preserve">(11) </w:t>
      </w:r>
      <w:r w:rsidRPr="00252D7A">
        <w:t>His head is fine</w:t>
      </w:r>
      <w:r>
        <w:t>st</w:t>
      </w:r>
      <w:r w:rsidRPr="00252D7A">
        <w:t xml:space="preserve"> gold, his locks are curled, and as black as a raven. </w:t>
      </w:r>
      <w:r>
        <w:t xml:space="preserve">(12) </w:t>
      </w:r>
      <w:r w:rsidRPr="00252D7A">
        <w:t xml:space="preserve">His eyes are like doves by watercourses, bathing in milk, and fitly set. </w:t>
      </w:r>
      <w:r>
        <w:t xml:space="preserve">(13) </w:t>
      </w:r>
      <w:r w:rsidRPr="00252D7A">
        <w:t xml:space="preserve">His cheeks are like beds of spices, producing sweet perfumes; his lips are lilies, breathing the finest myrrh. </w:t>
      </w:r>
      <w:r>
        <w:t xml:space="preserve">(14) </w:t>
      </w:r>
      <w:r w:rsidRPr="00252D7A">
        <w:t xml:space="preserve">His hands are </w:t>
      </w:r>
      <w:r>
        <w:t xml:space="preserve">as </w:t>
      </w:r>
      <w:r w:rsidRPr="00252D7A">
        <w:t>rods of gold, studded with topaz pink; his body is polished ivory, inlaid with sapphires. </w:t>
      </w:r>
      <w:r>
        <w:t xml:space="preserve">(15) </w:t>
      </w:r>
      <w:r w:rsidRPr="00252D7A">
        <w:t xml:space="preserve">His legs are like marble pillars, set on bases of fine gold; his form is like Lebanon, excellent as the cedars. </w:t>
      </w:r>
      <w:r>
        <w:t xml:space="preserve">(16) </w:t>
      </w:r>
      <w:r w:rsidRPr="00252D7A">
        <w:t>His mouth is delicious, and all of him is delightful. Such is my beloved, and such is my lover, O maidens of Jerusalem.</w:t>
      </w:r>
      <w:r>
        <w:rPr>
          <w:rStyle w:val="FootnoteReference"/>
        </w:rPr>
        <w:footnoteReference w:id="3"/>
      </w:r>
    </w:p>
    <w:p w14:paraId="2F3E3949" w14:textId="08117BEB" w:rsidR="00ED5CFD" w:rsidRDefault="00ED5CFD" w:rsidP="005B2617">
      <w:r>
        <w:t xml:space="preserve">This is the only detailed description of the male beloved in </w:t>
      </w:r>
      <w:r w:rsidRPr="0050593D">
        <w:rPr>
          <w:i/>
          <w:iCs/>
        </w:rPr>
        <w:t>Song of Songs</w:t>
      </w:r>
      <w:r>
        <w:t xml:space="preserve">. The description goes from his head to his legs, pausing over particular body parts. The imagery relating to the beloved’s head and face is taken from the animal and plant kingdoms, attributing </w:t>
      </w:r>
      <w:proofErr w:type="gramStart"/>
      <w:r>
        <w:t>delicacy</w:t>
      </w:r>
      <w:proofErr w:type="gramEnd"/>
      <w:r>
        <w:t xml:space="preserve"> and vitality to these features. The imagery used to describe his body is different, using hard substances like metals, precious stones, and wood, expressing the beloved’s power and strength. These detailed descriptions are set in a frame with </w:t>
      </w:r>
      <w:r>
        <w:lastRenderedPageBreak/>
        <w:t>opening and closing general descriptions of the beloved, whose beauty is not limited to the particulars but evident in the general impression he makes with his height and attractiveness.</w:t>
      </w:r>
    </w:p>
    <w:p w14:paraId="06F31D65" w14:textId="6ADB09ED" w:rsidR="00ED5CFD" w:rsidRDefault="00ED5CFD" w:rsidP="00E94EB4">
      <w:pPr>
        <w:rPr>
          <w:rtl/>
        </w:rPr>
      </w:pPr>
      <w:r>
        <w:t>This focus on physical appearance and detailed description of it are unusual in the Bible.</w:t>
      </w:r>
      <w:r>
        <w:rPr>
          <w:rStyle w:val="FootnoteReference"/>
        </w:rPr>
        <w:footnoteReference w:id="4"/>
      </w:r>
      <w:r>
        <w:t xml:space="preserve"> The role of these descriptions is to praise the object of the narrator’s love but even more so to testify to the lovers’ intimate connection, which allows them to gaze at one another and linger over every detail. This intimacy is revealed in the conclusion of the young woman’s description to the daughters of Jerusalem </w:t>
      </w:r>
      <w:r w:rsidR="002C4C58">
        <w:t>‘</w:t>
      </w:r>
      <w:r w:rsidRPr="00252D7A">
        <w:t>His mouth is delicious, and all of him is delightful</w:t>
      </w:r>
      <w:r>
        <w:t>.</w:t>
      </w:r>
      <w:r w:rsidR="002C4C58">
        <w:t>’</w:t>
      </w:r>
    </w:p>
    <w:p w14:paraId="37BB5E92" w14:textId="77777777" w:rsidR="00ED5CFD" w:rsidRDefault="00ED5CFD" w:rsidP="005B2617">
      <w:pPr>
        <w:pStyle w:val="Heading1"/>
      </w:pPr>
      <w:r w:rsidRPr="00337981">
        <w:t xml:space="preserve">Shiur </w:t>
      </w:r>
      <w:proofErr w:type="spellStart"/>
      <w:r w:rsidRPr="00337981">
        <w:t>Qoma</w:t>
      </w:r>
      <w:proofErr w:type="spellEnd"/>
      <w:r>
        <w:t xml:space="preserve"> and </w:t>
      </w:r>
      <w:r w:rsidRPr="0050593D">
        <w:t>Song of Songs</w:t>
      </w:r>
    </w:p>
    <w:p w14:paraId="2A27D2D5" w14:textId="77777777" w:rsidR="00ED5CFD" w:rsidRDefault="00ED5CFD" w:rsidP="005B2617">
      <w:r>
        <w:t xml:space="preserve">Several scholars have pointed out the connection between the detailed description of the beloved in </w:t>
      </w:r>
      <w:r w:rsidRPr="0050593D">
        <w:rPr>
          <w:i/>
          <w:iCs/>
        </w:rPr>
        <w:t>Song of Songs</w:t>
      </w:r>
      <w:r>
        <w:t xml:space="preserve"> and the esoteric work </w:t>
      </w:r>
      <w:r w:rsidRPr="00337981">
        <w:rPr>
          <w:i/>
          <w:iCs/>
        </w:rPr>
        <w:t xml:space="preserve">Shiur </w:t>
      </w:r>
      <w:proofErr w:type="spellStart"/>
      <w:r w:rsidRPr="00337981">
        <w:rPr>
          <w:i/>
          <w:iCs/>
        </w:rPr>
        <w:t>Qoma</w:t>
      </w:r>
      <w:proofErr w:type="spellEnd"/>
      <w:r>
        <w:t xml:space="preserve"> (literally, ‘the measurement of the body’). </w:t>
      </w:r>
      <w:r w:rsidRPr="00337981">
        <w:rPr>
          <w:i/>
          <w:iCs/>
        </w:rPr>
        <w:t xml:space="preserve">Shiur </w:t>
      </w:r>
      <w:proofErr w:type="spellStart"/>
      <w:r w:rsidRPr="00337981">
        <w:rPr>
          <w:i/>
          <w:iCs/>
        </w:rPr>
        <w:t>Qoma</w:t>
      </w:r>
      <w:proofErr w:type="spellEnd"/>
      <w:r>
        <w:t xml:space="preserve"> is written in Hebrew and the date of its </w:t>
      </w:r>
      <w:r w:rsidRPr="005B2617">
        <w:t>composition</w:t>
      </w:r>
      <w:r>
        <w:t xml:space="preserve"> is unknown. At its center are a mystic’s visions of God that he describes anthropomorphically as a man of enormous size. The work contains detailed information about God’s body, the dimensions of His limbs, and the mystical names of the divine body.</w:t>
      </w:r>
      <w:r>
        <w:rPr>
          <w:rStyle w:val="FootnoteReference"/>
        </w:rPr>
        <w:footnoteReference w:id="5"/>
      </w:r>
    </w:p>
    <w:p w14:paraId="54CFF19F" w14:textId="77777777" w:rsidR="00ED5CFD" w:rsidRDefault="00ED5CFD" w:rsidP="005B2617">
      <w:r>
        <w:t xml:space="preserve">The relationship between </w:t>
      </w:r>
      <w:r w:rsidRPr="00337981">
        <w:rPr>
          <w:i/>
          <w:iCs/>
        </w:rPr>
        <w:t xml:space="preserve">Shiur </w:t>
      </w:r>
      <w:proofErr w:type="spellStart"/>
      <w:r w:rsidRPr="00337981">
        <w:rPr>
          <w:i/>
          <w:iCs/>
        </w:rPr>
        <w:t>Qoma</w:t>
      </w:r>
      <w:proofErr w:type="spellEnd"/>
      <w:r>
        <w:t xml:space="preserve"> and </w:t>
      </w:r>
      <w:r w:rsidRPr="0050593D">
        <w:rPr>
          <w:i/>
          <w:iCs/>
        </w:rPr>
        <w:t>Song of Songs</w:t>
      </w:r>
      <w:r>
        <w:t xml:space="preserve"> is founded on the allegorical interpretation of the latter where the beloved is identified as God and whose lover is Israel. Accordingly, the description </w:t>
      </w:r>
      <w:r>
        <w:lastRenderedPageBreak/>
        <w:t xml:space="preserve">of the beloved’s body in Song 5:10-16 is a description of God. This understanding finds expression in </w:t>
      </w:r>
      <w:r w:rsidRPr="00337981">
        <w:rPr>
          <w:i/>
          <w:iCs/>
        </w:rPr>
        <w:t xml:space="preserve">Shiur </w:t>
      </w:r>
      <w:proofErr w:type="spellStart"/>
      <w:r w:rsidRPr="00337981">
        <w:rPr>
          <w:i/>
          <w:iCs/>
        </w:rPr>
        <w:t>Qoma</w:t>
      </w:r>
      <w:proofErr w:type="spellEnd"/>
      <w:r>
        <w:t xml:space="preserve"> where the verses from </w:t>
      </w:r>
      <w:r w:rsidRPr="0050593D">
        <w:rPr>
          <w:i/>
          <w:iCs/>
        </w:rPr>
        <w:t>Song of Songs</w:t>
      </w:r>
      <w:r>
        <w:t xml:space="preserve"> are cited as part of the description of the divine dimensions. There are other connections between the two works associated with the description of the physical body. Here is a passage from </w:t>
      </w:r>
      <w:r w:rsidRPr="00337981">
        <w:rPr>
          <w:i/>
          <w:iCs/>
        </w:rPr>
        <w:t xml:space="preserve">Shiur </w:t>
      </w:r>
      <w:proofErr w:type="spellStart"/>
      <w:r w:rsidRPr="00337981">
        <w:rPr>
          <w:i/>
          <w:iCs/>
        </w:rPr>
        <w:t>Qoma</w:t>
      </w:r>
      <w:proofErr w:type="spellEnd"/>
      <w:r>
        <w:t>:</w:t>
      </w:r>
    </w:p>
    <w:p w14:paraId="48753C19" w14:textId="2C126F3C" w:rsidR="00ED5CFD" w:rsidRPr="00CC6FCA" w:rsidRDefault="00ED5CFD" w:rsidP="005B2617">
      <w:pPr>
        <w:pStyle w:val="Quote"/>
      </w:pPr>
      <w:r w:rsidRPr="00CC6FCA">
        <w:t xml:space="preserve">The angel, the interior minister, </w:t>
      </w:r>
      <w:r>
        <w:t xml:space="preserve">whose name is </w:t>
      </w:r>
      <w:commentRangeStart w:id="4"/>
      <w:r>
        <w:t xml:space="preserve">Metatron </w:t>
      </w:r>
      <w:commentRangeEnd w:id="4"/>
      <w:r>
        <w:rPr>
          <w:rStyle w:val="CommentReference"/>
        </w:rPr>
        <w:commentReference w:id="4"/>
      </w:r>
      <w:r w:rsidRPr="00CC6FCA">
        <w:t xml:space="preserve">said to me… </w:t>
      </w:r>
      <w:r>
        <w:t xml:space="preserve">Rabbi </w:t>
      </w:r>
      <w:proofErr w:type="spellStart"/>
      <w:r>
        <w:t>Yishmael</w:t>
      </w:r>
      <w:proofErr w:type="spellEnd"/>
      <w:r>
        <w:t xml:space="preserve"> says: </w:t>
      </w:r>
      <w:r w:rsidRPr="00CC6FCA">
        <w:t xml:space="preserve">What is the measurement of the body of the Holy </w:t>
      </w:r>
      <w:r>
        <w:t>O</w:t>
      </w:r>
      <w:r w:rsidRPr="00CC6FCA">
        <w:t>ne, blessed be He, who lives eternally forever</w:t>
      </w:r>
      <w:r>
        <w:t xml:space="preserve"> – may His name be </w:t>
      </w:r>
      <w:proofErr w:type="gramStart"/>
      <w:r>
        <w:t>blessed</w:t>
      </w:r>
      <w:proofErr w:type="gramEnd"/>
      <w:r>
        <w:t xml:space="preserve"> and his appellation exalted? T</w:t>
      </w:r>
      <w:r w:rsidRPr="00CC6FCA">
        <w:t>he soles of his feet</w:t>
      </w:r>
      <w:r>
        <w:t xml:space="preserve"> fill the entire world, as it is said ‘the heavens are my throne and the earth my footstool’ (Isa 61:1). The height of his feet is </w:t>
      </w:r>
      <w:commentRangeStart w:id="5"/>
      <w:r>
        <w:t xml:space="preserve">three thousand ten </w:t>
      </w:r>
      <w:proofErr w:type="gramStart"/>
      <w:r>
        <w:t>thousands</w:t>
      </w:r>
      <w:proofErr w:type="gramEnd"/>
      <w:r>
        <w:t xml:space="preserve"> parasangs, </w:t>
      </w:r>
      <w:commentRangeStart w:id="6"/>
      <w:proofErr w:type="spellStart"/>
      <w:r>
        <w:t>Parmsiyeh</w:t>
      </w:r>
      <w:proofErr w:type="spellEnd"/>
      <w:r>
        <w:t xml:space="preserve"> is its name. </w:t>
      </w:r>
      <w:commentRangeEnd w:id="5"/>
      <w:r>
        <w:rPr>
          <w:rStyle w:val="CommentReference"/>
        </w:rPr>
        <w:commentReference w:id="5"/>
      </w:r>
      <w:commentRangeEnd w:id="6"/>
      <w:r>
        <w:rPr>
          <w:rStyle w:val="CommentReference"/>
        </w:rPr>
        <w:commentReference w:id="6"/>
      </w:r>
      <w:r>
        <w:rPr>
          <w:rFonts w:hint="cs"/>
        </w:rPr>
        <w:t>F</w:t>
      </w:r>
      <w:r w:rsidRPr="00CC6FCA">
        <w:t>rom his feet to his ankles</w:t>
      </w:r>
      <w:r>
        <w:t xml:space="preserve">, nine thousand ten </w:t>
      </w:r>
      <w:proofErr w:type="gramStart"/>
      <w:r>
        <w:t>thousands</w:t>
      </w:r>
      <w:proofErr w:type="gramEnd"/>
      <w:r>
        <w:t xml:space="preserve"> parasangs…</w:t>
      </w:r>
      <w:r w:rsidRPr="00CC6FCA">
        <w:t>of the right [side]… of left [side]…</w:t>
      </w:r>
      <w:r>
        <w:t>from his ankles</w:t>
      </w:r>
      <w:r w:rsidRPr="00CC6FCA">
        <w:t xml:space="preserve"> to his knees</w:t>
      </w:r>
      <w:r>
        <w:t>, twelve thousand ten thousands parasangs. H</w:t>
      </w:r>
      <w:r w:rsidRPr="00CC6FCA">
        <w:t>is calves… from his knees… to his thighs… his right knee… and of the left…right thigh…and left…from his thighs to his neck</w:t>
      </w:r>
      <w:r>
        <w:t xml:space="preserve">, twenty-four thousand ten </w:t>
      </w:r>
      <w:proofErr w:type="gramStart"/>
      <w:r>
        <w:t>thousands</w:t>
      </w:r>
      <w:proofErr w:type="gramEnd"/>
      <w:r>
        <w:t xml:space="preserve"> parasangs. A</w:t>
      </w:r>
      <w:r w:rsidRPr="00CC6FCA">
        <w:t xml:space="preserve">nd the </w:t>
      </w:r>
      <w:commentRangeStart w:id="7"/>
      <w:r w:rsidRPr="00CC6FCA">
        <w:t>hips of his hips</w:t>
      </w:r>
      <w:commentRangeEnd w:id="7"/>
      <w:r w:rsidRPr="00CC6FCA">
        <w:rPr>
          <w:rStyle w:val="CommentReference"/>
          <w:sz w:val="24"/>
          <w:szCs w:val="24"/>
        </w:rPr>
        <w:commentReference w:id="7"/>
      </w:r>
      <w:r w:rsidRPr="00CC6FCA">
        <w:t xml:space="preserve">… and on his heart – seventy names…blessed and praised be the name of </w:t>
      </w:r>
      <w:r>
        <w:t>H</w:t>
      </w:r>
      <w:r w:rsidRPr="00CC6FCA">
        <w:t>is glorious kingdom for all eternity. His neck</w:t>
      </w:r>
      <w:r>
        <w:t xml:space="preserve"> is thirteen thousand ten </w:t>
      </w:r>
      <w:proofErr w:type="gramStart"/>
      <w:r>
        <w:t>thousands</w:t>
      </w:r>
      <w:proofErr w:type="gramEnd"/>
      <w:r>
        <w:t xml:space="preserve"> parasangs,</w:t>
      </w:r>
      <w:r w:rsidRPr="00CC6FCA">
        <w:t xml:space="preserve"> the length of his neck… his beard… the appearance of the face and the appearance of the jaws</w:t>
      </w:r>
      <w:r>
        <w:t xml:space="preserve"> in the image of spirit and the form of soul</w:t>
      </w:r>
      <w:r w:rsidRPr="00CC6FCA">
        <w:t xml:space="preserve">…and no creature can conceive him… </w:t>
      </w:r>
      <w:r>
        <w:t>H</w:t>
      </w:r>
      <w:r w:rsidRPr="00CC6FCA">
        <w:t>is torso…</w:t>
      </w:r>
      <w:r>
        <w:t>the width of H</w:t>
      </w:r>
      <w:r w:rsidRPr="00CC6FCA">
        <w:t xml:space="preserve">is forehead…and on </w:t>
      </w:r>
      <w:r>
        <w:t>H</w:t>
      </w:r>
      <w:r w:rsidRPr="00CC6FCA">
        <w:t>is forehead seventy letters are written….</w:t>
      </w:r>
      <w:r w:rsidRPr="00CC6FCA">
        <w:rPr>
          <w:rStyle w:val="FootnoteReference"/>
        </w:rPr>
        <w:footnoteReference w:id="6"/>
      </w:r>
    </w:p>
    <w:p w14:paraId="548F7508" w14:textId="21CBA324" w:rsidR="00ED5CFD" w:rsidRDefault="00ED5CFD" w:rsidP="005B2617">
      <w:r>
        <w:lastRenderedPageBreak/>
        <w:t xml:space="preserve">Like in </w:t>
      </w:r>
      <w:r w:rsidRPr="0050593D">
        <w:rPr>
          <w:i/>
          <w:iCs/>
        </w:rPr>
        <w:t>Song of Songs</w:t>
      </w:r>
      <w:r>
        <w:t xml:space="preserve">, the description here is detailed and lists body parts and physiognomic features. However, the description </w:t>
      </w:r>
      <w:r>
        <w:t xml:space="preserve">here </w:t>
      </w:r>
      <w:r>
        <w:t xml:space="preserve">begins at the bottom and proceeds upwards, in ascending order of status. At the highest point of the description, the verses from </w:t>
      </w:r>
      <w:r w:rsidRPr="0050593D">
        <w:rPr>
          <w:i/>
          <w:iCs/>
        </w:rPr>
        <w:t>Song of Songs</w:t>
      </w:r>
      <w:r>
        <w:t xml:space="preserve"> are cited:</w:t>
      </w:r>
    </w:p>
    <w:p w14:paraId="1E89879B" w14:textId="77777777" w:rsidR="00ED5CFD" w:rsidRDefault="00ED5CFD" w:rsidP="005B2617">
      <w:pPr>
        <w:pStyle w:val="Quote"/>
      </w:pPr>
      <w:r>
        <w:t>[…] The crown on His head is five hundred thousand by five hundred thousand, Israel is its name. And the precious stone between its horns has Israel my people – Israel my people engraved upon it.</w:t>
      </w:r>
    </w:p>
    <w:p w14:paraId="1D23F4AA" w14:textId="77777777" w:rsidR="00ED5CFD" w:rsidRPr="00DD1645" w:rsidRDefault="00ED5CFD" w:rsidP="005B2617">
      <w:pPr>
        <w:pStyle w:val="Quote"/>
      </w:pPr>
      <w:r>
        <w:t>‘</w:t>
      </w:r>
      <w:r w:rsidRPr="00252D7A">
        <w:t>My beloved is clear</w:t>
      </w:r>
      <w:r>
        <w:t>-</w:t>
      </w:r>
      <w:r w:rsidRPr="00252D7A">
        <w:t>skinned and ruddy, distinguished among ten thousand. His head is fine</w:t>
      </w:r>
      <w:r>
        <w:t>st</w:t>
      </w:r>
      <w:r w:rsidRPr="00252D7A">
        <w:t xml:space="preserve"> gold, </w:t>
      </w:r>
      <w:r>
        <w:t>…H</w:t>
      </w:r>
      <w:r w:rsidRPr="00252D7A">
        <w:t xml:space="preserve">is eyes are like doves by watercourses, </w:t>
      </w:r>
      <w:r>
        <w:t>etc.’ (Song 5:10-11)</w:t>
      </w:r>
    </w:p>
    <w:p w14:paraId="076DEFCF" w14:textId="77777777" w:rsidR="00ED5CFD" w:rsidRDefault="00ED5CFD" w:rsidP="005B2617">
      <w:pPr>
        <w:pStyle w:val="Quote"/>
      </w:pPr>
      <w:r>
        <w:t xml:space="preserve">{Addition in Genizah fragment Oxford </w:t>
      </w:r>
      <w:proofErr w:type="spellStart"/>
      <w:r>
        <w:t>ms</w:t>
      </w:r>
      <w:proofErr w:type="spellEnd"/>
      <w:r>
        <w:t xml:space="preserve"> Hebr. C. 65:</w:t>
      </w:r>
    </w:p>
    <w:p w14:paraId="1F9587B5" w14:textId="77777777" w:rsidR="00ED5CFD" w:rsidRDefault="00ED5CFD" w:rsidP="005B2617">
      <w:pPr>
        <w:pStyle w:val="Quote"/>
      </w:pPr>
      <w:r>
        <w:t>‘…</w:t>
      </w:r>
      <w:r w:rsidRPr="000A5D70">
        <w:t>bathing in milk, and fitly set.</w:t>
      </w:r>
      <w:r>
        <w:t xml:space="preserve"> </w:t>
      </w:r>
      <w:r w:rsidRPr="000A5D70">
        <w:t xml:space="preserve">His cheeks are like beds of spices, producing </w:t>
      </w:r>
      <w:r>
        <w:t>…</w:t>
      </w:r>
      <w:r w:rsidRPr="000A5D70">
        <w:t xml:space="preserve">breathing the finest myrrh. </w:t>
      </w:r>
      <w:r>
        <w:t>…</w:t>
      </w:r>
      <w:r w:rsidRPr="000A5D70">
        <w:t xml:space="preserve"> rods of gold, studded with topaz pink; his body is polished ivory, inlaid with sapphires. </w:t>
      </w:r>
      <w:r>
        <w:t>…</w:t>
      </w:r>
      <w:r w:rsidRPr="000A5D70">
        <w:t xml:space="preserve"> bases of fine gold; his form is like Lebanon, excellent as the cedars. His mouth is delicious, and all of him is delightful. Such is my beloved, and such is</w:t>
      </w:r>
      <w:r>
        <w:t>…’ (Song 5:12-16)}</w:t>
      </w:r>
    </w:p>
    <w:p w14:paraId="4683E460" w14:textId="77777777" w:rsidR="00ED5CFD" w:rsidRPr="00A73BCE" w:rsidRDefault="00ED5CFD" w:rsidP="005B2617">
      <w:pPr>
        <w:pStyle w:val="Quote"/>
      </w:pPr>
      <w:r>
        <w:t xml:space="preserve">[…] Rabbi Ishmael said: when I said this matter before Rabbi </w:t>
      </w:r>
      <w:proofErr w:type="spellStart"/>
      <w:r>
        <w:t>Akiva</w:t>
      </w:r>
      <w:proofErr w:type="spellEnd"/>
      <w:r>
        <w:t xml:space="preserve">, he said to me: Anyone who knows this measure of his creator and the praise of the Holy One, blessed be He is assured in this world and the world to come. He will live long in this world and live </w:t>
      </w:r>
      <w:proofErr w:type="gramStart"/>
      <w:r>
        <w:t>long</w:t>
      </w:r>
      <w:proofErr w:type="gramEnd"/>
      <w:r>
        <w:t xml:space="preserve"> and it will be good for him in the life of the world to come. He prospers in this world and prospers in the world to come.</w:t>
      </w:r>
      <w:r>
        <w:rPr>
          <w:rStyle w:val="FootnoteReference"/>
        </w:rPr>
        <w:footnoteReference w:id="7"/>
      </w:r>
    </w:p>
    <w:p w14:paraId="4CDD0480" w14:textId="1C3E5B78" w:rsidR="00ED5CFD" w:rsidRDefault="00ED5CFD" w:rsidP="005B2617">
      <w:pPr>
        <w:rPr>
          <w:rFonts w:asciiTheme="majorBidi" w:hAnsiTheme="majorBidi" w:cstheme="majorBidi"/>
          <w:color w:val="000000"/>
        </w:rPr>
      </w:pPr>
      <w:r>
        <w:lastRenderedPageBreak/>
        <w:t xml:space="preserve">The verses from </w:t>
      </w:r>
      <w:r w:rsidRPr="0050593D">
        <w:rPr>
          <w:i/>
          <w:iCs/>
        </w:rPr>
        <w:t>Song of Songs</w:t>
      </w:r>
      <w:r>
        <w:t xml:space="preserve"> that describe God guide the reader’s perceptual imagination, this time from top to bottom. The conception that God has limbs like a human, with specific proportions and mystical names is unique to </w:t>
      </w:r>
      <w:r w:rsidRPr="00337981">
        <w:rPr>
          <w:i/>
          <w:iCs/>
        </w:rPr>
        <w:t xml:space="preserve">Shiur </w:t>
      </w:r>
      <w:proofErr w:type="spellStart"/>
      <w:r w:rsidRPr="00337981">
        <w:rPr>
          <w:i/>
          <w:iCs/>
        </w:rPr>
        <w:t>Qoma</w:t>
      </w:r>
      <w:proofErr w:type="spellEnd"/>
      <w:r>
        <w:t xml:space="preserve"> among the works of the </w:t>
      </w:r>
      <w:proofErr w:type="spellStart"/>
      <w:r w:rsidRPr="004A45BB">
        <w:rPr>
          <w:i/>
          <w:iCs/>
        </w:rPr>
        <w:t>Heikhalot</w:t>
      </w:r>
      <w:proofErr w:type="spellEnd"/>
      <w:r>
        <w:t xml:space="preserve"> and </w:t>
      </w:r>
      <w:r w:rsidRPr="004A45BB">
        <w:rPr>
          <w:i/>
          <w:iCs/>
        </w:rPr>
        <w:t>Merkava</w:t>
      </w:r>
      <w:r>
        <w:t xml:space="preserve"> literature.</w:t>
      </w:r>
      <w:r>
        <w:rPr>
          <w:rStyle w:val="FootnoteReference"/>
        </w:rPr>
        <w:footnoteReference w:id="8"/>
      </w:r>
      <w:r>
        <w:t xml:space="preserve"> According to Gershom </w:t>
      </w:r>
      <w:proofErr w:type="spellStart"/>
      <w:r>
        <w:t>Scholem</w:t>
      </w:r>
      <w:proofErr w:type="spellEnd"/>
      <w:r>
        <w:t>, these descriptions served to emphasize the perfect harmony of divine proportions and express His sublime beauty: ‘</w:t>
      </w:r>
      <w:r w:rsidRPr="00563867">
        <w:t>Your eyes will see the king in his beauty</w:t>
      </w:r>
      <w:r>
        <w:t>’ (Isa 33:17).</w:t>
      </w:r>
      <w:r>
        <w:rPr>
          <w:rStyle w:val="FootnoteReference"/>
        </w:rPr>
        <w:footnoteReference w:id="9"/>
      </w:r>
      <w:r>
        <w:t xml:space="preserve"> </w:t>
      </w:r>
      <w:r w:rsidRPr="00F81A6C">
        <w:rPr>
          <w:rFonts w:cs="David"/>
        </w:rPr>
        <w:t>Farber-</w:t>
      </w:r>
      <w:proofErr w:type="spellStart"/>
      <w:r w:rsidRPr="00F81A6C">
        <w:rPr>
          <w:rFonts w:cs="David"/>
        </w:rPr>
        <w:t>Ginat</w:t>
      </w:r>
      <w:proofErr w:type="spellEnd"/>
      <w:r w:rsidRPr="00F81A6C">
        <w:rPr>
          <w:rFonts w:cs="David"/>
        </w:rPr>
        <w:t xml:space="preserve"> has pointed out that</w:t>
      </w:r>
      <w:r>
        <w:rPr>
          <w:rFonts w:cs="David"/>
        </w:rPr>
        <w:t xml:space="preserve"> the</w:t>
      </w:r>
      <w:r w:rsidRPr="00F81A6C">
        <w:rPr>
          <w:rFonts w:cs="David"/>
        </w:rPr>
        <w:t xml:space="preserve"> </w:t>
      </w:r>
      <w:r w:rsidRPr="00F81A6C">
        <w:rPr>
          <w:rFonts w:cs="David"/>
        </w:rPr>
        <w:t>prominen</w:t>
      </w:r>
      <w:r>
        <w:rPr>
          <w:rFonts w:cs="David"/>
        </w:rPr>
        <w:t>ce of</w:t>
      </w:r>
      <w:r w:rsidRPr="00F81A6C">
        <w:rPr>
          <w:rFonts w:cs="David"/>
        </w:rPr>
        <w:t xml:space="preserve"> aesthetic beauty and perfection of form in this description of God matches the statement in </w:t>
      </w:r>
      <w:proofErr w:type="spellStart"/>
      <w:r w:rsidRPr="00F60090">
        <w:rPr>
          <w:rFonts w:cs="David"/>
          <w:i/>
          <w:iCs/>
        </w:rPr>
        <w:t>Heikhalot</w:t>
      </w:r>
      <w:proofErr w:type="spellEnd"/>
      <w:r w:rsidRPr="00F60090">
        <w:rPr>
          <w:rFonts w:cs="David"/>
          <w:i/>
          <w:iCs/>
        </w:rPr>
        <w:t xml:space="preserve"> </w:t>
      </w:r>
      <w:proofErr w:type="spellStart"/>
      <w:r w:rsidRPr="00F60090">
        <w:rPr>
          <w:rFonts w:cs="David"/>
          <w:i/>
          <w:iCs/>
        </w:rPr>
        <w:t>Zutarti</w:t>
      </w:r>
      <w:proofErr w:type="spellEnd"/>
      <w:r w:rsidRPr="00F81A6C">
        <w:rPr>
          <w:rFonts w:cs="David"/>
        </w:rPr>
        <w:t xml:space="preserve"> 25-26: </w:t>
      </w:r>
      <w:r w:rsidR="002C4C58">
        <w:rPr>
          <w:rFonts w:cs="David"/>
        </w:rPr>
        <w:t>‘</w:t>
      </w:r>
      <w:r w:rsidRPr="00F81A6C">
        <w:rPr>
          <w:rFonts w:cs="David"/>
        </w:rPr>
        <w:t>As it were, He is like us and He is more beautiful than anyone.</w:t>
      </w:r>
      <w:r w:rsidR="002C4C58">
        <w:rPr>
          <w:rFonts w:cs="David"/>
        </w:rPr>
        <w:t>’</w:t>
      </w:r>
      <w:r>
        <w:rPr>
          <w:rStyle w:val="FootnoteReference"/>
          <w:sz w:val="22"/>
          <w:szCs w:val="22"/>
        </w:rPr>
        <w:footnoteReference w:id="10"/>
      </w:r>
      <w:r>
        <w:rPr>
          <w:rFonts w:cs="David"/>
          <w:sz w:val="22"/>
          <w:szCs w:val="22"/>
        </w:rPr>
        <w:t xml:space="preserve"> </w:t>
      </w:r>
      <w:proofErr w:type="spellStart"/>
      <w:r w:rsidRPr="00E267BD">
        <w:t>Ithamar</w:t>
      </w:r>
      <w:proofErr w:type="spellEnd"/>
      <w:r w:rsidRPr="00E267BD">
        <w:t xml:space="preserve"> Gruenwald </w:t>
      </w:r>
      <w:r>
        <w:rPr>
          <w:rFonts w:asciiTheme="majorBidi" w:hAnsiTheme="majorBidi" w:cstheme="majorBidi"/>
          <w:color w:val="000000"/>
        </w:rPr>
        <w:t>argues</w:t>
      </w:r>
      <w:r w:rsidRPr="002E0352">
        <w:rPr>
          <w:rFonts w:asciiTheme="majorBidi" w:hAnsiTheme="majorBidi" w:cstheme="majorBidi"/>
          <w:color w:val="000000"/>
        </w:rPr>
        <w:t xml:space="preserve"> that the measure</w:t>
      </w:r>
      <w:r>
        <w:rPr>
          <w:rFonts w:asciiTheme="majorBidi" w:hAnsiTheme="majorBidi" w:cstheme="majorBidi"/>
          <w:color w:val="000000"/>
        </w:rPr>
        <w:t>ments</w:t>
      </w:r>
      <w:r w:rsidRPr="002E0352">
        <w:rPr>
          <w:rFonts w:asciiTheme="majorBidi" w:hAnsiTheme="majorBidi" w:cstheme="majorBidi"/>
          <w:color w:val="000000"/>
        </w:rPr>
        <w:t xml:space="preserve"> </w:t>
      </w:r>
      <w:r>
        <w:rPr>
          <w:rFonts w:asciiTheme="majorBidi" w:hAnsiTheme="majorBidi" w:cstheme="majorBidi"/>
          <w:color w:val="000000"/>
        </w:rPr>
        <w:t>aim to</w:t>
      </w:r>
      <w:r w:rsidRPr="002E0352">
        <w:rPr>
          <w:rFonts w:asciiTheme="majorBidi" w:hAnsiTheme="majorBidi" w:cstheme="majorBidi"/>
          <w:color w:val="000000"/>
        </w:rPr>
        <w:t xml:space="preserve"> convey the notion of ideal proportions</w:t>
      </w:r>
      <w:r>
        <w:rPr>
          <w:rFonts w:asciiTheme="majorBidi" w:hAnsiTheme="majorBidi" w:cstheme="majorBidi"/>
          <w:color w:val="000000"/>
        </w:rPr>
        <w:t>, a</w:t>
      </w:r>
      <w:r w:rsidRPr="002E0352">
        <w:rPr>
          <w:rFonts w:asciiTheme="majorBidi" w:hAnsiTheme="majorBidi" w:cstheme="majorBidi"/>
          <w:color w:val="000000"/>
        </w:rPr>
        <w:t>pparently shared by God and man alike.</w:t>
      </w:r>
      <w:r>
        <w:rPr>
          <w:rStyle w:val="FootnoteReference"/>
          <w:rFonts w:asciiTheme="majorBidi" w:hAnsiTheme="majorBidi"/>
          <w:color w:val="000000"/>
        </w:rPr>
        <w:footnoteReference w:id="11"/>
      </w:r>
      <w:r>
        <w:rPr>
          <w:rFonts w:asciiTheme="majorBidi" w:hAnsiTheme="majorBidi" w:cstheme="majorBidi"/>
          <w:color w:val="000000"/>
        </w:rPr>
        <w:t xml:space="preserve"> The integration of verses from </w:t>
      </w:r>
      <w:r w:rsidRPr="0050593D">
        <w:rPr>
          <w:rFonts w:asciiTheme="majorBidi" w:hAnsiTheme="majorBidi" w:cstheme="majorBidi"/>
          <w:i/>
          <w:iCs/>
          <w:color w:val="000000"/>
        </w:rPr>
        <w:t>Song of Songs</w:t>
      </w:r>
      <w:r>
        <w:rPr>
          <w:rFonts w:asciiTheme="majorBidi" w:hAnsiTheme="majorBidi" w:cstheme="majorBidi"/>
          <w:color w:val="000000"/>
        </w:rPr>
        <w:t xml:space="preserve"> that relate to the beauty and harmony of the different parts of the beloved’s body fits this idea.</w:t>
      </w:r>
    </w:p>
    <w:p w14:paraId="5602833B" w14:textId="322D4EDE" w:rsidR="00ED5CFD" w:rsidRDefault="00ED5CFD" w:rsidP="005B2617">
      <w:r>
        <w:t xml:space="preserve">According to </w:t>
      </w:r>
      <w:proofErr w:type="spellStart"/>
      <w:r>
        <w:t>Halbertal</w:t>
      </w:r>
      <w:proofErr w:type="spellEnd"/>
      <w:r>
        <w:t xml:space="preserve">, the visual imagery found in mystical literature expresses a type of spiritual intimacy that is limited to a select few. He claims that the reason for the limitations on studying the divine </w:t>
      </w:r>
      <w:r w:rsidR="00323B2C">
        <w:t>c</w:t>
      </w:r>
      <w:r>
        <w:t xml:space="preserve">hariot found in rabbinic literature is not fear of error but rather hesitation to reveal such visual imagery. Not everyone is worthy of glimpsing the face of the king and all the more so gazing upon His face. The Sages believed that an extended gaze that became pleasurable or satisfying would be a desecration. </w:t>
      </w:r>
      <w:proofErr w:type="spellStart"/>
      <w:r>
        <w:t>Halbertal</w:t>
      </w:r>
      <w:proofErr w:type="spellEnd"/>
      <w:r>
        <w:t xml:space="preserve"> points out that the contrasting attitude found in the </w:t>
      </w:r>
      <w:proofErr w:type="spellStart"/>
      <w:r w:rsidRPr="00817B04">
        <w:rPr>
          <w:i/>
          <w:iCs/>
        </w:rPr>
        <w:t>Heikhalot</w:t>
      </w:r>
      <w:proofErr w:type="spellEnd"/>
      <w:r>
        <w:t xml:space="preserve"> literature undermines the boundaries of the mystery set by the Sages. The mystical approach found in </w:t>
      </w:r>
      <w:proofErr w:type="spellStart"/>
      <w:r w:rsidRPr="00817B04">
        <w:rPr>
          <w:i/>
          <w:iCs/>
        </w:rPr>
        <w:t>Heikhalot</w:t>
      </w:r>
      <w:proofErr w:type="spellEnd"/>
      <w:r>
        <w:t xml:space="preserve"> is </w:t>
      </w:r>
      <w:r>
        <w:lastRenderedPageBreak/>
        <w:t xml:space="preserve">dominated by the drive to perceive God. That is the purpose of the heavenly journey that climaxes when God appears before the mystic in all His glory. </w:t>
      </w:r>
      <w:commentRangeStart w:id="8"/>
      <w:r>
        <w:t xml:space="preserve">In this way, </w:t>
      </w:r>
      <w:r w:rsidRPr="00817B04">
        <w:rPr>
          <w:i/>
          <w:iCs/>
        </w:rPr>
        <w:t>Merkava</w:t>
      </w:r>
      <w:r>
        <w:t xml:space="preserve"> literature overcomes the last vestige of the mystery of the intimate gaze and undermines the mystery that it set for itself</w:t>
      </w:r>
      <w:commentRangeEnd w:id="8"/>
      <w:r>
        <w:rPr>
          <w:rStyle w:val="CommentReference"/>
        </w:rPr>
        <w:commentReference w:id="8"/>
      </w:r>
      <w:r>
        <w:t>.</w:t>
      </w:r>
      <w:r>
        <w:rPr>
          <w:rStyle w:val="FootnoteReference"/>
          <w:rFonts w:asciiTheme="majorBidi" w:hAnsiTheme="majorBidi"/>
          <w:color w:val="000000"/>
        </w:rPr>
        <w:footnoteReference w:id="12"/>
      </w:r>
    </w:p>
    <w:p w14:paraId="39715B61" w14:textId="1F47D7B3" w:rsidR="00ED5CFD" w:rsidRDefault="00ED5CFD" w:rsidP="005B2617">
      <w:r>
        <w:t xml:space="preserve">Several scholars have found external evidence for the connection between </w:t>
      </w:r>
      <w:r w:rsidRPr="0050593D">
        <w:rPr>
          <w:i/>
          <w:iCs/>
        </w:rPr>
        <w:t>Song of Songs</w:t>
      </w:r>
      <w:r>
        <w:t xml:space="preserve"> and esoteric literature in the writings of Origen, a church father who lived in the third century CE Caesarea.</w:t>
      </w:r>
      <w:r>
        <w:rPr>
          <w:rStyle w:val="FootnoteReference"/>
          <w:rFonts w:asciiTheme="majorBidi" w:hAnsiTheme="majorBidi"/>
          <w:color w:val="000000"/>
        </w:rPr>
        <w:footnoteReference w:id="13"/>
      </w:r>
      <w:r>
        <w:t xml:space="preserve"> He wrote a ten-volume commentary on </w:t>
      </w:r>
      <w:r w:rsidRPr="0050593D">
        <w:rPr>
          <w:i/>
          <w:iCs/>
        </w:rPr>
        <w:t>Song of Songs</w:t>
      </w:r>
      <w:r>
        <w:t xml:space="preserve"> and also delivered homiletics to audiences assembled by his students in Caesarea.</w:t>
      </w:r>
      <w:r>
        <w:rPr>
          <w:rStyle w:val="FootnoteReference"/>
          <w:rFonts w:asciiTheme="majorBidi" w:hAnsiTheme="majorBidi"/>
          <w:color w:val="000000"/>
        </w:rPr>
        <w:footnoteReference w:id="14"/>
      </w:r>
      <w:r>
        <w:t xml:space="preserve"> Origen had contact with Jewish sages, and his writings are fundamental to early Christian mysticism. In the introduction to his commentary on </w:t>
      </w:r>
      <w:r w:rsidRPr="0050593D">
        <w:rPr>
          <w:i/>
          <w:iCs/>
        </w:rPr>
        <w:t>Song of Songs</w:t>
      </w:r>
      <w:r>
        <w:t xml:space="preserve"> he writes:</w:t>
      </w:r>
    </w:p>
    <w:p w14:paraId="4CCB761F" w14:textId="5A420E76" w:rsidR="00ED5CFD" w:rsidRDefault="00ED5CFD" w:rsidP="005B2617">
      <w:pPr>
        <w:pStyle w:val="Quote"/>
      </w:pPr>
      <w:r>
        <w:t xml:space="preserve">It is said </w:t>
      </w:r>
      <w:r w:rsidRPr="00DE62CE">
        <w:t xml:space="preserve">that with the </w:t>
      </w:r>
      <w:r>
        <w:t xml:space="preserve">custom of the Jews is that no one who has </w:t>
      </w:r>
      <w:r w:rsidRPr="00DE62CE">
        <w:t xml:space="preserve">not </w:t>
      </w:r>
      <w:r w:rsidRPr="00995082">
        <w:rPr>
          <w:rStyle w:val="SubtleEmphasis"/>
        </w:rPr>
        <w:t>reached</w:t>
      </w:r>
      <w:r w:rsidRPr="00DE62CE">
        <w:t xml:space="preserve"> full </w:t>
      </w:r>
      <w:r>
        <w:t xml:space="preserve">maturity is permitted to </w:t>
      </w:r>
      <w:r w:rsidRPr="00DE62CE">
        <w:t xml:space="preserve">hold this book </w:t>
      </w:r>
      <w:r>
        <w:t>[</w:t>
      </w:r>
      <w:r w:rsidRPr="0050593D">
        <w:rPr>
          <w:i/>
          <w:iCs/>
        </w:rPr>
        <w:t>Song of Songs</w:t>
      </w:r>
      <w:r>
        <w:t xml:space="preserve">] </w:t>
      </w:r>
      <w:r w:rsidRPr="00DE62CE">
        <w:t>in his hands</w:t>
      </w:r>
      <w:r>
        <w:t xml:space="preserve">. </w:t>
      </w:r>
      <w:r w:rsidRPr="00DE62CE">
        <w:t xml:space="preserve">And </w:t>
      </w:r>
      <w:r>
        <w:t>not only this, but although their rabbis and teachers are wont to teach all the scriptures and their oral traditions [</w:t>
      </w:r>
      <w:proofErr w:type="spellStart"/>
      <w:r w:rsidRPr="00764192">
        <w:rPr>
          <w:i/>
          <w:iCs/>
        </w:rPr>
        <w:t>Mishnayot</w:t>
      </w:r>
      <w:proofErr w:type="spellEnd"/>
      <w:r>
        <w:t>] to the young boys, they defer to the last the following texts:</w:t>
      </w:r>
      <w:r w:rsidRPr="002003BC">
        <w:t xml:space="preserve"> </w:t>
      </w:r>
      <w:r>
        <w:rPr>
          <w:rFonts w:hint="cs"/>
        </w:rPr>
        <w:t>T</w:t>
      </w:r>
      <w:r w:rsidRPr="00DE62CE">
        <w:t>he beginning</w:t>
      </w:r>
      <w:r>
        <w:t>s</w:t>
      </w:r>
      <w:r w:rsidRPr="00DE62CE">
        <w:t xml:space="preserve"> of Genesis</w:t>
      </w:r>
      <w:r>
        <w:t>, where the creation of the world is described;</w:t>
      </w:r>
      <w:r w:rsidRPr="00DE62CE">
        <w:t xml:space="preserve"> the </w:t>
      </w:r>
      <w:r>
        <w:t>beginning of the prophecy of</w:t>
      </w:r>
      <w:r w:rsidRPr="00DE62CE">
        <w:t xml:space="preserve"> Eze</w:t>
      </w:r>
      <w:r>
        <w:t>k</w:t>
      </w:r>
      <w:r w:rsidRPr="00DE62CE">
        <w:t>iel</w:t>
      </w:r>
      <w:r>
        <w:t>, where the doctrine of the angels is expounded; and the end [</w:t>
      </w:r>
      <w:r w:rsidRPr="00DE62CE">
        <w:t>of th</w:t>
      </w:r>
      <w:r>
        <w:t>e</w:t>
      </w:r>
      <w:r w:rsidRPr="00DE62CE">
        <w:t xml:space="preserve"> same </w:t>
      </w:r>
      <w:r>
        <w:t>book] which contains the building of the Temple;</w:t>
      </w:r>
      <w:r w:rsidRPr="00DE62CE">
        <w:t xml:space="preserve"> and this book of the </w:t>
      </w:r>
      <w:r w:rsidRPr="0050593D">
        <w:rPr>
          <w:i/>
          <w:iCs/>
        </w:rPr>
        <w:t>Song of Songs</w:t>
      </w:r>
      <w:r>
        <w:t>.</w:t>
      </w:r>
      <w:r>
        <w:rPr>
          <w:rStyle w:val="FootnoteReference"/>
        </w:rPr>
        <w:footnoteReference w:id="15"/>
      </w:r>
    </w:p>
    <w:p w14:paraId="347F73F4" w14:textId="222A9DFC" w:rsidR="00ED5CFD" w:rsidRDefault="00ED5CFD" w:rsidP="005B2617">
      <w:r>
        <w:lastRenderedPageBreak/>
        <w:t xml:space="preserve">Origen lists </w:t>
      </w:r>
      <w:r w:rsidRPr="0050593D">
        <w:rPr>
          <w:i/>
          <w:iCs/>
        </w:rPr>
        <w:t>Song of Songs</w:t>
      </w:r>
      <w:r>
        <w:t xml:space="preserve"> along with three other esoteric biblical passages: the description of Creation, the account of the </w:t>
      </w:r>
      <w:r w:rsidR="00323B2C">
        <w:t>c</w:t>
      </w:r>
      <w:r>
        <w:t>hariot in Ezekiel, and the description of the future Temple in Ezekiel.</w:t>
      </w:r>
      <w:r>
        <w:rPr>
          <w:rStyle w:val="FootnoteReference"/>
        </w:rPr>
        <w:footnoteReference w:id="16"/>
      </w:r>
      <w:r>
        <w:t xml:space="preserve"> </w:t>
      </w:r>
      <w:commentRangeStart w:id="9"/>
      <w:r>
        <w:t xml:space="preserve">This statement testifies to the existence of an esoteric understanding of </w:t>
      </w:r>
      <w:r w:rsidRPr="0050593D">
        <w:rPr>
          <w:i/>
          <w:iCs/>
        </w:rPr>
        <w:t>Song of Songs</w:t>
      </w:r>
      <w:commentRangeEnd w:id="9"/>
      <w:r>
        <w:rPr>
          <w:rStyle w:val="CommentReference"/>
        </w:rPr>
        <w:commentReference w:id="9"/>
      </w:r>
      <w:r>
        <w:t>.</w:t>
      </w:r>
    </w:p>
    <w:p w14:paraId="189038AD" w14:textId="3331B184" w:rsidR="00ED5CFD" w:rsidRDefault="00ED5CFD" w:rsidP="005B2617">
      <w:r>
        <w:t xml:space="preserve">In his book, </w:t>
      </w:r>
      <w:r w:rsidRPr="006D4386">
        <w:rPr>
          <w:i/>
          <w:iCs/>
        </w:rPr>
        <w:t xml:space="preserve">Jewish Gnosticism, </w:t>
      </w:r>
      <w:proofErr w:type="spellStart"/>
      <w:r w:rsidRPr="006D4386">
        <w:rPr>
          <w:i/>
          <w:iCs/>
        </w:rPr>
        <w:t>Merkaba</w:t>
      </w:r>
      <w:proofErr w:type="spellEnd"/>
      <w:r w:rsidRPr="006D4386">
        <w:rPr>
          <w:i/>
          <w:iCs/>
        </w:rPr>
        <w:t xml:space="preserve"> Mysticism and Talmudic Tradition</w:t>
      </w:r>
      <w:r>
        <w:rPr>
          <w:i/>
          <w:iCs/>
        </w:rPr>
        <w:t xml:space="preserve">, </w:t>
      </w:r>
      <w:r>
        <w:t xml:space="preserve">Gershom </w:t>
      </w:r>
      <w:proofErr w:type="spellStart"/>
      <w:r>
        <w:t>Scholem</w:t>
      </w:r>
      <w:proofErr w:type="spellEnd"/>
      <w:r>
        <w:t xml:space="preserve"> writes that Origen’s inclusion of </w:t>
      </w:r>
      <w:r w:rsidRPr="0050593D">
        <w:rPr>
          <w:i/>
          <w:iCs/>
        </w:rPr>
        <w:t>Song of Songs</w:t>
      </w:r>
      <w:r>
        <w:t xml:space="preserve"> in this list testifies that he was aware of the existence of an esoteric reading of </w:t>
      </w:r>
      <w:r w:rsidRPr="0050593D">
        <w:rPr>
          <w:i/>
          <w:iCs/>
        </w:rPr>
        <w:t>Song of Songs</w:t>
      </w:r>
      <w:r>
        <w:t xml:space="preserve">, as makes sense, given its central role in </w:t>
      </w:r>
      <w:r w:rsidRPr="00337981">
        <w:rPr>
          <w:i/>
          <w:iCs/>
        </w:rPr>
        <w:t xml:space="preserve">Shiur </w:t>
      </w:r>
      <w:proofErr w:type="spellStart"/>
      <w:r w:rsidRPr="00337981">
        <w:rPr>
          <w:i/>
          <w:iCs/>
        </w:rPr>
        <w:t>Qoma</w:t>
      </w:r>
      <w:proofErr w:type="spellEnd"/>
      <w:r>
        <w:t xml:space="preserve">. According to </w:t>
      </w:r>
      <w:proofErr w:type="spellStart"/>
      <w:r>
        <w:t>Scholem</w:t>
      </w:r>
      <w:proofErr w:type="spellEnd"/>
      <w:r>
        <w:t xml:space="preserve">, Origen’s statement and </w:t>
      </w:r>
      <w:r w:rsidRPr="00337981">
        <w:rPr>
          <w:i/>
          <w:iCs/>
        </w:rPr>
        <w:t xml:space="preserve">Shiur </w:t>
      </w:r>
      <w:proofErr w:type="spellStart"/>
      <w:r w:rsidRPr="00337981">
        <w:rPr>
          <w:i/>
          <w:iCs/>
        </w:rPr>
        <w:t>Qoma</w:t>
      </w:r>
      <w:proofErr w:type="spellEnd"/>
      <w:r>
        <w:t xml:space="preserve"> explain one another. He concludes that this connection can aid in dating </w:t>
      </w:r>
      <w:r w:rsidRPr="00337981">
        <w:rPr>
          <w:i/>
          <w:iCs/>
        </w:rPr>
        <w:t xml:space="preserve">Shiur </w:t>
      </w:r>
      <w:proofErr w:type="spellStart"/>
      <w:r w:rsidRPr="00337981">
        <w:rPr>
          <w:i/>
          <w:iCs/>
        </w:rPr>
        <w:t>Qoma</w:t>
      </w:r>
      <w:proofErr w:type="spellEnd"/>
      <w:r>
        <w:t xml:space="preserve"> as early as the late second or early third centuries CE. </w:t>
      </w:r>
      <w:proofErr w:type="spellStart"/>
      <w:r>
        <w:t>Scholem</w:t>
      </w:r>
      <w:proofErr w:type="spellEnd"/>
      <w:r>
        <w:t xml:space="preserve"> argues based on this claim that the corporeal conception of God was an early element of Jewish mysticism that was adopted later by Christian Gnostic circles rather than the direction of influence being the other way around.</w:t>
      </w:r>
      <w:r>
        <w:rPr>
          <w:rStyle w:val="FootnoteReference"/>
        </w:rPr>
        <w:footnoteReference w:id="17"/>
      </w:r>
    </w:p>
    <w:p w14:paraId="6FDB00F0" w14:textId="57FB899D" w:rsidR="00ED5CFD" w:rsidRDefault="00ED5CFD" w:rsidP="005B2617">
      <w:r>
        <w:t xml:space="preserve">The Talmudic scholar Saul Lieberman wrote an appendix to Gershom </w:t>
      </w:r>
      <w:proofErr w:type="spellStart"/>
      <w:r>
        <w:t>Scholem’s</w:t>
      </w:r>
      <w:proofErr w:type="spellEnd"/>
      <w:r>
        <w:t xml:space="preserve"> book wherein he adds evidence to the claim that there was an early mystical interpretation of </w:t>
      </w:r>
      <w:r w:rsidRPr="0050593D">
        <w:rPr>
          <w:i/>
          <w:iCs/>
        </w:rPr>
        <w:t>Song of Songs</w:t>
      </w:r>
      <w:r>
        <w:t xml:space="preserve"> that was connected to </w:t>
      </w:r>
      <w:r w:rsidRPr="00337981">
        <w:rPr>
          <w:i/>
          <w:iCs/>
        </w:rPr>
        <w:t xml:space="preserve">Shiur </w:t>
      </w:r>
      <w:proofErr w:type="spellStart"/>
      <w:r w:rsidRPr="00337981">
        <w:rPr>
          <w:i/>
          <w:iCs/>
        </w:rPr>
        <w:t>Qoma</w:t>
      </w:r>
      <w:proofErr w:type="spellEnd"/>
      <w:r>
        <w:t xml:space="preserve">. Lieberman points out </w:t>
      </w:r>
      <w:proofErr w:type="spellStart"/>
      <w:r>
        <w:t>Tannaic</w:t>
      </w:r>
      <w:proofErr w:type="spellEnd"/>
      <w:r>
        <w:t xml:space="preserve"> sources that interpret </w:t>
      </w:r>
      <w:r w:rsidRPr="0050593D">
        <w:rPr>
          <w:i/>
          <w:iCs/>
        </w:rPr>
        <w:t>Song of Songs</w:t>
      </w:r>
      <w:r>
        <w:t xml:space="preserve"> esoterically. He claims that the </w:t>
      </w:r>
      <w:proofErr w:type="spellStart"/>
      <w:r>
        <w:t>Tannaim</w:t>
      </w:r>
      <w:proofErr w:type="spellEnd"/>
      <w:r>
        <w:t xml:space="preserve"> understood </w:t>
      </w:r>
      <w:r w:rsidRPr="0050593D">
        <w:rPr>
          <w:i/>
          <w:iCs/>
        </w:rPr>
        <w:t>Song of Songs</w:t>
      </w:r>
      <w:r>
        <w:t xml:space="preserve"> as a description of the revelation of God as He appeared in His chariot at the Red Sea and Mount Sinai. </w:t>
      </w:r>
      <w:r w:rsidRPr="0050593D">
        <w:rPr>
          <w:i/>
          <w:iCs/>
        </w:rPr>
        <w:t>Song of Songs</w:t>
      </w:r>
      <w:r>
        <w:t xml:space="preserve"> praises this image of God and explains the chariot. According to Lieberman, Rabbi </w:t>
      </w:r>
      <w:proofErr w:type="spellStart"/>
      <w:r>
        <w:t>Akiva’s</w:t>
      </w:r>
      <w:proofErr w:type="spellEnd"/>
      <w:r>
        <w:t xml:space="preserve"> statement that </w:t>
      </w:r>
      <w:r w:rsidRPr="0050593D">
        <w:rPr>
          <w:i/>
          <w:iCs/>
        </w:rPr>
        <w:t>Song of Songs</w:t>
      </w:r>
      <w:r>
        <w:t xml:space="preserve"> is </w:t>
      </w:r>
      <w:r w:rsidR="002C4C58">
        <w:t>‘</w:t>
      </w:r>
      <w:r>
        <w:t xml:space="preserve">holy of </w:t>
      </w:r>
      <w:r>
        <w:lastRenderedPageBreak/>
        <w:t>holies</w:t>
      </w:r>
      <w:r w:rsidR="002C4C58">
        <w:t>’</w:t>
      </w:r>
      <w:r>
        <w:t xml:space="preserve"> is based on this interpretation and he possibly held that God Himself </w:t>
      </w:r>
      <w:commentRangeStart w:id="10"/>
      <w:r>
        <w:t>said it when it was given at Sinai</w:t>
      </w:r>
      <w:commentRangeEnd w:id="10"/>
      <w:r>
        <w:rPr>
          <w:rStyle w:val="CommentReference"/>
        </w:rPr>
        <w:commentReference w:id="10"/>
      </w:r>
      <w:r>
        <w:t>.</w:t>
      </w:r>
      <w:r>
        <w:rPr>
          <w:rStyle w:val="FootnoteReference"/>
        </w:rPr>
        <w:footnoteReference w:id="18"/>
      </w:r>
      <w:r>
        <w:t xml:space="preserve"> Lieberman writes:</w:t>
      </w:r>
    </w:p>
    <w:p w14:paraId="3FBFEAF4" w14:textId="77777777" w:rsidR="00ED5CFD" w:rsidRDefault="00ED5CFD" w:rsidP="005B2617">
      <w:pPr>
        <w:pStyle w:val="Quote"/>
      </w:pPr>
      <w:r>
        <w:t xml:space="preserve">I now accept </w:t>
      </w:r>
      <w:proofErr w:type="spellStart"/>
      <w:r>
        <w:t>Scholem’s</w:t>
      </w:r>
      <w:proofErr w:type="spellEnd"/>
      <w:r>
        <w:t xml:space="preserve"> claim that </w:t>
      </w:r>
      <w:r w:rsidRPr="00337981">
        <w:rPr>
          <w:i/>
          <w:iCs/>
        </w:rPr>
        <w:t xml:space="preserve">Shiur </w:t>
      </w:r>
      <w:proofErr w:type="spellStart"/>
      <w:r w:rsidRPr="00337981">
        <w:rPr>
          <w:i/>
          <w:iCs/>
        </w:rPr>
        <w:t>Qoma</w:t>
      </w:r>
      <w:proofErr w:type="spellEnd"/>
      <w:r>
        <w:t xml:space="preserve"> is an early midrash to </w:t>
      </w:r>
      <w:r w:rsidRPr="0050593D">
        <w:rPr>
          <w:i/>
          <w:iCs/>
        </w:rPr>
        <w:t>Song of Songs</w:t>
      </w:r>
      <w:r>
        <w:t xml:space="preserve"> chapter 5:10-16 that was part of an ancient midrash on </w:t>
      </w:r>
      <w:r w:rsidRPr="0050593D">
        <w:rPr>
          <w:i/>
          <w:iCs/>
        </w:rPr>
        <w:t>Song of Songs</w:t>
      </w:r>
      <w:r>
        <w:t xml:space="preserve">. </w:t>
      </w:r>
      <w:r w:rsidRPr="00337981">
        <w:rPr>
          <w:i/>
          <w:iCs/>
        </w:rPr>
        <w:t xml:space="preserve">Shiur </w:t>
      </w:r>
      <w:proofErr w:type="spellStart"/>
      <w:r w:rsidRPr="00337981">
        <w:rPr>
          <w:i/>
          <w:iCs/>
        </w:rPr>
        <w:t>Qoma</w:t>
      </w:r>
      <w:proofErr w:type="spellEnd"/>
      <w:r>
        <w:t xml:space="preserve"> is a work of praise and adoration of the Holy One, blessed be He in a form that is beyond us… the midrash on </w:t>
      </w:r>
      <w:r w:rsidRPr="0050593D">
        <w:rPr>
          <w:i/>
          <w:iCs/>
        </w:rPr>
        <w:t>Song of Songs</w:t>
      </w:r>
      <w:r>
        <w:t xml:space="preserve"> is the account of the chariot which is </w:t>
      </w:r>
      <w:r w:rsidRPr="00337981">
        <w:rPr>
          <w:i/>
          <w:iCs/>
        </w:rPr>
        <w:t xml:space="preserve">Shiur </w:t>
      </w:r>
      <w:proofErr w:type="spellStart"/>
      <w:r w:rsidRPr="00337981">
        <w:rPr>
          <w:i/>
          <w:iCs/>
        </w:rPr>
        <w:t>Qoma</w:t>
      </w:r>
      <w:proofErr w:type="spellEnd"/>
      <w:r>
        <w:t>.</w:t>
      </w:r>
      <w:r>
        <w:rPr>
          <w:rStyle w:val="FootnoteReference"/>
        </w:rPr>
        <w:footnoteReference w:id="19"/>
      </w:r>
    </w:p>
    <w:p w14:paraId="40A55E8B" w14:textId="77777777" w:rsidR="00ED5CFD" w:rsidRDefault="00ED5CFD" w:rsidP="005B2617">
      <w:pPr>
        <w:pStyle w:val="Heading1"/>
      </w:pPr>
      <w:r>
        <w:t xml:space="preserve">The Responses to </w:t>
      </w:r>
      <w:proofErr w:type="spellStart"/>
      <w:r>
        <w:t>Scholem</w:t>
      </w:r>
      <w:proofErr w:type="spellEnd"/>
      <w:r>
        <w:t xml:space="preserve"> and Lieberman’s Approach</w:t>
      </w:r>
    </w:p>
    <w:p w14:paraId="2328D46A" w14:textId="3B0A9C8B" w:rsidR="00ED5CFD" w:rsidRDefault="00ED5CFD" w:rsidP="005B2617">
      <w:proofErr w:type="spellStart"/>
      <w:r>
        <w:t>Scholem</w:t>
      </w:r>
      <w:proofErr w:type="spellEnd"/>
      <w:r>
        <w:t xml:space="preserve"> and Lieberman’s opinion regarding the early date of </w:t>
      </w:r>
      <w:r w:rsidRPr="00337981">
        <w:rPr>
          <w:i/>
          <w:iCs/>
        </w:rPr>
        <w:t xml:space="preserve">Shiur </w:t>
      </w:r>
      <w:proofErr w:type="spellStart"/>
      <w:r w:rsidRPr="00337981">
        <w:rPr>
          <w:i/>
          <w:iCs/>
        </w:rPr>
        <w:t>Qoma</w:t>
      </w:r>
      <w:proofErr w:type="spellEnd"/>
      <w:r>
        <w:t xml:space="preserve"> and its relationship to </w:t>
      </w:r>
      <w:r w:rsidRPr="0050593D">
        <w:rPr>
          <w:i/>
          <w:iCs/>
        </w:rPr>
        <w:t>Song of Songs</w:t>
      </w:r>
      <w:r>
        <w:t xml:space="preserve"> inspired a variety of responses. Some scholars of Jewish mysticism questioned the connection to the mystical interpretation of </w:t>
      </w:r>
      <w:r w:rsidRPr="0050593D">
        <w:rPr>
          <w:i/>
          <w:iCs/>
        </w:rPr>
        <w:t>Song of Songs</w:t>
      </w:r>
      <w:r>
        <w:t xml:space="preserve">. </w:t>
      </w:r>
      <w:commentRangeStart w:id="11"/>
      <w:r>
        <w:rPr>
          <w:szCs w:val="22"/>
        </w:rPr>
        <w:t xml:space="preserve">According to Arthur Green, the identification of </w:t>
      </w:r>
      <w:r w:rsidRPr="00337981">
        <w:rPr>
          <w:i/>
          <w:iCs/>
          <w:szCs w:val="22"/>
        </w:rPr>
        <w:t xml:space="preserve">Shiur </w:t>
      </w:r>
      <w:proofErr w:type="spellStart"/>
      <w:r w:rsidRPr="00337981">
        <w:rPr>
          <w:i/>
          <w:iCs/>
          <w:szCs w:val="22"/>
        </w:rPr>
        <w:t>Qoma</w:t>
      </w:r>
      <w:proofErr w:type="spellEnd"/>
      <w:r>
        <w:rPr>
          <w:szCs w:val="22"/>
        </w:rPr>
        <w:t xml:space="preserve"> and Midrash Shir ha-</w:t>
      </w:r>
      <w:proofErr w:type="spellStart"/>
      <w:r>
        <w:rPr>
          <w:szCs w:val="22"/>
        </w:rPr>
        <w:t>Shirim</w:t>
      </w:r>
      <w:proofErr w:type="spellEnd"/>
      <w:r>
        <w:rPr>
          <w:szCs w:val="22"/>
        </w:rPr>
        <w:t xml:space="preserve"> is overstated. </w:t>
      </w:r>
      <w:r w:rsidRPr="0050593D">
        <w:rPr>
          <w:i/>
          <w:iCs/>
          <w:szCs w:val="22"/>
        </w:rPr>
        <w:t>Song of Songs</w:t>
      </w:r>
      <w:r>
        <w:rPr>
          <w:szCs w:val="22"/>
        </w:rPr>
        <w:t xml:space="preserve"> is a setting in which </w:t>
      </w:r>
      <w:r w:rsidRPr="00337981">
        <w:rPr>
          <w:i/>
          <w:iCs/>
          <w:szCs w:val="22"/>
        </w:rPr>
        <w:t xml:space="preserve">Shiur </w:t>
      </w:r>
      <w:proofErr w:type="spellStart"/>
      <w:r w:rsidRPr="00337981">
        <w:rPr>
          <w:i/>
          <w:iCs/>
          <w:szCs w:val="22"/>
        </w:rPr>
        <w:t>Qoma</w:t>
      </w:r>
      <w:proofErr w:type="spellEnd"/>
      <w:r>
        <w:rPr>
          <w:szCs w:val="22"/>
        </w:rPr>
        <w:t xml:space="preserve"> found a home. This is perhaps as close as we can come to an appropriate formulation of the still-mysterious relationship between the two in the early centuries of the Common Era.</w:t>
      </w:r>
      <w:r>
        <w:rPr>
          <w:rStyle w:val="FootnoteReference"/>
          <w:rtl/>
        </w:rPr>
        <w:footnoteReference w:id="20"/>
      </w:r>
      <w:r>
        <w:rPr>
          <w:rFonts w:hint="cs"/>
          <w:rtl/>
        </w:rPr>
        <w:t xml:space="preserve"> </w:t>
      </w:r>
      <w:commentRangeEnd w:id="11"/>
      <w:r>
        <w:rPr>
          <w:rStyle w:val="CommentReference"/>
        </w:rPr>
        <w:commentReference w:id="11"/>
      </w:r>
    </w:p>
    <w:p w14:paraId="706998C8" w14:textId="21246008" w:rsidR="00ED5CFD" w:rsidRDefault="00ED5CFD" w:rsidP="005B2617">
      <w:proofErr w:type="spellStart"/>
      <w:r>
        <w:t>Assi</w:t>
      </w:r>
      <w:proofErr w:type="spellEnd"/>
      <w:r>
        <w:t xml:space="preserve"> Farber-</w:t>
      </w:r>
      <w:proofErr w:type="spellStart"/>
      <w:r>
        <w:t>Ginat</w:t>
      </w:r>
      <w:proofErr w:type="spellEnd"/>
      <w:r>
        <w:t xml:space="preserve"> has written that while there is a relationship between the </w:t>
      </w:r>
      <w:r w:rsidRPr="00337981">
        <w:rPr>
          <w:i/>
          <w:iCs/>
        </w:rPr>
        <w:t xml:space="preserve">Shiur </w:t>
      </w:r>
      <w:proofErr w:type="spellStart"/>
      <w:r w:rsidRPr="00337981">
        <w:rPr>
          <w:i/>
          <w:iCs/>
        </w:rPr>
        <w:t>Qoma</w:t>
      </w:r>
      <w:proofErr w:type="spellEnd"/>
      <w:r>
        <w:t xml:space="preserve"> literature, the mystical practice of </w:t>
      </w:r>
      <w:r w:rsidRPr="00EF5CC7">
        <w:rPr>
          <w:i/>
          <w:iCs/>
        </w:rPr>
        <w:t>aliya</w:t>
      </w:r>
      <w:r>
        <w:rPr>
          <w:i/>
          <w:iCs/>
        </w:rPr>
        <w:t xml:space="preserve"> </w:t>
      </w:r>
      <w:r>
        <w:t xml:space="preserve">(literally ‘ascent’), and the interpretation of </w:t>
      </w:r>
      <w:r w:rsidRPr="0050593D">
        <w:rPr>
          <w:i/>
          <w:iCs/>
        </w:rPr>
        <w:t>Song of Songs</w:t>
      </w:r>
      <w:r>
        <w:t xml:space="preserve">, it is not necessary to assume that the source of these is a mystical interpretation of the image of the beloved in </w:t>
      </w:r>
      <w:r w:rsidRPr="0050593D">
        <w:rPr>
          <w:i/>
          <w:iCs/>
        </w:rPr>
        <w:t>Song of Songs</w:t>
      </w:r>
      <w:r>
        <w:t>.</w:t>
      </w:r>
      <w:r>
        <w:rPr>
          <w:rStyle w:val="FootnoteReference"/>
        </w:rPr>
        <w:footnoteReference w:id="21"/>
      </w:r>
      <w:r>
        <w:t xml:space="preserve"> Joseph Dan has argued contra </w:t>
      </w:r>
      <w:proofErr w:type="spellStart"/>
      <w:r>
        <w:t>Scholem</w:t>
      </w:r>
      <w:proofErr w:type="spellEnd"/>
      <w:r>
        <w:t xml:space="preserve"> that Origen does not help establish </w:t>
      </w:r>
      <w:r w:rsidRPr="00337981">
        <w:rPr>
          <w:i/>
          <w:iCs/>
        </w:rPr>
        <w:t xml:space="preserve">Shiur </w:t>
      </w:r>
      <w:proofErr w:type="spellStart"/>
      <w:r w:rsidRPr="00337981">
        <w:rPr>
          <w:i/>
          <w:iCs/>
        </w:rPr>
        <w:t>Qoma</w:t>
      </w:r>
      <w:r>
        <w:t>’s</w:t>
      </w:r>
      <w:proofErr w:type="spellEnd"/>
      <w:r>
        <w:t xml:space="preserve"> </w:t>
      </w:r>
      <w:r>
        <w:t xml:space="preserve">date </w:t>
      </w:r>
      <w:r>
        <w:lastRenderedPageBreak/>
        <w:t xml:space="preserve">of composition. Origen does relate to mystical matters but does not give any indication of their nature. Moreover, Origen’s commentary on </w:t>
      </w:r>
      <w:r w:rsidRPr="0050593D">
        <w:rPr>
          <w:i/>
          <w:iCs/>
        </w:rPr>
        <w:t>Song of Songs</w:t>
      </w:r>
      <w:r>
        <w:t xml:space="preserve"> contains no indications of familiarity with </w:t>
      </w:r>
      <w:r w:rsidRPr="00337981">
        <w:rPr>
          <w:i/>
          <w:iCs/>
        </w:rPr>
        <w:t xml:space="preserve">Shiur </w:t>
      </w:r>
      <w:proofErr w:type="spellStart"/>
      <w:r w:rsidRPr="00337981">
        <w:rPr>
          <w:i/>
          <w:iCs/>
        </w:rPr>
        <w:t>Qoma</w:t>
      </w:r>
      <w:proofErr w:type="spellEnd"/>
      <w:r>
        <w:t xml:space="preserve">. For these reasons, the question raised by </w:t>
      </w:r>
      <w:proofErr w:type="spellStart"/>
      <w:r>
        <w:t>Scholem</w:t>
      </w:r>
      <w:proofErr w:type="spellEnd"/>
      <w:r>
        <w:t xml:space="preserve"> whether the Jewish mystical interpretation of </w:t>
      </w:r>
      <w:r w:rsidRPr="0050593D">
        <w:rPr>
          <w:i/>
          <w:iCs/>
        </w:rPr>
        <w:t>Song of Songs</w:t>
      </w:r>
      <w:r>
        <w:t xml:space="preserve"> predated Origen remains unanswered. Dan believes that there is great significance to the fact that </w:t>
      </w:r>
      <w:r w:rsidRPr="0050593D">
        <w:rPr>
          <w:i/>
          <w:iCs/>
        </w:rPr>
        <w:t>Song of Songs</w:t>
      </w:r>
      <w:r>
        <w:t xml:space="preserve"> is a foundational text of both Jewish and Christian mysticism but there remain great differences between how the two religions relate to this source.</w:t>
      </w:r>
      <w:r>
        <w:rPr>
          <w:rStyle w:val="FootnoteReference"/>
        </w:rPr>
        <w:footnoteReference w:id="22"/>
      </w:r>
    </w:p>
    <w:p w14:paraId="1E172C4A" w14:textId="77777777" w:rsidR="00ED5CFD" w:rsidRDefault="00ED5CFD" w:rsidP="005B2617">
      <w:r>
        <w:t xml:space="preserve">Scholars of midrash, among them his students, have criticized Lieberman’s interpretation of the </w:t>
      </w:r>
      <w:proofErr w:type="spellStart"/>
      <w:r>
        <w:t>Tannaic</w:t>
      </w:r>
      <w:proofErr w:type="spellEnd"/>
      <w:r>
        <w:t xml:space="preserve"> sources in support of his claim. </w:t>
      </w:r>
      <w:proofErr w:type="spellStart"/>
      <w:r>
        <w:t>Boyarin</w:t>
      </w:r>
      <w:proofErr w:type="spellEnd"/>
      <w:r>
        <w:t xml:space="preserve"> reassesses his teacher’s argument in a section of an article entitled ‘</w:t>
      </w:r>
      <w:commentRangeStart w:id="12"/>
      <w:r>
        <w:t xml:space="preserve">Rabbi </w:t>
      </w:r>
      <w:proofErr w:type="spellStart"/>
      <w:r>
        <w:t>Akiva’s</w:t>
      </w:r>
      <w:proofErr w:type="spellEnd"/>
      <w:r>
        <w:t xml:space="preserve"> midrash on </w:t>
      </w:r>
      <w:r w:rsidRPr="0050593D">
        <w:rPr>
          <w:i/>
          <w:iCs/>
        </w:rPr>
        <w:t>Song of Songs</w:t>
      </w:r>
      <w:r>
        <w:t xml:space="preserve"> – is it Really </w:t>
      </w:r>
      <w:r w:rsidRPr="00337981">
        <w:rPr>
          <w:i/>
          <w:iCs/>
        </w:rPr>
        <w:t xml:space="preserve">Shiur </w:t>
      </w:r>
      <w:proofErr w:type="spellStart"/>
      <w:r w:rsidRPr="00337981">
        <w:rPr>
          <w:i/>
          <w:iCs/>
        </w:rPr>
        <w:t>Qoma</w:t>
      </w:r>
      <w:r>
        <w:rPr>
          <w:i/>
          <w:iCs/>
        </w:rPr>
        <w:t>h</w:t>
      </w:r>
      <w:proofErr w:type="spellEnd"/>
      <w:r>
        <w:t xml:space="preserve">?’ </w:t>
      </w:r>
      <w:commentRangeEnd w:id="12"/>
      <w:r>
        <w:rPr>
          <w:rStyle w:val="CommentReference"/>
        </w:rPr>
        <w:commentReference w:id="12"/>
      </w:r>
      <w:proofErr w:type="spellStart"/>
      <w:r>
        <w:t>Boyarin’s</w:t>
      </w:r>
      <w:proofErr w:type="spellEnd"/>
      <w:r>
        <w:t xml:space="preserve"> criticism contains the comment: </w:t>
      </w:r>
      <w:commentRangeStart w:id="13"/>
      <w:r>
        <w:t>‘The article is overflowing with novel interpretations that can subvert or support some of the understandings of the term midrash.’</w:t>
      </w:r>
      <w:commentRangeEnd w:id="13"/>
      <w:r>
        <w:rPr>
          <w:rStyle w:val="CommentReference"/>
        </w:rPr>
        <w:commentReference w:id="13"/>
      </w:r>
      <w:r>
        <w:t xml:space="preserve"> </w:t>
      </w:r>
      <w:proofErr w:type="spellStart"/>
      <w:r>
        <w:t>Boyarin</w:t>
      </w:r>
      <w:proofErr w:type="spellEnd"/>
      <w:r>
        <w:t xml:space="preserve"> claims that Lieberman did not establish that </w:t>
      </w:r>
      <w:r w:rsidRPr="00337981">
        <w:rPr>
          <w:i/>
          <w:iCs/>
        </w:rPr>
        <w:t xml:space="preserve">Shiur </w:t>
      </w:r>
      <w:proofErr w:type="spellStart"/>
      <w:r w:rsidRPr="00337981">
        <w:rPr>
          <w:i/>
          <w:iCs/>
        </w:rPr>
        <w:t>Qoma</w:t>
      </w:r>
      <w:proofErr w:type="spellEnd"/>
      <w:r>
        <w:t xml:space="preserve"> is related in any particular way to Rabbi </w:t>
      </w:r>
      <w:proofErr w:type="spellStart"/>
      <w:r>
        <w:t>Akiva</w:t>
      </w:r>
      <w:proofErr w:type="spellEnd"/>
      <w:r>
        <w:t xml:space="preserve"> and his circle; there is no need to give esoteric meanings to the midrashim Rabbi </w:t>
      </w:r>
      <w:proofErr w:type="spellStart"/>
      <w:r>
        <w:t>Akiva</w:t>
      </w:r>
      <w:proofErr w:type="spellEnd"/>
      <w:r>
        <w:t xml:space="preserve"> cites. The </w:t>
      </w:r>
      <w:proofErr w:type="spellStart"/>
      <w:r>
        <w:t>Tannaim</w:t>
      </w:r>
      <w:proofErr w:type="spellEnd"/>
      <w:r>
        <w:t xml:space="preserve">, as is their way, use verses from </w:t>
      </w:r>
      <w:r w:rsidRPr="0050593D">
        <w:rPr>
          <w:i/>
          <w:iCs/>
        </w:rPr>
        <w:t>Song of Songs</w:t>
      </w:r>
      <w:r>
        <w:t xml:space="preserve"> as a hermeneutic key to interpreting difficult verses in the Torah. Alongside his criticism, </w:t>
      </w:r>
      <w:proofErr w:type="spellStart"/>
      <w:r>
        <w:t>Boyarin</w:t>
      </w:r>
      <w:proofErr w:type="spellEnd"/>
      <w:r>
        <w:t xml:space="preserve"> does not reject the possibility of </w:t>
      </w:r>
      <w:proofErr w:type="spellStart"/>
      <w:r>
        <w:t>there</w:t>
      </w:r>
      <w:proofErr w:type="spellEnd"/>
      <w:r>
        <w:t xml:space="preserve"> having been an esoteric interpretation of </w:t>
      </w:r>
      <w:r w:rsidRPr="0050593D">
        <w:rPr>
          <w:i/>
          <w:iCs/>
        </w:rPr>
        <w:t>Song of Songs</w:t>
      </w:r>
      <w:r>
        <w:t xml:space="preserve"> in the </w:t>
      </w:r>
      <w:proofErr w:type="spellStart"/>
      <w:r>
        <w:t>Tannaic</w:t>
      </w:r>
      <w:proofErr w:type="spellEnd"/>
      <w:r>
        <w:t xml:space="preserve"> period that may have been related to </w:t>
      </w:r>
      <w:r w:rsidRPr="00337981">
        <w:rPr>
          <w:i/>
          <w:iCs/>
        </w:rPr>
        <w:t xml:space="preserve">Shiur </w:t>
      </w:r>
      <w:proofErr w:type="spellStart"/>
      <w:r w:rsidRPr="00337981">
        <w:rPr>
          <w:i/>
          <w:iCs/>
        </w:rPr>
        <w:t>Qoma</w:t>
      </w:r>
      <w:proofErr w:type="spellEnd"/>
      <w:r>
        <w:t>.</w:t>
      </w:r>
      <w:r>
        <w:rPr>
          <w:rStyle w:val="FootnoteReference"/>
        </w:rPr>
        <w:footnoteReference w:id="23"/>
      </w:r>
    </w:p>
    <w:p w14:paraId="7A0AE1A1" w14:textId="77777777" w:rsidR="00ED5CFD" w:rsidRDefault="00ED5CFD" w:rsidP="005B2617">
      <w:r>
        <w:t xml:space="preserve">Menahem </w:t>
      </w:r>
      <w:proofErr w:type="spellStart"/>
      <w:r>
        <w:t>Hirshman</w:t>
      </w:r>
      <w:proofErr w:type="spellEnd"/>
      <w:r>
        <w:t xml:space="preserve"> argues that Rabbi </w:t>
      </w:r>
      <w:proofErr w:type="spellStart"/>
      <w:r>
        <w:t>Akiva’s</w:t>
      </w:r>
      <w:proofErr w:type="spellEnd"/>
      <w:r>
        <w:t xml:space="preserve"> declaration that </w:t>
      </w:r>
      <w:r w:rsidRPr="0050593D">
        <w:rPr>
          <w:i/>
          <w:iCs/>
        </w:rPr>
        <w:t>Song of Songs</w:t>
      </w:r>
      <w:r>
        <w:t xml:space="preserve"> is the holy of holies is meant to emphasize the religious importance of love and does necessarily reflect a mystical reading. </w:t>
      </w:r>
      <w:proofErr w:type="spellStart"/>
      <w:r>
        <w:t>Hirshman</w:t>
      </w:r>
      <w:proofErr w:type="spellEnd"/>
      <w:r>
        <w:t xml:space="preserve"> points out that the fact that Origen mentions </w:t>
      </w:r>
      <w:r w:rsidRPr="0050593D">
        <w:rPr>
          <w:i/>
          <w:iCs/>
        </w:rPr>
        <w:t>Song of Songs</w:t>
      </w:r>
      <w:r>
        <w:t xml:space="preserve"> in his list of biblical passages is </w:t>
      </w:r>
      <w:r>
        <w:lastRenderedPageBreak/>
        <w:t xml:space="preserve">not necessarily because of its esoteric status but rather out of concern for its eroticism, which Origen in fact mentions in the introduction to his commentary. At the same time, Origen’s commentary on </w:t>
      </w:r>
      <w:r w:rsidRPr="0050593D">
        <w:rPr>
          <w:i/>
          <w:iCs/>
        </w:rPr>
        <w:t>Song of Songs</w:t>
      </w:r>
      <w:r>
        <w:t xml:space="preserve"> presents it as a mystical journey and this can support </w:t>
      </w:r>
      <w:proofErr w:type="spellStart"/>
      <w:r>
        <w:t>Scholem</w:t>
      </w:r>
      <w:proofErr w:type="spellEnd"/>
      <w:r>
        <w:t xml:space="preserve"> and Lieberman’s thesis that a mystical interpretation of </w:t>
      </w:r>
      <w:r w:rsidRPr="0050593D">
        <w:rPr>
          <w:i/>
          <w:iCs/>
        </w:rPr>
        <w:t>Song of Songs</w:t>
      </w:r>
      <w:r>
        <w:t xml:space="preserve"> existed at that time.</w:t>
      </w:r>
      <w:r>
        <w:rPr>
          <w:rStyle w:val="FootnoteReference"/>
        </w:rPr>
        <w:footnoteReference w:id="24"/>
      </w:r>
    </w:p>
    <w:p w14:paraId="0E7EDA06" w14:textId="77777777" w:rsidR="00ED5CFD" w:rsidRPr="00F23CD0" w:rsidRDefault="00ED5CFD" w:rsidP="005B2617">
      <w:r>
        <w:t xml:space="preserve">Alon Goshen-Gottstein questions Lieberman’s claim that the </w:t>
      </w:r>
      <w:proofErr w:type="spellStart"/>
      <w:r>
        <w:t>Tannaim</w:t>
      </w:r>
      <w:proofErr w:type="spellEnd"/>
      <w:r>
        <w:t xml:space="preserve"> had consistent theses regarding the interpretation of </w:t>
      </w:r>
      <w:r w:rsidRPr="0050593D">
        <w:rPr>
          <w:i/>
          <w:iCs/>
        </w:rPr>
        <w:t>Song of Songs</w:t>
      </w:r>
      <w:r>
        <w:t xml:space="preserve">. One cannot assume that they interpreted Song 5:10-16 as a description of the revelation at the Red Sea or Mount Sinai. Under the circumstances, Goshen-Gottstein believes that there is no basis for the claim that the Sages had a </w:t>
      </w:r>
      <w:commentRangeStart w:id="14"/>
      <w:r>
        <w:t xml:space="preserve">systematic </w:t>
      </w:r>
      <w:commentRangeEnd w:id="14"/>
      <w:r>
        <w:rPr>
          <w:rStyle w:val="CommentReference"/>
        </w:rPr>
        <w:commentReference w:id="14"/>
      </w:r>
      <w:r>
        <w:t xml:space="preserve">mystical interpretation of </w:t>
      </w:r>
      <w:r w:rsidRPr="0050593D">
        <w:rPr>
          <w:i/>
          <w:iCs/>
        </w:rPr>
        <w:t>Song of Songs</w:t>
      </w:r>
      <w:r>
        <w:t xml:space="preserve">, i.e., </w:t>
      </w:r>
      <w:r w:rsidRPr="00337981">
        <w:rPr>
          <w:i/>
          <w:iCs/>
        </w:rPr>
        <w:t>Shiur Qoma</w:t>
      </w:r>
      <w:r>
        <w:t>.</w:t>
      </w:r>
      <w:r>
        <w:rPr>
          <w:rStyle w:val="FootnoteReference"/>
        </w:rPr>
        <w:footnoteReference w:id="25"/>
      </w:r>
    </w:p>
    <w:p w14:paraId="337EC776" w14:textId="77777777" w:rsidR="00ED5CFD" w:rsidRDefault="00ED5CFD" w:rsidP="005B2617">
      <w:r>
        <w:t xml:space="preserve">Below, we will attempt to shed new light on the contested topic of whether a corporeal conception of God was an early element in Jewish mysticism by comparing the </w:t>
      </w:r>
      <w:proofErr w:type="spellStart"/>
      <w:r>
        <w:t>Tannaic</w:t>
      </w:r>
      <w:proofErr w:type="spellEnd"/>
      <w:r>
        <w:t xml:space="preserve"> interpretations of body descriptions in the relevant verses with those that appear in Amoraic literature. Even though these interpretations are allegorical, it is possible to find significant differences between the sources.</w:t>
      </w:r>
    </w:p>
    <w:p w14:paraId="21B6C4F3" w14:textId="77777777" w:rsidR="00ED5CFD" w:rsidRDefault="00ED5CFD" w:rsidP="005B2617">
      <w:pPr>
        <w:pStyle w:val="Heading1"/>
        <w:rPr>
          <w:rtl/>
        </w:rPr>
      </w:pPr>
      <w:commentRangeStart w:id="15"/>
      <w:r>
        <w:t xml:space="preserve">A Comparison of Descriptions of the Body of the Beloved in </w:t>
      </w:r>
      <w:proofErr w:type="spellStart"/>
      <w:r>
        <w:t>Tannaic</w:t>
      </w:r>
      <w:proofErr w:type="spellEnd"/>
      <w:r>
        <w:t xml:space="preserve"> Midrash to those in Amoraic Midrash</w:t>
      </w:r>
      <w:commentRangeEnd w:id="15"/>
      <w:r>
        <w:rPr>
          <w:rStyle w:val="CommentReference"/>
          <w:rFonts w:eastAsia="Times New Roman"/>
          <w:b w:val="0"/>
          <w:bCs w:val="0"/>
          <w:u w:val="none"/>
        </w:rPr>
        <w:commentReference w:id="15"/>
      </w:r>
    </w:p>
    <w:p w14:paraId="7BAE51E6" w14:textId="77777777" w:rsidR="00ED5CFD" w:rsidRPr="00AA497C" w:rsidRDefault="00ED5CFD" w:rsidP="005B2617">
      <w:pPr>
        <w:pStyle w:val="Heading2"/>
      </w:pPr>
      <w:r w:rsidRPr="00AA497C">
        <w:t>His head is the finest gold; his locks are wavy, black as a raven (Song 5:10-16).</w:t>
      </w:r>
    </w:p>
    <w:p w14:paraId="6988EA86" w14:textId="77777777" w:rsidR="00ED5CFD" w:rsidRDefault="00ED5CFD" w:rsidP="005B2617">
      <w:r>
        <w:t xml:space="preserve">We will begin our discussion with the analysis of the </w:t>
      </w:r>
      <w:proofErr w:type="spellStart"/>
      <w:r>
        <w:t>Tannaic</w:t>
      </w:r>
      <w:proofErr w:type="spellEnd"/>
      <w:r>
        <w:t xml:space="preserve"> interpretation of Song 5:10-16 that appears in the </w:t>
      </w:r>
      <w:proofErr w:type="spellStart"/>
      <w:r w:rsidRPr="004C71FD">
        <w:rPr>
          <w:i/>
          <w:iCs/>
        </w:rPr>
        <w:t>Sifrei</w:t>
      </w:r>
      <w:proofErr w:type="spellEnd"/>
      <w:r>
        <w:t xml:space="preserve">. The </w:t>
      </w:r>
      <w:proofErr w:type="spellStart"/>
      <w:r w:rsidRPr="004C71FD">
        <w:rPr>
          <w:i/>
          <w:iCs/>
        </w:rPr>
        <w:t>Sifrei</w:t>
      </w:r>
      <w:proofErr w:type="spellEnd"/>
      <w:r>
        <w:t xml:space="preserve"> is a halakhic midrash </w:t>
      </w:r>
      <w:r>
        <w:rPr>
          <w:lang w:bidi="he-IL"/>
        </w:rPr>
        <w:t>on</w:t>
      </w:r>
      <w:r>
        <w:t xml:space="preserve"> </w:t>
      </w:r>
      <w:commentRangeStart w:id="16"/>
      <w:r>
        <w:t>Deuteronomy</w:t>
      </w:r>
      <w:commentRangeEnd w:id="16"/>
      <w:r>
        <w:rPr>
          <w:rStyle w:val="CommentReference"/>
        </w:rPr>
        <w:commentReference w:id="16"/>
      </w:r>
      <w:r>
        <w:t xml:space="preserve">; it contains </w:t>
      </w:r>
      <w:proofErr w:type="spellStart"/>
      <w:r>
        <w:t>Tannaic</w:t>
      </w:r>
      <w:proofErr w:type="spellEnd"/>
      <w:r>
        <w:t xml:space="preserve"> statements from the first centuries CE and was redacted circa the middle of the third century CE.</w:t>
      </w:r>
      <w:r>
        <w:rPr>
          <w:rStyle w:val="FootnoteReference"/>
        </w:rPr>
        <w:footnoteReference w:id="26"/>
      </w:r>
      <w:r>
        <w:t xml:space="preserve"> The midrash </w:t>
      </w:r>
      <w:r>
        <w:lastRenderedPageBreak/>
        <w:t>below is a homily on the verse ‘</w:t>
      </w:r>
      <w:r w:rsidRPr="0026007F">
        <w:t>With him were myriads of holy ones</w:t>
      </w:r>
      <w:r>
        <w:t>’ (</w:t>
      </w:r>
      <w:proofErr w:type="spellStart"/>
      <w:r>
        <w:t>Deut</w:t>
      </w:r>
      <w:proofErr w:type="spellEnd"/>
      <w:r>
        <w:t xml:space="preserve"> 33:2) that deals with the appearance of God when He first revealed Himself to Israel at the Red Sea.</w:t>
      </w:r>
      <w:r>
        <w:rPr>
          <w:rStyle w:val="FootnoteReference"/>
        </w:rPr>
        <w:footnoteReference w:id="27"/>
      </w:r>
    </w:p>
    <w:p w14:paraId="449A0E31" w14:textId="0BF2D0D5" w:rsidR="00ED5CFD" w:rsidRDefault="00ED5CFD" w:rsidP="005B2617">
      <w:pPr>
        <w:pStyle w:val="Quote"/>
      </w:pPr>
      <w:r w:rsidRPr="00252D7A">
        <w:t xml:space="preserve">And when He revealed Himself at the Sea, they [Israel] immediately recognized Him, as it is said, </w:t>
      </w:r>
      <w:r>
        <w:t>‘</w:t>
      </w:r>
      <w:r w:rsidRPr="00252D7A">
        <w:t>This is my God and I will glorify Him; the God of my father, and I will exalt H</w:t>
      </w:r>
      <w:r>
        <w:t xml:space="preserve">im’ </w:t>
      </w:r>
      <w:r w:rsidRPr="00252D7A">
        <w:t>(</w:t>
      </w:r>
      <w:proofErr w:type="spellStart"/>
      <w:r w:rsidRPr="00252D7A">
        <w:t>Exod</w:t>
      </w:r>
      <w:proofErr w:type="spellEnd"/>
      <w:r>
        <w:t xml:space="preserve"> </w:t>
      </w:r>
      <w:r w:rsidRPr="00252D7A">
        <w:t>15:2)</w:t>
      </w:r>
      <w:r>
        <w:t xml:space="preserve">. </w:t>
      </w:r>
      <w:r w:rsidRPr="00252D7A">
        <w:t xml:space="preserve">Similarly, the nations of the world would ask Israel, </w:t>
      </w:r>
      <w:r>
        <w:t>‘</w:t>
      </w:r>
      <w:r w:rsidRPr="00252D7A">
        <w:t>How is your beloved better than another</w:t>
      </w:r>
      <w:r>
        <w:t>’</w:t>
      </w:r>
      <w:r w:rsidRPr="00252D7A">
        <w:t xml:space="preserve"> (</w:t>
      </w:r>
      <w:r>
        <w:t>Song</w:t>
      </w:r>
      <w:r w:rsidRPr="00252D7A">
        <w:t xml:space="preserve"> 5:9), that you are killed for His sake, as it is said, </w:t>
      </w:r>
      <w:r>
        <w:t>‘</w:t>
      </w:r>
      <w:r w:rsidRPr="00252D7A">
        <w:t>Therefore do maidens (</w:t>
      </w:r>
      <w:r>
        <w:t>‘</w:t>
      </w:r>
      <w:proofErr w:type="spellStart"/>
      <w:r w:rsidRPr="00252D7A">
        <w:t>alamot</w:t>
      </w:r>
      <w:proofErr w:type="spellEnd"/>
      <w:r w:rsidRPr="00252D7A">
        <w:t>*) [= unto death</w:t>
      </w:r>
      <w:r>
        <w:t xml:space="preserve"> do they</w:t>
      </w:r>
      <w:r w:rsidRPr="00252D7A">
        <w:t>] love you</w:t>
      </w:r>
      <w:r>
        <w:t>’</w:t>
      </w:r>
      <w:r w:rsidRPr="00252D7A">
        <w:t xml:space="preserve"> (</w:t>
      </w:r>
      <w:r>
        <w:t>Song</w:t>
      </w:r>
      <w:r w:rsidRPr="00252D7A">
        <w:t xml:space="preserve"> 1:3)? And it also says, </w:t>
      </w:r>
      <w:r>
        <w:t>‘</w:t>
      </w:r>
      <w:r w:rsidRPr="00252D7A">
        <w:t>It is for Your sake that we are slain all day long</w:t>
      </w:r>
      <w:r>
        <w:t>’</w:t>
      </w:r>
      <w:r w:rsidRPr="00252D7A">
        <w:t xml:space="preserve"> (Ps 44:23). You are all beautiful, you are all heroic. Come and mingle with us,</w:t>
      </w:r>
      <w:proofErr w:type="gramStart"/>
      <w:r>
        <w:t>’.</w:t>
      </w:r>
      <w:proofErr w:type="gramEnd"/>
      <w:r w:rsidRPr="00252D7A">
        <w:t xml:space="preserve"> And Israel replied, </w:t>
      </w:r>
      <w:r>
        <w:t>‘</w:t>
      </w:r>
      <w:r w:rsidRPr="00252D7A">
        <w:t xml:space="preserve">Let us tell you only a part of His praise and you will recognize Him: </w:t>
      </w:r>
      <w:r>
        <w:t>‘</w:t>
      </w:r>
      <w:r w:rsidRPr="00252D7A">
        <w:t>My beloved is clear</w:t>
      </w:r>
      <w:r>
        <w:t>-</w:t>
      </w:r>
      <w:r w:rsidRPr="00252D7A">
        <w:t>skinned and ruddy. .. His head is finest gold. .. His eyes are like doves by watercourses. .. His cheeks are like beds of spices. .. His hands are as rods of gold. .. His legs are like marble pillars. .. His mouth is delicious, and all of him is delightful</w:t>
      </w:r>
      <w:r>
        <w:t>’</w:t>
      </w:r>
      <w:r w:rsidRPr="00252D7A">
        <w:t xml:space="preserve"> (</w:t>
      </w:r>
      <w:r>
        <w:t>Song</w:t>
      </w:r>
      <w:r w:rsidRPr="00252D7A">
        <w:t xml:space="preserve"> 5:10</w:t>
      </w:r>
      <w:r>
        <w:t>-</w:t>
      </w:r>
      <w:r w:rsidRPr="00252D7A">
        <w:t>16).</w:t>
      </w:r>
      <w:r>
        <w:t>’</w:t>
      </w:r>
      <w:r w:rsidRPr="00252D7A">
        <w:t xml:space="preserve"> When the nations of the world heard of the beauty and the praise of the Holy One, blessed be He, they said to Israel, </w:t>
      </w:r>
      <w:r>
        <w:t>‘‘</w:t>
      </w:r>
      <w:r w:rsidRPr="00252D7A">
        <w:t xml:space="preserve">Let us come with you, as it is said, </w:t>
      </w:r>
      <w:r>
        <w:t>‘</w:t>
      </w:r>
      <w:r w:rsidRPr="00252D7A">
        <w:t>Wither has your beloved gone, O fairest of women? Whither hath thy beloved turned? Let us seek him with you</w:t>
      </w:r>
      <w:r>
        <w:t>’</w:t>
      </w:r>
      <w:r w:rsidRPr="00252D7A">
        <w:t xml:space="preserve"> (</w:t>
      </w:r>
      <w:r>
        <w:t>Song</w:t>
      </w:r>
      <w:r w:rsidRPr="00252D7A">
        <w:t xml:space="preserve"> 6:1).</w:t>
      </w:r>
      <w:r>
        <w:t>’</w:t>
      </w:r>
      <w:r w:rsidRPr="00252D7A">
        <w:t xml:space="preserve"> What does Israel reply? That they [the nations] have no part of </w:t>
      </w:r>
      <w:r w:rsidRPr="00252D7A">
        <w:lastRenderedPageBreak/>
        <w:t xml:space="preserve">Him: </w:t>
      </w:r>
      <w:r>
        <w:t>‘</w:t>
      </w:r>
      <w:r w:rsidRPr="00252D7A">
        <w:t xml:space="preserve">I am my </w:t>
      </w:r>
      <w:proofErr w:type="gramStart"/>
      <w:r w:rsidRPr="00252D7A">
        <w:t>beloved</w:t>
      </w:r>
      <w:r>
        <w:t>’</w:t>
      </w:r>
      <w:r w:rsidRPr="00252D7A">
        <w:t>s</w:t>
      </w:r>
      <w:proofErr w:type="gramEnd"/>
      <w:r w:rsidRPr="00252D7A">
        <w:t xml:space="preserve"> and my beloved is mine; He browses among the lilies</w:t>
      </w:r>
      <w:r>
        <w:t>’</w:t>
      </w:r>
      <w:r w:rsidRPr="00252D7A">
        <w:t xml:space="preserve"> (</w:t>
      </w:r>
      <w:r>
        <w:t>Song</w:t>
      </w:r>
      <w:r w:rsidRPr="00252D7A">
        <w:t xml:space="preserve"> 6:3</w:t>
      </w:r>
      <w:r>
        <w:t>)</w:t>
      </w:r>
      <w:r>
        <w:rPr>
          <w:rStyle w:val="FootnoteReference"/>
        </w:rPr>
        <w:footnoteReference w:id="28"/>
      </w:r>
    </w:p>
    <w:p w14:paraId="651F3CC6" w14:textId="0B84DD17" w:rsidR="00ED5CFD" w:rsidRDefault="00ED5CFD" w:rsidP="005B2617">
      <w:r>
        <w:rPr>
          <w:lang w:bidi="he-IL"/>
        </w:rPr>
        <w:t xml:space="preserve">The midrash describes a dialogue between the nations of the world and Israel. The nations express their wonder and the depth of Israel’s love for God and ask to join them. Israel’s response is to praise God, citing the verses in Song 5:10-16. The descriptions of the divine body in this </w:t>
      </w:r>
      <w:proofErr w:type="spellStart"/>
      <w:r>
        <w:rPr>
          <w:lang w:bidi="he-IL"/>
        </w:rPr>
        <w:t>Tannaic</w:t>
      </w:r>
      <w:proofErr w:type="spellEnd"/>
      <w:r>
        <w:rPr>
          <w:lang w:bidi="he-IL"/>
        </w:rPr>
        <w:t xml:space="preserve"> midrash express the intimacy with God that no other nation can achieve. The midrash connects this experience of intimacy with martyrdom: </w:t>
      </w:r>
      <w:r>
        <w:t>‘“</w:t>
      </w:r>
      <w:r w:rsidRPr="00252D7A">
        <w:t>How is your beloved better than another</w:t>
      </w:r>
      <w:r>
        <w:t>”</w:t>
      </w:r>
      <w:r w:rsidRPr="00252D7A">
        <w:t xml:space="preserve"> </w:t>
      </w:r>
      <w:r w:rsidRPr="0011398C">
        <w:t>(Song 5:9)</w:t>
      </w:r>
      <w:r>
        <w:t>,</w:t>
      </w:r>
      <w:r w:rsidRPr="0011398C">
        <w:t xml:space="preserve"> </w:t>
      </w:r>
      <w:r w:rsidRPr="00252D7A">
        <w:t xml:space="preserve">that you are killed for His sake, as it is said, </w:t>
      </w:r>
      <w:r>
        <w:t>“</w:t>
      </w:r>
      <w:r w:rsidRPr="00252D7A">
        <w:t>Therefore do maidens (</w:t>
      </w:r>
      <w:r>
        <w:t>‘</w:t>
      </w:r>
      <w:proofErr w:type="spellStart"/>
      <w:r w:rsidRPr="00252D7A">
        <w:t>alamot</w:t>
      </w:r>
      <w:proofErr w:type="spellEnd"/>
      <w:r w:rsidRPr="00252D7A">
        <w:t>*) [= unto death</w:t>
      </w:r>
      <w:r>
        <w:t xml:space="preserve"> do they</w:t>
      </w:r>
      <w:r w:rsidRPr="00252D7A">
        <w:t>] love you</w:t>
      </w:r>
      <w:r>
        <w:t>”</w:t>
      </w:r>
      <w:r w:rsidRPr="00252D7A">
        <w:t xml:space="preserve"> (</w:t>
      </w:r>
      <w:r>
        <w:t>Song</w:t>
      </w:r>
      <w:r w:rsidRPr="00252D7A">
        <w:t xml:space="preserve"> 1:3)? And it also says, </w:t>
      </w:r>
      <w:r>
        <w:t>“</w:t>
      </w:r>
      <w:r w:rsidRPr="00252D7A">
        <w:t>It is for Your sake that we are slain all day long</w:t>
      </w:r>
      <w:r>
        <w:t>”</w:t>
      </w:r>
      <w:r w:rsidRPr="00252D7A">
        <w:t xml:space="preserve"> (Ps 44:23)</w:t>
      </w:r>
      <w:r>
        <w:t>.</w:t>
      </w:r>
      <w:r>
        <w:rPr>
          <w:rStyle w:val="FootnoteReference"/>
        </w:rPr>
        <w:footnoteReference w:id="29"/>
      </w:r>
      <w:r>
        <w:t xml:space="preserve"> In parallel versions of the text that appear in the </w:t>
      </w:r>
      <w:proofErr w:type="spellStart"/>
      <w:r w:rsidRPr="007D74E2">
        <w:rPr>
          <w:i/>
          <w:iCs/>
        </w:rPr>
        <w:t>Mekhiltot</w:t>
      </w:r>
      <w:proofErr w:type="spellEnd"/>
      <w:r>
        <w:t xml:space="preserve">, this midrash is attributed to Rabbi </w:t>
      </w:r>
      <w:proofErr w:type="spellStart"/>
      <w:r>
        <w:t>Akiva</w:t>
      </w:r>
      <w:proofErr w:type="spellEnd"/>
      <w:r>
        <w:t xml:space="preserve"> who is associated with martyrdom.</w:t>
      </w:r>
      <w:r>
        <w:rPr>
          <w:rStyle w:val="FootnoteReference"/>
        </w:rPr>
        <w:footnoteReference w:id="30"/>
      </w:r>
    </w:p>
    <w:p w14:paraId="7A6B6300" w14:textId="77777777" w:rsidR="00ED5CFD" w:rsidRDefault="00ED5CFD" w:rsidP="005B2617">
      <w:r>
        <w:lastRenderedPageBreak/>
        <w:t>In the dialogue between Israel and the nations, the praise of God has overtones of the mystical – ‘o</w:t>
      </w:r>
      <w:r w:rsidRPr="0011398C">
        <w:t>nly some of His virtues have been disclosed to you</w:t>
      </w:r>
      <w:r>
        <w:t>.’ Israel announces at the beginning of the dialogue that their revelations will be only partial. They establish a clear hierarchy – Israel and God have the intimate knowledge of the lovers, while the nations are excluded.</w:t>
      </w:r>
      <w:r>
        <w:rPr>
          <w:rStyle w:val="FootnoteReference"/>
        </w:rPr>
        <w:footnoteReference w:id="31"/>
      </w:r>
    </w:p>
    <w:p w14:paraId="04C1E67F" w14:textId="77777777" w:rsidR="00ED5CFD" w:rsidRDefault="00ED5CFD" w:rsidP="005B2617">
      <w:r>
        <w:t xml:space="preserve">The verses quoted by the </w:t>
      </w:r>
      <w:proofErr w:type="spellStart"/>
      <w:r w:rsidRPr="00EA3986">
        <w:rPr>
          <w:i/>
          <w:iCs/>
        </w:rPr>
        <w:t>Sifrei</w:t>
      </w:r>
      <w:proofErr w:type="spellEnd"/>
      <w:r>
        <w:t xml:space="preserve"> that detail the beauty of the beloved are descriptions of God Himself. The ability to render this description depends upon the visual experience of God at the Red Sea. The opening line of the midrash, ‘</w:t>
      </w:r>
      <w:r w:rsidRPr="00252D7A">
        <w:t xml:space="preserve">And when He revealed Himself at the Sea, they [Israel] immediately recognized Him, as it is said, </w:t>
      </w:r>
      <w:r>
        <w:t>“</w:t>
      </w:r>
      <w:r w:rsidRPr="00252D7A">
        <w:t>This is my God and I will glorify Him; the God of my father, and I will exalt H</w:t>
      </w:r>
      <w:r>
        <w:t xml:space="preserve">im” </w:t>
      </w:r>
      <w:r w:rsidRPr="00252D7A">
        <w:t>(Exod. 15:2)</w:t>
      </w:r>
      <w:r>
        <w:t xml:space="preserve"> emphasizes the power of this experience. The words </w:t>
      </w:r>
      <w:r w:rsidRPr="00ED707E">
        <w:t>‘</w:t>
      </w:r>
      <w:r w:rsidRPr="00252D7A">
        <w:t xml:space="preserve">This is my </w:t>
      </w:r>
      <w:proofErr w:type="gramStart"/>
      <w:r w:rsidRPr="00252D7A">
        <w:t>God</w:t>
      </w:r>
      <w:proofErr w:type="gramEnd"/>
      <w:r w:rsidRPr="00252D7A">
        <w:t xml:space="preserve"> and I will glorify Him</w:t>
      </w:r>
      <w:r>
        <w:t>’ were understood by the author of the midrash as an accolade in the Roman style. Scholars have shown the Jews learned the formulations of accolades and the physical gestures associated with them from the non-Jewish society around them.</w:t>
      </w:r>
      <w:r>
        <w:rPr>
          <w:rStyle w:val="FootnoteReference"/>
        </w:rPr>
        <w:footnoteReference w:id="32"/>
      </w:r>
      <w:r>
        <w:t xml:space="preserve"> One such gesture involved pointing at the object of the accolade while crying ‘There he is!’ According to the </w:t>
      </w:r>
      <w:proofErr w:type="spellStart"/>
      <w:r w:rsidRPr="00E67E48">
        <w:rPr>
          <w:i/>
          <w:iCs/>
        </w:rPr>
        <w:t>Sifrei</w:t>
      </w:r>
      <w:proofErr w:type="spellEnd"/>
      <w:r>
        <w:t xml:space="preserve">, the divine revelation at the Red Sea was so tangible that it was possible to point at God and declare ‘There is my God’ and to describe His physical appearance in detail, per the description in </w:t>
      </w:r>
      <w:r w:rsidRPr="0050593D">
        <w:rPr>
          <w:i/>
          <w:iCs/>
        </w:rPr>
        <w:t>Song of Songs</w:t>
      </w:r>
      <w:r>
        <w:t>.</w:t>
      </w:r>
      <w:r>
        <w:rPr>
          <w:rStyle w:val="FootnoteReference"/>
        </w:rPr>
        <w:footnoteReference w:id="33"/>
      </w:r>
    </w:p>
    <w:p w14:paraId="1DB45468" w14:textId="67DB274C" w:rsidR="00ED5CFD" w:rsidRDefault="00ED5CFD" w:rsidP="005B2617">
      <w:r>
        <w:t>In ‘</w:t>
      </w:r>
      <w:proofErr w:type="spellStart"/>
      <w:r w:rsidRPr="00363C77">
        <w:t>Mishnat</w:t>
      </w:r>
      <w:proofErr w:type="spellEnd"/>
      <w:r w:rsidRPr="00363C77">
        <w:t xml:space="preserve"> Shir ha-</w:t>
      </w:r>
      <w:proofErr w:type="spellStart"/>
      <w:r w:rsidRPr="00363C77">
        <w:t>Shirim</w:t>
      </w:r>
      <w:proofErr w:type="spellEnd"/>
      <w:r w:rsidRPr="00953FA0">
        <w:t>,</w:t>
      </w:r>
      <w:r>
        <w:t xml:space="preserve">’ Lieberman cites the </w:t>
      </w:r>
      <w:proofErr w:type="spellStart"/>
      <w:r w:rsidRPr="00565C76">
        <w:rPr>
          <w:i/>
          <w:iCs/>
        </w:rPr>
        <w:t>Sifrei</w:t>
      </w:r>
      <w:proofErr w:type="spellEnd"/>
      <w:r>
        <w:t xml:space="preserve"> as evidence of the existence of an esoteric interpretation of </w:t>
      </w:r>
      <w:r w:rsidRPr="0050593D">
        <w:rPr>
          <w:i/>
          <w:iCs/>
        </w:rPr>
        <w:t>Song of Songs</w:t>
      </w:r>
      <w:r>
        <w:t xml:space="preserve"> in the </w:t>
      </w:r>
      <w:proofErr w:type="spellStart"/>
      <w:r>
        <w:t>Tannaic</w:t>
      </w:r>
      <w:proofErr w:type="spellEnd"/>
      <w:r>
        <w:t xml:space="preserve"> period. He points out that much is obscure in this midrash. The author quotes just the beginnings of the verses because he did not want to reveal the essence of Israel’s praise of God. It is clear, claims Lieberman, that the verses contain the ultimate praise. He believes that </w:t>
      </w:r>
      <w:r w:rsidRPr="00337981">
        <w:rPr>
          <w:i/>
          <w:iCs/>
        </w:rPr>
        <w:t xml:space="preserve">Shiur </w:t>
      </w:r>
      <w:proofErr w:type="spellStart"/>
      <w:r w:rsidRPr="00337981">
        <w:rPr>
          <w:i/>
          <w:iCs/>
        </w:rPr>
        <w:t>Qoma</w:t>
      </w:r>
      <w:proofErr w:type="spellEnd"/>
      <w:r>
        <w:t xml:space="preserve">, an ancient midrash to Song 5:10-16 that included a description of God’s </w:t>
      </w:r>
      <w:r>
        <w:lastRenderedPageBreak/>
        <w:t>image along with praise and accolade of it, was left out of this text for esoteric reasons.</w:t>
      </w:r>
      <w:r>
        <w:rPr>
          <w:rStyle w:val="FootnoteReference"/>
          <w:rFonts w:asciiTheme="majorBidi" w:hAnsiTheme="majorBidi"/>
          <w:sz w:val="22"/>
          <w:szCs w:val="22"/>
        </w:rPr>
        <w:footnoteReference w:id="34"/>
      </w:r>
      <w:r>
        <w:t xml:space="preserve"> According to Lieberman, this text was concealed not only from non-Jewish elements, but also text from internal elements in the Jewish community. This concealment reflects the esoteric nature of </w:t>
      </w:r>
      <w:r w:rsidRPr="00337981">
        <w:rPr>
          <w:i/>
          <w:iCs/>
        </w:rPr>
        <w:t xml:space="preserve">Shiur </w:t>
      </w:r>
      <w:proofErr w:type="spellStart"/>
      <w:r w:rsidRPr="00337981">
        <w:rPr>
          <w:i/>
          <w:iCs/>
        </w:rPr>
        <w:t>Qoma</w:t>
      </w:r>
      <w:proofErr w:type="spellEnd"/>
      <w:r>
        <w:t xml:space="preserve"> which was always meant to be reserved for an elite minority.</w:t>
      </w:r>
    </w:p>
    <w:p w14:paraId="2A16CB16" w14:textId="77777777" w:rsidR="00ED5CFD" w:rsidRDefault="00ED5CFD" w:rsidP="005B2617">
      <w:r>
        <w:t xml:space="preserve">We will now compare the </w:t>
      </w:r>
      <w:proofErr w:type="spellStart"/>
      <w:r>
        <w:t>Tannaic</w:t>
      </w:r>
      <w:proofErr w:type="spellEnd"/>
      <w:r>
        <w:t xml:space="preserve"> midrash’s description of the beloved’s body with that which appears in the Amoraic </w:t>
      </w:r>
      <w:r w:rsidRPr="0050593D">
        <w:rPr>
          <w:i/>
          <w:iCs/>
        </w:rPr>
        <w:t>Song of Songs</w:t>
      </w:r>
      <w:r>
        <w:t xml:space="preserve"> </w:t>
      </w:r>
      <w:r w:rsidRPr="00AE31E8">
        <w:rPr>
          <w:i/>
          <w:iCs/>
        </w:rPr>
        <w:t>Rabba</w:t>
      </w:r>
      <w:r>
        <w:t xml:space="preserve">. </w:t>
      </w:r>
      <w:r w:rsidRPr="0050593D">
        <w:rPr>
          <w:i/>
          <w:iCs/>
        </w:rPr>
        <w:t>Song of Songs</w:t>
      </w:r>
      <w:r>
        <w:t xml:space="preserve"> </w:t>
      </w:r>
      <w:r w:rsidRPr="00AE31E8">
        <w:rPr>
          <w:i/>
          <w:iCs/>
        </w:rPr>
        <w:t>Rabba</w:t>
      </w:r>
      <w:r>
        <w:t xml:space="preserve"> is the largest and earliest </w:t>
      </w:r>
      <w:commentRangeStart w:id="17"/>
      <w:r>
        <w:t xml:space="preserve">rabbinic </w:t>
      </w:r>
      <w:commentRangeEnd w:id="17"/>
      <w:r>
        <w:rPr>
          <w:rStyle w:val="CommentReference"/>
        </w:rPr>
        <w:commentReference w:id="17"/>
      </w:r>
      <w:r>
        <w:rPr>
          <w:lang w:bidi="he-IL"/>
        </w:rPr>
        <w:t>work</w:t>
      </w:r>
      <w:r>
        <w:t xml:space="preserve"> we have on </w:t>
      </w:r>
      <w:r w:rsidRPr="0050593D">
        <w:rPr>
          <w:i/>
          <w:iCs/>
        </w:rPr>
        <w:t>Song of Songs</w:t>
      </w:r>
      <w:r>
        <w:t xml:space="preserve">. It contains collections of homilies on every verse of </w:t>
      </w:r>
      <w:r w:rsidRPr="0050593D">
        <w:rPr>
          <w:i/>
          <w:iCs/>
        </w:rPr>
        <w:t>Song of Songs</w:t>
      </w:r>
      <w:r>
        <w:t xml:space="preserve">, following the order of the verses. The material collected in it reflects the interpretations of </w:t>
      </w:r>
      <w:proofErr w:type="spellStart"/>
      <w:r>
        <w:t>Tannaim</w:t>
      </w:r>
      <w:proofErr w:type="spellEnd"/>
      <w:r>
        <w:t xml:space="preserve"> and Amoraim from the first through fifth century CE. </w:t>
      </w:r>
      <w:r w:rsidRPr="0050593D">
        <w:rPr>
          <w:i/>
          <w:iCs/>
        </w:rPr>
        <w:t>Song of Songs</w:t>
      </w:r>
      <w:r>
        <w:t xml:space="preserve"> </w:t>
      </w:r>
      <w:r w:rsidRPr="00AE31E8">
        <w:rPr>
          <w:i/>
          <w:iCs/>
        </w:rPr>
        <w:t>Rabba</w:t>
      </w:r>
      <w:r>
        <w:t xml:space="preserve"> was compiled in the Land of Israel circa the sixth or the beginning of the seventh century.</w:t>
      </w:r>
      <w:r>
        <w:rPr>
          <w:rStyle w:val="FootnoteReference"/>
          <w:rFonts w:asciiTheme="majorBidi" w:hAnsiTheme="majorBidi"/>
          <w:sz w:val="22"/>
          <w:szCs w:val="22"/>
        </w:rPr>
        <w:footnoteReference w:id="35"/>
      </w:r>
    </w:p>
    <w:p w14:paraId="4779D266" w14:textId="2ECF899F" w:rsidR="00ED5CFD" w:rsidRDefault="00ED5CFD" w:rsidP="005B2617">
      <w:r>
        <w:t>I</w:t>
      </w:r>
      <w:r w:rsidR="005C0DC6">
        <w:t>t</w:t>
      </w:r>
      <w:r>
        <w:t xml:space="preserve"> can be stated almost unequivocally that </w:t>
      </w:r>
      <w:r w:rsidRPr="0050593D">
        <w:rPr>
          <w:i/>
          <w:iCs/>
        </w:rPr>
        <w:t>Song of Songs</w:t>
      </w:r>
      <w:r>
        <w:t xml:space="preserve"> </w:t>
      </w:r>
      <w:r w:rsidRPr="00AE31E8">
        <w:rPr>
          <w:i/>
          <w:iCs/>
        </w:rPr>
        <w:t>Rabba</w:t>
      </w:r>
      <w:r>
        <w:t xml:space="preserve"> is based on the allegorical interpretation of </w:t>
      </w:r>
      <w:r w:rsidRPr="0050593D">
        <w:rPr>
          <w:i/>
          <w:iCs/>
        </w:rPr>
        <w:t>Song of Songs</w:t>
      </w:r>
      <w:r>
        <w:t xml:space="preserve"> according to which the verses do not relate to the love between a man and a woman but to the love between God and Israel. At the same time, the allegorical interpretation is not one-dimensional and contains a variety of perspectives as we will see below.</w:t>
      </w:r>
      <w:r>
        <w:rPr>
          <w:rStyle w:val="FootnoteReference"/>
          <w:rFonts w:asciiTheme="majorBidi" w:hAnsiTheme="majorBidi"/>
          <w:sz w:val="22"/>
          <w:szCs w:val="22"/>
        </w:rPr>
        <w:footnoteReference w:id="36"/>
      </w:r>
      <w:r>
        <w:t xml:space="preserve"> The following passage is a midrash on the same verses discussed above. It understands them to be an allegory about the Torah and the scholars who study it.</w:t>
      </w:r>
    </w:p>
    <w:p w14:paraId="278970DE" w14:textId="5D7F7197" w:rsidR="00ED5CFD" w:rsidRDefault="00ED5CFD" w:rsidP="005B2617">
      <w:pPr>
        <w:pStyle w:val="Quote"/>
      </w:pPr>
      <w:r w:rsidRPr="00830A88">
        <w:t xml:space="preserve">HIS HEAD IS AS THE MOST FINE GOLD (Song 5:11). HIS HEAD is the Torah, as it says, </w:t>
      </w:r>
      <w:r>
        <w:t>‘</w:t>
      </w:r>
      <w:r w:rsidRPr="00830A88">
        <w:t>The Lord made me as the beginning</w:t>
      </w:r>
      <w:r>
        <w:t xml:space="preserve"> </w:t>
      </w:r>
      <w:r w:rsidRPr="00830A88">
        <w:t>of His way</w:t>
      </w:r>
      <w:r>
        <w:t>’</w:t>
      </w:r>
      <w:r w:rsidRPr="00830A88">
        <w:t xml:space="preserve"> (Pro</w:t>
      </w:r>
      <w:r>
        <w:t>v</w:t>
      </w:r>
      <w:r w:rsidRPr="00830A88">
        <w:t xml:space="preserve"> </w:t>
      </w:r>
      <w:r>
        <w:t>8:</w:t>
      </w:r>
      <w:r w:rsidRPr="00830A88">
        <w:t>22).</w:t>
      </w:r>
    </w:p>
    <w:p w14:paraId="5EBBB802" w14:textId="7D3585AB" w:rsidR="00ED5CFD" w:rsidRDefault="00ED5CFD" w:rsidP="005B2617">
      <w:pPr>
        <w:pStyle w:val="Quote"/>
      </w:pPr>
      <w:r w:rsidRPr="00830A88">
        <w:lastRenderedPageBreak/>
        <w:t xml:space="preserve">MOST FINE GOLD: this refers to the words of the Torah, of which it says, </w:t>
      </w:r>
      <w:r>
        <w:t>‘</w:t>
      </w:r>
      <w:r w:rsidRPr="00830A88">
        <w:t xml:space="preserve">More to be desired are they </w:t>
      </w:r>
      <w:proofErr w:type="spellStart"/>
      <w:r w:rsidRPr="00830A88">
        <w:t>than</w:t>
      </w:r>
      <w:proofErr w:type="spellEnd"/>
      <w:r w:rsidRPr="00830A88">
        <w:t xml:space="preserve"> gold, yea, than much fine gold</w:t>
      </w:r>
      <w:r>
        <w:t>’</w:t>
      </w:r>
      <w:r w:rsidRPr="00830A88">
        <w:t xml:space="preserve"> (Ps </w:t>
      </w:r>
      <w:r>
        <w:t>19:</w:t>
      </w:r>
      <w:r w:rsidRPr="00830A88">
        <w:t>11).</w:t>
      </w:r>
    </w:p>
    <w:p w14:paraId="628F09E1" w14:textId="0955ECD5" w:rsidR="00ED5CFD" w:rsidRDefault="00ED5CFD" w:rsidP="005B2617">
      <w:pPr>
        <w:pStyle w:val="Quote"/>
      </w:pPr>
      <w:r w:rsidRPr="00830A88">
        <w:t xml:space="preserve">R. </w:t>
      </w:r>
      <w:proofErr w:type="spellStart"/>
      <w:r w:rsidRPr="00830A88">
        <w:t>Hunia</w:t>
      </w:r>
      <w:proofErr w:type="spellEnd"/>
      <w:r w:rsidRPr="00830A88">
        <w:t xml:space="preserve"> said in the name of </w:t>
      </w:r>
      <w:proofErr w:type="spellStart"/>
      <w:r w:rsidRPr="00830A88">
        <w:t>Resh</w:t>
      </w:r>
      <w:proofErr w:type="spellEnd"/>
      <w:r w:rsidRPr="00830A88">
        <w:t xml:space="preserve"> </w:t>
      </w:r>
      <w:proofErr w:type="spellStart"/>
      <w:r w:rsidRPr="00830A88">
        <w:t>Lakish</w:t>
      </w:r>
      <w:proofErr w:type="spellEnd"/>
      <w:r w:rsidRPr="00830A88">
        <w:t xml:space="preserve">: The Torah preceded the creation of the world by two thousand years. How do we know? Because it says, </w:t>
      </w:r>
      <w:r>
        <w:t>‘</w:t>
      </w:r>
      <w:r w:rsidRPr="00830A88">
        <w:t>Then I was by Him as a nursling; and I was daily (lit. ‘day, day’) all delight</w:t>
      </w:r>
      <w:r>
        <w:t>’</w:t>
      </w:r>
      <w:r w:rsidRPr="00830A88">
        <w:t xml:space="preserve"> (</w:t>
      </w:r>
      <w:r>
        <w:t>Ps 19:</w:t>
      </w:r>
      <w:r w:rsidRPr="00830A88">
        <w:t xml:space="preserve">30); and the day of the Almighty is a thousand years, as it says, </w:t>
      </w:r>
      <w:r>
        <w:t>‘</w:t>
      </w:r>
      <w:r w:rsidRPr="00830A88">
        <w:t>For a thousand years in Thy sight are but as yesterday when it is</w:t>
      </w:r>
      <w:r>
        <w:t xml:space="preserve"> </w:t>
      </w:r>
      <w:r w:rsidRPr="00830A88">
        <w:t xml:space="preserve">past (Ps </w:t>
      </w:r>
      <w:r>
        <w:t>90:</w:t>
      </w:r>
      <w:r w:rsidRPr="00830A88">
        <w:t>4).</w:t>
      </w:r>
    </w:p>
    <w:p w14:paraId="247ADED2" w14:textId="77777777" w:rsidR="00ED5CFD" w:rsidRDefault="00ED5CFD" w:rsidP="005B2617">
      <w:pPr>
        <w:pStyle w:val="Quote"/>
      </w:pPr>
      <w:r w:rsidRPr="00830A88">
        <w:t>HIS LOCKS ARE CURLED. This refers to the ruled lines [in the Scroll]. AND BLACK AS A RAVEN: this refers to the letters</w:t>
      </w:r>
      <w:r>
        <w:t>…</w:t>
      </w:r>
    </w:p>
    <w:p w14:paraId="18C2EF37" w14:textId="77777777" w:rsidR="00ED5CFD" w:rsidRDefault="00ED5CFD" w:rsidP="005B2617">
      <w:pPr>
        <w:pStyle w:val="Quote"/>
      </w:pPr>
      <w:r w:rsidRPr="00830A88">
        <w:t>With whom are they preserved? BLACK AS A RAVEN (</w:t>
      </w:r>
      <w:proofErr w:type="spellStart"/>
      <w:r w:rsidRPr="00830A88">
        <w:t>OREB</w:t>
      </w:r>
      <w:proofErr w:type="spellEnd"/>
      <w:r w:rsidRPr="00830A88">
        <w:t>): with one who is at them earl</w:t>
      </w:r>
      <w:r>
        <w:t>y</w:t>
      </w:r>
      <w:r w:rsidRPr="00830A88">
        <w:t xml:space="preserve"> and late (</w:t>
      </w:r>
      <w:proofErr w:type="spellStart"/>
      <w:r w:rsidRPr="00830A88">
        <w:t>ma'arib</w:t>
      </w:r>
      <w:proofErr w:type="spellEnd"/>
      <w:r w:rsidRPr="00830A88">
        <w:t>)</w:t>
      </w:r>
      <w:r>
        <w:t>..</w:t>
      </w:r>
      <w:r w:rsidRPr="00830A88">
        <w:t>.</w:t>
      </w:r>
    </w:p>
    <w:p w14:paraId="095FCB0E" w14:textId="77777777" w:rsidR="00ED5CFD" w:rsidRDefault="00ED5CFD" w:rsidP="005B2617">
      <w:pPr>
        <w:pStyle w:val="Quote"/>
      </w:pPr>
      <w:r w:rsidRPr="00F563AE">
        <w:t>R. Judah applied the verse to the students of the</w:t>
      </w:r>
      <w:r>
        <w:t xml:space="preserve"> </w:t>
      </w:r>
      <w:r w:rsidRPr="00F563AE">
        <w:t xml:space="preserve">Torah. LOCKS BLACK LIKE A RAVEN: these are the scholars; they look repulsive and black in this world, but in the time to come, </w:t>
      </w:r>
      <w:r>
        <w:t>‘</w:t>
      </w:r>
      <w:r w:rsidRPr="00F563AE">
        <w:t xml:space="preserve">The appearance of them will be like torches, they [will] run </w:t>
      </w:r>
      <w:proofErr w:type="gramStart"/>
      <w:r w:rsidRPr="00F563AE">
        <w:t xml:space="preserve">to and </w:t>
      </w:r>
      <w:proofErr w:type="spellStart"/>
      <w:r w:rsidRPr="00F563AE">
        <w:t>fro</w:t>
      </w:r>
      <w:proofErr w:type="spellEnd"/>
      <w:proofErr w:type="gramEnd"/>
      <w:r w:rsidRPr="00F563AE">
        <w:t xml:space="preserve"> like the lightnings</w:t>
      </w:r>
      <w:r>
        <w:t>’</w:t>
      </w:r>
      <w:r w:rsidRPr="00F563AE">
        <w:t xml:space="preserve"> (Nah. </w:t>
      </w:r>
      <w:r>
        <w:t>2:</w:t>
      </w:r>
      <w:r w:rsidRPr="00F563AE">
        <w:t>5)</w:t>
      </w:r>
      <w:r>
        <w:t>…</w:t>
      </w:r>
    </w:p>
    <w:p w14:paraId="3AFD82CC" w14:textId="4CDA98F4" w:rsidR="00ED5CFD" w:rsidRDefault="00ED5CFD" w:rsidP="005B2617">
      <w:pPr>
        <w:pStyle w:val="Quote"/>
      </w:pPr>
      <w:r w:rsidRPr="00F563AE">
        <w:t xml:space="preserve">R. Simeon b. </w:t>
      </w:r>
      <w:proofErr w:type="spellStart"/>
      <w:r w:rsidRPr="00F563AE">
        <w:t>Lakish</w:t>
      </w:r>
      <w:proofErr w:type="spellEnd"/>
      <w:r w:rsidRPr="00F563AE">
        <w:t xml:space="preserve"> said: The scroll which God gave to Moses was of white fire and its writing of black fire. It was itself fire and it was hewn out of fire and completely formed of fire and given in fire, as it says, </w:t>
      </w:r>
      <w:r>
        <w:t>‘</w:t>
      </w:r>
      <w:r w:rsidRPr="00F563AE">
        <w:t>At His right hand was a fiery law unto them</w:t>
      </w:r>
      <w:r>
        <w:t>’</w:t>
      </w:r>
      <w:r w:rsidRPr="00F563AE">
        <w:t xml:space="preserve"> (Deut. </w:t>
      </w:r>
      <w:r>
        <w:t>33:</w:t>
      </w:r>
      <w:r w:rsidRPr="00F563AE">
        <w:t>2</w:t>
      </w:r>
      <w:r>
        <w:t>).</w:t>
      </w:r>
      <w:r>
        <w:rPr>
          <w:rStyle w:val="FootnoteReference"/>
        </w:rPr>
        <w:footnoteReference w:id="37"/>
      </w:r>
    </w:p>
    <w:p w14:paraId="2A8F941E" w14:textId="406B56A9" w:rsidR="00ED5CFD" w:rsidRDefault="00ED5CFD" w:rsidP="005B2617">
      <w:pPr>
        <w:rPr>
          <w:lang w:bidi="he-IL"/>
        </w:rPr>
      </w:pPr>
      <w:r>
        <w:t xml:space="preserve">The </w:t>
      </w:r>
      <w:r>
        <w:rPr>
          <w:lang w:bidi="he-IL"/>
        </w:rPr>
        <w:t>midrash interprets the image of the beloved as a description of the Torah. ‘Head’ (</w:t>
      </w:r>
      <w:proofErr w:type="spellStart"/>
      <w:r w:rsidRPr="00303D14">
        <w:rPr>
          <w:i/>
          <w:iCs/>
          <w:lang w:bidi="he-IL"/>
        </w:rPr>
        <w:t>rosh</w:t>
      </w:r>
      <w:proofErr w:type="spellEnd"/>
      <w:r>
        <w:rPr>
          <w:lang w:bidi="he-IL"/>
        </w:rPr>
        <w:t xml:space="preserve">) in the verse is read as </w:t>
      </w:r>
      <w:proofErr w:type="spellStart"/>
      <w:r w:rsidRPr="00E61653">
        <w:rPr>
          <w:i/>
          <w:iCs/>
          <w:lang w:bidi="he-IL"/>
        </w:rPr>
        <w:t>reishit</w:t>
      </w:r>
      <w:proofErr w:type="spellEnd"/>
      <w:r>
        <w:rPr>
          <w:i/>
          <w:iCs/>
          <w:lang w:bidi="he-IL"/>
        </w:rPr>
        <w:t xml:space="preserve"> </w:t>
      </w:r>
      <w:r>
        <w:rPr>
          <w:lang w:bidi="he-IL"/>
        </w:rPr>
        <w:t xml:space="preserve">(first, beginning), identifying the Torah as God’s plaything that existed before Creation. </w:t>
      </w:r>
      <w:r>
        <w:rPr>
          <w:lang w:bidi="he-IL"/>
        </w:rPr>
        <w:lastRenderedPageBreak/>
        <w:t>‘Most find gold’</w:t>
      </w:r>
      <w:commentRangeStart w:id="18"/>
      <w:r>
        <w:rPr>
          <w:lang w:bidi="he-IL"/>
        </w:rPr>
        <w:t xml:space="preserve"> </w:t>
      </w:r>
      <w:commentRangeEnd w:id="18"/>
      <w:r>
        <w:rPr>
          <w:rStyle w:val="CommentReference"/>
        </w:rPr>
        <w:commentReference w:id="18"/>
      </w:r>
      <w:r>
        <w:rPr>
          <w:lang w:bidi="he-IL"/>
        </w:rPr>
        <w:t xml:space="preserve">represents the value of the Torah. The beloved’s black locks represent the black letters of the Torah written on parchment. They are ‘curled’ to represent how that parchment is </w:t>
      </w:r>
      <w:commentRangeStart w:id="19"/>
      <w:commentRangeStart w:id="20"/>
      <w:r>
        <w:rPr>
          <w:lang w:bidi="he-IL"/>
        </w:rPr>
        <w:t xml:space="preserve">pricked </w:t>
      </w:r>
      <w:commentRangeEnd w:id="19"/>
      <w:commentRangeEnd w:id="20"/>
      <w:r>
        <w:rPr>
          <w:rStyle w:val="CommentReference"/>
          <w:rtl/>
        </w:rPr>
        <w:commentReference w:id="19"/>
      </w:r>
      <w:r>
        <w:rPr>
          <w:rStyle w:val="CommentReference"/>
        </w:rPr>
        <w:commentReference w:id="20"/>
      </w:r>
      <w:r>
        <w:rPr>
          <w:lang w:bidi="he-IL"/>
        </w:rPr>
        <w:t xml:space="preserve">or ruled with straight lines, known </w:t>
      </w:r>
      <w:commentRangeStart w:id="21"/>
      <w:r>
        <w:rPr>
          <w:lang w:bidi="he-IL"/>
        </w:rPr>
        <w:t xml:space="preserve">as </w:t>
      </w:r>
      <w:proofErr w:type="spellStart"/>
      <w:r w:rsidRPr="001D18A0">
        <w:rPr>
          <w:i/>
          <w:iCs/>
          <w:lang w:bidi="he-IL"/>
        </w:rPr>
        <w:t>sirgul</w:t>
      </w:r>
      <w:proofErr w:type="spellEnd"/>
      <w:r>
        <w:rPr>
          <w:lang w:bidi="he-IL"/>
        </w:rPr>
        <w:t>.</w:t>
      </w:r>
      <w:r>
        <w:rPr>
          <w:rStyle w:val="FootnoteReference"/>
          <w:lang w:bidi="he-IL"/>
        </w:rPr>
        <w:footnoteReference w:id="38"/>
      </w:r>
      <w:commentRangeEnd w:id="21"/>
      <w:r>
        <w:rPr>
          <w:rStyle w:val="CommentReference"/>
        </w:rPr>
        <w:commentReference w:id="21"/>
      </w:r>
    </w:p>
    <w:p w14:paraId="61320BBA" w14:textId="77777777" w:rsidR="00ED5CFD" w:rsidRDefault="00ED5CFD" w:rsidP="005B2617">
      <w:pPr>
        <w:rPr>
          <w:lang w:bidi="he-IL"/>
        </w:rPr>
      </w:pPr>
      <w:r>
        <w:rPr>
          <w:lang w:bidi="he-IL"/>
        </w:rPr>
        <w:t xml:space="preserve">The midrash then presents a different allegory, in which the descriptions of the beloved represent Torah scholars. The contrasting colors of gold and black symbolize the practice of studying </w:t>
      </w:r>
      <w:r>
        <w:rPr>
          <w:lang w:bidi="he-IL"/>
        </w:rPr>
        <w:t xml:space="preserve">during </w:t>
      </w:r>
      <w:r>
        <w:rPr>
          <w:lang w:bidi="he-IL"/>
        </w:rPr>
        <w:t xml:space="preserve">both the day and the night. Using the same allegory, Rav Yehuda suggests a different reading with the black representing the state of Torah scholars in their impoverished present and the gold the reward they will receive in the future when they </w:t>
      </w:r>
      <w:proofErr w:type="gramStart"/>
      <w:r>
        <w:rPr>
          <w:lang w:bidi="he-IL"/>
        </w:rPr>
        <w:t>will shine</w:t>
      </w:r>
      <w:proofErr w:type="gramEnd"/>
      <w:r>
        <w:rPr>
          <w:lang w:bidi="he-IL"/>
        </w:rPr>
        <w:t xml:space="preserve"> like burning torches.</w:t>
      </w:r>
    </w:p>
    <w:p w14:paraId="57F8CDB0" w14:textId="70E85C78" w:rsidR="00ED5CFD" w:rsidRDefault="00ED5CFD" w:rsidP="005B2617">
      <w:pPr>
        <w:rPr>
          <w:lang w:bidi="he-IL"/>
        </w:rPr>
      </w:pPr>
      <w:r>
        <w:rPr>
          <w:lang w:bidi="he-IL"/>
        </w:rPr>
        <w:t xml:space="preserve">This midrash is a good example of the change in the way </w:t>
      </w:r>
      <w:r w:rsidRPr="0050593D">
        <w:rPr>
          <w:i/>
          <w:iCs/>
          <w:lang w:bidi="he-IL"/>
        </w:rPr>
        <w:t>Song of Songs</w:t>
      </w:r>
      <w:r>
        <w:rPr>
          <w:lang w:bidi="he-IL"/>
        </w:rPr>
        <w:t xml:space="preserve"> was interpreted between the </w:t>
      </w:r>
      <w:proofErr w:type="spellStart"/>
      <w:r>
        <w:rPr>
          <w:lang w:bidi="he-IL"/>
        </w:rPr>
        <w:t>Tannaic</w:t>
      </w:r>
      <w:proofErr w:type="spellEnd"/>
      <w:r>
        <w:rPr>
          <w:lang w:bidi="he-IL"/>
        </w:rPr>
        <w:t xml:space="preserve"> and Amoraic periods. Both use allegory but in Amoraic midrash, the allegory is not a representation of God Himself but of the Torah or the scholars who study it.</w:t>
      </w:r>
    </w:p>
    <w:p w14:paraId="7EF7C116" w14:textId="77777777" w:rsidR="00ED5CFD" w:rsidRDefault="00ED5CFD" w:rsidP="005B2617">
      <w:pPr>
        <w:rPr>
          <w:lang w:bidi="he-IL"/>
        </w:rPr>
      </w:pPr>
      <w:r>
        <w:rPr>
          <w:lang w:bidi="he-IL"/>
        </w:rPr>
        <w:t xml:space="preserve">Stern argues that this shift was deliberate. The later Sages consciously changed the corporeal descriptions of God into descriptions of the Torah and Torah scholars to discourage engagement with the calculation of divine dimensions. In this way, they tried to prevent the public from engaging with the esoteric meaning of </w:t>
      </w:r>
      <w:r w:rsidRPr="0050593D">
        <w:rPr>
          <w:i/>
          <w:iCs/>
          <w:lang w:bidi="he-IL"/>
        </w:rPr>
        <w:t>Song of Songs</w:t>
      </w:r>
      <w:r>
        <w:rPr>
          <w:lang w:bidi="he-IL"/>
        </w:rPr>
        <w:t xml:space="preserve">. Stern suggests that some continued to engage in esoteric </w:t>
      </w:r>
      <w:proofErr w:type="gramStart"/>
      <w:r>
        <w:rPr>
          <w:lang w:bidi="he-IL"/>
        </w:rPr>
        <w:t>matters</w:t>
      </w:r>
      <w:proofErr w:type="gramEnd"/>
      <w:r>
        <w:rPr>
          <w:lang w:bidi="he-IL"/>
        </w:rPr>
        <w:t xml:space="preserve"> but it was limited to an elite group.</w:t>
      </w:r>
      <w:r>
        <w:rPr>
          <w:rStyle w:val="FootnoteReference"/>
          <w:lang w:bidi="he-IL"/>
        </w:rPr>
        <w:footnoteReference w:id="39"/>
      </w:r>
    </w:p>
    <w:p w14:paraId="01B75545" w14:textId="1D3067F3" w:rsidR="00ED5CFD" w:rsidRDefault="00ED5CFD" w:rsidP="005B2617">
      <w:pPr>
        <w:rPr>
          <w:lang w:bidi="he-IL"/>
        </w:rPr>
      </w:pPr>
      <w:commentRangeStart w:id="22"/>
      <w:r>
        <w:rPr>
          <w:lang w:bidi="he-IL"/>
        </w:rPr>
        <w:lastRenderedPageBreak/>
        <w:t xml:space="preserve">It should be noted that the perspective reflected in these homilies does not appear to be anti-esoteric. The Torah becomes a physical representation of God and thus a medium by which anyone can contact the transcendent. Torah study is not limited </w:t>
      </w:r>
      <w:commentRangeEnd w:id="22"/>
      <w:r>
        <w:rPr>
          <w:rStyle w:val="CommentReference"/>
        </w:rPr>
        <w:commentReference w:id="22"/>
      </w:r>
      <w:r>
        <w:rPr>
          <w:lang w:bidi="he-IL"/>
        </w:rPr>
        <w:t>to a small, select group but is accessible to all.</w:t>
      </w:r>
    </w:p>
    <w:p w14:paraId="714ED74F" w14:textId="65108E98" w:rsidR="00ED5CFD" w:rsidRDefault="00ED5CFD" w:rsidP="005B2617">
      <w:pPr>
        <w:rPr>
          <w:lang w:bidi="he-IL"/>
        </w:rPr>
      </w:pPr>
      <w:r>
        <w:rPr>
          <w:lang w:bidi="he-IL"/>
        </w:rPr>
        <w:t>The second homily goes further, with the Torah scholars representing the Torah and hence representing God Himself. The verse ‘</w:t>
      </w:r>
      <w:r w:rsidRPr="00F563AE">
        <w:t xml:space="preserve">The appearance of them will be like torches, they [will] run </w:t>
      </w:r>
      <w:proofErr w:type="gramStart"/>
      <w:r w:rsidRPr="00F563AE">
        <w:t xml:space="preserve">to and </w:t>
      </w:r>
      <w:proofErr w:type="spellStart"/>
      <w:r w:rsidRPr="00F563AE">
        <w:t>fro</w:t>
      </w:r>
      <w:proofErr w:type="spellEnd"/>
      <w:proofErr w:type="gramEnd"/>
      <w:r w:rsidRPr="00F563AE">
        <w:t xml:space="preserve"> like the lightnings</w:t>
      </w:r>
      <w:r>
        <w:rPr>
          <w:lang w:bidi="he-IL"/>
        </w:rPr>
        <w:t xml:space="preserve">’ (Nah 2:5) recalls descriptions of angels in the </w:t>
      </w:r>
      <w:proofErr w:type="spellStart"/>
      <w:r w:rsidRPr="00AE31E8">
        <w:rPr>
          <w:i/>
          <w:iCs/>
          <w:lang w:bidi="he-IL"/>
        </w:rPr>
        <w:t>Heikhalot</w:t>
      </w:r>
      <w:proofErr w:type="spellEnd"/>
      <w:r>
        <w:rPr>
          <w:lang w:bidi="he-IL"/>
        </w:rPr>
        <w:t xml:space="preserve"> literature. In </w:t>
      </w:r>
      <w:r w:rsidRPr="0050593D">
        <w:rPr>
          <w:i/>
          <w:iCs/>
          <w:lang w:bidi="he-IL"/>
        </w:rPr>
        <w:t>Song of Songs</w:t>
      </w:r>
      <w:r>
        <w:rPr>
          <w:lang w:bidi="he-IL"/>
        </w:rPr>
        <w:t xml:space="preserve"> </w:t>
      </w:r>
      <w:r w:rsidRPr="00AE31E8">
        <w:rPr>
          <w:i/>
          <w:iCs/>
          <w:lang w:bidi="he-IL"/>
        </w:rPr>
        <w:t>Rabba</w:t>
      </w:r>
      <w:r>
        <w:rPr>
          <w:lang w:bidi="he-IL"/>
        </w:rPr>
        <w:t>, the Torah scholars will look like angels in the eschatological future.</w:t>
      </w:r>
    </w:p>
    <w:p w14:paraId="78A6E816" w14:textId="5ADCAE76" w:rsidR="00ED5CFD" w:rsidRDefault="00ED5CFD" w:rsidP="005B2617">
      <w:pPr>
        <w:rPr>
          <w:lang w:bidi="he-IL"/>
        </w:rPr>
      </w:pPr>
      <w:commentRangeStart w:id="23"/>
      <w:r>
        <w:rPr>
          <w:lang w:bidi="he-IL"/>
        </w:rPr>
        <w:t xml:space="preserve">Another thing worth noting is that the allegorical descriptions in the midrash appear between two statements of </w:t>
      </w:r>
      <w:proofErr w:type="spellStart"/>
      <w:r>
        <w:rPr>
          <w:lang w:bidi="he-IL"/>
        </w:rPr>
        <w:t>Reish</w:t>
      </w:r>
      <w:proofErr w:type="spellEnd"/>
      <w:r>
        <w:rPr>
          <w:lang w:bidi="he-IL"/>
        </w:rPr>
        <w:t xml:space="preserve"> </w:t>
      </w:r>
      <w:proofErr w:type="spellStart"/>
      <w:r>
        <w:rPr>
          <w:lang w:bidi="he-IL"/>
        </w:rPr>
        <w:t>Laqish</w:t>
      </w:r>
      <w:proofErr w:type="spellEnd"/>
      <w:r>
        <w:rPr>
          <w:lang w:bidi="he-IL"/>
        </w:rPr>
        <w:t xml:space="preserve"> about the Torah. </w:t>
      </w:r>
      <w:commentRangeEnd w:id="23"/>
      <w:r>
        <w:rPr>
          <w:rStyle w:val="CommentReference"/>
        </w:rPr>
        <w:commentReference w:id="23"/>
      </w:r>
      <w:r>
        <w:rPr>
          <w:lang w:bidi="he-IL"/>
        </w:rPr>
        <w:t xml:space="preserve">The passage begins with </w:t>
      </w:r>
      <w:proofErr w:type="spellStart"/>
      <w:r>
        <w:rPr>
          <w:lang w:bidi="he-IL"/>
        </w:rPr>
        <w:t>Reish</w:t>
      </w:r>
      <w:proofErr w:type="spellEnd"/>
      <w:r>
        <w:rPr>
          <w:lang w:bidi="he-IL"/>
        </w:rPr>
        <w:t xml:space="preserve"> </w:t>
      </w:r>
      <w:proofErr w:type="spellStart"/>
      <w:r>
        <w:rPr>
          <w:lang w:bidi="he-IL"/>
        </w:rPr>
        <w:t>Laqish’s</w:t>
      </w:r>
      <w:proofErr w:type="spellEnd"/>
      <w:r>
        <w:rPr>
          <w:lang w:bidi="he-IL"/>
        </w:rPr>
        <w:t xml:space="preserve"> mythic description of the Torah as a spiritual entity that existed before </w:t>
      </w:r>
      <w:r w:rsidR="00E320C2">
        <w:rPr>
          <w:lang w:bidi="he-IL"/>
        </w:rPr>
        <w:t>C</w:t>
      </w:r>
      <w:r>
        <w:rPr>
          <w:lang w:bidi="he-IL"/>
        </w:rPr>
        <w:t xml:space="preserve">reation and served as God’s plaything. It concludes with his depiction of a Torah scroll as black fire written on white fire, like the Torah given at Sinai that was made of fire. </w:t>
      </w:r>
      <w:proofErr w:type="spellStart"/>
      <w:r>
        <w:rPr>
          <w:lang w:bidi="he-IL"/>
        </w:rPr>
        <w:t>Reish</w:t>
      </w:r>
      <w:proofErr w:type="spellEnd"/>
      <w:r>
        <w:rPr>
          <w:lang w:bidi="he-IL"/>
        </w:rPr>
        <w:t xml:space="preserve"> </w:t>
      </w:r>
      <w:proofErr w:type="spellStart"/>
      <w:r>
        <w:rPr>
          <w:lang w:bidi="he-IL"/>
        </w:rPr>
        <w:t>Laquish’s</w:t>
      </w:r>
      <w:proofErr w:type="spellEnd"/>
      <w:r>
        <w:rPr>
          <w:lang w:bidi="he-IL"/>
        </w:rPr>
        <w:t xml:space="preserve"> depictions of the Torah have mystical overtones, only about the Torah rather than God.</w:t>
      </w:r>
    </w:p>
    <w:p w14:paraId="3622849C" w14:textId="77777777" w:rsidR="00ED5CFD" w:rsidRDefault="00ED5CFD" w:rsidP="005B2617">
      <w:pPr>
        <w:rPr>
          <w:lang w:bidi="he-IL"/>
        </w:rPr>
      </w:pPr>
      <w:r>
        <w:rPr>
          <w:lang w:bidi="he-IL"/>
        </w:rPr>
        <w:t>Shraga Bar-On has argued that the claim that the Torah is made of fire is equivalent to saying that it is derived from the divine body that is itself made of fire; God and the Torah are one. The study of Torah is thus the study of God and replaces direct experience of the divine. Mysticism, within this conception, is less about direct contact with God and His angels; the Torah becomes the medium by which its scholars have mystical experiences and contact with the transcendent.</w:t>
      </w:r>
      <w:r>
        <w:rPr>
          <w:rStyle w:val="FootnoteReference"/>
          <w:lang w:bidi="he-IL"/>
        </w:rPr>
        <w:footnoteReference w:id="40"/>
      </w:r>
    </w:p>
    <w:p w14:paraId="65462ECF" w14:textId="77777777" w:rsidR="00ED5CFD" w:rsidRDefault="00ED5CFD" w:rsidP="005B2617">
      <w:pPr>
        <w:pStyle w:val="Heading2"/>
        <w:rPr>
          <w:lang w:bidi="he-IL"/>
        </w:rPr>
      </w:pPr>
      <w:r w:rsidRPr="00237E96">
        <w:rPr>
          <w:lang w:bidi="he-IL"/>
        </w:rPr>
        <w:t xml:space="preserve">His left hand is under my </w:t>
      </w:r>
      <w:r>
        <w:rPr>
          <w:lang w:bidi="he-IL"/>
        </w:rPr>
        <w:t>head</w:t>
      </w:r>
      <w:r w:rsidRPr="00237E96">
        <w:rPr>
          <w:lang w:bidi="he-IL"/>
        </w:rPr>
        <w:t>, and his right hand embrace</w:t>
      </w:r>
      <w:r>
        <w:rPr>
          <w:lang w:bidi="he-IL"/>
        </w:rPr>
        <w:t>s</w:t>
      </w:r>
      <w:r w:rsidRPr="00237E96">
        <w:rPr>
          <w:lang w:bidi="he-IL"/>
        </w:rPr>
        <w:t xml:space="preserve"> me</w:t>
      </w:r>
      <w:r>
        <w:rPr>
          <w:lang w:bidi="he-IL"/>
        </w:rPr>
        <w:t xml:space="preserve"> (Song 2:6)</w:t>
      </w:r>
    </w:p>
    <w:p w14:paraId="507EA8BE" w14:textId="473B5BB3" w:rsidR="00ED5CFD" w:rsidRDefault="00ED5CFD" w:rsidP="005B2617">
      <w:pPr>
        <w:rPr>
          <w:lang w:bidi="he-IL"/>
        </w:rPr>
      </w:pPr>
      <w:r>
        <w:rPr>
          <w:lang w:bidi="he-IL"/>
        </w:rPr>
        <w:t xml:space="preserve">In </w:t>
      </w:r>
      <w:r w:rsidRPr="0050593D">
        <w:rPr>
          <w:i/>
          <w:iCs/>
          <w:lang w:bidi="he-IL"/>
        </w:rPr>
        <w:t>Song of Songs</w:t>
      </w:r>
      <w:r>
        <w:rPr>
          <w:lang w:bidi="he-IL"/>
        </w:rPr>
        <w:t xml:space="preserve"> 2:4-6 the young woman describes an intimate moment she had with her beloved:</w:t>
      </w:r>
    </w:p>
    <w:p w14:paraId="261C704B" w14:textId="77777777" w:rsidR="00ED5CFD" w:rsidRDefault="00ED5CFD" w:rsidP="005B2617">
      <w:pPr>
        <w:pStyle w:val="Quote"/>
        <w:rPr>
          <w:lang w:bidi="he-IL"/>
        </w:rPr>
      </w:pPr>
      <w:r>
        <w:rPr>
          <w:lang w:bidi="he-IL"/>
        </w:rPr>
        <w:lastRenderedPageBreak/>
        <w:t xml:space="preserve">He brought me to the banqueting house, and his intention toward me was love. Sustain me with raisins, refresh me with apples, for I am faint with love. O that his left hand </w:t>
      </w:r>
      <w:proofErr w:type="gramStart"/>
      <w:r>
        <w:rPr>
          <w:lang w:bidi="he-IL"/>
        </w:rPr>
        <w:t>were</w:t>
      </w:r>
      <w:proofErr w:type="gramEnd"/>
      <w:r>
        <w:rPr>
          <w:lang w:bidi="he-IL"/>
        </w:rPr>
        <w:t xml:space="preserve"> under my head and that his right hand embraced me!</w:t>
      </w:r>
    </w:p>
    <w:p w14:paraId="2C0CBCF9" w14:textId="4B39ACE1" w:rsidR="00ED5CFD" w:rsidRDefault="00ED5CFD" w:rsidP="005B2617">
      <w:pPr>
        <w:rPr>
          <w:lang w:bidi="he-IL"/>
        </w:rPr>
      </w:pPr>
      <w:r>
        <w:rPr>
          <w:lang w:bidi="he-IL"/>
        </w:rPr>
        <w:t>The last verse expresses the fulfillment of the young woman’s desire, with her and her beloved embracing one another. The beloved is represented as physically embracing her in his arms.</w:t>
      </w:r>
    </w:p>
    <w:p w14:paraId="7FBA5A1F" w14:textId="7EAA1F2F" w:rsidR="00ED5CFD" w:rsidRDefault="00ED5CFD" w:rsidP="005B2617">
      <w:pPr>
        <w:rPr>
          <w:lang w:bidi="he-IL"/>
        </w:rPr>
      </w:pPr>
      <w:proofErr w:type="spellStart"/>
      <w:r w:rsidRPr="009A4E5A">
        <w:rPr>
          <w:i/>
          <w:iCs/>
          <w:lang w:bidi="he-IL"/>
        </w:rPr>
        <w:t>Mekhilta</w:t>
      </w:r>
      <w:proofErr w:type="spellEnd"/>
      <w:r w:rsidRPr="009A4E5A">
        <w:rPr>
          <w:i/>
          <w:iCs/>
          <w:lang w:bidi="he-IL"/>
        </w:rPr>
        <w:t xml:space="preserve"> de-Rabbi </w:t>
      </w:r>
      <w:proofErr w:type="spellStart"/>
      <w:r w:rsidRPr="009A4E5A">
        <w:rPr>
          <w:i/>
          <w:iCs/>
          <w:lang w:bidi="he-IL"/>
        </w:rPr>
        <w:t>Yishmael</w:t>
      </w:r>
      <w:proofErr w:type="spellEnd"/>
      <w:r>
        <w:rPr>
          <w:lang w:bidi="he-IL"/>
        </w:rPr>
        <w:t xml:space="preserve">, a </w:t>
      </w:r>
      <w:proofErr w:type="spellStart"/>
      <w:r>
        <w:rPr>
          <w:lang w:bidi="he-IL"/>
        </w:rPr>
        <w:t>Tannaic</w:t>
      </w:r>
      <w:proofErr w:type="spellEnd"/>
      <w:r>
        <w:rPr>
          <w:lang w:bidi="he-IL"/>
        </w:rPr>
        <w:t xml:space="preserve"> midrash to Exodus that was redacted in the third century CE, interprets this verse in the context of the revelation at Sinai:</w:t>
      </w:r>
    </w:p>
    <w:p w14:paraId="2B2043E9" w14:textId="77777777" w:rsidR="00ED5CFD" w:rsidRDefault="00ED5CFD" w:rsidP="005B2617">
      <w:pPr>
        <w:pStyle w:val="Quote"/>
        <w:rPr>
          <w:lang w:bidi="he-IL"/>
        </w:rPr>
      </w:pPr>
      <w:r>
        <w:rPr>
          <w:lang w:bidi="he-IL"/>
        </w:rPr>
        <w:t xml:space="preserve">‘And when the people saw it they trembled.’ ‘Trembling’ everywhere means only reeling </w:t>
      </w:r>
      <w:proofErr w:type="gramStart"/>
      <w:r>
        <w:rPr>
          <w:lang w:bidi="he-IL"/>
        </w:rPr>
        <w:t xml:space="preserve">to and </w:t>
      </w:r>
      <w:proofErr w:type="spellStart"/>
      <w:r>
        <w:rPr>
          <w:lang w:bidi="he-IL"/>
        </w:rPr>
        <w:t>fro</w:t>
      </w:r>
      <w:proofErr w:type="spellEnd"/>
      <w:proofErr w:type="gramEnd"/>
      <w:r>
        <w:rPr>
          <w:lang w:bidi="he-IL"/>
        </w:rPr>
        <w:t xml:space="preserve">, as it is said: ‘The earth </w:t>
      </w:r>
      <w:proofErr w:type="spellStart"/>
      <w:r>
        <w:rPr>
          <w:lang w:bidi="he-IL"/>
        </w:rPr>
        <w:t>reeleth</w:t>
      </w:r>
      <w:proofErr w:type="spellEnd"/>
      <w:r>
        <w:rPr>
          <w:lang w:bidi="he-IL"/>
        </w:rPr>
        <w:t xml:space="preserve"> to and </w:t>
      </w:r>
      <w:proofErr w:type="spellStart"/>
      <w:r>
        <w:rPr>
          <w:lang w:bidi="he-IL"/>
        </w:rPr>
        <w:t>fro</w:t>
      </w:r>
      <w:proofErr w:type="spellEnd"/>
      <w:r>
        <w:rPr>
          <w:lang w:bidi="he-IL"/>
        </w:rPr>
        <w:t>…’ (Isa 24:20).</w:t>
      </w:r>
    </w:p>
    <w:p w14:paraId="0FDA03CF" w14:textId="77777777" w:rsidR="00ED5CFD" w:rsidRDefault="00ED5CFD" w:rsidP="005B2617">
      <w:pPr>
        <w:pStyle w:val="Quote"/>
        <w:rPr>
          <w:lang w:bidi="he-IL"/>
        </w:rPr>
      </w:pPr>
      <w:r>
        <w:rPr>
          <w:lang w:bidi="he-IL"/>
        </w:rPr>
        <w:t xml:space="preserve">‘And stood afar off.’ Beyond twelve miles. This tells that the Israelites were startled and moved backward twelve miles and then again, returning, moved forward twelve miles – twenty-four miles at each commandment, thus covering two hundred and forty miles on that day. Then God said to the ministering angles: Go down and assist your brothers, as it is said: ‘The angels of </w:t>
      </w:r>
      <w:proofErr w:type="spellStart"/>
      <w:r>
        <w:rPr>
          <w:lang w:bidi="he-IL"/>
        </w:rPr>
        <w:t>Zebaot</w:t>
      </w:r>
      <w:proofErr w:type="spellEnd"/>
      <w:r>
        <w:rPr>
          <w:lang w:bidi="he-IL"/>
        </w:rPr>
        <w:t xml:space="preserve"> lead, they lead’ (Ps 68:13) – they lead them when going, they lead them when returning. And not only the ministering angles assisted Israel, but the Holy One, blessed be He, Himself also, as it is said ‘His left hand is under my head and His right hand embraces me’ (Song 2:6).</w:t>
      </w:r>
      <w:r>
        <w:rPr>
          <w:rStyle w:val="FootnoteReference"/>
          <w:lang w:bidi="he-IL"/>
        </w:rPr>
        <w:footnoteReference w:id="41"/>
      </w:r>
    </w:p>
    <w:p w14:paraId="39D0DE96" w14:textId="5F7B3A0B" w:rsidR="00ED5CFD" w:rsidRDefault="00ED5CFD" w:rsidP="005B2617">
      <w:pPr>
        <w:rPr>
          <w:lang w:bidi="he-IL"/>
        </w:rPr>
      </w:pPr>
      <w:r>
        <w:rPr>
          <w:lang w:bidi="he-IL"/>
        </w:rPr>
        <w:t xml:space="preserve">The midrash addresses Israel’s ambivalence at Sinai, their attraction and hesitation at the prospect of God’s revelation and hearing His voice. The author of the midrash derives from the word </w:t>
      </w:r>
      <w:proofErr w:type="spellStart"/>
      <w:r w:rsidRPr="007E761A">
        <w:rPr>
          <w:i/>
          <w:iCs/>
          <w:lang w:bidi="he-IL"/>
        </w:rPr>
        <w:t>va-yanu‘u</w:t>
      </w:r>
      <w:proofErr w:type="spellEnd"/>
      <w:r>
        <w:rPr>
          <w:i/>
          <w:iCs/>
          <w:lang w:bidi="he-IL"/>
        </w:rPr>
        <w:t xml:space="preserve">, </w:t>
      </w:r>
      <w:r>
        <w:rPr>
          <w:lang w:bidi="he-IL"/>
        </w:rPr>
        <w:t xml:space="preserve">‘and stood afar,’ that the children of Israel moved back and forth at every divine utterance. This idea is highlighted by adding the calculation of the total distance they traveled that day. God responds by </w:t>
      </w:r>
      <w:r>
        <w:rPr>
          <w:lang w:bidi="he-IL"/>
        </w:rPr>
        <w:lastRenderedPageBreak/>
        <w:t>sending His angels, telling them ‘Go down and assist your brothers,’ referring to Israel as the brothers of the angels. Ultimately, God did not rely only on the angels and engaged with Israel Himself,</w:t>
      </w:r>
      <w:r>
        <w:rPr>
          <w:rStyle w:val="FootnoteReference"/>
          <w:lang w:bidi="he-IL"/>
        </w:rPr>
        <w:footnoteReference w:id="42"/>
      </w:r>
      <w:r>
        <w:rPr>
          <w:lang w:bidi="he-IL"/>
        </w:rPr>
        <w:t xml:space="preserve"> quoting </w:t>
      </w:r>
      <w:r w:rsidRPr="0050593D">
        <w:rPr>
          <w:i/>
          <w:iCs/>
          <w:lang w:bidi="he-IL"/>
        </w:rPr>
        <w:t>Song of Songs</w:t>
      </w:r>
      <w:r>
        <w:rPr>
          <w:lang w:bidi="he-IL"/>
        </w:rPr>
        <w:t>: ‘His left hand is under my head and His right hand embraces me’ (Song 2:6). The physical description is of the beloved who embraces Israel at Sinai, at the giving of the Torah, to express intimacy and love. Sinai is a high point of the relationship, in which the two sides make a covenant binding both.</w:t>
      </w:r>
      <w:r>
        <w:rPr>
          <w:rStyle w:val="FootnoteReference"/>
          <w:lang w:bidi="he-IL"/>
        </w:rPr>
        <w:footnoteReference w:id="43"/>
      </w:r>
      <w:r>
        <w:rPr>
          <w:lang w:bidi="he-IL"/>
        </w:rPr>
        <w:t xml:space="preserve"> The verses from </w:t>
      </w:r>
      <w:r w:rsidRPr="0050593D">
        <w:rPr>
          <w:i/>
          <w:iCs/>
          <w:lang w:bidi="he-IL"/>
        </w:rPr>
        <w:t>Song of Songs</w:t>
      </w:r>
      <w:r>
        <w:rPr>
          <w:lang w:bidi="he-IL"/>
        </w:rPr>
        <w:t xml:space="preserve"> are cited to represent this moment as physical intimacy between two lovers.</w:t>
      </w:r>
    </w:p>
    <w:p w14:paraId="1CF7F7C9" w14:textId="77777777" w:rsidR="00ED5CFD" w:rsidRDefault="00ED5CFD" w:rsidP="005B2617">
      <w:pPr>
        <w:rPr>
          <w:lang w:bidi="he-IL"/>
        </w:rPr>
      </w:pPr>
      <w:r>
        <w:rPr>
          <w:lang w:bidi="he-IL"/>
        </w:rPr>
        <w:t xml:space="preserve">Let us compare </w:t>
      </w:r>
      <w:proofErr w:type="spellStart"/>
      <w:r w:rsidRPr="007030E8">
        <w:rPr>
          <w:i/>
          <w:iCs/>
          <w:lang w:bidi="he-IL"/>
        </w:rPr>
        <w:t>Mekhilta</w:t>
      </w:r>
      <w:proofErr w:type="spellEnd"/>
      <w:r w:rsidRPr="007030E8">
        <w:rPr>
          <w:i/>
          <w:iCs/>
          <w:lang w:bidi="he-IL"/>
        </w:rPr>
        <w:t xml:space="preserve"> de-Rabbi </w:t>
      </w:r>
      <w:proofErr w:type="spellStart"/>
      <w:r w:rsidRPr="007030E8">
        <w:rPr>
          <w:i/>
          <w:iCs/>
          <w:lang w:bidi="he-IL"/>
        </w:rPr>
        <w:t>Yishmael</w:t>
      </w:r>
      <w:r>
        <w:rPr>
          <w:lang w:bidi="he-IL"/>
        </w:rPr>
        <w:t>’s</w:t>
      </w:r>
      <w:proofErr w:type="spellEnd"/>
      <w:r>
        <w:rPr>
          <w:lang w:bidi="he-IL"/>
        </w:rPr>
        <w:t xml:space="preserve"> allegorical reading with the reading of the same verses according to </w:t>
      </w:r>
      <w:r w:rsidRPr="0050593D">
        <w:rPr>
          <w:i/>
          <w:iCs/>
          <w:lang w:bidi="he-IL"/>
        </w:rPr>
        <w:t>Song of Songs</w:t>
      </w:r>
      <w:r>
        <w:rPr>
          <w:lang w:bidi="he-IL"/>
        </w:rPr>
        <w:t xml:space="preserve"> </w:t>
      </w:r>
      <w:r w:rsidRPr="00AE31E8">
        <w:rPr>
          <w:i/>
          <w:iCs/>
          <w:lang w:bidi="he-IL"/>
        </w:rPr>
        <w:t>Rabba</w:t>
      </w:r>
      <w:r>
        <w:rPr>
          <w:lang w:bidi="he-IL"/>
        </w:rPr>
        <w:t>:</w:t>
      </w:r>
    </w:p>
    <w:p w14:paraId="6FE9A4F2" w14:textId="156EAE76" w:rsidR="00ED5CFD" w:rsidRDefault="00ED5CFD" w:rsidP="005B2617">
      <w:pPr>
        <w:pStyle w:val="Quote"/>
        <w:rPr>
          <w:lang w:bidi="he-IL"/>
        </w:rPr>
      </w:pPr>
      <w:r>
        <w:rPr>
          <w:lang w:bidi="he-IL"/>
        </w:rPr>
        <w:t>LET HIS LEFT HAND BE UNDER MY HEAD: this refers to the first tablets. AND HIS RIGHT HAND EMBRACE ME: this refers to the second tablets.</w:t>
      </w:r>
    </w:p>
    <w:p w14:paraId="7169CA54" w14:textId="77777777" w:rsidR="00ED5CFD" w:rsidRDefault="00ED5CFD" w:rsidP="005B2617">
      <w:pPr>
        <w:pStyle w:val="Quote"/>
        <w:rPr>
          <w:lang w:bidi="he-IL"/>
        </w:rPr>
      </w:pPr>
      <w:r>
        <w:rPr>
          <w:lang w:bidi="he-IL"/>
        </w:rPr>
        <w:t>Another explanation: LET HIS LEFT HAND BE UNDER MY HEAD: this refers to the fringes. AND HIS RIGHT HAND EMBRACE ME: this refers to the phylacteries.</w:t>
      </w:r>
    </w:p>
    <w:p w14:paraId="0283E072" w14:textId="77777777" w:rsidR="00ED5CFD" w:rsidRDefault="00ED5CFD" w:rsidP="005B2617">
      <w:pPr>
        <w:pStyle w:val="Quote"/>
        <w:rPr>
          <w:lang w:bidi="he-IL"/>
        </w:rPr>
      </w:pPr>
      <w:r>
        <w:rPr>
          <w:lang w:bidi="he-IL"/>
        </w:rPr>
        <w:t xml:space="preserve">Another explanation: LET HIS LEFT HAND BE UNDER MY HEAD: this refers to the recital of the </w:t>
      </w:r>
      <w:proofErr w:type="spellStart"/>
      <w:r>
        <w:rPr>
          <w:lang w:bidi="he-IL"/>
        </w:rPr>
        <w:t>shema</w:t>
      </w:r>
      <w:proofErr w:type="spellEnd"/>
      <w:r>
        <w:rPr>
          <w:lang w:bidi="he-IL"/>
        </w:rPr>
        <w:t xml:space="preserve">. AND HIS RIGHT HAND EMBRACE ME: this refers to the </w:t>
      </w:r>
      <w:commentRangeStart w:id="24"/>
      <w:r>
        <w:rPr>
          <w:lang w:bidi="he-IL"/>
        </w:rPr>
        <w:t>[</w:t>
      </w:r>
      <w:proofErr w:type="spellStart"/>
      <w:r>
        <w:rPr>
          <w:lang w:bidi="he-IL"/>
        </w:rPr>
        <w:t>amida</w:t>
      </w:r>
      <w:proofErr w:type="spellEnd"/>
      <w:r>
        <w:rPr>
          <w:lang w:bidi="he-IL"/>
        </w:rPr>
        <w:t xml:space="preserve">] </w:t>
      </w:r>
      <w:commentRangeEnd w:id="24"/>
      <w:r>
        <w:rPr>
          <w:rStyle w:val="CommentReference"/>
        </w:rPr>
        <w:commentReference w:id="24"/>
      </w:r>
      <w:r>
        <w:rPr>
          <w:lang w:bidi="he-IL"/>
        </w:rPr>
        <w:t>prayer.</w:t>
      </w:r>
    </w:p>
    <w:p w14:paraId="1846267F" w14:textId="77777777" w:rsidR="00ED5CFD" w:rsidRDefault="00ED5CFD" w:rsidP="005B2617">
      <w:pPr>
        <w:pStyle w:val="Quote"/>
        <w:rPr>
          <w:lang w:bidi="he-IL"/>
        </w:rPr>
      </w:pPr>
      <w:r>
        <w:rPr>
          <w:lang w:bidi="he-IL"/>
        </w:rPr>
        <w:t xml:space="preserve">Another explanation: LET HIS LEFT HAND BE UNDER MY HEAD: this refers to the sukkah. AND HIS </w:t>
      </w:r>
      <w:proofErr w:type="spellStart"/>
      <w:r>
        <w:rPr>
          <w:lang w:bidi="he-IL"/>
        </w:rPr>
        <w:t>R1GHT</w:t>
      </w:r>
      <w:proofErr w:type="spellEnd"/>
      <w:r>
        <w:rPr>
          <w:lang w:bidi="he-IL"/>
        </w:rPr>
        <w:t xml:space="preserve"> HAND EMBRACE ME: this refers to the lulav.</w:t>
      </w:r>
    </w:p>
    <w:p w14:paraId="563F88A4" w14:textId="52279F03" w:rsidR="00ED5CFD" w:rsidRDefault="00ED5CFD" w:rsidP="005B2617">
      <w:pPr>
        <w:pStyle w:val="Quote"/>
        <w:rPr>
          <w:lang w:bidi="he-IL"/>
        </w:rPr>
      </w:pPr>
      <w:r>
        <w:rPr>
          <w:lang w:bidi="he-IL"/>
        </w:rPr>
        <w:lastRenderedPageBreak/>
        <w:t xml:space="preserve">Another explanation: LET HIS LEFT HAND BE UNDER MY HEAD: this refers to the seven clouds of glory that surrounded Israel in the desert. AND HIS </w:t>
      </w:r>
      <w:proofErr w:type="spellStart"/>
      <w:r>
        <w:rPr>
          <w:lang w:bidi="he-IL"/>
        </w:rPr>
        <w:t>R1GHT</w:t>
      </w:r>
      <w:proofErr w:type="spellEnd"/>
      <w:r>
        <w:rPr>
          <w:lang w:bidi="he-IL"/>
        </w:rPr>
        <w:t xml:space="preserve"> HAND EMBRACE ME: this refers to the cloud of the divine presence in the time to come, as it says, ‘The sun shall be no more thy light by day, neither for brightness shall the moon give light unto thee’ (Isa 60:19). What then shall give light to see? ‘The Lord shall be thine everlasting light’ (ibid. 20).</w:t>
      </w:r>
    </w:p>
    <w:p w14:paraId="5E69D664" w14:textId="7D424135" w:rsidR="00ED5CFD" w:rsidRDefault="00ED5CFD" w:rsidP="005B2617">
      <w:pPr>
        <w:pStyle w:val="Quote"/>
        <w:rPr>
          <w:lang w:bidi="he-IL"/>
        </w:rPr>
      </w:pPr>
      <w:r>
        <w:rPr>
          <w:lang w:bidi="he-IL"/>
        </w:rPr>
        <w:t>Another explanation: LET HIS LEFT HAND BE UNDER MY HEAD: this refers to the mezuzah; for R. Simeon b. Yochai taught: ‘And you shall write them upon the door-posts of your house [</w:t>
      </w:r>
      <w:proofErr w:type="spellStart"/>
      <w:r>
        <w:rPr>
          <w:lang w:bidi="he-IL"/>
        </w:rPr>
        <w:t>beitecha</w:t>
      </w:r>
      <w:proofErr w:type="spellEnd"/>
      <w:r>
        <w:rPr>
          <w:lang w:bidi="he-IL"/>
        </w:rPr>
        <w:t>]’ (</w:t>
      </w:r>
      <w:proofErr w:type="spellStart"/>
      <w:r>
        <w:rPr>
          <w:lang w:bidi="he-IL"/>
        </w:rPr>
        <w:t>Deut</w:t>
      </w:r>
      <w:proofErr w:type="spellEnd"/>
      <w:r>
        <w:rPr>
          <w:lang w:bidi="he-IL"/>
        </w:rPr>
        <w:t xml:space="preserve"> 6:9): that is, of thy coming [</w:t>
      </w:r>
      <w:proofErr w:type="spellStart"/>
      <w:r>
        <w:rPr>
          <w:lang w:bidi="he-IL"/>
        </w:rPr>
        <w:t>beatcha</w:t>
      </w:r>
      <w:proofErr w:type="spellEnd"/>
      <w:r>
        <w:rPr>
          <w:lang w:bidi="he-IL"/>
        </w:rPr>
        <w:t>] into your house from the street.</w:t>
      </w:r>
    </w:p>
    <w:p w14:paraId="1D5299DD" w14:textId="77777777" w:rsidR="00ED5CFD" w:rsidRDefault="00ED5CFD" w:rsidP="005B2617">
      <w:pPr>
        <w:pStyle w:val="Quote"/>
        <w:rPr>
          <w:lang w:bidi="he-IL"/>
        </w:rPr>
      </w:pPr>
      <w:r>
        <w:rPr>
          <w:lang w:bidi="he-IL"/>
        </w:rPr>
        <w:t xml:space="preserve">R. </w:t>
      </w:r>
      <w:proofErr w:type="spellStart"/>
      <w:r>
        <w:rPr>
          <w:lang w:bidi="he-IL"/>
        </w:rPr>
        <w:t>Johanan</w:t>
      </w:r>
      <w:proofErr w:type="spellEnd"/>
      <w:r>
        <w:rPr>
          <w:lang w:bidi="he-IL"/>
        </w:rPr>
        <w:t xml:space="preserve"> said: It is written: ‘And you shall set the table without the veil and the candlestick... toward the south (Ex 26:35). Is not this the natural way? Does not one put the lamp on the left so that it shall not hinder the right hand? Does not one put the left hand under the head and embrace with the right? R. Aha said: R. </w:t>
      </w:r>
      <w:proofErr w:type="spellStart"/>
      <w:r>
        <w:rPr>
          <w:lang w:bidi="he-IL"/>
        </w:rPr>
        <w:t>Johanan</w:t>
      </w:r>
      <w:proofErr w:type="spellEnd"/>
      <w:r>
        <w:rPr>
          <w:lang w:bidi="he-IL"/>
        </w:rPr>
        <w:t xml:space="preserve"> derives the rule from this verse: ‘To love the Lord your God... and to cleave to Him’ (</w:t>
      </w:r>
      <w:proofErr w:type="spellStart"/>
      <w:r>
        <w:rPr>
          <w:lang w:bidi="he-IL"/>
        </w:rPr>
        <w:t>Deut</w:t>
      </w:r>
      <w:proofErr w:type="spellEnd"/>
      <w:r>
        <w:rPr>
          <w:lang w:bidi="he-IL"/>
        </w:rPr>
        <w:t xml:space="preserve"> 11: 22). How is cleaving effected? With HIS LEFT HAND UNDER MY HEAD.</w:t>
      </w:r>
      <w:r>
        <w:rPr>
          <w:rStyle w:val="FootnoteReference"/>
          <w:lang w:bidi="he-IL"/>
        </w:rPr>
        <w:footnoteReference w:id="44"/>
      </w:r>
    </w:p>
    <w:p w14:paraId="04E57D78" w14:textId="760F3EAD" w:rsidR="00ED5CFD" w:rsidRDefault="00ED5CFD" w:rsidP="005B2617">
      <w:pPr>
        <w:rPr>
          <w:lang w:bidi="he-IL"/>
        </w:rPr>
      </w:pPr>
      <w:r>
        <w:rPr>
          <w:lang w:bidi="he-IL"/>
        </w:rPr>
        <w:t xml:space="preserve">The Amoraic midrash interprets the beloved’s arms with a string of allegories, but in contrast to the </w:t>
      </w:r>
      <w:proofErr w:type="spellStart"/>
      <w:r>
        <w:rPr>
          <w:lang w:bidi="he-IL"/>
        </w:rPr>
        <w:t>Tannaic</w:t>
      </w:r>
      <w:proofErr w:type="spellEnd"/>
      <w:r>
        <w:rPr>
          <w:lang w:bidi="he-IL"/>
        </w:rPr>
        <w:t xml:space="preserve"> source above, none of them involve a physical description of God. The author of the midrash emphasized the fact that one needs both arms to perform certain actions. The midrash therefore cites various pairs of things that complete one another or are connected in some other way. Some of them relate to practical mitzvot: </w:t>
      </w:r>
      <w:commentRangeStart w:id="25"/>
      <w:r>
        <w:rPr>
          <w:lang w:bidi="he-IL"/>
        </w:rPr>
        <w:t>Ritual fringes (</w:t>
      </w:r>
      <w:proofErr w:type="spellStart"/>
      <w:r w:rsidRPr="00CD4972">
        <w:rPr>
          <w:i/>
          <w:iCs/>
          <w:lang w:bidi="he-IL"/>
        </w:rPr>
        <w:t>tsitsit</w:t>
      </w:r>
      <w:proofErr w:type="spellEnd"/>
      <w:r>
        <w:rPr>
          <w:lang w:bidi="he-IL"/>
        </w:rPr>
        <w:t xml:space="preserve">) </w:t>
      </w:r>
      <w:commentRangeEnd w:id="25"/>
      <w:r>
        <w:rPr>
          <w:rStyle w:val="CommentReference"/>
        </w:rPr>
        <w:commentReference w:id="25"/>
      </w:r>
      <w:r>
        <w:rPr>
          <w:lang w:bidi="he-IL"/>
        </w:rPr>
        <w:t xml:space="preserve">and phylacteries, the recital of the </w:t>
      </w:r>
      <w:proofErr w:type="spellStart"/>
      <w:r w:rsidRPr="00FC6B49">
        <w:rPr>
          <w:i/>
          <w:iCs/>
          <w:lang w:bidi="he-IL"/>
        </w:rPr>
        <w:t>shema</w:t>
      </w:r>
      <w:proofErr w:type="spellEnd"/>
      <w:r>
        <w:rPr>
          <w:lang w:bidi="he-IL"/>
        </w:rPr>
        <w:t xml:space="preserve"> and the </w:t>
      </w:r>
      <w:proofErr w:type="spellStart"/>
      <w:r w:rsidRPr="00FC6B49">
        <w:rPr>
          <w:i/>
          <w:iCs/>
          <w:lang w:bidi="he-IL"/>
        </w:rPr>
        <w:lastRenderedPageBreak/>
        <w:t>amida</w:t>
      </w:r>
      <w:proofErr w:type="spellEnd"/>
      <w:r>
        <w:rPr>
          <w:lang w:bidi="he-IL"/>
        </w:rPr>
        <w:t xml:space="preserve">, and </w:t>
      </w:r>
      <w:proofErr w:type="spellStart"/>
      <w:r w:rsidRPr="00FC6B49">
        <w:rPr>
          <w:i/>
          <w:iCs/>
          <w:lang w:bidi="he-IL"/>
        </w:rPr>
        <w:t>sukka</w:t>
      </w:r>
      <w:proofErr w:type="spellEnd"/>
      <w:r>
        <w:rPr>
          <w:lang w:bidi="he-IL"/>
        </w:rPr>
        <w:t xml:space="preserve"> and </w:t>
      </w:r>
      <w:r w:rsidRPr="00FC6B49">
        <w:rPr>
          <w:i/>
          <w:iCs/>
          <w:lang w:bidi="he-IL"/>
        </w:rPr>
        <w:t>lulav</w:t>
      </w:r>
      <w:r>
        <w:rPr>
          <w:lang w:bidi="he-IL"/>
        </w:rPr>
        <w:t>. Other pairs relate to historical events: the first and second tablets at Sinai, the clouds of glory and the cloud of the divine presence that accompanied Israel in the desert, and the construction of the Tabernacle in which the menorah and the shewbread table were placed.</w:t>
      </w:r>
      <w:commentRangeStart w:id="26"/>
      <w:r>
        <w:rPr>
          <w:rStyle w:val="FootnoteReference"/>
          <w:lang w:bidi="he-IL"/>
        </w:rPr>
        <w:footnoteReference w:id="45"/>
      </w:r>
      <w:commentRangeEnd w:id="26"/>
      <w:r>
        <w:rPr>
          <w:rStyle w:val="CommentReference"/>
        </w:rPr>
        <w:commentReference w:id="26"/>
      </w:r>
    </w:p>
    <w:p w14:paraId="730B1153" w14:textId="77777777" w:rsidR="00ED5CFD" w:rsidRDefault="00ED5CFD" w:rsidP="005B2617">
      <w:pPr>
        <w:rPr>
          <w:lang w:bidi="he-IL"/>
        </w:rPr>
      </w:pPr>
      <w:r>
        <w:rPr>
          <w:lang w:bidi="he-IL"/>
        </w:rPr>
        <w:t xml:space="preserve">The pair that stands out in this list and is also closest to the description of God in the </w:t>
      </w:r>
      <w:proofErr w:type="spellStart"/>
      <w:r w:rsidRPr="00187080">
        <w:rPr>
          <w:i/>
          <w:iCs/>
          <w:lang w:bidi="he-IL"/>
        </w:rPr>
        <w:t>Mekhilta</w:t>
      </w:r>
      <w:proofErr w:type="spellEnd"/>
      <w:r>
        <w:rPr>
          <w:lang w:bidi="he-IL"/>
        </w:rPr>
        <w:t xml:space="preserve"> is that of </w:t>
      </w:r>
      <w:commentRangeStart w:id="27"/>
      <w:r>
        <w:rPr>
          <w:lang w:bidi="he-IL"/>
        </w:rPr>
        <w:t xml:space="preserve">the left hand representing seven clouds of glory and the right </w:t>
      </w:r>
      <w:commentRangeEnd w:id="27"/>
      <w:r>
        <w:rPr>
          <w:rStyle w:val="CommentReference"/>
        </w:rPr>
        <w:commentReference w:id="27"/>
      </w:r>
      <w:r>
        <w:rPr>
          <w:lang w:bidi="he-IL"/>
        </w:rPr>
        <w:t xml:space="preserve">hand the cloud of the divine presence. However, this similarity actually accentuates the </w:t>
      </w:r>
      <w:proofErr w:type="gramStart"/>
      <w:r>
        <w:rPr>
          <w:lang w:bidi="he-IL"/>
        </w:rPr>
        <w:t>difference, since</w:t>
      </w:r>
      <w:proofErr w:type="gramEnd"/>
      <w:r>
        <w:rPr>
          <w:lang w:bidi="he-IL"/>
        </w:rPr>
        <w:t xml:space="preserve"> the cloud of the divine presence refers to the divine presence in the eschatological future. Isaiah 60:19 states that Israel will </w:t>
      </w:r>
      <w:r>
        <w:rPr>
          <w:lang w:bidi="he-IL"/>
        </w:rPr>
        <w:t xml:space="preserve">then </w:t>
      </w:r>
      <w:r>
        <w:rPr>
          <w:lang w:bidi="he-IL"/>
        </w:rPr>
        <w:t>have no need for the light of the sun during the day or the light of the moon at night since God will accompany them Himself.</w:t>
      </w:r>
    </w:p>
    <w:p w14:paraId="0AA487DB" w14:textId="4A86F23C" w:rsidR="00ED5CFD" w:rsidRDefault="00ED5CFD" w:rsidP="005B2617">
      <w:pPr>
        <w:rPr>
          <w:lang w:bidi="he-IL"/>
        </w:rPr>
      </w:pPr>
      <w:r>
        <w:rPr>
          <w:lang w:bidi="he-IL"/>
        </w:rPr>
        <w:t xml:space="preserve">The homily by the Amora Rav Aha that concludes the series expresses the mutuality of the love between God and His people. God revealed His love in a variety of historical events where He embraced them with, so to speak, His right and left hands with the tablets, the clouds of glory, and the Tabernacle and its contents. A person who wishes to show his love of God must act similarly – he must surround himself every day with practical mitzvot. This is the reason the list begins with the first and second tablets, </w:t>
      </w:r>
      <w:commentRangeStart w:id="28"/>
      <w:r>
        <w:rPr>
          <w:lang w:bidi="he-IL"/>
        </w:rPr>
        <w:t xml:space="preserve">representing the Torah </w:t>
      </w:r>
      <w:commentRangeEnd w:id="28"/>
      <w:r>
        <w:rPr>
          <w:rStyle w:val="CommentReference"/>
        </w:rPr>
        <w:commentReference w:id="28"/>
      </w:r>
      <w:r>
        <w:rPr>
          <w:lang w:bidi="he-IL"/>
        </w:rPr>
        <w:t>that contains the mitzvot that will be mentioned afterward.</w:t>
      </w:r>
    </w:p>
    <w:p w14:paraId="64FC82D8" w14:textId="77777777" w:rsidR="00ED5CFD" w:rsidRDefault="00ED5CFD" w:rsidP="005B2617">
      <w:pPr>
        <w:rPr>
          <w:lang w:bidi="he-IL"/>
        </w:rPr>
      </w:pPr>
      <w:commentRangeStart w:id="29"/>
      <w:r>
        <w:rPr>
          <w:lang w:bidi="he-IL"/>
        </w:rPr>
        <w:t xml:space="preserve">The comparison between the interpretations of the descriptions of the body of the beloved in the </w:t>
      </w:r>
      <w:proofErr w:type="spellStart"/>
      <w:r>
        <w:rPr>
          <w:lang w:bidi="he-IL"/>
        </w:rPr>
        <w:t>Tannaic</w:t>
      </w:r>
      <w:proofErr w:type="spellEnd"/>
      <w:r>
        <w:rPr>
          <w:lang w:bidi="he-IL"/>
        </w:rPr>
        <w:t xml:space="preserve"> midrashim and those in </w:t>
      </w:r>
      <w:r w:rsidRPr="0050593D">
        <w:rPr>
          <w:i/>
          <w:iCs/>
          <w:lang w:bidi="he-IL"/>
        </w:rPr>
        <w:t>Song of Songs</w:t>
      </w:r>
      <w:r>
        <w:rPr>
          <w:lang w:bidi="he-IL"/>
        </w:rPr>
        <w:t xml:space="preserve"> </w:t>
      </w:r>
      <w:r w:rsidRPr="00AE31E8">
        <w:rPr>
          <w:i/>
          <w:iCs/>
          <w:lang w:bidi="he-IL"/>
        </w:rPr>
        <w:t>Rabba</w:t>
      </w:r>
      <w:commentRangeEnd w:id="29"/>
      <w:r>
        <w:rPr>
          <w:rStyle w:val="CommentReference"/>
        </w:rPr>
        <w:commentReference w:id="29"/>
      </w:r>
      <w:r>
        <w:rPr>
          <w:lang w:bidi="he-IL"/>
        </w:rPr>
        <w:t xml:space="preserve"> brings out the significant differences between them. Both interpret the verses allegorically but in the </w:t>
      </w:r>
      <w:proofErr w:type="spellStart"/>
      <w:r>
        <w:rPr>
          <w:lang w:bidi="he-IL"/>
        </w:rPr>
        <w:t>Tannaic</w:t>
      </w:r>
      <w:proofErr w:type="spellEnd"/>
      <w:r>
        <w:rPr>
          <w:lang w:bidi="he-IL"/>
        </w:rPr>
        <w:t xml:space="preserve"> sources, the descriptions of the body of the beloved are an allegory for the body of God while in the Amoraic sources they relate to other topics.</w:t>
      </w:r>
      <w:r>
        <w:rPr>
          <w:rStyle w:val="FootnoteReference"/>
          <w:lang w:bidi="he-IL"/>
        </w:rPr>
        <w:footnoteReference w:id="46"/>
      </w:r>
      <w:r>
        <w:rPr>
          <w:lang w:bidi="he-IL"/>
        </w:rPr>
        <w:t xml:space="preserve"> The pair </w:t>
      </w:r>
      <w:r>
        <w:rPr>
          <w:lang w:bidi="he-IL"/>
        </w:rPr>
        <w:lastRenderedPageBreak/>
        <w:t xml:space="preserve">at the beginning of the list in </w:t>
      </w:r>
      <w:r w:rsidRPr="0050593D">
        <w:rPr>
          <w:i/>
          <w:iCs/>
          <w:lang w:bidi="he-IL"/>
        </w:rPr>
        <w:t>Song of Songs</w:t>
      </w:r>
      <w:r>
        <w:rPr>
          <w:lang w:bidi="he-IL"/>
        </w:rPr>
        <w:t xml:space="preserve"> </w:t>
      </w:r>
      <w:r w:rsidRPr="00AE31E8">
        <w:rPr>
          <w:i/>
          <w:iCs/>
          <w:lang w:bidi="he-IL"/>
        </w:rPr>
        <w:t>Rabba</w:t>
      </w:r>
      <w:r>
        <w:rPr>
          <w:lang w:bidi="he-IL"/>
        </w:rPr>
        <w:t xml:space="preserve"> is a particularly good example of the difference between that work and the </w:t>
      </w:r>
      <w:proofErr w:type="spellStart"/>
      <w:r>
        <w:rPr>
          <w:lang w:bidi="he-IL"/>
        </w:rPr>
        <w:t>Tannaic</w:t>
      </w:r>
      <w:proofErr w:type="spellEnd"/>
      <w:r>
        <w:rPr>
          <w:lang w:bidi="he-IL"/>
        </w:rPr>
        <w:t xml:space="preserve"> midrash. Both sources relate to the Sinai </w:t>
      </w:r>
      <w:proofErr w:type="gramStart"/>
      <w:r>
        <w:rPr>
          <w:lang w:bidi="he-IL"/>
        </w:rPr>
        <w:t>revelation</w:t>
      </w:r>
      <w:proofErr w:type="gramEnd"/>
      <w:r>
        <w:rPr>
          <w:lang w:bidi="he-IL"/>
        </w:rPr>
        <w:t xml:space="preserve"> but the </w:t>
      </w:r>
      <w:proofErr w:type="spellStart"/>
      <w:r>
        <w:rPr>
          <w:lang w:bidi="he-IL"/>
        </w:rPr>
        <w:t>Mekhilta</w:t>
      </w:r>
      <w:proofErr w:type="spellEnd"/>
      <w:r>
        <w:rPr>
          <w:lang w:bidi="he-IL"/>
        </w:rPr>
        <w:t xml:space="preserve"> has God surrounding and embracing Israel in His arms while </w:t>
      </w:r>
      <w:r w:rsidRPr="0050593D">
        <w:rPr>
          <w:i/>
          <w:iCs/>
          <w:lang w:bidi="he-IL"/>
        </w:rPr>
        <w:t>Song of Songs</w:t>
      </w:r>
      <w:r>
        <w:rPr>
          <w:lang w:bidi="he-IL"/>
        </w:rPr>
        <w:t xml:space="preserve"> </w:t>
      </w:r>
      <w:r w:rsidRPr="00AE31E8">
        <w:rPr>
          <w:i/>
          <w:iCs/>
          <w:lang w:bidi="he-IL"/>
        </w:rPr>
        <w:t>Rabba</w:t>
      </w:r>
      <w:r>
        <w:rPr>
          <w:lang w:bidi="he-IL"/>
        </w:rPr>
        <w:t xml:space="preserve"> focuses on the tablets God gave Israel.</w:t>
      </w:r>
      <w:r>
        <w:rPr>
          <w:rStyle w:val="FootnoteReference"/>
          <w:lang w:bidi="he-IL"/>
        </w:rPr>
        <w:footnoteReference w:id="47"/>
      </w:r>
      <w:r>
        <w:rPr>
          <w:lang w:bidi="he-IL"/>
        </w:rPr>
        <w:t xml:space="preserve"> Even after Moses broke the first tablets, God’s love for Israel remained as expressed by His giving the second tablets.</w:t>
      </w:r>
    </w:p>
    <w:p w14:paraId="463491B4" w14:textId="77777777" w:rsidR="00ED5CFD" w:rsidRDefault="00ED5CFD" w:rsidP="005B2617">
      <w:pPr>
        <w:pStyle w:val="Heading2"/>
        <w:rPr>
          <w:lang w:bidi="he-IL"/>
        </w:rPr>
      </w:pPr>
      <w:r>
        <w:rPr>
          <w:lang w:bidi="he-IL"/>
        </w:rPr>
        <w:t>Set me as a seal upon your heart, as a seal upon your arm</w:t>
      </w:r>
      <w:r>
        <w:rPr>
          <w:lang w:bidi="he-IL"/>
        </w:rPr>
        <w:t xml:space="preserve"> (Song 8:6).</w:t>
      </w:r>
    </w:p>
    <w:p w14:paraId="69C67C2E" w14:textId="3D42A3E9" w:rsidR="00ED5CFD" w:rsidRDefault="00ED5CFD" w:rsidP="005B2617">
      <w:pPr>
        <w:rPr>
          <w:lang w:bidi="he-IL"/>
        </w:rPr>
      </w:pPr>
      <w:r>
        <w:rPr>
          <w:lang w:bidi="he-IL"/>
        </w:rPr>
        <w:t xml:space="preserve">Another example of the phenomenon we have found relates to the verse in Song 8:6: </w:t>
      </w:r>
      <w:r w:rsidR="002C4C58">
        <w:rPr>
          <w:lang w:bidi="he-IL"/>
        </w:rPr>
        <w:t>‘</w:t>
      </w:r>
      <w:r w:rsidRPr="00541E23">
        <w:rPr>
          <w:lang w:bidi="he-IL"/>
        </w:rPr>
        <w:t>Set me as a seal upon your heart, as a seal upon your arm</w:t>
      </w:r>
      <w:r>
        <w:rPr>
          <w:lang w:bidi="he-IL"/>
        </w:rPr>
        <w:t>.</w:t>
      </w:r>
      <w:r w:rsidR="002C4C58">
        <w:rPr>
          <w:lang w:bidi="he-IL"/>
        </w:rPr>
        <w:t>’</w:t>
      </w:r>
      <w:r>
        <w:rPr>
          <w:lang w:bidi="he-IL"/>
        </w:rPr>
        <w:t xml:space="preserve"> The young woman uses the image of a seal, a personal object that was usually tied on a string and worn around one’s neck or right arm. She implores her beloved that she should remain close to his heart or attached to his arm.</w:t>
      </w:r>
    </w:p>
    <w:p w14:paraId="7E96F016" w14:textId="3607D75E" w:rsidR="00ED5CFD" w:rsidRDefault="00ED5CFD" w:rsidP="005B2617">
      <w:pPr>
        <w:rPr>
          <w:lang w:bidi="he-IL"/>
        </w:rPr>
      </w:pPr>
      <w:r>
        <w:rPr>
          <w:lang w:bidi="he-IL"/>
        </w:rPr>
        <w:t xml:space="preserve">This verse is cited in the </w:t>
      </w:r>
      <w:r w:rsidRPr="0023087E">
        <w:rPr>
          <w:i/>
          <w:iCs/>
          <w:lang w:bidi="he-IL"/>
        </w:rPr>
        <w:t>Tosefta</w:t>
      </w:r>
      <w:r>
        <w:rPr>
          <w:lang w:bidi="he-IL"/>
        </w:rPr>
        <w:t xml:space="preserve"> as an example of a verse that contains ‘mixed utterances,’ i.e., the words in the verse are said by different speakers:</w:t>
      </w:r>
    </w:p>
    <w:p w14:paraId="7F857419" w14:textId="741E8B77" w:rsidR="00ED5CFD" w:rsidRDefault="00ED5CFD" w:rsidP="005B2617">
      <w:pPr>
        <w:pStyle w:val="Quote"/>
      </w:pPr>
      <w:r w:rsidRPr="004B7D73">
        <w:t xml:space="preserve">In similar fashion, one says, </w:t>
      </w:r>
      <w:r>
        <w:t>‘</w:t>
      </w:r>
      <w:r w:rsidRPr="004B7D73">
        <w:t>Under the apple tree I awakened you</w:t>
      </w:r>
      <w:r>
        <w:t xml:space="preserve">’ </w:t>
      </w:r>
      <w:r w:rsidRPr="004B7D73">
        <w:t>(Song 8:5)</w:t>
      </w:r>
      <w:r>
        <w:t xml:space="preserve"> – </w:t>
      </w:r>
      <w:r w:rsidRPr="004B7D73">
        <w:t>thus said the Holy Spirit.</w:t>
      </w:r>
      <w:r>
        <w:t xml:space="preserve"> </w:t>
      </w:r>
      <w:r>
        <w:t>‘</w:t>
      </w:r>
      <w:r w:rsidRPr="004B7D73">
        <w:t>Set me as a seal upon your heart</w:t>
      </w:r>
      <w:r>
        <w:t>’</w:t>
      </w:r>
      <w:r w:rsidRPr="004B7D73">
        <w:t xml:space="preserve"> (Song 8:6)</w:t>
      </w:r>
      <w:r>
        <w:t xml:space="preserve"> </w:t>
      </w:r>
      <w:r>
        <w:t>–</w:t>
      </w:r>
      <w:r>
        <w:t xml:space="preserve"> </w:t>
      </w:r>
      <w:r w:rsidRPr="004B7D73">
        <w:t xml:space="preserve">said the congregation of Israel. </w:t>
      </w:r>
      <w:r>
        <w:t>‘</w:t>
      </w:r>
      <w:r w:rsidRPr="004B7D73">
        <w:t>For love is fierce as death</w:t>
      </w:r>
      <w:r>
        <w:t>’</w:t>
      </w:r>
      <w:r w:rsidRPr="004B7D73">
        <w:t xml:space="preserve"> (ibid.)</w:t>
      </w:r>
      <w:r>
        <w:t xml:space="preserve"> – </w:t>
      </w:r>
      <w:r w:rsidRPr="004B7D73">
        <w:t xml:space="preserve">said the nations of the world. Three utterances </w:t>
      </w:r>
      <w:r>
        <w:t>[</w:t>
      </w:r>
      <w:proofErr w:type="spellStart"/>
      <w:r w:rsidRPr="004B7D73">
        <w:rPr>
          <w:i/>
          <w:iCs/>
        </w:rPr>
        <w:t>devarim</w:t>
      </w:r>
      <w:proofErr w:type="spellEnd"/>
      <w:r>
        <w:t>]</w:t>
      </w:r>
      <w:r w:rsidRPr="004B7D73">
        <w:t xml:space="preserve"> alongside one another.</w:t>
      </w:r>
      <w:commentRangeStart w:id="30"/>
      <w:r>
        <w:rPr>
          <w:rStyle w:val="FootnoteReference"/>
        </w:rPr>
        <w:footnoteReference w:id="48"/>
      </w:r>
      <w:commentRangeEnd w:id="30"/>
      <w:r>
        <w:rPr>
          <w:rStyle w:val="CommentReference"/>
        </w:rPr>
        <w:commentReference w:id="30"/>
      </w:r>
    </w:p>
    <w:p w14:paraId="3DC3E9E1" w14:textId="65DDF661" w:rsidR="00ED5CFD" w:rsidRDefault="00ED5CFD" w:rsidP="005B2617">
      <w:r>
        <w:rPr>
          <w:lang w:bidi="he-IL"/>
        </w:rPr>
        <w:lastRenderedPageBreak/>
        <w:t xml:space="preserve">In this passage, the verses from </w:t>
      </w:r>
      <w:r w:rsidRPr="0050593D">
        <w:rPr>
          <w:i/>
          <w:iCs/>
          <w:lang w:bidi="he-IL"/>
        </w:rPr>
        <w:t>Song of Songs</w:t>
      </w:r>
      <w:r>
        <w:rPr>
          <w:lang w:bidi="he-IL"/>
        </w:rPr>
        <w:t xml:space="preserve"> are read as a conversation with three participants: The Holy Spirit, </w:t>
      </w:r>
      <w:r w:rsidRPr="004B7D73">
        <w:t>the congregation of Israel</w:t>
      </w:r>
      <w:r>
        <w:t xml:space="preserve">, and </w:t>
      </w:r>
      <w:r w:rsidRPr="004B7D73">
        <w:t>the nations of the world</w:t>
      </w:r>
      <w:r>
        <w:t>. The beloved and the young woman express their love through direct speech – ‘</w:t>
      </w:r>
      <w:r w:rsidRPr="004B7D73">
        <w:t>I awakened you</w:t>
      </w:r>
      <w:r>
        <w:t>,</w:t>
      </w:r>
      <w:r>
        <w:t>’</w:t>
      </w:r>
      <w:r>
        <w:t xml:space="preserve"> </w:t>
      </w:r>
      <w:r>
        <w:t>‘</w:t>
      </w:r>
      <w:r w:rsidRPr="004B7D73">
        <w:t>Set me</w:t>
      </w:r>
      <w:r>
        <w:t xml:space="preserve">,’ directed to one another. The last sentence, </w:t>
      </w:r>
      <w:r>
        <w:t>‘</w:t>
      </w:r>
      <w:r w:rsidRPr="004B7D73">
        <w:t>For love is fierce as death</w:t>
      </w:r>
      <w:r>
        <w:t>,</w:t>
      </w:r>
      <w:r>
        <w:t>’</w:t>
      </w:r>
      <w:r>
        <w:t xml:space="preserve"> is a comment made by the nations of the world observing from the side. The </w:t>
      </w:r>
      <w:r>
        <w:t xml:space="preserve">love and longing </w:t>
      </w:r>
      <w:r>
        <w:t xml:space="preserve">of the two lovers for one another can be heard in their words, while the nations’ comment contains a hint of jealousy, </w:t>
      </w:r>
      <w:proofErr w:type="gramStart"/>
      <w:r>
        <w:t>that</w:t>
      </w:r>
      <w:proofErr w:type="gramEnd"/>
      <w:r>
        <w:t xml:space="preserve"> can be seen from the continuation of the verse, ‘jealousy,</w:t>
      </w:r>
      <w:r w:rsidRPr="00DD55BF">
        <w:t xml:space="preserve"> </w:t>
      </w:r>
      <w:r>
        <w:t>hard</w:t>
      </w:r>
      <w:r w:rsidRPr="00DD55BF">
        <w:t xml:space="preserve"> as the grave</w:t>
      </w:r>
      <w:r>
        <w:t xml:space="preserve">’ (Song 8:6). Dividing the verse among different speakers highlights the dialogue between God and His people that the nations can only witness. This </w:t>
      </w:r>
      <w:proofErr w:type="spellStart"/>
      <w:r>
        <w:t>Tannaic</w:t>
      </w:r>
      <w:proofErr w:type="spellEnd"/>
      <w:r>
        <w:t xml:space="preserve"> midrash does not explicate the descriptions of the beloved’s body in the verse – </w:t>
      </w:r>
      <w:r>
        <w:t>‘</w:t>
      </w:r>
      <w:r>
        <w:t>s</w:t>
      </w:r>
      <w:r w:rsidRPr="004B7D73">
        <w:t>et me as a seal upon your heart</w:t>
      </w:r>
      <w:r>
        <w:t xml:space="preserve">, </w:t>
      </w:r>
      <w:r w:rsidRPr="0013319A">
        <w:t>as a seal upon your arm</w:t>
      </w:r>
      <w:r>
        <w:t>’</w:t>
      </w:r>
      <w:r>
        <w:t xml:space="preserve"> but the heart and head refer allegorically to God’s heart and head and in this way express the unmediated intimacy of God and Israel.</w:t>
      </w:r>
    </w:p>
    <w:p w14:paraId="1FF02DE3" w14:textId="77777777" w:rsidR="00ED5CFD" w:rsidRDefault="00ED5CFD" w:rsidP="005B2617">
      <w:r>
        <w:t xml:space="preserve">The allegorical meaning of the description of the beloved in </w:t>
      </w:r>
      <w:r w:rsidRPr="001C6700">
        <w:rPr>
          <w:i/>
          <w:iCs/>
        </w:rPr>
        <w:t>Song of Songs</w:t>
      </w:r>
      <w:r>
        <w:t xml:space="preserve"> </w:t>
      </w:r>
      <w:r w:rsidRPr="00AE31E8">
        <w:rPr>
          <w:i/>
          <w:iCs/>
        </w:rPr>
        <w:t>Rabba</w:t>
      </w:r>
      <w:r>
        <w:t xml:space="preserve"> contrasts sharply:</w:t>
      </w:r>
    </w:p>
    <w:p w14:paraId="5C1D2C70" w14:textId="77830CE4" w:rsidR="00ED5CFD" w:rsidRPr="00F93F51" w:rsidRDefault="00ED5CFD" w:rsidP="005B2617">
      <w:pPr>
        <w:pStyle w:val="Quote"/>
        <w:rPr>
          <w:rtl/>
        </w:rPr>
      </w:pPr>
      <w:r w:rsidRPr="00F93F51">
        <w:t>SET ME AS A SEAL. R.</w:t>
      </w:r>
      <w:r>
        <w:t xml:space="preserve"> </w:t>
      </w:r>
      <w:proofErr w:type="spellStart"/>
      <w:r w:rsidRPr="00F93F51">
        <w:t>Berekiah</w:t>
      </w:r>
      <w:proofErr w:type="spellEnd"/>
      <w:r w:rsidRPr="00F93F51">
        <w:t xml:space="preserve"> said: This refers to the recital of the </w:t>
      </w:r>
      <w:proofErr w:type="spellStart"/>
      <w:r w:rsidRPr="00F93F51">
        <w:t>shema</w:t>
      </w:r>
      <w:proofErr w:type="spellEnd"/>
      <w:proofErr w:type="gramStart"/>
      <w:r w:rsidRPr="00F93F51">
        <w:t>’,</w:t>
      </w:r>
      <w:proofErr w:type="gramEnd"/>
      <w:r w:rsidRPr="00F93F51">
        <w:t xml:space="preserve"> as it says, </w:t>
      </w:r>
      <w:r>
        <w:t>‘</w:t>
      </w:r>
      <w:r w:rsidRPr="00F93F51">
        <w:t>And these words... shall be upon thy heart</w:t>
      </w:r>
      <w:r>
        <w:t xml:space="preserve">’ </w:t>
      </w:r>
      <w:r w:rsidRPr="00F93F51">
        <w:t>(</w:t>
      </w:r>
      <w:proofErr w:type="spellStart"/>
      <w:r w:rsidRPr="00F93F51">
        <w:t>Deut.</w:t>
      </w:r>
      <w:r>
        <w:t>6:</w:t>
      </w:r>
      <w:r w:rsidRPr="00F93F51">
        <w:t>6</w:t>
      </w:r>
      <w:proofErr w:type="spellEnd"/>
      <w:r w:rsidRPr="00F93F51">
        <w:t>). AS A SEAL UPON THINE ARM: this refers to</w:t>
      </w:r>
      <w:r>
        <w:t xml:space="preserve"> </w:t>
      </w:r>
      <w:r w:rsidRPr="00F93F51">
        <w:t xml:space="preserve">the phylacteries, as it says, </w:t>
      </w:r>
      <w:r>
        <w:t>‘</w:t>
      </w:r>
      <w:r w:rsidRPr="00F93F51">
        <w:t xml:space="preserve">And </w:t>
      </w:r>
      <w:r>
        <w:t>you shall</w:t>
      </w:r>
      <w:r w:rsidRPr="00F93F51">
        <w:t xml:space="preserve"> bind them for a sign upon </w:t>
      </w:r>
      <w:r>
        <w:t>your</w:t>
      </w:r>
      <w:r w:rsidRPr="00F93F51">
        <w:t xml:space="preserve"> hand</w:t>
      </w:r>
      <w:r>
        <w:t>’</w:t>
      </w:r>
      <w:r w:rsidRPr="00F93F51">
        <w:t xml:space="preserve"> (ib. 8).</w:t>
      </w:r>
      <w:r>
        <w:rPr>
          <w:rStyle w:val="FootnoteReference"/>
        </w:rPr>
        <w:footnoteReference w:id="49"/>
      </w:r>
    </w:p>
    <w:p w14:paraId="663EAFC2" w14:textId="77777777" w:rsidR="00ED5CFD" w:rsidRDefault="00ED5CFD" w:rsidP="005B2617">
      <w:r>
        <w:t xml:space="preserve">This midrash changes the speaker from the young woman to the beloved. In the allegory, the physical description is of Israel, who set a seal upon their arms so that they are aware of God throughout the day. The recital of </w:t>
      </w:r>
      <w:proofErr w:type="spellStart"/>
      <w:r w:rsidRPr="004A31B0">
        <w:rPr>
          <w:i/>
          <w:iCs/>
        </w:rPr>
        <w:t>shema</w:t>
      </w:r>
      <w:proofErr w:type="spellEnd"/>
      <w:r>
        <w:t xml:space="preserve"> morning and evening represents the seal upon their heart, as the verse says, </w:t>
      </w:r>
      <w:r>
        <w:t>‘</w:t>
      </w:r>
      <w:r w:rsidRPr="00F93F51">
        <w:t>And these words... shall be upon thy heart</w:t>
      </w:r>
      <w:r>
        <w:t>.</w:t>
      </w:r>
      <w:r>
        <w:t>’</w:t>
      </w:r>
      <w:r>
        <w:t xml:space="preserve"> The seal on the arm is the phylacteries that are wrapped around the arm as the verse says, </w:t>
      </w:r>
      <w:r>
        <w:t>‘</w:t>
      </w:r>
      <w:r w:rsidRPr="00F93F51">
        <w:t xml:space="preserve">And </w:t>
      </w:r>
      <w:r>
        <w:t>you shall</w:t>
      </w:r>
      <w:r w:rsidRPr="00F93F51">
        <w:t xml:space="preserve"> bind them for a sign upon </w:t>
      </w:r>
      <w:r>
        <w:t>your</w:t>
      </w:r>
      <w:r w:rsidRPr="00F93F51">
        <w:t xml:space="preserve"> hand</w:t>
      </w:r>
      <w:r>
        <w:t>.</w:t>
      </w:r>
      <w:r>
        <w:t>’</w:t>
      </w:r>
    </w:p>
    <w:p w14:paraId="0DE994F9" w14:textId="77777777" w:rsidR="00ED5CFD" w:rsidRDefault="00ED5CFD" w:rsidP="005B2617">
      <w:pPr>
        <w:pStyle w:val="Heading1"/>
      </w:pPr>
      <w:r>
        <w:lastRenderedPageBreak/>
        <w:t>Conclusion</w:t>
      </w:r>
    </w:p>
    <w:p w14:paraId="5504D2B9" w14:textId="77777777" w:rsidR="00ED5CFD" w:rsidRDefault="00ED5CFD" w:rsidP="005B2617">
      <w:pPr>
        <w:rPr>
          <w:rtl/>
        </w:rPr>
      </w:pPr>
      <w:r>
        <w:t>A c</w:t>
      </w:r>
      <w:r w:rsidRPr="000B7592">
        <w:t xml:space="preserve">omparison </w:t>
      </w:r>
      <w:r>
        <w:t>of</w:t>
      </w:r>
      <w:r w:rsidRPr="000B7592">
        <w:t xml:space="preserve"> the </w:t>
      </w:r>
      <w:proofErr w:type="spellStart"/>
      <w:r>
        <w:t>Tannaic</w:t>
      </w:r>
      <w:proofErr w:type="spellEnd"/>
      <w:r>
        <w:t xml:space="preserve"> sources, </w:t>
      </w:r>
      <w:proofErr w:type="spellStart"/>
      <w:r w:rsidRPr="00136366">
        <w:rPr>
          <w:i/>
          <w:iCs/>
        </w:rPr>
        <w:t>Mekhilta</w:t>
      </w:r>
      <w:proofErr w:type="spellEnd"/>
      <w:r w:rsidRPr="00136366">
        <w:rPr>
          <w:i/>
          <w:iCs/>
        </w:rPr>
        <w:t xml:space="preserve"> de-Rabbi </w:t>
      </w:r>
      <w:proofErr w:type="spellStart"/>
      <w:r w:rsidRPr="00136366">
        <w:rPr>
          <w:i/>
          <w:iCs/>
        </w:rPr>
        <w:t>Yishmael</w:t>
      </w:r>
      <w:proofErr w:type="spellEnd"/>
      <w:r w:rsidRPr="000B7592">
        <w:t xml:space="preserve"> and the </w:t>
      </w:r>
      <w:r w:rsidRPr="000F21CE">
        <w:rPr>
          <w:i/>
          <w:iCs/>
        </w:rPr>
        <w:t>Tosefta</w:t>
      </w:r>
      <w:r w:rsidRPr="000B7592">
        <w:t xml:space="preserve">, </w:t>
      </w:r>
      <w:r>
        <w:t>with</w:t>
      </w:r>
      <w:r w:rsidRPr="000B7592">
        <w:t xml:space="preserve"> the Amor</w:t>
      </w:r>
      <w:r>
        <w:t>aic m</w:t>
      </w:r>
      <w:r w:rsidRPr="000B7592">
        <w:t>idrash</w:t>
      </w:r>
      <w:r>
        <w:t>,</w:t>
      </w:r>
      <w:r w:rsidRPr="000B7592">
        <w:t xml:space="preserve"> </w:t>
      </w:r>
      <w:r w:rsidRPr="0050593D">
        <w:rPr>
          <w:i/>
          <w:iCs/>
        </w:rPr>
        <w:t>Song of Songs</w:t>
      </w:r>
      <w:r w:rsidRPr="000B7592">
        <w:t xml:space="preserve"> </w:t>
      </w:r>
      <w:r w:rsidRPr="00AE31E8">
        <w:rPr>
          <w:i/>
          <w:iCs/>
        </w:rPr>
        <w:t>Rabba</w:t>
      </w:r>
      <w:r>
        <w:rPr>
          <w:i/>
          <w:iCs/>
        </w:rPr>
        <w:t>,</w:t>
      </w:r>
      <w:r w:rsidRPr="000B7592">
        <w:t xml:space="preserve"> </w:t>
      </w:r>
      <w:r>
        <w:t>reveals</w:t>
      </w:r>
      <w:r w:rsidRPr="000B7592">
        <w:t xml:space="preserve"> a significant difference in the</w:t>
      </w:r>
      <w:r>
        <w:t>ir</w:t>
      </w:r>
      <w:r w:rsidRPr="000B7592">
        <w:t xml:space="preserve"> </w:t>
      </w:r>
      <w:r>
        <w:t xml:space="preserve">treatment of </w:t>
      </w:r>
      <w:r w:rsidRPr="000B7592">
        <w:t xml:space="preserve">descriptions of the </w:t>
      </w:r>
      <w:r>
        <w:t>beloved</w:t>
      </w:r>
      <w:r w:rsidRPr="000B7592">
        <w:t xml:space="preserve">. The </w:t>
      </w:r>
      <w:proofErr w:type="spellStart"/>
      <w:r>
        <w:t>Tannaic</w:t>
      </w:r>
      <w:proofErr w:type="spellEnd"/>
      <w:r w:rsidRPr="000B7592">
        <w:t xml:space="preserve"> sources </w:t>
      </w:r>
      <w:r>
        <w:t>treat the beloved’s</w:t>
      </w:r>
      <w:r w:rsidRPr="000B7592">
        <w:t xml:space="preserve"> descriptions </w:t>
      </w:r>
      <w:r>
        <w:t>as</w:t>
      </w:r>
      <w:r w:rsidRPr="000B7592">
        <w:t xml:space="preserve"> description</w:t>
      </w:r>
      <w:r>
        <w:t>s</w:t>
      </w:r>
      <w:r w:rsidRPr="000B7592">
        <w:t xml:space="preserve"> of God </w:t>
      </w:r>
      <w:r>
        <w:t>H</w:t>
      </w:r>
      <w:r w:rsidRPr="000B7592">
        <w:t>imself. The verses in Song 5</w:t>
      </w:r>
      <w:r>
        <w:t>:</w:t>
      </w:r>
      <w:r w:rsidRPr="000B7592">
        <w:t xml:space="preserve">10-16 are </w:t>
      </w:r>
      <w:r>
        <w:t>understood as a description</w:t>
      </w:r>
      <w:r w:rsidRPr="000B7592">
        <w:t xml:space="preserve"> of God</w:t>
      </w:r>
      <w:r>
        <w:t>’s</w:t>
      </w:r>
      <w:r w:rsidRPr="000B7592">
        <w:t xml:space="preserve"> </w:t>
      </w:r>
      <w:r>
        <w:t xml:space="preserve">revelation </w:t>
      </w:r>
      <w:r w:rsidRPr="000B7592">
        <w:t xml:space="preserve">to Israel </w:t>
      </w:r>
      <w:r>
        <w:t>by the Red S</w:t>
      </w:r>
      <w:r w:rsidRPr="000B7592">
        <w:t xml:space="preserve">ea. The </w:t>
      </w:r>
      <w:proofErr w:type="spellStart"/>
      <w:r w:rsidRPr="000F21CE">
        <w:rPr>
          <w:i/>
          <w:iCs/>
        </w:rPr>
        <w:t>Mekhilta</w:t>
      </w:r>
      <w:proofErr w:type="spellEnd"/>
      <w:r w:rsidRPr="000B7592">
        <w:t xml:space="preserve"> </w:t>
      </w:r>
      <w:r>
        <w:t xml:space="preserve">regards the </w:t>
      </w:r>
      <w:r w:rsidRPr="000B7592">
        <w:t>description of God</w:t>
      </w:r>
      <w:r>
        <w:t>’</w:t>
      </w:r>
      <w:r w:rsidRPr="000B7592">
        <w:t xml:space="preserve">s hands </w:t>
      </w:r>
      <w:r>
        <w:t xml:space="preserve">to refer to </w:t>
      </w:r>
      <w:r w:rsidRPr="000B7592">
        <w:t>God</w:t>
      </w:r>
      <w:r>
        <w:t>’s</w:t>
      </w:r>
      <w:r w:rsidRPr="000B7592">
        <w:t xml:space="preserve"> </w:t>
      </w:r>
      <w:r>
        <w:t>tangible embrace of Israel</w:t>
      </w:r>
      <w:r w:rsidRPr="000B7592">
        <w:t xml:space="preserve"> </w:t>
      </w:r>
      <w:r>
        <w:t>at Sinai</w:t>
      </w:r>
      <w:r w:rsidRPr="000B7592">
        <w:t xml:space="preserve"> </w:t>
      </w:r>
      <w:r>
        <w:t>seeking to draw a frightened Israel</w:t>
      </w:r>
      <w:r w:rsidRPr="000B7592">
        <w:t xml:space="preserve"> closer to Him. The </w:t>
      </w:r>
      <w:r>
        <w:t>young woman’s</w:t>
      </w:r>
      <w:r w:rsidRPr="000B7592">
        <w:t xml:space="preserve"> request to be a seal on her beloved</w:t>
      </w:r>
      <w:r>
        <w:t>’</w:t>
      </w:r>
      <w:r w:rsidRPr="000B7592">
        <w:t xml:space="preserve">s heart and arm is </w:t>
      </w:r>
      <w:r>
        <w:t xml:space="preserve">a direct request of </w:t>
      </w:r>
      <w:r w:rsidRPr="000B7592">
        <w:t>G</w:t>
      </w:r>
      <w:r>
        <w:t>o</w:t>
      </w:r>
      <w:r w:rsidRPr="000B7592">
        <w:t>d Himself.</w:t>
      </w:r>
    </w:p>
    <w:p w14:paraId="3514DAE0" w14:textId="105CB650" w:rsidR="00ED5CFD" w:rsidRDefault="00ED5CFD" w:rsidP="005B2617">
      <w:pPr>
        <w:rPr>
          <w:lang w:bidi="he-IL"/>
        </w:rPr>
      </w:pPr>
      <w:r>
        <w:rPr>
          <w:lang w:bidi="he-IL"/>
        </w:rPr>
        <w:t>The</w:t>
      </w:r>
      <w:r w:rsidRPr="005F3609">
        <w:rPr>
          <w:lang w:bidi="he-IL"/>
        </w:rPr>
        <w:t xml:space="preserve"> </w:t>
      </w:r>
      <w:r>
        <w:rPr>
          <w:lang w:bidi="he-IL"/>
        </w:rPr>
        <w:t xml:space="preserve">interpretations found in the </w:t>
      </w:r>
      <w:r w:rsidRPr="005F3609">
        <w:rPr>
          <w:lang w:bidi="he-IL"/>
        </w:rPr>
        <w:t>Amor</w:t>
      </w:r>
      <w:r>
        <w:rPr>
          <w:lang w:bidi="he-IL"/>
        </w:rPr>
        <w:t>aic</w:t>
      </w:r>
      <w:r w:rsidRPr="005F3609">
        <w:rPr>
          <w:lang w:bidi="he-IL"/>
        </w:rPr>
        <w:t xml:space="preserve"> midrashim</w:t>
      </w:r>
      <w:r>
        <w:rPr>
          <w:lang w:bidi="he-IL"/>
        </w:rPr>
        <w:t>, by contrast, do not allegorize the beloved’s body as the divine body</w:t>
      </w:r>
      <w:r w:rsidRPr="005F3609">
        <w:rPr>
          <w:lang w:bidi="he-IL"/>
        </w:rPr>
        <w:t xml:space="preserve">. The </w:t>
      </w:r>
      <w:r>
        <w:rPr>
          <w:lang w:bidi="he-IL"/>
        </w:rPr>
        <w:t xml:space="preserve">beloved’s body represents </w:t>
      </w:r>
      <w:r w:rsidRPr="005F3609">
        <w:rPr>
          <w:lang w:bidi="he-IL"/>
        </w:rPr>
        <w:t xml:space="preserve">the Torah </w:t>
      </w:r>
      <w:r>
        <w:rPr>
          <w:lang w:bidi="he-IL"/>
        </w:rPr>
        <w:t>or Torah scholars</w:t>
      </w:r>
      <w:r w:rsidRPr="005F3609">
        <w:rPr>
          <w:lang w:bidi="he-IL"/>
        </w:rPr>
        <w:t xml:space="preserve">, his hands are a collection of practical </w:t>
      </w:r>
      <w:r>
        <w:rPr>
          <w:lang w:bidi="he-IL"/>
        </w:rPr>
        <w:t>mitzvot</w:t>
      </w:r>
      <w:r w:rsidRPr="005F3609">
        <w:rPr>
          <w:lang w:bidi="he-IL"/>
        </w:rPr>
        <w:t xml:space="preserve"> that surround man or reflect significant historical moments. </w:t>
      </w:r>
      <w:r>
        <w:rPr>
          <w:lang w:bidi="he-IL"/>
        </w:rPr>
        <w:t>R</w:t>
      </w:r>
      <w:r>
        <w:rPr>
          <w:lang w:bidi="he-IL"/>
        </w:rPr>
        <w:t>eversing the usual reading of the verse</w:t>
      </w:r>
      <w:r w:rsidRPr="005F3609">
        <w:rPr>
          <w:lang w:bidi="he-IL"/>
        </w:rPr>
        <w:t xml:space="preserve">, </w:t>
      </w:r>
      <w:r>
        <w:rPr>
          <w:lang w:bidi="he-IL"/>
        </w:rPr>
        <w:t>t</w:t>
      </w:r>
      <w:r w:rsidRPr="005F3609">
        <w:rPr>
          <w:lang w:bidi="he-IL"/>
        </w:rPr>
        <w:t xml:space="preserve">he seal </w:t>
      </w:r>
      <w:r>
        <w:rPr>
          <w:lang w:bidi="he-IL"/>
        </w:rPr>
        <w:t>represents</w:t>
      </w:r>
      <w:r w:rsidRPr="005F3609">
        <w:rPr>
          <w:lang w:bidi="he-IL"/>
        </w:rPr>
        <w:t xml:space="preserve"> actions </w:t>
      </w:r>
      <w:r>
        <w:rPr>
          <w:lang w:bidi="he-IL"/>
        </w:rPr>
        <w:t>(reciting the</w:t>
      </w:r>
      <w:r w:rsidRPr="005F3609">
        <w:rPr>
          <w:lang w:bidi="he-IL"/>
        </w:rPr>
        <w:t xml:space="preserve"> </w:t>
      </w:r>
      <w:proofErr w:type="spellStart"/>
      <w:r w:rsidR="00884195" w:rsidRPr="00884195">
        <w:rPr>
          <w:i/>
          <w:iCs/>
          <w:lang w:bidi="he-IL"/>
        </w:rPr>
        <w:t>s</w:t>
      </w:r>
      <w:r w:rsidRPr="00884195">
        <w:rPr>
          <w:i/>
          <w:iCs/>
          <w:lang w:bidi="he-IL"/>
        </w:rPr>
        <w:t>hema</w:t>
      </w:r>
      <w:proofErr w:type="spellEnd"/>
      <w:r w:rsidRPr="005F3609">
        <w:rPr>
          <w:lang w:bidi="he-IL"/>
        </w:rPr>
        <w:t xml:space="preserve"> and </w:t>
      </w:r>
      <w:r>
        <w:rPr>
          <w:lang w:bidi="he-IL"/>
        </w:rPr>
        <w:t>wearing phylacteries) t</w:t>
      </w:r>
      <w:r w:rsidRPr="005F3609">
        <w:rPr>
          <w:lang w:bidi="he-IL"/>
        </w:rPr>
        <w:t xml:space="preserve">hat the </w:t>
      </w:r>
      <w:r>
        <w:rPr>
          <w:lang w:bidi="he-IL"/>
        </w:rPr>
        <w:t>young woman (Israel)</w:t>
      </w:r>
      <w:r w:rsidRPr="005F3609">
        <w:rPr>
          <w:lang w:bidi="he-IL"/>
        </w:rPr>
        <w:t xml:space="preserve"> </w:t>
      </w:r>
      <w:r>
        <w:rPr>
          <w:lang w:bidi="he-IL"/>
        </w:rPr>
        <w:t>performs</w:t>
      </w:r>
      <w:r w:rsidRPr="005F3609">
        <w:rPr>
          <w:lang w:bidi="he-IL"/>
        </w:rPr>
        <w:t xml:space="preserve"> in order not to forget her </w:t>
      </w:r>
      <w:r>
        <w:rPr>
          <w:lang w:bidi="he-IL"/>
        </w:rPr>
        <w:t>beloved.</w:t>
      </w:r>
    </w:p>
    <w:p w14:paraId="7C1D8AC7" w14:textId="77777777" w:rsidR="00ED5CFD" w:rsidRDefault="00ED5CFD" w:rsidP="005B2617">
      <w:pPr>
        <w:rPr>
          <w:lang w:bidi="he-IL"/>
        </w:rPr>
      </w:pPr>
      <w:r w:rsidRPr="005D592F">
        <w:rPr>
          <w:lang w:bidi="he-IL"/>
        </w:rPr>
        <w:t xml:space="preserve">The </w:t>
      </w:r>
      <w:proofErr w:type="spellStart"/>
      <w:r>
        <w:rPr>
          <w:lang w:bidi="he-IL"/>
        </w:rPr>
        <w:t>Tannaic</w:t>
      </w:r>
      <w:proofErr w:type="spellEnd"/>
      <w:r w:rsidRPr="005D592F">
        <w:rPr>
          <w:lang w:bidi="he-IL"/>
        </w:rPr>
        <w:t xml:space="preserve"> approach to the verses </w:t>
      </w:r>
      <w:r>
        <w:rPr>
          <w:lang w:bidi="he-IL"/>
        </w:rPr>
        <w:t>from</w:t>
      </w:r>
      <w:r w:rsidRPr="005D592F">
        <w:rPr>
          <w:lang w:bidi="he-IL"/>
        </w:rPr>
        <w:t xml:space="preserve"> </w:t>
      </w:r>
      <w:r w:rsidRPr="0050593D">
        <w:rPr>
          <w:i/>
          <w:iCs/>
          <w:lang w:bidi="he-IL"/>
        </w:rPr>
        <w:t>Song of Songs</w:t>
      </w:r>
      <w:r w:rsidRPr="005D592F">
        <w:rPr>
          <w:lang w:bidi="he-IL"/>
        </w:rPr>
        <w:t xml:space="preserve"> describing the </w:t>
      </w:r>
      <w:r>
        <w:rPr>
          <w:lang w:bidi="he-IL"/>
        </w:rPr>
        <w:t>beloved’s</w:t>
      </w:r>
      <w:r w:rsidRPr="005D592F">
        <w:rPr>
          <w:lang w:bidi="he-IL"/>
        </w:rPr>
        <w:t xml:space="preserve"> body is similar to the physical </w:t>
      </w:r>
      <w:r>
        <w:rPr>
          <w:lang w:bidi="he-IL"/>
        </w:rPr>
        <w:t>conception</w:t>
      </w:r>
      <w:r w:rsidRPr="005D592F">
        <w:rPr>
          <w:lang w:bidi="he-IL"/>
        </w:rPr>
        <w:t xml:space="preserve"> of God </w:t>
      </w:r>
      <w:r>
        <w:rPr>
          <w:lang w:bidi="he-IL"/>
        </w:rPr>
        <w:t xml:space="preserve">in </w:t>
      </w:r>
      <w:r w:rsidRPr="00337981">
        <w:rPr>
          <w:i/>
          <w:iCs/>
          <w:lang w:bidi="he-IL"/>
        </w:rPr>
        <w:t xml:space="preserve">Shiur </w:t>
      </w:r>
      <w:proofErr w:type="spellStart"/>
      <w:r w:rsidRPr="00337981">
        <w:rPr>
          <w:i/>
          <w:iCs/>
          <w:lang w:bidi="he-IL"/>
        </w:rPr>
        <w:t>Qoma</w:t>
      </w:r>
      <w:proofErr w:type="spellEnd"/>
      <w:r w:rsidRPr="005D592F">
        <w:rPr>
          <w:lang w:bidi="he-IL"/>
        </w:rPr>
        <w:t xml:space="preserve">. </w:t>
      </w:r>
      <w:r>
        <w:rPr>
          <w:lang w:bidi="he-IL"/>
        </w:rPr>
        <w:t>O</w:t>
      </w:r>
      <w:r w:rsidRPr="005D592F">
        <w:rPr>
          <w:lang w:bidi="he-IL"/>
        </w:rPr>
        <w:t xml:space="preserve">ne </w:t>
      </w:r>
      <w:r>
        <w:rPr>
          <w:lang w:bidi="he-IL"/>
        </w:rPr>
        <w:t xml:space="preserve">cannot necessarily </w:t>
      </w:r>
      <w:r w:rsidRPr="005D592F">
        <w:rPr>
          <w:lang w:bidi="he-IL"/>
        </w:rPr>
        <w:t xml:space="preserve">conclude from this </w:t>
      </w:r>
      <w:r>
        <w:rPr>
          <w:lang w:bidi="he-IL"/>
        </w:rPr>
        <w:t xml:space="preserve">that the </w:t>
      </w:r>
      <w:proofErr w:type="spellStart"/>
      <w:r>
        <w:rPr>
          <w:lang w:bidi="he-IL"/>
        </w:rPr>
        <w:t>Tannaim</w:t>
      </w:r>
      <w:proofErr w:type="spellEnd"/>
      <w:r>
        <w:rPr>
          <w:lang w:bidi="he-IL"/>
        </w:rPr>
        <w:t xml:space="preserve"> </w:t>
      </w:r>
      <w:r>
        <w:rPr>
          <w:lang w:bidi="he-IL"/>
        </w:rPr>
        <w:t>engaged in the</w:t>
      </w:r>
      <w:r w:rsidRPr="005D592F">
        <w:rPr>
          <w:lang w:bidi="he-IL"/>
        </w:rPr>
        <w:t xml:space="preserve"> </w:t>
      </w:r>
      <w:r>
        <w:rPr>
          <w:lang w:bidi="he-IL"/>
        </w:rPr>
        <w:t xml:space="preserve">mystical practices of </w:t>
      </w:r>
      <w:r w:rsidRPr="00337981">
        <w:rPr>
          <w:i/>
          <w:iCs/>
          <w:lang w:bidi="he-IL"/>
        </w:rPr>
        <w:t xml:space="preserve">Shiur </w:t>
      </w:r>
      <w:proofErr w:type="spellStart"/>
      <w:r w:rsidRPr="00337981">
        <w:rPr>
          <w:i/>
          <w:iCs/>
          <w:lang w:bidi="he-IL"/>
        </w:rPr>
        <w:t>Qoma</w:t>
      </w:r>
      <w:proofErr w:type="spellEnd"/>
      <w:r w:rsidRPr="005D592F">
        <w:rPr>
          <w:lang w:bidi="he-IL"/>
        </w:rPr>
        <w:t xml:space="preserve">, but </w:t>
      </w:r>
      <w:r>
        <w:rPr>
          <w:lang w:bidi="he-IL"/>
        </w:rPr>
        <w:t>even so,</w:t>
      </w:r>
      <w:r w:rsidRPr="005D592F">
        <w:rPr>
          <w:lang w:bidi="he-IL"/>
        </w:rPr>
        <w:t xml:space="preserve"> </w:t>
      </w:r>
      <w:r>
        <w:rPr>
          <w:lang w:bidi="he-IL"/>
        </w:rPr>
        <w:t>there is something</w:t>
      </w:r>
      <w:r w:rsidRPr="005D592F">
        <w:rPr>
          <w:lang w:bidi="he-IL"/>
        </w:rPr>
        <w:t xml:space="preserve"> in common. </w:t>
      </w:r>
      <w:r>
        <w:rPr>
          <w:lang w:bidi="he-IL"/>
        </w:rPr>
        <w:t>This commonality supports</w:t>
      </w:r>
      <w:r w:rsidRPr="005D592F">
        <w:rPr>
          <w:lang w:bidi="he-IL"/>
        </w:rPr>
        <w:t xml:space="preserve"> the position of Lieberman and </w:t>
      </w:r>
      <w:proofErr w:type="spellStart"/>
      <w:r w:rsidRPr="005D592F">
        <w:rPr>
          <w:lang w:bidi="he-IL"/>
        </w:rPr>
        <w:t>S</w:t>
      </w:r>
      <w:r>
        <w:rPr>
          <w:lang w:bidi="he-IL"/>
        </w:rPr>
        <w:t>cholem</w:t>
      </w:r>
      <w:proofErr w:type="spellEnd"/>
      <w:r w:rsidRPr="005D592F">
        <w:rPr>
          <w:lang w:bidi="he-IL"/>
        </w:rPr>
        <w:t xml:space="preserve"> </w:t>
      </w:r>
      <w:r>
        <w:rPr>
          <w:lang w:bidi="he-IL"/>
        </w:rPr>
        <w:t xml:space="preserve">that </w:t>
      </w:r>
      <w:r w:rsidRPr="00337981">
        <w:rPr>
          <w:i/>
          <w:iCs/>
          <w:lang w:bidi="he-IL"/>
        </w:rPr>
        <w:t xml:space="preserve">Shiur </w:t>
      </w:r>
      <w:proofErr w:type="spellStart"/>
      <w:r w:rsidRPr="00337981">
        <w:rPr>
          <w:i/>
          <w:iCs/>
          <w:lang w:bidi="he-IL"/>
        </w:rPr>
        <w:t>Qoma</w:t>
      </w:r>
      <w:proofErr w:type="spellEnd"/>
      <w:r>
        <w:rPr>
          <w:lang w:bidi="he-IL"/>
        </w:rPr>
        <w:t xml:space="preserve"> is</w:t>
      </w:r>
      <w:r w:rsidRPr="005D592F">
        <w:rPr>
          <w:lang w:bidi="he-IL"/>
        </w:rPr>
        <w:t xml:space="preserve"> a midrash </w:t>
      </w:r>
      <w:r>
        <w:rPr>
          <w:lang w:bidi="he-IL"/>
        </w:rPr>
        <w:t xml:space="preserve">on </w:t>
      </w:r>
      <w:r w:rsidRPr="0050593D">
        <w:rPr>
          <w:i/>
          <w:iCs/>
          <w:lang w:bidi="he-IL"/>
        </w:rPr>
        <w:t>Song of Songs</w:t>
      </w:r>
      <w:r w:rsidRPr="005D592F">
        <w:rPr>
          <w:lang w:bidi="he-IL"/>
        </w:rPr>
        <w:t xml:space="preserve"> from the end of the </w:t>
      </w:r>
      <w:proofErr w:type="spellStart"/>
      <w:r w:rsidRPr="005D592F">
        <w:rPr>
          <w:lang w:bidi="he-IL"/>
        </w:rPr>
        <w:t>Tanai</w:t>
      </w:r>
      <w:r>
        <w:rPr>
          <w:lang w:bidi="he-IL"/>
        </w:rPr>
        <w:t>c</w:t>
      </w:r>
      <w:proofErr w:type="spellEnd"/>
      <w:r w:rsidRPr="005D592F">
        <w:rPr>
          <w:lang w:bidi="he-IL"/>
        </w:rPr>
        <w:t xml:space="preserve"> period. The</w:t>
      </w:r>
      <w:r>
        <w:rPr>
          <w:lang w:bidi="he-IL"/>
        </w:rPr>
        <w:t xml:space="preserve"> </w:t>
      </w:r>
      <w:proofErr w:type="spellStart"/>
      <w:r>
        <w:rPr>
          <w:lang w:bidi="he-IL"/>
        </w:rPr>
        <w:t>Tannaim’s</w:t>
      </w:r>
      <w:proofErr w:type="spellEnd"/>
      <w:r>
        <w:rPr>
          <w:lang w:bidi="he-IL"/>
        </w:rPr>
        <w:t xml:space="preserve"> interpretation of the description of the beloved in </w:t>
      </w:r>
      <w:r w:rsidRPr="0050593D">
        <w:rPr>
          <w:i/>
          <w:iCs/>
          <w:lang w:bidi="he-IL"/>
        </w:rPr>
        <w:t>Song of Songs</w:t>
      </w:r>
      <w:r>
        <w:rPr>
          <w:lang w:bidi="he-IL"/>
        </w:rPr>
        <w:t xml:space="preserve"> is characterized by a</w:t>
      </w:r>
      <w:r w:rsidRPr="005D592F">
        <w:rPr>
          <w:lang w:bidi="he-IL"/>
        </w:rPr>
        <w:t xml:space="preserve"> </w:t>
      </w:r>
      <w:r>
        <w:rPr>
          <w:lang w:bidi="he-IL"/>
        </w:rPr>
        <w:t>corporeal conception</w:t>
      </w:r>
      <w:r w:rsidRPr="005D592F">
        <w:rPr>
          <w:lang w:bidi="he-IL"/>
        </w:rPr>
        <w:t xml:space="preserve"> of God, </w:t>
      </w:r>
      <w:r>
        <w:rPr>
          <w:lang w:bidi="he-IL"/>
        </w:rPr>
        <w:t>which</w:t>
      </w:r>
      <w:r w:rsidRPr="005D592F">
        <w:rPr>
          <w:lang w:bidi="he-IL"/>
        </w:rPr>
        <w:t xml:space="preserve"> could also </w:t>
      </w:r>
      <w:r>
        <w:rPr>
          <w:lang w:bidi="he-IL"/>
        </w:rPr>
        <w:t xml:space="preserve">have been </w:t>
      </w:r>
      <w:r w:rsidRPr="005D592F">
        <w:rPr>
          <w:lang w:bidi="he-IL"/>
        </w:rPr>
        <w:t xml:space="preserve">a component of </w:t>
      </w:r>
      <w:r>
        <w:rPr>
          <w:lang w:bidi="he-IL"/>
        </w:rPr>
        <w:t>early</w:t>
      </w:r>
      <w:r w:rsidRPr="005D592F">
        <w:rPr>
          <w:lang w:bidi="he-IL"/>
        </w:rPr>
        <w:t xml:space="preserve"> Jewish mysticism.</w:t>
      </w:r>
    </w:p>
    <w:p w14:paraId="1C90F2AC" w14:textId="77777777" w:rsidR="00C71233" w:rsidRDefault="00C71233" w:rsidP="005B2617">
      <w:pPr>
        <w:rPr>
          <w:lang w:bidi="he-IL"/>
        </w:rPr>
      </w:pPr>
    </w:p>
    <w:p w14:paraId="79D240BD" w14:textId="77777777" w:rsidR="00C71233" w:rsidRPr="008B7976" w:rsidRDefault="00C71233" w:rsidP="00C71233">
      <w:pPr>
        <w:shd w:val="clear" w:color="auto" w:fill="FFFFFF"/>
        <w:adjustRightInd w:val="0"/>
        <w:snapToGrid w:val="0"/>
        <w:ind w:left="680" w:hanging="680"/>
        <w:rPr>
          <w:b/>
          <w:bCs/>
        </w:rPr>
      </w:pPr>
      <w:r w:rsidRPr="008B7976">
        <w:rPr>
          <w:b/>
          <w:bCs/>
        </w:rPr>
        <w:t>Sources</w:t>
      </w:r>
    </w:p>
    <w:p w14:paraId="120A79EA" w14:textId="77777777" w:rsidR="00C71233" w:rsidRPr="008B7976" w:rsidRDefault="00C71233" w:rsidP="00C71233">
      <w:pPr>
        <w:shd w:val="clear" w:color="auto" w:fill="FFFFFF"/>
        <w:adjustRightInd w:val="0"/>
        <w:snapToGrid w:val="0"/>
        <w:ind w:left="680" w:hanging="680"/>
        <w:rPr>
          <w:color w:val="292B2C"/>
        </w:rPr>
      </w:pPr>
      <w:bookmarkStart w:id="31" w:name="b2"/>
      <w:bookmarkStart w:id="32" w:name="idm256031680"/>
      <w:bookmarkEnd w:id="31"/>
      <w:bookmarkEnd w:id="32"/>
      <w:proofErr w:type="spellStart"/>
      <w:r w:rsidRPr="008B7976">
        <w:rPr>
          <w:i/>
          <w:iCs/>
          <w:color w:val="292B2C"/>
        </w:rPr>
        <w:lastRenderedPageBreak/>
        <w:t>Mekhilta</w:t>
      </w:r>
      <w:proofErr w:type="spellEnd"/>
      <w:r w:rsidRPr="008B7976">
        <w:rPr>
          <w:i/>
          <w:iCs/>
          <w:color w:val="292B2C"/>
        </w:rPr>
        <w:t xml:space="preserve"> de-Rabbi Ishmael</w:t>
      </w:r>
      <w:r>
        <w:rPr>
          <w:i/>
          <w:iCs/>
          <w:color w:val="292B2C"/>
        </w:rPr>
        <w:t>,</w:t>
      </w:r>
      <w:r w:rsidRPr="008B7976">
        <w:rPr>
          <w:i/>
          <w:iCs/>
          <w:color w:val="292B2C"/>
        </w:rPr>
        <w:t xml:space="preserve"> A Critical Edition, </w:t>
      </w:r>
      <w:r>
        <w:rPr>
          <w:i/>
          <w:iCs/>
          <w:color w:val="292B2C"/>
        </w:rPr>
        <w:t>B</w:t>
      </w:r>
      <w:r w:rsidRPr="008B7976">
        <w:rPr>
          <w:i/>
          <w:iCs/>
          <w:color w:val="292B2C"/>
        </w:rPr>
        <w:t xml:space="preserve">ased on the </w:t>
      </w:r>
      <w:r>
        <w:rPr>
          <w:i/>
          <w:iCs/>
          <w:color w:val="292B2C"/>
        </w:rPr>
        <w:t>M</w:t>
      </w:r>
      <w:r w:rsidRPr="008B7976">
        <w:rPr>
          <w:i/>
          <w:iCs/>
          <w:color w:val="292B2C"/>
        </w:rPr>
        <w:t xml:space="preserve">anuscripts and </w:t>
      </w:r>
      <w:r>
        <w:rPr>
          <w:i/>
          <w:iCs/>
          <w:color w:val="292B2C"/>
        </w:rPr>
        <w:t>E</w:t>
      </w:r>
      <w:r w:rsidRPr="008B7976">
        <w:rPr>
          <w:i/>
          <w:iCs/>
          <w:color w:val="292B2C"/>
        </w:rPr>
        <w:t xml:space="preserve">arly </w:t>
      </w:r>
      <w:r>
        <w:rPr>
          <w:i/>
          <w:iCs/>
          <w:color w:val="292B2C"/>
        </w:rPr>
        <w:t>E</w:t>
      </w:r>
      <w:r w:rsidRPr="008B7976">
        <w:rPr>
          <w:i/>
          <w:iCs/>
          <w:color w:val="292B2C"/>
        </w:rPr>
        <w:t>ditions with an English translation, introduction, and notes by Jacob Z. Lauterbach</w:t>
      </w:r>
      <w:r w:rsidRPr="008B7976">
        <w:rPr>
          <w:color w:val="292B2C"/>
        </w:rPr>
        <w:t>, 1-2</w:t>
      </w:r>
      <w:r>
        <w:rPr>
          <w:color w:val="292B2C"/>
        </w:rPr>
        <w:t>,</w:t>
      </w:r>
      <w:r w:rsidRPr="008B7976">
        <w:rPr>
          <w:color w:val="292B2C"/>
        </w:rPr>
        <w:t>2. Philadelphia</w:t>
      </w:r>
      <w:r>
        <w:rPr>
          <w:color w:val="292B2C"/>
        </w:rPr>
        <w:t>,</w:t>
      </w:r>
      <w:r w:rsidRPr="008B7976">
        <w:rPr>
          <w:color w:val="292B2C"/>
        </w:rPr>
        <w:t xml:space="preserve"> Jewish Publication Society, 2004</w:t>
      </w:r>
    </w:p>
    <w:p w14:paraId="36F3C52C" w14:textId="77777777" w:rsidR="00C71233" w:rsidRPr="008B7976" w:rsidRDefault="00C71233" w:rsidP="00C71233">
      <w:pPr>
        <w:shd w:val="clear" w:color="auto" w:fill="FFFFFF"/>
        <w:adjustRightInd w:val="0"/>
        <w:snapToGrid w:val="0"/>
        <w:ind w:left="680" w:hanging="680"/>
        <w:rPr>
          <w:color w:val="292B2C"/>
        </w:rPr>
      </w:pPr>
      <w:bookmarkStart w:id="33" w:name="b3"/>
      <w:bookmarkStart w:id="34" w:name="idm251403792"/>
      <w:bookmarkEnd w:id="33"/>
      <w:bookmarkEnd w:id="34"/>
      <w:r w:rsidRPr="008B7976">
        <w:rPr>
          <w:i/>
          <w:iCs/>
          <w:color w:val="292B2C"/>
        </w:rPr>
        <w:t>Midrash Rabbah, Song of Songs</w:t>
      </w:r>
      <w:r w:rsidRPr="008B7976">
        <w:rPr>
          <w:color w:val="292B2C"/>
        </w:rPr>
        <w:t>. M</w:t>
      </w:r>
      <w:r>
        <w:rPr>
          <w:color w:val="292B2C"/>
        </w:rPr>
        <w:t>.</w:t>
      </w:r>
      <w:r w:rsidRPr="008B7976">
        <w:rPr>
          <w:color w:val="292B2C"/>
        </w:rPr>
        <w:t xml:space="preserve"> Simon </w:t>
      </w:r>
      <w:r>
        <w:rPr>
          <w:color w:val="292B2C"/>
        </w:rPr>
        <w:t>(</w:t>
      </w:r>
      <w:r w:rsidRPr="008B7976">
        <w:rPr>
          <w:color w:val="292B2C"/>
        </w:rPr>
        <w:t>trans</w:t>
      </w:r>
      <w:r>
        <w:rPr>
          <w:color w:val="292B2C"/>
        </w:rPr>
        <w:t>),</w:t>
      </w:r>
      <w:r w:rsidRPr="008B7976">
        <w:rPr>
          <w:color w:val="292B2C"/>
        </w:rPr>
        <w:t xml:space="preserve"> London</w:t>
      </w:r>
      <w:r>
        <w:rPr>
          <w:color w:val="292B2C"/>
        </w:rPr>
        <w:t>,</w:t>
      </w:r>
      <w:r w:rsidRPr="008B7976">
        <w:rPr>
          <w:color w:val="292B2C"/>
        </w:rPr>
        <w:t xml:space="preserve"> Soncino, 1939</w:t>
      </w:r>
    </w:p>
    <w:p w14:paraId="40E0078B" w14:textId="77777777" w:rsidR="00C71233" w:rsidRPr="008B7976" w:rsidRDefault="00C71233" w:rsidP="00C71233">
      <w:pPr>
        <w:shd w:val="clear" w:color="auto" w:fill="FFFFFF"/>
        <w:adjustRightInd w:val="0"/>
        <w:snapToGrid w:val="0"/>
        <w:ind w:left="680" w:hanging="680"/>
        <w:rPr>
          <w:color w:val="292B2C"/>
        </w:rPr>
      </w:pPr>
      <w:bookmarkStart w:id="35" w:name="b4"/>
      <w:bookmarkStart w:id="36" w:name="idm254523232"/>
      <w:bookmarkEnd w:id="35"/>
      <w:bookmarkEnd w:id="36"/>
      <w:r w:rsidRPr="008B7976">
        <w:rPr>
          <w:i/>
          <w:iCs/>
          <w:color w:val="292B2C"/>
        </w:rPr>
        <w:t>Origen</w:t>
      </w:r>
      <w:r>
        <w:rPr>
          <w:i/>
          <w:iCs/>
          <w:color w:val="292B2C"/>
        </w:rPr>
        <w:t>,</w:t>
      </w:r>
      <w:r w:rsidRPr="008B7976">
        <w:rPr>
          <w:i/>
          <w:iCs/>
          <w:color w:val="292B2C"/>
        </w:rPr>
        <w:t xml:space="preserve"> The Song of Songs Commentary and Homilies, Ancient Christian Writers</w:t>
      </w:r>
      <w:r>
        <w:rPr>
          <w:i/>
          <w:iCs/>
          <w:color w:val="292B2C"/>
        </w:rPr>
        <w:t>,</w:t>
      </w:r>
      <w:r w:rsidRPr="008B7976">
        <w:rPr>
          <w:i/>
          <w:iCs/>
          <w:color w:val="292B2C"/>
        </w:rPr>
        <w:t xml:space="preserve"> The Works of the Fathers in Translation 26</w:t>
      </w:r>
      <w:r w:rsidRPr="008B7976">
        <w:rPr>
          <w:color w:val="292B2C"/>
        </w:rPr>
        <w:t xml:space="preserve">. R. P. Lawson, </w:t>
      </w:r>
      <w:r>
        <w:rPr>
          <w:color w:val="292B2C"/>
        </w:rPr>
        <w:t>(</w:t>
      </w:r>
      <w:r w:rsidRPr="008B7976">
        <w:rPr>
          <w:color w:val="292B2C"/>
        </w:rPr>
        <w:t>trans</w:t>
      </w:r>
      <w:r>
        <w:rPr>
          <w:color w:val="292B2C"/>
        </w:rPr>
        <w:t>),</w:t>
      </w:r>
      <w:r w:rsidRPr="008B7976">
        <w:rPr>
          <w:color w:val="292B2C"/>
        </w:rPr>
        <w:t xml:space="preserve"> London</w:t>
      </w:r>
      <w:r>
        <w:rPr>
          <w:color w:val="292B2C"/>
        </w:rPr>
        <w:t>,</w:t>
      </w:r>
      <w:r w:rsidRPr="008B7976">
        <w:rPr>
          <w:color w:val="292B2C"/>
        </w:rPr>
        <w:t xml:space="preserve"> Newman Press, 1957</w:t>
      </w:r>
    </w:p>
    <w:p w14:paraId="6D8E422D" w14:textId="77777777" w:rsidR="00C71233" w:rsidRPr="008B7976" w:rsidRDefault="00C71233" w:rsidP="00C71233">
      <w:pPr>
        <w:shd w:val="clear" w:color="auto" w:fill="FFFFFF"/>
        <w:adjustRightInd w:val="0"/>
        <w:snapToGrid w:val="0"/>
        <w:ind w:left="680" w:hanging="680"/>
        <w:rPr>
          <w:color w:val="292B2C"/>
        </w:rPr>
      </w:pPr>
      <w:bookmarkStart w:id="37" w:name="b5"/>
      <w:bookmarkStart w:id="38" w:name="idm253032544"/>
      <w:bookmarkEnd w:id="37"/>
      <w:bookmarkEnd w:id="38"/>
      <w:r w:rsidRPr="008B7976">
        <w:rPr>
          <w:i/>
          <w:iCs/>
          <w:color w:val="292B2C"/>
        </w:rPr>
        <w:t xml:space="preserve">The </w:t>
      </w:r>
      <w:proofErr w:type="spellStart"/>
      <w:r w:rsidRPr="008B7976">
        <w:rPr>
          <w:i/>
          <w:iCs/>
          <w:color w:val="292B2C"/>
        </w:rPr>
        <w:t>Shi’ur</w:t>
      </w:r>
      <w:proofErr w:type="spellEnd"/>
      <w:r w:rsidRPr="008B7976">
        <w:rPr>
          <w:i/>
          <w:iCs/>
          <w:color w:val="292B2C"/>
        </w:rPr>
        <w:t xml:space="preserve"> </w:t>
      </w:r>
      <w:proofErr w:type="spellStart"/>
      <w:r w:rsidRPr="008B7976">
        <w:rPr>
          <w:i/>
          <w:iCs/>
          <w:color w:val="292B2C"/>
        </w:rPr>
        <w:t>Qomah</w:t>
      </w:r>
      <w:proofErr w:type="spellEnd"/>
      <w:r>
        <w:rPr>
          <w:i/>
          <w:iCs/>
          <w:color w:val="292B2C"/>
        </w:rPr>
        <w:t>,</w:t>
      </w:r>
      <w:r w:rsidRPr="008B7976">
        <w:rPr>
          <w:i/>
          <w:iCs/>
          <w:color w:val="292B2C"/>
        </w:rPr>
        <w:t xml:space="preserve"> Texts and Recensions, Cohen Martin Samuel, </w:t>
      </w:r>
      <w:proofErr w:type="spellStart"/>
      <w:r w:rsidRPr="008B7976">
        <w:rPr>
          <w:i/>
          <w:iCs/>
          <w:color w:val="292B2C"/>
        </w:rPr>
        <w:t>Texte</w:t>
      </w:r>
      <w:proofErr w:type="spellEnd"/>
      <w:r w:rsidRPr="008B7976">
        <w:rPr>
          <w:i/>
          <w:iCs/>
          <w:color w:val="292B2C"/>
        </w:rPr>
        <w:t xml:space="preserve"> und </w:t>
      </w:r>
      <w:proofErr w:type="spellStart"/>
      <w:r w:rsidRPr="008B7976">
        <w:rPr>
          <w:i/>
          <w:iCs/>
          <w:color w:val="292B2C"/>
        </w:rPr>
        <w:t>Studien</w:t>
      </w:r>
      <w:proofErr w:type="spellEnd"/>
      <w:r w:rsidRPr="008B7976">
        <w:rPr>
          <w:i/>
          <w:iCs/>
          <w:color w:val="292B2C"/>
        </w:rPr>
        <w:t xml:space="preserve"> </w:t>
      </w:r>
      <w:proofErr w:type="spellStart"/>
      <w:r w:rsidRPr="008B7976">
        <w:rPr>
          <w:i/>
          <w:iCs/>
          <w:color w:val="292B2C"/>
        </w:rPr>
        <w:t>zum</w:t>
      </w:r>
      <w:proofErr w:type="spellEnd"/>
      <w:r w:rsidRPr="008B7976">
        <w:rPr>
          <w:i/>
          <w:iCs/>
          <w:color w:val="292B2C"/>
        </w:rPr>
        <w:t xml:space="preserve"> </w:t>
      </w:r>
      <w:proofErr w:type="spellStart"/>
      <w:r w:rsidRPr="008B7976">
        <w:rPr>
          <w:i/>
          <w:iCs/>
          <w:color w:val="292B2C"/>
        </w:rPr>
        <w:t>Antiken</w:t>
      </w:r>
      <w:proofErr w:type="spellEnd"/>
      <w:r w:rsidRPr="008B7976">
        <w:rPr>
          <w:i/>
          <w:iCs/>
          <w:color w:val="292B2C"/>
        </w:rPr>
        <w:t xml:space="preserve"> </w:t>
      </w:r>
      <w:proofErr w:type="spellStart"/>
      <w:r w:rsidRPr="008B7976">
        <w:rPr>
          <w:i/>
          <w:iCs/>
          <w:color w:val="292B2C"/>
        </w:rPr>
        <w:t>Judentum</w:t>
      </w:r>
      <w:proofErr w:type="spellEnd"/>
      <w:r w:rsidRPr="008B7976">
        <w:rPr>
          <w:i/>
          <w:iCs/>
          <w:color w:val="292B2C"/>
        </w:rPr>
        <w:t xml:space="preserve"> 9</w:t>
      </w:r>
      <w:r w:rsidRPr="008B7976">
        <w:rPr>
          <w:color w:val="292B2C"/>
        </w:rPr>
        <w:t>. Tübingen</w:t>
      </w:r>
      <w:r>
        <w:rPr>
          <w:color w:val="292B2C"/>
        </w:rPr>
        <w:t>,</w:t>
      </w:r>
      <w:r w:rsidRPr="008B7976">
        <w:rPr>
          <w:color w:val="292B2C"/>
        </w:rPr>
        <w:t xml:space="preserve"> Mohr </w:t>
      </w:r>
      <w:proofErr w:type="spellStart"/>
      <w:r w:rsidRPr="008B7976">
        <w:rPr>
          <w:color w:val="292B2C"/>
        </w:rPr>
        <w:t>Siebeck</w:t>
      </w:r>
      <w:proofErr w:type="spellEnd"/>
      <w:r w:rsidRPr="008B7976">
        <w:rPr>
          <w:color w:val="292B2C"/>
        </w:rPr>
        <w:t>, 1985</w:t>
      </w:r>
    </w:p>
    <w:p w14:paraId="058D9AA8" w14:textId="77777777" w:rsidR="00C71233" w:rsidRPr="008B7976" w:rsidRDefault="00C71233" w:rsidP="00C71233">
      <w:pPr>
        <w:shd w:val="clear" w:color="auto" w:fill="FFFFFF"/>
        <w:adjustRightInd w:val="0"/>
        <w:snapToGrid w:val="0"/>
        <w:ind w:left="680" w:hanging="680"/>
      </w:pPr>
      <w:bookmarkStart w:id="39" w:name="b6"/>
      <w:bookmarkStart w:id="40" w:name="idm250234528"/>
      <w:bookmarkEnd w:id="39"/>
      <w:bookmarkEnd w:id="40"/>
      <w:proofErr w:type="spellStart"/>
      <w:r w:rsidRPr="008B7976">
        <w:rPr>
          <w:i/>
          <w:iCs/>
        </w:rPr>
        <w:t>Sifre</w:t>
      </w:r>
      <w:proofErr w:type="spellEnd"/>
      <w:r w:rsidRPr="008B7976">
        <w:rPr>
          <w:i/>
          <w:iCs/>
        </w:rPr>
        <w:t xml:space="preserve"> on Deuteronomy</w:t>
      </w:r>
      <w:r w:rsidRPr="008B7976">
        <w:t>, L</w:t>
      </w:r>
      <w:r>
        <w:t>.</w:t>
      </w:r>
      <w:r w:rsidRPr="008B7976">
        <w:t xml:space="preserve"> Finkelstein</w:t>
      </w:r>
      <w:r>
        <w:t xml:space="preserve"> (ed),</w:t>
      </w:r>
      <w:r w:rsidRPr="008B7976">
        <w:t xml:space="preserve"> New York and Jerusalem</w:t>
      </w:r>
      <w:r>
        <w:t>,</w:t>
      </w:r>
      <w:r w:rsidRPr="008B7976">
        <w:t xml:space="preserve"> JTS 1993</w:t>
      </w:r>
      <w:r w:rsidRPr="008B7976">
        <w:rPr>
          <w:sz w:val="18"/>
          <w:szCs w:val="18"/>
          <w:vertAlign w:val="superscript"/>
        </w:rPr>
        <w:t>3</w:t>
      </w:r>
    </w:p>
    <w:p w14:paraId="2472DE7F" w14:textId="712A524B" w:rsidR="00C71233" w:rsidRDefault="00C71233" w:rsidP="00C71233">
      <w:pPr>
        <w:shd w:val="clear" w:color="auto" w:fill="FFFFFF"/>
        <w:adjustRightInd w:val="0"/>
        <w:snapToGrid w:val="0"/>
        <w:ind w:left="680" w:hanging="680"/>
      </w:pPr>
      <w:bookmarkStart w:id="41" w:name="b7"/>
      <w:bookmarkStart w:id="42" w:name="idm252700992"/>
      <w:bookmarkEnd w:id="41"/>
      <w:bookmarkEnd w:id="42"/>
      <w:r w:rsidRPr="008B7976">
        <w:rPr>
          <w:i/>
          <w:iCs/>
        </w:rPr>
        <w:t>Song of Songs Rabbah</w:t>
      </w:r>
      <w:r w:rsidRPr="008B7976">
        <w:t>, A synoptic edition by T</w:t>
      </w:r>
      <w:r>
        <w:t>.</w:t>
      </w:r>
      <w:r w:rsidRPr="008B7976">
        <w:t xml:space="preserve"> </w:t>
      </w:r>
      <w:proofErr w:type="spellStart"/>
      <w:r w:rsidRPr="008B7976">
        <w:t>Kadari</w:t>
      </w:r>
      <w:proofErr w:type="spellEnd"/>
      <w:r w:rsidRPr="008B7976">
        <w:t> </w:t>
      </w:r>
      <w:hyperlink r:id="rId12" w:history="1">
        <w:r w:rsidR="00884195" w:rsidRPr="008B7976">
          <w:rPr>
            <w:rStyle w:val="Hyperlink"/>
          </w:rPr>
          <w:t>https</w:t>
        </w:r>
        <w:r w:rsidR="00884195" w:rsidRPr="00360FB7">
          <w:rPr>
            <w:rStyle w:val="Hyperlink"/>
          </w:rPr>
          <w:t>:</w:t>
        </w:r>
        <w:r w:rsidR="00884195" w:rsidRPr="008B7976">
          <w:rPr>
            <w:rStyle w:val="Hyperlink"/>
          </w:rPr>
          <w:t>//</w:t>
        </w:r>
        <w:proofErr w:type="spellStart"/>
        <w:r w:rsidR="00884195" w:rsidRPr="008B7976">
          <w:rPr>
            <w:rStyle w:val="Hyperlink"/>
          </w:rPr>
          <w:t>schechter.ac.il</w:t>
        </w:r>
        <w:proofErr w:type="spellEnd"/>
        <w:r w:rsidR="00884195" w:rsidRPr="008B7976">
          <w:rPr>
            <w:rStyle w:val="Hyperlink"/>
          </w:rPr>
          <w:t>/midrash/shir-</w:t>
        </w:r>
        <w:proofErr w:type="spellStart"/>
        <w:r w:rsidR="00884195" w:rsidRPr="008B7976">
          <w:rPr>
            <w:rStyle w:val="Hyperlink"/>
          </w:rPr>
          <w:t>hashirim</w:t>
        </w:r>
        <w:proofErr w:type="spellEnd"/>
        <w:r w:rsidR="00884195" w:rsidRPr="008B7976">
          <w:rPr>
            <w:rStyle w:val="Hyperlink"/>
          </w:rPr>
          <w:t>-</w:t>
        </w:r>
        <w:proofErr w:type="spellStart"/>
        <w:r w:rsidR="00884195" w:rsidRPr="008B7976">
          <w:rPr>
            <w:rStyle w:val="Hyperlink"/>
          </w:rPr>
          <w:t>raba</w:t>
        </w:r>
        <w:proofErr w:type="spellEnd"/>
        <w:r w:rsidR="00884195" w:rsidRPr="008B7976">
          <w:rPr>
            <w:rStyle w:val="Hyperlink"/>
          </w:rPr>
          <w:t>/</w:t>
        </w:r>
      </w:hyperlink>
    </w:p>
    <w:p w14:paraId="65CE8234" w14:textId="77777777" w:rsidR="00C71233" w:rsidRPr="008B7976" w:rsidRDefault="00C71233" w:rsidP="00C71233">
      <w:pPr>
        <w:shd w:val="clear" w:color="auto" w:fill="FFFFFF"/>
        <w:adjustRightInd w:val="0"/>
        <w:snapToGrid w:val="0"/>
        <w:ind w:left="680" w:hanging="680"/>
      </w:pPr>
    </w:p>
    <w:p w14:paraId="3E65FD73" w14:textId="77777777" w:rsidR="00C71233" w:rsidRPr="008B7976" w:rsidRDefault="00C71233" w:rsidP="00C71233">
      <w:pPr>
        <w:shd w:val="clear" w:color="auto" w:fill="FFFFFF"/>
        <w:adjustRightInd w:val="0"/>
        <w:snapToGrid w:val="0"/>
        <w:ind w:left="680" w:hanging="680"/>
        <w:rPr>
          <w:b/>
          <w:bCs/>
        </w:rPr>
      </w:pPr>
      <w:bookmarkStart w:id="43" w:name="b8"/>
      <w:bookmarkStart w:id="44" w:name="idm253194176"/>
      <w:bookmarkEnd w:id="43"/>
      <w:bookmarkEnd w:id="44"/>
      <w:r w:rsidRPr="008B7976">
        <w:rPr>
          <w:b/>
          <w:bCs/>
        </w:rPr>
        <w:t>Books and Articles</w:t>
      </w:r>
    </w:p>
    <w:p w14:paraId="69B90894" w14:textId="77777777" w:rsidR="00C71233" w:rsidRPr="008B7976" w:rsidRDefault="00C71233" w:rsidP="00C71233">
      <w:pPr>
        <w:shd w:val="clear" w:color="auto" w:fill="FFFFFF"/>
        <w:adjustRightInd w:val="0"/>
        <w:snapToGrid w:val="0"/>
        <w:ind w:left="680" w:hanging="680"/>
      </w:pPr>
      <w:bookmarkStart w:id="45" w:name="b9"/>
      <w:bookmarkStart w:id="46" w:name="idm246560992"/>
      <w:bookmarkEnd w:id="45"/>
      <w:bookmarkEnd w:id="46"/>
      <w:r w:rsidRPr="008B7976">
        <w:t>Bar-</w:t>
      </w:r>
      <w:proofErr w:type="spellStart"/>
      <w:r w:rsidRPr="008B7976">
        <w:t>Levav</w:t>
      </w:r>
      <w:proofErr w:type="spellEnd"/>
      <w:r w:rsidRPr="008B7976">
        <w:t xml:space="preserve">, A – M. </w:t>
      </w:r>
      <w:proofErr w:type="spellStart"/>
      <w:r w:rsidRPr="008B7976">
        <w:t>Idel</w:t>
      </w:r>
      <w:proofErr w:type="spellEnd"/>
      <w:r w:rsidRPr="008B7976">
        <w:t>. </w:t>
      </w:r>
      <w:r w:rsidRPr="008B7976">
        <w:rPr>
          <w:i/>
          <w:iCs/>
        </w:rPr>
        <w:t>An Introduction to Jewish Mysticism, Vol. 1</w:t>
      </w:r>
      <w:r>
        <w:rPr>
          <w:i/>
          <w:iCs/>
        </w:rPr>
        <w:t>,</w:t>
      </w:r>
      <w:r w:rsidRPr="008B7976">
        <w:rPr>
          <w:i/>
          <w:iCs/>
        </w:rPr>
        <w:t xml:space="preserve"> Roots, Vol. 2</w:t>
      </w:r>
      <w:r>
        <w:rPr>
          <w:i/>
          <w:iCs/>
        </w:rPr>
        <w:t>,</w:t>
      </w:r>
      <w:r w:rsidRPr="008B7976">
        <w:rPr>
          <w:i/>
          <w:iCs/>
        </w:rPr>
        <w:t xml:space="preserve"> Germinates</w:t>
      </w:r>
      <w:r w:rsidRPr="008B7976">
        <w:t> </w:t>
      </w:r>
      <w:r>
        <w:t>(Heb)</w:t>
      </w:r>
      <w:r w:rsidRPr="008B7976">
        <w:t xml:space="preserve">, </w:t>
      </w:r>
      <w:proofErr w:type="spellStart"/>
      <w:r w:rsidRPr="008B7976">
        <w:t>Raanana</w:t>
      </w:r>
      <w:proofErr w:type="spellEnd"/>
      <w:r>
        <w:t>,</w:t>
      </w:r>
      <w:r w:rsidRPr="008B7976">
        <w:t xml:space="preserve"> The Open University, 2022</w:t>
      </w:r>
    </w:p>
    <w:p w14:paraId="7A8B13DE" w14:textId="77777777" w:rsidR="00C71233" w:rsidRPr="008B7976" w:rsidRDefault="00C71233" w:rsidP="00C71233">
      <w:pPr>
        <w:shd w:val="clear" w:color="auto" w:fill="FFFFFF"/>
        <w:adjustRightInd w:val="0"/>
        <w:snapToGrid w:val="0"/>
        <w:ind w:left="680" w:hanging="680"/>
        <w:rPr>
          <w:color w:val="292B2C"/>
        </w:rPr>
      </w:pPr>
      <w:bookmarkStart w:id="47" w:name="b10"/>
      <w:bookmarkStart w:id="48" w:name="idm251680400"/>
      <w:bookmarkEnd w:id="47"/>
      <w:bookmarkEnd w:id="48"/>
      <w:r w:rsidRPr="008B7976">
        <w:rPr>
          <w:color w:val="292B2C"/>
        </w:rPr>
        <w:t>Beit-</w:t>
      </w:r>
      <w:proofErr w:type="spellStart"/>
      <w:r w:rsidRPr="008B7976">
        <w:rPr>
          <w:color w:val="292B2C"/>
        </w:rPr>
        <w:t>Arié</w:t>
      </w:r>
      <w:proofErr w:type="spellEnd"/>
      <w:r w:rsidRPr="008B7976">
        <w:rPr>
          <w:color w:val="292B2C"/>
        </w:rPr>
        <w:t>, M. </w:t>
      </w:r>
      <w:r w:rsidRPr="008B7976">
        <w:rPr>
          <w:i/>
          <w:iCs/>
          <w:color w:val="292B2C"/>
        </w:rPr>
        <w:t>Hebrew Codicology</w:t>
      </w:r>
      <w:r>
        <w:rPr>
          <w:i/>
          <w:iCs/>
          <w:color w:val="292B2C"/>
        </w:rPr>
        <w:t>,</w:t>
      </w:r>
      <w:r w:rsidRPr="008B7976">
        <w:rPr>
          <w:i/>
          <w:iCs/>
          <w:color w:val="292B2C"/>
        </w:rPr>
        <w:t xml:space="preserve"> Historical and Comparative Typology of Medieval Hebrew Codices Based on the Documentation of the Extant Dated Manuscripts Until 1540 Using a Quantitative Approach</w:t>
      </w:r>
      <w:r w:rsidRPr="008B7976">
        <w:rPr>
          <w:color w:val="292B2C"/>
        </w:rPr>
        <w:t>. Hamburg, Jerusalem</w:t>
      </w:r>
      <w:r>
        <w:rPr>
          <w:color w:val="292B2C"/>
        </w:rPr>
        <w:t>,</w:t>
      </w:r>
      <w:r w:rsidRPr="008B7976">
        <w:rPr>
          <w:color w:val="292B2C"/>
        </w:rPr>
        <w:t xml:space="preserve"> The Israel Academy of Sciences and Humanities, 2021</w:t>
      </w:r>
    </w:p>
    <w:p w14:paraId="44862063" w14:textId="77777777" w:rsidR="00C71233" w:rsidRPr="008B7976" w:rsidRDefault="00C71233" w:rsidP="00C71233">
      <w:pPr>
        <w:shd w:val="clear" w:color="auto" w:fill="FFFFFF"/>
        <w:adjustRightInd w:val="0"/>
        <w:snapToGrid w:val="0"/>
        <w:ind w:left="680" w:hanging="680"/>
        <w:rPr>
          <w:color w:val="292B2C"/>
        </w:rPr>
      </w:pPr>
      <w:bookmarkStart w:id="49" w:name="b11"/>
      <w:bookmarkStart w:id="50" w:name="idm252921936"/>
      <w:bookmarkEnd w:id="49"/>
      <w:bookmarkEnd w:id="50"/>
      <w:proofErr w:type="spellStart"/>
      <w:r w:rsidRPr="008B7976">
        <w:rPr>
          <w:color w:val="292B2C"/>
        </w:rPr>
        <w:t>Boyarin</w:t>
      </w:r>
      <w:proofErr w:type="spellEnd"/>
      <w:r w:rsidRPr="008B7976">
        <w:rPr>
          <w:color w:val="292B2C"/>
        </w:rPr>
        <w:t xml:space="preserve">, D. </w:t>
      </w:r>
      <w:r>
        <w:rPr>
          <w:color w:val="292B2C"/>
        </w:rPr>
        <w:t>‘</w:t>
      </w:r>
      <w:r w:rsidRPr="008B7976">
        <w:rPr>
          <w:color w:val="292B2C"/>
        </w:rPr>
        <w:t>Martyrdom and the Making of Christianity and Judaism.</w:t>
      </w:r>
      <w:r>
        <w:rPr>
          <w:color w:val="292B2C"/>
        </w:rPr>
        <w:t>’</w:t>
      </w:r>
      <w:r w:rsidRPr="008B7976">
        <w:rPr>
          <w:color w:val="292B2C"/>
        </w:rPr>
        <w:t> </w:t>
      </w:r>
      <w:r w:rsidRPr="008B7976">
        <w:rPr>
          <w:i/>
          <w:iCs/>
          <w:color w:val="292B2C"/>
        </w:rPr>
        <w:t>Journal of Early Christian Studies</w:t>
      </w:r>
      <w:r w:rsidRPr="008B7976">
        <w:rPr>
          <w:color w:val="292B2C"/>
        </w:rPr>
        <w:t> 6</w:t>
      </w:r>
      <w:r>
        <w:rPr>
          <w:color w:val="292B2C"/>
        </w:rPr>
        <w:t>:4</w:t>
      </w:r>
      <w:r w:rsidRPr="008B7976">
        <w:rPr>
          <w:color w:val="292B2C"/>
        </w:rPr>
        <w:t xml:space="preserve"> (1998) 577–627. </w:t>
      </w:r>
      <w:proofErr w:type="spellStart"/>
      <w:r w:rsidRPr="008B7976">
        <w:rPr>
          <w:color w:val="292B2C"/>
        </w:rPr>
        <w:fldChar w:fldCharType="begin"/>
      </w:r>
      <w:r w:rsidRPr="008B7976">
        <w:rPr>
          <w:color w:val="292B2C"/>
        </w:rPr>
        <w:instrText xml:space="preserve"> HYPERLINK "https://doi.org/10.1353/earl.1998.0053" \o "" \t "_blank" </w:instrText>
      </w:r>
      <w:r w:rsidRPr="008B7976">
        <w:rPr>
          <w:color w:val="292B2C"/>
        </w:rPr>
        <w:fldChar w:fldCharType="separate"/>
      </w:r>
      <w:r w:rsidRPr="008B7976">
        <w:rPr>
          <w:color w:val="0275D8"/>
          <w:u w:val="single"/>
        </w:rPr>
        <w:t>doi</w:t>
      </w:r>
      <w:r>
        <w:rPr>
          <w:color w:val="0275D8"/>
          <w:u w:val="single"/>
        </w:rPr>
        <w:t>:</w:t>
      </w:r>
      <w:r w:rsidRPr="008B7976">
        <w:rPr>
          <w:color w:val="0275D8"/>
          <w:u w:val="single"/>
        </w:rPr>
        <w:t>10.1353</w:t>
      </w:r>
      <w:proofErr w:type="spellEnd"/>
      <w:r w:rsidRPr="008B7976">
        <w:rPr>
          <w:color w:val="0275D8"/>
          <w:u w:val="single"/>
        </w:rPr>
        <w:t>/</w:t>
      </w:r>
      <w:proofErr w:type="spellStart"/>
      <w:r w:rsidRPr="008B7976">
        <w:rPr>
          <w:color w:val="0275D8"/>
          <w:u w:val="single"/>
        </w:rPr>
        <w:t>earl.1998.0053</w:t>
      </w:r>
      <w:proofErr w:type="spellEnd"/>
      <w:r w:rsidRPr="008B7976">
        <w:rPr>
          <w:color w:val="292B2C"/>
        </w:rPr>
        <w:fldChar w:fldCharType="end"/>
      </w:r>
    </w:p>
    <w:p w14:paraId="68954FCD" w14:textId="77777777" w:rsidR="00C71233" w:rsidRPr="008B7976" w:rsidRDefault="00C71233" w:rsidP="00C71233">
      <w:pPr>
        <w:shd w:val="clear" w:color="auto" w:fill="FFFFFF"/>
        <w:adjustRightInd w:val="0"/>
        <w:snapToGrid w:val="0"/>
        <w:ind w:left="680" w:hanging="680"/>
        <w:rPr>
          <w:color w:val="292B2C"/>
        </w:rPr>
      </w:pPr>
      <w:bookmarkStart w:id="51" w:name="b12"/>
      <w:bookmarkStart w:id="52" w:name="idm254950880"/>
      <w:bookmarkEnd w:id="51"/>
      <w:bookmarkEnd w:id="52"/>
      <w:proofErr w:type="spellStart"/>
      <w:r w:rsidRPr="008B7976">
        <w:rPr>
          <w:color w:val="292B2C"/>
        </w:rPr>
        <w:t>Boyarin</w:t>
      </w:r>
      <w:proofErr w:type="spellEnd"/>
      <w:r w:rsidRPr="008B7976">
        <w:rPr>
          <w:color w:val="292B2C"/>
        </w:rPr>
        <w:t xml:space="preserve">, D. </w:t>
      </w:r>
      <w:r>
        <w:rPr>
          <w:color w:val="292B2C"/>
        </w:rPr>
        <w:t>‘</w:t>
      </w:r>
      <w:r w:rsidRPr="008B7976">
        <w:rPr>
          <w:color w:val="292B2C"/>
        </w:rPr>
        <w:t>Two Introductions to the Midrash on the Song of Songs</w:t>
      </w:r>
      <w:r>
        <w:rPr>
          <w:color w:val="292B2C"/>
        </w:rPr>
        <w:t>’</w:t>
      </w:r>
      <w:r w:rsidRPr="008B7976">
        <w:rPr>
          <w:color w:val="292B2C"/>
        </w:rPr>
        <w:t xml:space="preserve"> (Heb)</w:t>
      </w:r>
      <w:r>
        <w:rPr>
          <w:color w:val="292B2C"/>
        </w:rPr>
        <w:t xml:space="preserve"> </w:t>
      </w:r>
      <w:proofErr w:type="spellStart"/>
      <w:r w:rsidRPr="008B7976">
        <w:rPr>
          <w:i/>
          <w:iCs/>
          <w:color w:val="292B2C"/>
        </w:rPr>
        <w:t>Tarbiz</w:t>
      </w:r>
      <w:proofErr w:type="spellEnd"/>
      <w:r w:rsidRPr="008B7976">
        <w:rPr>
          <w:color w:val="292B2C"/>
        </w:rPr>
        <w:t> 56 (1987)</w:t>
      </w:r>
      <w:r>
        <w:rPr>
          <w:color w:val="292B2C"/>
        </w:rPr>
        <w:t>,</w:t>
      </w:r>
      <w:r w:rsidRPr="008B7976">
        <w:rPr>
          <w:color w:val="292B2C"/>
        </w:rPr>
        <w:t xml:space="preserve"> 479–500</w:t>
      </w:r>
    </w:p>
    <w:p w14:paraId="43236382" w14:textId="77777777" w:rsidR="00C71233" w:rsidRPr="008B7976" w:rsidRDefault="00C71233" w:rsidP="00C71233">
      <w:pPr>
        <w:shd w:val="clear" w:color="auto" w:fill="FFFFFF"/>
        <w:adjustRightInd w:val="0"/>
        <w:snapToGrid w:val="0"/>
        <w:ind w:left="680" w:hanging="680"/>
      </w:pPr>
      <w:bookmarkStart w:id="53" w:name="b13"/>
      <w:bookmarkStart w:id="54" w:name="idm253479888"/>
      <w:bookmarkEnd w:id="53"/>
      <w:bookmarkEnd w:id="54"/>
      <w:r w:rsidRPr="008B7976">
        <w:t>Dan, J. </w:t>
      </w:r>
      <w:r w:rsidRPr="008B7976">
        <w:rPr>
          <w:i/>
          <w:iCs/>
        </w:rPr>
        <w:t>History of Jewish Mysticism and Esotericism, Ancient Times</w:t>
      </w:r>
      <w:r w:rsidRPr="008B7976">
        <w:t xml:space="preserve"> (Heb), vol 2 and vol 3, Jerusalem, </w:t>
      </w:r>
      <w:proofErr w:type="spellStart"/>
      <w:r w:rsidRPr="008B7976">
        <w:t>Zalman</w:t>
      </w:r>
      <w:proofErr w:type="spellEnd"/>
      <w:r w:rsidRPr="008B7976">
        <w:t xml:space="preserve"> Shazar, 2008.</w:t>
      </w:r>
    </w:p>
    <w:p w14:paraId="3FAD4B9E" w14:textId="77777777" w:rsidR="00C71233" w:rsidRPr="008B7976" w:rsidRDefault="00C71233" w:rsidP="00C71233">
      <w:pPr>
        <w:shd w:val="clear" w:color="auto" w:fill="FFFFFF"/>
        <w:adjustRightInd w:val="0"/>
        <w:snapToGrid w:val="0"/>
        <w:ind w:left="680" w:hanging="680"/>
        <w:rPr>
          <w:color w:val="292B2C"/>
        </w:rPr>
      </w:pPr>
      <w:bookmarkStart w:id="55" w:name="b14"/>
      <w:bookmarkStart w:id="56" w:name="idm256367232"/>
      <w:bookmarkEnd w:id="55"/>
      <w:bookmarkEnd w:id="56"/>
      <w:r w:rsidRPr="008B7976">
        <w:rPr>
          <w:color w:val="292B2C"/>
        </w:rPr>
        <w:lastRenderedPageBreak/>
        <w:t>Farber-</w:t>
      </w:r>
      <w:proofErr w:type="spellStart"/>
      <w:r w:rsidRPr="008B7976">
        <w:rPr>
          <w:color w:val="292B2C"/>
        </w:rPr>
        <w:t>Ginat</w:t>
      </w:r>
      <w:proofErr w:type="spellEnd"/>
      <w:r w:rsidRPr="008B7976">
        <w:rPr>
          <w:color w:val="292B2C"/>
        </w:rPr>
        <w:t xml:space="preserve">, A. </w:t>
      </w:r>
      <w:r>
        <w:rPr>
          <w:color w:val="292B2C"/>
        </w:rPr>
        <w:t>‘</w:t>
      </w:r>
      <w:r w:rsidRPr="008B7976">
        <w:rPr>
          <w:color w:val="292B2C"/>
        </w:rPr>
        <w:t xml:space="preserve">Studies in the book of Shiur </w:t>
      </w:r>
      <w:proofErr w:type="spellStart"/>
      <w:r w:rsidRPr="008B7976">
        <w:rPr>
          <w:color w:val="292B2C"/>
        </w:rPr>
        <w:t>Qomah</w:t>
      </w:r>
      <w:proofErr w:type="spellEnd"/>
      <w:r>
        <w:rPr>
          <w:color w:val="292B2C"/>
        </w:rPr>
        <w:t>’ (Heb)</w:t>
      </w:r>
      <w:r w:rsidRPr="008B7976">
        <w:rPr>
          <w:color w:val="292B2C"/>
        </w:rPr>
        <w:t>. In </w:t>
      </w:r>
      <w:proofErr w:type="spellStart"/>
      <w:r w:rsidRPr="008B7976">
        <w:rPr>
          <w:i/>
          <w:iCs/>
          <w:color w:val="292B2C"/>
        </w:rPr>
        <w:t>Massu’ot</w:t>
      </w:r>
      <w:proofErr w:type="spellEnd"/>
      <w:r w:rsidRPr="008B7976">
        <w:rPr>
          <w:i/>
          <w:iCs/>
          <w:color w:val="292B2C"/>
        </w:rPr>
        <w:t xml:space="preserve"> – Studies in Kabbalistic Literature and Jewish Philosophy in memory of Ephraim Gottlieb</w:t>
      </w:r>
      <w:r w:rsidRPr="008B7976">
        <w:rPr>
          <w:color w:val="292B2C"/>
        </w:rPr>
        <w:t>. M</w:t>
      </w:r>
      <w:r>
        <w:rPr>
          <w:color w:val="292B2C"/>
        </w:rPr>
        <w:t>.</w:t>
      </w:r>
      <w:r w:rsidRPr="008B7976">
        <w:rPr>
          <w:color w:val="292B2C"/>
        </w:rPr>
        <w:t xml:space="preserve"> </w:t>
      </w:r>
      <w:proofErr w:type="spellStart"/>
      <w:r w:rsidRPr="008B7976">
        <w:rPr>
          <w:color w:val="292B2C"/>
        </w:rPr>
        <w:t>Oron</w:t>
      </w:r>
      <w:proofErr w:type="spellEnd"/>
      <w:r w:rsidRPr="008B7976">
        <w:rPr>
          <w:color w:val="292B2C"/>
        </w:rPr>
        <w:t xml:space="preserve"> and A</w:t>
      </w:r>
      <w:r>
        <w:rPr>
          <w:color w:val="292B2C"/>
        </w:rPr>
        <w:t>.</w:t>
      </w:r>
      <w:r w:rsidRPr="008B7976">
        <w:rPr>
          <w:color w:val="292B2C"/>
        </w:rPr>
        <w:t xml:space="preserve"> </w:t>
      </w:r>
      <w:proofErr w:type="spellStart"/>
      <w:r w:rsidRPr="008B7976">
        <w:rPr>
          <w:color w:val="292B2C"/>
        </w:rPr>
        <w:t>Goldreich</w:t>
      </w:r>
      <w:proofErr w:type="spellEnd"/>
      <w:r>
        <w:rPr>
          <w:color w:val="292B2C"/>
        </w:rPr>
        <w:t xml:space="preserve"> (ed)</w:t>
      </w:r>
      <w:r w:rsidRPr="008B7976">
        <w:rPr>
          <w:color w:val="292B2C"/>
        </w:rPr>
        <w:t>, Jerusalem</w:t>
      </w:r>
      <w:r>
        <w:rPr>
          <w:color w:val="292B2C"/>
        </w:rPr>
        <w:t>,</w:t>
      </w:r>
      <w:r w:rsidRPr="008B7976">
        <w:rPr>
          <w:color w:val="292B2C"/>
        </w:rPr>
        <w:t xml:space="preserve"> Bialik, 1994</w:t>
      </w:r>
      <w:r>
        <w:rPr>
          <w:color w:val="292B2C"/>
        </w:rPr>
        <w:t xml:space="preserve">, </w:t>
      </w:r>
      <w:r w:rsidRPr="008B7976">
        <w:rPr>
          <w:color w:val="292B2C"/>
        </w:rPr>
        <w:t>361–94</w:t>
      </w:r>
    </w:p>
    <w:p w14:paraId="763ABA9F" w14:textId="77777777" w:rsidR="00C71233" w:rsidRPr="008B7976" w:rsidRDefault="00C71233" w:rsidP="00C71233">
      <w:pPr>
        <w:shd w:val="clear" w:color="auto" w:fill="FFFFFF"/>
        <w:adjustRightInd w:val="0"/>
        <w:snapToGrid w:val="0"/>
        <w:ind w:left="680" w:hanging="680"/>
        <w:rPr>
          <w:color w:val="292B2C"/>
        </w:rPr>
      </w:pPr>
      <w:bookmarkStart w:id="57" w:name="b15"/>
      <w:bookmarkStart w:id="58" w:name="idm251748384"/>
      <w:bookmarkEnd w:id="57"/>
      <w:bookmarkEnd w:id="58"/>
      <w:r w:rsidRPr="008B7976">
        <w:rPr>
          <w:color w:val="292B2C"/>
        </w:rPr>
        <w:t xml:space="preserve">Fox, H. </w:t>
      </w:r>
      <w:r>
        <w:rPr>
          <w:color w:val="292B2C"/>
        </w:rPr>
        <w:t>‘“</w:t>
      </w:r>
      <w:r w:rsidRPr="008B7976">
        <w:rPr>
          <w:color w:val="292B2C"/>
        </w:rPr>
        <w:t>As If a Finger</w:t>
      </w:r>
      <w:r>
        <w:rPr>
          <w:color w:val="292B2C"/>
        </w:rPr>
        <w:t xml:space="preserve">” – </w:t>
      </w:r>
      <w:r w:rsidRPr="008B7976">
        <w:rPr>
          <w:color w:val="292B2C"/>
        </w:rPr>
        <w:t>The Textual History of an Expression Avoiding Anthropomorphism</w:t>
      </w:r>
      <w:r>
        <w:rPr>
          <w:color w:val="292B2C"/>
        </w:rPr>
        <w:t>’</w:t>
      </w:r>
      <w:r w:rsidRPr="008B7976">
        <w:rPr>
          <w:color w:val="292B2C"/>
        </w:rPr>
        <w:t xml:space="preserve"> (Hebrew).</w:t>
      </w:r>
      <w:r>
        <w:rPr>
          <w:color w:val="292B2C"/>
        </w:rPr>
        <w:t>’</w:t>
      </w:r>
      <w:r w:rsidRPr="008B7976">
        <w:rPr>
          <w:color w:val="292B2C"/>
        </w:rPr>
        <w:t> </w:t>
      </w:r>
      <w:proofErr w:type="spellStart"/>
      <w:r w:rsidRPr="008B7976">
        <w:rPr>
          <w:i/>
          <w:iCs/>
          <w:color w:val="292B2C"/>
        </w:rPr>
        <w:t>Tarbiz</w:t>
      </w:r>
      <w:proofErr w:type="spellEnd"/>
      <w:r w:rsidRPr="008B7976">
        <w:rPr>
          <w:color w:val="292B2C"/>
        </w:rPr>
        <w:t> 49 (1980)</w:t>
      </w:r>
      <w:r>
        <w:rPr>
          <w:color w:val="292B2C"/>
        </w:rPr>
        <w:t>,</w:t>
      </w:r>
      <w:r w:rsidRPr="008B7976">
        <w:rPr>
          <w:color w:val="292B2C"/>
        </w:rPr>
        <w:t xml:space="preserve"> 278–91</w:t>
      </w:r>
    </w:p>
    <w:p w14:paraId="461657E1" w14:textId="77777777" w:rsidR="00C71233" w:rsidRPr="008B7976" w:rsidRDefault="00C71233" w:rsidP="00C71233">
      <w:pPr>
        <w:shd w:val="clear" w:color="auto" w:fill="FFFFFF"/>
        <w:adjustRightInd w:val="0"/>
        <w:snapToGrid w:val="0"/>
        <w:ind w:left="680" w:hanging="680"/>
        <w:rPr>
          <w:color w:val="292B2C"/>
        </w:rPr>
      </w:pPr>
      <w:bookmarkStart w:id="59" w:name="b16"/>
      <w:bookmarkStart w:id="60" w:name="idm253009072"/>
      <w:bookmarkEnd w:id="59"/>
      <w:bookmarkEnd w:id="60"/>
      <w:r w:rsidRPr="008B7976">
        <w:rPr>
          <w:color w:val="292B2C"/>
        </w:rPr>
        <w:t>Fox, M</w:t>
      </w:r>
      <w:r>
        <w:rPr>
          <w:color w:val="292B2C"/>
        </w:rPr>
        <w:t>.</w:t>
      </w:r>
      <w:r w:rsidRPr="008B7976">
        <w:rPr>
          <w:color w:val="292B2C"/>
        </w:rPr>
        <w:t xml:space="preserve"> V. </w:t>
      </w:r>
      <w:r w:rsidRPr="008B7976">
        <w:rPr>
          <w:i/>
          <w:iCs/>
          <w:color w:val="292B2C"/>
        </w:rPr>
        <w:t>The Song of Songs and the Ancient Egyptian Love Songs</w:t>
      </w:r>
      <w:r w:rsidRPr="008B7976">
        <w:rPr>
          <w:color w:val="292B2C"/>
        </w:rPr>
        <w:t>. Madison</w:t>
      </w:r>
      <w:r>
        <w:rPr>
          <w:color w:val="292B2C"/>
        </w:rPr>
        <w:t>,</w:t>
      </w:r>
      <w:r w:rsidRPr="008B7976">
        <w:rPr>
          <w:color w:val="292B2C"/>
        </w:rPr>
        <w:t xml:space="preserve"> The University of Wisconsin Press, 1985</w:t>
      </w:r>
    </w:p>
    <w:p w14:paraId="62361ECA" w14:textId="77777777" w:rsidR="00C71233" w:rsidRPr="008B7976" w:rsidRDefault="00C71233" w:rsidP="00C71233">
      <w:pPr>
        <w:shd w:val="clear" w:color="auto" w:fill="FFFFFF"/>
        <w:adjustRightInd w:val="0"/>
        <w:snapToGrid w:val="0"/>
        <w:ind w:left="680" w:hanging="680"/>
        <w:rPr>
          <w:color w:val="292B2C"/>
        </w:rPr>
      </w:pPr>
      <w:bookmarkStart w:id="61" w:name="b17"/>
      <w:bookmarkStart w:id="62" w:name="idm254857008"/>
      <w:bookmarkEnd w:id="61"/>
      <w:bookmarkEnd w:id="62"/>
      <w:proofErr w:type="spellStart"/>
      <w:r w:rsidRPr="008B7976">
        <w:rPr>
          <w:color w:val="292B2C"/>
        </w:rPr>
        <w:t>Fraade</w:t>
      </w:r>
      <w:proofErr w:type="spellEnd"/>
      <w:r w:rsidRPr="008B7976">
        <w:rPr>
          <w:color w:val="292B2C"/>
        </w:rPr>
        <w:t>, S</w:t>
      </w:r>
      <w:r>
        <w:rPr>
          <w:color w:val="292B2C"/>
        </w:rPr>
        <w:t>.</w:t>
      </w:r>
      <w:r w:rsidRPr="008B7976">
        <w:rPr>
          <w:color w:val="292B2C"/>
        </w:rPr>
        <w:t xml:space="preserve"> D. </w:t>
      </w:r>
      <w:r w:rsidRPr="008B7976">
        <w:rPr>
          <w:i/>
          <w:iCs/>
          <w:color w:val="292B2C"/>
        </w:rPr>
        <w:t>From Tradition to Commentary</w:t>
      </w:r>
      <w:r>
        <w:rPr>
          <w:i/>
          <w:iCs/>
          <w:color w:val="292B2C"/>
        </w:rPr>
        <w:t>,</w:t>
      </w:r>
      <w:r w:rsidRPr="008B7976">
        <w:rPr>
          <w:i/>
          <w:iCs/>
          <w:color w:val="292B2C"/>
        </w:rPr>
        <w:t xml:space="preserve"> </w:t>
      </w:r>
      <w:proofErr w:type="gramStart"/>
      <w:r w:rsidRPr="008B7976">
        <w:rPr>
          <w:i/>
          <w:iCs/>
          <w:color w:val="292B2C"/>
        </w:rPr>
        <w:t>Torah</w:t>
      </w:r>
      <w:proofErr w:type="gramEnd"/>
      <w:r w:rsidRPr="008B7976">
        <w:rPr>
          <w:i/>
          <w:iCs/>
          <w:color w:val="292B2C"/>
        </w:rPr>
        <w:t xml:space="preserve"> and Its Interpretation in the Midrash </w:t>
      </w:r>
      <w:proofErr w:type="spellStart"/>
      <w:r w:rsidRPr="008B7976">
        <w:rPr>
          <w:i/>
          <w:iCs/>
          <w:color w:val="292B2C"/>
        </w:rPr>
        <w:t>Sifre</w:t>
      </w:r>
      <w:proofErr w:type="spellEnd"/>
      <w:r w:rsidRPr="008B7976">
        <w:rPr>
          <w:i/>
          <w:iCs/>
          <w:color w:val="292B2C"/>
        </w:rPr>
        <w:t xml:space="preserve"> to Deuteronomy</w:t>
      </w:r>
      <w:r w:rsidRPr="008B7976">
        <w:rPr>
          <w:color w:val="292B2C"/>
        </w:rPr>
        <w:t>. Albany</w:t>
      </w:r>
      <w:r>
        <w:rPr>
          <w:color w:val="292B2C"/>
        </w:rPr>
        <w:t>,</w:t>
      </w:r>
      <w:r w:rsidRPr="008B7976">
        <w:rPr>
          <w:color w:val="292B2C"/>
        </w:rPr>
        <w:t xml:space="preserve"> State University of New York Press, 1991</w:t>
      </w:r>
    </w:p>
    <w:p w14:paraId="5148133C" w14:textId="77777777" w:rsidR="00C71233" w:rsidRPr="008B7976" w:rsidRDefault="00C71233" w:rsidP="00C71233">
      <w:pPr>
        <w:shd w:val="clear" w:color="auto" w:fill="FFFFFF"/>
        <w:adjustRightInd w:val="0"/>
        <w:snapToGrid w:val="0"/>
        <w:ind w:left="680" w:hanging="680"/>
        <w:rPr>
          <w:color w:val="808080"/>
        </w:rPr>
      </w:pPr>
      <w:bookmarkStart w:id="63" w:name="b18"/>
      <w:bookmarkStart w:id="64" w:name="idm254466672"/>
      <w:bookmarkEnd w:id="63"/>
      <w:bookmarkEnd w:id="64"/>
      <w:r w:rsidRPr="008B7976">
        <w:t xml:space="preserve">Goshen-Gottstein, A. ‘Did the </w:t>
      </w:r>
      <w:proofErr w:type="spellStart"/>
      <w:r w:rsidRPr="008B7976">
        <w:t>Tannaim</w:t>
      </w:r>
      <w:proofErr w:type="spellEnd"/>
      <w:r w:rsidRPr="008B7976">
        <w:t xml:space="preserve"> Interpret the Song of Songs Systematically? Lieberman Reconsidered’ in </w:t>
      </w:r>
      <w:r w:rsidRPr="008B7976">
        <w:rPr>
          <w:i/>
          <w:iCs/>
        </w:rPr>
        <w:t>Vixens Disturbing Vineyards, Embarrassment and Embracement of Scripture: Festschrift in Honor of Harry Fox</w:t>
      </w:r>
      <w:r w:rsidRPr="008B7976">
        <w:t>, T. Y. Glazer – J. Aubrey – J. Lewis – M. Segal (eds), Boston, Academic Studies Press, 2010 260–271</w:t>
      </w:r>
    </w:p>
    <w:p w14:paraId="5516B532" w14:textId="77777777" w:rsidR="00C71233" w:rsidRPr="008B7976" w:rsidRDefault="00C71233" w:rsidP="00C71233">
      <w:pPr>
        <w:shd w:val="clear" w:color="auto" w:fill="FFFFFF"/>
        <w:adjustRightInd w:val="0"/>
        <w:snapToGrid w:val="0"/>
        <w:ind w:left="680" w:hanging="680"/>
        <w:rPr>
          <w:color w:val="292B2C"/>
        </w:rPr>
      </w:pPr>
      <w:bookmarkStart w:id="65" w:name="b19"/>
      <w:bookmarkStart w:id="66" w:name="idm253841952"/>
      <w:bookmarkEnd w:id="65"/>
      <w:bookmarkEnd w:id="66"/>
      <w:r w:rsidRPr="008B7976">
        <w:rPr>
          <w:color w:val="292B2C"/>
        </w:rPr>
        <w:t>Green, A. </w:t>
      </w:r>
      <w:proofErr w:type="spellStart"/>
      <w:r w:rsidRPr="008B7976">
        <w:rPr>
          <w:i/>
          <w:iCs/>
          <w:color w:val="292B2C"/>
        </w:rPr>
        <w:t>Keter</w:t>
      </w:r>
      <w:proofErr w:type="spellEnd"/>
      <w:r>
        <w:rPr>
          <w:i/>
          <w:iCs/>
          <w:color w:val="292B2C"/>
        </w:rPr>
        <w:t>,</w:t>
      </w:r>
      <w:r w:rsidRPr="008B7976">
        <w:rPr>
          <w:i/>
          <w:iCs/>
          <w:color w:val="292B2C"/>
        </w:rPr>
        <w:t xml:space="preserve"> The Crown of God in Early Jewish Mysticism</w:t>
      </w:r>
      <w:r w:rsidRPr="008B7976">
        <w:rPr>
          <w:color w:val="292B2C"/>
        </w:rPr>
        <w:t>. New Jersey</w:t>
      </w:r>
      <w:r>
        <w:rPr>
          <w:color w:val="292B2C"/>
        </w:rPr>
        <w:t>,</w:t>
      </w:r>
      <w:r w:rsidRPr="008B7976">
        <w:rPr>
          <w:color w:val="292B2C"/>
        </w:rPr>
        <w:t xml:space="preserve"> Princeton University Press, 1997. </w:t>
      </w:r>
      <w:proofErr w:type="spellStart"/>
      <w:r w:rsidRPr="008B7976">
        <w:rPr>
          <w:color w:val="292B2C"/>
        </w:rPr>
        <w:fldChar w:fldCharType="begin"/>
      </w:r>
      <w:r w:rsidRPr="008B7976">
        <w:rPr>
          <w:color w:val="292B2C"/>
        </w:rPr>
        <w:instrText xml:space="preserve"> HYPERLINK "https://doi.org/10.1515/9781400864607" \o "" \t "_blank" </w:instrText>
      </w:r>
      <w:r w:rsidRPr="008B7976">
        <w:rPr>
          <w:color w:val="292B2C"/>
        </w:rPr>
        <w:fldChar w:fldCharType="separate"/>
      </w:r>
      <w:r w:rsidRPr="008B7976">
        <w:rPr>
          <w:color w:val="0275D8"/>
          <w:u w:val="single"/>
        </w:rPr>
        <w:t>doi</w:t>
      </w:r>
      <w:r>
        <w:rPr>
          <w:color w:val="0275D8"/>
          <w:u w:val="single"/>
        </w:rPr>
        <w:t>:</w:t>
      </w:r>
      <w:r w:rsidRPr="008B7976">
        <w:rPr>
          <w:color w:val="0275D8"/>
          <w:u w:val="single"/>
        </w:rPr>
        <w:t>10.1515</w:t>
      </w:r>
      <w:proofErr w:type="spellEnd"/>
      <w:r w:rsidRPr="008B7976">
        <w:rPr>
          <w:color w:val="0275D8"/>
          <w:u w:val="single"/>
        </w:rPr>
        <w:t>/9781400864607</w:t>
      </w:r>
      <w:r w:rsidRPr="008B7976">
        <w:rPr>
          <w:color w:val="292B2C"/>
        </w:rPr>
        <w:fldChar w:fldCharType="end"/>
      </w:r>
    </w:p>
    <w:p w14:paraId="6332152E" w14:textId="77777777" w:rsidR="00C71233" w:rsidRPr="008B7976" w:rsidRDefault="00C71233" w:rsidP="00C71233">
      <w:pPr>
        <w:shd w:val="clear" w:color="auto" w:fill="FFFFFF"/>
        <w:adjustRightInd w:val="0"/>
        <w:snapToGrid w:val="0"/>
        <w:ind w:left="680" w:hanging="680"/>
      </w:pPr>
      <w:bookmarkStart w:id="67" w:name="b20"/>
      <w:bookmarkStart w:id="68" w:name="idm256494144"/>
      <w:bookmarkEnd w:id="67"/>
      <w:bookmarkEnd w:id="68"/>
      <w:r w:rsidRPr="008B7976">
        <w:t>Green, A. ‘The Song of Songs in Early Jewish Mysticism’ in </w:t>
      </w:r>
      <w:proofErr w:type="spellStart"/>
      <w:r w:rsidRPr="008B7976">
        <w:rPr>
          <w:i/>
          <w:iCs/>
        </w:rPr>
        <w:t>Orim</w:t>
      </w:r>
      <w:proofErr w:type="spellEnd"/>
      <w:r w:rsidRPr="008B7976">
        <w:rPr>
          <w:i/>
          <w:iCs/>
        </w:rPr>
        <w:t>, A Jewish Journal at Yale</w:t>
      </w:r>
      <w:r w:rsidRPr="008B7976">
        <w:t xml:space="preserve"> 2 (1987), 49-63</w:t>
      </w:r>
    </w:p>
    <w:p w14:paraId="136373A2" w14:textId="77777777" w:rsidR="00C71233" w:rsidRPr="008B7976" w:rsidRDefault="00C71233" w:rsidP="00C71233">
      <w:pPr>
        <w:shd w:val="clear" w:color="auto" w:fill="FFFFFF"/>
        <w:adjustRightInd w:val="0"/>
        <w:snapToGrid w:val="0"/>
        <w:ind w:left="680" w:hanging="680"/>
        <w:rPr>
          <w:color w:val="808080"/>
        </w:rPr>
      </w:pPr>
      <w:bookmarkStart w:id="69" w:name="b21"/>
      <w:bookmarkStart w:id="70" w:name="idm246904800"/>
      <w:bookmarkEnd w:id="69"/>
      <w:bookmarkEnd w:id="70"/>
      <w:r w:rsidRPr="008B7976">
        <w:t>Gruenwald, I. </w:t>
      </w:r>
      <w:r w:rsidRPr="008B7976">
        <w:rPr>
          <w:i/>
          <w:iCs/>
        </w:rPr>
        <w:t>Apocalyptic and Merkavah Mysticism</w:t>
      </w:r>
      <w:r w:rsidRPr="008B7976">
        <w:t>, second, revised edition, Leiden, Brill, 2014 </w:t>
      </w:r>
      <w:proofErr w:type="spellStart"/>
      <w:r w:rsidRPr="008B7976">
        <w:rPr>
          <w:color w:val="808080"/>
        </w:rPr>
        <w:fldChar w:fldCharType="begin"/>
      </w:r>
      <w:r w:rsidRPr="008B7976">
        <w:rPr>
          <w:color w:val="808080"/>
        </w:rPr>
        <w:instrText xml:space="preserve"> HYPERLINK "https://doi.org/10.1163/9789004279209" \o "" \t "_blank" </w:instrText>
      </w:r>
      <w:r w:rsidRPr="008B7976">
        <w:rPr>
          <w:color w:val="808080"/>
        </w:rPr>
        <w:fldChar w:fldCharType="separate"/>
      </w:r>
      <w:r w:rsidRPr="008B7976">
        <w:rPr>
          <w:color w:val="0275D8"/>
          <w:u w:val="single"/>
        </w:rPr>
        <w:t>doi</w:t>
      </w:r>
      <w:r>
        <w:rPr>
          <w:color w:val="0275D8"/>
          <w:u w:val="single"/>
        </w:rPr>
        <w:t>:</w:t>
      </w:r>
      <w:r w:rsidRPr="008B7976">
        <w:rPr>
          <w:color w:val="0275D8"/>
          <w:u w:val="single"/>
        </w:rPr>
        <w:t>10.1163</w:t>
      </w:r>
      <w:proofErr w:type="spellEnd"/>
      <w:r w:rsidRPr="008B7976">
        <w:rPr>
          <w:color w:val="0275D8"/>
          <w:u w:val="single"/>
        </w:rPr>
        <w:t>/9789004279209</w:t>
      </w:r>
      <w:r w:rsidRPr="008B7976">
        <w:rPr>
          <w:color w:val="808080"/>
        </w:rPr>
        <w:fldChar w:fldCharType="end"/>
      </w:r>
    </w:p>
    <w:p w14:paraId="6957D33C" w14:textId="77777777" w:rsidR="00C71233" w:rsidRPr="008B7976" w:rsidRDefault="00C71233" w:rsidP="00C71233">
      <w:pPr>
        <w:shd w:val="clear" w:color="auto" w:fill="FFFFFF"/>
        <w:adjustRightInd w:val="0"/>
        <w:snapToGrid w:val="0"/>
        <w:ind w:left="680" w:hanging="680"/>
        <w:rPr>
          <w:color w:val="292B2C"/>
        </w:rPr>
      </w:pPr>
      <w:bookmarkStart w:id="71" w:name="b22"/>
      <w:bookmarkStart w:id="72" w:name="idm246746912"/>
      <w:bookmarkEnd w:id="71"/>
      <w:bookmarkEnd w:id="72"/>
      <w:proofErr w:type="spellStart"/>
      <w:r w:rsidRPr="008B7976">
        <w:rPr>
          <w:color w:val="292B2C"/>
        </w:rPr>
        <w:t>Halbertal</w:t>
      </w:r>
      <w:proofErr w:type="spellEnd"/>
      <w:r w:rsidRPr="008B7976">
        <w:rPr>
          <w:color w:val="292B2C"/>
        </w:rPr>
        <w:t xml:space="preserve">, M. </w:t>
      </w:r>
      <w:r>
        <w:rPr>
          <w:color w:val="292B2C"/>
        </w:rPr>
        <w:t>‘</w:t>
      </w:r>
      <w:r w:rsidRPr="008B7976">
        <w:rPr>
          <w:color w:val="292B2C"/>
        </w:rPr>
        <w:t>Concealment and Revelation</w:t>
      </w:r>
      <w:r>
        <w:rPr>
          <w:color w:val="292B2C"/>
        </w:rPr>
        <w:t>,</w:t>
      </w:r>
      <w:r w:rsidRPr="008B7976">
        <w:rPr>
          <w:color w:val="292B2C"/>
        </w:rPr>
        <w:t xml:space="preserve"> The Secret and its Boundaries in Medieval Jewish Tradition</w:t>
      </w:r>
      <w:r>
        <w:rPr>
          <w:color w:val="292B2C"/>
        </w:rPr>
        <w:t>’</w:t>
      </w:r>
      <w:r w:rsidRPr="008B7976">
        <w:rPr>
          <w:color w:val="292B2C"/>
        </w:rPr>
        <w:t xml:space="preserve"> </w:t>
      </w:r>
      <w:r>
        <w:rPr>
          <w:color w:val="292B2C"/>
        </w:rPr>
        <w:t>i</w:t>
      </w:r>
      <w:r w:rsidRPr="008B7976">
        <w:rPr>
          <w:color w:val="292B2C"/>
        </w:rPr>
        <w:t>n </w:t>
      </w:r>
      <w:proofErr w:type="spellStart"/>
      <w:r w:rsidRPr="008B7976">
        <w:rPr>
          <w:i/>
          <w:iCs/>
          <w:color w:val="292B2C"/>
        </w:rPr>
        <w:t>Yeriot</w:t>
      </w:r>
      <w:proofErr w:type="spellEnd"/>
      <w:r w:rsidRPr="008B7976">
        <w:rPr>
          <w:i/>
          <w:iCs/>
          <w:color w:val="292B2C"/>
        </w:rPr>
        <w:t xml:space="preserve"> 2</w:t>
      </w:r>
      <w:r>
        <w:rPr>
          <w:color w:val="292B2C"/>
        </w:rPr>
        <w:t>,</w:t>
      </w:r>
      <w:r w:rsidRPr="008B7976">
        <w:rPr>
          <w:color w:val="292B2C"/>
        </w:rPr>
        <w:t xml:space="preserve"> Jerusalem</w:t>
      </w:r>
      <w:r>
        <w:rPr>
          <w:color w:val="292B2C"/>
        </w:rPr>
        <w:t>,</w:t>
      </w:r>
      <w:r w:rsidRPr="008B7976">
        <w:rPr>
          <w:color w:val="292B2C"/>
        </w:rPr>
        <w:t xml:space="preserve"> </w:t>
      </w:r>
      <w:proofErr w:type="spellStart"/>
      <w:r w:rsidRPr="008B7976">
        <w:rPr>
          <w:color w:val="292B2C"/>
        </w:rPr>
        <w:t>Hamakor</w:t>
      </w:r>
      <w:proofErr w:type="spellEnd"/>
      <w:r w:rsidRPr="008B7976">
        <w:rPr>
          <w:color w:val="292B2C"/>
        </w:rPr>
        <w:t>, 2001</w:t>
      </w:r>
    </w:p>
    <w:p w14:paraId="694F8647" w14:textId="77777777" w:rsidR="00C71233" w:rsidRPr="008B7976" w:rsidRDefault="00C71233" w:rsidP="00C71233">
      <w:pPr>
        <w:shd w:val="clear" w:color="auto" w:fill="FFFFFF"/>
        <w:adjustRightInd w:val="0"/>
        <w:snapToGrid w:val="0"/>
        <w:ind w:left="680" w:hanging="680"/>
        <w:rPr>
          <w:color w:val="292B2C"/>
        </w:rPr>
      </w:pPr>
      <w:bookmarkStart w:id="73" w:name="b23"/>
      <w:bookmarkStart w:id="74" w:name="idm250123104"/>
      <w:bookmarkEnd w:id="73"/>
      <w:bookmarkEnd w:id="74"/>
      <w:proofErr w:type="spellStart"/>
      <w:r w:rsidRPr="008B7976">
        <w:rPr>
          <w:color w:val="292B2C"/>
        </w:rPr>
        <w:t>Hirshman</w:t>
      </w:r>
      <w:proofErr w:type="spellEnd"/>
      <w:r w:rsidRPr="008B7976">
        <w:rPr>
          <w:color w:val="292B2C"/>
        </w:rPr>
        <w:t>, M. </w:t>
      </w:r>
      <w:r w:rsidRPr="008B7976">
        <w:rPr>
          <w:i/>
          <w:iCs/>
          <w:color w:val="292B2C"/>
        </w:rPr>
        <w:t>A Rivalry of Genius</w:t>
      </w:r>
      <w:r>
        <w:rPr>
          <w:i/>
          <w:iCs/>
          <w:color w:val="292B2C"/>
        </w:rPr>
        <w:t>,</w:t>
      </w:r>
      <w:r w:rsidRPr="008B7976">
        <w:rPr>
          <w:i/>
          <w:iCs/>
          <w:color w:val="292B2C"/>
        </w:rPr>
        <w:t xml:space="preserve"> Jewish and Christian Biblical Interpretation in Late Antiquity</w:t>
      </w:r>
      <w:r>
        <w:rPr>
          <w:color w:val="292B2C"/>
        </w:rPr>
        <w:t>,</w:t>
      </w:r>
      <w:r w:rsidRPr="008B7976">
        <w:rPr>
          <w:color w:val="292B2C"/>
        </w:rPr>
        <w:t xml:space="preserve"> Albany</w:t>
      </w:r>
      <w:r>
        <w:rPr>
          <w:color w:val="292B2C"/>
        </w:rPr>
        <w:t>,</w:t>
      </w:r>
      <w:r w:rsidRPr="008B7976">
        <w:rPr>
          <w:color w:val="292B2C"/>
        </w:rPr>
        <w:t xml:space="preserve"> State of New York Press, 1996</w:t>
      </w:r>
    </w:p>
    <w:p w14:paraId="2ADF37B2" w14:textId="77777777" w:rsidR="00C71233" w:rsidRPr="008B7976" w:rsidRDefault="00C71233" w:rsidP="00C71233">
      <w:pPr>
        <w:shd w:val="clear" w:color="auto" w:fill="FFFFFF"/>
        <w:adjustRightInd w:val="0"/>
        <w:snapToGrid w:val="0"/>
        <w:ind w:left="680" w:hanging="680"/>
      </w:pPr>
      <w:bookmarkStart w:id="75" w:name="b24"/>
      <w:bookmarkStart w:id="76" w:name="idm251643296"/>
      <w:bookmarkEnd w:id="75"/>
      <w:bookmarkEnd w:id="76"/>
      <w:proofErr w:type="spellStart"/>
      <w:r w:rsidRPr="008B7976">
        <w:lastRenderedPageBreak/>
        <w:t>Kadari</w:t>
      </w:r>
      <w:proofErr w:type="spellEnd"/>
      <w:r w:rsidRPr="008B7976">
        <w:t xml:space="preserve">, T. ‘Early Rabbinic Literature, Song of Songs Rabbah’ in </w:t>
      </w:r>
      <w:r w:rsidRPr="008B7976">
        <w:rPr>
          <w:i/>
          <w:iCs/>
        </w:rPr>
        <w:t>Targums and Early Rabbinic Literature, Vol. 7, Ancient Literature for New Testament Studies</w:t>
      </w:r>
      <w:r w:rsidRPr="008B7976">
        <w:t> (</w:t>
      </w:r>
      <w:proofErr w:type="spellStart"/>
      <w:r w:rsidRPr="008B7976">
        <w:t>ALNTS</w:t>
      </w:r>
      <w:proofErr w:type="spellEnd"/>
      <w:r w:rsidRPr="008B7976">
        <w:t>), B. Chilton, A. Avery-Peck (eds), Bard College, Zondervan Academic Press (forthcoming)</w:t>
      </w:r>
    </w:p>
    <w:p w14:paraId="506882B4" w14:textId="77777777" w:rsidR="00C71233" w:rsidRPr="008B7976" w:rsidRDefault="00C71233" w:rsidP="00C71233">
      <w:pPr>
        <w:shd w:val="clear" w:color="auto" w:fill="FFFFFF"/>
        <w:adjustRightInd w:val="0"/>
        <w:snapToGrid w:val="0"/>
        <w:ind w:left="680" w:hanging="680"/>
      </w:pPr>
      <w:bookmarkStart w:id="77" w:name="b25"/>
      <w:bookmarkStart w:id="78" w:name="idm246572528"/>
      <w:bookmarkEnd w:id="77"/>
      <w:bookmarkEnd w:id="78"/>
      <w:proofErr w:type="spellStart"/>
      <w:r w:rsidRPr="008B7976">
        <w:t>Kadari</w:t>
      </w:r>
      <w:proofErr w:type="spellEnd"/>
      <w:r w:rsidRPr="008B7976">
        <w:t>, T. ‘</w:t>
      </w:r>
      <w:r>
        <w:t>“</w:t>
      </w:r>
      <w:r w:rsidRPr="008B7976">
        <w:t>Friends Hearken to your voice</w:t>
      </w:r>
      <w:r>
        <w:t>”</w:t>
      </w:r>
      <w:r w:rsidRPr="008B7976">
        <w:t xml:space="preserve"> Rabbinic Interpretations of the Song of Songs’</w:t>
      </w:r>
      <w:r>
        <w:t xml:space="preserve"> in</w:t>
      </w:r>
      <w:r w:rsidRPr="008B7976">
        <w:t> </w:t>
      </w:r>
      <w:r w:rsidRPr="008B7976">
        <w:rPr>
          <w:i/>
          <w:iCs/>
        </w:rPr>
        <w:t>Approaches to Literary Readings of Ancient Jewish Writings</w:t>
      </w:r>
      <w:r w:rsidRPr="008B7976">
        <w:t>, K</w:t>
      </w:r>
      <w:r>
        <w:t>.</w:t>
      </w:r>
      <w:r w:rsidRPr="008B7976">
        <w:t xml:space="preserve"> </w:t>
      </w:r>
      <w:proofErr w:type="spellStart"/>
      <w:r w:rsidRPr="008B7976">
        <w:t>Smelik</w:t>
      </w:r>
      <w:proofErr w:type="spellEnd"/>
      <w:r w:rsidRPr="008B7976">
        <w:t xml:space="preserve"> and K</w:t>
      </w:r>
      <w:r>
        <w:t>.</w:t>
      </w:r>
      <w:r w:rsidRPr="008B7976">
        <w:t xml:space="preserve"> Vermeulen</w:t>
      </w:r>
      <w:r>
        <w:t xml:space="preserve"> (eds)</w:t>
      </w:r>
      <w:r w:rsidRPr="008B7976">
        <w:t xml:space="preserve">, </w:t>
      </w:r>
      <w:r w:rsidRPr="008B7976">
        <w:rPr>
          <w:i/>
          <w:iCs/>
        </w:rPr>
        <w:t xml:space="preserve">Studia </w:t>
      </w:r>
      <w:proofErr w:type="spellStart"/>
      <w:r w:rsidRPr="008B7976">
        <w:rPr>
          <w:i/>
          <w:iCs/>
        </w:rPr>
        <w:t>Semitica</w:t>
      </w:r>
      <w:proofErr w:type="spellEnd"/>
      <w:r w:rsidRPr="008B7976">
        <w:rPr>
          <w:i/>
          <w:iCs/>
        </w:rPr>
        <w:t xml:space="preserve"> </w:t>
      </w:r>
      <w:proofErr w:type="spellStart"/>
      <w:r w:rsidRPr="008B7976">
        <w:rPr>
          <w:i/>
          <w:iCs/>
        </w:rPr>
        <w:t>Neerlandica</w:t>
      </w:r>
      <w:proofErr w:type="spellEnd"/>
      <w:r w:rsidRPr="008B7976">
        <w:t>, Brill &amp; University of Antwerp</w:t>
      </w:r>
      <w:r>
        <w:t xml:space="preserve">, </w:t>
      </w:r>
      <w:r w:rsidRPr="008B7976">
        <w:t>2014, 183-209</w:t>
      </w:r>
    </w:p>
    <w:p w14:paraId="546B0177" w14:textId="378918F7" w:rsidR="00C71233" w:rsidRPr="008B7976" w:rsidRDefault="00C71233" w:rsidP="00C71233">
      <w:pPr>
        <w:shd w:val="clear" w:color="auto" w:fill="FFFFFF"/>
        <w:adjustRightInd w:val="0"/>
        <w:snapToGrid w:val="0"/>
        <w:ind w:left="680" w:hanging="680"/>
        <w:rPr>
          <w:color w:val="292B2C"/>
        </w:rPr>
      </w:pPr>
      <w:bookmarkStart w:id="79" w:name="b26"/>
      <w:bookmarkStart w:id="80" w:name="idm251726016"/>
      <w:bookmarkEnd w:id="79"/>
      <w:bookmarkEnd w:id="80"/>
      <w:r w:rsidRPr="008B7976">
        <w:rPr>
          <w:color w:val="292B2C"/>
        </w:rPr>
        <w:t>Kaplan, J. </w:t>
      </w:r>
      <w:r w:rsidRPr="008B7976">
        <w:rPr>
          <w:i/>
          <w:iCs/>
          <w:color w:val="292B2C"/>
        </w:rPr>
        <w:t xml:space="preserve">My </w:t>
      </w:r>
      <w:r>
        <w:rPr>
          <w:i/>
          <w:iCs/>
          <w:color w:val="292B2C"/>
        </w:rPr>
        <w:t>P</w:t>
      </w:r>
      <w:r w:rsidRPr="008B7976">
        <w:rPr>
          <w:i/>
          <w:iCs/>
          <w:color w:val="292B2C"/>
        </w:rPr>
        <w:t>erfect One</w:t>
      </w:r>
      <w:r>
        <w:rPr>
          <w:i/>
          <w:iCs/>
          <w:color w:val="292B2C"/>
        </w:rPr>
        <w:t>,</w:t>
      </w:r>
      <w:r w:rsidRPr="008B7976">
        <w:rPr>
          <w:i/>
          <w:iCs/>
          <w:color w:val="292B2C"/>
        </w:rPr>
        <w:t xml:space="preserve"> Typology and Early Rabbinic Interpretation of Song of Songs</w:t>
      </w:r>
      <w:r w:rsidRPr="008B7976">
        <w:rPr>
          <w:color w:val="292B2C"/>
        </w:rPr>
        <w:t>. New York</w:t>
      </w:r>
      <w:r>
        <w:rPr>
          <w:color w:val="292B2C"/>
        </w:rPr>
        <w:t>,</w:t>
      </w:r>
      <w:r w:rsidRPr="008B7976">
        <w:rPr>
          <w:color w:val="292B2C"/>
        </w:rPr>
        <w:t xml:space="preserve"> Oxford University Press, 2015. </w:t>
      </w:r>
      <w:hyperlink r:id="rId13" w:tgtFrame="_blank" w:history="1">
        <w:proofErr w:type="spellStart"/>
        <w:r>
          <w:rPr>
            <w:color w:val="0275D8"/>
            <w:u w:val="single"/>
          </w:rPr>
          <w:t>doi:</w:t>
        </w:r>
        <w:r w:rsidRPr="008B7976">
          <w:rPr>
            <w:color w:val="0275D8"/>
            <w:u w:val="single"/>
          </w:rPr>
          <w:t>10.1093</w:t>
        </w:r>
        <w:proofErr w:type="spellEnd"/>
        <w:r w:rsidRPr="008B7976">
          <w:rPr>
            <w:color w:val="0275D8"/>
            <w:u w:val="single"/>
          </w:rPr>
          <w:t>/</w:t>
        </w:r>
        <w:proofErr w:type="spellStart"/>
        <w:r w:rsidRPr="008B7976">
          <w:rPr>
            <w:color w:val="0275D8"/>
            <w:u w:val="single"/>
          </w:rPr>
          <w:t>acprof</w:t>
        </w:r>
        <w:r w:rsidR="005C0DC6">
          <w:rPr>
            <w:color w:val="0275D8"/>
            <w:u w:val="single"/>
          </w:rPr>
          <w:t>:</w:t>
        </w:r>
        <w:r w:rsidRPr="008B7976">
          <w:rPr>
            <w:color w:val="0275D8"/>
            <w:u w:val="single"/>
          </w:rPr>
          <w:t>oso</w:t>
        </w:r>
        <w:proofErr w:type="spellEnd"/>
        <w:r w:rsidRPr="008B7976">
          <w:rPr>
            <w:color w:val="0275D8"/>
            <w:u w:val="single"/>
          </w:rPr>
          <w:t>/9780199359332.001.0001</w:t>
        </w:r>
      </w:hyperlink>
    </w:p>
    <w:p w14:paraId="28241669" w14:textId="0FC3573E" w:rsidR="00C71233" w:rsidRPr="008B7976" w:rsidRDefault="00C71233" w:rsidP="00C71233">
      <w:pPr>
        <w:shd w:val="clear" w:color="auto" w:fill="FFFFFF"/>
        <w:adjustRightInd w:val="0"/>
        <w:snapToGrid w:val="0"/>
        <w:ind w:left="680" w:hanging="680"/>
        <w:rPr>
          <w:color w:val="292B2C"/>
        </w:rPr>
      </w:pPr>
      <w:bookmarkStart w:id="81" w:name="b27"/>
      <w:bookmarkStart w:id="82" w:name="idm252808544"/>
      <w:bookmarkEnd w:id="81"/>
      <w:bookmarkEnd w:id="82"/>
      <w:r w:rsidRPr="008B7976">
        <w:rPr>
          <w:color w:val="292B2C"/>
        </w:rPr>
        <w:t>Kahana, M</w:t>
      </w:r>
      <w:r>
        <w:rPr>
          <w:color w:val="292B2C"/>
        </w:rPr>
        <w:t xml:space="preserve">. </w:t>
      </w:r>
      <w:r w:rsidRPr="008B7976">
        <w:rPr>
          <w:color w:val="292B2C"/>
        </w:rPr>
        <w:t xml:space="preserve">I. </w:t>
      </w:r>
      <w:r>
        <w:rPr>
          <w:color w:val="292B2C"/>
        </w:rPr>
        <w:t>‘</w:t>
      </w:r>
      <w:r w:rsidRPr="008B7976">
        <w:rPr>
          <w:color w:val="292B2C"/>
        </w:rPr>
        <w:t>The Halakhic Midrashim</w:t>
      </w:r>
      <w:r>
        <w:rPr>
          <w:color w:val="292B2C"/>
        </w:rPr>
        <w:t>’</w:t>
      </w:r>
      <w:r w:rsidRPr="008B7976">
        <w:rPr>
          <w:color w:val="292B2C"/>
        </w:rPr>
        <w:t xml:space="preserve"> </w:t>
      </w:r>
      <w:r>
        <w:rPr>
          <w:color w:val="292B2C"/>
        </w:rPr>
        <w:t>i</w:t>
      </w:r>
      <w:r w:rsidRPr="008B7976">
        <w:rPr>
          <w:color w:val="292B2C"/>
        </w:rPr>
        <w:t>n </w:t>
      </w:r>
      <w:r w:rsidRPr="008B7976">
        <w:rPr>
          <w:i/>
          <w:iCs/>
          <w:color w:val="292B2C"/>
        </w:rPr>
        <w:t>The Literature of the Sages, Second Part</w:t>
      </w:r>
      <w:r>
        <w:rPr>
          <w:i/>
          <w:iCs/>
          <w:color w:val="292B2C"/>
        </w:rPr>
        <w:t>,</w:t>
      </w:r>
      <w:r w:rsidRPr="008B7976">
        <w:rPr>
          <w:i/>
          <w:iCs/>
          <w:color w:val="292B2C"/>
        </w:rPr>
        <w:t xml:space="preserve"> Midrash and Targum, Liturgy, Poetry, Mysticism, Contracts, Inscriptions, Ancient </w:t>
      </w:r>
      <w:proofErr w:type="gramStart"/>
      <w:r>
        <w:rPr>
          <w:i/>
          <w:iCs/>
          <w:color w:val="292B2C"/>
        </w:rPr>
        <w:t>S</w:t>
      </w:r>
      <w:r w:rsidR="005C0DC6">
        <w:rPr>
          <w:i/>
          <w:iCs/>
          <w:color w:val="292B2C"/>
        </w:rPr>
        <w:t>c</w:t>
      </w:r>
      <w:r>
        <w:rPr>
          <w:i/>
          <w:iCs/>
          <w:color w:val="292B2C"/>
        </w:rPr>
        <w:t>ience</w:t>
      </w:r>
      <w:proofErr w:type="gramEnd"/>
      <w:r w:rsidRPr="008B7976">
        <w:rPr>
          <w:i/>
          <w:iCs/>
          <w:color w:val="292B2C"/>
        </w:rPr>
        <w:t xml:space="preserve"> and the Languages of Rabbinic Literature</w:t>
      </w:r>
      <w:r w:rsidRPr="008B7976">
        <w:rPr>
          <w:color w:val="292B2C"/>
        </w:rPr>
        <w:t xml:space="preserve">. S. </w:t>
      </w:r>
      <w:proofErr w:type="spellStart"/>
      <w:r w:rsidRPr="008B7976">
        <w:rPr>
          <w:color w:val="292B2C"/>
        </w:rPr>
        <w:t>Safrai</w:t>
      </w:r>
      <w:proofErr w:type="spellEnd"/>
      <w:r w:rsidRPr="008B7976">
        <w:rPr>
          <w:color w:val="292B2C"/>
        </w:rPr>
        <w:t>, et al</w:t>
      </w:r>
      <w:r>
        <w:rPr>
          <w:color w:val="292B2C"/>
        </w:rPr>
        <w:t xml:space="preserve"> (eds),</w:t>
      </w:r>
      <w:r w:rsidRPr="008B7976">
        <w:rPr>
          <w:color w:val="292B2C"/>
        </w:rPr>
        <w:t xml:space="preserve"> Assen, Minneapolis, 2006</w:t>
      </w:r>
    </w:p>
    <w:p w14:paraId="0B7C8E5E" w14:textId="77777777" w:rsidR="00C71233" w:rsidRPr="008B7976" w:rsidRDefault="00C71233" w:rsidP="00C71233">
      <w:pPr>
        <w:shd w:val="clear" w:color="auto" w:fill="FFFFFF"/>
        <w:adjustRightInd w:val="0"/>
        <w:snapToGrid w:val="0"/>
        <w:ind w:left="680" w:hanging="680"/>
        <w:rPr>
          <w:color w:val="292B2C"/>
        </w:rPr>
      </w:pPr>
      <w:bookmarkStart w:id="83" w:name="b28"/>
      <w:bookmarkStart w:id="84" w:name="idm250423488"/>
      <w:bookmarkEnd w:id="83"/>
      <w:bookmarkEnd w:id="84"/>
      <w:r w:rsidRPr="008B7976">
        <w:rPr>
          <w:color w:val="292B2C"/>
        </w:rPr>
        <w:t xml:space="preserve">Lachs, </w:t>
      </w:r>
      <w:r>
        <w:rPr>
          <w:color w:val="292B2C"/>
        </w:rPr>
        <w:t>S. T</w:t>
      </w:r>
      <w:r w:rsidRPr="008B7976">
        <w:rPr>
          <w:color w:val="292B2C"/>
        </w:rPr>
        <w:t xml:space="preserve">. </w:t>
      </w:r>
      <w:r>
        <w:rPr>
          <w:color w:val="292B2C"/>
        </w:rPr>
        <w:t>‘</w:t>
      </w:r>
      <w:r w:rsidRPr="008B7976">
        <w:rPr>
          <w:color w:val="292B2C"/>
        </w:rPr>
        <w:t>Prolegomena to Canticles Rabba</w:t>
      </w:r>
      <w:r>
        <w:rPr>
          <w:color w:val="292B2C"/>
        </w:rPr>
        <w:t>,’</w:t>
      </w:r>
      <w:r w:rsidRPr="008B7976">
        <w:rPr>
          <w:color w:val="292B2C"/>
        </w:rPr>
        <w:t> </w:t>
      </w:r>
      <w:r w:rsidRPr="008B7976">
        <w:rPr>
          <w:i/>
          <w:iCs/>
          <w:color w:val="292B2C"/>
        </w:rPr>
        <w:t xml:space="preserve">Jewish Quarterly Review </w:t>
      </w:r>
      <w:r w:rsidRPr="008B7976">
        <w:rPr>
          <w:color w:val="292B2C"/>
        </w:rPr>
        <w:t>55</w:t>
      </w:r>
      <w:r>
        <w:rPr>
          <w:color w:val="292B2C"/>
        </w:rPr>
        <w:t>:</w:t>
      </w:r>
      <w:r w:rsidRPr="008B7976">
        <w:rPr>
          <w:color w:val="292B2C"/>
        </w:rPr>
        <w:t>3 (1965)</w:t>
      </w:r>
      <w:r>
        <w:rPr>
          <w:color w:val="292B2C"/>
        </w:rPr>
        <w:t>,</w:t>
      </w:r>
      <w:r w:rsidRPr="008B7976">
        <w:rPr>
          <w:color w:val="292B2C"/>
        </w:rPr>
        <w:t xml:space="preserve"> 235–55 </w:t>
      </w:r>
      <w:proofErr w:type="spellStart"/>
      <w:r w:rsidRPr="008B7976">
        <w:rPr>
          <w:color w:val="292B2C"/>
        </w:rPr>
        <w:fldChar w:fldCharType="begin"/>
      </w:r>
      <w:r w:rsidRPr="008B7976">
        <w:rPr>
          <w:color w:val="292B2C"/>
        </w:rPr>
        <w:instrText xml:space="preserve"> HYPERLINK "https://doi.org/10.2307/1453719" \o "" \t "_blank" </w:instrText>
      </w:r>
      <w:r w:rsidRPr="008B7976">
        <w:rPr>
          <w:color w:val="292B2C"/>
        </w:rPr>
        <w:fldChar w:fldCharType="separate"/>
      </w:r>
      <w:r>
        <w:rPr>
          <w:color w:val="0275D8"/>
          <w:u w:val="single"/>
        </w:rPr>
        <w:t>doi:</w:t>
      </w:r>
      <w:r w:rsidRPr="008B7976">
        <w:rPr>
          <w:color w:val="0275D8"/>
          <w:u w:val="single"/>
        </w:rPr>
        <w:t>10.2307</w:t>
      </w:r>
      <w:proofErr w:type="spellEnd"/>
      <w:r w:rsidRPr="008B7976">
        <w:rPr>
          <w:color w:val="0275D8"/>
          <w:u w:val="single"/>
        </w:rPr>
        <w:t>/1453719</w:t>
      </w:r>
      <w:r w:rsidRPr="008B7976">
        <w:rPr>
          <w:color w:val="292B2C"/>
        </w:rPr>
        <w:fldChar w:fldCharType="end"/>
      </w:r>
    </w:p>
    <w:p w14:paraId="446E65EB" w14:textId="77777777" w:rsidR="00C71233" w:rsidRPr="008B7976" w:rsidRDefault="00C71233" w:rsidP="00C71233">
      <w:pPr>
        <w:shd w:val="clear" w:color="auto" w:fill="FFFFFF"/>
        <w:adjustRightInd w:val="0"/>
        <w:snapToGrid w:val="0"/>
        <w:ind w:left="680" w:hanging="680"/>
        <w:rPr>
          <w:color w:val="292B2C"/>
        </w:rPr>
      </w:pPr>
      <w:bookmarkStart w:id="85" w:name="b29"/>
      <w:bookmarkStart w:id="86" w:name="idm254732176"/>
      <w:bookmarkEnd w:id="85"/>
      <w:bookmarkEnd w:id="86"/>
      <w:r w:rsidRPr="008B7976">
        <w:rPr>
          <w:color w:val="292B2C"/>
        </w:rPr>
        <w:t xml:space="preserve">Leiter, S. </w:t>
      </w:r>
      <w:r>
        <w:rPr>
          <w:color w:val="292B2C"/>
        </w:rPr>
        <w:t>‘</w:t>
      </w:r>
      <w:r w:rsidRPr="008B7976">
        <w:rPr>
          <w:color w:val="292B2C"/>
        </w:rPr>
        <w:t>Worthiness, Acclamation, and Appointment</w:t>
      </w:r>
      <w:r>
        <w:rPr>
          <w:color w:val="292B2C"/>
        </w:rPr>
        <w:t>:</w:t>
      </w:r>
      <w:r w:rsidRPr="008B7976">
        <w:rPr>
          <w:color w:val="292B2C"/>
        </w:rPr>
        <w:t xml:space="preserve"> Some Rabbinic Terms</w:t>
      </w:r>
      <w:r>
        <w:rPr>
          <w:color w:val="292B2C"/>
        </w:rPr>
        <w:t>,’</w:t>
      </w:r>
      <w:r w:rsidRPr="008B7976">
        <w:rPr>
          <w:color w:val="292B2C"/>
        </w:rPr>
        <w:t> </w:t>
      </w:r>
      <w:r w:rsidRPr="008B7976">
        <w:rPr>
          <w:i/>
          <w:iCs/>
          <w:color w:val="292B2C"/>
        </w:rPr>
        <w:t>Proceedings</w:t>
      </w:r>
      <w:r w:rsidRPr="008B7976">
        <w:rPr>
          <w:color w:val="292B2C"/>
        </w:rPr>
        <w:t> 41-42 (1975)</w:t>
      </w:r>
      <w:r>
        <w:rPr>
          <w:color w:val="292B2C"/>
        </w:rPr>
        <w:t>,</w:t>
      </w:r>
      <w:r w:rsidRPr="008B7976">
        <w:rPr>
          <w:color w:val="292B2C"/>
        </w:rPr>
        <w:t xml:space="preserve"> 138–51</w:t>
      </w:r>
    </w:p>
    <w:p w14:paraId="5A48C3EF" w14:textId="218F8649" w:rsidR="00C71233" w:rsidRPr="008B7976" w:rsidRDefault="00C71233" w:rsidP="00C71233">
      <w:pPr>
        <w:shd w:val="clear" w:color="auto" w:fill="FFFFFF"/>
        <w:adjustRightInd w:val="0"/>
        <w:snapToGrid w:val="0"/>
        <w:ind w:left="680" w:hanging="680"/>
      </w:pPr>
      <w:bookmarkStart w:id="87" w:name="b30"/>
      <w:bookmarkStart w:id="88" w:name="idm250238480"/>
      <w:bookmarkEnd w:id="87"/>
      <w:bookmarkEnd w:id="88"/>
      <w:r w:rsidRPr="008B7976">
        <w:t>Lieberman, S. ‘</w:t>
      </w:r>
      <w:proofErr w:type="spellStart"/>
      <w:r w:rsidRPr="008B7976">
        <w:t>Keles</w:t>
      </w:r>
      <w:proofErr w:type="spellEnd"/>
      <w:r w:rsidRPr="008B7976">
        <w:t xml:space="preserve"> </w:t>
      </w:r>
      <w:proofErr w:type="spellStart"/>
      <w:r w:rsidRPr="008B7976">
        <w:t>Kilusin</w:t>
      </w:r>
      <w:proofErr w:type="spellEnd"/>
      <w:r w:rsidRPr="008B7976">
        <w:t>’ (Heb), in D. Rosenthal (ed),</w:t>
      </w:r>
      <w:r w:rsidRPr="008B7976">
        <w:rPr>
          <w:i/>
          <w:iCs/>
        </w:rPr>
        <w:t xml:space="preserve"> Studies in Palestinian Talmudic Literature</w:t>
      </w:r>
      <w:r w:rsidRPr="008B7976">
        <w:t xml:space="preserve">, </w:t>
      </w:r>
      <w:proofErr w:type="spellStart"/>
      <w:r w:rsidRPr="008B7976">
        <w:t>Magnes</w:t>
      </w:r>
      <w:proofErr w:type="spellEnd"/>
      <w:r w:rsidRPr="008B7976">
        <w:t>, Jerusalem, 1991, 433–439</w:t>
      </w:r>
    </w:p>
    <w:p w14:paraId="34918051" w14:textId="77777777" w:rsidR="00C71233" w:rsidRPr="008B7976" w:rsidRDefault="00C71233" w:rsidP="00C71233">
      <w:pPr>
        <w:shd w:val="clear" w:color="auto" w:fill="FFFFFF"/>
        <w:adjustRightInd w:val="0"/>
        <w:snapToGrid w:val="0"/>
        <w:ind w:left="680" w:hanging="680"/>
        <w:rPr>
          <w:color w:val="292B2C"/>
        </w:rPr>
      </w:pPr>
      <w:bookmarkStart w:id="89" w:name="b31"/>
      <w:bookmarkStart w:id="90" w:name="idm246854048"/>
      <w:bookmarkEnd w:id="89"/>
      <w:bookmarkEnd w:id="90"/>
      <w:r w:rsidRPr="008B7976">
        <w:rPr>
          <w:color w:val="292B2C"/>
        </w:rPr>
        <w:t>Lieberman, S. ‘</w:t>
      </w:r>
      <w:proofErr w:type="spellStart"/>
      <w:r w:rsidRPr="008B7976">
        <w:rPr>
          <w:color w:val="292B2C"/>
        </w:rPr>
        <w:t>Mishnat</w:t>
      </w:r>
      <w:proofErr w:type="spellEnd"/>
      <w:r w:rsidRPr="008B7976">
        <w:rPr>
          <w:color w:val="292B2C"/>
        </w:rPr>
        <w:t xml:space="preserve"> Shir ha-</w:t>
      </w:r>
      <w:proofErr w:type="spellStart"/>
      <w:r w:rsidRPr="008B7976">
        <w:rPr>
          <w:color w:val="292B2C"/>
        </w:rPr>
        <w:t>Shirim</w:t>
      </w:r>
      <w:proofErr w:type="spellEnd"/>
      <w:r w:rsidRPr="008B7976">
        <w:rPr>
          <w:color w:val="292B2C"/>
        </w:rPr>
        <w:t>’ (Heb)</w:t>
      </w:r>
      <w:r>
        <w:rPr>
          <w:color w:val="292B2C"/>
        </w:rPr>
        <w:t xml:space="preserve"> i</w:t>
      </w:r>
      <w:r w:rsidRPr="008B7976">
        <w:rPr>
          <w:color w:val="292B2C"/>
        </w:rPr>
        <w:t>n </w:t>
      </w:r>
      <w:proofErr w:type="spellStart"/>
      <w:r w:rsidRPr="008B7976">
        <w:rPr>
          <w:i/>
          <w:iCs/>
          <w:color w:val="292B2C"/>
        </w:rPr>
        <w:t>Scholem</w:t>
      </w:r>
      <w:proofErr w:type="spellEnd"/>
      <w:r w:rsidRPr="008B7976">
        <w:rPr>
          <w:i/>
          <w:iCs/>
          <w:color w:val="292B2C"/>
        </w:rPr>
        <w:t xml:space="preserve">, Jewish Gnosticism, </w:t>
      </w:r>
      <w:proofErr w:type="spellStart"/>
      <w:r w:rsidRPr="008B7976">
        <w:rPr>
          <w:i/>
          <w:iCs/>
          <w:color w:val="292B2C"/>
        </w:rPr>
        <w:t>Merkaba</w:t>
      </w:r>
      <w:proofErr w:type="spellEnd"/>
      <w:r w:rsidRPr="008B7976">
        <w:rPr>
          <w:i/>
          <w:iCs/>
          <w:color w:val="292B2C"/>
        </w:rPr>
        <w:t> Mysticism and Talmudic Tradition, Appendix D</w:t>
      </w:r>
      <w:r w:rsidRPr="008B7976">
        <w:rPr>
          <w:color w:val="292B2C"/>
        </w:rPr>
        <w:t>. G. Gershom</w:t>
      </w:r>
      <w:r>
        <w:rPr>
          <w:color w:val="292B2C"/>
        </w:rPr>
        <w:t xml:space="preserve"> (ed)</w:t>
      </w:r>
      <w:r w:rsidRPr="008B7976">
        <w:rPr>
          <w:color w:val="292B2C"/>
        </w:rPr>
        <w:t>,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1965</w:t>
      </w:r>
      <w:r>
        <w:rPr>
          <w:color w:val="292B2C"/>
        </w:rPr>
        <w:t>,</w:t>
      </w:r>
      <w:r w:rsidRPr="008B7976">
        <w:rPr>
          <w:color w:val="292B2C"/>
        </w:rPr>
        <w:t>118–26</w:t>
      </w:r>
    </w:p>
    <w:p w14:paraId="4CF46AC2" w14:textId="77777777" w:rsidR="00C71233" w:rsidRPr="008B7976" w:rsidRDefault="00C71233" w:rsidP="00C71233">
      <w:pPr>
        <w:shd w:val="clear" w:color="auto" w:fill="FFFFFF"/>
        <w:adjustRightInd w:val="0"/>
        <w:snapToGrid w:val="0"/>
        <w:ind w:left="680" w:hanging="680"/>
      </w:pPr>
      <w:bookmarkStart w:id="91" w:name="b32"/>
      <w:bookmarkStart w:id="92" w:name="idm251828672"/>
      <w:bookmarkEnd w:id="91"/>
      <w:bookmarkEnd w:id="92"/>
      <w:r w:rsidRPr="008B7976">
        <w:t>Lieberman, S. </w:t>
      </w:r>
      <w:proofErr w:type="spellStart"/>
      <w:r w:rsidRPr="008B7976">
        <w:rPr>
          <w:i/>
          <w:iCs/>
        </w:rPr>
        <w:t>Shkiin</w:t>
      </w:r>
      <w:proofErr w:type="spellEnd"/>
      <w:r w:rsidRPr="008B7976">
        <w:rPr>
          <w:i/>
          <w:iCs/>
        </w:rPr>
        <w:t xml:space="preserve"> &amp; Yemenite Midrashim</w:t>
      </w:r>
      <w:r w:rsidRPr="008B7976">
        <w:t>, </w:t>
      </w:r>
      <w:r w:rsidRPr="008B7976">
        <w:rPr>
          <w:i/>
          <w:iCs/>
        </w:rPr>
        <w:t xml:space="preserve">A Lecture on Yemenite Midrashim, their </w:t>
      </w:r>
      <w:proofErr w:type="gramStart"/>
      <w:r w:rsidRPr="008B7976">
        <w:rPr>
          <w:i/>
          <w:iCs/>
        </w:rPr>
        <w:t>Character</w:t>
      </w:r>
      <w:proofErr w:type="gramEnd"/>
      <w:r w:rsidRPr="008B7976">
        <w:rPr>
          <w:i/>
          <w:iCs/>
        </w:rPr>
        <w:t xml:space="preserve"> and Value</w:t>
      </w:r>
      <w:r w:rsidRPr="008B7976">
        <w:t xml:space="preserve">, second edition, (Heb) </w:t>
      </w:r>
      <w:proofErr w:type="spellStart"/>
      <w:r w:rsidRPr="008B7976">
        <w:t>Shalem</w:t>
      </w:r>
      <w:proofErr w:type="spellEnd"/>
      <w:r w:rsidRPr="008B7976">
        <w:t xml:space="preserve"> Books, Jerusalem</w:t>
      </w:r>
      <w:r>
        <w:t>,</w:t>
      </w:r>
      <w:r w:rsidRPr="008B7976">
        <w:t xml:space="preserve"> 1992</w:t>
      </w:r>
    </w:p>
    <w:p w14:paraId="57B06B51" w14:textId="77777777" w:rsidR="00C71233" w:rsidRPr="008B7976" w:rsidRDefault="00C71233" w:rsidP="00C71233">
      <w:pPr>
        <w:shd w:val="clear" w:color="auto" w:fill="FFFFFF"/>
        <w:adjustRightInd w:val="0"/>
        <w:snapToGrid w:val="0"/>
        <w:ind w:left="680" w:hanging="680"/>
        <w:rPr>
          <w:color w:val="292B2C"/>
        </w:rPr>
      </w:pPr>
      <w:bookmarkStart w:id="93" w:name="b33"/>
      <w:bookmarkStart w:id="94" w:name="idm251823248"/>
      <w:bookmarkEnd w:id="93"/>
      <w:bookmarkEnd w:id="94"/>
      <w:r w:rsidRPr="008B7976">
        <w:rPr>
          <w:color w:val="292B2C"/>
        </w:rPr>
        <w:t>Matter, E. A. </w:t>
      </w:r>
      <w:r w:rsidRPr="008B7976">
        <w:rPr>
          <w:i/>
          <w:iCs/>
          <w:color w:val="292B2C"/>
        </w:rPr>
        <w:t>The Voice of My Beloved</w:t>
      </w:r>
      <w:r>
        <w:rPr>
          <w:i/>
          <w:iCs/>
          <w:color w:val="292B2C"/>
        </w:rPr>
        <w:t>,</w:t>
      </w:r>
      <w:r w:rsidRPr="008B7976">
        <w:rPr>
          <w:i/>
          <w:iCs/>
          <w:color w:val="292B2C"/>
        </w:rPr>
        <w:t xml:space="preserve"> The Song of Songs in Western Medieval Christianity</w:t>
      </w:r>
      <w:r>
        <w:rPr>
          <w:i/>
          <w:iCs/>
          <w:color w:val="292B2C"/>
        </w:rPr>
        <w:t xml:space="preserve">, </w:t>
      </w:r>
      <w:r w:rsidRPr="008B7976">
        <w:rPr>
          <w:color w:val="292B2C"/>
        </w:rPr>
        <w:t>Philadelphia</w:t>
      </w:r>
      <w:r>
        <w:rPr>
          <w:color w:val="292B2C"/>
        </w:rPr>
        <w:t>,</w:t>
      </w:r>
      <w:r w:rsidRPr="008B7976">
        <w:rPr>
          <w:color w:val="292B2C"/>
        </w:rPr>
        <w:t xml:space="preserve"> University of Pennsylvania Press, 1990 </w:t>
      </w:r>
      <w:proofErr w:type="spellStart"/>
      <w:r w:rsidRPr="008B7976">
        <w:rPr>
          <w:color w:val="292B2C"/>
        </w:rPr>
        <w:fldChar w:fldCharType="begin"/>
      </w:r>
      <w:r w:rsidRPr="008B7976">
        <w:rPr>
          <w:color w:val="292B2C"/>
        </w:rPr>
        <w:instrText xml:space="preserve"> HYPERLINK "https://doi.org/10.9783/9780812200560" \o "" \t "_blank" </w:instrText>
      </w:r>
      <w:r w:rsidRPr="008B7976">
        <w:rPr>
          <w:color w:val="292B2C"/>
        </w:rPr>
        <w:fldChar w:fldCharType="separate"/>
      </w:r>
      <w:r>
        <w:rPr>
          <w:color w:val="0275D8"/>
          <w:u w:val="single"/>
        </w:rPr>
        <w:t>doi:</w:t>
      </w:r>
      <w:r w:rsidRPr="008B7976">
        <w:rPr>
          <w:color w:val="0275D8"/>
          <w:u w:val="single"/>
        </w:rPr>
        <w:t>10.9783</w:t>
      </w:r>
      <w:proofErr w:type="spellEnd"/>
      <w:r w:rsidRPr="008B7976">
        <w:rPr>
          <w:color w:val="0275D8"/>
          <w:u w:val="single"/>
        </w:rPr>
        <w:t>/9780812200560</w:t>
      </w:r>
      <w:r w:rsidRPr="008B7976">
        <w:rPr>
          <w:color w:val="292B2C"/>
        </w:rPr>
        <w:fldChar w:fldCharType="end"/>
      </w:r>
    </w:p>
    <w:p w14:paraId="2611F046" w14:textId="77777777" w:rsidR="00C71233" w:rsidRPr="008B7976" w:rsidRDefault="00C71233" w:rsidP="00C71233">
      <w:pPr>
        <w:shd w:val="clear" w:color="auto" w:fill="FFFFFF"/>
        <w:adjustRightInd w:val="0"/>
        <w:snapToGrid w:val="0"/>
        <w:ind w:left="680" w:hanging="680"/>
        <w:rPr>
          <w:color w:val="292B2C"/>
        </w:rPr>
      </w:pPr>
      <w:bookmarkStart w:id="95" w:name="b34"/>
      <w:bookmarkStart w:id="96" w:name="idm251598800"/>
      <w:bookmarkEnd w:id="95"/>
      <w:bookmarkEnd w:id="96"/>
      <w:r w:rsidRPr="008B7976">
        <w:rPr>
          <w:color w:val="292B2C"/>
        </w:rPr>
        <w:lastRenderedPageBreak/>
        <w:t>McGinn, B. </w:t>
      </w:r>
      <w:r w:rsidRPr="008B7976">
        <w:rPr>
          <w:i/>
          <w:iCs/>
          <w:color w:val="292B2C"/>
        </w:rPr>
        <w:t>The Foundations of Mysticism</w:t>
      </w:r>
      <w:r>
        <w:rPr>
          <w:color w:val="292B2C"/>
        </w:rPr>
        <w:t>,</w:t>
      </w:r>
      <w:r w:rsidRPr="008B7976">
        <w:rPr>
          <w:color w:val="292B2C"/>
        </w:rPr>
        <w:t xml:space="preserve"> </w:t>
      </w:r>
      <w:r>
        <w:rPr>
          <w:color w:val="292B2C"/>
        </w:rPr>
        <w:t>vol</w:t>
      </w:r>
      <w:r w:rsidRPr="008B7976">
        <w:rPr>
          <w:color w:val="292B2C"/>
        </w:rPr>
        <w:t xml:space="preserve"> 1</w:t>
      </w:r>
      <w:r>
        <w:rPr>
          <w:color w:val="292B2C"/>
        </w:rPr>
        <w:t>:</w:t>
      </w:r>
      <w:r w:rsidRPr="008B7976">
        <w:rPr>
          <w:color w:val="292B2C"/>
        </w:rPr>
        <w:t xml:space="preserve"> </w:t>
      </w:r>
      <w:r w:rsidRPr="008B7976">
        <w:rPr>
          <w:i/>
          <w:iCs/>
          <w:color w:val="292B2C"/>
        </w:rPr>
        <w:t>The Presence of God</w:t>
      </w:r>
      <w:r>
        <w:rPr>
          <w:color w:val="292B2C"/>
        </w:rPr>
        <w:t>,</w:t>
      </w:r>
      <w:r w:rsidRPr="008B7976">
        <w:rPr>
          <w:color w:val="292B2C"/>
        </w:rPr>
        <w:t xml:space="preserve"> </w:t>
      </w:r>
      <w:r w:rsidRPr="008B7976">
        <w:rPr>
          <w:i/>
          <w:iCs/>
          <w:color w:val="292B2C"/>
        </w:rPr>
        <w:t>A History of Western Christian Mysticism</w:t>
      </w:r>
      <w:r>
        <w:rPr>
          <w:i/>
          <w:iCs/>
          <w:color w:val="292B2C"/>
        </w:rPr>
        <w:t>,</w:t>
      </w:r>
      <w:r w:rsidRPr="008B7976">
        <w:rPr>
          <w:color w:val="292B2C"/>
        </w:rPr>
        <w:t xml:space="preserve"> New York</w:t>
      </w:r>
      <w:r>
        <w:rPr>
          <w:color w:val="292B2C"/>
        </w:rPr>
        <w:t>,</w:t>
      </w:r>
      <w:r w:rsidRPr="008B7976">
        <w:rPr>
          <w:color w:val="292B2C"/>
        </w:rPr>
        <w:t xml:space="preserve"> Crossroad Publication, 1992</w:t>
      </w:r>
    </w:p>
    <w:p w14:paraId="193B6BD9" w14:textId="77777777" w:rsidR="00C71233" w:rsidRPr="008B7976" w:rsidRDefault="00C71233" w:rsidP="00C71233">
      <w:pPr>
        <w:shd w:val="clear" w:color="auto" w:fill="FFFFFF"/>
        <w:adjustRightInd w:val="0"/>
        <w:snapToGrid w:val="0"/>
        <w:ind w:left="680" w:hanging="680"/>
        <w:rPr>
          <w:color w:val="292B2C"/>
        </w:rPr>
      </w:pPr>
      <w:bookmarkStart w:id="97" w:name="b35"/>
      <w:bookmarkStart w:id="98" w:name="idm251591456"/>
      <w:bookmarkEnd w:id="97"/>
      <w:bookmarkEnd w:id="98"/>
      <w:r w:rsidRPr="008B7976">
        <w:rPr>
          <w:color w:val="292B2C"/>
        </w:rPr>
        <w:t>Pope, M</w:t>
      </w:r>
      <w:r>
        <w:rPr>
          <w:color w:val="292B2C"/>
        </w:rPr>
        <w:t>.</w:t>
      </w:r>
      <w:r w:rsidRPr="008B7976">
        <w:rPr>
          <w:color w:val="292B2C"/>
        </w:rPr>
        <w:t xml:space="preserve"> H. </w:t>
      </w:r>
      <w:r w:rsidRPr="008B7976">
        <w:rPr>
          <w:i/>
          <w:iCs/>
          <w:color w:val="292B2C"/>
        </w:rPr>
        <w:t>Song of Songs</w:t>
      </w:r>
      <w:r>
        <w:rPr>
          <w:i/>
          <w:iCs/>
          <w:color w:val="292B2C"/>
        </w:rPr>
        <w:t>,</w:t>
      </w:r>
      <w:r w:rsidRPr="008B7976">
        <w:rPr>
          <w:i/>
          <w:iCs/>
          <w:color w:val="292B2C"/>
        </w:rPr>
        <w:t xml:space="preserve"> A New Translation, with Introduction and Commentary</w:t>
      </w:r>
      <w:r>
        <w:rPr>
          <w:color w:val="292B2C"/>
        </w:rPr>
        <w:t>,</w:t>
      </w:r>
      <w:r w:rsidRPr="008B7976">
        <w:rPr>
          <w:color w:val="292B2C"/>
        </w:rPr>
        <w:t xml:space="preserve"> New York</w:t>
      </w:r>
      <w:r>
        <w:rPr>
          <w:color w:val="292B2C"/>
        </w:rPr>
        <w:t>,</w:t>
      </w:r>
      <w:r w:rsidRPr="008B7976">
        <w:rPr>
          <w:color w:val="292B2C"/>
        </w:rPr>
        <w:t xml:space="preserve"> Doubleday, 1977 </w:t>
      </w:r>
      <w:proofErr w:type="spellStart"/>
      <w:r w:rsidRPr="008B7976">
        <w:rPr>
          <w:color w:val="292B2C"/>
        </w:rPr>
        <w:fldChar w:fldCharType="begin"/>
      </w:r>
      <w:r w:rsidRPr="008B7976">
        <w:rPr>
          <w:color w:val="292B2C"/>
        </w:rPr>
        <w:instrText xml:space="preserve"> HYPERLINK "https://doi.org/10.5040/9780300261189" \o "" \t "_blank" </w:instrText>
      </w:r>
      <w:r w:rsidRPr="008B7976">
        <w:rPr>
          <w:color w:val="292B2C"/>
        </w:rPr>
        <w:fldChar w:fldCharType="separate"/>
      </w:r>
      <w:r>
        <w:rPr>
          <w:color w:val="0275D8"/>
          <w:u w:val="single"/>
        </w:rPr>
        <w:t>doi:</w:t>
      </w:r>
      <w:r w:rsidRPr="008B7976">
        <w:rPr>
          <w:color w:val="0275D8"/>
          <w:u w:val="single"/>
        </w:rPr>
        <w:t>10.5040</w:t>
      </w:r>
      <w:proofErr w:type="spellEnd"/>
      <w:r w:rsidRPr="008B7976">
        <w:rPr>
          <w:color w:val="0275D8"/>
          <w:u w:val="single"/>
        </w:rPr>
        <w:t>/9780300261189</w:t>
      </w:r>
      <w:r w:rsidRPr="008B7976">
        <w:rPr>
          <w:color w:val="292B2C"/>
        </w:rPr>
        <w:fldChar w:fldCharType="end"/>
      </w:r>
    </w:p>
    <w:p w14:paraId="17A52313" w14:textId="77777777" w:rsidR="00C71233" w:rsidRPr="008B7976" w:rsidRDefault="00C71233" w:rsidP="00C71233">
      <w:pPr>
        <w:shd w:val="clear" w:color="auto" w:fill="FFFFFF"/>
        <w:adjustRightInd w:val="0"/>
        <w:snapToGrid w:val="0"/>
        <w:ind w:left="680" w:hanging="680"/>
        <w:rPr>
          <w:color w:val="292B2C"/>
        </w:rPr>
      </w:pPr>
      <w:bookmarkStart w:id="99" w:name="b36"/>
      <w:bookmarkStart w:id="100" w:name="idm252344528"/>
      <w:bookmarkEnd w:id="99"/>
      <w:bookmarkEnd w:id="100"/>
      <w:proofErr w:type="spellStart"/>
      <w:r w:rsidRPr="008B7976">
        <w:rPr>
          <w:color w:val="292B2C"/>
        </w:rPr>
        <w:t>Scholem</w:t>
      </w:r>
      <w:proofErr w:type="spellEnd"/>
      <w:r w:rsidRPr="008B7976">
        <w:rPr>
          <w:color w:val="292B2C"/>
        </w:rPr>
        <w:t>, G</w:t>
      </w:r>
      <w:r>
        <w:rPr>
          <w:color w:val="292B2C"/>
        </w:rPr>
        <w:t>.</w:t>
      </w:r>
      <w:r w:rsidRPr="008B7976">
        <w:rPr>
          <w:color w:val="292B2C"/>
        </w:rPr>
        <w:t xml:space="preserve"> G. </w:t>
      </w:r>
      <w:r w:rsidRPr="008B7976">
        <w:rPr>
          <w:i/>
          <w:iCs/>
          <w:color w:val="292B2C"/>
        </w:rPr>
        <w:t xml:space="preserve">Jewish Gnosticism, </w:t>
      </w:r>
      <w:proofErr w:type="spellStart"/>
      <w:r w:rsidRPr="008B7976">
        <w:rPr>
          <w:i/>
          <w:iCs/>
          <w:color w:val="292B2C"/>
        </w:rPr>
        <w:t>Merkaba</w:t>
      </w:r>
      <w:proofErr w:type="spellEnd"/>
      <w:r w:rsidRPr="008B7976">
        <w:rPr>
          <w:i/>
          <w:iCs/>
          <w:color w:val="292B2C"/>
        </w:rPr>
        <w:t> Mysticism and Talmudic Tradition</w:t>
      </w:r>
      <w:r>
        <w:rPr>
          <w:color w:val="292B2C"/>
        </w:rPr>
        <w:t>,</w:t>
      </w:r>
      <w:r w:rsidRPr="008B7976">
        <w:rPr>
          <w:color w:val="292B2C"/>
        </w:rPr>
        <w:t xml:space="preserve">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1965</w:t>
      </w:r>
    </w:p>
    <w:p w14:paraId="353F4F11" w14:textId="77777777" w:rsidR="00C71233" w:rsidRPr="008B7976" w:rsidRDefault="00C71233" w:rsidP="00C71233">
      <w:pPr>
        <w:shd w:val="clear" w:color="auto" w:fill="FFFFFF"/>
        <w:adjustRightInd w:val="0"/>
        <w:snapToGrid w:val="0"/>
        <w:ind w:left="680" w:hanging="680"/>
        <w:rPr>
          <w:color w:val="292B2C"/>
        </w:rPr>
      </w:pPr>
      <w:bookmarkStart w:id="101" w:name="b37"/>
      <w:bookmarkStart w:id="102" w:name="idm252340048"/>
      <w:bookmarkEnd w:id="101"/>
      <w:bookmarkEnd w:id="102"/>
      <w:proofErr w:type="spellStart"/>
      <w:r w:rsidRPr="008B7976">
        <w:rPr>
          <w:color w:val="292B2C"/>
        </w:rPr>
        <w:t>Scholem</w:t>
      </w:r>
      <w:proofErr w:type="spellEnd"/>
      <w:r w:rsidRPr="008B7976">
        <w:rPr>
          <w:color w:val="292B2C"/>
        </w:rPr>
        <w:t>, G</w:t>
      </w:r>
      <w:r>
        <w:rPr>
          <w:color w:val="292B2C"/>
        </w:rPr>
        <w:t>.</w:t>
      </w:r>
      <w:r w:rsidRPr="008B7976">
        <w:rPr>
          <w:color w:val="292B2C"/>
        </w:rPr>
        <w:t xml:space="preserve"> G. </w:t>
      </w:r>
      <w:r w:rsidRPr="008B7976">
        <w:rPr>
          <w:i/>
          <w:iCs/>
          <w:color w:val="292B2C"/>
        </w:rPr>
        <w:t>Major Trends in Jewish Mysticism</w:t>
      </w:r>
      <w:r w:rsidRPr="008B7976">
        <w:rPr>
          <w:color w:val="292B2C"/>
        </w:rPr>
        <w:t>, 3</w:t>
      </w:r>
      <w:r w:rsidRPr="008B7976">
        <w:rPr>
          <w:color w:val="292B2C"/>
          <w:vertAlign w:val="superscript"/>
        </w:rPr>
        <w:t>rd</w:t>
      </w:r>
      <w:r>
        <w:rPr>
          <w:color w:val="292B2C"/>
        </w:rPr>
        <w:t xml:space="preserve"> edition,</w:t>
      </w:r>
      <w:r w:rsidRPr="008B7976">
        <w:rPr>
          <w:color w:val="292B2C"/>
        </w:rPr>
        <w:t xml:space="preserve"> New York</w:t>
      </w:r>
      <w:r>
        <w:rPr>
          <w:color w:val="292B2C"/>
        </w:rPr>
        <w:t>,</w:t>
      </w:r>
      <w:r w:rsidRPr="008B7976">
        <w:rPr>
          <w:color w:val="292B2C"/>
        </w:rPr>
        <w:t xml:space="preserve"> </w:t>
      </w:r>
      <w:proofErr w:type="spellStart"/>
      <w:r w:rsidRPr="008B7976">
        <w:rPr>
          <w:color w:val="292B2C"/>
        </w:rPr>
        <w:t>Schocken</w:t>
      </w:r>
      <w:proofErr w:type="spellEnd"/>
      <w:r w:rsidRPr="008B7976">
        <w:rPr>
          <w:color w:val="292B2C"/>
        </w:rPr>
        <w:t xml:space="preserve"> Books, 1973.</w:t>
      </w:r>
    </w:p>
    <w:p w14:paraId="58C91DBC" w14:textId="77777777" w:rsidR="00C71233" w:rsidRPr="008B7976" w:rsidRDefault="00C71233" w:rsidP="00C71233">
      <w:pPr>
        <w:shd w:val="clear" w:color="auto" w:fill="FFFFFF"/>
        <w:adjustRightInd w:val="0"/>
        <w:snapToGrid w:val="0"/>
        <w:ind w:left="680" w:hanging="680"/>
        <w:rPr>
          <w:color w:val="292B2C"/>
        </w:rPr>
      </w:pPr>
      <w:bookmarkStart w:id="103" w:name="b38"/>
      <w:bookmarkStart w:id="104" w:name="idm246645648"/>
      <w:bookmarkEnd w:id="103"/>
      <w:bookmarkEnd w:id="104"/>
      <w:r w:rsidRPr="008B7976">
        <w:rPr>
          <w:color w:val="292B2C"/>
        </w:rPr>
        <w:t>Stemberger, G. </w:t>
      </w:r>
      <w:r w:rsidRPr="008B7976">
        <w:rPr>
          <w:i/>
          <w:iCs/>
          <w:color w:val="292B2C"/>
        </w:rPr>
        <w:t>Introduction to the Talmud and Midrash</w:t>
      </w:r>
      <w:r w:rsidRPr="008B7976">
        <w:rPr>
          <w:color w:val="292B2C"/>
        </w:rPr>
        <w:t xml:space="preserve">. M. </w:t>
      </w:r>
      <w:proofErr w:type="spellStart"/>
      <w:r w:rsidRPr="008B7976">
        <w:rPr>
          <w:color w:val="292B2C"/>
        </w:rPr>
        <w:t>Bockmuehl</w:t>
      </w:r>
      <w:proofErr w:type="spellEnd"/>
      <w:r w:rsidRPr="008B7976">
        <w:rPr>
          <w:color w:val="292B2C"/>
        </w:rPr>
        <w:t xml:space="preserve"> (ed and trans)</w:t>
      </w:r>
      <w:r>
        <w:rPr>
          <w:color w:val="292B2C"/>
        </w:rPr>
        <w:t>,</w:t>
      </w:r>
      <w:r w:rsidRPr="008B7976">
        <w:rPr>
          <w:color w:val="292B2C"/>
        </w:rPr>
        <w:t xml:space="preserve"> Edinburgh, </w:t>
      </w:r>
      <w:proofErr w:type="spellStart"/>
      <w:r w:rsidRPr="008B7976">
        <w:rPr>
          <w:color w:val="292B2C"/>
        </w:rPr>
        <w:t>T&amp;T</w:t>
      </w:r>
      <w:proofErr w:type="spellEnd"/>
      <w:r w:rsidRPr="008B7976">
        <w:rPr>
          <w:color w:val="292B2C"/>
        </w:rPr>
        <w:t xml:space="preserve"> Clark, 1996</w:t>
      </w:r>
    </w:p>
    <w:p w14:paraId="368697FA" w14:textId="77777777" w:rsidR="00C71233" w:rsidRPr="008B7976" w:rsidRDefault="00C71233" w:rsidP="00C71233">
      <w:pPr>
        <w:shd w:val="clear" w:color="auto" w:fill="FFFFFF"/>
        <w:adjustRightInd w:val="0"/>
        <w:snapToGrid w:val="0"/>
        <w:ind w:left="680" w:hanging="680"/>
      </w:pPr>
      <w:bookmarkStart w:id="105" w:name="b39"/>
      <w:bookmarkStart w:id="106" w:name="idm246637488"/>
      <w:bookmarkEnd w:id="105"/>
      <w:bookmarkEnd w:id="106"/>
      <w:r w:rsidRPr="008B7976">
        <w:t>Stern, D. ‘Ancient Jewish Interpretation of the Song of Songs in a Comparative Context,’ in </w:t>
      </w:r>
      <w:r w:rsidRPr="008B7976">
        <w:rPr>
          <w:i/>
          <w:iCs/>
        </w:rPr>
        <w:t>Jewish Literary Cultures, vol. 1: The Ancient Period</w:t>
      </w:r>
      <w:r w:rsidRPr="008B7976">
        <w:t>, University Park, The Pennsylvania State University Press, 2015, 54-77</w:t>
      </w:r>
    </w:p>
    <w:p w14:paraId="64813420" w14:textId="77777777" w:rsidR="00C71233" w:rsidRPr="008B7976" w:rsidRDefault="00C71233" w:rsidP="00C71233">
      <w:pPr>
        <w:shd w:val="clear" w:color="auto" w:fill="FFFFFF"/>
        <w:adjustRightInd w:val="0"/>
        <w:snapToGrid w:val="0"/>
        <w:ind w:left="680" w:hanging="680"/>
        <w:rPr>
          <w:color w:val="292B2C"/>
        </w:rPr>
      </w:pPr>
      <w:bookmarkStart w:id="107" w:name="b40"/>
      <w:bookmarkStart w:id="108" w:name="idm246822080"/>
      <w:bookmarkEnd w:id="107"/>
      <w:bookmarkEnd w:id="108"/>
      <w:proofErr w:type="spellStart"/>
      <w:r w:rsidRPr="008B7976">
        <w:rPr>
          <w:color w:val="292B2C"/>
        </w:rPr>
        <w:t>Urbach</w:t>
      </w:r>
      <w:proofErr w:type="spellEnd"/>
      <w:r w:rsidRPr="008B7976">
        <w:rPr>
          <w:color w:val="292B2C"/>
        </w:rPr>
        <w:t>, E</w:t>
      </w:r>
      <w:r>
        <w:rPr>
          <w:color w:val="292B2C"/>
        </w:rPr>
        <w:t>.</w:t>
      </w:r>
      <w:r w:rsidRPr="008B7976">
        <w:rPr>
          <w:color w:val="292B2C"/>
        </w:rPr>
        <w:t xml:space="preserve"> E. </w:t>
      </w:r>
      <w:r>
        <w:rPr>
          <w:color w:val="292B2C"/>
        </w:rPr>
        <w:t>‘</w:t>
      </w:r>
      <w:r w:rsidRPr="008B7976">
        <w:rPr>
          <w:color w:val="292B2C"/>
        </w:rPr>
        <w:t>The Homiletical Interpretations of the Sages and the Exposition of Origen on Canticles and the Jewish-Christian Disputation</w:t>
      </w:r>
      <w:r>
        <w:rPr>
          <w:color w:val="292B2C"/>
        </w:rPr>
        <w:t>,’</w:t>
      </w:r>
      <w:r w:rsidRPr="008B7976">
        <w:rPr>
          <w:color w:val="292B2C"/>
        </w:rPr>
        <w:t> </w:t>
      </w:r>
      <w:r w:rsidRPr="008B7976">
        <w:rPr>
          <w:i/>
          <w:iCs/>
          <w:color w:val="292B2C"/>
        </w:rPr>
        <w:t xml:space="preserve">Scripta </w:t>
      </w:r>
      <w:proofErr w:type="spellStart"/>
      <w:r w:rsidRPr="008B7976">
        <w:rPr>
          <w:i/>
          <w:iCs/>
          <w:color w:val="292B2C"/>
        </w:rPr>
        <w:t>Hierosolymitana</w:t>
      </w:r>
      <w:proofErr w:type="spellEnd"/>
      <w:r w:rsidRPr="008B7976">
        <w:rPr>
          <w:color w:val="292B2C"/>
        </w:rPr>
        <w:t> 22 (1971)</w:t>
      </w:r>
      <w:r>
        <w:rPr>
          <w:color w:val="292B2C"/>
        </w:rPr>
        <w:t>,</w:t>
      </w:r>
      <w:r w:rsidRPr="008B7976">
        <w:rPr>
          <w:color w:val="292B2C"/>
        </w:rPr>
        <w:t xml:space="preserve"> 247–75</w:t>
      </w:r>
    </w:p>
    <w:p w14:paraId="2E1514F8" w14:textId="77777777" w:rsidR="00C71233" w:rsidRPr="00541E23" w:rsidRDefault="00C71233" w:rsidP="005B2617">
      <w:pPr>
        <w:rPr>
          <w:rtl/>
          <w:lang w:bidi="he-IL"/>
        </w:rPr>
      </w:pPr>
    </w:p>
    <w:p w14:paraId="23877422" w14:textId="77777777" w:rsidR="001C41F0" w:rsidRDefault="001C41F0" w:rsidP="005B2617"/>
    <w:sectPr w:rsidR="001C41F0" w:rsidSect="001C41F0">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08-25T11:37:00Z" w:initials="JA">
    <w:p w14:paraId="1461F878" w14:textId="77777777" w:rsidR="00ED5CFD" w:rsidRDefault="00ED5CFD" w:rsidP="005B2617">
      <w:pPr>
        <w:pStyle w:val="CommentText"/>
        <w:bidi/>
        <w:rPr>
          <w:rtl/>
          <w:lang w:bidi="he-IL"/>
        </w:rPr>
      </w:pPr>
      <w:r>
        <w:rPr>
          <w:rStyle w:val="CommentReference"/>
        </w:rPr>
        <w:annotationRef/>
      </w:r>
      <w:r>
        <w:rPr>
          <w:rFonts w:hint="cs"/>
          <w:rtl/>
          <w:lang w:bidi="he-IL"/>
        </w:rPr>
        <w:t>אני מסכים שזה מסורבל.  אולי:</w:t>
      </w:r>
    </w:p>
    <w:p w14:paraId="0D85D6F5" w14:textId="77777777" w:rsidR="00ED5CFD" w:rsidRDefault="00ED5CFD" w:rsidP="005B2617">
      <w:pPr>
        <w:pStyle w:val="CommentText"/>
        <w:rPr>
          <w:lang w:bidi="he-IL"/>
        </w:rPr>
      </w:pPr>
      <w:r>
        <w:rPr>
          <w:rFonts w:hint="cs"/>
          <w:lang w:bidi="he-IL"/>
        </w:rPr>
        <w:t>T</w:t>
      </w:r>
      <w:r>
        <w:rPr>
          <w:lang w:bidi="he-IL"/>
        </w:rPr>
        <w:t xml:space="preserve">he Body of God in </w:t>
      </w:r>
      <w:r w:rsidRPr="0050593D">
        <w:rPr>
          <w:i/>
          <w:iCs/>
          <w:lang w:bidi="he-IL"/>
        </w:rPr>
        <w:t>Song of Songs</w:t>
      </w:r>
      <w:r>
        <w:rPr>
          <w:lang w:bidi="he-IL"/>
        </w:rPr>
        <w:t xml:space="preserve">: A Re-examination of </w:t>
      </w:r>
      <w:r w:rsidRPr="00337981">
        <w:rPr>
          <w:i/>
          <w:iCs/>
          <w:lang w:bidi="he-IL"/>
        </w:rPr>
        <w:t xml:space="preserve">Shiur </w:t>
      </w:r>
      <w:proofErr w:type="spellStart"/>
      <w:r w:rsidRPr="00337981">
        <w:rPr>
          <w:i/>
          <w:iCs/>
          <w:lang w:bidi="he-IL"/>
        </w:rPr>
        <w:t>Qoma</w:t>
      </w:r>
      <w:proofErr w:type="spellEnd"/>
      <w:r>
        <w:rPr>
          <w:lang w:bidi="he-IL"/>
        </w:rPr>
        <w:t xml:space="preserve"> in Rabbinic Literature</w:t>
      </w:r>
    </w:p>
  </w:comment>
  <w:comment w:id="1" w:author="JA" w:date="2022-09-01T15:04:00Z" w:initials="JA">
    <w:p w14:paraId="629433CB" w14:textId="77777777" w:rsidR="00ED5CFD" w:rsidRDefault="00ED5CFD" w:rsidP="005B2617">
      <w:pPr>
        <w:pStyle w:val="CommentText"/>
        <w:bidi/>
        <w:rPr>
          <w:rtl/>
          <w:lang w:bidi="he-IL"/>
        </w:rPr>
      </w:pPr>
      <w:r>
        <w:rPr>
          <w:rStyle w:val="CommentReference"/>
        </w:rPr>
        <w:annotationRef/>
      </w:r>
      <w:r>
        <w:rPr>
          <w:rFonts w:hint="cs"/>
          <w:rtl/>
          <w:lang w:bidi="he-IL"/>
        </w:rPr>
        <w:t xml:space="preserve">אם את רוצה להסביר מה זה שיעור קומה במבוא, אני מציע להתחיל משם כך: </w:t>
      </w:r>
    </w:p>
    <w:p w14:paraId="6A93D4D3" w14:textId="77777777" w:rsidR="00ED5CFD" w:rsidRDefault="00ED5CFD" w:rsidP="005B2617">
      <w:pPr>
        <w:pStyle w:val="CommentText"/>
      </w:pPr>
      <w:r>
        <w:t>T</w:t>
      </w:r>
      <w:r>
        <w:t xml:space="preserve">he esoteric work known as </w:t>
      </w:r>
      <w:r w:rsidRPr="00337981">
        <w:rPr>
          <w:i/>
          <w:iCs/>
        </w:rPr>
        <w:t xml:space="preserve">Shiur </w:t>
      </w:r>
      <w:proofErr w:type="spellStart"/>
      <w:r w:rsidRPr="00337981">
        <w:rPr>
          <w:i/>
          <w:iCs/>
        </w:rPr>
        <w:t>Qoma</w:t>
      </w:r>
      <w:proofErr w:type="spellEnd"/>
      <w:r>
        <w:t xml:space="preserve"> </w:t>
      </w:r>
      <w:r>
        <w:t xml:space="preserve">details </w:t>
      </w:r>
      <w:r>
        <w:t xml:space="preserve">a mystic’s visions of God as a man of enormous proportions. At </w:t>
      </w:r>
      <w:r>
        <w:t>the</w:t>
      </w:r>
      <w:r>
        <w:t xml:space="preserve"> climax</w:t>
      </w:r>
      <w:r>
        <w:t xml:space="preserve"> of the </w:t>
      </w:r>
      <w:r>
        <w:rPr>
          <w:lang w:bidi="he-IL"/>
        </w:rPr>
        <w:t>work</w:t>
      </w:r>
      <w:r>
        <w:t>,</w:t>
      </w:r>
      <w:r>
        <w:t xml:space="preserve"> the</w:t>
      </w:r>
      <w:r>
        <w:t xml:space="preserve"> verses that describe the beloved from Song 5:1–16 are integrated into the description of God.</w:t>
      </w:r>
      <w:r>
        <w:t xml:space="preserve"> </w:t>
      </w:r>
      <w:r>
        <w:t xml:space="preserve">The dating of </w:t>
      </w:r>
      <w:r w:rsidRPr="00337981">
        <w:rPr>
          <w:i/>
          <w:iCs/>
        </w:rPr>
        <w:t xml:space="preserve">Shiur </w:t>
      </w:r>
      <w:proofErr w:type="spellStart"/>
      <w:r w:rsidRPr="00337981">
        <w:rPr>
          <w:i/>
          <w:iCs/>
        </w:rPr>
        <w:t>Qoma</w:t>
      </w:r>
      <w:proofErr w:type="spellEnd"/>
      <w:r>
        <w:t xml:space="preserve"> the subject of debate among scholars. </w:t>
      </w:r>
      <w:r>
        <w:rPr>
          <w:rStyle w:val="CommentReference"/>
        </w:rPr>
        <w:annotationRef/>
      </w:r>
      <w:r>
        <w:t xml:space="preserve">Several scholars have argued that </w:t>
      </w:r>
      <w:r>
        <w:t>it was originally …</w:t>
      </w:r>
    </w:p>
    <w:p w14:paraId="445899F0" w14:textId="77777777" w:rsidR="00ED5CFD" w:rsidRDefault="00ED5CFD" w:rsidP="005B2617">
      <w:pPr>
        <w:pStyle w:val="CommentText"/>
      </w:pPr>
    </w:p>
    <w:p w14:paraId="16166CA0" w14:textId="77777777" w:rsidR="00ED5CFD" w:rsidRDefault="00ED5CFD" w:rsidP="005B2617">
      <w:pPr>
        <w:pStyle w:val="CommentText"/>
        <w:bidi/>
        <w:rPr>
          <w:rtl/>
          <w:lang w:bidi="he-IL"/>
        </w:rPr>
      </w:pPr>
      <w:r>
        <w:rPr>
          <w:rFonts w:hint="cs"/>
          <w:rtl/>
          <w:lang w:bidi="he-IL"/>
        </w:rPr>
        <w:t xml:space="preserve">לדעתי, עדיף להשמיט לגמרי את המשפט המתחיל </w:t>
      </w:r>
      <w:r>
        <w:rPr>
          <w:lang w:bidi="he-IL"/>
        </w:rPr>
        <w:t>At the climax</w:t>
      </w:r>
      <w:r>
        <w:rPr>
          <w:rFonts w:hint="cs"/>
          <w:rtl/>
          <w:lang w:bidi="he-IL"/>
        </w:rPr>
        <w:t xml:space="preserve">. פרט זה חשוב בהמשך אבל לא ברור מה הוא עושה במבוא. לחילופין, אפשר להוסיף אותו לסוף המבוא: </w:t>
      </w:r>
    </w:p>
    <w:p w14:paraId="7551E0D5" w14:textId="77777777" w:rsidR="00ED5CFD" w:rsidRDefault="00ED5CFD" w:rsidP="005B2617">
      <w:r>
        <w:t xml:space="preserve">At the climax of the </w:t>
      </w:r>
      <w:r w:rsidRPr="00337981">
        <w:rPr>
          <w:i/>
          <w:iCs/>
        </w:rPr>
        <w:t xml:space="preserve">Shiur </w:t>
      </w:r>
      <w:proofErr w:type="spellStart"/>
      <w:r w:rsidRPr="00337981">
        <w:rPr>
          <w:i/>
          <w:iCs/>
        </w:rPr>
        <w:t>Qoma</w:t>
      </w:r>
      <w:proofErr w:type="spellEnd"/>
      <w:r>
        <w:t xml:space="preserve">, the verses that describe the beloved from Song 5:1–16 are integrated into the description of God. </w:t>
      </w:r>
      <w:r>
        <w:t>The presence of these verses offers an opportunity to</w:t>
      </w:r>
      <w:r>
        <w:t xml:space="preserve"> re-examine these questions by comparing </w:t>
      </w:r>
      <w:proofErr w:type="spellStart"/>
      <w:r>
        <w:t>Tannaic</w:t>
      </w:r>
      <w:proofErr w:type="spellEnd"/>
      <w:r>
        <w:t xml:space="preserve"> midrashim about the physical description of the beloved in the </w:t>
      </w:r>
      <w:r w:rsidRPr="0050593D">
        <w:rPr>
          <w:i/>
          <w:iCs/>
        </w:rPr>
        <w:t>Song of Songs</w:t>
      </w:r>
      <w:r>
        <w:t xml:space="preserve"> with the interpretations in Amoraic midrashim. </w:t>
      </w:r>
    </w:p>
    <w:p w14:paraId="612B39BF" w14:textId="77777777" w:rsidR="00ED5CFD" w:rsidRPr="001126C6" w:rsidRDefault="00ED5CFD" w:rsidP="005B2617">
      <w:pPr>
        <w:pStyle w:val="CommentText"/>
        <w:bidi/>
        <w:rPr>
          <w:rFonts w:hint="cs"/>
          <w:rtl/>
          <w:lang w:bidi="he-IL"/>
        </w:rPr>
      </w:pPr>
    </w:p>
  </w:comment>
  <w:comment w:id="3" w:author="JA" w:date="2022-08-15T13:09:00Z" w:initials="JA">
    <w:p w14:paraId="525343A8" w14:textId="77777777" w:rsidR="00ED5CFD" w:rsidRDefault="00ED5CFD" w:rsidP="005B2617">
      <w:pPr>
        <w:pStyle w:val="CommentText"/>
        <w:bidi/>
        <w:rPr>
          <w:rtl/>
          <w:lang w:bidi="he-IL"/>
        </w:rPr>
      </w:pPr>
      <w:r>
        <w:rPr>
          <w:rStyle w:val="CommentReference"/>
        </w:rPr>
        <w:annotationRef/>
      </w:r>
      <w:r>
        <w:rPr>
          <w:rFonts w:hint="cs"/>
          <w:rtl/>
          <w:lang w:bidi="he-IL"/>
        </w:rPr>
        <w:t>שיניתי מעט בהערה. התיאור בפרק ו הוא רק של ראשה</w:t>
      </w:r>
    </w:p>
  </w:comment>
  <w:comment w:id="2" w:author="JA" w:date="2022-08-15T12:56:00Z" w:initials="JA">
    <w:p w14:paraId="5F5753C1" w14:textId="77777777" w:rsidR="00ED5CFD" w:rsidRDefault="00ED5CFD" w:rsidP="005B2617">
      <w:pPr>
        <w:pStyle w:val="CommentText"/>
        <w:bidi/>
        <w:rPr>
          <w:rtl/>
          <w:lang w:bidi="he-IL"/>
        </w:rPr>
      </w:pPr>
      <w:r>
        <w:rPr>
          <w:rStyle w:val="CommentReference"/>
        </w:rPr>
        <w:annotationRef/>
      </w:r>
      <w:r>
        <w:rPr>
          <w:rFonts w:hint="cs"/>
          <w:rtl/>
          <w:lang w:bidi="he-IL"/>
        </w:rPr>
        <w:t xml:space="preserve">מאחר שעניינך בתיאורי הדוד, אני מציע להשמיט משפט זה. הוא כביכול מבטיח שתיאורי </w:t>
      </w:r>
      <w:proofErr w:type="spellStart"/>
      <w:r>
        <w:rPr>
          <w:rFonts w:hint="cs"/>
          <w:rtl/>
          <w:lang w:bidi="he-IL"/>
        </w:rPr>
        <w:t>הרעיה</w:t>
      </w:r>
      <w:proofErr w:type="spellEnd"/>
      <w:r>
        <w:rPr>
          <w:rFonts w:hint="cs"/>
          <w:rtl/>
          <w:lang w:bidi="he-IL"/>
        </w:rPr>
        <w:t xml:space="preserve"> חשובים לטיעונך.</w:t>
      </w:r>
    </w:p>
  </w:comment>
  <w:comment w:id="4" w:author="JA" w:date="2022-08-25T10:51:00Z" w:initials="JA">
    <w:p w14:paraId="3434F725" w14:textId="77777777" w:rsidR="00ED5CFD" w:rsidRDefault="00ED5CFD" w:rsidP="005B2617">
      <w:pPr>
        <w:pStyle w:val="CommentText"/>
        <w:bidi/>
        <w:rPr>
          <w:rtl/>
          <w:lang w:bidi="he-IL"/>
        </w:rPr>
      </w:pPr>
      <w:r>
        <w:rPr>
          <w:rStyle w:val="CommentReference"/>
        </w:rPr>
        <w:annotationRef/>
      </w:r>
      <w:r>
        <w:rPr>
          <w:rFonts w:hint="cs"/>
          <w:rtl/>
          <w:lang w:bidi="he-IL"/>
        </w:rPr>
        <w:t>בטקסט ששלחת כתוב</w:t>
      </w:r>
      <w:r w:rsidRPr="00C60859">
        <w:rPr>
          <w:rtl/>
          <w:lang w:bidi="he-IL"/>
        </w:rPr>
        <w:t xml:space="preserve"> </w:t>
      </w:r>
      <w:proofErr w:type="spellStart"/>
      <w:r w:rsidRPr="00C60859">
        <w:rPr>
          <w:highlight w:val="yellow"/>
          <w:rtl/>
          <w:lang w:bidi="he-IL"/>
        </w:rPr>
        <w:t>ממ</w:t>
      </w:r>
      <w:r w:rsidRPr="00C60859">
        <w:rPr>
          <w:rtl/>
          <w:lang w:bidi="he-IL"/>
        </w:rPr>
        <w:t>טטרון</w:t>
      </w:r>
      <w:proofErr w:type="spellEnd"/>
      <w:r>
        <w:rPr>
          <w:rFonts w:hint="cs"/>
          <w:rtl/>
          <w:lang w:bidi="he-IL"/>
        </w:rPr>
        <w:t xml:space="preserve">. הנחתי שזו טעות בהקלדה.  אם לא, אז </w:t>
      </w:r>
      <w:proofErr w:type="spellStart"/>
      <w:r>
        <w:rPr>
          <w:lang w:bidi="he-IL"/>
        </w:rPr>
        <w:t>Memtatron</w:t>
      </w:r>
      <w:proofErr w:type="spellEnd"/>
      <w:r>
        <w:rPr>
          <w:rFonts w:hint="cs"/>
          <w:rtl/>
          <w:lang w:bidi="he-IL"/>
        </w:rPr>
        <w:t xml:space="preserve">  </w:t>
      </w:r>
    </w:p>
  </w:comment>
  <w:comment w:id="5" w:author="JA" w:date="2022-08-25T11:00:00Z" w:initials="JA">
    <w:p w14:paraId="6EFA0CB9" w14:textId="77777777" w:rsidR="00ED5CFD" w:rsidRDefault="00ED5CFD" w:rsidP="005B2617">
      <w:pPr>
        <w:pStyle w:val="CommentText"/>
        <w:bidi/>
        <w:rPr>
          <w:rtl/>
          <w:lang w:bidi="he-IL"/>
        </w:rPr>
      </w:pPr>
      <w:r>
        <w:rPr>
          <w:rStyle w:val="CommentReference"/>
        </w:rPr>
        <w:annotationRef/>
      </w:r>
      <w:r>
        <w:rPr>
          <w:rFonts w:hint="cs"/>
          <w:rtl/>
          <w:lang w:bidi="he-IL"/>
        </w:rPr>
        <w:t xml:space="preserve">לחילופין </w:t>
      </w:r>
      <w:r>
        <w:rPr>
          <w:lang w:bidi="he-IL"/>
        </w:rPr>
        <w:t>thirty million.</w:t>
      </w:r>
      <w:r>
        <w:rPr>
          <w:rFonts w:hint="cs"/>
          <w:rtl/>
          <w:lang w:bidi="he-IL"/>
        </w:rPr>
        <w:t xml:space="preserve"> לדעתי יותר יפה כך.</w:t>
      </w:r>
    </w:p>
  </w:comment>
  <w:comment w:id="6" w:author="JA" w:date="2022-08-25T11:03:00Z" w:initials="JA">
    <w:p w14:paraId="09C6FD96" w14:textId="77777777" w:rsidR="00ED5CFD" w:rsidRDefault="00ED5CFD" w:rsidP="005B2617">
      <w:pPr>
        <w:pStyle w:val="CommentText"/>
        <w:bidi/>
        <w:rPr>
          <w:rtl/>
          <w:lang w:bidi="he-IL"/>
        </w:rPr>
      </w:pPr>
      <w:r>
        <w:rPr>
          <w:rStyle w:val="CommentReference"/>
        </w:rPr>
        <w:annotationRef/>
      </w:r>
      <w:proofErr w:type="spellStart"/>
      <w:r>
        <w:rPr>
          <w:rFonts w:hint="cs"/>
          <w:rtl/>
          <w:lang w:bidi="he-IL"/>
        </w:rPr>
        <w:t>פרמסייה</w:t>
      </w:r>
      <w:proofErr w:type="spellEnd"/>
      <w:r>
        <w:rPr>
          <w:rFonts w:hint="cs"/>
          <w:rtl/>
          <w:lang w:bidi="he-IL"/>
        </w:rPr>
        <w:t xml:space="preserve"> שמו.  ממש לא הבנתי.</w:t>
      </w:r>
    </w:p>
  </w:comment>
  <w:comment w:id="7" w:author="JA" w:date="2022-08-16T14:53:00Z" w:initials="JA">
    <w:p w14:paraId="31FB1805" w14:textId="77777777" w:rsidR="00ED5CFD" w:rsidRDefault="00ED5CFD" w:rsidP="005B2617">
      <w:pPr>
        <w:pStyle w:val="CommentText"/>
        <w:bidi/>
        <w:rPr>
          <w:rtl/>
          <w:lang w:bidi="he-IL"/>
        </w:rPr>
      </w:pPr>
      <w:r>
        <w:rPr>
          <w:rStyle w:val="CommentReference"/>
        </w:rPr>
        <w:annotationRef/>
      </w:r>
      <w:r>
        <w:rPr>
          <w:rFonts w:hint="cs"/>
          <w:rtl/>
          <w:lang w:bidi="he-IL"/>
        </w:rPr>
        <w:t>במקור:</w:t>
      </w:r>
      <w:r>
        <w:rPr>
          <w:rFonts w:hint="cs"/>
          <w:lang w:bidi="he-IL"/>
        </w:rPr>
        <w:t xml:space="preserve"> </w:t>
      </w:r>
      <w:r>
        <w:rPr>
          <w:rFonts w:hint="cs"/>
          <w:rtl/>
          <w:lang w:bidi="he-IL"/>
        </w:rPr>
        <w:t>ומותני</w:t>
      </w:r>
      <w:r>
        <w:rPr>
          <w:rFonts w:hint="cs"/>
          <w:rtl/>
        </w:rPr>
        <w:t xml:space="preserve"> </w:t>
      </w:r>
      <w:proofErr w:type="spellStart"/>
      <w:r>
        <w:rPr>
          <w:rFonts w:hint="cs"/>
          <w:rtl/>
          <w:lang w:bidi="he-IL"/>
        </w:rPr>
        <w:t>מותנייהו</w:t>
      </w:r>
      <w:proofErr w:type="spellEnd"/>
      <w:r>
        <w:rPr>
          <w:lang w:bidi="he-IL"/>
        </w:rPr>
        <w:t xml:space="preserve"> </w:t>
      </w:r>
    </w:p>
    <w:p w14:paraId="08D537F5" w14:textId="77777777" w:rsidR="00ED5CFD" w:rsidRDefault="00ED5CFD" w:rsidP="005B2617">
      <w:pPr>
        <w:pStyle w:val="CommentText"/>
        <w:bidi/>
      </w:pPr>
      <w:r>
        <w:rPr>
          <w:rFonts w:hint="cs"/>
          <w:rtl/>
          <w:lang w:bidi="he-IL"/>
        </w:rPr>
        <w:t xml:space="preserve">התרגום לא ברור לי. </w:t>
      </w:r>
    </w:p>
  </w:comment>
  <w:comment w:id="8" w:author="JA" w:date="2022-08-18T15:08:00Z" w:initials="JA">
    <w:p w14:paraId="76D0780F" w14:textId="77777777" w:rsidR="00ED5CFD" w:rsidRDefault="00ED5CFD" w:rsidP="005B2617">
      <w:pPr>
        <w:pStyle w:val="CommentText"/>
        <w:bidi/>
        <w:rPr>
          <w:rtl/>
          <w:lang w:bidi="he-IL"/>
        </w:rPr>
      </w:pPr>
      <w:r>
        <w:rPr>
          <w:rStyle w:val="CommentReference"/>
        </w:rPr>
        <w:annotationRef/>
      </w:r>
      <w:r>
        <w:rPr>
          <w:rFonts w:hint="cs"/>
          <w:rtl/>
          <w:lang w:bidi="he-IL"/>
        </w:rPr>
        <w:t>במקור:</w:t>
      </w:r>
    </w:p>
    <w:p w14:paraId="369AD149" w14:textId="77777777" w:rsidR="00ED5CFD" w:rsidRDefault="00ED5CFD" w:rsidP="005B2617">
      <w:pPr>
        <w:pStyle w:val="CommentText"/>
        <w:bidi/>
        <w:rPr>
          <w:rtl/>
          <w:lang w:bidi="he-IL"/>
        </w:rPr>
      </w:pPr>
      <w:r>
        <w:rPr>
          <w:rFonts w:hint="cs"/>
          <w:rtl/>
          <w:lang w:bidi="he-IL"/>
        </w:rPr>
        <w:t>בכך</w:t>
      </w:r>
      <w:r>
        <w:rPr>
          <w:rFonts w:hint="cs"/>
          <w:rtl/>
        </w:rPr>
        <w:t xml:space="preserve"> </w:t>
      </w:r>
      <w:r>
        <w:rPr>
          <w:rFonts w:hint="cs"/>
          <w:rtl/>
          <w:lang w:bidi="he-IL"/>
        </w:rPr>
        <w:t>חוצה</w:t>
      </w:r>
      <w:r>
        <w:rPr>
          <w:rFonts w:hint="cs"/>
          <w:rtl/>
        </w:rPr>
        <w:t xml:space="preserve"> </w:t>
      </w:r>
      <w:r>
        <w:rPr>
          <w:rFonts w:hint="cs"/>
          <w:rtl/>
          <w:lang w:bidi="he-IL"/>
        </w:rPr>
        <w:t>ספרות</w:t>
      </w:r>
      <w:r>
        <w:rPr>
          <w:rFonts w:hint="cs"/>
          <w:rtl/>
        </w:rPr>
        <w:t xml:space="preserve"> </w:t>
      </w:r>
      <w:r>
        <w:rPr>
          <w:rFonts w:hint="cs"/>
          <w:rtl/>
          <w:lang w:bidi="he-IL"/>
        </w:rPr>
        <w:t>יורדי</w:t>
      </w:r>
      <w:r>
        <w:rPr>
          <w:rFonts w:hint="cs"/>
          <w:rtl/>
        </w:rPr>
        <w:t xml:space="preserve"> </w:t>
      </w:r>
      <w:r>
        <w:rPr>
          <w:rFonts w:hint="cs"/>
          <w:rtl/>
          <w:lang w:bidi="he-IL"/>
        </w:rPr>
        <w:t>מרכבה</w:t>
      </w:r>
      <w:r>
        <w:rPr>
          <w:rFonts w:hint="cs"/>
          <w:rtl/>
        </w:rPr>
        <w:t xml:space="preserve"> </w:t>
      </w:r>
      <w:r>
        <w:rPr>
          <w:rFonts w:hint="cs"/>
          <w:rtl/>
          <w:lang w:bidi="he-IL"/>
        </w:rPr>
        <w:t>את</w:t>
      </w:r>
      <w:r>
        <w:rPr>
          <w:rFonts w:hint="cs"/>
          <w:rtl/>
        </w:rPr>
        <w:t xml:space="preserve"> </w:t>
      </w:r>
      <w:r>
        <w:rPr>
          <w:rFonts w:hint="cs"/>
          <w:rtl/>
          <w:lang w:bidi="he-IL"/>
        </w:rPr>
        <w:t>מחסום</w:t>
      </w:r>
      <w:r>
        <w:rPr>
          <w:rFonts w:hint="cs"/>
          <w:rtl/>
        </w:rPr>
        <w:t xml:space="preserve"> </w:t>
      </w:r>
      <w:r>
        <w:rPr>
          <w:rFonts w:hint="cs"/>
          <w:rtl/>
          <w:lang w:bidi="he-IL"/>
        </w:rPr>
        <w:t>האינטימיות</w:t>
      </w:r>
      <w:r>
        <w:rPr>
          <w:rFonts w:hint="cs"/>
          <w:rtl/>
        </w:rPr>
        <w:t xml:space="preserve"> </w:t>
      </w:r>
      <w:r>
        <w:rPr>
          <w:rFonts w:hint="cs"/>
          <w:rtl/>
          <w:lang w:bidi="he-IL"/>
        </w:rPr>
        <w:t>האחרון</w:t>
      </w:r>
      <w:r>
        <w:rPr>
          <w:rFonts w:hint="cs"/>
          <w:rtl/>
        </w:rPr>
        <w:t xml:space="preserve"> </w:t>
      </w:r>
      <w:r>
        <w:rPr>
          <w:rFonts w:hint="cs"/>
          <w:rtl/>
          <w:lang w:bidi="he-IL"/>
        </w:rPr>
        <w:t>של</w:t>
      </w:r>
      <w:r>
        <w:rPr>
          <w:rFonts w:hint="cs"/>
          <w:rtl/>
        </w:rPr>
        <w:t xml:space="preserve"> </w:t>
      </w:r>
      <w:r>
        <w:rPr>
          <w:rFonts w:hint="cs"/>
          <w:rtl/>
          <w:lang w:bidi="he-IL"/>
        </w:rPr>
        <w:t>המבט</w:t>
      </w:r>
      <w:r>
        <w:rPr>
          <w:rFonts w:hint="cs"/>
          <w:rtl/>
        </w:rPr>
        <w:t xml:space="preserve">, </w:t>
      </w:r>
      <w:r>
        <w:rPr>
          <w:rFonts w:hint="cs"/>
          <w:rtl/>
          <w:lang w:bidi="he-IL"/>
        </w:rPr>
        <w:t>ומערערת</w:t>
      </w:r>
      <w:r>
        <w:rPr>
          <w:rFonts w:hint="cs"/>
          <w:rtl/>
        </w:rPr>
        <w:t xml:space="preserve"> </w:t>
      </w:r>
      <w:r>
        <w:rPr>
          <w:rFonts w:hint="cs"/>
          <w:rtl/>
          <w:lang w:bidi="he-IL"/>
        </w:rPr>
        <w:t>על</w:t>
      </w:r>
      <w:r>
        <w:rPr>
          <w:rFonts w:hint="cs"/>
          <w:rtl/>
        </w:rPr>
        <w:t xml:space="preserve"> </w:t>
      </w:r>
      <w:r>
        <w:rPr>
          <w:rFonts w:hint="cs"/>
          <w:rtl/>
          <w:lang w:bidi="he-IL"/>
        </w:rPr>
        <w:t>המסתורין</w:t>
      </w:r>
      <w:r>
        <w:rPr>
          <w:rFonts w:hint="cs"/>
          <w:rtl/>
        </w:rPr>
        <w:t xml:space="preserve"> </w:t>
      </w:r>
      <w:r>
        <w:rPr>
          <w:rFonts w:hint="cs"/>
          <w:rtl/>
          <w:lang w:bidi="he-IL"/>
        </w:rPr>
        <w:t>שהיא</w:t>
      </w:r>
      <w:r>
        <w:rPr>
          <w:rFonts w:hint="cs"/>
          <w:rtl/>
        </w:rPr>
        <w:t xml:space="preserve"> </w:t>
      </w:r>
      <w:r>
        <w:rPr>
          <w:rFonts w:hint="cs"/>
          <w:rtl/>
          <w:lang w:bidi="he-IL"/>
        </w:rPr>
        <w:t>עצמה</w:t>
      </w:r>
      <w:r>
        <w:rPr>
          <w:rFonts w:hint="cs"/>
          <w:rtl/>
        </w:rPr>
        <w:t xml:space="preserve"> </w:t>
      </w:r>
      <w:r>
        <w:rPr>
          <w:rFonts w:hint="cs"/>
          <w:rtl/>
          <w:lang w:bidi="he-IL"/>
        </w:rPr>
        <w:t>הציבה</w:t>
      </w:r>
    </w:p>
    <w:p w14:paraId="6C5B9E7B" w14:textId="77777777" w:rsidR="00ED5CFD" w:rsidRDefault="00ED5CFD" w:rsidP="005B2617">
      <w:pPr>
        <w:pStyle w:val="CommentText"/>
        <w:bidi/>
        <w:rPr>
          <w:rtl/>
          <w:lang w:bidi="he-IL"/>
        </w:rPr>
      </w:pPr>
    </w:p>
    <w:p w14:paraId="11DBC108" w14:textId="77777777" w:rsidR="00ED5CFD" w:rsidRDefault="00ED5CFD" w:rsidP="005B2617">
      <w:pPr>
        <w:pStyle w:val="CommentText"/>
        <w:bidi/>
        <w:rPr>
          <w:rtl/>
          <w:lang w:bidi="he-IL"/>
        </w:rPr>
      </w:pPr>
      <w:r>
        <w:rPr>
          <w:rFonts w:hint="cs"/>
          <w:rtl/>
          <w:lang w:bidi="he-IL"/>
        </w:rPr>
        <w:t>לא בטוח שהבנתי אותך.  נא לבדוק.</w:t>
      </w:r>
    </w:p>
  </w:comment>
  <w:comment w:id="9" w:author="JA" w:date="2022-08-18T18:24:00Z" w:initials="JA">
    <w:p w14:paraId="36891C8F" w14:textId="77777777" w:rsidR="00ED5CFD" w:rsidRDefault="00ED5CFD" w:rsidP="005B2617">
      <w:pPr>
        <w:pStyle w:val="CommentText"/>
        <w:bidi/>
        <w:rPr>
          <w:rtl/>
          <w:lang w:bidi="he-IL"/>
        </w:rPr>
      </w:pPr>
      <w:r>
        <w:rPr>
          <w:rStyle w:val="CommentReference"/>
        </w:rPr>
        <w:annotationRef/>
      </w:r>
      <w:r>
        <w:rPr>
          <w:rFonts w:hint="cs"/>
          <w:rtl/>
          <w:lang w:bidi="he-IL"/>
        </w:rPr>
        <w:t xml:space="preserve">לאור הפסקה הבאה, משפט זה נראה מיותר.  </w:t>
      </w:r>
    </w:p>
    <w:p w14:paraId="45196CD2" w14:textId="77777777" w:rsidR="00ED5CFD" w:rsidRDefault="00ED5CFD" w:rsidP="005B2617">
      <w:pPr>
        <w:bidi/>
        <w:rPr>
          <w:rtl/>
        </w:rPr>
      </w:pPr>
      <w:r>
        <w:rPr>
          <w:rFonts w:hint="cs"/>
          <w:rtl/>
          <w:lang w:bidi="he-IL"/>
        </w:rPr>
        <w:t>במקור כתוב:</w:t>
      </w:r>
      <w:r>
        <w:rPr>
          <w:rFonts w:hint="cs"/>
          <w:lang w:bidi="he-IL"/>
        </w:rPr>
        <w:t xml:space="preserve"> </w:t>
      </w:r>
      <w:r>
        <w:rPr>
          <w:rFonts w:hint="cs"/>
          <w:rtl/>
          <w:lang w:bidi="he-IL"/>
        </w:rPr>
        <w:t xml:space="preserve"> דבריו</w:t>
      </w:r>
      <w:r>
        <w:rPr>
          <w:rFonts w:hint="cs"/>
          <w:rtl/>
        </w:rPr>
        <w:t xml:space="preserve"> </w:t>
      </w:r>
      <w:r>
        <w:rPr>
          <w:rFonts w:hint="cs"/>
          <w:rtl/>
          <w:lang w:bidi="he-IL"/>
        </w:rPr>
        <w:t>יכולים</w:t>
      </w:r>
      <w:r>
        <w:rPr>
          <w:rFonts w:hint="cs"/>
          <w:rtl/>
        </w:rPr>
        <w:t xml:space="preserve"> </w:t>
      </w:r>
      <w:r>
        <w:rPr>
          <w:rFonts w:hint="cs"/>
          <w:rtl/>
          <w:lang w:bidi="he-IL"/>
        </w:rPr>
        <w:t>לכן</w:t>
      </w:r>
      <w:r>
        <w:rPr>
          <w:rFonts w:hint="cs"/>
          <w:rtl/>
        </w:rPr>
        <w:t xml:space="preserve">, </w:t>
      </w:r>
      <w:r>
        <w:rPr>
          <w:rFonts w:hint="cs"/>
          <w:rtl/>
          <w:lang w:bidi="he-IL"/>
        </w:rPr>
        <w:t>על</w:t>
      </w:r>
      <w:r>
        <w:rPr>
          <w:rFonts w:hint="cs"/>
          <w:rtl/>
        </w:rPr>
        <w:t xml:space="preserve"> </w:t>
      </w:r>
      <w:r>
        <w:rPr>
          <w:rFonts w:hint="cs"/>
          <w:rtl/>
          <w:lang w:bidi="he-IL"/>
        </w:rPr>
        <w:t>פי</w:t>
      </w:r>
      <w:r>
        <w:rPr>
          <w:rFonts w:hint="cs"/>
          <w:rtl/>
        </w:rPr>
        <w:t xml:space="preserve"> </w:t>
      </w:r>
      <w:r>
        <w:rPr>
          <w:rFonts w:hint="cs"/>
          <w:rtl/>
          <w:lang w:bidi="he-IL"/>
        </w:rPr>
        <w:t>עמדה</w:t>
      </w:r>
      <w:r>
        <w:rPr>
          <w:rFonts w:hint="cs"/>
          <w:rtl/>
        </w:rPr>
        <w:t xml:space="preserve"> </w:t>
      </w:r>
      <w:r>
        <w:rPr>
          <w:rFonts w:hint="cs"/>
          <w:rtl/>
          <w:lang w:bidi="he-IL"/>
        </w:rPr>
        <w:t>זו</w:t>
      </w:r>
      <w:r>
        <w:rPr>
          <w:rFonts w:hint="cs"/>
          <w:rtl/>
        </w:rPr>
        <w:t xml:space="preserve">, </w:t>
      </w:r>
      <w:r>
        <w:rPr>
          <w:rFonts w:hint="cs"/>
          <w:rtl/>
          <w:lang w:bidi="he-IL"/>
        </w:rPr>
        <w:t>להעיד</w:t>
      </w:r>
      <w:r>
        <w:rPr>
          <w:rFonts w:hint="cs"/>
          <w:rtl/>
        </w:rPr>
        <w:t xml:space="preserve"> </w:t>
      </w:r>
      <w:r>
        <w:rPr>
          <w:rFonts w:hint="cs"/>
          <w:rtl/>
          <w:lang w:bidi="he-IL"/>
        </w:rPr>
        <w:t>על</w:t>
      </w:r>
      <w:r>
        <w:rPr>
          <w:rFonts w:hint="cs"/>
          <w:rtl/>
        </w:rPr>
        <w:t xml:space="preserve"> </w:t>
      </w:r>
      <w:r>
        <w:rPr>
          <w:rtl/>
          <w:lang w:bidi="he-IL"/>
        </w:rPr>
        <w:t>קיומה</w:t>
      </w:r>
      <w:r>
        <w:rPr>
          <w:rtl/>
        </w:rPr>
        <w:t xml:space="preserve"> </w:t>
      </w:r>
      <w:r>
        <w:rPr>
          <w:rtl/>
          <w:lang w:bidi="he-IL"/>
        </w:rPr>
        <w:t>של</w:t>
      </w:r>
      <w:r>
        <w:rPr>
          <w:rtl/>
        </w:rPr>
        <w:t xml:space="preserve"> </w:t>
      </w:r>
      <w:r>
        <w:rPr>
          <w:rtl/>
          <w:lang w:bidi="he-IL"/>
        </w:rPr>
        <w:t>תפיסה</w:t>
      </w:r>
      <w:r>
        <w:rPr>
          <w:rtl/>
        </w:rPr>
        <w:t xml:space="preserve"> </w:t>
      </w:r>
      <w:r>
        <w:rPr>
          <w:rtl/>
          <w:lang w:bidi="he-IL"/>
        </w:rPr>
        <w:t>אזוטרית</w:t>
      </w:r>
      <w:r>
        <w:rPr>
          <w:rtl/>
        </w:rPr>
        <w:t xml:space="preserve"> </w:t>
      </w:r>
      <w:r>
        <w:rPr>
          <w:rtl/>
          <w:lang w:bidi="he-IL"/>
        </w:rPr>
        <w:t>של</w:t>
      </w:r>
      <w:r>
        <w:rPr>
          <w:rtl/>
        </w:rPr>
        <w:t xml:space="preserve"> </w:t>
      </w:r>
      <w:r>
        <w:rPr>
          <w:rtl/>
          <w:lang w:bidi="he-IL"/>
        </w:rPr>
        <w:t>שיר</w:t>
      </w:r>
      <w:r>
        <w:rPr>
          <w:rtl/>
        </w:rPr>
        <w:t xml:space="preserve"> </w:t>
      </w:r>
      <w:r>
        <w:rPr>
          <w:rtl/>
          <w:lang w:bidi="he-IL"/>
        </w:rPr>
        <w:t>השירים</w:t>
      </w:r>
      <w:r>
        <w:rPr>
          <w:rFonts w:hint="cs"/>
          <w:rtl/>
        </w:rPr>
        <w:t>.</w:t>
      </w:r>
      <w:r>
        <w:rPr>
          <w:rtl/>
        </w:rPr>
        <w:t xml:space="preserve"> </w:t>
      </w:r>
    </w:p>
    <w:p w14:paraId="7B708A14" w14:textId="77777777" w:rsidR="00ED5CFD" w:rsidRDefault="00ED5CFD" w:rsidP="005B2617">
      <w:pPr>
        <w:pStyle w:val="CommentText"/>
        <w:bidi/>
        <w:rPr>
          <w:rtl/>
          <w:lang w:bidi="he-IL"/>
        </w:rPr>
      </w:pPr>
      <w:r>
        <w:rPr>
          <w:rFonts w:hint="cs"/>
          <w:rtl/>
          <w:lang w:bidi="he-IL"/>
        </w:rPr>
        <w:t>לא הבנתי את כוונתך במילים :"</w:t>
      </w:r>
      <w:r w:rsidRPr="00C74FF9">
        <w:rPr>
          <w:rFonts w:cs="David" w:hint="cs"/>
          <w:sz w:val="22"/>
          <w:szCs w:val="24"/>
          <w:rtl/>
          <w:lang w:bidi="he-IL"/>
        </w:rPr>
        <w:t xml:space="preserve"> </w:t>
      </w:r>
      <w:r>
        <w:rPr>
          <w:rFonts w:cs="David" w:hint="cs"/>
          <w:sz w:val="22"/>
          <w:szCs w:val="24"/>
          <w:rtl/>
          <w:lang w:bidi="he-IL"/>
        </w:rPr>
        <w:t>על</w:t>
      </w:r>
      <w:r>
        <w:rPr>
          <w:rFonts w:cs="David" w:hint="cs"/>
          <w:sz w:val="22"/>
          <w:szCs w:val="24"/>
          <w:rtl/>
        </w:rPr>
        <w:t xml:space="preserve"> </w:t>
      </w:r>
      <w:r>
        <w:rPr>
          <w:rFonts w:cs="David" w:hint="cs"/>
          <w:sz w:val="22"/>
          <w:szCs w:val="24"/>
          <w:rtl/>
          <w:lang w:bidi="he-IL"/>
        </w:rPr>
        <w:t>פי</w:t>
      </w:r>
      <w:r>
        <w:rPr>
          <w:rFonts w:cs="David" w:hint="cs"/>
          <w:sz w:val="22"/>
          <w:szCs w:val="24"/>
          <w:rtl/>
        </w:rPr>
        <w:t xml:space="preserve"> </w:t>
      </w:r>
      <w:r>
        <w:rPr>
          <w:rFonts w:cs="David" w:hint="cs"/>
          <w:sz w:val="22"/>
          <w:szCs w:val="24"/>
          <w:rtl/>
          <w:lang w:bidi="he-IL"/>
        </w:rPr>
        <w:t>עמדה</w:t>
      </w:r>
      <w:r>
        <w:rPr>
          <w:rFonts w:cs="David" w:hint="cs"/>
          <w:sz w:val="22"/>
          <w:szCs w:val="24"/>
          <w:rtl/>
        </w:rPr>
        <w:t xml:space="preserve"> </w:t>
      </w:r>
      <w:r>
        <w:rPr>
          <w:rFonts w:cs="David" w:hint="cs"/>
          <w:sz w:val="22"/>
          <w:szCs w:val="24"/>
          <w:rtl/>
          <w:lang w:bidi="he-IL"/>
        </w:rPr>
        <w:t>זו".</w:t>
      </w:r>
    </w:p>
  </w:comment>
  <w:comment w:id="10" w:author="JA" w:date="2022-08-21T16:49:00Z" w:initials="JA">
    <w:p w14:paraId="276E20A5" w14:textId="77777777" w:rsidR="00ED5CFD" w:rsidRDefault="00ED5CFD" w:rsidP="005B2617">
      <w:pPr>
        <w:pStyle w:val="CommentText"/>
        <w:bidi/>
        <w:rPr>
          <w:rtl/>
        </w:rPr>
      </w:pPr>
      <w:r>
        <w:rPr>
          <w:rStyle w:val="CommentReference"/>
        </w:rPr>
        <w:annotationRef/>
      </w:r>
      <w:r>
        <w:rPr>
          <w:rFonts w:hint="cs"/>
          <w:rtl/>
          <w:lang w:bidi="he-IL"/>
        </w:rPr>
        <w:t>במקור: ואפשר</w:t>
      </w:r>
      <w:r>
        <w:rPr>
          <w:rFonts w:hint="cs"/>
          <w:rtl/>
        </w:rPr>
        <w:t xml:space="preserve"> </w:t>
      </w:r>
      <w:r>
        <w:rPr>
          <w:rFonts w:hint="cs"/>
          <w:rtl/>
          <w:lang w:bidi="he-IL"/>
        </w:rPr>
        <w:t>שלדעתו</w:t>
      </w:r>
      <w:r>
        <w:rPr>
          <w:rFonts w:hint="cs"/>
          <w:rtl/>
        </w:rPr>
        <w:t xml:space="preserve"> </w:t>
      </w:r>
      <w:r>
        <w:rPr>
          <w:rFonts w:hint="cs"/>
          <w:rtl/>
          <w:lang w:bidi="he-IL"/>
        </w:rPr>
        <w:t>אף</w:t>
      </w:r>
      <w:r>
        <w:rPr>
          <w:rFonts w:hint="cs"/>
          <w:rtl/>
        </w:rPr>
        <w:t xml:space="preserve"> </w:t>
      </w:r>
      <w:r>
        <w:rPr>
          <w:rFonts w:hint="cs"/>
          <w:rtl/>
          <w:lang w:bidi="he-IL"/>
        </w:rPr>
        <w:t>הקב</w:t>
      </w:r>
      <w:r>
        <w:rPr>
          <w:rFonts w:hint="cs"/>
          <w:rtl/>
        </w:rPr>
        <w:t>"</w:t>
      </w:r>
      <w:r>
        <w:rPr>
          <w:rFonts w:hint="cs"/>
          <w:rtl/>
          <w:lang w:bidi="he-IL"/>
        </w:rPr>
        <w:t>ה</w:t>
      </w:r>
      <w:r>
        <w:rPr>
          <w:rFonts w:hint="cs"/>
          <w:rtl/>
        </w:rPr>
        <w:t xml:space="preserve"> </w:t>
      </w:r>
      <w:r>
        <w:rPr>
          <w:rFonts w:hint="cs"/>
          <w:rtl/>
          <w:lang w:bidi="he-IL"/>
        </w:rPr>
        <w:t>בעצמו</w:t>
      </w:r>
      <w:r>
        <w:rPr>
          <w:rFonts w:hint="cs"/>
          <w:rtl/>
        </w:rPr>
        <w:t xml:space="preserve"> </w:t>
      </w:r>
      <w:r>
        <w:rPr>
          <w:rFonts w:hint="cs"/>
          <w:rtl/>
          <w:lang w:bidi="he-IL"/>
        </w:rPr>
        <w:t>אמרו</w:t>
      </w:r>
      <w:r w:rsidRPr="00247D36">
        <w:rPr>
          <w:rFonts w:hint="cs"/>
          <w:rtl/>
        </w:rPr>
        <w:t xml:space="preserve"> </w:t>
      </w:r>
      <w:r>
        <w:rPr>
          <w:rFonts w:hint="cs"/>
          <w:rtl/>
          <w:lang w:bidi="he-IL"/>
        </w:rPr>
        <w:t>כשניתן</w:t>
      </w:r>
      <w:r>
        <w:rPr>
          <w:rFonts w:hint="cs"/>
          <w:rtl/>
        </w:rPr>
        <w:t xml:space="preserve"> </w:t>
      </w:r>
      <w:r>
        <w:rPr>
          <w:rFonts w:hint="cs"/>
          <w:rtl/>
          <w:lang w:bidi="he-IL"/>
        </w:rPr>
        <w:t>בסיני</w:t>
      </w:r>
      <w:r>
        <w:rPr>
          <w:rFonts w:hint="cs"/>
          <w:rtl/>
        </w:rPr>
        <w:t>.</w:t>
      </w:r>
    </w:p>
    <w:p w14:paraId="46E72BB0" w14:textId="77777777" w:rsidR="00ED5CFD" w:rsidRDefault="00ED5CFD" w:rsidP="005B2617">
      <w:pPr>
        <w:pStyle w:val="CommentText"/>
        <w:bidi/>
        <w:rPr>
          <w:rtl/>
          <w:lang w:bidi="he-IL"/>
        </w:rPr>
      </w:pPr>
      <w:r>
        <w:rPr>
          <w:rFonts w:hint="cs"/>
          <w:rtl/>
          <w:lang w:bidi="he-IL"/>
        </w:rPr>
        <w:t xml:space="preserve">הבנתי שלדעת רבי עקיבא, שיר השירים נאמר על ידי הקב"ה בסיני.  בכל מקרה כדאי להוסיף פה משהו כי לא נאמר עד כה ששיר השירים ניתן בסיני.  אולי כך: </w:t>
      </w:r>
    </w:p>
    <w:p w14:paraId="2D83DF4C" w14:textId="77777777" w:rsidR="00ED5CFD" w:rsidRDefault="00ED5CFD" w:rsidP="005B2617">
      <w:pPr>
        <w:pStyle w:val="CommentText"/>
        <w:rPr>
          <w:rtl/>
          <w:lang w:bidi="he-IL"/>
        </w:rPr>
      </w:pPr>
      <w:r>
        <w:t xml:space="preserve">According to Lieberman, Rabbi </w:t>
      </w:r>
      <w:proofErr w:type="spellStart"/>
      <w:r>
        <w:t>Akiva’s</w:t>
      </w:r>
      <w:proofErr w:type="spellEnd"/>
      <w:r>
        <w:t xml:space="preserve"> statement that </w:t>
      </w:r>
      <w:r w:rsidRPr="0050593D">
        <w:rPr>
          <w:i/>
          <w:iCs/>
        </w:rPr>
        <w:t>Song of Songs</w:t>
      </w:r>
      <w:r>
        <w:t xml:space="preserve"> is “holy of holies” is based on this interpretation and possibly Rabbi </w:t>
      </w:r>
      <w:proofErr w:type="spellStart"/>
      <w:r>
        <w:t>Akiva</w:t>
      </w:r>
      <w:proofErr w:type="spellEnd"/>
      <w:r>
        <w:t xml:space="preserve"> believed that </w:t>
      </w:r>
      <w:r w:rsidRPr="0050593D">
        <w:rPr>
          <w:i/>
          <w:iCs/>
        </w:rPr>
        <w:t>Song of Songs</w:t>
      </w:r>
      <w:r>
        <w:t xml:space="preserve"> was revealed directly by God at Sinai</w:t>
      </w:r>
      <w:proofErr w:type="gramStart"/>
      <w:r>
        <w:t xml:space="preserve">.  </w:t>
      </w:r>
      <w:proofErr w:type="gramEnd"/>
    </w:p>
  </w:comment>
  <w:comment w:id="11" w:author="JA" w:date="2022-08-21T21:49:00Z" w:initials="JA">
    <w:p w14:paraId="371A30B7" w14:textId="77777777" w:rsidR="00ED5CFD" w:rsidRDefault="00ED5CFD" w:rsidP="005B2617">
      <w:pPr>
        <w:pStyle w:val="CommentText"/>
        <w:bidi/>
        <w:rPr>
          <w:rtl/>
          <w:lang w:bidi="he-IL"/>
        </w:rPr>
      </w:pPr>
      <w:r>
        <w:rPr>
          <w:rStyle w:val="CommentReference"/>
        </w:rPr>
        <w:annotationRef/>
      </w:r>
      <w:r>
        <w:rPr>
          <w:rFonts w:hint="cs"/>
          <w:rtl/>
          <w:lang w:bidi="he-IL"/>
        </w:rPr>
        <w:t>באנגלית במקור. האם זה ציטוט?</w:t>
      </w:r>
      <w:r>
        <w:rPr>
          <w:rFonts w:hint="cs"/>
          <w:lang w:bidi="he-IL"/>
        </w:rPr>
        <w:t xml:space="preserve"> </w:t>
      </w:r>
      <w:r>
        <w:rPr>
          <w:rFonts w:hint="cs"/>
          <w:rtl/>
          <w:lang w:bidi="he-IL"/>
        </w:rPr>
        <w:t xml:space="preserve"> פרפרזה?</w:t>
      </w:r>
    </w:p>
  </w:comment>
  <w:comment w:id="12" w:author="JA" w:date="2022-09-01T16:49:00Z" w:initials="JA">
    <w:p w14:paraId="02CBA89D" w14:textId="77777777" w:rsidR="00ED5CFD" w:rsidRDefault="00ED5CFD" w:rsidP="005B2617">
      <w:pPr>
        <w:pStyle w:val="CommentText"/>
        <w:bidi/>
        <w:rPr>
          <w:rFonts w:hint="cs"/>
          <w:rtl/>
          <w:lang w:bidi="he-IL"/>
        </w:rPr>
      </w:pPr>
      <w:r>
        <w:rPr>
          <w:rStyle w:val="CommentReference"/>
        </w:rPr>
        <w:annotationRef/>
      </w:r>
      <w:r>
        <w:rPr>
          <w:rFonts w:hint="cs"/>
          <w:rtl/>
          <w:lang w:bidi="he-IL"/>
        </w:rPr>
        <w:t xml:space="preserve">לא מופיע ברשימה </w:t>
      </w:r>
      <w:proofErr w:type="spellStart"/>
      <w:r>
        <w:rPr>
          <w:rFonts w:hint="cs"/>
          <w:rtl/>
          <w:lang w:bidi="he-IL"/>
        </w:rPr>
        <w:t>הביביליגרפית</w:t>
      </w:r>
      <w:proofErr w:type="spellEnd"/>
      <w:r>
        <w:rPr>
          <w:rFonts w:hint="cs"/>
          <w:rtl/>
          <w:lang w:bidi="he-IL"/>
        </w:rPr>
        <w:t>. בהערה בסוף הפסקה עד מציינת מאמר אחר.</w:t>
      </w:r>
    </w:p>
  </w:comment>
  <w:comment w:id="13" w:author="JA" w:date="2022-08-22T17:53:00Z" w:initials="JA">
    <w:p w14:paraId="5A103120" w14:textId="77777777" w:rsidR="00ED5CFD" w:rsidRDefault="00ED5CFD" w:rsidP="005B2617">
      <w:pPr>
        <w:pStyle w:val="CommentText"/>
        <w:rPr>
          <w:rtl/>
          <w:lang w:bidi="he-IL"/>
        </w:rPr>
      </w:pPr>
      <w:r>
        <w:rPr>
          <w:rStyle w:val="CommentReference"/>
        </w:rPr>
        <w:annotationRef/>
      </w:r>
      <w:r>
        <w:rPr>
          <w:rFonts w:hint="cs"/>
          <w:rtl/>
          <w:lang w:bidi="he-IL"/>
        </w:rPr>
        <w:t>לא הבנתי מה הציטוט מוסיף פה.</w:t>
      </w:r>
    </w:p>
  </w:comment>
  <w:comment w:id="14" w:author="JA" w:date="2022-09-01T16:58:00Z" w:initials="JA">
    <w:p w14:paraId="3A398B45" w14:textId="77777777" w:rsidR="00ED5CFD" w:rsidRDefault="00ED5CFD" w:rsidP="005B2617">
      <w:pPr>
        <w:pStyle w:val="CommentText"/>
        <w:rPr>
          <w:rFonts w:hint="cs"/>
          <w:rtl/>
          <w:lang w:bidi="he-IL"/>
        </w:rPr>
      </w:pPr>
      <w:r>
        <w:rPr>
          <w:rStyle w:val="CommentReference"/>
        </w:rPr>
        <w:annotationRef/>
      </w:r>
      <w:r>
        <w:rPr>
          <w:rStyle w:val="CommentReference"/>
          <w:rFonts w:hint="cs"/>
          <w:rtl/>
          <w:lang w:bidi="he-IL"/>
        </w:rPr>
        <w:t>נא לבדוק שהבנתי נכון</w:t>
      </w:r>
    </w:p>
  </w:comment>
  <w:comment w:id="15" w:author="JA" w:date="2022-08-23T16:07:00Z" w:initials="JA">
    <w:p w14:paraId="4CA09D19" w14:textId="77777777" w:rsidR="00ED5CFD" w:rsidRDefault="00ED5CFD" w:rsidP="005B2617">
      <w:pPr>
        <w:pStyle w:val="CommentText"/>
        <w:bidi/>
        <w:rPr>
          <w:rtl/>
          <w:lang w:bidi="he-IL"/>
        </w:rPr>
      </w:pPr>
      <w:r>
        <w:rPr>
          <w:rStyle w:val="CommentReference"/>
        </w:rPr>
        <w:annotationRef/>
      </w:r>
      <w:r>
        <w:rPr>
          <w:rFonts w:hint="cs"/>
          <w:rtl/>
          <w:lang w:bidi="he-IL"/>
        </w:rPr>
        <w:t xml:space="preserve">הכותרת מעט ארוכה ומסורבלת.  אולי: </w:t>
      </w:r>
    </w:p>
    <w:p w14:paraId="48B7A96A" w14:textId="77777777" w:rsidR="00ED5CFD" w:rsidRDefault="00ED5CFD" w:rsidP="005B2617">
      <w:pPr>
        <w:pStyle w:val="CommentText"/>
        <w:rPr>
          <w:rtl/>
          <w:lang w:bidi="he-IL"/>
        </w:rPr>
      </w:pPr>
      <w:r w:rsidRPr="005E5CCC">
        <w:rPr>
          <w:lang w:bidi="he-IL"/>
        </w:rPr>
        <w:t>Descriptions of the Body of the Beloved</w:t>
      </w:r>
      <w:r>
        <w:rPr>
          <w:rFonts w:hint="cs"/>
          <w:rtl/>
          <w:lang w:bidi="he-IL"/>
        </w:rPr>
        <w:t>:</w:t>
      </w:r>
      <w:r>
        <w:rPr>
          <w:lang w:bidi="he-IL"/>
        </w:rPr>
        <w:t xml:space="preserve"> </w:t>
      </w:r>
      <w:proofErr w:type="spellStart"/>
      <w:r w:rsidRPr="005E5CCC">
        <w:rPr>
          <w:lang w:bidi="he-IL"/>
        </w:rPr>
        <w:t>Tannaic</w:t>
      </w:r>
      <w:proofErr w:type="spellEnd"/>
      <w:r w:rsidRPr="005E5CCC">
        <w:rPr>
          <w:lang w:bidi="he-IL"/>
        </w:rPr>
        <w:t xml:space="preserve"> Midrash </w:t>
      </w:r>
      <w:r>
        <w:rPr>
          <w:lang w:bidi="he-IL"/>
        </w:rPr>
        <w:t>and</w:t>
      </w:r>
      <w:r w:rsidRPr="005E5CCC">
        <w:rPr>
          <w:lang w:bidi="he-IL"/>
        </w:rPr>
        <w:t xml:space="preserve"> Amoraic Midrash</w:t>
      </w:r>
    </w:p>
  </w:comment>
  <w:comment w:id="16" w:author="JA" w:date="2022-09-01T17:00:00Z" w:initials="JA">
    <w:p w14:paraId="48EB1F79" w14:textId="77777777" w:rsidR="00ED5CFD" w:rsidRDefault="00ED5CFD" w:rsidP="005B2617">
      <w:pPr>
        <w:pStyle w:val="CommentText"/>
        <w:rPr>
          <w:rFonts w:hint="cs"/>
          <w:rtl/>
          <w:lang w:bidi="he-IL"/>
        </w:rPr>
      </w:pPr>
      <w:r>
        <w:rPr>
          <w:rStyle w:val="CommentReference"/>
        </w:rPr>
        <w:annotationRef/>
      </w:r>
      <w:r>
        <w:rPr>
          <w:rFonts w:hint="cs"/>
          <w:rtl/>
          <w:lang w:bidi="he-IL"/>
        </w:rPr>
        <w:t>במדבר גם, לא?</w:t>
      </w:r>
    </w:p>
  </w:comment>
  <w:comment w:id="17" w:author="JA" w:date="2022-08-24T15:08:00Z" w:initials="JA">
    <w:p w14:paraId="7F23483C" w14:textId="77777777" w:rsidR="00ED5CFD" w:rsidRDefault="00ED5CFD" w:rsidP="005B2617">
      <w:pPr>
        <w:pStyle w:val="CommentText"/>
        <w:rPr>
          <w:rtl/>
          <w:lang w:bidi="he-IL"/>
        </w:rPr>
      </w:pPr>
      <w:r>
        <w:rPr>
          <w:rStyle w:val="CommentReference"/>
        </w:rPr>
        <w:annotationRef/>
      </w:r>
      <w:r>
        <w:rPr>
          <w:rFonts w:hint="cs"/>
          <w:rtl/>
          <w:lang w:bidi="he-IL"/>
        </w:rPr>
        <w:t>הוספתי</w:t>
      </w:r>
    </w:p>
  </w:comment>
  <w:comment w:id="18" w:author="JA" w:date="2022-08-24T16:40:00Z" w:initials="JA">
    <w:p w14:paraId="0797197D" w14:textId="77777777" w:rsidR="00ED5CFD" w:rsidRDefault="00ED5CFD" w:rsidP="005B2617">
      <w:pPr>
        <w:pStyle w:val="CommentText"/>
        <w:bidi/>
        <w:rPr>
          <w:rtl/>
          <w:lang w:bidi="he-IL"/>
        </w:rPr>
      </w:pPr>
      <w:r>
        <w:rPr>
          <w:rStyle w:val="CommentReference"/>
        </w:rPr>
        <w:annotationRef/>
      </w:r>
      <w:r>
        <w:rPr>
          <w:rFonts w:hint="cs"/>
          <w:rtl/>
          <w:lang w:bidi="he-IL"/>
        </w:rPr>
        <w:t>השמטתי את ההערה על משמעות כתם פז מאחר שהוא אינו רלוונטי בתרגום.</w:t>
      </w:r>
    </w:p>
  </w:comment>
  <w:comment w:id="19" w:author="JA" w:date="2022-08-24T16:45:00Z" w:initials="JA">
    <w:p w14:paraId="4AB99545" w14:textId="77777777" w:rsidR="00ED5CFD" w:rsidRDefault="00ED5CFD" w:rsidP="005B2617">
      <w:pPr>
        <w:pStyle w:val="CommentText"/>
        <w:bidi/>
        <w:rPr>
          <w:rtl/>
          <w:lang w:bidi="he-IL"/>
        </w:rPr>
      </w:pPr>
      <w:r>
        <w:rPr>
          <w:rStyle w:val="CommentReference"/>
        </w:rPr>
        <w:annotationRef/>
      </w:r>
      <w:r>
        <w:rPr>
          <w:rFonts w:hint="cs"/>
          <w:rtl/>
          <w:lang w:bidi="he-IL"/>
        </w:rPr>
        <w:t>לדעתי עדיף להשמיט.</w:t>
      </w:r>
      <w:r>
        <w:rPr>
          <w:lang w:bidi="he-IL"/>
        </w:rPr>
        <w:t xml:space="preserve"> Prick</w:t>
      </w:r>
      <w:r>
        <w:rPr>
          <w:rFonts w:hint="cs"/>
          <w:rtl/>
          <w:lang w:bidi="he-IL"/>
        </w:rPr>
        <w:t xml:space="preserve"> משמעו לנקוב. </w:t>
      </w:r>
    </w:p>
  </w:comment>
  <w:comment w:id="20" w:author="JA" w:date="2022-08-24T16:45:00Z" w:initials="JA">
    <w:p w14:paraId="4CA04F22" w14:textId="77777777" w:rsidR="00ED5CFD" w:rsidRDefault="00ED5CFD" w:rsidP="005B2617">
      <w:pPr>
        <w:pStyle w:val="CommentText"/>
        <w:bidi/>
        <w:rPr>
          <w:rtl/>
          <w:lang w:bidi="he-IL"/>
        </w:rPr>
      </w:pPr>
      <w:r>
        <w:rPr>
          <w:rStyle w:val="CommentReference"/>
        </w:rPr>
        <w:annotationRef/>
      </w:r>
    </w:p>
  </w:comment>
  <w:comment w:id="21" w:author="JA" w:date="2022-08-24T16:47:00Z" w:initials="JA">
    <w:p w14:paraId="3D08A7BD" w14:textId="77777777" w:rsidR="00ED5CFD" w:rsidRDefault="00ED5CFD" w:rsidP="005B2617">
      <w:pPr>
        <w:pStyle w:val="CommentText"/>
        <w:bidi/>
        <w:rPr>
          <w:rtl/>
          <w:lang w:bidi="he-IL"/>
        </w:rPr>
      </w:pPr>
      <w:r>
        <w:rPr>
          <w:rStyle w:val="CommentReference"/>
        </w:rPr>
        <w:annotationRef/>
      </w:r>
      <w:r>
        <w:rPr>
          <w:rFonts w:hint="cs"/>
          <w:rtl/>
          <w:lang w:bidi="he-IL"/>
        </w:rPr>
        <w:t xml:space="preserve">לא ברור לי למה את עוסקת בזה. זה לא רלוונטי לטיעון. </w:t>
      </w:r>
    </w:p>
  </w:comment>
  <w:comment w:id="22" w:author="JA" w:date="2022-09-01T17:28:00Z" w:initials="JA">
    <w:p w14:paraId="1017D614" w14:textId="77777777" w:rsidR="00ED5CFD" w:rsidRDefault="00ED5CFD" w:rsidP="005B2617">
      <w:pPr>
        <w:pStyle w:val="CommentText"/>
        <w:rPr>
          <w:rFonts w:hint="cs"/>
          <w:rtl/>
          <w:lang w:bidi="he-IL"/>
        </w:rPr>
      </w:pPr>
      <w:r>
        <w:rPr>
          <w:rStyle w:val="CommentReference"/>
        </w:rPr>
        <w:annotationRef/>
      </w:r>
      <w:r>
        <w:rPr>
          <w:rFonts w:hint="cs"/>
          <w:rtl/>
          <w:lang w:bidi="he-IL"/>
        </w:rPr>
        <w:t xml:space="preserve">לכאורה, הנגישות של התורה לכולם כן הופכת את הפרשנות הזאת לאנטי-אזוטרית.  אולי כדאי להוסיף משהו. </w:t>
      </w:r>
    </w:p>
  </w:comment>
  <w:comment w:id="23" w:author="JA" w:date="2022-08-25T09:48:00Z" w:initials="JA">
    <w:p w14:paraId="7D7C7DA0" w14:textId="77777777" w:rsidR="00ED5CFD" w:rsidRDefault="00ED5CFD" w:rsidP="005B2617">
      <w:pPr>
        <w:pStyle w:val="CommentText"/>
        <w:bidi/>
        <w:rPr>
          <w:rtl/>
          <w:lang w:bidi="he-IL"/>
        </w:rPr>
      </w:pPr>
      <w:r>
        <w:rPr>
          <w:rStyle w:val="CommentReference"/>
        </w:rPr>
        <w:annotationRef/>
      </w:r>
      <w:r>
        <w:rPr>
          <w:rFonts w:hint="cs"/>
          <w:rtl/>
          <w:lang w:bidi="he-IL"/>
        </w:rPr>
        <w:t>אולי כדאי להשמיט משפט זה. כל מה שכתוב בו נאמר שוב למטה.</w:t>
      </w:r>
    </w:p>
  </w:comment>
  <w:comment w:id="24" w:author="JA" w:date="2022-08-25T15:26:00Z" w:initials="JA">
    <w:p w14:paraId="2BEC6474" w14:textId="77777777" w:rsidR="00ED5CFD" w:rsidRDefault="00ED5CFD" w:rsidP="005B2617">
      <w:pPr>
        <w:pStyle w:val="CommentText"/>
        <w:bidi/>
        <w:rPr>
          <w:rtl/>
          <w:lang w:bidi="he-IL"/>
        </w:rPr>
      </w:pPr>
      <w:r>
        <w:rPr>
          <w:rStyle w:val="CommentReference"/>
        </w:rPr>
        <w:annotationRef/>
      </w:r>
      <w:r>
        <w:rPr>
          <w:rFonts w:hint="cs"/>
          <w:rtl/>
          <w:lang w:bidi="he-IL"/>
        </w:rPr>
        <w:t>הוספתי לביאור</w:t>
      </w:r>
    </w:p>
  </w:comment>
  <w:comment w:id="25" w:author="JA" w:date="2022-08-25T16:03:00Z" w:initials="JA">
    <w:p w14:paraId="26D67D66" w14:textId="77777777" w:rsidR="00ED5CFD" w:rsidRDefault="00ED5CFD" w:rsidP="005B2617">
      <w:pPr>
        <w:pStyle w:val="CommentText"/>
        <w:bidi/>
        <w:rPr>
          <w:rtl/>
          <w:lang w:bidi="he-IL"/>
        </w:rPr>
      </w:pPr>
      <w:r>
        <w:rPr>
          <w:rStyle w:val="CommentReference"/>
        </w:rPr>
        <w:annotationRef/>
      </w:r>
      <w:r>
        <w:rPr>
          <w:rFonts w:hint="cs"/>
          <w:rtl/>
          <w:lang w:bidi="he-IL"/>
        </w:rPr>
        <w:t>איפה זה במדרש?</w:t>
      </w:r>
      <w:r>
        <w:rPr>
          <w:lang w:bidi="he-IL"/>
        </w:rPr>
        <w:t xml:space="preserve"> </w:t>
      </w:r>
      <w:r>
        <w:rPr>
          <w:rFonts w:hint="cs"/>
          <w:rtl/>
          <w:lang w:bidi="he-IL"/>
        </w:rPr>
        <w:t xml:space="preserve"> נראה שהצמד הוא תפילין של יד ושל ראש</w:t>
      </w:r>
    </w:p>
  </w:comment>
  <w:comment w:id="26" w:author="JA" w:date="2022-08-29T12:59:00Z" w:initials="JA">
    <w:p w14:paraId="0D9581EF" w14:textId="77777777" w:rsidR="00ED5CFD" w:rsidRDefault="00ED5CFD" w:rsidP="005B2617">
      <w:pPr>
        <w:pStyle w:val="FootnoteText"/>
        <w:bidi/>
        <w:rPr>
          <w:rtl/>
        </w:rPr>
      </w:pPr>
      <w:r>
        <w:rPr>
          <w:rStyle w:val="CommentReference"/>
        </w:rPr>
        <w:annotationRef/>
      </w:r>
      <w:r>
        <w:rPr>
          <w:rFonts w:hint="cs"/>
          <w:rtl/>
        </w:rPr>
        <w:t>במקור:</w:t>
      </w:r>
      <w:r>
        <w:rPr>
          <w:rFonts w:hint="cs"/>
        </w:rPr>
        <w:t xml:space="preserve"> </w:t>
      </w:r>
      <w:r w:rsidRPr="00953FA0">
        <w:rPr>
          <w:rFonts w:hint="cs"/>
          <w:rtl/>
        </w:rPr>
        <w:t>עמדות אלה מתאימות לאלגוריה ההיסטורית בסיני</w:t>
      </w:r>
      <w:r>
        <w:rPr>
          <w:rFonts w:hint="cs"/>
          <w:rtl/>
        </w:rPr>
        <w:t xml:space="preserve">, </w:t>
      </w:r>
      <w:r w:rsidRPr="00953FA0">
        <w:rPr>
          <w:rFonts w:hint="cs"/>
          <w:rtl/>
        </w:rPr>
        <w:t>במשכן</w:t>
      </w:r>
      <w:r>
        <w:rPr>
          <w:rFonts w:hint="cs"/>
          <w:rtl/>
        </w:rPr>
        <w:t xml:space="preserve"> ו</w:t>
      </w:r>
      <w:r w:rsidRPr="00953FA0">
        <w:rPr>
          <w:rFonts w:hint="cs"/>
          <w:rtl/>
        </w:rPr>
        <w:t>בהליכה במדבר ראו</w:t>
      </w:r>
    </w:p>
    <w:p w14:paraId="3BA65310" w14:textId="77777777" w:rsidR="00ED5CFD" w:rsidRDefault="00ED5CFD" w:rsidP="005B2617">
      <w:pPr>
        <w:pStyle w:val="CommentText"/>
        <w:bidi/>
        <w:rPr>
          <w:rtl/>
        </w:rPr>
      </w:pPr>
      <w:r w:rsidRPr="00953FA0">
        <w:rPr>
          <w:rFonts w:hint="cs"/>
          <w:rtl/>
        </w:rPr>
        <w:t xml:space="preserve"> </w:t>
      </w:r>
      <w:proofErr w:type="spellStart"/>
      <w:r w:rsidRPr="00EC66E6">
        <w:t>Kadari</w:t>
      </w:r>
      <w:proofErr w:type="spellEnd"/>
      <w:r w:rsidRPr="00EC66E6">
        <w:t>, Friends Hearken to your voice</w:t>
      </w:r>
      <w:r>
        <w:t>,</w:t>
      </w:r>
      <w:r w:rsidRPr="00EC66E6">
        <w:t xml:space="preserve"> </w:t>
      </w:r>
      <w:r>
        <w:t>202-205</w:t>
      </w:r>
    </w:p>
    <w:p w14:paraId="76CD7137" w14:textId="77777777" w:rsidR="00ED5CFD" w:rsidRDefault="00ED5CFD" w:rsidP="005B2617">
      <w:pPr>
        <w:pStyle w:val="CommentText"/>
        <w:bidi/>
        <w:rPr>
          <w:rtl/>
        </w:rPr>
      </w:pPr>
    </w:p>
    <w:p w14:paraId="427D341B" w14:textId="77777777" w:rsidR="00ED5CFD" w:rsidRDefault="00ED5CFD" w:rsidP="005B2617">
      <w:pPr>
        <w:pStyle w:val="CommentText"/>
        <w:bidi/>
        <w:rPr>
          <w:rFonts w:hint="cs"/>
          <w:rtl/>
          <w:lang w:bidi="he-IL"/>
        </w:rPr>
      </w:pPr>
      <w:r>
        <w:rPr>
          <w:rFonts w:hint="cs"/>
          <w:rtl/>
          <w:lang w:bidi="he-IL"/>
        </w:rPr>
        <w:t>לא כל כך הבנתי את כוונתך</w:t>
      </w:r>
      <w:r>
        <w:rPr>
          <w:lang w:bidi="he-IL"/>
        </w:rPr>
        <w:t xml:space="preserve">. </w:t>
      </w:r>
      <w:r>
        <w:rPr>
          <w:rFonts w:hint="cs"/>
          <w:rtl/>
          <w:lang w:bidi="he-IL"/>
        </w:rPr>
        <w:t>נא לבדוק את התרגום</w:t>
      </w:r>
    </w:p>
  </w:comment>
  <w:comment w:id="27" w:author="JA" w:date="2022-08-29T13:03:00Z" w:initials="JA">
    <w:p w14:paraId="5844C3A7" w14:textId="77777777" w:rsidR="00ED5CFD" w:rsidRDefault="00ED5CFD" w:rsidP="005B2617">
      <w:pPr>
        <w:pStyle w:val="CommentText"/>
        <w:bidi/>
        <w:rPr>
          <w:rFonts w:hint="cs"/>
          <w:rtl/>
          <w:lang w:bidi="he-IL"/>
        </w:rPr>
      </w:pPr>
      <w:r>
        <w:rPr>
          <w:rStyle w:val="CommentReference"/>
        </w:rPr>
        <w:annotationRef/>
      </w:r>
      <w:r>
        <w:rPr>
          <w:rFonts w:hint="cs"/>
          <w:rtl/>
          <w:lang w:bidi="he-IL"/>
        </w:rPr>
        <w:t>בעברית הפכת את הייצוג של ימין ושמאל. תיקנתי</w:t>
      </w:r>
    </w:p>
  </w:comment>
  <w:comment w:id="28" w:author="JA" w:date="2022-08-29T13:57:00Z" w:initials="JA">
    <w:p w14:paraId="6112C152" w14:textId="77777777" w:rsidR="00ED5CFD" w:rsidRDefault="00ED5CFD" w:rsidP="005B2617">
      <w:pPr>
        <w:pStyle w:val="CommentText"/>
        <w:bidi/>
        <w:rPr>
          <w:rtl/>
          <w:lang w:bidi="he-IL"/>
        </w:rPr>
      </w:pPr>
      <w:r>
        <w:rPr>
          <w:rStyle w:val="CommentReference"/>
        </w:rPr>
        <w:annotationRef/>
      </w:r>
      <w:r>
        <w:rPr>
          <w:rFonts w:hint="cs"/>
          <w:rtl/>
          <w:lang w:bidi="he-IL"/>
        </w:rPr>
        <w:t>הוספתי לביאור.</w:t>
      </w:r>
    </w:p>
    <w:p w14:paraId="278F56F5" w14:textId="77777777" w:rsidR="00ED5CFD" w:rsidRDefault="00ED5CFD" w:rsidP="005B2617">
      <w:pPr>
        <w:pStyle w:val="CommentText"/>
        <w:bidi/>
        <w:rPr>
          <w:rFonts w:hint="cs"/>
          <w:rtl/>
          <w:lang w:bidi="he-IL"/>
        </w:rPr>
      </w:pPr>
    </w:p>
  </w:comment>
  <w:comment w:id="29" w:author="JA" w:date="2022-08-30T12:25:00Z" w:initials="JA">
    <w:p w14:paraId="4107CB9F" w14:textId="77777777" w:rsidR="00ED5CFD" w:rsidRDefault="00ED5CFD" w:rsidP="005B2617">
      <w:pPr>
        <w:pStyle w:val="CommentText"/>
        <w:bidi/>
        <w:rPr>
          <w:rFonts w:hint="cs"/>
          <w:rtl/>
          <w:lang w:bidi="he-IL"/>
        </w:rPr>
      </w:pPr>
      <w:r>
        <w:rPr>
          <w:rStyle w:val="CommentReference"/>
        </w:rPr>
        <w:annotationRef/>
      </w:r>
      <w:r>
        <w:rPr>
          <w:rFonts w:hint="cs"/>
          <w:rtl/>
          <w:lang w:bidi="he-IL"/>
        </w:rPr>
        <w:t>הרחבתי פה מעט כי לא היה ברור לי מה היא "השוואה זו" במקור</w:t>
      </w:r>
    </w:p>
  </w:comment>
  <w:comment w:id="30" w:author="JA" w:date="2022-08-30T15:07:00Z" w:initials="JA">
    <w:p w14:paraId="631B6BB3" w14:textId="77777777" w:rsidR="00ED5CFD" w:rsidRDefault="00ED5CFD" w:rsidP="005B2617">
      <w:pPr>
        <w:pStyle w:val="CommentText"/>
        <w:bidi/>
        <w:rPr>
          <w:rFonts w:hint="cs"/>
          <w:rtl/>
          <w:lang w:bidi="he-IL"/>
        </w:rPr>
      </w:pPr>
      <w:r>
        <w:rPr>
          <w:rStyle w:val="CommentReference"/>
        </w:rPr>
        <w:annotationRef/>
      </w:r>
      <w:r>
        <w:rPr>
          <w:rFonts w:hint="cs"/>
          <w:rtl/>
          <w:lang w:bidi="he-IL"/>
        </w:rPr>
        <w:t xml:space="preserve">צריך לציין את שמו של מתרגם ההלכה </w:t>
      </w:r>
      <w:proofErr w:type="spellStart"/>
      <w:r>
        <w:rPr>
          <w:rFonts w:hint="cs"/>
          <w:rtl/>
          <w:lang w:bidi="he-IL"/>
        </w:rPr>
        <w:t>בתוספתא</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85D6F5" w15:done="0"/>
  <w15:commentEx w15:paraId="612B39BF" w15:done="0"/>
  <w15:commentEx w15:paraId="525343A8" w15:done="0"/>
  <w15:commentEx w15:paraId="5F5753C1" w15:done="0"/>
  <w15:commentEx w15:paraId="3434F725" w15:done="0"/>
  <w15:commentEx w15:paraId="6EFA0CB9" w15:done="0"/>
  <w15:commentEx w15:paraId="09C6FD96" w15:done="0"/>
  <w15:commentEx w15:paraId="08D537F5" w15:done="0"/>
  <w15:commentEx w15:paraId="11DBC108" w15:done="0"/>
  <w15:commentEx w15:paraId="7B708A14" w15:done="0"/>
  <w15:commentEx w15:paraId="2D83DF4C" w15:done="0"/>
  <w15:commentEx w15:paraId="371A30B7" w15:done="0"/>
  <w15:commentEx w15:paraId="02CBA89D" w15:done="0"/>
  <w15:commentEx w15:paraId="5A103120" w15:done="0"/>
  <w15:commentEx w15:paraId="3A398B45" w15:done="0"/>
  <w15:commentEx w15:paraId="48B7A96A" w15:done="0"/>
  <w15:commentEx w15:paraId="48EB1F79" w15:done="0"/>
  <w15:commentEx w15:paraId="7F23483C" w15:done="0"/>
  <w15:commentEx w15:paraId="0797197D" w15:done="0"/>
  <w15:commentEx w15:paraId="4AB99545" w15:done="0"/>
  <w15:commentEx w15:paraId="4CA04F22" w15:done="0"/>
  <w15:commentEx w15:paraId="3D08A7BD" w15:done="0"/>
  <w15:commentEx w15:paraId="1017D614" w15:done="0"/>
  <w15:commentEx w15:paraId="7D7C7DA0" w15:done="0"/>
  <w15:commentEx w15:paraId="2BEC6474" w15:done="0"/>
  <w15:commentEx w15:paraId="26D67D66" w15:done="0"/>
  <w15:commentEx w15:paraId="427D341B" w15:done="0"/>
  <w15:commentEx w15:paraId="5844C3A7" w15:done="0"/>
  <w15:commentEx w15:paraId="278F56F5" w15:done="0"/>
  <w15:commentEx w15:paraId="4107CB9F" w15:done="0"/>
  <w15:commentEx w15:paraId="631B6B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D96" w16cex:dateUtc="2022-08-25T08:37:00Z"/>
  <w16cex:commentExtensible w16cex:durableId="26BB486A" w16cex:dateUtc="2022-09-01T12:04:00Z"/>
  <w16cex:commentExtensible w16cex:durableId="26A4C3EF" w16cex:dateUtc="2022-08-15T10:09:00Z"/>
  <w16cex:commentExtensible w16cex:durableId="26A4C11B" w16cex:dateUtc="2022-08-15T09:56:00Z"/>
  <w16cex:commentExtensible w16cex:durableId="26B1D2AA" w16cex:dateUtc="2022-08-25T07:51:00Z"/>
  <w16cex:commentExtensible w16cex:durableId="26B1D4DC" w16cex:dateUtc="2022-08-25T08:00:00Z"/>
  <w16cex:commentExtensible w16cex:durableId="26B1D596" w16cex:dateUtc="2022-08-25T08:03:00Z"/>
  <w16cex:commentExtensible w16cex:durableId="26A62DE1" w16cex:dateUtc="2022-08-16T11:53:00Z"/>
  <w16cex:commentExtensible w16cex:durableId="26A8D456" w16cex:dateUtc="2022-08-18T12:08:00Z"/>
  <w16cex:commentExtensible w16cex:durableId="26A90273" w16cex:dateUtc="2022-08-18T15:24:00Z"/>
  <w16cex:commentExtensible w16cex:durableId="26ACE09F" w16cex:dateUtc="2022-08-21T13:49:00Z"/>
  <w16cex:commentExtensible w16cex:durableId="26AD26EC" w16cex:dateUtc="2022-08-21T18:49:00Z"/>
  <w16cex:commentExtensible w16cex:durableId="26BB611F" w16cex:dateUtc="2022-09-01T13:49:00Z"/>
  <w16cex:commentExtensible w16cex:durableId="26AE4104" w16cex:dateUtc="2022-08-22T14:53:00Z"/>
  <w16cex:commentExtensible w16cex:durableId="26BB631E" w16cex:dateUtc="2022-09-01T13:58:00Z"/>
  <w16cex:commentExtensible w16cex:durableId="26AF79AA" w16cex:dateUtc="2022-08-23T13:07:00Z"/>
  <w16cex:commentExtensible w16cex:durableId="26BB6390" w16cex:dateUtc="2022-09-01T14:00:00Z"/>
  <w16cex:commentExtensible w16cex:durableId="26B0BD58" w16cex:dateUtc="2022-08-24T12:08:00Z"/>
  <w16cex:commentExtensible w16cex:durableId="26B0D2F5" w16cex:dateUtc="2022-08-24T13:40:00Z"/>
  <w16cex:commentExtensible w16cex:durableId="26B0D43F" w16cex:dateUtc="2022-08-24T13:45:00Z"/>
  <w16cex:commentExtensible w16cex:durableId="26B0D430" w16cex:dateUtc="2022-08-24T13:45:00Z"/>
  <w16cex:commentExtensible w16cex:durableId="26B0D496" w16cex:dateUtc="2022-08-24T13:47:00Z"/>
  <w16cex:commentExtensible w16cex:durableId="26BB6A42" w16cex:dateUtc="2022-09-01T14:28:00Z"/>
  <w16cex:commentExtensible w16cex:durableId="26B1C405" w16cex:dateUtc="2022-08-25T06:48:00Z"/>
  <w16cex:commentExtensible w16cex:durableId="26B21316" w16cex:dateUtc="2022-08-25T12:26:00Z"/>
  <w16cex:commentExtensible w16cex:durableId="26B21BC9" w16cex:dateUtc="2022-08-25T13:03:00Z"/>
  <w16cex:commentExtensible w16cex:durableId="26B7369D" w16cex:dateUtc="2022-08-29T09:59:00Z"/>
  <w16cex:commentExtensible w16cex:durableId="26B737BB" w16cex:dateUtc="2022-08-29T10:03:00Z"/>
  <w16cex:commentExtensible w16cex:durableId="26B74439" w16cex:dateUtc="2022-08-29T10:57:00Z"/>
  <w16cex:commentExtensible w16cex:durableId="26B88025" w16cex:dateUtc="2022-08-30T09:25:00Z"/>
  <w16cex:commentExtensible w16cex:durableId="26B8A63C" w16cex:dateUtc="2022-08-30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5D6F5" w16cid:durableId="26B1DD96"/>
  <w16cid:commentId w16cid:paraId="612B39BF" w16cid:durableId="26BB486A"/>
  <w16cid:commentId w16cid:paraId="525343A8" w16cid:durableId="26A4C3EF"/>
  <w16cid:commentId w16cid:paraId="5F5753C1" w16cid:durableId="26A4C11B"/>
  <w16cid:commentId w16cid:paraId="3434F725" w16cid:durableId="26B1D2AA"/>
  <w16cid:commentId w16cid:paraId="6EFA0CB9" w16cid:durableId="26B1D4DC"/>
  <w16cid:commentId w16cid:paraId="09C6FD96" w16cid:durableId="26B1D596"/>
  <w16cid:commentId w16cid:paraId="08D537F5" w16cid:durableId="26A62DE1"/>
  <w16cid:commentId w16cid:paraId="11DBC108" w16cid:durableId="26A8D456"/>
  <w16cid:commentId w16cid:paraId="7B708A14" w16cid:durableId="26A90273"/>
  <w16cid:commentId w16cid:paraId="2D83DF4C" w16cid:durableId="26ACE09F"/>
  <w16cid:commentId w16cid:paraId="371A30B7" w16cid:durableId="26AD26EC"/>
  <w16cid:commentId w16cid:paraId="02CBA89D" w16cid:durableId="26BB611F"/>
  <w16cid:commentId w16cid:paraId="5A103120" w16cid:durableId="26AE4104"/>
  <w16cid:commentId w16cid:paraId="3A398B45" w16cid:durableId="26BB631E"/>
  <w16cid:commentId w16cid:paraId="48B7A96A" w16cid:durableId="26AF79AA"/>
  <w16cid:commentId w16cid:paraId="48EB1F79" w16cid:durableId="26BB6390"/>
  <w16cid:commentId w16cid:paraId="7F23483C" w16cid:durableId="26B0BD58"/>
  <w16cid:commentId w16cid:paraId="0797197D" w16cid:durableId="26B0D2F5"/>
  <w16cid:commentId w16cid:paraId="4AB99545" w16cid:durableId="26B0D43F"/>
  <w16cid:commentId w16cid:paraId="4CA04F22" w16cid:durableId="26B0D430"/>
  <w16cid:commentId w16cid:paraId="3D08A7BD" w16cid:durableId="26B0D496"/>
  <w16cid:commentId w16cid:paraId="1017D614" w16cid:durableId="26BB6A42"/>
  <w16cid:commentId w16cid:paraId="7D7C7DA0" w16cid:durableId="26B1C405"/>
  <w16cid:commentId w16cid:paraId="2BEC6474" w16cid:durableId="26B21316"/>
  <w16cid:commentId w16cid:paraId="26D67D66" w16cid:durableId="26B21BC9"/>
  <w16cid:commentId w16cid:paraId="427D341B" w16cid:durableId="26B7369D"/>
  <w16cid:commentId w16cid:paraId="5844C3A7" w16cid:durableId="26B737BB"/>
  <w16cid:commentId w16cid:paraId="278F56F5" w16cid:durableId="26B74439"/>
  <w16cid:commentId w16cid:paraId="4107CB9F" w16cid:durableId="26B88025"/>
  <w16cid:commentId w16cid:paraId="631B6BB3" w16cid:durableId="26B8A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8066" w14:textId="77777777" w:rsidR="001C41F0" w:rsidRDefault="001C41F0" w:rsidP="005B2617">
      <w:r>
        <w:separator/>
      </w:r>
    </w:p>
  </w:endnote>
  <w:endnote w:type="continuationSeparator" w:id="0">
    <w:p w14:paraId="099893B8" w14:textId="77777777" w:rsidR="001C41F0" w:rsidRDefault="001C41F0" w:rsidP="005B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86A8" w14:textId="77777777" w:rsidR="001C41F0" w:rsidRDefault="001C41F0" w:rsidP="005B2617">
      <w:r>
        <w:separator/>
      </w:r>
    </w:p>
  </w:footnote>
  <w:footnote w:type="continuationSeparator" w:id="0">
    <w:p w14:paraId="1436E966" w14:textId="77777777" w:rsidR="001C41F0" w:rsidRDefault="001C41F0" w:rsidP="005B2617">
      <w:r>
        <w:continuationSeparator/>
      </w:r>
    </w:p>
  </w:footnote>
  <w:footnote w:id="1">
    <w:p w14:paraId="2DFFA32C" w14:textId="79928741" w:rsidR="00ED5CFD" w:rsidRDefault="00ED5CFD" w:rsidP="005B2617">
      <w:pPr>
        <w:pStyle w:val="FootnoteText"/>
      </w:pPr>
      <w:r>
        <w:rPr>
          <w:rStyle w:val="FootnoteReference"/>
        </w:rPr>
        <w:footnoteRef/>
      </w:r>
      <w:r>
        <w:rPr>
          <w:rtl/>
        </w:rPr>
        <w:t xml:space="preserve"> </w:t>
      </w:r>
      <w:r>
        <w:t xml:space="preserve">In this article I will not address the question of how the </w:t>
      </w:r>
      <w:proofErr w:type="spellStart"/>
      <w:r>
        <w:t>Tannaim</w:t>
      </w:r>
      <w:proofErr w:type="spellEnd"/>
      <w:r>
        <w:t xml:space="preserve"> and Amoraim understood corporeal expressions ascribed to God in general. My argument here is focused on the rabbinic interpretation of </w:t>
      </w:r>
      <w:r w:rsidRPr="0050593D">
        <w:rPr>
          <w:i/>
          <w:iCs/>
        </w:rPr>
        <w:t>Song of Songs</w:t>
      </w:r>
      <w:r>
        <w:t xml:space="preserve">. The Rabbis’ understanding of divine attributes that appear in other biblical books requires its own treatment. </w:t>
      </w:r>
    </w:p>
  </w:footnote>
  <w:footnote w:id="2">
    <w:p w14:paraId="43238D1A" w14:textId="055BAF58" w:rsidR="00ED5CFD" w:rsidRDefault="00ED5CFD" w:rsidP="005B2617">
      <w:pPr>
        <w:pStyle w:val="FootnoteText"/>
      </w:pPr>
      <w:r>
        <w:rPr>
          <w:rStyle w:val="FootnoteReference"/>
        </w:rPr>
        <w:footnoteRef/>
      </w:r>
      <w:r>
        <w:rPr>
          <w:rtl/>
        </w:rPr>
        <w:t xml:space="preserve"> </w:t>
      </w:r>
      <w:r>
        <w:t xml:space="preserve">In Song 4:1-7 her head and body are described. 6:4-10 includes a description of her head and face. Song 7:1-7 describes the young woman dancing, from her feet to the crown of her head. </w:t>
      </w:r>
    </w:p>
    <w:p w14:paraId="45E8E82D" w14:textId="77777777" w:rsidR="00ED5CFD" w:rsidRDefault="00ED5CFD" w:rsidP="005B2617">
      <w:pPr>
        <w:pStyle w:val="FootnoteText"/>
      </w:pPr>
      <w:r w:rsidRPr="00953FA0">
        <w:rPr>
          <w:rFonts w:hint="cs"/>
          <w:rtl/>
        </w:rPr>
        <w:t xml:space="preserve">תיאור מלא מצוי </w:t>
      </w:r>
      <w:proofErr w:type="spellStart"/>
      <w:r w:rsidRPr="00953FA0">
        <w:rPr>
          <w:rFonts w:hint="cs"/>
          <w:rtl/>
        </w:rPr>
        <w:t>בשה</w:t>
      </w:r>
      <w:r>
        <w:rPr>
          <w:rtl/>
        </w:rPr>
        <w:t>’</w:t>
      </w:r>
      <w:r w:rsidRPr="00953FA0">
        <w:rPr>
          <w:rFonts w:hint="cs"/>
          <w:rtl/>
        </w:rPr>
        <w:t>ש</w:t>
      </w:r>
      <w:proofErr w:type="spellEnd"/>
      <w:r w:rsidRPr="00953FA0">
        <w:rPr>
          <w:rFonts w:hint="cs"/>
          <w:rtl/>
        </w:rPr>
        <w:t xml:space="preserve"> ו, ד-י המסודר מלמעלה למטה. פלג גופה העליון של </w:t>
      </w:r>
      <w:proofErr w:type="spellStart"/>
      <w:r w:rsidRPr="00953FA0">
        <w:rPr>
          <w:rFonts w:hint="cs"/>
          <w:rtl/>
        </w:rPr>
        <w:t>הרעיה</w:t>
      </w:r>
      <w:proofErr w:type="spellEnd"/>
      <w:r w:rsidRPr="00953FA0">
        <w:rPr>
          <w:rFonts w:hint="cs"/>
          <w:rtl/>
        </w:rPr>
        <w:t xml:space="preserve"> מתואר </w:t>
      </w:r>
      <w:proofErr w:type="spellStart"/>
      <w:r w:rsidRPr="00953FA0">
        <w:rPr>
          <w:rFonts w:hint="cs"/>
          <w:rtl/>
        </w:rPr>
        <w:t>בשה</w:t>
      </w:r>
      <w:r>
        <w:rPr>
          <w:rtl/>
        </w:rPr>
        <w:t>’</w:t>
      </w:r>
      <w:r w:rsidRPr="00953FA0">
        <w:rPr>
          <w:rFonts w:hint="cs"/>
          <w:rtl/>
        </w:rPr>
        <w:t>ש</w:t>
      </w:r>
      <w:proofErr w:type="spellEnd"/>
      <w:r w:rsidRPr="00953FA0">
        <w:rPr>
          <w:rFonts w:hint="cs"/>
          <w:rtl/>
        </w:rPr>
        <w:t xml:space="preserve"> ד, א-ז. בתיאור הנערה הרוקדת, </w:t>
      </w:r>
      <w:proofErr w:type="spellStart"/>
      <w:r w:rsidRPr="00953FA0">
        <w:rPr>
          <w:rFonts w:hint="cs"/>
          <w:rtl/>
        </w:rPr>
        <w:t>בשה</w:t>
      </w:r>
      <w:r>
        <w:rPr>
          <w:rtl/>
        </w:rPr>
        <w:t>’</w:t>
      </w:r>
      <w:r w:rsidRPr="00953FA0">
        <w:rPr>
          <w:rFonts w:hint="cs"/>
          <w:rtl/>
        </w:rPr>
        <w:t>ש</w:t>
      </w:r>
      <w:proofErr w:type="spellEnd"/>
      <w:r w:rsidRPr="00953FA0">
        <w:rPr>
          <w:rFonts w:hint="cs"/>
          <w:rtl/>
        </w:rPr>
        <w:t xml:space="preserve"> ז, א-ז, מתחיל התיאור ברגליה של המחוללת ועולה מעלה</w:t>
      </w:r>
    </w:p>
  </w:footnote>
  <w:footnote w:id="3">
    <w:p w14:paraId="131FD600" w14:textId="77777777" w:rsidR="00ED5CFD" w:rsidRPr="004043F2" w:rsidRDefault="00ED5CFD" w:rsidP="005B2617">
      <w:pPr>
        <w:rPr>
          <w:lang w:eastAsia="he-IL" w:bidi="he-IL"/>
        </w:rPr>
      </w:pPr>
      <w:r>
        <w:rPr>
          <w:rStyle w:val="FootnoteReference"/>
        </w:rPr>
        <w:footnoteRef/>
      </w:r>
      <w:r>
        <w:rPr>
          <w:rtl/>
        </w:rPr>
        <w:t xml:space="preserve"> </w:t>
      </w:r>
      <w:r>
        <w:t xml:space="preserve">Song 5:10-16. </w:t>
      </w:r>
      <w:r w:rsidRPr="000264FD">
        <w:rPr>
          <w:lang w:eastAsia="he-IL" w:bidi="he-IL"/>
        </w:rPr>
        <w:t xml:space="preserve">English translation by </w:t>
      </w:r>
      <w:proofErr w:type="spellStart"/>
      <w:r w:rsidRPr="000264FD">
        <w:rPr>
          <w:lang w:eastAsia="he-IL" w:bidi="he-IL"/>
        </w:rPr>
        <w:t>Paltiel</w:t>
      </w:r>
      <w:proofErr w:type="spellEnd"/>
      <w:r w:rsidRPr="000264FD">
        <w:rPr>
          <w:lang w:eastAsia="he-IL" w:bidi="he-IL"/>
        </w:rPr>
        <w:t xml:space="preserve"> Birnbaum with some adaptations</w:t>
      </w:r>
      <w:r>
        <w:rPr>
          <w:lang w:eastAsia="he-IL" w:bidi="he-IL"/>
        </w:rPr>
        <w:t>.</w:t>
      </w:r>
    </w:p>
  </w:footnote>
  <w:footnote w:id="4">
    <w:p w14:paraId="476174B3" w14:textId="77777777" w:rsidR="00ED5CFD" w:rsidRDefault="00ED5CFD" w:rsidP="005B2617">
      <w:r>
        <w:rPr>
          <w:rStyle w:val="FootnoteReference"/>
        </w:rPr>
        <w:footnoteRef/>
      </w:r>
      <w:r>
        <w:rPr>
          <w:rtl/>
        </w:rPr>
        <w:t xml:space="preserve"> </w:t>
      </w:r>
      <w:r>
        <w:t>Physical descriptions of the human body (or a statue of a human body) can be found in the Bible in the description of the statue in</w:t>
      </w:r>
      <w:r w:rsidRPr="00762C05">
        <w:t xml:space="preserve"> Nebuchadnezzar</w:t>
      </w:r>
      <w:r>
        <w:t xml:space="preserve">’s dream in Dan 2:31-33 and in the description of the man clothed in linen in Dan 10:5-6. This literary genre apparently began in ancient Mesopotamian literature, where these descriptions focused on the bodies of the goddesses. </w:t>
      </w:r>
      <w:r w:rsidRPr="00FC3262">
        <w:rPr>
          <w:rFonts w:asciiTheme="majorBidi" w:hAnsiTheme="majorBidi" w:cstheme="majorBidi"/>
          <w:sz w:val="22"/>
          <w:szCs w:val="22"/>
        </w:rPr>
        <w:t xml:space="preserve">See Pope, </w:t>
      </w:r>
      <w:r w:rsidRPr="0050593D">
        <w:rPr>
          <w:rFonts w:asciiTheme="majorBidi" w:hAnsiTheme="majorBidi" w:cstheme="majorBidi"/>
          <w:i/>
          <w:iCs/>
          <w:sz w:val="22"/>
          <w:szCs w:val="22"/>
        </w:rPr>
        <w:t>Song of Songs</w:t>
      </w:r>
      <w:r w:rsidRPr="00FC3262">
        <w:rPr>
          <w:rFonts w:asciiTheme="majorBidi" w:hAnsiTheme="majorBidi" w:cstheme="majorBidi"/>
          <w:sz w:val="22"/>
          <w:szCs w:val="22"/>
        </w:rPr>
        <w:t>, 54-85.</w:t>
      </w:r>
      <w:r w:rsidRPr="006F6A35">
        <w:rPr>
          <w:rFonts w:asciiTheme="majorBidi" w:hAnsiTheme="majorBidi" w:cstheme="majorBidi"/>
        </w:rPr>
        <w:t xml:space="preserve"> </w:t>
      </w:r>
      <w:r>
        <w:rPr>
          <w:rFonts w:asciiTheme="majorBidi" w:hAnsiTheme="majorBidi" w:cstheme="majorBidi"/>
        </w:rPr>
        <w:t>A</w:t>
      </w:r>
      <w:r>
        <w:rPr>
          <w:sz w:val="22"/>
          <w:szCs w:val="22"/>
        </w:rPr>
        <w:t xml:space="preserve">ncient Egyptian love songs contain descriptions of different parts of a beloved woman’s body, but these are </w:t>
      </w:r>
      <w:proofErr w:type="gramStart"/>
      <w:r>
        <w:rPr>
          <w:sz w:val="22"/>
          <w:szCs w:val="22"/>
        </w:rPr>
        <w:t>very limited</w:t>
      </w:r>
      <w:proofErr w:type="gramEnd"/>
      <w:r>
        <w:rPr>
          <w:sz w:val="22"/>
          <w:szCs w:val="22"/>
        </w:rPr>
        <w:t xml:space="preserve">. See </w:t>
      </w:r>
      <w:r w:rsidRPr="00953FA0">
        <w:rPr>
          <w:sz w:val="22"/>
          <w:szCs w:val="22"/>
        </w:rPr>
        <w:t xml:space="preserve">Fox, </w:t>
      </w:r>
      <w:r w:rsidRPr="00953FA0">
        <w:rPr>
          <w:i/>
          <w:iCs/>
          <w:sz w:val="22"/>
          <w:szCs w:val="22"/>
        </w:rPr>
        <w:t xml:space="preserve">The </w:t>
      </w:r>
      <w:r w:rsidRPr="0050593D">
        <w:rPr>
          <w:i/>
          <w:iCs/>
          <w:sz w:val="22"/>
          <w:szCs w:val="22"/>
        </w:rPr>
        <w:t>Song of Songs</w:t>
      </w:r>
      <w:r w:rsidRPr="00953FA0">
        <w:rPr>
          <w:i/>
          <w:iCs/>
          <w:sz w:val="22"/>
          <w:szCs w:val="22"/>
        </w:rPr>
        <w:t xml:space="preserve"> and the Ancient Egyptian Love Songs</w:t>
      </w:r>
      <w:r w:rsidRPr="00953FA0">
        <w:rPr>
          <w:sz w:val="22"/>
          <w:szCs w:val="22"/>
        </w:rPr>
        <w:t xml:space="preserve"> 269-271 and songs 31, 54.</w:t>
      </w:r>
    </w:p>
  </w:footnote>
  <w:footnote w:id="5">
    <w:p w14:paraId="00C6C16F" w14:textId="296277A5" w:rsidR="00ED5CFD" w:rsidRDefault="00ED5CFD" w:rsidP="005B2617">
      <w:pPr>
        <w:pStyle w:val="FootnoteText"/>
      </w:pPr>
      <w:r>
        <w:rPr>
          <w:rStyle w:val="FootnoteReference"/>
        </w:rPr>
        <w:footnoteRef/>
      </w:r>
      <w:r>
        <w:rPr>
          <w:rtl/>
        </w:rPr>
        <w:t xml:space="preserve"> </w:t>
      </w:r>
      <w:r>
        <w:t xml:space="preserve">On </w:t>
      </w:r>
      <w:r w:rsidRPr="00337981">
        <w:rPr>
          <w:i/>
          <w:iCs/>
        </w:rPr>
        <w:t xml:space="preserve">Shiur </w:t>
      </w:r>
      <w:proofErr w:type="spellStart"/>
      <w:r w:rsidRPr="00337981">
        <w:rPr>
          <w:i/>
          <w:iCs/>
        </w:rPr>
        <w:t>Qoma</w:t>
      </w:r>
      <w:proofErr w:type="spellEnd"/>
      <w:r>
        <w:t xml:space="preserve"> and its vast influence on </w:t>
      </w:r>
      <w:proofErr w:type="spellStart"/>
      <w:r>
        <w:t>Hasidei</w:t>
      </w:r>
      <w:proofErr w:type="spellEnd"/>
      <w:r>
        <w:t xml:space="preserve"> Ashkenaz, medieval Kabbalistic literature, and the Kabbala of the </w:t>
      </w:r>
      <w:proofErr w:type="spellStart"/>
      <w:r>
        <w:t>Ar’i</w:t>
      </w:r>
      <w:proofErr w:type="spellEnd"/>
      <w:r>
        <w:t>, see Bar-</w:t>
      </w:r>
      <w:proofErr w:type="spellStart"/>
      <w:r>
        <w:t>Levav</w:t>
      </w:r>
      <w:proofErr w:type="spellEnd"/>
      <w:r>
        <w:t xml:space="preserve"> and </w:t>
      </w:r>
      <w:proofErr w:type="spellStart"/>
      <w:r>
        <w:t>Idel</w:t>
      </w:r>
      <w:proofErr w:type="spellEnd"/>
      <w:r>
        <w:t xml:space="preserve">, </w:t>
      </w:r>
      <w:r w:rsidRPr="003938A7">
        <w:rPr>
          <w:i/>
          <w:iCs/>
          <w:szCs w:val="22"/>
        </w:rPr>
        <w:t xml:space="preserve">An Introduction to Jewish Mysticism, </w:t>
      </w:r>
      <w:r w:rsidR="00190766" w:rsidRPr="00190766">
        <w:rPr>
          <w:szCs w:val="22"/>
        </w:rPr>
        <w:t>v</w:t>
      </w:r>
      <w:r w:rsidRPr="00190766">
        <w:rPr>
          <w:szCs w:val="22"/>
        </w:rPr>
        <w:t>ol 1</w:t>
      </w:r>
      <w:r>
        <w:rPr>
          <w:szCs w:val="22"/>
        </w:rPr>
        <w:t>, 79-84.</w:t>
      </w:r>
    </w:p>
  </w:footnote>
  <w:footnote w:id="6">
    <w:p w14:paraId="63F780F6" w14:textId="4194C304" w:rsidR="00ED5CFD" w:rsidRDefault="00ED5CFD" w:rsidP="005B2617">
      <w:pPr>
        <w:pStyle w:val="FootnoteText"/>
      </w:pPr>
      <w:r>
        <w:rPr>
          <w:rStyle w:val="FootnoteReference"/>
        </w:rPr>
        <w:footnoteRef/>
      </w:r>
      <w:r>
        <w:rPr>
          <w:rtl/>
        </w:rPr>
        <w:t xml:space="preserve"> </w:t>
      </w:r>
      <w:r>
        <w:t xml:space="preserve">Cohen, </w:t>
      </w:r>
      <w:r w:rsidRPr="00337981">
        <w:t xml:space="preserve">The </w:t>
      </w:r>
      <w:proofErr w:type="spellStart"/>
      <w:r w:rsidRPr="00337981">
        <w:t>Shi’ur</w:t>
      </w:r>
      <w:proofErr w:type="spellEnd"/>
      <w:r w:rsidRPr="00337981">
        <w:t xml:space="preserve"> </w:t>
      </w:r>
      <w:proofErr w:type="spellStart"/>
      <w:r w:rsidRPr="00337981">
        <w:t>Qomah</w:t>
      </w:r>
      <w:proofErr w:type="spellEnd"/>
      <w:r w:rsidRPr="00337981">
        <w:t>: Texts and Recensions</w:t>
      </w:r>
      <w:r>
        <w:t>,</w:t>
      </w:r>
      <w:r w:rsidRPr="00407FD6">
        <w:t xml:space="preserve"> </w:t>
      </w:r>
      <w:proofErr w:type="spellStart"/>
      <w:r w:rsidRPr="00337981">
        <w:t>Sefer</w:t>
      </w:r>
      <w:proofErr w:type="spellEnd"/>
      <w:r w:rsidRPr="00337981">
        <w:t xml:space="preserve"> </w:t>
      </w:r>
      <w:proofErr w:type="spellStart"/>
      <w:r w:rsidRPr="00337981">
        <w:t>Haqqomah</w:t>
      </w:r>
      <w:proofErr w:type="spellEnd"/>
      <w:r w:rsidRPr="00407FD6">
        <w:t>, 136-142.</w:t>
      </w:r>
    </w:p>
  </w:footnote>
  <w:footnote w:id="7">
    <w:p w14:paraId="291B3BB4" w14:textId="77777777" w:rsidR="00ED5CFD" w:rsidRDefault="00ED5CFD" w:rsidP="005B2617">
      <w:pPr>
        <w:rPr>
          <w:lang w:bidi="he-IL"/>
        </w:rPr>
      </w:pPr>
      <w:r>
        <w:rPr>
          <w:rStyle w:val="FootnoteReference"/>
        </w:rPr>
        <w:footnoteRef/>
      </w:r>
      <w:r>
        <w:rPr>
          <w:rtl/>
        </w:rPr>
        <w:t xml:space="preserve"> </w:t>
      </w:r>
      <w:r w:rsidRPr="00953FA0">
        <w:rPr>
          <w:rFonts w:cs="David"/>
          <w:i/>
          <w:iCs/>
        </w:rPr>
        <w:t xml:space="preserve">The </w:t>
      </w:r>
      <w:proofErr w:type="spellStart"/>
      <w:r w:rsidRPr="00953FA0">
        <w:rPr>
          <w:rFonts w:cs="David"/>
          <w:i/>
          <w:iCs/>
        </w:rPr>
        <w:t>Shi</w:t>
      </w:r>
      <w:r w:rsidRPr="00953FA0">
        <w:rPr>
          <w:rFonts w:cs="David"/>
        </w:rPr>
        <w:t>’</w:t>
      </w:r>
      <w:r w:rsidRPr="00953FA0">
        <w:rPr>
          <w:rFonts w:cs="David"/>
          <w:i/>
          <w:iCs/>
        </w:rPr>
        <w:t>ur</w:t>
      </w:r>
      <w:proofErr w:type="spellEnd"/>
      <w:r w:rsidRPr="00953FA0">
        <w:rPr>
          <w:rFonts w:cs="David"/>
          <w:i/>
          <w:iCs/>
        </w:rPr>
        <w:t xml:space="preserve"> </w:t>
      </w:r>
      <w:proofErr w:type="spellStart"/>
      <w:r>
        <w:rPr>
          <w:rFonts w:cs="David"/>
          <w:i/>
          <w:iCs/>
        </w:rPr>
        <w:t>Qomah</w:t>
      </w:r>
      <w:proofErr w:type="spellEnd"/>
      <w:r>
        <w:rPr>
          <w:rFonts w:cs="David"/>
        </w:rPr>
        <w:t xml:space="preserve">, </w:t>
      </w:r>
      <w:proofErr w:type="spellStart"/>
      <w:r w:rsidRPr="00953FA0">
        <w:rPr>
          <w:rFonts w:cs="David"/>
        </w:rPr>
        <w:t>Sefer</w:t>
      </w:r>
      <w:proofErr w:type="spellEnd"/>
      <w:r w:rsidRPr="00953FA0">
        <w:rPr>
          <w:rFonts w:cs="David"/>
        </w:rPr>
        <w:t xml:space="preserve"> </w:t>
      </w:r>
      <w:proofErr w:type="spellStart"/>
      <w:r w:rsidRPr="00953FA0">
        <w:rPr>
          <w:rFonts w:cs="David"/>
        </w:rPr>
        <w:t>Haq</w:t>
      </w:r>
      <w:r>
        <w:rPr>
          <w:rFonts w:cs="David"/>
        </w:rPr>
        <w:t>qomah</w:t>
      </w:r>
      <w:proofErr w:type="spellEnd"/>
      <w:r w:rsidRPr="00953FA0">
        <w:rPr>
          <w:rFonts w:cs="David"/>
        </w:rPr>
        <w:t xml:space="preserve">, 149-152 and Appendix 1, Oxford </w:t>
      </w:r>
      <w:proofErr w:type="spellStart"/>
      <w:r w:rsidRPr="00953FA0">
        <w:rPr>
          <w:rFonts w:cs="David"/>
        </w:rPr>
        <w:t>ms</w:t>
      </w:r>
      <w:proofErr w:type="spellEnd"/>
      <w:r w:rsidRPr="00953FA0">
        <w:rPr>
          <w:rFonts w:cs="David"/>
        </w:rPr>
        <w:t xml:space="preserve"> Hebr. C. 65</w:t>
      </w:r>
      <w:r w:rsidRPr="00953FA0">
        <w:t>, 184. See other recen</w:t>
      </w:r>
      <w:r>
        <w:t>s</w:t>
      </w:r>
      <w:r w:rsidRPr="00953FA0">
        <w:t xml:space="preserve">ions in </w:t>
      </w:r>
      <w:r>
        <w:t>the same book:</w:t>
      </w:r>
      <w:r w:rsidRPr="00953FA0">
        <w:t xml:space="preserve"> </w:t>
      </w:r>
      <w:proofErr w:type="spellStart"/>
      <w:r w:rsidRPr="00953FA0">
        <w:t>Shi</w:t>
      </w:r>
      <w:r w:rsidRPr="00953FA0">
        <w:rPr>
          <w:rFonts w:cs="David"/>
        </w:rPr>
        <w:t>’</w:t>
      </w:r>
      <w:r w:rsidRPr="00953FA0">
        <w:t>ur</w:t>
      </w:r>
      <w:proofErr w:type="spellEnd"/>
      <w:r w:rsidRPr="00953FA0">
        <w:t xml:space="preserve"> </w:t>
      </w:r>
      <w:proofErr w:type="spellStart"/>
      <w:r>
        <w:t>Qomah</w:t>
      </w:r>
      <w:proofErr w:type="spellEnd"/>
      <w:r w:rsidRPr="00953FA0">
        <w:t xml:space="preserve"> in Merkavah Rabbah, 72-73; </w:t>
      </w:r>
      <w:proofErr w:type="spellStart"/>
      <w:r w:rsidRPr="00953FA0">
        <w:t>Shi</w:t>
      </w:r>
      <w:r w:rsidRPr="00953FA0">
        <w:rPr>
          <w:rFonts w:cs="David"/>
        </w:rPr>
        <w:t>’</w:t>
      </w:r>
      <w:r w:rsidRPr="00953FA0">
        <w:t>ur</w:t>
      </w:r>
      <w:proofErr w:type="spellEnd"/>
      <w:r w:rsidRPr="00953FA0">
        <w:t xml:space="preserve"> </w:t>
      </w:r>
      <w:proofErr w:type="spellStart"/>
      <w:r>
        <w:t>Qomha</w:t>
      </w:r>
      <w:proofErr w:type="spellEnd"/>
      <w:r w:rsidRPr="00953FA0">
        <w:t xml:space="preserve"> in </w:t>
      </w:r>
      <w:proofErr w:type="spellStart"/>
      <w:r w:rsidRPr="00953FA0">
        <w:t>Sefer</w:t>
      </w:r>
      <w:proofErr w:type="spellEnd"/>
      <w:r w:rsidRPr="00953FA0">
        <w:t xml:space="preserve"> </w:t>
      </w:r>
      <w:proofErr w:type="spellStart"/>
      <w:r w:rsidRPr="00953FA0">
        <w:t>Razi'el</w:t>
      </w:r>
      <w:proofErr w:type="spellEnd"/>
      <w:r w:rsidRPr="00953FA0">
        <w:t xml:space="preserve">, 97; Seder Rabbah </w:t>
      </w:r>
      <w:proofErr w:type="spellStart"/>
      <w:r>
        <w:t>De</w:t>
      </w:r>
      <w:r w:rsidRPr="00953FA0">
        <w:t>bereshit</w:t>
      </w:r>
      <w:proofErr w:type="spellEnd"/>
      <w:r w:rsidRPr="00953FA0">
        <w:t>, 46-50.</w:t>
      </w:r>
      <w:r>
        <w:t xml:space="preserve"> </w:t>
      </w:r>
    </w:p>
  </w:footnote>
  <w:footnote w:id="8">
    <w:p w14:paraId="14CE41A2" w14:textId="030A54A3" w:rsidR="00ED5CFD" w:rsidRDefault="00ED5CFD" w:rsidP="005B2617">
      <w:pPr>
        <w:pStyle w:val="FootnoteText"/>
      </w:pPr>
      <w:r>
        <w:rPr>
          <w:rStyle w:val="FootnoteReference"/>
        </w:rPr>
        <w:footnoteRef/>
      </w:r>
      <w:r>
        <w:rPr>
          <w:rtl/>
        </w:rPr>
        <w:t xml:space="preserve"> </w:t>
      </w:r>
      <w:r w:rsidRPr="00274DCD">
        <w:t xml:space="preserve">Dan, </w:t>
      </w:r>
      <w:r w:rsidRPr="00274DCD">
        <w:rPr>
          <w:i/>
          <w:iCs/>
        </w:rPr>
        <w:t>History of Jewish Mysticism and Esotericism, Ancient Times</w:t>
      </w:r>
      <w:r>
        <w:t xml:space="preserve">, 891-892. According to Dan, </w:t>
      </w:r>
      <w:r w:rsidRPr="00337981">
        <w:rPr>
          <w:i/>
          <w:iCs/>
        </w:rPr>
        <w:t xml:space="preserve">Shiur </w:t>
      </w:r>
      <w:proofErr w:type="spellStart"/>
      <w:r w:rsidRPr="00337981">
        <w:rPr>
          <w:i/>
          <w:iCs/>
        </w:rPr>
        <w:t>Qoma</w:t>
      </w:r>
      <w:proofErr w:type="spellEnd"/>
      <w:r>
        <w:t xml:space="preserve"> derives from a different set of traditions than the other </w:t>
      </w:r>
      <w:proofErr w:type="spellStart"/>
      <w:r>
        <w:t>Merkbaava</w:t>
      </w:r>
      <w:proofErr w:type="spellEnd"/>
      <w:r>
        <w:t xml:space="preserve"> literature.</w:t>
      </w:r>
    </w:p>
  </w:footnote>
  <w:footnote w:id="9">
    <w:p w14:paraId="47B8A424" w14:textId="77777777" w:rsidR="00ED5CFD" w:rsidRPr="00F45A61" w:rsidRDefault="00ED5CFD" w:rsidP="005B2617">
      <w:pPr>
        <w:pStyle w:val="FootnoteText"/>
      </w:pPr>
      <w:r>
        <w:rPr>
          <w:rStyle w:val="FootnoteReference"/>
        </w:rPr>
        <w:footnoteRef/>
      </w:r>
      <w:r>
        <w:rPr>
          <w:rtl/>
        </w:rPr>
        <w:t xml:space="preserve"> </w:t>
      </w:r>
      <w:proofErr w:type="spellStart"/>
      <w:r w:rsidRPr="00AA0326">
        <w:t>Scholem</w:t>
      </w:r>
      <w:proofErr w:type="spellEnd"/>
      <w:r w:rsidRPr="00AA0326">
        <w:t xml:space="preserve">, </w:t>
      </w:r>
      <w:r w:rsidRPr="00AA0326">
        <w:rPr>
          <w:i/>
          <w:iCs/>
        </w:rPr>
        <w:t>Major Trends</w:t>
      </w:r>
      <w:r>
        <w:rPr>
          <w:i/>
          <w:iCs/>
        </w:rPr>
        <w:t xml:space="preserve">, </w:t>
      </w:r>
      <w:r>
        <w:t xml:space="preserve">64; </w:t>
      </w:r>
      <w:r w:rsidRPr="00274DCD">
        <w:t xml:space="preserve">Dan, </w:t>
      </w:r>
      <w:r w:rsidRPr="00274DCD">
        <w:rPr>
          <w:i/>
          <w:iCs/>
        </w:rPr>
        <w:t>History of Jewish Mysticism and Esotericism, Ancient Times</w:t>
      </w:r>
      <w:r>
        <w:t xml:space="preserve">, 891-892. In contrast to </w:t>
      </w:r>
      <w:proofErr w:type="spellStart"/>
      <w:r>
        <w:t>Scholem</w:t>
      </w:r>
      <w:proofErr w:type="spellEnd"/>
      <w:r>
        <w:t>, Dan believes that the purpose of the description is to emphasize the greatness of God and in doing so to inspire a numinous attitude to Him.</w:t>
      </w:r>
    </w:p>
  </w:footnote>
  <w:footnote w:id="10">
    <w:p w14:paraId="117DCD13" w14:textId="3E5D9F12" w:rsidR="00ED5CFD" w:rsidRDefault="00ED5CFD" w:rsidP="005B2617">
      <w:pPr>
        <w:pStyle w:val="FootnoteText"/>
      </w:pPr>
      <w:r>
        <w:rPr>
          <w:rStyle w:val="FootnoteReference"/>
        </w:rPr>
        <w:footnoteRef/>
      </w:r>
      <w:r>
        <w:rPr>
          <w:rtl/>
        </w:rPr>
        <w:t xml:space="preserve"> </w:t>
      </w:r>
      <w:r w:rsidRPr="00953FA0">
        <w:t>Farber-</w:t>
      </w:r>
      <w:proofErr w:type="spellStart"/>
      <w:r w:rsidRPr="00953FA0">
        <w:t>Ginat</w:t>
      </w:r>
      <w:proofErr w:type="spellEnd"/>
      <w:r w:rsidRPr="00953FA0">
        <w:t xml:space="preserve">, </w:t>
      </w:r>
      <w:proofErr w:type="spellStart"/>
      <w:r w:rsidRPr="00953FA0">
        <w:t>Asi</w:t>
      </w:r>
      <w:proofErr w:type="spellEnd"/>
      <w:r w:rsidRPr="00953FA0">
        <w:t xml:space="preserve">. </w:t>
      </w:r>
      <w:r>
        <w:t>‘</w:t>
      </w:r>
      <w:r w:rsidRPr="00953FA0">
        <w:t xml:space="preserve">Studies in the book of </w:t>
      </w:r>
      <w:r w:rsidRPr="00337981">
        <w:rPr>
          <w:i/>
          <w:iCs/>
        </w:rPr>
        <w:t xml:space="preserve">Shiur </w:t>
      </w:r>
      <w:proofErr w:type="spellStart"/>
      <w:r w:rsidRPr="00337981">
        <w:rPr>
          <w:i/>
          <w:iCs/>
        </w:rPr>
        <w:t>Qoma</w:t>
      </w:r>
      <w:proofErr w:type="spellEnd"/>
      <w:r>
        <w:t xml:space="preserve">,’ </w:t>
      </w:r>
      <w:r w:rsidRPr="00953FA0">
        <w:t>361-394</w:t>
      </w:r>
      <w:r>
        <w:t xml:space="preserve">. </w:t>
      </w:r>
    </w:p>
  </w:footnote>
  <w:footnote w:id="11">
    <w:p w14:paraId="22311D22" w14:textId="77777777" w:rsidR="00ED5CFD" w:rsidRPr="00E358A1" w:rsidRDefault="00ED5CFD" w:rsidP="005B2617">
      <w:pPr>
        <w:pStyle w:val="FootnoteText"/>
      </w:pPr>
      <w:r>
        <w:rPr>
          <w:rStyle w:val="FootnoteReference"/>
        </w:rPr>
        <w:footnoteRef/>
      </w:r>
      <w:r>
        <w:rPr>
          <w:rtl/>
        </w:rPr>
        <w:t xml:space="preserve"> </w:t>
      </w:r>
      <w:r w:rsidRPr="00953FA0">
        <w:t xml:space="preserve">Gruenwald, Apocalyptic and Merkavah </w:t>
      </w:r>
      <w:r>
        <w:t>M</w:t>
      </w:r>
      <w:r w:rsidRPr="00953FA0">
        <w:t>ysticism, 246.</w:t>
      </w:r>
    </w:p>
  </w:footnote>
  <w:footnote w:id="12">
    <w:p w14:paraId="513762EA" w14:textId="28AC55AD" w:rsidR="00ED5CFD" w:rsidRDefault="00ED5CFD" w:rsidP="005B2617">
      <w:pPr>
        <w:pStyle w:val="FootnoteText"/>
      </w:pPr>
      <w:r>
        <w:rPr>
          <w:rStyle w:val="FootnoteReference"/>
        </w:rPr>
        <w:footnoteRef/>
      </w:r>
      <w:r>
        <w:rPr>
          <w:rtl/>
        </w:rPr>
        <w:t xml:space="preserve"> </w:t>
      </w:r>
      <w:proofErr w:type="spellStart"/>
      <w:r w:rsidRPr="00953FA0">
        <w:t>Halbertal</w:t>
      </w:r>
      <w:proofErr w:type="spellEnd"/>
      <w:r w:rsidRPr="00953FA0">
        <w:t xml:space="preserve">, </w:t>
      </w:r>
      <w:r>
        <w:t>‘</w:t>
      </w:r>
      <w:r w:rsidRPr="00953FA0">
        <w:t>Concealment and Revelati</w:t>
      </w:r>
      <w:r w:rsidRPr="00252A6C">
        <w:rPr>
          <w:rFonts w:asciiTheme="majorBidi" w:hAnsiTheme="majorBidi" w:cstheme="majorBidi"/>
        </w:rPr>
        <w:t xml:space="preserve">on,’ </w:t>
      </w:r>
      <w:r w:rsidRPr="00252A6C">
        <w:rPr>
          <w:rFonts w:asciiTheme="majorBidi" w:hAnsiTheme="majorBidi" w:cstheme="majorBidi"/>
          <w:rtl/>
        </w:rPr>
        <w:t>15-26</w:t>
      </w:r>
      <w:r w:rsidRPr="00252A6C">
        <w:rPr>
          <w:rFonts w:asciiTheme="majorBidi" w:hAnsiTheme="majorBidi" w:cstheme="majorBidi"/>
        </w:rPr>
        <w:t>.</w:t>
      </w:r>
    </w:p>
  </w:footnote>
  <w:footnote w:id="13">
    <w:p w14:paraId="54DA8260" w14:textId="765F9A0C" w:rsidR="00ED5CFD" w:rsidRPr="008645ED" w:rsidRDefault="00ED5CFD" w:rsidP="005B2617">
      <w:pPr>
        <w:pStyle w:val="FootnoteText"/>
      </w:pPr>
      <w:r>
        <w:rPr>
          <w:rStyle w:val="FootnoteReference"/>
        </w:rPr>
        <w:footnoteRef/>
      </w:r>
      <w:r>
        <w:rPr>
          <w:rtl/>
        </w:rPr>
        <w:t xml:space="preserve"> </w:t>
      </w:r>
      <w:r w:rsidRPr="00953FA0">
        <w:t xml:space="preserve">McGinn, The </w:t>
      </w:r>
      <w:r>
        <w:t>P</w:t>
      </w:r>
      <w:r w:rsidRPr="00953FA0">
        <w:t>resence of God</w:t>
      </w:r>
      <w:r>
        <w:t>, 117-127.</w:t>
      </w:r>
    </w:p>
  </w:footnote>
  <w:footnote w:id="14">
    <w:p w14:paraId="5DC86EC5" w14:textId="4CA5B425" w:rsidR="00ED5CFD" w:rsidRDefault="00ED5CFD" w:rsidP="005B2617">
      <w:pPr>
        <w:pStyle w:val="FootnoteText"/>
      </w:pPr>
      <w:r>
        <w:rPr>
          <w:rStyle w:val="FootnoteReference"/>
        </w:rPr>
        <w:footnoteRef/>
      </w:r>
      <w:r>
        <w:rPr>
          <w:rtl/>
        </w:rPr>
        <w:t xml:space="preserve"> </w:t>
      </w:r>
      <w:r>
        <w:t xml:space="preserve">Only three (or four) volumes of the commentary have survived in a Latin translation by </w:t>
      </w:r>
      <w:proofErr w:type="spellStart"/>
      <w:r>
        <w:t>Rufinus</w:t>
      </w:r>
      <w:proofErr w:type="spellEnd"/>
      <w:r>
        <w:t xml:space="preserve"> in the fifth century CE. A number of passages in Greek have been preserved in Procopius of Gaza’s catena. Only two homiletics on </w:t>
      </w:r>
      <w:r w:rsidRPr="0050593D">
        <w:rPr>
          <w:i/>
          <w:iCs/>
        </w:rPr>
        <w:t>Song of Songs</w:t>
      </w:r>
      <w:r>
        <w:t xml:space="preserve"> have survived, both in Latin translation by </w:t>
      </w:r>
      <w:proofErr w:type="spellStart"/>
      <w:r>
        <w:t>Hieronymous</w:t>
      </w:r>
      <w:proofErr w:type="spellEnd"/>
      <w:r>
        <w:t xml:space="preserve"> in Rome, circa 383 CE. These sources cover only the first two chapters of </w:t>
      </w:r>
      <w:r w:rsidRPr="0050593D">
        <w:rPr>
          <w:i/>
          <w:iCs/>
        </w:rPr>
        <w:t>Song of Songs</w:t>
      </w:r>
      <w:r>
        <w:t xml:space="preserve">. For a comparison of the character of the these works and their Latin translations, see </w:t>
      </w:r>
      <w:r w:rsidRPr="008E7CBC">
        <w:rPr>
          <w:szCs w:val="22"/>
        </w:rPr>
        <w:t xml:space="preserve">Matter, </w:t>
      </w:r>
      <w:r w:rsidRPr="008E7CBC">
        <w:rPr>
          <w:i/>
          <w:iCs/>
          <w:szCs w:val="22"/>
        </w:rPr>
        <w:t>The Voice of My Beloved</w:t>
      </w:r>
      <w:r w:rsidRPr="008E7CBC">
        <w:rPr>
          <w:szCs w:val="22"/>
        </w:rPr>
        <w:t>, 29</w:t>
      </w:r>
      <w:r>
        <w:rPr>
          <w:szCs w:val="22"/>
        </w:rPr>
        <w:t>.</w:t>
      </w:r>
    </w:p>
  </w:footnote>
  <w:footnote w:id="15">
    <w:p w14:paraId="6D4E69DC" w14:textId="71CC998B" w:rsidR="00ED5CFD" w:rsidRPr="00806A6C" w:rsidRDefault="00ED5CFD" w:rsidP="005B2617">
      <w:pPr>
        <w:pStyle w:val="FootnoteText"/>
      </w:pPr>
      <w:r>
        <w:rPr>
          <w:rStyle w:val="FootnoteReference"/>
        </w:rPr>
        <w:footnoteRef/>
      </w:r>
      <w:r>
        <w:rPr>
          <w:rtl/>
        </w:rPr>
        <w:t xml:space="preserve"> </w:t>
      </w:r>
      <w:r w:rsidRPr="00953FA0">
        <w:t xml:space="preserve">Based on the translation by </w:t>
      </w:r>
      <w:proofErr w:type="spellStart"/>
      <w:r w:rsidRPr="00953FA0">
        <w:rPr>
          <w:rFonts w:asciiTheme="majorBidi" w:hAnsiTheme="majorBidi" w:cstheme="majorBidi"/>
        </w:rPr>
        <w:t>Scholem</w:t>
      </w:r>
      <w:proofErr w:type="spellEnd"/>
      <w:r w:rsidRPr="00953FA0">
        <w:rPr>
          <w:rFonts w:asciiTheme="majorBidi" w:hAnsiTheme="majorBidi" w:cstheme="majorBidi"/>
        </w:rPr>
        <w:t xml:space="preserve">, </w:t>
      </w:r>
      <w:r w:rsidRPr="00953FA0">
        <w:rPr>
          <w:rFonts w:asciiTheme="majorBidi" w:hAnsiTheme="majorBidi" w:cstheme="majorBidi"/>
          <w:i/>
          <w:iCs/>
        </w:rPr>
        <w:t>Jewish Gnosticism,</w:t>
      </w:r>
      <w:r w:rsidRPr="00953FA0">
        <w:rPr>
          <w:rFonts w:asciiTheme="majorBidi" w:hAnsiTheme="majorBidi" w:cstheme="majorBidi"/>
        </w:rPr>
        <w:t>, 38, with some adaptations.</w:t>
      </w:r>
      <w:r w:rsidRPr="00953FA0">
        <w:t xml:space="preserve"> Compare: </w:t>
      </w:r>
      <w:r w:rsidRPr="008E7CBC">
        <w:rPr>
          <w:i/>
          <w:iCs/>
        </w:rPr>
        <w:t>Origen,</w:t>
      </w:r>
      <w:r w:rsidRPr="00953FA0">
        <w:t xml:space="preserve"> </w:t>
      </w:r>
      <w:r w:rsidRPr="00953FA0">
        <w:rPr>
          <w:i/>
          <w:iCs/>
        </w:rPr>
        <w:t xml:space="preserve">The </w:t>
      </w:r>
      <w:r w:rsidRPr="0050593D">
        <w:rPr>
          <w:i/>
          <w:iCs/>
        </w:rPr>
        <w:t>Song of Songs</w:t>
      </w:r>
      <w:r w:rsidRPr="00953FA0">
        <w:rPr>
          <w:i/>
          <w:iCs/>
        </w:rPr>
        <w:t xml:space="preserve"> Commentary</w:t>
      </w:r>
      <w:r w:rsidRPr="00953FA0">
        <w:t xml:space="preserve">, 23. </w:t>
      </w:r>
    </w:p>
  </w:footnote>
  <w:footnote w:id="16">
    <w:p w14:paraId="74400525" w14:textId="0BFCDDF7" w:rsidR="00ED5CFD" w:rsidRDefault="00ED5CFD" w:rsidP="005B2617">
      <w:pPr>
        <w:pStyle w:val="FootnoteText"/>
      </w:pPr>
      <w:r>
        <w:rPr>
          <w:rStyle w:val="FootnoteReference"/>
        </w:rPr>
        <w:footnoteRef/>
      </w:r>
      <w:r>
        <w:rPr>
          <w:rtl/>
        </w:rPr>
        <w:t xml:space="preserve"> </w:t>
      </w:r>
      <w:r>
        <w:t xml:space="preserve">The </w:t>
      </w:r>
      <w:proofErr w:type="spellStart"/>
      <w:r>
        <w:t>mishna</w:t>
      </w:r>
      <w:proofErr w:type="spellEnd"/>
      <w:r>
        <w:t xml:space="preserve"> constrains the study of the first two in </w:t>
      </w:r>
      <w:proofErr w:type="spellStart"/>
      <w:r>
        <w:t>mHag</w:t>
      </w:r>
      <w:proofErr w:type="spellEnd"/>
      <w:r>
        <w:t xml:space="preserve"> 2:1: ‘One may not expound upon forbidden relations in the presence of three, nor the act of Creation in the presence of two, nor [account of] the chariot in the presence of one, unless he is a sage and understands of his own knowledge.’ Study of the future Temple is perhaps alluded to at the end of the same Mishna: ‘</w:t>
      </w:r>
      <w:r w:rsidRPr="006D4386">
        <w:t>Anyone who looks into four things is worthy of not having come into the world: what is above, what is below, what is before, and what is after.</w:t>
      </w:r>
      <w:r>
        <w:t>’</w:t>
      </w:r>
    </w:p>
  </w:footnote>
  <w:footnote w:id="17">
    <w:p w14:paraId="57124FC1" w14:textId="7EDBFD21" w:rsidR="00ED5CFD" w:rsidRDefault="00ED5CFD" w:rsidP="005B2617">
      <w:pPr>
        <w:pStyle w:val="FootnoteText"/>
      </w:pPr>
      <w:r>
        <w:rPr>
          <w:rStyle w:val="FootnoteReference"/>
        </w:rPr>
        <w:footnoteRef/>
      </w:r>
      <w:r>
        <w:rPr>
          <w:rtl/>
        </w:rPr>
        <w:t xml:space="preserve"> </w:t>
      </w:r>
      <w:proofErr w:type="spellStart"/>
      <w:r w:rsidRPr="00953FA0">
        <w:rPr>
          <w:rFonts w:asciiTheme="majorBidi" w:hAnsiTheme="majorBidi" w:cstheme="majorBidi"/>
        </w:rPr>
        <w:t>Scholem</w:t>
      </w:r>
      <w:proofErr w:type="spellEnd"/>
      <w:r w:rsidRPr="00953FA0">
        <w:rPr>
          <w:rFonts w:asciiTheme="majorBidi" w:hAnsiTheme="majorBidi" w:cstheme="majorBidi"/>
        </w:rPr>
        <w:t xml:space="preserve">, </w:t>
      </w:r>
      <w:r w:rsidRPr="00953FA0">
        <w:rPr>
          <w:rFonts w:asciiTheme="majorBidi" w:hAnsiTheme="majorBidi" w:cstheme="majorBidi"/>
          <w:i/>
          <w:iCs/>
        </w:rPr>
        <w:t>Jewish Gnosticism,</w:t>
      </w:r>
      <w:r w:rsidRPr="00953FA0">
        <w:t xml:space="preserve"> 36-42.</w:t>
      </w:r>
      <w:r>
        <w:t xml:space="preserve"> </w:t>
      </w:r>
      <w:proofErr w:type="spellStart"/>
      <w:r>
        <w:t>Scholem</w:t>
      </w:r>
      <w:proofErr w:type="spellEnd"/>
      <w:r>
        <w:t xml:space="preserve"> is responding to an earlier article by Lieberman that had explained Origen’s statement based on later sources. See </w:t>
      </w:r>
      <w:r w:rsidRPr="00BB0CCD">
        <w:t xml:space="preserve">Lieberman, </w:t>
      </w:r>
      <w:proofErr w:type="spellStart"/>
      <w:r w:rsidRPr="00BB0CCD">
        <w:rPr>
          <w:i/>
          <w:iCs/>
        </w:rPr>
        <w:t>Shkiin</w:t>
      </w:r>
      <w:proofErr w:type="spellEnd"/>
      <w:r w:rsidRPr="00BB0CCD">
        <w:rPr>
          <w:i/>
          <w:iCs/>
        </w:rPr>
        <w:t xml:space="preserve"> &amp;Yemenite Midrashim</w:t>
      </w:r>
      <w:r w:rsidRPr="00BB0CCD">
        <w:t xml:space="preserve">, 16-17. Later, Lieberman relied on </w:t>
      </w:r>
      <w:proofErr w:type="spellStart"/>
      <w:r w:rsidRPr="00BB0CCD">
        <w:t>Tannaic</w:t>
      </w:r>
      <w:proofErr w:type="spellEnd"/>
      <w:r w:rsidRPr="00BB0CCD">
        <w:t xml:space="preserve"> sources. </w:t>
      </w:r>
      <w:r w:rsidRPr="00AC5CFE">
        <w:t>See below.</w:t>
      </w:r>
    </w:p>
  </w:footnote>
  <w:footnote w:id="18">
    <w:p w14:paraId="748A8DEE" w14:textId="77777777" w:rsidR="00ED5CFD" w:rsidRPr="003C2644" w:rsidRDefault="00ED5CFD" w:rsidP="005B2617">
      <w:pPr>
        <w:pStyle w:val="FootnoteText"/>
      </w:pPr>
      <w:r>
        <w:rPr>
          <w:rStyle w:val="FootnoteReference"/>
        </w:rPr>
        <w:footnoteRef/>
      </w:r>
      <w:r>
        <w:rPr>
          <w:rtl/>
        </w:rPr>
        <w:t xml:space="preserve"> </w:t>
      </w:r>
      <w:r w:rsidRPr="00953FA0">
        <w:t xml:space="preserve">Lieberman, Saul. </w:t>
      </w:r>
      <w:r>
        <w:t>‘</w:t>
      </w:r>
      <w:proofErr w:type="spellStart"/>
      <w:r w:rsidRPr="00953FA0">
        <w:t>Mishnat</w:t>
      </w:r>
      <w:proofErr w:type="spellEnd"/>
      <w:r w:rsidRPr="00953FA0">
        <w:t xml:space="preserve"> Shir ha-</w:t>
      </w:r>
      <w:proofErr w:type="spellStart"/>
      <w:r w:rsidRPr="00953FA0">
        <w:t>Shirim</w:t>
      </w:r>
      <w:proofErr w:type="spellEnd"/>
      <w:r>
        <w:t>.’ I</w:t>
      </w:r>
      <w:r w:rsidRPr="003C2644">
        <w:t>n</w:t>
      </w:r>
      <w:r>
        <w:t xml:space="preserve"> </w:t>
      </w:r>
      <w:proofErr w:type="spellStart"/>
      <w:r w:rsidRPr="00953FA0">
        <w:t>Urbach</w:t>
      </w:r>
      <w:proofErr w:type="spellEnd"/>
      <w:r w:rsidRPr="00953FA0">
        <w:t xml:space="preserve">, </w:t>
      </w:r>
      <w:r>
        <w:t>‘</w:t>
      </w:r>
      <w:r w:rsidRPr="00953FA0">
        <w:t>The Homiletical Interpretations of the Sages</w:t>
      </w:r>
      <w:r>
        <w:t xml:space="preserve">,’ </w:t>
      </w:r>
      <w:r w:rsidRPr="00953FA0">
        <w:t>249-251</w:t>
      </w:r>
      <w:r>
        <w:t>,</w:t>
      </w:r>
      <w:r w:rsidRPr="003C2644">
        <w:t xml:space="preserve"> </w:t>
      </w:r>
      <w:r>
        <w:t xml:space="preserve">originally published in Hebrew in 1961, E.E. </w:t>
      </w:r>
      <w:proofErr w:type="spellStart"/>
      <w:r>
        <w:t>Urbach</w:t>
      </w:r>
      <w:proofErr w:type="spellEnd"/>
      <w:r>
        <w:t xml:space="preserve"> draws a connection between Rabbi </w:t>
      </w:r>
      <w:proofErr w:type="spellStart"/>
      <w:r>
        <w:t>Akiva’s</w:t>
      </w:r>
      <w:proofErr w:type="spellEnd"/>
      <w:r>
        <w:t xml:space="preserve"> declaration that </w:t>
      </w:r>
      <w:r w:rsidRPr="0050593D">
        <w:rPr>
          <w:i/>
          <w:iCs/>
        </w:rPr>
        <w:t>Song of Songs</w:t>
      </w:r>
      <w:r>
        <w:t xml:space="preserve"> is holy of holies and the mystical interpretation of </w:t>
      </w:r>
      <w:r w:rsidRPr="0050593D">
        <w:rPr>
          <w:i/>
          <w:iCs/>
        </w:rPr>
        <w:t>Song of Songs</w:t>
      </w:r>
      <w:r>
        <w:t xml:space="preserve">. He cites other Rabbinic interpretations of </w:t>
      </w:r>
      <w:r w:rsidRPr="0050593D">
        <w:rPr>
          <w:i/>
          <w:iCs/>
        </w:rPr>
        <w:t>Song of Songs</w:t>
      </w:r>
      <w:r>
        <w:t xml:space="preserve"> that are esoteric but does not make a connection to </w:t>
      </w:r>
      <w:r w:rsidRPr="00337981">
        <w:rPr>
          <w:i/>
          <w:iCs/>
        </w:rPr>
        <w:t xml:space="preserve">Shiur </w:t>
      </w:r>
      <w:proofErr w:type="spellStart"/>
      <w:r w:rsidRPr="00337981">
        <w:rPr>
          <w:i/>
          <w:iCs/>
        </w:rPr>
        <w:t>Qoma</w:t>
      </w:r>
      <w:proofErr w:type="spellEnd"/>
      <w:r>
        <w:t>.</w:t>
      </w:r>
    </w:p>
  </w:footnote>
  <w:footnote w:id="19">
    <w:p w14:paraId="0273D61B" w14:textId="588AE83A" w:rsidR="00ED5CFD" w:rsidRDefault="00ED5CFD" w:rsidP="005B2617">
      <w:pPr>
        <w:pStyle w:val="FootnoteText"/>
      </w:pPr>
      <w:r>
        <w:rPr>
          <w:rStyle w:val="FootnoteReference"/>
        </w:rPr>
        <w:footnoteRef/>
      </w:r>
      <w:r>
        <w:rPr>
          <w:rtl/>
        </w:rPr>
        <w:t xml:space="preserve"> </w:t>
      </w:r>
      <w:r w:rsidRPr="00AC5CFE">
        <w:t xml:space="preserve">Lieberman, Saul. </w:t>
      </w:r>
      <w:r>
        <w:t>‘</w:t>
      </w:r>
      <w:proofErr w:type="spellStart"/>
      <w:r w:rsidRPr="00953FA0">
        <w:t>Mishnat</w:t>
      </w:r>
      <w:proofErr w:type="spellEnd"/>
      <w:r w:rsidRPr="00953FA0">
        <w:t xml:space="preserve"> Shir ha-</w:t>
      </w:r>
      <w:proofErr w:type="spellStart"/>
      <w:r w:rsidRPr="00953FA0">
        <w:t>Shirim</w:t>
      </w:r>
      <w:proofErr w:type="spellEnd"/>
      <w:r>
        <w:t>,’</w:t>
      </w:r>
      <w:r w:rsidRPr="00953FA0">
        <w:t xml:space="preserve"> 123, 126</w:t>
      </w:r>
      <w:r>
        <w:t>.</w:t>
      </w:r>
    </w:p>
  </w:footnote>
  <w:footnote w:id="20">
    <w:p w14:paraId="30E979FD" w14:textId="77777777" w:rsidR="00ED5CFD" w:rsidRPr="00953FA0" w:rsidRDefault="00ED5CFD" w:rsidP="005B2617">
      <w:pPr>
        <w:pStyle w:val="FootnoteText"/>
        <w:rPr>
          <w:rtl/>
        </w:rPr>
      </w:pPr>
      <w:r w:rsidRPr="00953FA0">
        <w:rPr>
          <w:rStyle w:val="FootnoteReference"/>
          <w:szCs w:val="22"/>
        </w:rPr>
        <w:footnoteRef/>
      </w:r>
      <w:r w:rsidRPr="00953FA0">
        <w:rPr>
          <w:rtl/>
        </w:rPr>
        <w:t xml:space="preserve"> </w:t>
      </w:r>
      <w:r w:rsidRPr="00953FA0">
        <w:t xml:space="preserve">Green, </w:t>
      </w:r>
      <w:proofErr w:type="spellStart"/>
      <w:r w:rsidRPr="00953FA0">
        <w:rPr>
          <w:i/>
          <w:iCs/>
        </w:rPr>
        <w:t>Keter</w:t>
      </w:r>
      <w:proofErr w:type="spellEnd"/>
      <w:r w:rsidRPr="00953FA0">
        <w:rPr>
          <w:i/>
          <w:iCs/>
        </w:rPr>
        <w:t>: The Crown of God in Early Jewish Mysticism</w:t>
      </w:r>
      <w:r w:rsidRPr="00953FA0">
        <w:t>, 78-</w:t>
      </w:r>
      <w:r w:rsidRPr="00953FA0">
        <w:rPr>
          <w:rFonts w:asciiTheme="majorBidi" w:hAnsiTheme="majorBidi" w:cstheme="majorBidi"/>
          <w:rtl/>
        </w:rPr>
        <w:t>79</w:t>
      </w:r>
      <w:r w:rsidRPr="00953FA0">
        <w:t xml:space="preserve"> </w:t>
      </w:r>
      <w:proofErr w:type="spellStart"/>
      <w:r w:rsidRPr="00953FA0">
        <w:t>n3</w:t>
      </w:r>
      <w:proofErr w:type="spellEnd"/>
      <w:r w:rsidRPr="00953FA0">
        <w:t xml:space="preserve">. </w:t>
      </w:r>
      <w:r>
        <w:rPr>
          <w:rFonts w:hint="cs"/>
        </w:rPr>
        <w:t>O</w:t>
      </w:r>
      <w:r>
        <w:t xml:space="preserve">n the connection between </w:t>
      </w:r>
      <w:r w:rsidRPr="0050593D">
        <w:rPr>
          <w:i/>
          <w:iCs/>
        </w:rPr>
        <w:t>Song of Songs</w:t>
      </w:r>
      <w:r>
        <w:t xml:space="preserve"> and early Jewish mysticism and Kabbalah, see </w:t>
      </w:r>
      <w:r w:rsidRPr="00953FA0">
        <w:t xml:space="preserve">Green, </w:t>
      </w:r>
      <w:r>
        <w:t>‘</w:t>
      </w:r>
      <w:r w:rsidRPr="00953FA0">
        <w:t xml:space="preserve">The </w:t>
      </w:r>
      <w:r w:rsidRPr="0050593D">
        <w:rPr>
          <w:i/>
          <w:iCs/>
        </w:rPr>
        <w:t>Song of Songs</w:t>
      </w:r>
      <w:r w:rsidRPr="00953FA0">
        <w:t xml:space="preserve"> in Early Jewish Mysticism</w:t>
      </w:r>
      <w:r>
        <w:t>,’</w:t>
      </w:r>
      <w:r w:rsidRPr="00953FA0">
        <w:t xml:space="preserve"> 49-63.</w:t>
      </w:r>
    </w:p>
  </w:footnote>
  <w:footnote w:id="21">
    <w:p w14:paraId="07F9B0E3" w14:textId="512B5D1C" w:rsidR="00ED5CFD" w:rsidRDefault="00ED5CFD" w:rsidP="005B2617">
      <w:pPr>
        <w:pStyle w:val="FootnoteText"/>
      </w:pPr>
      <w:r>
        <w:rPr>
          <w:rStyle w:val="FootnoteReference"/>
        </w:rPr>
        <w:footnoteRef/>
      </w:r>
      <w:r>
        <w:rPr>
          <w:rtl/>
        </w:rPr>
        <w:t xml:space="preserve"> </w:t>
      </w:r>
      <w:r w:rsidRPr="00953FA0">
        <w:t>Farber</w:t>
      </w:r>
      <w:r>
        <w:t xml:space="preserve"> </w:t>
      </w:r>
      <w:proofErr w:type="spellStart"/>
      <w:r w:rsidRPr="00953FA0">
        <w:t>Ginat</w:t>
      </w:r>
      <w:proofErr w:type="spellEnd"/>
      <w:r>
        <w:t>,</w:t>
      </w:r>
      <w:r w:rsidRPr="00953FA0">
        <w:t xml:space="preserve"> </w:t>
      </w:r>
      <w:r w:rsidRPr="005E3054">
        <w:t xml:space="preserve">Studies in the </w:t>
      </w:r>
      <w:r>
        <w:t>B</w:t>
      </w:r>
      <w:r w:rsidRPr="005E3054">
        <w:t xml:space="preserve">ook of </w:t>
      </w:r>
      <w:r w:rsidRPr="00337981">
        <w:rPr>
          <w:i/>
          <w:iCs/>
        </w:rPr>
        <w:t xml:space="preserve">Shiur </w:t>
      </w:r>
      <w:proofErr w:type="spellStart"/>
      <w:r w:rsidRPr="00337981">
        <w:rPr>
          <w:i/>
          <w:iCs/>
        </w:rPr>
        <w:t>Qoma</w:t>
      </w:r>
      <w:proofErr w:type="spellEnd"/>
      <w:r>
        <w:t>, 364</w:t>
      </w:r>
    </w:p>
  </w:footnote>
  <w:footnote w:id="22">
    <w:p w14:paraId="1103B402" w14:textId="77777777" w:rsidR="00ED5CFD" w:rsidRDefault="00ED5CFD" w:rsidP="005B2617">
      <w:pPr>
        <w:pStyle w:val="FootnoteText"/>
      </w:pPr>
      <w:r>
        <w:rPr>
          <w:rStyle w:val="FootnoteReference"/>
        </w:rPr>
        <w:footnoteRef/>
      </w:r>
      <w:r>
        <w:rPr>
          <w:rtl/>
        </w:rPr>
        <w:t xml:space="preserve"> </w:t>
      </w:r>
      <w:r w:rsidRPr="00274DCD">
        <w:t xml:space="preserve">Dan, </w:t>
      </w:r>
      <w:r w:rsidRPr="00274DCD">
        <w:rPr>
          <w:i/>
          <w:iCs/>
        </w:rPr>
        <w:t>History of Jewish Mysticism and Esotericism,</w:t>
      </w:r>
      <w:r>
        <w:rPr>
          <w:i/>
          <w:iCs/>
        </w:rPr>
        <w:t xml:space="preserve"> </w:t>
      </w:r>
      <w:r>
        <w:t>vol</w:t>
      </w:r>
      <w:r w:rsidRPr="00274DCD">
        <w:rPr>
          <w:i/>
          <w:iCs/>
        </w:rPr>
        <w:t xml:space="preserve"> </w:t>
      </w:r>
      <w:r>
        <w:t xml:space="preserve">891-898. For example, Origen’s mystical commentary on </w:t>
      </w:r>
      <w:r w:rsidRPr="0050593D">
        <w:rPr>
          <w:i/>
          <w:iCs/>
        </w:rPr>
        <w:t>Song of Songs</w:t>
      </w:r>
      <w:r>
        <w:t xml:space="preserve"> has an erotic character that is entirely missing from </w:t>
      </w:r>
      <w:r w:rsidRPr="00337981">
        <w:rPr>
          <w:i/>
          <w:iCs/>
        </w:rPr>
        <w:t xml:space="preserve">Shiur </w:t>
      </w:r>
      <w:proofErr w:type="spellStart"/>
      <w:r w:rsidRPr="00337981">
        <w:rPr>
          <w:i/>
          <w:iCs/>
        </w:rPr>
        <w:t>Qoma</w:t>
      </w:r>
      <w:proofErr w:type="spellEnd"/>
      <w:r>
        <w:t xml:space="preserve">. </w:t>
      </w:r>
    </w:p>
  </w:footnote>
  <w:footnote w:id="23">
    <w:p w14:paraId="561D6566" w14:textId="77777777" w:rsidR="00ED5CFD" w:rsidRPr="0091316C" w:rsidRDefault="00ED5CFD" w:rsidP="005B2617">
      <w:pPr>
        <w:rPr>
          <w:rFonts w:ascii="David" w:hAnsi="David"/>
        </w:rPr>
      </w:pPr>
      <w:r>
        <w:rPr>
          <w:rStyle w:val="FootnoteReference"/>
        </w:rPr>
        <w:footnoteRef/>
      </w:r>
      <w:r>
        <w:rPr>
          <w:rtl/>
        </w:rPr>
        <w:t xml:space="preserve"> </w:t>
      </w:r>
      <w:proofErr w:type="spellStart"/>
      <w:r w:rsidRPr="00953FA0">
        <w:t>Boyarin</w:t>
      </w:r>
      <w:proofErr w:type="spellEnd"/>
      <w:r w:rsidRPr="00953FA0">
        <w:t xml:space="preserve">, </w:t>
      </w:r>
      <w:r>
        <w:t>‘</w:t>
      </w:r>
      <w:r w:rsidRPr="00953FA0">
        <w:t xml:space="preserve">Two Introductions to the Midrash on the </w:t>
      </w:r>
      <w:r w:rsidRPr="0050593D">
        <w:rPr>
          <w:i/>
          <w:iCs/>
        </w:rPr>
        <w:t>Song of Songs</w:t>
      </w:r>
      <w:r>
        <w:t xml:space="preserve">.’ See Green’s critique of </w:t>
      </w:r>
      <w:proofErr w:type="spellStart"/>
      <w:r>
        <w:t>Boyarin</w:t>
      </w:r>
      <w:proofErr w:type="spellEnd"/>
      <w:r>
        <w:t xml:space="preserve"> in Green, </w:t>
      </w:r>
      <w:proofErr w:type="spellStart"/>
      <w:r w:rsidRPr="00953FA0">
        <w:rPr>
          <w:i/>
          <w:iCs/>
        </w:rPr>
        <w:t>Keter</w:t>
      </w:r>
      <w:proofErr w:type="spellEnd"/>
      <w:r w:rsidRPr="00953FA0">
        <w:t xml:space="preserve">, 78-79 </w:t>
      </w:r>
      <w:proofErr w:type="spellStart"/>
      <w:r w:rsidRPr="00953FA0">
        <w:t>n3</w:t>
      </w:r>
      <w:proofErr w:type="spellEnd"/>
      <w:r w:rsidRPr="00953FA0">
        <w:t>.</w:t>
      </w:r>
    </w:p>
  </w:footnote>
  <w:footnote w:id="24">
    <w:p w14:paraId="40C7EE7E" w14:textId="77777777" w:rsidR="00ED5CFD" w:rsidRDefault="00ED5CFD" w:rsidP="005B2617">
      <w:pPr>
        <w:pStyle w:val="FootnoteText"/>
      </w:pPr>
      <w:r>
        <w:rPr>
          <w:rStyle w:val="FootnoteReference"/>
        </w:rPr>
        <w:footnoteRef/>
      </w:r>
      <w:r>
        <w:rPr>
          <w:rtl/>
        </w:rPr>
        <w:t xml:space="preserve"> </w:t>
      </w:r>
      <w:proofErr w:type="spellStart"/>
      <w:r w:rsidRPr="00953FA0">
        <w:t>Hirshman</w:t>
      </w:r>
      <w:proofErr w:type="spellEnd"/>
      <w:r w:rsidRPr="00953FA0">
        <w:t xml:space="preserve">, </w:t>
      </w:r>
      <w:r w:rsidRPr="00953FA0">
        <w:rPr>
          <w:i/>
          <w:iCs/>
        </w:rPr>
        <w:t>A Rivalry of Genius</w:t>
      </w:r>
      <w:r w:rsidRPr="00953FA0">
        <w:t>, 83-94.</w:t>
      </w:r>
    </w:p>
  </w:footnote>
  <w:footnote w:id="25">
    <w:p w14:paraId="51153BF4" w14:textId="77777777" w:rsidR="00ED5CFD" w:rsidRDefault="00ED5CFD" w:rsidP="005B2617">
      <w:r>
        <w:rPr>
          <w:rStyle w:val="FootnoteReference"/>
        </w:rPr>
        <w:footnoteRef/>
      </w:r>
      <w:r>
        <w:rPr>
          <w:rtl/>
        </w:rPr>
        <w:t xml:space="preserve"> </w:t>
      </w:r>
      <w:r w:rsidRPr="00953FA0">
        <w:t xml:space="preserve">Goshen-Gottstein, </w:t>
      </w:r>
      <w:r>
        <w:t>‘</w:t>
      </w:r>
      <w:r w:rsidRPr="00953FA0">
        <w:t xml:space="preserve">Did the </w:t>
      </w:r>
      <w:proofErr w:type="spellStart"/>
      <w:r w:rsidRPr="00953FA0">
        <w:t>Tannaim</w:t>
      </w:r>
      <w:proofErr w:type="spellEnd"/>
      <w:r w:rsidRPr="00953FA0">
        <w:t xml:space="preserve"> Interpret the </w:t>
      </w:r>
      <w:r w:rsidRPr="0050593D">
        <w:rPr>
          <w:i/>
          <w:iCs/>
        </w:rPr>
        <w:t>Song of Songs</w:t>
      </w:r>
      <w:r w:rsidRPr="00953FA0">
        <w:t xml:space="preserve"> Systematically?</w:t>
      </w:r>
      <w:r>
        <w:t>’</w:t>
      </w:r>
      <w:r w:rsidRPr="00953FA0">
        <w:t xml:space="preserve"> 260–271</w:t>
      </w:r>
      <w:r>
        <w:t>.</w:t>
      </w:r>
    </w:p>
  </w:footnote>
  <w:footnote w:id="26">
    <w:p w14:paraId="36A9D3DC" w14:textId="77777777" w:rsidR="00ED5CFD" w:rsidRDefault="00ED5CFD" w:rsidP="005B2617">
      <w:pPr>
        <w:pStyle w:val="FootnoteText"/>
      </w:pPr>
      <w:r>
        <w:rPr>
          <w:rStyle w:val="FootnoteReference"/>
        </w:rPr>
        <w:footnoteRef/>
      </w:r>
      <w:r>
        <w:t xml:space="preserve"> </w:t>
      </w:r>
      <w:r w:rsidRPr="00CA5EC6">
        <w:t xml:space="preserve">Stemberger, </w:t>
      </w:r>
      <w:r w:rsidRPr="00CA5EC6">
        <w:rPr>
          <w:i/>
          <w:iCs/>
        </w:rPr>
        <w:t>Introduction to the Talmud and Midrash</w:t>
      </w:r>
      <w:r>
        <w:t xml:space="preserve">, </w:t>
      </w:r>
      <w:r>
        <w:rPr>
          <w:rFonts w:asciiTheme="majorBidi" w:hAnsiTheme="majorBidi" w:cstheme="majorBidi" w:hint="cs"/>
          <w:szCs w:val="22"/>
          <w:rtl/>
        </w:rPr>
        <w:t>270-273</w:t>
      </w:r>
      <w:r>
        <w:t xml:space="preserve">; </w:t>
      </w:r>
      <w:r w:rsidRPr="00E719B5">
        <w:t xml:space="preserve">Kahana, </w:t>
      </w:r>
      <w:r>
        <w:t>‘</w:t>
      </w:r>
      <w:r w:rsidRPr="00E719B5">
        <w:t>The Halakhic Midrashim</w:t>
      </w:r>
      <w:r>
        <w:t>,’ 95-100.</w:t>
      </w:r>
    </w:p>
  </w:footnote>
  <w:footnote w:id="27">
    <w:p w14:paraId="2C317F0E" w14:textId="63FBE20B" w:rsidR="00ED5CFD" w:rsidRPr="00D77668" w:rsidRDefault="00ED5CFD" w:rsidP="005B2617">
      <w:pPr>
        <w:pStyle w:val="FootnoteText"/>
        <w:rPr>
          <w:rFonts w:asciiTheme="majorBidi" w:hAnsiTheme="majorBidi" w:cstheme="majorBidi"/>
          <w:szCs w:val="22"/>
        </w:rPr>
      </w:pPr>
      <w:r>
        <w:rPr>
          <w:rStyle w:val="FootnoteReference"/>
        </w:rPr>
        <w:footnoteRef/>
      </w:r>
      <w:r>
        <w:rPr>
          <w:rtl/>
        </w:rPr>
        <w:t xml:space="preserve"> </w:t>
      </w:r>
      <w:r>
        <w:t xml:space="preserve">According to Lieberman, the interpretation of the </w:t>
      </w:r>
      <w:r w:rsidRPr="0050593D">
        <w:rPr>
          <w:i/>
          <w:iCs/>
        </w:rPr>
        <w:t>Song of Songs</w:t>
      </w:r>
      <w:r>
        <w:t xml:space="preserve"> </w:t>
      </w:r>
      <w:proofErr w:type="gramStart"/>
      <w:r>
        <w:t>passage</w:t>
      </w:r>
      <w:proofErr w:type="gramEnd"/>
      <w:r>
        <w:t xml:space="preserve"> as referring to God at the Red Sea is consistently that of the </w:t>
      </w:r>
      <w:proofErr w:type="spellStart"/>
      <w:r>
        <w:t>Tanna</w:t>
      </w:r>
      <w:proofErr w:type="spellEnd"/>
      <w:r>
        <w:t xml:space="preserve"> Rabbi Eliezer. See </w:t>
      </w:r>
      <w:r w:rsidRPr="00953FA0">
        <w:rPr>
          <w:rFonts w:asciiTheme="majorBidi" w:hAnsiTheme="majorBidi" w:cstheme="majorBidi"/>
          <w:szCs w:val="22"/>
        </w:rPr>
        <w:t xml:space="preserve">Lieberman, </w:t>
      </w:r>
      <w:r>
        <w:rPr>
          <w:rFonts w:asciiTheme="majorBidi" w:hAnsiTheme="majorBidi" w:cstheme="majorBidi"/>
          <w:szCs w:val="22"/>
        </w:rPr>
        <w:t>‘</w:t>
      </w:r>
      <w:proofErr w:type="spellStart"/>
      <w:r w:rsidRPr="00953FA0">
        <w:rPr>
          <w:rFonts w:asciiTheme="majorBidi" w:hAnsiTheme="majorBidi" w:cstheme="majorBidi"/>
          <w:szCs w:val="22"/>
        </w:rPr>
        <w:t>Mishnat</w:t>
      </w:r>
      <w:proofErr w:type="spellEnd"/>
      <w:r w:rsidRPr="00953FA0">
        <w:rPr>
          <w:rFonts w:asciiTheme="majorBidi" w:hAnsiTheme="majorBidi" w:cstheme="majorBidi"/>
          <w:szCs w:val="22"/>
        </w:rPr>
        <w:t xml:space="preserve"> Shir ha-</w:t>
      </w:r>
      <w:proofErr w:type="spellStart"/>
      <w:r w:rsidRPr="00953FA0">
        <w:rPr>
          <w:rFonts w:asciiTheme="majorBidi" w:hAnsiTheme="majorBidi" w:cstheme="majorBidi"/>
          <w:szCs w:val="22"/>
        </w:rPr>
        <w:t>Shirim</w:t>
      </w:r>
      <w:proofErr w:type="spellEnd"/>
      <w:r>
        <w:rPr>
          <w:rFonts w:asciiTheme="majorBidi" w:hAnsiTheme="majorBidi" w:cstheme="majorBidi"/>
          <w:szCs w:val="22"/>
        </w:rPr>
        <w:t>,’</w:t>
      </w:r>
      <w:r w:rsidRPr="00953FA0">
        <w:rPr>
          <w:rFonts w:asciiTheme="majorBidi" w:hAnsiTheme="majorBidi" w:cstheme="majorBidi"/>
          <w:szCs w:val="22"/>
        </w:rPr>
        <w:t xml:space="preserve"> 12.</w:t>
      </w:r>
      <w:r>
        <w:t xml:space="preserve"> For analysis of the midrashic unit and its context in the </w:t>
      </w:r>
      <w:proofErr w:type="spellStart"/>
      <w:r>
        <w:t>Sifrei</w:t>
      </w:r>
      <w:proofErr w:type="spellEnd"/>
      <w:r>
        <w:t xml:space="preserve">, see </w:t>
      </w:r>
      <w:proofErr w:type="spellStart"/>
      <w:r w:rsidRPr="00D314A9">
        <w:rPr>
          <w:szCs w:val="22"/>
        </w:rPr>
        <w:t>Fraade</w:t>
      </w:r>
      <w:proofErr w:type="spellEnd"/>
      <w:r w:rsidRPr="00D314A9">
        <w:rPr>
          <w:szCs w:val="22"/>
        </w:rPr>
        <w:t xml:space="preserve">, </w:t>
      </w:r>
      <w:r w:rsidRPr="00D314A9">
        <w:rPr>
          <w:i/>
          <w:iCs/>
          <w:szCs w:val="22"/>
        </w:rPr>
        <w:t xml:space="preserve">From </w:t>
      </w:r>
      <w:r w:rsidRPr="00D314A9">
        <w:rPr>
          <w:rFonts w:hint="cs"/>
          <w:i/>
          <w:iCs/>
          <w:szCs w:val="22"/>
        </w:rPr>
        <w:t>T</w:t>
      </w:r>
      <w:r w:rsidRPr="00D314A9">
        <w:rPr>
          <w:i/>
          <w:iCs/>
          <w:szCs w:val="22"/>
        </w:rPr>
        <w:t xml:space="preserve">radition to </w:t>
      </w:r>
      <w:r w:rsidRPr="00D314A9">
        <w:rPr>
          <w:rFonts w:hint="cs"/>
          <w:i/>
          <w:iCs/>
          <w:szCs w:val="22"/>
        </w:rPr>
        <w:t>C</w:t>
      </w:r>
      <w:r w:rsidRPr="00D314A9">
        <w:rPr>
          <w:i/>
          <w:iCs/>
          <w:szCs w:val="22"/>
        </w:rPr>
        <w:t>ommentary</w:t>
      </w:r>
      <w:r>
        <w:rPr>
          <w:rFonts w:asciiTheme="majorBidi" w:hAnsiTheme="majorBidi" w:cstheme="majorBidi"/>
          <w:szCs w:val="22"/>
        </w:rPr>
        <w:t xml:space="preserve">, 42-44. </w:t>
      </w:r>
      <w:proofErr w:type="spellStart"/>
      <w:r>
        <w:rPr>
          <w:rFonts w:asciiTheme="majorBidi" w:hAnsiTheme="majorBidi" w:cstheme="majorBidi"/>
          <w:szCs w:val="22"/>
        </w:rPr>
        <w:t>Fraade</w:t>
      </w:r>
      <w:proofErr w:type="spellEnd"/>
      <w:r>
        <w:rPr>
          <w:rFonts w:asciiTheme="majorBidi" w:hAnsiTheme="majorBidi" w:cstheme="majorBidi"/>
          <w:szCs w:val="22"/>
        </w:rPr>
        <w:t xml:space="preserve"> argues that the interpretation of the phrase ‘</w:t>
      </w:r>
      <w:r w:rsidRPr="00EB366C">
        <w:rPr>
          <w:rFonts w:asciiTheme="majorBidi" w:hAnsiTheme="majorBidi" w:cstheme="majorBidi"/>
          <w:szCs w:val="22"/>
        </w:rPr>
        <w:t>this is my God, and I will praise him</w:t>
      </w:r>
      <w:r>
        <w:rPr>
          <w:rFonts w:asciiTheme="majorBidi" w:hAnsiTheme="majorBidi" w:cstheme="majorBidi"/>
          <w:szCs w:val="22"/>
        </w:rPr>
        <w:t xml:space="preserve">’ (Exodus 15:2) that is part of the Song of the Sea should be distinguished from the dialogue between Israel and the nations of the world, </w:t>
      </w:r>
      <w:proofErr w:type="gramStart"/>
      <w:r>
        <w:rPr>
          <w:rFonts w:asciiTheme="majorBidi" w:hAnsiTheme="majorBidi" w:cstheme="majorBidi"/>
          <w:szCs w:val="22"/>
        </w:rPr>
        <w:t>that</w:t>
      </w:r>
      <w:proofErr w:type="gramEnd"/>
      <w:r>
        <w:rPr>
          <w:rFonts w:asciiTheme="majorBidi" w:hAnsiTheme="majorBidi" w:cstheme="majorBidi"/>
          <w:szCs w:val="22"/>
        </w:rPr>
        <w:t xml:space="preserve"> is about the giving of the Torah. In my </w:t>
      </w:r>
      <w:proofErr w:type="spellStart"/>
      <w:r>
        <w:rPr>
          <w:rFonts w:asciiTheme="majorBidi" w:hAnsiTheme="majorBidi" w:cstheme="majorBidi"/>
          <w:szCs w:val="22"/>
        </w:rPr>
        <w:t>interepretation</w:t>
      </w:r>
      <w:proofErr w:type="spellEnd"/>
      <w:r>
        <w:rPr>
          <w:rFonts w:asciiTheme="majorBidi" w:hAnsiTheme="majorBidi" w:cstheme="majorBidi"/>
          <w:szCs w:val="22"/>
        </w:rPr>
        <w:t xml:space="preserve"> below, I will relate to the whole passage as one unit, as it is understood in parallel texts. See also, about this passage </w:t>
      </w:r>
      <w:r w:rsidRPr="004B0875">
        <w:rPr>
          <w:szCs w:val="22"/>
        </w:rPr>
        <w:t xml:space="preserve">Kaplan, </w:t>
      </w:r>
      <w:r w:rsidRPr="0047551E">
        <w:rPr>
          <w:i/>
          <w:iCs/>
          <w:szCs w:val="22"/>
        </w:rPr>
        <w:t xml:space="preserve">My </w:t>
      </w:r>
      <w:r>
        <w:rPr>
          <w:i/>
          <w:iCs/>
          <w:szCs w:val="22"/>
        </w:rPr>
        <w:t>P</w:t>
      </w:r>
      <w:r w:rsidRPr="0047551E">
        <w:rPr>
          <w:i/>
          <w:iCs/>
          <w:szCs w:val="22"/>
        </w:rPr>
        <w:t>erfect One</w:t>
      </w:r>
      <w:r w:rsidRPr="00086B28">
        <w:rPr>
          <w:rFonts w:asciiTheme="majorBidi" w:hAnsiTheme="majorBidi" w:cstheme="majorBidi"/>
          <w:szCs w:val="22"/>
        </w:rPr>
        <w:t xml:space="preserve">, </w:t>
      </w:r>
      <w:r>
        <w:rPr>
          <w:rFonts w:asciiTheme="majorBidi" w:hAnsiTheme="majorBidi" w:cstheme="majorBidi" w:hint="cs"/>
          <w:szCs w:val="22"/>
          <w:rtl/>
        </w:rPr>
        <w:t>139-142</w:t>
      </w:r>
      <w:r w:rsidRPr="00086B28">
        <w:rPr>
          <w:rFonts w:asciiTheme="majorBidi" w:hAnsiTheme="majorBidi" w:cstheme="majorBidi"/>
          <w:szCs w:val="22"/>
        </w:rPr>
        <w:t>.</w:t>
      </w:r>
    </w:p>
  </w:footnote>
  <w:footnote w:id="28">
    <w:p w14:paraId="01E417A7" w14:textId="77777777" w:rsidR="00ED5CFD" w:rsidRPr="00F663CE" w:rsidRDefault="00ED5CFD" w:rsidP="005B2617">
      <w:pPr>
        <w:rPr>
          <w:lang w:bidi="he-IL"/>
        </w:rPr>
      </w:pPr>
      <w:r>
        <w:rPr>
          <w:rStyle w:val="FootnoteReference"/>
        </w:rPr>
        <w:footnoteRef/>
      </w:r>
      <w:r>
        <w:rPr>
          <w:rtl/>
        </w:rPr>
        <w:t xml:space="preserve"> </w:t>
      </w:r>
      <w:proofErr w:type="spellStart"/>
      <w:r w:rsidRPr="00543760">
        <w:t>SifDeut</w:t>
      </w:r>
      <w:proofErr w:type="spellEnd"/>
      <w:r w:rsidRPr="00543760">
        <w:t xml:space="preserve"> </w:t>
      </w:r>
      <w:proofErr w:type="spellStart"/>
      <w:r w:rsidRPr="00DB4456">
        <w:rPr>
          <w:i/>
          <w:iCs/>
        </w:rPr>
        <w:t>Ve</w:t>
      </w:r>
      <w:proofErr w:type="spellEnd"/>
      <w:r w:rsidRPr="00DB4456">
        <w:rPr>
          <w:i/>
          <w:iCs/>
        </w:rPr>
        <w:t>-zot ha-</w:t>
      </w:r>
      <w:proofErr w:type="spellStart"/>
      <w:r w:rsidRPr="00DB4456">
        <w:rPr>
          <w:i/>
          <w:iCs/>
        </w:rPr>
        <w:t>berakha</w:t>
      </w:r>
      <w:proofErr w:type="spellEnd"/>
      <w:r w:rsidRPr="00543760">
        <w:t xml:space="preserve">, 343, Finkelstein edition, 398-399. </w:t>
      </w:r>
      <w:r w:rsidRPr="00F663CE">
        <w:t>The translation is tak</w:t>
      </w:r>
      <w:r>
        <w:t>en</w:t>
      </w:r>
      <w:r w:rsidRPr="00F663CE">
        <w:t xml:space="preserve"> f</w:t>
      </w:r>
      <w:r>
        <w:t xml:space="preserve">rom </w:t>
      </w:r>
      <w:proofErr w:type="spellStart"/>
      <w:r w:rsidRPr="00D314A9">
        <w:rPr>
          <w:rFonts w:cs="David"/>
          <w:sz w:val="22"/>
          <w:szCs w:val="22"/>
        </w:rPr>
        <w:t>Fraade</w:t>
      </w:r>
      <w:proofErr w:type="spellEnd"/>
      <w:r>
        <w:rPr>
          <w:rFonts w:cs="David"/>
          <w:sz w:val="22"/>
          <w:szCs w:val="22"/>
        </w:rPr>
        <w:t>,</w:t>
      </w:r>
      <w:r w:rsidRPr="00D314A9">
        <w:rPr>
          <w:rFonts w:cs="David"/>
          <w:sz w:val="22"/>
          <w:szCs w:val="22"/>
        </w:rPr>
        <w:t xml:space="preserve"> </w:t>
      </w:r>
      <w:r w:rsidRPr="00D314A9">
        <w:rPr>
          <w:rFonts w:cs="David"/>
          <w:i/>
          <w:iCs/>
          <w:sz w:val="22"/>
          <w:szCs w:val="22"/>
        </w:rPr>
        <w:t xml:space="preserve">From </w:t>
      </w:r>
      <w:r w:rsidRPr="00D314A9">
        <w:rPr>
          <w:rFonts w:cs="David" w:hint="cs"/>
          <w:i/>
          <w:iCs/>
          <w:sz w:val="22"/>
          <w:szCs w:val="22"/>
        </w:rPr>
        <w:t>T</w:t>
      </w:r>
      <w:r w:rsidRPr="00D314A9">
        <w:rPr>
          <w:rFonts w:cs="David"/>
          <w:i/>
          <w:iCs/>
          <w:sz w:val="22"/>
          <w:szCs w:val="22"/>
        </w:rPr>
        <w:t xml:space="preserve">radition to </w:t>
      </w:r>
      <w:r w:rsidRPr="00D314A9">
        <w:rPr>
          <w:rFonts w:cs="David" w:hint="cs"/>
          <w:i/>
          <w:iCs/>
          <w:sz w:val="22"/>
          <w:szCs w:val="22"/>
        </w:rPr>
        <w:t>C</w:t>
      </w:r>
      <w:r w:rsidRPr="00D314A9">
        <w:rPr>
          <w:rFonts w:cs="David"/>
          <w:i/>
          <w:iCs/>
          <w:sz w:val="22"/>
          <w:szCs w:val="22"/>
        </w:rPr>
        <w:t>ommentary</w:t>
      </w:r>
      <w:r>
        <w:rPr>
          <w:rFonts w:cs="David"/>
          <w:sz w:val="22"/>
          <w:szCs w:val="22"/>
        </w:rPr>
        <w:t>, 42.</w:t>
      </w:r>
    </w:p>
  </w:footnote>
  <w:footnote w:id="29">
    <w:p w14:paraId="266C13CC" w14:textId="02B692F1" w:rsidR="00ED5CFD" w:rsidRPr="008C6EE5" w:rsidRDefault="00ED5CFD" w:rsidP="005B2617">
      <w:pPr>
        <w:rPr>
          <w:sz w:val="22"/>
          <w:szCs w:val="22"/>
        </w:rPr>
      </w:pPr>
      <w:r>
        <w:rPr>
          <w:rStyle w:val="FootnoteReference"/>
        </w:rPr>
        <w:footnoteRef/>
      </w:r>
      <w:r>
        <w:rPr>
          <w:rtl/>
        </w:rPr>
        <w:t xml:space="preserve"> </w:t>
      </w:r>
      <w:proofErr w:type="spellStart"/>
      <w:r w:rsidRPr="003F0DB5">
        <w:rPr>
          <w:rFonts w:cs="David"/>
          <w:sz w:val="22"/>
          <w:szCs w:val="22"/>
        </w:rPr>
        <w:t>Boyarin</w:t>
      </w:r>
      <w:proofErr w:type="spellEnd"/>
      <w:r w:rsidRPr="003F0DB5">
        <w:rPr>
          <w:rFonts w:cs="David"/>
          <w:sz w:val="22"/>
          <w:szCs w:val="22"/>
        </w:rPr>
        <w:t xml:space="preserve">, Daniel. </w:t>
      </w:r>
      <w:r>
        <w:rPr>
          <w:rFonts w:cs="David"/>
          <w:sz w:val="22"/>
          <w:szCs w:val="22"/>
        </w:rPr>
        <w:t>‘</w:t>
      </w:r>
      <w:r w:rsidRPr="003F0DB5">
        <w:rPr>
          <w:rFonts w:cs="David"/>
          <w:sz w:val="22"/>
          <w:szCs w:val="22"/>
        </w:rPr>
        <w:t>Martyrdom and</w:t>
      </w:r>
      <w:r w:rsidRPr="00953FA0">
        <w:rPr>
          <w:rFonts w:cs="David"/>
          <w:sz w:val="22"/>
          <w:szCs w:val="22"/>
        </w:rPr>
        <w:t xml:space="preserve"> the Making of Christianity and Judaism,</w:t>
      </w:r>
      <w:r>
        <w:rPr>
          <w:rFonts w:cs="David"/>
          <w:sz w:val="22"/>
          <w:szCs w:val="22"/>
        </w:rPr>
        <w:t>’</w:t>
      </w:r>
      <w:r w:rsidRPr="00953FA0">
        <w:rPr>
          <w:rFonts w:cs="David"/>
          <w:sz w:val="22"/>
          <w:szCs w:val="22"/>
        </w:rPr>
        <w:t xml:space="preserve"> </w:t>
      </w:r>
      <w:r w:rsidRPr="00381ACD">
        <w:rPr>
          <w:rFonts w:cs="David"/>
        </w:rPr>
        <w:t>5</w:t>
      </w:r>
      <w:r w:rsidRPr="00F13BD9">
        <w:rPr>
          <w:rtl/>
        </w:rPr>
        <w:t>77</w:t>
      </w:r>
      <w:r w:rsidRPr="00F13BD9">
        <w:t>-</w:t>
      </w:r>
      <w:r w:rsidRPr="00F13BD9">
        <w:rPr>
          <w:rtl/>
        </w:rPr>
        <w:t>62</w:t>
      </w:r>
      <w:r>
        <w:rPr>
          <w:rFonts w:hint="cs"/>
          <w:rtl/>
        </w:rPr>
        <w:t>7</w:t>
      </w:r>
      <w:r w:rsidRPr="00F13BD9">
        <w:t>.</w:t>
      </w:r>
      <w:r>
        <w:t xml:space="preserve"> </w:t>
      </w:r>
      <w:proofErr w:type="spellStart"/>
      <w:r>
        <w:t>Boyarin</w:t>
      </w:r>
      <w:proofErr w:type="spellEnd"/>
      <w:r>
        <w:t xml:space="preserve"> is discussing a parallel version in </w:t>
      </w:r>
      <w:proofErr w:type="spellStart"/>
      <w:r>
        <w:t>MekRY</w:t>
      </w:r>
      <w:proofErr w:type="spellEnd"/>
      <w:r>
        <w:t xml:space="preserve"> (601-605). He claims that Rabbi </w:t>
      </w:r>
      <w:proofErr w:type="spellStart"/>
      <w:r>
        <w:t>Akiva</w:t>
      </w:r>
      <w:proofErr w:type="spellEnd"/>
      <w:r>
        <w:t xml:space="preserve"> became the prototypical martyr and that is why the midrash is attributed to him. </w:t>
      </w:r>
      <w:r w:rsidRPr="003F0DB5">
        <w:rPr>
          <w:rFonts w:cs="David"/>
          <w:sz w:val="22"/>
          <w:szCs w:val="22"/>
        </w:rPr>
        <w:t xml:space="preserve">Dan </w:t>
      </w:r>
      <w:r>
        <w:rPr>
          <w:rFonts w:cs="David"/>
          <w:sz w:val="22"/>
          <w:szCs w:val="22"/>
        </w:rPr>
        <w:t>(</w:t>
      </w:r>
      <w:r w:rsidRPr="003F0DB5">
        <w:rPr>
          <w:rFonts w:cs="David"/>
          <w:i/>
          <w:iCs/>
          <w:sz w:val="22"/>
          <w:szCs w:val="22"/>
        </w:rPr>
        <w:t>History of Jewish Mysticism and Esotericism</w:t>
      </w:r>
      <w:r w:rsidRPr="003F0DB5">
        <w:rPr>
          <w:rFonts w:cs="David"/>
          <w:sz w:val="22"/>
          <w:szCs w:val="22"/>
        </w:rPr>
        <w:t>, vol 2, 759-761</w:t>
      </w:r>
      <w:r>
        <w:rPr>
          <w:rFonts w:cs="David"/>
          <w:sz w:val="22"/>
          <w:szCs w:val="22"/>
        </w:rPr>
        <w:t xml:space="preserve">) believes that the conception of </w:t>
      </w:r>
      <w:r w:rsidRPr="0050593D">
        <w:rPr>
          <w:rFonts w:cs="David"/>
          <w:i/>
          <w:iCs/>
          <w:sz w:val="22"/>
          <w:szCs w:val="22"/>
        </w:rPr>
        <w:t>Song of Songs</w:t>
      </w:r>
      <w:r>
        <w:rPr>
          <w:rFonts w:cs="David"/>
          <w:sz w:val="22"/>
          <w:szCs w:val="22"/>
        </w:rPr>
        <w:t xml:space="preserve"> as a mystical work developed in the same circle that ascribed to it a </w:t>
      </w:r>
      <w:proofErr w:type="spellStart"/>
      <w:r>
        <w:rPr>
          <w:rFonts w:cs="David"/>
          <w:sz w:val="22"/>
          <w:szCs w:val="22"/>
        </w:rPr>
        <w:t>martyrologial</w:t>
      </w:r>
      <w:proofErr w:type="spellEnd"/>
      <w:r>
        <w:rPr>
          <w:rFonts w:cs="David"/>
          <w:sz w:val="22"/>
          <w:szCs w:val="22"/>
        </w:rPr>
        <w:t xml:space="preserve">-erotic meaning wherein the love described in </w:t>
      </w:r>
      <w:r w:rsidRPr="0050593D">
        <w:rPr>
          <w:rFonts w:cs="David"/>
          <w:i/>
          <w:iCs/>
          <w:sz w:val="22"/>
          <w:szCs w:val="22"/>
        </w:rPr>
        <w:t>Song of Songs</w:t>
      </w:r>
      <w:r>
        <w:rPr>
          <w:rFonts w:cs="David"/>
          <w:sz w:val="22"/>
          <w:szCs w:val="22"/>
        </w:rPr>
        <w:t xml:space="preserve"> is identified as the love between God and his saints. This love reaches its climax in the context of martyrdom, with the book serving as a guide to the martyr who seeks to sanctify the divine name. </w:t>
      </w:r>
    </w:p>
  </w:footnote>
  <w:footnote w:id="30">
    <w:p w14:paraId="1B404072" w14:textId="77777777" w:rsidR="00ED5CFD" w:rsidRPr="00950499" w:rsidRDefault="00ED5CFD" w:rsidP="005B2617">
      <w:pPr>
        <w:pStyle w:val="FootnoteText"/>
      </w:pPr>
      <w:r>
        <w:rPr>
          <w:rStyle w:val="FootnoteReference"/>
        </w:rPr>
        <w:footnoteRef/>
      </w:r>
      <w:r>
        <w:rPr>
          <w:rtl/>
        </w:rPr>
        <w:t xml:space="preserve"> </w:t>
      </w:r>
      <w:proofErr w:type="spellStart"/>
      <w:r w:rsidRPr="00950499">
        <w:t>MekRY</w:t>
      </w:r>
      <w:proofErr w:type="spellEnd"/>
      <w:r w:rsidRPr="00950499">
        <w:t xml:space="preserve"> </w:t>
      </w:r>
      <w:proofErr w:type="spellStart"/>
      <w:r w:rsidRPr="00950499">
        <w:t>Beshalah</w:t>
      </w:r>
      <w:proofErr w:type="spellEnd"/>
      <w:r w:rsidRPr="00950499">
        <w:t xml:space="preserve"> </w:t>
      </w:r>
      <w:proofErr w:type="spellStart"/>
      <w:r w:rsidRPr="00950499">
        <w:t>shira</w:t>
      </w:r>
      <w:proofErr w:type="spellEnd"/>
      <w:r w:rsidRPr="00950499">
        <w:t xml:space="preserve"> 3 (Horovitz-Rabin </w:t>
      </w:r>
      <w:proofErr w:type="spellStart"/>
      <w:r w:rsidRPr="00950499">
        <w:t>p127</w:t>
      </w:r>
      <w:proofErr w:type="spellEnd"/>
      <w:r w:rsidRPr="00950499">
        <w:t xml:space="preserve">, Lauterbach </w:t>
      </w:r>
      <w:proofErr w:type="spellStart"/>
      <w:r w:rsidRPr="00950499">
        <w:t>pp185</w:t>
      </w:r>
      <w:proofErr w:type="spellEnd"/>
      <w:r w:rsidRPr="00950499">
        <w:t xml:space="preserve">-186); </w:t>
      </w:r>
      <w:proofErr w:type="spellStart"/>
      <w:r w:rsidRPr="00950499">
        <w:t>MekRSbY</w:t>
      </w:r>
      <w:proofErr w:type="spellEnd"/>
      <w:r w:rsidRPr="00950499">
        <w:t xml:space="preserve"> 15:2 (Epstein-Melamed</w:t>
      </w:r>
      <w:r>
        <w:t xml:space="preserve"> </w:t>
      </w:r>
      <w:proofErr w:type="spellStart"/>
      <w:r>
        <w:t>p79</w:t>
      </w:r>
      <w:proofErr w:type="spellEnd"/>
      <w:r>
        <w:t>).</w:t>
      </w:r>
    </w:p>
  </w:footnote>
  <w:footnote w:id="31">
    <w:p w14:paraId="0AF51CE6" w14:textId="511BAC31" w:rsidR="00ED5CFD" w:rsidRPr="003710E6" w:rsidRDefault="00ED5CFD" w:rsidP="005B2617">
      <w:pPr>
        <w:pStyle w:val="FootnoteText"/>
      </w:pPr>
      <w:r>
        <w:rPr>
          <w:rStyle w:val="FootnoteReference"/>
        </w:rPr>
        <w:footnoteRef/>
      </w:r>
      <w:r>
        <w:rPr>
          <w:rtl/>
        </w:rPr>
        <w:t xml:space="preserve"> </w:t>
      </w:r>
      <w:r>
        <w:t xml:space="preserve">See </w:t>
      </w:r>
      <w:proofErr w:type="spellStart"/>
      <w:r w:rsidRPr="00D314A9">
        <w:t>Fraade</w:t>
      </w:r>
      <w:proofErr w:type="spellEnd"/>
      <w:r w:rsidRPr="00D314A9">
        <w:t xml:space="preserve">, </w:t>
      </w:r>
      <w:r w:rsidRPr="00D314A9">
        <w:rPr>
          <w:i/>
          <w:iCs/>
        </w:rPr>
        <w:t xml:space="preserve">From </w:t>
      </w:r>
      <w:r w:rsidRPr="00D314A9">
        <w:rPr>
          <w:rFonts w:hint="cs"/>
          <w:i/>
          <w:iCs/>
        </w:rPr>
        <w:t>T</w:t>
      </w:r>
      <w:r w:rsidRPr="00D314A9">
        <w:rPr>
          <w:i/>
          <w:iCs/>
        </w:rPr>
        <w:t xml:space="preserve">radition to </w:t>
      </w:r>
      <w:r w:rsidRPr="00D314A9">
        <w:rPr>
          <w:rFonts w:hint="cs"/>
          <w:i/>
          <w:iCs/>
        </w:rPr>
        <w:t>C</w:t>
      </w:r>
      <w:r w:rsidRPr="00D314A9">
        <w:rPr>
          <w:i/>
          <w:iCs/>
        </w:rPr>
        <w:t>ommentary</w:t>
      </w:r>
      <w:r>
        <w:t xml:space="preserve">, 42-44; </w:t>
      </w:r>
      <w:r w:rsidRPr="00C70F2A">
        <w:t xml:space="preserve">Stern, </w:t>
      </w:r>
      <w:r>
        <w:t>‘</w:t>
      </w:r>
      <w:r w:rsidRPr="00C70F2A">
        <w:t xml:space="preserve">Ancient Jewish Interpretation of the </w:t>
      </w:r>
      <w:r w:rsidRPr="0050593D">
        <w:rPr>
          <w:i/>
          <w:iCs/>
        </w:rPr>
        <w:t>Song of Songs</w:t>
      </w:r>
      <w:r>
        <w:t xml:space="preserve">,’ </w:t>
      </w:r>
      <w:r w:rsidRPr="00C70F2A">
        <w:t>54-77</w:t>
      </w:r>
      <w:r>
        <w:t xml:space="preserve">; </w:t>
      </w:r>
      <w:r w:rsidRPr="004B0875">
        <w:t>Kaplan</w:t>
      </w:r>
      <w:r>
        <w:t>,</w:t>
      </w:r>
      <w:r w:rsidRPr="004B0875">
        <w:t xml:space="preserve"> </w:t>
      </w:r>
      <w:r w:rsidRPr="0047551E">
        <w:rPr>
          <w:i/>
          <w:iCs/>
        </w:rPr>
        <w:t xml:space="preserve">My </w:t>
      </w:r>
      <w:r>
        <w:rPr>
          <w:i/>
          <w:iCs/>
        </w:rPr>
        <w:t>P</w:t>
      </w:r>
      <w:r w:rsidRPr="0047551E">
        <w:rPr>
          <w:i/>
          <w:iCs/>
        </w:rPr>
        <w:t>erfect One</w:t>
      </w:r>
      <w:r>
        <w:t>, 26-28.</w:t>
      </w:r>
    </w:p>
  </w:footnote>
  <w:footnote w:id="32">
    <w:p w14:paraId="786261F8" w14:textId="77777777" w:rsidR="00ED5CFD" w:rsidRDefault="00ED5CFD" w:rsidP="005B2617">
      <w:pPr>
        <w:pStyle w:val="FootnoteText"/>
      </w:pPr>
      <w:r>
        <w:rPr>
          <w:rStyle w:val="FootnoteReference"/>
        </w:rPr>
        <w:footnoteRef/>
      </w:r>
      <w:r>
        <w:rPr>
          <w:rtl/>
        </w:rPr>
        <w:t xml:space="preserve"> </w:t>
      </w:r>
      <w:r w:rsidRPr="00F7644D">
        <w:t>Lieberman, ‘</w:t>
      </w:r>
      <w:proofErr w:type="spellStart"/>
      <w:r w:rsidRPr="00F7644D">
        <w:t>Keles</w:t>
      </w:r>
      <w:proofErr w:type="spellEnd"/>
      <w:r w:rsidRPr="00F7644D">
        <w:t xml:space="preserve"> </w:t>
      </w:r>
      <w:proofErr w:type="spellStart"/>
      <w:r w:rsidRPr="00F7644D">
        <w:t>Kilusin</w:t>
      </w:r>
      <w:proofErr w:type="spellEnd"/>
      <w:r w:rsidRPr="00F7644D">
        <w:t>,’ 433–439;</w:t>
      </w:r>
      <w:r w:rsidRPr="00BC5F5E">
        <w:rPr>
          <w:rtl/>
        </w:rPr>
        <w:t xml:space="preserve"> </w:t>
      </w:r>
      <w:r w:rsidRPr="00F7644D">
        <w:t xml:space="preserve">Leiter, </w:t>
      </w:r>
      <w:r>
        <w:t>‘</w:t>
      </w:r>
      <w:r w:rsidRPr="00BC5F5E">
        <w:t>Worthiness, Acclamation, and Appointment</w:t>
      </w:r>
      <w:r>
        <w:t xml:space="preserve">,’ </w:t>
      </w:r>
      <w:r w:rsidRPr="00BC5F5E">
        <w:t>138-151.</w:t>
      </w:r>
    </w:p>
  </w:footnote>
  <w:footnote w:id="33">
    <w:p w14:paraId="71554CB2" w14:textId="77777777" w:rsidR="00ED5CFD" w:rsidRDefault="00ED5CFD" w:rsidP="005B2617">
      <w:pPr>
        <w:pStyle w:val="FootnoteText"/>
      </w:pPr>
      <w:r>
        <w:rPr>
          <w:rStyle w:val="FootnoteReference"/>
        </w:rPr>
        <w:footnoteRef/>
      </w:r>
      <w:r>
        <w:rPr>
          <w:rtl/>
        </w:rPr>
        <w:t xml:space="preserve"> </w:t>
      </w:r>
      <w:r w:rsidRPr="00953FA0">
        <w:t xml:space="preserve">Lieberman, </w:t>
      </w:r>
      <w:r>
        <w:t>‘</w:t>
      </w:r>
      <w:proofErr w:type="spellStart"/>
      <w:r w:rsidRPr="0050593D">
        <w:t>Mishnat</w:t>
      </w:r>
      <w:proofErr w:type="spellEnd"/>
      <w:r w:rsidRPr="0050593D">
        <w:t xml:space="preserve"> Shir ha-</w:t>
      </w:r>
      <w:proofErr w:type="spellStart"/>
      <w:r w:rsidRPr="0050593D">
        <w:t>Shirim</w:t>
      </w:r>
      <w:proofErr w:type="spellEnd"/>
      <w:r w:rsidRPr="00953FA0">
        <w:t>,</w:t>
      </w:r>
      <w:r>
        <w:t>’</w:t>
      </w:r>
      <w:r w:rsidRPr="00953FA0">
        <w:t xml:space="preserve"> 121.</w:t>
      </w:r>
      <w:r>
        <w:t xml:space="preserve"> See the other examples he cites there.</w:t>
      </w:r>
    </w:p>
  </w:footnote>
  <w:footnote w:id="34">
    <w:p w14:paraId="706C2E30" w14:textId="77777777" w:rsidR="00ED5CFD" w:rsidRPr="001108AF" w:rsidRDefault="00ED5CFD" w:rsidP="005B2617">
      <w:pPr>
        <w:pStyle w:val="FootnoteText"/>
      </w:pPr>
      <w:r>
        <w:rPr>
          <w:rStyle w:val="FootnoteReference"/>
        </w:rPr>
        <w:footnoteRef/>
      </w:r>
      <w:r>
        <w:rPr>
          <w:rtl/>
        </w:rPr>
        <w:t xml:space="preserve"> </w:t>
      </w:r>
      <w:r w:rsidRPr="00953FA0">
        <w:t xml:space="preserve">Lieberman, </w:t>
      </w:r>
      <w:r>
        <w:t>ibid.,</w:t>
      </w:r>
      <w:r w:rsidRPr="00953FA0">
        <w:t xml:space="preserve"> 123.</w:t>
      </w:r>
    </w:p>
  </w:footnote>
  <w:footnote w:id="35">
    <w:p w14:paraId="0134EC70" w14:textId="2DA9B8BB" w:rsidR="00ED5CFD" w:rsidRPr="00936681" w:rsidRDefault="00ED5CFD" w:rsidP="005B2617">
      <w:pPr>
        <w:pStyle w:val="FootnoteText"/>
      </w:pPr>
      <w:r>
        <w:rPr>
          <w:rStyle w:val="FootnoteReference"/>
        </w:rPr>
        <w:footnoteRef/>
      </w:r>
      <w:r>
        <w:rPr>
          <w:rtl/>
        </w:rPr>
        <w:t xml:space="preserve"> </w:t>
      </w:r>
      <w:r>
        <w:t xml:space="preserve">On </w:t>
      </w:r>
      <w:proofErr w:type="spellStart"/>
      <w:r>
        <w:t>CantR</w:t>
      </w:r>
      <w:proofErr w:type="spellEnd"/>
      <w:r>
        <w:t xml:space="preserve">, see </w:t>
      </w:r>
      <w:proofErr w:type="spellStart"/>
      <w:r w:rsidRPr="00953FA0">
        <w:t>Kadari</w:t>
      </w:r>
      <w:proofErr w:type="spellEnd"/>
      <w:r w:rsidRPr="00953FA0">
        <w:t xml:space="preserve">, </w:t>
      </w:r>
      <w:r>
        <w:t>‘</w:t>
      </w:r>
      <w:r w:rsidRPr="00953FA0">
        <w:t xml:space="preserve">Early Rabbinic Literature: </w:t>
      </w:r>
      <w:r w:rsidRPr="0050593D">
        <w:rPr>
          <w:i/>
          <w:iCs/>
        </w:rPr>
        <w:t>Song of Songs</w:t>
      </w:r>
      <w:r w:rsidRPr="00953FA0">
        <w:t xml:space="preserve"> Rabbah</w:t>
      </w:r>
      <w:proofErr w:type="gramStart"/>
      <w:r>
        <w:t>’</w:t>
      </w:r>
      <w:r w:rsidRPr="00953FA0">
        <w:t>;</w:t>
      </w:r>
      <w:proofErr w:type="gramEnd"/>
      <w:r w:rsidRPr="00953FA0">
        <w:t xml:space="preserve"> Lachs, </w:t>
      </w:r>
      <w:r>
        <w:t>‘</w:t>
      </w:r>
      <w:r w:rsidRPr="00953FA0">
        <w:t>Prolegomena to Canticles Rabba</w:t>
      </w:r>
      <w:r>
        <w:t xml:space="preserve">,’ </w:t>
      </w:r>
      <w:r w:rsidRPr="00953FA0">
        <w:t>235-255</w:t>
      </w:r>
      <w:r>
        <w:t>.</w:t>
      </w:r>
    </w:p>
  </w:footnote>
  <w:footnote w:id="36">
    <w:p w14:paraId="665F480C" w14:textId="6320AB1C" w:rsidR="00ED5CFD" w:rsidRDefault="00ED5CFD" w:rsidP="005B2617">
      <w:pPr>
        <w:pStyle w:val="FootnoteText"/>
      </w:pPr>
      <w:r>
        <w:rPr>
          <w:rStyle w:val="FootnoteReference"/>
        </w:rPr>
        <w:footnoteRef/>
      </w:r>
      <w:r>
        <w:rPr>
          <w:rtl/>
        </w:rPr>
        <w:t xml:space="preserve"> </w:t>
      </w:r>
      <w:r>
        <w:t xml:space="preserve">On the multiple facets of the allegorical interpretations in </w:t>
      </w:r>
      <w:r w:rsidRPr="0050593D">
        <w:rPr>
          <w:i/>
          <w:iCs/>
        </w:rPr>
        <w:t>Song of Songs</w:t>
      </w:r>
      <w:r>
        <w:t xml:space="preserve"> </w:t>
      </w:r>
      <w:r w:rsidRPr="002B722C">
        <w:rPr>
          <w:i/>
          <w:iCs/>
        </w:rPr>
        <w:t>Rabba</w:t>
      </w:r>
      <w:r>
        <w:t xml:space="preserve">, see </w:t>
      </w:r>
      <w:proofErr w:type="spellStart"/>
      <w:r w:rsidRPr="00953FA0">
        <w:rPr>
          <w:rFonts w:cs="Times New Roman"/>
          <w:color w:val="000000"/>
          <w:szCs w:val="22"/>
        </w:rPr>
        <w:t>Kadari</w:t>
      </w:r>
      <w:proofErr w:type="spellEnd"/>
      <w:r w:rsidRPr="00953FA0">
        <w:rPr>
          <w:rFonts w:cs="Times New Roman"/>
          <w:color w:val="000000"/>
          <w:szCs w:val="22"/>
        </w:rPr>
        <w:t xml:space="preserve">, </w:t>
      </w:r>
      <w:r>
        <w:rPr>
          <w:rFonts w:cs="Times New Roman"/>
          <w:color w:val="000000"/>
          <w:szCs w:val="22"/>
        </w:rPr>
        <w:t>‘</w:t>
      </w:r>
      <w:r w:rsidRPr="00953FA0">
        <w:rPr>
          <w:szCs w:val="22"/>
        </w:rPr>
        <w:t xml:space="preserve">Friends Hearken to your </w:t>
      </w:r>
      <w:r>
        <w:rPr>
          <w:szCs w:val="22"/>
        </w:rPr>
        <w:t>V</w:t>
      </w:r>
      <w:r w:rsidRPr="00953FA0">
        <w:rPr>
          <w:szCs w:val="22"/>
        </w:rPr>
        <w:t>oice</w:t>
      </w:r>
      <w:r>
        <w:rPr>
          <w:szCs w:val="22"/>
        </w:rPr>
        <w:t>,</w:t>
      </w:r>
      <w:r>
        <w:rPr>
          <w:rFonts w:cs="Times New Roman"/>
          <w:color w:val="000000"/>
          <w:szCs w:val="22"/>
        </w:rPr>
        <w:t xml:space="preserve">’ </w:t>
      </w:r>
      <w:r w:rsidRPr="00953FA0">
        <w:rPr>
          <w:rFonts w:cs="Times New Roman"/>
          <w:color w:val="000000"/>
          <w:szCs w:val="22"/>
        </w:rPr>
        <w:t>183-209.</w:t>
      </w:r>
    </w:p>
  </w:footnote>
  <w:footnote w:id="37">
    <w:p w14:paraId="705BD983" w14:textId="77777777" w:rsidR="00ED5CFD" w:rsidRDefault="00ED5CFD" w:rsidP="005B2617">
      <w:pPr>
        <w:pStyle w:val="FootnoteText"/>
      </w:pPr>
      <w:r>
        <w:rPr>
          <w:rStyle w:val="FootnoteReference"/>
        </w:rPr>
        <w:footnoteRef/>
      </w:r>
      <w:r>
        <w:rPr>
          <w:rtl/>
        </w:rPr>
        <w:t xml:space="preserve"> </w:t>
      </w:r>
      <w:proofErr w:type="spellStart"/>
      <w:r>
        <w:t>CantR</w:t>
      </w:r>
      <w:proofErr w:type="spellEnd"/>
      <w:r>
        <w:t xml:space="preserve"> 5.11:1-6 (Simon edition </w:t>
      </w:r>
      <w:proofErr w:type="spellStart"/>
      <w:r>
        <w:t>pp239</w:t>
      </w:r>
      <w:proofErr w:type="spellEnd"/>
      <w:r>
        <w:t xml:space="preserve">-244). Textual variants can be found in the synoptic edition at </w:t>
      </w:r>
      <w:r w:rsidRPr="00CE25D3">
        <w:rPr>
          <w:szCs w:val="22"/>
        </w:rPr>
        <w:t>https://</w:t>
      </w:r>
      <w:proofErr w:type="spellStart"/>
      <w:r w:rsidRPr="00CE25D3">
        <w:rPr>
          <w:szCs w:val="22"/>
        </w:rPr>
        <w:t>schechter.ac.il</w:t>
      </w:r>
      <w:proofErr w:type="spellEnd"/>
      <w:r w:rsidRPr="00CE25D3">
        <w:rPr>
          <w:szCs w:val="22"/>
        </w:rPr>
        <w:t>/midrash/shir-</w:t>
      </w:r>
      <w:proofErr w:type="spellStart"/>
      <w:r w:rsidRPr="00CE25D3">
        <w:rPr>
          <w:szCs w:val="22"/>
        </w:rPr>
        <w:t>hashirim</w:t>
      </w:r>
      <w:proofErr w:type="spellEnd"/>
      <w:r w:rsidRPr="00CE25D3">
        <w:rPr>
          <w:szCs w:val="22"/>
        </w:rPr>
        <w:t>-</w:t>
      </w:r>
      <w:proofErr w:type="spellStart"/>
      <w:r w:rsidRPr="00CE25D3">
        <w:rPr>
          <w:szCs w:val="22"/>
        </w:rPr>
        <w:t>raba</w:t>
      </w:r>
      <w:proofErr w:type="spellEnd"/>
      <w:r w:rsidRPr="00CE25D3">
        <w:rPr>
          <w:szCs w:val="22"/>
          <w:rtl/>
        </w:rPr>
        <w:t>/</w:t>
      </w:r>
      <w:r>
        <w:rPr>
          <w:szCs w:val="22"/>
        </w:rPr>
        <w:t>.</w:t>
      </w:r>
    </w:p>
  </w:footnote>
  <w:footnote w:id="38">
    <w:p w14:paraId="0EB46423" w14:textId="77777777" w:rsidR="00ED5CFD" w:rsidRPr="00F858D5" w:rsidRDefault="00ED5CFD" w:rsidP="005B2617">
      <w:pPr>
        <w:rPr>
          <w:lang w:bidi="he-IL"/>
        </w:rPr>
      </w:pPr>
      <w:r>
        <w:rPr>
          <w:rStyle w:val="FootnoteReference"/>
        </w:rPr>
        <w:footnoteRef/>
      </w:r>
      <w:r>
        <w:rPr>
          <w:rtl/>
        </w:rPr>
        <w:t xml:space="preserve"> </w:t>
      </w:r>
      <w:r>
        <w:t>The p</w:t>
      </w:r>
      <w:r w:rsidRPr="00923E5D">
        <w:t xml:space="preserve">ricking </w:t>
      </w:r>
      <w:r>
        <w:t>was</w:t>
      </w:r>
      <w:r w:rsidRPr="00923E5D">
        <w:t xml:space="preserve"> an inseparable part of the ruling</w:t>
      </w:r>
      <w:r>
        <w:t xml:space="preserve">, see </w:t>
      </w:r>
      <w:r w:rsidRPr="00923E5D">
        <w:t>Beit-</w:t>
      </w:r>
      <w:proofErr w:type="spellStart"/>
      <w:r w:rsidRPr="00923E5D">
        <w:t>Arié</w:t>
      </w:r>
      <w:proofErr w:type="spellEnd"/>
      <w:r w:rsidRPr="00923E5D">
        <w:t xml:space="preserve">, </w:t>
      </w:r>
      <w:r w:rsidRPr="00923E5D">
        <w:rPr>
          <w:i/>
          <w:iCs/>
        </w:rPr>
        <w:t>Hebrew Codicology</w:t>
      </w:r>
      <w:r>
        <w:t>, 370-376</w:t>
      </w:r>
      <w:r w:rsidRPr="00923E5D">
        <w:t>.</w:t>
      </w:r>
      <w:r>
        <w:rPr>
          <w:rFonts w:hint="cs"/>
          <w:rtl/>
          <w:lang w:bidi="he-IL"/>
        </w:rPr>
        <w:t xml:space="preserve"> </w:t>
      </w:r>
      <w:proofErr w:type="spellStart"/>
      <w:r>
        <w:rPr>
          <w:rFonts w:hint="cs"/>
          <w:lang w:bidi="he-IL"/>
        </w:rPr>
        <w:t>CantR</w:t>
      </w:r>
      <w:proofErr w:type="spellEnd"/>
      <w:r>
        <w:rPr>
          <w:lang w:bidi="he-IL"/>
        </w:rPr>
        <w:t xml:space="preserve"> 11.1 ‘Another matter: ‘“</w:t>
      </w:r>
      <w:r w:rsidRPr="007C2883">
        <w:rPr>
          <w:lang w:bidi="he-IL"/>
        </w:rPr>
        <w:t>We will make you ornaments of gold</w:t>
      </w:r>
      <w:r>
        <w:rPr>
          <w:lang w:bidi="he-IL"/>
        </w:rPr>
        <w:t>” – that is the writing. “S</w:t>
      </w:r>
      <w:r w:rsidRPr="007C2883">
        <w:rPr>
          <w:lang w:bidi="he-IL"/>
        </w:rPr>
        <w:t>tudded with silver</w:t>
      </w:r>
      <w:r>
        <w:rPr>
          <w:lang w:bidi="he-IL"/>
        </w:rPr>
        <w:t xml:space="preserve">” – that </w:t>
      </w:r>
      <w:proofErr w:type="gramStart"/>
      <w:r>
        <w:rPr>
          <w:lang w:bidi="he-IL"/>
        </w:rPr>
        <w:t>his the</w:t>
      </w:r>
      <w:proofErr w:type="gramEnd"/>
      <w:r>
        <w:rPr>
          <w:lang w:bidi="he-IL"/>
        </w:rPr>
        <w:t xml:space="preserve"> ruling.’ See </w:t>
      </w:r>
      <w:proofErr w:type="spellStart"/>
      <w:r>
        <w:rPr>
          <w:lang w:bidi="he-IL"/>
        </w:rPr>
        <w:t>yMeg</w:t>
      </w:r>
      <w:proofErr w:type="spellEnd"/>
      <w:r>
        <w:rPr>
          <w:lang w:bidi="he-IL"/>
        </w:rPr>
        <w:t xml:space="preserve"> 1:8 (</w:t>
      </w:r>
      <w:proofErr w:type="spellStart"/>
      <w:r>
        <w:rPr>
          <w:lang w:bidi="he-IL"/>
        </w:rPr>
        <w:t>p71c</w:t>
      </w:r>
      <w:proofErr w:type="spellEnd"/>
      <w:r>
        <w:rPr>
          <w:lang w:bidi="he-IL"/>
        </w:rPr>
        <w:t>): ‘It is a halakha from Moses at Sinai that they write on parchment and write with ink and rule with a reed.’</w:t>
      </w:r>
    </w:p>
  </w:footnote>
  <w:footnote w:id="39">
    <w:p w14:paraId="39725BC5" w14:textId="77777777" w:rsidR="00ED5CFD" w:rsidRDefault="00ED5CFD" w:rsidP="005B2617">
      <w:pPr>
        <w:pStyle w:val="FootnoteText"/>
      </w:pPr>
      <w:r>
        <w:rPr>
          <w:rStyle w:val="FootnoteReference"/>
        </w:rPr>
        <w:footnoteRef/>
      </w:r>
      <w:r>
        <w:rPr>
          <w:rtl/>
        </w:rPr>
        <w:t xml:space="preserve"> </w:t>
      </w:r>
      <w:r w:rsidRPr="001E3256">
        <w:t xml:space="preserve">Stern, </w:t>
      </w:r>
      <w:r>
        <w:t>‘</w:t>
      </w:r>
      <w:r w:rsidRPr="00760D06">
        <w:t>Ancient Jewish Interpretation</w:t>
      </w:r>
      <w:r w:rsidRPr="001E3256">
        <w:t>,</w:t>
      </w:r>
      <w:r>
        <w:t>’</w:t>
      </w:r>
      <w:r w:rsidRPr="001E3256">
        <w:t xml:space="preserve"> 54-77.</w:t>
      </w:r>
    </w:p>
  </w:footnote>
  <w:footnote w:id="40">
    <w:p w14:paraId="73377239" w14:textId="77777777" w:rsidR="00ED5CFD" w:rsidRDefault="00ED5CFD" w:rsidP="005B2617">
      <w:pPr>
        <w:pStyle w:val="FootnoteText"/>
      </w:pPr>
      <w:r>
        <w:rPr>
          <w:rStyle w:val="FootnoteReference"/>
        </w:rPr>
        <w:footnoteRef/>
      </w:r>
      <w:r>
        <w:rPr>
          <w:rtl/>
        </w:rPr>
        <w:t xml:space="preserve"> </w:t>
      </w:r>
      <w:r>
        <w:t xml:space="preserve">Bar-On, ‘The Wonders of the </w:t>
      </w:r>
      <w:proofErr w:type="spellStart"/>
      <w:r>
        <w:t>Torah,’43</w:t>
      </w:r>
      <w:proofErr w:type="spellEnd"/>
      <w:r>
        <w:t>-44. Bar-</w:t>
      </w:r>
      <w:proofErr w:type="spellStart"/>
      <w:r>
        <w:t>On’s</w:t>
      </w:r>
      <w:proofErr w:type="spellEnd"/>
      <w:r>
        <w:t xml:space="preserve"> discussion is about </w:t>
      </w:r>
      <w:proofErr w:type="spellStart"/>
      <w:r>
        <w:t>ySota</w:t>
      </w:r>
      <w:proofErr w:type="spellEnd"/>
      <w:r>
        <w:t xml:space="preserve"> 8:3 (Academy of the Hebrew Language Edition, </w:t>
      </w:r>
      <w:proofErr w:type="spellStart"/>
      <w:r>
        <w:t>p940</w:t>
      </w:r>
      <w:proofErr w:type="spellEnd"/>
      <w:r>
        <w:t xml:space="preserve">). The text there reads: ‘The Torah is given from fire,’ i.e., it was given from God, Who is fire. </w:t>
      </w:r>
    </w:p>
  </w:footnote>
  <w:footnote w:id="41">
    <w:p w14:paraId="3125F6DC" w14:textId="77777777" w:rsidR="00ED5CFD" w:rsidRDefault="00ED5CFD" w:rsidP="005B2617">
      <w:pPr>
        <w:pStyle w:val="FootnoteText"/>
      </w:pPr>
      <w:r>
        <w:rPr>
          <w:rStyle w:val="FootnoteReference"/>
        </w:rPr>
        <w:footnoteRef/>
      </w:r>
      <w:r>
        <w:rPr>
          <w:rtl/>
        </w:rPr>
        <w:t xml:space="preserve"> </w:t>
      </w:r>
      <w:proofErr w:type="spellStart"/>
      <w:r>
        <w:t>MekRY</w:t>
      </w:r>
      <w:proofErr w:type="spellEnd"/>
      <w:r>
        <w:t xml:space="preserve">, </w:t>
      </w:r>
      <w:proofErr w:type="spellStart"/>
      <w:r>
        <w:t>yitro</w:t>
      </w:r>
      <w:proofErr w:type="spellEnd"/>
      <w:r>
        <w:t>, ha-</w:t>
      </w:r>
      <w:proofErr w:type="spellStart"/>
      <w:r>
        <w:t>hodesh</w:t>
      </w:r>
      <w:proofErr w:type="spellEnd"/>
      <w:r>
        <w:t xml:space="preserve"> 9 (Horovitz-Rabin </w:t>
      </w:r>
      <w:proofErr w:type="spellStart"/>
      <w:r>
        <w:t>p236</w:t>
      </w:r>
      <w:proofErr w:type="spellEnd"/>
      <w:r>
        <w:t>).</w:t>
      </w:r>
    </w:p>
  </w:footnote>
  <w:footnote w:id="42">
    <w:p w14:paraId="187C1D08" w14:textId="77512E74" w:rsidR="00ED5CFD" w:rsidRDefault="00ED5CFD" w:rsidP="005B2617">
      <w:pPr>
        <w:pStyle w:val="FootnoteText"/>
      </w:pPr>
      <w:r>
        <w:rPr>
          <w:rStyle w:val="FootnoteReference"/>
        </w:rPr>
        <w:footnoteRef/>
      </w:r>
      <w:r>
        <w:rPr>
          <w:rtl/>
        </w:rPr>
        <w:t xml:space="preserve"> </w:t>
      </w:r>
      <w:r>
        <w:t xml:space="preserve">This idea of direct divine engagement as opposed to by means of angels recurs in several places in </w:t>
      </w:r>
      <w:proofErr w:type="spellStart"/>
      <w:r>
        <w:t>Tannaic</w:t>
      </w:r>
      <w:proofErr w:type="spellEnd"/>
      <w:r>
        <w:t xml:space="preserve"> literature. See, for example, </w:t>
      </w:r>
      <w:proofErr w:type="spellStart"/>
      <w:r>
        <w:t>MidrTann</w:t>
      </w:r>
      <w:proofErr w:type="spellEnd"/>
      <w:r>
        <w:t xml:space="preserve"> </w:t>
      </w:r>
      <w:proofErr w:type="spellStart"/>
      <w:r>
        <w:t>Deut</w:t>
      </w:r>
      <w:proofErr w:type="spellEnd"/>
      <w:r>
        <w:t xml:space="preserve"> 26:8: ‘And the Lord took us out of Egypt not by an angel, and not by a seraph, and not by an agent, but the Holy one, blessed be He, himself.’ Regarding the giving of the Torah, see </w:t>
      </w:r>
      <w:proofErr w:type="spellStart"/>
      <w:r>
        <w:t>CantR</w:t>
      </w:r>
      <w:proofErr w:type="spellEnd"/>
      <w:r>
        <w:t xml:space="preserve"> 1.2:2. Scholars have suggested that that passage reflects a Jewish-Christian polemic from the Amoriac period. See </w:t>
      </w:r>
      <w:r w:rsidRPr="00953FA0">
        <w:rPr>
          <w:rFonts w:asciiTheme="majorBidi" w:hAnsiTheme="majorBidi" w:cstheme="majorBidi"/>
          <w:szCs w:val="22"/>
        </w:rPr>
        <w:t xml:space="preserve">Lieberman, </w:t>
      </w:r>
      <w:r>
        <w:rPr>
          <w:rFonts w:asciiTheme="majorBidi" w:hAnsiTheme="majorBidi" w:cstheme="majorBidi"/>
          <w:szCs w:val="22"/>
        </w:rPr>
        <w:t>‘</w:t>
      </w:r>
      <w:proofErr w:type="spellStart"/>
      <w:r w:rsidRPr="00953FA0">
        <w:rPr>
          <w:rFonts w:asciiTheme="majorBidi" w:hAnsiTheme="majorBidi" w:cstheme="majorBidi"/>
          <w:szCs w:val="22"/>
        </w:rPr>
        <w:t>Mishnat</w:t>
      </w:r>
      <w:proofErr w:type="spellEnd"/>
      <w:r w:rsidRPr="00953FA0">
        <w:rPr>
          <w:rFonts w:asciiTheme="majorBidi" w:hAnsiTheme="majorBidi" w:cstheme="majorBidi"/>
          <w:szCs w:val="22"/>
        </w:rPr>
        <w:t xml:space="preserve"> Shir ha-</w:t>
      </w:r>
      <w:proofErr w:type="spellStart"/>
      <w:r w:rsidRPr="00953FA0">
        <w:rPr>
          <w:rFonts w:asciiTheme="majorBidi" w:hAnsiTheme="majorBidi" w:cstheme="majorBidi"/>
          <w:szCs w:val="22"/>
        </w:rPr>
        <w:t>Shirim</w:t>
      </w:r>
      <w:proofErr w:type="spellEnd"/>
      <w:r>
        <w:rPr>
          <w:rFonts w:asciiTheme="majorBidi" w:hAnsiTheme="majorBidi" w:cstheme="majorBidi"/>
          <w:szCs w:val="22"/>
        </w:rPr>
        <w:t>,’</w:t>
      </w:r>
      <w:r w:rsidRPr="00953FA0">
        <w:rPr>
          <w:rFonts w:asciiTheme="majorBidi" w:hAnsiTheme="majorBidi" w:cstheme="majorBidi"/>
          <w:szCs w:val="22"/>
        </w:rPr>
        <w:t xml:space="preserve"> </w:t>
      </w:r>
      <w:r>
        <w:rPr>
          <w:rFonts w:asciiTheme="majorBidi" w:hAnsiTheme="majorBidi" w:cstheme="majorBidi"/>
          <w:szCs w:val="22"/>
        </w:rPr>
        <w:t>118.</w:t>
      </w:r>
    </w:p>
  </w:footnote>
  <w:footnote w:id="43">
    <w:p w14:paraId="6C727DD7" w14:textId="77777777" w:rsidR="00ED5CFD" w:rsidRPr="00750377" w:rsidRDefault="00ED5CFD" w:rsidP="005B2617">
      <w:pPr>
        <w:pStyle w:val="FootnoteText"/>
        <w:rPr>
          <w:b/>
          <w:bCs/>
        </w:rPr>
      </w:pPr>
      <w:r>
        <w:rPr>
          <w:rStyle w:val="FootnoteReference"/>
        </w:rPr>
        <w:footnoteRef/>
      </w:r>
      <w:r>
        <w:rPr>
          <w:rtl/>
        </w:rPr>
        <w:t xml:space="preserve"> </w:t>
      </w:r>
      <w:r>
        <w:t xml:space="preserve">Lieberman claims that the interpretation of </w:t>
      </w:r>
      <w:r w:rsidRPr="0050593D">
        <w:rPr>
          <w:i/>
          <w:iCs/>
        </w:rPr>
        <w:t>Song of Songs</w:t>
      </w:r>
      <w:r>
        <w:t xml:space="preserve"> as a historical allegory about Sinai is consistently that of the </w:t>
      </w:r>
      <w:proofErr w:type="spellStart"/>
      <w:r>
        <w:t>Tanna</w:t>
      </w:r>
      <w:proofErr w:type="spellEnd"/>
      <w:r>
        <w:t xml:space="preserve"> Rabbi </w:t>
      </w:r>
      <w:proofErr w:type="spellStart"/>
      <w:r>
        <w:t>Akiva</w:t>
      </w:r>
      <w:proofErr w:type="spellEnd"/>
      <w:r>
        <w:t xml:space="preserve">. See </w:t>
      </w:r>
      <w:r w:rsidRPr="00953FA0">
        <w:rPr>
          <w:rFonts w:asciiTheme="majorBidi" w:hAnsiTheme="majorBidi" w:cstheme="majorBidi"/>
          <w:szCs w:val="22"/>
        </w:rPr>
        <w:t xml:space="preserve">Lieberman, </w:t>
      </w:r>
      <w:r>
        <w:rPr>
          <w:rFonts w:asciiTheme="majorBidi" w:hAnsiTheme="majorBidi" w:cstheme="majorBidi"/>
          <w:szCs w:val="22"/>
        </w:rPr>
        <w:t>‘</w:t>
      </w:r>
      <w:proofErr w:type="spellStart"/>
      <w:r w:rsidRPr="00953FA0">
        <w:rPr>
          <w:rFonts w:asciiTheme="majorBidi" w:hAnsiTheme="majorBidi" w:cstheme="majorBidi"/>
          <w:szCs w:val="22"/>
        </w:rPr>
        <w:t>Mishnat</w:t>
      </w:r>
      <w:proofErr w:type="spellEnd"/>
      <w:r w:rsidRPr="00953FA0">
        <w:rPr>
          <w:rFonts w:asciiTheme="majorBidi" w:hAnsiTheme="majorBidi" w:cstheme="majorBidi"/>
          <w:szCs w:val="22"/>
        </w:rPr>
        <w:t xml:space="preserve"> Shir ha-</w:t>
      </w:r>
      <w:proofErr w:type="spellStart"/>
      <w:r w:rsidRPr="00953FA0">
        <w:rPr>
          <w:rFonts w:asciiTheme="majorBidi" w:hAnsiTheme="majorBidi" w:cstheme="majorBidi"/>
          <w:szCs w:val="22"/>
        </w:rPr>
        <w:t>Shirim</w:t>
      </w:r>
      <w:proofErr w:type="spellEnd"/>
      <w:r>
        <w:rPr>
          <w:rFonts w:asciiTheme="majorBidi" w:hAnsiTheme="majorBidi" w:cstheme="majorBidi"/>
          <w:szCs w:val="22"/>
        </w:rPr>
        <w:t>,’</w:t>
      </w:r>
      <w:r w:rsidRPr="00953FA0">
        <w:rPr>
          <w:rFonts w:asciiTheme="majorBidi" w:hAnsiTheme="majorBidi" w:cstheme="majorBidi"/>
          <w:szCs w:val="22"/>
        </w:rPr>
        <w:t xml:space="preserve"> </w:t>
      </w:r>
      <w:r>
        <w:rPr>
          <w:rFonts w:asciiTheme="majorBidi" w:hAnsiTheme="majorBidi" w:cstheme="majorBidi"/>
          <w:szCs w:val="22"/>
        </w:rPr>
        <w:t>118.</w:t>
      </w:r>
    </w:p>
  </w:footnote>
  <w:footnote w:id="44">
    <w:p w14:paraId="7F529B4F" w14:textId="77777777" w:rsidR="00ED5CFD" w:rsidRDefault="00ED5CFD" w:rsidP="005B2617">
      <w:pPr>
        <w:pStyle w:val="FootnoteText"/>
      </w:pPr>
      <w:r>
        <w:rPr>
          <w:rStyle w:val="FootnoteReference"/>
        </w:rPr>
        <w:footnoteRef/>
      </w:r>
      <w:r>
        <w:rPr>
          <w:rtl/>
        </w:rPr>
        <w:t xml:space="preserve"> </w:t>
      </w:r>
      <w:r w:rsidRPr="0050593D">
        <w:rPr>
          <w:rFonts w:asciiTheme="majorBidi" w:hAnsiTheme="majorBidi" w:cstheme="majorBidi"/>
          <w:i/>
          <w:iCs/>
        </w:rPr>
        <w:t>Song of Songs</w:t>
      </w:r>
      <w:r>
        <w:rPr>
          <w:rFonts w:asciiTheme="majorBidi" w:hAnsiTheme="majorBidi" w:cstheme="majorBidi"/>
        </w:rPr>
        <w:t xml:space="preserve"> </w:t>
      </w:r>
      <w:r w:rsidRPr="007E0F62">
        <w:rPr>
          <w:rFonts w:asciiTheme="majorBidi" w:hAnsiTheme="majorBidi" w:cstheme="majorBidi"/>
          <w:i/>
          <w:iCs/>
        </w:rPr>
        <w:t>Rabbah</w:t>
      </w:r>
      <w:r>
        <w:rPr>
          <w:rFonts w:asciiTheme="majorBidi" w:hAnsiTheme="majorBidi" w:cstheme="majorBidi"/>
        </w:rPr>
        <w:t xml:space="preserve"> 2:1, 1</w:t>
      </w:r>
      <w:r w:rsidRPr="002D190C">
        <w:rPr>
          <w:rFonts w:asciiTheme="majorBidi" w:hAnsiTheme="majorBidi" w:cstheme="majorBidi"/>
        </w:rPr>
        <w:t xml:space="preserve"> </w:t>
      </w:r>
      <w:r>
        <w:rPr>
          <w:rFonts w:asciiTheme="majorBidi" w:hAnsiTheme="majorBidi" w:cstheme="majorBidi"/>
        </w:rPr>
        <w:t>(</w:t>
      </w:r>
      <w:r w:rsidRPr="002D190C">
        <w:rPr>
          <w:rFonts w:asciiTheme="majorBidi" w:hAnsiTheme="majorBidi" w:cstheme="majorBidi"/>
        </w:rPr>
        <w:t>Simon</w:t>
      </w:r>
      <w:r>
        <w:rPr>
          <w:rFonts w:asciiTheme="majorBidi" w:hAnsiTheme="majorBidi" w:cstheme="majorBidi"/>
        </w:rPr>
        <w:t>,</w:t>
      </w:r>
      <w:r w:rsidRPr="002D190C">
        <w:rPr>
          <w:rFonts w:asciiTheme="majorBidi" w:hAnsiTheme="majorBidi" w:cstheme="majorBidi"/>
        </w:rPr>
        <w:t xml:space="preserve"> </w:t>
      </w:r>
      <w:r>
        <w:t>111-112) with adjustments. This passage is corrupted in the manuscripts and has been repaired based on Geniza fragments.</w:t>
      </w:r>
    </w:p>
  </w:footnote>
  <w:footnote w:id="45">
    <w:p w14:paraId="1F1D2FCB" w14:textId="00701DD1" w:rsidR="00ED5CFD" w:rsidRDefault="00ED5CFD" w:rsidP="005B2617">
      <w:pPr>
        <w:pStyle w:val="FootnoteText"/>
      </w:pPr>
      <w:r>
        <w:rPr>
          <w:rStyle w:val="FootnoteReference"/>
        </w:rPr>
        <w:footnoteRef/>
      </w:r>
      <w:r>
        <w:rPr>
          <w:rtl/>
        </w:rPr>
        <w:t xml:space="preserve"> </w:t>
      </w:r>
      <w:r>
        <w:t>These</w:t>
      </w:r>
      <w:r>
        <w:rPr>
          <w:rFonts w:hint="cs"/>
          <w:rtl/>
        </w:rPr>
        <w:t xml:space="preserve"> </w:t>
      </w:r>
      <w:r>
        <w:t xml:space="preserve">opinions fit the </w:t>
      </w:r>
      <w:proofErr w:type="spellStart"/>
      <w:r>
        <w:t>the</w:t>
      </w:r>
      <w:proofErr w:type="spellEnd"/>
      <w:r>
        <w:t xml:space="preserve"> historical allegory of Sinai, the </w:t>
      </w:r>
      <w:proofErr w:type="gramStart"/>
      <w:r>
        <w:t>Tabernacle</w:t>
      </w:r>
      <w:proofErr w:type="gramEnd"/>
      <w:r>
        <w:t xml:space="preserve"> and the journey through the desert. See </w:t>
      </w:r>
      <w:proofErr w:type="spellStart"/>
      <w:r w:rsidRPr="00EC66E6">
        <w:rPr>
          <w:szCs w:val="22"/>
        </w:rPr>
        <w:t>Kadari</w:t>
      </w:r>
      <w:proofErr w:type="spellEnd"/>
      <w:r w:rsidRPr="00EC66E6">
        <w:rPr>
          <w:szCs w:val="22"/>
        </w:rPr>
        <w:t xml:space="preserve">, </w:t>
      </w:r>
      <w:r w:rsidRPr="00EC66E6">
        <w:rPr>
          <w:i/>
          <w:iCs/>
          <w:szCs w:val="22"/>
        </w:rPr>
        <w:t xml:space="preserve">Friends Hearken to your </w:t>
      </w:r>
      <w:r>
        <w:rPr>
          <w:i/>
          <w:iCs/>
          <w:szCs w:val="22"/>
        </w:rPr>
        <w:t>V</w:t>
      </w:r>
      <w:r w:rsidRPr="00EC66E6">
        <w:rPr>
          <w:i/>
          <w:iCs/>
          <w:szCs w:val="22"/>
        </w:rPr>
        <w:t>oice</w:t>
      </w:r>
      <w:r>
        <w:rPr>
          <w:szCs w:val="22"/>
        </w:rPr>
        <w:t>,</w:t>
      </w:r>
      <w:r w:rsidRPr="00EC66E6">
        <w:rPr>
          <w:szCs w:val="22"/>
        </w:rPr>
        <w:t xml:space="preserve"> </w:t>
      </w:r>
      <w:r>
        <w:rPr>
          <w:szCs w:val="22"/>
        </w:rPr>
        <w:t>202-205</w:t>
      </w:r>
      <w:r>
        <w:rPr>
          <w:szCs w:val="22"/>
        </w:rPr>
        <w:t>.</w:t>
      </w:r>
    </w:p>
  </w:footnote>
  <w:footnote w:id="46">
    <w:p w14:paraId="3DBF4F98" w14:textId="77777777" w:rsidR="00ED5CFD" w:rsidRDefault="00ED5CFD" w:rsidP="005B2617">
      <w:pPr>
        <w:pStyle w:val="FootnoteText"/>
      </w:pPr>
      <w:r>
        <w:rPr>
          <w:rStyle w:val="FootnoteReference"/>
        </w:rPr>
        <w:footnoteRef/>
      </w:r>
      <w:r>
        <w:rPr>
          <w:rtl/>
        </w:rPr>
        <w:t xml:space="preserve"> </w:t>
      </w:r>
      <w:r>
        <w:t xml:space="preserve">Compare </w:t>
      </w:r>
      <w:r w:rsidRPr="004B0875">
        <w:t>Kaplan</w:t>
      </w:r>
      <w:r>
        <w:t>,</w:t>
      </w:r>
      <w:r w:rsidRPr="004B0875">
        <w:t xml:space="preserve"> </w:t>
      </w:r>
      <w:r w:rsidRPr="0047551E">
        <w:rPr>
          <w:i/>
          <w:iCs/>
        </w:rPr>
        <w:t xml:space="preserve">My </w:t>
      </w:r>
      <w:r>
        <w:rPr>
          <w:i/>
          <w:iCs/>
        </w:rPr>
        <w:t>P</w:t>
      </w:r>
      <w:r w:rsidRPr="0047551E">
        <w:rPr>
          <w:i/>
          <w:iCs/>
        </w:rPr>
        <w:t>erfect One</w:t>
      </w:r>
      <w:r>
        <w:t>, 135-157. In a chapter devoted to ‘Israel's Ideal Man</w:t>
      </w:r>
      <w:r>
        <w:t>,</w:t>
      </w:r>
      <w:r>
        <w:t xml:space="preserve">’ he concludes that the </w:t>
      </w:r>
      <w:proofErr w:type="spellStart"/>
      <w:r>
        <w:t>Tannaim</w:t>
      </w:r>
      <w:proofErr w:type="spellEnd"/>
      <w:r>
        <w:t xml:space="preserve"> use the d</w:t>
      </w:r>
      <w:r>
        <w:t>e</w:t>
      </w:r>
      <w:r>
        <w:t>scriptive language of the male beloved in order to highlight the uniqueness and exemplarity</w:t>
      </w:r>
      <w:r w:rsidRPr="000B1A2A">
        <w:t xml:space="preserve"> </w:t>
      </w:r>
      <w:r>
        <w:t>of Israel's God, by using two interpretive strategies: first</w:t>
      </w:r>
      <w:r>
        <w:t>,</w:t>
      </w:r>
      <w:r>
        <w:t xml:space="preserve"> in contradistinction to the nations</w:t>
      </w:r>
      <w:r>
        <w:t>’</w:t>
      </w:r>
      <w:r>
        <w:t xml:space="preserve"> gods and second</w:t>
      </w:r>
      <w:r>
        <w:t>,</w:t>
      </w:r>
      <w:r>
        <w:t xml:space="preserve"> in </w:t>
      </w:r>
      <w:proofErr w:type="spellStart"/>
      <w:r>
        <w:t>correspondance</w:t>
      </w:r>
      <w:proofErr w:type="spellEnd"/>
      <w:r>
        <w:t xml:space="preserve"> to the features of </w:t>
      </w:r>
      <w:r>
        <w:t xml:space="preserve">an </w:t>
      </w:r>
      <w:r>
        <w:t xml:space="preserve">ideal Israel. </w:t>
      </w:r>
    </w:p>
  </w:footnote>
  <w:footnote w:id="47">
    <w:p w14:paraId="6F5D53AE" w14:textId="68349033" w:rsidR="00ED5CFD" w:rsidRDefault="00ED5CFD" w:rsidP="005B2617">
      <w:pPr>
        <w:pStyle w:val="FootnoteText"/>
      </w:pPr>
      <w:r>
        <w:rPr>
          <w:rStyle w:val="FootnoteReference"/>
        </w:rPr>
        <w:footnoteRef/>
      </w:r>
      <w:r>
        <w:rPr>
          <w:rtl/>
        </w:rPr>
        <w:t xml:space="preserve"> </w:t>
      </w:r>
      <w:r>
        <w:t xml:space="preserve">See also </w:t>
      </w:r>
      <w:proofErr w:type="spellStart"/>
      <w:r>
        <w:t>CantR</w:t>
      </w:r>
      <w:proofErr w:type="spellEnd"/>
      <w:r>
        <w:t xml:space="preserve"> 5, 1 (Simon, </w:t>
      </w:r>
      <w:proofErr w:type="spellStart"/>
      <w:r>
        <w:t>p245</w:t>
      </w:r>
      <w:proofErr w:type="spellEnd"/>
      <w:r>
        <w:t>): ‘</w:t>
      </w:r>
      <w:r w:rsidRPr="00252D7A">
        <w:t xml:space="preserve">His hands are </w:t>
      </w:r>
      <w:r>
        <w:t xml:space="preserve">as </w:t>
      </w:r>
      <w:r w:rsidRPr="00252D7A">
        <w:t>rods of gold</w:t>
      </w:r>
      <w:r>
        <w:t xml:space="preserve">’ – these are the tablets of the covenant, as it is said, ‘and the tablets are the work of God.’ For another comparison of the Torah with a person’s arms, see the story about Rabbi Elazar ben Rabbi Shimon in </w:t>
      </w:r>
      <w:proofErr w:type="spellStart"/>
      <w:r>
        <w:t>bSanhedrin</w:t>
      </w:r>
      <w:proofErr w:type="spellEnd"/>
      <w:r>
        <w:t xml:space="preserve"> </w:t>
      </w:r>
      <w:proofErr w:type="spellStart"/>
      <w:r>
        <w:t>68a</w:t>
      </w:r>
      <w:proofErr w:type="spellEnd"/>
      <w:r>
        <w:t xml:space="preserve">: ‘He took his two arms an put them on his heart; he said: Woe to you my two arms that are like two rolled Torah scrolls.’ In this case, the arms are compared to rolled scrolls made of parchment. Another passage that relates to the notion that that which was engraved on the tablets surrounded Israel on both sides is </w:t>
      </w:r>
      <w:proofErr w:type="spellStart"/>
      <w:r>
        <w:t>CantR</w:t>
      </w:r>
      <w:proofErr w:type="spellEnd"/>
      <w:r>
        <w:t xml:space="preserve"> 1,2:2 (Simon </w:t>
      </w:r>
      <w:proofErr w:type="spellStart"/>
      <w:r>
        <w:t>p230</w:t>
      </w:r>
      <w:proofErr w:type="spellEnd"/>
      <w:r>
        <w:t xml:space="preserve">): ‘Teaching that the statement was issued from the Holy one, blessed be He’s right to Israel’s left hand and the returned and went around Israel’s encampment…and returned and surrounds them from Israel’s right to </w:t>
      </w:r>
      <w:r>
        <w:t>the Holy one, blessed be He’s</w:t>
      </w:r>
      <w:r>
        <w:t xml:space="preserve"> left. T</w:t>
      </w:r>
      <w:r>
        <w:t>he Holy one, blessed be He</w:t>
      </w:r>
      <w:r>
        <w:t xml:space="preserve"> would receive it in His right and engrave it on the tablet.’</w:t>
      </w:r>
    </w:p>
  </w:footnote>
  <w:footnote w:id="48">
    <w:p w14:paraId="6A6035C4" w14:textId="079FDF81" w:rsidR="00ED5CFD" w:rsidRDefault="00ED5CFD" w:rsidP="005B2617">
      <w:pPr>
        <w:pStyle w:val="FootnoteText"/>
      </w:pPr>
      <w:r>
        <w:rPr>
          <w:rStyle w:val="FootnoteReference"/>
        </w:rPr>
        <w:footnoteRef/>
      </w:r>
      <w:r>
        <w:t xml:space="preserve"> </w:t>
      </w:r>
      <w:proofErr w:type="spellStart"/>
      <w:r>
        <w:t>t</w:t>
      </w:r>
      <w:r w:rsidRPr="005C129E">
        <w:t>Sota</w:t>
      </w:r>
      <w:proofErr w:type="spellEnd"/>
      <w:r w:rsidRPr="005C129E">
        <w:t xml:space="preserve"> 9.8 (Lieberman </w:t>
      </w:r>
      <w:proofErr w:type="spellStart"/>
      <w:r>
        <w:t>p</w:t>
      </w:r>
      <w:r w:rsidRPr="005C129E">
        <w:t>213</w:t>
      </w:r>
      <w:proofErr w:type="spellEnd"/>
      <w:r w:rsidRPr="005C129E">
        <w:t>)</w:t>
      </w:r>
      <w:r>
        <w:t xml:space="preserve">. </w:t>
      </w:r>
      <w:r w:rsidRPr="001C6700">
        <w:rPr>
          <w:highlight w:val="yellow"/>
        </w:rPr>
        <w:t>Translation by???</w:t>
      </w:r>
    </w:p>
  </w:footnote>
  <w:footnote w:id="49">
    <w:p w14:paraId="07FB8E47" w14:textId="77777777" w:rsidR="00ED5CFD" w:rsidRDefault="00ED5CFD" w:rsidP="005B2617">
      <w:pPr>
        <w:pStyle w:val="FootnoteText"/>
      </w:pPr>
      <w:r>
        <w:rPr>
          <w:rStyle w:val="FootnoteReference"/>
        </w:rPr>
        <w:footnoteRef/>
      </w:r>
      <w:r>
        <w:t xml:space="preserve"> </w:t>
      </w:r>
      <w:proofErr w:type="spellStart"/>
      <w:r>
        <w:t>CantR</w:t>
      </w:r>
      <w:proofErr w:type="spellEnd"/>
      <w:r>
        <w:t xml:space="preserve"> 8, 6:2 (Simon </w:t>
      </w:r>
      <w:proofErr w:type="spellStart"/>
      <w:r>
        <w:t>p306</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BF1"/>
    <w:multiLevelType w:val="hybridMultilevel"/>
    <w:tmpl w:val="47F8581A"/>
    <w:lvl w:ilvl="0" w:tplc="3710E6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484ACE"/>
    <w:multiLevelType w:val="hybridMultilevel"/>
    <w:tmpl w:val="FC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55081"/>
    <w:multiLevelType w:val="hybridMultilevel"/>
    <w:tmpl w:val="5CCC9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D3620"/>
    <w:multiLevelType w:val="hybridMultilevel"/>
    <w:tmpl w:val="4F467EB0"/>
    <w:lvl w:ilvl="0" w:tplc="AE30E946">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3352874">
    <w:abstractNumId w:val="0"/>
  </w:num>
  <w:num w:numId="2" w16cid:durableId="56904405">
    <w:abstractNumId w:val="2"/>
  </w:num>
  <w:num w:numId="3" w16cid:durableId="565383647">
    <w:abstractNumId w:val="1"/>
  </w:num>
  <w:num w:numId="4" w16cid:durableId="20542348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MjcxMTIwNjQytTRV0lEKTi0uzszPAykwrgUAYbyrQiwAAAA="/>
  </w:docVars>
  <w:rsids>
    <w:rsidRoot w:val="001C41F0"/>
    <w:rsid w:val="0000326D"/>
    <w:rsid w:val="00004B8A"/>
    <w:rsid w:val="000060B6"/>
    <w:rsid w:val="00006E11"/>
    <w:rsid w:val="00007B8C"/>
    <w:rsid w:val="00011A4A"/>
    <w:rsid w:val="000126FC"/>
    <w:rsid w:val="000134ED"/>
    <w:rsid w:val="00014661"/>
    <w:rsid w:val="0002197B"/>
    <w:rsid w:val="0002331F"/>
    <w:rsid w:val="000264FD"/>
    <w:rsid w:val="00026560"/>
    <w:rsid w:val="00031F20"/>
    <w:rsid w:val="000419E5"/>
    <w:rsid w:val="0004248B"/>
    <w:rsid w:val="00051564"/>
    <w:rsid w:val="00054D48"/>
    <w:rsid w:val="000678E2"/>
    <w:rsid w:val="000760A9"/>
    <w:rsid w:val="00092474"/>
    <w:rsid w:val="00093CD1"/>
    <w:rsid w:val="0009653F"/>
    <w:rsid w:val="000969D8"/>
    <w:rsid w:val="000A0ACB"/>
    <w:rsid w:val="000A2981"/>
    <w:rsid w:val="000A5D70"/>
    <w:rsid w:val="000A728C"/>
    <w:rsid w:val="000A762F"/>
    <w:rsid w:val="000B7592"/>
    <w:rsid w:val="000C489F"/>
    <w:rsid w:val="000D303A"/>
    <w:rsid w:val="000D4260"/>
    <w:rsid w:val="000E35DE"/>
    <w:rsid w:val="000E51D5"/>
    <w:rsid w:val="000F21A3"/>
    <w:rsid w:val="000F21CE"/>
    <w:rsid w:val="000F536B"/>
    <w:rsid w:val="000F66FE"/>
    <w:rsid w:val="00100DB3"/>
    <w:rsid w:val="00101664"/>
    <w:rsid w:val="00101908"/>
    <w:rsid w:val="001025FA"/>
    <w:rsid w:val="001059E4"/>
    <w:rsid w:val="00105D20"/>
    <w:rsid w:val="00107B15"/>
    <w:rsid w:val="001108AF"/>
    <w:rsid w:val="0011143D"/>
    <w:rsid w:val="001126C6"/>
    <w:rsid w:val="00113615"/>
    <w:rsid w:val="0011398C"/>
    <w:rsid w:val="00131405"/>
    <w:rsid w:val="0013319A"/>
    <w:rsid w:val="00136366"/>
    <w:rsid w:val="00142034"/>
    <w:rsid w:val="00147E96"/>
    <w:rsid w:val="00174838"/>
    <w:rsid w:val="001756DB"/>
    <w:rsid w:val="00181932"/>
    <w:rsid w:val="00181F8C"/>
    <w:rsid w:val="001862BD"/>
    <w:rsid w:val="00187080"/>
    <w:rsid w:val="00190766"/>
    <w:rsid w:val="00193E66"/>
    <w:rsid w:val="001A7927"/>
    <w:rsid w:val="001B632C"/>
    <w:rsid w:val="001C41F0"/>
    <w:rsid w:val="001C6700"/>
    <w:rsid w:val="001C6DC0"/>
    <w:rsid w:val="001C7C56"/>
    <w:rsid w:val="001D06B9"/>
    <w:rsid w:val="001D18A0"/>
    <w:rsid w:val="001D527D"/>
    <w:rsid w:val="001D6ED5"/>
    <w:rsid w:val="001E4920"/>
    <w:rsid w:val="001E4C34"/>
    <w:rsid w:val="001E6467"/>
    <w:rsid w:val="00205D53"/>
    <w:rsid w:val="00216D59"/>
    <w:rsid w:val="00224DC7"/>
    <w:rsid w:val="0023087E"/>
    <w:rsid w:val="002320BA"/>
    <w:rsid w:val="00237E96"/>
    <w:rsid w:val="002405F6"/>
    <w:rsid w:val="0024779E"/>
    <w:rsid w:val="00252A6C"/>
    <w:rsid w:val="00254D63"/>
    <w:rsid w:val="0025642B"/>
    <w:rsid w:val="0026007F"/>
    <w:rsid w:val="002608CE"/>
    <w:rsid w:val="0026574A"/>
    <w:rsid w:val="00266C67"/>
    <w:rsid w:val="002749C0"/>
    <w:rsid w:val="00274C60"/>
    <w:rsid w:val="00281B34"/>
    <w:rsid w:val="00281C32"/>
    <w:rsid w:val="00286C8F"/>
    <w:rsid w:val="00287231"/>
    <w:rsid w:val="00293A21"/>
    <w:rsid w:val="00294353"/>
    <w:rsid w:val="002947E2"/>
    <w:rsid w:val="00296A09"/>
    <w:rsid w:val="002A14A2"/>
    <w:rsid w:val="002A2E29"/>
    <w:rsid w:val="002A75A8"/>
    <w:rsid w:val="002B40DF"/>
    <w:rsid w:val="002B722C"/>
    <w:rsid w:val="002C382B"/>
    <w:rsid w:val="002C45B5"/>
    <w:rsid w:val="002C4C58"/>
    <w:rsid w:val="002E4A33"/>
    <w:rsid w:val="00300ECF"/>
    <w:rsid w:val="00303D14"/>
    <w:rsid w:val="00305A8F"/>
    <w:rsid w:val="00312875"/>
    <w:rsid w:val="003163C6"/>
    <w:rsid w:val="003173AD"/>
    <w:rsid w:val="00323195"/>
    <w:rsid w:val="00323B2C"/>
    <w:rsid w:val="00331467"/>
    <w:rsid w:val="00336840"/>
    <w:rsid w:val="00337981"/>
    <w:rsid w:val="00340A18"/>
    <w:rsid w:val="00363C77"/>
    <w:rsid w:val="00365625"/>
    <w:rsid w:val="003710E6"/>
    <w:rsid w:val="003754CC"/>
    <w:rsid w:val="00377616"/>
    <w:rsid w:val="0039062A"/>
    <w:rsid w:val="00392B28"/>
    <w:rsid w:val="00395D92"/>
    <w:rsid w:val="003A0DE4"/>
    <w:rsid w:val="003A44C4"/>
    <w:rsid w:val="003A70FD"/>
    <w:rsid w:val="003B04C0"/>
    <w:rsid w:val="003B074D"/>
    <w:rsid w:val="003B589D"/>
    <w:rsid w:val="003C0100"/>
    <w:rsid w:val="003C152E"/>
    <w:rsid w:val="003C1E7A"/>
    <w:rsid w:val="003C2644"/>
    <w:rsid w:val="003C799D"/>
    <w:rsid w:val="003D55C6"/>
    <w:rsid w:val="003D6454"/>
    <w:rsid w:val="003E2CB4"/>
    <w:rsid w:val="003F0BAE"/>
    <w:rsid w:val="003F3A4A"/>
    <w:rsid w:val="00400B21"/>
    <w:rsid w:val="004043F2"/>
    <w:rsid w:val="0040529F"/>
    <w:rsid w:val="00406CF1"/>
    <w:rsid w:val="00407FD6"/>
    <w:rsid w:val="004114FD"/>
    <w:rsid w:val="00411ED7"/>
    <w:rsid w:val="00414093"/>
    <w:rsid w:val="004156CF"/>
    <w:rsid w:val="00417ABF"/>
    <w:rsid w:val="00421868"/>
    <w:rsid w:val="00423CD4"/>
    <w:rsid w:val="00425104"/>
    <w:rsid w:val="00430E8D"/>
    <w:rsid w:val="00432D53"/>
    <w:rsid w:val="00435A34"/>
    <w:rsid w:val="004360CD"/>
    <w:rsid w:val="004362E1"/>
    <w:rsid w:val="004428B1"/>
    <w:rsid w:val="004436B9"/>
    <w:rsid w:val="00457BD8"/>
    <w:rsid w:val="0046044F"/>
    <w:rsid w:val="004775A6"/>
    <w:rsid w:val="0048321E"/>
    <w:rsid w:val="004959E4"/>
    <w:rsid w:val="004A1954"/>
    <w:rsid w:val="004A31B0"/>
    <w:rsid w:val="004A45BB"/>
    <w:rsid w:val="004A7932"/>
    <w:rsid w:val="004B0A53"/>
    <w:rsid w:val="004B19BB"/>
    <w:rsid w:val="004B56D3"/>
    <w:rsid w:val="004C71FD"/>
    <w:rsid w:val="004D3772"/>
    <w:rsid w:val="004D54E1"/>
    <w:rsid w:val="004D6F29"/>
    <w:rsid w:val="0050593D"/>
    <w:rsid w:val="00506DFE"/>
    <w:rsid w:val="00507826"/>
    <w:rsid w:val="00507857"/>
    <w:rsid w:val="00510C97"/>
    <w:rsid w:val="005169BD"/>
    <w:rsid w:val="00517854"/>
    <w:rsid w:val="005300A9"/>
    <w:rsid w:val="0053352F"/>
    <w:rsid w:val="005337F2"/>
    <w:rsid w:val="00541DDE"/>
    <w:rsid w:val="00541E23"/>
    <w:rsid w:val="00543760"/>
    <w:rsid w:val="00546C9E"/>
    <w:rsid w:val="005632BF"/>
    <w:rsid w:val="00563867"/>
    <w:rsid w:val="005652E8"/>
    <w:rsid w:val="0056591D"/>
    <w:rsid w:val="00565C76"/>
    <w:rsid w:val="005816CC"/>
    <w:rsid w:val="00581876"/>
    <w:rsid w:val="0059036C"/>
    <w:rsid w:val="00592BD8"/>
    <w:rsid w:val="0059450C"/>
    <w:rsid w:val="0059748F"/>
    <w:rsid w:val="005A51B9"/>
    <w:rsid w:val="005A58C8"/>
    <w:rsid w:val="005B2617"/>
    <w:rsid w:val="005B353B"/>
    <w:rsid w:val="005B3766"/>
    <w:rsid w:val="005B6FB1"/>
    <w:rsid w:val="005C0737"/>
    <w:rsid w:val="005C0DC6"/>
    <w:rsid w:val="005C129E"/>
    <w:rsid w:val="005C54E8"/>
    <w:rsid w:val="005C58BA"/>
    <w:rsid w:val="005C75BE"/>
    <w:rsid w:val="005D3E31"/>
    <w:rsid w:val="005D592F"/>
    <w:rsid w:val="005E1678"/>
    <w:rsid w:val="005E3CC0"/>
    <w:rsid w:val="005E5CCC"/>
    <w:rsid w:val="005E724A"/>
    <w:rsid w:val="005F2009"/>
    <w:rsid w:val="005F3609"/>
    <w:rsid w:val="005F3F47"/>
    <w:rsid w:val="00600E65"/>
    <w:rsid w:val="006024F9"/>
    <w:rsid w:val="006055E4"/>
    <w:rsid w:val="00607D51"/>
    <w:rsid w:val="006105EF"/>
    <w:rsid w:val="0061205A"/>
    <w:rsid w:val="00613B5D"/>
    <w:rsid w:val="006233B0"/>
    <w:rsid w:val="0062761A"/>
    <w:rsid w:val="00630CC1"/>
    <w:rsid w:val="00631171"/>
    <w:rsid w:val="006337AA"/>
    <w:rsid w:val="00640A1E"/>
    <w:rsid w:val="00640CBE"/>
    <w:rsid w:val="006545B9"/>
    <w:rsid w:val="006567B3"/>
    <w:rsid w:val="006615D4"/>
    <w:rsid w:val="00661CF1"/>
    <w:rsid w:val="00670B7F"/>
    <w:rsid w:val="006733B6"/>
    <w:rsid w:val="006756D3"/>
    <w:rsid w:val="006926A8"/>
    <w:rsid w:val="006B2BBA"/>
    <w:rsid w:val="006B3953"/>
    <w:rsid w:val="006B41C0"/>
    <w:rsid w:val="006B6640"/>
    <w:rsid w:val="006B727D"/>
    <w:rsid w:val="006B793D"/>
    <w:rsid w:val="006B7C37"/>
    <w:rsid w:val="006C5C76"/>
    <w:rsid w:val="006D13E3"/>
    <w:rsid w:val="006D2D69"/>
    <w:rsid w:val="006D4386"/>
    <w:rsid w:val="006D6337"/>
    <w:rsid w:val="006E4243"/>
    <w:rsid w:val="006E5442"/>
    <w:rsid w:val="006E78AB"/>
    <w:rsid w:val="006F0060"/>
    <w:rsid w:val="006F3879"/>
    <w:rsid w:val="006F3B30"/>
    <w:rsid w:val="006F58ED"/>
    <w:rsid w:val="006F6B46"/>
    <w:rsid w:val="00702FB9"/>
    <w:rsid w:val="007030E8"/>
    <w:rsid w:val="00706C6A"/>
    <w:rsid w:val="00711B1D"/>
    <w:rsid w:val="007216DB"/>
    <w:rsid w:val="007259B2"/>
    <w:rsid w:val="007273F8"/>
    <w:rsid w:val="00750377"/>
    <w:rsid w:val="007570A9"/>
    <w:rsid w:val="00760D06"/>
    <w:rsid w:val="00762C05"/>
    <w:rsid w:val="007751BE"/>
    <w:rsid w:val="00775BE0"/>
    <w:rsid w:val="00786115"/>
    <w:rsid w:val="00786EFE"/>
    <w:rsid w:val="007970D3"/>
    <w:rsid w:val="007A6BB6"/>
    <w:rsid w:val="007C14B7"/>
    <w:rsid w:val="007C2883"/>
    <w:rsid w:val="007C330C"/>
    <w:rsid w:val="007C4962"/>
    <w:rsid w:val="007C4C5F"/>
    <w:rsid w:val="007C7AA2"/>
    <w:rsid w:val="007D4604"/>
    <w:rsid w:val="007D74E2"/>
    <w:rsid w:val="007E33B3"/>
    <w:rsid w:val="007E761A"/>
    <w:rsid w:val="007E7D02"/>
    <w:rsid w:val="007E7EE2"/>
    <w:rsid w:val="007F1DCA"/>
    <w:rsid w:val="007F51CD"/>
    <w:rsid w:val="008030FC"/>
    <w:rsid w:val="00806A6C"/>
    <w:rsid w:val="0080795D"/>
    <w:rsid w:val="00814CF5"/>
    <w:rsid w:val="00816C5D"/>
    <w:rsid w:val="00817B04"/>
    <w:rsid w:val="00855347"/>
    <w:rsid w:val="00857470"/>
    <w:rsid w:val="008577B5"/>
    <w:rsid w:val="008645ED"/>
    <w:rsid w:val="00864953"/>
    <w:rsid w:val="00864AAE"/>
    <w:rsid w:val="00871AAE"/>
    <w:rsid w:val="0087465A"/>
    <w:rsid w:val="008814D2"/>
    <w:rsid w:val="0088214C"/>
    <w:rsid w:val="00883459"/>
    <w:rsid w:val="00884195"/>
    <w:rsid w:val="00884EDE"/>
    <w:rsid w:val="008865EC"/>
    <w:rsid w:val="00891862"/>
    <w:rsid w:val="008926AD"/>
    <w:rsid w:val="00892990"/>
    <w:rsid w:val="00897EBF"/>
    <w:rsid w:val="008A4E25"/>
    <w:rsid w:val="008A75FC"/>
    <w:rsid w:val="008B267C"/>
    <w:rsid w:val="008B5D69"/>
    <w:rsid w:val="008C1033"/>
    <w:rsid w:val="008C6574"/>
    <w:rsid w:val="008C6EE5"/>
    <w:rsid w:val="008D2A3B"/>
    <w:rsid w:val="008D313D"/>
    <w:rsid w:val="008D5CEA"/>
    <w:rsid w:val="008E13D8"/>
    <w:rsid w:val="008E352E"/>
    <w:rsid w:val="008E3C4F"/>
    <w:rsid w:val="008E4A28"/>
    <w:rsid w:val="008F1D1C"/>
    <w:rsid w:val="008F2252"/>
    <w:rsid w:val="008F4CBA"/>
    <w:rsid w:val="008F7088"/>
    <w:rsid w:val="009060D8"/>
    <w:rsid w:val="009105D9"/>
    <w:rsid w:val="009105E0"/>
    <w:rsid w:val="00911090"/>
    <w:rsid w:val="0091316C"/>
    <w:rsid w:val="00914979"/>
    <w:rsid w:val="00926475"/>
    <w:rsid w:val="00926580"/>
    <w:rsid w:val="0093120F"/>
    <w:rsid w:val="00936681"/>
    <w:rsid w:val="00943174"/>
    <w:rsid w:val="0094469C"/>
    <w:rsid w:val="009461B4"/>
    <w:rsid w:val="00950499"/>
    <w:rsid w:val="009516DE"/>
    <w:rsid w:val="00951AD9"/>
    <w:rsid w:val="00955655"/>
    <w:rsid w:val="009571A5"/>
    <w:rsid w:val="00960D7B"/>
    <w:rsid w:val="009617C3"/>
    <w:rsid w:val="009653FF"/>
    <w:rsid w:val="00967A9D"/>
    <w:rsid w:val="0097038D"/>
    <w:rsid w:val="00971E97"/>
    <w:rsid w:val="009750AC"/>
    <w:rsid w:val="00975833"/>
    <w:rsid w:val="00984D92"/>
    <w:rsid w:val="009900AD"/>
    <w:rsid w:val="00992388"/>
    <w:rsid w:val="00995082"/>
    <w:rsid w:val="00996248"/>
    <w:rsid w:val="0099751D"/>
    <w:rsid w:val="009A0071"/>
    <w:rsid w:val="009A1898"/>
    <w:rsid w:val="009A28FF"/>
    <w:rsid w:val="009A4E5A"/>
    <w:rsid w:val="009A664C"/>
    <w:rsid w:val="009B0019"/>
    <w:rsid w:val="009B2336"/>
    <w:rsid w:val="009B5E8F"/>
    <w:rsid w:val="009C0004"/>
    <w:rsid w:val="009C53FC"/>
    <w:rsid w:val="009D0AAB"/>
    <w:rsid w:val="009D32C6"/>
    <w:rsid w:val="009D3B3A"/>
    <w:rsid w:val="009D3FF1"/>
    <w:rsid w:val="009F59C0"/>
    <w:rsid w:val="00A04C38"/>
    <w:rsid w:val="00A1578A"/>
    <w:rsid w:val="00A20E46"/>
    <w:rsid w:val="00A23DA4"/>
    <w:rsid w:val="00A24C61"/>
    <w:rsid w:val="00A27265"/>
    <w:rsid w:val="00A32775"/>
    <w:rsid w:val="00A35D04"/>
    <w:rsid w:val="00A36178"/>
    <w:rsid w:val="00A43A90"/>
    <w:rsid w:val="00A43F78"/>
    <w:rsid w:val="00A46319"/>
    <w:rsid w:val="00A53428"/>
    <w:rsid w:val="00A614E1"/>
    <w:rsid w:val="00A71C29"/>
    <w:rsid w:val="00A73BCE"/>
    <w:rsid w:val="00A81032"/>
    <w:rsid w:val="00A84911"/>
    <w:rsid w:val="00A92DB6"/>
    <w:rsid w:val="00AA1AFA"/>
    <w:rsid w:val="00AA2216"/>
    <w:rsid w:val="00AA497C"/>
    <w:rsid w:val="00AA6D08"/>
    <w:rsid w:val="00AA7FC6"/>
    <w:rsid w:val="00AB424D"/>
    <w:rsid w:val="00AB6A65"/>
    <w:rsid w:val="00AC02A2"/>
    <w:rsid w:val="00AC0599"/>
    <w:rsid w:val="00AC5CFE"/>
    <w:rsid w:val="00AD0562"/>
    <w:rsid w:val="00AD2DCE"/>
    <w:rsid w:val="00AE31E8"/>
    <w:rsid w:val="00AF1ED4"/>
    <w:rsid w:val="00AF2C99"/>
    <w:rsid w:val="00AF6E44"/>
    <w:rsid w:val="00B0185F"/>
    <w:rsid w:val="00B01B96"/>
    <w:rsid w:val="00B02718"/>
    <w:rsid w:val="00B02781"/>
    <w:rsid w:val="00B175FD"/>
    <w:rsid w:val="00B24CFA"/>
    <w:rsid w:val="00B30BCB"/>
    <w:rsid w:val="00B313BC"/>
    <w:rsid w:val="00B360D2"/>
    <w:rsid w:val="00B40502"/>
    <w:rsid w:val="00B4123D"/>
    <w:rsid w:val="00B47F2A"/>
    <w:rsid w:val="00B52AB2"/>
    <w:rsid w:val="00B63A30"/>
    <w:rsid w:val="00B71497"/>
    <w:rsid w:val="00B8061F"/>
    <w:rsid w:val="00B823D2"/>
    <w:rsid w:val="00B82567"/>
    <w:rsid w:val="00B90FEC"/>
    <w:rsid w:val="00B92787"/>
    <w:rsid w:val="00BB0CCD"/>
    <w:rsid w:val="00BB58C8"/>
    <w:rsid w:val="00BB6152"/>
    <w:rsid w:val="00BC0259"/>
    <w:rsid w:val="00BC6859"/>
    <w:rsid w:val="00BD0453"/>
    <w:rsid w:val="00BD7947"/>
    <w:rsid w:val="00BE01D3"/>
    <w:rsid w:val="00BE0A42"/>
    <w:rsid w:val="00BF60FB"/>
    <w:rsid w:val="00BF6B60"/>
    <w:rsid w:val="00BF7DFD"/>
    <w:rsid w:val="00C02D79"/>
    <w:rsid w:val="00C03D13"/>
    <w:rsid w:val="00C27C39"/>
    <w:rsid w:val="00C3230A"/>
    <w:rsid w:val="00C34EB0"/>
    <w:rsid w:val="00C37869"/>
    <w:rsid w:val="00C53CE4"/>
    <w:rsid w:val="00C54BA2"/>
    <w:rsid w:val="00C60859"/>
    <w:rsid w:val="00C64A33"/>
    <w:rsid w:val="00C64F60"/>
    <w:rsid w:val="00C703A6"/>
    <w:rsid w:val="00C71233"/>
    <w:rsid w:val="00C74FF9"/>
    <w:rsid w:val="00C772C5"/>
    <w:rsid w:val="00C87056"/>
    <w:rsid w:val="00C87758"/>
    <w:rsid w:val="00C90DF5"/>
    <w:rsid w:val="00C91557"/>
    <w:rsid w:val="00CA3DFE"/>
    <w:rsid w:val="00CA7B80"/>
    <w:rsid w:val="00CB0760"/>
    <w:rsid w:val="00CB2AFF"/>
    <w:rsid w:val="00CB503C"/>
    <w:rsid w:val="00CC2AD6"/>
    <w:rsid w:val="00CC479D"/>
    <w:rsid w:val="00CC6FCA"/>
    <w:rsid w:val="00CD0FE4"/>
    <w:rsid w:val="00CD259B"/>
    <w:rsid w:val="00CD318F"/>
    <w:rsid w:val="00CD4972"/>
    <w:rsid w:val="00CD6729"/>
    <w:rsid w:val="00CE2E7F"/>
    <w:rsid w:val="00CF1458"/>
    <w:rsid w:val="00CF7FD3"/>
    <w:rsid w:val="00D01AD4"/>
    <w:rsid w:val="00D034D9"/>
    <w:rsid w:val="00D101D5"/>
    <w:rsid w:val="00D137D4"/>
    <w:rsid w:val="00D16455"/>
    <w:rsid w:val="00D17579"/>
    <w:rsid w:val="00D23237"/>
    <w:rsid w:val="00D252E4"/>
    <w:rsid w:val="00D25EE7"/>
    <w:rsid w:val="00D357EC"/>
    <w:rsid w:val="00D35B6E"/>
    <w:rsid w:val="00D35EC8"/>
    <w:rsid w:val="00D42DF1"/>
    <w:rsid w:val="00D539AF"/>
    <w:rsid w:val="00D63A9B"/>
    <w:rsid w:val="00D647B3"/>
    <w:rsid w:val="00D65191"/>
    <w:rsid w:val="00D70641"/>
    <w:rsid w:val="00D77668"/>
    <w:rsid w:val="00D8144D"/>
    <w:rsid w:val="00DA023F"/>
    <w:rsid w:val="00DB409D"/>
    <w:rsid w:val="00DB4456"/>
    <w:rsid w:val="00DB4801"/>
    <w:rsid w:val="00DB6C9A"/>
    <w:rsid w:val="00DC286C"/>
    <w:rsid w:val="00DC3298"/>
    <w:rsid w:val="00DD1645"/>
    <w:rsid w:val="00DD403A"/>
    <w:rsid w:val="00DD5019"/>
    <w:rsid w:val="00DD55BF"/>
    <w:rsid w:val="00DE0668"/>
    <w:rsid w:val="00DE63E2"/>
    <w:rsid w:val="00DF5EF1"/>
    <w:rsid w:val="00E023E8"/>
    <w:rsid w:val="00E0306E"/>
    <w:rsid w:val="00E074C8"/>
    <w:rsid w:val="00E274A7"/>
    <w:rsid w:val="00E27627"/>
    <w:rsid w:val="00E320C2"/>
    <w:rsid w:val="00E321C0"/>
    <w:rsid w:val="00E32E35"/>
    <w:rsid w:val="00E343AB"/>
    <w:rsid w:val="00E358A1"/>
    <w:rsid w:val="00E43BE4"/>
    <w:rsid w:val="00E50AF4"/>
    <w:rsid w:val="00E525FA"/>
    <w:rsid w:val="00E61653"/>
    <w:rsid w:val="00E64425"/>
    <w:rsid w:val="00E67E48"/>
    <w:rsid w:val="00E71622"/>
    <w:rsid w:val="00E74DAD"/>
    <w:rsid w:val="00E8134F"/>
    <w:rsid w:val="00E81D76"/>
    <w:rsid w:val="00E93491"/>
    <w:rsid w:val="00E94EB4"/>
    <w:rsid w:val="00E954B4"/>
    <w:rsid w:val="00EA3986"/>
    <w:rsid w:val="00EB14D3"/>
    <w:rsid w:val="00EB1DC6"/>
    <w:rsid w:val="00EB366C"/>
    <w:rsid w:val="00EC3623"/>
    <w:rsid w:val="00EC3DD5"/>
    <w:rsid w:val="00EC60F6"/>
    <w:rsid w:val="00EC65C7"/>
    <w:rsid w:val="00ED5CFD"/>
    <w:rsid w:val="00ED707E"/>
    <w:rsid w:val="00ED7637"/>
    <w:rsid w:val="00EE1B73"/>
    <w:rsid w:val="00EE54C8"/>
    <w:rsid w:val="00EF0E45"/>
    <w:rsid w:val="00EF4E3D"/>
    <w:rsid w:val="00EF5CC7"/>
    <w:rsid w:val="00F01027"/>
    <w:rsid w:val="00F013BB"/>
    <w:rsid w:val="00F038BB"/>
    <w:rsid w:val="00F11DDA"/>
    <w:rsid w:val="00F1598C"/>
    <w:rsid w:val="00F17C3B"/>
    <w:rsid w:val="00F23CD0"/>
    <w:rsid w:val="00F27588"/>
    <w:rsid w:val="00F31576"/>
    <w:rsid w:val="00F33F37"/>
    <w:rsid w:val="00F40C8B"/>
    <w:rsid w:val="00F420E6"/>
    <w:rsid w:val="00F429DF"/>
    <w:rsid w:val="00F45A61"/>
    <w:rsid w:val="00F46A2E"/>
    <w:rsid w:val="00F50346"/>
    <w:rsid w:val="00F50EC5"/>
    <w:rsid w:val="00F529FB"/>
    <w:rsid w:val="00F56E97"/>
    <w:rsid w:val="00F60090"/>
    <w:rsid w:val="00F65675"/>
    <w:rsid w:val="00F65A1A"/>
    <w:rsid w:val="00F663CE"/>
    <w:rsid w:val="00F741A1"/>
    <w:rsid w:val="00F7644D"/>
    <w:rsid w:val="00F777DE"/>
    <w:rsid w:val="00F81A6C"/>
    <w:rsid w:val="00F849AF"/>
    <w:rsid w:val="00F85385"/>
    <w:rsid w:val="00F858D5"/>
    <w:rsid w:val="00F87ACF"/>
    <w:rsid w:val="00F91725"/>
    <w:rsid w:val="00F94B2B"/>
    <w:rsid w:val="00F95E02"/>
    <w:rsid w:val="00FA7D12"/>
    <w:rsid w:val="00FB0DA2"/>
    <w:rsid w:val="00FB0EFD"/>
    <w:rsid w:val="00FB36F8"/>
    <w:rsid w:val="00FC6B49"/>
    <w:rsid w:val="00FD19F7"/>
    <w:rsid w:val="00FD295E"/>
    <w:rsid w:val="00FE44EA"/>
    <w:rsid w:val="00FF49B7"/>
    <w:rsid w:val="00FF7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96B3"/>
  <w15:chartTrackingRefBased/>
  <w15:docId w15:val="{F174080B-20D7-4C58-A66A-0C8E7058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17"/>
    <w:pPr>
      <w:spacing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01908"/>
    <w:pPr>
      <w:keepNext/>
      <w:keepLines/>
      <w:spacing w:after="120"/>
      <w:ind w:left="357" w:hanging="357"/>
      <w:outlineLvl w:val="0"/>
    </w:pPr>
    <w:rPr>
      <w:rFonts w:eastAsiaTheme="majorEastAsia"/>
      <w:b/>
      <w:bCs/>
      <w:u w:val="single"/>
    </w:rPr>
  </w:style>
  <w:style w:type="paragraph" w:styleId="Heading2">
    <w:name w:val="heading 2"/>
    <w:basedOn w:val="Normal"/>
    <w:next w:val="Normal"/>
    <w:link w:val="Heading2Char"/>
    <w:uiPriority w:val="9"/>
    <w:unhideWhenUsed/>
    <w:qFormat/>
    <w:rsid w:val="00237E96"/>
    <w:pPr>
      <w:numPr>
        <w:numId w:val="4"/>
      </w:num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08"/>
    <w:rPr>
      <w:rFonts w:ascii="Times New Roman" w:eastAsiaTheme="majorEastAsia" w:hAnsi="Times New Roman" w:cs="Times New Roman"/>
      <w:b/>
      <w:bCs/>
      <w:sz w:val="24"/>
      <w:szCs w:val="24"/>
      <w:u w:val="single"/>
    </w:rPr>
  </w:style>
  <w:style w:type="table" w:styleId="TableGrid">
    <w:name w:val="Table Grid"/>
    <w:basedOn w:val="TableNormal"/>
    <w:uiPriority w:val="39"/>
    <w:rsid w:val="001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C41F0"/>
    <w:pPr>
      <w:spacing w:before="120" w:after="120" w:line="360" w:lineRule="auto"/>
      <w:ind w:firstLine="340"/>
    </w:pPr>
    <w:rPr>
      <w:rFonts w:ascii="Book Antiqua" w:hAnsi="Book Antiqua" w:cs="Miriam"/>
      <w:sz w:val="22"/>
      <w:szCs w:val="20"/>
      <w:lang w:bidi="he-IL"/>
    </w:rPr>
  </w:style>
  <w:style w:type="character" w:customStyle="1" w:styleId="BodyTextIndent2Char">
    <w:name w:val="Body Text Indent 2 Char"/>
    <w:basedOn w:val="DefaultParagraphFont"/>
    <w:link w:val="BodyTextIndent2"/>
    <w:rsid w:val="001C41F0"/>
    <w:rPr>
      <w:rFonts w:ascii="Book Antiqua" w:hAnsi="Book Antiqua" w:cs="Miriam"/>
      <w:szCs w:val="20"/>
      <w:lang w:bidi="he-IL"/>
    </w:rPr>
  </w:style>
  <w:style w:type="paragraph" w:styleId="FootnoteText">
    <w:name w:val="footnote text"/>
    <w:aliases w:val=" Char,Char"/>
    <w:basedOn w:val="Normal"/>
    <w:link w:val="FootnoteTextChar"/>
    <w:qFormat/>
    <w:rsid w:val="00A35D04"/>
    <w:pPr>
      <w:spacing w:line="276" w:lineRule="auto"/>
      <w:jc w:val="both"/>
    </w:pPr>
    <w:rPr>
      <w:rFonts w:cs="David"/>
      <w:sz w:val="22"/>
      <w:lang w:eastAsia="he-IL" w:bidi="he-IL"/>
    </w:rPr>
  </w:style>
  <w:style w:type="character" w:customStyle="1" w:styleId="FootnoteTextChar">
    <w:name w:val="Footnote Text Char"/>
    <w:aliases w:val=" Char Char,Char Char"/>
    <w:basedOn w:val="DefaultParagraphFont"/>
    <w:link w:val="FootnoteText"/>
    <w:rsid w:val="00A35D04"/>
    <w:rPr>
      <w:rFonts w:ascii="Times New Roman" w:hAnsi="Times New Roman" w:cs="David"/>
      <w:szCs w:val="24"/>
      <w:lang w:eastAsia="he-IL" w:bidi="he-IL"/>
    </w:rPr>
  </w:style>
  <w:style w:type="character" w:styleId="PageNumber">
    <w:name w:val="page number"/>
    <w:semiHidden/>
    <w:rsid w:val="001C41F0"/>
    <w:rPr>
      <w:rFonts w:cs="Times New Roman"/>
    </w:rPr>
  </w:style>
  <w:style w:type="character" w:styleId="FootnoteReference">
    <w:name w:val="footnote reference"/>
    <w:rsid w:val="001C41F0"/>
    <w:rPr>
      <w:rFonts w:cs="Times New Roman"/>
      <w:vertAlign w:val="superscript"/>
    </w:rPr>
  </w:style>
  <w:style w:type="paragraph" w:customStyle="1" w:styleId="1">
    <w:name w:val="סגנון1"/>
    <w:basedOn w:val="Normal"/>
    <w:rsid w:val="001C41F0"/>
    <w:pPr>
      <w:bidi/>
      <w:spacing w:line="360" w:lineRule="auto"/>
      <w:jc w:val="both"/>
    </w:pPr>
    <w:rPr>
      <w:rFonts w:cs="David"/>
      <w:lang w:eastAsia="he-IL" w:bidi="he-IL"/>
    </w:rPr>
  </w:style>
  <w:style w:type="paragraph" w:styleId="Header">
    <w:name w:val="header"/>
    <w:basedOn w:val="Normal"/>
    <w:link w:val="HeaderChar"/>
    <w:uiPriority w:val="99"/>
    <w:unhideWhenUsed/>
    <w:rsid w:val="001C41F0"/>
    <w:pPr>
      <w:tabs>
        <w:tab w:val="center" w:pos="4153"/>
        <w:tab w:val="right" w:pos="8306"/>
      </w:tabs>
      <w:bidi/>
    </w:pPr>
    <w:rPr>
      <w:rFonts w:cs="Miriam"/>
      <w:sz w:val="20"/>
      <w:szCs w:val="20"/>
      <w:lang w:eastAsia="he-IL" w:bidi="he-IL"/>
    </w:rPr>
  </w:style>
  <w:style w:type="character" w:customStyle="1" w:styleId="HeaderChar">
    <w:name w:val="Header Char"/>
    <w:basedOn w:val="DefaultParagraphFont"/>
    <w:link w:val="Header"/>
    <w:uiPriority w:val="99"/>
    <w:rsid w:val="001C41F0"/>
    <w:rPr>
      <w:rFonts w:ascii="Times New Roman" w:hAnsi="Times New Roman" w:cs="Miriam"/>
      <w:sz w:val="20"/>
      <w:szCs w:val="20"/>
      <w:lang w:eastAsia="he-IL" w:bidi="he-IL"/>
    </w:rPr>
  </w:style>
  <w:style w:type="paragraph" w:styleId="Footer">
    <w:name w:val="footer"/>
    <w:basedOn w:val="Normal"/>
    <w:link w:val="FooterChar"/>
    <w:uiPriority w:val="99"/>
    <w:unhideWhenUsed/>
    <w:rsid w:val="001C41F0"/>
    <w:pPr>
      <w:tabs>
        <w:tab w:val="center" w:pos="4153"/>
        <w:tab w:val="right" w:pos="8306"/>
      </w:tabs>
      <w:bidi/>
    </w:pPr>
    <w:rPr>
      <w:rFonts w:cs="Miriam"/>
      <w:sz w:val="20"/>
      <w:szCs w:val="20"/>
      <w:lang w:eastAsia="he-IL" w:bidi="he-IL"/>
    </w:rPr>
  </w:style>
  <w:style w:type="character" w:customStyle="1" w:styleId="FooterChar">
    <w:name w:val="Footer Char"/>
    <w:basedOn w:val="DefaultParagraphFont"/>
    <w:link w:val="Footer"/>
    <w:uiPriority w:val="99"/>
    <w:rsid w:val="001C41F0"/>
    <w:rPr>
      <w:rFonts w:ascii="Times New Roman" w:hAnsi="Times New Roman" w:cs="Miriam"/>
      <w:sz w:val="20"/>
      <w:szCs w:val="20"/>
      <w:lang w:eastAsia="he-IL" w:bidi="he-IL"/>
    </w:rPr>
  </w:style>
  <w:style w:type="paragraph" w:styleId="ListParagraph">
    <w:name w:val="List Paragraph"/>
    <w:basedOn w:val="Normal"/>
    <w:uiPriority w:val="34"/>
    <w:qFormat/>
    <w:rsid w:val="001C41F0"/>
    <w:pPr>
      <w:bidi/>
      <w:ind w:left="720"/>
      <w:contextualSpacing/>
    </w:pPr>
    <w:rPr>
      <w:rFonts w:cs="Miriam"/>
      <w:sz w:val="20"/>
      <w:szCs w:val="20"/>
      <w:lang w:bidi="he-IL"/>
    </w:rPr>
  </w:style>
  <w:style w:type="character" w:styleId="Hyperlink">
    <w:name w:val="Hyperlink"/>
    <w:basedOn w:val="DefaultParagraphFont"/>
    <w:uiPriority w:val="99"/>
    <w:unhideWhenUsed/>
    <w:rsid w:val="001C41F0"/>
    <w:rPr>
      <w:color w:val="0000FF"/>
      <w:u w:val="single"/>
    </w:rPr>
  </w:style>
  <w:style w:type="character" w:styleId="CommentReference">
    <w:name w:val="annotation reference"/>
    <w:basedOn w:val="DefaultParagraphFont"/>
    <w:uiPriority w:val="99"/>
    <w:semiHidden/>
    <w:unhideWhenUsed/>
    <w:rsid w:val="005C58BA"/>
    <w:rPr>
      <w:sz w:val="16"/>
      <w:szCs w:val="16"/>
    </w:rPr>
  </w:style>
  <w:style w:type="paragraph" w:styleId="CommentText">
    <w:name w:val="annotation text"/>
    <w:basedOn w:val="Normal"/>
    <w:link w:val="CommentTextChar"/>
    <w:uiPriority w:val="99"/>
    <w:unhideWhenUsed/>
    <w:rsid w:val="005C58BA"/>
    <w:rPr>
      <w:sz w:val="20"/>
      <w:szCs w:val="20"/>
    </w:rPr>
  </w:style>
  <w:style w:type="character" w:customStyle="1" w:styleId="CommentTextChar">
    <w:name w:val="Comment Text Char"/>
    <w:basedOn w:val="DefaultParagraphFont"/>
    <w:link w:val="CommentText"/>
    <w:uiPriority w:val="99"/>
    <w:rsid w:val="005C58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8BA"/>
    <w:rPr>
      <w:b/>
      <w:bCs/>
    </w:rPr>
  </w:style>
  <w:style w:type="character" w:customStyle="1" w:styleId="CommentSubjectChar">
    <w:name w:val="Comment Subject Char"/>
    <w:basedOn w:val="CommentTextChar"/>
    <w:link w:val="CommentSubject"/>
    <w:uiPriority w:val="99"/>
    <w:semiHidden/>
    <w:rsid w:val="005C58BA"/>
    <w:rPr>
      <w:rFonts w:ascii="Times New Roman" w:hAnsi="Times New Roman" w:cs="Times New Roman"/>
      <w:b/>
      <w:bCs/>
      <w:sz w:val="20"/>
      <w:szCs w:val="20"/>
    </w:rPr>
  </w:style>
  <w:style w:type="paragraph" w:styleId="Quote">
    <w:name w:val="Quote"/>
    <w:basedOn w:val="Normal"/>
    <w:next w:val="Normal"/>
    <w:link w:val="QuoteChar"/>
    <w:uiPriority w:val="29"/>
    <w:qFormat/>
    <w:rsid w:val="00CC6FCA"/>
    <w:pPr>
      <w:ind w:left="851" w:right="851"/>
      <w:jc w:val="both"/>
    </w:pPr>
  </w:style>
  <w:style w:type="character" w:customStyle="1" w:styleId="QuoteChar">
    <w:name w:val="Quote Char"/>
    <w:basedOn w:val="DefaultParagraphFont"/>
    <w:link w:val="Quote"/>
    <w:uiPriority w:val="29"/>
    <w:rsid w:val="00CC6FCA"/>
    <w:rPr>
      <w:rFonts w:ascii="Times New Roman" w:hAnsi="Times New Roman" w:cs="Times New Roman"/>
      <w:sz w:val="24"/>
      <w:szCs w:val="24"/>
    </w:rPr>
  </w:style>
  <w:style w:type="character" w:styleId="SubtleEmphasis">
    <w:name w:val="Subtle Emphasis"/>
    <w:basedOn w:val="DefaultParagraphFont"/>
    <w:uiPriority w:val="19"/>
    <w:rsid w:val="00995082"/>
    <w:rPr>
      <w:i/>
      <w:iCs/>
      <w:color w:val="404040" w:themeColor="text1" w:themeTint="BF"/>
    </w:rPr>
  </w:style>
  <w:style w:type="character" w:customStyle="1" w:styleId="Heading2Char">
    <w:name w:val="Heading 2 Char"/>
    <w:basedOn w:val="DefaultParagraphFont"/>
    <w:link w:val="Heading2"/>
    <w:uiPriority w:val="9"/>
    <w:rsid w:val="00237E96"/>
    <w:rPr>
      <w:rFonts w:ascii="Times New Roman" w:hAnsi="Times New Roman" w:cs="Times New Roman"/>
      <w:i/>
      <w:iCs/>
      <w:sz w:val="24"/>
      <w:szCs w:val="24"/>
    </w:rPr>
  </w:style>
  <w:style w:type="character" w:styleId="UnresolvedMention">
    <w:name w:val="Unresolved Mention"/>
    <w:basedOn w:val="DefaultParagraphFont"/>
    <w:uiPriority w:val="99"/>
    <w:semiHidden/>
    <w:unhideWhenUsed/>
    <w:rsid w:val="00105D20"/>
    <w:rPr>
      <w:color w:val="605E5C"/>
      <w:shd w:val="clear" w:color="auto" w:fill="E1DFDD"/>
    </w:rPr>
  </w:style>
  <w:style w:type="paragraph" w:styleId="NormalWeb">
    <w:name w:val="Normal (Web)"/>
    <w:basedOn w:val="Normal"/>
    <w:uiPriority w:val="99"/>
    <w:unhideWhenUsed/>
    <w:rsid w:val="006055E4"/>
    <w:pPr>
      <w:spacing w:before="100" w:beforeAutospacing="1" w:after="100" w:afterAutospacing="1"/>
    </w:pPr>
    <w:rPr>
      <w:lang w:bidi="he-IL"/>
    </w:rPr>
  </w:style>
  <w:style w:type="paragraph" w:styleId="BodyTextIndent">
    <w:name w:val="Body Text Indent"/>
    <w:basedOn w:val="Normal"/>
    <w:link w:val="BodyTextIndentChar"/>
    <w:uiPriority w:val="99"/>
    <w:semiHidden/>
    <w:unhideWhenUsed/>
    <w:rsid w:val="00F91725"/>
    <w:pPr>
      <w:spacing w:after="120"/>
      <w:ind w:left="360"/>
    </w:pPr>
  </w:style>
  <w:style w:type="character" w:customStyle="1" w:styleId="BodyTextIndentChar">
    <w:name w:val="Body Text Indent Char"/>
    <w:basedOn w:val="DefaultParagraphFont"/>
    <w:link w:val="BodyTextIndent"/>
    <w:uiPriority w:val="99"/>
    <w:semiHidden/>
    <w:rsid w:val="00F91725"/>
    <w:rPr>
      <w:rFonts w:ascii="Times New Roman" w:hAnsi="Times New Roman" w:cs="Times New Roman"/>
      <w:sz w:val="24"/>
      <w:szCs w:val="24"/>
    </w:rPr>
  </w:style>
  <w:style w:type="paragraph" w:styleId="BodyText">
    <w:name w:val="Body Text"/>
    <w:basedOn w:val="Normal"/>
    <w:link w:val="BodyTextChar"/>
    <w:uiPriority w:val="99"/>
    <w:semiHidden/>
    <w:unhideWhenUsed/>
    <w:rsid w:val="005C129E"/>
    <w:pPr>
      <w:spacing w:after="120"/>
    </w:pPr>
  </w:style>
  <w:style w:type="character" w:customStyle="1" w:styleId="BodyTextChar">
    <w:name w:val="Body Text Char"/>
    <w:basedOn w:val="DefaultParagraphFont"/>
    <w:link w:val="BodyText"/>
    <w:uiPriority w:val="99"/>
    <w:semiHidden/>
    <w:rsid w:val="005C12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5874">
      <w:bodyDiv w:val="1"/>
      <w:marLeft w:val="0"/>
      <w:marRight w:val="0"/>
      <w:marTop w:val="0"/>
      <w:marBottom w:val="0"/>
      <w:divBdr>
        <w:top w:val="none" w:sz="0" w:space="0" w:color="auto"/>
        <w:left w:val="none" w:sz="0" w:space="0" w:color="auto"/>
        <w:bottom w:val="none" w:sz="0" w:space="0" w:color="auto"/>
        <w:right w:val="none" w:sz="0" w:space="0" w:color="auto"/>
      </w:divBdr>
    </w:div>
    <w:div w:id="1236696320">
      <w:bodyDiv w:val="1"/>
      <w:marLeft w:val="0"/>
      <w:marRight w:val="0"/>
      <w:marTop w:val="0"/>
      <w:marBottom w:val="0"/>
      <w:divBdr>
        <w:top w:val="none" w:sz="0" w:space="0" w:color="auto"/>
        <w:left w:val="none" w:sz="0" w:space="0" w:color="auto"/>
        <w:bottom w:val="none" w:sz="0" w:space="0" w:color="auto"/>
        <w:right w:val="none" w:sz="0" w:space="0" w:color="auto"/>
      </w:divBdr>
    </w:div>
    <w:div w:id="15784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93/acprof:oso/9780199359332.001.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chter.ac.il/midrash/shir-hashirim-ra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EA3E-01AA-4010-A3C2-7C7D816D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10645</TotalTime>
  <Pages>29</Pages>
  <Words>6831</Words>
  <Characters>39485</Characters>
  <Application>Microsoft Office Word</Application>
  <DocSecurity>0</DocSecurity>
  <Lines>1012</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598</cp:revision>
  <dcterms:created xsi:type="dcterms:W3CDTF">2022-08-15T08:57:00Z</dcterms:created>
  <dcterms:modified xsi:type="dcterms:W3CDTF">2022-09-01T15:49:00Z</dcterms:modified>
</cp:coreProperties>
</file>