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CellSpacing w:w="0" w:type="auto"/>
        <w:tblInd w:w="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068"/>
      </w:tblGrid>
      <w:tr w:rsidR="00BF7640" w:rsidRPr="00625A07" w14:paraId="10FF7369" w14:textId="77777777" w:rsidTr="005C0958">
        <w:trPr>
          <w:trHeight w:val="20"/>
          <w:tblCellSpacing w:w="0" w:type="auto"/>
        </w:trPr>
        <w:tc>
          <w:tcPr>
            <w:tcW w:w="8068" w:type="dxa"/>
            <w:tcBorders>
              <w:bottom w:val="single" w:sz="16" w:space="0" w:color="000000"/>
            </w:tcBorders>
            <w:shd w:val="clear" w:color="auto" w:fill="E5E5E5"/>
            <w:tcMar>
              <w:top w:w="60" w:type="dxa"/>
              <w:left w:w="30" w:type="dxa"/>
              <w:bottom w:w="60" w:type="dxa"/>
              <w:right w:w="30" w:type="dxa"/>
            </w:tcMar>
          </w:tcPr>
          <w:p w14:paraId="1DFD1446" w14:textId="77139C09" w:rsidR="00BF7640" w:rsidRPr="00625A07" w:rsidRDefault="0000642C" w:rsidP="0000642C">
            <w:pPr>
              <w:bidi w:val="0"/>
              <w:spacing w:after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bidi="he"/>
              </w:rPr>
              <w:t>Conclusion and Recommendations</w:t>
            </w:r>
          </w:p>
        </w:tc>
      </w:tr>
    </w:tbl>
    <w:p w14:paraId="3F6DB5D5" w14:textId="04409F98" w:rsidR="00CF63BF" w:rsidRDefault="00212ED2" w:rsidP="00CF63BF">
      <w:pPr>
        <w:pStyle w:val="NormalWeb"/>
        <w:spacing w:line="360" w:lineRule="auto"/>
        <w:rPr>
          <w:rFonts w:cs="Calibri"/>
          <w:rtl/>
        </w:rPr>
      </w:pPr>
      <w:r>
        <w:rPr>
          <w:rFonts w:cs="Calibri"/>
        </w:rPr>
        <w:t>To build</w:t>
      </w:r>
      <w:r w:rsidR="00CF63BF">
        <w:rPr>
          <w:rFonts w:cs="Calibri"/>
        </w:rPr>
        <w:t xml:space="preserve"> a sustainable financial model that is based on combined funding from the following</w:t>
      </w:r>
      <w:r w:rsidR="000A3BF5">
        <w:rPr>
          <w:rFonts w:cs="Calibri"/>
        </w:rPr>
        <w:t xml:space="preserve"> sources</w:t>
      </w:r>
      <w:r w:rsidR="00CF63BF">
        <w:rPr>
          <w:rFonts w:cs="Calibri"/>
        </w:rPr>
        <w:t xml:space="preserve">: the private sector, governmental authorities (national and local), and </w:t>
      </w:r>
      <w:r w:rsidR="00E353F0">
        <w:rPr>
          <w:rFonts w:cs="Calibri"/>
        </w:rPr>
        <w:t>civil society.</w:t>
      </w:r>
      <w:r w:rsidR="007D133B">
        <w:rPr>
          <w:rFonts w:cs="Calibri"/>
        </w:rPr>
        <w:t xml:space="preserve"> This solution will </w:t>
      </w:r>
      <w:r w:rsidR="000A3BF5">
        <w:rPr>
          <w:rFonts w:cs="Calibri"/>
        </w:rPr>
        <w:t>facilitate</w:t>
      </w:r>
      <w:r w:rsidR="007D133B">
        <w:rPr>
          <w:rFonts w:cs="Calibri"/>
        </w:rPr>
        <w:t xml:space="preserve"> the</w:t>
      </w:r>
      <w:r w:rsidR="003B1119">
        <w:rPr>
          <w:rFonts w:cs="Calibri"/>
        </w:rPr>
        <w:t xml:space="preserve"> </w:t>
      </w:r>
      <w:r w:rsidR="007D133B">
        <w:rPr>
          <w:rFonts w:cs="Calibri"/>
        </w:rPr>
        <w:t>sustainable growt</w:t>
      </w:r>
      <w:r w:rsidR="008245DC">
        <w:rPr>
          <w:rFonts w:cs="Calibri"/>
        </w:rPr>
        <w:t>h</w:t>
      </w:r>
      <w:r w:rsidR="003B1119">
        <w:rPr>
          <w:rFonts w:cs="Calibri"/>
        </w:rPr>
        <w:t xml:space="preserve"> of the model</w:t>
      </w:r>
      <w:r w:rsidR="007D133B">
        <w:rPr>
          <w:rFonts w:cs="Calibri"/>
        </w:rPr>
        <w:t>.</w:t>
      </w:r>
    </w:p>
    <w:p w14:paraId="06161323" w14:textId="3E3736CD" w:rsidR="00E70FB8" w:rsidRPr="000A4F61" w:rsidRDefault="007B50AC" w:rsidP="000A4F61">
      <w:pPr>
        <w:pStyle w:val="NormalWeb"/>
        <w:spacing w:line="360" w:lineRule="auto"/>
        <w:rPr>
          <w:rFonts w:cs="Calibri"/>
        </w:rPr>
      </w:pPr>
      <w:r>
        <w:rPr>
          <w:rFonts w:cs="Calibri"/>
          <w:lang w:val="en-GB"/>
        </w:rPr>
        <w:t xml:space="preserve">The </w:t>
      </w:r>
      <w:r w:rsidR="00C5625B">
        <w:rPr>
          <w:rFonts w:cs="Calibri"/>
          <w:lang w:val="en-GB"/>
        </w:rPr>
        <w:t xml:space="preserve">element </w:t>
      </w:r>
      <w:r w:rsidR="00C5625B">
        <w:rPr>
          <w:rFonts w:cs="Calibri"/>
          <w:lang w:val="en-GB"/>
        </w:rPr>
        <w:t xml:space="preserve">of </w:t>
      </w:r>
      <w:r>
        <w:rPr>
          <w:rFonts w:cs="Calibri"/>
          <w:lang w:val="en-GB"/>
        </w:rPr>
        <w:t xml:space="preserve">support </w:t>
      </w:r>
      <w:r w:rsidR="000A4F61">
        <w:rPr>
          <w:rFonts w:cs="Calibri"/>
          <w:lang w:val="en-GB"/>
        </w:rPr>
        <w:t>for pilot participants will be built in partnership with potential NGOs</w:t>
      </w:r>
      <w:r w:rsidR="00C8166A">
        <w:rPr>
          <w:rFonts w:cs="Calibri"/>
          <w:lang w:val="en-GB"/>
        </w:rPr>
        <w:t xml:space="preserve"> (for example: Elem, </w:t>
      </w:r>
      <w:r w:rsidR="002F1A80">
        <w:rPr>
          <w:rFonts w:cs="Calibri"/>
          <w:lang w:val="en-GB"/>
        </w:rPr>
        <w:t xml:space="preserve">the </w:t>
      </w:r>
      <w:commentRangeStart w:id="0"/>
      <w:r w:rsidR="002F1A80">
        <w:rPr>
          <w:rFonts w:cs="Calibri"/>
          <w:lang w:val="en-GB"/>
        </w:rPr>
        <w:t>college</w:t>
      </w:r>
      <w:commentRangeEnd w:id="0"/>
      <w:r w:rsidR="002F1A80">
        <w:rPr>
          <w:rStyle w:val="CommentReference"/>
          <w:rFonts w:asciiTheme="minorHAnsi" w:eastAsiaTheme="minorHAnsi" w:hAnsiTheme="minorHAnsi" w:cstheme="minorBidi"/>
        </w:rPr>
        <w:commentReference w:id="0"/>
      </w:r>
      <w:r w:rsidR="007A34C5">
        <w:rPr>
          <w:rFonts w:cs="Calibri"/>
          <w:lang w:val="en-GB"/>
        </w:rPr>
        <w:t>, Be-Atzmi, Chochmat Nashim),</w:t>
      </w:r>
      <w:r w:rsidR="00001DBF">
        <w:rPr>
          <w:rFonts w:cs="Calibri"/>
          <w:lang w:val="en-GB"/>
        </w:rPr>
        <w:t xml:space="preserve"> the</w:t>
      </w:r>
      <w:r w:rsidR="007A34C5">
        <w:rPr>
          <w:rFonts w:cs="Calibri"/>
          <w:lang w:val="en-GB"/>
        </w:rPr>
        <w:t xml:space="preserve"> Tel Aviv</w:t>
      </w:r>
      <w:r w:rsidR="00001DBF">
        <w:rPr>
          <w:rFonts w:cs="Calibri"/>
          <w:lang w:val="en-GB"/>
        </w:rPr>
        <w:t>-</w:t>
      </w:r>
      <w:r w:rsidR="007A34C5">
        <w:rPr>
          <w:rFonts w:cs="Calibri"/>
          <w:lang w:val="en-GB"/>
        </w:rPr>
        <w:t>Jaffa Munici</w:t>
      </w:r>
      <w:r w:rsidR="00B54040">
        <w:rPr>
          <w:rFonts w:cs="Calibri"/>
          <w:lang w:val="en-GB"/>
        </w:rPr>
        <w:t>pality</w:t>
      </w:r>
      <w:r w:rsidR="00C5625B">
        <w:rPr>
          <w:rFonts w:cs="Calibri"/>
          <w:lang w:val="en-GB"/>
        </w:rPr>
        <w:t>,</w:t>
      </w:r>
      <w:r w:rsidR="00B54040">
        <w:rPr>
          <w:rFonts w:cs="Calibri"/>
          <w:lang w:val="en-GB"/>
        </w:rPr>
        <w:t xml:space="preserve"> and the Ministry of Welfare</w:t>
      </w:r>
      <w:r w:rsidR="00001DBF">
        <w:rPr>
          <w:rFonts w:cs="Calibri"/>
          <w:lang w:val="en-GB"/>
        </w:rPr>
        <w:t xml:space="preserve">. This will be done </w:t>
      </w:r>
      <w:r w:rsidR="00186234">
        <w:rPr>
          <w:rFonts w:cs="Calibri"/>
          <w:lang w:val="en-GB"/>
        </w:rPr>
        <w:t>based on</w:t>
      </w:r>
      <w:r w:rsidR="00001DBF">
        <w:rPr>
          <w:rFonts w:cs="Calibri"/>
          <w:lang w:val="en-GB"/>
        </w:rPr>
        <w:t xml:space="preserve"> the joint initiative and the </w:t>
      </w:r>
      <w:r w:rsidR="00186234">
        <w:rPr>
          <w:rFonts w:cs="Calibri"/>
          <w:lang w:val="en-GB"/>
        </w:rPr>
        <w:t>following:</w:t>
      </w:r>
    </w:p>
    <w:p w14:paraId="2E659FF1" w14:textId="673E333B" w:rsidR="00E70FB8" w:rsidRDefault="00E70FB8" w:rsidP="00306631">
      <w:pPr>
        <w:pStyle w:val="NormalWeb"/>
        <w:spacing w:line="360" w:lineRule="auto"/>
        <w:rPr>
          <w:rFonts w:cs="Calibri"/>
          <w:lang w:val="en-GB"/>
        </w:rPr>
      </w:pPr>
      <w:r>
        <w:rPr>
          <w:rFonts w:cs="Calibri"/>
          <w:lang w:val="en-GB"/>
        </w:rPr>
        <w:t xml:space="preserve">As part of the initiative, 45 apartments will be purchased </w:t>
      </w:r>
      <w:r w:rsidR="00A414C1">
        <w:rPr>
          <w:rFonts w:cs="Calibri"/>
          <w:lang w:val="en-GB"/>
        </w:rPr>
        <w:t>in</w:t>
      </w:r>
      <w:r>
        <w:rPr>
          <w:rFonts w:cs="Calibri"/>
          <w:lang w:val="en-GB"/>
        </w:rPr>
        <w:t xml:space="preserve"> </w:t>
      </w:r>
      <w:r w:rsidR="00A414C1">
        <w:rPr>
          <w:rFonts w:cs="Calibri"/>
          <w:lang w:val="en-GB"/>
        </w:rPr>
        <w:t xml:space="preserve">greater Tel Aviv-Jaffa. </w:t>
      </w:r>
      <w:r w:rsidR="00AA6AA4">
        <w:rPr>
          <w:rFonts w:cs="Calibri"/>
          <w:lang w:val="en-GB"/>
        </w:rPr>
        <w:t>Forty-five</w:t>
      </w:r>
      <w:r w:rsidR="00A414C1">
        <w:rPr>
          <w:rFonts w:cs="Calibri"/>
          <w:lang w:val="en-GB"/>
        </w:rPr>
        <w:t xml:space="preserve"> women will be housed in these apartments for five years. </w:t>
      </w:r>
      <w:r w:rsidR="005D652A">
        <w:rPr>
          <w:rFonts w:cs="Calibri"/>
          <w:lang w:val="en-GB"/>
        </w:rPr>
        <w:t>During the second stage</w:t>
      </w:r>
      <w:r w:rsidR="00C5625B">
        <w:rPr>
          <w:rFonts w:cs="Calibri"/>
          <w:lang w:val="en-GB"/>
        </w:rPr>
        <w:t>,</w:t>
      </w:r>
      <w:r w:rsidR="005D652A">
        <w:rPr>
          <w:rFonts w:cs="Calibri"/>
          <w:lang w:val="en-GB"/>
        </w:rPr>
        <w:t xml:space="preserve"> an additional 45 women will </w:t>
      </w:r>
      <w:r w:rsidR="00631684">
        <w:rPr>
          <w:rFonts w:cs="Calibri"/>
          <w:lang w:val="en-GB"/>
        </w:rPr>
        <w:t>replace them</w:t>
      </w:r>
      <w:r w:rsidR="005D652A">
        <w:rPr>
          <w:rFonts w:cs="Calibri"/>
          <w:lang w:val="en-GB"/>
        </w:rPr>
        <w:t>, on the assumption</w:t>
      </w:r>
      <w:r w:rsidR="00631684">
        <w:rPr>
          <w:rFonts w:cs="Calibri"/>
          <w:lang w:val="en-GB"/>
        </w:rPr>
        <w:t xml:space="preserve"> that those completing the program will </w:t>
      </w:r>
      <w:r w:rsidR="0079194F">
        <w:rPr>
          <w:rFonts w:cs="Calibri"/>
          <w:lang w:val="en-GB"/>
        </w:rPr>
        <w:t>have found</w:t>
      </w:r>
      <w:r w:rsidR="00631684">
        <w:rPr>
          <w:rFonts w:cs="Calibri"/>
          <w:lang w:val="en-GB"/>
        </w:rPr>
        <w:t xml:space="preserve"> suitable alternative housing (independently or otherwise)</w:t>
      </w:r>
      <w:r w:rsidR="00402C20">
        <w:rPr>
          <w:rFonts w:cs="Calibri"/>
          <w:lang w:val="en-GB"/>
        </w:rPr>
        <w:t>: a total of 90 women over 10 years.</w:t>
      </w:r>
    </w:p>
    <w:p w14:paraId="685B1232" w14:textId="62FE9541" w:rsidR="00064B9B" w:rsidRDefault="00FD6C4E" w:rsidP="00E151A3">
      <w:pPr>
        <w:pStyle w:val="NormalWeb"/>
        <w:spacing w:line="360" w:lineRule="auto"/>
        <w:rPr>
          <w:rFonts w:cs="Calibri"/>
          <w:u w:val="single"/>
          <w:lang w:val="en-GB"/>
        </w:rPr>
      </w:pPr>
      <w:r>
        <w:rPr>
          <w:rFonts w:cs="Calibri"/>
          <w:u w:val="single"/>
          <w:lang w:val="en-GB"/>
        </w:rPr>
        <w:t>Project Goals</w:t>
      </w:r>
    </w:p>
    <w:p w14:paraId="2ACB5053" w14:textId="54414C96" w:rsidR="00E151A3" w:rsidRDefault="00497F68" w:rsidP="00E151A3">
      <w:pPr>
        <w:pStyle w:val="NormalWeb"/>
        <w:numPr>
          <w:ilvl w:val="0"/>
          <w:numId w:val="12"/>
        </w:numPr>
        <w:spacing w:line="360" w:lineRule="auto"/>
        <w:rPr>
          <w:rFonts w:cs="Calibri"/>
          <w:lang w:val="en-GB"/>
        </w:rPr>
      </w:pPr>
      <w:r>
        <w:rPr>
          <w:rFonts w:cs="Calibri"/>
          <w:lang w:val="en-GB"/>
        </w:rPr>
        <w:t xml:space="preserve">A clear majority of the participants demonstrate </w:t>
      </w:r>
      <w:r w:rsidR="00372642">
        <w:rPr>
          <w:rFonts w:cs="Calibri"/>
          <w:lang w:val="en-GB"/>
        </w:rPr>
        <w:t xml:space="preserve">considerable improvement </w:t>
      </w:r>
      <w:r w:rsidR="00BD6CF8">
        <w:rPr>
          <w:rFonts w:cs="Calibri"/>
          <w:lang w:val="en-GB"/>
        </w:rPr>
        <w:t>according to</w:t>
      </w:r>
      <w:r w:rsidR="00372642">
        <w:rPr>
          <w:rFonts w:cs="Calibri"/>
          <w:lang w:val="en-GB"/>
        </w:rPr>
        <w:t xml:space="preserve"> the </w:t>
      </w:r>
      <w:r w:rsidR="003E656E">
        <w:rPr>
          <w:rFonts w:cs="Calibri"/>
          <w:lang w:val="en-GB"/>
        </w:rPr>
        <w:t xml:space="preserve">performance measures (this will be determined </w:t>
      </w:r>
      <w:r w:rsidR="008A11DE">
        <w:rPr>
          <w:rFonts w:cs="Calibri"/>
          <w:lang w:val="en-GB"/>
        </w:rPr>
        <w:t>later</w:t>
      </w:r>
      <w:r w:rsidR="003E656E">
        <w:rPr>
          <w:rFonts w:cs="Calibri"/>
          <w:lang w:val="en-GB"/>
        </w:rPr>
        <w:t xml:space="preserve"> according to the accompanying </w:t>
      </w:r>
      <w:r w:rsidR="00C2588B">
        <w:rPr>
          <w:rFonts w:cs="Calibri"/>
          <w:lang w:val="en-GB"/>
        </w:rPr>
        <w:t>evaluation research)</w:t>
      </w:r>
      <w:r w:rsidR="001F4320">
        <w:rPr>
          <w:rFonts w:cs="Calibri"/>
          <w:lang w:val="en-GB"/>
        </w:rPr>
        <w:t>.</w:t>
      </w:r>
    </w:p>
    <w:p w14:paraId="3F6E0906" w14:textId="584059B1" w:rsidR="008A11DE" w:rsidRDefault="008A11DE" w:rsidP="00E151A3">
      <w:pPr>
        <w:pStyle w:val="NormalWeb"/>
        <w:numPr>
          <w:ilvl w:val="0"/>
          <w:numId w:val="12"/>
        </w:numPr>
        <w:spacing w:line="360" w:lineRule="auto"/>
        <w:rPr>
          <w:rFonts w:cs="Calibri"/>
          <w:lang w:val="en-GB"/>
        </w:rPr>
      </w:pPr>
      <w:r>
        <w:rPr>
          <w:rFonts w:cs="Calibri" w:hint="cs"/>
          <w:lang w:val="en-GB"/>
        </w:rPr>
        <w:t>D</w:t>
      </w:r>
      <w:r>
        <w:rPr>
          <w:rFonts w:cs="Calibri"/>
          <w:lang w:val="en-GB"/>
        </w:rPr>
        <w:t>eveloping an optimal integrated model of support and housing.</w:t>
      </w:r>
    </w:p>
    <w:p w14:paraId="3CD7F03E" w14:textId="37BDAD6C" w:rsidR="008A11DE" w:rsidRDefault="008A11DE" w:rsidP="00E151A3">
      <w:pPr>
        <w:pStyle w:val="NormalWeb"/>
        <w:numPr>
          <w:ilvl w:val="0"/>
          <w:numId w:val="12"/>
        </w:numPr>
        <w:spacing w:line="360" w:lineRule="auto"/>
        <w:rPr>
          <w:rFonts w:cs="Calibri"/>
          <w:lang w:val="en-GB"/>
        </w:rPr>
      </w:pPr>
      <w:r>
        <w:rPr>
          <w:rFonts w:cs="Calibri"/>
          <w:lang w:val="en-GB"/>
        </w:rPr>
        <w:t>The</w:t>
      </w:r>
      <w:r w:rsidR="001F4320">
        <w:rPr>
          <w:rFonts w:cs="Calibri"/>
          <w:lang w:val="en-GB"/>
        </w:rPr>
        <w:t xml:space="preserve"> Ministry of Welfare will</w:t>
      </w:r>
      <w:r>
        <w:rPr>
          <w:rFonts w:cs="Calibri"/>
          <w:lang w:val="en-GB"/>
        </w:rPr>
        <w:t xml:space="preserve"> adopt the support model within </w:t>
      </w:r>
      <w:r w:rsidR="00E12772">
        <w:rPr>
          <w:rFonts w:cs="Calibri"/>
          <w:lang w:val="en-GB"/>
        </w:rPr>
        <w:t xml:space="preserve">three years </w:t>
      </w:r>
      <w:r w:rsidR="001F4320">
        <w:rPr>
          <w:rFonts w:cs="Calibri"/>
          <w:lang w:val="en-GB"/>
        </w:rPr>
        <w:t>of</w:t>
      </w:r>
      <w:r w:rsidR="00E12772">
        <w:rPr>
          <w:rFonts w:cs="Calibri"/>
          <w:lang w:val="en-GB"/>
        </w:rPr>
        <w:t xml:space="preserve"> the start of the pilot.</w:t>
      </w:r>
    </w:p>
    <w:p w14:paraId="2E2CAA2B" w14:textId="02B2E513" w:rsidR="00470B7A" w:rsidRPr="00A6625A" w:rsidRDefault="00A6625A" w:rsidP="00A6625A">
      <w:pPr>
        <w:pStyle w:val="NormalWeb"/>
        <w:numPr>
          <w:ilvl w:val="0"/>
          <w:numId w:val="12"/>
        </w:numPr>
        <w:spacing w:line="360" w:lineRule="auto"/>
        <w:rPr>
          <w:rFonts w:cs="Calibri"/>
          <w:lang w:val="en-GB"/>
        </w:rPr>
      </w:pPr>
      <w:r>
        <w:rPr>
          <w:rFonts w:cs="Calibri"/>
          <w:lang w:val="en-GB"/>
        </w:rPr>
        <w:t xml:space="preserve">Prove that the model is financially sustainable/attractive to business figures at the end of the </w:t>
      </w:r>
      <w:r w:rsidR="00BD6CF8">
        <w:rPr>
          <w:rFonts w:cs="Calibri"/>
          <w:lang w:val="en-GB"/>
        </w:rPr>
        <w:t>pilot,</w:t>
      </w:r>
      <w:r>
        <w:rPr>
          <w:rFonts w:cs="Calibri"/>
          <w:lang w:val="en-GB"/>
        </w:rPr>
        <w:t xml:space="preserve"> extending the model to other authorities.</w:t>
      </w:r>
    </w:p>
    <w:tbl>
      <w:tblPr>
        <w:bidiVisual/>
        <w:tblW w:w="0" w:type="auto"/>
        <w:tblCellSpacing w:w="0" w:type="auto"/>
        <w:tblInd w:w="-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171"/>
      </w:tblGrid>
      <w:tr w:rsidR="00BF7640" w:rsidRPr="00625A07" w14:paraId="62AAEFD0" w14:textId="77777777" w:rsidTr="003258B6">
        <w:trPr>
          <w:trHeight w:val="135"/>
          <w:tblCellSpacing w:w="0" w:type="auto"/>
        </w:trPr>
        <w:tc>
          <w:tcPr>
            <w:tcW w:w="8171" w:type="dxa"/>
            <w:tcBorders>
              <w:bottom w:val="single" w:sz="16" w:space="0" w:color="000000"/>
            </w:tcBorders>
            <w:shd w:val="clear" w:color="auto" w:fill="E5E5E5"/>
            <w:tcMar>
              <w:top w:w="60" w:type="dxa"/>
              <w:left w:w="30" w:type="dxa"/>
              <w:bottom w:w="60" w:type="dxa"/>
              <w:right w:w="30" w:type="dxa"/>
            </w:tcMar>
          </w:tcPr>
          <w:p w14:paraId="696855A8" w14:textId="2B8764B3" w:rsidR="00BF7640" w:rsidRPr="00A6625A" w:rsidRDefault="00A6625A" w:rsidP="00A6625A">
            <w:pPr>
              <w:bidi w:val="0"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Background</w:t>
            </w:r>
          </w:p>
        </w:tc>
      </w:tr>
    </w:tbl>
    <w:p w14:paraId="1738F93E" w14:textId="77777777" w:rsidR="00A6625A" w:rsidRDefault="00A6625A" w:rsidP="00A6625A">
      <w:pPr>
        <w:bidi w:val="0"/>
        <w:spacing w:after="165" w:line="360" w:lineRule="auto"/>
        <w:ind w:right="-17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8431930" w14:textId="240ABF67" w:rsidR="00A6625A" w:rsidRDefault="00A6625A" w:rsidP="0015413C">
      <w:pPr>
        <w:bidi w:val="0"/>
        <w:spacing w:after="165" w:line="360" w:lineRule="auto"/>
        <w:ind w:right="-17"/>
        <w:rPr>
          <w:rFonts w:ascii="Calibri" w:eastAsia="Times New Roman" w:hAnsi="Calibri" w:cs="Calibri"/>
          <w:color w:val="000000"/>
          <w:sz w:val="24"/>
          <w:szCs w:val="24"/>
          <w:lang w:val="en-GB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“</w:t>
      </w:r>
      <w:r w:rsidR="00274FC3">
        <w:rPr>
          <w:rFonts w:ascii="Calibri" w:eastAsia="Times New Roman" w:hAnsi="Calibri" w:cs="Calibri"/>
          <w:color w:val="000000"/>
          <w:sz w:val="24"/>
          <w:szCs w:val="24"/>
        </w:rPr>
        <w:t xml:space="preserve">Housing First” is based on the intervention method for working with </w:t>
      </w:r>
      <w:r w:rsidR="006912E7"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r w:rsidR="00274FC3">
        <w:rPr>
          <w:rFonts w:ascii="Calibri" w:eastAsia="Times New Roman" w:hAnsi="Calibri" w:cs="Calibri"/>
          <w:color w:val="000000"/>
          <w:sz w:val="24"/>
          <w:szCs w:val="24"/>
        </w:rPr>
        <w:t xml:space="preserve">homeless </w:t>
      </w:r>
      <w:r w:rsidR="001A6104">
        <w:rPr>
          <w:rFonts w:ascii="Calibri" w:eastAsia="Times New Roman" w:hAnsi="Calibri" w:cs="Calibri"/>
          <w:color w:val="000000"/>
          <w:sz w:val="24"/>
          <w:szCs w:val="24"/>
        </w:rPr>
        <w:t>that</w:t>
      </w:r>
      <w:r w:rsidR="00274FC3">
        <w:rPr>
          <w:rFonts w:ascii="Calibri" w:eastAsia="Times New Roman" w:hAnsi="Calibri" w:cs="Calibri"/>
          <w:color w:val="000000"/>
          <w:sz w:val="24"/>
          <w:szCs w:val="24"/>
        </w:rPr>
        <w:t xml:space="preserve"> has existed for more than 20 years</w:t>
      </w:r>
      <w:r w:rsidR="001A6104">
        <w:rPr>
          <w:rFonts w:ascii="Calibri" w:eastAsia="Times New Roman" w:hAnsi="Calibri" w:cs="Calibri"/>
          <w:color w:val="000000"/>
          <w:sz w:val="24"/>
          <w:szCs w:val="24"/>
        </w:rPr>
        <w:t>. I</w:t>
      </w:r>
      <w:r w:rsidR="000B5D78">
        <w:rPr>
          <w:rFonts w:ascii="Calibri" w:eastAsia="Times New Roman" w:hAnsi="Calibri" w:cs="Calibri"/>
          <w:color w:val="000000"/>
          <w:sz w:val="24"/>
          <w:szCs w:val="24"/>
        </w:rPr>
        <w:t>t</w:t>
      </w:r>
      <w:r w:rsidR="00274FC3">
        <w:rPr>
          <w:rFonts w:ascii="Calibri" w:eastAsia="Times New Roman" w:hAnsi="Calibri" w:cs="Calibri"/>
          <w:color w:val="000000"/>
          <w:sz w:val="24"/>
          <w:szCs w:val="24"/>
        </w:rPr>
        <w:t xml:space="preserve"> was first developed in the United States and was</w:t>
      </w:r>
      <w:r w:rsidR="000B5D78">
        <w:rPr>
          <w:rFonts w:ascii="Calibri" w:eastAsia="Times New Roman" w:hAnsi="Calibri" w:cs="Calibri"/>
          <w:color w:val="000000"/>
          <w:sz w:val="24"/>
          <w:szCs w:val="24"/>
        </w:rPr>
        <w:t xml:space="preserve"> later</w:t>
      </w:r>
      <w:r w:rsidR="00274FC3">
        <w:rPr>
          <w:rFonts w:ascii="Calibri" w:eastAsia="Times New Roman" w:hAnsi="Calibri" w:cs="Calibri"/>
          <w:color w:val="000000"/>
          <w:sz w:val="24"/>
          <w:szCs w:val="24"/>
        </w:rPr>
        <w:t xml:space="preserve"> also used in Australia </w:t>
      </w:r>
      <w:r w:rsidR="008E2B33">
        <w:rPr>
          <w:rFonts w:ascii="Calibri" w:eastAsia="Times New Roman" w:hAnsi="Calibri" w:cs="Calibri"/>
          <w:color w:val="000000"/>
          <w:sz w:val="24"/>
          <w:szCs w:val="24"/>
        </w:rPr>
        <w:t xml:space="preserve">and </w:t>
      </w:r>
      <w:r w:rsidR="001A6104">
        <w:rPr>
          <w:rFonts w:ascii="Calibri" w:eastAsia="Times New Roman" w:hAnsi="Calibri" w:cs="Calibri"/>
          <w:color w:val="000000"/>
          <w:sz w:val="24"/>
          <w:szCs w:val="24"/>
        </w:rPr>
        <w:t>various</w:t>
      </w:r>
      <w:r w:rsidR="008E2B33">
        <w:rPr>
          <w:rFonts w:ascii="Calibri" w:eastAsia="Times New Roman" w:hAnsi="Calibri" w:cs="Calibri"/>
          <w:color w:val="000000"/>
          <w:sz w:val="24"/>
          <w:szCs w:val="24"/>
        </w:rPr>
        <w:t xml:space="preserve"> European countries, </w:t>
      </w:r>
      <w:r w:rsidR="001A6104">
        <w:rPr>
          <w:rFonts w:ascii="Calibri" w:eastAsia="Times New Roman" w:hAnsi="Calibri" w:cs="Calibri"/>
          <w:color w:val="000000"/>
          <w:sz w:val="24"/>
          <w:szCs w:val="24"/>
        </w:rPr>
        <w:t>to meet</w:t>
      </w:r>
      <w:r w:rsidR="000B5D78">
        <w:rPr>
          <w:rFonts w:ascii="Calibri" w:eastAsia="Times New Roman" w:hAnsi="Calibri" w:cs="Calibri"/>
          <w:color w:val="000000"/>
          <w:sz w:val="24"/>
          <w:szCs w:val="24"/>
        </w:rPr>
        <w:t xml:space="preserve"> the</w:t>
      </w:r>
      <w:r w:rsidR="008E2B33">
        <w:rPr>
          <w:rFonts w:ascii="Calibri" w:eastAsia="Times New Roman" w:hAnsi="Calibri" w:cs="Calibri"/>
          <w:color w:val="000000"/>
          <w:sz w:val="24"/>
          <w:szCs w:val="24"/>
        </w:rPr>
        <w:t xml:space="preserve"> two main needs of homeless people – </w:t>
      </w:r>
      <w:r w:rsidR="008E2B33">
        <w:rPr>
          <w:rFonts w:ascii="Calibri" w:eastAsia="Times New Roman" w:hAnsi="Calibri" w:cs="Calibri"/>
          <w:color w:val="000000"/>
          <w:sz w:val="24"/>
          <w:szCs w:val="24"/>
          <w:u w:val="single"/>
        </w:rPr>
        <w:t xml:space="preserve">housing </w:t>
      </w:r>
      <w:r w:rsidR="008E2B33">
        <w:rPr>
          <w:rFonts w:ascii="Calibri" w:eastAsia="Times New Roman" w:hAnsi="Calibri" w:cs="Calibri"/>
          <w:color w:val="000000"/>
          <w:sz w:val="24"/>
          <w:szCs w:val="24"/>
        </w:rPr>
        <w:t xml:space="preserve">and </w:t>
      </w:r>
      <w:r w:rsidR="008E2B33">
        <w:rPr>
          <w:rFonts w:ascii="Calibri" w:eastAsia="Times New Roman" w:hAnsi="Calibri" w:cs="Calibri"/>
          <w:color w:val="000000"/>
          <w:sz w:val="24"/>
          <w:szCs w:val="24"/>
          <w:u w:val="single"/>
        </w:rPr>
        <w:t>support</w:t>
      </w:r>
      <w:r w:rsidR="001A6104" w:rsidRPr="001A6104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8E2B33">
        <w:rPr>
          <w:rFonts w:ascii="Calibri" w:eastAsia="Times New Roman" w:hAnsi="Calibri" w:cs="Calibri"/>
          <w:color w:val="000000"/>
          <w:sz w:val="24"/>
          <w:szCs w:val="24"/>
        </w:rPr>
        <w:t>(</w:t>
      </w:r>
      <w:r w:rsidR="000D19B4">
        <w:rPr>
          <w:rFonts w:ascii="Calibri" w:eastAsia="Times New Roman" w:hAnsi="Calibri" w:cs="Calibri"/>
          <w:color w:val="000000"/>
          <w:sz w:val="24"/>
          <w:szCs w:val="24"/>
        </w:rPr>
        <w:t xml:space="preserve">which are not conditional or </w:t>
      </w:r>
      <w:r w:rsidR="000D19B4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dependent on one another). The method is based on the </w:t>
      </w:r>
      <w:r w:rsidR="00BD1732">
        <w:rPr>
          <w:rFonts w:ascii="Calibri" w:eastAsia="Times New Roman" w:hAnsi="Calibri" w:cs="Calibri"/>
          <w:color w:val="000000"/>
          <w:sz w:val="24"/>
          <w:szCs w:val="24"/>
        </w:rPr>
        <w:t>idea</w:t>
      </w:r>
      <w:r w:rsidR="000D19B4">
        <w:rPr>
          <w:rFonts w:ascii="Calibri" w:eastAsia="Times New Roman" w:hAnsi="Calibri" w:cs="Calibri"/>
          <w:color w:val="000000"/>
          <w:sz w:val="24"/>
          <w:szCs w:val="24"/>
        </w:rPr>
        <w:t xml:space="preserve"> that the right to housing is a basic human right. “Housing First” </w:t>
      </w:r>
      <w:r w:rsidR="00833040">
        <w:rPr>
          <w:rFonts w:ascii="Calibri" w:eastAsia="Times New Roman" w:hAnsi="Calibri" w:cs="Calibri"/>
          <w:color w:val="000000"/>
          <w:sz w:val="24"/>
          <w:szCs w:val="24"/>
        </w:rPr>
        <w:t xml:space="preserve">constitutes a </w:t>
      </w:r>
      <w:r w:rsidR="001A6104">
        <w:rPr>
          <w:rFonts w:ascii="Calibri" w:eastAsia="Times New Roman" w:hAnsi="Calibri" w:cs="Calibri"/>
          <w:color w:val="000000"/>
          <w:sz w:val="24"/>
          <w:szCs w:val="24"/>
        </w:rPr>
        <w:t xml:space="preserve">conceptual </w:t>
      </w:r>
      <w:r w:rsidR="00833040">
        <w:rPr>
          <w:rFonts w:ascii="Calibri" w:eastAsia="Times New Roman" w:hAnsi="Calibri" w:cs="Calibri"/>
          <w:color w:val="000000"/>
          <w:sz w:val="24"/>
          <w:szCs w:val="24"/>
        </w:rPr>
        <w:t xml:space="preserve">change </w:t>
      </w:r>
      <w:r w:rsidR="001A6104">
        <w:rPr>
          <w:rFonts w:ascii="Calibri" w:eastAsia="Times New Roman" w:hAnsi="Calibri" w:cs="Calibri"/>
          <w:color w:val="000000"/>
          <w:sz w:val="24"/>
          <w:szCs w:val="24"/>
        </w:rPr>
        <w:t>regarding</w:t>
      </w:r>
      <w:r w:rsidR="000B208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833040">
        <w:rPr>
          <w:rFonts w:ascii="Calibri" w:eastAsia="Times New Roman" w:hAnsi="Calibri" w:cs="Calibri"/>
          <w:color w:val="000000"/>
          <w:sz w:val="24"/>
          <w:szCs w:val="24"/>
        </w:rPr>
        <w:t>the needs of homeless people</w:t>
      </w:r>
      <w:r w:rsidR="001A6104">
        <w:rPr>
          <w:rFonts w:ascii="Calibri" w:eastAsia="Times New Roman" w:hAnsi="Calibri" w:cs="Calibri"/>
          <w:color w:val="000000"/>
          <w:sz w:val="24"/>
          <w:szCs w:val="24"/>
        </w:rPr>
        <w:t xml:space="preserve"> and the methods of meeting them</w:t>
      </w:r>
      <w:r w:rsidR="00833040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r w:rsidR="00B23C79">
        <w:rPr>
          <w:rFonts w:ascii="Calibri" w:eastAsia="Times New Roman" w:hAnsi="Calibri" w:cs="Calibri"/>
          <w:color w:val="000000"/>
          <w:sz w:val="24"/>
          <w:szCs w:val="24"/>
        </w:rPr>
        <w:t xml:space="preserve">The main change </w:t>
      </w:r>
      <w:r w:rsidR="00BD1732">
        <w:rPr>
          <w:rFonts w:ascii="Calibri" w:eastAsia="Times New Roman" w:hAnsi="Calibri" w:cs="Calibri"/>
          <w:color w:val="000000"/>
          <w:sz w:val="24"/>
          <w:szCs w:val="24"/>
        </w:rPr>
        <w:t>can be seen</w:t>
      </w:r>
      <w:r w:rsidR="00B23C79">
        <w:rPr>
          <w:rFonts w:ascii="Calibri" w:eastAsia="Times New Roman" w:hAnsi="Calibri" w:cs="Calibri"/>
          <w:color w:val="000000"/>
          <w:sz w:val="24"/>
          <w:szCs w:val="24"/>
        </w:rPr>
        <w:t xml:space="preserve"> in the understanding that </w:t>
      </w:r>
      <w:r w:rsidR="00C05F03">
        <w:rPr>
          <w:rFonts w:ascii="Calibri" w:eastAsia="Times New Roman" w:hAnsi="Calibri" w:cs="Calibri"/>
          <w:color w:val="000000"/>
          <w:sz w:val="24"/>
          <w:szCs w:val="24"/>
        </w:rPr>
        <w:t>participants don’t</w:t>
      </w:r>
      <w:r w:rsidR="00B23C79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4350FC">
        <w:rPr>
          <w:rFonts w:ascii="Calibri" w:eastAsia="Times New Roman" w:hAnsi="Calibri" w:cs="Calibri"/>
          <w:color w:val="000000"/>
          <w:sz w:val="24"/>
          <w:szCs w:val="24"/>
        </w:rPr>
        <w:t>join</w:t>
      </w:r>
      <w:r w:rsidR="00C05F03">
        <w:rPr>
          <w:rFonts w:ascii="Calibri" w:eastAsia="Times New Roman" w:hAnsi="Calibri" w:cs="Calibri"/>
          <w:color w:val="000000"/>
          <w:sz w:val="24"/>
          <w:szCs w:val="24"/>
        </w:rPr>
        <w:t xml:space="preserve"> the program</w:t>
      </w:r>
      <w:r w:rsidR="004350FC">
        <w:rPr>
          <w:rFonts w:ascii="Calibri" w:eastAsia="Times New Roman" w:hAnsi="Calibri" w:cs="Calibri"/>
          <w:color w:val="000000"/>
          <w:sz w:val="24"/>
          <w:szCs w:val="24"/>
        </w:rPr>
        <w:t xml:space="preserve"> after </w:t>
      </w:r>
      <w:r w:rsidR="009379EB">
        <w:rPr>
          <w:rFonts w:ascii="Calibri" w:eastAsia="Times New Roman" w:hAnsi="Calibri" w:cs="Calibri"/>
          <w:color w:val="000000"/>
          <w:sz w:val="24"/>
          <w:szCs w:val="24"/>
        </w:rPr>
        <w:t>recovering from</w:t>
      </w:r>
      <w:r w:rsidR="004350FC">
        <w:rPr>
          <w:rFonts w:ascii="Calibri" w:eastAsia="Times New Roman" w:hAnsi="Calibri" w:cs="Calibri"/>
          <w:color w:val="000000"/>
          <w:sz w:val="24"/>
          <w:szCs w:val="24"/>
        </w:rPr>
        <w:t xml:space="preserve"> one kind of addiction or another or </w:t>
      </w:r>
      <w:r w:rsidR="004E5B85">
        <w:rPr>
          <w:rFonts w:ascii="Calibri" w:eastAsia="Times New Roman" w:hAnsi="Calibri" w:cs="Calibri"/>
          <w:color w:val="000000"/>
          <w:sz w:val="24"/>
          <w:szCs w:val="24"/>
        </w:rPr>
        <w:t>after going through a preliminary process</w:t>
      </w:r>
      <w:r w:rsidR="00C05F03">
        <w:rPr>
          <w:rFonts w:ascii="Calibri" w:eastAsia="Times New Roman" w:hAnsi="Calibri" w:cs="Calibri"/>
          <w:color w:val="000000"/>
          <w:sz w:val="24"/>
          <w:szCs w:val="24"/>
        </w:rPr>
        <w:t>;</w:t>
      </w:r>
      <w:r w:rsidR="004E5B85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C05F03">
        <w:rPr>
          <w:rFonts w:ascii="Calibri" w:eastAsia="Times New Roman" w:hAnsi="Calibri" w:cs="Calibri"/>
          <w:color w:val="000000"/>
          <w:sz w:val="24"/>
          <w:szCs w:val="24"/>
        </w:rPr>
        <w:t>they</w:t>
      </w:r>
      <w:r w:rsidR="005E6748">
        <w:rPr>
          <w:rFonts w:ascii="Calibri" w:eastAsia="Times New Roman" w:hAnsi="Calibri" w:cs="Calibri"/>
          <w:color w:val="000000"/>
          <w:sz w:val="24"/>
          <w:szCs w:val="24"/>
        </w:rPr>
        <w:t xml:space="preserve"> are also not</w:t>
      </w:r>
      <w:r w:rsidR="00C05F03">
        <w:rPr>
          <w:rFonts w:ascii="Calibri" w:eastAsia="Times New Roman" w:hAnsi="Calibri" w:cs="Calibri"/>
          <w:color w:val="000000"/>
          <w:sz w:val="24"/>
          <w:szCs w:val="24"/>
        </w:rPr>
        <w:t xml:space="preserve"> required to</w:t>
      </w:r>
      <w:r w:rsidR="000423C7">
        <w:rPr>
          <w:rFonts w:ascii="Calibri" w:eastAsia="Times New Roman" w:hAnsi="Calibri" w:cs="Calibri"/>
          <w:color w:val="000000"/>
          <w:sz w:val="24"/>
          <w:szCs w:val="24"/>
        </w:rPr>
        <w:t xml:space="preserve"> go through these processes as a condition for remaining on the program. </w:t>
      </w:r>
      <w:r w:rsidR="008B750E">
        <w:rPr>
          <w:rFonts w:ascii="Calibri" w:eastAsia="Times New Roman" w:hAnsi="Calibri" w:cs="Calibri"/>
          <w:color w:val="000000"/>
          <w:sz w:val="24"/>
          <w:szCs w:val="24"/>
        </w:rPr>
        <w:t xml:space="preserve">The idea is to </w:t>
      </w:r>
      <w:r w:rsidR="005E6748">
        <w:rPr>
          <w:rFonts w:ascii="Calibri" w:eastAsia="Times New Roman" w:hAnsi="Calibri" w:cs="Calibri"/>
          <w:color w:val="000000"/>
          <w:sz w:val="24"/>
          <w:szCs w:val="24"/>
        </w:rPr>
        <w:t>respond</w:t>
      </w:r>
      <w:r w:rsidR="008B750E">
        <w:rPr>
          <w:rFonts w:ascii="Calibri" w:eastAsia="Times New Roman" w:hAnsi="Calibri" w:cs="Calibri"/>
          <w:color w:val="000000"/>
          <w:sz w:val="24"/>
          <w:szCs w:val="24"/>
        </w:rPr>
        <w:t xml:space="preserve"> to the most basic need – a home, without prior conditions </w:t>
      </w:r>
      <w:r w:rsidR="00AB0D18">
        <w:rPr>
          <w:rFonts w:ascii="Calibri" w:eastAsia="Times New Roman" w:hAnsi="Calibri" w:cs="Calibri"/>
          <w:color w:val="000000"/>
          <w:sz w:val="24"/>
          <w:szCs w:val="24"/>
        </w:rPr>
        <w:t>or</w:t>
      </w:r>
      <w:r w:rsidR="008B750E">
        <w:rPr>
          <w:rFonts w:ascii="Calibri" w:eastAsia="Times New Roman" w:hAnsi="Calibri" w:cs="Calibri"/>
          <w:color w:val="000000"/>
          <w:sz w:val="24"/>
          <w:szCs w:val="24"/>
        </w:rPr>
        <w:t xml:space="preserve"> obligation</w:t>
      </w:r>
      <w:r w:rsidR="00D14EDF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="00AB0D18">
        <w:rPr>
          <w:rFonts w:ascii="Calibri" w:eastAsia="Times New Roman" w:hAnsi="Calibri" w:cs="Calibri"/>
          <w:color w:val="000000"/>
          <w:sz w:val="24"/>
          <w:szCs w:val="24"/>
        </w:rPr>
        <w:t xml:space="preserve"> – </w:t>
      </w:r>
      <w:r w:rsidR="002A2EE0">
        <w:rPr>
          <w:rFonts w:ascii="Calibri" w:eastAsia="Times New Roman" w:hAnsi="Calibri" w:cs="Calibri"/>
          <w:color w:val="000000"/>
          <w:sz w:val="24"/>
          <w:szCs w:val="24"/>
        </w:rPr>
        <w:t xml:space="preserve">out of the </w:t>
      </w:r>
      <w:r w:rsidR="00AB0D18">
        <w:rPr>
          <w:rFonts w:ascii="Calibri" w:eastAsia="Times New Roman" w:hAnsi="Calibri" w:cs="Calibri"/>
          <w:color w:val="000000"/>
          <w:sz w:val="24"/>
          <w:szCs w:val="24"/>
        </w:rPr>
        <w:t>understanding</w:t>
      </w:r>
      <w:r w:rsidR="002A2EE0">
        <w:rPr>
          <w:rFonts w:ascii="Calibri" w:eastAsia="Times New Roman" w:hAnsi="Calibri" w:cs="Calibri"/>
          <w:color w:val="000000"/>
          <w:sz w:val="24"/>
          <w:szCs w:val="24"/>
        </w:rPr>
        <w:t xml:space="preserve"> (th</w:t>
      </w:r>
      <w:r w:rsidR="00AC436C">
        <w:rPr>
          <w:rFonts w:ascii="Calibri" w:eastAsia="Times New Roman" w:hAnsi="Calibri" w:cs="Calibri"/>
          <w:color w:val="000000"/>
          <w:sz w:val="24"/>
          <w:szCs w:val="24"/>
        </w:rPr>
        <w:t>is</w:t>
      </w:r>
      <w:r w:rsidR="002A2EE0">
        <w:rPr>
          <w:rFonts w:ascii="Calibri" w:eastAsia="Times New Roman" w:hAnsi="Calibri" w:cs="Calibri"/>
          <w:color w:val="000000"/>
          <w:sz w:val="24"/>
          <w:szCs w:val="24"/>
        </w:rPr>
        <w:t xml:space="preserve"> has also been proven in studies of the model) that the participants themselves will want to improve their quality of life. </w:t>
      </w:r>
      <w:r w:rsidR="005C7ED1">
        <w:rPr>
          <w:rFonts w:ascii="Calibri" w:eastAsia="Times New Roman" w:hAnsi="Calibri" w:cs="Calibri"/>
          <w:color w:val="000000"/>
          <w:sz w:val="24"/>
          <w:szCs w:val="24"/>
        </w:rPr>
        <w:t xml:space="preserve">Besides </w:t>
      </w:r>
      <w:r w:rsidR="00786923">
        <w:rPr>
          <w:rFonts w:ascii="Calibri" w:eastAsia="Times New Roman" w:hAnsi="Calibri" w:cs="Calibri"/>
          <w:color w:val="000000"/>
          <w:sz w:val="24"/>
          <w:szCs w:val="24"/>
        </w:rPr>
        <w:t>providing</w:t>
      </w:r>
      <w:r w:rsidR="005D61A2">
        <w:rPr>
          <w:rFonts w:ascii="Calibri" w:eastAsia="Times New Roman" w:hAnsi="Calibri" w:cs="Calibri"/>
          <w:color w:val="000000"/>
          <w:sz w:val="24"/>
          <w:szCs w:val="24"/>
        </w:rPr>
        <w:t xml:space="preserve"> basic </w:t>
      </w:r>
      <w:r w:rsidR="00786923">
        <w:rPr>
          <w:rFonts w:ascii="Calibri" w:eastAsia="Times New Roman" w:hAnsi="Calibri" w:cs="Calibri"/>
          <w:color w:val="000000"/>
          <w:sz w:val="24"/>
          <w:szCs w:val="24"/>
        </w:rPr>
        <w:t>housing,</w:t>
      </w:r>
      <w:r w:rsidR="00E3744A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th</w:t>
      </w:r>
      <w:r w:rsidR="00D14EDF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is</w:t>
      </w:r>
      <w:r w:rsidR="00E3744A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method </w:t>
      </w:r>
      <w:r w:rsidR="00C472C5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includes</w:t>
      </w:r>
      <w:r w:rsidR="00E3744A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</w:t>
      </w:r>
      <w:r w:rsidR="00C472C5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the </w:t>
      </w:r>
      <w:r w:rsidR="005F315F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provi</w:t>
      </w:r>
      <w:r w:rsidR="00C472C5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sion</w:t>
      </w:r>
      <w:r w:rsidR="005F315F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</w:t>
      </w:r>
      <w:r w:rsidR="00AC436C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of </w:t>
      </w:r>
      <w:r w:rsidR="005F315F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comprehensive support </w:t>
      </w:r>
      <w:r w:rsidR="00AC436C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for all the</w:t>
      </w:r>
      <w:r w:rsidR="005F315F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participants</w:t>
      </w:r>
      <w:r w:rsidR="00610074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’</w:t>
      </w:r>
      <w:r w:rsidR="00C472C5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needs, </w:t>
      </w:r>
      <w:r w:rsidR="00610074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as defined by her</w:t>
      </w:r>
      <w:r w:rsidR="00E745B4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. This model has</w:t>
      </w:r>
      <w:r w:rsidR="005316CB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not</w:t>
      </w:r>
      <w:r w:rsidR="00E745B4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yet been tried in Israel, </w:t>
      </w:r>
      <w:r w:rsidR="005316CB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but</w:t>
      </w:r>
      <w:r w:rsidR="0015413C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it has achieved great success internationally and is likely cheaper than other models.</w:t>
      </w:r>
    </w:p>
    <w:p w14:paraId="1C6E057B" w14:textId="4B5DA06C" w:rsidR="009F05D6" w:rsidRDefault="00262DC1" w:rsidP="009F05D6">
      <w:pPr>
        <w:bidi w:val="0"/>
        <w:spacing w:after="165" w:line="360" w:lineRule="auto"/>
        <w:ind w:right="-17"/>
        <w:rPr>
          <w:rFonts w:ascii="Calibri" w:eastAsia="Times New Roman" w:hAnsi="Calibri" w:cs="Calibri"/>
          <w:color w:val="000000"/>
          <w:sz w:val="24"/>
          <w:szCs w:val="24"/>
          <w:lang w:val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The connection between the </w:t>
      </w:r>
      <w:r w:rsidR="0015413C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“</w:t>
      </w:r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Housing First</w:t>
      </w:r>
      <w:r w:rsidR="0015413C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”</w:t>
      </w:r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model and</w:t>
      </w:r>
      <w:r w:rsidR="00610074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populations that engage in</w:t>
      </w:r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</w:t>
      </w:r>
      <w:r w:rsidR="00610074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sex work</w:t>
      </w:r>
      <w:r w:rsidR="00215819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</w:t>
      </w:r>
      <w:r w:rsidR="009237BD">
        <w:rPr>
          <w:rFonts w:ascii="Calibri" w:eastAsia="Times New Roman" w:hAnsi="Calibri" w:cs="Calibri"/>
          <w:color w:val="000000"/>
          <w:sz w:val="24"/>
          <w:szCs w:val="24"/>
        </w:rPr>
        <w:t>arises</w:t>
      </w:r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from the difficulties </w:t>
      </w:r>
      <w:r w:rsidR="00610074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prostitutes</w:t>
      </w:r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</w:t>
      </w:r>
      <w:r w:rsidR="00266FA7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often </w:t>
      </w:r>
      <w:r w:rsidR="004C6EC3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encounter</w:t>
      </w:r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</w:t>
      </w:r>
      <w:r w:rsidR="004C6EC3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enter</w:t>
      </w:r>
      <w:r w:rsidR="004C6EC3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ing</w:t>
      </w:r>
      <w:r w:rsidR="004C6EC3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the labor market and receiv</w:t>
      </w:r>
      <w:r w:rsidR="004C6EC3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ing</w:t>
      </w:r>
      <w:r w:rsidR="004C6EC3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support</w:t>
      </w:r>
      <w:r w:rsidR="004C6EC3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rather than merely surviving</w:t>
      </w:r>
      <w:r w:rsidR="004C6EC3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without stable</w:t>
      </w:r>
      <w:r w:rsidR="004C6EC3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, </w:t>
      </w:r>
      <w:r w:rsidR="00FA65E1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secure</w:t>
      </w:r>
      <w:r w:rsidR="008C657A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,</w:t>
      </w:r>
      <w:r w:rsidR="00FA65E1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and suitable</w:t>
      </w:r>
      <w:r w:rsidR="00BA186E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</w:t>
      </w:r>
      <w:r w:rsidR="00865C92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living arrangements</w:t>
      </w:r>
      <w:r w:rsidR="00BA186E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. </w:t>
      </w:r>
      <w:r w:rsidR="00581350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Suitable living arrangements must be understood in the</w:t>
      </w:r>
      <w:r w:rsidR="00D24E4B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broadest sense </w:t>
      </w:r>
      <w:r w:rsidR="00F73FD8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rather than</w:t>
      </w:r>
      <w:r w:rsidR="00D24E4B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</w:t>
      </w:r>
      <w:r w:rsidR="00581350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merely a</w:t>
      </w:r>
      <w:r w:rsidR="00D24E4B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temporary roof over </w:t>
      </w:r>
      <w:r w:rsidR="004A49DE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one’s head</w:t>
      </w:r>
      <w:r w:rsidR="00D24E4B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</w:t>
      </w:r>
      <w:r w:rsidR="00F6327B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as </w:t>
      </w:r>
      <w:r w:rsidR="00D24E4B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in</w:t>
      </w:r>
      <w:r w:rsidR="00F6327B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,</w:t>
      </w:r>
      <w:r w:rsidR="00D24E4B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</w:t>
      </w:r>
      <w:r w:rsidR="00F6327B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for example</w:t>
      </w:r>
      <w:r w:rsidR="00F6327B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, the </w:t>
      </w:r>
      <w:r w:rsidR="00D24E4B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emergency/temporary frameworks, </w:t>
      </w:r>
      <w:r w:rsidR="0062254F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that can be found today in Israel (shelters, hostels, transitional housing). </w:t>
      </w:r>
      <w:r w:rsidR="00F6327B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T</w:t>
      </w:r>
      <w:r w:rsidR="004A49DE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hese frameworks are </w:t>
      </w:r>
      <w:r w:rsidR="004C6EC3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indeed </w:t>
      </w:r>
      <w:r w:rsidR="004A49DE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designated for populations </w:t>
      </w:r>
      <w:r w:rsidR="00F6327B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engaged in </w:t>
      </w:r>
      <w:r w:rsidR="00F53017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prostitution,</w:t>
      </w:r>
      <w:r w:rsidR="00295126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but they only serve a small portion of this group and</w:t>
      </w:r>
      <w:r w:rsidR="008B3282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apparently have poor </w:t>
      </w:r>
      <w:r w:rsidR="00D27DB6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outcomes</w:t>
      </w:r>
      <w:r w:rsidR="00295126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</w:t>
      </w:r>
      <w:r w:rsidR="00D27DB6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regarding the number of </w:t>
      </w:r>
      <w:r w:rsidR="00FA49EE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women</w:t>
      </w:r>
      <w:r w:rsidR="003F5D3B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who subsequently escape mere survival mode and </w:t>
      </w:r>
      <w:r w:rsidR="00FA49EE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prostitution.</w:t>
      </w:r>
    </w:p>
    <w:p w14:paraId="0853EA1B" w14:textId="596EFFAF" w:rsidR="00687D43" w:rsidRPr="00082C71" w:rsidRDefault="00FA49EE" w:rsidP="00082C71">
      <w:pPr>
        <w:bidi w:val="0"/>
        <w:spacing w:after="165" w:line="360" w:lineRule="auto"/>
        <w:ind w:right="-17"/>
        <w:rPr>
          <w:rFonts w:ascii="Calibri" w:eastAsia="Times New Roman" w:hAnsi="Calibri" w:cs="Calibri"/>
          <w:noProof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Until now, a</w:t>
      </w:r>
      <w:r w:rsidR="00B01CE8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great challenge in bringing this model to Israel </w:t>
      </w:r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has been </w:t>
      </w:r>
      <w:r w:rsidR="004D5B56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convincing government</w:t>
      </w:r>
      <w:r w:rsidR="00A57932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ministries to</w:t>
      </w:r>
      <w:r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commit</w:t>
      </w:r>
      <w:r w:rsidR="00662F03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to</w:t>
      </w:r>
      <w:r w:rsidR="00A57932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the</w:t>
      </w:r>
      <w:r w:rsidR="003F5D3B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se progressive</w:t>
      </w:r>
      <w:r w:rsidR="00A57932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approaches to abandon antiquated thinking </w:t>
      </w:r>
      <w:r w:rsidR="001B0360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concerning</w:t>
      </w:r>
      <w:r w:rsidR="00A57932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the treatment of </w:t>
      </w:r>
      <w:r w:rsidR="00662F03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marginalized</w:t>
      </w:r>
      <w:r w:rsidR="007C6B67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populations</w:t>
      </w:r>
      <w:r w:rsidR="001B0360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. An additional difficulty</w:t>
      </w:r>
      <w:r w:rsidR="00910C0F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has been constructing</w:t>
      </w:r>
      <w:r w:rsidR="007C6B67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a sustainable financial model for purchasing </w:t>
      </w:r>
      <w:r w:rsidR="00AE2020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45 apartments and renting them at prices suitable </w:t>
      </w:r>
      <w:r w:rsidR="00422CDC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for</w:t>
      </w:r>
      <w:r w:rsidR="00AE2020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p</w:t>
      </w:r>
      <w:r w:rsidR="001118DF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eople</w:t>
      </w:r>
      <w:r w:rsidR="00AE2020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</w:t>
      </w:r>
      <w:r w:rsidR="001118DF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who </w:t>
      </w:r>
      <w:r w:rsidR="009D73F8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engage in</w:t>
      </w:r>
      <w:r w:rsidR="00082C71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prostitution</w:t>
      </w:r>
      <w:r w:rsidR="00991106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,</w:t>
      </w:r>
      <w:r w:rsidR="009D73F8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and have yet to extricate themselves,</w:t>
      </w:r>
      <w:r w:rsidR="00991106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both emotionally and </w:t>
      </w:r>
      <w:r w:rsidR="00991106">
        <w:rPr>
          <w:rFonts w:ascii="Calibri" w:eastAsia="Times New Roman" w:hAnsi="Calibri" w:cs="Calibri"/>
          <w:color w:val="000000"/>
          <w:sz w:val="24"/>
          <w:szCs w:val="24"/>
          <w:lang w:val="en-GB"/>
        </w:rPr>
        <w:lastRenderedPageBreak/>
        <w:t>financially</w:t>
      </w:r>
      <w:r w:rsidR="009D73F8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, from survival mode</w:t>
      </w:r>
      <w:r w:rsidR="00FA5960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>. The goal is to encourage the state to later widen the pilot to a national program for other</w:t>
      </w:r>
      <w:r w:rsidR="00082C71">
        <w:rPr>
          <w:rFonts w:ascii="Calibri" w:eastAsia="Times New Roman" w:hAnsi="Calibri" w:cs="Calibri"/>
          <w:color w:val="000000"/>
          <w:sz w:val="24"/>
          <w:szCs w:val="24"/>
          <w:lang w:val="en-GB"/>
        </w:rPr>
        <w:t xml:space="preserve"> marginalized groups.</w:t>
      </w:r>
    </w:p>
    <w:p w14:paraId="6866BA22" w14:textId="16038F9C" w:rsidR="00903D04" w:rsidRPr="00625A07" w:rsidRDefault="00903D04" w:rsidP="002A3CE6">
      <w:pPr>
        <w:shd w:val="clear" w:color="auto" w:fill="FFFFFF"/>
        <w:spacing w:after="0" w:line="270" w:lineRule="atLeast"/>
        <w:rPr>
          <w:rFonts w:eastAsia="Times New Roman" w:cstheme="minorHAnsi"/>
          <w:sz w:val="24"/>
          <w:szCs w:val="24"/>
        </w:rPr>
      </w:pPr>
    </w:p>
    <w:tbl>
      <w:tblPr>
        <w:bidiVisual/>
        <w:tblW w:w="0" w:type="auto"/>
        <w:tblCellSpacing w:w="0" w:type="auto"/>
        <w:tblInd w:w="-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171"/>
      </w:tblGrid>
      <w:tr w:rsidR="00BF7640" w:rsidRPr="00625A07" w14:paraId="031F8206" w14:textId="77777777" w:rsidTr="003258B6">
        <w:trPr>
          <w:trHeight w:val="135"/>
          <w:tblCellSpacing w:w="0" w:type="auto"/>
        </w:trPr>
        <w:tc>
          <w:tcPr>
            <w:tcW w:w="8171" w:type="dxa"/>
            <w:tcBorders>
              <w:bottom w:val="single" w:sz="16" w:space="0" w:color="000000"/>
            </w:tcBorders>
            <w:shd w:val="clear" w:color="auto" w:fill="E5E5E5"/>
            <w:tcMar>
              <w:top w:w="60" w:type="dxa"/>
              <w:left w:w="30" w:type="dxa"/>
              <w:bottom w:w="60" w:type="dxa"/>
              <w:right w:w="30" w:type="dxa"/>
            </w:tcMar>
          </w:tcPr>
          <w:p w14:paraId="37103073" w14:textId="4ACED72F" w:rsidR="00BF7640" w:rsidRPr="00625A07" w:rsidRDefault="00481932" w:rsidP="00FA5960">
            <w:pPr>
              <w:bidi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bidi="he"/>
              </w:rPr>
              <w:t>Organizational and Program Strategy</w:t>
            </w:r>
            <w:r w:rsidR="005C0958" w:rsidRPr="00625A07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</w:tr>
    </w:tbl>
    <w:tbl>
      <w:tblPr>
        <w:tblStyle w:val="TableGrid"/>
        <w:bidiVisual/>
        <w:tblW w:w="7796" w:type="dxa"/>
        <w:tblInd w:w="421" w:type="dxa"/>
        <w:tblLook w:val="04A0" w:firstRow="1" w:lastRow="0" w:firstColumn="1" w:lastColumn="0" w:noHBand="0" w:noVBand="1"/>
      </w:tblPr>
      <w:tblGrid>
        <w:gridCol w:w="2724"/>
        <w:gridCol w:w="3150"/>
        <w:gridCol w:w="1922"/>
      </w:tblGrid>
      <w:tr w:rsidR="00311F07" w:rsidRPr="00311F07" w14:paraId="4E10DAD9" w14:textId="77777777" w:rsidTr="00481932">
        <w:trPr>
          <w:trHeight w:val="342"/>
        </w:trPr>
        <w:tc>
          <w:tcPr>
            <w:tcW w:w="2724" w:type="dxa"/>
          </w:tcPr>
          <w:p w14:paraId="1E2B7B19" w14:textId="5A6DEF49" w:rsidR="00311F07" w:rsidRPr="006465AA" w:rsidRDefault="006465AA" w:rsidP="006465AA">
            <w:pPr>
              <w:spacing w:line="360" w:lineRule="auto"/>
              <w:contextualSpacing/>
              <w:jc w:val="right"/>
              <w:rPr>
                <w:rFonts w:cs="Calibri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</w:pPr>
            <w:r>
              <w:rPr>
                <w:rFonts w:cs="Calibri" w:hint="cs"/>
                <w:b/>
                <w:bCs/>
                <w:color w:val="000000" w:themeColor="text1"/>
                <w:sz w:val="24"/>
                <w:szCs w:val="24"/>
              </w:rPr>
              <w:t>C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ontents</w:t>
            </w:r>
          </w:p>
        </w:tc>
        <w:tc>
          <w:tcPr>
            <w:tcW w:w="3150" w:type="dxa"/>
          </w:tcPr>
          <w:p w14:paraId="051E30D9" w14:textId="5FCCFC30" w:rsidR="00311F07" w:rsidRPr="00B83EBC" w:rsidRDefault="00B83EBC" w:rsidP="00B83EBC">
            <w:pPr>
              <w:bidi w:val="0"/>
              <w:spacing w:line="360" w:lineRule="auto"/>
              <w:contextualSpacing/>
              <w:rPr>
                <w:rFonts w:cs="Calibri"/>
                <w:b/>
                <w:bCs/>
                <w:color w:val="000000" w:themeColor="text1"/>
                <w:sz w:val="24"/>
                <w:szCs w:val="24"/>
                <w:rtl/>
                <w:lang w:val="en-GB"/>
              </w:rPr>
            </w:pPr>
            <w:r>
              <w:rPr>
                <w:rFonts w:cs="Calibri" w:hint="cs"/>
                <w:b/>
                <w:bCs/>
                <w:color w:val="000000" w:themeColor="text1"/>
                <w:sz w:val="24"/>
                <w:szCs w:val="24"/>
              </w:rPr>
              <w:t>S</w:t>
            </w: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en-GB"/>
              </w:rPr>
              <w:t>chedule</w:t>
            </w:r>
          </w:p>
        </w:tc>
        <w:tc>
          <w:tcPr>
            <w:tcW w:w="1922" w:type="dxa"/>
          </w:tcPr>
          <w:p w14:paraId="7244A23C" w14:textId="03E76E13" w:rsidR="00311F07" w:rsidRPr="00B83EBC" w:rsidRDefault="00B83EBC" w:rsidP="00481932">
            <w:pPr>
              <w:bidi w:val="0"/>
              <w:spacing w:line="360" w:lineRule="auto"/>
              <w:contextualSpacing/>
              <w:rPr>
                <w:rFonts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Calibri"/>
                <w:b/>
                <w:bCs/>
                <w:color w:val="000000" w:themeColor="text1"/>
                <w:sz w:val="24"/>
                <w:szCs w:val="24"/>
              </w:rPr>
              <w:t>Milestones</w:t>
            </w:r>
          </w:p>
        </w:tc>
      </w:tr>
      <w:tr w:rsidR="00311F07" w:rsidRPr="00311F07" w14:paraId="2228EEED" w14:textId="77777777" w:rsidTr="00481932">
        <w:trPr>
          <w:trHeight w:val="377"/>
        </w:trPr>
        <w:tc>
          <w:tcPr>
            <w:tcW w:w="2724" w:type="dxa"/>
          </w:tcPr>
          <w:p w14:paraId="77A884D4" w14:textId="77777777" w:rsidR="00311F07" w:rsidRPr="00311F07" w:rsidRDefault="00311F07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50" w:type="dxa"/>
          </w:tcPr>
          <w:p w14:paraId="16FCBC98" w14:textId="26338BB1" w:rsidR="00311F07" w:rsidRPr="00311F07" w:rsidRDefault="00765D02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Calibri" w:hint="cs"/>
                <w:color w:val="000000" w:themeColor="text1"/>
                <w:sz w:val="24"/>
                <w:szCs w:val="24"/>
                <w:rtl/>
              </w:rPr>
              <w:t>1.9</w:t>
            </w:r>
          </w:p>
        </w:tc>
        <w:tc>
          <w:tcPr>
            <w:tcW w:w="1922" w:type="dxa"/>
          </w:tcPr>
          <w:p w14:paraId="78DBC531" w14:textId="3C6065DF" w:rsidR="00311F07" w:rsidRPr="00311F07" w:rsidRDefault="00180B55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Communication with the evaluator</w:t>
            </w:r>
          </w:p>
        </w:tc>
      </w:tr>
      <w:tr w:rsidR="00311F07" w:rsidRPr="00311F07" w14:paraId="44550612" w14:textId="77777777" w:rsidTr="00481932">
        <w:trPr>
          <w:trHeight w:val="377"/>
        </w:trPr>
        <w:tc>
          <w:tcPr>
            <w:tcW w:w="2724" w:type="dxa"/>
          </w:tcPr>
          <w:p w14:paraId="1762B2F9" w14:textId="77777777" w:rsidR="00311F07" w:rsidRPr="00311F07" w:rsidRDefault="00311F07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50" w:type="dxa"/>
          </w:tcPr>
          <w:p w14:paraId="4078A8C3" w14:textId="13CCD145" w:rsidR="00311F07" w:rsidRPr="00311F07" w:rsidRDefault="00D30DC7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Completed</w:t>
            </w:r>
          </w:p>
        </w:tc>
        <w:tc>
          <w:tcPr>
            <w:tcW w:w="1922" w:type="dxa"/>
          </w:tcPr>
          <w:p w14:paraId="6FEF246B" w14:textId="5E89AC14" w:rsidR="00311F07" w:rsidRPr="00311F07" w:rsidRDefault="00D30DC7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Establishing a </w:t>
            </w:r>
            <w:r w:rsidR="00C056D3">
              <w:rPr>
                <w:rFonts w:cs="Calibri"/>
                <w:color w:val="000000" w:themeColor="text1"/>
                <w:sz w:val="24"/>
                <w:szCs w:val="24"/>
              </w:rPr>
              <w:t>property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fund</w:t>
            </w:r>
          </w:p>
        </w:tc>
      </w:tr>
      <w:tr w:rsidR="00311F07" w:rsidRPr="00311F07" w14:paraId="298169EE" w14:textId="77777777" w:rsidTr="00481932">
        <w:trPr>
          <w:trHeight w:val="377"/>
        </w:trPr>
        <w:tc>
          <w:tcPr>
            <w:tcW w:w="2724" w:type="dxa"/>
          </w:tcPr>
          <w:p w14:paraId="0CD6BB48" w14:textId="77777777" w:rsidR="00311F07" w:rsidRPr="00311F07" w:rsidRDefault="00311F07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50" w:type="dxa"/>
          </w:tcPr>
          <w:p w14:paraId="24DB6B5C" w14:textId="31EF3E1D" w:rsidR="00311F07" w:rsidRPr="00311F07" w:rsidRDefault="00BB360E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Completed</w:t>
            </w:r>
          </w:p>
        </w:tc>
        <w:tc>
          <w:tcPr>
            <w:tcW w:w="1922" w:type="dxa"/>
          </w:tcPr>
          <w:p w14:paraId="10B276BA" w14:textId="58579C25" w:rsidR="00311F07" w:rsidRPr="00311F07" w:rsidRDefault="00B700FA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F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inal 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r</w:t>
            </w:r>
            <w:r w:rsidR="00BB360E">
              <w:rPr>
                <w:rFonts w:cs="Calibri"/>
                <w:color w:val="000000" w:themeColor="text1"/>
                <w:sz w:val="24"/>
                <w:szCs w:val="24"/>
              </w:rPr>
              <w:t xml:space="preserve">ecruitment of partners for the </w:t>
            </w:r>
            <w:r w:rsidR="00C056D3">
              <w:rPr>
                <w:rFonts w:cs="Calibri"/>
                <w:color w:val="000000" w:themeColor="text1"/>
                <w:sz w:val="24"/>
                <w:szCs w:val="24"/>
              </w:rPr>
              <w:t>property</w:t>
            </w:r>
            <w:r w:rsidR="00BB360E">
              <w:rPr>
                <w:rFonts w:cs="Calibri"/>
                <w:color w:val="000000" w:themeColor="text1"/>
                <w:sz w:val="24"/>
                <w:szCs w:val="24"/>
              </w:rPr>
              <w:t xml:space="preserve"> fund</w:t>
            </w:r>
          </w:p>
        </w:tc>
      </w:tr>
      <w:tr w:rsidR="00311F07" w:rsidRPr="00311F07" w14:paraId="694D8170" w14:textId="77777777" w:rsidTr="00481932">
        <w:trPr>
          <w:trHeight w:val="377"/>
        </w:trPr>
        <w:tc>
          <w:tcPr>
            <w:tcW w:w="2724" w:type="dxa"/>
          </w:tcPr>
          <w:p w14:paraId="64C99751" w14:textId="77777777" w:rsidR="00311F07" w:rsidRPr="00311F07" w:rsidRDefault="00311F07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50" w:type="dxa"/>
          </w:tcPr>
          <w:p w14:paraId="24BEDFAF" w14:textId="2DFF4936" w:rsidR="00311F07" w:rsidRPr="00311F07" w:rsidRDefault="0093754C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Completed</w:t>
            </w:r>
          </w:p>
        </w:tc>
        <w:tc>
          <w:tcPr>
            <w:tcW w:w="1922" w:type="dxa"/>
          </w:tcPr>
          <w:p w14:paraId="49980D92" w14:textId="2E80B819" w:rsidR="00311F07" w:rsidRPr="00311F07" w:rsidRDefault="0093754C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Recruitment of partners for the support model</w:t>
            </w:r>
          </w:p>
        </w:tc>
      </w:tr>
      <w:tr w:rsidR="00311F07" w:rsidRPr="00311F07" w14:paraId="4F64C65F" w14:textId="77777777" w:rsidTr="00481932">
        <w:trPr>
          <w:trHeight w:val="539"/>
        </w:trPr>
        <w:tc>
          <w:tcPr>
            <w:tcW w:w="2724" w:type="dxa"/>
          </w:tcPr>
          <w:p w14:paraId="5D6B9900" w14:textId="77777777" w:rsidR="00311F07" w:rsidRPr="00311F07" w:rsidRDefault="00311F07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</w:p>
          <w:p w14:paraId="03D983BF" w14:textId="77777777" w:rsidR="00311F07" w:rsidRPr="00311F07" w:rsidRDefault="00311F07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50" w:type="dxa"/>
          </w:tcPr>
          <w:p w14:paraId="4A9FFBB2" w14:textId="4EB528C1" w:rsidR="00311F07" w:rsidRPr="00311F07" w:rsidRDefault="00D95407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The first meeting has taken place</w:t>
            </w:r>
          </w:p>
        </w:tc>
        <w:tc>
          <w:tcPr>
            <w:tcW w:w="1922" w:type="dxa"/>
          </w:tcPr>
          <w:p w14:paraId="7687B62D" w14:textId="2DCE8FBA" w:rsidR="00311F07" w:rsidRPr="00311F07" w:rsidRDefault="00D95407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Steering committee meeting</w:t>
            </w:r>
          </w:p>
        </w:tc>
      </w:tr>
      <w:tr w:rsidR="00311F07" w:rsidRPr="00311F07" w14:paraId="6FDC63DD" w14:textId="77777777" w:rsidTr="00481932">
        <w:trPr>
          <w:trHeight w:val="342"/>
        </w:trPr>
        <w:tc>
          <w:tcPr>
            <w:tcW w:w="2724" w:type="dxa"/>
          </w:tcPr>
          <w:p w14:paraId="681B053F" w14:textId="77777777" w:rsidR="00311F07" w:rsidRPr="00311F07" w:rsidRDefault="00311F07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50" w:type="dxa"/>
          </w:tcPr>
          <w:p w14:paraId="6FA540D0" w14:textId="46B0BC8B" w:rsidR="00311F07" w:rsidRPr="00311F07" w:rsidRDefault="00D95407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In process</w:t>
            </w:r>
          </w:p>
        </w:tc>
        <w:tc>
          <w:tcPr>
            <w:tcW w:w="1922" w:type="dxa"/>
          </w:tcPr>
          <w:p w14:paraId="716466BD" w14:textId="43011903" w:rsidR="00C53C54" w:rsidRPr="00AF4BA3" w:rsidRDefault="00013161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  <w:lang w:val="en-GB"/>
              </w:rPr>
              <w:t xml:space="preserve">Operations instructor </w:t>
            </w:r>
            <w:r w:rsidR="00AF4BA3">
              <w:rPr>
                <w:rFonts w:cs="Calibri"/>
                <w:color w:val="000000" w:themeColor="text1"/>
                <w:sz w:val="24"/>
                <w:szCs w:val="24"/>
                <w:lang w:val="en-GB"/>
              </w:rPr>
              <w:t>for the model who is accepted by all the participants</w:t>
            </w:r>
          </w:p>
          <w:p w14:paraId="31B4603A" w14:textId="20E68D45" w:rsidR="00311F07" w:rsidRPr="00311F07" w:rsidRDefault="00311F07" w:rsidP="00C53C54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</w:p>
        </w:tc>
      </w:tr>
      <w:tr w:rsidR="00311F07" w:rsidRPr="00311F07" w14:paraId="5CDF211B" w14:textId="77777777" w:rsidTr="00481932">
        <w:trPr>
          <w:trHeight w:val="342"/>
        </w:trPr>
        <w:tc>
          <w:tcPr>
            <w:tcW w:w="2724" w:type="dxa"/>
          </w:tcPr>
          <w:p w14:paraId="74F00A78" w14:textId="77777777" w:rsidR="00311F07" w:rsidRPr="00311F07" w:rsidRDefault="00311F07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50" w:type="dxa"/>
          </w:tcPr>
          <w:p w14:paraId="37CEA118" w14:textId="5EE45B32" w:rsidR="00311F07" w:rsidRPr="00311F07" w:rsidRDefault="00AF4BA3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Six months following the establishment of the fund</w:t>
            </w:r>
          </w:p>
        </w:tc>
        <w:tc>
          <w:tcPr>
            <w:tcW w:w="1922" w:type="dxa"/>
          </w:tcPr>
          <w:p w14:paraId="0D06E72B" w14:textId="55C1EAE3" w:rsidR="00311F07" w:rsidRPr="00311F07" w:rsidRDefault="00AF4BA3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Purchasing the apartments</w:t>
            </w:r>
          </w:p>
        </w:tc>
      </w:tr>
      <w:tr w:rsidR="00311F07" w:rsidRPr="00311F07" w14:paraId="7A297ADE" w14:textId="77777777" w:rsidTr="00481932">
        <w:trPr>
          <w:trHeight w:val="342"/>
        </w:trPr>
        <w:tc>
          <w:tcPr>
            <w:tcW w:w="2724" w:type="dxa"/>
          </w:tcPr>
          <w:p w14:paraId="7705E365" w14:textId="77777777" w:rsidR="00311F07" w:rsidRPr="00311F07" w:rsidRDefault="00311F07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50" w:type="dxa"/>
          </w:tcPr>
          <w:p w14:paraId="37F18AAF" w14:textId="61EBF126" w:rsidR="00311F07" w:rsidRPr="00311F07" w:rsidRDefault="00AF4BA3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In process</w:t>
            </w:r>
          </w:p>
        </w:tc>
        <w:tc>
          <w:tcPr>
            <w:tcW w:w="1922" w:type="dxa"/>
          </w:tcPr>
          <w:p w14:paraId="7FA8670F" w14:textId="61E01D15" w:rsidR="009A0219" w:rsidRDefault="009A0219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Finalizing contracts with all the </w:t>
            </w:r>
            <w:r w:rsidR="004C560C">
              <w:rPr>
                <w:rFonts w:cs="Calibri"/>
                <w:color w:val="000000" w:themeColor="text1"/>
                <w:sz w:val="24"/>
                <w:szCs w:val="24"/>
              </w:rPr>
              <w:t xml:space="preserve">relevant </w:t>
            </w:r>
            <w:r w:rsidR="004C560C">
              <w:rPr>
                <w:rFonts w:cs="Calibri"/>
                <w:color w:val="000000" w:themeColor="text1"/>
                <w:sz w:val="24"/>
                <w:szCs w:val="24"/>
              </w:rPr>
              <w:lastRenderedPageBreak/>
              <w:t>bodies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(</w:t>
            </w:r>
            <w:r w:rsidR="00C072F4">
              <w:rPr>
                <w:rFonts w:cs="Calibri"/>
                <w:color w:val="000000" w:themeColor="text1"/>
                <w:sz w:val="24"/>
                <w:szCs w:val="24"/>
              </w:rPr>
              <w:t>Ministry of Housing, Ministry of Welfare, the municipality, and the NGOs)</w:t>
            </w:r>
          </w:p>
          <w:p w14:paraId="4862321E" w14:textId="261D440F" w:rsidR="00311F07" w:rsidRPr="00311F07" w:rsidRDefault="00311F07" w:rsidP="009A0219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</w:p>
        </w:tc>
      </w:tr>
      <w:tr w:rsidR="00311F07" w:rsidRPr="00311F07" w14:paraId="34402A25" w14:textId="77777777" w:rsidTr="00481932">
        <w:trPr>
          <w:trHeight w:val="342"/>
        </w:trPr>
        <w:tc>
          <w:tcPr>
            <w:tcW w:w="2724" w:type="dxa"/>
          </w:tcPr>
          <w:p w14:paraId="245B8BEA" w14:textId="77777777" w:rsidR="00311F07" w:rsidRPr="00311F07" w:rsidRDefault="00311F07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50" w:type="dxa"/>
          </w:tcPr>
          <w:p w14:paraId="67134DD2" w14:textId="311373AA" w:rsidR="00311F07" w:rsidRPr="00311F07" w:rsidRDefault="00311F07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22" w:type="dxa"/>
          </w:tcPr>
          <w:p w14:paraId="645D06D1" w14:textId="0C3DF024" w:rsidR="00311F07" w:rsidRDefault="00C072F4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Renovation and preparation </w:t>
            </w:r>
            <w:r w:rsidR="004C560C">
              <w:rPr>
                <w:rFonts w:cs="Calibri"/>
                <w:color w:val="000000" w:themeColor="text1"/>
                <w:sz w:val="24"/>
                <w:szCs w:val="24"/>
              </w:rPr>
              <w:t>of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housing</w:t>
            </w:r>
          </w:p>
          <w:p w14:paraId="6A9D6BDF" w14:textId="6C3FBDB0" w:rsidR="00C072F4" w:rsidRPr="00311F07" w:rsidRDefault="00C072F4" w:rsidP="00C072F4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</w:p>
        </w:tc>
      </w:tr>
      <w:tr w:rsidR="00311F07" w:rsidRPr="00311F07" w14:paraId="1C24F4AC" w14:textId="77777777" w:rsidTr="00481932">
        <w:trPr>
          <w:trHeight w:val="342"/>
        </w:trPr>
        <w:tc>
          <w:tcPr>
            <w:tcW w:w="2724" w:type="dxa"/>
          </w:tcPr>
          <w:p w14:paraId="1C9DA902" w14:textId="77777777" w:rsidR="00311F07" w:rsidRPr="00311F07" w:rsidRDefault="00311F07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50" w:type="dxa"/>
          </w:tcPr>
          <w:p w14:paraId="676963DA" w14:textId="22666417" w:rsidR="00311F07" w:rsidRPr="00311F07" w:rsidRDefault="00311F07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22" w:type="dxa"/>
          </w:tcPr>
          <w:p w14:paraId="51288FE4" w14:textId="02CB02E9" w:rsidR="00311F07" w:rsidRPr="00311F07" w:rsidRDefault="00850CB6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Housing 45 participants in the apartments</w:t>
            </w:r>
          </w:p>
        </w:tc>
      </w:tr>
      <w:tr w:rsidR="00311F07" w:rsidRPr="00311F07" w14:paraId="43E6A78B" w14:textId="77777777" w:rsidTr="00481932">
        <w:trPr>
          <w:trHeight w:val="342"/>
        </w:trPr>
        <w:tc>
          <w:tcPr>
            <w:tcW w:w="2724" w:type="dxa"/>
          </w:tcPr>
          <w:p w14:paraId="50CB31F7" w14:textId="77777777" w:rsidR="00311F07" w:rsidRPr="00311F07" w:rsidRDefault="00311F07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50" w:type="dxa"/>
          </w:tcPr>
          <w:p w14:paraId="1E48B583" w14:textId="03B5E64D" w:rsidR="00311F07" w:rsidRPr="00311F07" w:rsidRDefault="00145D3D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Once the participants enter the housing</w:t>
            </w:r>
          </w:p>
        </w:tc>
        <w:tc>
          <w:tcPr>
            <w:tcW w:w="1922" w:type="dxa"/>
          </w:tcPr>
          <w:p w14:paraId="1E9ED8B2" w14:textId="6DC8A444" w:rsidR="00850CB6" w:rsidRDefault="004C560C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Start of the</w:t>
            </w:r>
            <w:r w:rsidR="00850CB6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operation of </w:t>
            </w:r>
            <w:r w:rsidR="00850CB6">
              <w:rPr>
                <w:rFonts w:cs="Calibri"/>
                <w:color w:val="000000" w:themeColor="text1"/>
                <w:sz w:val="24"/>
                <w:szCs w:val="24"/>
              </w:rPr>
              <w:t>the full support model</w:t>
            </w:r>
          </w:p>
          <w:p w14:paraId="666821D4" w14:textId="3535E74E" w:rsidR="00311F07" w:rsidRPr="00311F07" w:rsidRDefault="00311F07" w:rsidP="00850CB6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</w:p>
        </w:tc>
      </w:tr>
      <w:tr w:rsidR="00311F07" w:rsidRPr="00311F07" w14:paraId="67D74529" w14:textId="77777777" w:rsidTr="00481932">
        <w:trPr>
          <w:trHeight w:val="342"/>
        </w:trPr>
        <w:tc>
          <w:tcPr>
            <w:tcW w:w="2724" w:type="dxa"/>
          </w:tcPr>
          <w:p w14:paraId="02B65E0F" w14:textId="77777777" w:rsidR="00311F07" w:rsidRPr="00311F07" w:rsidRDefault="00311F07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50" w:type="dxa"/>
          </w:tcPr>
          <w:p w14:paraId="294321C5" w14:textId="3DEE2D07" w:rsidR="00311F07" w:rsidRPr="00311F07" w:rsidRDefault="00130062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Ongoing</w:t>
            </w:r>
          </w:p>
        </w:tc>
        <w:tc>
          <w:tcPr>
            <w:tcW w:w="1922" w:type="dxa"/>
          </w:tcPr>
          <w:p w14:paraId="0B2FD123" w14:textId="10AC5ED1" w:rsidR="00130062" w:rsidRPr="00C125DF" w:rsidRDefault="00C125DF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  <w:lang w:val="en-GB"/>
              </w:rPr>
              <w:t>Control and management mechanisms: implementation committee – once a month; steering committee – once every six months</w:t>
            </w:r>
          </w:p>
          <w:p w14:paraId="3FEC5074" w14:textId="3158FF32" w:rsidR="00311F07" w:rsidRPr="00311F07" w:rsidRDefault="00311F07" w:rsidP="006465AA">
            <w:pPr>
              <w:bidi w:val="0"/>
              <w:spacing w:line="360" w:lineRule="auto"/>
              <w:contextualSpacing/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11DCF20E" w14:textId="643EB968" w:rsidR="00D041DC" w:rsidRDefault="00D041DC" w:rsidP="006465AA">
      <w:pPr>
        <w:shd w:val="clear" w:color="auto" w:fill="FFFFFF"/>
        <w:bidi w:val="0"/>
        <w:spacing w:after="240" w:line="270" w:lineRule="atLeast"/>
        <w:rPr>
          <w:rFonts w:cstheme="minorHAnsi"/>
          <w:rtl/>
        </w:rPr>
      </w:pPr>
    </w:p>
    <w:p w14:paraId="555BBF12" w14:textId="77777777" w:rsidR="00D041DC" w:rsidRPr="00277B35" w:rsidRDefault="00D041DC" w:rsidP="002A3CE6">
      <w:pPr>
        <w:shd w:val="clear" w:color="auto" w:fill="FFFFFF"/>
        <w:spacing w:after="240" w:line="270" w:lineRule="atLeast"/>
        <w:rPr>
          <w:rFonts w:cstheme="minorHAnsi"/>
        </w:rPr>
      </w:pPr>
    </w:p>
    <w:tbl>
      <w:tblPr>
        <w:bidiVisual/>
        <w:tblW w:w="0" w:type="auto"/>
        <w:tblCellSpacing w:w="0" w:type="auto"/>
        <w:tblInd w:w="-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171"/>
      </w:tblGrid>
      <w:tr w:rsidR="00BF7640" w:rsidRPr="00625A07" w14:paraId="2432EDFA" w14:textId="77777777" w:rsidTr="003258B6">
        <w:trPr>
          <w:trHeight w:val="135"/>
          <w:tblCellSpacing w:w="0" w:type="auto"/>
        </w:trPr>
        <w:tc>
          <w:tcPr>
            <w:tcW w:w="8171" w:type="dxa"/>
            <w:tcBorders>
              <w:bottom w:val="single" w:sz="16" w:space="0" w:color="000000"/>
            </w:tcBorders>
            <w:shd w:val="clear" w:color="auto" w:fill="E5E5E5"/>
            <w:tcMar>
              <w:top w:w="60" w:type="dxa"/>
              <w:left w:w="30" w:type="dxa"/>
              <w:bottom w:w="60" w:type="dxa"/>
              <w:right w:w="30" w:type="dxa"/>
            </w:tcMar>
          </w:tcPr>
          <w:p w14:paraId="2E66435C" w14:textId="1BA8BBFD" w:rsidR="00BF7640" w:rsidRPr="00C125DF" w:rsidRDefault="00C125DF" w:rsidP="00C125DF">
            <w:pPr>
              <w:bidi w:val="0"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bookmarkStart w:id="1" w:name="_Hlk111729818"/>
            <w:r>
              <w:rPr>
                <w:rFonts w:cstheme="minorHAnsi"/>
                <w:b/>
                <w:bCs/>
                <w:sz w:val="24"/>
                <w:szCs w:val="24"/>
              </w:rPr>
              <w:t>Impact and Results</w:t>
            </w:r>
          </w:p>
        </w:tc>
      </w:tr>
    </w:tbl>
    <w:bookmarkEnd w:id="1"/>
    <w:p w14:paraId="51BA9C94" w14:textId="5062CB9D" w:rsidR="00C125DF" w:rsidRDefault="00B619CB" w:rsidP="00C125DF">
      <w:pPr>
        <w:bidi w:val="0"/>
        <w:spacing w:line="276" w:lineRule="auto"/>
        <w:contextualSpacing/>
        <w:rPr>
          <w:rFonts w:eastAsia="Times New Roman" w:cs="Calibri"/>
          <w:color w:val="000000" w:themeColor="text1"/>
          <w:sz w:val="24"/>
          <w:szCs w:val="24"/>
          <w:lang w:val="en-GB"/>
        </w:rPr>
      </w:pPr>
      <w:r>
        <w:rPr>
          <w:rFonts w:eastAsia="Times New Roman" w:cs="Calibri"/>
          <w:color w:val="000000" w:themeColor="text1"/>
          <w:sz w:val="24"/>
          <w:szCs w:val="24"/>
          <w:rtl/>
        </w:rPr>
        <w:br/>
      </w:r>
      <w:r w:rsidR="00514EF5">
        <w:rPr>
          <w:rFonts w:eastAsia="Times New Roman" w:cs="Calibri"/>
          <w:color w:val="000000" w:themeColor="text1"/>
          <w:sz w:val="24"/>
          <w:szCs w:val="24"/>
        </w:rPr>
        <w:t>During the first stage</w:t>
      </w:r>
      <w:r w:rsidR="00576F2B">
        <w:rPr>
          <w:rFonts w:eastAsia="Times New Roman" w:cs="Calibri"/>
          <w:color w:val="000000" w:themeColor="text1"/>
          <w:sz w:val="24"/>
          <w:szCs w:val="24"/>
        </w:rPr>
        <w:t>,</w:t>
      </w:r>
      <w:r w:rsidR="00514EF5">
        <w:rPr>
          <w:rFonts w:eastAsia="Times New Roman" w:cs="Calibri"/>
          <w:color w:val="000000" w:themeColor="text1"/>
          <w:sz w:val="24"/>
          <w:szCs w:val="24"/>
        </w:rPr>
        <w:t xml:space="preserve"> success will be measured by a combination </w:t>
      </w:r>
      <w:r w:rsidR="007B184F">
        <w:rPr>
          <w:rFonts w:eastAsia="Times New Roman" w:cs="Calibri"/>
          <w:color w:val="000000" w:themeColor="text1"/>
          <w:sz w:val="24"/>
          <w:szCs w:val="24"/>
        </w:rPr>
        <w:t xml:space="preserve">of </w:t>
      </w:r>
      <w:r w:rsidR="00AC0A5F">
        <w:rPr>
          <w:rFonts w:eastAsia="Times New Roman" w:cs="Calibri"/>
          <w:color w:val="000000" w:themeColor="text1"/>
          <w:sz w:val="24"/>
          <w:szCs w:val="24"/>
        </w:rPr>
        <w:t xml:space="preserve">the following: </w:t>
      </w:r>
      <w:r w:rsidR="006D1457">
        <w:rPr>
          <w:rFonts w:eastAsia="Times New Roman" w:cs="Calibri"/>
          <w:color w:val="000000" w:themeColor="text1"/>
          <w:sz w:val="24"/>
          <w:szCs w:val="24"/>
        </w:rPr>
        <w:t xml:space="preserve">successfully placing participants in </w:t>
      </w:r>
      <w:r w:rsidR="007B184F">
        <w:rPr>
          <w:rFonts w:eastAsia="Times New Roman" w:cs="Calibri"/>
          <w:color w:val="000000" w:themeColor="text1"/>
          <w:sz w:val="24"/>
          <w:szCs w:val="24"/>
        </w:rPr>
        <w:t xml:space="preserve">the purchased apartments throughout the </w:t>
      </w:r>
      <w:r w:rsidR="007034DA">
        <w:rPr>
          <w:rFonts w:eastAsia="Times New Roman" w:cs="Calibri"/>
          <w:color w:val="000000" w:themeColor="text1"/>
          <w:sz w:val="24"/>
          <w:szCs w:val="24"/>
        </w:rPr>
        <w:t>pilot period</w:t>
      </w:r>
      <w:r w:rsidR="00C71014">
        <w:rPr>
          <w:rFonts w:eastAsia="Times New Roman" w:cs="Calibri"/>
          <w:color w:val="000000" w:themeColor="text1"/>
          <w:sz w:val="24"/>
          <w:szCs w:val="24"/>
        </w:rPr>
        <w:t>;</w:t>
      </w:r>
      <w:r w:rsidR="007B184F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="006D1457">
        <w:rPr>
          <w:rFonts w:eastAsia="Times New Roman" w:cs="Calibri"/>
          <w:color w:val="000000" w:themeColor="text1"/>
          <w:sz w:val="24"/>
          <w:szCs w:val="24"/>
        </w:rPr>
        <w:t>conti</w:t>
      </w:r>
      <w:r w:rsidR="00AC0A5F">
        <w:rPr>
          <w:rFonts w:eastAsia="Times New Roman" w:cs="Calibri"/>
          <w:color w:val="000000" w:themeColor="text1"/>
          <w:sz w:val="24"/>
          <w:szCs w:val="24"/>
        </w:rPr>
        <w:t>n</w:t>
      </w:r>
      <w:r w:rsidR="006D1457">
        <w:rPr>
          <w:rFonts w:eastAsia="Times New Roman" w:cs="Calibri"/>
          <w:color w:val="000000" w:themeColor="text1"/>
          <w:sz w:val="24"/>
          <w:szCs w:val="24"/>
        </w:rPr>
        <w:t>uous improvement</w:t>
      </w:r>
      <w:r w:rsidR="00683E1B">
        <w:rPr>
          <w:rFonts w:eastAsia="Times New Roman" w:cs="Calibri"/>
          <w:color w:val="000000" w:themeColor="text1"/>
          <w:sz w:val="24"/>
          <w:szCs w:val="24"/>
        </w:rPr>
        <w:t xml:space="preserve"> in the participants’ ability to earn an independent livelihood</w:t>
      </w:r>
      <w:r w:rsidR="00C71014">
        <w:rPr>
          <w:rFonts w:eastAsia="Times New Roman" w:cs="Calibri"/>
          <w:color w:val="000000" w:themeColor="text1"/>
          <w:sz w:val="24"/>
          <w:szCs w:val="24"/>
        </w:rPr>
        <w:t>;</w:t>
      </w:r>
      <w:r w:rsidR="003C4FA4">
        <w:rPr>
          <w:rFonts w:eastAsia="Times New Roman" w:cs="Calibri"/>
          <w:color w:val="000000" w:themeColor="text1"/>
          <w:sz w:val="24"/>
          <w:szCs w:val="24"/>
        </w:rPr>
        <w:t xml:space="preserve"> and </w:t>
      </w:r>
      <w:r w:rsidR="00F25EAC">
        <w:rPr>
          <w:rFonts w:eastAsia="Times New Roman" w:cs="Calibri"/>
          <w:color w:val="000000" w:themeColor="text1"/>
          <w:sz w:val="24"/>
          <w:szCs w:val="24"/>
          <w:lang w:val="en-GB"/>
        </w:rPr>
        <w:t xml:space="preserve">an improvement in other life measures (each </w:t>
      </w:r>
      <w:r w:rsidR="00683E1B">
        <w:rPr>
          <w:rFonts w:eastAsia="Times New Roman" w:cs="Calibri"/>
          <w:color w:val="000000" w:themeColor="text1"/>
          <w:sz w:val="24"/>
          <w:szCs w:val="24"/>
          <w:lang w:val="en-GB"/>
        </w:rPr>
        <w:t>participant</w:t>
      </w:r>
      <w:r w:rsidR="00F25EAC">
        <w:rPr>
          <w:rFonts w:eastAsia="Times New Roman" w:cs="Calibri"/>
          <w:color w:val="000000" w:themeColor="text1"/>
          <w:sz w:val="24"/>
          <w:szCs w:val="24"/>
          <w:lang w:val="en-GB"/>
        </w:rPr>
        <w:t xml:space="preserve"> </w:t>
      </w:r>
      <w:r w:rsidR="00C71014">
        <w:rPr>
          <w:rFonts w:eastAsia="Times New Roman" w:cs="Calibri"/>
          <w:color w:val="000000" w:themeColor="text1"/>
          <w:sz w:val="24"/>
          <w:szCs w:val="24"/>
          <w:lang w:val="en-GB"/>
        </w:rPr>
        <w:t>per</w:t>
      </w:r>
      <w:r w:rsidR="00F25EAC">
        <w:rPr>
          <w:rFonts w:eastAsia="Times New Roman" w:cs="Calibri"/>
          <w:color w:val="000000" w:themeColor="text1"/>
          <w:sz w:val="24"/>
          <w:szCs w:val="24"/>
          <w:lang w:val="en-GB"/>
        </w:rPr>
        <w:t xml:space="preserve"> her own challenges). At the end of the pilot, </w:t>
      </w:r>
      <w:r w:rsidR="00B3704E">
        <w:rPr>
          <w:rFonts w:eastAsia="Times New Roman" w:cs="Calibri"/>
          <w:color w:val="000000" w:themeColor="text1"/>
          <w:sz w:val="24"/>
          <w:szCs w:val="24"/>
          <w:lang w:val="en-GB"/>
        </w:rPr>
        <w:t xml:space="preserve">the success of the housing and support model will be determined </w:t>
      </w:r>
      <w:r w:rsidR="00C71014">
        <w:rPr>
          <w:rFonts w:eastAsia="Times New Roman" w:cs="Calibri"/>
          <w:color w:val="000000" w:themeColor="text1"/>
          <w:sz w:val="24"/>
          <w:szCs w:val="24"/>
          <w:lang w:val="en-GB"/>
        </w:rPr>
        <w:t>based on the criteria that were established.</w:t>
      </w:r>
    </w:p>
    <w:p w14:paraId="7FBB69F9" w14:textId="4552A549" w:rsidR="008457FC" w:rsidRDefault="008457FC" w:rsidP="008457FC">
      <w:pPr>
        <w:bidi w:val="0"/>
        <w:spacing w:line="276" w:lineRule="auto"/>
        <w:contextualSpacing/>
        <w:rPr>
          <w:rFonts w:eastAsia="Times New Roman" w:cs="Calibri"/>
          <w:color w:val="000000" w:themeColor="text1"/>
          <w:sz w:val="24"/>
          <w:szCs w:val="24"/>
          <w:lang w:val="en-GB"/>
        </w:rPr>
      </w:pPr>
      <w:r>
        <w:rPr>
          <w:rFonts w:eastAsia="Times New Roman" w:cs="Calibri"/>
          <w:color w:val="000000" w:themeColor="text1"/>
          <w:sz w:val="24"/>
          <w:szCs w:val="24"/>
          <w:lang w:val="en-GB"/>
        </w:rPr>
        <w:t xml:space="preserve">In the long term: duplicating the housing and support models in additional </w:t>
      </w:r>
      <w:r w:rsidR="00C71014">
        <w:rPr>
          <w:rFonts w:eastAsia="Times New Roman" w:cs="Calibri"/>
          <w:color w:val="000000" w:themeColor="text1"/>
          <w:sz w:val="24"/>
          <w:szCs w:val="24"/>
          <w:lang w:val="en-GB"/>
        </w:rPr>
        <w:t>municipalities</w:t>
      </w:r>
      <w:r>
        <w:rPr>
          <w:rFonts w:eastAsia="Times New Roman" w:cs="Calibri"/>
          <w:color w:val="000000" w:themeColor="text1"/>
          <w:sz w:val="24"/>
          <w:szCs w:val="24"/>
          <w:lang w:val="en-GB"/>
        </w:rPr>
        <w:t xml:space="preserve"> by </w:t>
      </w:r>
      <w:r w:rsidR="008E0082">
        <w:rPr>
          <w:rFonts w:eastAsia="Times New Roman" w:cs="Calibri"/>
          <w:color w:val="000000" w:themeColor="text1"/>
          <w:sz w:val="24"/>
          <w:szCs w:val="24"/>
          <w:lang w:val="en-GB"/>
        </w:rPr>
        <w:t>continuing the t</w:t>
      </w:r>
      <w:r w:rsidR="00344798">
        <w:rPr>
          <w:rFonts w:eastAsia="Times New Roman" w:cs="Calibri"/>
          <w:color w:val="000000" w:themeColor="text1"/>
          <w:sz w:val="24"/>
          <w:szCs w:val="24"/>
          <w:lang w:val="en-GB"/>
        </w:rPr>
        <w:t>ri-sector partnerships.</w:t>
      </w:r>
    </w:p>
    <w:p w14:paraId="7A57DD11" w14:textId="3F633D41" w:rsidR="00BF7640" w:rsidRPr="00A772CA" w:rsidRDefault="0093261E" w:rsidP="00A772CA">
      <w:pPr>
        <w:bidi w:val="0"/>
        <w:spacing w:line="276" w:lineRule="auto"/>
        <w:contextualSpacing/>
        <w:rPr>
          <w:rFonts w:eastAsia="Times New Roman" w:cs="Calibri"/>
          <w:color w:val="000000" w:themeColor="text1"/>
          <w:sz w:val="24"/>
          <w:szCs w:val="24"/>
          <w:lang w:val="en-GB"/>
        </w:rPr>
      </w:pPr>
      <w:r>
        <w:rPr>
          <w:rFonts w:eastAsia="Times New Roman" w:cs="Calibri"/>
          <w:color w:val="000000" w:themeColor="text1"/>
          <w:sz w:val="24"/>
          <w:szCs w:val="24"/>
          <w:lang w:val="en-GB"/>
        </w:rPr>
        <w:t>The success of the financial model in supporting</w:t>
      </w:r>
      <w:r w:rsidR="00295BC9">
        <w:rPr>
          <w:rFonts w:eastAsia="Times New Roman" w:cs="Calibri"/>
          <w:color w:val="000000" w:themeColor="text1"/>
          <w:sz w:val="24"/>
          <w:szCs w:val="24"/>
          <w:lang w:val="en-GB"/>
        </w:rPr>
        <w:t xml:space="preserve"> the expansion of the project: </w:t>
      </w:r>
      <w:r w:rsidR="00A772CA">
        <w:rPr>
          <w:rFonts w:eastAsia="Times New Roman" w:cs="Calibri"/>
          <w:color w:val="000000" w:themeColor="text1"/>
          <w:sz w:val="24"/>
          <w:szCs w:val="24"/>
          <w:lang w:val="en-GB"/>
        </w:rPr>
        <w:t xml:space="preserve">the investment of the </w:t>
      </w:r>
      <w:r>
        <w:rPr>
          <w:rFonts w:eastAsia="Times New Roman" w:cs="Calibri"/>
          <w:color w:val="000000" w:themeColor="text1"/>
          <w:sz w:val="24"/>
          <w:szCs w:val="24"/>
          <w:lang w:val="en-GB"/>
        </w:rPr>
        <w:t>property</w:t>
      </w:r>
      <w:r w:rsidR="00A772CA">
        <w:rPr>
          <w:rFonts w:eastAsia="Times New Roman" w:cs="Calibri"/>
          <w:color w:val="000000" w:themeColor="text1"/>
          <w:sz w:val="24"/>
          <w:szCs w:val="24"/>
          <w:lang w:val="en-GB"/>
        </w:rPr>
        <w:t xml:space="preserve"> fund will lead to additional investments to broaden the pilot.</w:t>
      </w:r>
    </w:p>
    <w:p w14:paraId="13A26B19" w14:textId="0E9BC09B" w:rsidR="0063565E" w:rsidRPr="00625A07" w:rsidRDefault="0063565E" w:rsidP="00FA4117">
      <w:pPr>
        <w:spacing w:afterLines="100" w:after="240"/>
        <w:rPr>
          <w:rFonts w:cstheme="minorHAnsi"/>
          <w:color w:val="000000" w:themeColor="text1"/>
          <w:sz w:val="24"/>
          <w:szCs w:val="24"/>
        </w:rPr>
      </w:pPr>
    </w:p>
    <w:tbl>
      <w:tblPr>
        <w:tblW w:w="0" w:type="auto"/>
        <w:tblCellSpacing w:w="0" w:type="auto"/>
        <w:tblInd w:w="-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999"/>
        <w:gridCol w:w="5172"/>
      </w:tblGrid>
      <w:tr w:rsidR="00BF7640" w:rsidRPr="00625A07" w14:paraId="79323151" w14:textId="77777777" w:rsidTr="00A772CA">
        <w:trPr>
          <w:trHeight w:val="135"/>
          <w:tblCellSpacing w:w="0" w:type="auto"/>
        </w:trPr>
        <w:tc>
          <w:tcPr>
            <w:tcW w:w="0" w:type="auto"/>
            <w:gridSpan w:val="2"/>
            <w:tcBorders>
              <w:bottom w:val="single" w:sz="16" w:space="0" w:color="000000"/>
            </w:tcBorders>
            <w:shd w:val="clear" w:color="auto" w:fill="E5E5E5"/>
            <w:tcMar>
              <w:top w:w="60" w:type="dxa"/>
              <w:left w:w="30" w:type="dxa"/>
              <w:bottom w:w="60" w:type="dxa"/>
              <w:right w:w="30" w:type="dxa"/>
            </w:tcMar>
          </w:tcPr>
          <w:p w14:paraId="17A6E880" w14:textId="12B93559" w:rsidR="00BF7640" w:rsidRPr="00625A07" w:rsidRDefault="00A772CA" w:rsidP="00A772CA">
            <w:pPr>
              <w:bidi w:val="0"/>
              <w:spacing w:after="0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bidi="he"/>
              </w:rPr>
              <w:t>Risks and strategy to reduce risks</w:t>
            </w:r>
          </w:p>
        </w:tc>
      </w:tr>
      <w:tr w:rsidR="00BF7640" w:rsidRPr="00625A07" w14:paraId="7938115A" w14:textId="77777777" w:rsidTr="00A772CA">
        <w:trPr>
          <w:trHeight w:val="609"/>
          <w:tblCellSpacing w:w="0" w:type="auto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AE0D2" w14:textId="5D81719D" w:rsidR="00BF7640" w:rsidRPr="00625A07" w:rsidRDefault="00A772CA" w:rsidP="00A772CA">
            <w:pPr>
              <w:bidi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bidi="he"/>
              </w:rPr>
              <w:t>Risk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AF9D72" w14:textId="4A1CA3E9" w:rsidR="00BF7640" w:rsidRPr="00625A07" w:rsidRDefault="00A772CA" w:rsidP="00A772CA">
            <w:pPr>
              <w:bidi w:val="0"/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bidi="he"/>
              </w:rPr>
              <w:t>Risk Reduction</w:t>
            </w:r>
          </w:p>
        </w:tc>
      </w:tr>
      <w:tr w:rsidR="000246F0" w:rsidRPr="00625A07" w14:paraId="45378486" w14:textId="77777777" w:rsidTr="00A772CA">
        <w:trPr>
          <w:trHeight w:val="165"/>
          <w:tblCellSpacing w:w="0" w:type="auto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2FF7A" w14:textId="6E10BC33" w:rsidR="00A772CA" w:rsidRDefault="00AF001F" w:rsidP="00A772CA">
            <w:pPr>
              <w:bidi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Difficulties in anticipating increases in the cost of </w:t>
            </w:r>
            <w:r w:rsidR="003C5389">
              <w:rPr>
                <w:rFonts w:cs="Calibri"/>
                <w:sz w:val="24"/>
                <w:szCs w:val="24"/>
              </w:rPr>
              <w:t>property</w:t>
            </w:r>
            <w:r>
              <w:rPr>
                <w:rFonts w:cs="Calibri"/>
                <w:sz w:val="24"/>
                <w:szCs w:val="24"/>
              </w:rPr>
              <w:t>/cost of living in Israel.</w:t>
            </w:r>
          </w:p>
          <w:p w14:paraId="76FE9C1C" w14:textId="27B420F6" w:rsidR="000246F0" w:rsidRPr="003C5389" w:rsidRDefault="000246F0" w:rsidP="00AF00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FFA85" w14:textId="55BBFADD" w:rsidR="00AF001F" w:rsidRDefault="00AF001F" w:rsidP="00AF001F">
            <w:pPr>
              <w:bidi w:val="0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>A philanthropic s</w:t>
            </w:r>
            <w:r w:rsidR="005720D1">
              <w:rPr>
                <w:rFonts w:cs="Calibri"/>
                <w:color w:val="000000" w:themeColor="text1"/>
                <w:sz w:val="24"/>
                <w:szCs w:val="24"/>
              </w:rPr>
              <w:t>afety net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for the model.</w:t>
            </w:r>
          </w:p>
          <w:p w14:paraId="20B7C61A" w14:textId="60394C27" w:rsidR="000246F0" w:rsidRPr="00625A07" w:rsidRDefault="000246F0" w:rsidP="000246F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46F0" w:rsidRPr="00625A07" w14:paraId="6CA537CB" w14:textId="77777777" w:rsidTr="00A772CA">
        <w:trPr>
          <w:trHeight w:val="165"/>
          <w:tblCellSpacing w:w="0" w:type="auto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3E18B" w14:textId="513773E6" w:rsidR="000246F0" w:rsidRPr="00625A07" w:rsidRDefault="00A276EB" w:rsidP="00126F24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en-GB"/>
              </w:rPr>
              <w:t xml:space="preserve">This model requires a certain </w:t>
            </w:r>
            <w:r w:rsidR="003C5389">
              <w:rPr>
                <w:rFonts w:cs="Calibri"/>
                <w:sz w:val="24"/>
                <w:szCs w:val="24"/>
                <w:lang w:val="en-GB"/>
              </w:rPr>
              <w:t>shift</w:t>
            </w:r>
            <w:r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r w:rsidR="005720D1">
              <w:rPr>
                <w:rFonts w:cs="Calibri"/>
                <w:sz w:val="24"/>
                <w:szCs w:val="24"/>
                <w:lang w:val="en-GB"/>
              </w:rPr>
              <w:t>for</w:t>
            </w:r>
            <w:r>
              <w:rPr>
                <w:rFonts w:cs="Calibri"/>
                <w:sz w:val="24"/>
                <w:szCs w:val="24"/>
                <w:lang w:val="en-GB"/>
              </w:rPr>
              <w:t xml:space="preserve"> each player </w:t>
            </w:r>
            <w:r w:rsidR="003C5389">
              <w:rPr>
                <w:rFonts w:cs="Calibri"/>
                <w:sz w:val="24"/>
                <w:szCs w:val="24"/>
                <w:lang w:val="en-GB"/>
              </w:rPr>
              <w:t>beyond</w:t>
            </w:r>
            <w:r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r w:rsidR="00E30589">
              <w:rPr>
                <w:rFonts w:cs="Calibri"/>
                <w:sz w:val="24"/>
                <w:szCs w:val="24"/>
                <w:lang w:val="en-GB"/>
              </w:rPr>
              <w:t xml:space="preserve">its </w:t>
            </w:r>
            <w:r w:rsidR="003C5389">
              <w:rPr>
                <w:rFonts w:cs="Calibri"/>
                <w:sz w:val="24"/>
                <w:szCs w:val="24"/>
                <w:lang w:val="en-GB"/>
              </w:rPr>
              <w:t>regular area of action</w:t>
            </w:r>
            <w:r w:rsidR="002D3ED7">
              <w:rPr>
                <w:rFonts w:cs="Calibri"/>
                <w:sz w:val="24"/>
                <w:szCs w:val="24"/>
                <w:lang w:val="en-GB"/>
              </w:rPr>
              <w:t>.</w:t>
            </w:r>
            <w:r w:rsidR="00346A43">
              <w:rPr>
                <w:rFonts w:cs="Calibri"/>
                <w:sz w:val="24"/>
                <w:szCs w:val="24"/>
                <w:lang w:val="en-GB"/>
              </w:rPr>
              <w:t xml:space="preserve"> F</w:t>
            </w:r>
            <w:r w:rsidR="00E30589">
              <w:rPr>
                <w:rFonts w:cs="Calibri"/>
                <w:sz w:val="24"/>
                <w:szCs w:val="24"/>
                <w:lang w:val="en-GB"/>
              </w:rPr>
              <w:t>or example</w:t>
            </w:r>
            <w:r w:rsidR="00346A43">
              <w:rPr>
                <w:rFonts w:cs="Calibri"/>
                <w:sz w:val="24"/>
                <w:szCs w:val="24"/>
                <w:lang w:val="en-GB"/>
              </w:rPr>
              <w:t>, there are likely</w:t>
            </w:r>
            <w:r w:rsidR="00846874">
              <w:rPr>
                <w:rFonts w:cs="Calibri"/>
                <w:sz w:val="24"/>
                <w:szCs w:val="24"/>
                <w:lang w:val="en-GB"/>
              </w:rPr>
              <w:t xml:space="preserve"> to </w:t>
            </w:r>
            <w:r w:rsidR="00346A43">
              <w:rPr>
                <w:rFonts w:cs="Calibri"/>
                <w:sz w:val="24"/>
                <w:szCs w:val="24"/>
                <w:lang w:val="en-GB"/>
              </w:rPr>
              <w:t>be</w:t>
            </w:r>
            <w:r w:rsidR="00846874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r w:rsidR="005E077F">
              <w:rPr>
                <w:rFonts w:cs="Calibri"/>
                <w:sz w:val="24"/>
                <w:szCs w:val="24"/>
                <w:lang w:val="en-GB"/>
              </w:rPr>
              <w:t>differences in</w:t>
            </w:r>
            <w:r w:rsidR="00846874">
              <w:rPr>
                <w:rFonts w:cs="Calibri"/>
                <w:sz w:val="24"/>
                <w:szCs w:val="24"/>
                <w:lang w:val="en-GB"/>
              </w:rPr>
              <w:t xml:space="preserve"> </w:t>
            </w:r>
            <w:r w:rsidR="00346A43">
              <w:rPr>
                <w:rFonts w:cs="Calibri"/>
                <w:sz w:val="24"/>
                <w:szCs w:val="24"/>
                <w:lang w:val="en-GB"/>
              </w:rPr>
              <w:t xml:space="preserve">the </w:t>
            </w:r>
            <w:r w:rsidR="00846874">
              <w:rPr>
                <w:rFonts w:cs="Calibri"/>
                <w:sz w:val="24"/>
                <w:szCs w:val="24"/>
                <w:lang w:val="en-GB"/>
              </w:rPr>
              <w:t xml:space="preserve">approaches and principles of intervention between civil society organizations and funding bodies </w:t>
            </w:r>
            <w:r w:rsidR="000B41D5">
              <w:rPr>
                <w:rFonts w:cs="Calibri"/>
                <w:sz w:val="24"/>
                <w:szCs w:val="24"/>
                <w:lang w:val="en-GB"/>
              </w:rPr>
              <w:t xml:space="preserve">(governmental and </w:t>
            </w:r>
            <w:r w:rsidR="00686A76">
              <w:rPr>
                <w:rFonts w:cs="Calibri"/>
                <w:sz w:val="24"/>
                <w:szCs w:val="24"/>
                <w:lang w:val="en-GB"/>
              </w:rPr>
              <w:t>private</w:t>
            </w:r>
            <w:r w:rsidR="000B41D5">
              <w:rPr>
                <w:rFonts w:cs="Calibri"/>
                <w:sz w:val="24"/>
                <w:szCs w:val="24"/>
                <w:lang w:val="en-GB"/>
              </w:rPr>
              <w:t xml:space="preserve">). 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3949D" w14:textId="77777777" w:rsidR="005720D1" w:rsidRDefault="00670128" w:rsidP="005720D1">
            <w:pPr>
              <w:bidi w:val="0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Organizing joint implementation/steering committees </w:t>
            </w:r>
            <w:r w:rsidR="005720D1">
              <w:rPr>
                <w:rFonts w:cs="Calibri"/>
                <w:color w:val="000000" w:themeColor="text1"/>
                <w:sz w:val="24"/>
                <w:szCs w:val="24"/>
              </w:rPr>
              <w:t>to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bridg</w:t>
            </w:r>
            <w:r w:rsidR="005720D1">
              <w:rPr>
                <w:rFonts w:cs="Calibri"/>
                <w:color w:val="000000" w:themeColor="text1"/>
                <w:sz w:val="24"/>
                <w:szCs w:val="24"/>
              </w:rPr>
              <w:t>e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 the gaps</w:t>
            </w:r>
            <w:r w:rsidR="005720D1">
              <w:rPr>
                <w:rFonts w:cs="Calibri"/>
                <w:color w:val="000000" w:themeColor="text1"/>
                <w:sz w:val="24"/>
                <w:szCs w:val="24"/>
              </w:rPr>
              <w:t xml:space="preserve">. For 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>example</w:t>
            </w:r>
            <w:r w:rsidR="005720D1">
              <w:rPr>
                <w:rFonts w:cs="Calibri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an </w:t>
            </w:r>
            <w:r w:rsidR="005720D1">
              <w:rPr>
                <w:rFonts w:cs="Calibri"/>
                <w:color w:val="000000" w:themeColor="text1"/>
                <w:sz w:val="24"/>
                <w:szCs w:val="24"/>
              </w:rPr>
              <w:t xml:space="preserve">expert </w:t>
            </w:r>
            <w:r w:rsidR="00322DE5">
              <w:rPr>
                <w:rFonts w:cs="Calibri"/>
                <w:color w:val="000000" w:themeColor="text1"/>
                <w:sz w:val="24"/>
                <w:szCs w:val="24"/>
              </w:rPr>
              <w:t>external adviser</w:t>
            </w:r>
            <w:r w:rsidR="005720D1">
              <w:rPr>
                <w:rFonts w:cs="Calibri"/>
                <w:color w:val="000000" w:themeColor="text1"/>
                <w:sz w:val="24"/>
                <w:szCs w:val="24"/>
              </w:rPr>
              <w:t xml:space="preserve"> could be used.</w:t>
            </w:r>
          </w:p>
          <w:p w14:paraId="32428C82" w14:textId="3CA81FAE" w:rsidR="00322DE5" w:rsidRPr="009B35EC" w:rsidRDefault="00322DE5" w:rsidP="005720D1">
            <w:pPr>
              <w:bidi w:val="0"/>
              <w:rPr>
                <w:rFonts w:cs="Calibr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t xml:space="preserve">Also, </w:t>
            </w:r>
            <w:r w:rsidR="00E75B04">
              <w:rPr>
                <w:rFonts w:cs="Calibri"/>
                <w:color w:val="000000" w:themeColor="text1"/>
                <w:sz w:val="24"/>
                <w:szCs w:val="24"/>
              </w:rPr>
              <w:t xml:space="preserve">it is proposed </w:t>
            </w:r>
            <w:r w:rsidR="005720D1">
              <w:rPr>
                <w:rFonts w:cs="Calibri"/>
                <w:color w:val="000000" w:themeColor="text1"/>
                <w:sz w:val="24"/>
                <w:szCs w:val="24"/>
              </w:rPr>
              <w:t>that</w:t>
            </w:r>
            <w:r w:rsidR="00E75B04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="005720D1">
              <w:rPr>
                <w:rFonts w:cs="Calibri"/>
                <w:color w:val="000000" w:themeColor="text1"/>
                <w:sz w:val="24"/>
                <w:szCs w:val="24"/>
              </w:rPr>
              <w:t>the</w:t>
            </w:r>
            <w:r w:rsidR="00612344">
              <w:rPr>
                <w:rFonts w:cs="Calibri"/>
                <w:color w:val="000000" w:themeColor="text1"/>
                <w:sz w:val="24"/>
                <w:szCs w:val="24"/>
              </w:rPr>
              <w:t xml:space="preserve"> social </w:t>
            </w:r>
            <w:r w:rsidR="008013B3">
              <w:rPr>
                <w:rFonts w:cs="Calibri"/>
                <w:color w:val="000000" w:themeColor="text1"/>
                <w:sz w:val="24"/>
                <w:szCs w:val="24"/>
              </w:rPr>
              <w:t xml:space="preserve">impact </w:t>
            </w:r>
            <w:r w:rsidR="005720D1">
              <w:rPr>
                <w:rFonts w:cs="Calibri"/>
                <w:color w:val="000000" w:themeColor="text1"/>
                <w:sz w:val="24"/>
                <w:szCs w:val="24"/>
              </w:rPr>
              <w:t xml:space="preserve">consultants with whom </w:t>
            </w:r>
            <w:r w:rsidR="008013B3">
              <w:rPr>
                <w:rFonts w:cs="Calibri"/>
                <w:color w:val="000000" w:themeColor="text1"/>
                <w:sz w:val="24"/>
                <w:szCs w:val="24"/>
              </w:rPr>
              <w:t xml:space="preserve">the model was built </w:t>
            </w:r>
            <w:r w:rsidR="005720D1">
              <w:rPr>
                <w:rFonts w:cs="Calibri"/>
                <w:color w:val="000000" w:themeColor="text1"/>
                <w:sz w:val="24"/>
                <w:szCs w:val="24"/>
              </w:rPr>
              <w:t>be integrated into the management of the</w:t>
            </w:r>
            <w:r w:rsidR="008013B3">
              <w:rPr>
                <w:rFonts w:cs="Calibri"/>
                <w:color w:val="000000" w:themeColor="text1"/>
                <w:sz w:val="24"/>
                <w:szCs w:val="24"/>
              </w:rPr>
              <w:t xml:space="preserve"> pilot to ensure that all the </w:t>
            </w:r>
            <w:r w:rsidR="005720D1">
              <w:rPr>
                <w:rFonts w:cs="Calibri"/>
                <w:color w:val="000000" w:themeColor="text1"/>
                <w:sz w:val="24"/>
                <w:szCs w:val="24"/>
                <w:lang w:val="en-GB"/>
              </w:rPr>
              <w:t>the important components of the model are realized.</w:t>
            </w:r>
          </w:p>
          <w:p w14:paraId="2A507BAC" w14:textId="2AB96887" w:rsidR="00C17644" w:rsidRPr="00C17644" w:rsidRDefault="00C17644" w:rsidP="00C17644">
            <w:pPr>
              <w:rPr>
                <w:rFonts w:cs="Calibri"/>
                <w:color w:val="000000" w:themeColor="text1"/>
                <w:sz w:val="24"/>
                <w:szCs w:val="24"/>
                <w:rtl/>
              </w:rPr>
            </w:pPr>
          </w:p>
        </w:tc>
      </w:tr>
      <w:tr w:rsidR="000246F0" w:rsidRPr="00625A07" w14:paraId="13203DA8" w14:textId="77777777" w:rsidTr="00A772CA">
        <w:trPr>
          <w:trHeight w:val="165"/>
          <w:tblCellSpacing w:w="0" w:type="auto"/>
        </w:trPr>
        <w:tc>
          <w:tcPr>
            <w:tcW w:w="2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52FF2" w14:textId="0C44D6F2" w:rsidR="009B35EC" w:rsidRDefault="00646FE1" w:rsidP="009B35EC">
            <w:pPr>
              <w:bidi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Difficulties </w:t>
            </w:r>
            <w:r w:rsidR="00686A76">
              <w:rPr>
                <w:rFonts w:cs="Calibri"/>
                <w:sz w:val="24"/>
                <w:szCs w:val="24"/>
              </w:rPr>
              <w:t>with</w:t>
            </w:r>
            <w:r>
              <w:rPr>
                <w:rFonts w:cs="Calibri"/>
                <w:sz w:val="24"/>
                <w:szCs w:val="24"/>
              </w:rPr>
              <w:t xml:space="preserve"> long-term </w:t>
            </w:r>
            <w:r w:rsidR="00686A76">
              <w:rPr>
                <w:rFonts w:cs="Calibri"/>
                <w:sz w:val="24"/>
                <w:szCs w:val="24"/>
              </w:rPr>
              <w:t>commitments from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lastRenderedPageBreak/>
              <w:t xml:space="preserve">governmental bodies, </w:t>
            </w:r>
            <w:r w:rsidR="00F73644">
              <w:rPr>
                <w:rFonts w:cs="Calibri"/>
                <w:sz w:val="24"/>
                <w:szCs w:val="24"/>
              </w:rPr>
              <w:t xml:space="preserve">and </w:t>
            </w:r>
            <w:r w:rsidR="00A97015">
              <w:rPr>
                <w:rFonts w:cs="Calibri"/>
                <w:sz w:val="24"/>
                <w:szCs w:val="24"/>
              </w:rPr>
              <w:t>insufficient regulation.</w:t>
            </w:r>
          </w:p>
          <w:p w14:paraId="569D3210" w14:textId="375C9673" w:rsidR="000246F0" w:rsidRPr="00625A07" w:rsidRDefault="000246F0" w:rsidP="000246F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8036F" w14:textId="7D781EC0" w:rsidR="005F7A47" w:rsidRDefault="003D7950" w:rsidP="005F7A47">
            <w:pPr>
              <w:bidi w:val="0"/>
              <w:rPr>
                <w:rFonts w:cs="Calibri"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color w:val="000000" w:themeColor="text1"/>
                <w:sz w:val="24"/>
                <w:szCs w:val="24"/>
              </w:rPr>
              <w:lastRenderedPageBreak/>
              <w:t xml:space="preserve">Special attention must be paid to </w:t>
            </w:r>
            <w:r w:rsidR="00F73644">
              <w:rPr>
                <w:rFonts w:cs="Calibri"/>
                <w:color w:val="000000" w:themeColor="text1"/>
                <w:sz w:val="24"/>
                <w:szCs w:val="24"/>
              </w:rPr>
              <w:t>changing</w:t>
            </w:r>
            <w:r w:rsidR="00F73644">
              <w:rPr>
                <w:rFonts w:cs="Calibri"/>
                <w:color w:val="000000" w:themeColor="text1"/>
                <w:sz w:val="24"/>
                <w:szCs w:val="24"/>
              </w:rPr>
              <w:t xml:space="preserve"> the framework of governmental commitments. </w:t>
            </w:r>
            <w:r w:rsidR="00D5402F">
              <w:rPr>
                <w:rFonts w:cs="Calibri"/>
                <w:color w:val="000000" w:themeColor="text1"/>
                <w:sz w:val="24"/>
                <w:szCs w:val="24"/>
              </w:rPr>
              <w:t>One suggestion, f</w:t>
            </w:r>
            <w:r w:rsidR="00F73644">
              <w:rPr>
                <w:rFonts w:cs="Calibri"/>
                <w:color w:val="000000" w:themeColor="text1"/>
                <w:sz w:val="24"/>
                <w:szCs w:val="24"/>
              </w:rPr>
              <w:t xml:space="preserve">or example, </w:t>
            </w:r>
            <w:r w:rsidR="00D5402F">
              <w:rPr>
                <w:rFonts w:cs="Calibri"/>
                <w:color w:val="000000" w:themeColor="text1"/>
                <w:sz w:val="24"/>
                <w:szCs w:val="24"/>
              </w:rPr>
              <w:t>is to promote</w:t>
            </w:r>
            <w:r w:rsidR="00356EBA">
              <w:rPr>
                <w:rFonts w:cs="Calibri"/>
                <w:color w:val="000000" w:themeColor="text1"/>
                <w:sz w:val="24"/>
                <w:szCs w:val="24"/>
              </w:rPr>
              <w:t xml:space="preserve"> a </w:t>
            </w:r>
            <w:r w:rsidR="00356EBA">
              <w:rPr>
                <w:rFonts w:cs="Calibri"/>
                <w:color w:val="000000" w:themeColor="text1"/>
                <w:sz w:val="24"/>
                <w:szCs w:val="24"/>
              </w:rPr>
              <w:lastRenderedPageBreak/>
              <w:t>government decision that will require</w:t>
            </w:r>
            <w:r w:rsidR="00D5402F">
              <w:rPr>
                <w:rFonts w:cs="Calibri"/>
                <w:color w:val="000000" w:themeColor="text1"/>
                <w:sz w:val="24"/>
                <w:szCs w:val="24"/>
              </w:rPr>
              <w:t xml:space="preserve"> the</w:t>
            </w:r>
            <w:r w:rsidR="00356EBA">
              <w:rPr>
                <w:rFonts w:cs="Calibri"/>
                <w:color w:val="000000" w:themeColor="text1"/>
                <w:sz w:val="24"/>
                <w:szCs w:val="24"/>
              </w:rPr>
              <w:t xml:space="preserve"> use of the “Housing First” model for eligible population groups.</w:t>
            </w:r>
          </w:p>
          <w:p w14:paraId="67967C02" w14:textId="6F1A2432" w:rsidR="000246F0" w:rsidRPr="00625A07" w:rsidRDefault="000246F0" w:rsidP="000246F0">
            <w:pPr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14:paraId="1EF49525" w14:textId="77777777" w:rsidR="004B643F" w:rsidRPr="00A97015" w:rsidRDefault="004B643F" w:rsidP="00D15854">
      <w:pPr>
        <w:spacing w:afterLines="100" w:after="240"/>
        <w:rPr>
          <w:rFonts w:cstheme="minorHAnsi"/>
          <w:sz w:val="24"/>
          <w:szCs w:val="24"/>
          <w:rtl/>
        </w:rPr>
      </w:pPr>
    </w:p>
    <w:tbl>
      <w:tblPr>
        <w:bidiVisual/>
        <w:tblW w:w="0" w:type="auto"/>
        <w:tblCellSpacing w:w="0" w:type="auto"/>
        <w:tblInd w:w="-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171"/>
      </w:tblGrid>
      <w:tr w:rsidR="004B643F" w:rsidRPr="00625A07" w14:paraId="2E5C58DF" w14:textId="77777777" w:rsidTr="00825999">
        <w:trPr>
          <w:trHeight w:val="135"/>
          <w:tblCellSpacing w:w="0" w:type="auto"/>
        </w:trPr>
        <w:tc>
          <w:tcPr>
            <w:tcW w:w="8171" w:type="dxa"/>
            <w:tcBorders>
              <w:bottom w:val="single" w:sz="16" w:space="0" w:color="000000"/>
            </w:tcBorders>
            <w:shd w:val="clear" w:color="auto" w:fill="E5E5E5"/>
            <w:tcMar>
              <w:top w:w="60" w:type="dxa"/>
              <w:left w:w="30" w:type="dxa"/>
              <w:bottom w:w="60" w:type="dxa"/>
              <w:right w:w="30" w:type="dxa"/>
            </w:tcMar>
          </w:tcPr>
          <w:p w14:paraId="4D4D6D06" w14:textId="3C077358" w:rsidR="004B643F" w:rsidRPr="004B643F" w:rsidRDefault="00936455" w:rsidP="00A97015">
            <w:pPr>
              <w:bidi w:val="0"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Recommended Budget </w:t>
            </w:r>
          </w:p>
        </w:tc>
      </w:tr>
    </w:tbl>
    <w:p w14:paraId="34B19254" w14:textId="494DC69F" w:rsidR="000D7263" w:rsidRDefault="000D7263" w:rsidP="000D7263">
      <w:pPr>
        <w:bidi w:val="0"/>
        <w:spacing w:afterLines="100" w:after="240"/>
        <w:jc w:val="both"/>
        <w:rPr>
          <w:rFonts w:cstheme="minorHAnsi"/>
          <w:sz w:val="24"/>
          <w:szCs w:val="24"/>
        </w:rPr>
      </w:pPr>
    </w:p>
    <w:p w14:paraId="293F1C23" w14:textId="6D49B297" w:rsidR="001A2EF1" w:rsidRDefault="001A2EF1" w:rsidP="001A2EF1">
      <w:pPr>
        <w:bidi w:val="0"/>
        <w:spacing w:afterLines="100"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 on the project budget is underway and i</w:t>
      </w:r>
      <w:r w:rsidR="00DA55AE">
        <w:rPr>
          <w:rFonts w:cstheme="minorHAnsi"/>
          <w:sz w:val="24"/>
          <w:szCs w:val="24"/>
        </w:rPr>
        <w:t>s divided as follows</w:t>
      </w:r>
      <w:r>
        <w:rPr>
          <w:rFonts w:cstheme="minorHAnsi"/>
          <w:sz w:val="24"/>
          <w:szCs w:val="24"/>
        </w:rPr>
        <w:t>:</w:t>
      </w:r>
    </w:p>
    <w:p w14:paraId="5A302EC4" w14:textId="7B7B1C86" w:rsidR="004A045E" w:rsidRDefault="00BD4F04" w:rsidP="004A045E">
      <w:pPr>
        <w:bidi w:val="0"/>
        <w:spacing w:afterLines="100"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Property Fund Budget: </w:t>
      </w:r>
      <w:r>
        <w:rPr>
          <w:rFonts w:cstheme="minorHAnsi"/>
          <w:sz w:val="24"/>
          <w:szCs w:val="24"/>
        </w:rPr>
        <w:t>$12.5 million</w:t>
      </w:r>
    </w:p>
    <w:p w14:paraId="3A443949" w14:textId="7F66C1DE" w:rsidR="001124FB" w:rsidRDefault="00A2321A" w:rsidP="00A2321A">
      <w:pPr>
        <w:bidi w:val="0"/>
        <w:spacing w:afterLines="100" w:after="240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The following </w:t>
      </w:r>
      <w:r w:rsidR="000833AC">
        <w:rPr>
          <w:rFonts w:cstheme="minorHAnsi"/>
          <w:sz w:val="24"/>
          <w:szCs w:val="24"/>
          <w:u w:val="single"/>
        </w:rPr>
        <w:t xml:space="preserve">bodies </w:t>
      </w:r>
      <w:r>
        <w:rPr>
          <w:rFonts w:cstheme="minorHAnsi"/>
          <w:sz w:val="24"/>
          <w:szCs w:val="24"/>
          <w:u w:val="single"/>
        </w:rPr>
        <w:t>are currently considering investing:</w:t>
      </w:r>
    </w:p>
    <w:p w14:paraId="2E2EFCEB" w14:textId="65C7A863" w:rsidR="00A2321A" w:rsidRDefault="00A2321A" w:rsidP="00A2321A">
      <w:pPr>
        <w:bidi w:val="0"/>
        <w:spacing w:afterLines="100"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Weinberg: $3.5 million.</w:t>
      </w:r>
    </w:p>
    <w:p w14:paraId="3A273E30" w14:textId="24BFC777" w:rsidR="00A2321A" w:rsidRDefault="00A2321A" w:rsidP="00A2321A">
      <w:pPr>
        <w:bidi w:val="0"/>
        <w:spacing w:afterLines="100"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Schusterman: $6.25 million.</w:t>
      </w:r>
    </w:p>
    <w:p w14:paraId="444F7553" w14:textId="2900F4E5" w:rsidR="00A2321A" w:rsidRDefault="00A2321A" w:rsidP="00A2321A">
      <w:pPr>
        <w:bidi w:val="0"/>
        <w:spacing w:afterLines="100"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Seed the Dream – up to $2 million.</w:t>
      </w:r>
    </w:p>
    <w:p w14:paraId="4E1755ED" w14:textId="3F552CA3" w:rsidR="001E6C57" w:rsidRDefault="001E6C57" w:rsidP="001E6C57">
      <w:pPr>
        <w:bidi w:val="0"/>
        <w:spacing w:afterLines="100"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are currently working on the shortfall.</w:t>
      </w:r>
    </w:p>
    <w:p w14:paraId="079352B2" w14:textId="10EDAB12" w:rsidR="001E6C57" w:rsidRDefault="001E6C57" w:rsidP="001E6C57">
      <w:pPr>
        <w:bidi w:val="0"/>
        <w:spacing w:afterLines="100" w:after="24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Support Budget:</w:t>
      </w:r>
    </w:p>
    <w:p w14:paraId="0F9DFC63" w14:textId="419E44B4" w:rsidR="001E6C57" w:rsidRDefault="001E6C57" w:rsidP="001E6C57">
      <w:pPr>
        <w:bidi w:val="0"/>
        <w:spacing w:afterLines="100"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NIS</w:t>
      </w:r>
      <w:r w:rsidR="00AE40C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2.7 million </w:t>
      </w:r>
      <w:r w:rsidR="00625062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625062">
        <w:rPr>
          <w:rFonts w:cstheme="minorHAnsi"/>
          <w:sz w:val="24"/>
          <w:szCs w:val="24"/>
        </w:rPr>
        <w:t xml:space="preserve">the support element for around 45 participants every year – </w:t>
      </w:r>
      <w:r w:rsidR="008242B5">
        <w:rPr>
          <w:rFonts w:cstheme="minorHAnsi"/>
          <w:sz w:val="24"/>
          <w:szCs w:val="24"/>
        </w:rPr>
        <w:t>providing</w:t>
      </w:r>
      <w:r w:rsidR="00625062">
        <w:rPr>
          <w:rFonts w:cstheme="minorHAnsi"/>
          <w:sz w:val="24"/>
          <w:szCs w:val="24"/>
        </w:rPr>
        <w:t xml:space="preserve"> support in every area of life.</w:t>
      </w:r>
    </w:p>
    <w:p w14:paraId="18E938B4" w14:textId="6FBE7EE9" w:rsidR="00625062" w:rsidRDefault="00625062" w:rsidP="00625062">
      <w:pPr>
        <w:bidi w:val="0"/>
        <w:spacing w:afterLines="100"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services will be innovative</w:t>
      </w:r>
      <w:r w:rsidR="001A59CB">
        <w:rPr>
          <w:rFonts w:cstheme="minorHAnsi"/>
          <w:sz w:val="24"/>
          <w:szCs w:val="24"/>
        </w:rPr>
        <w:t xml:space="preserve"> and</w:t>
      </w:r>
      <w:r>
        <w:rPr>
          <w:rFonts w:cstheme="minorHAnsi"/>
          <w:sz w:val="24"/>
          <w:szCs w:val="24"/>
        </w:rPr>
        <w:t xml:space="preserve"> personally custom</w:t>
      </w:r>
      <w:r w:rsidR="008242B5">
        <w:rPr>
          <w:rFonts w:cstheme="minorHAnsi"/>
          <w:sz w:val="24"/>
          <w:szCs w:val="24"/>
        </w:rPr>
        <w:t>iz</w:t>
      </w:r>
      <w:r>
        <w:rPr>
          <w:rFonts w:cstheme="minorHAnsi"/>
          <w:sz w:val="24"/>
          <w:szCs w:val="24"/>
        </w:rPr>
        <w:t>ed, with a holistic approach.</w:t>
      </w:r>
    </w:p>
    <w:p w14:paraId="407A5A0C" w14:textId="7A17A275" w:rsidR="00D15854" w:rsidRDefault="00FC6A59" w:rsidP="00D22455">
      <w:pPr>
        <w:bidi w:val="0"/>
        <w:spacing w:afterLines="100"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budget for the social services will come from the joint initiative of the Schusterman Foundation</w:t>
      </w:r>
      <w:r w:rsidR="001A59CB">
        <w:rPr>
          <w:rFonts w:cstheme="minorHAnsi"/>
          <w:sz w:val="24"/>
          <w:szCs w:val="24"/>
        </w:rPr>
        <w:t xml:space="preserve"> and the Ministry of Welfare</w:t>
      </w:r>
      <w:r>
        <w:rPr>
          <w:rFonts w:cstheme="minorHAnsi"/>
          <w:sz w:val="24"/>
          <w:szCs w:val="24"/>
        </w:rPr>
        <w:t xml:space="preserve"> </w:t>
      </w:r>
      <w:r w:rsidR="00D57D15">
        <w:rPr>
          <w:rFonts w:cstheme="minorHAnsi"/>
          <w:sz w:val="24"/>
          <w:szCs w:val="24"/>
        </w:rPr>
        <w:t xml:space="preserve">to develop innovative services for women </w:t>
      </w:r>
      <w:r w:rsidR="001A59CB">
        <w:rPr>
          <w:rFonts w:cstheme="minorHAnsi"/>
          <w:sz w:val="24"/>
          <w:szCs w:val="24"/>
        </w:rPr>
        <w:t>trapped in</w:t>
      </w:r>
      <w:r w:rsidR="00D57D15">
        <w:rPr>
          <w:rFonts w:cstheme="minorHAnsi"/>
          <w:sz w:val="24"/>
          <w:szCs w:val="24"/>
        </w:rPr>
        <w:t xml:space="preserve"> </w:t>
      </w:r>
      <w:r w:rsidR="00D22455">
        <w:rPr>
          <w:rFonts w:cstheme="minorHAnsi"/>
          <w:sz w:val="24"/>
          <w:szCs w:val="24"/>
        </w:rPr>
        <w:t>prostitution.</w:t>
      </w:r>
    </w:p>
    <w:p w14:paraId="1BCC5847" w14:textId="77565F21" w:rsidR="00D22455" w:rsidRDefault="00D22455" w:rsidP="00D22455">
      <w:pPr>
        <w:bidi w:val="0"/>
        <w:spacing w:afterLines="100" w:after="24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Evaluation and </w:t>
      </w:r>
      <w:r w:rsidR="00480093">
        <w:rPr>
          <w:rFonts w:cstheme="minorHAnsi"/>
          <w:b/>
          <w:bCs/>
          <w:sz w:val="24"/>
          <w:szCs w:val="24"/>
        </w:rPr>
        <w:t>Measurement:</w:t>
      </w:r>
    </w:p>
    <w:p w14:paraId="6EA476B8" w14:textId="473B67CB" w:rsidR="00480093" w:rsidRDefault="00144BD8" w:rsidP="00C8351F">
      <w:pPr>
        <w:bidi w:val="0"/>
        <w:spacing w:afterLines="100" w:after="240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Around NIS</w:t>
      </w:r>
      <w:r w:rsidR="00737D4F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700</w:t>
      </w:r>
      <w:r w:rsidR="00E72373">
        <w:rPr>
          <w:rFonts w:cstheme="minorHAnsi"/>
          <w:sz w:val="24"/>
          <w:szCs w:val="24"/>
          <w:lang w:val="en-GB"/>
        </w:rPr>
        <w:t xml:space="preserve">,000 for a study that will track the project for the first five years. It will examine the </w:t>
      </w:r>
      <w:r w:rsidR="00C31893">
        <w:rPr>
          <w:rFonts w:cstheme="minorHAnsi"/>
          <w:sz w:val="24"/>
          <w:szCs w:val="24"/>
          <w:lang w:val="en-GB"/>
        </w:rPr>
        <w:t>project on an individual and systemic level, as well as looking at i</w:t>
      </w:r>
      <w:r w:rsidR="009034BB">
        <w:rPr>
          <w:rFonts w:cstheme="minorHAnsi"/>
          <w:sz w:val="24"/>
          <w:szCs w:val="24"/>
          <w:lang w:val="en-GB"/>
        </w:rPr>
        <w:t>t</w:t>
      </w:r>
      <w:r w:rsidR="00C31893">
        <w:rPr>
          <w:rFonts w:cstheme="minorHAnsi"/>
          <w:sz w:val="24"/>
          <w:szCs w:val="24"/>
          <w:lang w:val="en-GB"/>
        </w:rPr>
        <w:t xml:space="preserve">s ability to form a </w:t>
      </w:r>
      <w:r w:rsidR="00C8351F">
        <w:rPr>
          <w:rFonts w:cstheme="minorHAnsi"/>
          <w:sz w:val="24"/>
          <w:szCs w:val="24"/>
          <w:lang w:val="en-GB"/>
        </w:rPr>
        <w:t xml:space="preserve">socially-conscious </w:t>
      </w:r>
      <w:r w:rsidR="00230B3F">
        <w:rPr>
          <w:rFonts w:cstheme="minorHAnsi"/>
          <w:sz w:val="24"/>
          <w:szCs w:val="24"/>
          <w:lang w:val="en-GB"/>
        </w:rPr>
        <w:t>real estate market in Israel</w:t>
      </w:r>
      <w:r w:rsidR="00C8351F">
        <w:rPr>
          <w:rFonts w:cstheme="minorHAnsi"/>
          <w:sz w:val="24"/>
          <w:szCs w:val="24"/>
          <w:lang w:val="en-GB"/>
        </w:rPr>
        <w:t>.</w:t>
      </w:r>
    </w:p>
    <w:p w14:paraId="6AB19F02" w14:textId="77C05F68" w:rsidR="00230B3F" w:rsidRDefault="00230B3F" w:rsidP="00230B3F">
      <w:pPr>
        <w:bidi w:val="0"/>
        <w:spacing w:afterLines="100" w:after="240"/>
        <w:jc w:val="both"/>
        <w:rPr>
          <w:rFonts w:cstheme="minorHAnsi"/>
          <w:b/>
          <w:bCs/>
          <w:sz w:val="24"/>
          <w:szCs w:val="24"/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Sources</w:t>
      </w:r>
      <w:r w:rsidR="004C1B30">
        <w:rPr>
          <w:rFonts w:cstheme="minorHAnsi"/>
          <w:b/>
          <w:bCs/>
          <w:sz w:val="24"/>
          <w:szCs w:val="24"/>
          <w:lang w:val="en-GB"/>
        </w:rPr>
        <w:t xml:space="preserve"> for rental income:</w:t>
      </w:r>
    </w:p>
    <w:p w14:paraId="0A9D7E97" w14:textId="2A191131" w:rsidR="004C1B30" w:rsidRDefault="004C1B30" w:rsidP="004C1B30">
      <w:pPr>
        <w:bidi w:val="0"/>
        <w:spacing w:afterLines="100" w:after="240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Rental payments will be covered by subsidies from the government and the </w:t>
      </w:r>
      <w:r w:rsidR="0089469E">
        <w:rPr>
          <w:rFonts w:cstheme="minorHAnsi"/>
          <w:sz w:val="24"/>
          <w:szCs w:val="24"/>
          <w:lang w:val="en-GB"/>
        </w:rPr>
        <w:t>municipalities</w:t>
      </w:r>
      <w:r>
        <w:rPr>
          <w:rFonts w:cstheme="minorHAnsi"/>
          <w:sz w:val="24"/>
          <w:szCs w:val="24"/>
          <w:lang w:val="en-GB"/>
        </w:rPr>
        <w:t>:</w:t>
      </w:r>
    </w:p>
    <w:p w14:paraId="7B1E7EEF" w14:textId="24485191" w:rsidR="00CD7B64" w:rsidRDefault="00C8351F" w:rsidP="00CD7B64">
      <w:pPr>
        <w:bidi w:val="0"/>
        <w:spacing w:afterLines="100" w:after="240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Subsidy of</w:t>
      </w:r>
      <w:r w:rsidR="0084127C">
        <w:rPr>
          <w:rFonts w:cstheme="minorHAnsi"/>
          <w:sz w:val="24"/>
          <w:szCs w:val="24"/>
          <w:lang w:val="en-GB"/>
        </w:rPr>
        <w:t xml:space="preserve"> the rental payments (</w:t>
      </w:r>
      <w:r w:rsidR="00127987">
        <w:rPr>
          <w:rFonts w:cstheme="minorHAnsi"/>
          <w:sz w:val="24"/>
          <w:szCs w:val="24"/>
          <w:lang w:val="en-GB"/>
        </w:rPr>
        <w:t>the scope of the subsidy is per person per month):</w:t>
      </w:r>
    </w:p>
    <w:p w14:paraId="456AA45F" w14:textId="6D28E01E" w:rsidR="00127987" w:rsidRDefault="00127987" w:rsidP="00127987">
      <w:pPr>
        <w:bidi w:val="0"/>
        <w:spacing w:afterLines="100" w:after="240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lastRenderedPageBreak/>
        <w:t>Ministry of Housing: NIS</w:t>
      </w:r>
      <w:r w:rsidR="0070373A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1,170 (commitment for five years).</w:t>
      </w:r>
    </w:p>
    <w:p w14:paraId="1E6F055F" w14:textId="1EB55ABF" w:rsidR="00127987" w:rsidRDefault="00127987" w:rsidP="00127987">
      <w:pPr>
        <w:bidi w:val="0"/>
        <w:spacing w:afterLines="100" w:after="240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Ministry of Welfare: NIS</w:t>
      </w:r>
      <w:r w:rsidR="0070373A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2,000 (total of NIS</w:t>
      </w:r>
      <w:r w:rsidR="0070373A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1 million per year; commitment for five years).</w:t>
      </w:r>
    </w:p>
    <w:p w14:paraId="0B84FB98" w14:textId="2E6711FA" w:rsidR="00127987" w:rsidRDefault="00127987" w:rsidP="00127987">
      <w:pPr>
        <w:bidi w:val="0"/>
        <w:spacing w:afterLines="100" w:after="240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Tel Aviv-Jaffa Municipality: NIS</w:t>
      </w:r>
      <w:r w:rsidR="0070373A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2,000 (total of NIS</w:t>
      </w:r>
      <w:r w:rsidR="0070373A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1 million per year; commitment for five years).</w:t>
      </w:r>
    </w:p>
    <w:p w14:paraId="28ADD8B7" w14:textId="22C56B00" w:rsidR="00127987" w:rsidRDefault="00837114" w:rsidP="00127987">
      <w:pPr>
        <w:bidi w:val="0"/>
        <w:spacing w:afterLines="100" w:after="240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Starting in the third year, program participants will independently contribute between NIS</w:t>
      </w:r>
      <w:r w:rsidR="0070373A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500 and NIS</w:t>
      </w:r>
      <w:r w:rsidR="0070373A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1,000.</w:t>
      </w:r>
    </w:p>
    <w:p w14:paraId="0E5405E0" w14:textId="43296D53" w:rsidR="00656912" w:rsidRDefault="00656912" w:rsidP="00656912">
      <w:pPr>
        <w:bidi w:val="0"/>
        <w:spacing w:afterLines="100" w:after="240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Each tenant will have a budget of NIS</w:t>
      </w:r>
      <w:r w:rsidR="0070373A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25,000 for furniture and equipment.</w:t>
      </w:r>
    </w:p>
    <w:p w14:paraId="780EA69D" w14:textId="2753EA43" w:rsidR="00656912" w:rsidRPr="004C1B30" w:rsidRDefault="00D05A58" w:rsidP="00656912">
      <w:pPr>
        <w:bidi w:val="0"/>
        <w:spacing w:afterLines="100" w:after="240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 w:hint="cs"/>
          <w:sz w:val="24"/>
          <w:szCs w:val="24"/>
          <w:lang w:val="en-GB"/>
        </w:rPr>
        <w:t>E</w:t>
      </w:r>
      <w:r>
        <w:rPr>
          <w:rFonts w:cstheme="minorHAnsi"/>
          <w:sz w:val="24"/>
          <w:szCs w:val="24"/>
          <w:lang w:val="en-GB"/>
        </w:rPr>
        <w:t>quipment budget: NIS</w:t>
      </w:r>
      <w:r w:rsidR="0070373A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2.25 million (NIS</w:t>
      </w:r>
      <w:r w:rsidR="0070373A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 xml:space="preserve">50,000 for each apartment) </w:t>
      </w:r>
      <w:r w:rsidR="003F30A2">
        <w:rPr>
          <w:rFonts w:cstheme="minorHAnsi"/>
          <w:sz w:val="24"/>
          <w:szCs w:val="24"/>
          <w:lang w:val="en-GB"/>
        </w:rPr>
        <w:t>–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3F30A2">
        <w:rPr>
          <w:rFonts w:cstheme="minorHAnsi"/>
          <w:sz w:val="24"/>
          <w:szCs w:val="24"/>
          <w:lang w:val="en-GB"/>
        </w:rPr>
        <w:t>the property fund with a commitment for ten years.</w:t>
      </w:r>
    </w:p>
    <w:p w14:paraId="627AF728" w14:textId="76679BD8" w:rsidR="004C599B" w:rsidRDefault="00D15854" w:rsidP="00D15854">
      <w:pPr>
        <w:rPr>
          <w:rFonts w:cstheme="minorHAnsi"/>
          <w:sz w:val="24"/>
          <w:szCs w:val="24"/>
          <w:rtl/>
        </w:rPr>
      </w:pPr>
      <w:r>
        <w:rPr>
          <w:rFonts w:cs="Calibri"/>
          <w:color w:val="000000" w:themeColor="text1"/>
          <w:sz w:val="24"/>
          <w:szCs w:val="24"/>
          <w:rtl/>
        </w:rPr>
        <w:br/>
      </w:r>
      <w:r>
        <w:rPr>
          <w:rFonts w:cs="Calibri"/>
          <w:color w:val="000000" w:themeColor="text1"/>
          <w:sz w:val="24"/>
          <w:szCs w:val="24"/>
          <w:rtl/>
        </w:rPr>
        <w:br/>
      </w:r>
    </w:p>
    <w:p w14:paraId="24994AC4" w14:textId="77777777" w:rsidR="004C599B" w:rsidRDefault="004C599B" w:rsidP="002A3CE6">
      <w:pPr>
        <w:rPr>
          <w:rFonts w:cstheme="minorHAnsi"/>
          <w:sz w:val="24"/>
          <w:szCs w:val="24"/>
          <w:rtl/>
        </w:rPr>
      </w:pPr>
    </w:p>
    <w:p w14:paraId="0A7C4B41" w14:textId="77777777" w:rsidR="00D041DC" w:rsidRDefault="00D041DC" w:rsidP="002A3CE6">
      <w:pPr>
        <w:rPr>
          <w:rFonts w:cstheme="minorHAnsi"/>
          <w:sz w:val="24"/>
          <w:szCs w:val="24"/>
          <w:rtl/>
        </w:rPr>
      </w:pPr>
    </w:p>
    <w:p w14:paraId="585EA9EE" w14:textId="77777777" w:rsidR="00D041DC" w:rsidRPr="00625A07" w:rsidRDefault="00D041DC" w:rsidP="002A3CE6">
      <w:pPr>
        <w:rPr>
          <w:rFonts w:cstheme="minorHAnsi"/>
          <w:sz w:val="24"/>
          <w:szCs w:val="24"/>
          <w:rtl/>
        </w:rPr>
      </w:pPr>
    </w:p>
    <w:sectPr w:rsidR="00D041DC" w:rsidRPr="00625A07" w:rsidSect="00AE7CC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x Stein" w:date="2022-08-22T13:54:00Z" w:initials="AS">
    <w:p w14:paraId="4E33108C" w14:textId="77777777" w:rsidR="002F1A80" w:rsidRDefault="002F1A80" w:rsidP="001D54C9">
      <w:pPr>
        <w:pStyle w:val="CommentText"/>
        <w:bidi w:val="0"/>
        <w:rPr>
          <w:rtl/>
        </w:rPr>
      </w:pPr>
      <w:r>
        <w:rPr>
          <w:rStyle w:val="CommentReference"/>
        </w:rPr>
        <w:annotationRef/>
      </w:r>
      <w:r>
        <w:t>I guess this refers to a specific college but I'm not sure which one.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33108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E091F" w16cex:dateUtc="2022-08-22T1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33108C" w16cid:durableId="26AE091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259D"/>
    <w:multiLevelType w:val="hybridMultilevel"/>
    <w:tmpl w:val="684A5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69F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C217D46"/>
    <w:multiLevelType w:val="hybridMultilevel"/>
    <w:tmpl w:val="336AF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60C8E"/>
    <w:multiLevelType w:val="hybridMultilevel"/>
    <w:tmpl w:val="D4EA9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42A6C"/>
    <w:multiLevelType w:val="hybridMultilevel"/>
    <w:tmpl w:val="D874910E"/>
    <w:lvl w:ilvl="0" w:tplc="644075F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C54B8"/>
    <w:multiLevelType w:val="multilevel"/>
    <w:tmpl w:val="E6CCE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Bidi" w:eastAsia="Times New Roman" w:hAnsiTheme="minorBidi" w:cstheme="minorBidi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F6320D"/>
    <w:multiLevelType w:val="hybridMultilevel"/>
    <w:tmpl w:val="56ECF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91D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C37276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3E3CC1"/>
    <w:multiLevelType w:val="hybridMultilevel"/>
    <w:tmpl w:val="BA2847A2"/>
    <w:lvl w:ilvl="0" w:tplc="44780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F539B"/>
    <w:multiLevelType w:val="hybridMultilevel"/>
    <w:tmpl w:val="324E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3456A"/>
    <w:multiLevelType w:val="hybridMultilevel"/>
    <w:tmpl w:val="70A61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8F58F7"/>
    <w:multiLevelType w:val="hybridMultilevel"/>
    <w:tmpl w:val="F04EA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396841">
    <w:abstractNumId w:val="5"/>
  </w:num>
  <w:num w:numId="2" w16cid:durableId="1339842928">
    <w:abstractNumId w:val="12"/>
  </w:num>
  <w:num w:numId="3" w16cid:durableId="2138527836">
    <w:abstractNumId w:val="11"/>
  </w:num>
  <w:num w:numId="4" w16cid:durableId="1020934725">
    <w:abstractNumId w:val="0"/>
  </w:num>
  <w:num w:numId="5" w16cid:durableId="73669379">
    <w:abstractNumId w:val="10"/>
  </w:num>
  <w:num w:numId="6" w16cid:durableId="1499997384">
    <w:abstractNumId w:val="6"/>
  </w:num>
  <w:num w:numId="7" w16cid:durableId="428552025">
    <w:abstractNumId w:val="4"/>
  </w:num>
  <w:num w:numId="8" w16cid:durableId="373358712">
    <w:abstractNumId w:val="2"/>
  </w:num>
  <w:num w:numId="9" w16cid:durableId="1571383699">
    <w:abstractNumId w:val="3"/>
  </w:num>
  <w:num w:numId="10" w16cid:durableId="1212612946">
    <w:abstractNumId w:val="1"/>
  </w:num>
  <w:num w:numId="11" w16cid:durableId="202402083">
    <w:abstractNumId w:val="7"/>
  </w:num>
  <w:num w:numId="12" w16cid:durableId="201137554">
    <w:abstractNumId w:val="9"/>
  </w:num>
  <w:num w:numId="13" w16cid:durableId="141466522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 Stein">
    <w15:presenceInfo w15:providerId="Windows Live" w15:userId="1a097a55ff2bf9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3MjAxMTK0tDCxMDdV0lEKTi0uzszPAykwrAUABwFDTCwAAAA="/>
  </w:docVars>
  <w:rsids>
    <w:rsidRoot w:val="00637613"/>
    <w:rsid w:val="00001DBF"/>
    <w:rsid w:val="0000642C"/>
    <w:rsid w:val="0001092C"/>
    <w:rsid w:val="00013161"/>
    <w:rsid w:val="00022814"/>
    <w:rsid w:val="000246F0"/>
    <w:rsid w:val="00033BAD"/>
    <w:rsid w:val="000423C7"/>
    <w:rsid w:val="00064B9B"/>
    <w:rsid w:val="0007614B"/>
    <w:rsid w:val="00081B61"/>
    <w:rsid w:val="00082C71"/>
    <w:rsid w:val="000833AC"/>
    <w:rsid w:val="000A3BF5"/>
    <w:rsid w:val="000A4F61"/>
    <w:rsid w:val="000B208B"/>
    <w:rsid w:val="000B41D5"/>
    <w:rsid w:val="000B5D78"/>
    <w:rsid w:val="000D19B4"/>
    <w:rsid w:val="000D7263"/>
    <w:rsid w:val="001118DF"/>
    <w:rsid w:val="001124FB"/>
    <w:rsid w:val="00126F24"/>
    <w:rsid w:val="00127987"/>
    <w:rsid w:val="00130062"/>
    <w:rsid w:val="00133E7E"/>
    <w:rsid w:val="00144BD8"/>
    <w:rsid w:val="00145D3D"/>
    <w:rsid w:val="0015413C"/>
    <w:rsid w:val="00180B55"/>
    <w:rsid w:val="00186234"/>
    <w:rsid w:val="0019207E"/>
    <w:rsid w:val="001A2EF1"/>
    <w:rsid w:val="001A59CB"/>
    <w:rsid w:val="001A6104"/>
    <w:rsid w:val="001B0360"/>
    <w:rsid w:val="001E6C57"/>
    <w:rsid w:val="001F4320"/>
    <w:rsid w:val="00212ED2"/>
    <w:rsid w:val="00215819"/>
    <w:rsid w:val="00225A4F"/>
    <w:rsid w:val="00230B3F"/>
    <w:rsid w:val="00231774"/>
    <w:rsid w:val="0023614C"/>
    <w:rsid w:val="00262DC1"/>
    <w:rsid w:val="00266FA7"/>
    <w:rsid w:val="00274FC3"/>
    <w:rsid w:val="00277B35"/>
    <w:rsid w:val="00295126"/>
    <w:rsid w:val="00295BC9"/>
    <w:rsid w:val="002A2EE0"/>
    <w:rsid w:val="002A3CE6"/>
    <w:rsid w:val="002C7485"/>
    <w:rsid w:val="002D14E2"/>
    <w:rsid w:val="002D3ED0"/>
    <w:rsid w:val="002D3ED7"/>
    <w:rsid w:val="002F1A80"/>
    <w:rsid w:val="00306631"/>
    <w:rsid w:val="00311F07"/>
    <w:rsid w:val="00322477"/>
    <w:rsid w:val="00322DE5"/>
    <w:rsid w:val="003258B6"/>
    <w:rsid w:val="00344798"/>
    <w:rsid w:val="00346A43"/>
    <w:rsid w:val="00356EBA"/>
    <w:rsid w:val="00372642"/>
    <w:rsid w:val="00382BFA"/>
    <w:rsid w:val="003910EA"/>
    <w:rsid w:val="003B1119"/>
    <w:rsid w:val="003C4FA4"/>
    <w:rsid w:val="003C5389"/>
    <w:rsid w:val="003D7950"/>
    <w:rsid w:val="003E656E"/>
    <w:rsid w:val="003E77B4"/>
    <w:rsid w:val="003F30A2"/>
    <w:rsid w:val="003F5D3B"/>
    <w:rsid w:val="00402C20"/>
    <w:rsid w:val="00422CDC"/>
    <w:rsid w:val="004350FC"/>
    <w:rsid w:val="004573F6"/>
    <w:rsid w:val="00470B7A"/>
    <w:rsid w:val="00480093"/>
    <w:rsid w:val="00480A04"/>
    <w:rsid w:val="00481932"/>
    <w:rsid w:val="00497A4C"/>
    <w:rsid w:val="00497F68"/>
    <w:rsid w:val="004A045E"/>
    <w:rsid w:val="004A49DE"/>
    <w:rsid w:val="004B643F"/>
    <w:rsid w:val="004C1B30"/>
    <w:rsid w:val="004C560C"/>
    <w:rsid w:val="004C599B"/>
    <w:rsid w:val="004C6EC3"/>
    <w:rsid w:val="004D5B56"/>
    <w:rsid w:val="004E5B85"/>
    <w:rsid w:val="004E6D9E"/>
    <w:rsid w:val="00514EF5"/>
    <w:rsid w:val="00522352"/>
    <w:rsid w:val="005316CB"/>
    <w:rsid w:val="00555320"/>
    <w:rsid w:val="005720D1"/>
    <w:rsid w:val="00576F2B"/>
    <w:rsid w:val="00581350"/>
    <w:rsid w:val="005C0958"/>
    <w:rsid w:val="005C7ED1"/>
    <w:rsid w:val="005D11FA"/>
    <w:rsid w:val="005D4DB1"/>
    <w:rsid w:val="005D61A2"/>
    <w:rsid w:val="005D652A"/>
    <w:rsid w:val="005E077F"/>
    <w:rsid w:val="005E6748"/>
    <w:rsid w:val="005F315F"/>
    <w:rsid w:val="005F7A47"/>
    <w:rsid w:val="00606A3D"/>
    <w:rsid w:val="00610074"/>
    <w:rsid w:val="00612344"/>
    <w:rsid w:val="0062254F"/>
    <w:rsid w:val="00625062"/>
    <w:rsid w:val="00625A07"/>
    <w:rsid w:val="00631684"/>
    <w:rsid w:val="0063565E"/>
    <w:rsid w:val="00637613"/>
    <w:rsid w:val="006465AA"/>
    <w:rsid w:val="00646FE1"/>
    <w:rsid w:val="00656912"/>
    <w:rsid w:val="00662F03"/>
    <w:rsid w:val="00670128"/>
    <w:rsid w:val="00683E1B"/>
    <w:rsid w:val="00686A76"/>
    <w:rsid w:val="00687D43"/>
    <w:rsid w:val="006912E7"/>
    <w:rsid w:val="006919FE"/>
    <w:rsid w:val="006B263D"/>
    <w:rsid w:val="006D1457"/>
    <w:rsid w:val="007034DA"/>
    <w:rsid w:val="0070373A"/>
    <w:rsid w:val="00737D4F"/>
    <w:rsid w:val="00756779"/>
    <w:rsid w:val="00765D02"/>
    <w:rsid w:val="00786923"/>
    <w:rsid w:val="00787AF7"/>
    <w:rsid w:val="0079194F"/>
    <w:rsid w:val="007A34C5"/>
    <w:rsid w:val="007B184F"/>
    <w:rsid w:val="007B50AC"/>
    <w:rsid w:val="007C6B67"/>
    <w:rsid w:val="007D133B"/>
    <w:rsid w:val="008013B3"/>
    <w:rsid w:val="008242B5"/>
    <w:rsid w:val="008245DC"/>
    <w:rsid w:val="00833040"/>
    <w:rsid w:val="00837114"/>
    <w:rsid w:val="0084127C"/>
    <w:rsid w:val="008457FC"/>
    <w:rsid w:val="00846874"/>
    <w:rsid w:val="00850CB6"/>
    <w:rsid w:val="00865C92"/>
    <w:rsid w:val="00885C6B"/>
    <w:rsid w:val="0089469E"/>
    <w:rsid w:val="008A11DE"/>
    <w:rsid w:val="008B3282"/>
    <w:rsid w:val="008B750E"/>
    <w:rsid w:val="008C657A"/>
    <w:rsid w:val="008E0082"/>
    <w:rsid w:val="008E2B33"/>
    <w:rsid w:val="009034BB"/>
    <w:rsid w:val="00903D04"/>
    <w:rsid w:val="00910C0F"/>
    <w:rsid w:val="009237BD"/>
    <w:rsid w:val="0093261E"/>
    <w:rsid w:val="00936455"/>
    <w:rsid w:val="0093754C"/>
    <w:rsid w:val="009379EB"/>
    <w:rsid w:val="00964063"/>
    <w:rsid w:val="00972CBD"/>
    <w:rsid w:val="00977AF8"/>
    <w:rsid w:val="00991106"/>
    <w:rsid w:val="009A0219"/>
    <w:rsid w:val="009B35EC"/>
    <w:rsid w:val="009C6611"/>
    <w:rsid w:val="009D5548"/>
    <w:rsid w:val="009D73F8"/>
    <w:rsid w:val="009F05D6"/>
    <w:rsid w:val="009F6C7D"/>
    <w:rsid w:val="00A2321A"/>
    <w:rsid w:val="00A276EB"/>
    <w:rsid w:val="00A414C1"/>
    <w:rsid w:val="00A53DF8"/>
    <w:rsid w:val="00A57932"/>
    <w:rsid w:val="00A6625A"/>
    <w:rsid w:val="00A772CA"/>
    <w:rsid w:val="00A97015"/>
    <w:rsid w:val="00AA2516"/>
    <w:rsid w:val="00AA6AA4"/>
    <w:rsid w:val="00AB0D18"/>
    <w:rsid w:val="00AC0A5F"/>
    <w:rsid w:val="00AC436C"/>
    <w:rsid w:val="00AE2020"/>
    <w:rsid w:val="00AE40CA"/>
    <w:rsid w:val="00AE7CC7"/>
    <w:rsid w:val="00AF001F"/>
    <w:rsid w:val="00AF4BA3"/>
    <w:rsid w:val="00B01CE8"/>
    <w:rsid w:val="00B23C79"/>
    <w:rsid w:val="00B3704E"/>
    <w:rsid w:val="00B54040"/>
    <w:rsid w:val="00B55DAD"/>
    <w:rsid w:val="00B6124C"/>
    <w:rsid w:val="00B619CB"/>
    <w:rsid w:val="00B6641D"/>
    <w:rsid w:val="00B700FA"/>
    <w:rsid w:val="00B70F84"/>
    <w:rsid w:val="00B80612"/>
    <w:rsid w:val="00B83EBC"/>
    <w:rsid w:val="00BA186E"/>
    <w:rsid w:val="00BB360E"/>
    <w:rsid w:val="00BD1732"/>
    <w:rsid w:val="00BD2D5D"/>
    <w:rsid w:val="00BD4A5D"/>
    <w:rsid w:val="00BD4F04"/>
    <w:rsid w:val="00BD6CF8"/>
    <w:rsid w:val="00BF5C47"/>
    <w:rsid w:val="00BF7640"/>
    <w:rsid w:val="00C056D3"/>
    <w:rsid w:val="00C05F03"/>
    <w:rsid w:val="00C072F4"/>
    <w:rsid w:val="00C125DF"/>
    <w:rsid w:val="00C17644"/>
    <w:rsid w:val="00C2588B"/>
    <w:rsid w:val="00C31893"/>
    <w:rsid w:val="00C35044"/>
    <w:rsid w:val="00C355F3"/>
    <w:rsid w:val="00C472C5"/>
    <w:rsid w:val="00C53C54"/>
    <w:rsid w:val="00C5625B"/>
    <w:rsid w:val="00C71014"/>
    <w:rsid w:val="00C8166A"/>
    <w:rsid w:val="00C8351F"/>
    <w:rsid w:val="00CB0EED"/>
    <w:rsid w:val="00CD7B64"/>
    <w:rsid w:val="00CF63BF"/>
    <w:rsid w:val="00D041DC"/>
    <w:rsid w:val="00D05A58"/>
    <w:rsid w:val="00D14EDF"/>
    <w:rsid w:val="00D15854"/>
    <w:rsid w:val="00D22455"/>
    <w:rsid w:val="00D24E4B"/>
    <w:rsid w:val="00D27DB6"/>
    <w:rsid w:val="00D30DC7"/>
    <w:rsid w:val="00D469AC"/>
    <w:rsid w:val="00D5402F"/>
    <w:rsid w:val="00D57D15"/>
    <w:rsid w:val="00D67130"/>
    <w:rsid w:val="00D95407"/>
    <w:rsid w:val="00DA2800"/>
    <w:rsid w:val="00DA3F59"/>
    <w:rsid w:val="00DA55AE"/>
    <w:rsid w:val="00DE1375"/>
    <w:rsid w:val="00E0265F"/>
    <w:rsid w:val="00E06CAC"/>
    <w:rsid w:val="00E12772"/>
    <w:rsid w:val="00E151A3"/>
    <w:rsid w:val="00E30589"/>
    <w:rsid w:val="00E353F0"/>
    <w:rsid w:val="00E3744A"/>
    <w:rsid w:val="00E57EBF"/>
    <w:rsid w:val="00E70FB8"/>
    <w:rsid w:val="00E72373"/>
    <w:rsid w:val="00E745B4"/>
    <w:rsid w:val="00E75B04"/>
    <w:rsid w:val="00EA492A"/>
    <w:rsid w:val="00EE2C56"/>
    <w:rsid w:val="00EF0DA0"/>
    <w:rsid w:val="00F25EAC"/>
    <w:rsid w:val="00F53017"/>
    <w:rsid w:val="00F6327B"/>
    <w:rsid w:val="00F73644"/>
    <w:rsid w:val="00F73FD8"/>
    <w:rsid w:val="00FA4117"/>
    <w:rsid w:val="00FA49EE"/>
    <w:rsid w:val="00FA5960"/>
    <w:rsid w:val="00FA65E1"/>
    <w:rsid w:val="00FC6A59"/>
    <w:rsid w:val="00FD6C4E"/>
    <w:rsid w:val="00FE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71A0F"/>
  <w15:chartTrackingRefBased/>
  <w15:docId w15:val="{F79ED116-80B0-4189-96FD-5F13E1A1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76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7613"/>
    <w:rPr>
      <w:b/>
      <w:bCs/>
    </w:rPr>
  </w:style>
  <w:style w:type="character" w:styleId="Emphasis">
    <w:name w:val="Emphasis"/>
    <w:basedOn w:val="DefaultParagraphFont"/>
    <w:uiPriority w:val="20"/>
    <w:qFormat/>
    <w:rsid w:val="0063761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376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092C"/>
    <w:pPr>
      <w:ind w:left="720"/>
      <w:contextualSpacing/>
    </w:pPr>
  </w:style>
  <w:style w:type="paragraph" w:customStyle="1" w:styleId="Default">
    <w:name w:val="Default"/>
    <w:rsid w:val="00BF76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61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611"/>
    <w:rPr>
      <w:rFonts w:ascii="Tahoma" w:hAnsi="Tahoma" w:cs="Tahoma"/>
      <w:sz w:val="18"/>
      <w:szCs w:val="18"/>
    </w:rPr>
  </w:style>
  <w:style w:type="table" w:styleId="TableGrid">
    <w:name w:val="Table Grid"/>
    <w:basedOn w:val="TableNormal"/>
    <w:uiPriority w:val="59"/>
    <w:rsid w:val="00311F07"/>
    <w:pPr>
      <w:spacing w:after="0" w:line="240" w:lineRule="auto"/>
    </w:pPr>
    <w:rPr>
      <w:rFonts w:eastAsia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1A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A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1A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A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7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7</Pages>
  <Words>1453</Words>
  <Characters>7486</Characters>
  <Application>Microsoft Office Word</Application>
  <DocSecurity>0</DocSecurity>
  <Lines>129</Lines>
  <Paragraphs>38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Reut Guy</dc:creator>
  <cp:keywords/>
  <dc:description/>
  <cp:lastModifiedBy>JA</cp:lastModifiedBy>
  <cp:revision>226</cp:revision>
  <dcterms:created xsi:type="dcterms:W3CDTF">2022-08-22T11:49:00Z</dcterms:created>
  <dcterms:modified xsi:type="dcterms:W3CDTF">2022-08-23T12:01:00Z</dcterms:modified>
</cp:coreProperties>
</file>