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B8B4" w14:textId="77777777" w:rsidR="001908D8" w:rsidRPr="00053BE3" w:rsidRDefault="00D007FC" w:rsidP="001908D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E0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LE MODÈLE SANDBOX :</w:t>
      </w:r>
    </w:p>
    <w:p w14:paraId="664344FD" w14:textId="3E495904" w:rsidR="00593F57" w:rsidRPr="00053BE3" w:rsidRDefault="00D007FC" w:rsidP="001908D8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E0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UNE NOUVELLE APPROCHE DE L</w:t>
      </w:r>
      <w:r w:rsidR="000F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’</w:t>
      </w:r>
      <w:r w:rsidRPr="00E0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ITÉRATION ADOPTÉE LORS DE LA MISE</w:t>
      </w:r>
      <w:r w:rsidR="000C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E0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EN ŒUVRE</w:t>
      </w:r>
      <w:r w:rsidR="000C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</w:t>
      </w:r>
      <w:r w:rsidR="000F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UN PROGRAMME D</w:t>
      </w:r>
      <w:r w:rsidR="000F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ÉDUCATION D</w:t>
      </w:r>
      <w:r w:rsidR="000F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URGENCE AU LIBAN</w:t>
      </w:r>
      <w:r w:rsidR="000C31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PENDANT LA PANDÉMIE DE COVID-19</w:t>
      </w:r>
    </w:p>
    <w:p w14:paraId="3DBA8011" w14:textId="77777777" w:rsidR="00593F57" w:rsidRPr="00053BE3" w:rsidRDefault="00593F57" w:rsidP="00593F57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6CFE411" w14:textId="77777777" w:rsidR="00597C89" w:rsidRPr="00053BE3" w:rsidRDefault="00D007FC" w:rsidP="00593F5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en-GB"/>
        </w:rPr>
        <w:t xml:space="preserve">Michèle </w:t>
      </w:r>
      <w:proofErr w:type="spellStart"/>
      <w:r w:rsidRPr="004E56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en-GB"/>
        </w:rPr>
        <w:t>Boujikian</w:t>
      </w:r>
      <w:proofErr w:type="spellEnd"/>
      <w:r w:rsidRPr="004E5655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en-GB"/>
        </w:rPr>
        <w:t>, Alice Carter et Katy Jordan</w:t>
      </w:r>
    </w:p>
    <w:p w14:paraId="606D3C7C" w14:textId="77777777" w:rsidR="004E5655" w:rsidRPr="00053BE3" w:rsidRDefault="004E5655" w:rsidP="00593F5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9B658DB" w14:textId="77777777" w:rsidR="004E5655" w:rsidRPr="00053BE3" w:rsidRDefault="00D007FC" w:rsidP="00593F5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RÉSUMÉ</w:t>
      </w:r>
    </w:p>
    <w:p w14:paraId="437BB468" w14:textId="77777777" w:rsidR="00E16D26" w:rsidRPr="00053BE3" w:rsidRDefault="00E16D26" w:rsidP="00593F5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BC4D45E" w14:textId="612BE934" w:rsidR="00942FB3" w:rsidRPr="00053BE3" w:rsidRDefault="00D007FC" w:rsidP="00AD3CD4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F16">
        <w:rPr>
          <w:rFonts w:ascii="Times New Roman" w:hAnsi="Times New Roman" w:cs="Times New Roman"/>
          <w:color w:val="000000"/>
          <w:sz w:val="24"/>
          <w:szCs w:val="24"/>
        </w:rPr>
        <w:t>Le programme d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éducation des réfugiés de </w:t>
      </w:r>
      <w:proofErr w:type="spellStart"/>
      <w:r w:rsidRPr="000F1F16">
        <w:rPr>
          <w:rFonts w:ascii="Times New Roman" w:hAnsi="Times New Roman" w:cs="Times New Roman"/>
          <w:color w:val="000000"/>
          <w:sz w:val="24"/>
          <w:szCs w:val="24"/>
        </w:rPr>
        <w:t>Jusoor</w:t>
      </w:r>
      <w:proofErr w:type="spellEnd"/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aide les enfants réfugiés syriens vivant au Liban à réintégrer le système scolaire formel. Lorsque les écoles ont fermé </w:t>
      </w:r>
      <w:r w:rsidR="007E3BE4">
        <w:rPr>
          <w:rFonts w:ascii="Times New Roman" w:hAnsi="Times New Roman" w:cs="Times New Roman"/>
          <w:color w:val="000000"/>
          <w:sz w:val="24"/>
          <w:szCs w:val="24"/>
        </w:rPr>
        <w:t>à cause</w:t>
      </w:r>
      <w:r w:rsidR="00F0116A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la pandémie de Covid-19, le programme pour les réfugiés </w:t>
      </w:r>
      <w:r w:rsidR="00F0116A">
        <w:rPr>
          <w:rFonts w:ascii="Times New Roman" w:hAnsi="Times New Roman" w:cs="Times New Roman"/>
          <w:color w:val="000000"/>
          <w:sz w:val="24"/>
          <w:szCs w:val="24"/>
        </w:rPr>
        <w:t>a été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adapté à l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apprentissage à distance </w:t>
      </w:r>
      <w:r w:rsidR="00F0116A">
        <w:rPr>
          <w:rFonts w:ascii="Times New Roman" w:hAnsi="Times New Roman" w:cs="Times New Roman"/>
          <w:color w:val="000000"/>
          <w:sz w:val="24"/>
          <w:szCs w:val="24"/>
        </w:rPr>
        <w:t>à travers le développement d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0F1F16">
        <w:rPr>
          <w:rFonts w:ascii="Times New Roman" w:hAnsi="Times New Roman" w:cs="Times New Roman"/>
          <w:color w:val="000000"/>
          <w:sz w:val="24"/>
          <w:szCs w:val="24"/>
        </w:rPr>
        <w:t>Azima</w:t>
      </w:r>
      <w:proofErr w:type="spellEnd"/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, un programme novateur </w:t>
      </w:r>
      <w:r w:rsidR="00F0116A">
        <w:rPr>
          <w:rFonts w:ascii="Times New Roman" w:hAnsi="Times New Roman" w:cs="Times New Roman"/>
          <w:color w:val="000000"/>
          <w:sz w:val="24"/>
          <w:szCs w:val="24"/>
        </w:rPr>
        <w:t xml:space="preserve">utilisant WhatsApp 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qui a permis aux enfants de continuer leur apprentissage. </w:t>
      </w:r>
      <w:proofErr w:type="spellStart"/>
      <w:r w:rsidRPr="000F1F16">
        <w:rPr>
          <w:rFonts w:ascii="Times New Roman" w:hAnsi="Times New Roman" w:cs="Times New Roman"/>
          <w:color w:val="000000"/>
          <w:sz w:val="24"/>
          <w:szCs w:val="24"/>
        </w:rPr>
        <w:t>Azima</w:t>
      </w:r>
      <w:proofErr w:type="spellEnd"/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0A1D">
        <w:rPr>
          <w:rFonts w:ascii="Times New Roman" w:hAnsi="Times New Roman" w:cs="Times New Roman"/>
          <w:color w:val="000000"/>
          <w:sz w:val="24"/>
          <w:szCs w:val="24"/>
        </w:rPr>
        <w:t xml:space="preserve">devait permettre une </w:t>
      </w:r>
      <w:proofErr w:type="gramStart"/>
      <w:r w:rsidR="00580A1D">
        <w:rPr>
          <w:rFonts w:ascii="Times New Roman" w:hAnsi="Times New Roman" w:cs="Times New Roman"/>
          <w:color w:val="000000"/>
          <w:sz w:val="24"/>
          <w:szCs w:val="24"/>
        </w:rPr>
        <w:t>intervention</w:t>
      </w:r>
      <w:proofErr w:type="gramEnd"/>
      <w:r w:rsidR="00580A1D">
        <w:rPr>
          <w:rFonts w:ascii="Times New Roman" w:hAnsi="Times New Roman" w:cs="Times New Roman"/>
          <w:color w:val="000000"/>
          <w:sz w:val="24"/>
          <w:szCs w:val="24"/>
        </w:rPr>
        <w:t xml:space="preserve"> immédiate dans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cette situation d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urgence, tout en maintenant une offre éducative de </w:t>
      </w:r>
      <w:r w:rsidR="00580A1D">
        <w:rPr>
          <w:rFonts w:ascii="Times New Roman" w:hAnsi="Times New Roman" w:cs="Times New Roman"/>
          <w:color w:val="000000"/>
          <w:sz w:val="24"/>
          <w:szCs w:val="24"/>
        </w:rPr>
        <w:t>qualité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>. L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>enjeu était également de trouver un moyen efficace de tester et d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>affiner rapidement son contenu. Pour y parvenir, une approche expérimentale innovante appelée « </w:t>
      </w:r>
      <w:proofErr w:type="spellStart"/>
      <w:r w:rsidR="00D762FD" w:rsidRPr="00D762FD">
        <w:rPr>
          <w:rFonts w:ascii="Times New Roman" w:hAnsi="Times New Roman" w:cs="Times New Roman"/>
          <w:color w:val="000000"/>
          <w:sz w:val="24"/>
          <w:szCs w:val="24"/>
        </w:rPr>
        <w:t>sandbox</w:t>
      </w:r>
      <w:proofErr w:type="spellEnd"/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 » a été adoptée. Un modèle </w:t>
      </w:r>
      <w:proofErr w:type="spellStart"/>
      <w:r w:rsidRPr="000F1F16">
        <w:rPr>
          <w:rFonts w:ascii="Times New Roman" w:hAnsi="Times New Roman" w:cs="Times New Roman"/>
          <w:color w:val="000000"/>
          <w:sz w:val="24"/>
          <w:szCs w:val="24"/>
        </w:rPr>
        <w:t>sandbox</w:t>
      </w:r>
      <w:proofErr w:type="spellEnd"/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fonctionne par cycles itératifs rapides et utilise différentes méthodes </w:t>
      </w:r>
      <w:r w:rsidR="00AD3CD4">
        <w:rPr>
          <w:rFonts w:ascii="Times New Roman" w:hAnsi="Times New Roman" w:cs="Times New Roman"/>
          <w:color w:val="000000"/>
          <w:sz w:val="24"/>
          <w:szCs w:val="24"/>
        </w:rPr>
        <w:t>afin de</w:t>
      </w:r>
      <w:r w:rsidR="00AD3CD4"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>tester rapidement les hypothèses d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un programme </w:t>
      </w:r>
      <w:r w:rsidR="00AD3CD4">
        <w:rPr>
          <w:rFonts w:ascii="Times New Roman" w:hAnsi="Times New Roman" w:cs="Times New Roman"/>
          <w:color w:val="000000"/>
          <w:sz w:val="24"/>
          <w:szCs w:val="24"/>
        </w:rPr>
        <w:t>et</w:t>
      </w:r>
      <w:r w:rsidR="00D762FD">
        <w:rPr>
          <w:rFonts w:ascii="Times New Roman" w:hAnsi="Times New Roman" w:cs="Times New Roman"/>
          <w:color w:val="000000"/>
          <w:sz w:val="24"/>
          <w:szCs w:val="24"/>
        </w:rPr>
        <w:t xml:space="preserve"> déterminer comment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="00D762FD">
        <w:rPr>
          <w:rFonts w:ascii="Times New Roman" w:hAnsi="Times New Roman" w:cs="Times New Roman"/>
          <w:color w:val="000000"/>
          <w:sz w:val="24"/>
          <w:szCs w:val="24"/>
        </w:rPr>
        <w:t>atteindr</w:t>
      </w:r>
      <w:r w:rsidR="00BE3B15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ses objectifs. Dans cette note de terrain, </w:t>
      </w:r>
      <w:r w:rsidR="00F21DC1">
        <w:rPr>
          <w:rFonts w:ascii="Times New Roman" w:hAnsi="Times New Roman" w:cs="Times New Roman"/>
          <w:color w:val="000000"/>
          <w:sz w:val="24"/>
          <w:szCs w:val="24"/>
        </w:rPr>
        <w:t xml:space="preserve">nous </w:t>
      </w:r>
      <w:r w:rsidR="00FB4716">
        <w:rPr>
          <w:rFonts w:ascii="Times New Roman" w:hAnsi="Times New Roman" w:cs="Times New Roman"/>
          <w:color w:val="000000"/>
          <w:sz w:val="24"/>
          <w:szCs w:val="24"/>
        </w:rPr>
        <w:t>utilisons</w:t>
      </w:r>
      <w:r w:rsidR="00F21D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1F16">
        <w:rPr>
          <w:rFonts w:ascii="Times New Roman" w:hAnsi="Times New Roman" w:cs="Times New Roman"/>
          <w:color w:val="000000"/>
          <w:sz w:val="24"/>
          <w:szCs w:val="24"/>
        </w:rPr>
        <w:t>Azima</w:t>
      </w:r>
      <w:proofErr w:type="spellEnd"/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1DC1">
        <w:rPr>
          <w:rFonts w:ascii="Times New Roman" w:hAnsi="Times New Roman" w:cs="Times New Roman"/>
          <w:color w:val="000000"/>
          <w:sz w:val="24"/>
          <w:szCs w:val="24"/>
        </w:rPr>
        <w:t>comme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cas </w:t>
      </w:r>
      <w:r w:rsidR="00E4312E">
        <w:rPr>
          <w:rFonts w:ascii="Times New Roman" w:hAnsi="Times New Roman" w:cs="Times New Roman"/>
          <w:color w:val="000000"/>
          <w:sz w:val="24"/>
          <w:szCs w:val="24"/>
        </w:rPr>
        <w:t xml:space="preserve">d’étude 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>pour rendre compte de notre expérience de l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application du modèle </w:t>
      </w:r>
      <w:proofErr w:type="spellStart"/>
      <w:r w:rsidRPr="000F1F16">
        <w:rPr>
          <w:rFonts w:ascii="Times New Roman" w:hAnsi="Times New Roman" w:cs="Times New Roman"/>
          <w:color w:val="000000"/>
          <w:sz w:val="24"/>
          <w:szCs w:val="24"/>
        </w:rPr>
        <w:t>sandbox</w:t>
      </w:r>
      <w:proofErr w:type="spellEnd"/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. Nous discutons des avantages et des limites de cette nouvelle approche </w:t>
      </w:r>
      <w:r w:rsidR="00CB1F2D">
        <w:rPr>
          <w:rFonts w:ascii="Times New Roman" w:hAnsi="Times New Roman" w:cs="Times New Roman"/>
          <w:color w:val="000000"/>
          <w:sz w:val="24"/>
          <w:szCs w:val="24"/>
        </w:rPr>
        <w:t>dans</w:t>
      </w:r>
      <w:r w:rsidR="00DB24D4">
        <w:rPr>
          <w:rFonts w:ascii="Times New Roman" w:hAnsi="Times New Roman" w:cs="Times New Roman"/>
          <w:color w:val="000000"/>
          <w:sz w:val="24"/>
          <w:szCs w:val="24"/>
        </w:rPr>
        <w:t xml:space="preserve"> l’utilisation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 xml:space="preserve"> des technologies de l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0F1F16">
        <w:rPr>
          <w:rFonts w:ascii="Times New Roman" w:hAnsi="Times New Roman" w:cs="Times New Roman"/>
          <w:color w:val="000000"/>
          <w:sz w:val="24"/>
          <w:szCs w:val="24"/>
        </w:rPr>
        <w:t>éducation en situation de crise.</w:t>
      </w:r>
    </w:p>
    <w:p w14:paraId="49140B24" w14:textId="77777777" w:rsidR="00B36E5D" w:rsidRPr="00053BE3" w:rsidRDefault="00B36E5D" w:rsidP="00593F5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FC3A9F" w14:textId="77777777" w:rsidR="00942FB3" w:rsidRPr="00F0116A" w:rsidRDefault="00D007FC" w:rsidP="00593F57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INTRODUCTION</w:t>
      </w:r>
    </w:p>
    <w:p w14:paraId="0761B7BD" w14:textId="77777777" w:rsidR="004E5655" w:rsidRPr="00F0116A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AD27632" w14:textId="0FBE99C3" w:rsidR="00B36E5D" w:rsidRPr="00053BE3" w:rsidRDefault="00D007F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="003A67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pandémie de Covid-19 qui a éclaté en mars 2020 </w:t>
      </w:r>
      <w:r w:rsidR="003A67C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</w:t>
      </w:r>
      <w:r w:rsidR="0011517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gramStart"/>
      <w:r w:rsidR="0011517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eu</w:t>
      </w:r>
      <w:proofErr w:type="gramEnd"/>
      <w:r w:rsidR="0011517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des répercussions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bien au-delà du secteur de la santé. Le milieu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éducation a été particulièrement touché, la fermeture des écoles ayant constitué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une des principales mesures mises en place par les gouvernements (Hale </w:t>
      </w:r>
      <w:r w:rsidRPr="003C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2021).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après la Banque mondiale (2021), la pandémie </w:t>
      </w:r>
      <w:commentRangeStart w:id="0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« a provoqué la pire crise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éducation et des apprentissages depuis un siècle »</w:t>
      </w:r>
      <w:commentRangeEnd w:id="0"/>
      <w:r w:rsidR="00053BE3">
        <w:rPr>
          <w:rStyle w:val="CommentReference"/>
        </w:rPr>
        <w:commentReference w:id="0"/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perturbant la scolarité de 1,6 milliard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enfants dans le monde. Les </w:t>
      </w:r>
      <w:r w:rsidR="007B599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solutions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mises en place </w:t>
      </w:r>
      <w:r w:rsidR="007B599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immédiatement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pour répondre à cette crise </w:t>
      </w:r>
      <w:r w:rsidR="007B599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 sont souvent appuyées sur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7B599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es technologies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éducation (« 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tech »), de nombreux gouvernements s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étant</w:t>
      </w:r>
      <w:r w:rsidR="007B599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tournés vers des formats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apprentissage à distance. Les appareils ont remplacé les salles de classe et les enfants, les enseignants et les parents ont dû </w:t>
      </w:r>
      <w:r w:rsidR="00106BD2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rapidement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adapter à </w:t>
      </w:r>
      <w:r w:rsidR="00E0049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</w:t>
      </w:r>
      <w:r w:rsidR="001F30C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nouveau mode d’éducation.</w:t>
      </w:r>
    </w:p>
    <w:p w14:paraId="070D4046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2676452" w14:textId="4DCC34F2" w:rsidR="00B36E5D" w:rsidRPr="00053BE3" w:rsidRDefault="00D709B6" w:rsidP="006706A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Compte tenu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ampleur et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urgence de la crise,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évaluation des programmes a souvent été reléguée au second plan. Le contexte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urgence a également </w:t>
      </w:r>
      <w:r w:rsidR="006867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fait ressortir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certains problèmes préexistants dans le domaine de </w:t>
      </w:r>
      <w:proofErr w:type="spellStart"/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ed</w:t>
      </w:r>
      <w:proofErr w:type="spellEnd"/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tech, notamment le caractère inadapté des techniques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évaluation et le manque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études accessibles et compréhensibles (King </w:t>
      </w:r>
      <w:r w:rsidR="00D007FC" w:rsidRPr="003C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en-GB"/>
        </w:rPr>
        <w:t>et al.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, 2016 ; </w:t>
      </w:r>
      <w:proofErr w:type="spellStart"/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Cukurova</w:t>
      </w:r>
      <w:proofErr w:type="spellEnd"/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="003418F5" w:rsidRPr="004E56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Luckin</w:t>
      </w:r>
      <w:proofErr w:type="spellEnd"/>
      <w:r w:rsidR="003418F5" w:rsidRPr="004E56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et Clark-Wilson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, 2019). Il y avait </w:t>
      </w:r>
      <w:r w:rsidR="00182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manifestement</w:t>
      </w:r>
      <w:r w:rsidR="00182BA3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besoin de travaux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évaluation et </w:t>
      </w:r>
      <w:r w:rsidR="001F14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d’études 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impact </w:t>
      </w:r>
      <w:r w:rsidR="00200C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à même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de produire des données suffisamment </w:t>
      </w:r>
      <w:r w:rsidR="002143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rapidement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182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de sorte</w:t>
      </w:r>
      <w:r w:rsidR="00182BA3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que les </w:t>
      </w:r>
      <w:r w:rsidR="00A120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acteurs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puissent </w:t>
      </w:r>
      <w:r w:rsidR="00182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y recourir</w:t>
      </w:r>
      <w:r w:rsidR="00B9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</w:t>
      </w:r>
      <w:r w:rsidR="00182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afin de </w:t>
      </w:r>
      <w:r w:rsidR="00B90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prendre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des décisions </w:t>
      </w:r>
      <w:r w:rsidR="00182B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lorsque </w:t>
      </w:r>
      <w:r w:rsidR="002143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la situation nécessitait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une action immédiate (</w:t>
      </w:r>
      <w:proofErr w:type="spellStart"/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Tauson</w:t>
      </w:r>
      <w:proofErr w:type="spellEnd"/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 xml:space="preserve"> et </w:t>
      </w:r>
      <w:proofErr w:type="spellStart"/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Stannard</w:t>
      </w:r>
      <w:proofErr w:type="spellEnd"/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  <w:t>, 2018).</w:t>
      </w:r>
    </w:p>
    <w:p w14:paraId="73805BAD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E49FD67" w14:textId="0F410F64" w:rsidR="00B36E5D" w:rsidRPr="00053BE3" w:rsidRDefault="00D007FC" w:rsidP="006706A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5B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Dans cette note de terrain, nous présentons le modèle </w:t>
      </w:r>
      <w:proofErr w:type="spellStart"/>
      <w:r w:rsidRPr="00B55B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B55B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qui intègre </w:t>
      </w:r>
      <w:r w:rsidR="00B55B27" w:rsidRPr="00B55B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dans la mise en œuvre du programme </w:t>
      </w:r>
      <w:r w:rsidRPr="00B55B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 recherche et la prise de décision fondée sur les </w:t>
      </w:r>
      <w:r w:rsidR="002562B7" w:rsidRPr="00B55B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résultats</w:t>
      </w:r>
      <w:r w:rsidRPr="00B55B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modèle utilise des cycles itératifs rapides </w:t>
      </w:r>
      <w:r w:rsidR="00182B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destinés à</w:t>
      </w:r>
      <w:r w:rsidR="00182BA3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évaluer une intervention et </w:t>
      </w:r>
      <w:r w:rsidR="00182B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à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opérer une triangulation afin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identifier</w:t>
      </w:r>
      <w:r w:rsidR="00182B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autant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182BA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les éléments qui fonctionnent que les obstacles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qui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persistent tout au long de la mise en œuvre. Nous présentons le modèle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à travers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étude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Azima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un programme développé par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Jusoor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1972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utilisant</w:t>
      </w:r>
      <w:r w:rsidR="007E581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2562B7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WhatsApp </w:t>
      </w:r>
      <w:r w:rsidR="001972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qui</w:t>
      </w:r>
      <w:r w:rsidR="001972E9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permis à des réfugiés au Liban de poursuivre leur éducation pendant la crise du Covid-19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footnoteReference w:id="1"/>
      </w:r>
      <w:r w:rsidR="002562B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Dans la prochaine section, nous expliquerons pourquoi il est nécessaire </w:t>
      </w:r>
      <w:r w:rsidR="00CA0EB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d’adopter d’autres</w:t>
      </w:r>
      <w:r w:rsidR="001B010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approches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évaluation et de recherche dans le domaine de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tech et </w:t>
      </w:r>
      <w:r w:rsidR="001972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nous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présenterons la méthodologie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Nous montrerons ensuite que les composantes du modèle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ont trouvé une application concrète dans le cas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Azima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Enfin, nous ferons le bilan de cette expérience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adoption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une approche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réfléchirons à </w:t>
      </w:r>
      <w:r w:rsidR="00A004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intérêt </w:t>
      </w:r>
      <w:r w:rsidR="00A004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qu’elle représente pour</w:t>
      </w:r>
      <w:r w:rsidR="007A1F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une prise de décision rapide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plus particulièrement dans le domaine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éducation en situation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urgence.</w:t>
      </w:r>
    </w:p>
    <w:p w14:paraId="178B0E25" w14:textId="77777777" w:rsidR="00942FB3" w:rsidRPr="00053BE3" w:rsidRDefault="00942FB3" w:rsidP="00593F5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CAA5DFC" w14:textId="59189455" w:rsidR="00942FB3" w:rsidRPr="00053BE3" w:rsidRDefault="00D007FC" w:rsidP="00593F5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 NÉCESSITÉ D</w:t>
      </w:r>
      <w:r w:rsidR="000F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ADOPTER UNE AUTRE APPROCHE</w:t>
      </w:r>
    </w:p>
    <w:p w14:paraId="3EE45D65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9DFC528" w14:textId="13AB3BBD" w:rsidR="00C15751" w:rsidRPr="00053BE3" w:rsidRDefault="00D007FC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Les professionnels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éducation cherchent à trouver </w:t>
      </w:r>
      <w:r w:rsidR="005A27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 moyens </w:t>
      </w:r>
      <w:r w:rsidR="005A274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les plus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rentables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améliorer les résultats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apprentissage. Historiquement, cela s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est traduit par un recours à des approches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évaluation coûteuses et longues.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une de ces approches est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essai randomisé contrôlé, considéré comme le modèle de référence pour </w:t>
      </w:r>
      <w:r w:rsidR="0017150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établir des inférences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causales. Cependant, les décideurs, en particulier ceux qui opèrent dans des contextes défavorisés et hautement instables, </w:t>
      </w:r>
      <w:r w:rsidR="003600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plus en plus </w:t>
      </w:r>
      <w:r w:rsidR="003600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 quête </w:t>
      </w:r>
      <w:r w:rsidR="000E27A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formats </w:t>
      </w:r>
      <w:r w:rsidR="0036004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 recherche</w:t>
      </w:r>
      <w:r w:rsidR="000E27A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adaptés à leur environnement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Crawfurd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3C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2021).</w:t>
      </w:r>
    </w:p>
    <w:p w14:paraId="789B64B9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C73FB33" w14:textId="2454E445" w:rsidR="00B36E5D" w:rsidRPr="00053BE3" w:rsidRDefault="001972E9" w:rsidP="006706A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 ailleurs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il existe souvent un décalage entre le monde universitaire qui produit les données, et les professionnels du domaine, censés agir en fonction de </w:t>
      </w:r>
      <w:r w:rsidR="00D11ED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ces </w:t>
      </w:r>
      <w:r w:rsidR="0089401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dernières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Les professionnels peuvent avoir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impression que les données produites par les chercheurs lors 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des études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évaluation ne sont pas accessibles</w:t>
      </w:r>
      <w:r w:rsidR="00EC51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ce qui limite leur utilisation </w:t>
      </w:r>
      <w:r w:rsidR="001072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dans la prise</w:t>
      </w:r>
      <w:r w:rsidR="00EC51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décisions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(Hennessy </w:t>
      </w:r>
      <w:r w:rsidR="00D007FC" w:rsidRPr="003C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2021). De plus, les évaluations ont généralement lieu à la fin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 projet</w:t>
      </w:r>
      <w:r w:rsidR="009F7D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;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elles étudient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impact des activités une fois terminées</w:t>
      </w:r>
      <w:r w:rsidR="009F7D9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mais ne sont pas conçues pour servir </w:t>
      </w:r>
      <w:r w:rsidR="005D6A8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à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futures itérations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intervention.</w:t>
      </w:r>
    </w:p>
    <w:p w14:paraId="0878C63F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5A15F6" w14:textId="307B03B1" w:rsidR="00B36E5D" w:rsidRPr="00053BE3" w:rsidRDefault="00D007FC" w:rsidP="006706AA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 vu de tous ces éléments, nous considérons qu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 est nécessaire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avoir recours à des méthodologies p</w:t>
      </w:r>
      <w:r w:rsidR="00E15E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us adaptées aux besoins des </w:t>
      </w:r>
      <w:r w:rsidR="00330CA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intervenants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mettant en œuvre les technologies éducatives. Dans le secteur du numérique, les bonnes pratiques tendent à encourager les </w:t>
      </w:r>
      <w:r w:rsidR="001972E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acteurs</w:t>
      </w:r>
      <w:r w:rsidR="001972E9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à prendre eux-mêmes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initiative de produire des données, à travailler en équipes pluridisciplinaires et à réaliser des évaluations formatives à partir desquelles ils pourront effectuer en temps opportun des itérations efficaces. Il est possible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emprunter ce type de méthodes et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approches</w:t>
      </w:r>
      <w:r w:rsidR="00330CA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de les adapter au secteur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éducation.</w:t>
      </w:r>
    </w:p>
    <w:p w14:paraId="47094540" w14:textId="77777777" w:rsidR="00C15751" w:rsidRPr="00053BE3" w:rsidRDefault="00C15751" w:rsidP="00593F5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9B27BA5" w14:textId="77777777" w:rsidR="00E971C8" w:rsidRPr="00053BE3" w:rsidRDefault="00D007FC" w:rsidP="00593F5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LA MÉTHODOLOGIE SANDBOX</w:t>
      </w:r>
    </w:p>
    <w:p w14:paraId="5F3E4926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73891955" w14:textId="6BC63BC7" w:rsidR="00B36E5D" w:rsidRPr="00861E0B" w:rsidRDefault="00D007FC" w:rsidP="006706AA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 terme « 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» (« bac à sable » en français) est utilisé depuis des dizaines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années dans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ingénierie logicielle pour décrire un espace </w:t>
      </w:r>
      <w:r w:rsidR="00F749E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permettant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aux développeurs de tester un nouveau code avant de le déployer. Le concept a également été mobilisé dans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autres secteurs, notamment par le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EdTech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Hub, qui a développé la méthodologie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FE66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afin de l’appliquer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dans </w:t>
      </w:r>
      <w:r w:rsidR="00FE66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 initiatives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tech (Rahman </w:t>
      </w:r>
      <w:r w:rsidRPr="003C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et al.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2021</w:t>
      </w:r>
      <w:r w:rsidR="00F749E0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footnoteReference w:id="2"/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FE66F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6D9DCC9C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9BF6AE4" w14:textId="58CB0F9F" w:rsidR="00B36E5D" w:rsidRPr="00053BE3" w:rsidRDefault="00D007FC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La méthode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0D654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offre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un espace permettant de tester et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itérer les interventions </w:t>
      </w:r>
      <w:r w:rsidR="00F41E1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déployées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dans des conditions incertaines.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approche, qui combine plusieurs méthodes de recherche et de conception, permet à ceux qui mettent en œuvre </w:t>
      </w:r>
      <w:r w:rsidR="00B87D8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 programme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 mettre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leurs résultats en pratique, puis de les réévaluer rapidement et de manière itérative. </w:t>
      </w:r>
      <w:r w:rsidR="00265A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Afin de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permettre </w:t>
      </w:r>
      <w:r w:rsidR="0078156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apprentissage,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adaptation et le développement à plus grande échelle </w:t>
      </w:r>
      <w:r w:rsidR="00E4072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 cours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la mise en œuvre, </w:t>
      </w:r>
      <w:r w:rsidR="00265A9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 modèle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combine des éléments de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backcasting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(Robinson, 1990), de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lean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start-up (Chang, 2019), de conception centrée sur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utilisateur, de méthodologie agile (Kaiser, 2019) et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innovation comportementale (Simpson, 2019).</w:t>
      </w:r>
    </w:p>
    <w:p w14:paraId="1F748E2A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7E92DC" w14:textId="77777777" w:rsidR="00B36E5D" w:rsidRPr="00053BE3" w:rsidRDefault="00D007FC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Les principales étapes de la méthode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consistent à :</w:t>
      </w:r>
    </w:p>
    <w:p w14:paraId="73D4E533" w14:textId="77777777" w:rsidR="004E5655" w:rsidRPr="00053BE3" w:rsidRDefault="004E5655" w:rsidP="00D728CB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69C937" w14:textId="266A14C4" w:rsidR="00E971C8" w:rsidRPr="00053BE3" w:rsidRDefault="00315E36" w:rsidP="00D728CB">
      <w:pPr>
        <w:numPr>
          <w:ilvl w:val="0"/>
          <w:numId w:val="15"/>
        </w:numPr>
        <w:tabs>
          <w:tab w:val="clear" w:pos="720"/>
          <w:tab w:val="num" w:pos="426"/>
        </w:tabs>
        <w:spacing w:after="0" w:line="48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Définir</w:t>
      </w:r>
      <w:r w:rsidR="00D007FC"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</w:t>
      </w:r>
      <w:r w:rsidR="000F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impact souhaité de l</w:t>
      </w:r>
      <w:r w:rsidR="000F12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’</w:t>
      </w:r>
      <w:r w:rsidR="00D007FC"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intervention et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identifier</w:t>
      </w:r>
      <w:r w:rsidR="00D007FC"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les hypothèses critiques</w:t>
      </w:r>
    </w:p>
    <w:p w14:paraId="7A592E33" w14:textId="77777777" w:rsidR="004E5655" w:rsidRPr="00053BE3" w:rsidRDefault="004E5655" w:rsidP="00D728CB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</w:p>
    <w:p w14:paraId="4A4E57F5" w14:textId="658362D7" w:rsidR="00B36E5D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color w:val="000000"/>
          <w:lang w:val="fr-FR"/>
        </w:rPr>
        <w:t xml:space="preserve">Le principal objectif du modèle </w:t>
      </w:r>
      <w:proofErr w:type="spellStart"/>
      <w:r w:rsidRPr="003C706B">
        <w:rPr>
          <w:color w:val="000000"/>
          <w:lang w:val="fr-FR"/>
        </w:rPr>
        <w:t>sandbox</w:t>
      </w:r>
      <w:proofErr w:type="spellEnd"/>
      <w:r w:rsidRPr="003C706B">
        <w:rPr>
          <w:color w:val="000000"/>
          <w:lang w:val="fr-FR"/>
        </w:rPr>
        <w:t xml:space="preserve"> n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est pas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évaluer un produit ou une solution, mais de résoudre un problème et </w:t>
      </w:r>
      <w:r w:rsidR="006F619F" w:rsidRPr="003C706B">
        <w:rPr>
          <w:color w:val="000000"/>
          <w:lang w:val="fr-FR"/>
        </w:rPr>
        <w:t>de produire</w:t>
      </w:r>
      <w:r w:rsidRPr="003C706B">
        <w:rPr>
          <w:color w:val="000000"/>
          <w:lang w:val="fr-FR"/>
        </w:rPr>
        <w:t xml:space="preserve"> un impact. Pour y parvenir, une équipe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intervenants doit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abord formuler une hypothèse principale ; il s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agit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une méthodologie de </w:t>
      </w:r>
      <w:proofErr w:type="spellStart"/>
      <w:r w:rsidRPr="003C706B">
        <w:rPr>
          <w:color w:val="000000"/>
          <w:lang w:val="fr-FR"/>
        </w:rPr>
        <w:t>backcasting</w:t>
      </w:r>
      <w:proofErr w:type="spellEnd"/>
      <w:r w:rsidRPr="003C706B">
        <w:rPr>
          <w:color w:val="000000"/>
          <w:lang w:val="fr-FR"/>
        </w:rPr>
        <w:t xml:space="preserve"> (« travail à rebours »</w:t>
      </w:r>
      <w:r w:rsidR="00265A9E" w:rsidRPr="003C706B">
        <w:rPr>
          <w:color w:val="000000"/>
          <w:lang w:val="fr-FR"/>
        </w:rPr>
        <w:t xml:space="preserve"> en anglais</w:t>
      </w:r>
      <w:r w:rsidRPr="003C706B">
        <w:rPr>
          <w:color w:val="000000"/>
          <w:lang w:val="fr-FR"/>
        </w:rPr>
        <w:t>), qui, au lieu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avancer par gains marginaux, </w:t>
      </w:r>
      <w:r w:rsidR="00265A9E" w:rsidRPr="003C706B">
        <w:rPr>
          <w:color w:val="000000"/>
          <w:lang w:val="fr-FR"/>
        </w:rPr>
        <w:t>oriente</w:t>
      </w:r>
      <w:r w:rsidRPr="003C706B">
        <w:rPr>
          <w:color w:val="000000"/>
          <w:lang w:val="fr-FR"/>
        </w:rPr>
        <w:t xml:space="preserve"> les efforts de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équipe </w:t>
      </w:r>
      <w:r w:rsidR="00265A9E" w:rsidRPr="003C706B">
        <w:rPr>
          <w:color w:val="000000"/>
          <w:lang w:val="fr-FR"/>
        </w:rPr>
        <w:t xml:space="preserve">vers </w:t>
      </w:r>
      <w:r w:rsidRPr="003C706B">
        <w:rPr>
          <w:color w:val="000000"/>
          <w:lang w:val="fr-FR"/>
        </w:rPr>
        <w:t>un résultat final souhaité, à partir duquel elle opère ensuite à rebours en revenant vers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état actuel.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équipe détermine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hypothèse principale, ou « grande idée », et examine ensuite ce qui doit être vrai pour que cette idée fonctionne. Pour cela, elle peut utiliser un format de conception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hypothèse de type « Si nous... alors... » ou bien créer une théorie du changement pour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intervention.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étape suivante de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approche </w:t>
      </w:r>
      <w:proofErr w:type="spellStart"/>
      <w:r w:rsidRPr="003C706B">
        <w:rPr>
          <w:color w:val="000000"/>
          <w:lang w:val="fr-FR"/>
        </w:rPr>
        <w:t>sandbox</w:t>
      </w:r>
      <w:proofErr w:type="spellEnd"/>
      <w:r w:rsidRPr="003C706B">
        <w:rPr>
          <w:color w:val="000000"/>
          <w:lang w:val="fr-FR"/>
        </w:rPr>
        <w:t xml:space="preserve"> consiste à recueillir des éléments permettant de valider (ou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invalider) les hypothèses qui sous-tendent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hypothèse principale. Une hypothèse doit être vraie pour que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intervention fonctionne (Chang, 2019).</w:t>
      </w:r>
    </w:p>
    <w:p w14:paraId="3A912E8A" w14:textId="77777777" w:rsidR="004E5655" w:rsidRPr="00053BE3" w:rsidRDefault="004E5655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6EB34A7B" w14:textId="5FD5EDED" w:rsidR="004E5655" w:rsidRPr="00053BE3" w:rsidRDefault="00D007FC" w:rsidP="006706AA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color w:val="000000"/>
          <w:lang w:val="fr-FR"/>
        </w:rPr>
        <w:t>Les technologies de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éducation opèrent au sein de systèmes complexes et souvent fragmentés. C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est pourquoi le </w:t>
      </w:r>
      <w:proofErr w:type="spellStart"/>
      <w:r w:rsidRPr="003C706B">
        <w:rPr>
          <w:color w:val="000000"/>
          <w:lang w:val="fr-FR"/>
        </w:rPr>
        <w:t>EdTech</w:t>
      </w:r>
      <w:proofErr w:type="spellEnd"/>
      <w:r w:rsidRPr="003C706B">
        <w:rPr>
          <w:color w:val="000000"/>
          <w:lang w:val="fr-FR"/>
        </w:rPr>
        <w:t xml:space="preserve"> Hub propose un modèle qui ne teste pas uniquement </w:t>
      </w:r>
      <w:r w:rsidRPr="003C706B">
        <w:rPr>
          <w:color w:val="000000"/>
          <w:lang w:val="fr-FR"/>
        </w:rPr>
        <w:lastRenderedPageBreak/>
        <w:t>les composantes techniques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une intervention mais qui prend en compte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ensemble du système de facteurs </w:t>
      </w:r>
      <w:r w:rsidR="006706AA" w:rsidRPr="003C706B">
        <w:rPr>
          <w:color w:val="000000"/>
          <w:lang w:val="fr-FR"/>
        </w:rPr>
        <w:t>devant</w:t>
      </w:r>
      <w:r w:rsidRPr="003C706B">
        <w:rPr>
          <w:color w:val="000000"/>
          <w:lang w:val="fr-FR"/>
        </w:rPr>
        <w:t xml:space="preserve"> fonctionner ensemble </w:t>
      </w:r>
      <w:r w:rsidR="006706AA" w:rsidRPr="003C706B">
        <w:rPr>
          <w:color w:val="000000"/>
          <w:lang w:val="fr-FR"/>
        </w:rPr>
        <w:t xml:space="preserve">afin de </w:t>
      </w:r>
      <w:r w:rsidR="00605310" w:rsidRPr="003C706B">
        <w:rPr>
          <w:color w:val="000000"/>
          <w:lang w:val="fr-FR"/>
        </w:rPr>
        <w:t>produire</w:t>
      </w:r>
      <w:r w:rsidRPr="003C706B">
        <w:rPr>
          <w:color w:val="000000"/>
          <w:lang w:val="fr-FR"/>
        </w:rPr>
        <w:t xml:space="preserve"> un impact à grande échelle. Les intervenants sont invités à se servir du cadre conceptuel des 6P (personnes, produit, pédagogie, politique, lieu [« </w:t>
      </w:r>
      <w:r w:rsidRPr="003C706B">
        <w:rPr>
          <w:i/>
          <w:color w:val="000000"/>
          <w:lang w:val="fr-FR"/>
        </w:rPr>
        <w:t>place</w:t>
      </w:r>
      <w:r w:rsidRPr="003C706B">
        <w:rPr>
          <w:color w:val="000000"/>
          <w:lang w:val="fr-FR"/>
        </w:rPr>
        <w:t> » en anglais] et dotation [« </w:t>
      </w:r>
      <w:r w:rsidRPr="003C706B">
        <w:rPr>
          <w:i/>
          <w:color w:val="000000"/>
          <w:lang w:val="fr-FR"/>
        </w:rPr>
        <w:t>provision</w:t>
      </w:r>
      <w:r w:rsidRPr="003C706B">
        <w:rPr>
          <w:color w:val="000000"/>
          <w:lang w:val="fr-FR"/>
        </w:rPr>
        <w:t> »]) (</w:t>
      </w:r>
      <w:proofErr w:type="spellStart"/>
      <w:r w:rsidRPr="003C706B">
        <w:rPr>
          <w:color w:val="000000"/>
          <w:lang w:val="fr-FR"/>
        </w:rPr>
        <w:t>Plaut</w:t>
      </w:r>
      <w:proofErr w:type="spellEnd"/>
      <w:r w:rsidRPr="003C706B">
        <w:rPr>
          <w:color w:val="000000"/>
          <w:lang w:val="fr-FR"/>
        </w:rPr>
        <w:t xml:space="preserve"> </w:t>
      </w:r>
      <w:r w:rsidRPr="003C706B">
        <w:rPr>
          <w:i/>
          <w:iCs/>
          <w:color w:val="000000"/>
          <w:lang w:val="fr-FR"/>
        </w:rPr>
        <w:t>et al.</w:t>
      </w:r>
      <w:r w:rsidRPr="003C706B">
        <w:rPr>
          <w:color w:val="000000"/>
          <w:lang w:val="fr-FR"/>
        </w:rPr>
        <w:t>, 2020)</w:t>
      </w:r>
      <w:r w:rsidR="00D46B71" w:rsidRPr="003C706B">
        <w:rPr>
          <w:color w:val="000000"/>
          <w:lang w:val="fr-FR"/>
        </w:rPr>
        <w:t>,</w:t>
      </w:r>
      <w:r w:rsidRPr="003C706B">
        <w:rPr>
          <w:color w:val="000000"/>
          <w:lang w:val="fr-FR"/>
        </w:rPr>
        <w:t xml:space="preserve"> afin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identifier des hypothèses qui tiennent compte de tous les aspects du système éducatif susceptibles de jouer un rôle dans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intervention (voir Figure 1).</w:t>
      </w:r>
    </w:p>
    <w:p w14:paraId="6F3D5587" w14:textId="77777777" w:rsidR="00340CA5" w:rsidRPr="00053BE3" w:rsidRDefault="00340CA5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</w:p>
    <w:p w14:paraId="1F071E32" w14:textId="2D157AD6" w:rsidR="004E5655" w:rsidRPr="003C706B" w:rsidRDefault="00D007FC">
      <w:pPr>
        <w:pStyle w:val="NormalWeb"/>
        <w:spacing w:before="0" w:beforeAutospacing="0" w:after="0" w:afterAutospacing="0" w:line="480" w:lineRule="auto"/>
        <w:jc w:val="center"/>
        <w:rPr>
          <w:color w:val="000000"/>
          <w:lang w:val="fr-FR"/>
        </w:rPr>
      </w:pPr>
      <w:commentRangeStart w:id="1"/>
      <w:r w:rsidRPr="004E5655">
        <w:rPr>
          <w:noProof/>
          <w:color w:val="000000"/>
          <w:bdr w:val="none" w:sz="0" w:space="0" w:color="auto" w:frame="1"/>
          <w:lang w:val="en-US" w:eastAsia="en-US" w:bidi="he-IL"/>
        </w:rPr>
        <w:drawing>
          <wp:anchor distT="0" distB="0" distL="114300" distR="114300" simplePos="0" relativeHeight="251658240" behindDoc="0" locked="0" layoutInCell="1" allowOverlap="1" wp14:anchorId="6432FAE8" wp14:editId="12D081BB">
            <wp:simplePos x="0" y="0"/>
            <wp:positionH relativeFrom="column">
              <wp:posOffset>1130300</wp:posOffset>
            </wp:positionH>
            <wp:positionV relativeFrom="paragraph">
              <wp:posOffset>334010</wp:posOffset>
            </wp:positionV>
            <wp:extent cx="3365500" cy="3132455"/>
            <wp:effectExtent l="0" t="0" r="6350" b="0"/>
            <wp:wrapTopAndBottom/>
            <wp:docPr id="12" name="Picture 12" descr="https://lh4.googleusercontent.com/MGdqDRObKTWImRyVUuO8BW7ZLZrANRiL01FoeUGS2nF03LqArAAr79ZfCqnIG6F_S13Fb3Ahb9I5TXb_zWtxsDV41JHxxuIWICYXpMnSnh26YLEawDiFKosI1jHYU9BuTpG_tv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08539" name="Picture 47" descr="https://lh4.googleusercontent.com/MGdqDRObKTWImRyVUuO8BW7ZLZrANRiL01FoeUGS2nF03LqArAAr79ZfCqnIG6F_S13Fb3Ahb9I5TXb_zWtxsDV41JHxxuIWICYXpMnSnh26YLEawDiFKosI1jHYU9BuTpG_tv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13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706B">
        <w:rPr>
          <w:i/>
          <w:iCs/>
          <w:color w:val="000000"/>
          <w:lang w:val="fr-FR"/>
        </w:rPr>
        <w:t>Figure 1 :</w:t>
      </w:r>
      <w:r w:rsidRPr="003C706B">
        <w:rPr>
          <w:color w:val="000000"/>
          <w:lang w:val="fr-FR"/>
        </w:rPr>
        <w:t xml:space="preserve"> Les 6P </w:t>
      </w:r>
      <w:r w:rsidR="00B9619D" w:rsidRPr="003C706B">
        <w:rPr>
          <w:color w:val="000000"/>
          <w:lang w:val="fr-FR"/>
        </w:rPr>
        <w:t>–</w:t>
      </w:r>
      <w:r w:rsidRPr="003C706B">
        <w:rPr>
          <w:color w:val="000000"/>
          <w:lang w:val="fr-FR"/>
        </w:rPr>
        <w:t xml:space="preserve"> un cadre conceptuel </w:t>
      </w:r>
      <w:r w:rsidR="006706AA" w:rsidRPr="003C706B">
        <w:rPr>
          <w:color w:val="000000"/>
          <w:lang w:val="fr-FR"/>
        </w:rPr>
        <w:t>permettant d’</w:t>
      </w:r>
      <w:r w:rsidR="00D46B71" w:rsidRPr="003C706B">
        <w:rPr>
          <w:color w:val="000000"/>
          <w:lang w:val="fr-FR"/>
        </w:rPr>
        <w:t>appréhender</w:t>
      </w:r>
      <w:r w:rsidRPr="003C706B">
        <w:rPr>
          <w:color w:val="000000"/>
          <w:lang w:val="fr-FR"/>
        </w:rPr>
        <w:t xml:space="preserve"> le système éducatif</w:t>
      </w:r>
      <w:commentRangeEnd w:id="1"/>
      <w:r w:rsidR="009F0427">
        <w:rPr>
          <w:rStyle w:val="CommentReference"/>
          <w:rFonts w:asciiTheme="minorHAnsi" w:eastAsiaTheme="minorHAnsi" w:hAnsiTheme="minorHAnsi" w:cstheme="minorBidi"/>
          <w:lang w:val="en-US" w:eastAsia="en-US"/>
        </w:rPr>
        <w:commentReference w:id="1"/>
      </w:r>
    </w:p>
    <w:p w14:paraId="6F1E2B45" w14:textId="77777777" w:rsidR="00340CA5" w:rsidRPr="00053BE3" w:rsidRDefault="00340CA5" w:rsidP="00B14F5F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</w:p>
    <w:p w14:paraId="736EDE5D" w14:textId="77777777" w:rsidR="00E971C8" w:rsidRPr="00053BE3" w:rsidRDefault="00D007FC" w:rsidP="00B14F5F">
      <w:pPr>
        <w:pStyle w:val="NormalWeb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 w:line="480" w:lineRule="auto"/>
        <w:ind w:left="0" w:firstLine="0"/>
        <w:textAlignment w:val="baseline"/>
        <w:rPr>
          <w:color w:val="000000"/>
          <w:lang w:val="fr-FR"/>
        </w:rPr>
      </w:pPr>
      <w:r w:rsidRPr="003C706B">
        <w:rPr>
          <w:b/>
          <w:bCs/>
          <w:color w:val="000000"/>
          <w:lang w:val="fr-FR"/>
        </w:rPr>
        <w:t>Concevoir des expériences de type « </w:t>
      </w:r>
      <w:proofErr w:type="spellStart"/>
      <w:r w:rsidRPr="003C706B">
        <w:rPr>
          <w:b/>
          <w:bCs/>
          <w:color w:val="000000"/>
          <w:lang w:val="fr-FR"/>
        </w:rPr>
        <w:t>lean</w:t>
      </w:r>
      <w:proofErr w:type="spellEnd"/>
      <w:r w:rsidRPr="003C706B">
        <w:rPr>
          <w:b/>
          <w:bCs/>
          <w:color w:val="000000"/>
          <w:lang w:val="fr-FR"/>
        </w:rPr>
        <w:t> » pour tester les hypothèses </w:t>
      </w:r>
    </w:p>
    <w:p w14:paraId="7F558FFD" w14:textId="77777777" w:rsidR="004E5655" w:rsidRPr="00053BE3" w:rsidRDefault="004E5655" w:rsidP="00B14F5F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081E702" w14:textId="44800F0D" w:rsidR="002A118A" w:rsidRPr="00053BE3" w:rsidRDefault="00D007F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Les hypothèses sont </w:t>
      </w:r>
      <w:r w:rsidR="005D62E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classées par ordre de priorité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de la plus critique à la moins critique </w:t>
      </w:r>
      <w:r w:rsidR="00656EF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–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les hypothèses les plus critiques </w:t>
      </w:r>
      <w:r w:rsidR="00656EF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étant</w:t>
      </w:r>
      <w:r w:rsidR="00656EFA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celles qui compromettraient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ensemble du projet si elles venaient à être invalidées. Des expériences sont ensuite conçues pour tester les hypothèses les plus critiques. Une expérience est définie comme la plus petite quantité de travail pouvant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>être réalisée pour obtenir des informations permettant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itérer une intervention (Murray et Ma, 2015). Cette approche est tirée de la méthode « 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lean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 », une approche issue du développement de nouveaux produits </w:t>
      </w:r>
      <w:r w:rsidR="0072429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axée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sur les boucles de feedback qui permet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="006C66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identifier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plus rapidement ce qui fonctionne (Chang, 2019). Les </w:t>
      </w:r>
      <w:r w:rsidR="006C66FB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praticiens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conçoivent et conduisent eux-mêmes les expériences et </w:t>
      </w:r>
      <w:r w:rsidR="00EC0D6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mobilisent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toutes les méthodes pertinentes de collecte de</w:t>
      </w:r>
      <w:r w:rsidR="00EC0D6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données : qualitatives ou quantitatives, primaires ou secondaires, descriptives ou expérimentales. La durée des expériences est variable. Au début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</w:t>
      </w:r>
      <w:r w:rsidR="005847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 intervention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C762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lorsque</w:t>
      </w:r>
      <w:r w:rsidR="00656EF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</w:t>
      </w:r>
      <w:r w:rsidR="00C762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656EF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valeur de l’idée </w:t>
      </w:r>
      <w:r w:rsidR="000F6E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n’est pas encore bien déterminée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les expériences sont généralement courtes et peu coûteuses ; plus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 a confiance </w:t>
      </w:r>
      <w:r w:rsidR="0058472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la validité des hypothèses et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efficacité </w:t>
      </w:r>
      <w:r w:rsidR="006C129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 l’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intervention, plus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on investit de temps et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argent.</w:t>
      </w:r>
      <w:r w:rsidR="000F6E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 expériences sont </w:t>
      </w:r>
      <w:r w:rsidR="000F6EB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finalement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conçues pour produire des données claires et mesurables sur le comportement </w:t>
      </w:r>
      <w:r w:rsidR="009A123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réel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des personnes</w:t>
      </w:r>
      <w:r w:rsidR="009A123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non sur leurs opinions ou </w:t>
      </w:r>
      <w:r w:rsidR="009A123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leurs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déclarations.</w:t>
      </w:r>
    </w:p>
    <w:p w14:paraId="6287E236" w14:textId="77777777" w:rsidR="004E5655" w:rsidRPr="00053BE3" w:rsidRDefault="004E5655" w:rsidP="00340CA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FE0B16" w14:textId="77777777" w:rsidR="00E971C8" w:rsidRPr="00053BE3" w:rsidRDefault="00D007FC" w:rsidP="00340CA5">
      <w:pPr>
        <w:pStyle w:val="NormalWeb"/>
        <w:numPr>
          <w:ilvl w:val="0"/>
          <w:numId w:val="15"/>
        </w:numPr>
        <w:tabs>
          <w:tab w:val="clear" w:pos="720"/>
          <w:tab w:val="num" w:pos="426"/>
        </w:tabs>
        <w:spacing w:before="0" w:beforeAutospacing="0" w:after="0" w:afterAutospacing="0" w:line="480" w:lineRule="auto"/>
        <w:ind w:left="0" w:firstLine="0"/>
        <w:textAlignment w:val="baseline"/>
        <w:rPr>
          <w:color w:val="000000"/>
          <w:lang w:val="fr-FR"/>
        </w:rPr>
      </w:pPr>
      <w:r w:rsidRPr="003C706B">
        <w:rPr>
          <w:b/>
          <w:bCs/>
          <w:color w:val="000000"/>
          <w:lang w:val="fr-FR"/>
        </w:rPr>
        <w:t>Faire le point, apprendre et itérer à intervalles réguliers</w:t>
      </w:r>
    </w:p>
    <w:p w14:paraId="59FBF9D2" w14:textId="77777777" w:rsidR="004E5655" w:rsidRPr="00053BE3" w:rsidRDefault="004E5655" w:rsidP="00340CA5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32ABDB49" w14:textId="78180736" w:rsidR="00620B8A" w:rsidRPr="00053BE3" w:rsidRDefault="00D007FC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 modèle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accorde une place centrale à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itération et à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adaptation tout au long du processus de mise en œuvre.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approche intègre </w:t>
      </w:r>
      <w:r w:rsidR="00F6545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dans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son programme des moments formels pendant lesquels les intervenants peuvent </w:t>
      </w:r>
      <w:r w:rsidR="009B2A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se concentrer sur ce qu’ils apprennent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avoir </w:t>
      </w:r>
      <w:r w:rsidR="00EE455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espace </w:t>
      </w:r>
      <w:r w:rsidR="00EE455D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modifier leurs plans. Les expériences sont regroupées par « sprints », un terme utilisé dans les méthodologies agiles pour décrire « une période courte et délimitée dans le temps pendant laquelle une équipe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scrum</w:t>
      </w:r>
      <w:proofErr w:type="spellEnd"/>
      <w:r w:rsidR="006246B8"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footnoteReference w:id="3"/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efforce de réaliser une quantité de travail prédéterminée » (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Rehkopf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2022)</w:t>
      </w:r>
      <w:r w:rsidR="006246B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Entre chaque sprint,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équipe réfléchit à ce qu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elle a appris et utilise ces informations pour </w:t>
      </w:r>
      <w:r w:rsidR="003C4E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examiner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</w:t>
      </w:r>
      <w:r w:rsidR="003C4EC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redéfinir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sprint suivant.</w:t>
      </w:r>
    </w:p>
    <w:p w14:paraId="06084BE0" w14:textId="77777777" w:rsidR="00D423B5" w:rsidRPr="00053BE3" w:rsidRDefault="00D423B5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07538760" w14:textId="77777777" w:rsidR="006E3440" w:rsidRPr="00053BE3" w:rsidRDefault="00D007FC" w:rsidP="00593F57">
      <w:pPr>
        <w:spacing w:after="0" w:line="48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565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LE SANDBOX AZIMA EN PRATIQUE</w:t>
      </w:r>
    </w:p>
    <w:p w14:paraId="2A7D2DCA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1F5275E7" w14:textId="7FCE47F3" w:rsidR="007050F2" w:rsidRPr="00053BE3" w:rsidRDefault="00D007F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Jusoor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intervient depuis 2013 auprès </w:t>
      </w:r>
      <w:r w:rsidR="001F55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enfants réfugiés syriens non scolarisés vivant au Liban par le biais </w:t>
      </w:r>
      <w:r w:rsidR="00F25E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Programme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éducation pour les réfugiés, </w:t>
      </w:r>
      <w:r w:rsidR="002679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dont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but </w:t>
      </w:r>
      <w:r w:rsidR="002679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est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 les réintégrer au système scolaire formel</w:t>
      </w:r>
      <w:r>
        <w:rPr>
          <w:rStyle w:val="FootnoteReference"/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footnoteReference w:id="4"/>
      </w:r>
      <w:r w:rsidR="00F25E2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Liban est le pays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comptant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 plus grand nombre de réfugiés par habitant au monde (HCR, 2022). Depuis son apparition en 2011-2012, la crise des réfugiés </w:t>
      </w:r>
      <w:r w:rsidR="002679B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 été synonyme de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crise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éducation. Les données des Nations unies pour la dernière année scolaire avant la pandémie de Covid (2018-2019) évaluaient à 666 491 le nombre de réfugiés syriens en âge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être scolarisés ; parmi eux, seuls 42 % </w:t>
      </w:r>
      <w:r w:rsidR="00E96AF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allaient à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école (Conseil norvégien pour les réfugiés, 2020, p. 4).</w:t>
      </w:r>
    </w:p>
    <w:p w14:paraId="3981D864" w14:textId="77777777" w:rsidR="007050F2" w:rsidRPr="00053BE3" w:rsidRDefault="007050F2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5573404" w14:textId="0BF5CFDE" w:rsidR="00620B8A" w:rsidRPr="00053BE3" w:rsidRDefault="00D007F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Malgré ses efforts pour fournir aux réfugiés syriens un accès à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éducation, le système scolaire public libanais a du mal à absorber le grand nombre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enfants en âge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être scolarisés. À travers leur offre éducative non formelle, </w:t>
      </w:r>
      <w:r w:rsidR="007C46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 organisations non gouvernementales, dont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Jusoor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7C46A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contribuent de manière importante à ce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que les enfants réfugiés ne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deviennent pas une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génération perdue. </w:t>
      </w:r>
    </w:p>
    <w:p w14:paraId="3D73666E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F2D4FCC" w14:textId="1D3632FD" w:rsidR="00620B8A" w:rsidRPr="00053BE3" w:rsidRDefault="00D007F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 Programme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éducation pour les réfugiés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Jusoor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est </w:t>
      </w:r>
      <w:r w:rsidR="00FF27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 temps normal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déployé dans trois centres éducatifs. Cependant, après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apparition de la pandémie de Covid-19 en mars 2020,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Jusoor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est passé à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apprentissage en ligne </w:t>
      </w:r>
      <w:r w:rsidR="00FF27C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via la création d’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un nouveau programme utilis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WhatsApp. Ce nouveau programme a été baptisé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ce qui signifie « détermination » en arabe, en référence à la volonté des enfants de continuer leur apprentissage. </w:t>
      </w:r>
    </w:p>
    <w:p w14:paraId="585B03AC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6A8D106" w14:textId="6F833F60" w:rsidR="00620B8A" w:rsidRPr="00053BE3" w:rsidRDefault="00D007F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Le programme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Azima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été développé rapidement. Il </w:t>
      </w:r>
      <w:r w:rsidR="004123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permettait aux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enseignants </w:t>
      </w:r>
      <w:r w:rsidR="004123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d’envoyer des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4123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cours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</w:t>
      </w:r>
      <w:r w:rsidR="00412370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="00517C6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 matériel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vidéo à leurs élèves </w:t>
      </w:r>
      <w:r w:rsidR="00517C6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 l’intermédiaire de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WhatsApp. Les élèves ont reçu des devoirs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qu’ils devaient</w:t>
      </w:r>
      <w:r w:rsidR="00F966E2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renvoyer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afin d’obtenir une</w:t>
      </w:r>
      <w:r w:rsidR="00F966E2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correction et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des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commentaires. </w:t>
      </w:r>
      <w:r w:rsidR="00AC65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="0008689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es enseignants se basaient sur l</w:t>
      </w:r>
      <w:r w:rsidR="00AC65A7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 remise des devoirs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afin d’évaluer</w:t>
      </w:r>
      <w:r w:rsidR="00D931C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leur assiduité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objectif était de permettre aux enfants de continuer à apprendre pendant cette période et de préserver leurs chances de recevoir une éducation de qualité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par la suite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Dans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ensemble, le modèle WhatsApp initial a semblé fonctionner, mais certains élèves n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étaient pas très assidus, ce qui suggère qu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ils ont eu du mal à s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approprier le programme.</w:t>
      </w:r>
    </w:p>
    <w:p w14:paraId="0567B078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E9A489" w14:textId="1D7AD020" w:rsidR="00620B8A" w:rsidRPr="00053BE3" w:rsidRDefault="00D007F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GB"/>
        </w:rPr>
      </w:pP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Jusoor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le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EdTech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Hub ont formé un partenariat pour tester et affiner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Azima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à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aide de la méthode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tout en répondant à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urgence de la crise. Les partenaires ont commencé par formuler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hypothèse principale suivante : « Si nous fournissons des cours et des devoirs via WhatsApp aux enfants réfugiés non scolarisés de niveau primaire et que nous impliquons leurs parents/tuteurs, alors les enfants pourront continuer à apprendre et auront plus de chances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accéder à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une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éducation formelle à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avenir ».</w:t>
      </w:r>
    </w:p>
    <w:p w14:paraId="1F5A1DC6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34EE19" w14:textId="5BA0D3F0" w:rsidR="00620B8A" w:rsidRPr="00053BE3" w:rsidRDefault="00D007FC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Jusoor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le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EdTech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Hub ont</w:t>
      </w:r>
      <w:r w:rsidR="00A14BA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ensuite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formulé </w:t>
      </w:r>
      <w:r w:rsidR="001644B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 sous-hypothèses et conçu </w:t>
      </w:r>
      <w:r w:rsidR="001644B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 expériences lors de plusieurs ateliers conjoints. </w:t>
      </w:r>
      <w:r w:rsidR="001B08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L’équipe a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utilisé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outil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audit 6P (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EdTech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Hub, 2022)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afin d’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examiner chaque élément du système éducatif et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évaluer le niveau de certitude des différents éléments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intervention. Ils ont formulé les hypothèses </w:t>
      </w:r>
      <w:r w:rsidR="001B08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sur la base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des réponses aux questions associées aux 6P,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objectif visé par le programme, des observations réalisées par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équipe </w:t>
      </w:r>
      <w:r w:rsidR="00EE72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ainsi que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des résultats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Azima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Chaque composante des 6P était associée à des hypothèses critiques que les participants aux ateliers 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étaient chargés de</w:t>
      </w:r>
      <w:r w:rsidR="00F966E2"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class</w:t>
      </w:r>
      <w:r w:rsidR="00F966E2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er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de la plus critique à la moins critique. Ils ont donné la priorité aux plus critiques et </w:t>
      </w:r>
      <w:r w:rsidR="001B08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ont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conçu des expériences pour tester chacune d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elles. Pour élaborer </w:t>
      </w:r>
      <w:r w:rsidR="001B08D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 expériences, ils se sont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lastRenderedPageBreak/>
        <w:t xml:space="preserve">appuyés à la fois sur les connaissances </w:t>
      </w:r>
      <w:r w:rsidR="00AC26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acquises sur le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terrain et </w:t>
      </w:r>
      <w:r w:rsidR="006036E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sur </w:t>
      </w:r>
      <w:r w:rsidR="00AC26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 recherches </w:t>
      </w:r>
      <w:r w:rsidR="00AC26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menées par les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membres de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Jusoor</w:t>
      </w:r>
      <w:proofErr w:type="spellEnd"/>
      <w:r w:rsidR="00AC26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et sur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expertise en innovation de l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équipe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EdTech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Hub.</w:t>
      </w:r>
    </w:p>
    <w:p w14:paraId="0C9F25A1" w14:textId="77777777" w:rsidR="004E5655" w:rsidRPr="00053BE3" w:rsidRDefault="004E5655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A4FDF1B" w14:textId="77777777" w:rsidR="00F966E2" w:rsidRDefault="00D007FC" w:rsidP="00051B9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Le</w:t>
      </w:r>
      <w:r w:rsidR="00CA64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six expériences et leurs liens de correspondance avec les hypothèses critiques </w:t>
      </w:r>
      <w:r w:rsidR="00CA64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associées aux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6P</w:t>
      </w:r>
      <w:r w:rsidR="00CA642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sont présentés dans le Tableau 1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14:paraId="50733E38" w14:textId="452EF90F" w:rsidR="00051B97" w:rsidRPr="00053BE3" w:rsidRDefault="00D007FC" w:rsidP="00051B9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 w:type="page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lastRenderedPageBreak/>
        <w:t>Tableau 1 :</w:t>
      </w:r>
      <w:r w:rsidRPr="004E56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Présentation des hypothèses critiques, des expériences et des méthodes de </w:t>
      </w:r>
      <w:proofErr w:type="gramStart"/>
      <w:r w:rsidRPr="004E5655">
        <w:rPr>
          <w:rFonts w:ascii="Times New Roman" w:eastAsia="Times New Roman" w:hAnsi="Times New Roman" w:cs="Times New Roman"/>
          <w:sz w:val="24"/>
          <w:szCs w:val="24"/>
          <w:lang w:eastAsia="en-GB"/>
        </w:rPr>
        <w:t>recherche</w:t>
      </w:r>
      <w:proofErr w:type="gramEnd"/>
    </w:p>
    <w:tbl>
      <w:tblPr>
        <w:tblW w:w="8080" w:type="dxa"/>
        <w:tblInd w:w="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"/>
        <w:gridCol w:w="1167"/>
        <w:gridCol w:w="3119"/>
        <w:gridCol w:w="3402"/>
      </w:tblGrid>
      <w:tr w:rsidR="007918C3" w:rsidRPr="00F0116A" w14:paraId="1D062604" w14:textId="77777777" w:rsidTr="002C4479">
        <w:trPr>
          <w:trHeight w:val="372"/>
        </w:trPr>
        <w:tc>
          <w:tcPr>
            <w:tcW w:w="1559" w:type="dxa"/>
            <w:gridSpan w:val="2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26D50A" w14:textId="77777777" w:rsidR="00051B97" w:rsidRPr="004147DA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Cadre conceptuel des 6P</w:t>
            </w:r>
          </w:p>
        </w:tc>
        <w:tc>
          <w:tcPr>
            <w:tcW w:w="3119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C7D3A6" w14:textId="77777777" w:rsidR="00051B97" w:rsidRPr="004147DA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Hypothèses</w:t>
            </w:r>
          </w:p>
        </w:tc>
        <w:tc>
          <w:tcPr>
            <w:tcW w:w="340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0F5A40" w14:textId="77777777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Expériences et méthodes de recherche </w:t>
            </w:r>
          </w:p>
        </w:tc>
      </w:tr>
      <w:tr w:rsidR="007918C3" w:rsidRPr="00F0116A" w14:paraId="760586A5" w14:textId="77777777" w:rsidTr="002C4479">
        <w:trPr>
          <w:trHeight w:val="891"/>
        </w:trPr>
        <w:tc>
          <w:tcPr>
            <w:tcW w:w="39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65539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ED15FD" w14:textId="77777777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053BE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7136AC" w14:textId="77777777" w:rsidR="00051B97" w:rsidRPr="004147DA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Pédagogie</w:t>
            </w:r>
          </w:p>
        </w:tc>
        <w:tc>
          <w:tcPr>
            <w:tcW w:w="3119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34B1AF5" w14:textId="77777777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Les enseignants sont techniquement et pédagogiquement équipés pour dispenser un enseignement à distance, y compris pour sélectionner et créer eux-mêmes des contenus qui auront un impact maximal.</w:t>
            </w:r>
          </w:p>
        </w:tc>
        <w:tc>
          <w:tcPr>
            <w:tcW w:w="340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5604DD" w14:textId="719C9D3C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Comprendre les pratiques des enseignants en action par </w:t>
            </w:r>
            <w:r w:rsidRPr="00C313AD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en-GB"/>
              </w:rPr>
              <w:t>l</w:t>
            </w:r>
            <w:r w:rsidR="000F1265" w:rsidRPr="00C313AD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en-GB"/>
              </w:rPr>
              <w:t>’</w:t>
            </w:r>
            <w:r w:rsidRPr="00C313AD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en-GB"/>
              </w:rPr>
              <w:t>observation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1320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et l</w:t>
            </w:r>
            <w:r w:rsidR="000F126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’</w:t>
            </w:r>
            <w:r w:rsidRPr="0001320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évaluation</w:t>
            </w: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pendant </w:t>
            </w:r>
            <w:r w:rsidR="00DA21B8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les</w:t>
            </w: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cours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7918C3" w:rsidRPr="00F0116A" w14:paraId="56F11382" w14:textId="77777777" w:rsidTr="002C4479">
        <w:trPr>
          <w:trHeight w:val="611"/>
        </w:trPr>
        <w:tc>
          <w:tcPr>
            <w:tcW w:w="39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E6469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0B6B84" w14:textId="77777777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053BE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287F4B" w14:textId="77777777" w:rsidR="00051B97" w:rsidRPr="004147DA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Produit</w:t>
            </w:r>
          </w:p>
        </w:tc>
        <w:tc>
          <w:tcPr>
            <w:tcW w:w="3119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A84002" w14:textId="45CAEB2D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WhatsApp est la meilleure plateforme pour l</w:t>
            </w:r>
            <w:r w:rsidR="000F126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’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apprentissage en ligne </w:t>
            </w:r>
            <w:r w:rsidR="0093442E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de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nos bénéficiaires dans le contexte de fermeture des écoles ou pour les enfants non scolarisés.</w:t>
            </w:r>
          </w:p>
        </w:tc>
        <w:tc>
          <w:tcPr>
            <w:tcW w:w="340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AC4572" w14:textId="17DC4240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Tester si l</w:t>
            </w:r>
            <w:r w:rsidR="000F126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’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application WhatsApp est </w:t>
            </w:r>
            <w:r w:rsidR="00BA529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adaptée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172FB1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en procédant à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une </w:t>
            </w: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évaluation des critères de l</w:t>
            </w:r>
            <w:r w:rsidR="000F126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’</w:t>
            </w: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outil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7918C3" w:rsidRPr="00F0116A" w14:paraId="4C4A6995" w14:textId="77777777" w:rsidTr="002C4479">
        <w:trPr>
          <w:trHeight w:val="583"/>
        </w:trPr>
        <w:tc>
          <w:tcPr>
            <w:tcW w:w="39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D7182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864E0C" w14:textId="77777777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053BE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6D0AD0" w14:textId="77777777" w:rsidR="00051B97" w:rsidRPr="004147DA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Personnes</w:t>
            </w:r>
          </w:p>
          <w:p w14:paraId="62448921" w14:textId="77777777" w:rsidR="00051B97" w:rsidRPr="004147DA" w:rsidRDefault="00051B97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4DA056" w14:textId="77777777" w:rsidR="00051B97" w:rsidRPr="00053BE3" w:rsidRDefault="00051B97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  <w:p w14:paraId="0F0CEBEC" w14:textId="6588252B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Les parents souhaitent s</w:t>
            </w:r>
            <w:r w:rsidR="000F126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’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investir dans l</w:t>
            </w:r>
            <w:r w:rsidR="000F126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’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éducation à distance de leurs enfants quand ils disposent des ressources et de l</w:t>
            </w:r>
            <w:r w:rsidR="000F126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’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accompagnement nécessaires.</w:t>
            </w:r>
          </w:p>
        </w:tc>
        <w:tc>
          <w:tcPr>
            <w:tcW w:w="3402" w:type="dxa"/>
            <w:vMerge w:val="restart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C366C4" w14:textId="300D6102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Tester comment réduire les obstacles entravant l</w:t>
            </w:r>
            <w:r w:rsidR="009241C0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a participation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des apprenants, en réalisant une </w:t>
            </w: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enquête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9241C0">
              <w:rPr>
                <w:rFonts w:ascii="Montserrat" w:eastAsia="Times New Roman" w:hAnsi="Montserrat" w:cs="Times New Roman"/>
                <w:b/>
                <w:color w:val="000000"/>
                <w:sz w:val="16"/>
                <w:szCs w:val="16"/>
                <w:lang w:eastAsia="en-GB"/>
              </w:rPr>
              <w:t>auprès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01320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des élèves désengagés et de leurs parents/tuteurs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, et tester deux interventions : une courte </w:t>
            </w: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campagne d</w:t>
            </w:r>
            <w:r w:rsidR="000F1265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’</w:t>
            </w: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information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et une </w:t>
            </w:r>
            <w:r w:rsidRPr="0001320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subvention </w:t>
            </w:r>
            <w:r w:rsidR="009241C0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financière </w:t>
            </w:r>
            <w:r w:rsidRPr="0001320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exceptionnell</w:t>
            </w:r>
            <w:r w:rsidR="009241C0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e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  <w:tr w:rsidR="007918C3" w14:paraId="49E1EF86" w14:textId="77777777" w:rsidTr="002C4479">
        <w:trPr>
          <w:trHeight w:val="62"/>
        </w:trPr>
        <w:tc>
          <w:tcPr>
            <w:tcW w:w="39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64B5C9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1670C" w14:textId="77777777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053BE3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6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9B231B" w14:textId="77777777" w:rsidR="00051B97" w:rsidRPr="004147DA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Lieu</w:t>
            </w:r>
          </w:p>
          <w:p w14:paraId="5D9EA44A" w14:textId="77777777" w:rsidR="00051B97" w:rsidRPr="004147DA" w:rsidRDefault="00051B97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119" w:type="dxa"/>
            <w:vMerge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vAlign w:val="center"/>
            <w:hideMark/>
          </w:tcPr>
          <w:p w14:paraId="2A1190C9" w14:textId="77777777" w:rsidR="00051B97" w:rsidRPr="004147DA" w:rsidRDefault="00051B97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  <w:tc>
          <w:tcPr>
            <w:tcW w:w="3402" w:type="dxa"/>
            <w:vMerge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vAlign w:val="center"/>
            <w:hideMark/>
          </w:tcPr>
          <w:p w14:paraId="7EEC4A0E" w14:textId="77777777" w:rsidR="00051B97" w:rsidRPr="004147DA" w:rsidRDefault="00051B97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</w:p>
        </w:tc>
      </w:tr>
      <w:tr w:rsidR="007918C3" w:rsidRPr="00F0116A" w14:paraId="51824A97" w14:textId="77777777" w:rsidTr="002C4479">
        <w:trPr>
          <w:trHeight w:val="721"/>
        </w:trPr>
        <w:tc>
          <w:tcPr>
            <w:tcW w:w="39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shd w:val="clear" w:color="auto" w:fill="4EB79B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AECC01" w14:textId="77777777" w:rsidR="00051B97" w:rsidRPr="004147DA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4147D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67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BD54AE1" w14:textId="77777777" w:rsidR="00051B97" w:rsidRPr="004147DA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en-GB"/>
              </w:rPr>
            </w:pP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Dotation</w:t>
            </w:r>
          </w:p>
        </w:tc>
        <w:tc>
          <w:tcPr>
            <w:tcW w:w="3119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0A69825" w14:textId="17960A39" w:rsidR="00051B97" w:rsidRPr="00053BE3" w:rsidRDefault="00044B81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L’utilisation de </w:t>
            </w:r>
            <w:r w:rsidR="00D007FC"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WhatsApp, associé</w:t>
            </w:r>
            <w:r w:rsidR="00E17CB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e</w:t>
            </w:r>
            <w:r w:rsidR="00D007FC"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à un soutien supplémentaire, peut constituer un moyen économique de garantir des résultats d</w:t>
            </w:r>
            <w:r w:rsidR="000F1265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’</w:t>
            </w:r>
            <w:r w:rsidR="00D007FC"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apprentissage pour tous les groupes.</w:t>
            </w:r>
          </w:p>
        </w:tc>
        <w:tc>
          <w:tcPr>
            <w:tcW w:w="3402" w:type="dxa"/>
            <w:tcBorders>
              <w:top w:val="single" w:sz="12" w:space="0" w:color="9E9E9E"/>
              <w:left w:val="single" w:sz="12" w:space="0" w:color="9E9E9E"/>
              <w:bottom w:val="single" w:sz="12" w:space="0" w:color="9E9E9E"/>
              <w:right w:val="single" w:sz="12" w:space="0" w:color="9E9E9E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278767" w14:textId="5C3A06BD" w:rsidR="00051B97" w:rsidRPr="00053BE3" w:rsidRDefault="00D007FC" w:rsidP="002C44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Modélis</w:t>
            </w:r>
            <w:r w:rsidR="00E17CB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er l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es coûts du programme </w:t>
            </w:r>
            <w:r w:rsidR="00E17CB9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en appliquant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 xml:space="preserve"> des outils de </w:t>
            </w:r>
            <w:r w:rsidRPr="004147DA"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eastAsia="en-GB"/>
              </w:rPr>
              <w:t>modélisation coût-efficacité</w:t>
            </w:r>
            <w:r w:rsidRPr="004147DA"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</w:tr>
    </w:tbl>
    <w:p w14:paraId="0E746A56" w14:textId="250A74FC" w:rsidR="00051B97" w:rsidRPr="00053BE3" w:rsidRDefault="00D007FC" w:rsidP="00051B97">
      <w:pPr>
        <w:pStyle w:val="NoSpacing"/>
        <w:spacing w:line="48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</w:pPr>
      <w:r w:rsidRPr="003C706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fr-FR" w:eastAsia="en-GB"/>
        </w:rPr>
        <w:t>Remarque :</w:t>
      </w:r>
      <w:r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 xml:space="preserve"> </w:t>
      </w:r>
      <w:r w:rsidR="00C17593"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>l</w:t>
      </w:r>
      <w:r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 xml:space="preserve">e sixième P </w:t>
      </w:r>
      <w:r w:rsidR="00687BEB"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>(</w:t>
      </w:r>
      <w:r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>politique</w:t>
      </w:r>
      <w:r w:rsidR="00687BEB"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>)</w:t>
      </w:r>
      <w:r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 xml:space="preserve"> n</w:t>
      </w:r>
      <w:r w:rsidR="000F1265"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>’</w:t>
      </w:r>
      <w:r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 xml:space="preserve">a pas été considéré pertinent au regard du calendrier de ce </w:t>
      </w:r>
      <w:proofErr w:type="spellStart"/>
      <w:r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>sandbox</w:t>
      </w:r>
      <w:proofErr w:type="spellEnd"/>
      <w:r w:rsidRPr="003C706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en-GB"/>
        </w:rPr>
        <w:t>.</w:t>
      </w:r>
    </w:p>
    <w:p w14:paraId="232012CD" w14:textId="77777777" w:rsidR="00C61693" w:rsidRPr="00053BE3" w:rsidRDefault="00C61693" w:rsidP="00051B9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207E06BC" w14:textId="413FF3C0" w:rsidR="00E971C8" w:rsidRPr="00053BE3" w:rsidRDefault="00D007FC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Le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Azima</w:t>
      </w:r>
      <w:proofErr w:type="spellEnd"/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</w:t>
      </w:r>
      <w:r w:rsidR="000F126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’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est </w:t>
      </w:r>
      <w:r w:rsidR="004134E4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déroulé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sur la période septembre 2020 </w:t>
      </w:r>
      <w:r w:rsidR="007074D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– 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mars 2021 et a inclus deux sprints (</w:t>
      </w:r>
      <w:r w:rsidR="007074D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</w:t>
      </w:r>
      <w:r w:rsidRPr="004E565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igure 2).</w:t>
      </w:r>
    </w:p>
    <w:p w14:paraId="1DD51FFC" w14:textId="77777777" w:rsidR="00957BE3" w:rsidRPr="00053BE3" w:rsidRDefault="00D007FC" w:rsidP="00593F57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053B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 w:type="page"/>
      </w:r>
    </w:p>
    <w:p w14:paraId="1438B72E" w14:textId="77777777" w:rsidR="00957BE3" w:rsidRPr="00053BE3" w:rsidRDefault="00D007FC" w:rsidP="00593F5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commentRangeStart w:id="2"/>
      <w:r w:rsidRPr="00C61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lastRenderedPageBreak/>
        <w:t>Figure 2 :</w:t>
      </w:r>
      <w:r w:rsidRPr="00C6169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Chronologie des activités entreprises pendant le </w:t>
      </w:r>
      <w:proofErr w:type="spellStart"/>
      <w:r w:rsidRPr="00C6169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sandbox</w:t>
      </w:r>
      <w:commentRangeEnd w:id="2"/>
      <w:proofErr w:type="spellEnd"/>
      <w:r w:rsidR="009F0427">
        <w:rPr>
          <w:rStyle w:val="CommentReference"/>
        </w:rPr>
        <w:commentReference w:id="2"/>
      </w:r>
    </w:p>
    <w:p w14:paraId="5ED80EC4" w14:textId="77777777" w:rsidR="00051B97" w:rsidRDefault="00D007FC" w:rsidP="00051B97">
      <w:pPr>
        <w:spacing w:after="0" w:line="480" w:lineRule="auto"/>
        <w:ind w:right="9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 w:bidi="he-IL"/>
        </w:rPr>
        <w:drawing>
          <wp:inline distT="0" distB="0" distL="0" distR="0" wp14:anchorId="640DA88A" wp14:editId="7B07AC84">
            <wp:extent cx="5731510" cy="1890395"/>
            <wp:effectExtent l="0" t="0" r="0" b="0"/>
            <wp:docPr id="4" name="Picture 4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252885" name="Picture 4" descr="A picture containing graphical user interfac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9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B51BE" w14:textId="77777777" w:rsidR="00051B97" w:rsidRDefault="00051B97" w:rsidP="00593F5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3BA604" w14:textId="2AA03770" w:rsidR="00E971C8" w:rsidRPr="00053BE3" w:rsidRDefault="00106266" w:rsidP="00593F57">
      <w:pPr>
        <w:spacing w:after="0"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 w:rsidR="00D007FC" w:rsidRPr="004E5655">
        <w:rPr>
          <w:rFonts w:ascii="Times New Roman" w:hAnsi="Times New Roman" w:cs="Times New Roman"/>
          <w:color w:val="000000"/>
          <w:sz w:val="24"/>
          <w:szCs w:val="24"/>
        </w:rPr>
        <w:t xml:space="preserve"> Sprint 1 </w:t>
      </w:r>
      <w:r>
        <w:rPr>
          <w:rFonts w:ascii="Times New Roman" w:hAnsi="Times New Roman" w:cs="Times New Roman"/>
          <w:color w:val="000000"/>
          <w:sz w:val="24"/>
          <w:szCs w:val="24"/>
        </w:rPr>
        <w:t>avait pour obje</w:t>
      </w:r>
      <w:r w:rsidR="005C62E5"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5C62E5">
        <w:rPr>
          <w:rFonts w:ascii="Times New Roman" w:hAnsi="Times New Roman" w:cs="Times New Roman"/>
          <w:color w:val="000000"/>
          <w:sz w:val="24"/>
          <w:szCs w:val="24"/>
        </w:rPr>
        <w:t>if</w:t>
      </w:r>
      <w:r w:rsidR="00364D94">
        <w:rPr>
          <w:rFonts w:ascii="Times New Roman" w:hAnsi="Times New Roman" w:cs="Times New Roman"/>
          <w:color w:val="000000"/>
          <w:sz w:val="24"/>
          <w:szCs w:val="24"/>
        </w:rPr>
        <w:t xml:space="preserve"> d’explorer</w:t>
      </w:r>
      <w:r w:rsidR="00D007FC" w:rsidRPr="004E5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734">
        <w:rPr>
          <w:rFonts w:ascii="Times New Roman" w:hAnsi="Times New Roman" w:cs="Times New Roman"/>
          <w:color w:val="000000"/>
          <w:sz w:val="24"/>
          <w:szCs w:val="24"/>
        </w:rPr>
        <w:t>cha</w:t>
      </w:r>
      <w:r w:rsidR="00C1723A">
        <w:rPr>
          <w:rFonts w:ascii="Times New Roman" w:hAnsi="Times New Roman" w:cs="Times New Roman"/>
          <w:color w:val="000000"/>
          <w:sz w:val="24"/>
          <w:szCs w:val="24"/>
        </w:rPr>
        <w:t>cune des</w:t>
      </w:r>
      <w:r w:rsidR="00D007FC" w:rsidRPr="004E5655">
        <w:rPr>
          <w:rFonts w:ascii="Times New Roman" w:hAnsi="Times New Roman" w:cs="Times New Roman"/>
          <w:color w:val="000000"/>
          <w:sz w:val="24"/>
          <w:szCs w:val="24"/>
        </w:rPr>
        <w:t xml:space="preserve"> hypothèse</w:t>
      </w:r>
      <w:r w:rsidR="00C1723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007FC" w:rsidRPr="004E5655">
        <w:rPr>
          <w:rFonts w:ascii="Times New Roman" w:hAnsi="Times New Roman" w:cs="Times New Roman"/>
          <w:color w:val="000000"/>
          <w:sz w:val="24"/>
          <w:szCs w:val="24"/>
        </w:rPr>
        <w:t xml:space="preserve"> du cadre 6P afin d</w:t>
      </w:r>
      <w:r w:rsidR="005C62E5">
        <w:rPr>
          <w:rFonts w:ascii="Times New Roman" w:hAnsi="Times New Roman" w:cs="Times New Roman"/>
          <w:color w:val="000000"/>
          <w:sz w:val="24"/>
          <w:szCs w:val="24"/>
        </w:rPr>
        <w:t xml:space="preserve">’identifier celles qui </w:t>
      </w:r>
      <w:r w:rsidR="00D007FC" w:rsidRPr="004E5655">
        <w:rPr>
          <w:rFonts w:ascii="Times New Roman" w:hAnsi="Times New Roman" w:cs="Times New Roman"/>
          <w:color w:val="000000"/>
          <w:sz w:val="24"/>
          <w:szCs w:val="24"/>
        </w:rPr>
        <w:t>avaient le plus haut niveau d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D007FC" w:rsidRPr="004E5655">
        <w:rPr>
          <w:rFonts w:ascii="Times New Roman" w:hAnsi="Times New Roman" w:cs="Times New Roman"/>
          <w:color w:val="000000"/>
          <w:sz w:val="24"/>
          <w:szCs w:val="24"/>
        </w:rPr>
        <w:t>incertitude et où il serait le plus judicieux d</w:t>
      </w:r>
      <w:r w:rsidR="000F1265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D007FC" w:rsidRPr="004E5655">
        <w:rPr>
          <w:rFonts w:ascii="Times New Roman" w:hAnsi="Times New Roman" w:cs="Times New Roman"/>
          <w:color w:val="000000"/>
          <w:sz w:val="24"/>
          <w:szCs w:val="24"/>
        </w:rPr>
        <w:t>investir des ressources supplémentaires pour approfondir les recherches.</w:t>
      </w:r>
    </w:p>
    <w:p w14:paraId="4D5C9F93" w14:textId="77777777" w:rsidR="00C61693" w:rsidRPr="00053BE3" w:rsidRDefault="00C61693" w:rsidP="00593F5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62A61D" w14:textId="77777777" w:rsidR="00E971C8" w:rsidRPr="00053BE3" w:rsidRDefault="00D007FC" w:rsidP="00593F57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GB"/>
        </w:rPr>
      </w:pPr>
      <w:r w:rsidRPr="008C325C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en-GB"/>
        </w:rPr>
        <w:t>Expériences du Sprint 1</w:t>
      </w:r>
    </w:p>
    <w:p w14:paraId="648B8CF6" w14:textId="77777777" w:rsidR="008C325C" w:rsidRPr="00053BE3" w:rsidRDefault="008C325C" w:rsidP="00593F57">
      <w:pPr>
        <w:spacing w:after="0" w:line="48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en-GB"/>
        </w:rPr>
      </w:pPr>
    </w:p>
    <w:p w14:paraId="58AB9EE5" w14:textId="77777777" w:rsidR="00E971C8" w:rsidRPr="00053BE3" w:rsidRDefault="00D007FC" w:rsidP="00593F57">
      <w:pPr>
        <w:pStyle w:val="Heading2"/>
        <w:spacing w:before="0" w:beforeAutospacing="0" w:after="0" w:afterAutospacing="0" w:line="480" w:lineRule="auto"/>
        <w:rPr>
          <w:smallCaps/>
          <w:sz w:val="24"/>
          <w:szCs w:val="24"/>
          <w:lang w:val="fr-FR"/>
        </w:rPr>
      </w:pPr>
      <w:r w:rsidRPr="003C706B">
        <w:rPr>
          <w:b w:val="0"/>
          <w:bCs w:val="0"/>
          <w:smallCaps/>
          <w:color w:val="000000"/>
          <w:sz w:val="24"/>
          <w:szCs w:val="24"/>
          <w:lang w:val="fr-FR"/>
        </w:rPr>
        <w:t>Expérience 1 : Dotation – Modélisation des coûts </w:t>
      </w:r>
    </w:p>
    <w:p w14:paraId="4AFB95C0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i/>
          <w:iCs/>
          <w:color w:val="1F1E2C"/>
          <w:lang w:val="fr-FR"/>
        </w:rPr>
      </w:pPr>
    </w:p>
    <w:p w14:paraId="30ACC96F" w14:textId="1FB41579" w:rsidR="00E971C8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b/>
          <w:bCs/>
          <w:color w:val="1F1E2C"/>
          <w:lang w:val="fr-FR"/>
        </w:rPr>
        <w:t xml:space="preserve">Méthode : </w:t>
      </w:r>
      <w:r w:rsidRPr="003C706B">
        <w:rPr>
          <w:color w:val="1F1E2C"/>
          <w:lang w:val="fr-FR"/>
        </w:rPr>
        <w:t>Nous</w:t>
      </w:r>
      <w:r w:rsidRPr="003C706B">
        <w:rPr>
          <w:color w:val="000000"/>
          <w:lang w:val="fr-FR"/>
        </w:rPr>
        <w:t xml:space="preserve"> avons collecté des données sur les coûts directs et les dépenses du programme ainsi que sur les coûts estimés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autres modèles possibles afin de comparer les coûts des différentes interventions (</w:t>
      </w:r>
      <w:r w:rsidR="00157181" w:rsidRPr="003C706B">
        <w:rPr>
          <w:color w:val="000000"/>
          <w:lang w:val="fr-FR"/>
        </w:rPr>
        <w:t>telles que</w:t>
      </w:r>
      <w:r w:rsidRPr="003C706B">
        <w:rPr>
          <w:color w:val="000000"/>
          <w:lang w:val="fr-FR"/>
        </w:rPr>
        <w:t xml:space="preserve"> fournitures scolaires à emporter chez soi, argent liquide, Internet, dispositifs électroniques, Internet et dispositifs électroniques, et interventions de type campagne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information</w:t>
      </w:r>
      <w:r w:rsidR="00157181">
        <w:rPr>
          <w:rStyle w:val="FootnoteReference"/>
          <w:color w:val="000000"/>
        </w:rPr>
        <w:footnoteReference w:id="5"/>
      </w:r>
      <w:r w:rsidRPr="003C706B">
        <w:rPr>
          <w:color w:val="000000"/>
          <w:lang w:val="fr-FR"/>
        </w:rPr>
        <w:t>).</w:t>
      </w:r>
    </w:p>
    <w:p w14:paraId="6FB86344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0FC50D89" w14:textId="5AA87F20" w:rsidR="00E971C8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  <w:lang w:val="fr-FR"/>
        </w:rPr>
      </w:pPr>
      <w:r w:rsidRPr="003C706B">
        <w:rPr>
          <w:b/>
          <w:bCs/>
          <w:color w:val="000000"/>
          <w:lang w:val="fr-FR"/>
        </w:rPr>
        <w:t>Résultat :</w:t>
      </w:r>
      <w:r w:rsidRPr="003C706B">
        <w:rPr>
          <w:color w:val="000000"/>
          <w:lang w:val="fr-FR"/>
        </w:rPr>
        <w:t xml:space="preserve"> Les coûts les plus élevés venaient des plans de données de navigation </w:t>
      </w:r>
      <w:r w:rsidR="00916036" w:rsidRPr="003C706B">
        <w:rPr>
          <w:color w:val="000000"/>
          <w:lang w:val="fr-FR"/>
        </w:rPr>
        <w:t xml:space="preserve">Internet </w:t>
      </w:r>
      <w:r w:rsidRPr="003C706B">
        <w:rPr>
          <w:color w:val="000000"/>
          <w:lang w:val="fr-FR"/>
        </w:rPr>
        <w:t>et des salaires des enseignants, tous deux essentiels à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efficacité du modèle. </w:t>
      </w:r>
      <w:r w:rsidR="00916036" w:rsidRPr="003C706B">
        <w:rPr>
          <w:color w:val="000000"/>
          <w:lang w:val="fr-FR"/>
        </w:rPr>
        <w:t>Il</w:t>
      </w:r>
      <w:r w:rsidRPr="003C706B">
        <w:rPr>
          <w:color w:val="000000"/>
          <w:lang w:val="fr-FR"/>
        </w:rPr>
        <w:t xml:space="preserve"> n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était </w:t>
      </w:r>
      <w:r w:rsidR="00916036" w:rsidRPr="003C706B">
        <w:rPr>
          <w:color w:val="000000"/>
          <w:lang w:val="fr-FR"/>
        </w:rPr>
        <w:t xml:space="preserve">donc </w:t>
      </w:r>
      <w:r w:rsidRPr="003C706B">
        <w:rPr>
          <w:color w:val="000000"/>
          <w:lang w:val="fr-FR"/>
        </w:rPr>
        <w:t xml:space="preserve">pas </w:t>
      </w:r>
      <w:r w:rsidRPr="003C706B">
        <w:rPr>
          <w:color w:val="000000"/>
          <w:lang w:val="fr-FR"/>
        </w:rPr>
        <w:lastRenderedPageBreak/>
        <w:t>possible de réaliser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importantes économies sans examiner plus précisément les différents besoins et éléments du programme </w:t>
      </w:r>
      <w:proofErr w:type="spellStart"/>
      <w:r w:rsidRPr="003C706B">
        <w:rPr>
          <w:color w:val="000000"/>
          <w:lang w:val="fr-FR"/>
        </w:rPr>
        <w:t>Azima</w:t>
      </w:r>
      <w:proofErr w:type="spellEnd"/>
      <w:r w:rsidRPr="003C706B">
        <w:rPr>
          <w:color w:val="000000"/>
          <w:lang w:val="fr-FR"/>
        </w:rPr>
        <w:t>. Des travaux supplémentaires étaient nécessaires pour comprendre comment réduire les coûts afin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attirer les donateurs </w:t>
      </w:r>
      <w:r w:rsidR="00343F67" w:rsidRPr="003C706B">
        <w:rPr>
          <w:color w:val="000000"/>
          <w:lang w:val="fr-FR"/>
        </w:rPr>
        <w:t xml:space="preserve">sans nuire à </w:t>
      </w:r>
      <w:r w:rsidR="003B5C73" w:rsidRPr="003C706B">
        <w:rPr>
          <w:color w:val="000000"/>
          <w:lang w:val="fr-FR"/>
        </w:rPr>
        <w:t>la participation</w:t>
      </w:r>
      <w:r w:rsidRPr="003C706B">
        <w:rPr>
          <w:color w:val="000000"/>
          <w:lang w:val="fr-FR"/>
        </w:rPr>
        <w:t xml:space="preserve"> et </w:t>
      </w:r>
      <w:r w:rsidR="00343F67" w:rsidRPr="003C706B">
        <w:rPr>
          <w:color w:val="000000"/>
          <w:lang w:val="fr-FR"/>
        </w:rPr>
        <w:t xml:space="preserve">à </w:t>
      </w:r>
      <w:r w:rsidRPr="003C706B">
        <w:rPr>
          <w:color w:val="000000"/>
          <w:lang w:val="fr-FR"/>
        </w:rPr>
        <w:t>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apprentissage des élèves.</w:t>
      </w:r>
    </w:p>
    <w:p w14:paraId="15A4EE8E" w14:textId="77777777" w:rsidR="008724D1" w:rsidRPr="00053BE3" w:rsidRDefault="008724D1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73607062" w14:textId="77777777" w:rsidR="00E971C8" w:rsidRPr="00053BE3" w:rsidRDefault="00D007FC" w:rsidP="00593F57">
      <w:pPr>
        <w:pStyle w:val="Heading2"/>
        <w:spacing w:before="0" w:beforeAutospacing="0" w:after="0" w:afterAutospacing="0" w:line="480" w:lineRule="auto"/>
        <w:rPr>
          <w:b w:val="0"/>
          <w:bCs w:val="0"/>
          <w:smallCaps/>
          <w:color w:val="000000"/>
          <w:sz w:val="24"/>
          <w:szCs w:val="24"/>
          <w:lang w:val="fr-FR"/>
        </w:rPr>
      </w:pPr>
      <w:r w:rsidRPr="003C706B">
        <w:rPr>
          <w:b w:val="0"/>
          <w:bCs w:val="0"/>
          <w:smallCaps/>
          <w:color w:val="000000"/>
          <w:sz w:val="24"/>
          <w:szCs w:val="24"/>
          <w:lang w:val="fr-FR"/>
        </w:rPr>
        <w:t>Expérience 2 : Pédagogie – Observations des cours virtuels</w:t>
      </w:r>
    </w:p>
    <w:p w14:paraId="55C465A6" w14:textId="77777777" w:rsidR="008C325C" w:rsidRPr="00053BE3" w:rsidRDefault="008C325C" w:rsidP="003C706B"/>
    <w:p w14:paraId="6A7C697E" w14:textId="2D0D59EF" w:rsidR="00E971C8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color w:val="1F1E2C"/>
          <w:lang w:val="fr-FR"/>
        </w:rPr>
      </w:pPr>
      <w:r w:rsidRPr="003C706B">
        <w:rPr>
          <w:b/>
          <w:bCs/>
          <w:color w:val="1F1E2C"/>
          <w:lang w:val="fr-FR"/>
        </w:rPr>
        <w:t>Méthode :</w:t>
      </w:r>
      <w:r w:rsidR="004D7BC4" w:rsidRPr="003C706B">
        <w:rPr>
          <w:color w:val="1F1E2C"/>
          <w:lang w:val="fr-FR"/>
        </w:rPr>
        <w:t xml:space="preserve"> Les groupes WhatsApp </w:t>
      </w:r>
      <w:r w:rsidR="00E46E24" w:rsidRPr="003C706B">
        <w:rPr>
          <w:color w:val="1F1E2C"/>
          <w:lang w:val="fr-FR"/>
        </w:rPr>
        <w:t xml:space="preserve">des classes </w:t>
      </w:r>
      <w:r w:rsidR="004D7BC4" w:rsidRPr="003C706B">
        <w:rPr>
          <w:color w:val="1F1E2C"/>
          <w:lang w:val="fr-FR"/>
        </w:rPr>
        <w:t xml:space="preserve">ont été suivis pendant une semaine. </w:t>
      </w:r>
      <w:r w:rsidR="00D35E5E" w:rsidRPr="003C706B">
        <w:rPr>
          <w:color w:val="1F1E2C"/>
          <w:lang w:val="fr-FR"/>
        </w:rPr>
        <w:t xml:space="preserve">Chacun des </w:t>
      </w:r>
      <w:r w:rsidR="004D7BC4" w:rsidRPr="003C706B">
        <w:rPr>
          <w:color w:val="1F1E2C"/>
          <w:lang w:val="fr-FR"/>
        </w:rPr>
        <w:t xml:space="preserve">29 enseignants de </w:t>
      </w:r>
      <w:proofErr w:type="spellStart"/>
      <w:r w:rsidR="004D7BC4" w:rsidRPr="003C706B">
        <w:rPr>
          <w:color w:val="1F1E2C"/>
          <w:lang w:val="fr-FR"/>
        </w:rPr>
        <w:t>Jusoor</w:t>
      </w:r>
      <w:proofErr w:type="spellEnd"/>
      <w:r w:rsidR="004D7BC4" w:rsidRPr="003C706B">
        <w:rPr>
          <w:color w:val="1F1E2C"/>
          <w:lang w:val="fr-FR"/>
        </w:rPr>
        <w:t xml:space="preserve"> </w:t>
      </w:r>
      <w:r w:rsidR="00D35E5E" w:rsidRPr="003C706B">
        <w:rPr>
          <w:color w:val="1F1E2C"/>
          <w:lang w:val="fr-FR"/>
        </w:rPr>
        <w:t>a</w:t>
      </w:r>
      <w:r w:rsidR="004D7BC4" w:rsidRPr="003C706B">
        <w:rPr>
          <w:color w:val="1F1E2C"/>
          <w:lang w:val="fr-FR"/>
        </w:rPr>
        <w:t xml:space="preserve"> été observé par deux évaluateurs : un membre de l</w:t>
      </w:r>
      <w:r w:rsidR="000F1265" w:rsidRPr="003C706B">
        <w:rPr>
          <w:color w:val="1F1E2C"/>
          <w:lang w:val="fr-FR"/>
        </w:rPr>
        <w:t>’</w:t>
      </w:r>
      <w:r w:rsidR="004D7BC4" w:rsidRPr="003C706B">
        <w:rPr>
          <w:color w:val="1F1E2C"/>
          <w:lang w:val="fr-FR"/>
        </w:rPr>
        <w:t xml:space="preserve">équipe </w:t>
      </w:r>
      <w:proofErr w:type="spellStart"/>
      <w:r w:rsidR="004D7BC4" w:rsidRPr="003C706B">
        <w:rPr>
          <w:color w:val="1F1E2C"/>
          <w:lang w:val="fr-FR"/>
        </w:rPr>
        <w:t>sandbox</w:t>
      </w:r>
      <w:proofErr w:type="spellEnd"/>
      <w:r w:rsidR="004D7BC4" w:rsidRPr="003C706B">
        <w:rPr>
          <w:color w:val="1F1E2C"/>
          <w:lang w:val="fr-FR"/>
        </w:rPr>
        <w:t xml:space="preserve"> et une personne affiliée à </w:t>
      </w:r>
      <w:proofErr w:type="spellStart"/>
      <w:r w:rsidR="004D7BC4" w:rsidRPr="003C706B">
        <w:rPr>
          <w:color w:val="1F1E2C"/>
          <w:lang w:val="fr-FR"/>
        </w:rPr>
        <w:t>Jusoor</w:t>
      </w:r>
      <w:proofErr w:type="spellEnd"/>
      <w:r w:rsidR="004D7BC4" w:rsidRPr="003C706B">
        <w:rPr>
          <w:color w:val="1F1E2C"/>
          <w:lang w:val="fr-FR"/>
        </w:rPr>
        <w:t>. Les</w:t>
      </w:r>
      <w:r w:rsidR="00586081" w:rsidRPr="003C706B">
        <w:rPr>
          <w:lang w:val="fr-FR"/>
        </w:rPr>
        <w:t xml:space="preserve"> évaluateurs</w:t>
      </w:r>
      <w:r w:rsidR="004D7BC4" w:rsidRPr="003C706B">
        <w:rPr>
          <w:color w:val="1F1E2C"/>
          <w:lang w:val="fr-FR"/>
        </w:rPr>
        <w:t xml:space="preserve"> ont utilisé un outil d</w:t>
      </w:r>
      <w:r w:rsidR="000F1265" w:rsidRPr="003C706B">
        <w:rPr>
          <w:color w:val="1F1E2C"/>
          <w:lang w:val="fr-FR"/>
        </w:rPr>
        <w:t>’</w:t>
      </w:r>
      <w:r w:rsidR="004D7BC4" w:rsidRPr="003C706B">
        <w:rPr>
          <w:color w:val="1F1E2C"/>
          <w:lang w:val="fr-FR"/>
        </w:rPr>
        <w:t xml:space="preserve">observation de classe </w:t>
      </w:r>
      <w:r w:rsidR="00B82FB1" w:rsidRPr="003C706B">
        <w:rPr>
          <w:color w:val="1F1E2C"/>
          <w:lang w:val="fr-FR"/>
        </w:rPr>
        <w:t>personnalisé adapté de</w:t>
      </w:r>
      <w:r w:rsidR="004D7BC4" w:rsidRPr="003C706B">
        <w:rPr>
          <w:color w:val="1F1E2C"/>
          <w:lang w:val="fr-FR"/>
        </w:rPr>
        <w:t xml:space="preserve"> l</w:t>
      </w:r>
      <w:r w:rsidR="000F1265" w:rsidRPr="003C706B">
        <w:rPr>
          <w:color w:val="1F1E2C"/>
          <w:lang w:val="fr-FR"/>
        </w:rPr>
        <w:t>’</w:t>
      </w:r>
      <w:r w:rsidR="004D7BC4" w:rsidRPr="003C706B">
        <w:rPr>
          <w:color w:val="1F1E2C"/>
          <w:lang w:val="fr-FR"/>
        </w:rPr>
        <w:t xml:space="preserve">outil </w:t>
      </w:r>
      <w:proofErr w:type="spellStart"/>
      <w:r w:rsidR="004D7BC4" w:rsidRPr="003C706B">
        <w:rPr>
          <w:i/>
          <w:iCs/>
          <w:color w:val="1F1E2C"/>
          <w:lang w:val="fr-FR"/>
        </w:rPr>
        <w:t>Teach</w:t>
      </w:r>
      <w:proofErr w:type="spellEnd"/>
      <w:r w:rsidR="004D7BC4" w:rsidRPr="003C706B">
        <w:rPr>
          <w:color w:val="1F1E2C"/>
          <w:lang w:val="fr-FR"/>
        </w:rPr>
        <w:t xml:space="preserve"> </w:t>
      </w:r>
      <w:proofErr w:type="spellStart"/>
      <w:r w:rsidR="004D7BC4" w:rsidRPr="003C706B">
        <w:rPr>
          <w:i/>
          <w:color w:val="1F1E2C"/>
          <w:lang w:val="fr-FR"/>
        </w:rPr>
        <w:t>Primary</w:t>
      </w:r>
      <w:proofErr w:type="spellEnd"/>
      <w:r w:rsidR="004D7BC4" w:rsidRPr="003C706B">
        <w:rPr>
          <w:color w:val="1F1E2C"/>
          <w:lang w:val="fr-FR"/>
        </w:rPr>
        <w:t xml:space="preserve"> développé par la Banque mondiale (2019). Les notes et les commentaires des évaluateurs ont été comparés aux résultats de la précédente année scolaire (lorsque l</w:t>
      </w:r>
      <w:r w:rsidR="000F1265" w:rsidRPr="003C706B">
        <w:rPr>
          <w:color w:val="1F1E2C"/>
          <w:lang w:val="fr-FR"/>
        </w:rPr>
        <w:t>’</w:t>
      </w:r>
      <w:r w:rsidR="004D7BC4" w:rsidRPr="003C706B">
        <w:rPr>
          <w:color w:val="1F1E2C"/>
          <w:lang w:val="fr-FR"/>
        </w:rPr>
        <w:t xml:space="preserve">apprentissage à distance a commencé) </w:t>
      </w:r>
      <w:r w:rsidR="00B82FB1" w:rsidRPr="003C706B">
        <w:rPr>
          <w:color w:val="1F1E2C"/>
          <w:lang w:val="fr-FR"/>
        </w:rPr>
        <w:t>afin d’</w:t>
      </w:r>
      <w:r w:rsidR="004D7BC4" w:rsidRPr="003C706B">
        <w:rPr>
          <w:color w:val="1F1E2C"/>
          <w:lang w:val="fr-FR"/>
        </w:rPr>
        <w:t>évaluer les progrès réalisés.</w:t>
      </w:r>
    </w:p>
    <w:p w14:paraId="41E7FEF5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7C2CE454" w14:textId="556A2931" w:rsidR="004D7BC4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color w:val="1F1E2C"/>
          <w:lang w:val="fr-FR"/>
        </w:rPr>
      </w:pPr>
      <w:r w:rsidRPr="003C706B">
        <w:rPr>
          <w:b/>
          <w:bCs/>
          <w:color w:val="1F1E2C"/>
          <w:lang w:val="fr-FR"/>
        </w:rPr>
        <w:t>Résultat :</w:t>
      </w:r>
      <w:r w:rsidRPr="003C706B">
        <w:rPr>
          <w:color w:val="1F1E2C"/>
          <w:lang w:val="fr-FR"/>
        </w:rPr>
        <w:t xml:space="preserve"> Une amélioration globale a été observée. 14 enseignants ont obtenu la note « Bien », 11 la note « Très bien » et 4 la note « Excellent », ce qui suggère que les enseignants ont </w:t>
      </w:r>
      <w:r w:rsidR="00157181" w:rsidRPr="003C706B">
        <w:rPr>
          <w:color w:val="1F1E2C"/>
          <w:lang w:val="fr-FR"/>
        </w:rPr>
        <w:t xml:space="preserve">bien </w:t>
      </w:r>
      <w:r w:rsidRPr="003C706B">
        <w:rPr>
          <w:color w:val="1F1E2C"/>
          <w:lang w:val="fr-FR"/>
        </w:rPr>
        <w:t>mis en application ce qui leur a été transmis lors de leur formation. Cela prouve qu</w:t>
      </w:r>
      <w:r w:rsidR="000F1265" w:rsidRPr="003C706B">
        <w:rPr>
          <w:color w:val="1F1E2C"/>
          <w:lang w:val="fr-FR"/>
        </w:rPr>
        <w:t>’</w:t>
      </w:r>
      <w:r w:rsidRPr="003C706B">
        <w:rPr>
          <w:color w:val="1F1E2C"/>
          <w:lang w:val="fr-FR"/>
        </w:rPr>
        <w:t xml:space="preserve">avec une formation adéquate et un suivi régulier, il est possible de renforcer la capacité des enseignants à passer à un apprentissage à distance. </w:t>
      </w:r>
    </w:p>
    <w:p w14:paraId="614056DC" w14:textId="77777777" w:rsidR="004D7BC4" w:rsidRPr="00053BE3" w:rsidRDefault="004D7BC4" w:rsidP="00593F57">
      <w:pPr>
        <w:pStyle w:val="NormalWeb"/>
        <w:spacing w:before="0" w:beforeAutospacing="0" w:after="0" w:afterAutospacing="0" w:line="480" w:lineRule="auto"/>
        <w:jc w:val="both"/>
        <w:rPr>
          <w:color w:val="1F1E2C"/>
          <w:lang w:val="fr-FR"/>
        </w:rPr>
      </w:pPr>
    </w:p>
    <w:p w14:paraId="7C5128EF" w14:textId="35B0A834" w:rsidR="004D7BC4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smallCaps/>
          <w:color w:val="000000"/>
          <w:lang w:val="fr-FR"/>
        </w:rPr>
      </w:pPr>
      <w:r w:rsidRPr="003C706B">
        <w:rPr>
          <w:smallCaps/>
          <w:color w:val="000000"/>
          <w:lang w:val="fr-FR"/>
        </w:rPr>
        <w:t xml:space="preserve">Expérience 3 : Produit – Tester </w:t>
      </w:r>
      <w:r w:rsidR="007B4F78" w:rsidRPr="003C706B">
        <w:rPr>
          <w:smallCaps/>
          <w:color w:val="000000"/>
          <w:lang w:val="fr-FR"/>
        </w:rPr>
        <w:t>l’adéquation de</w:t>
      </w:r>
      <w:r w:rsidRPr="003C706B">
        <w:rPr>
          <w:smallCaps/>
          <w:color w:val="000000"/>
          <w:lang w:val="fr-FR"/>
        </w:rPr>
        <w:t xml:space="preserve"> WhatsApp</w:t>
      </w:r>
    </w:p>
    <w:p w14:paraId="509C520F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smallCaps/>
          <w:lang w:val="fr-FR"/>
        </w:rPr>
      </w:pPr>
    </w:p>
    <w:p w14:paraId="1804DF65" w14:textId="0D21C2FF" w:rsidR="004D7BC4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b/>
          <w:bCs/>
          <w:color w:val="1F1E2C"/>
          <w:lang w:val="fr-FR"/>
        </w:rPr>
      </w:pPr>
      <w:r w:rsidRPr="003C706B">
        <w:rPr>
          <w:b/>
          <w:bCs/>
          <w:color w:val="1F1E2C"/>
          <w:lang w:val="fr-FR"/>
        </w:rPr>
        <w:t xml:space="preserve">Méthode : </w:t>
      </w:r>
      <w:r w:rsidR="00E63473" w:rsidRPr="003C706B">
        <w:rPr>
          <w:bCs/>
          <w:color w:val="1F1E2C"/>
          <w:lang w:val="fr-FR"/>
        </w:rPr>
        <w:t>L’application</w:t>
      </w:r>
      <w:r w:rsidR="00E63473" w:rsidRPr="003C706B">
        <w:rPr>
          <w:b/>
          <w:bCs/>
          <w:color w:val="1F1E2C"/>
          <w:lang w:val="fr-FR"/>
        </w:rPr>
        <w:t xml:space="preserve"> </w:t>
      </w:r>
      <w:r w:rsidRPr="003C706B">
        <w:rPr>
          <w:color w:val="1F1E2C"/>
          <w:lang w:val="fr-FR"/>
        </w:rPr>
        <w:t xml:space="preserve">WhatsApp </w:t>
      </w:r>
      <w:r w:rsidR="00FA5524" w:rsidRPr="003C706B">
        <w:rPr>
          <w:color w:val="1F1E2C"/>
          <w:lang w:val="fr-FR"/>
        </w:rPr>
        <w:t>avait</w:t>
      </w:r>
      <w:r w:rsidRPr="003C706B">
        <w:rPr>
          <w:color w:val="1F1E2C"/>
          <w:lang w:val="fr-FR"/>
        </w:rPr>
        <w:t xml:space="preserve"> été choisi</w:t>
      </w:r>
      <w:r w:rsidR="00E63473" w:rsidRPr="003C706B">
        <w:rPr>
          <w:color w:val="1F1E2C"/>
          <w:lang w:val="fr-FR"/>
        </w:rPr>
        <w:t>e</w:t>
      </w:r>
      <w:r w:rsidRPr="003C706B">
        <w:rPr>
          <w:color w:val="1F1E2C"/>
          <w:lang w:val="fr-FR"/>
        </w:rPr>
        <w:t xml:space="preserve"> comme plateforme d</w:t>
      </w:r>
      <w:r w:rsidR="000F1265" w:rsidRPr="003C706B">
        <w:rPr>
          <w:color w:val="1F1E2C"/>
          <w:lang w:val="fr-FR"/>
        </w:rPr>
        <w:t>’</w:t>
      </w:r>
      <w:r w:rsidRPr="003C706B">
        <w:rPr>
          <w:color w:val="1F1E2C"/>
          <w:lang w:val="fr-FR"/>
        </w:rPr>
        <w:t xml:space="preserve">apprentissage à distance </w:t>
      </w:r>
      <w:r w:rsidR="000F7303" w:rsidRPr="003C706B">
        <w:rPr>
          <w:color w:val="1F1E2C"/>
          <w:lang w:val="fr-FR"/>
        </w:rPr>
        <w:t xml:space="preserve">car </w:t>
      </w:r>
      <w:r w:rsidR="00E63473" w:rsidRPr="003C706B">
        <w:rPr>
          <w:color w:val="1F1E2C"/>
          <w:lang w:val="fr-FR"/>
        </w:rPr>
        <w:t>elle</w:t>
      </w:r>
      <w:r w:rsidRPr="003C706B">
        <w:rPr>
          <w:color w:val="1F1E2C"/>
          <w:lang w:val="fr-FR"/>
        </w:rPr>
        <w:t xml:space="preserve"> </w:t>
      </w:r>
      <w:r w:rsidR="00A0542B" w:rsidRPr="003C706B">
        <w:rPr>
          <w:color w:val="1F1E2C"/>
          <w:lang w:val="fr-FR"/>
        </w:rPr>
        <w:t>est</w:t>
      </w:r>
      <w:r w:rsidRPr="003C706B">
        <w:rPr>
          <w:color w:val="1F1E2C"/>
          <w:lang w:val="fr-FR"/>
        </w:rPr>
        <w:t xml:space="preserve"> connue et répandue au sein de la communauté des réfugiés au Liban. </w:t>
      </w:r>
      <w:r w:rsidRPr="003C706B">
        <w:rPr>
          <w:color w:val="1F1E2C"/>
          <w:lang w:val="fr-FR"/>
        </w:rPr>
        <w:lastRenderedPageBreak/>
        <w:t xml:space="preserve">Pour évaluer si elle </w:t>
      </w:r>
      <w:r w:rsidR="00A0542B" w:rsidRPr="003C706B">
        <w:rPr>
          <w:color w:val="1F1E2C"/>
          <w:lang w:val="fr-FR"/>
        </w:rPr>
        <w:t>était</w:t>
      </w:r>
      <w:r w:rsidRPr="003C706B">
        <w:rPr>
          <w:color w:val="1F1E2C"/>
          <w:lang w:val="fr-FR"/>
        </w:rPr>
        <w:t xml:space="preserve"> bien adaptée au programme, un ensemble de critères souhaités a été défini sur la base de précédentes recherches (Jordan et Mitchell, 2020), avant d</w:t>
      </w:r>
      <w:r w:rsidR="000F1265" w:rsidRPr="003C706B">
        <w:rPr>
          <w:color w:val="1F1E2C"/>
          <w:lang w:val="fr-FR"/>
        </w:rPr>
        <w:t>’</w:t>
      </w:r>
      <w:r w:rsidRPr="003C706B">
        <w:rPr>
          <w:color w:val="1F1E2C"/>
          <w:lang w:val="fr-FR"/>
        </w:rPr>
        <w:t>être appliqué par trois évaluateurs de l</w:t>
      </w:r>
      <w:r w:rsidR="000F1265" w:rsidRPr="003C706B">
        <w:rPr>
          <w:color w:val="1F1E2C"/>
          <w:lang w:val="fr-FR"/>
        </w:rPr>
        <w:t>’</w:t>
      </w:r>
      <w:r w:rsidRPr="003C706B">
        <w:rPr>
          <w:color w:val="1F1E2C"/>
          <w:lang w:val="fr-FR"/>
        </w:rPr>
        <w:t xml:space="preserve">équipe </w:t>
      </w:r>
      <w:proofErr w:type="spellStart"/>
      <w:r w:rsidRPr="003C706B">
        <w:rPr>
          <w:color w:val="1F1E2C"/>
          <w:lang w:val="fr-FR"/>
        </w:rPr>
        <w:t>sandbox</w:t>
      </w:r>
      <w:proofErr w:type="spellEnd"/>
      <w:r w:rsidRPr="003C706B">
        <w:rPr>
          <w:color w:val="1F1E2C"/>
          <w:lang w:val="fr-FR"/>
        </w:rPr>
        <w:t xml:space="preserve">. Les critères </w:t>
      </w:r>
      <w:r w:rsidR="005352AF" w:rsidRPr="003C706B">
        <w:rPr>
          <w:color w:val="1F1E2C"/>
          <w:lang w:val="fr-FR"/>
        </w:rPr>
        <w:t>portaient sur</w:t>
      </w:r>
      <w:r w:rsidRPr="003C706B">
        <w:rPr>
          <w:color w:val="1F1E2C"/>
          <w:lang w:val="fr-FR"/>
        </w:rPr>
        <w:t xml:space="preserve"> la fonction (ce que nous voulions que l</w:t>
      </w:r>
      <w:r w:rsidR="000F1265" w:rsidRPr="003C706B">
        <w:rPr>
          <w:color w:val="1F1E2C"/>
          <w:lang w:val="fr-FR"/>
        </w:rPr>
        <w:t>’</w:t>
      </w:r>
      <w:r w:rsidRPr="003C706B">
        <w:rPr>
          <w:color w:val="1F1E2C"/>
          <w:lang w:val="fr-FR"/>
        </w:rPr>
        <w:t>outil idéal fasse) et</w:t>
      </w:r>
      <w:r w:rsidR="00C25CCE" w:rsidRPr="003C706B">
        <w:rPr>
          <w:color w:val="1F1E2C"/>
          <w:lang w:val="fr-FR"/>
        </w:rPr>
        <w:t xml:space="preserve"> sur</w:t>
      </w:r>
      <w:r w:rsidRPr="003C706B">
        <w:rPr>
          <w:color w:val="1F1E2C"/>
          <w:lang w:val="fr-FR"/>
        </w:rPr>
        <w:t xml:space="preserve"> les facteurs contextuels (quels facteurs spécifiques au contexte pou</w:t>
      </w:r>
      <w:r w:rsidR="00C25CCE" w:rsidRPr="003C706B">
        <w:rPr>
          <w:color w:val="1F1E2C"/>
          <w:lang w:val="fr-FR"/>
        </w:rPr>
        <w:t>v</w:t>
      </w:r>
      <w:r w:rsidRPr="003C706B">
        <w:rPr>
          <w:color w:val="1F1E2C"/>
          <w:lang w:val="fr-FR"/>
        </w:rPr>
        <w:t>aient influer sur le choix d</w:t>
      </w:r>
      <w:r w:rsidR="000F1265" w:rsidRPr="003C706B">
        <w:rPr>
          <w:color w:val="1F1E2C"/>
          <w:lang w:val="fr-FR"/>
        </w:rPr>
        <w:t>’</w:t>
      </w:r>
      <w:r w:rsidRPr="003C706B">
        <w:rPr>
          <w:color w:val="1F1E2C"/>
          <w:lang w:val="fr-FR"/>
        </w:rPr>
        <w:t>un outil). Au total, 23 critères ont été répertoriés et évalués afin de déterminer si l</w:t>
      </w:r>
      <w:r w:rsidR="000F1265" w:rsidRPr="003C706B">
        <w:rPr>
          <w:color w:val="1F1E2C"/>
          <w:lang w:val="fr-FR"/>
        </w:rPr>
        <w:t>’</w:t>
      </w:r>
      <w:r w:rsidRPr="003C706B">
        <w:rPr>
          <w:color w:val="1F1E2C"/>
          <w:lang w:val="fr-FR"/>
        </w:rPr>
        <w:t xml:space="preserve">offre éducative fournie </w:t>
      </w:r>
      <w:r w:rsidR="00A0542B" w:rsidRPr="003C706B">
        <w:rPr>
          <w:color w:val="1F1E2C"/>
          <w:lang w:val="fr-FR"/>
        </w:rPr>
        <w:t xml:space="preserve">en l’état </w:t>
      </w:r>
      <w:r w:rsidRPr="003C706B">
        <w:rPr>
          <w:color w:val="1F1E2C"/>
          <w:lang w:val="fr-FR"/>
        </w:rPr>
        <w:t xml:space="preserve">par </w:t>
      </w:r>
      <w:proofErr w:type="spellStart"/>
      <w:r w:rsidRPr="003C706B">
        <w:rPr>
          <w:color w:val="1F1E2C"/>
          <w:lang w:val="fr-FR"/>
        </w:rPr>
        <w:t>Azima</w:t>
      </w:r>
      <w:proofErr w:type="spellEnd"/>
      <w:r w:rsidRPr="003C706B">
        <w:rPr>
          <w:color w:val="1F1E2C"/>
          <w:lang w:val="fr-FR"/>
        </w:rPr>
        <w:t xml:space="preserve"> y répondait ou non (</w:t>
      </w:r>
      <w:proofErr w:type="spellStart"/>
      <w:r w:rsidRPr="003C706B">
        <w:rPr>
          <w:color w:val="1F1E2C"/>
          <w:lang w:val="fr-FR"/>
        </w:rPr>
        <w:t>Khalayleh</w:t>
      </w:r>
      <w:proofErr w:type="spellEnd"/>
      <w:r w:rsidRPr="003C706B">
        <w:rPr>
          <w:color w:val="1F1E2C"/>
          <w:lang w:val="fr-FR"/>
        </w:rPr>
        <w:t>, 2021).</w:t>
      </w:r>
    </w:p>
    <w:p w14:paraId="0DFAE648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b/>
          <w:bCs/>
          <w:color w:val="1F1E2C"/>
          <w:lang w:val="fr-FR"/>
        </w:rPr>
      </w:pPr>
    </w:p>
    <w:p w14:paraId="6D6121A9" w14:textId="59C53F1F" w:rsidR="002A118A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color w:val="1F1E2C"/>
          <w:lang w:val="fr-FR"/>
        </w:rPr>
      </w:pPr>
      <w:r w:rsidRPr="003C706B">
        <w:rPr>
          <w:b/>
          <w:bCs/>
          <w:color w:val="1F1E2C"/>
          <w:lang w:val="fr-FR"/>
        </w:rPr>
        <w:t>Résultat :</w:t>
      </w:r>
      <w:r w:rsidR="007E473D" w:rsidRPr="003C706B">
        <w:rPr>
          <w:color w:val="1F1E2C"/>
          <w:lang w:val="fr-FR"/>
        </w:rPr>
        <w:t xml:space="preserve"> L</w:t>
      </w:r>
      <w:r w:rsidR="000F1265" w:rsidRPr="003C706B">
        <w:rPr>
          <w:color w:val="1F1E2C"/>
          <w:lang w:val="fr-FR"/>
        </w:rPr>
        <w:t>’</w:t>
      </w:r>
      <w:r w:rsidR="007E473D" w:rsidRPr="003C706B">
        <w:rPr>
          <w:color w:val="1F1E2C"/>
          <w:lang w:val="fr-FR"/>
        </w:rPr>
        <w:t>évaluation a conclu qu</w:t>
      </w:r>
      <w:r w:rsidR="000F1265" w:rsidRPr="003C706B">
        <w:rPr>
          <w:color w:val="1F1E2C"/>
          <w:lang w:val="fr-FR"/>
        </w:rPr>
        <w:t>’</w:t>
      </w:r>
      <w:proofErr w:type="spellStart"/>
      <w:r w:rsidR="007E473D" w:rsidRPr="003C706B">
        <w:rPr>
          <w:color w:val="1F1E2C"/>
          <w:lang w:val="fr-FR"/>
        </w:rPr>
        <w:t>Azima</w:t>
      </w:r>
      <w:proofErr w:type="spellEnd"/>
      <w:r w:rsidR="007E473D" w:rsidRPr="003C706B">
        <w:rPr>
          <w:color w:val="1F1E2C"/>
          <w:lang w:val="fr-FR"/>
        </w:rPr>
        <w:t xml:space="preserve"> remplissait en l</w:t>
      </w:r>
      <w:r w:rsidR="000F1265" w:rsidRPr="003C706B">
        <w:rPr>
          <w:color w:val="1F1E2C"/>
          <w:lang w:val="fr-FR"/>
        </w:rPr>
        <w:t>’</w:t>
      </w:r>
      <w:r w:rsidR="007E473D" w:rsidRPr="003C706B">
        <w:rPr>
          <w:color w:val="1F1E2C"/>
          <w:lang w:val="fr-FR"/>
        </w:rPr>
        <w:t xml:space="preserve">état presque tous les critères ; seuls deux étaient irréalisables. Cela indiquait que </w:t>
      </w:r>
      <w:r w:rsidR="00CB1DF8" w:rsidRPr="003C706B">
        <w:rPr>
          <w:color w:val="1F1E2C"/>
          <w:lang w:val="fr-FR"/>
        </w:rPr>
        <w:t xml:space="preserve">l’application </w:t>
      </w:r>
      <w:r w:rsidR="007E473D" w:rsidRPr="003C706B">
        <w:rPr>
          <w:color w:val="1F1E2C"/>
          <w:lang w:val="fr-FR"/>
        </w:rPr>
        <w:t>WhatsApp pouvait être utilisé</w:t>
      </w:r>
      <w:r w:rsidR="002F5D45" w:rsidRPr="003C706B">
        <w:rPr>
          <w:color w:val="1F1E2C"/>
          <w:lang w:val="fr-FR"/>
        </w:rPr>
        <w:t>e</w:t>
      </w:r>
      <w:r w:rsidR="007E473D" w:rsidRPr="003C706B">
        <w:rPr>
          <w:color w:val="1F1E2C"/>
          <w:lang w:val="fr-FR"/>
        </w:rPr>
        <w:t xml:space="preserve"> pour mettre en œuvre l</w:t>
      </w:r>
      <w:r w:rsidR="000F1265" w:rsidRPr="003C706B">
        <w:rPr>
          <w:color w:val="1F1E2C"/>
          <w:lang w:val="fr-FR"/>
        </w:rPr>
        <w:t>’</w:t>
      </w:r>
      <w:r w:rsidR="007E473D" w:rsidRPr="003C706B">
        <w:rPr>
          <w:color w:val="1F1E2C"/>
          <w:lang w:val="fr-FR"/>
        </w:rPr>
        <w:t>apprentissage à distance et qu</w:t>
      </w:r>
      <w:r w:rsidR="000F1265" w:rsidRPr="003C706B">
        <w:rPr>
          <w:color w:val="1F1E2C"/>
          <w:lang w:val="fr-FR"/>
        </w:rPr>
        <w:t>’</w:t>
      </w:r>
      <w:r w:rsidR="007E473D" w:rsidRPr="003C706B">
        <w:rPr>
          <w:color w:val="1F1E2C"/>
          <w:lang w:val="fr-FR"/>
        </w:rPr>
        <w:t>il n</w:t>
      </w:r>
      <w:r w:rsidR="000F1265" w:rsidRPr="003C706B">
        <w:rPr>
          <w:color w:val="1F1E2C"/>
          <w:lang w:val="fr-FR"/>
        </w:rPr>
        <w:t>’</w:t>
      </w:r>
      <w:r w:rsidR="007E473D" w:rsidRPr="003C706B">
        <w:rPr>
          <w:color w:val="1F1E2C"/>
          <w:lang w:val="fr-FR"/>
        </w:rPr>
        <w:t>était pas nécessaire de changer d</w:t>
      </w:r>
      <w:r w:rsidR="000F1265" w:rsidRPr="003C706B">
        <w:rPr>
          <w:color w:val="1F1E2C"/>
          <w:lang w:val="fr-FR"/>
        </w:rPr>
        <w:t>’</w:t>
      </w:r>
      <w:r w:rsidR="007E473D" w:rsidRPr="003C706B">
        <w:rPr>
          <w:color w:val="1F1E2C"/>
          <w:lang w:val="fr-FR"/>
        </w:rPr>
        <w:t xml:space="preserve">outil pour obtenir la plupart des améliorations. Toutefois, cela suggérait </w:t>
      </w:r>
      <w:r w:rsidR="00CB1DF8" w:rsidRPr="003C706B">
        <w:rPr>
          <w:color w:val="1F1E2C"/>
          <w:lang w:val="fr-FR"/>
        </w:rPr>
        <w:t xml:space="preserve">aussi </w:t>
      </w:r>
      <w:r w:rsidR="007E473D" w:rsidRPr="003C706B">
        <w:rPr>
          <w:color w:val="1F1E2C"/>
          <w:lang w:val="fr-FR"/>
        </w:rPr>
        <w:t>que d</w:t>
      </w:r>
      <w:r w:rsidR="000F1265" w:rsidRPr="003C706B">
        <w:rPr>
          <w:color w:val="1F1E2C"/>
          <w:lang w:val="fr-FR"/>
        </w:rPr>
        <w:t>’</w:t>
      </w:r>
      <w:r w:rsidR="007E473D" w:rsidRPr="003C706B">
        <w:rPr>
          <w:color w:val="1F1E2C"/>
          <w:lang w:val="fr-FR"/>
        </w:rPr>
        <w:t xml:space="preserve">autres outils pouvaient </w:t>
      </w:r>
      <w:r w:rsidR="00CB1DF8" w:rsidRPr="003C706B">
        <w:rPr>
          <w:color w:val="1F1E2C"/>
          <w:lang w:val="fr-FR"/>
        </w:rPr>
        <w:t xml:space="preserve">également </w:t>
      </w:r>
      <w:r w:rsidR="007E473D" w:rsidRPr="003C706B">
        <w:rPr>
          <w:color w:val="1F1E2C"/>
          <w:lang w:val="fr-FR"/>
        </w:rPr>
        <w:t xml:space="preserve">jouer un rôle et venir combler certaines lacunes, comme Google Drive </w:t>
      </w:r>
      <w:r w:rsidR="00705851" w:rsidRPr="003C706B">
        <w:rPr>
          <w:color w:val="1F1E2C"/>
          <w:lang w:val="fr-FR"/>
        </w:rPr>
        <w:t>dans l’organisation</w:t>
      </w:r>
      <w:r w:rsidR="00CB1DF8" w:rsidRPr="003C706B">
        <w:rPr>
          <w:color w:val="1F1E2C"/>
          <w:lang w:val="fr-FR"/>
        </w:rPr>
        <w:t xml:space="preserve"> </w:t>
      </w:r>
      <w:r w:rsidR="00705851" w:rsidRPr="003C706B">
        <w:rPr>
          <w:color w:val="1F1E2C"/>
          <w:lang w:val="fr-FR"/>
        </w:rPr>
        <w:t>d</w:t>
      </w:r>
      <w:r w:rsidR="00CB1DF8" w:rsidRPr="003C706B">
        <w:rPr>
          <w:color w:val="1F1E2C"/>
          <w:lang w:val="fr-FR"/>
        </w:rPr>
        <w:t>es</w:t>
      </w:r>
      <w:r w:rsidR="007E473D" w:rsidRPr="003C706B">
        <w:rPr>
          <w:color w:val="1F1E2C"/>
          <w:lang w:val="fr-FR"/>
        </w:rPr>
        <w:t xml:space="preserve"> contenu</w:t>
      </w:r>
      <w:r w:rsidR="00CB1DF8" w:rsidRPr="003C706B">
        <w:rPr>
          <w:color w:val="1F1E2C"/>
          <w:lang w:val="fr-FR"/>
        </w:rPr>
        <w:t>s</w:t>
      </w:r>
      <w:r w:rsidR="007E473D" w:rsidRPr="003C706B">
        <w:rPr>
          <w:color w:val="1F1E2C"/>
          <w:lang w:val="fr-FR"/>
        </w:rPr>
        <w:t>.</w:t>
      </w:r>
    </w:p>
    <w:p w14:paraId="42553180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5958E4EC" w14:textId="6266465E" w:rsidR="00E971C8" w:rsidRPr="00053BE3" w:rsidRDefault="00D007FC" w:rsidP="00593F57">
      <w:pPr>
        <w:pStyle w:val="Heading2"/>
        <w:spacing w:before="0" w:beforeAutospacing="0" w:after="0" w:afterAutospacing="0" w:line="480" w:lineRule="auto"/>
        <w:rPr>
          <w:b w:val="0"/>
          <w:bCs w:val="0"/>
          <w:smallCaps/>
          <w:color w:val="000000"/>
          <w:sz w:val="24"/>
          <w:szCs w:val="24"/>
          <w:lang w:val="fr-FR"/>
        </w:rPr>
      </w:pPr>
      <w:r w:rsidRPr="003C706B">
        <w:rPr>
          <w:b w:val="0"/>
          <w:bCs w:val="0"/>
          <w:smallCaps/>
          <w:color w:val="000000"/>
          <w:sz w:val="24"/>
          <w:szCs w:val="24"/>
          <w:lang w:val="fr-FR"/>
        </w:rPr>
        <w:t>Expérience 4 : Personnes et lieu – Enquête sur les obstacles à l</w:t>
      </w:r>
      <w:r w:rsidR="000F1265" w:rsidRPr="003C706B">
        <w:rPr>
          <w:b w:val="0"/>
          <w:bCs w:val="0"/>
          <w:smallCaps/>
          <w:color w:val="000000"/>
          <w:sz w:val="24"/>
          <w:szCs w:val="24"/>
          <w:lang w:val="fr-FR"/>
        </w:rPr>
        <w:t>’</w:t>
      </w:r>
      <w:r w:rsidRPr="003C706B">
        <w:rPr>
          <w:b w:val="0"/>
          <w:bCs w:val="0"/>
          <w:smallCaps/>
          <w:color w:val="000000"/>
          <w:sz w:val="24"/>
          <w:szCs w:val="24"/>
          <w:lang w:val="fr-FR"/>
        </w:rPr>
        <w:t>apprentissage</w:t>
      </w:r>
    </w:p>
    <w:p w14:paraId="42532161" w14:textId="77777777" w:rsidR="006D1325" w:rsidRPr="00053BE3" w:rsidRDefault="006D1325" w:rsidP="003C706B"/>
    <w:p w14:paraId="0A345272" w14:textId="47E880AB" w:rsidR="00E971C8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b/>
          <w:bCs/>
          <w:color w:val="000000"/>
          <w:lang w:val="fr-FR"/>
        </w:rPr>
        <w:t>Méthode :</w:t>
      </w:r>
      <w:r w:rsidR="004D7BC4" w:rsidRPr="003C706B">
        <w:rPr>
          <w:color w:val="000000"/>
          <w:lang w:val="fr-FR"/>
        </w:rPr>
        <w:t xml:space="preserve"> Afin de comprendre </w:t>
      </w:r>
      <w:r w:rsidR="00FA2AD2" w:rsidRPr="003C706B">
        <w:rPr>
          <w:color w:val="000000"/>
          <w:lang w:val="fr-FR"/>
        </w:rPr>
        <w:t>pourquoi</w:t>
      </w:r>
      <w:r w:rsidR="004D7BC4" w:rsidRPr="003C706B">
        <w:rPr>
          <w:color w:val="000000"/>
          <w:lang w:val="fr-FR"/>
        </w:rPr>
        <w:t xml:space="preserve"> certains élèves</w:t>
      </w:r>
      <w:r w:rsidR="00FA2AD2" w:rsidRPr="003C706B">
        <w:rPr>
          <w:color w:val="000000"/>
          <w:lang w:val="fr-FR"/>
        </w:rPr>
        <w:t xml:space="preserve"> étaient désengagés</w:t>
      </w:r>
      <w:r w:rsidR="004D7BC4" w:rsidRPr="003C706B">
        <w:rPr>
          <w:color w:val="000000"/>
          <w:lang w:val="fr-FR"/>
        </w:rPr>
        <w:t xml:space="preserve">, une enquête a été menée auprès des élèves qui étaient inscrits au programme </w:t>
      </w:r>
      <w:proofErr w:type="spellStart"/>
      <w:r w:rsidR="004D7BC4" w:rsidRPr="003C706B">
        <w:rPr>
          <w:color w:val="000000"/>
          <w:lang w:val="fr-FR"/>
        </w:rPr>
        <w:t>Azima</w:t>
      </w:r>
      <w:proofErr w:type="spellEnd"/>
      <w:r w:rsidR="004D7BC4" w:rsidRPr="003C706B">
        <w:rPr>
          <w:color w:val="000000"/>
          <w:lang w:val="fr-FR"/>
        </w:rPr>
        <w:t xml:space="preserve"> mais n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y participaient pas (la non-participation étant définie par un taux de participation de 0 % après six semaines de programme</w:t>
      </w:r>
      <w:proofErr w:type="gramStart"/>
      <w:r w:rsidR="004D7BC4" w:rsidRPr="003C706B">
        <w:rPr>
          <w:color w:val="000000"/>
          <w:lang w:val="fr-FR"/>
        </w:rPr>
        <w:t>)</w:t>
      </w:r>
      <w:r w:rsidR="000E495C" w:rsidRPr="003C706B">
        <w:rPr>
          <w:color w:val="000000"/>
          <w:lang w:val="fr-FR"/>
        </w:rPr>
        <w:t>;</w:t>
      </w:r>
      <w:proofErr w:type="gramEnd"/>
      <w:r w:rsidR="000E495C" w:rsidRPr="003C706B">
        <w:rPr>
          <w:color w:val="000000"/>
          <w:lang w:val="fr-FR"/>
        </w:rPr>
        <w:t xml:space="preserve"> une enquête qui a été également menée</w:t>
      </w:r>
      <w:r w:rsidR="00FA2AD2" w:rsidRPr="003C706B">
        <w:rPr>
          <w:color w:val="000000"/>
          <w:lang w:val="fr-FR"/>
        </w:rPr>
        <w:t xml:space="preserve"> auprès</w:t>
      </w:r>
      <w:r w:rsidR="004D7BC4" w:rsidRPr="003C706B">
        <w:rPr>
          <w:color w:val="000000"/>
          <w:lang w:val="fr-FR"/>
        </w:rPr>
        <w:t xml:space="preserve"> de leurs parents/tuteurs. L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 xml:space="preserve">enquête </w:t>
      </w:r>
      <w:r w:rsidR="009612F3" w:rsidRPr="003C706B">
        <w:rPr>
          <w:color w:val="000000"/>
          <w:lang w:val="fr-FR"/>
        </w:rPr>
        <w:t>ciblait</w:t>
      </w:r>
      <w:r w:rsidR="004D7BC4" w:rsidRPr="003C706B">
        <w:rPr>
          <w:color w:val="000000"/>
          <w:lang w:val="fr-FR"/>
        </w:rPr>
        <w:t xml:space="preserve"> les trois sites où </w:t>
      </w:r>
      <w:proofErr w:type="spellStart"/>
      <w:r w:rsidR="004D7BC4" w:rsidRPr="003C706B">
        <w:rPr>
          <w:color w:val="000000"/>
          <w:lang w:val="fr-FR"/>
        </w:rPr>
        <w:t>Jusoor</w:t>
      </w:r>
      <w:proofErr w:type="spellEnd"/>
      <w:r w:rsidR="004D7BC4" w:rsidRPr="003C706B">
        <w:rPr>
          <w:color w:val="000000"/>
          <w:lang w:val="fr-FR"/>
        </w:rPr>
        <w:t xml:space="preserve"> opère, et nous avons pu interroger tous les élèves non participants (n=196).</w:t>
      </w:r>
    </w:p>
    <w:p w14:paraId="144B887A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30BF787A" w14:textId="430DBE64" w:rsidR="00E971C8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b/>
          <w:bCs/>
          <w:color w:val="000000"/>
          <w:lang w:val="fr-FR"/>
        </w:rPr>
        <w:lastRenderedPageBreak/>
        <w:t>Résultat :</w:t>
      </w:r>
      <w:r w:rsidR="004D7BC4" w:rsidRPr="003C706B">
        <w:rPr>
          <w:color w:val="000000"/>
          <w:lang w:val="fr-FR"/>
        </w:rPr>
        <w:t xml:space="preserve"> Le principal obstacle identifié était l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accès aux dispositifs électroniques. Si 88 % des familles de réfugiés avaient accès à un smartphone, cela ne s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est pas toujours traduit par une participation. De nombreuses familles ne pouvaient se permettre qu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un seul appareil et le membre qui pourvoyait aux besoins du foyer en avait besoin en priorité pour trouver un emploi ou assurer ses obligations de travail.</w:t>
      </w:r>
    </w:p>
    <w:p w14:paraId="3C7DB716" w14:textId="77777777" w:rsidR="00C61693" w:rsidRPr="00053BE3" w:rsidRDefault="00C61693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3DE5ADDF" w14:textId="3D9CE8A7" w:rsidR="004D7BC4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  <w:r w:rsidRPr="003C706B">
        <w:rPr>
          <w:color w:val="000000"/>
          <w:lang w:val="fr-FR"/>
        </w:rPr>
        <w:t>Les données issues des expériences de Sprint 1 ont permis de valider les hypothèses du programme concernant les axes Pédagogie, Produit et Dotation.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enquête nous a</w:t>
      </w:r>
      <w:r w:rsidR="000E495C" w:rsidRPr="003C706B">
        <w:rPr>
          <w:color w:val="000000"/>
          <w:lang w:val="fr-FR"/>
        </w:rPr>
        <w:t>,</w:t>
      </w:r>
      <w:r w:rsidRPr="003C706B">
        <w:rPr>
          <w:color w:val="000000"/>
          <w:lang w:val="fr-FR"/>
        </w:rPr>
        <w:t xml:space="preserve"> quant à elle</w:t>
      </w:r>
      <w:r w:rsidR="000E495C" w:rsidRPr="003C706B">
        <w:rPr>
          <w:color w:val="000000"/>
          <w:lang w:val="fr-FR"/>
        </w:rPr>
        <w:t>,</w:t>
      </w:r>
      <w:r w:rsidRPr="003C706B">
        <w:rPr>
          <w:color w:val="000000"/>
          <w:lang w:val="fr-FR"/>
        </w:rPr>
        <w:t xml:space="preserve"> amenés à approfondir nos hypothèses concernant l</w:t>
      </w:r>
      <w:r w:rsidR="00582A4A" w:rsidRPr="003C706B">
        <w:rPr>
          <w:color w:val="000000"/>
          <w:lang w:val="fr-FR"/>
        </w:rPr>
        <w:t>’axe P</w:t>
      </w:r>
      <w:r w:rsidRPr="003C706B">
        <w:rPr>
          <w:color w:val="000000"/>
          <w:lang w:val="fr-FR"/>
        </w:rPr>
        <w:t xml:space="preserve">ersonnes et </w:t>
      </w:r>
      <w:r w:rsidR="00582A4A" w:rsidRPr="003C706B">
        <w:rPr>
          <w:color w:val="000000"/>
          <w:lang w:val="fr-FR"/>
        </w:rPr>
        <w:t>L</w:t>
      </w:r>
      <w:r w:rsidRPr="003C706B">
        <w:rPr>
          <w:color w:val="000000"/>
          <w:lang w:val="fr-FR"/>
        </w:rPr>
        <w:t xml:space="preserve">ieu afin de comprendre comment réduire le plus efficacement possible les obstacles qui entravaient </w:t>
      </w:r>
      <w:r w:rsidR="003C78B5" w:rsidRPr="003C706B">
        <w:rPr>
          <w:color w:val="000000"/>
          <w:lang w:val="fr-FR"/>
        </w:rPr>
        <w:t>la participation</w:t>
      </w:r>
      <w:r w:rsidRPr="003C706B">
        <w:rPr>
          <w:color w:val="000000"/>
          <w:lang w:val="fr-FR"/>
        </w:rPr>
        <w:t xml:space="preserve"> des enfants. Deux expériences ont été conçues au cours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un deuxième sprint </w:t>
      </w:r>
      <w:r w:rsidR="00582A4A" w:rsidRPr="003C706B">
        <w:rPr>
          <w:color w:val="000000"/>
          <w:lang w:val="fr-FR"/>
        </w:rPr>
        <w:t>pour</w:t>
      </w:r>
      <w:r w:rsidRPr="003C706B">
        <w:rPr>
          <w:color w:val="000000"/>
          <w:lang w:val="fr-FR"/>
        </w:rPr>
        <w:t xml:space="preserve"> tester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hypothèse </w:t>
      </w:r>
      <w:r w:rsidR="003C78B5" w:rsidRPr="003C706B">
        <w:rPr>
          <w:color w:val="000000"/>
          <w:lang w:val="fr-FR"/>
        </w:rPr>
        <w:t>selon laquelle</w:t>
      </w:r>
      <w:r w:rsidRPr="003C706B">
        <w:rPr>
          <w:color w:val="000000"/>
          <w:lang w:val="fr-FR"/>
        </w:rPr>
        <w:t xml:space="preserve"> </w:t>
      </w:r>
      <w:r w:rsidRPr="003C706B">
        <w:rPr>
          <w:color w:val="1F1E2C"/>
          <w:lang w:val="fr-FR"/>
        </w:rPr>
        <w:t>les parents souhaitaient s</w:t>
      </w:r>
      <w:r w:rsidR="000F1265" w:rsidRPr="003C706B">
        <w:rPr>
          <w:color w:val="1F1E2C"/>
          <w:lang w:val="fr-FR"/>
        </w:rPr>
        <w:t>’</w:t>
      </w:r>
      <w:r w:rsidRPr="003C706B">
        <w:rPr>
          <w:color w:val="1F1E2C"/>
          <w:lang w:val="fr-FR"/>
        </w:rPr>
        <w:t>investir dans l</w:t>
      </w:r>
      <w:r w:rsidR="000F1265" w:rsidRPr="003C706B">
        <w:rPr>
          <w:color w:val="1F1E2C"/>
          <w:lang w:val="fr-FR"/>
        </w:rPr>
        <w:t>’</w:t>
      </w:r>
      <w:r w:rsidRPr="003C706B">
        <w:rPr>
          <w:color w:val="1F1E2C"/>
          <w:lang w:val="fr-FR"/>
        </w:rPr>
        <w:t>éducation de leurs enfants</w:t>
      </w:r>
      <w:r w:rsidR="00582A4A" w:rsidRPr="003C706B">
        <w:rPr>
          <w:color w:val="1F1E2C"/>
          <w:lang w:val="fr-FR"/>
        </w:rPr>
        <w:t>,</w:t>
      </w:r>
      <w:r w:rsidRPr="003C706B">
        <w:rPr>
          <w:color w:val="1F1E2C"/>
          <w:lang w:val="fr-FR"/>
        </w:rPr>
        <w:t xml:space="preserve"> et </w:t>
      </w:r>
      <w:r w:rsidR="003C78B5" w:rsidRPr="003C706B">
        <w:rPr>
          <w:color w:val="1F1E2C"/>
          <w:lang w:val="fr-FR"/>
        </w:rPr>
        <w:t xml:space="preserve">pour </w:t>
      </w:r>
      <w:r w:rsidRPr="003C706B">
        <w:rPr>
          <w:color w:val="000000"/>
          <w:lang w:val="fr-FR"/>
        </w:rPr>
        <w:t>identifier les ressources et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accompagnement qui leur permettraient de le faire.</w:t>
      </w:r>
    </w:p>
    <w:p w14:paraId="2F4C068D" w14:textId="77777777" w:rsidR="006D1325" w:rsidRPr="00053BE3" w:rsidRDefault="006D1325" w:rsidP="00593F57">
      <w:pPr>
        <w:pStyle w:val="NormalWeb"/>
        <w:spacing w:before="0" w:beforeAutospacing="0" w:after="0" w:afterAutospacing="0" w:line="480" w:lineRule="auto"/>
        <w:jc w:val="both"/>
        <w:rPr>
          <w:i/>
          <w:iCs/>
          <w:color w:val="000000"/>
          <w:lang w:val="fr-FR"/>
        </w:rPr>
      </w:pPr>
    </w:p>
    <w:p w14:paraId="12A40E17" w14:textId="77777777" w:rsidR="006F1BF2" w:rsidRPr="00053BE3" w:rsidRDefault="00D007FC" w:rsidP="00593F57">
      <w:pPr>
        <w:pStyle w:val="NormalWeb"/>
        <w:spacing w:before="0" w:beforeAutospacing="0" w:after="0" w:afterAutospacing="0" w:line="480" w:lineRule="auto"/>
        <w:jc w:val="center"/>
        <w:rPr>
          <w:b/>
          <w:bCs/>
          <w:smallCaps/>
          <w:color w:val="000000"/>
          <w:lang w:val="fr-FR"/>
        </w:rPr>
      </w:pPr>
      <w:proofErr w:type="spellStart"/>
      <w:r w:rsidRPr="008C325C">
        <w:rPr>
          <w:b/>
          <w:bCs/>
          <w:smallCaps/>
          <w:color w:val="000000"/>
        </w:rPr>
        <w:t>Expériences</w:t>
      </w:r>
      <w:proofErr w:type="spellEnd"/>
      <w:r w:rsidRPr="008C325C">
        <w:rPr>
          <w:b/>
          <w:bCs/>
          <w:smallCaps/>
          <w:color w:val="000000"/>
        </w:rPr>
        <w:t xml:space="preserve"> du Sprint 2</w:t>
      </w:r>
    </w:p>
    <w:p w14:paraId="3ABD4B0B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</w:p>
    <w:p w14:paraId="0AF4B1CD" w14:textId="741A7BB8" w:rsidR="00E971C8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smallCaps/>
          <w:lang w:val="fr-FR"/>
        </w:rPr>
      </w:pPr>
      <w:r w:rsidRPr="003C706B">
        <w:rPr>
          <w:smallCaps/>
          <w:color w:val="000000"/>
          <w:lang w:val="fr-FR"/>
        </w:rPr>
        <w:t>Expérience 5 : Personnes et lieu – Campagne d</w:t>
      </w:r>
      <w:r w:rsidR="000F1265" w:rsidRPr="003C706B">
        <w:rPr>
          <w:smallCaps/>
          <w:color w:val="000000"/>
          <w:lang w:val="fr-FR"/>
        </w:rPr>
        <w:t>’</w:t>
      </w:r>
      <w:r w:rsidRPr="003C706B">
        <w:rPr>
          <w:smallCaps/>
          <w:color w:val="000000"/>
          <w:lang w:val="fr-FR"/>
        </w:rPr>
        <w:t>information</w:t>
      </w:r>
    </w:p>
    <w:p w14:paraId="6855BFEA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b/>
          <w:bCs/>
          <w:i/>
          <w:iCs/>
          <w:color w:val="000000"/>
          <w:lang w:val="fr-FR"/>
        </w:rPr>
      </w:pPr>
    </w:p>
    <w:p w14:paraId="3CB067EC" w14:textId="0D7E309C" w:rsidR="004D7BC4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b/>
          <w:bCs/>
          <w:color w:val="000000"/>
          <w:lang w:val="fr-FR"/>
        </w:rPr>
        <w:t>Méthode :</w:t>
      </w:r>
      <w:r w:rsidRPr="003C706B">
        <w:rPr>
          <w:color w:val="000000"/>
          <w:lang w:val="fr-FR"/>
        </w:rPr>
        <w:t xml:space="preserve"> Une campagne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information a été </w:t>
      </w:r>
      <w:r w:rsidR="006D6069" w:rsidRPr="003C706B">
        <w:rPr>
          <w:color w:val="000000"/>
          <w:lang w:val="fr-FR"/>
        </w:rPr>
        <w:t xml:space="preserve">spécialement </w:t>
      </w:r>
      <w:r w:rsidRPr="003C706B">
        <w:rPr>
          <w:color w:val="000000"/>
          <w:lang w:val="fr-FR"/>
        </w:rPr>
        <w:t>conçue pour fournir des conseils pratiques aux parents afin qu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ils puissent aider leurs enfants à apprendre à la maison. Plusieurs messages ont été envoyés chaque semaine pendant quatre semaines sous la forme de </w:t>
      </w:r>
      <w:r w:rsidR="006D6069" w:rsidRPr="003C706B">
        <w:rPr>
          <w:color w:val="000000"/>
          <w:lang w:val="fr-FR"/>
        </w:rPr>
        <w:t>vidéos</w:t>
      </w:r>
      <w:r w:rsidRPr="003C706B">
        <w:rPr>
          <w:color w:val="000000"/>
          <w:lang w:val="fr-FR"/>
        </w:rPr>
        <w:t xml:space="preserve"> et </w:t>
      </w:r>
      <w:r w:rsidR="006D6069" w:rsidRPr="003C706B">
        <w:rPr>
          <w:color w:val="000000"/>
          <w:lang w:val="fr-FR"/>
        </w:rPr>
        <w:t>de notes vocales</w:t>
      </w:r>
      <w:r w:rsidRPr="003C706B">
        <w:rPr>
          <w:color w:val="000000"/>
          <w:lang w:val="fr-FR"/>
        </w:rPr>
        <w:t>.</w:t>
      </w:r>
    </w:p>
    <w:p w14:paraId="568FA27F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5F59D334" w14:textId="659FE047" w:rsidR="00E971C8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  <w:r w:rsidRPr="003C706B">
        <w:rPr>
          <w:b/>
          <w:bCs/>
          <w:color w:val="000000"/>
          <w:lang w:val="fr-FR"/>
        </w:rPr>
        <w:lastRenderedPageBreak/>
        <w:t>Résultat :</w:t>
      </w:r>
      <w:r w:rsidR="004D7BC4" w:rsidRPr="003C706B">
        <w:rPr>
          <w:color w:val="000000"/>
          <w:lang w:val="fr-FR"/>
        </w:rPr>
        <w:t xml:space="preserve"> La campagne d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 xml:space="preserve">information a ciblé 916 familles (toutes les familles des élèves de </w:t>
      </w:r>
      <w:proofErr w:type="spellStart"/>
      <w:r w:rsidR="004D7BC4" w:rsidRPr="003C706B">
        <w:rPr>
          <w:color w:val="000000"/>
          <w:lang w:val="fr-FR"/>
        </w:rPr>
        <w:t>Jusoor</w:t>
      </w:r>
      <w:proofErr w:type="spellEnd"/>
      <w:r w:rsidR="004D7BC4" w:rsidRPr="003C706B">
        <w:rPr>
          <w:color w:val="000000"/>
          <w:lang w:val="fr-FR"/>
        </w:rPr>
        <w:t xml:space="preserve">), mais seulement 66 % (n=602) ont interagi avec son contenu. </w:t>
      </w:r>
      <w:r w:rsidR="000E495C" w:rsidRPr="003C706B">
        <w:rPr>
          <w:color w:val="000000"/>
          <w:lang w:val="fr-FR"/>
        </w:rPr>
        <w:t xml:space="preserve">Sur </w:t>
      </w:r>
      <w:r w:rsidR="004D7BC4" w:rsidRPr="003C706B">
        <w:rPr>
          <w:color w:val="000000"/>
          <w:lang w:val="fr-FR"/>
        </w:rPr>
        <w:t>ce</w:t>
      </w:r>
      <w:r w:rsidR="000E495C" w:rsidRPr="003C706B">
        <w:rPr>
          <w:color w:val="000000"/>
          <w:lang w:val="fr-FR"/>
        </w:rPr>
        <w:t>s 66%</w:t>
      </w:r>
      <w:r w:rsidR="004D7BC4" w:rsidRPr="003C706B">
        <w:rPr>
          <w:color w:val="000000"/>
          <w:lang w:val="fr-FR"/>
        </w:rPr>
        <w:t xml:space="preserve">, 65 % ont trouvé les informations utiles et ont déclaré avoir modifié leur comportement en conséquence. Cependant, aucune augmentation notable de </w:t>
      </w:r>
      <w:r w:rsidR="00184709" w:rsidRPr="003C706B">
        <w:rPr>
          <w:color w:val="000000"/>
          <w:lang w:val="fr-FR"/>
        </w:rPr>
        <w:t>la participation</w:t>
      </w:r>
      <w:r w:rsidR="004D7BC4" w:rsidRPr="003C706B">
        <w:rPr>
          <w:color w:val="000000"/>
          <w:lang w:val="fr-FR"/>
        </w:rPr>
        <w:t xml:space="preserve"> des enfants n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a été observée. Cela pourrait s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expliquer par le fait que la campagne ne s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 xml:space="preserve">attaquait pas à la racine du problème, ou bien </w:t>
      </w:r>
      <w:r w:rsidR="000E495C" w:rsidRPr="003C706B">
        <w:rPr>
          <w:color w:val="000000"/>
          <w:lang w:val="fr-FR"/>
        </w:rPr>
        <w:t xml:space="preserve">parce </w:t>
      </w:r>
      <w:r w:rsidR="004D7BC4" w:rsidRPr="003C706B">
        <w:rPr>
          <w:color w:val="000000"/>
          <w:lang w:val="fr-FR"/>
        </w:rPr>
        <w:t>qu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 xml:space="preserve">il aurait fallu un délai plus long pour pouvoir </w:t>
      </w:r>
      <w:r w:rsidR="00184709" w:rsidRPr="003C706B">
        <w:rPr>
          <w:color w:val="000000"/>
          <w:lang w:val="fr-FR"/>
        </w:rPr>
        <w:t xml:space="preserve">en </w:t>
      </w:r>
      <w:r w:rsidR="004D7BC4" w:rsidRPr="003C706B">
        <w:rPr>
          <w:color w:val="000000"/>
          <w:lang w:val="fr-FR"/>
        </w:rPr>
        <w:t>observer tous les effets sur le comportement des enfants.</w:t>
      </w:r>
    </w:p>
    <w:p w14:paraId="14084F67" w14:textId="77777777" w:rsidR="00E971C8" w:rsidRPr="00053BE3" w:rsidRDefault="00E971C8" w:rsidP="00593F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DDAF045" w14:textId="24B19B8F" w:rsidR="00E971C8" w:rsidRPr="00053BE3" w:rsidRDefault="00D007FC" w:rsidP="00593F57">
      <w:pPr>
        <w:pStyle w:val="NormalWeb"/>
        <w:spacing w:before="0" w:beforeAutospacing="0" w:after="0" w:afterAutospacing="0" w:line="480" w:lineRule="auto"/>
        <w:rPr>
          <w:smallCaps/>
          <w:color w:val="000000"/>
          <w:lang w:val="fr-FR"/>
        </w:rPr>
      </w:pPr>
      <w:r w:rsidRPr="003C706B">
        <w:rPr>
          <w:smallCaps/>
          <w:color w:val="000000"/>
          <w:lang w:val="fr-FR"/>
        </w:rPr>
        <w:t>Expérience 6 : Personnes et lieu – Subvention expérimentale</w:t>
      </w:r>
    </w:p>
    <w:p w14:paraId="73405656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rPr>
          <w:smallCaps/>
          <w:lang w:val="fr-FR"/>
        </w:rPr>
      </w:pPr>
    </w:p>
    <w:p w14:paraId="063D2831" w14:textId="1BB0DDF5" w:rsidR="00E971C8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b/>
          <w:bCs/>
          <w:color w:val="000000"/>
          <w:lang w:val="fr-FR"/>
        </w:rPr>
        <w:t>Méthode :</w:t>
      </w:r>
      <w:r w:rsidRPr="003C706B">
        <w:rPr>
          <w:color w:val="000000"/>
          <w:lang w:val="fr-FR"/>
        </w:rPr>
        <w:t xml:space="preserve"> Dans une zone informelle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accueil des réfugiés, les 194 familles ont reçu une subvention unique, sans conditions,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un montant de 25 USD à dépenser comme elles le souhaitaient</w:t>
      </w:r>
      <w:r>
        <w:rPr>
          <w:rStyle w:val="FootnoteReference"/>
          <w:color w:val="000000"/>
        </w:rPr>
        <w:footnoteReference w:id="6"/>
      </w:r>
      <w:r w:rsidR="007B07A4" w:rsidRPr="003C706B">
        <w:rPr>
          <w:color w:val="000000"/>
          <w:lang w:val="fr-FR"/>
        </w:rPr>
        <w:t>.</w:t>
      </w:r>
      <w:r w:rsidRPr="003C706B">
        <w:rPr>
          <w:color w:val="000000"/>
          <w:lang w:val="fr-FR"/>
        </w:rPr>
        <w:t xml:space="preserve"> </w:t>
      </w:r>
      <w:r w:rsidR="007B07A4" w:rsidRPr="003C706B">
        <w:rPr>
          <w:color w:val="000000"/>
          <w:lang w:val="fr-FR"/>
        </w:rPr>
        <w:t>Différentes</w:t>
      </w:r>
      <w:r w:rsidRPr="003C706B">
        <w:rPr>
          <w:color w:val="000000"/>
          <w:lang w:val="fr-FR"/>
        </w:rPr>
        <w:t xml:space="preserve"> options ont été explicitement présentées aux familles avant le versement des fonds : garder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argent, louer un téléphone et une carte de données de navigation</w:t>
      </w:r>
      <w:r w:rsidR="007B07A4" w:rsidRPr="003C706B">
        <w:rPr>
          <w:color w:val="000000"/>
          <w:lang w:val="fr-FR"/>
        </w:rPr>
        <w:t xml:space="preserve"> Internet</w:t>
      </w:r>
      <w:r w:rsidRPr="003C706B">
        <w:rPr>
          <w:color w:val="000000"/>
          <w:lang w:val="fr-FR"/>
        </w:rPr>
        <w:t>, louer uniquement un téléphone, acheter uniquement une carte de données de navigation</w:t>
      </w:r>
      <w:r w:rsidR="007B07A4" w:rsidRPr="003C706B">
        <w:rPr>
          <w:color w:val="000000"/>
          <w:lang w:val="fr-FR"/>
        </w:rPr>
        <w:t xml:space="preserve"> Internet</w:t>
      </w:r>
      <w:r w:rsidRPr="003C706B">
        <w:rPr>
          <w:color w:val="000000"/>
          <w:lang w:val="fr-FR"/>
        </w:rPr>
        <w:t>.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impact sur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engagement a ensuite été mesuré à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aide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un questionnaire de retour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expérience, </w:t>
      </w:r>
      <w:r w:rsidR="007B07A4" w:rsidRPr="003C706B">
        <w:rPr>
          <w:color w:val="000000"/>
          <w:lang w:val="fr-FR"/>
        </w:rPr>
        <w:t>d’un suivi de</w:t>
      </w:r>
      <w:r w:rsidRPr="003C706B">
        <w:rPr>
          <w:color w:val="000000"/>
          <w:lang w:val="fr-FR"/>
        </w:rPr>
        <w:t xml:space="preserve">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assiduité et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entretiens approfondis.</w:t>
      </w:r>
    </w:p>
    <w:p w14:paraId="733B9885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50571369" w14:textId="362DA65C" w:rsidR="00E971C8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  <w:r w:rsidRPr="003C706B">
        <w:rPr>
          <w:b/>
          <w:bCs/>
          <w:color w:val="000000"/>
          <w:lang w:val="fr-FR"/>
        </w:rPr>
        <w:t>Résultat :</w:t>
      </w:r>
      <w:r w:rsidR="004D7BC4" w:rsidRPr="003C706B">
        <w:rPr>
          <w:color w:val="000000"/>
          <w:lang w:val="fr-FR"/>
        </w:rPr>
        <w:t xml:space="preserve"> </w:t>
      </w:r>
      <w:proofErr w:type="gramStart"/>
      <w:r w:rsidR="004D7BC4" w:rsidRPr="003C706B">
        <w:rPr>
          <w:color w:val="000000"/>
          <w:lang w:val="fr-FR"/>
        </w:rPr>
        <w:t>Suite à</w:t>
      </w:r>
      <w:proofErr w:type="gramEnd"/>
      <w:r w:rsidR="004D7BC4" w:rsidRPr="003C706B">
        <w:rPr>
          <w:color w:val="000000"/>
          <w:lang w:val="fr-FR"/>
        </w:rPr>
        <w:t xml:space="preserve"> la distribution de l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 xml:space="preserve">argent, </w:t>
      </w:r>
      <w:r w:rsidR="00097AAF" w:rsidRPr="003C706B">
        <w:rPr>
          <w:color w:val="000000"/>
          <w:lang w:val="fr-FR"/>
        </w:rPr>
        <w:t>la participation</w:t>
      </w:r>
      <w:r w:rsidR="004D7BC4" w:rsidRPr="003C706B">
        <w:rPr>
          <w:color w:val="000000"/>
          <w:lang w:val="fr-FR"/>
        </w:rPr>
        <w:t xml:space="preserve"> </w:t>
      </w:r>
      <w:r w:rsidR="00EB1C1A" w:rsidRPr="003C706B">
        <w:rPr>
          <w:color w:val="000000"/>
          <w:lang w:val="fr-FR"/>
        </w:rPr>
        <w:t>à</w:t>
      </w:r>
      <w:r w:rsidR="004D7BC4" w:rsidRPr="003C706B">
        <w:rPr>
          <w:color w:val="000000"/>
          <w:lang w:val="fr-FR"/>
        </w:rPr>
        <w:t xml:space="preserve"> l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 xml:space="preserve">apprentissage </w:t>
      </w:r>
      <w:r w:rsidR="00097AAF" w:rsidRPr="003C706B">
        <w:rPr>
          <w:color w:val="000000"/>
          <w:lang w:val="fr-FR"/>
        </w:rPr>
        <w:t>via</w:t>
      </w:r>
      <w:r w:rsidR="004D7BC4" w:rsidRPr="003C706B">
        <w:rPr>
          <w:color w:val="000000"/>
          <w:lang w:val="fr-FR"/>
        </w:rPr>
        <w:t xml:space="preserve"> WhatsApp a augmenté de 16 % (atteignant 64 %, contre une moyenne de 48 % avant l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expérience). La majorité des familles (58 %) a utilisé l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argent pour acheter un appareil et/ou des données de navigation</w:t>
      </w:r>
      <w:r w:rsidR="00097AAF" w:rsidRPr="003C706B">
        <w:rPr>
          <w:color w:val="000000"/>
          <w:lang w:val="fr-FR"/>
        </w:rPr>
        <w:t xml:space="preserve"> Internet</w:t>
      </w:r>
      <w:r w:rsidR="004D7BC4" w:rsidRPr="003C706B">
        <w:rPr>
          <w:color w:val="000000"/>
          <w:lang w:val="fr-FR"/>
        </w:rPr>
        <w:t>. L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 xml:space="preserve">option qui a eu le plus fort impact a été </w:t>
      </w:r>
      <w:r w:rsidR="00097AAF" w:rsidRPr="003C706B">
        <w:rPr>
          <w:color w:val="000000"/>
          <w:lang w:val="fr-FR"/>
        </w:rPr>
        <w:t>de louer</w:t>
      </w:r>
      <w:r w:rsidR="002025FB" w:rsidRPr="003C706B">
        <w:rPr>
          <w:color w:val="000000"/>
          <w:lang w:val="fr-FR"/>
        </w:rPr>
        <w:t xml:space="preserve"> à la fois</w:t>
      </w:r>
      <w:r w:rsidR="00097AAF" w:rsidRPr="003C706B">
        <w:rPr>
          <w:color w:val="000000"/>
          <w:lang w:val="fr-FR"/>
        </w:rPr>
        <w:t xml:space="preserve"> un</w:t>
      </w:r>
      <w:r w:rsidR="004D7BC4" w:rsidRPr="003C706B">
        <w:rPr>
          <w:color w:val="000000"/>
          <w:lang w:val="fr-FR"/>
        </w:rPr>
        <w:t xml:space="preserve"> téléphone </w:t>
      </w:r>
      <w:r w:rsidR="002025FB" w:rsidRPr="003C706B">
        <w:rPr>
          <w:color w:val="000000"/>
          <w:lang w:val="fr-FR"/>
        </w:rPr>
        <w:t>et</w:t>
      </w:r>
      <w:r w:rsidR="004D7BC4" w:rsidRPr="003C706B">
        <w:rPr>
          <w:color w:val="000000"/>
          <w:lang w:val="fr-FR"/>
        </w:rPr>
        <w:t xml:space="preserve"> </w:t>
      </w:r>
      <w:r w:rsidR="00097AAF" w:rsidRPr="003C706B">
        <w:rPr>
          <w:color w:val="000000"/>
          <w:lang w:val="fr-FR"/>
        </w:rPr>
        <w:t>des</w:t>
      </w:r>
      <w:r w:rsidR="004D7BC4" w:rsidRPr="003C706B">
        <w:rPr>
          <w:color w:val="000000"/>
          <w:lang w:val="fr-FR"/>
        </w:rPr>
        <w:t xml:space="preserve"> données de navigation : c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est là qu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>a été observée la plus forte augmentation de l</w:t>
      </w:r>
      <w:r w:rsidR="000F1265" w:rsidRPr="003C706B">
        <w:rPr>
          <w:color w:val="000000"/>
          <w:lang w:val="fr-FR"/>
        </w:rPr>
        <w:t>’</w:t>
      </w:r>
      <w:r w:rsidR="00097AAF" w:rsidRPr="003C706B">
        <w:rPr>
          <w:color w:val="000000"/>
          <w:lang w:val="fr-FR"/>
        </w:rPr>
        <w:t>engagement</w:t>
      </w:r>
      <w:r w:rsidR="004D7BC4" w:rsidRPr="003C706B">
        <w:rPr>
          <w:color w:val="000000"/>
          <w:lang w:val="fr-FR"/>
        </w:rPr>
        <w:t xml:space="preserve"> dans </w:t>
      </w:r>
      <w:r w:rsidR="000E495C" w:rsidRPr="003C706B">
        <w:rPr>
          <w:color w:val="000000"/>
          <w:lang w:val="fr-FR"/>
        </w:rPr>
        <w:t>l’apprentissage</w:t>
      </w:r>
      <w:r w:rsidR="004D7BC4" w:rsidRPr="003C706B">
        <w:rPr>
          <w:color w:val="000000"/>
          <w:lang w:val="fr-FR"/>
        </w:rPr>
        <w:t>. L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 xml:space="preserve">assiduité des élèves dont les familles ont choisi </w:t>
      </w:r>
      <w:r w:rsidR="00DC5FEE" w:rsidRPr="003C706B">
        <w:rPr>
          <w:color w:val="000000"/>
          <w:lang w:val="fr-FR"/>
        </w:rPr>
        <w:t>l’</w:t>
      </w:r>
      <w:r w:rsidR="004D7BC4" w:rsidRPr="003C706B">
        <w:rPr>
          <w:color w:val="000000"/>
          <w:lang w:val="fr-FR"/>
        </w:rPr>
        <w:t xml:space="preserve">option </w:t>
      </w:r>
      <w:r w:rsidR="004D7BC4" w:rsidRPr="003C706B">
        <w:rPr>
          <w:color w:val="000000"/>
          <w:lang w:val="fr-FR"/>
        </w:rPr>
        <w:lastRenderedPageBreak/>
        <w:t xml:space="preserve">téléphone </w:t>
      </w:r>
      <w:r w:rsidR="00744709" w:rsidRPr="003C706B">
        <w:rPr>
          <w:color w:val="000000"/>
          <w:lang w:val="fr-FR"/>
        </w:rPr>
        <w:t>et</w:t>
      </w:r>
      <w:r w:rsidR="004D7BC4" w:rsidRPr="003C706B">
        <w:rPr>
          <w:color w:val="000000"/>
          <w:lang w:val="fr-FR"/>
        </w:rPr>
        <w:t xml:space="preserve"> données de navigation a atteint 78 % après l</w:t>
      </w:r>
      <w:r w:rsidR="000F1265" w:rsidRPr="003C706B">
        <w:rPr>
          <w:color w:val="000000"/>
          <w:lang w:val="fr-FR"/>
        </w:rPr>
        <w:t>’</w:t>
      </w:r>
      <w:r w:rsidR="004D7BC4" w:rsidRPr="003C706B">
        <w:rPr>
          <w:color w:val="000000"/>
          <w:lang w:val="fr-FR"/>
        </w:rPr>
        <w:t xml:space="preserve">expérience, contre une moyenne de 50 % </w:t>
      </w:r>
      <w:r w:rsidR="000E495C" w:rsidRPr="003C706B">
        <w:rPr>
          <w:color w:val="000000"/>
          <w:lang w:val="fr-FR"/>
        </w:rPr>
        <w:t>aupar</w:t>
      </w:r>
      <w:r w:rsidR="004D7BC4" w:rsidRPr="003C706B">
        <w:rPr>
          <w:color w:val="000000"/>
          <w:lang w:val="fr-FR"/>
        </w:rPr>
        <w:t>avant.</w:t>
      </w:r>
    </w:p>
    <w:p w14:paraId="37908EF8" w14:textId="77777777" w:rsidR="00E971C8" w:rsidRPr="00053BE3" w:rsidRDefault="00E971C8" w:rsidP="00593F5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3FC9822E" w14:textId="550E27FA" w:rsidR="004D7BC4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color w:val="000000"/>
          <w:lang w:val="fr-FR"/>
        </w:rPr>
        <w:t>Les résultats combinés des expériences 4, 5 et 6 confirment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hypothèse selon laquelle les parents donnent la priorité à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éducation de leurs enfants lorsqu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on leur apporte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aide nécessaire pour le faire. Ces résultats indiquent que des solutions </w:t>
      </w:r>
      <w:r w:rsidR="002025FB" w:rsidRPr="003C706B">
        <w:rPr>
          <w:color w:val="000000"/>
          <w:lang w:val="fr-FR"/>
        </w:rPr>
        <w:t xml:space="preserve">telles qu’une </w:t>
      </w:r>
      <w:r w:rsidRPr="003C706B">
        <w:rPr>
          <w:color w:val="000000"/>
          <w:lang w:val="fr-FR"/>
        </w:rPr>
        <w:t xml:space="preserve">aide financière inconditionnelle </w:t>
      </w:r>
      <w:proofErr w:type="gramStart"/>
      <w:r w:rsidRPr="003C706B">
        <w:rPr>
          <w:color w:val="000000"/>
          <w:lang w:val="fr-FR"/>
        </w:rPr>
        <w:t>pourraient</w:t>
      </w:r>
      <w:proofErr w:type="gramEnd"/>
      <w:r w:rsidRPr="003C706B">
        <w:rPr>
          <w:color w:val="000000"/>
          <w:lang w:val="fr-FR"/>
        </w:rPr>
        <w:t xml:space="preserve"> être développées à grande échelle pour résoudre le problème de la participation des enfants défavorisés dans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enseignement à distance.</w:t>
      </w:r>
    </w:p>
    <w:p w14:paraId="3094007E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38E3BD30" w14:textId="14E371B6" w:rsidR="002A118A" w:rsidRPr="00053BE3" w:rsidRDefault="00D007F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color w:val="000000"/>
          <w:lang w:val="fr-FR"/>
        </w:rPr>
        <w:t xml:space="preserve">À la fin du </w:t>
      </w:r>
      <w:proofErr w:type="spellStart"/>
      <w:r w:rsidRPr="003C706B">
        <w:rPr>
          <w:color w:val="000000"/>
          <w:lang w:val="fr-FR"/>
        </w:rPr>
        <w:t>sandbox</w:t>
      </w:r>
      <w:proofErr w:type="spellEnd"/>
      <w:r w:rsidRPr="003C706B">
        <w:rPr>
          <w:color w:val="000000"/>
          <w:lang w:val="fr-FR"/>
        </w:rPr>
        <w:t>,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équipe a organisé un atelier final au cours duquel elle a réfléchi aux possibilités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extension du programme à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autres bénéficiaires et aux voies possibles pour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avenir. Elle a notamment </w:t>
      </w:r>
      <w:r w:rsidR="00D742EC" w:rsidRPr="003C706B">
        <w:rPr>
          <w:color w:val="000000"/>
          <w:lang w:val="fr-FR"/>
        </w:rPr>
        <w:t>réfléchi aux moyens d’</w:t>
      </w:r>
      <w:r w:rsidR="004A322B" w:rsidRPr="003C706B">
        <w:rPr>
          <w:color w:val="000000"/>
          <w:lang w:val="fr-FR"/>
        </w:rPr>
        <w:t xml:space="preserve">adapter </w:t>
      </w:r>
      <w:proofErr w:type="spellStart"/>
      <w:r w:rsidRPr="003C706B">
        <w:rPr>
          <w:color w:val="000000"/>
          <w:lang w:val="fr-FR"/>
        </w:rPr>
        <w:t>Azima</w:t>
      </w:r>
      <w:proofErr w:type="spellEnd"/>
      <w:r w:rsidRPr="003C706B">
        <w:rPr>
          <w:color w:val="000000"/>
          <w:lang w:val="fr-FR"/>
        </w:rPr>
        <w:t xml:space="preserve"> </w:t>
      </w:r>
      <w:r w:rsidR="004A322B" w:rsidRPr="003C706B">
        <w:rPr>
          <w:color w:val="000000"/>
          <w:lang w:val="fr-FR"/>
        </w:rPr>
        <w:t>aux</w:t>
      </w:r>
      <w:r w:rsidRPr="003C706B">
        <w:rPr>
          <w:color w:val="000000"/>
          <w:lang w:val="fr-FR"/>
        </w:rPr>
        <w:t xml:space="preserve"> enfants déscolarisés de manière permanente au cours de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année scolaire suivante, lorsque les restrictions ser</w:t>
      </w:r>
      <w:r w:rsidR="002025FB" w:rsidRPr="003C706B">
        <w:rPr>
          <w:color w:val="000000"/>
          <w:lang w:val="fr-FR"/>
        </w:rPr>
        <w:t>aie</w:t>
      </w:r>
      <w:r w:rsidRPr="003C706B">
        <w:rPr>
          <w:color w:val="000000"/>
          <w:lang w:val="fr-FR"/>
        </w:rPr>
        <w:t xml:space="preserve">nt allégées et que les élèves de </w:t>
      </w:r>
      <w:proofErr w:type="spellStart"/>
      <w:r w:rsidRPr="003C706B">
        <w:rPr>
          <w:color w:val="000000"/>
          <w:lang w:val="fr-FR"/>
        </w:rPr>
        <w:t>Jusoor</w:t>
      </w:r>
      <w:proofErr w:type="spellEnd"/>
      <w:r w:rsidRPr="003C706B">
        <w:rPr>
          <w:color w:val="000000"/>
          <w:lang w:val="fr-FR"/>
        </w:rPr>
        <w:t xml:space="preserve"> reprendr</w:t>
      </w:r>
      <w:r w:rsidR="002025FB" w:rsidRPr="003C706B">
        <w:rPr>
          <w:color w:val="000000"/>
          <w:lang w:val="fr-FR"/>
        </w:rPr>
        <w:t>aie</w:t>
      </w:r>
      <w:r w:rsidRPr="003C706B">
        <w:rPr>
          <w:color w:val="000000"/>
          <w:lang w:val="fr-FR"/>
        </w:rPr>
        <w:t>nt les cours en présentiel.</w:t>
      </w:r>
    </w:p>
    <w:p w14:paraId="13DDA4FF" w14:textId="77777777" w:rsidR="004D7BC4" w:rsidRPr="00053BE3" w:rsidRDefault="004D7BC4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390F73D9" w14:textId="77777777" w:rsidR="00942FB3" w:rsidRPr="00053BE3" w:rsidRDefault="00D007FC" w:rsidP="00593F57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RÉFLEXION CRITIQUE</w:t>
      </w:r>
    </w:p>
    <w:p w14:paraId="20DC21ED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</w:p>
    <w:p w14:paraId="380E4FA0" w14:textId="555E2CD6" w:rsidR="004D7BC4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b/>
          <w:color w:val="000000"/>
          <w:lang w:val="fr-FR"/>
        </w:rPr>
      </w:pPr>
      <w:r w:rsidRPr="003C706B">
        <w:rPr>
          <w:color w:val="000000"/>
          <w:lang w:val="fr-FR"/>
        </w:rPr>
        <w:t>Dans cette note de terrain, nous avons présenté une étude de cas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une application du modèle </w:t>
      </w:r>
      <w:proofErr w:type="spellStart"/>
      <w:r w:rsidRPr="003C706B">
        <w:rPr>
          <w:color w:val="000000"/>
          <w:lang w:val="fr-FR"/>
        </w:rPr>
        <w:t>sandbox</w:t>
      </w:r>
      <w:proofErr w:type="spellEnd"/>
      <w:r w:rsidRPr="003C706B">
        <w:rPr>
          <w:color w:val="000000"/>
          <w:lang w:val="fr-FR"/>
        </w:rPr>
        <w:t>, une approche novatrice permettant de développer et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affiner rapidement un nouveau programme éducatif en contexte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urgence. Cette étude de cas montre que le modèle </w:t>
      </w:r>
      <w:proofErr w:type="spellStart"/>
      <w:r w:rsidRPr="003C706B">
        <w:rPr>
          <w:color w:val="000000"/>
          <w:lang w:val="fr-FR"/>
        </w:rPr>
        <w:t>sandbox</w:t>
      </w:r>
      <w:proofErr w:type="spellEnd"/>
      <w:r w:rsidRPr="003C706B">
        <w:rPr>
          <w:color w:val="000000"/>
          <w:lang w:val="fr-FR"/>
        </w:rPr>
        <w:t xml:space="preserve"> peut constituer un moyen utile, économique et rapide de mener des recherches permett</w:t>
      </w:r>
      <w:r w:rsidR="000E495C" w:rsidRPr="003C706B">
        <w:rPr>
          <w:color w:val="000000"/>
          <w:lang w:val="fr-FR"/>
        </w:rPr>
        <w:t>a</w:t>
      </w:r>
      <w:r w:rsidRPr="003C706B">
        <w:rPr>
          <w:color w:val="000000"/>
          <w:lang w:val="fr-FR"/>
        </w:rPr>
        <w:t>nt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orienter les itérations du programme </w:t>
      </w:r>
      <w:r w:rsidR="004A5A27" w:rsidRPr="003C706B">
        <w:rPr>
          <w:color w:val="000000"/>
          <w:lang w:val="fr-FR"/>
        </w:rPr>
        <w:t>au cours</w:t>
      </w:r>
      <w:r w:rsidRPr="003C706B">
        <w:rPr>
          <w:color w:val="000000"/>
          <w:lang w:val="fr-FR"/>
        </w:rPr>
        <w:t xml:space="preserve"> de sa mise en œuvre.</w:t>
      </w:r>
    </w:p>
    <w:p w14:paraId="18116E64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6FC4ADD2" w14:textId="16C68BAC" w:rsidR="004D7BC4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color w:val="000000"/>
          <w:lang w:val="fr-FR"/>
        </w:rPr>
        <w:t>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approche </w:t>
      </w:r>
      <w:proofErr w:type="spellStart"/>
      <w:r w:rsidRPr="003C706B">
        <w:rPr>
          <w:color w:val="000000"/>
          <w:lang w:val="fr-FR"/>
        </w:rPr>
        <w:t>sandbox</w:t>
      </w:r>
      <w:proofErr w:type="spellEnd"/>
      <w:r w:rsidRPr="003C706B">
        <w:rPr>
          <w:color w:val="000000"/>
          <w:lang w:val="fr-FR"/>
        </w:rPr>
        <w:t xml:space="preserve"> place les </w:t>
      </w:r>
      <w:r w:rsidR="00900F9B" w:rsidRPr="003C706B">
        <w:rPr>
          <w:color w:val="000000"/>
          <w:lang w:val="fr-FR"/>
        </w:rPr>
        <w:t>praticiens</w:t>
      </w:r>
      <w:r w:rsidRPr="003C706B">
        <w:rPr>
          <w:color w:val="000000"/>
          <w:lang w:val="fr-FR"/>
        </w:rPr>
        <w:t xml:space="preserve"> eux-mêmes dans le rôle de chercheurs, ce qui peut présenter certains risques ou certaines faiblesses. Les professionnels d</w:t>
      </w:r>
      <w:r w:rsidR="00883406" w:rsidRPr="003C706B">
        <w:rPr>
          <w:color w:val="000000"/>
          <w:lang w:val="fr-FR"/>
        </w:rPr>
        <w:t>’un</w:t>
      </w:r>
      <w:r w:rsidRPr="003C706B">
        <w:rPr>
          <w:color w:val="000000"/>
          <w:lang w:val="fr-FR"/>
        </w:rPr>
        <w:t xml:space="preserve"> domaine peuvent </w:t>
      </w:r>
      <w:r w:rsidRPr="003C706B">
        <w:rPr>
          <w:color w:val="000000"/>
          <w:lang w:val="fr-FR"/>
        </w:rPr>
        <w:lastRenderedPageBreak/>
        <w:t>n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avoir ni le temps de collecter des données avec la même rigueur que </w:t>
      </w:r>
      <w:r w:rsidR="00883406" w:rsidRPr="003C706B">
        <w:rPr>
          <w:color w:val="000000"/>
          <w:lang w:val="fr-FR"/>
        </w:rPr>
        <w:t>des chercheurs</w:t>
      </w:r>
      <w:r w:rsidRPr="003C706B">
        <w:rPr>
          <w:color w:val="000000"/>
          <w:lang w:val="fr-FR"/>
        </w:rPr>
        <w:t xml:space="preserve"> </w:t>
      </w:r>
      <w:r w:rsidR="000E495C" w:rsidRPr="003C706B">
        <w:rPr>
          <w:color w:val="000000"/>
          <w:lang w:val="fr-FR"/>
        </w:rPr>
        <w:t>menant</w:t>
      </w:r>
      <w:r w:rsidRPr="003C706B">
        <w:rPr>
          <w:color w:val="000000"/>
          <w:lang w:val="fr-FR"/>
        </w:rPr>
        <w:t xml:space="preserve"> des </w:t>
      </w:r>
      <w:r w:rsidR="00883406" w:rsidRPr="003C706B">
        <w:rPr>
          <w:color w:val="000000"/>
          <w:lang w:val="fr-FR"/>
        </w:rPr>
        <w:t>études</w:t>
      </w:r>
      <w:r w:rsidRPr="003C706B">
        <w:rPr>
          <w:color w:val="000000"/>
          <w:lang w:val="fr-FR"/>
        </w:rPr>
        <w:t xml:space="preserve"> plus formel</w:t>
      </w:r>
      <w:r w:rsidR="00883406" w:rsidRPr="003C706B">
        <w:rPr>
          <w:color w:val="000000"/>
          <w:lang w:val="fr-FR"/>
        </w:rPr>
        <w:t>le</w:t>
      </w:r>
      <w:r w:rsidRPr="003C706B">
        <w:rPr>
          <w:color w:val="000000"/>
          <w:lang w:val="fr-FR"/>
        </w:rPr>
        <w:t xml:space="preserve">s, ni les compétences nécessaires à la recherche. Le fait que les </w:t>
      </w:r>
      <w:r w:rsidR="0024678B" w:rsidRPr="003C706B">
        <w:rPr>
          <w:color w:val="000000"/>
          <w:lang w:val="fr-FR"/>
        </w:rPr>
        <w:t>praticiens</w:t>
      </w:r>
      <w:r w:rsidRPr="003C706B">
        <w:rPr>
          <w:color w:val="000000"/>
          <w:lang w:val="fr-FR"/>
        </w:rPr>
        <w:t xml:space="preserve"> évaluent leurs propres projets peut créer un biais et </w:t>
      </w:r>
      <w:r w:rsidR="003663F8" w:rsidRPr="003C706B">
        <w:rPr>
          <w:color w:val="000000"/>
          <w:lang w:val="fr-FR"/>
        </w:rPr>
        <w:t>re</w:t>
      </w:r>
      <w:r w:rsidR="0024678B" w:rsidRPr="003C706B">
        <w:rPr>
          <w:color w:val="000000"/>
          <w:lang w:val="fr-FR"/>
        </w:rPr>
        <w:t>mettre en question le</w:t>
      </w:r>
      <w:r w:rsidRPr="003C706B">
        <w:rPr>
          <w:color w:val="000000"/>
          <w:lang w:val="fr-FR"/>
        </w:rPr>
        <w:t xml:space="preserve"> caractère indépendant de la recherche. Toutefois, un </w:t>
      </w:r>
      <w:proofErr w:type="spellStart"/>
      <w:r w:rsidRPr="003C706B">
        <w:rPr>
          <w:color w:val="000000"/>
          <w:lang w:val="fr-FR"/>
        </w:rPr>
        <w:t>sandbox</w:t>
      </w:r>
      <w:proofErr w:type="spellEnd"/>
      <w:r w:rsidRPr="003C706B">
        <w:rPr>
          <w:color w:val="000000"/>
          <w:lang w:val="fr-FR"/>
        </w:rPr>
        <w:t xml:space="preserve"> peut aussi </w:t>
      </w:r>
      <w:r w:rsidR="00505AA1" w:rsidRPr="003C706B">
        <w:rPr>
          <w:color w:val="000000"/>
          <w:lang w:val="fr-FR"/>
        </w:rPr>
        <w:t>aider les</w:t>
      </w:r>
      <w:r w:rsidRPr="003C706B">
        <w:rPr>
          <w:color w:val="000000"/>
          <w:lang w:val="fr-FR"/>
        </w:rPr>
        <w:t xml:space="preserve"> </w:t>
      </w:r>
      <w:r w:rsidR="000E495C" w:rsidRPr="003C706B">
        <w:rPr>
          <w:color w:val="000000"/>
          <w:lang w:val="fr-FR"/>
        </w:rPr>
        <w:t xml:space="preserve">acteurs </w:t>
      </w:r>
      <w:r w:rsidR="00505AA1" w:rsidRPr="003C706B">
        <w:rPr>
          <w:color w:val="000000"/>
          <w:lang w:val="fr-FR"/>
        </w:rPr>
        <w:t xml:space="preserve">à </w:t>
      </w:r>
      <w:r w:rsidRPr="003C706B">
        <w:rPr>
          <w:color w:val="000000"/>
          <w:lang w:val="fr-FR"/>
        </w:rPr>
        <w:t xml:space="preserve">porter un autre regard sur leurs pratiques et </w:t>
      </w:r>
      <w:r w:rsidR="00505AA1" w:rsidRPr="003C706B">
        <w:rPr>
          <w:color w:val="000000"/>
          <w:lang w:val="fr-FR"/>
        </w:rPr>
        <w:t xml:space="preserve">leur permettre de </w:t>
      </w:r>
      <w:r w:rsidRPr="003C706B">
        <w:rPr>
          <w:color w:val="000000"/>
          <w:lang w:val="fr-FR"/>
        </w:rPr>
        <w:t>produire en priorité des données qui auront un intérêt pratique dans leur contexte particulier.</w:t>
      </w:r>
    </w:p>
    <w:p w14:paraId="674D33AB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17C413FF" w14:textId="039DAA7E" w:rsidR="004D7BC4" w:rsidRPr="00053BE3" w:rsidRDefault="00E74950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color w:val="000000"/>
          <w:lang w:val="fr-FR"/>
        </w:rPr>
        <w:t xml:space="preserve">Les données produites </w:t>
      </w:r>
      <w:r w:rsidR="00D007FC" w:rsidRPr="003C706B">
        <w:rPr>
          <w:color w:val="000000"/>
          <w:lang w:val="fr-FR"/>
        </w:rPr>
        <w:t>lors d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 xml:space="preserve">un </w:t>
      </w:r>
      <w:proofErr w:type="spellStart"/>
      <w:r w:rsidR="00D007FC" w:rsidRPr="003C706B">
        <w:rPr>
          <w:color w:val="000000"/>
          <w:lang w:val="fr-FR"/>
        </w:rPr>
        <w:t>sandbox</w:t>
      </w:r>
      <w:proofErr w:type="spellEnd"/>
      <w:r w:rsidR="00D007FC" w:rsidRPr="003C706B">
        <w:rPr>
          <w:color w:val="000000"/>
          <w:lang w:val="fr-FR"/>
        </w:rPr>
        <w:t xml:space="preserve"> </w:t>
      </w:r>
      <w:r w:rsidR="009D7A34" w:rsidRPr="003C706B">
        <w:rPr>
          <w:color w:val="000000"/>
          <w:lang w:val="fr-FR"/>
        </w:rPr>
        <w:t>dépendent largement</w:t>
      </w:r>
      <w:r w:rsidR="00E34706" w:rsidRPr="003C706B">
        <w:rPr>
          <w:color w:val="000000"/>
          <w:lang w:val="fr-FR"/>
        </w:rPr>
        <w:t xml:space="preserve"> </w:t>
      </w:r>
      <w:r w:rsidR="00B57691" w:rsidRPr="003C706B">
        <w:rPr>
          <w:color w:val="000000"/>
          <w:lang w:val="fr-FR"/>
        </w:rPr>
        <w:t>d</w:t>
      </w:r>
      <w:r w:rsidR="00CF6638" w:rsidRPr="003C706B">
        <w:rPr>
          <w:color w:val="000000"/>
          <w:lang w:val="fr-FR"/>
        </w:rPr>
        <w:t>u</w:t>
      </w:r>
      <w:r w:rsidR="00B57691" w:rsidRPr="003C706B">
        <w:rPr>
          <w:color w:val="000000"/>
          <w:lang w:val="fr-FR"/>
        </w:rPr>
        <w:t xml:space="preserve"> contexte</w:t>
      </w:r>
      <w:r w:rsidR="00D007FC" w:rsidRPr="003C706B">
        <w:rPr>
          <w:color w:val="000000"/>
          <w:lang w:val="fr-FR"/>
        </w:rPr>
        <w:t xml:space="preserve"> </w:t>
      </w:r>
      <w:r w:rsidR="00B57691" w:rsidRPr="003C706B">
        <w:rPr>
          <w:color w:val="000000"/>
          <w:lang w:val="fr-FR"/>
        </w:rPr>
        <w:t xml:space="preserve">particulier </w:t>
      </w:r>
      <w:r w:rsidR="007B5415" w:rsidRPr="003C706B">
        <w:rPr>
          <w:color w:val="000000"/>
          <w:lang w:val="fr-FR"/>
        </w:rPr>
        <w:t>de l’</w:t>
      </w:r>
      <w:r w:rsidR="00B57691" w:rsidRPr="003C706B">
        <w:rPr>
          <w:color w:val="000000"/>
          <w:lang w:val="fr-FR"/>
        </w:rPr>
        <w:t xml:space="preserve">intervention </w:t>
      </w:r>
      <w:r w:rsidR="00D007FC" w:rsidRPr="003C706B">
        <w:rPr>
          <w:color w:val="000000"/>
          <w:lang w:val="fr-FR"/>
        </w:rPr>
        <w:t>et</w:t>
      </w:r>
      <w:r w:rsidRPr="003C706B">
        <w:rPr>
          <w:color w:val="000000"/>
          <w:lang w:val="fr-FR"/>
        </w:rPr>
        <w:t xml:space="preserve"> sont axées sur</w:t>
      </w:r>
      <w:r w:rsidR="00B57691" w:rsidRPr="003C706B">
        <w:rPr>
          <w:color w:val="000000"/>
          <w:lang w:val="fr-FR"/>
        </w:rPr>
        <w:t xml:space="preserve"> son </w:t>
      </w:r>
      <w:r w:rsidR="00D007FC" w:rsidRPr="003C706B">
        <w:rPr>
          <w:color w:val="000000"/>
          <w:lang w:val="fr-FR"/>
        </w:rPr>
        <w:t>itération. Par conséquent, les conclusions tirées des données ne sont pas toujours généralisables et doivent être consciencieusement testées avant d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 xml:space="preserve">être appliquées </w:t>
      </w:r>
      <w:r w:rsidR="00BF5470" w:rsidRPr="003C706B">
        <w:rPr>
          <w:color w:val="000000"/>
          <w:lang w:val="fr-FR"/>
        </w:rPr>
        <w:t>à</w:t>
      </w:r>
      <w:r w:rsidR="00D007FC" w:rsidRPr="003C706B">
        <w:rPr>
          <w:color w:val="000000"/>
          <w:lang w:val="fr-FR"/>
        </w:rPr>
        <w:t xml:space="preserve"> d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>autres contextes. Cela étant, l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 xml:space="preserve">approche </w:t>
      </w:r>
      <w:proofErr w:type="spellStart"/>
      <w:r w:rsidR="00D007FC" w:rsidRPr="003C706B">
        <w:rPr>
          <w:color w:val="000000"/>
          <w:lang w:val="fr-FR"/>
        </w:rPr>
        <w:t>sandbox</w:t>
      </w:r>
      <w:proofErr w:type="spellEnd"/>
      <w:r w:rsidR="00D007FC" w:rsidRPr="003C706B">
        <w:rPr>
          <w:color w:val="000000"/>
          <w:lang w:val="fr-FR"/>
        </w:rPr>
        <w:t xml:space="preserve"> est en elle-même très flexible et transférable puisqu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>elle s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>articule autour de la réflexion et de l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 xml:space="preserve">itération. Prendre le temps de définir des hypothèses critiques et </w:t>
      </w:r>
      <w:r w:rsidR="000D46CD" w:rsidRPr="003C706B">
        <w:rPr>
          <w:color w:val="000000"/>
          <w:lang w:val="fr-FR"/>
        </w:rPr>
        <w:t xml:space="preserve">de réévaluer l’intervention </w:t>
      </w:r>
      <w:r w:rsidR="00D007FC" w:rsidRPr="003C706B">
        <w:rPr>
          <w:color w:val="000000"/>
          <w:lang w:val="fr-FR"/>
        </w:rPr>
        <w:t>au fur et à mesure qu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 xml:space="preserve">une vision plus précise se forme lors des sprints </w:t>
      </w:r>
      <w:r w:rsidR="00505AA1" w:rsidRPr="003C706B">
        <w:rPr>
          <w:color w:val="000000"/>
          <w:lang w:val="fr-FR"/>
        </w:rPr>
        <w:t xml:space="preserve">constituent </w:t>
      </w:r>
      <w:r w:rsidR="00D007FC" w:rsidRPr="003C706B">
        <w:rPr>
          <w:color w:val="000000"/>
          <w:lang w:val="fr-FR"/>
        </w:rPr>
        <w:t>des principes qui peuvent s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 xml:space="preserve">appliquer dans des contextes très divers. En travaillant par sprints, nous nous sommes régulièrement arrêtés pour réfléchir </w:t>
      </w:r>
      <w:r w:rsidR="000D46CD" w:rsidRPr="003C706B">
        <w:rPr>
          <w:color w:val="000000"/>
          <w:lang w:val="fr-FR"/>
        </w:rPr>
        <w:t>conjointement</w:t>
      </w:r>
      <w:r w:rsidR="00D007FC" w:rsidRPr="003C706B">
        <w:rPr>
          <w:color w:val="000000"/>
          <w:lang w:val="fr-FR"/>
        </w:rPr>
        <w:t xml:space="preserve"> à ce que nous apprenions et avons utilisé ces informations pour définir les prochaines étapes et expériences. </w:t>
      </w:r>
      <w:r w:rsidR="00505AA1" w:rsidRPr="003C706B">
        <w:rPr>
          <w:color w:val="000000"/>
          <w:lang w:val="fr-FR"/>
        </w:rPr>
        <w:t>L</w:t>
      </w:r>
      <w:r w:rsidR="00D007FC" w:rsidRPr="003C706B">
        <w:rPr>
          <w:color w:val="000000"/>
          <w:lang w:val="fr-FR"/>
        </w:rPr>
        <w:t xml:space="preserve">a nature de nos expériences a </w:t>
      </w:r>
      <w:r w:rsidR="00505AA1" w:rsidRPr="003C706B">
        <w:rPr>
          <w:color w:val="000000"/>
          <w:lang w:val="fr-FR"/>
        </w:rPr>
        <w:t xml:space="preserve">ainsi </w:t>
      </w:r>
      <w:r w:rsidR="00D007FC" w:rsidRPr="003C706B">
        <w:rPr>
          <w:color w:val="000000"/>
          <w:lang w:val="fr-FR"/>
        </w:rPr>
        <w:t>changé radicalement entre le premier et le deuxième sprint car nous avons réalisé combien il était important d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>approfondir ce qu</w:t>
      </w:r>
      <w:r w:rsidR="000F1265" w:rsidRPr="003C706B">
        <w:rPr>
          <w:color w:val="000000"/>
          <w:lang w:val="fr-FR"/>
        </w:rPr>
        <w:t>’</w:t>
      </w:r>
      <w:r w:rsidR="00D007FC" w:rsidRPr="003C706B">
        <w:rPr>
          <w:color w:val="000000"/>
          <w:lang w:val="fr-FR"/>
        </w:rPr>
        <w:t>il faudrait faire pour réduire les obstacles à la participation des élèves.</w:t>
      </w:r>
    </w:p>
    <w:p w14:paraId="583FCE30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lang w:val="fr-FR"/>
        </w:rPr>
      </w:pPr>
    </w:p>
    <w:p w14:paraId="22D5FC41" w14:textId="64C69F32" w:rsidR="00942FB3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color w:val="000000"/>
          <w:lang w:val="fr-FR"/>
        </w:rPr>
        <w:t xml:space="preserve">Le cadre conceptuel des 6P constitue également un moyen de </w:t>
      </w:r>
      <w:r w:rsidR="003021CB" w:rsidRPr="003C706B">
        <w:rPr>
          <w:color w:val="000000"/>
          <w:lang w:val="fr-FR"/>
        </w:rPr>
        <w:t>prendre en compte</w:t>
      </w:r>
      <w:r w:rsidRPr="003C706B">
        <w:rPr>
          <w:color w:val="000000"/>
          <w:lang w:val="fr-FR"/>
        </w:rPr>
        <w:t xml:space="preserve"> de manière systématique </w:t>
      </w:r>
      <w:r w:rsidR="003021CB" w:rsidRPr="003C706B">
        <w:rPr>
          <w:color w:val="000000"/>
          <w:lang w:val="fr-FR"/>
        </w:rPr>
        <w:t xml:space="preserve">l’ensemble des </w:t>
      </w:r>
      <w:r w:rsidRPr="003C706B">
        <w:rPr>
          <w:color w:val="000000"/>
          <w:lang w:val="fr-FR"/>
        </w:rPr>
        <w:t xml:space="preserve">facteurs </w:t>
      </w:r>
      <w:r w:rsidR="00083D38" w:rsidRPr="003C706B">
        <w:rPr>
          <w:color w:val="000000"/>
          <w:lang w:val="fr-FR"/>
        </w:rPr>
        <w:t>pouvant</w:t>
      </w:r>
      <w:r w:rsidRPr="003C706B">
        <w:rPr>
          <w:color w:val="000000"/>
          <w:lang w:val="fr-FR"/>
        </w:rPr>
        <w:t xml:space="preserve"> se recouper dans </w:t>
      </w:r>
      <w:r w:rsidR="003021CB" w:rsidRPr="003C706B">
        <w:rPr>
          <w:color w:val="000000"/>
          <w:lang w:val="fr-FR"/>
        </w:rPr>
        <w:t>la mise</w:t>
      </w:r>
      <w:r w:rsidRPr="003C706B">
        <w:rPr>
          <w:color w:val="000000"/>
          <w:lang w:val="fr-FR"/>
        </w:rPr>
        <w:t xml:space="preserve"> œuvre </w:t>
      </w:r>
      <w:r w:rsidR="003021CB" w:rsidRPr="003C706B">
        <w:rPr>
          <w:color w:val="000000"/>
          <w:lang w:val="fr-FR"/>
        </w:rPr>
        <w:t>de n’importe quelle</w:t>
      </w:r>
      <w:r w:rsidRPr="003C706B">
        <w:rPr>
          <w:color w:val="000000"/>
          <w:lang w:val="fr-FR"/>
        </w:rPr>
        <w:t xml:space="preserve"> technologie </w:t>
      </w:r>
      <w:proofErr w:type="spellStart"/>
      <w:proofErr w:type="gramStart"/>
      <w:r w:rsidR="00083D38" w:rsidRPr="003C706B">
        <w:rPr>
          <w:color w:val="000000"/>
          <w:lang w:val="fr-FR"/>
        </w:rPr>
        <w:t>educative</w:t>
      </w:r>
      <w:proofErr w:type="spellEnd"/>
      <w:r w:rsidR="00083D38" w:rsidRPr="003C706B">
        <w:rPr>
          <w:color w:val="000000"/>
          <w:lang w:val="fr-FR"/>
        </w:rPr>
        <w:t>;</w:t>
      </w:r>
      <w:proofErr w:type="gramEnd"/>
      <w:r w:rsidR="00083D38" w:rsidRPr="003C706B">
        <w:rPr>
          <w:color w:val="000000"/>
          <w:lang w:val="fr-FR"/>
        </w:rPr>
        <w:t xml:space="preserve"> il constitue également </w:t>
      </w:r>
      <w:r w:rsidRPr="003C706B">
        <w:rPr>
          <w:color w:val="000000"/>
          <w:lang w:val="fr-FR"/>
        </w:rPr>
        <w:t>un outil transférable permettant d</w:t>
      </w:r>
      <w:r w:rsidR="003021CB" w:rsidRPr="003C706B">
        <w:rPr>
          <w:color w:val="000000"/>
          <w:lang w:val="fr-FR"/>
        </w:rPr>
        <w:t xml:space="preserve">’intégrer </w:t>
      </w:r>
      <w:r w:rsidRPr="003C706B">
        <w:rPr>
          <w:color w:val="000000"/>
          <w:lang w:val="fr-FR"/>
        </w:rPr>
        <w:t>ces questions dans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autres contextes. Au sein de ce cadre, le choix de telle ou telle </w:t>
      </w:r>
      <w:r w:rsidRPr="003C706B">
        <w:rPr>
          <w:color w:val="000000"/>
          <w:lang w:val="fr-FR"/>
        </w:rPr>
        <w:lastRenderedPageBreak/>
        <w:t xml:space="preserve">expérience ou technique de collecte de données peut être adapté au contexte spécifique (Rahman </w:t>
      </w:r>
      <w:r w:rsidRPr="003C706B">
        <w:rPr>
          <w:i/>
          <w:iCs/>
          <w:color w:val="000000"/>
          <w:lang w:val="fr-FR"/>
        </w:rPr>
        <w:t>et al.</w:t>
      </w:r>
      <w:r w:rsidRPr="003C706B">
        <w:rPr>
          <w:color w:val="000000"/>
          <w:lang w:val="fr-FR"/>
        </w:rPr>
        <w:t>, 2021). C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est pourquoi l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approche </w:t>
      </w:r>
      <w:proofErr w:type="spellStart"/>
      <w:r w:rsidRPr="003C706B">
        <w:rPr>
          <w:color w:val="000000"/>
          <w:lang w:val="fr-FR"/>
        </w:rPr>
        <w:t>sandbox</w:t>
      </w:r>
      <w:proofErr w:type="spellEnd"/>
      <w:r w:rsidRPr="003C706B">
        <w:rPr>
          <w:color w:val="000000"/>
          <w:lang w:val="fr-FR"/>
        </w:rPr>
        <w:t xml:space="preserve"> a le potentiel de s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appliquer dans des contextes éducatifs très divers, en particulier là où les données manquent et où </w:t>
      </w:r>
      <w:r w:rsidR="007707F3" w:rsidRPr="003C706B">
        <w:rPr>
          <w:color w:val="000000"/>
          <w:lang w:val="fr-FR"/>
        </w:rPr>
        <w:t>il est nécessaire d’agir rapidement</w:t>
      </w:r>
      <w:r w:rsidRPr="003C706B">
        <w:rPr>
          <w:color w:val="000000"/>
          <w:lang w:val="fr-FR"/>
        </w:rPr>
        <w:t>.</w:t>
      </w:r>
    </w:p>
    <w:p w14:paraId="063B03E9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</w:p>
    <w:p w14:paraId="2111C143" w14:textId="77777777" w:rsidR="007C0661" w:rsidRPr="00053BE3" w:rsidRDefault="00D007FC" w:rsidP="00593F57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REMERCIEMENTS</w:t>
      </w:r>
    </w:p>
    <w:p w14:paraId="412FE2FC" w14:textId="77777777" w:rsidR="008C325C" w:rsidRPr="00053BE3" w:rsidRDefault="008C325C" w:rsidP="00593F57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</w:p>
    <w:p w14:paraId="6523A780" w14:textId="4E71BA0D" w:rsidR="007A5AE0" w:rsidRPr="00053BE3" w:rsidRDefault="00D007FC">
      <w:pPr>
        <w:pStyle w:val="NormalWeb"/>
        <w:spacing w:before="0" w:beforeAutospacing="0" w:after="0" w:afterAutospacing="0" w:line="480" w:lineRule="auto"/>
        <w:jc w:val="both"/>
        <w:rPr>
          <w:color w:val="000000"/>
          <w:lang w:val="fr-FR"/>
        </w:rPr>
      </w:pPr>
      <w:r w:rsidRPr="003C706B">
        <w:rPr>
          <w:color w:val="000000"/>
          <w:lang w:val="fr-FR"/>
        </w:rPr>
        <w:t xml:space="preserve">Nous tenons à remercier les équipes de </w:t>
      </w:r>
      <w:proofErr w:type="spellStart"/>
      <w:r w:rsidRPr="003C706B">
        <w:rPr>
          <w:color w:val="000000"/>
          <w:lang w:val="fr-FR"/>
        </w:rPr>
        <w:t>Jusoor</w:t>
      </w:r>
      <w:proofErr w:type="spellEnd"/>
      <w:r w:rsidRPr="003C706B">
        <w:rPr>
          <w:color w:val="000000"/>
          <w:lang w:val="fr-FR"/>
        </w:rPr>
        <w:t xml:space="preserve">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avoir essayé cette nouvelle approche et de nous avoir permis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en communiquer les résultats dans cette note de terrain ; le HCR de nous avoir guidés tout au long du </w:t>
      </w:r>
      <w:proofErr w:type="spellStart"/>
      <w:r w:rsidRPr="003C706B">
        <w:rPr>
          <w:color w:val="000000"/>
          <w:lang w:val="fr-FR"/>
        </w:rPr>
        <w:t>sandbox</w:t>
      </w:r>
      <w:proofErr w:type="spellEnd"/>
      <w:r w:rsidRPr="003C706B">
        <w:rPr>
          <w:color w:val="000000"/>
          <w:lang w:val="fr-FR"/>
        </w:rPr>
        <w:t> ; et le bureau britannique des Affaires étrangères et du Commonwealth ainsi que la Fondation Bill &amp; Melinda Gates d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 xml:space="preserve">avoir financé ce travail par </w:t>
      </w:r>
      <w:r w:rsidR="00F93456" w:rsidRPr="003C706B">
        <w:rPr>
          <w:color w:val="000000"/>
          <w:lang w:val="fr-FR"/>
        </w:rPr>
        <w:t>l’intermédiaire</w:t>
      </w:r>
      <w:r w:rsidRPr="003C706B">
        <w:rPr>
          <w:color w:val="000000"/>
          <w:lang w:val="fr-FR"/>
        </w:rPr>
        <w:t xml:space="preserve"> du </w:t>
      </w:r>
      <w:proofErr w:type="spellStart"/>
      <w:r w:rsidRPr="003C706B">
        <w:rPr>
          <w:color w:val="000000"/>
          <w:lang w:val="fr-FR"/>
        </w:rPr>
        <w:t>EdTech</w:t>
      </w:r>
      <w:proofErr w:type="spellEnd"/>
      <w:r w:rsidRPr="003C706B">
        <w:rPr>
          <w:color w:val="000000"/>
          <w:lang w:val="fr-FR"/>
        </w:rPr>
        <w:t xml:space="preserve"> Hub.</w:t>
      </w:r>
      <w:r w:rsidR="000E495C" w:rsidRPr="003C706B">
        <w:rPr>
          <w:color w:val="000000"/>
          <w:lang w:val="fr-FR"/>
        </w:rPr>
        <w:t xml:space="preserve"> N</w:t>
      </w:r>
      <w:r w:rsidRPr="003C706B">
        <w:rPr>
          <w:color w:val="000000"/>
          <w:lang w:val="fr-FR"/>
        </w:rPr>
        <w:t xml:space="preserve">ous </w:t>
      </w:r>
      <w:r w:rsidR="000E495C" w:rsidRPr="003C706B">
        <w:rPr>
          <w:color w:val="000000"/>
          <w:lang w:val="fr-FR"/>
        </w:rPr>
        <w:t>exprimons tout particulièrement</w:t>
      </w:r>
      <w:r w:rsidR="006700FE" w:rsidRPr="003C706B">
        <w:rPr>
          <w:color w:val="000000"/>
          <w:lang w:val="fr-FR"/>
        </w:rPr>
        <w:t xml:space="preserve"> </w:t>
      </w:r>
      <w:r w:rsidR="000E495C" w:rsidRPr="003C706B">
        <w:rPr>
          <w:color w:val="000000"/>
          <w:lang w:val="fr-FR"/>
        </w:rPr>
        <w:t xml:space="preserve">notre gratitude </w:t>
      </w:r>
      <w:r w:rsidR="006700FE" w:rsidRPr="003C706B">
        <w:rPr>
          <w:color w:val="000000"/>
          <w:lang w:val="fr-FR"/>
        </w:rPr>
        <w:t>envers les</w:t>
      </w:r>
      <w:r w:rsidRPr="003C706B">
        <w:rPr>
          <w:color w:val="000000"/>
          <w:lang w:val="fr-FR"/>
        </w:rPr>
        <w:t xml:space="preserve"> enseignants, </w:t>
      </w:r>
      <w:r w:rsidR="006700FE" w:rsidRPr="003C706B">
        <w:rPr>
          <w:color w:val="000000"/>
          <w:lang w:val="fr-FR"/>
        </w:rPr>
        <w:t>les</w:t>
      </w:r>
      <w:r w:rsidRPr="003C706B">
        <w:rPr>
          <w:color w:val="000000"/>
          <w:lang w:val="fr-FR"/>
        </w:rPr>
        <w:t xml:space="preserve"> parents et </w:t>
      </w:r>
      <w:r w:rsidR="006700FE" w:rsidRPr="003C706B">
        <w:rPr>
          <w:color w:val="000000"/>
          <w:lang w:val="fr-FR"/>
        </w:rPr>
        <w:t>les</w:t>
      </w:r>
      <w:r w:rsidRPr="003C706B">
        <w:rPr>
          <w:color w:val="000000"/>
          <w:lang w:val="fr-FR"/>
        </w:rPr>
        <w:t xml:space="preserve"> élèves des camps de réfugiés au Liban pour leur collaboration. Sans eux, ce travail n</w:t>
      </w:r>
      <w:r w:rsidR="000F1265" w:rsidRPr="003C706B">
        <w:rPr>
          <w:color w:val="000000"/>
          <w:lang w:val="fr-FR"/>
        </w:rPr>
        <w:t>’</w:t>
      </w:r>
      <w:r w:rsidRPr="003C706B">
        <w:rPr>
          <w:color w:val="000000"/>
          <w:lang w:val="fr-FR"/>
        </w:rPr>
        <w:t>aurait pas été possible.</w:t>
      </w:r>
    </w:p>
    <w:p w14:paraId="23DDBE0E" w14:textId="77777777" w:rsidR="008C325C" w:rsidRPr="00053BE3" w:rsidRDefault="008C325C" w:rsidP="00593F57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0CD0EFCA" w14:textId="77777777" w:rsidR="00942FB3" w:rsidRPr="00053BE3" w:rsidRDefault="00D007FC" w:rsidP="00593F57">
      <w:pPr>
        <w:spacing w:after="0" w:line="48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4E5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BIBLIOGRAPHIE</w:t>
      </w:r>
    </w:p>
    <w:p w14:paraId="468BBD8C" w14:textId="77777777" w:rsidR="00424591" w:rsidRPr="00053BE3" w:rsidRDefault="00424591" w:rsidP="003C706B">
      <w:pPr>
        <w:rPr>
          <w:lang w:eastAsia="en-GB"/>
        </w:rPr>
      </w:pPr>
    </w:p>
    <w:p w14:paraId="79F3814B" w14:textId="77777777" w:rsidR="00F236F9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</w:pPr>
      <w:r w:rsidRPr="003C706B">
        <w:rPr>
          <w:color w:val="000000"/>
          <w:lang w:val="fr-FR"/>
        </w:rPr>
        <w:t xml:space="preserve">Chang, Ann Mei. 2019. </w:t>
      </w:r>
      <w:r w:rsidRPr="000F1265">
        <w:rPr>
          <w:i/>
          <w:iCs/>
          <w:color w:val="000000"/>
          <w:lang w:val="en-US"/>
        </w:rPr>
        <w:t xml:space="preserve">Lean </w:t>
      </w:r>
      <w:proofErr w:type="gramStart"/>
      <w:r w:rsidRPr="000F1265">
        <w:rPr>
          <w:i/>
          <w:iCs/>
          <w:color w:val="000000"/>
          <w:lang w:val="en-US"/>
        </w:rPr>
        <w:t>Impact:</w:t>
      </w:r>
      <w:proofErr w:type="gramEnd"/>
      <w:r w:rsidRPr="000F1265">
        <w:rPr>
          <w:i/>
          <w:iCs/>
          <w:color w:val="000000"/>
          <w:lang w:val="en-US"/>
        </w:rPr>
        <w:t xml:space="preserve"> How to Innovate for Radically Greater Social Good. </w:t>
      </w:r>
      <w:r w:rsidR="009D2D85" w:rsidRPr="00053BE3">
        <w:rPr>
          <w:color w:val="000000"/>
          <w:lang w:val="en-US"/>
        </w:rPr>
        <w:t>Hoboken,</w:t>
      </w:r>
      <w:r w:rsidRPr="00053BE3">
        <w:rPr>
          <w:i/>
          <w:iCs/>
          <w:color w:val="000000"/>
          <w:lang w:val="en-US"/>
        </w:rPr>
        <w:t xml:space="preserve"> </w:t>
      </w:r>
      <w:r w:rsidR="00DD59D3" w:rsidRPr="00053BE3">
        <w:rPr>
          <w:color w:val="000000"/>
          <w:lang w:val="en-US"/>
        </w:rPr>
        <w:t>NJ: John Wiley &amp; Sons, Inc.</w:t>
      </w:r>
    </w:p>
    <w:p w14:paraId="0DB4077F" w14:textId="77777777" w:rsidR="006F1BF2" w:rsidRPr="004E5655" w:rsidRDefault="00D007FC" w:rsidP="00BB1D27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Crawfurd</w:t>
      </w:r>
      <w:proofErr w:type="spellEnd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Lee, Susannah Hares, Ana </w:t>
      </w:r>
      <w:proofErr w:type="spellStart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Minardi</w:t>
      </w:r>
      <w:proofErr w:type="spellEnd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and Justin </w:t>
      </w:r>
      <w:proofErr w:type="spellStart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Sandefur</w:t>
      </w:r>
      <w:proofErr w:type="spellEnd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. 2021. “Understanding Education Policy Preferences: Survey Experiments with Policymakers in 35 Developing Countries.” Working Paper 596. Washington, DC: Center for Global Development. </w:t>
      </w:r>
      <w:r w:rsidR="00AF55DA" w:rsidRPr="003C706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https://www.cgdev.org/sites/default/files/understanding-education-policy-preferences-survey-experiments-policymakers-35-developing.pdf</w:t>
      </w:r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.</w:t>
      </w:r>
    </w:p>
    <w:p w14:paraId="4E904051" w14:textId="77777777" w:rsidR="00AF55DA" w:rsidRPr="004E5655" w:rsidRDefault="00D007FC" w:rsidP="00BB1D27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3C7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lastRenderedPageBreak/>
        <w:t>Cukurova</w:t>
      </w:r>
      <w:proofErr w:type="spellEnd"/>
      <w:r w:rsidRPr="003C7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3C7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Mutlu</w:t>
      </w:r>
      <w:proofErr w:type="spellEnd"/>
      <w:r w:rsidRPr="003C7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Rosemary </w:t>
      </w:r>
      <w:proofErr w:type="spellStart"/>
      <w:r w:rsidRPr="003C7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Luckin</w:t>
      </w:r>
      <w:proofErr w:type="spellEnd"/>
      <w:r w:rsidRPr="003C7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and Alison Clark‐Wilson. 2019. “Creating the Golden Triangle of Evidence‐Informed Education Technology with EDUCATE.” </w:t>
      </w:r>
      <w:r w:rsidRPr="003C706B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British Journal of Educational Technology</w:t>
      </w:r>
      <w:r w:rsidRPr="003C706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50 (2): 490-504. </w:t>
      </w:r>
      <w:r w:rsidRPr="003C706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https://doi.org/10.1111/bjet.12727</w:t>
      </w:r>
      <w:r w:rsidR="00DD59D3" w:rsidRPr="003C706B">
        <w:rPr>
          <w:rStyle w:val="Hyperlink"/>
          <w:rFonts w:ascii="Times New Roman" w:hAnsi="Times New Roman" w:cs="Times New Roman"/>
          <w:color w:val="000000"/>
          <w:sz w:val="24"/>
          <w:szCs w:val="24"/>
          <w:u w:val="none"/>
          <w:shd w:val="clear" w:color="auto" w:fill="FFFFFF"/>
          <w:lang w:val="en-US"/>
        </w:rPr>
        <w:t>.</w:t>
      </w:r>
    </w:p>
    <w:p w14:paraId="0F005193" w14:textId="77777777" w:rsidR="004D7BC4" w:rsidRPr="003C706B" w:rsidRDefault="00D007FC" w:rsidP="00BB1D27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C70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EdTech Hub. 2022. “How to Ensure EdTech Interventions Take into Account the Whole Education System”. </w:t>
      </w:r>
      <w:r w:rsidR="00A70DB1" w:rsidRPr="003C706B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EdTech Hub</w:t>
      </w:r>
      <w:r w:rsidRPr="003C706B">
        <w:rPr>
          <w:rFonts w:ascii="Times New Roman" w:hAnsi="Times New Roman" w:cs="Times New Roman"/>
          <w:color w:val="000000"/>
          <w:sz w:val="24"/>
          <w:szCs w:val="24"/>
          <w:lang w:val="en-US"/>
        </w:rPr>
        <w:t>, August 31, 2022. https://edtechhub.org/2022/08/31/how-to-ensure-edtech-interventions-take-into-account-the-whole-education-system/.</w:t>
      </w:r>
    </w:p>
    <w:p w14:paraId="1A462855" w14:textId="77777777" w:rsidR="006F1BF2" w:rsidRPr="004E5655" w:rsidRDefault="00D007FC" w:rsidP="00BB1D27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Hale, Thomas, Noam Angrist, Raphael </w:t>
      </w:r>
      <w:proofErr w:type="spellStart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Goldszmidt</w:t>
      </w:r>
      <w:proofErr w:type="spellEnd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Beatriz Kira, Anna Petherick, Toby Phillips, Samuel Webster </w:t>
      </w:r>
      <w:r w:rsidRPr="003C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>et al.</w:t>
      </w:r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2021. “A Global Panel Database of Pandemic Policies (Oxford COVID-19 Government Response Tracker).” </w:t>
      </w:r>
      <w:r w:rsidRPr="003C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 xml:space="preserve">Nature Human </w:t>
      </w:r>
      <w:proofErr w:type="spellStart"/>
      <w:r w:rsidRPr="003C70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en-GB"/>
        </w:rPr>
        <w:t>Behaviour</w:t>
      </w:r>
      <w:proofErr w:type="spellEnd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 5 (4): 529-38. https://doi.org/10.1038/s41562-021-01079-8.</w:t>
      </w:r>
    </w:p>
    <w:p w14:paraId="1085F3A3" w14:textId="1E4A4475" w:rsidR="006F1BF2" w:rsidRPr="004E5655" w:rsidRDefault="00D007FC" w:rsidP="00BB1D27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Hennessy, Sara, Katy Jordan, Daniel A. Wagner, and EdTech Hub Team. 2021. “Problem Analysis and Focus of EdTech Hub</w:t>
      </w:r>
      <w:r w:rsidR="000F1265"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’</w:t>
      </w:r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s Work: Technology in Education in Low- and Middle-Income Countries.” </w:t>
      </w:r>
      <w:proofErr w:type="spellStart"/>
      <w:r w:rsidRPr="00053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EdTech</w:t>
      </w:r>
      <w:proofErr w:type="spellEnd"/>
      <w:r w:rsidRPr="00053BE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Hub.</w:t>
      </w:r>
      <w:r w:rsidRPr="00053BE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https://doi.org/10.5281/zenodo.4332693.</w:t>
      </w:r>
    </w:p>
    <w:p w14:paraId="7DE074E0" w14:textId="77777777" w:rsidR="00871678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  <w:rPr>
          <w:color w:val="000000"/>
        </w:rPr>
      </w:pPr>
      <w:r w:rsidRPr="00053BE3">
        <w:rPr>
          <w:color w:val="000000"/>
          <w:lang w:val="en-US"/>
        </w:rPr>
        <w:t xml:space="preserve">Jordan, Katy, and Joel Mitchell. 2020. “Messaging Apps, SMS, and Social Media: A Rapid Evidence Review.” </w:t>
      </w:r>
      <w:r w:rsidRPr="00053BE3">
        <w:rPr>
          <w:i/>
          <w:iCs/>
          <w:color w:val="000000"/>
          <w:lang w:val="en-US"/>
        </w:rPr>
        <w:t>EdTech Hub.</w:t>
      </w:r>
      <w:r w:rsidRPr="00053BE3">
        <w:rPr>
          <w:color w:val="000000"/>
          <w:lang w:val="en-US"/>
        </w:rPr>
        <w:t xml:space="preserve"> https://doi.org/10.5281/zenodo.4556938.</w:t>
      </w:r>
    </w:p>
    <w:p w14:paraId="26F0AC37" w14:textId="77777777" w:rsidR="00F236F9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</w:pPr>
      <w:r w:rsidRPr="00053BE3">
        <w:rPr>
          <w:color w:val="000000"/>
          <w:lang w:val="en-US"/>
        </w:rPr>
        <w:t>Kaiser, Caleb. 2019. “What Is Agile Methodology: A Primer on Moving Fast.”</w:t>
      </w:r>
      <w:r w:rsidRPr="00053BE3">
        <w:rPr>
          <w:i/>
          <w:iCs/>
          <w:color w:val="000000"/>
          <w:lang w:val="en-US"/>
        </w:rPr>
        <w:t xml:space="preserve"> AngelList </w:t>
      </w:r>
      <w:r w:rsidRPr="00053BE3">
        <w:rPr>
          <w:color w:val="000000"/>
          <w:lang w:val="en-US"/>
        </w:rPr>
        <w:t xml:space="preserve">(blog). August 28, 2019. </w:t>
      </w:r>
      <w:hyperlink r:id="rId13" w:history="1">
        <w:r w:rsidR="004D7BC4" w:rsidRPr="00053BE3">
          <w:rPr>
            <w:rStyle w:val="Hyperlink"/>
            <w:color w:val="auto"/>
            <w:u w:val="none"/>
            <w:lang w:val="en-US"/>
          </w:rPr>
          <w:t>https://angel.co/blog/agile-methodology-a-primer-on-moving-fast</w:t>
        </w:r>
      </w:hyperlink>
      <w:r w:rsidRPr="00053BE3">
        <w:rPr>
          <w:lang w:val="en-US"/>
        </w:rPr>
        <w:t>.</w:t>
      </w:r>
    </w:p>
    <w:p w14:paraId="7A0B70C0" w14:textId="77777777" w:rsidR="004D7BC4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  <w:rPr>
          <w:color w:val="000000"/>
        </w:rPr>
      </w:pPr>
      <w:proofErr w:type="spellStart"/>
      <w:r w:rsidRPr="00053BE3">
        <w:rPr>
          <w:color w:val="000000"/>
          <w:lang w:val="en-US"/>
        </w:rPr>
        <w:t>Khalayleh</w:t>
      </w:r>
      <w:proofErr w:type="spellEnd"/>
      <w:r w:rsidRPr="00053BE3">
        <w:rPr>
          <w:color w:val="000000"/>
          <w:lang w:val="en-US"/>
        </w:rPr>
        <w:t xml:space="preserve">, Abdullah. 2021. “Determining the Suitability of WhatsApp for the </w:t>
      </w:r>
      <w:proofErr w:type="spellStart"/>
      <w:r w:rsidRPr="00053BE3">
        <w:rPr>
          <w:color w:val="000000"/>
          <w:lang w:val="en-US"/>
        </w:rPr>
        <w:t>Jusoor</w:t>
      </w:r>
      <w:proofErr w:type="spellEnd"/>
      <w:r w:rsidRPr="00053BE3">
        <w:rPr>
          <w:color w:val="000000"/>
          <w:lang w:val="en-US"/>
        </w:rPr>
        <w:t xml:space="preserve"> </w:t>
      </w:r>
      <w:proofErr w:type="spellStart"/>
      <w:r w:rsidRPr="00053BE3">
        <w:rPr>
          <w:color w:val="000000"/>
          <w:lang w:val="en-US"/>
        </w:rPr>
        <w:t>Azima</w:t>
      </w:r>
      <w:proofErr w:type="spellEnd"/>
      <w:r w:rsidRPr="00053BE3">
        <w:rPr>
          <w:color w:val="000000"/>
          <w:lang w:val="en-US"/>
        </w:rPr>
        <w:t xml:space="preserve"> Project.” </w:t>
      </w:r>
      <w:r w:rsidRPr="00053BE3">
        <w:rPr>
          <w:i/>
          <w:iCs/>
          <w:color w:val="000000"/>
          <w:lang w:val="en-US"/>
        </w:rPr>
        <w:t>EdTech Hub.</w:t>
      </w:r>
      <w:r w:rsidRPr="00053BE3">
        <w:rPr>
          <w:color w:val="000000"/>
          <w:lang w:val="en-US"/>
        </w:rPr>
        <w:t xml:space="preserve"> https://doi.org/10.5281/zenodo.4783101.</w:t>
      </w:r>
    </w:p>
    <w:p w14:paraId="23F16D7D" w14:textId="77777777" w:rsidR="00AF55DA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</w:pPr>
      <w:r w:rsidRPr="00053BE3">
        <w:rPr>
          <w:color w:val="222222"/>
          <w:shd w:val="clear" w:color="auto" w:fill="FFFFFF"/>
          <w:lang w:val="en-US"/>
        </w:rPr>
        <w:t xml:space="preserve">King, Melanie Rose Nova, Steve J. Rothberg, Ray J. Dawson, and </w:t>
      </w:r>
      <w:proofErr w:type="spellStart"/>
      <w:r w:rsidRPr="00053BE3">
        <w:rPr>
          <w:color w:val="222222"/>
          <w:shd w:val="clear" w:color="auto" w:fill="FFFFFF"/>
          <w:lang w:val="en-US"/>
        </w:rPr>
        <w:t>Firat</w:t>
      </w:r>
      <w:proofErr w:type="spellEnd"/>
      <w:r w:rsidRPr="00053BE3">
        <w:rPr>
          <w:color w:val="222222"/>
          <w:shd w:val="clear" w:color="auto" w:fill="FFFFFF"/>
          <w:lang w:val="en-US"/>
        </w:rPr>
        <w:t xml:space="preserve"> </w:t>
      </w:r>
      <w:proofErr w:type="spellStart"/>
      <w:r w:rsidRPr="00053BE3">
        <w:rPr>
          <w:color w:val="222222"/>
          <w:shd w:val="clear" w:color="auto" w:fill="FFFFFF"/>
          <w:lang w:val="en-US"/>
        </w:rPr>
        <w:t>Batmaz</w:t>
      </w:r>
      <w:proofErr w:type="spellEnd"/>
      <w:r w:rsidRPr="00053BE3">
        <w:rPr>
          <w:color w:val="222222"/>
          <w:shd w:val="clear" w:color="auto" w:fill="FFFFFF"/>
          <w:lang w:val="en-US"/>
        </w:rPr>
        <w:t xml:space="preserve">. 2016. “Bridging the EdTech Evidence Gap: A Realist Evaluation Framework Refined for </w:t>
      </w:r>
      <w:r w:rsidRPr="00053BE3">
        <w:rPr>
          <w:color w:val="222222"/>
          <w:shd w:val="clear" w:color="auto" w:fill="FFFFFF"/>
          <w:lang w:val="en-US"/>
        </w:rPr>
        <w:lastRenderedPageBreak/>
        <w:t xml:space="preserve">Complex Technology Initiatives.” </w:t>
      </w:r>
      <w:r w:rsidR="00871678" w:rsidRPr="00053BE3">
        <w:rPr>
          <w:i/>
          <w:iCs/>
          <w:color w:val="222222"/>
          <w:shd w:val="clear" w:color="auto" w:fill="FFFFFF"/>
          <w:lang w:val="en-US"/>
        </w:rPr>
        <w:t xml:space="preserve">Journal of Systems and Information Technology </w:t>
      </w:r>
      <w:r w:rsidRPr="00053BE3">
        <w:rPr>
          <w:color w:val="222222"/>
          <w:shd w:val="clear" w:color="auto" w:fill="FFFFFF"/>
          <w:lang w:val="en-US"/>
        </w:rPr>
        <w:t>18 (1): 18-40.</w:t>
      </w:r>
      <w:r w:rsidRPr="00053BE3">
        <w:rPr>
          <w:color w:val="000000"/>
          <w:lang w:val="en-US"/>
        </w:rPr>
        <w:t xml:space="preserve"> https://doi.org/10.1108/JSIT-06-2015-0059.</w:t>
      </w:r>
    </w:p>
    <w:p w14:paraId="00021215" w14:textId="77777777" w:rsidR="00F236F9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  <w:rPr>
          <w:color w:val="000000"/>
        </w:rPr>
      </w:pPr>
      <w:r w:rsidRPr="00053BE3">
        <w:rPr>
          <w:color w:val="000000"/>
          <w:lang w:val="en-US"/>
        </w:rPr>
        <w:t>Murray, Peter, and Steve Ma. 2015. “The Promise of Lean Experimentation.”</w:t>
      </w:r>
      <w:r w:rsidR="00E27E23" w:rsidRPr="00053BE3">
        <w:rPr>
          <w:i/>
          <w:iCs/>
          <w:color w:val="000000"/>
          <w:lang w:val="en-US"/>
        </w:rPr>
        <w:t xml:space="preserve"> Stanford Social Innovation Review</w:t>
      </w:r>
      <w:r w:rsidRPr="00053BE3">
        <w:rPr>
          <w:color w:val="000000"/>
          <w:lang w:val="en-US"/>
        </w:rPr>
        <w:t xml:space="preserve"> 13 (3): 34-39. https://doi.org/10.48558/A24K-3949. </w:t>
      </w:r>
    </w:p>
    <w:p w14:paraId="6A7C4F8C" w14:textId="77777777" w:rsidR="00B71402" w:rsidRPr="00FD1D8E" w:rsidRDefault="00D007FC" w:rsidP="00BB1D27">
      <w:pPr>
        <w:spacing w:after="0" w:line="480" w:lineRule="auto"/>
        <w:ind w:left="709" w:hanging="709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en-GB"/>
        </w:rPr>
      </w:pPr>
      <w:r w:rsidRPr="003C706B">
        <w:rPr>
          <w:rFonts w:asciiTheme="majorBidi" w:eastAsia="Times New Roman" w:hAnsiTheme="majorBidi" w:cstheme="majorBidi"/>
          <w:color w:val="000000"/>
          <w:sz w:val="24"/>
          <w:szCs w:val="24"/>
          <w:lang w:val="en-US" w:eastAsia="en-GB"/>
        </w:rPr>
        <w:t xml:space="preserve">Norwegian Refugee Council. 2020. “The Obstacle Course: Barriers to Education for Syrian Refugee Children in Lebanon.” Oslo: Norwegian Refugee Council. </w:t>
      </w:r>
      <w:r w:rsidRPr="003C706B">
        <w:rPr>
          <w:rFonts w:asciiTheme="majorBidi" w:eastAsia="Times New Roman" w:hAnsiTheme="majorBidi" w:cstheme="majorBidi"/>
          <w:sz w:val="24"/>
          <w:szCs w:val="24"/>
          <w:lang w:val="en-US" w:eastAsia="en-GB"/>
        </w:rPr>
        <w:t>https://www.nrc.no/globalassets/pdf/reports/the-obstacle-course-barriers-to-education/the-obstacle-course_barriers-to-education.pdf.</w:t>
      </w:r>
    </w:p>
    <w:p w14:paraId="3E04963D" w14:textId="77777777" w:rsidR="00F236F9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</w:pPr>
      <w:proofErr w:type="spellStart"/>
      <w:r w:rsidRPr="003C706B">
        <w:rPr>
          <w:color w:val="000000"/>
          <w:lang w:val="fr-FR"/>
        </w:rPr>
        <w:t>Plaut</w:t>
      </w:r>
      <w:proofErr w:type="spellEnd"/>
      <w:r w:rsidRPr="003C706B">
        <w:rPr>
          <w:color w:val="000000"/>
          <w:lang w:val="fr-FR"/>
        </w:rPr>
        <w:t xml:space="preserve">, Daniel, Alice Carter, Miranda Dixon, and </w:t>
      </w:r>
      <w:proofErr w:type="spellStart"/>
      <w:r w:rsidRPr="003C706B">
        <w:rPr>
          <w:color w:val="000000"/>
          <w:lang w:val="fr-FR"/>
        </w:rPr>
        <w:t>Taiye</w:t>
      </w:r>
      <w:proofErr w:type="spellEnd"/>
      <w:r w:rsidRPr="003C706B">
        <w:rPr>
          <w:color w:val="000000"/>
          <w:lang w:val="fr-FR"/>
        </w:rPr>
        <w:t xml:space="preserve"> Salami. </w:t>
      </w:r>
      <w:r w:rsidRPr="00053BE3">
        <w:rPr>
          <w:color w:val="000000"/>
          <w:lang w:val="en-US"/>
        </w:rPr>
        <w:t xml:space="preserve">2020. “EdTech Innovation for COVID-19: Insights from Our Global Call for Ideas.” </w:t>
      </w:r>
      <w:r w:rsidRPr="00053BE3">
        <w:rPr>
          <w:i/>
          <w:iCs/>
          <w:color w:val="000000"/>
          <w:lang w:val="en-US"/>
        </w:rPr>
        <w:t>EdTech Hub.</w:t>
      </w:r>
      <w:r w:rsidRPr="00053BE3">
        <w:rPr>
          <w:color w:val="000000"/>
          <w:lang w:val="en-US"/>
        </w:rPr>
        <w:t xml:space="preserve"> https://doi.org/10.5281/zenodo.4768571.</w:t>
      </w:r>
    </w:p>
    <w:p w14:paraId="51046479" w14:textId="77777777" w:rsidR="00F236F9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  <w:rPr>
          <w:color w:val="000000"/>
        </w:rPr>
      </w:pPr>
      <w:r w:rsidRPr="00053BE3">
        <w:rPr>
          <w:color w:val="000000"/>
          <w:lang w:val="en-US"/>
        </w:rPr>
        <w:t xml:space="preserve">Rahman, </w:t>
      </w:r>
      <w:proofErr w:type="spellStart"/>
      <w:r w:rsidRPr="00053BE3">
        <w:rPr>
          <w:color w:val="000000"/>
          <w:lang w:val="en-US"/>
        </w:rPr>
        <w:t>Asad</w:t>
      </w:r>
      <w:proofErr w:type="spellEnd"/>
      <w:r w:rsidRPr="00053BE3">
        <w:rPr>
          <w:color w:val="000000"/>
          <w:lang w:val="en-US"/>
        </w:rPr>
        <w:t xml:space="preserve">, Alice Carter, Daniel </w:t>
      </w:r>
      <w:proofErr w:type="spellStart"/>
      <w:r w:rsidRPr="00053BE3">
        <w:rPr>
          <w:color w:val="000000"/>
          <w:lang w:val="en-US"/>
        </w:rPr>
        <w:t>Plaut</w:t>
      </w:r>
      <w:proofErr w:type="spellEnd"/>
      <w:r w:rsidRPr="00053BE3">
        <w:rPr>
          <w:color w:val="000000"/>
          <w:lang w:val="en-US"/>
        </w:rPr>
        <w:t xml:space="preserve">, Miranda Dixon, </w:t>
      </w:r>
      <w:proofErr w:type="spellStart"/>
      <w:r w:rsidRPr="00053BE3">
        <w:rPr>
          <w:color w:val="000000"/>
          <w:lang w:val="en-US"/>
        </w:rPr>
        <w:t>Taiye</w:t>
      </w:r>
      <w:proofErr w:type="spellEnd"/>
      <w:r w:rsidRPr="00053BE3">
        <w:rPr>
          <w:color w:val="000000"/>
          <w:lang w:val="en-US"/>
        </w:rPr>
        <w:t xml:space="preserve"> Salami, and Laurel Schmitt. 2021. “The Sandbox Handbook v1.0: A Guide to Growing and Testing EdTech Ideas.” Working Paper 33. </w:t>
      </w:r>
      <w:r w:rsidRPr="00053BE3">
        <w:rPr>
          <w:i/>
          <w:iCs/>
          <w:color w:val="000000"/>
          <w:lang w:val="en-US"/>
        </w:rPr>
        <w:t>EdTech Hub.</w:t>
      </w:r>
      <w:r w:rsidRPr="00053BE3">
        <w:rPr>
          <w:color w:val="000000"/>
          <w:lang w:val="en-US"/>
        </w:rPr>
        <w:t xml:space="preserve"> </w:t>
      </w:r>
      <w:r w:rsidR="006F1BF2" w:rsidRPr="00053BE3">
        <w:rPr>
          <w:lang w:val="en-US"/>
        </w:rPr>
        <w:t>https://doi.org/10.5281/zenodo.5120788</w:t>
      </w:r>
      <w:r w:rsidRPr="00053BE3">
        <w:rPr>
          <w:color w:val="000000"/>
          <w:lang w:val="en-US"/>
        </w:rPr>
        <w:t>.</w:t>
      </w:r>
    </w:p>
    <w:p w14:paraId="308F4648" w14:textId="77777777" w:rsidR="00E27E23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</w:pPr>
      <w:proofErr w:type="spellStart"/>
      <w:r w:rsidRPr="00053BE3">
        <w:rPr>
          <w:color w:val="000000"/>
          <w:lang w:val="en-US"/>
        </w:rPr>
        <w:t>Rehkopf</w:t>
      </w:r>
      <w:proofErr w:type="spellEnd"/>
      <w:r w:rsidRPr="00053BE3">
        <w:rPr>
          <w:color w:val="000000"/>
          <w:lang w:val="en-US"/>
        </w:rPr>
        <w:t xml:space="preserve">, Max. 2022. “Scrum Sprints.” </w:t>
      </w:r>
      <w:r w:rsidR="00AF55DA" w:rsidRPr="00053BE3">
        <w:rPr>
          <w:i/>
          <w:iCs/>
          <w:color w:val="000000"/>
          <w:lang w:val="en-US"/>
        </w:rPr>
        <w:t>Atlassian Agile Coach</w:t>
      </w:r>
      <w:r w:rsidRPr="00053BE3">
        <w:rPr>
          <w:color w:val="000000"/>
          <w:lang w:val="en-US"/>
        </w:rPr>
        <w:t xml:space="preserve"> (blog), September 9, 2022. </w:t>
      </w:r>
      <w:r w:rsidRPr="00053BE3">
        <w:rPr>
          <w:lang w:val="en-US"/>
        </w:rPr>
        <w:t>https://www.atlassian.com/agile/scrum/sprints.</w:t>
      </w:r>
    </w:p>
    <w:p w14:paraId="03880736" w14:textId="77777777" w:rsidR="006F1BF2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</w:pPr>
      <w:r w:rsidRPr="00053BE3">
        <w:rPr>
          <w:color w:val="000000"/>
          <w:lang w:val="en-US"/>
        </w:rPr>
        <w:t xml:space="preserve">Robinson, John B. 1990. “Futures Under Glass: A Recipe for People Who Hate to Predict.” </w:t>
      </w:r>
      <w:r w:rsidRPr="00053BE3">
        <w:rPr>
          <w:i/>
          <w:iCs/>
          <w:color w:val="000000"/>
          <w:lang w:val="en-US"/>
        </w:rPr>
        <w:t>Futures</w:t>
      </w:r>
      <w:r w:rsidRPr="00053BE3">
        <w:rPr>
          <w:color w:val="000000"/>
          <w:lang w:val="en-US"/>
        </w:rPr>
        <w:t xml:space="preserve"> 22 (8): 820-42. https://doi.org/10.1016/0016-3287(90)90018-D. </w:t>
      </w:r>
    </w:p>
    <w:p w14:paraId="148947EF" w14:textId="77777777" w:rsidR="00F236F9" w:rsidRPr="00053BE3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  <w:rPr>
          <w:lang w:val="nl-NL"/>
        </w:rPr>
      </w:pPr>
      <w:r w:rsidRPr="00053BE3">
        <w:rPr>
          <w:color w:val="000000"/>
          <w:lang w:val="en-US"/>
        </w:rPr>
        <w:t>Simpson, Lea. 2019. “</w:t>
      </w:r>
      <w:proofErr w:type="spellStart"/>
      <w:r w:rsidRPr="00053BE3">
        <w:rPr>
          <w:color w:val="000000"/>
          <w:lang w:val="en-US"/>
        </w:rPr>
        <w:t>Behavioural</w:t>
      </w:r>
      <w:proofErr w:type="spellEnd"/>
      <w:r w:rsidRPr="00053BE3">
        <w:rPr>
          <w:color w:val="000000"/>
          <w:lang w:val="en-US"/>
        </w:rPr>
        <w:t xml:space="preserve"> Innovation: Embracing </w:t>
      </w:r>
      <w:proofErr w:type="spellStart"/>
      <w:r w:rsidRPr="00053BE3">
        <w:rPr>
          <w:color w:val="000000"/>
          <w:lang w:val="en-US"/>
        </w:rPr>
        <w:t>Behavioural</w:t>
      </w:r>
      <w:proofErr w:type="spellEnd"/>
      <w:r w:rsidRPr="00053BE3">
        <w:rPr>
          <w:color w:val="000000"/>
          <w:lang w:val="en-US"/>
        </w:rPr>
        <w:t xml:space="preserve"> Science for Lasting Impact.”</w:t>
      </w:r>
      <w:r w:rsidRPr="00053BE3">
        <w:rPr>
          <w:i/>
          <w:iCs/>
          <w:color w:val="000000"/>
          <w:lang w:val="en-US"/>
        </w:rPr>
        <w:t xml:space="preserve"> </w:t>
      </w:r>
      <w:r w:rsidRPr="00053BE3">
        <w:rPr>
          <w:i/>
          <w:iCs/>
          <w:color w:val="000000"/>
          <w:lang w:val="nl-NL"/>
        </w:rPr>
        <w:t>Brink</w:t>
      </w:r>
      <w:r w:rsidRPr="00053BE3">
        <w:rPr>
          <w:color w:val="000000"/>
          <w:lang w:val="nl-NL"/>
        </w:rPr>
        <w:t xml:space="preserve"> (blog), September 18, 2019. https://medium.com/hellobrink-co/behavioural-innovation-embracing-behavioural-science-for-lasting-impact-85d1d78688f4.</w:t>
      </w:r>
    </w:p>
    <w:p w14:paraId="719960D5" w14:textId="77777777" w:rsidR="006F1BF2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  <w:rPr>
          <w:color w:val="000000"/>
        </w:rPr>
      </w:pPr>
      <w:proofErr w:type="spellStart"/>
      <w:r w:rsidRPr="00053BE3">
        <w:rPr>
          <w:color w:val="000000"/>
          <w:lang w:val="en-US"/>
        </w:rPr>
        <w:lastRenderedPageBreak/>
        <w:t>Tauson</w:t>
      </w:r>
      <w:proofErr w:type="spellEnd"/>
      <w:r w:rsidRPr="00053BE3">
        <w:rPr>
          <w:color w:val="000000"/>
          <w:lang w:val="en-US"/>
        </w:rPr>
        <w:t xml:space="preserve">, </w:t>
      </w:r>
      <w:proofErr w:type="spellStart"/>
      <w:r w:rsidRPr="00053BE3">
        <w:rPr>
          <w:color w:val="000000"/>
          <w:lang w:val="en-US"/>
        </w:rPr>
        <w:t>Michaelle</w:t>
      </w:r>
      <w:proofErr w:type="spellEnd"/>
      <w:r w:rsidRPr="00053BE3">
        <w:rPr>
          <w:color w:val="000000"/>
          <w:lang w:val="en-US"/>
        </w:rPr>
        <w:t>, and Luke Stannard. 2018. “EdTech for Learning in Emergencies and Displaced Settings: A Rigorous Review and Narrative Synthesis.” London: Save the Children UK. https://resourcecentre.savethechildren.net/pdf/edtech-learning.pdf/.</w:t>
      </w:r>
    </w:p>
    <w:p w14:paraId="2424B062" w14:textId="77777777" w:rsidR="004D7BC4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</w:pPr>
      <w:r w:rsidRPr="00053BE3">
        <w:rPr>
          <w:color w:val="000000"/>
          <w:lang w:val="en-US"/>
        </w:rPr>
        <w:t xml:space="preserve">UNHCR (United Nations High Commissioner for Refugees). 2022. “Lebanon at a Glance.” https://www.unhcr.org/lb/at-a-glance. </w:t>
      </w:r>
    </w:p>
    <w:p w14:paraId="2E8F73BF" w14:textId="77777777" w:rsidR="00F236F9" w:rsidRPr="004E5655" w:rsidRDefault="00D007FC" w:rsidP="00BB1D27">
      <w:pPr>
        <w:pStyle w:val="NormalWeb"/>
        <w:spacing w:before="0" w:beforeAutospacing="0" w:after="0" w:afterAutospacing="0" w:line="480" w:lineRule="auto"/>
        <w:ind w:left="720" w:hanging="720"/>
        <w:jc w:val="both"/>
        <w:rPr>
          <w:color w:val="000000"/>
        </w:rPr>
      </w:pPr>
      <w:r w:rsidRPr="00053BE3">
        <w:rPr>
          <w:color w:val="000000"/>
          <w:lang w:val="en-US"/>
        </w:rPr>
        <w:t xml:space="preserve">World Bank. 2019. “Teach Primary: Helping Countries Track and Improve Teaching Quality.” Washington, DC: World Bank. </w:t>
      </w:r>
      <w:r w:rsidR="006F1BF2" w:rsidRPr="00053BE3">
        <w:rPr>
          <w:lang w:val="en-US"/>
        </w:rPr>
        <w:t>https://www.worldbank.org/en/topic/education/brief/teach-helping-countries-track-and-improve-teaching-quality</w:t>
      </w:r>
      <w:r w:rsidRPr="00053BE3">
        <w:rPr>
          <w:color w:val="000000"/>
          <w:lang w:val="en-US"/>
        </w:rPr>
        <w:t>.</w:t>
      </w:r>
    </w:p>
    <w:p w14:paraId="50583F8D" w14:textId="77777777" w:rsidR="00476606" w:rsidRDefault="00D007FC" w:rsidP="00BB1D27">
      <w:pPr>
        <w:spacing w:after="0" w:line="480" w:lineRule="auto"/>
        <w:ind w:left="720" w:hanging="720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GB" w:eastAsia="en-GB"/>
        </w:rPr>
      </w:pPr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World Bank. 2021. “Urgent, Effective Action Required to Quell the Impact of COVID-19 on Education Worldwide.” </w:t>
      </w:r>
      <w:proofErr w:type="spellStart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>Washginton</w:t>
      </w:r>
      <w:proofErr w:type="spellEnd"/>
      <w:r w:rsidRPr="003C70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GB"/>
        </w:rPr>
        <w:t xml:space="preserve">, DC: World Bank. </w:t>
      </w:r>
      <w:r w:rsidR="00E46973" w:rsidRPr="003C706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https://www.worldbank.org/en/news/immersive-story/2021/01/22/urgent-effective-action-required-to-quell-the-impact-of-covid-19-on-education-worldwide.</w:t>
      </w:r>
    </w:p>
    <w:p w14:paraId="648AE3E7" w14:textId="77777777" w:rsidR="00715B3F" w:rsidRDefault="00715B3F" w:rsidP="00BB1D27">
      <w:pPr>
        <w:spacing w:after="0" w:line="480" w:lineRule="auto"/>
        <w:ind w:left="720" w:hanging="720"/>
        <w:jc w:val="both"/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GB" w:eastAsia="en-GB"/>
        </w:rPr>
      </w:pPr>
    </w:p>
    <w:p w14:paraId="3F561366" w14:textId="77777777" w:rsidR="00715B3F" w:rsidRPr="004E5655" w:rsidRDefault="00715B3F" w:rsidP="00BB1D27">
      <w:pPr>
        <w:spacing w:after="0" w:line="48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sectPr w:rsidR="00715B3F" w:rsidRPr="004E565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6AA204CB" w14:textId="77777777" w:rsidR="00F966E2" w:rsidRPr="00053BE3" w:rsidRDefault="00F966E2">
      <w:pPr>
        <w:pStyle w:val="CommentText"/>
      </w:pPr>
      <w:r>
        <w:rPr>
          <w:rStyle w:val="CommentReference"/>
        </w:rPr>
        <w:annotationRef/>
      </w:r>
      <w:r w:rsidRPr="00053BE3">
        <w:t xml:space="preserve">Source citation </w:t>
      </w:r>
      <w:r>
        <w:t xml:space="preserve">en français </w:t>
      </w:r>
      <w:r w:rsidRPr="00053BE3">
        <w:t xml:space="preserve">: </w:t>
      </w:r>
      <w:hyperlink r:id="rId1" w:history="1">
        <w:r w:rsidRPr="00FB47FF">
          <w:rPr>
            <w:rStyle w:val="Hyperlink"/>
          </w:rPr>
          <w:t>https://www.banquemondiale.org/fr/news/immersive-story/2021/01/22/urgent-effective-action-required-to-quell-the-impact-of-covid-19-on-education-worldwide</w:t>
        </w:r>
      </w:hyperlink>
    </w:p>
  </w:comment>
  <w:comment w:id="1" w:author="Author" w:initials="A">
    <w:p w14:paraId="346ABE7F" w14:textId="77777777" w:rsidR="00F966E2" w:rsidRPr="009F0427" w:rsidRDefault="00F966E2" w:rsidP="009F0427">
      <w:pPr>
        <w:pStyle w:val="CommentText"/>
        <w:rPr>
          <w:b/>
        </w:rPr>
      </w:pPr>
      <w:r>
        <w:rPr>
          <w:rStyle w:val="CommentReference"/>
        </w:rPr>
        <w:annotationRef/>
      </w:r>
      <w:r w:rsidRPr="009F0427">
        <w:rPr>
          <w:b/>
          <w:u w:val="single"/>
        </w:rPr>
        <w:t>Legend</w:t>
      </w:r>
      <w:r w:rsidRPr="009F0427">
        <w:rPr>
          <w:b/>
        </w:rPr>
        <w:t>:</w:t>
      </w:r>
    </w:p>
    <w:p w14:paraId="7E1AE281" w14:textId="77777777" w:rsidR="00F966E2" w:rsidRPr="009F0427" w:rsidRDefault="00F966E2" w:rsidP="009F0427">
      <w:pPr>
        <w:pStyle w:val="CommentText"/>
        <w:rPr>
          <w:b/>
        </w:rPr>
      </w:pPr>
    </w:p>
    <w:p w14:paraId="68705CEE" w14:textId="77777777" w:rsidR="00F966E2" w:rsidRPr="00F73830" w:rsidRDefault="00F966E2" w:rsidP="009F0427">
      <w:pPr>
        <w:pStyle w:val="CommentText"/>
        <w:rPr>
          <w:b/>
          <w:i/>
        </w:rPr>
      </w:pPr>
      <w:r w:rsidRPr="00F73830">
        <w:rPr>
          <w:b/>
          <w:i/>
        </w:rPr>
        <w:t>EDUCATION SYSTEM 6Ps</w:t>
      </w:r>
    </w:p>
    <w:p w14:paraId="39AA1038" w14:textId="77777777" w:rsidR="00F966E2" w:rsidRDefault="00F966E2" w:rsidP="009F0427">
      <w:pPr>
        <w:pStyle w:val="CommentText"/>
      </w:pPr>
      <w:r w:rsidRPr="003679EE">
        <w:t>LES 6P DU SYST</w:t>
      </w:r>
      <w:r>
        <w:rPr>
          <w:rFonts w:cstheme="minorHAnsi"/>
        </w:rPr>
        <w:t>È</w:t>
      </w:r>
      <w:r w:rsidRPr="003679EE">
        <w:t>ME ÉDUCATIF</w:t>
      </w:r>
    </w:p>
    <w:p w14:paraId="4C3D148D" w14:textId="77777777" w:rsidR="00F966E2" w:rsidRDefault="00F966E2" w:rsidP="009F0427">
      <w:pPr>
        <w:pStyle w:val="CommentText"/>
      </w:pPr>
    </w:p>
    <w:p w14:paraId="5E4A47C0" w14:textId="77777777" w:rsidR="00F966E2" w:rsidRPr="00F73830" w:rsidRDefault="00F966E2" w:rsidP="009F0427">
      <w:pPr>
        <w:pStyle w:val="CommentText"/>
        <w:rPr>
          <w:b/>
          <w:i/>
        </w:rPr>
      </w:pPr>
      <w:r w:rsidRPr="00F73830">
        <w:rPr>
          <w:b/>
          <w:i/>
        </w:rPr>
        <w:t>PROVISION</w:t>
      </w:r>
    </w:p>
    <w:p w14:paraId="62AF8B7B" w14:textId="77777777" w:rsidR="00F966E2" w:rsidRDefault="00F966E2" w:rsidP="009F0427">
      <w:pPr>
        <w:pStyle w:val="CommentText"/>
      </w:pPr>
      <w:r>
        <w:t>DOTATION</w:t>
      </w:r>
    </w:p>
    <w:p w14:paraId="0386DBC2" w14:textId="245CA215" w:rsidR="00F966E2" w:rsidRDefault="00F966E2" w:rsidP="009F0427">
      <w:pPr>
        <w:pStyle w:val="CommentText"/>
      </w:pPr>
      <w:r>
        <w:t>Comment l’intervention est-elle financée et soutenue ?</w:t>
      </w:r>
    </w:p>
    <w:p w14:paraId="67A94E6E" w14:textId="77777777" w:rsidR="00F966E2" w:rsidRDefault="00F966E2" w:rsidP="009F0427">
      <w:pPr>
        <w:pStyle w:val="CommentText"/>
      </w:pPr>
    </w:p>
    <w:p w14:paraId="6532D190" w14:textId="77777777" w:rsidR="00F966E2" w:rsidRPr="00F73830" w:rsidRDefault="00F966E2" w:rsidP="009F0427">
      <w:pPr>
        <w:pStyle w:val="CommentText"/>
        <w:rPr>
          <w:b/>
          <w:i/>
        </w:rPr>
      </w:pPr>
      <w:r w:rsidRPr="00F73830">
        <w:rPr>
          <w:b/>
          <w:i/>
        </w:rPr>
        <w:t>PLACE</w:t>
      </w:r>
    </w:p>
    <w:p w14:paraId="699E67F6" w14:textId="77777777" w:rsidR="00F966E2" w:rsidRDefault="00F966E2" w:rsidP="009F0427">
      <w:pPr>
        <w:pStyle w:val="CommentText"/>
      </w:pPr>
      <w:r>
        <w:t>LIEU</w:t>
      </w:r>
    </w:p>
    <w:p w14:paraId="7D0742B9" w14:textId="1C0CBA10" w:rsidR="00F966E2" w:rsidRDefault="00F966E2" w:rsidP="009F0427">
      <w:pPr>
        <w:pStyle w:val="CommentText"/>
      </w:pPr>
      <w:r>
        <w:t>Où l’intervention sera-t-elle utilisée ?</w:t>
      </w:r>
    </w:p>
    <w:p w14:paraId="1A97A4CD" w14:textId="77777777" w:rsidR="00F966E2" w:rsidRDefault="00F966E2" w:rsidP="009F0427">
      <w:pPr>
        <w:pStyle w:val="CommentText"/>
      </w:pPr>
    </w:p>
    <w:p w14:paraId="469A0E09" w14:textId="77777777" w:rsidR="00F966E2" w:rsidRPr="00F73830" w:rsidRDefault="00F966E2" w:rsidP="009F0427">
      <w:pPr>
        <w:pStyle w:val="CommentText"/>
        <w:rPr>
          <w:b/>
          <w:i/>
        </w:rPr>
      </w:pPr>
      <w:r w:rsidRPr="00F73830">
        <w:rPr>
          <w:b/>
          <w:i/>
        </w:rPr>
        <w:t>POLICY</w:t>
      </w:r>
    </w:p>
    <w:p w14:paraId="1F1946A3" w14:textId="77777777" w:rsidR="00F966E2" w:rsidRDefault="00F966E2" w:rsidP="009F0427">
      <w:pPr>
        <w:pStyle w:val="CommentText"/>
      </w:pPr>
      <w:r>
        <w:t>POLITIQUE</w:t>
      </w:r>
    </w:p>
    <w:p w14:paraId="27B7AD1D" w14:textId="77777777" w:rsidR="00F966E2" w:rsidRDefault="00F966E2" w:rsidP="009F0427">
      <w:pPr>
        <w:pStyle w:val="CommentText"/>
      </w:pPr>
      <w:r>
        <w:t>Quelle est la position du gouvernement ?</w:t>
      </w:r>
    </w:p>
    <w:p w14:paraId="4C78F977" w14:textId="77777777" w:rsidR="00F966E2" w:rsidRDefault="00F966E2" w:rsidP="009F0427">
      <w:pPr>
        <w:pStyle w:val="CommentText"/>
      </w:pPr>
    </w:p>
    <w:p w14:paraId="58073274" w14:textId="77777777" w:rsidR="00F966E2" w:rsidRPr="00F73830" w:rsidRDefault="00F966E2" w:rsidP="009F0427">
      <w:pPr>
        <w:pStyle w:val="CommentText"/>
        <w:rPr>
          <w:b/>
          <w:i/>
        </w:rPr>
      </w:pPr>
      <w:r w:rsidRPr="00F73830">
        <w:rPr>
          <w:b/>
          <w:i/>
        </w:rPr>
        <w:t>PEDAGOGY</w:t>
      </w:r>
    </w:p>
    <w:p w14:paraId="27277F62" w14:textId="77777777" w:rsidR="00F966E2" w:rsidRDefault="00F966E2" w:rsidP="009F0427">
      <w:pPr>
        <w:pStyle w:val="CommentText"/>
      </w:pPr>
      <w:r>
        <w:t>PÉDAGOGIE</w:t>
      </w:r>
    </w:p>
    <w:p w14:paraId="314E9404" w14:textId="77777777" w:rsidR="00F966E2" w:rsidRDefault="00F966E2" w:rsidP="009F0427">
      <w:pPr>
        <w:pStyle w:val="CommentText"/>
      </w:pPr>
      <w:r>
        <w:t>Quelle est la pédagogie requise ?</w:t>
      </w:r>
    </w:p>
    <w:p w14:paraId="2E9126E2" w14:textId="77777777" w:rsidR="00F966E2" w:rsidRDefault="00F966E2" w:rsidP="009F0427">
      <w:pPr>
        <w:pStyle w:val="CommentText"/>
      </w:pPr>
    </w:p>
    <w:p w14:paraId="118D863E" w14:textId="77777777" w:rsidR="00F966E2" w:rsidRPr="00F73830" w:rsidRDefault="00F966E2" w:rsidP="009F0427">
      <w:pPr>
        <w:pStyle w:val="CommentText"/>
        <w:rPr>
          <w:b/>
          <w:i/>
        </w:rPr>
      </w:pPr>
      <w:r w:rsidRPr="00F73830">
        <w:rPr>
          <w:b/>
          <w:i/>
        </w:rPr>
        <w:t>PRODUCT</w:t>
      </w:r>
    </w:p>
    <w:p w14:paraId="7D63BFB4" w14:textId="77777777" w:rsidR="00F966E2" w:rsidRDefault="00F966E2" w:rsidP="009F0427">
      <w:pPr>
        <w:pStyle w:val="CommentText"/>
      </w:pPr>
      <w:r>
        <w:t>PRODUIT</w:t>
      </w:r>
    </w:p>
    <w:p w14:paraId="76BE4BA8" w14:textId="6960F1C3" w:rsidR="00F966E2" w:rsidRPr="00DF0341" w:rsidRDefault="00F966E2" w:rsidP="009F0427">
      <w:pPr>
        <w:pStyle w:val="CommentText"/>
      </w:pPr>
      <w:r>
        <w:t>Quel est le produit/service et comment est-il dispensé ?</w:t>
      </w:r>
    </w:p>
    <w:p w14:paraId="7D696231" w14:textId="77777777" w:rsidR="00F966E2" w:rsidRPr="003679EE" w:rsidRDefault="00F966E2" w:rsidP="009F0427">
      <w:pPr>
        <w:pStyle w:val="CommentText"/>
        <w:rPr>
          <w:b/>
        </w:rPr>
      </w:pPr>
    </w:p>
    <w:p w14:paraId="4EE8DCDF" w14:textId="77777777" w:rsidR="00F966E2" w:rsidRPr="00A703AA" w:rsidRDefault="00F966E2" w:rsidP="009F0427">
      <w:pPr>
        <w:pStyle w:val="CommentText"/>
        <w:rPr>
          <w:b/>
          <w:i/>
        </w:rPr>
      </w:pPr>
      <w:r w:rsidRPr="00A703AA">
        <w:rPr>
          <w:b/>
          <w:i/>
        </w:rPr>
        <w:t>PEOPLE</w:t>
      </w:r>
    </w:p>
    <w:p w14:paraId="566E4694" w14:textId="77777777" w:rsidR="00F966E2" w:rsidRPr="00DF0341" w:rsidRDefault="00F966E2" w:rsidP="009F0427">
      <w:pPr>
        <w:pStyle w:val="CommentText"/>
      </w:pPr>
      <w:r w:rsidRPr="00DF0341">
        <w:t>PERSONNES</w:t>
      </w:r>
    </w:p>
    <w:p w14:paraId="5F96875C" w14:textId="2F6C6FDD" w:rsidR="00F966E2" w:rsidRDefault="00F966E2" w:rsidP="009F0427">
      <w:pPr>
        <w:pStyle w:val="CommentText"/>
      </w:pPr>
      <w:r w:rsidRPr="003679EE">
        <w:t>Qui sont les utilisateurs et q</w:t>
      </w:r>
      <w:r>
        <w:t>ui se charge de la mise en œuvre ?</w:t>
      </w:r>
    </w:p>
    <w:p w14:paraId="1DC55807" w14:textId="36CEBE63" w:rsidR="00F966E2" w:rsidRPr="009F0427" w:rsidRDefault="00F966E2">
      <w:pPr>
        <w:pStyle w:val="CommentText"/>
      </w:pPr>
    </w:p>
  </w:comment>
  <w:comment w:id="2" w:author="Author" w:initials="A">
    <w:p w14:paraId="67A890BD" w14:textId="77777777" w:rsidR="00F966E2" w:rsidRPr="009F0427" w:rsidRDefault="00F966E2" w:rsidP="009F0427">
      <w:pPr>
        <w:pStyle w:val="CommentText"/>
        <w:rPr>
          <w:b/>
          <w:u w:val="single"/>
        </w:rPr>
      </w:pPr>
      <w:r>
        <w:rPr>
          <w:rStyle w:val="CommentReference"/>
        </w:rPr>
        <w:annotationRef/>
      </w:r>
      <w:r w:rsidRPr="009F0427">
        <w:rPr>
          <w:b/>
          <w:u w:val="single"/>
        </w:rPr>
        <w:t>Legend:</w:t>
      </w:r>
    </w:p>
    <w:p w14:paraId="48C59FCA" w14:textId="77777777" w:rsidR="00F966E2" w:rsidRPr="009F0427" w:rsidRDefault="00F966E2" w:rsidP="009F0427">
      <w:pPr>
        <w:pStyle w:val="CommentText"/>
      </w:pPr>
    </w:p>
    <w:p w14:paraId="608FEF42" w14:textId="62EF95A2" w:rsidR="00F966E2" w:rsidRPr="009F0427" w:rsidRDefault="00F966E2" w:rsidP="009F0427">
      <w:pPr>
        <w:pStyle w:val="CommentText"/>
      </w:pPr>
      <w:r w:rsidRPr="009F0427">
        <w:rPr>
          <w:b/>
        </w:rPr>
        <w:t>Articulated the design hypothesis</w:t>
      </w:r>
      <w:r w:rsidRPr="009F0427">
        <w:t xml:space="preserve"> = Formulation de l</w:t>
      </w:r>
      <w:r>
        <w:t>’</w:t>
      </w:r>
      <w:r w:rsidRPr="009F0427">
        <w:t>hypothèse de conception</w:t>
      </w:r>
    </w:p>
    <w:p w14:paraId="0CDA9FE1" w14:textId="77777777" w:rsidR="00F966E2" w:rsidRPr="009F0427" w:rsidRDefault="00F966E2" w:rsidP="009F0427">
      <w:pPr>
        <w:pStyle w:val="CommentText"/>
      </w:pPr>
    </w:p>
    <w:p w14:paraId="3A34399B" w14:textId="51176BB8" w:rsidR="00F966E2" w:rsidRDefault="00F966E2" w:rsidP="009F0427">
      <w:pPr>
        <w:pStyle w:val="CommentText"/>
      </w:pPr>
      <w:r w:rsidRPr="009F0427">
        <w:rPr>
          <w:b/>
        </w:rPr>
        <w:t>Workshop to surface critical assumptions</w:t>
      </w:r>
      <w:r w:rsidRPr="0055670E">
        <w:t xml:space="preserve"> = Atelier pour </w:t>
      </w:r>
      <w:r>
        <w:t>identifier</w:t>
      </w:r>
      <w:r w:rsidRPr="0055670E">
        <w:t xml:space="preserve"> les </w:t>
      </w:r>
      <w:r>
        <w:t>hypothèses critiques</w:t>
      </w:r>
    </w:p>
    <w:p w14:paraId="0092B200" w14:textId="77777777" w:rsidR="00F966E2" w:rsidRDefault="00F966E2" w:rsidP="009F0427">
      <w:pPr>
        <w:pStyle w:val="CommentText"/>
      </w:pPr>
    </w:p>
    <w:p w14:paraId="16C35071" w14:textId="77777777" w:rsidR="00F966E2" w:rsidRDefault="00F966E2" w:rsidP="009F0427">
      <w:pPr>
        <w:pStyle w:val="CommentText"/>
      </w:pPr>
      <w:r w:rsidRPr="009F0427">
        <w:rPr>
          <w:b/>
        </w:rPr>
        <w:t>Workshop to design experiments</w:t>
      </w:r>
      <w:r w:rsidRPr="0055670E">
        <w:t xml:space="preserve"> = Atelier pour concevoir les expérie</w:t>
      </w:r>
      <w:r>
        <w:t>nces</w:t>
      </w:r>
    </w:p>
    <w:p w14:paraId="5DF1B97F" w14:textId="77777777" w:rsidR="00F966E2" w:rsidRDefault="00F966E2" w:rsidP="009F0427">
      <w:pPr>
        <w:pStyle w:val="CommentText"/>
      </w:pPr>
    </w:p>
    <w:p w14:paraId="1D661631" w14:textId="77777777" w:rsidR="00F966E2" w:rsidRDefault="00F966E2" w:rsidP="009F0427">
      <w:pPr>
        <w:pStyle w:val="CommentText"/>
      </w:pPr>
      <w:r w:rsidRPr="009F0427">
        <w:rPr>
          <w:b/>
        </w:rPr>
        <w:t>Sprint 1</w:t>
      </w:r>
      <w:r w:rsidRPr="009F0427">
        <w:t xml:space="preserve"> = Sprint 1</w:t>
      </w:r>
    </w:p>
    <w:p w14:paraId="706E17E3" w14:textId="77777777" w:rsidR="00F966E2" w:rsidRDefault="00F966E2" w:rsidP="009F0427">
      <w:pPr>
        <w:pStyle w:val="CommentText"/>
      </w:pPr>
    </w:p>
    <w:p w14:paraId="4A97413F" w14:textId="77777777" w:rsidR="00F966E2" w:rsidRDefault="00F966E2" w:rsidP="009F0427">
      <w:pPr>
        <w:pStyle w:val="CommentText"/>
      </w:pPr>
      <w:r w:rsidRPr="009F0427">
        <w:rPr>
          <w:b/>
        </w:rPr>
        <w:t>Cost modeling</w:t>
      </w:r>
      <w:r>
        <w:t xml:space="preserve"> = Modélisation des coûts</w:t>
      </w:r>
    </w:p>
    <w:p w14:paraId="27AEE960" w14:textId="77777777" w:rsidR="00F966E2" w:rsidRDefault="00F966E2" w:rsidP="009F0427">
      <w:pPr>
        <w:pStyle w:val="CommentText"/>
      </w:pPr>
      <w:r w:rsidRPr="009F0427">
        <w:rPr>
          <w:b/>
        </w:rPr>
        <w:t>Virtual classroom observations</w:t>
      </w:r>
      <w:r w:rsidRPr="0055670E">
        <w:t xml:space="preserve"> = Observations des cours</w:t>
      </w:r>
      <w:r>
        <w:t xml:space="preserve"> virtuels</w:t>
      </w:r>
    </w:p>
    <w:p w14:paraId="7C3BD965" w14:textId="77777777" w:rsidR="00F966E2" w:rsidRDefault="00F966E2" w:rsidP="009F0427">
      <w:pPr>
        <w:pStyle w:val="CommentText"/>
      </w:pPr>
      <w:r w:rsidRPr="009F0427">
        <w:rPr>
          <w:b/>
        </w:rPr>
        <w:t>Product evaluation</w:t>
      </w:r>
      <w:r>
        <w:t xml:space="preserve"> = Évaluation du produit</w:t>
      </w:r>
    </w:p>
    <w:p w14:paraId="1F0FE983" w14:textId="37835250" w:rsidR="00F966E2" w:rsidRDefault="00F966E2" w:rsidP="009F0427">
      <w:pPr>
        <w:pStyle w:val="CommentText"/>
      </w:pPr>
      <w:r w:rsidRPr="009F0427">
        <w:rPr>
          <w:b/>
        </w:rPr>
        <w:t>Learning barriers survey</w:t>
      </w:r>
      <w:r>
        <w:t xml:space="preserve"> = Enquête sur les obstacles à l’apprentissage</w:t>
      </w:r>
    </w:p>
    <w:p w14:paraId="407DF6C5" w14:textId="77777777" w:rsidR="00F966E2" w:rsidRDefault="00F966E2" w:rsidP="009F0427">
      <w:pPr>
        <w:pStyle w:val="CommentText"/>
      </w:pPr>
    </w:p>
    <w:p w14:paraId="3B70B58A" w14:textId="77777777" w:rsidR="00F966E2" w:rsidRDefault="00F966E2" w:rsidP="009F0427">
      <w:pPr>
        <w:pStyle w:val="CommentText"/>
      </w:pPr>
      <w:r w:rsidRPr="0055670E">
        <w:rPr>
          <w:b/>
        </w:rPr>
        <w:t xml:space="preserve">Redesigning the next experiments informed by findings from Sprint 1 </w:t>
      </w:r>
      <w:r w:rsidRPr="0055670E">
        <w:t xml:space="preserve">= Concevoir les </w:t>
      </w:r>
      <w:r>
        <w:t xml:space="preserve">prochaines </w:t>
      </w:r>
      <w:r w:rsidRPr="0055670E">
        <w:t>expériences à partir des résultats du Sprint 1</w:t>
      </w:r>
    </w:p>
    <w:p w14:paraId="6DF13E08" w14:textId="77777777" w:rsidR="00F966E2" w:rsidRDefault="00F966E2" w:rsidP="009F0427">
      <w:pPr>
        <w:pStyle w:val="CommentText"/>
      </w:pPr>
    </w:p>
    <w:p w14:paraId="5AE59D02" w14:textId="77777777" w:rsidR="00F966E2" w:rsidRPr="009F0427" w:rsidRDefault="00F966E2" w:rsidP="009F0427">
      <w:pPr>
        <w:pStyle w:val="CommentText"/>
      </w:pPr>
      <w:r w:rsidRPr="009F0427">
        <w:rPr>
          <w:b/>
        </w:rPr>
        <w:t>Sprint 2</w:t>
      </w:r>
      <w:r w:rsidRPr="009F0427">
        <w:t xml:space="preserve"> = Sprint 2</w:t>
      </w:r>
    </w:p>
    <w:p w14:paraId="35C54958" w14:textId="77777777" w:rsidR="00F966E2" w:rsidRDefault="00F966E2" w:rsidP="009F0427">
      <w:pPr>
        <w:pStyle w:val="CommentText"/>
      </w:pPr>
    </w:p>
    <w:p w14:paraId="6C9B72DB" w14:textId="5BC3C266" w:rsidR="00F966E2" w:rsidRDefault="00F966E2" w:rsidP="009F0427">
      <w:pPr>
        <w:pStyle w:val="CommentText"/>
      </w:pPr>
      <w:r w:rsidRPr="00A710E3">
        <w:rPr>
          <w:b/>
        </w:rPr>
        <w:t>Information campaign and cash experiment</w:t>
      </w:r>
      <w:r w:rsidRPr="00A710E3">
        <w:t xml:space="preserve"> = Campagne d</w:t>
      </w:r>
      <w:r>
        <w:t>’</w:t>
      </w:r>
      <w:r w:rsidRPr="00A710E3">
        <w:t xml:space="preserve">information et </w:t>
      </w:r>
      <w:r>
        <w:t>subvention expérimentale</w:t>
      </w:r>
    </w:p>
    <w:p w14:paraId="22923D1D" w14:textId="77777777" w:rsidR="00F966E2" w:rsidRDefault="00F966E2" w:rsidP="009F0427">
      <w:pPr>
        <w:pStyle w:val="CommentText"/>
      </w:pPr>
    </w:p>
    <w:p w14:paraId="5F3F3742" w14:textId="45E3CBDB" w:rsidR="00F966E2" w:rsidRPr="00B15A5A" w:rsidRDefault="00F966E2" w:rsidP="009F0427">
      <w:pPr>
        <w:pStyle w:val="CommentText"/>
        <w:rPr>
          <w:lang w:val="en-US"/>
        </w:rPr>
      </w:pPr>
      <w:r w:rsidRPr="00B15A5A">
        <w:rPr>
          <w:b/>
          <w:lang w:val="en-US"/>
        </w:rPr>
        <w:t>Final reflection workshops</w:t>
      </w:r>
      <w:r w:rsidRPr="00B15A5A">
        <w:rPr>
          <w:lang w:val="en-US"/>
        </w:rPr>
        <w:t xml:space="preserve"> = Ateliers de bilan</w:t>
      </w:r>
    </w:p>
    <w:p w14:paraId="1737C1E2" w14:textId="77777777" w:rsidR="00F966E2" w:rsidRPr="00B15A5A" w:rsidRDefault="00F966E2" w:rsidP="009F0427">
      <w:pPr>
        <w:pStyle w:val="CommentText"/>
        <w:rPr>
          <w:lang w:val="en-US"/>
        </w:rPr>
      </w:pPr>
    </w:p>
    <w:p w14:paraId="5115CBF3" w14:textId="77777777" w:rsidR="00F966E2" w:rsidRPr="00B15A5A" w:rsidRDefault="00F966E2" w:rsidP="009F0427">
      <w:pPr>
        <w:pStyle w:val="CommentText"/>
        <w:rPr>
          <w:lang w:val="en-US"/>
        </w:rPr>
      </w:pPr>
      <w:r w:rsidRPr="00B15A5A">
        <w:rPr>
          <w:b/>
          <w:lang w:val="en-US"/>
        </w:rPr>
        <w:t>Sept</w:t>
      </w:r>
      <w:r w:rsidRPr="00B15A5A">
        <w:rPr>
          <w:lang w:val="en-US"/>
        </w:rPr>
        <w:t>. = Sept.</w:t>
      </w:r>
    </w:p>
    <w:p w14:paraId="4C3E02BE" w14:textId="77777777" w:rsidR="00F966E2" w:rsidRPr="00B15A5A" w:rsidRDefault="00F966E2" w:rsidP="009F0427">
      <w:pPr>
        <w:pStyle w:val="CommentText"/>
        <w:rPr>
          <w:lang w:val="en-US"/>
        </w:rPr>
      </w:pPr>
      <w:r w:rsidRPr="00B15A5A">
        <w:rPr>
          <w:b/>
          <w:lang w:val="en-US"/>
        </w:rPr>
        <w:t>Oct</w:t>
      </w:r>
      <w:r w:rsidRPr="00B15A5A">
        <w:rPr>
          <w:lang w:val="en-US"/>
        </w:rPr>
        <w:t>. = Oct.</w:t>
      </w:r>
    </w:p>
    <w:p w14:paraId="01FC0839" w14:textId="77777777" w:rsidR="00F966E2" w:rsidRPr="00B15A5A" w:rsidRDefault="00F966E2" w:rsidP="009F0427">
      <w:pPr>
        <w:pStyle w:val="CommentText"/>
        <w:rPr>
          <w:lang w:val="en-US"/>
        </w:rPr>
      </w:pPr>
      <w:r w:rsidRPr="00B15A5A">
        <w:rPr>
          <w:b/>
          <w:lang w:val="en-US"/>
        </w:rPr>
        <w:t>Nov</w:t>
      </w:r>
      <w:r w:rsidRPr="00B15A5A">
        <w:rPr>
          <w:lang w:val="en-US"/>
        </w:rPr>
        <w:t>. = Nov.</w:t>
      </w:r>
    </w:p>
    <w:p w14:paraId="3CD413FA" w14:textId="77777777" w:rsidR="00F966E2" w:rsidRPr="00B15A5A" w:rsidRDefault="00F966E2" w:rsidP="009F0427">
      <w:pPr>
        <w:pStyle w:val="CommentText"/>
        <w:rPr>
          <w:lang w:val="en-US"/>
        </w:rPr>
      </w:pPr>
      <w:r w:rsidRPr="00B15A5A">
        <w:rPr>
          <w:b/>
          <w:lang w:val="en-US"/>
        </w:rPr>
        <w:t>Dec</w:t>
      </w:r>
      <w:r w:rsidRPr="00B15A5A">
        <w:rPr>
          <w:lang w:val="en-US"/>
        </w:rPr>
        <w:t>. = Déc.</w:t>
      </w:r>
    </w:p>
    <w:p w14:paraId="2F0F2A2D" w14:textId="77777777" w:rsidR="00F966E2" w:rsidRPr="00B15A5A" w:rsidRDefault="00F966E2" w:rsidP="009F0427">
      <w:pPr>
        <w:pStyle w:val="CommentText"/>
        <w:rPr>
          <w:lang w:val="en-US"/>
        </w:rPr>
      </w:pPr>
      <w:r w:rsidRPr="00B15A5A">
        <w:rPr>
          <w:b/>
          <w:lang w:val="en-US"/>
        </w:rPr>
        <w:t>Jan</w:t>
      </w:r>
      <w:r w:rsidRPr="00B15A5A">
        <w:rPr>
          <w:lang w:val="en-US"/>
        </w:rPr>
        <w:t>. = Janv.</w:t>
      </w:r>
    </w:p>
    <w:p w14:paraId="73D1CE58" w14:textId="77777777" w:rsidR="00F966E2" w:rsidRPr="00B15A5A" w:rsidRDefault="00F966E2" w:rsidP="009F0427">
      <w:pPr>
        <w:pStyle w:val="CommentText"/>
        <w:rPr>
          <w:lang w:val="en-US"/>
        </w:rPr>
      </w:pPr>
      <w:r w:rsidRPr="00B15A5A">
        <w:rPr>
          <w:b/>
          <w:lang w:val="en-US"/>
        </w:rPr>
        <w:t>Feb</w:t>
      </w:r>
      <w:r w:rsidRPr="00B15A5A">
        <w:rPr>
          <w:lang w:val="en-US"/>
        </w:rPr>
        <w:t>. = Fév.</w:t>
      </w:r>
    </w:p>
    <w:p w14:paraId="52E6098B" w14:textId="77777777" w:rsidR="00F966E2" w:rsidRPr="009F0427" w:rsidRDefault="00F966E2" w:rsidP="009F0427">
      <w:pPr>
        <w:pStyle w:val="CommentText"/>
      </w:pPr>
      <w:r w:rsidRPr="009F0427">
        <w:rPr>
          <w:b/>
        </w:rPr>
        <w:t>Mar</w:t>
      </w:r>
      <w:r w:rsidRPr="009F0427">
        <w:t xml:space="preserve"> = Mars</w:t>
      </w:r>
    </w:p>
    <w:p w14:paraId="6D5398B6" w14:textId="3B16758E" w:rsidR="00F966E2" w:rsidRPr="009F0427" w:rsidRDefault="00F966E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A204CB" w15:done="0"/>
  <w15:commentEx w15:paraId="1DC55807" w15:done="0"/>
  <w15:commentEx w15:paraId="6D5398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204CB" w16cid:durableId="271CF88A"/>
  <w16cid:commentId w16cid:paraId="1DC55807" w16cid:durableId="271CFA34"/>
  <w16cid:commentId w16cid:paraId="6D5398B6" w16cid:durableId="271CFA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9946" w14:textId="77777777" w:rsidR="00685AC3" w:rsidRDefault="00685AC3">
      <w:pPr>
        <w:spacing w:after="0" w:line="240" w:lineRule="auto"/>
      </w:pPr>
      <w:r>
        <w:separator/>
      </w:r>
    </w:p>
  </w:endnote>
  <w:endnote w:type="continuationSeparator" w:id="0">
    <w:p w14:paraId="44D0A152" w14:textId="77777777" w:rsidR="00685AC3" w:rsidRDefault="0068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3E85" w14:textId="77777777" w:rsidR="00B15A5A" w:rsidRDefault="00B15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579789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773DBF" w14:textId="77777777" w:rsidR="00F966E2" w:rsidRPr="004E5655" w:rsidRDefault="00F966E2" w:rsidP="004E5655">
        <w:pPr>
          <w:pStyle w:val="Footer"/>
          <w:tabs>
            <w:tab w:val="clear" w:pos="4513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4E565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565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E565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5A5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E565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D26F" w14:textId="77777777" w:rsidR="00B15A5A" w:rsidRDefault="00B15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8D6D" w14:textId="77777777" w:rsidR="00685AC3" w:rsidRDefault="00685AC3" w:rsidP="00F46EBB">
      <w:pPr>
        <w:spacing w:after="0" w:line="240" w:lineRule="auto"/>
      </w:pPr>
      <w:r>
        <w:separator/>
      </w:r>
    </w:p>
  </w:footnote>
  <w:footnote w:type="continuationSeparator" w:id="0">
    <w:p w14:paraId="67E46BBA" w14:textId="77777777" w:rsidR="00685AC3" w:rsidRDefault="00685AC3" w:rsidP="00F46EBB">
      <w:pPr>
        <w:spacing w:after="0" w:line="240" w:lineRule="auto"/>
      </w:pPr>
      <w:r>
        <w:continuationSeparator/>
      </w:r>
    </w:p>
  </w:footnote>
  <w:footnote w:id="1">
    <w:p w14:paraId="61C8744C" w14:textId="3F7FC8A2" w:rsidR="00F966E2" w:rsidRPr="00053BE3" w:rsidRDefault="00F966E2" w:rsidP="00D543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543C0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D543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543C0">
        <w:rPr>
          <w:rFonts w:ascii="Times New Roman" w:hAnsi="Times New Roman" w:cs="Times New Roman"/>
          <w:sz w:val="20"/>
          <w:szCs w:val="20"/>
        </w:rPr>
        <w:t>Jusoor</w:t>
      </w:r>
      <w:proofErr w:type="spellEnd"/>
      <w:r w:rsidRPr="00D543C0">
        <w:rPr>
          <w:rFonts w:ascii="Times New Roman" w:hAnsi="Times New Roman" w:cs="Times New Roman"/>
          <w:sz w:val="20"/>
          <w:szCs w:val="20"/>
        </w:rPr>
        <w:t xml:space="preserve"> est une organisation non gouvernementale internationale </w:t>
      </w:r>
      <w:r>
        <w:rPr>
          <w:rFonts w:ascii="Times New Roman" w:hAnsi="Times New Roman" w:cs="Times New Roman"/>
          <w:sz w:val="20"/>
          <w:szCs w:val="20"/>
        </w:rPr>
        <w:t>qui s’est</w:t>
      </w:r>
      <w:r w:rsidRPr="00D543C0">
        <w:rPr>
          <w:rFonts w:ascii="Times New Roman" w:hAnsi="Times New Roman" w:cs="Times New Roman"/>
          <w:sz w:val="20"/>
          <w:szCs w:val="20"/>
        </w:rPr>
        <w:t xml:space="preserve"> donné pour mission d</w:t>
      </w:r>
      <w:proofErr w:type="gramStart"/>
      <w:r>
        <w:rPr>
          <w:rFonts w:ascii="Times New Roman" w:hAnsi="Times New Roman" w:cs="Times New Roman"/>
          <w:sz w:val="20"/>
          <w:szCs w:val="20"/>
        </w:rPr>
        <w:t>’</w:t>
      </w:r>
      <w:r w:rsidRPr="00D543C0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D543C0">
        <w:rPr>
          <w:rFonts w:ascii="Times New Roman" w:hAnsi="Times New Roman" w:cs="Times New Roman"/>
          <w:sz w:val="20"/>
          <w:szCs w:val="20"/>
        </w:rPr>
        <w:t> investir dans l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D543C0">
        <w:rPr>
          <w:rFonts w:ascii="Times New Roman" w:hAnsi="Times New Roman" w:cs="Times New Roman"/>
          <w:sz w:val="20"/>
          <w:szCs w:val="20"/>
        </w:rPr>
        <w:t>enfance et la jeunesse syriennes en vue d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D543C0">
        <w:rPr>
          <w:rFonts w:ascii="Times New Roman" w:hAnsi="Times New Roman" w:cs="Times New Roman"/>
          <w:sz w:val="20"/>
          <w:szCs w:val="20"/>
        </w:rPr>
        <w:t xml:space="preserve">un avenir meilleur ». </w:t>
      </w:r>
    </w:p>
  </w:footnote>
  <w:footnote w:id="2">
    <w:p w14:paraId="1843B247" w14:textId="02EB4E6B" w:rsidR="00F966E2" w:rsidRPr="00053BE3" w:rsidRDefault="00F966E2" w:rsidP="00F749E0">
      <w:pPr>
        <w:pStyle w:val="FootnoteText"/>
        <w:jc w:val="both"/>
        <w:rPr>
          <w:rFonts w:ascii="Times New Roman" w:hAnsi="Times New Roman" w:cs="Times New Roman"/>
        </w:rPr>
      </w:pPr>
      <w:r w:rsidRPr="00D728CB">
        <w:rPr>
          <w:rStyle w:val="FootnoteReference"/>
          <w:rFonts w:ascii="Times New Roman" w:hAnsi="Times New Roman" w:cs="Times New Roman"/>
        </w:rPr>
        <w:footnoteRef/>
      </w:r>
      <w:r w:rsidRPr="00D728CB">
        <w:rPr>
          <w:rFonts w:ascii="Times New Roman" w:hAnsi="Times New Roman" w:cs="Times New Roman"/>
          <w:color w:val="000000"/>
        </w:rPr>
        <w:t xml:space="preserve"> Le </w:t>
      </w:r>
      <w:proofErr w:type="spellStart"/>
      <w:r w:rsidRPr="00D728CB">
        <w:rPr>
          <w:rFonts w:ascii="Times New Roman" w:hAnsi="Times New Roman" w:cs="Times New Roman"/>
          <w:color w:val="000000"/>
        </w:rPr>
        <w:t>EdTech</w:t>
      </w:r>
      <w:proofErr w:type="spellEnd"/>
      <w:r w:rsidRPr="00D728CB">
        <w:rPr>
          <w:rFonts w:ascii="Times New Roman" w:hAnsi="Times New Roman" w:cs="Times New Roman"/>
          <w:color w:val="000000"/>
        </w:rPr>
        <w:t xml:space="preserve"> Hub </w:t>
      </w:r>
      <w:r>
        <w:rPr>
          <w:rFonts w:ascii="Times New Roman" w:hAnsi="Times New Roman" w:cs="Times New Roman"/>
          <w:color w:val="000000"/>
        </w:rPr>
        <w:t>consiste en</w:t>
      </w:r>
      <w:r w:rsidRPr="00D728CB">
        <w:rPr>
          <w:rFonts w:ascii="Times New Roman" w:hAnsi="Times New Roman" w:cs="Times New Roman"/>
          <w:color w:val="000000"/>
        </w:rPr>
        <w:t xml:space="preserve"> un partenariat international de recherche </w:t>
      </w:r>
      <w:r>
        <w:rPr>
          <w:rFonts w:ascii="Times New Roman" w:hAnsi="Times New Roman" w:cs="Times New Roman"/>
          <w:color w:val="000000"/>
        </w:rPr>
        <w:t>ayant</w:t>
      </w:r>
      <w:r w:rsidRPr="00D728CB">
        <w:rPr>
          <w:rFonts w:ascii="Times New Roman" w:hAnsi="Times New Roman" w:cs="Times New Roman"/>
          <w:color w:val="000000"/>
        </w:rPr>
        <w:t xml:space="preserve"> pour mission de produire des données </w:t>
      </w:r>
      <w:r>
        <w:rPr>
          <w:rFonts w:ascii="Times New Roman" w:hAnsi="Times New Roman" w:cs="Times New Roman"/>
          <w:color w:val="000000"/>
        </w:rPr>
        <w:t>afin de faciliter</w:t>
      </w:r>
      <w:r w:rsidRPr="00D728CB">
        <w:rPr>
          <w:rFonts w:ascii="Times New Roman" w:hAnsi="Times New Roman" w:cs="Times New Roman"/>
          <w:color w:val="000000"/>
        </w:rPr>
        <w:t xml:space="preserve"> la prise de décision dans le domaine </w:t>
      </w:r>
      <w:r>
        <w:rPr>
          <w:rFonts w:ascii="Times New Roman" w:hAnsi="Times New Roman" w:cs="Times New Roman"/>
          <w:color w:val="000000"/>
        </w:rPr>
        <w:t>des technologies éducatives</w:t>
      </w:r>
      <w:r w:rsidRPr="00D728CB">
        <w:rPr>
          <w:rFonts w:ascii="Times New Roman" w:hAnsi="Times New Roman" w:cs="Times New Roman"/>
          <w:color w:val="000000"/>
        </w:rPr>
        <w:t>.</w:t>
      </w:r>
    </w:p>
  </w:footnote>
  <w:footnote w:id="3">
    <w:p w14:paraId="38A5B64D" w14:textId="536DA0B1" w:rsidR="00F966E2" w:rsidRPr="00053BE3" w:rsidRDefault="00F966E2" w:rsidP="006246B8">
      <w:pPr>
        <w:pStyle w:val="FootnoteText"/>
        <w:jc w:val="both"/>
        <w:rPr>
          <w:rFonts w:ascii="Times New Roman" w:hAnsi="Times New Roman" w:cs="Times New Roman"/>
        </w:rPr>
      </w:pPr>
      <w:r w:rsidRPr="004E5655"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color w:val="000000"/>
        </w:rPr>
        <w:t xml:space="preserve"> Une équipe </w:t>
      </w:r>
      <w:proofErr w:type="spellStart"/>
      <w:r>
        <w:rPr>
          <w:rFonts w:ascii="Times New Roman" w:hAnsi="Times New Roman" w:cs="Times New Roman"/>
          <w:color w:val="000000"/>
        </w:rPr>
        <w:t>scrum</w:t>
      </w:r>
      <w:proofErr w:type="spellEnd"/>
      <w:r>
        <w:rPr>
          <w:rFonts w:ascii="Times New Roman" w:hAnsi="Times New Roman" w:cs="Times New Roman"/>
          <w:color w:val="000000"/>
        </w:rPr>
        <w:t xml:space="preserve"> renvoie à des pratiques où les membres sont encouragés à communiquer au quotidien et à réévaluer les plans en toute flexibilité.</w:t>
      </w:r>
    </w:p>
  </w:footnote>
  <w:footnote w:id="4">
    <w:p w14:paraId="2C6DF025" w14:textId="77777777" w:rsidR="00F966E2" w:rsidRPr="00053BE3" w:rsidRDefault="00F966E2" w:rsidP="004E5655">
      <w:pPr>
        <w:pStyle w:val="FootnoteText"/>
        <w:jc w:val="both"/>
        <w:rPr>
          <w:rFonts w:ascii="Times New Roman" w:hAnsi="Times New Roman" w:cs="Times New Roman"/>
        </w:rPr>
      </w:pPr>
      <w:r w:rsidRPr="004E5655">
        <w:rPr>
          <w:rStyle w:val="FootnoteReference"/>
          <w:rFonts w:ascii="Times New Roman" w:hAnsi="Times New Roman" w:cs="Times New Roman"/>
        </w:rPr>
        <w:footnoteRef/>
      </w:r>
      <w:r w:rsidRPr="004E5655">
        <w:rPr>
          <w:rFonts w:ascii="Times New Roman" w:hAnsi="Times New Roman" w:cs="Times New Roman"/>
          <w:color w:val="000000"/>
        </w:rPr>
        <w:t xml:space="preserve"> À ce jour, </w:t>
      </w:r>
      <w:proofErr w:type="spellStart"/>
      <w:r w:rsidRPr="004E5655">
        <w:rPr>
          <w:rFonts w:ascii="Times New Roman" w:hAnsi="Times New Roman" w:cs="Times New Roman"/>
          <w:color w:val="000000"/>
        </w:rPr>
        <w:t>Jusoor</w:t>
      </w:r>
      <w:proofErr w:type="spellEnd"/>
      <w:r w:rsidRPr="004E5655">
        <w:rPr>
          <w:rFonts w:ascii="Times New Roman" w:hAnsi="Times New Roman" w:cs="Times New Roman"/>
          <w:color w:val="000000"/>
        </w:rPr>
        <w:t xml:space="preserve"> a permis à 4 631 enfants réfugiés syriens de fréquenter ses écoles.</w:t>
      </w:r>
    </w:p>
  </w:footnote>
  <w:footnote w:id="5">
    <w:p w14:paraId="7B965E4C" w14:textId="77777777" w:rsidR="00157181" w:rsidRPr="00053BE3" w:rsidRDefault="00157181" w:rsidP="00157181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9947DC">
        <w:rPr>
          <w:rFonts w:ascii="Times New Roman" w:hAnsi="Times New Roman" w:cs="Times New Roman"/>
        </w:rPr>
        <w:t xml:space="preserve"> « Internet » renvoie à la fourniture d</w:t>
      </w:r>
      <w:r>
        <w:rPr>
          <w:rFonts w:ascii="Times New Roman" w:hAnsi="Times New Roman" w:cs="Times New Roman"/>
        </w:rPr>
        <w:t>’</w:t>
      </w:r>
      <w:r w:rsidRPr="009947DC">
        <w:rPr>
          <w:rFonts w:ascii="Times New Roman" w:hAnsi="Times New Roman" w:cs="Times New Roman"/>
        </w:rPr>
        <w:t>un plan de données de navigation Internet. « Appareils » renvoie à la fourniture d</w:t>
      </w:r>
      <w:r>
        <w:rPr>
          <w:rFonts w:ascii="Times New Roman" w:hAnsi="Times New Roman" w:cs="Times New Roman"/>
        </w:rPr>
        <w:t>’un</w:t>
      </w:r>
      <w:r w:rsidRPr="009947DC">
        <w:rPr>
          <w:rFonts w:ascii="Times New Roman" w:hAnsi="Times New Roman" w:cs="Times New Roman"/>
        </w:rPr>
        <w:t xml:space="preserve"> dispositif électronique. « Internet et appareils » </w:t>
      </w:r>
      <w:r>
        <w:rPr>
          <w:rFonts w:ascii="Times New Roman" w:hAnsi="Times New Roman" w:cs="Times New Roman"/>
        </w:rPr>
        <w:t>renvoie</w:t>
      </w:r>
      <w:r w:rsidRPr="009947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à la fourniture </w:t>
      </w:r>
      <w:r w:rsidRPr="009947DC">
        <w:rPr>
          <w:rFonts w:ascii="Times New Roman" w:hAnsi="Times New Roman" w:cs="Times New Roman"/>
        </w:rPr>
        <w:t xml:space="preserve">à la fois </w:t>
      </w:r>
      <w:r>
        <w:rPr>
          <w:rFonts w:ascii="Times New Roman" w:hAnsi="Times New Roman" w:cs="Times New Roman"/>
        </w:rPr>
        <w:t>d’un</w:t>
      </w:r>
      <w:r w:rsidRPr="009947DC">
        <w:rPr>
          <w:rFonts w:ascii="Times New Roman" w:hAnsi="Times New Roman" w:cs="Times New Roman"/>
        </w:rPr>
        <w:t xml:space="preserve"> plan de données de navigation</w:t>
      </w:r>
      <w:r>
        <w:rPr>
          <w:rFonts w:ascii="Times New Roman" w:hAnsi="Times New Roman" w:cs="Times New Roman"/>
        </w:rPr>
        <w:t xml:space="preserve"> Internet</w:t>
      </w:r>
      <w:r w:rsidRPr="009947DC">
        <w:rPr>
          <w:rFonts w:ascii="Times New Roman" w:hAnsi="Times New Roman" w:cs="Times New Roman"/>
        </w:rPr>
        <w:t xml:space="preserve"> et </w:t>
      </w:r>
      <w:r>
        <w:rPr>
          <w:rFonts w:ascii="Times New Roman" w:hAnsi="Times New Roman" w:cs="Times New Roman"/>
        </w:rPr>
        <w:t xml:space="preserve">d’un </w:t>
      </w:r>
      <w:r w:rsidRPr="009947DC">
        <w:rPr>
          <w:rFonts w:ascii="Times New Roman" w:hAnsi="Times New Roman" w:cs="Times New Roman"/>
        </w:rPr>
        <w:t>dispositif électronique.</w:t>
      </w:r>
    </w:p>
  </w:footnote>
  <w:footnote w:id="6">
    <w:p w14:paraId="44CD84CA" w14:textId="4CC5B494" w:rsidR="00F966E2" w:rsidRPr="00053BE3" w:rsidRDefault="00F966E2" w:rsidP="004E5655">
      <w:pPr>
        <w:pStyle w:val="FootnoteText"/>
        <w:jc w:val="both"/>
        <w:rPr>
          <w:rFonts w:ascii="Times New Roman" w:hAnsi="Times New Roman" w:cs="Times New Roman"/>
        </w:rPr>
      </w:pPr>
      <w:r w:rsidRPr="004E5655">
        <w:rPr>
          <w:rStyle w:val="FootnoteReference"/>
          <w:rFonts w:ascii="Times New Roman" w:hAnsi="Times New Roman" w:cs="Times New Roman"/>
        </w:rPr>
        <w:footnoteRef/>
      </w:r>
      <w:r w:rsidRPr="004E5655">
        <w:rPr>
          <w:rFonts w:ascii="Times New Roman" w:hAnsi="Times New Roman" w:cs="Times New Roman"/>
          <w:color w:val="000000"/>
        </w:rPr>
        <w:t xml:space="preserve"> Des subventions ont été distribuées à toutes les familles des élèves d</w:t>
      </w:r>
      <w:r>
        <w:rPr>
          <w:rFonts w:ascii="Times New Roman" w:hAnsi="Times New Roman" w:cs="Times New Roman"/>
          <w:color w:val="000000"/>
        </w:rPr>
        <w:t>e</w:t>
      </w:r>
      <w:r w:rsidRPr="004E565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E5655">
        <w:rPr>
          <w:rFonts w:ascii="Times New Roman" w:hAnsi="Times New Roman" w:cs="Times New Roman"/>
          <w:color w:val="000000"/>
        </w:rPr>
        <w:t>Jusoor</w:t>
      </w:r>
      <w:proofErr w:type="spellEnd"/>
      <w:r w:rsidRPr="004E5655">
        <w:rPr>
          <w:rFonts w:ascii="Times New Roman" w:hAnsi="Times New Roman" w:cs="Times New Roman"/>
          <w:color w:val="000000"/>
        </w:rPr>
        <w:t xml:space="preserve"> de la zone d</w:t>
      </w:r>
      <w:r>
        <w:rPr>
          <w:rFonts w:ascii="Times New Roman" w:hAnsi="Times New Roman" w:cs="Times New Roman"/>
          <w:color w:val="000000"/>
        </w:rPr>
        <w:t>’</w:t>
      </w:r>
      <w:r w:rsidRPr="004E5655">
        <w:rPr>
          <w:rFonts w:ascii="Times New Roman" w:hAnsi="Times New Roman" w:cs="Times New Roman"/>
          <w:color w:val="000000"/>
        </w:rPr>
        <w:t>accueil des réfugiés, indépendamment de l</w:t>
      </w:r>
      <w:r>
        <w:rPr>
          <w:rFonts w:ascii="Times New Roman" w:hAnsi="Times New Roman" w:cs="Times New Roman"/>
          <w:color w:val="000000"/>
        </w:rPr>
        <w:t>’</w:t>
      </w:r>
      <w:r w:rsidRPr="004E5655">
        <w:rPr>
          <w:rFonts w:ascii="Times New Roman" w:hAnsi="Times New Roman" w:cs="Times New Roman"/>
          <w:color w:val="000000"/>
        </w:rPr>
        <w:t>assiduité des enfants ou de leurs résultats.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EB61" w14:textId="77777777" w:rsidR="00B15A5A" w:rsidRDefault="00B15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0558" w14:textId="77777777" w:rsidR="00F966E2" w:rsidRDefault="00F966E2" w:rsidP="004E5655">
    <w:pPr>
      <w:pStyle w:val="Header"/>
      <w:tabs>
        <w:tab w:val="clear" w:pos="4513"/>
        <w:tab w:val="clear" w:pos="902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B987" w14:textId="77777777" w:rsidR="00B15A5A" w:rsidRDefault="00B15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7E1F"/>
    <w:multiLevelType w:val="multilevel"/>
    <w:tmpl w:val="7C9E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E0F35"/>
    <w:multiLevelType w:val="multilevel"/>
    <w:tmpl w:val="08421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E423C"/>
    <w:multiLevelType w:val="multilevel"/>
    <w:tmpl w:val="6380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F36DD"/>
    <w:multiLevelType w:val="multilevel"/>
    <w:tmpl w:val="FE3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E225C"/>
    <w:multiLevelType w:val="multilevel"/>
    <w:tmpl w:val="B9B8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56722"/>
    <w:multiLevelType w:val="multilevel"/>
    <w:tmpl w:val="BC4C4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BD6F9D"/>
    <w:multiLevelType w:val="multilevel"/>
    <w:tmpl w:val="6B42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3B3B9C"/>
    <w:multiLevelType w:val="multilevel"/>
    <w:tmpl w:val="DF8E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44130C"/>
    <w:multiLevelType w:val="multilevel"/>
    <w:tmpl w:val="C8FA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093D62"/>
    <w:multiLevelType w:val="multilevel"/>
    <w:tmpl w:val="4B42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B1B93"/>
    <w:multiLevelType w:val="multilevel"/>
    <w:tmpl w:val="2142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5B701B"/>
    <w:multiLevelType w:val="multilevel"/>
    <w:tmpl w:val="239E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9E5CE0"/>
    <w:multiLevelType w:val="multilevel"/>
    <w:tmpl w:val="6E38B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5858FC"/>
    <w:multiLevelType w:val="multilevel"/>
    <w:tmpl w:val="26BE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773A04"/>
    <w:multiLevelType w:val="multilevel"/>
    <w:tmpl w:val="E3387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0B3CDF"/>
    <w:multiLevelType w:val="multilevel"/>
    <w:tmpl w:val="E1CAB3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1C7668"/>
    <w:multiLevelType w:val="multilevel"/>
    <w:tmpl w:val="66262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106732">
    <w:abstractNumId w:val="3"/>
  </w:num>
  <w:num w:numId="2" w16cid:durableId="1403944807">
    <w:abstractNumId w:val="10"/>
  </w:num>
  <w:num w:numId="3" w16cid:durableId="786318309">
    <w:abstractNumId w:val="5"/>
  </w:num>
  <w:num w:numId="4" w16cid:durableId="419641434">
    <w:abstractNumId w:val="0"/>
  </w:num>
  <w:num w:numId="5" w16cid:durableId="350643649">
    <w:abstractNumId w:val="12"/>
  </w:num>
  <w:num w:numId="6" w16cid:durableId="236280739">
    <w:abstractNumId w:val="14"/>
  </w:num>
  <w:num w:numId="7" w16cid:durableId="1172647832">
    <w:abstractNumId w:val="9"/>
  </w:num>
  <w:num w:numId="8" w16cid:durableId="1154491501">
    <w:abstractNumId w:val="2"/>
  </w:num>
  <w:num w:numId="9" w16cid:durableId="956833941">
    <w:abstractNumId w:val="4"/>
  </w:num>
  <w:num w:numId="10" w16cid:durableId="687683686">
    <w:abstractNumId w:val="1"/>
    <w:lvlOverride w:ilvl="0">
      <w:lvl w:ilvl="0">
        <w:numFmt w:val="decimal"/>
        <w:lvlText w:val="%1."/>
        <w:lvlJc w:val="left"/>
      </w:lvl>
    </w:lvlOverride>
  </w:num>
  <w:num w:numId="11" w16cid:durableId="204948242">
    <w:abstractNumId w:val="6"/>
  </w:num>
  <w:num w:numId="12" w16cid:durableId="597098988">
    <w:abstractNumId w:val="8"/>
  </w:num>
  <w:num w:numId="13" w16cid:durableId="1345521495">
    <w:abstractNumId w:val="13"/>
  </w:num>
  <w:num w:numId="14" w16cid:durableId="1712220287">
    <w:abstractNumId w:val="11"/>
  </w:num>
  <w:num w:numId="15" w16cid:durableId="274220035">
    <w:abstractNumId w:val="7"/>
  </w:num>
  <w:num w:numId="16" w16cid:durableId="966395509">
    <w:abstractNumId w:val="16"/>
  </w:num>
  <w:num w:numId="17" w16cid:durableId="632904199">
    <w:abstractNumId w:val="15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MzQ0NTG3MLY0NTFU0lEKTi0uzszPAykwrgUAo5YnwSwAAAA="/>
  </w:docVars>
  <w:rsids>
    <w:rsidRoot w:val="00942FB3"/>
    <w:rsid w:val="000075CB"/>
    <w:rsid w:val="00007A98"/>
    <w:rsid w:val="0001320A"/>
    <w:rsid w:val="0001783B"/>
    <w:rsid w:val="000178DA"/>
    <w:rsid w:val="00020FD2"/>
    <w:rsid w:val="000214EB"/>
    <w:rsid w:val="0004270C"/>
    <w:rsid w:val="00044B81"/>
    <w:rsid w:val="000478AC"/>
    <w:rsid w:val="00050BDF"/>
    <w:rsid w:val="00051B97"/>
    <w:rsid w:val="00053BE3"/>
    <w:rsid w:val="000609B0"/>
    <w:rsid w:val="000660D4"/>
    <w:rsid w:val="00072B30"/>
    <w:rsid w:val="000744DE"/>
    <w:rsid w:val="00082B25"/>
    <w:rsid w:val="00083D38"/>
    <w:rsid w:val="0008689C"/>
    <w:rsid w:val="00093582"/>
    <w:rsid w:val="0009430C"/>
    <w:rsid w:val="00097AAF"/>
    <w:rsid w:val="000B538F"/>
    <w:rsid w:val="000C185E"/>
    <w:rsid w:val="000C2721"/>
    <w:rsid w:val="000C314F"/>
    <w:rsid w:val="000D46CD"/>
    <w:rsid w:val="000D6543"/>
    <w:rsid w:val="000E19F1"/>
    <w:rsid w:val="000E27A0"/>
    <w:rsid w:val="000E495C"/>
    <w:rsid w:val="000F1265"/>
    <w:rsid w:val="000F1F16"/>
    <w:rsid w:val="000F6EB4"/>
    <w:rsid w:val="000F7303"/>
    <w:rsid w:val="0010077A"/>
    <w:rsid w:val="001023A8"/>
    <w:rsid w:val="00103B99"/>
    <w:rsid w:val="00106048"/>
    <w:rsid w:val="00106266"/>
    <w:rsid w:val="00106BD2"/>
    <w:rsid w:val="0010722A"/>
    <w:rsid w:val="0011517A"/>
    <w:rsid w:val="001166E5"/>
    <w:rsid w:val="001366EC"/>
    <w:rsid w:val="00141858"/>
    <w:rsid w:val="00142230"/>
    <w:rsid w:val="00144266"/>
    <w:rsid w:val="0014585C"/>
    <w:rsid w:val="00151C77"/>
    <w:rsid w:val="00155D82"/>
    <w:rsid w:val="00157181"/>
    <w:rsid w:val="001608BC"/>
    <w:rsid w:val="001644B8"/>
    <w:rsid w:val="001654E5"/>
    <w:rsid w:val="0017150D"/>
    <w:rsid w:val="00172FB1"/>
    <w:rsid w:val="00182BA3"/>
    <w:rsid w:val="00184709"/>
    <w:rsid w:val="00184D29"/>
    <w:rsid w:val="001908D8"/>
    <w:rsid w:val="001941D4"/>
    <w:rsid w:val="001972E9"/>
    <w:rsid w:val="001975FA"/>
    <w:rsid w:val="001A43E4"/>
    <w:rsid w:val="001A7C86"/>
    <w:rsid w:val="001A7F9F"/>
    <w:rsid w:val="001B0106"/>
    <w:rsid w:val="001B08DA"/>
    <w:rsid w:val="001B2A1C"/>
    <w:rsid w:val="001C3E94"/>
    <w:rsid w:val="001C6F26"/>
    <w:rsid w:val="001D6185"/>
    <w:rsid w:val="001D7DDA"/>
    <w:rsid w:val="001F0012"/>
    <w:rsid w:val="001F14B6"/>
    <w:rsid w:val="001F2379"/>
    <w:rsid w:val="001F30C6"/>
    <w:rsid w:val="001F471F"/>
    <w:rsid w:val="001F5557"/>
    <w:rsid w:val="00200C78"/>
    <w:rsid w:val="002025FB"/>
    <w:rsid w:val="00205E4D"/>
    <w:rsid w:val="0021430C"/>
    <w:rsid w:val="00230FD5"/>
    <w:rsid w:val="002358D2"/>
    <w:rsid w:val="00237287"/>
    <w:rsid w:val="00237874"/>
    <w:rsid w:val="0024314A"/>
    <w:rsid w:val="00243251"/>
    <w:rsid w:val="0024678B"/>
    <w:rsid w:val="00254700"/>
    <w:rsid w:val="002562B7"/>
    <w:rsid w:val="0026271B"/>
    <w:rsid w:val="00262C7C"/>
    <w:rsid w:val="00262D20"/>
    <w:rsid w:val="002634A0"/>
    <w:rsid w:val="00265A9E"/>
    <w:rsid w:val="002679B6"/>
    <w:rsid w:val="002915DF"/>
    <w:rsid w:val="002A118A"/>
    <w:rsid w:val="002B0212"/>
    <w:rsid w:val="002B04B1"/>
    <w:rsid w:val="002B0899"/>
    <w:rsid w:val="002B2515"/>
    <w:rsid w:val="002B54F3"/>
    <w:rsid w:val="002C4479"/>
    <w:rsid w:val="002C7345"/>
    <w:rsid w:val="002D5B3E"/>
    <w:rsid w:val="002F5D45"/>
    <w:rsid w:val="00300E36"/>
    <w:rsid w:val="003021CB"/>
    <w:rsid w:val="00315E36"/>
    <w:rsid w:val="003243F2"/>
    <w:rsid w:val="00330CAA"/>
    <w:rsid w:val="00340CA5"/>
    <w:rsid w:val="003418F5"/>
    <w:rsid w:val="00343F67"/>
    <w:rsid w:val="00357827"/>
    <w:rsid w:val="00360049"/>
    <w:rsid w:val="0036217C"/>
    <w:rsid w:val="00364D94"/>
    <w:rsid w:val="00365FFF"/>
    <w:rsid w:val="003663F8"/>
    <w:rsid w:val="00371904"/>
    <w:rsid w:val="00385B29"/>
    <w:rsid w:val="003907BF"/>
    <w:rsid w:val="003A67CC"/>
    <w:rsid w:val="003B5C73"/>
    <w:rsid w:val="003C1605"/>
    <w:rsid w:val="003C4EC5"/>
    <w:rsid w:val="003C5CA8"/>
    <w:rsid w:val="003C706B"/>
    <w:rsid w:val="003C78B5"/>
    <w:rsid w:val="003D0956"/>
    <w:rsid w:val="003D3D45"/>
    <w:rsid w:val="003D4A10"/>
    <w:rsid w:val="003E24DC"/>
    <w:rsid w:val="003E7471"/>
    <w:rsid w:val="003F2A46"/>
    <w:rsid w:val="00406861"/>
    <w:rsid w:val="00412370"/>
    <w:rsid w:val="004134E4"/>
    <w:rsid w:val="004147DA"/>
    <w:rsid w:val="00415116"/>
    <w:rsid w:val="00415168"/>
    <w:rsid w:val="00424591"/>
    <w:rsid w:val="00430360"/>
    <w:rsid w:val="004427D7"/>
    <w:rsid w:val="00444F7F"/>
    <w:rsid w:val="004510D2"/>
    <w:rsid w:val="004569B4"/>
    <w:rsid w:val="00462D11"/>
    <w:rsid w:val="00464244"/>
    <w:rsid w:val="00471AF3"/>
    <w:rsid w:val="0047613B"/>
    <w:rsid w:val="0047655E"/>
    <w:rsid w:val="00476606"/>
    <w:rsid w:val="0049353F"/>
    <w:rsid w:val="0049760F"/>
    <w:rsid w:val="004A322B"/>
    <w:rsid w:val="004A4107"/>
    <w:rsid w:val="004A5A27"/>
    <w:rsid w:val="004A5BE9"/>
    <w:rsid w:val="004B3B9E"/>
    <w:rsid w:val="004B741F"/>
    <w:rsid w:val="004C602B"/>
    <w:rsid w:val="004C7546"/>
    <w:rsid w:val="004D35D3"/>
    <w:rsid w:val="004D79FB"/>
    <w:rsid w:val="004D7BC4"/>
    <w:rsid w:val="004E05D5"/>
    <w:rsid w:val="004E254B"/>
    <w:rsid w:val="004E5655"/>
    <w:rsid w:val="004E7339"/>
    <w:rsid w:val="00505213"/>
    <w:rsid w:val="00505AA1"/>
    <w:rsid w:val="00507F05"/>
    <w:rsid w:val="00515895"/>
    <w:rsid w:val="00517C69"/>
    <w:rsid w:val="00521001"/>
    <w:rsid w:val="005305F3"/>
    <w:rsid w:val="00532A16"/>
    <w:rsid w:val="00532F38"/>
    <w:rsid w:val="005352AF"/>
    <w:rsid w:val="00537A16"/>
    <w:rsid w:val="005507D6"/>
    <w:rsid w:val="005559B6"/>
    <w:rsid w:val="00563A82"/>
    <w:rsid w:val="00574AC7"/>
    <w:rsid w:val="00580A1D"/>
    <w:rsid w:val="00582A4A"/>
    <w:rsid w:val="0058472C"/>
    <w:rsid w:val="00586081"/>
    <w:rsid w:val="00591049"/>
    <w:rsid w:val="005913AA"/>
    <w:rsid w:val="00593F57"/>
    <w:rsid w:val="005942D1"/>
    <w:rsid w:val="00595163"/>
    <w:rsid w:val="00595F25"/>
    <w:rsid w:val="00596C02"/>
    <w:rsid w:val="00597C89"/>
    <w:rsid w:val="005A150F"/>
    <w:rsid w:val="005A2745"/>
    <w:rsid w:val="005B1F3B"/>
    <w:rsid w:val="005B545A"/>
    <w:rsid w:val="005B6865"/>
    <w:rsid w:val="005C62E5"/>
    <w:rsid w:val="005D2614"/>
    <w:rsid w:val="005D62E1"/>
    <w:rsid w:val="005D6A82"/>
    <w:rsid w:val="005E3CCA"/>
    <w:rsid w:val="005E7C47"/>
    <w:rsid w:val="005F243C"/>
    <w:rsid w:val="005F3D42"/>
    <w:rsid w:val="00603236"/>
    <w:rsid w:val="006036E6"/>
    <w:rsid w:val="00605310"/>
    <w:rsid w:val="00611E7E"/>
    <w:rsid w:val="00615247"/>
    <w:rsid w:val="006200CA"/>
    <w:rsid w:val="00620B8A"/>
    <w:rsid w:val="00623815"/>
    <w:rsid w:val="0062385E"/>
    <w:rsid w:val="006246B8"/>
    <w:rsid w:val="00654453"/>
    <w:rsid w:val="00656EFA"/>
    <w:rsid w:val="006602EA"/>
    <w:rsid w:val="006700FE"/>
    <w:rsid w:val="006706AA"/>
    <w:rsid w:val="0067370C"/>
    <w:rsid w:val="00677B02"/>
    <w:rsid w:val="00681CF7"/>
    <w:rsid w:val="006822C0"/>
    <w:rsid w:val="00684351"/>
    <w:rsid w:val="00685AC3"/>
    <w:rsid w:val="006867A6"/>
    <w:rsid w:val="00687BEB"/>
    <w:rsid w:val="00692288"/>
    <w:rsid w:val="006A16D6"/>
    <w:rsid w:val="006A2C6A"/>
    <w:rsid w:val="006A44BE"/>
    <w:rsid w:val="006A5C92"/>
    <w:rsid w:val="006B3325"/>
    <w:rsid w:val="006C1299"/>
    <w:rsid w:val="006C1410"/>
    <w:rsid w:val="006C66FB"/>
    <w:rsid w:val="006D1325"/>
    <w:rsid w:val="006D6069"/>
    <w:rsid w:val="006E3440"/>
    <w:rsid w:val="006E48FA"/>
    <w:rsid w:val="006F1BF2"/>
    <w:rsid w:val="006F3B53"/>
    <w:rsid w:val="006F3C24"/>
    <w:rsid w:val="006F619F"/>
    <w:rsid w:val="00701925"/>
    <w:rsid w:val="007050F2"/>
    <w:rsid w:val="00705851"/>
    <w:rsid w:val="007074D6"/>
    <w:rsid w:val="0071074C"/>
    <w:rsid w:val="007135BE"/>
    <w:rsid w:val="00715B3F"/>
    <w:rsid w:val="00724296"/>
    <w:rsid w:val="00725936"/>
    <w:rsid w:val="00731AF5"/>
    <w:rsid w:val="00734F76"/>
    <w:rsid w:val="00740D21"/>
    <w:rsid w:val="0074316B"/>
    <w:rsid w:val="007433B5"/>
    <w:rsid w:val="00744709"/>
    <w:rsid w:val="00744FF3"/>
    <w:rsid w:val="00747497"/>
    <w:rsid w:val="00750A31"/>
    <w:rsid w:val="00766538"/>
    <w:rsid w:val="00766E14"/>
    <w:rsid w:val="007703B7"/>
    <w:rsid w:val="007707F3"/>
    <w:rsid w:val="00781563"/>
    <w:rsid w:val="00785FAC"/>
    <w:rsid w:val="00787697"/>
    <w:rsid w:val="00790592"/>
    <w:rsid w:val="007918C3"/>
    <w:rsid w:val="00796312"/>
    <w:rsid w:val="007A1F45"/>
    <w:rsid w:val="007A39E2"/>
    <w:rsid w:val="007A5AE0"/>
    <w:rsid w:val="007A6B0A"/>
    <w:rsid w:val="007B07A4"/>
    <w:rsid w:val="007B47BA"/>
    <w:rsid w:val="007B4F78"/>
    <w:rsid w:val="007B5415"/>
    <w:rsid w:val="007B599A"/>
    <w:rsid w:val="007C0661"/>
    <w:rsid w:val="007C46A2"/>
    <w:rsid w:val="007D0E5D"/>
    <w:rsid w:val="007D0F06"/>
    <w:rsid w:val="007E3BE4"/>
    <w:rsid w:val="007E473D"/>
    <w:rsid w:val="007E581A"/>
    <w:rsid w:val="00801924"/>
    <w:rsid w:val="00802860"/>
    <w:rsid w:val="00814D83"/>
    <w:rsid w:val="0081784A"/>
    <w:rsid w:val="0082023F"/>
    <w:rsid w:val="008226FF"/>
    <w:rsid w:val="008354D5"/>
    <w:rsid w:val="00840014"/>
    <w:rsid w:val="00850795"/>
    <w:rsid w:val="00857853"/>
    <w:rsid w:val="00861E0B"/>
    <w:rsid w:val="008641CC"/>
    <w:rsid w:val="00871678"/>
    <w:rsid w:val="008724D1"/>
    <w:rsid w:val="00882211"/>
    <w:rsid w:val="00883406"/>
    <w:rsid w:val="00883EFE"/>
    <w:rsid w:val="00885F90"/>
    <w:rsid w:val="00894010"/>
    <w:rsid w:val="008A3C6F"/>
    <w:rsid w:val="008B3629"/>
    <w:rsid w:val="008B453E"/>
    <w:rsid w:val="008C325C"/>
    <w:rsid w:val="008D4CC5"/>
    <w:rsid w:val="008E2009"/>
    <w:rsid w:val="008E26FA"/>
    <w:rsid w:val="008E34AD"/>
    <w:rsid w:val="008E59F0"/>
    <w:rsid w:val="00900F9B"/>
    <w:rsid w:val="00913729"/>
    <w:rsid w:val="00916036"/>
    <w:rsid w:val="009241C0"/>
    <w:rsid w:val="0093442E"/>
    <w:rsid w:val="00942FB3"/>
    <w:rsid w:val="00944F09"/>
    <w:rsid w:val="00956AD9"/>
    <w:rsid w:val="00956FB6"/>
    <w:rsid w:val="00957BE3"/>
    <w:rsid w:val="0096013E"/>
    <w:rsid w:val="009612F3"/>
    <w:rsid w:val="00961E0D"/>
    <w:rsid w:val="00976038"/>
    <w:rsid w:val="00976BE2"/>
    <w:rsid w:val="00983852"/>
    <w:rsid w:val="0098711E"/>
    <w:rsid w:val="00991827"/>
    <w:rsid w:val="0099328A"/>
    <w:rsid w:val="009937E2"/>
    <w:rsid w:val="009939B7"/>
    <w:rsid w:val="009947DC"/>
    <w:rsid w:val="00994B4B"/>
    <w:rsid w:val="0099616D"/>
    <w:rsid w:val="009A03EC"/>
    <w:rsid w:val="009A1238"/>
    <w:rsid w:val="009B2ADF"/>
    <w:rsid w:val="009B7BE4"/>
    <w:rsid w:val="009D2D85"/>
    <w:rsid w:val="009D7A34"/>
    <w:rsid w:val="009E4164"/>
    <w:rsid w:val="009F0427"/>
    <w:rsid w:val="009F7D91"/>
    <w:rsid w:val="00A00407"/>
    <w:rsid w:val="00A0542B"/>
    <w:rsid w:val="00A065DC"/>
    <w:rsid w:val="00A07443"/>
    <w:rsid w:val="00A07906"/>
    <w:rsid w:val="00A11D77"/>
    <w:rsid w:val="00A1207E"/>
    <w:rsid w:val="00A14BA7"/>
    <w:rsid w:val="00A217A8"/>
    <w:rsid w:val="00A22C78"/>
    <w:rsid w:val="00A2534A"/>
    <w:rsid w:val="00A27067"/>
    <w:rsid w:val="00A27EFE"/>
    <w:rsid w:val="00A303E9"/>
    <w:rsid w:val="00A3098B"/>
    <w:rsid w:val="00A340CF"/>
    <w:rsid w:val="00A570C6"/>
    <w:rsid w:val="00A703AA"/>
    <w:rsid w:val="00A70DB1"/>
    <w:rsid w:val="00A71610"/>
    <w:rsid w:val="00A80F51"/>
    <w:rsid w:val="00A810D9"/>
    <w:rsid w:val="00AB2AAF"/>
    <w:rsid w:val="00AB5327"/>
    <w:rsid w:val="00AC08C4"/>
    <w:rsid w:val="00AC260F"/>
    <w:rsid w:val="00AC537E"/>
    <w:rsid w:val="00AC65A7"/>
    <w:rsid w:val="00AD3CD4"/>
    <w:rsid w:val="00AE0F1C"/>
    <w:rsid w:val="00AE1111"/>
    <w:rsid w:val="00AE5243"/>
    <w:rsid w:val="00AE64AA"/>
    <w:rsid w:val="00AF050D"/>
    <w:rsid w:val="00AF55DA"/>
    <w:rsid w:val="00B00012"/>
    <w:rsid w:val="00B0081F"/>
    <w:rsid w:val="00B071CF"/>
    <w:rsid w:val="00B14F5F"/>
    <w:rsid w:val="00B1558F"/>
    <w:rsid w:val="00B15A5A"/>
    <w:rsid w:val="00B35DA1"/>
    <w:rsid w:val="00B36E5D"/>
    <w:rsid w:val="00B41276"/>
    <w:rsid w:val="00B430C3"/>
    <w:rsid w:val="00B55B27"/>
    <w:rsid w:val="00B57691"/>
    <w:rsid w:val="00B60D47"/>
    <w:rsid w:val="00B671BE"/>
    <w:rsid w:val="00B70F57"/>
    <w:rsid w:val="00B71402"/>
    <w:rsid w:val="00B74220"/>
    <w:rsid w:val="00B82FB1"/>
    <w:rsid w:val="00B830C9"/>
    <w:rsid w:val="00B872A8"/>
    <w:rsid w:val="00B87D85"/>
    <w:rsid w:val="00B90631"/>
    <w:rsid w:val="00B9619D"/>
    <w:rsid w:val="00BA0A34"/>
    <w:rsid w:val="00BA1266"/>
    <w:rsid w:val="00BA5295"/>
    <w:rsid w:val="00BB1D27"/>
    <w:rsid w:val="00BD2E6A"/>
    <w:rsid w:val="00BD4016"/>
    <w:rsid w:val="00BE2703"/>
    <w:rsid w:val="00BE3B15"/>
    <w:rsid w:val="00BE786F"/>
    <w:rsid w:val="00BF5470"/>
    <w:rsid w:val="00C02708"/>
    <w:rsid w:val="00C05C0B"/>
    <w:rsid w:val="00C06E87"/>
    <w:rsid w:val="00C13345"/>
    <w:rsid w:val="00C13ABA"/>
    <w:rsid w:val="00C15751"/>
    <w:rsid w:val="00C1723A"/>
    <w:rsid w:val="00C17593"/>
    <w:rsid w:val="00C25CCE"/>
    <w:rsid w:val="00C26843"/>
    <w:rsid w:val="00C313AD"/>
    <w:rsid w:val="00C45EA9"/>
    <w:rsid w:val="00C56094"/>
    <w:rsid w:val="00C57AEC"/>
    <w:rsid w:val="00C61693"/>
    <w:rsid w:val="00C7242F"/>
    <w:rsid w:val="00C735C0"/>
    <w:rsid w:val="00C762C5"/>
    <w:rsid w:val="00C776C2"/>
    <w:rsid w:val="00C87A44"/>
    <w:rsid w:val="00C915FE"/>
    <w:rsid w:val="00C95F71"/>
    <w:rsid w:val="00CA0131"/>
    <w:rsid w:val="00CA0EB1"/>
    <w:rsid w:val="00CA642A"/>
    <w:rsid w:val="00CB043A"/>
    <w:rsid w:val="00CB1DF8"/>
    <w:rsid w:val="00CB1F2D"/>
    <w:rsid w:val="00CB2B80"/>
    <w:rsid w:val="00CC1AE4"/>
    <w:rsid w:val="00CC3025"/>
    <w:rsid w:val="00CC409D"/>
    <w:rsid w:val="00CC4344"/>
    <w:rsid w:val="00CC53AB"/>
    <w:rsid w:val="00CC6EF0"/>
    <w:rsid w:val="00CE14EF"/>
    <w:rsid w:val="00CE1AA7"/>
    <w:rsid w:val="00CE1B37"/>
    <w:rsid w:val="00CF523A"/>
    <w:rsid w:val="00CF6638"/>
    <w:rsid w:val="00D007FC"/>
    <w:rsid w:val="00D11EDC"/>
    <w:rsid w:val="00D17349"/>
    <w:rsid w:val="00D17AAE"/>
    <w:rsid w:val="00D223D3"/>
    <w:rsid w:val="00D34D9F"/>
    <w:rsid w:val="00D35E5E"/>
    <w:rsid w:val="00D40DC4"/>
    <w:rsid w:val="00D423B5"/>
    <w:rsid w:val="00D4436C"/>
    <w:rsid w:val="00D44D14"/>
    <w:rsid w:val="00D46B71"/>
    <w:rsid w:val="00D503E4"/>
    <w:rsid w:val="00D51552"/>
    <w:rsid w:val="00D543C0"/>
    <w:rsid w:val="00D57B56"/>
    <w:rsid w:val="00D62C16"/>
    <w:rsid w:val="00D709B6"/>
    <w:rsid w:val="00D728CB"/>
    <w:rsid w:val="00D742EC"/>
    <w:rsid w:val="00D762FD"/>
    <w:rsid w:val="00D827C4"/>
    <w:rsid w:val="00D931C8"/>
    <w:rsid w:val="00D93400"/>
    <w:rsid w:val="00D93C5C"/>
    <w:rsid w:val="00D94948"/>
    <w:rsid w:val="00D9512D"/>
    <w:rsid w:val="00DA0244"/>
    <w:rsid w:val="00DA1A3B"/>
    <w:rsid w:val="00DA21B8"/>
    <w:rsid w:val="00DA507F"/>
    <w:rsid w:val="00DB24D4"/>
    <w:rsid w:val="00DC5FEE"/>
    <w:rsid w:val="00DC6187"/>
    <w:rsid w:val="00DD34FB"/>
    <w:rsid w:val="00DD59D3"/>
    <w:rsid w:val="00DD5FB1"/>
    <w:rsid w:val="00DE3A64"/>
    <w:rsid w:val="00DF2DD2"/>
    <w:rsid w:val="00DF6658"/>
    <w:rsid w:val="00E00499"/>
    <w:rsid w:val="00E0544A"/>
    <w:rsid w:val="00E062E3"/>
    <w:rsid w:val="00E15EFC"/>
    <w:rsid w:val="00E16D26"/>
    <w:rsid w:val="00E17CB9"/>
    <w:rsid w:val="00E24F06"/>
    <w:rsid w:val="00E27E23"/>
    <w:rsid w:val="00E34706"/>
    <w:rsid w:val="00E40723"/>
    <w:rsid w:val="00E4312E"/>
    <w:rsid w:val="00E46973"/>
    <w:rsid w:val="00E46E24"/>
    <w:rsid w:val="00E63473"/>
    <w:rsid w:val="00E720CE"/>
    <w:rsid w:val="00E74950"/>
    <w:rsid w:val="00E753D3"/>
    <w:rsid w:val="00E75AD6"/>
    <w:rsid w:val="00E84777"/>
    <w:rsid w:val="00E877DF"/>
    <w:rsid w:val="00E93AB1"/>
    <w:rsid w:val="00E96262"/>
    <w:rsid w:val="00E96AFC"/>
    <w:rsid w:val="00E971C8"/>
    <w:rsid w:val="00EB1C1A"/>
    <w:rsid w:val="00EC0D6E"/>
    <w:rsid w:val="00EC4CEE"/>
    <w:rsid w:val="00EC51E1"/>
    <w:rsid w:val="00EE19A5"/>
    <w:rsid w:val="00EE43B1"/>
    <w:rsid w:val="00EE455D"/>
    <w:rsid w:val="00EE6616"/>
    <w:rsid w:val="00EE723C"/>
    <w:rsid w:val="00F0116A"/>
    <w:rsid w:val="00F037E4"/>
    <w:rsid w:val="00F11ED7"/>
    <w:rsid w:val="00F17508"/>
    <w:rsid w:val="00F21DC1"/>
    <w:rsid w:val="00F236F9"/>
    <w:rsid w:val="00F25E27"/>
    <w:rsid w:val="00F27AE9"/>
    <w:rsid w:val="00F37D20"/>
    <w:rsid w:val="00F40E5A"/>
    <w:rsid w:val="00F41E18"/>
    <w:rsid w:val="00F42362"/>
    <w:rsid w:val="00F42B9E"/>
    <w:rsid w:val="00F44C7F"/>
    <w:rsid w:val="00F45D32"/>
    <w:rsid w:val="00F46EBB"/>
    <w:rsid w:val="00F508EF"/>
    <w:rsid w:val="00F512D6"/>
    <w:rsid w:val="00F54855"/>
    <w:rsid w:val="00F63059"/>
    <w:rsid w:val="00F65459"/>
    <w:rsid w:val="00F71B65"/>
    <w:rsid w:val="00F73830"/>
    <w:rsid w:val="00F749E0"/>
    <w:rsid w:val="00F77101"/>
    <w:rsid w:val="00F93456"/>
    <w:rsid w:val="00F966E2"/>
    <w:rsid w:val="00FA2AD2"/>
    <w:rsid w:val="00FA5524"/>
    <w:rsid w:val="00FB3224"/>
    <w:rsid w:val="00FB44D9"/>
    <w:rsid w:val="00FB4716"/>
    <w:rsid w:val="00FB5734"/>
    <w:rsid w:val="00FC1F42"/>
    <w:rsid w:val="00FC2F67"/>
    <w:rsid w:val="00FC536B"/>
    <w:rsid w:val="00FC6B5A"/>
    <w:rsid w:val="00FD1D8E"/>
    <w:rsid w:val="00FD64BD"/>
    <w:rsid w:val="00FE3062"/>
    <w:rsid w:val="00FE5DB3"/>
    <w:rsid w:val="00FE5DFE"/>
    <w:rsid w:val="00FE66FE"/>
    <w:rsid w:val="00FE7CCF"/>
    <w:rsid w:val="00FF021F"/>
    <w:rsid w:val="00FF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C3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1B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2F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942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2FB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42FB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94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42F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3D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EB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4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EBB"/>
    <w:rPr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6E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6EBB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46EB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6F1B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Default">
    <w:name w:val="Default"/>
    <w:rsid w:val="00597C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36E5D"/>
    <w:pPr>
      <w:spacing w:after="0" w:line="240" w:lineRule="auto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20B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08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0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08C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8C4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24591"/>
    <w:pPr>
      <w:spacing w:after="0" w:line="240" w:lineRule="auto"/>
    </w:pPr>
    <w:rPr>
      <w:lang w:val="en-US"/>
    </w:rPr>
  </w:style>
  <w:style w:type="character" w:customStyle="1" w:styleId="hgkelc">
    <w:name w:val="hgkelc"/>
    <w:basedOn w:val="DefaultParagraphFont"/>
    <w:rsid w:val="00840014"/>
  </w:style>
  <w:style w:type="paragraph" w:styleId="BalloonText">
    <w:name w:val="Balloon Text"/>
    <w:basedOn w:val="Normal"/>
    <w:link w:val="BalloonTextChar"/>
    <w:uiPriority w:val="99"/>
    <w:semiHidden/>
    <w:unhideWhenUsed/>
    <w:rsid w:val="002B0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4B1"/>
    <w:rPr>
      <w:rFonts w:ascii="Segoe UI" w:hAnsi="Segoe UI" w:cs="Segoe UI"/>
      <w:sz w:val="18"/>
      <w:szCs w:val="1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11E7E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871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6/09/relationships/commentsIds" Target="commentsId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5584D-D699-4A90-B94C-40E19289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4942</Words>
  <Characters>28912</Characters>
  <Application>Microsoft Office Word</Application>
  <DocSecurity>0</DocSecurity>
  <Lines>545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2022-11-28T15:06:00Z</dcterms:created>
  <dcterms:modified xsi:type="dcterms:W3CDTF">2022-11-28T15:06:00Z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cc9f7db350c21d9e7be5e338dceed6340f48a6c716512d5775b5101cd6608d57</vt:lpwstr>
  </property>
</Properties>
</file>