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17FD3" w14:textId="29D9608E" w:rsidR="00C739EC" w:rsidRPr="00095E29" w:rsidRDefault="002907B2" w:rsidP="00095E29">
      <w:pPr>
        <w:spacing w:after="0" w:line="480" w:lineRule="auto"/>
        <w:jc w:val="center"/>
        <w:rPr>
          <w:rFonts w:ascii="Times New Roman" w:hAnsi="Times New Roman" w:cs="Times New Roman"/>
          <w:b/>
          <w:bCs/>
          <w:caps/>
          <w:sz w:val="24"/>
          <w:szCs w:val="24"/>
        </w:rPr>
      </w:pPr>
      <w:r>
        <w:rPr>
          <w:rFonts w:ascii="Times New Roman" w:hAnsi="Times New Roman"/>
          <w:b/>
          <w:caps/>
          <w:sz w:val="24"/>
        </w:rPr>
        <w:t>NOTE ÉDITORIALE</w:t>
      </w:r>
    </w:p>
    <w:p w14:paraId="35E236D2" w14:textId="77777777" w:rsidR="002907B2" w:rsidRPr="00095E29" w:rsidRDefault="002907B2" w:rsidP="00095E29">
      <w:pPr>
        <w:spacing w:after="0" w:line="480" w:lineRule="auto"/>
        <w:rPr>
          <w:rFonts w:ascii="Times New Roman" w:hAnsi="Times New Roman" w:cs="Times New Roman"/>
          <w:caps/>
          <w:sz w:val="24"/>
          <w:szCs w:val="24"/>
        </w:rPr>
      </w:pPr>
    </w:p>
    <w:p w14:paraId="7BF58315" w14:textId="184B3181" w:rsidR="003A00D1" w:rsidRPr="00095E29" w:rsidRDefault="003A00D1" w:rsidP="00095E29">
      <w:pPr>
        <w:spacing w:after="0" w:line="480" w:lineRule="auto"/>
        <w:jc w:val="center"/>
        <w:rPr>
          <w:rFonts w:ascii="Times New Roman" w:hAnsi="Times New Roman" w:cs="Times New Roman"/>
          <w:b/>
          <w:bCs/>
          <w:smallCaps/>
          <w:sz w:val="24"/>
          <w:szCs w:val="24"/>
        </w:rPr>
      </w:pPr>
      <w:r>
        <w:rPr>
          <w:rFonts w:ascii="Times New Roman" w:hAnsi="Times New Roman"/>
          <w:b/>
          <w:smallCaps/>
          <w:sz w:val="24"/>
        </w:rPr>
        <w:t>Emily Dunlop et Mark Ginsburg</w:t>
      </w:r>
    </w:p>
    <w:p w14:paraId="676CB310" w14:textId="77777777" w:rsidR="002907B2" w:rsidRPr="00095E29" w:rsidRDefault="002907B2" w:rsidP="00095E29">
      <w:pPr>
        <w:spacing w:after="0" w:line="480" w:lineRule="auto"/>
        <w:rPr>
          <w:rFonts w:ascii="Times New Roman" w:hAnsi="Times New Roman" w:cs="Times New Roman"/>
          <w:sz w:val="24"/>
          <w:szCs w:val="24"/>
        </w:rPr>
      </w:pPr>
    </w:p>
    <w:p w14:paraId="78ECB272" w14:textId="622DE6EE" w:rsidR="007774F3" w:rsidRPr="00095E29" w:rsidRDefault="007774F3" w:rsidP="00095E29">
      <w:pPr>
        <w:spacing w:after="0" w:line="480" w:lineRule="auto"/>
        <w:ind w:left="720" w:right="720"/>
        <w:jc w:val="center"/>
        <w:rPr>
          <w:rFonts w:ascii="Times New Roman" w:hAnsi="Times New Roman" w:cs="Times New Roman"/>
          <w:sz w:val="24"/>
          <w:szCs w:val="24"/>
        </w:rPr>
      </w:pPr>
      <w:bookmarkStart w:id="0" w:name="_Hlk71879697"/>
      <w:r>
        <w:rPr>
          <w:rFonts w:ascii="Times New Roman" w:hAnsi="Times New Roman"/>
          <w:i/>
          <w:sz w:val="24"/>
        </w:rPr>
        <w:t xml:space="preserve">Depuis toujours, les pandémies ont forcé l’Homme à rompre avec le passé pour imaginer un nouvel avenir. Cette pandémie [de coronavirus] n’est pas différente. </w:t>
      </w:r>
      <w:r w:rsidR="00A3471E">
        <w:rPr>
          <w:rFonts w:ascii="Times New Roman" w:hAnsi="Times New Roman"/>
          <w:i/>
          <w:sz w:val="24"/>
        </w:rPr>
        <w:t>I</w:t>
      </w:r>
      <w:r>
        <w:rPr>
          <w:rFonts w:ascii="Times New Roman" w:hAnsi="Times New Roman"/>
          <w:i/>
          <w:sz w:val="24"/>
        </w:rPr>
        <w:t>l s’agit d’un portail, d’une passerelle entre un monde et le suivant</w:t>
      </w:r>
      <w:r>
        <w:rPr>
          <w:rFonts w:ascii="Times New Roman" w:hAnsi="Times New Roman"/>
          <w:sz w:val="24"/>
        </w:rPr>
        <w:t>. (Roy 2020)</w:t>
      </w:r>
    </w:p>
    <w:p w14:paraId="2961AD32" w14:textId="114CD332" w:rsidR="002907B2" w:rsidRPr="00095E29" w:rsidRDefault="002907B2" w:rsidP="00095E29">
      <w:pPr>
        <w:spacing w:after="0" w:line="480" w:lineRule="auto"/>
        <w:ind w:right="720"/>
        <w:rPr>
          <w:rFonts w:ascii="Times New Roman" w:hAnsi="Times New Roman" w:cs="Times New Roman"/>
          <w:sz w:val="24"/>
          <w:szCs w:val="24"/>
        </w:rPr>
      </w:pPr>
    </w:p>
    <w:bookmarkEnd w:id="0"/>
    <w:p w14:paraId="2D7F2300" w14:textId="3EB4B183" w:rsidR="0087641A" w:rsidRPr="00095E29" w:rsidRDefault="005276B9" w:rsidP="00095E29">
      <w:pPr>
        <w:spacing w:after="0" w:line="480" w:lineRule="auto"/>
        <w:jc w:val="both"/>
        <w:rPr>
          <w:rFonts w:ascii="Times New Roman" w:hAnsi="Times New Roman" w:cs="Times New Roman"/>
          <w:sz w:val="24"/>
          <w:szCs w:val="24"/>
        </w:rPr>
      </w:pPr>
      <w:r>
        <w:rPr>
          <w:rFonts w:ascii="Times New Roman" w:hAnsi="Times New Roman"/>
          <w:sz w:val="24"/>
        </w:rPr>
        <w:t xml:space="preserve">Ce numéro spécial du </w:t>
      </w:r>
      <w:r>
        <w:rPr>
          <w:rFonts w:ascii="Times New Roman" w:hAnsi="Times New Roman"/>
          <w:i/>
          <w:sz w:val="24"/>
        </w:rPr>
        <w:t>Journal on Education in Emergencies (</w:t>
      </w:r>
      <w:proofErr w:type="spellStart"/>
      <w:r>
        <w:rPr>
          <w:rFonts w:ascii="Times New Roman" w:hAnsi="Times New Roman"/>
          <w:i/>
          <w:sz w:val="24"/>
        </w:rPr>
        <w:t>JEiE</w:t>
      </w:r>
      <w:proofErr w:type="spellEnd"/>
      <w:r>
        <w:rPr>
          <w:rFonts w:ascii="Times New Roman" w:hAnsi="Times New Roman"/>
          <w:i/>
          <w:sz w:val="24"/>
        </w:rPr>
        <w:t xml:space="preserve">) </w:t>
      </w:r>
      <w:r>
        <w:rPr>
          <w:rFonts w:ascii="Times New Roman" w:hAnsi="Times New Roman"/>
          <w:sz w:val="24"/>
        </w:rPr>
        <w:t>est consacré à l’enseignement pendant une pandémie. Si le choix du thème de ce numéro a été motivé par l’impact dévastateur de la pandémie de COVID-19, l’histoire a été marquée par une longue liste de pandémies (voir tableau 1). Des études menées dans le monde entier ont montré les effets qu’une crise sanitaire peut avoir sur l’éducation. Un exemple récent est la crise sanitaire liée à Ebola en Afrique de l’Ouest, qui a entraîné la fermeture des écoles pendant sept à neuf mois ; l’impact sur les taux de scolarisation et d’abandon scolaire lors de la réouverture des écoles a été dévastateur. Des preuves récentes, dont celles fournies dans ce numéro spécial, suggèrent que les fermetures d’écoles liées</w:t>
      </w:r>
      <w:r w:rsidR="00A3471E">
        <w:rPr>
          <w:rFonts w:ascii="Times New Roman" w:hAnsi="Times New Roman"/>
          <w:sz w:val="24"/>
        </w:rPr>
        <w:t xml:space="preserve"> </w:t>
      </w:r>
      <w:r>
        <w:rPr>
          <w:rFonts w:ascii="Times New Roman" w:hAnsi="Times New Roman"/>
          <w:sz w:val="24"/>
        </w:rPr>
        <w:t xml:space="preserve">à la COVID-19 ont déjà laissé des traces. Cela a non seulement exacerbé les inégalités préexistantes - par exemple, les élèves issus des communautés les plus pauvres et les plus marginalisées sont ceux ayant le moins accès aux technologies d’enseignement à distance - mais l’isolement causé par ces fermetures a entraîné un traumatisme psychologique qu’il faudra probablement des années, voire des décennies, pour surmonter. Ces effets sont tels qu’au moins </w:t>
      </w:r>
      <w:r>
        <w:rPr>
          <w:rFonts w:ascii="Times New Roman" w:hAnsi="Times New Roman"/>
          <w:sz w:val="24"/>
        </w:rPr>
        <w:lastRenderedPageBreak/>
        <w:t>quatre autres revues ont publié des numéros spéciaux sur l’enseignement pendant la pandémie de COVID-19.</w:t>
      </w:r>
      <w:r w:rsidR="009E454C" w:rsidRPr="00095E29">
        <w:rPr>
          <w:rStyle w:val="Appelnotedebasdep"/>
          <w:rFonts w:ascii="Times New Roman" w:hAnsi="Times New Roman" w:cs="Times New Roman"/>
          <w:sz w:val="24"/>
          <w:szCs w:val="24"/>
        </w:rPr>
        <w:footnoteReference w:id="1"/>
      </w:r>
    </w:p>
    <w:p w14:paraId="547B157D" w14:textId="77777777" w:rsidR="002907B2" w:rsidRPr="00095E29" w:rsidRDefault="002907B2" w:rsidP="00095E29">
      <w:pPr>
        <w:spacing w:after="0" w:line="480" w:lineRule="auto"/>
        <w:rPr>
          <w:rFonts w:ascii="Times New Roman" w:hAnsi="Times New Roman" w:cs="Times New Roman"/>
          <w:sz w:val="24"/>
          <w:szCs w:val="24"/>
        </w:rPr>
      </w:pPr>
    </w:p>
    <w:p w14:paraId="568BCA59" w14:textId="35CC0E55" w:rsidR="00E40B44" w:rsidRPr="00095E29" w:rsidRDefault="00E40B44" w:rsidP="00095E29">
      <w:pPr>
        <w:spacing w:after="0" w:line="480" w:lineRule="auto"/>
        <w:jc w:val="center"/>
        <w:rPr>
          <w:rFonts w:ascii="Times New Roman" w:hAnsi="Times New Roman" w:cs="Times New Roman"/>
          <w:sz w:val="24"/>
          <w:szCs w:val="24"/>
        </w:rPr>
      </w:pPr>
      <w:r>
        <w:rPr>
          <w:rFonts w:ascii="Times New Roman" w:hAnsi="Times New Roman"/>
          <w:i/>
          <w:sz w:val="24"/>
        </w:rPr>
        <w:t>Tableau 1 :</w:t>
      </w:r>
      <w:r>
        <w:rPr>
          <w:rFonts w:ascii="Times New Roman" w:hAnsi="Times New Roman"/>
          <w:sz w:val="24"/>
        </w:rPr>
        <w:t xml:space="preserve"> Un siècle de pandémies</w:t>
      </w:r>
    </w:p>
    <w:tbl>
      <w:tblPr>
        <w:tblStyle w:val="Grilledutableau"/>
        <w:tblW w:w="7903" w:type="dxa"/>
        <w:tblInd w:w="725" w:type="dxa"/>
        <w:tblLook w:val="04A0" w:firstRow="1" w:lastRow="0" w:firstColumn="1" w:lastColumn="0" w:noHBand="0" w:noVBand="1"/>
      </w:tblPr>
      <w:tblGrid>
        <w:gridCol w:w="3665"/>
        <w:gridCol w:w="2298"/>
        <w:gridCol w:w="1940"/>
      </w:tblGrid>
      <w:tr w:rsidR="00E40B44" w:rsidRPr="00095E29" w14:paraId="7CC81D30" w14:textId="77777777" w:rsidTr="00A3471E">
        <w:trPr>
          <w:trHeight w:val="288"/>
        </w:trPr>
        <w:tc>
          <w:tcPr>
            <w:tcW w:w="3665" w:type="dxa"/>
            <w:shd w:val="clear" w:color="auto" w:fill="D9D9D9" w:themeFill="background1" w:themeFillShade="D9"/>
            <w:vAlign w:val="center"/>
          </w:tcPr>
          <w:p w14:paraId="772640BD" w14:textId="243E3BC1" w:rsidR="00E40B44" w:rsidRPr="00095E29" w:rsidRDefault="00E40B44" w:rsidP="00095E29">
            <w:pPr>
              <w:spacing w:line="480" w:lineRule="auto"/>
              <w:rPr>
                <w:rFonts w:ascii="Times New Roman" w:hAnsi="Times New Roman" w:cs="Times New Roman"/>
                <w:b/>
                <w:bCs/>
                <w:sz w:val="24"/>
                <w:szCs w:val="24"/>
              </w:rPr>
            </w:pPr>
            <w:r>
              <w:rPr>
                <w:rFonts w:ascii="Times New Roman" w:hAnsi="Times New Roman"/>
                <w:b/>
                <w:sz w:val="24"/>
              </w:rPr>
              <w:t>Nom</w:t>
            </w:r>
          </w:p>
        </w:tc>
        <w:tc>
          <w:tcPr>
            <w:tcW w:w="2298" w:type="dxa"/>
            <w:shd w:val="clear" w:color="auto" w:fill="D9D9D9" w:themeFill="background1" w:themeFillShade="D9"/>
            <w:vAlign w:val="center"/>
          </w:tcPr>
          <w:p w14:paraId="118E7CFD" w14:textId="7FFA3E0B" w:rsidR="00E40B44" w:rsidRPr="00095E29" w:rsidRDefault="00E40B44" w:rsidP="00095E29">
            <w:pPr>
              <w:spacing w:line="480" w:lineRule="auto"/>
              <w:rPr>
                <w:rFonts w:ascii="Times New Roman" w:hAnsi="Times New Roman" w:cs="Times New Roman"/>
                <w:b/>
                <w:bCs/>
                <w:sz w:val="24"/>
                <w:szCs w:val="24"/>
              </w:rPr>
            </w:pPr>
            <w:r>
              <w:rPr>
                <w:rFonts w:ascii="Times New Roman" w:hAnsi="Times New Roman"/>
                <w:b/>
                <w:sz w:val="24"/>
              </w:rPr>
              <w:t>Années</w:t>
            </w:r>
          </w:p>
        </w:tc>
        <w:tc>
          <w:tcPr>
            <w:tcW w:w="1940" w:type="dxa"/>
            <w:shd w:val="clear" w:color="auto" w:fill="D9D9D9" w:themeFill="background1" w:themeFillShade="D9"/>
            <w:vAlign w:val="center"/>
          </w:tcPr>
          <w:p w14:paraId="225D9FCC" w14:textId="093AADE9" w:rsidR="00E40B44" w:rsidRPr="00095E29" w:rsidRDefault="0083761C" w:rsidP="00095E29">
            <w:pPr>
              <w:spacing w:line="480" w:lineRule="auto"/>
              <w:rPr>
                <w:rFonts w:ascii="Times New Roman" w:hAnsi="Times New Roman" w:cs="Times New Roman"/>
                <w:b/>
                <w:bCs/>
                <w:sz w:val="24"/>
                <w:szCs w:val="24"/>
              </w:rPr>
            </w:pPr>
            <w:r>
              <w:rPr>
                <w:rFonts w:ascii="Times New Roman" w:hAnsi="Times New Roman"/>
                <w:b/>
                <w:sz w:val="24"/>
              </w:rPr>
              <w:t xml:space="preserve">Nombre de décès </w:t>
            </w:r>
          </w:p>
        </w:tc>
      </w:tr>
      <w:tr w:rsidR="00E40B44" w:rsidRPr="00095E29" w14:paraId="75E56F85" w14:textId="77777777" w:rsidTr="00A3471E">
        <w:trPr>
          <w:trHeight w:val="288"/>
        </w:trPr>
        <w:tc>
          <w:tcPr>
            <w:tcW w:w="3665" w:type="dxa"/>
            <w:vAlign w:val="center"/>
          </w:tcPr>
          <w:p w14:paraId="2414B09A" w14:textId="6E20BA1E" w:rsidR="00E40B44" w:rsidRPr="00095E29" w:rsidRDefault="00E40B44" w:rsidP="00095E29">
            <w:pPr>
              <w:spacing w:line="480" w:lineRule="auto"/>
              <w:rPr>
                <w:rFonts w:ascii="Times New Roman" w:hAnsi="Times New Roman" w:cs="Times New Roman"/>
                <w:sz w:val="24"/>
                <w:szCs w:val="24"/>
              </w:rPr>
            </w:pPr>
            <w:r>
              <w:rPr>
                <w:rFonts w:ascii="Times New Roman" w:hAnsi="Times New Roman"/>
                <w:sz w:val="24"/>
              </w:rPr>
              <w:t>Peste antonine</w:t>
            </w:r>
          </w:p>
        </w:tc>
        <w:tc>
          <w:tcPr>
            <w:tcW w:w="2298" w:type="dxa"/>
            <w:vAlign w:val="center"/>
          </w:tcPr>
          <w:p w14:paraId="48C7C8A8" w14:textId="618D0A50" w:rsidR="00E40B44" w:rsidRPr="00095E29" w:rsidRDefault="00E40B44" w:rsidP="00095E29">
            <w:pPr>
              <w:spacing w:line="480" w:lineRule="auto"/>
              <w:rPr>
                <w:rFonts w:ascii="Times New Roman" w:hAnsi="Times New Roman" w:cs="Times New Roman"/>
                <w:sz w:val="24"/>
                <w:szCs w:val="24"/>
              </w:rPr>
            </w:pPr>
            <w:r>
              <w:rPr>
                <w:rFonts w:ascii="Times New Roman" w:hAnsi="Times New Roman"/>
                <w:sz w:val="24"/>
              </w:rPr>
              <w:t>165-180</w:t>
            </w:r>
          </w:p>
        </w:tc>
        <w:tc>
          <w:tcPr>
            <w:tcW w:w="1940" w:type="dxa"/>
            <w:vAlign w:val="center"/>
          </w:tcPr>
          <w:p w14:paraId="33699E2A" w14:textId="4E4FD562" w:rsidR="00E40B44" w:rsidRPr="00095E29" w:rsidRDefault="00E40B44" w:rsidP="00095E29">
            <w:pPr>
              <w:spacing w:line="480" w:lineRule="auto"/>
              <w:rPr>
                <w:rFonts w:ascii="Times New Roman" w:hAnsi="Times New Roman" w:cs="Times New Roman"/>
                <w:sz w:val="24"/>
                <w:szCs w:val="24"/>
              </w:rPr>
            </w:pPr>
            <w:r>
              <w:rPr>
                <w:rFonts w:ascii="Times New Roman" w:hAnsi="Times New Roman"/>
                <w:sz w:val="24"/>
              </w:rPr>
              <w:t>5 millions</w:t>
            </w:r>
          </w:p>
        </w:tc>
      </w:tr>
      <w:tr w:rsidR="00E40B44" w:rsidRPr="00095E29" w14:paraId="58AC08F8" w14:textId="77777777" w:rsidTr="00A3471E">
        <w:trPr>
          <w:trHeight w:val="288"/>
        </w:trPr>
        <w:tc>
          <w:tcPr>
            <w:tcW w:w="3665" w:type="dxa"/>
            <w:vAlign w:val="center"/>
          </w:tcPr>
          <w:p w14:paraId="7DF43F58" w14:textId="44213646" w:rsidR="00E40B44" w:rsidRPr="00095E29" w:rsidRDefault="00E40B44" w:rsidP="00095E29">
            <w:pPr>
              <w:spacing w:line="480" w:lineRule="auto"/>
              <w:rPr>
                <w:rFonts w:ascii="Times New Roman" w:hAnsi="Times New Roman" w:cs="Times New Roman"/>
                <w:sz w:val="24"/>
                <w:szCs w:val="24"/>
              </w:rPr>
            </w:pPr>
            <w:r>
              <w:rPr>
                <w:rFonts w:ascii="Times New Roman" w:hAnsi="Times New Roman"/>
                <w:sz w:val="24"/>
              </w:rPr>
              <w:t>Peste de Justinien</w:t>
            </w:r>
          </w:p>
        </w:tc>
        <w:tc>
          <w:tcPr>
            <w:tcW w:w="2298" w:type="dxa"/>
            <w:vAlign w:val="center"/>
          </w:tcPr>
          <w:p w14:paraId="1E2F00E4" w14:textId="11CD3D7B" w:rsidR="00E40B44" w:rsidRPr="00095E29" w:rsidRDefault="00E40B44" w:rsidP="00095E29">
            <w:pPr>
              <w:spacing w:line="480" w:lineRule="auto"/>
              <w:rPr>
                <w:rFonts w:ascii="Times New Roman" w:hAnsi="Times New Roman" w:cs="Times New Roman"/>
                <w:sz w:val="24"/>
                <w:szCs w:val="24"/>
              </w:rPr>
            </w:pPr>
            <w:r>
              <w:rPr>
                <w:rFonts w:ascii="Times New Roman" w:hAnsi="Times New Roman"/>
                <w:sz w:val="24"/>
              </w:rPr>
              <w:t>541-542</w:t>
            </w:r>
          </w:p>
        </w:tc>
        <w:tc>
          <w:tcPr>
            <w:tcW w:w="1940" w:type="dxa"/>
            <w:vAlign w:val="center"/>
          </w:tcPr>
          <w:p w14:paraId="0C41F04A" w14:textId="210BA549" w:rsidR="00E40B44" w:rsidRPr="00095E29" w:rsidRDefault="00E40B44" w:rsidP="00095E29">
            <w:pPr>
              <w:spacing w:line="480" w:lineRule="auto"/>
              <w:rPr>
                <w:rFonts w:ascii="Times New Roman" w:hAnsi="Times New Roman" w:cs="Times New Roman"/>
                <w:sz w:val="24"/>
                <w:szCs w:val="24"/>
              </w:rPr>
            </w:pPr>
            <w:r>
              <w:rPr>
                <w:rFonts w:ascii="Times New Roman" w:hAnsi="Times New Roman"/>
                <w:sz w:val="24"/>
              </w:rPr>
              <w:t>30-50 millions</w:t>
            </w:r>
          </w:p>
        </w:tc>
      </w:tr>
      <w:tr w:rsidR="00E40B44" w:rsidRPr="00095E29" w14:paraId="5C7AC4C3" w14:textId="77777777" w:rsidTr="00A3471E">
        <w:trPr>
          <w:trHeight w:val="288"/>
        </w:trPr>
        <w:tc>
          <w:tcPr>
            <w:tcW w:w="3665" w:type="dxa"/>
            <w:vAlign w:val="center"/>
          </w:tcPr>
          <w:p w14:paraId="5AE0F3E0" w14:textId="52D0B19E" w:rsidR="00E40B44" w:rsidRPr="00095E29" w:rsidRDefault="00E40B44" w:rsidP="00095E29">
            <w:pPr>
              <w:spacing w:line="480" w:lineRule="auto"/>
              <w:rPr>
                <w:rFonts w:ascii="Times New Roman" w:hAnsi="Times New Roman" w:cs="Times New Roman"/>
                <w:sz w:val="24"/>
                <w:szCs w:val="24"/>
              </w:rPr>
            </w:pPr>
            <w:r>
              <w:rPr>
                <w:rFonts w:ascii="Times New Roman" w:hAnsi="Times New Roman"/>
                <w:sz w:val="24"/>
              </w:rPr>
              <w:t>Épidémie de variole au Japon</w:t>
            </w:r>
          </w:p>
        </w:tc>
        <w:tc>
          <w:tcPr>
            <w:tcW w:w="2298" w:type="dxa"/>
            <w:vAlign w:val="center"/>
          </w:tcPr>
          <w:p w14:paraId="02F8B3CB" w14:textId="78008EF5" w:rsidR="00E40B44" w:rsidRPr="00095E29" w:rsidRDefault="00E40B44" w:rsidP="00095E29">
            <w:pPr>
              <w:spacing w:line="480" w:lineRule="auto"/>
              <w:rPr>
                <w:rFonts w:ascii="Times New Roman" w:hAnsi="Times New Roman" w:cs="Times New Roman"/>
                <w:sz w:val="24"/>
                <w:szCs w:val="24"/>
              </w:rPr>
            </w:pPr>
            <w:r>
              <w:rPr>
                <w:rFonts w:ascii="Times New Roman" w:hAnsi="Times New Roman"/>
                <w:sz w:val="24"/>
              </w:rPr>
              <w:t>735-737</w:t>
            </w:r>
          </w:p>
        </w:tc>
        <w:tc>
          <w:tcPr>
            <w:tcW w:w="1940" w:type="dxa"/>
            <w:vAlign w:val="center"/>
          </w:tcPr>
          <w:p w14:paraId="1A1616F0" w14:textId="1CDC7140" w:rsidR="00E40B44" w:rsidRPr="00095E29" w:rsidRDefault="00E40B44" w:rsidP="00095E29">
            <w:pPr>
              <w:spacing w:line="480" w:lineRule="auto"/>
              <w:rPr>
                <w:rFonts w:ascii="Times New Roman" w:hAnsi="Times New Roman" w:cs="Times New Roman"/>
                <w:sz w:val="24"/>
                <w:szCs w:val="24"/>
              </w:rPr>
            </w:pPr>
            <w:r>
              <w:rPr>
                <w:rFonts w:ascii="Times New Roman" w:hAnsi="Times New Roman"/>
                <w:sz w:val="24"/>
              </w:rPr>
              <w:t>1 millions</w:t>
            </w:r>
          </w:p>
        </w:tc>
      </w:tr>
      <w:tr w:rsidR="00E40B44" w:rsidRPr="00095E29" w14:paraId="7EB6F0FA" w14:textId="77777777" w:rsidTr="00A3471E">
        <w:trPr>
          <w:trHeight w:val="288"/>
        </w:trPr>
        <w:tc>
          <w:tcPr>
            <w:tcW w:w="3665" w:type="dxa"/>
            <w:vAlign w:val="center"/>
          </w:tcPr>
          <w:p w14:paraId="6CDB59EF" w14:textId="78D5C6F8" w:rsidR="00E40B44" w:rsidRPr="00095E29" w:rsidRDefault="00E40B44" w:rsidP="00095E29">
            <w:pPr>
              <w:spacing w:line="480" w:lineRule="auto"/>
              <w:rPr>
                <w:rFonts w:ascii="Times New Roman" w:hAnsi="Times New Roman" w:cs="Times New Roman"/>
                <w:sz w:val="24"/>
                <w:szCs w:val="24"/>
              </w:rPr>
            </w:pPr>
            <w:r>
              <w:rPr>
                <w:rFonts w:ascii="Times New Roman" w:hAnsi="Times New Roman"/>
                <w:sz w:val="24"/>
              </w:rPr>
              <w:t>Peste noire (peste bubonique)</w:t>
            </w:r>
          </w:p>
        </w:tc>
        <w:tc>
          <w:tcPr>
            <w:tcW w:w="2298" w:type="dxa"/>
            <w:vAlign w:val="center"/>
          </w:tcPr>
          <w:p w14:paraId="361611A6" w14:textId="611E8D8E" w:rsidR="00E40B44" w:rsidRPr="00095E29" w:rsidRDefault="00E40B44" w:rsidP="00095E29">
            <w:pPr>
              <w:spacing w:line="480" w:lineRule="auto"/>
              <w:rPr>
                <w:rFonts w:ascii="Times New Roman" w:hAnsi="Times New Roman" w:cs="Times New Roman"/>
                <w:sz w:val="24"/>
                <w:szCs w:val="24"/>
              </w:rPr>
            </w:pPr>
            <w:r>
              <w:rPr>
                <w:rFonts w:ascii="Times New Roman" w:hAnsi="Times New Roman"/>
                <w:sz w:val="24"/>
              </w:rPr>
              <w:t>1347-1351</w:t>
            </w:r>
          </w:p>
        </w:tc>
        <w:tc>
          <w:tcPr>
            <w:tcW w:w="1940" w:type="dxa"/>
            <w:vAlign w:val="center"/>
          </w:tcPr>
          <w:p w14:paraId="07AFCF78" w14:textId="0F5E8808" w:rsidR="00E40B44" w:rsidRPr="00095E29" w:rsidRDefault="00E40B44" w:rsidP="00095E29">
            <w:pPr>
              <w:spacing w:line="480" w:lineRule="auto"/>
              <w:rPr>
                <w:rFonts w:ascii="Times New Roman" w:hAnsi="Times New Roman" w:cs="Times New Roman"/>
                <w:sz w:val="24"/>
                <w:szCs w:val="24"/>
              </w:rPr>
            </w:pPr>
            <w:r>
              <w:rPr>
                <w:rFonts w:ascii="Times New Roman" w:hAnsi="Times New Roman"/>
                <w:sz w:val="24"/>
              </w:rPr>
              <w:t>200 millions</w:t>
            </w:r>
          </w:p>
        </w:tc>
      </w:tr>
      <w:tr w:rsidR="00E40B44" w:rsidRPr="00095E29" w14:paraId="3925F1B7" w14:textId="77777777" w:rsidTr="00A3471E">
        <w:trPr>
          <w:trHeight w:val="288"/>
        </w:trPr>
        <w:tc>
          <w:tcPr>
            <w:tcW w:w="3665" w:type="dxa"/>
            <w:vAlign w:val="center"/>
          </w:tcPr>
          <w:p w14:paraId="4B47A47A" w14:textId="0C4ED3DB" w:rsidR="00E40B44" w:rsidRPr="00095E29" w:rsidRDefault="00E40B44" w:rsidP="00095E29">
            <w:pPr>
              <w:spacing w:line="480" w:lineRule="auto"/>
              <w:rPr>
                <w:rFonts w:ascii="Times New Roman" w:hAnsi="Times New Roman" w:cs="Times New Roman"/>
                <w:sz w:val="24"/>
                <w:szCs w:val="24"/>
              </w:rPr>
            </w:pPr>
            <w:r>
              <w:rPr>
                <w:rFonts w:ascii="Times New Roman" w:hAnsi="Times New Roman"/>
                <w:sz w:val="24"/>
              </w:rPr>
              <w:t>Variole</w:t>
            </w:r>
          </w:p>
        </w:tc>
        <w:tc>
          <w:tcPr>
            <w:tcW w:w="2298" w:type="dxa"/>
            <w:vAlign w:val="center"/>
          </w:tcPr>
          <w:p w14:paraId="167DA754" w14:textId="6D7CE38B" w:rsidR="00E40B44"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1520</w:t>
            </w:r>
          </w:p>
        </w:tc>
        <w:tc>
          <w:tcPr>
            <w:tcW w:w="1940" w:type="dxa"/>
            <w:vAlign w:val="center"/>
          </w:tcPr>
          <w:p w14:paraId="6D88EE2C" w14:textId="27EB6357" w:rsidR="00E40B44"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56 millions</w:t>
            </w:r>
          </w:p>
        </w:tc>
      </w:tr>
      <w:tr w:rsidR="00E40B44" w:rsidRPr="00095E29" w14:paraId="22AD939D" w14:textId="77777777" w:rsidTr="00A3471E">
        <w:trPr>
          <w:trHeight w:val="288"/>
        </w:trPr>
        <w:tc>
          <w:tcPr>
            <w:tcW w:w="3665" w:type="dxa"/>
            <w:vAlign w:val="center"/>
          </w:tcPr>
          <w:p w14:paraId="7FB6CA53" w14:textId="610698A9" w:rsidR="00E40B44" w:rsidRPr="00095E29" w:rsidRDefault="007F3346" w:rsidP="00095E29">
            <w:pPr>
              <w:spacing w:line="480" w:lineRule="auto"/>
              <w:rPr>
                <w:rFonts w:ascii="Times New Roman" w:hAnsi="Times New Roman" w:cs="Times New Roman"/>
                <w:sz w:val="24"/>
                <w:szCs w:val="24"/>
              </w:rPr>
            </w:pPr>
            <w:r>
              <w:rPr>
                <w:rFonts w:ascii="Times New Roman" w:hAnsi="Times New Roman"/>
                <w:sz w:val="24"/>
              </w:rPr>
              <w:t>Grandes pestes du 17</w:t>
            </w:r>
            <w:r>
              <w:rPr>
                <w:rFonts w:ascii="Times New Roman" w:hAnsi="Times New Roman"/>
                <w:sz w:val="24"/>
                <w:vertAlign w:val="superscript"/>
              </w:rPr>
              <w:t>e</w:t>
            </w:r>
            <w:r>
              <w:rPr>
                <w:rFonts w:ascii="Times New Roman" w:hAnsi="Times New Roman"/>
                <w:sz w:val="24"/>
              </w:rPr>
              <w:t xml:space="preserve"> siècle</w:t>
            </w:r>
          </w:p>
        </w:tc>
        <w:tc>
          <w:tcPr>
            <w:tcW w:w="2298" w:type="dxa"/>
            <w:vAlign w:val="center"/>
          </w:tcPr>
          <w:p w14:paraId="227CD1FB" w14:textId="5443CA37" w:rsidR="00E40B44"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1600-1699</w:t>
            </w:r>
          </w:p>
        </w:tc>
        <w:tc>
          <w:tcPr>
            <w:tcW w:w="1940" w:type="dxa"/>
            <w:vAlign w:val="center"/>
          </w:tcPr>
          <w:p w14:paraId="29905F87" w14:textId="699ADD9D" w:rsidR="00E40B44"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3 millions</w:t>
            </w:r>
          </w:p>
        </w:tc>
      </w:tr>
      <w:tr w:rsidR="00E40B44" w:rsidRPr="00095E29" w14:paraId="6B99482C" w14:textId="77777777" w:rsidTr="00A3471E">
        <w:trPr>
          <w:trHeight w:val="288"/>
        </w:trPr>
        <w:tc>
          <w:tcPr>
            <w:tcW w:w="3665" w:type="dxa"/>
            <w:vAlign w:val="center"/>
          </w:tcPr>
          <w:p w14:paraId="7804B224" w14:textId="655E4266" w:rsidR="00E40B44" w:rsidRPr="00095E29" w:rsidRDefault="007F3346" w:rsidP="00095E29">
            <w:pPr>
              <w:spacing w:line="480" w:lineRule="auto"/>
              <w:rPr>
                <w:rFonts w:ascii="Times New Roman" w:hAnsi="Times New Roman" w:cs="Times New Roman"/>
                <w:sz w:val="24"/>
                <w:szCs w:val="24"/>
              </w:rPr>
            </w:pPr>
            <w:r>
              <w:rPr>
                <w:rFonts w:ascii="Times New Roman" w:hAnsi="Times New Roman"/>
                <w:sz w:val="24"/>
              </w:rPr>
              <w:t>Grandes pestes du 18</w:t>
            </w:r>
            <w:r>
              <w:rPr>
                <w:rFonts w:ascii="Times New Roman" w:hAnsi="Times New Roman"/>
                <w:sz w:val="24"/>
                <w:vertAlign w:val="superscript"/>
              </w:rPr>
              <w:t>e</w:t>
            </w:r>
            <w:r>
              <w:rPr>
                <w:rFonts w:ascii="Times New Roman" w:hAnsi="Times New Roman"/>
                <w:sz w:val="24"/>
              </w:rPr>
              <w:t xml:space="preserve"> siècle</w:t>
            </w:r>
          </w:p>
        </w:tc>
        <w:tc>
          <w:tcPr>
            <w:tcW w:w="2298" w:type="dxa"/>
            <w:vAlign w:val="center"/>
          </w:tcPr>
          <w:p w14:paraId="6733138D" w14:textId="132A7EA6" w:rsidR="00E40B44"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1700-1799</w:t>
            </w:r>
          </w:p>
        </w:tc>
        <w:tc>
          <w:tcPr>
            <w:tcW w:w="1940" w:type="dxa"/>
            <w:vAlign w:val="center"/>
          </w:tcPr>
          <w:p w14:paraId="2D81E775" w14:textId="4B4E0408" w:rsidR="00E40B44"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600 millions</w:t>
            </w:r>
          </w:p>
        </w:tc>
      </w:tr>
      <w:tr w:rsidR="00E40B44" w:rsidRPr="00095E29" w14:paraId="631C0645" w14:textId="77777777" w:rsidTr="00A3471E">
        <w:trPr>
          <w:trHeight w:val="288"/>
        </w:trPr>
        <w:tc>
          <w:tcPr>
            <w:tcW w:w="3665" w:type="dxa"/>
            <w:vAlign w:val="center"/>
          </w:tcPr>
          <w:p w14:paraId="5C35A1DA" w14:textId="704E9C75" w:rsidR="00E40B44"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Épidémies de choléra</w:t>
            </w:r>
          </w:p>
        </w:tc>
        <w:tc>
          <w:tcPr>
            <w:tcW w:w="2298" w:type="dxa"/>
            <w:vAlign w:val="center"/>
          </w:tcPr>
          <w:p w14:paraId="108F069C" w14:textId="7DEAF2A7" w:rsidR="00E40B44"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1817-1923</w:t>
            </w:r>
          </w:p>
        </w:tc>
        <w:tc>
          <w:tcPr>
            <w:tcW w:w="1940" w:type="dxa"/>
            <w:vAlign w:val="center"/>
          </w:tcPr>
          <w:p w14:paraId="59FD3D0D" w14:textId="297898B3" w:rsidR="00E40B44"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1 millions</w:t>
            </w:r>
          </w:p>
        </w:tc>
      </w:tr>
      <w:tr w:rsidR="00E40B44" w:rsidRPr="00095E29" w14:paraId="0A10548D" w14:textId="77777777" w:rsidTr="00A3471E">
        <w:trPr>
          <w:trHeight w:val="288"/>
        </w:trPr>
        <w:tc>
          <w:tcPr>
            <w:tcW w:w="3665" w:type="dxa"/>
            <w:vAlign w:val="center"/>
          </w:tcPr>
          <w:p w14:paraId="45296A25" w14:textId="5F43B6D7" w:rsidR="00E40B44"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Peste de Chine</w:t>
            </w:r>
          </w:p>
        </w:tc>
        <w:tc>
          <w:tcPr>
            <w:tcW w:w="2298" w:type="dxa"/>
            <w:vAlign w:val="center"/>
          </w:tcPr>
          <w:p w14:paraId="60D9E88D" w14:textId="331C8EC6" w:rsidR="00E40B44"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1855</w:t>
            </w:r>
          </w:p>
        </w:tc>
        <w:tc>
          <w:tcPr>
            <w:tcW w:w="1940" w:type="dxa"/>
            <w:vAlign w:val="center"/>
          </w:tcPr>
          <w:p w14:paraId="22BB64A2" w14:textId="5EA09690" w:rsidR="00E40B44"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12 millions</w:t>
            </w:r>
          </w:p>
        </w:tc>
      </w:tr>
      <w:tr w:rsidR="00374E1A" w:rsidRPr="00095E29" w14:paraId="6D6519FC" w14:textId="77777777" w:rsidTr="00A3471E">
        <w:trPr>
          <w:trHeight w:val="288"/>
        </w:trPr>
        <w:tc>
          <w:tcPr>
            <w:tcW w:w="3665" w:type="dxa"/>
            <w:vAlign w:val="center"/>
          </w:tcPr>
          <w:p w14:paraId="4D937A70" w14:textId="2E38202A" w:rsidR="00374E1A" w:rsidRPr="00095E29" w:rsidRDefault="00374E1A" w:rsidP="00095E29">
            <w:pPr>
              <w:spacing w:line="480" w:lineRule="auto"/>
              <w:rPr>
                <w:rFonts w:ascii="Times New Roman" w:hAnsi="Times New Roman" w:cs="Times New Roman"/>
                <w:sz w:val="24"/>
                <w:szCs w:val="24"/>
              </w:rPr>
            </w:pPr>
            <w:r>
              <w:rPr>
                <w:rFonts w:ascii="Times New Roman" w:hAnsi="Times New Roman"/>
                <w:sz w:val="24"/>
              </w:rPr>
              <w:t>Grippe russe</w:t>
            </w:r>
          </w:p>
        </w:tc>
        <w:tc>
          <w:tcPr>
            <w:tcW w:w="2298" w:type="dxa"/>
            <w:vAlign w:val="center"/>
          </w:tcPr>
          <w:p w14:paraId="2DCCE6BE" w14:textId="1D82182B" w:rsidR="00374E1A" w:rsidRPr="00095E29" w:rsidRDefault="00374E1A" w:rsidP="00095E29">
            <w:pPr>
              <w:spacing w:line="480" w:lineRule="auto"/>
              <w:rPr>
                <w:rFonts w:ascii="Times New Roman" w:hAnsi="Times New Roman" w:cs="Times New Roman"/>
                <w:sz w:val="24"/>
                <w:szCs w:val="24"/>
              </w:rPr>
            </w:pPr>
            <w:r>
              <w:rPr>
                <w:rFonts w:ascii="Times New Roman" w:hAnsi="Times New Roman"/>
                <w:sz w:val="24"/>
              </w:rPr>
              <w:t>1889-1890</w:t>
            </w:r>
          </w:p>
        </w:tc>
        <w:tc>
          <w:tcPr>
            <w:tcW w:w="1940" w:type="dxa"/>
            <w:vAlign w:val="center"/>
          </w:tcPr>
          <w:p w14:paraId="28BCC883" w14:textId="17059ADE" w:rsidR="00374E1A" w:rsidRPr="00095E29" w:rsidRDefault="00374E1A" w:rsidP="00095E29">
            <w:pPr>
              <w:spacing w:line="480" w:lineRule="auto"/>
              <w:rPr>
                <w:rFonts w:ascii="Times New Roman" w:hAnsi="Times New Roman" w:cs="Times New Roman"/>
                <w:sz w:val="24"/>
                <w:szCs w:val="24"/>
              </w:rPr>
            </w:pPr>
            <w:r>
              <w:rPr>
                <w:rFonts w:ascii="Times New Roman" w:hAnsi="Times New Roman"/>
                <w:sz w:val="24"/>
              </w:rPr>
              <w:t>1 millions</w:t>
            </w:r>
          </w:p>
        </w:tc>
      </w:tr>
      <w:tr w:rsidR="00E40B44" w:rsidRPr="00095E29" w14:paraId="61CDE0E7" w14:textId="77777777" w:rsidTr="00A3471E">
        <w:trPr>
          <w:trHeight w:val="288"/>
        </w:trPr>
        <w:tc>
          <w:tcPr>
            <w:tcW w:w="3665" w:type="dxa"/>
            <w:vAlign w:val="center"/>
          </w:tcPr>
          <w:p w14:paraId="2F885374" w14:textId="6EA9F6BD" w:rsidR="00E40B44"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Fièvre jaune</w:t>
            </w:r>
          </w:p>
        </w:tc>
        <w:tc>
          <w:tcPr>
            <w:tcW w:w="2298" w:type="dxa"/>
            <w:vAlign w:val="center"/>
          </w:tcPr>
          <w:p w14:paraId="1BF665C1" w14:textId="12D51C95" w:rsidR="00E40B44"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Fin des années 1800</w:t>
            </w:r>
          </w:p>
        </w:tc>
        <w:tc>
          <w:tcPr>
            <w:tcW w:w="1940" w:type="dxa"/>
            <w:vAlign w:val="center"/>
          </w:tcPr>
          <w:p w14:paraId="56AA6412" w14:textId="2A0FE817" w:rsidR="00E40B44"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100-150 mille</w:t>
            </w:r>
          </w:p>
        </w:tc>
      </w:tr>
      <w:tr w:rsidR="00E40B44" w:rsidRPr="00095E29" w14:paraId="51B5688C" w14:textId="77777777" w:rsidTr="00A3471E">
        <w:trPr>
          <w:trHeight w:val="288"/>
        </w:trPr>
        <w:tc>
          <w:tcPr>
            <w:tcW w:w="3665" w:type="dxa"/>
            <w:vAlign w:val="center"/>
          </w:tcPr>
          <w:p w14:paraId="3239DA02" w14:textId="30E8C08A" w:rsidR="00E40B44"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Grippe espagnole</w:t>
            </w:r>
          </w:p>
        </w:tc>
        <w:tc>
          <w:tcPr>
            <w:tcW w:w="2298" w:type="dxa"/>
            <w:vAlign w:val="center"/>
          </w:tcPr>
          <w:p w14:paraId="706D3B44" w14:textId="4D22E098" w:rsidR="00E40B44"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1918-1919</w:t>
            </w:r>
          </w:p>
        </w:tc>
        <w:tc>
          <w:tcPr>
            <w:tcW w:w="1940" w:type="dxa"/>
            <w:vAlign w:val="center"/>
          </w:tcPr>
          <w:p w14:paraId="298796EA" w14:textId="637AB1BF" w:rsidR="00E40B44"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40-100 millions</w:t>
            </w:r>
          </w:p>
        </w:tc>
      </w:tr>
      <w:tr w:rsidR="00E40B44" w:rsidRPr="00095E29" w14:paraId="5FDE26F4" w14:textId="77777777" w:rsidTr="00A3471E">
        <w:trPr>
          <w:trHeight w:val="288"/>
        </w:trPr>
        <w:tc>
          <w:tcPr>
            <w:tcW w:w="3665" w:type="dxa"/>
            <w:vAlign w:val="center"/>
          </w:tcPr>
          <w:p w14:paraId="5EFA17D0" w14:textId="09C2A07B" w:rsidR="00E40B44"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Grippe asiatique</w:t>
            </w:r>
          </w:p>
        </w:tc>
        <w:tc>
          <w:tcPr>
            <w:tcW w:w="2298" w:type="dxa"/>
            <w:vAlign w:val="center"/>
          </w:tcPr>
          <w:p w14:paraId="3B706DF7" w14:textId="02432093" w:rsidR="00E40B44"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1957-1958</w:t>
            </w:r>
          </w:p>
        </w:tc>
        <w:tc>
          <w:tcPr>
            <w:tcW w:w="1940" w:type="dxa"/>
            <w:vAlign w:val="center"/>
          </w:tcPr>
          <w:p w14:paraId="633769AE" w14:textId="0D3BBB5F" w:rsidR="00E40B44"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1,1 millions</w:t>
            </w:r>
          </w:p>
        </w:tc>
      </w:tr>
      <w:tr w:rsidR="00E40B44" w:rsidRPr="00095E29" w14:paraId="774EFE55" w14:textId="77777777" w:rsidTr="00A3471E">
        <w:trPr>
          <w:trHeight w:val="288"/>
        </w:trPr>
        <w:tc>
          <w:tcPr>
            <w:tcW w:w="3665" w:type="dxa"/>
            <w:vAlign w:val="center"/>
          </w:tcPr>
          <w:p w14:paraId="68894A4F" w14:textId="24B1C8F4" w:rsidR="00E40B44"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Grippe de Hong Kong</w:t>
            </w:r>
          </w:p>
        </w:tc>
        <w:tc>
          <w:tcPr>
            <w:tcW w:w="2298" w:type="dxa"/>
            <w:vAlign w:val="center"/>
          </w:tcPr>
          <w:p w14:paraId="75F4B993" w14:textId="0268FA04" w:rsidR="00E40B44"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1968-1970</w:t>
            </w:r>
          </w:p>
        </w:tc>
        <w:tc>
          <w:tcPr>
            <w:tcW w:w="1940" w:type="dxa"/>
            <w:vAlign w:val="center"/>
          </w:tcPr>
          <w:p w14:paraId="4880266D" w14:textId="52DFBBE0" w:rsidR="00E40B44"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1 millions</w:t>
            </w:r>
          </w:p>
        </w:tc>
      </w:tr>
      <w:tr w:rsidR="00C323DC" w:rsidRPr="00095E29" w14:paraId="44076A04" w14:textId="77777777" w:rsidTr="00A3471E">
        <w:trPr>
          <w:trHeight w:val="288"/>
        </w:trPr>
        <w:tc>
          <w:tcPr>
            <w:tcW w:w="3665" w:type="dxa"/>
            <w:vAlign w:val="center"/>
          </w:tcPr>
          <w:p w14:paraId="28E5C6F9" w14:textId="2368689B" w:rsidR="00C323DC" w:rsidRPr="00095E29" w:rsidRDefault="00C323DC" w:rsidP="00095E29">
            <w:pPr>
              <w:spacing w:line="480" w:lineRule="auto"/>
              <w:rPr>
                <w:rFonts w:ascii="Times New Roman" w:hAnsi="Times New Roman" w:cs="Times New Roman"/>
                <w:sz w:val="24"/>
                <w:szCs w:val="24"/>
              </w:rPr>
            </w:pPr>
            <w:r>
              <w:rPr>
                <w:rFonts w:ascii="Times New Roman" w:hAnsi="Times New Roman"/>
                <w:sz w:val="24"/>
              </w:rPr>
              <w:t>VIH/SIDA</w:t>
            </w:r>
          </w:p>
        </w:tc>
        <w:tc>
          <w:tcPr>
            <w:tcW w:w="2298" w:type="dxa"/>
            <w:vAlign w:val="center"/>
          </w:tcPr>
          <w:p w14:paraId="120EFD40" w14:textId="765A70F8" w:rsidR="00C323DC" w:rsidRPr="00095E29" w:rsidRDefault="00C323DC" w:rsidP="00095E29">
            <w:pPr>
              <w:spacing w:line="480" w:lineRule="auto"/>
              <w:rPr>
                <w:rFonts w:ascii="Times New Roman" w:hAnsi="Times New Roman" w:cs="Times New Roman"/>
                <w:sz w:val="24"/>
                <w:szCs w:val="24"/>
              </w:rPr>
            </w:pPr>
            <w:r>
              <w:rPr>
                <w:rFonts w:ascii="Times New Roman" w:hAnsi="Times New Roman"/>
                <w:sz w:val="24"/>
              </w:rPr>
              <w:t>1981- aujourd’hui</w:t>
            </w:r>
          </w:p>
        </w:tc>
        <w:tc>
          <w:tcPr>
            <w:tcW w:w="1940" w:type="dxa"/>
            <w:vAlign w:val="center"/>
          </w:tcPr>
          <w:p w14:paraId="64163BF7" w14:textId="5368E9F6" w:rsidR="00C323DC" w:rsidRPr="00095E29" w:rsidRDefault="00C323DC" w:rsidP="00095E29">
            <w:pPr>
              <w:spacing w:line="480" w:lineRule="auto"/>
              <w:rPr>
                <w:rFonts w:ascii="Times New Roman" w:hAnsi="Times New Roman" w:cs="Times New Roman"/>
                <w:sz w:val="24"/>
                <w:szCs w:val="24"/>
              </w:rPr>
            </w:pPr>
            <w:r>
              <w:rPr>
                <w:rFonts w:ascii="Times New Roman" w:hAnsi="Times New Roman"/>
                <w:sz w:val="24"/>
              </w:rPr>
              <w:t>25-35 millions</w:t>
            </w:r>
          </w:p>
        </w:tc>
      </w:tr>
      <w:tr w:rsidR="00E40B44" w:rsidRPr="00095E29" w14:paraId="3DDF78C6" w14:textId="77777777" w:rsidTr="00A3471E">
        <w:trPr>
          <w:trHeight w:val="288"/>
        </w:trPr>
        <w:tc>
          <w:tcPr>
            <w:tcW w:w="3665" w:type="dxa"/>
            <w:vAlign w:val="center"/>
          </w:tcPr>
          <w:p w14:paraId="2BA130F7" w14:textId="63F9DC14" w:rsidR="00E40B44" w:rsidRPr="00095E29" w:rsidRDefault="00CC4589" w:rsidP="00095E29">
            <w:pPr>
              <w:spacing w:line="480" w:lineRule="auto"/>
              <w:rPr>
                <w:rFonts w:ascii="Times New Roman" w:hAnsi="Times New Roman" w:cs="Times New Roman"/>
                <w:sz w:val="24"/>
                <w:szCs w:val="24"/>
              </w:rPr>
            </w:pPr>
            <w:r>
              <w:rPr>
                <w:rFonts w:ascii="Times New Roman" w:hAnsi="Times New Roman"/>
                <w:sz w:val="24"/>
              </w:rPr>
              <w:lastRenderedPageBreak/>
              <w:t>SRAS CoV-1</w:t>
            </w:r>
          </w:p>
        </w:tc>
        <w:tc>
          <w:tcPr>
            <w:tcW w:w="2298" w:type="dxa"/>
            <w:vAlign w:val="center"/>
          </w:tcPr>
          <w:p w14:paraId="61E03358" w14:textId="60AFE7D0" w:rsidR="00E40B44"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2002-2003</w:t>
            </w:r>
          </w:p>
        </w:tc>
        <w:tc>
          <w:tcPr>
            <w:tcW w:w="1940" w:type="dxa"/>
            <w:vAlign w:val="center"/>
          </w:tcPr>
          <w:p w14:paraId="711E98F9" w14:textId="45A92B5B" w:rsidR="00E40B44"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770</w:t>
            </w:r>
          </w:p>
        </w:tc>
      </w:tr>
      <w:tr w:rsidR="00CC4589" w:rsidRPr="00095E29" w14:paraId="59604D44" w14:textId="77777777" w:rsidTr="00A3471E">
        <w:trPr>
          <w:trHeight w:val="288"/>
        </w:trPr>
        <w:tc>
          <w:tcPr>
            <w:tcW w:w="3665" w:type="dxa"/>
            <w:vAlign w:val="center"/>
          </w:tcPr>
          <w:p w14:paraId="5AFD3206" w14:textId="2EE9CC75" w:rsidR="00CC4589"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Grippe porcine</w:t>
            </w:r>
          </w:p>
        </w:tc>
        <w:tc>
          <w:tcPr>
            <w:tcW w:w="2298" w:type="dxa"/>
            <w:vAlign w:val="center"/>
          </w:tcPr>
          <w:p w14:paraId="3E74E646" w14:textId="4E42AFA3" w:rsidR="00CC4589"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2009-2010</w:t>
            </w:r>
          </w:p>
        </w:tc>
        <w:tc>
          <w:tcPr>
            <w:tcW w:w="1940" w:type="dxa"/>
            <w:vAlign w:val="center"/>
          </w:tcPr>
          <w:p w14:paraId="25B2D9F5" w14:textId="6865CB3B" w:rsidR="00CC4589"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200 mille</w:t>
            </w:r>
          </w:p>
        </w:tc>
      </w:tr>
      <w:tr w:rsidR="00E40B44" w:rsidRPr="00095E29" w14:paraId="5B88D5A5" w14:textId="77777777" w:rsidTr="00A3471E">
        <w:trPr>
          <w:trHeight w:val="288"/>
        </w:trPr>
        <w:tc>
          <w:tcPr>
            <w:tcW w:w="3665" w:type="dxa"/>
            <w:vAlign w:val="center"/>
          </w:tcPr>
          <w:p w14:paraId="4129288F" w14:textId="42B25E2D" w:rsidR="00E40B44"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MERS-</w:t>
            </w:r>
            <w:proofErr w:type="spellStart"/>
            <w:r>
              <w:rPr>
                <w:rFonts w:ascii="Times New Roman" w:hAnsi="Times New Roman"/>
                <w:sz w:val="24"/>
              </w:rPr>
              <w:t>CoV</w:t>
            </w:r>
            <w:proofErr w:type="spellEnd"/>
            <w:r>
              <w:rPr>
                <w:rFonts w:ascii="Times New Roman" w:hAnsi="Times New Roman"/>
                <w:sz w:val="24"/>
              </w:rPr>
              <w:t xml:space="preserve"> (Coronavirus du syndrome respiratoire du Moyen-Orient)</w:t>
            </w:r>
          </w:p>
        </w:tc>
        <w:tc>
          <w:tcPr>
            <w:tcW w:w="2298" w:type="dxa"/>
            <w:vAlign w:val="center"/>
          </w:tcPr>
          <w:p w14:paraId="6305CD9D" w14:textId="5EFE25CB" w:rsidR="00E40B44"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2012- aujourd’hui</w:t>
            </w:r>
          </w:p>
        </w:tc>
        <w:tc>
          <w:tcPr>
            <w:tcW w:w="1940" w:type="dxa"/>
            <w:vAlign w:val="center"/>
          </w:tcPr>
          <w:p w14:paraId="70ADEDCD" w14:textId="50564276" w:rsidR="00E40B44"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850</w:t>
            </w:r>
          </w:p>
        </w:tc>
      </w:tr>
      <w:tr w:rsidR="00E40B44" w:rsidRPr="00095E29" w14:paraId="0AD0AE7F" w14:textId="77777777" w:rsidTr="00A3471E">
        <w:trPr>
          <w:trHeight w:val="288"/>
        </w:trPr>
        <w:tc>
          <w:tcPr>
            <w:tcW w:w="3665" w:type="dxa"/>
            <w:vAlign w:val="center"/>
          </w:tcPr>
          <w:p w14:paraId="2B7904AB" w14:textId="6DFA9422" w:rsidR="00E40B44"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Ebola</w:t>
            </w:r>
          </w:p>
        </w:tc>
        <w:tc>
          <w:tcPr>
            <w:tcW w:w="2298" w:type="dxa"/>
            <w:vAlign w:val="center"/>
          </w:tcPr>
          <w:p w14:paraId="5CB4D2E9" w14:textId="3FD602F4" w:rsidR="00E40B44" w:rsidRPr="00095E29" w:rsidRDefault="00CC4589" w:rsidP="00095E29">
            <w:pPr>
              <w:spacing w:line="480" w:lineRule="auto"/>
              <w:rPr>
                <w:rFonts w:ascii="Times New Roman" w:hAnsi="Times New Roman" w:cs="Times New Roman"/>
                <w:sz w:val="24"/>
                <w:szCs w:val="24"/>
              </w:rPr>
            </w:pPr>
            <w:r>
              <w:rPr>
                <w:rFonts w:ascii="Times New Roman" w:hAnsi="Times New Roman"/>
                <w:sz w:val="24"/>
              </w:rPr>
              <w:t>2014-2016</w:t>
            </w:r>
          </w:p>
        </w:tc>
        <w:tc>
          <w:tcPr>
            <w:tcW w:w="1940" w:type="dxa"/>
            <w:vAlign w:val="center"/>
          </w:tcPr>
          <w:p w14:paraId="200C16BA" w14:textId="13E707CB" w:rsidR="00E40B44" w:rsidRPr="00095E29" w:rsidRDefault="00765A76" w:rsidP="00095E29">
            <w:pPr>
              <w:spacing w:line="480" w:lineRule="auto"/>
              <w:rPr>
                <w:rFonts w:ascii="Times New Roman" w:hAnsi="Times New Roman" w:cs="Times New Roman"/>
                <w:sz w:val="24"/>
                <w:szCs w:val="24"/>
              </w:rPr>
            </w:pPr>
            <w:r>
              <w:rPr>
                <w:rFonts w:ascii="Times New Roman" w:hAnsi="Times New Roman"/>
                <w:sz w:val="24"/>
              </w:rPr>
              <w:t>11 300</w:t>
            </w:r>
          </w:p>
        </w:tc>
      </w:tr>
      <w:tr w:rsidR="00E40B44" w:rsidRPr="00095E29" w14:paraId="53614481" w14:textId="77777777" w:rsidTr="00A3471E">
        <w:trPr>
          <w:trHeight w:val="288"/>
        </w:trPr>
        <w:tc>
          <w:tcPr>
            <w:tcW w:w="3665" w:type="dxa"/>
            <w:vAlign w:val="center"/>
          </w:tcPr>
          <w:p w14:paraId="02C2F836" w14:textId="542B6315" w:rsidR="00E40B44" w:rsidRPr="00095E29" w:rsidRDefault="00765A76" w:rsidP="00095E29">
            <w:pPr>
              <w:spacing w:line="480" w:lineRule="auto"/>
              <w:rPr>
                <w:rFonts w:ascii="Times New Roman" w:hAnsi="Times New Roman" w:cs="Times New Roman"/>
                <w:sz w:val="24"/>
                <w:szCs w:val="24"/>
              </w:rPr>
            </w:pPr>
            <w:r>
              <w:rPr>
                <w:rFonts w:ascii="Times New Roman" w:hAnsi="Times New Roman"/>
                <w:sz w:val="24"/>
              </w:rPr>
              <w:t>COVID-19 (SARS CoV-2)</w:t>
            </w:r>
          </w:p>
        </w:tc>
        <w:tc>
          <w:tcPr>
            <w:tcW w:w="2298" w:type="dxa"/>
            <w:vAlign w:val="center"/>
          </w:tcPr>
          <w:p w14:paraId="0CB8DA54" w14:textId="0B965247" w:rsidR="00E40B44" w:rsidRPr="00095E29" w:rsidRDefault="00765A76" w:rsidP="00095E29">
            <w:pPr>
              <w:spacing w:line="480" w:lineRule="auto"/>
              <w:rPr>
                <w:rFonts w:ascii="Times New Roman" w:hAnsi="Times New Roman" w:cs="Times New Roman"/>
                <w:sz w:val="24"/>
                <w:szCs w:val="24"/>
              </w:rPr>
            </w:pPr>
            <w:r>
              <w:rPr>
                <w:rFonts w:ascii="Times New Roman" w:hAnsi="Times New Roman"/>
                <w:sz w:val="24"/>
              </w:rPr>
              <w:t>2020- aujourd’hui</w:t>
            </w:r>
          </w:p>
        </w:tc>
        <w:tc>
          <w:tcPr>
            <w:tcW w:w="1940" w:type="dxa"/>
            <w:vAlign w:val="center"/>
          </w:tcPr>
          <w:p w14:paraId="2A9C9087" w14:textId="15276782" w:rsidR="00E40B44" w:rsidRPr="00095E29" w:rsidRDefault="00C323DC" w:rsidP="00095E29">
            <w:pPr>
              <w:spacing w:line="480" w:lineRule="auto"/>
              <w:rPr>
                <w:rFonts w:ascii="Times New Roman" w:hAnsi="Times New Roman" w:cs="Times New Roman"/>
                <w:sz w:val="24"/>
                <w:szCs w:val="24"/>
              </w:rPr>
            </w:pPr>
            <w:r>
              <w:rPr>
                <w:rFonts w:ascii="Times New Roman" w:hAnsi="Times New Roman"/>
                <w:sz w:val="24"/>
              </w:rPr>
              <w:t>6 545 561</w:t>
            </w:r>
            <w:r w:rsidR="002907B2" w:rsidRPr="00095E29">
              <w:rPr>
                <w:rStyle w:val="Appelnotedebasdep"/>
                <w:rFonts w:ascii="Times New Roman" w:hAnsi="Times New Roman" w:cs="Times New Roman"/>
                <w:sz w:val="24"/>
                <w:szCs w:val="24"/>
              </w:rPr>
              <w:footnoteReference w:id="2"/>
            </w:r>
          </w:p>
        </w:tc>
      </w:tr>
    </w:tbl>
    <w:p w14:paraId="754BF801" w14:textId="77777777" w:rsidR="002302D6" w:rsidRPr="00095E29" w:rsidRDefault="002302D6" w:rsidP="00095E29">
      <w:pPr>
        <w:spacing w:after="0" w:line="480" w:lineRule="auto"/>
        <w:jc w:val="both"/>
        <w:rPr>
          <w:rFonts w:ascii="Times New Roman" w:hAnsi="Times New Roman" w:cs="Times New Roman"/>
          <w:sz w:val="24"/>
          <w:szCs w:val="24"/>
        </w:rPr>
      </w:pPr>
    </w:p>
    <w:p w14:paraId="165353B3" w14:textId="307C19E7" w:rsidR="002907B2" w:rsidRPr="00A3471E" w:rsidRDefault="002302D6" w:rsidP="00095E29">
      <w:pPr>
        <w:spacing w:after="0" w:line="480" w:lineRule="auto"/>
        <w:jc w:val="both"/>
        <w:rPr>
          <w:rFonts w:ascii="Times New Roman" w:hAnsi="Times New Roman" w:cs="Times New Roman"/>
          <w:sz w:val="24"/>
          <w:szCs w:val="24"/>
          <w:lang w:val="en-US"/>
        </w:rPr>
      </w:pPr>
      <w:proofErr w:type="gramStart"/>
      <w:r w:rsidRPr="00A3471E">
        <w:rPr>
          <w:rFonts w:ascii="Times New Roman" w:hAnsi="Times New Roman"/>
          <w:sz w:val="24"/>
          <w:lang w:val="en-US"/>
        </w:rPr>
        <w:t>SOURCE :</w:t>
      </w:r>
      <w:proofErr w:type="gramEnd"/>
      <w:r w:rsidRPr="00A3471E">
        <w:rPr>
          <w:rFonts w:ascii="Times New Roman" w:hAnsi="Times New Roman"/>
          <w:sz w:val="24"/>
          <w:lang w:val="en-US"/>
        </w:rPr>
        <w:t xml:space="preserve"> </w:t>
      </w:r>
      <w:proofErr w:type="spellStart"/>
      <w:r w:rsidRPr="00A3471E">
        <w:rPr>
          <w:rFonts w:ascii="Times New Roman" w:hAnsi="Times New Roman"/>
          <w:sz w:val="24"/>
          <w:lang w:val="en-US"/>
        </w:rPr>
        <w:t>Adapté</w:t>
      </w:r>
      <w:proofErr w:type="spellEnd"/>
      <w:r w:rsidRPr="00A3471E">
        <w:rPr>
          <w:rFonts w:ascii="Times New Roman" w:hAnsi="Times New Roman"/>
          <w:sz w:val="24"/>
          <w:lang w:val="en-US"/>
        </w:rPr>
        <w:t xml:space="preserve"> de </w:t>
      </w:r>
      <w:proofErr w:type="spellStart"/>
      <w:r w:rsidRPr="00A3471E">
        <w:rPr>
          <w:rFonts w:ascii="Times New Roman" w:hAnsi="Times New Roman"/>
          <w:sz w:val="24"/>
          <w:lang w:val="en-US"/>
        </w:rPr>
        <w:t>LePan</w:t>
      </w:r>
      <w:proofErr w:type="spellEnd"/>
      <w:r w:rsidRPr="00A3471E">
        <w:rPr>
          <w:rFonts w:ascii="Times New Roman" w:hAnsi="Times New Roman"/>
          <w:sz w:val="24"/>
          <w:lang w:val="en-US"/>
        </w:rPr>
        <w:t xml:space="preserve"> (2020), Loyola University-Chicago et St. Edward’s School (2020), et Open Society Foundations Education Program (2020).</w:t>
      </w:r>
    </w:p>
    <w:p w14:paraId="269D5B9F" w14:textId="4AFAD71E" w:rsidR="002302D6" w:rsidRPr="00A3471E" w:rsidRDefault="002302D6" w:rsidP="00095E29">
      <w:pPr>
        <w:spacing w:after="0" w:line="480" w:lineRule="auto"/>
        <w:jc w:val="both"/>
        <w:rPr>
          <w:rFonts w:ascii="Times New Roman" w:hAnsi="Times New Roman" w:cs="Times New Roman"/>
          <w:sz w:val="24"/>
          <w:szCs w:val="24"/>
          <w:lang w:val="en-US"/>
        </w:rPr>
      </w:pPr>
    </w:p>
    <w:p w14:paraId="743FE177" w14:textId="5EB694DA" w:rsidR="00F03DA3" w:rsidRPr="00095E29" w:rsidRDefault="00915B08" w:rsidP="00095E29">
      <w:pPr>
        <w:spacing w:after="0" w:line="480" w:lineRule="auto"/>
        <w:jc w:val="both"/>
        <w:rPr>
          <w:rFonts w:ascii="Times New Roman" w:hAnsi="Times New Roman" w:cs="Times New Roman"/>
          <w:sz w:val="24"/>
          <w:szCs w:val="24"/>
        </w:rPr>
      </w:pPr>
      <w:r>
        <w:rPr>
          <w:rFonts w:ascii="Times New Roman" w:hAnsi="Times New Roman"/>
          <w:sz w:val="24"/>
        </w:rPr>
        <w:t>Les différences dans l’(in)action des gouvernements et des entreprises ont fait que l’impact de la COVID-19 a été très différent d’un pays à l’autre (Silva-</w:t>
      </w:r>
      <w:proofErr w:type="spellStart"/>
      <w:r>
        <w:rPr>
          <w:rFonts w:ascii="Times New Roman" w:hAnsi="Times New Roman"/>
          <w:sz w:val="24"/>
        </w:rPr>
        <w:t>Ayçaguer</w:t>
      </w:r>
      <w:proofErr w:type="spellEnd"/>
      <w:r>
        <w:rPr>
          <w:rFonts w:ascii="Times New Roman" w:hAnsi="Times New Roman"/>
          <w:sz w:val="24"/>
        </w:rPr>
        <w:t xml:space="preserve"> et </w:t>
      </w:r>
      <w:proofErr w:type="spellStart"/>
      <w:r>
        <w:rPr>
          <w:rFonts w:ascii="Times New Roman" w:hAnsi="Times New Roman"/>
          <w:sz w:val="24"/>
        </w:rPr>
        <w:t>Ponzo</w:t>
      </w:r>
      <w:proofErr w:type="spellEnd"/>
      <w:r>
        <w:rPr>
          <w:rFonts w:ascii="Times New Roman" w:hAnsi="Times New Roman"/>
          <w:sz w:val="24"/>
        </w:rPr>
        <w:t>-Gómez 2021). En outre, les effets de la pandémie de COVID-19 sur la santé n’ont pas été uniformes au sein des sociétés, en grande partie à cause des inégalités en matière de santé, de logement, de nutrition et d’accès aux soins de santé entre les groupes ethniques et les classes sociales (</w:t>
      </w:r>
      <w:proofErr w:type="spellStart"/>
      <w:r>
        <w:rPr>
          <w:rFonts w:ascii="Times New Roman" w:hAnsi="Times New Roman"/>
          <w:sz w:val="24"/>
        </w:rPr>
        <w:t>Accioly</w:t>
      </w:r>
      <w:proofErr w:type="spellEnd"/>
      <w:r>
        <w:rPr>
          <w:rFonts w:ascii="Times New Roman" w:hAnsi="Times New Roman"/>
          <w:sz w:val="24"/>
        </w:rPr>
        <w:t xml:space="preserve"> et Macedo 2021 ; CDC 2022). En effet, pendant les pandémies, « de nombreuses personnes [...] décèdent non seulement à cause du virus, mais aussi à cause du manque de ressources ou d’infrastructures de santé publique du pays » (Taylor et Adler 2020, 149), et « des choix ont été faits, des décisions ont été prises, des mensonges ont été racontés [par des responsables gouvernementaux et des dirigeants d’entreprise] qui ont coûté non pas quelques vies, mais des centaines et des centaines de milliers de vies qui auraient pu être sauvées » (Nichols 2022, 8). </w:t>
      </w:r>
    </w:p>
    <w:p w14:paraId="4F385DDA" w14:textId="77777777" w:rsidR="002907B2" w:rsidRPr="00095E29" w:rsidRDefault="002907B2" w:rsidP="00095E29">
      <w:pPr>
        <w:spacing w:after="0" w:line="480" w:lineRule="auto"/>
        <w:jc w:val="both"/>
        <w:rPr>
          <w:rFonts w:ascii="Times New Roman" w:hAnsi="Times New Roman" w:cs="Times New Roman"/>
          <w:sz w:val="24"/>
          <w:szCs w:val="24"/>
        </w:rPr>
      </w:pPr>
    </w:p>
    <w:p w14:paraId="59437DC6" w14:textId="4DA87E44" w:rsidR="0093586F" w:rsidRPr="00095E29" w:rsidRDefault="00DD3650" w:rsidP="00095E29">
      <w:pPr>
        <w:spacing w:after="0" w:line="480" w:lineRule="auto"/>
        <w:jc w:val="both"/>
        <w:rPr>
          <w:rFonts w:ascii="Times New Roman" w:hAnsi="Times New Roman" w:cs="Times New Roman"/>
          <w:sz w:val="24"/>
          <w:szCs w:val="24"/>
        </w:rPr>
      </w:pPr>
      <w:r>
        <w:rPr>
          <w:rFonts w:ascii="Times New Roman" w:hAnsi="Times New Roman"/>
          <w:sz w:val="24"/>
        </w:rPr>
        <w:t>L’impact de la pandémie de COVID-19 sur la santé à travers le monde, associé aux effets économiques négatifs (</w:t>
      </w:r>
      <w:proofErr w:type="spellStart"/>
      <w:r>
        <w:rPr>
          <w:rFonts w:ascii="Times New Roman" w:hAnsi="Times New Roman"/>
          <w:sz w:val="24"/>
        </w:rPr>
        <w:t>Quaglietti</w:t>
      </w:r>
      <w:proofErr w:type="spellEnd"/>
      <w:r>
        <w:rPr>
          <w:rFonts w:ascii="Times New Roman" w:hAnsi="Times New Roman"/>
          <w:sz w:val="24"/>
        </w:rPr>
        <w:t xml:space="preserve"> et Wheeler 2022 ; </w:t>
      </w:r>
      <w:proofErr w:type="spellStart"/>
      <w:r>
        <w:rPr>
          <w:rFonts w:ascii="Times New Roman" w:hAnsi="Times New Roman"/>
          <w:sz w:val="24"/>
        </w:rPr>
        <w:t>Yeyati</w:t>
      </w:r>
      <w:proofErr w:type="spellEnd"/>
      <w:r>
        <w:rPr>
          <w:rFonts w:ascii="Times New Roman" w:hAnsi="Times New Roman"/>
          <w:sz w:val="24"/>
        </w:rPr>
        <w:t xml:space="preserve"> et </w:t>
      </w:r>
      <w:proofErr w:type="spellStart"/>
      <w:r>
        <w:rPr>
          <w:rFonts w:ascii="Times New Roman" w:hAnsi="Times New Roman"/>
          <w:sz w:val="24"/>
        </w:rPr>
        <w:t>Filippini</w:t>
      </w:r>
      <w:proofErr w:type="spellEnd"/>
      <w:r>
        <w:rPr>
          <w:rFonts w:ascii="Times New Roman" w:hAnsi="Times New Roman"/>
          <w:sz w:val="24"/>
        </w:rPr>
        <w:t xml:space="preserve"> 2021), a gravement affecté l’accès à l’éducation et ses résultats, comme ce fut le cas lors de la pandémie de grippe espagnole de 1918-1919 (Arnold 2018 ; Stern, </w:t>
      </w:r>
      <w:proofErr w:type="spellStart"/>
      <w:r>
        <w:rPr>
          <w:rFonts w:ascii="Times New Roman" w:hAnsi="Times New Roman"/>
          <w:sz w:val="24"/>
        </w:rPr>
        <w:t>Cetron</w:t>
      </w:r>
      <w:proofErr w:type="spellEnd"/>
      <w:r>
        <w:rPr>
          <w:rFonts w:ascii="Times New Roman" w:hAnsi="Times New Roman"/>
          <w:sz w:val="24"/>
        </w:rPr>
        <w:t xml:space="preserve"> et </w:t>
      </w:r>
      <w:proofErr w:type="spellStart"/>
      <w:r>
        <w:rPr>
          <w:rFonts w:ascii="Times New Roman" w:hAnsi="Times New Roman"/>
          <w:sz w:val="24"/>
        </w:rPr>
        <w:t>Markel</w:t>
      </w:r>
      <w:proofErr w:type="spellEnd"/>
      <w:r>
        <w:rPr>
          <w:rFonts w:ascii="Times New Roman" w:hAnsi="Times New Roman"/>
          <w:sz w:val="24"/>
        </w:rPr>
        <w:t xml:space="preserve"> 2009). En effet, lorsque la COVID-19 a frappé, des centres d’éducation préscolaire, des écoles et des établissements d’enseignement supérieur ont fermés, laissant 90 % des enfants et des jeunes dans le monde sans accès facile à l’éducation (UNESCO, UNICEF et Banque mondiale 2020). Comme l’indique une étude publiée en janvier 2021, « 98 % des pays ont imposé la fermeture totale ou partielle des établissement</w:t>
      </w:r>
      <w:r w:rsidR="00A3471E">
        <w:rPr>
          <w:rFonts w:ascii="Times New Roman" w:hAnsi="Times New Roman"/>
          <w:sz w:val="24"/>
        </w:rPr>
        <w:t>s</w:t>
      </w:r>
      <w:r>
        <w:rPr>
          <w:rFonts w:ascii="Times New Roman" w:hAnsi="Times New Roman"/>
          <w:sz w:val="24"/>
        </w:rPr>
        <w:t xml:space="preserve"> en raison de la COVID-19 [...] [entraînant] 199 milliards de jours de fermeture d’école en 2020 » (</w:t>
      </w:r>
      <w:bookmarkStart w:id="1" w:name="_Hlk115099518"/>
      <w:r>
        <w:rPr>
          <w:rFonts w:ascii="Times New Roman" w:hAnsi="Times New Roman"/>
          <w:sz w:val="24"/>
        </w:rPr>
        <w:t>Grob-</w:t>
      </w:r>
      <w:proofErr w:type="spellStart"/>
      <w:r>
        <w:rPr>
          <w:rFonts w:ascii="Times New Roman" w:hAnsi="Times New Roman"/>
          <w:sz w:val="24"/>
        </w:rPr>
        <w:t>Zakhary</w:t>
      </w:r>
      <w:bookmarkEnd w:id="1"/>
      <w:proofErr w:type="spellEnd"/>
      <w:r>
        <w:rPr>
          <w:rFonts w:ascii="Times New Roman" w:hAnsi="Times New Roman"/>
          <w:sz w:val="24"/>
        </w:rPr>
        <w:t xml:space="preserve"> et al. 2021, 4 ; voir également </w:t>
      </w:r>
      <w:proofErr w:type="spellStart"/>
      <w:r>
        <w:rPr>
          <w:rFonts w:ascii="Times New Roman" w:hAnsi="Times New Roman"/>
          <w:sz w:val="24"/>
        </w:rPr>
        <w:t>Meinck</w:t>
      </w:r>
      <w:proofErr w:type="spellEnd"/>
      <w:r>
        <w:rPr>
          <w:rFonts w:ascii="Times New Roman" w:hAnsi="Times New Roman"/>
          <w:sz w:val="24"/>
        </w:rPr>
        <w:t xml:space="preserve">, </w:t>
      </w:r>
      <w:proofErr w:type="spellStart"/>
      <w:r>
        <w:rPr>
          <w:rFonts w:ascii="Times New Roman" w:hAnsi="Times New Roman"/>
          <w:sz w:val="24"/>
        </w:rPr>
        <w:t>Fraillon</w:t>
      </w:r>
      <w:proofErr w:type="spellEnd"/>
      <w:r>
        <w:rPr>
          <w:rFonts w:ascii="Times New Roman" w:hAnsi="Times New Roman"/>
          <w:sz w:val="24"/>
        </w:rPr>
        <w:t xml:space="preserve"> et </w:t>
      </w:r>
      <w:proofErr w:type="spellStart"/>
      <w:r>
        <w:rPr>
          <w:rFonts w:ascii="Times New Roman" w:hAnsi="Times New Roman"/>
          <w:sz w:val="24"/>
        </w:rPr>
        <w:t>Strietholt</w:t>
      </w:r>
      <w:proofErr w:type="spellEnd"/>
      <w:r>
        <w:rPr>
          <w:rFonts w:ascii="Times New Roman" w:hAnsi="Times New Roman"/>
          <w:sz w:val="24"/>
        </w:rPr>
        <w:t xml:space="preserve"> 2022). </w:t>
      </w:r>
      <w:bookmarkStart w:id="2" w:name="_Hlk96336605"/>
      <w:r>
        <w:rPr>
          <w:rFonts w:ascii="Times New Roman" w:hAnsi="Times New Roman"/>
          <w:sz w:val="24"/>
        </w:rPr>
        <w:t>L’un des enseignements tirés de la réponse du système éducatif à la pandémie de COVID-19 est que « la réponse des systèmes éducatifs nationaux était fragile et incohérente. Les ministres et les autorités publiques étaient dépendants des plates-formes et des contenus mis à disposition par des sociétés privées et n’étaient même pas en mesure de garantir un accès numérique à tous les élèves »</w:t>
      </w:r>
      <w:bookmarkEnd w:id="2"/>
      <w:r>
        <w:rPr>
          <w:rFonts w:ascii="Times New Roman" w:hAnsi="Times New Roman"/>
          <w:sz w:val="24"/>
        </w:rPr>
        <w:t xml:space="preserve"> (</w:t>
      </w:r>
      <w:proofErr w:type="spellStart"/>
      <w:r>
        <w:rPr>
          <w:rFonts w:ascii="Times New Roman" w:hAnsi="Times New Roman"/>
          <w:sz w:val="24"/>
        </w:rPr>
        <w:t>Nóvoa</w:t>
      </w:r>
      <w:proofErr w:type="spellEnd"/>
      <w:r>
        <w:rPr>
          <w:rFonts w:ascii="Times New Roman" w:hAnsi="Times New Roman"/>
          <w:sz w:val="24"/>
        </w:rPr>
        <w:t xml:space="preserve"> et </w:t>
      </w:r>
      <w:proofErr w:type="spellStart"/>
      <w:r>
        <w:rPr>
          <w:rFonts w:ascii="Times New Roman" w:hAnsi="Times New Roman"/>
          <w:sz w:val="24"/>
        </w:rPr>
        <w:t>Alvim</w:t>
      </w:r>
      <w:proofErr w:type="spellEnd"/>
      <w:r>
        <w:rPr>
          <w:rFonts w:ascii="Times New Roman" w:hAnsi="Times New Roman"/>
          <w:sz w:val="24"/>
        </w:rPr>
        <w:t xml:space="preserve"> 2020, 37). Malgré diverses stratégies d’atténuation, il a été estimé ou constaté que la fermeture d’établissements pédagogiques entraîne une perte d’apprentissage importante, susceptible d’affecter la productivité économique et les revenus des futurs adultes (</w:t>
      </w:r>
      <w:proofErr w:type="spellStart"/>
      <w:r>
        <w:rPr>
          <w:rFonts w:ascii="Times New Roman" w:hAnsi="Times New Roman"/>
          <w:sz w:val="24"/>
        </w:rPr>
        <w:t>Kuhfeld</w:t>
      </w:r>
      <w:proofErr w:type="spellEnd"/>
      <w:r>
        <w:rPr>
          <w:rFonts w:ascii="Times New Roman" w:hAnsi="Times New Roman"/>
          <w:sz w:val="24"/>
        </w:rPr>
        <w:t xml:space="preserve"> et al. 2020 ; Institut de statistique de l’UNESCO 2022 ; Azevedo et al. 2020).</w:t>
      </w:r>
    </w:p>
    <w:p w14:paraId="7799CBCF" w14:textId="77777777" w:rsidR="002907B2" w:rsidRPr="00095E29" w:rsidRDefault="002907B2" w:rsidP="00095E29">
      <w:pPr>
        <w:spacing w:after="0" w:line="480" w:lineRule="auto"/>
        <w:jc w:val="both"/>
        <w:rPr>
          <w:rFonts w:ascii="Times New Roman" w:hAnsi="Times New Roman" w:cs="Times New Roman"/>
          <w:sz w:val="24"/>
          <w:szCs w:val="24"/>
        </w:rPr>
      </w:pPr>
    </w:p>
    <w:p w14:paraId="4469E4B5" w14:textId="4ABCC471" w:rsidR="00A4235B" w:rsidRPr="00095E29" w:rsidRDefault="00E75154" w:rsidP="00095E29">
      <w:pPr>
        <w:spacing w:after="0" w:line="480" w:lineRule="auto"/>
        <w:jc w:val="both"/>
        <w:rPr>
          <w:rFonts w:ascii="Times New Roman" w:hAnsi="Times New Roman" w:cs="Times New Roman"/>
          <w:sz w:val="24"/>
          <w:szCs w:val="24"/>
        </w:rPr>
      </w:pPr>
      <w:r>
        <w:rPr>
          <w:rFonts w:ascii="Times New Roman" w:hAnsi="Times New Roman"/>
          <w:sz w:val="24"/>
        </w:rPr>
        <w:t xml:space="preserve">Tout comme l’impact de la COVID-19 sur la santé et l’économie, son impact sur l’éducation variait d’un pays à l’autre, et d’un groupe à l’autre au sein d’un même pays (p. ex., groupes de genres, ruraux/urbains, classe sociale et groupes raciaux/ethniques) (UNESCO 2022). Comme le font </w:t>
      </w:r>
      <w:r>
        <w:rPr>
          <w:rFonts w:ascii="Times New Roman" w:hAnsi="Times New Roman"/>
          <w:sz w:val="24"/>
        </w:rPr>
        <w:lastRenderedPageBreak/>
        <w:t>remarquer Russo, Magnan et Soares (2020, 2), « les inégalités éducatives existantes ont été considérablement accrues par les mesures [ou l’absence de mesures] visant à contenir la propagation du virus ». Selon la Banque mondiale (2020, 5), « l’impact de la crise n’a pas été égal : les enfants et les jeunes les plus défavorisés ont souffert d’un plus mauvais accès à l’école, de taux d’abandon plus élevés et de déficits d’apprentissage plus importants ».</w:t>
      </w:r>
    </w:p>
    <w:p w14:paraId="687D8BED" w14:textId="77777777" w:rsidR="002907B2" w:rsidRPr="00095E29" w:rsidRDefault="002907B2" w:rsidP="00095E29">
      <w:pPr>
        <w:spacing w:after="0" w:line="480" w:lineRule="auto"/>
        <w:jc w:val="both"/>
        <w:rPr>
          <w:rFonts w:ascii="Times New Roman" w:hAnsi="Times New Roman" w:cs="Times New Roman"/>
          <w:sz w:val="24"/>
          <w:szCs w:val="24"/>
        </w:rPr>
      </w:pPr>
    </w:p>
    <w:p w14:paraId="1F258D5D" w14:textId="43A6ABCD" w:rsidR="00CF1959" w:rsidRPr="00095E29" w:rsidRDefault="00BA21FC" w:rsidP="00095E29">
      <w:pPr>
        <w:spacing w:after="0" w:line="480" w:lineRule="auto"/>
        <w:jc w:val="both"/>
        <w:rPr>
          <w:rFonts w:ascii="Times New Roman" w:hAnsi="Times New Roman" w:cs="Times New Roman"/>
          <w:sz w:val="24"/>
          <w:szCs w:val="24"/>
        </w:rPr>
      </w:pPr>
      <w:r>
        <w:rPr>
          <w:rFonts w:ascii="Times New Roman" w:hAnsi="Times New Roman"/>
          <w:sz w:val="24"/>
        </w:rPr>
        <w:t>« L’effet inégal sur l’éducation est apparu à la fois au sein des pays et entre les pays. Par exemple, une étude menée entre décembre 2020 et juillet 2021 au Burkina Faso, au Danemark, en Éthiopie, en Inde, au Kenya, en Fédération de Russie, au Rwanda, en Slovénie, aux Émirats Arabes Unis, en Uruguay et en Ouzbékistan (</w:t>
      </w:r>
      <w:proofErr w:type="spellStart"/>
      <w:r>
        <w:rPr>
          <w:rFonts w:ascii="Times New Roman" w:hAnsi="Times New Roman"/>
          <w:sz w:val="24"/>
        </w:rPr>
        <w:t>Meinck</w:t>
      </w:r>
      <w:proofErr w:type="spellEnd"/>
      <w:r>
        <w:rPr>
          <w:rFonts w:ascii="Times New Roman" w:hAnsi="Times New Roman"/>
          <w:sz w:val="24"/>
        </w:rPr>
        <w:t xml:space="preserve"> et al. 2022, xvii) a révélé que « les périodes de fermeture des écoles variaient au sein des pays et d’un pays à l’autre » et que « des différences ont aussi été observées dans la participation des élèves et dans les modes, les supports et les méthodes d’enseignement utilisés pendant ces périodes. »</w:t>
      </w:r>
      <w:bookmarkStart w:id="3" w:name="_Hlk95994728"/>
      <w:r>
        <w:rPr>
          <w:rFonts w:ascii="Times New Roman" w:hAnsi="Times New Roman"/>
          <w:sz w:val="24"/>
        </w:rPr>
        <w:t xml:space="preserve"> </w:t>
      </w:r>
      <w:proofErr w:type="spellStart"/>
      <w:r>
        <w:rPr>
          <w:rFonts w:ascii="Times New Roman" w:hAnsi="Times New Roman"/>
          <w:sz w:val="24"/>
        </w:rPr>
        <w:t>Menashy</w:t>
      </w:r>
      <w:proofErr w:type="spellEnd"/>
      <w:r>
        <w:rPr>
          <w:rFonts w:ascii="Times New Roman" w:hAnsi="Times New Roman"/>
          <w:sz w:val="24"/>
        </w:rPr>
        <w:t xml:space="preserve"> et </w:t>
      </w:r>
      <w:proofErr w:type="spellStart"/>
      <w:r>
        <w:rPr>
          <w:rFonts w:ascii="Times New Roman" w:hAnsi="Times New Roman"/>
          <w:sz w:val="24"/>
        </w:rPr>
        <w:t>Zakharia</w:t>
      </w:r>
      <w:proofErr w:type="spellEnd"/>
      <w:r>
        <w:rPr>
          <w:rFonts w:ascii="Times New Roman" w:hAnsi="Times New Roman"/>
          <w:sz w:val="24"/>
        </w:rPr>
        <w:t xml:space="preserve"> (2022, 309) affirment en outre que « la pandémie [...] a touché [...] bien plus fort les plus vulnérables de notre monde », attirant particulièrement l’attention sur « les 79,5 millions de personnes dans le monde déplacées de force par les conflits et les persécutions - dont 86 % résident dans des pays à moyens ou faibles revenus ».</w:t>
      </w:r>
    </w:p>
    <w:p w14:paraId="1931CFD1" w14:textId="77777777" w:rsidR="002907B2" w:rsidRPr="00095E29" w:rsidRDefault="002907B2" w:rsidP="00095E29">
      <w:pPr>
        <w:spacing w:after="0" w:line="480" w:lineRule="auto"/>
        <w:jc w:val="both"/>
        <w:rPr>
          <w:rFonts w:ascii="Times New Roman" w:hAnsi="Times New Roman" w:cs="Times New Roman"/>
          <w:sz w:val="24"/>
          <w:szCs w:val="24"/>
        </w:rPr>
      </w:pPr>
    </w:p>
    <w:bookmarkEnd w:id="3"/>
    <w:p w14:paraId="04D33537" w14:textId="7A6A2D9D" w:rsidR="002C3D59" w:rsidRPr="00095E29" w:rsidRDefault="000B0A2A" w:rsidP="00095E29">
      <w:pPr>
        <w:spacing w:after="0" w:line="480" w:lineRule="auto"/>
        <w:jc w:val="both"/>
        <w:rPr>
          <w:rFonts w:ascii="Times New Roman" w:hAnsi="Times New Roman" w:cs="Times New Roman"/>
          <w:sz w:val="24"/>
          <w:szCs w:val="24"/>
        </w:rPr>
      </w:pPr>
      <w:r>
        <w:rPr>
          <w:rFonts w:ascii="Times New Roman" w:hAnsi="Times New Roman"/>
          <w:sz w:val="24"/>
        </w:rPr>
        <w:t xml:space="preserve">Pendant la pandémie, les pays, les écoles, les enseignants, les étudiants et leurs familles ont adopté diverses stratégies pour poursuivre l’enseignement et l’apprentissage, qualifiés ici d’enseignement à distance ou de </w:t>
      </w:r>
      <w:r w:rsidR="00A3471E">
        <w:rPr>
          <w:rFonts w:ascii="Times New Roman" w:hAnsi="Times New Roman"/>
          <w:sz w:val="24"/>
        </w:rPr>
        <w:t>téléapprentissage</w:t>
      </w:r>
      <w:r>
        <w:rPr>
          <w:rFonts w:ascii="Times New Roman" w:hAnsi="Times New Roman"/>
          <w:sz w:val="24"/>
        </w:rPr>
        <w:t xml:space="preserve"> (Crompton et al. 2021 ; </w:t>
      </w:r>
      <w:proofErr w:type="spellStart"/>
      <w:r>
        <w:rPr>
          <w:rFonts w:ascii="Times New Roman" w:hAnsi="Times New Roman"/>
          <w:sz w:val="24"/>
        </w:rPr>
        <w:t>Inal</w:t>
      </w:r>
      <w:proofErr w:type="spellEnd"/>
      <w:r>
        <w:rPr>
          <w:rFonts w:ascii="Times New Roman" w:hAnsi="Times New Roman"/>
          <w:sz w:val="24"/>
        </w:rPr>
        <w:t xml:space="preserve"> 2022 ; Saini 2022). Les différences d’accès et de résultats en matière d’éducation au sein d’un même pays et d’un pays à l’autre découlent des stratégies particulières adoptées. Par exemple, l’UNESCO et al. (2020, 6) indiquent </w:t>
      </w:r>
      <w:r>
        <w:rPr>
          <w:rFonts w:ascii="Times New Roman" w:hAnsi="Times New Roman"/>
          <w:sz w:val="24"/>
        </w:rPr>
        <w:lastRenderedPageBreak/>
        <w:t xml:space="preserve">que « lors de la fermeture des écoles dans le monde entier pour limiter la propagation de la COVID-19, les gouvernements ont rapidement réagi en proposant des options d’apprentissage à distance, notamment par le biais de plates-formes en ligne, de la télévision, de la radio et de documents papier à emporter. » </w:t>
      </w:r>
    </w:p>
    <w:p w14:paraId="4613C684" w14:textId="77777777" w:rsidR="00A71AB7" w:rsidRPr="00095E29" w:rsidRDefault="00A71AB7" w:rsidP="00095E29">
      <w:pPr>
        <w:spacing w:after="0" w:line="480" w:lineRule="auto"/>
        <w:jc w:val="both"/>
        <w:rPr>
          <w:rFonts w:ascii="Times New Roman" w:hAnsi="Times New Roman" w:cs="Times New Roman"/>
          <w:sz w:val="24"/>
          <w:szCs w:val="24"/>
        </w:rPr>
      </w:pPr>
    </w:p>
    <w:p w14:paraId="39EC374E" w14:textId="62B413BF" w:rsidR="003E3F3E" w:rsidRPr="00095E29" w:rsidRDefault="009649F6" w:rsidP="00095E29">
      <w:pPr>
        <w:spacing w:after="0" w:line="480" w:lineRule="auto"/>
        <w:jc w:val="both"/>
        <w:rPr>
          <w:rFonts w:ascii="Times New Roman" w:hAnsi="Times New Roman" w:cs="Times New Roman"/>
          <w:sz w:val="24"/>
          <w:szCs w:val="24"/>
        </w:rPr>
      </w:pPr>
      <w:r>
        <w:rPr>
          <w:rFonts w:ascii="Times New Roman" w:hAnsi="Times New Roman"/>
          <w:sz w:val="24"/>
        </w:rPr>
        <w:t xml:space="preserve">Les articles de recherche et les notes d’observation inclus dans ce numéro spécial de </w:t>
      </w:r>
      <w:proofErr w:type="spellStart"/>
      <w:r>
        <w:rPr>
          <w:rFonts w:ascii="Times New Roman" w:hAnsi="Times New Roman"/>
          <w:i/>
          <w:sz w:val="24"/>
        </w:rPr>
        <w:t>JEiE</w:t>
      </w:r>
      <w:proofErr w:type="spellEnd"/>
      <w:r>
        <w:rPr>
          <w:rFonts w:ascii="Times New Roman" w:hAnsi="Times New Roman"/>
          <w:i/>
          <w:sz w:val="24"/>
        </w:rPr>
        <w:t xml:space="preserve"> </w:t>
      </w:r>
      <w:r>
        <w:rPr>
          <w:rFonts w:ascii="Times New Roman" w:hAnsi="Times New Roman"/>
          <w:sz w:val="24"/>
        </w:rPr>
        <w:t>renforcent la notion d’</w:t>
      </w:r>
      <w:proofErr w:type="spellStart"/>
      <w:r>
        <w:rPr>
          <w:rFonts w:ascii="Times New Roman" w:hAnsi="Times New Roman"/>
          <w:sz w:val="24"/>
        </w:rPr>
        <w:t>Arundhati</w:t>
      </w:r>
      <w:proofErr w:type="spellEnd"/>
      <w:r>
        <w:rPr>
          <w:rFonts w:ascii="Times New Roman" w:hAnsi="Times New Roman"/>
          <w:sz w:val="24"/>
        </w:rPr>
        <w:t xml:space="preserve"> Roy (2020) selon laquelle une pandémie peut être considérée comme « un portail, une passerelle entre un monde et un autre ». Les auteurs qui ont contribué à ce numéro spécial offrent un aperçu de la manière dont les systèmes éducatifs, les étudiants, les enseignants et les parents ont vécu la pandémie de COVID-19, dont ils ont fait face aux défis auxquels ils ont été confrontés et dont, dans certains cas, ils ont commencé à concevoir un avenir différent et meilleur pour l’éducation dans le monde après avoir franchi le portail de la pandémie. </w:t>
      </w:r>
      <w:proofErr w:type="spellStart"/>
      <w:r>
        <w:rPr>
          <w:rFonts w:ascii="Times New Roman" w:hAnsi="Times New Roman"/>
          <w:sz w:val="24"/>
        </w:rPr>
        <w:t>Reimers</w:t>
      </w:r>
      <w:proofErr w:type="spellEnd"/>
      <w:r>
        <w:rPr>
          <w:rFonts w:ascii="Times New Roman" w:hAnsi="Times New Roman"/>
          <w:sz w:val="24"/>
        </w:rPr>
        <w:t xml:space="preserve"> et </w:t>
      </w:r>
      <w:proofErr w:type="spellStart"/>
      <w:r>
        <w:rPr>
          <w:rFonts w:ascii="Times New Roman" w:hAnsi="Times New Roman"/>
          <w:sz w:val="24"/>
        </w:rPr>
        <w:t>Opertti</w:t>
      </w:r>
      <w:proofErr w:type="spellEnd"/>
      <w:r>
        <w:rPr>
          <w:rFonts w:ascii="Times New Roman" w:hAnsi="Times New Roman"/>
          <w:sz w:val="24"/>
        </w:rPr>
        <w:t xml:space="preserve"> (2021, 39) font une observation similaire dans leur chapitre d’introduction de </w:t>
      </w:r>
      <w:r>
        <w:rPr>
          <w:rFonts w:ascii="Times New Roman" w:hAnsi="Times New Roman"/>
          <w:i/>
          <w:sz w:val="24"/>
        </w:rPr>
        <w:t xml:space="preserve">Learning to </w:t>
      </w:r>
      <w:proofErr w:type="spellStart"/>
      <w:r>
        <w:rPr>
          <w:rFonts w:ascii="Times New Roman" w:hAnsi="Times New Roman"/>
          <w:i/>
          <w:sz w:val="24"/>
        </w:rPr>
        <w:t>Build</w:t>
      </w:r>
      <w:proofErr w:type="spellEnd"/>
      <w:r>
        <w:rPr>
          <w:rFonts w:ascii="Times New Roman" w:hAnsi="Times New Roman"/>
          <w:i/>
          <w:sz w:val="24"/>
        </w:rPr>
        <w:t xml:space="preserve"> Back </w:t>
      </w:r>
      <w:proofErr w:type="spellStart"/>
      <w:r>
        <w:rPr>
          <w:rFonts w:ascii="Times New Roman" w:hAnsi="Times New Roman"/>
          <w:i/>
          <w:sz w:val="24"/>
        </w:rPr>
        <w:t>Better</w:t>
      </w:r>
      <w:proofErr w:type="spellEnd"/>
      <w:r>
        <w:rPr>
          <w:rFonts w:ascii="Times New Roman" w:hAnsi="Times New Roman"/>
          <w:i/>
          <w:sz w:val="24"/>
        </w:rPr>
        <w:t xml:space="preserve"> Futures for Education</w:t>
      </w:r>
      <w:r>
        <w:rPr>
          <w:rFonts w:ascii="Times New Roman" w:hAnsi="Times New Roman"/>
          <w:sz w:val="24"/>
        </w:rPr>
        <w:t>, à savoir</w:t>
      </w:r>
    </w:p>
    <w:p w14:paraId="3DE9E1B5" w14:textId="77777777" w:rsidR="002907B2" w:rsidRPr="00095E29" w:rsidRDefault="002907B2" w:rsidP="00095E29">
      <w:pPr>
        <w:spacing w:after="0" w:line="480" w:lineRule="auto"/>
        <w:jc w:val="both"/>
        <w:rPr>
          <w:rFonts w:ascii="Times New Roman" w:hAnsi="Times New Roman" w:cs="Times New Roman"/>
          <w:sz w:val="24"/>
          <w:szCs w:val="24"/>
        </w:rPr>
      </w:pPr>
    </w:p>
    <w:p w14:paraId="4D8DB905" w14:textId="3F884848" w:rsidR="009649F6" w:rsidRPr="00095E29" w:rsidRDefault="00531BA2" w:rsidP="00095E29">
      <w:pPr>
        <w:spacing w:after="0" w:line="480" w:lineRule="auto"/>
        <w:ind w:left="1440" w:right="1440"/>
        <w:jc w:val="both"/>
        <w:rPr>
          <w:rFonts w:ascii="Times New Roman" w:hAnsi="Times New Roman" w:cs="Times New Roman"/>
          <w:sz w:val="24"/>
          <w:szCs w:val="24"/>
        </w:rPr>
      </w:pPr>
      <w:proofErr w:type="gramStart"/>
      <w:r>
        <w:rPr>
          <w:rFonts w:ascii="Times New Roman" w:hAnsi="Times New Roman"/>
          <w:sz w:val="24"/>
        </w:rPr>
        <w:t>qu’en</w:t>
      </w:r>
      <w:proofErr w:type="gramEnd"/>
      <w:r>
        <w:rPr>
          <w:rFonts w:ascii="Times New Roman" w:hAnsi="Times New Roman"/>
          <w:sz w:val="24"/>
        </w:rPr>
        <w:t xml:space="preserve"> réponse à [la pandémie de COVID-19], de nombreuses parties prenantes ont collaboré pour créer de nouvelles façons de soutenir l’éducation dans des moments très peu propices. Ces efforts sont importants non seulement en raison de leurs résultats dans une période de grande nécessité, mais aussi pour les possibilités qu’ils offrent pour </w:t>
      </w:r>
      <w:proofErr w:type="spellStart"/>
      <w:r>
        <w:rPr>
          <w:rFonts w:ascii="Times New Roman" w:hAnsi="Times New Roman"/>
          <w:sz w:val="24"/>
        </w:rPr>
        <w:t>ré-imaginer</w:t>
      </w:r>
      <w:proofErr w:type="spellEnd"/>
      <w:r>
        <w:rPr>
          <w:rFonts w:ascii="Times New Roman" w:hAnsi="Times New Roman"/>
          <w:sz w:val="24"/>
        </w:rPr>
        <w:t xml:space="preserve"> l’éducation. L’étude de ces [31] innovations peut nous en apprendre beaucoup, en particulier </w:t>
      </w:r>
      <w:r>
        <w:rPr>
          <w:rFonts w:ascii="Times New Roman" w:hAnsi="Times New Roman"/>
          <w:sz w:val="24"/>
        </w:rPr>
        <w:lastRenderedPageBreak/>
        <w:t>lorsqu’il s’agit de soutenir la transformation nécessaire des écoles et des systèmes scolaires dans le monde.</w:t>
      </w:r>
      <w:r w:rsidR="009649F6" w:rsidRPr="00095E29">
        <w:rPr>
          <w:rFonts w:ascii="Times New Roman" w:hAnsi="Times New Roman" w:cs="Times New Roman"/>
          <w:sz w:val="24"/>
          <w:szCs w:val="24"/>
          <w:vertAlign w:val="superscript"/>
        </w:rPr>
        <w:footnoteReference w:id="3"/>
      </w:r>
    </w:p>
    <w:p w14:paraId="2EE85913" w14:textId="77777777" w:rsidR="002907B2" w:rsidRPr="00095E29" w:rsidRDefault="002907B2" w:rsidP="00095E29">
      <w:pPr>
        <w:spacing w:after="0" w:line="480" w:lineRule="auto"/>
        <w:ind w:right="1440"/>
        <w:jc w:val="both"/>
        <w:rPr>
          <w:rFonts w:ascii="Times New Roman" w:hAnsi="Times New Roman" w:cs="Times New Roman"/>
          <w:sz w:val="24"/>
          <w:szCs w:val="24"/>
        </w:rPr>
      </w:pPr>
    </w:p>
    <w:p w14:paraId="7C9D40DD" w14:textId="747D3B40" w:rsidR="00076513" w:rsidRPr="00095E29" w:rsidRDefault="0061154E" w:rsidP="00095E29">
      <w:pPr>
        <w:spacing w:after="0" w:line="480" w:lineRule="auto"/>
        <w:jc w:val="both"/>
        <w:rPr>
          <w:rFonts w:ascii="Times New Roman" w:hAnsi="Times New Roman" w:cs="Times New Roman"/>
          <w:sz w:val="24"/>
          <w:szCs w:val="24"/>
        </w:rPr>
      </w:pPr>
      <w:r>
        <w:rPr>
          <w:rFonts w:ascii="Times New Roman" w:hAnsi="Times New Roman"/>
          <w:sz w:val="24"/>
        </w:rPr>
        <w:t xml:space="preserve">Ce numéro spécial est le reflet d’une énorme entreprise sans précédent de la part du </w:t>
      </w:r>
      <w:r>
        <w:rPr>
          <w:rFonts w:ascii="Times New Roman" w:hAnsi="Times New Roman"/>
          <w:i/>
          <w:sz w:val="24"/>
        </w:rPr>
        <w:t>Journal on Education in Emergencies</w:t>
      </w:r>
      <w:r>
        <w:rPr>
          <w:rFonts w:ascii="Times New Roman" w:hAnsi="Times New Roman"/>
          <w:sz w:val="24"/>
        </w:rPr>
        <w:t xml:space="preserve">. Notre appel à contributions a donné lieu à plus de 200 soumissions de résumés et, par la suite, nous avons reçu 69 manuscrits de recherche théorique et empirique ou notes d’observation. Après un processus d’évaluation par les pairs à double anonymat, nous avons sélectionné six articles de recherche et quatre notes d’observation pour ce numéro spécial et avons commandé trois critiques littéraires. La nature mondiale de la pandémie de COVID-19 se reflète dans l’ampleur et la portée de telles contributions de 37 auteurs provenant de pays très divers. Nous avons décidé de publier ce numéro spécial en français et en anglais, étant donné que les grandes pandémies (comme Ebola et le VIH/SIDA) survenues avant la COVID-19 ont eu un impact sur l’éducation et la société en Afrique francophone. De plus, étant donné la nature mondiale de la pandémie, il était important d’étendre la portée des preuves présentées dans ce numéro au-delà d’un public anglophone. Nous espérons qu’en publiant ce numéro spécial en français, nous encouragerons les chercheurs des pays francophones à diffuser dans leurs contextes nationaux les enseignements tirés du travail de terrain et des résultats des recherches sur </w:t>
      </w:r>
      <w:r w:rsidR="00A3471E">
        <w:rPr>
          <w:rFonts w:ascii="Times New Roman" w:hAnsi="Times New Roman"/>
          <w:sz w:val="24"/>
        </w:rPr>
        <w:t>les pandémies présentées</w:t>
      </w:r>
      <w:r>
        <w:rPr>
          <w:rFonts w:ascii="Times New Roman" w:hAnsi="Times New Roman"/>
          <w:sz w:val="24"/>
        </w:rPr>
        <w:t xml:space="preserve"> dans ce numéro.</w:t>
      </w:r>
    </w:p>
    <w:p w14:paraId="41EC7182" w14:textId="77777777" w:rsidR="002907B2" w:rsidRPr="00095E29" w:rsidRDefault="002907B2" w:rsidP="00095E29">
      <w:pPr>
        <w:spacing w:after="0" w:line="480" w:lineRule="auto"/>
        <w:jc w:val="both"/>
        <w:rPr>
          <w:rFonts w:ascii="Times New Roman" w:hAnsi="Times New Roman" w:cs="Times New Roman"/>
          <w:sz w:val="24"/>
          <w:szCs w:val="24"/>
        </w:rPr>
      </w:pPr>
    </w:p>
    <w:p w14:paraId="713126F9" w14:textId="4A9D2EE1" w:rsidR="00CC2A4B" w:rsidRPr="00095E29" w:rsidRDefault="00500EB8" w:rsidP="00095E29">
      <w:pPr>
        <w:spacing w:after="0" w:line="480" w:lineRule="auto"/>
        <w:jc w:val="both"/>
        <w:rPr>
          <w:rFonts w:ascii="Times New Roman" w:hAnsi="Times New Roman" w:cs="Times New Roman"/>
          <w:sz w:val="24"/>
          <w:szCs w:val="24"/>
        </w:rPr>
      </w:pPr>
      <w:r>
        <w:rPr>
          <w:rFonts w:ascii="Times New Roman" w:hAnsi="Times New Roman"/>
          <w:sz w:val="24"/>
        </w:rPr>
        <w:t xml:space="preserve">Plusieurs thèmes étoffent ce numéro spécial de </w:t>
      </w:r>
      <w:proofErr w:type="spellStart"/>
      <w:r>
        <w:rPr>
          <w:rFonts w:ascii="Times New Roman" w:hAnsi="Times New Roman"/>
          <w:i/>
          <w:sz w:val="24"/>
        </w:rPr>
        <w:t>JEiE</w:t>
      </w:r>
      <w:proofErr w:type="spellEnd"/>
      <w:r>
        <w:rPr>
          <w:rFonts w:ascii="Times New Roman" w:hAnsi="Times New Roman"/>
          <w:i/>
          <w:sz w:val="24"/>
        </w:rPr>
        <w:t xml:space="preserve">, </w:t>
      </w:r>
      <w:r>
        <w:rPr>
          <w:rFonts w:ascii="Times New Roman" w:hAnsi="Times New Roman"/>
          <w:sz w:val="24"/>
        </w:rPr>
        <w:t>dont beaucoup vont dans le sens de ce que nous avons décrit ci-dessus. Dans « </w:t>
      </w:r>
      <w:proofErr w:type="spellStart"/>
      <w:r>
        <w:rPr>
          <w:rFonts w:ascii="Times New Roman" w:hAnsi="Times New Roman"/>
          <w:sz w:val="24"/>
        </w:rPr>
        <w:t>Educating</w:t>
      </w:r>
      <w:proofErr w:type="spellEnd"/>
      <w:r>
        <w:rPr>
          <w:rFonts w:ascii="Times New Roman" w:hAnsi="Times New Roman"/>
          <w:sz w:val="24"/>
        </w:rPr>
        <w:t xml:space="preserve"> </w:t>
      </w:r>
      <w:proofErr w:type="spellStart"/>
      <w:r>
        <w:rPr>
          <w:rFonts w:ascii="Times New Roman" w:hAnsi="Times New Roman"/>
          <w:sz w:val="24"/>
        </w:rPr>
        <w:t>during</w:t>
      </w:r>
      <w:proofErr w:type="spellEnd"/>
      <w:r>
        <w:rPr>
          <w:rFonts w:ascii="Times New Roman" w:hAnsi="Times New Roman"/>
          <w:sz w:val="24"/>
        </w:rPr>
        <w:t xml:space="preserve"> a </w:t>
      </w:r>
      <w:proofErr w:type="spellStart"/>
      <w:r>
        <w:rPr>
          <w:rFonts w:ascii="Times New Roman" w:hAnsi="Times New Roman"/>
          <w:sz w:val="24"/>
        </w:rPr>
        <w:t>Health</w:t>
      </w:r>
      <w:proofErr w:type="spellEnd"/>
      <w:r>
        <w:rPr>
          <w:rFonts w:ascii="Times New Roman" w:hAnsi="Times New Roman"/>
          <w:sz w:val="24"/>
        </w:rPr>
        <w:t xml:space="preserve"> </w:t>
      </w:r>
      <w:proofErr w:type="gramStart"/>
      <w:r>
        <w:rPr>
          <w:rFonts w:ascii="Times New Roman" w:hAnsi="Times New Roman"/>
          <w:sz w:val="24"/>
        </w:rPr>
        <w:t>Emergency:</w:t>
      </w:r>
      <w:proofErr w:type="gramEnd"/>
      <w:r>
        <w:rPr>
          <w:rFonts w:ascii="Times New Roman" w:hAnsi="Times New Roman"/>
          <w:sz w:val="24"/>
        </w:rPr>
        <w:t xml:space="preserve"> An </w:t>
      </w:r>
      <w:proofErr w:type="spellStart"/>
      <w:r>
        <w:rPr>
          <w:rFonts w:ascii="Times New Roman" w:hAnsi="Times New Roman"/>
          <w:sz w:val="24"/>
        </w:rPr>
        <w:t>Integrative</w:t>
      </w:r>
      <w:proofErr w:type="spellEnd"/>
      <w:r>
        <w:rPr>
          <w:rFonts w:ascii="Times New Roman" w:hAnsi="Times New Roman"/>
          <w:sz w:val="24"/>
        </w:rPr>
        <w:t xml:space="preserve"> </w:t>
      </w:r>
      <w:proofErr w:type="spellStart"/>
      <w:r>
        <w:rPr>
          <w:rFonts w:ascii="Times New Roman" w:hAnsi="Times New Roman"/>
          <w:sz w:val="24"/>
        </w:rPr>
        <w:t>Review</w:t>
      </w:r>
      <w:proofErr w:type="spellEnd"/>
      <w:r>
        <w:rPr>
          <w:rFonts w:ascii="Times New Roman" w:hAnsi="Times New Roman"/>
          <w:sz w:val="24"/>
        </w:rPr>
        <w:t xml:space="preserve"> </w:t>
      </w:r>
      <w:r>
        <w:rPr>
          <w:rFonts w:ascii="Times New Roman" w:hAnsi="Times New Roman"/>
          <w:sz w:val="24"/>
        </w:rPr>
        <w:lastRenderedPageBreak/>
        <w:t xml:space="preserve">of the </w:t>
      </w:r>
      <w:proofErr w:type="spellStart"/>
      <w:r>
        <w:rPr>
          <w:rFonts w:ascii="Times New Roman" w:hAnsi="Times New Roman"/>
          <w:sz w:val="24"/>
        </w:rPr>
        <w:t>Literature</w:t>
      </w:r>
      <w:proofErr w:type="spellEnd"/>
      <w:r>
        <w:rPr>
          <w:rFonts w:ascii="Times New Roman" w:hAnsi="Times New Roman"/>
          <w:sz w:val="24"/>
        </w:rPr>
        <w:t xml:space="preserve"> </w:t>
      </w:r>
      <w:proofErr w:type="spellStart"/>
      <w:r>
        <w:rPr>
          <w:rFonts w:ascii="Times New Roman" w:hAnsi="Times New Roman"/>
          <w:sz w:val="24"/>
        </w:rPr>
        <w:t>from</w:t>
      </w:r>
      <w:proofErr w:type="spellEnd"/>
      <w:r>
        <w:rPr>
          <w:rFonts w:ascii="Times New Roman" w:hAnsi="Times New Roman"/>
          <w:sz w:val="24"/>
        </w:rPr>
        <w:t xml:space="preserve"> 1990 to 2020 », </w:t>
      </w:r>
      <w:proofErr w:type="spellStart"/>
      <w:r>
        <w:rPr>
          <w:rFonts w:ascii="Times New Roman" w:hAnsi="Times New Roman"/>
          <w:sz w:val="24"/>
        </w:rPr>
        <w:t>Kathlyn</w:t>
      </w:r>
      <w:proofErr w:type="spellEnd"/>
      <w:r>
        <w:rPr>
          <w:rFonts w:ascii="Times New Roman" w:hAnsi="Times New Roman"/>
          <w:sz w:val="24"/>
        </w:rPr>
        <w:t xml:space="preserve"> E. Elliott, Katie A. Mathew, </w:t>
      </w:r>
      <w:proofErr w:type="spellStart"/>
      <w:r>
        <w:rPr>
          <w:rFonts w:ascii="Times New Roman" w:hAnsi="Times New Roman"/>
          <w:sz w:val="24"/>
        </w:rPr>
        <w:t>Yiyun</w:t>
      </w:r>
      <w:proofErr w:type="spellEnd"/>
      <w:r>
        <w:rPr>
          <w:rFonts w:ascii="Times New Roman" w:hAnsi="Times New Roman"/>
          <w:sz w:val="24"/>
        </w:rPr>
        <w:t xml:space="preserve"> Fan et David </w:t>
      </w:r>
      <w:proofErr w:type="spellStart"/>
      <w:r>
        <w:rPr>
          <w:rFonts w:ascii="Times New Roman" w:hAnsi="Times New Roman"/>
          <w:sz w:val="24"/>
        </w:rPr>
        <w:t>Mattson</w:t>
      </w:r>
      <w:proofErr w:type="spellEnd"/>
      <w:r>
        <w:rPr>
          <w:rFonts w:ascii="Times New Roman" w:hAnsi="Times New Roman"/>
          <w:sz w:val="24"/>
        </w:rPr>
        <w:t xml:space="preserve"> placent les réponses éducatives à la pandémie de COVID-19 dans une perspective historique. Leur analyse documentaire intégrée des réponses éducatives aux crises sanitaires telles que le SRAS, le MERS, le virus Ebola et le VIH/SIDA montre que les thèmes communs à la littérature sur l’éducation dans le cadre de la COVID-19 - le rôle fondamental du contexte et du soutien communautaire, l’accès à une éducation équitable à l’ère numérique, le bien-être socio-émotionnel des enseignants et des élèves, le rôle des enseignants dans l’adaptation des programmes et de la pédagogie, la nécessité d’une formation et d’un soutien supplémentaires pour les enseignants et l’opportunité d’un changement créatif dans les pratiques et les politiques éducatives - trouvent des parallèles dans les réponses aux pandémies précédentes.</w:t>
      </w:r>
    </w:p>
    <w:p w14:paraId="65A01F46" w14:textId="77777777" w:rsidR="002907B2" w:rsidRPr="00095E29" w:rsidRDefault="002907B2" w:rsidP="00095E29">
      <w:pPr>
        <w:spacing w:after="0" w:line="480" w:lineRule="auto"/>
        <w:jc w:val="both"/>
        <w:rPr>
          <w:rFonts w:ascii="Times New Roman" w:hAnsi="Times New Roman" w:cs="Times New Roman"/>
          <w:sz w:val="24"/>
          <w:szCs w:val="24"/>
        </w:rPr>
      </w:pPr>
    </w:p>
    <w:p w14:paraId="789EB448" w14:textId="7FB0E6EA" w:rsidR="006A1D7D" w:rsidRPr="00095E29" w:rsidRDefault="00E7466C" w:rsidP="00095E29">
      <w:pPr>
        <w:spacing w:after="0" w:line="480" w:lineRule="auto"/>
        <w:jc w:val="both"/>
        <w:rPr>
          <w:rFonts w:ascii="Times New Roman" w:hAnsi="Times New Roman" w:cs="Times New Roman"/>
          <w:sz w:val="24"/>
          <w:szCs w:val="24"/>
        </w:rPr>
      </w:pPr>
      <w:r>
        <w:rPr>
          <w:rFonts w:ascii="Times New Roman" w:hAnsi="Times New Roman"/>
          <w:sz w:val="24"/>
        </w:rPr>
        <w:t xml:space="preserve">Reprenant ces thèmes importants, Jean-Benoît </w:t>
      </w:r>
      <w:proofErr w:type="spellStart"/>
      <w:r>
        <w:rPr>
          <w:rFonts w:ascii="Times New Roman" w:hAnsi="Times New Roman"/>
          <w:sz w:val="24"/>
        </w:rPr>
        <w:t>Falisse</w:t>
      </w:r>
      <w:proofErr w:type="spellEnd"/>
      <w:r>
        <w:rPr>
          <w:rFonts w:ascii="Times New Roman" w:hAnsi="Times New Roman"/>
          <w:sz w:val="24"/>
        </w:rPr>
        <w:t xml:space="preserve">, Cyril Brandt, Jean </w:t>
      </w:r>
      <w:proofErr w:type="spellStart"/>
      <w:r>
        <w:rPr>
          <w:rFonts w:ascii="Times New Roman" w:hAnsi="Times New Roman"/>
          <w:sz w:val="24"/>
        </w:rPr>
        <w:t>Mukengere</w:t>
      </w:r>
      <w:proofErr w:type="spellEnd"/>
      <w:r>
        <w:rPr>
          <w:rFonts w:ascii="Times New Roman" w:hAnsi="Times New Roman"/>
          <w:sz w:val="24"/>
        </w:rPr>
        <w:t xml:space="preserve"> </w:t>
      </w:r>
      <w:proofErr w:type="spellStart"/>
      <w:r>
        <w:rPr>
          <w:rFonts w:ascii="Times New Roman" w:hAnsi="Times New Roman"/>
          <w:sz w:val="24"/>
        </w:rPr>
        <w:t>Basengezi</w:t>
      </w:r>
      <w:proofErr w:type="spellEnd"/>
      <w:r>
        <w:rPr>
          <w:rFonts w:ascii="Times New Roman" w:hAnsi="Times New Roman"/>
          <w:sz w:val="24"/>
        </w:rPr>
        <w:t xml:space="preserve">, </w:t>
      </w:r>
      <w:proofErr w:type="spellStart"/>
      <w:r>
        <w:rPr>
          <w:rFonts w:ascii="Times New Roman" w:hAnsi="Times New Roman"/>
          <w:sz w:val="24"/>
        </w:rPr>
        <w:t>Sweta</w:t>
      </w:r>
      <w:proofErr w:type="spellEnd"/>
      <w:r>
        <w:rPr>
          <w:rFonts w:ascii="Times New Roman" w:hAnsi="Times New Roman"/>
          <w:sz w:val="24"/>
        </w:rPr>
        <w:t xml:space="preserve"> Gupta, Dieudonné </w:t>
      </w:r>
      <w:proofErr w:type="spellStart"/>
      <w:r>
        <w:rPr>
          <w:rFonts w:ascii="Times New Roman" w:hAnsi="Times New Roman"/>
          <w:sz w:val="24"/>
        </w:rPr>
        <w:t>Kanyerhera</w:t>
      </w:r>
      <w:proofErr w:type="spellEnd"/>
      <w:r>
        <w:rPr>
          <w:rFonts w:ascii="Times New Roman" w:hAnsi="Times New Roman"/>
          <w:sz w:val="24"/>
        </w:rPr>
        <w:t xml:space="preserve">, Pierre Marion, Pacifique </w:t>
      </w:r>
      <w:proofErr w:type="spellStart"/>
      <w:r>
        <w:rPr>
          <w:rFonts w:ascii="Times New Roman" w:hAnsi="Times New Roman"/>
          <w:sz w:val="24"/>
        </w:rPr>
        <w:t>Nyabagaza</w:t>
      </w:r>
      <w:proofErr w:type="spellEnd"/>
      <w:r>
        <w:rPr>
          <w:rFonts w:ascii="Times New Roman" w:hAnsi="Times New Roman"/>
          <w:sz w:val="24"/>
        </w:rPr>
        <w:t xml:space="preserve">, Ibrahim Safari </w:t>
      </w:r>
      <w:proofErr w:type="spellStart"/>
      <w:r>
        <w:rPr>
          <w:rFonts w:ascii="Times New Roman" w:hAnsi="Times New Roman"/>
          <w:sz w:val="24"/>
        </w:rPr>
        <w:t>Nyandinda</w:t>
      </w:r>
      <w:proofErr w:type="spellEnd"/>
      <w:r>
        <w:rPr>
          <w:rFonts w:ascii="Times New Roman" w:hAnsi="Times New Roman"/>
          <w:sz w:val="24"/>
        </w:rPr>
        <w:t xml:space="preserve">, Gauthier Marchais et Samuel </w:t>
      </w:r>
      <w:proofErr w:type="spellStart"/>
      <w:r>
        <w:rPr>
          <w:rFonts w:ascii="Times New Roman" w:hAnsi="Times New Roman"/>
          <w:sz w:val="24"/>
        </w:rPr>
        <w:t>Matabishi</w:t>
      </w:r>
      <w:proofErr w:type="spellEnd"/>
      <w:r>
        <w:rPr>
          <w:rFonts w:ascii="Times New Roman" w:hAnsi="Times New Roman"/>
          <w:sz w:val="24"/>
        </w:rPr>
        <w:t xml:space="preserve">, dans leur article « La Mise en Œuvre de la Gratuité de l’Enseignement Primaire en Contexte de Crise : COVID-19 et Réforme de l’Enseignement au Sud Kivu, République Démocratique du Congo » (traduit par « The </w:t>
      </w:r>
      <w:proofErr w:type="spellStart"/>
      <w:r>
        <w:rPr>
          <w:rFonts w:ascii="Times New Roman" w:hAnsi="Times New Roman"/>
          <w:sz w:val="24"/>
        </w:rPr>
        <w:t>Implementation</w:t>
      </w:r>
      <w:proofErr w:type="spellEnd"/>
      <w:r>
        <w:rPr>
          <w:rFonts w:ascii="Times New Roman" w:hAnsi="Times New Roman"/>
          <w:sz w:val="24"/>
        </w:rPr>
        <w:t xml:space="preserve"> of Free </w:t>
      </w:r>
      <w:proofErr w:type="spellStart"/>
      <w:r>
        <w:rPr>
          <w:rFonts w:ascii="Times New Roman" w:hAnsi="Times New Roman"/>
          <w:sz w:val="24"/>
        </w:rPr>
        <w:t>Primary</w:t>
      </w:r>
      <w:proofErr w:type="spellEnd"/>
      <w:r>
        <w:rPr>
          <w:rFonts w:ascii="Times New Roman" w:hAnsi="Times New Roman"/>
          <w:sz w:val="24"/>
        </w:rPr>
        <w:t xml:space="preserve"> Education in the </w:t>
      </w:r>
      <w:proofErr w:type="spellStart"/>
      <w:r>
        <w:rPr>
          <w:rFonts w:ascii="Times New Roman" w:hAnsi="Times New Roman"/>
          <w:sz w:val="24"/>
        </w:rPr>
        <w:t>Context</w:t>
      </w:r>
      <w:proofErr w:type="spellEnd"/>
      <w:r>
        <w:rPr>
          <w:rFonts w:ascii="Times New Roman" w:hAnsi="Times New Roman"/>
          <w:sz w:val="24"/>
        </w:rPr>
        <w:t xml:space="preserve"> of Crisis: COVID-19 and Education Reform in South Kivu, Democratic </w:t>
      </w:r>
      <w:proofErr w:type="spellStart"/>
      <w:r>
        <w:rPr>
          <w:rFonts w:ascii="Times New Roman" w:hAnsi="Times New Roman"/>
          <w:sz w:val="24"/>
        </w:rPr>
        <w:t>Republic</w:t>
      </w:r>
      <w:proofErr w:type="spellEnd"/>
      <w:r>
        <w:rPr>
          <w:rFonts w:ascii="Times New Roman" w:hAnsi="Times New Roman"/>
          <w:sz w:val="24"/>
        </w:rPr>
        <w:t xml:space="preserve"> of the Congo »), discutent de la nécessité de soutenir les enseignants et du fait que la COVID-19 a aggravé de nombreuses crises préexistantes. </w:t>
      </w:r>
      <w:r>
        <w:rPr>
          <w:rFonts w:ascii="Times New Roman" w:hAnsi="Times New Roman"/>
          <w:color w:val="000000"/>
          <w:sz w:val="24"/>
        </w:rPr>
        <w:t>Cet article original en langue française occupe une place unique dans ce numéro spécial bilingue</w:t>
      </w:r>
      <w:r>
        <w:rPr>
          <w:rFonts w:ascii="Times New Roman" w:hAnsi="Times New Roman"/>
          <w:sz w:val="24"/>
        </w:rPr>
        <w:t xml:space="preserve">. L’étude des auteurs, riche en données et fondée sur des méthodes mixtes, montre que dans la province du Sud-Kivu en République démocratique du Congo, la pandémie n’a pas eu d’effet négatif sur les relations entre enseignants et parents. Toutefois, les conditions d’enseignement </w:t>
      </w:r>
      <w:r>
        <w:rPr>
          <w:rFonts w:ascii="Times New Roman" w:hAnsi="Times New Roman"/>
          <w:sz w:val="24"/>
        </w:rPr>
        <w:lastRenderedPageBreak/>
        <w:t>préexistantes, notamment les contrats précaires, ont rendu la profession intenable pour de nombreux enseignants de la région. Les auteurs concluent que, si la gratuité de l’enseignement peut être une étape importante, elle n’est pas une panacée pour promouvoir un meilleur accès à la scolarité, et que, pour réussir dans les situations de crise, la réforme de l’éducation nécessite un effort soutenu.</w:t>
      </w:r>
    </w:p>
    <w:p w14:paraId="6ED40DAF" w14:textId="77777777" w:rsidR="002907B2" w:rsidRPr="00095E29" w:rsidRDefault="002907B2" w:rsidP="00095E29">
      <w:pPr>
        <w:spacing w:after="0" w:line="480" w:lineRule="auto"/>
        <w:jc w:val="both"/>
        <w:rPr>
          <w:rFonts w:ascii="Times New Roman" w:hAnsi="Times New Roman" w:cs="Times New Roman"/>
          <w:sz w:val="24"/>
          <w:szCs w:val="24"/>
        </w:rPr>
      </w:pPr>
    </w:p>
    <w:p w14:paraId="107CEF54" w14:textId="11EE7F56" w:rsidR="009E7439" w:rsidRPr="00095E29" w:rsidRDefault="003B470A" w:rsidP="00095E29">
      <w:pPr>
        <w:pStyle w:val="NormalWeb"/>
        <w:spacing w:after="0" w:line="480" w:lineRule="auto"/>
        <w:jc w:val="both"/>
      </w:pPr>
      <w:r>
        <w:t>Les trois articles suivants mettent en évidence l’impact de la pandémie de COVID-19 sur les groupes marginalisés dans des contextes déjà marginalisés en se concentrant sur les apprenants handicapés, les élèves des écoles coraniques, les adolescentes enceintes et les mères adolescentes. Dans « </w:t>
      </w:r>
      <w:r>
        <w:rPr>
          <w:color w:val="000000"/>
        </w:rPr>
        <w:t xml:space="preserve">Home Learning for </w:t>
      </w:r>
      <w:proofErr w:type="spellStart"/>
      <w:r>
        <w:rPr>
          <w:color w:val="000000"/>
        </w:rPr>
        <w:t>Children</w:t>
      </w:r>
      <w:proofErr w:type="spellEnd"/>
      <w:r>
        <w:rPr>
          <w:color w:val="000000"/>
        </w:rPr>
        <w:t xml:space="preserve"> in Low-</w:t>
      </w:r>
      <w:proofErr w:type="spellStart"/>
      <w:r>
        <w:rPr>
          <w:color w:val="000000"/>
        </w:rPr>
        <w:t>Income</w:t>
      </w:r>
      <w:proofErr w:type="spellEnd"/>
      <w:r>
        <w:rPr>
          <w:color w:val="000000"/>
        </w:rPr>
        <w:t xml:space="preserve"> </w:t>
      </w:r>
      <w:proofErr w:type="spellStart"/>
      <w:r>
        <w:rPr>
          <w:color w:val="000000"/>
        </w:rPr>
        <w:t>Contexts</w:t>
      </w:r>
      <w:proofErr w:type="spellEnd"/>
      <w:r>
        <w:rPr>
          <w:color w:val="000000"/>
        </w:rPr>
        <w:t xml:space="preserve"> </w:t>
      </w:r>
      <w:proofErr w:type="spellStart"/>
      <w:r>
        <w:rPr>
          <w:color w:val="000000"/>
        </w:rPr>
        <w:t>during</w:t>
      </w:r>
      <w:proofErr w:type="spellEnd"/>
      <w:r>
        <w:rPr>
          <w:color w:val="000000"/>
        </w:rPr>
        <w:t xml:space="preserve"> a </w:t>
      </w:r>
      <w:proofErr w:type="spellStart"/>
      <w:proofErr w:type="gramStart"/>
      <w:r>
        <w:rPr>
          <w:color w:val="000000"/>
        </w:rPr>
        <w:t>Pandemic</w:t>
      </w:r>
      <w:proofErr w:type="spellEnd"/>
      <w:r>
        <w:rPr>
          <w:color w:val="000000"/>
        </w:rPr>
        <w:t>:</w:t>
      </w:r>
      <w:proofErr w:type="gramEnd"/>
      <w:r>
        <w:rPr>
          <w:color w:val="000000"/>
        </w:rPr>
        <w:t xml:space="preserve"> An </w:t>
      </w:r>
      <w:proofErr w:type="spellStart"/>
      <w:r>
        <w:rPr>
          <w:color w:val="000000"/>
        </w:rPr>
        <w:t>Analysis</w:t>
      </w:r>
      <w:proofErr w:type="spellEnd"/>
      <w:r>
        <w:rPr>
          <w:color w:val="000000"/>
        </w:rPr>
        <w:t xml:space="preserve"> of 2020 Survey </w:t>
      </w:r>
      <w:proofErr w:type="spellStart"/>
      <w:r>
        <w:rPr>
          <w:color w:val="000000"/>
        </w:rPr>
        <w:t>Results</w:t>
      </w:r>
      <w:proofErr w:type="spellEnd"/>
      <w:r>
        <w:rPr>
          <w:color w:val="000000"/>
        </w:rPr>
        <w:t xml:space="preserve"> </w:t>
      </w:r>
      <w:proofErr w:type="spellStart"/>
      <w:r>
        <w:rPr>
          <w:color w:val="000000"/>
        </w:rPr>
        <w:t>from</w:t>
      </w:r>
      <w:proofErr w:type="spellEnd"/>
      <w:r>
        <w:rPr>
          <w:color w:val="000000"/>
        </w:rPr>
        <w:t xml:space="preserve"> </w:t>
      </w:r>
      <w:proofErr w:type="spellStart"/>
      <w:r>
        <w:rPr>
          <w:color w:val="000000"/>
        </w:rPr>
        <w:t>Syria</w:t>
      </w:r>
      <w:proofErr w:type="spellEnd"/>
      <w:r>
        <w:rPr>
          <w:color w:val="000000"/>
        </w:rPr>
        <w:t xml:space="preserve"> and the Democratic </w:t>
      </w:r>
      <w:proofErr w:type="spellStart"/>
      <w:r>
        <w:rPr>
          <w:color w:val="000000"/>
        </w:rPr>
        <w:t>Republic</w:t>
      </w:r>
      <w:proofErr w:type="spellEnd"/>
      <w:r>
        <w:rPr>
          <w:color w:val="000000"/>
        </w:rPr>
        <w:t xml:space="preserve"> of the Congo », Su Lyn </w:t>
      </w:r>
      <w:proofErr w:type="spellStart"/>
      <w:r>
        <w:t>Corcoran</w:t>
      </w:r>
      <w:proofErr w:type="spellEnd"/>
      <w:r>
        <w:t xml:space="preserve">, Helen </w:t>
      </w:r>
      <w:proofErr w:type="spellStart"/>
      <w:r>
        <w:t>Pinnock</w:t>
      </w:r>
      <w:proofErr w:type="spellEnd"/>
      <w:r>
        <w:t xml:space="preserve"> et Rachel </w:t>
      </w:r>
      <w:proofErr w:type="spellStart"/>
      <w:r>
        <w:t>Twigg</w:t>
      </w:r>
      <w:proofErr w:type="spellEnd"/>
      <w:r>
        <w:t xml:space="preserve"> examinent les programmes qui soutiennent les apprenants handicapés et le développement de pratiques éducatives intégratrices pendant la pandémie en Syrie et en République démocratique du Congo. Elles notent l’importance des approches localisées de l’éducation intégratrice qui dépendent des réseaux communautaires et désignent les enseignants et les parents comme les principaux mécanismes de soutien des apprenants handicapés. Dans « </w:t>
      </w:r>
      <w:proofErr w:type="spellStart"/>
      <w:r>
        <w:t>Scapegoating</w:t>
      </w:r>
      <w:proofErr w:type="spellEnd"/>
      <w:r>
        <w:t xml:space="preserve"> the </w:t>
      </w:r>
      <w:proofErr w:type="spellStart"/>
      <w:r>
        <w:t>Usual</w:t>
      </w:r>
      <w:proofErr w:type="spellEnd"/>
      <w:r>
        <w:t xml:space="preserve"> </w:t>
      </w:r>
      <w:proofErr w:type="gramStart"/>
      <w:r>
        <w:t>Suspects?</w:t>
      </w:r>
      <w:proofErr w:type="gramEnd"/>
      <w:r>
        <w:t xml:space="preserve"> </w:t>
      </w:r>
      <w:proofErr w:type="spellStart"/>
      <w:r>
        <w:t>Pandemic</w:t>
      </w:r>
      <w:proofErr w:type="spellEnd"/>
      <w:r>
        <w:t xml:space="preserve"> Control and the </w:t>
      </w:r>
      <w:proofErr w:type="spellStart"/>
      <w:r>
        <w:t>Securitization</w:t>
      </w:r>
      <w:proofErr w:type="spellEnd"/>
      <w:r>
        <w:t xml:space="preserve"> of </w:t>
      </w:r>
      <w:proofErr w:type="spellStart"/>
      <w:r>
        <w:t>Qur’anic</w:t>
      </w:r>
      <w:proofErr w:type="spellEnd"/>
      <w:r>
        <w:t xml:space="preserve"> Education in </w:t>
      </w:r>
      <w:proofErr w:type="spellStart"/>
      <w:r>
        <w:t>Northern</w:t>
      </w:r>
      <w:proofErr w:type="spellEnd"/>
      <w:r>
        <w:t xml:space="preserve"> Nigeria », Hannah </w:t>
      </w:r>
      <w:proofErr w:type="spellStart"/>
      <w:r>
        <w:t>Hoechner</w:t>
      </w:r>
      <w:proofErr w:type="spellEnd"/>
      <w:r>
        <w:t xml:space="preserve"> et </w:t>
      </w:r>
      <w:proofErr w:type="spellStart"/>
      <w:r>
        <w:t>Sadisu</w:t>
      </w:r>
      <w:proofErr w:type="spellEnd"/>
      <w:r>
        <w:t xml:space="preserve"> Idris </w:t>
      </w:r>
      <w:proofErr w:type="spellStart"/>
      <w:r>
        <w:t>Salisu</w:t>
      </w:r>
      <w:proofErr w:type="spellEnd"/>
      <w:r>
        <w:t xml:space="preserve"> décrivent les effets dévastateurs de la fermeture des écoles sur les élèves des écoles coraniques du nord du Nigeria. Les auteurs notent en particulier que les fermetures d’écoles ont permis de perpétuer des rumeurs sur les étudiants qui fréquentent ces écoles à travers le pays, renforçant et légitimisant la perception de l’opportunité de mesures drastiques (p. ex., la fermeture forcée des écoles et l’expulsion des étudiants) comme une forme de contrôle et de sécurisation. Dans « The 2020 </w:t>
      </w:r>
      <w:proofErr w:type="spellStart"/>
      <w:r>
        <w:t>Pandemic</w:t>
      </w:r>
      <w:proofErr w:type="spellEnd"/>
      <w:r>
        <w:t xml:space="preserve"> in South </w:t>
      </w:r>
      <w:proofErr w:type="spellStart"/>
      <w:proofErr w:type="gramStart"/>
      <w:r>
        <w:lastRenderedPageBreak/>
        <w:t>Sudan</w:t>
      </w:r>
      <w:proofErr w:type="spellEnd"/>
      <w:r>
        <w:t>:</w:t>
      </w:r>
      <w:proofErr w:type="gramEnd"/>
      <w:r>
        <w:t xml:space="preserve"> An Exploration of </w:t>
      </w:r>
      <w:proofErr w:type="spellStart"/>
      <w:r>
        <w:t>Teenage</w:t>
      </w:r>
      <w:proofErr w:type="spellEnd"/>
      <w:r>
        <w:t xml:space="preserve"> </w:t>
      </w:r>
      <w:proofErr w:type="spellStart"/>
      <w:r>
        <w:t>Mothers</w:t>
      </w:r>
      <w:proofErr w:type="spellEnd"/>
      <w:r>
        <w:t xml:space="preserve">’ and </w:t>
      </w:r>
      <w:proofErr w:type="spellStart"/>
      <w:r>
        <w:t>Pregnant</w:t>
      </w:r>
      <w:proofErr w:type="spellEnd"/>
      <w:r>
        <w:t xml:space="preserve"> Adolescent Girls’ </w:t>
      </w:r>
      <w:proofErr w:type="spellStart"/>
      <w:r>
        <w:t>Resilience</w:t>
      </w:r>
      <w:proofErr w:type="spellEnd"/>
      <w:r>
        <w:t xml:space="preserve"> and </w:t>
      </w:r>
      <w:proofErr w:type="spellStart"/>
      <w:r>
        <w:t>Educational</w:t>
      </w:r>
      <w:proofErr w:type="spellEnd"/>
      <w:r>
        <w:t xml:space="preserve"> </w:t>
      </w:r>
      <w:proofErr w:type="spellStart"/>
      <w:r>
        <w:t>Continuity</w:t>
      </w:r>
      <w:proofErr w:type="spellEnd"/>
      <w:r>
        <w:t xml:space="preserve"> », Anne </w:t>
      </w:r>
      <w:proofErr w:type="spellStart"/>
      <w:r>
        <w:t>Corwith</w:t>
      </w:r>
      <w:proofErr w:type="spellEnd"/>
      <w:r>
        <w:t xml:space="preserve"> et </w:t>
      </w:r>
      <w:proofErr w:type="spellStart"/>
      <w:r>
        <w:t>Fatimah</w:t>
      </w:r>
      <w:proofErr w:type="spellEnd"/>
      <w:r>
        <w:t xml:space="preserve"> Ali soulignent les effets de la pandémie sur les mères adolescentes et les filles enceintes au Sud-Soudan, qui ont reçu un soutien minimal et ont été victimes de violences sexistes persistantes et de stéréotypes négatifs. Toutefois, les auteurs ont constaté que nombre de ces filles ont fait preuve d’une grande résilience et ont conservé l’espoir de retourner à l’école et de devenir financièrement indépendantes.</w:t>
      </w:r>
    </w:p>
    <w:p w14:paraId="0D990942" w14:textId="77777777" w:rsidR="002907B2" w:rsidRPr="00095E29" w:rsidRDefault="002907B2" w:rsidP="00095E29">
      <w:pPr>
        <w:pStyle w:val="NormalWeb"/>
        <w:spacing w:after="0" w:line="480" w:lineRule="auto"/>
        <w:jc w:val="both"/>
      </w:pPr>
    </w:p>
    <w:p w14:paraId="06D161E9" w14:textId="0597BCA5" w:rsidR="001C1DBF" w:rsidRPr="00095E29" w:rsidRDefault="00A71AB7" w:rsidP="00095E29">
      <w:pPr>
        <w:spacing w:after="0" w:line="480" w:lineRule="auto"/>
        <w:jc w:val="both"/>
        <w:rPr>
          <w:rFonts w:ascii="Times New Roman" w:hAnsi="Times New Roman" w:cs="Times New Roman"/>
          <w:sz w:val="24"/>
          <w:szCs w:val="24"/>
        </w:rPr>
      </w:pPr>
      <w:r>
        <w:rPr>
          <w:rFonts w:ascii="Times New Roman" w:hAnsi="Times New Roman"/>
          <w:sz w:val="24"/>
        </w:rPr>
        <w:t>Nous concluons la section des articles de recherche avec « </w:t>
      </w:r>
      <w:proofErr w:type="spellStart"/>
      <w:r>
        <w:rPr>
          <w:rFonts w:ascii="Times New Roman" w:hAnsi="Times New Roman"/>
          <w:sz w:val="24"/>
        </w:rPr>
        <w:t>School</w:t>
      </w:r>
      <w:proofErr w:type="spellEnd"/>
      <w:r>
        <w:rPr>
          <w:rFonts w:ascii="Times New Roman" w:hAnsi="Times New Roman"/>
          <w:sz w:val="24"/>
        </w:rPr>
        <w:t xml:space="preserve"> Leaders’ and </w:t>
      </w:r>
      <w:proofErr w:type="spellStart"/>
      <w:r>
        <w:rPr>
          <w:rFonts w:ascii="Times New Roman" w:hAnsi="Times New Roman"/>
          <w:sz w:val="24"/>
        </w:rPr>
        <w:t>Teachers</w:t>
      </w:r>
      <w:proofErr w:type="spellEnd"/>
      <w:r>
        <w:rPr>
          <w:rFonts w:ascii="Times New Roman" w:hAnsi="Times New Roman"/>
          <w:sz w:val="24"/>
        </w:rPr>
        <w:t xml:space="preserve">’ </w:t>
      </w:r>
      <w:proofErr w:type="spellStart"/>
      <w:r>
        <w:rPr>
          <w:rFonts w:ascii="Times New Roman" w:hAnsi="Times New Roman"/>
          <w:sz w:val="24"/>
        </w:rPr>
        <w:t>Preparedness</w:t>
      </w:r>
      <w:proofErr w:type="spellEnd"/>
      <w:r>
        <w:rPr>
          <w:rFonts w:ascii="Times New Roman" w:hAnsi="Times New Roman"/>
          <w:sz w:val="24"/>
        </w:rPr>
        <w:t xml:space="preserve"> to Support Education in Rwanda </w:t>
      </w:r>
      <w:proofErr w:type="spellStart"/>
      <w:r>
        <w:rPr>
          <w:rFonts w:ascii="Times New Roman" w:hAnsi="Times New Roman"/>
          <w:sz w:val="24"/>
        </w:rPr>
        <w:t>during</w:t>
      </w:r>
      <w:proofErr w:type="spellEnd"/>
      <w:r>
        <w:rPr>
          <w:rFonts w:ascii="Times New Roman" w:hAnsi="Times New Roman"/>
          <w:sz w:val="24"/>
        </w:rPr>
        <w:t xml:space="preserve"> the COVID-19 Emergency », d’Emma Carter, </w:t>
      </w:r>
      <w:proofErr w:type="spellStart"/>
      <w:r>
        <w:rPr>
          <w:rFonts w:ascii="Times New Roman" w:hAnsi="Times New Roman"/>
          <w:sz w:val="24"/>
        </w:rPr>
        <w:t>Artemio</w:t>
      </w:r>
      <w:proofErr w:type="spellEnd"/>
      <w:r>
        <w:rPr>
          <w:rFonts w:ascii="Times New Roman" w:hAnsi="Times New Roman"/>
          <w:sz w:val="24"/>
        </w:rPr>
        <w:t xml:space="preserve"> Arturo Cortez Ochoa, Philip Leonard, Samuel </w:t>
      </w:r>
      <w:proofErr w:type="spellStart"/>
      <w:r>
        <w:rPr>
          <w:rFonts w:ascii="Times New Roman" w:hAnsi="Times New Roman"/>
          <w:sz w:val="24"/>
        </w:rPr>
        <w:t>Nzaramba</w:t>
      </w:r>
      <w:proofErr w:type="spellEnd"/>
      <w:r>
        <w:rPr>
          <w:rFonts w:ascii="Times New Roman" w:hAnsi="Times New Roman"/>
          <w:sz w:val="24"/>
        </w:rPr>
        <w:t xml:space="preserve"> et Pauline Rose. Ces auteurs mettent en lumière les différentes réponses apportées par le gouvernement rwandais aux différentes conditions d’enseignement. Ils rapportent, par exemple, que les enseignants masculins ont généralement eu un meilleur accès aux ressources pendant la pandémie, tout comme les enseignants des écoles disposant de meilleures ressources. Ils affirment également que les enseignants pensaient que les élèves issus de familles et de communautés à faibles revenus étaient les moins susceptibles de bénéficier de l’apprentissage à distance. Malheureusement, cette recherche fait écho à des études menées dans le monde entier montrant que les fermetures d’écoles et le recours à l’apprentissage à distance ont exacerbé les inégalités préexistantes.</w:t>
      </w:r>
    </w:p>
    <w:p w14:paraId="2A8D56B4" w14:textId="77777777" w:rsidR="002907B2" w:rsidRPr="00095E29" w:rsidRDefault="002907B2" w:rsidP="00095E29">
      <w:pPr>
        <w:spacing w:after="0" w:line="480" w:lineRule="auto"/>
        <w:jc w:val="both"/>
        <w:rPr>
          <w:rFonts w:ascii="Times New Roman" w:hAnsi="Times New Roman" w:cs="Times New Roman"/>
          <w:sz w:val="24"/>
          <w:szCs w:val="24"/>
        </w:rPr>
      </w:pPr>
    </w:p>
    <w:p w14:paraId="6C9576F3" w14:textId="292CB479" w:rsidR="00062464" w:rsidRPr="00095E29" w:rsidRDefault="00ED7450" w:rsidP="00095E29">
      <w:pPr>
        <w:spacing w:after="0" w:line="480" w:lineRule="auto"/>
        <w:jc w:val="both"/>
        <w:rPr>
          <w:rFonts w:ascii="Times New Roman" w:hAnsi="Times New Roman" w:cs="Times New Roman"/>
          <w:sz w:val="24"/>
          <w:szCs w:val="24"/>
        </w:rPr>
      </w:pPr>
      <w:r>
        <w:rPr>
          <w:rFonts w:ascii="Times New Roman" w:hAnsi="Times New Roman"/>
          <w:sz w:val="24"/>
        </w:rPr>
        <w:t>Ce numéro spécial présente également quatre notes d’observation qui illustrent d’importants programmes mis en place pour améliorer bon nombre des problèmes présentés dans les articles de recherche. Par exemple, dans « </w:t>
      </w:r>
      <w:proofErr w:type="spellStart"/>
      <w:r>
        <w:rPr>
          <w:rFonts w:ascii="Times New Roman" w:hAnsi="Times New Roman"/>
          <w:color w:val="000000"/>
          <w:sz w:val="24"/>
        </w:rPr>
        <w:t>Improving</w:t>
      </w:r>
      <w:proofErr w:type="spellEnd"/>
      <w:r>
        <w:rPr>
          <w:rFonts w:ascii="Times New Roman" w:hAnsi="Times New Roman"/>
          <w:color w:val="000000"/>
          <w:sz w:val="24"/>
        </w:rPr>
        <w:t xml:space="preserve"> Social-</w:t>
      </w:r>
      <w:proofErr w:type="spellStart"/>
      <w:r>
        <w:rPr>
          <w:rFonts w:ascii="Times New Roman" w:hAnsi="Times New Roman"/>
          <w:color w:val="000000"/>
          <w:sz w:val="24"/>
        </w:rPr>
        <w:t>Emotional</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Health</w:t>
      </w:r>
      <w:proofErr w:type="spellEnd"/>
      <w:r>
        <w:rPr>
          <w:rFonts w:ascii="Times New Roman" w:hAnsi="Times New Roman"/>
          <w:color w:val="000000"/>
          <w:sz w:val="24"/>
        </w:rPr>
        <w:t>:</w:t>
      </w:r>
      <w:proofErr w:type="gramEnd"/>
      <w:r>
        <w:rPr>
          <w:rFonts w:ascii="Times New Roman" w:hAnsi="Times New Roman"/>
          <w:color w:val="000000"/>
          <w:sz w:val="24"/>
        </w:rPr>
        <w:t xml:space="preserve"> Expansion of Teacher and </w:t>
      </w:r>
      <w:proofErr w:type="spellStart"/>
      <w:r>
        <w:rPr>
          <w:rFonts w:ascii="Times New Roman" w:hAnsi="Times New Roman"/>
          <w:color w:val="000000"/>
          <w:sz w:val="24"/>
        </w:rPr>
        <w:t>Student</w:t>
      </w:r>
      <w:proofErr w:type="spellEnd"/>
      <w:r>
        <w:rPr>
          <w:rFonts w:ascii="Times New Roman" w:hAnsi="Times New Roman"/>
          <w:color w:val="000000"/>
          <w:sz w:val="24"/>
        </w:rPr>
        <w:t xml:space="preserve"> </w:t>
      </w:r>
      <w:proofErr w:type="spellStart"/>
      <w:r>
        <w:rPr>
          <w:rFonts w:ascii="Times New Roman" w:hAnsi="Times New Roman"/>
          <w:color w:val="000000"/>
          <w:sz w:val="24"/>
        </w:rPr>
        <w:t>Wellbeing</w:t>
      </w:r>
      <w:proofErr w:type="spellEnd"/>
      <w:r>
        <w:rPr>
          <w:rFonts w:ascii="Times New Roman" w:hAnsi="Times New Roman"/>
          <w:color w:val="000000"/>
          <w:sz w:val="24"/>
        </w:rPr>
        <w:t xml:space="preserve"> </w:t>
      </w:r>
      <w:proofErr w:type="spellStart"/>
      <w:r>
        <w:rPr>
          <w:rFonts w:ascii="Times New Roman" w:hAnsi="Times New Roman"/>
          <w:color w:val="000000"/>
          <w:sz w:val="24"/>
        </w:rPr>
        <w:t>during</w:t>
      </w:r>
      <w:proofErr w:type="spellEnd"/>
      <w:r>
        <w:rPr>
          <w:rFonts w:ascii="Times New Roman" w:hAnsi="Times New Roman"/>
          <w:color w:val="000000"/>
          <w:sz w:val="24"/>
        </w:rPr>
        <w:t xml:space="preserve"> the COVID-19 Crisis in Honduras », </w:t>
      </w:r>
      <w:r>
        <w:rPr>
          <w:rFonts w:ascii="Times New Roman" w:hAnsi="Times New Roman"/>
          <w:sz w:val="24"/>
        </w:rPr>
        <w:t xml:space="preserve">Craig Davis et Gustavo </w:t>
      </w:r>
      <w:proofErr w:type="spellStart"/>
      <w:r>
        <w:rPr>
          <w:rFonts w:ascii="Times New Roman" w:hAnsi="Times New Roman"/>
          <w:sz w:val="24"/>
        </w:rPr>
        <w:t>Páyan</w:t>
      </w:r>
      <w:proofErr w:type="spellEnd"/>
      <w:r>
        <w:rPr>
          <w:rFonts w:ascii="Times New Roman" w:hAnsi="Times New Roman"/>
          <w:sz w:val="24"/>
        </w:rPr>
        <w:t>-</w:t>
      </w:r>
      <w:r>
        <w:rPr>
          <w:rFonts w:ascii="Times New Roman" w:hAnsi="Times New Roman"/>
          <w:sz w:val="24"/>
        </w:rPr>
        <w:lastRenderedPageBreak/>
        <w:t xml:space="preserve">Luna explorent la manière dont le projet </w:t>
      </w:r>
      <w:proofErr w:type="spellStart"/>
      <w:r>
        <w:rPr>
          <w:rFonts w:ascii="Times New Roman" w:hAnsi="Times New Roman"/>
          <w:i/>
          <w:iCs/>
          <w:sz w:val="24"/>
        </w:rPr>
        <w:t>Asegurando</w:t>
      </w:r>
      <w:proofErr w:type="spellEnd"/>
      <w:r>
        <w:rPr>
          <w:rFonts w:ascii="Times New Roman" w:hAnsi="Times New Roman"/>
          <w:i/>
          <w:iCs/>
          <w:sz w:val="24"/>
        </w:rPr>
        <w:t xml:space="preserve"> la </w:t>
      </w:r>
      <w:proofErr w:type="spellStart"/>
      <w:r>
        <w:rPr>
          <w:rFonts w:ascii="Times New Roman" w:hAnsi="Times New Roman"/>
          <w:i/>
          <w:iCs/>
          <w:sz w:val="24"/>
        </w:rPr>
        <w:t>Educación</w:t>
      </w:r>
      <w:proofErr w:type="spellEnd"/>
      <w:r>
        <w:rPr>
          <w:rFonts w:ascii="Times New Roman" w:hAnsi="Times New Roman"/>
          <w:sz w:val="24"/>
        </w:rPr>
        <w:t xml:space="preserve"> de l’USAID a évolué vers un apprentissage socio-émotionnel virtuel. Ils décrivent les interventions qui ont contribué au taux d’abandon scolaire le plus bas du pays en cinq ans et notent que les écoles bénéficiant de ces interventions avaient des taux d’inscription plus élevés que la moyenne nationale. Ils concluent en donnant un aperçu de l’importance de l’apprentissage socio-émotionnel pour une bonne santé mentale et la rétention des élèves dans les situations de crise. </w:t>
      </w:r>
    </w:p>
    <w:p w14:paraId="2A209F69" w14:textId="77777777" w:rsidR="00062464" w:rsidRPr="00095E29" w:rsidRDefault="00062464" w:rsidP="00095E29">
      <w:pPr>
        <w:spacing w:after="0" w:line="480" w:lineRule="auto"/>
        <w:jc w:val="both"/>
        <w:rPr>
          <w:rFonts w:ascii="Times New Roman" w:hAnsi="Times New Roman" w:cs="Times New Roman"/>
          <w:sz w:val="24"/>
          <w:szCs w:val="24"/>
        </w:rPr>
      </w:pPr>
    </w:p>
    <w:p w14:paraId="59E9D179" w14:textId="33145814" w:rsidR="00E76998" w:rsidRPr="00095E29" w:rsidRDefault="00E76998" w:rsidP="00095E29">
      <w:pPr>
        <w:spacing w:after="0" w:line="480" w:lineRule="auto"/>
        <w:jc w:val="both"/>
        <w:rPr>
          <w:rFonts w:ascii="Times New Roman" w:hAnsi="Times New Roman" w:cs="Times New Roman"/>
          <w:sz w:val="24"/>
          <w:szCs w:val="24"/>
        </w:rPr>
      </w:pPr>
      <w:r>
        <w:rPr>
          <w:rFonts w:ascii="Times New Roman" w:hAnsi="Times New Roman"/>
          <w:sz w:val="24"/>
        </w:rPr>
        <w:t>Dans « </w:t>
      </w:r>
      <w:r>
        <w:rPr>
          <w:rFonts w:ascii="Times New Roman" w:hAnsi="Times New Roman"/>
          <w:color w:val="000000"/>
          <w:sz w:val="24"/>
        </w:rPr>
        <w:t xml:space="preserve">The </w:t>
      </w:r>
      <w:proofErr w:type="spellStart"/>
      <w:r>
        <w:rPr>
          <w:rFonts w:ascii="Times New Roman" w:hAnsi="Times New Roman"/>
          <w:color w:val="000000"/>
          <w:sz w:val="24"/>
        </w:rPr>
        <w:t>Sandbox</w:t>
      </w:r>
      <w:proofErr w:type="spellEnd"/>
      <w:r>
        <w:rPr>
          <w:rFonts w:ascii="Times New Roman" w:hAnsi="Times New Roman"/>
          <w:color w:val="000000"/>
          <w:sz w:val="24"/>
        </w:rPr>
        <w:t xml:space="preserve"> Model : A Novel </w:t>
      </w:r>
      <w:proofErr w:type="spellStart"/>
      <w:r>
        <w:rPr>
          <w:rFonts w:ascii="Times New Roman" w:hAnsi="Times New Roman"/>
          <w:color w:val="000000"/>
          <w:sz w:val="24"/>
        </w:rPr>
        <w:t>Approach</w:t>
      </w:r>
      <w:proofErr w:type="spellEnd"/>
      <w:r>
        <w:rPr>
          <w:rFonts w:ascii="Times New Roman" w:hAnsi="Times New Roman"/>
          <w:color w:val="000000"/>
          <w:sz w:val="24"/>
        </w:rPr>
        <w:t xml:space="preserve"> to </w:t>
      </w:r>
      <w:proofErr w:type="spellStart"/>
      <w:r>
        <w:rPr>
          <w:rFonts w:ascii="Times New Roman" w:hAnsi="Times New Roman"/>
          <w:color w:val="000000"/>
          <w:sz w:val="24"/>
        </w:rPr>
        <w:t>Iterating</w:t>
      </w:r>
      <w:proofErr w:type="spellEnd"/>
      <w:r>
        <w:rPr>
          <w:rFonts w:ascii="Times New Roman" w:hAnsi="Times New Roman"/>
          <w:color w:val="000000"/>
          <w:sz w:val="24"/>
        </w:rPr>
        <w:t xml:space="preserve"> </w:t>
      </w:r>
      <w:proofErr w:type="spellStart"/>
      <w:r>
        <w:rPr>
          <w:rFonts w:ascii="Times New Roman" w:hAnsi="Times New Roman"/>
          <w:color w:val="000000"/>
          <w:sz w:val="24"/>
        </w:rPr>
        <w:t>while</w:t>
      </w:r>
      <w:proofErr w:type="spellEnd"/>
      <w:r>
        <w:rPr>
          <w:rFonts w:ascii="Times New Roman" w:hAnsi="Times New Roman"/>
          <w:color w:val="000000"/>
          <w:sz w:val="24"/>
        </w:rPr>
        <w:t xml:space="preserve"> </w:t>
      </w:r>
      <w:proofErr w:type="spellStart"/>
      <w:r>
        <w:rPr>
          <w:rFonts w:ascii="Times New Roman" w:hAnsi="Times New Roman"/>
          <w:color w:val="000000"/>
          <w:sz w:val="24"/>
        </w:rPr>
        <w:t>Implementing</w:t>
      </w:r>
      <w:proofErr w:type="spellEnd"/>
      <w:r>
        <w:rPr>
          <w:rFonts w:ascii="Times New Roman" w:hAnsi="Times New Roman"/>
          <w:color w:val="000000"/>
          <w:sz w:val="24"/>
        </w:rPr>
        <w:t xml:space="preserve"> an Emergency Education Program in Lebanon </w:t>
      </w:r>
      <w:proofErr w:type="spellStart"/>
      <w:r>
        <w:rPr>
          <w:rFonts w:ascii="Times New Roman" w:hAnsi="Times New Roman"/>
          <w:color w:val="000000"/>
          <w:sz w:val="24"/>
        </w:rPr>
        <w:t>during</w:t>
      </w:r>
      <w:proofErr w:type="spellEnd"/>
      <w:r>
        <w:rPr>
          <w:rFonts w:ascii="Times New Roman" w:hAnsi="Times New Roman"/>
          <w:color w:val="000000"/>
          <w:sz w:val="24"/>
        </w:rPr>
        <w:t xml:space="preserve"> the COVID-19 </w:t>
      </w:r>
      <w:proofErr w:type="spellStart"/>
      <w:r>
        <w:rPr>
          <w:rFonts w:ascii="Times New Roman" w:hAnsi="Times New Roman"/>
          <w:color w:val="000000"/>
          <w:sz w:val="24"/>
        </w:rPr>
        <w:t>Pandemic</w:t>
      </w:r>
      <w:proofErr w:type="spellEnd"/>
      <w:r>
        <w:rPr>
          <w:rFonts w:ascii="Times New Roman" w:hAnsi="Times New Roman"/>
          <w:color w:val="000000"/>
          <w:sz w:val="24"/>
        </w:rPr>
        <w:t xml:space="preserve"> », </w:t>
      </w:r>
      <w:r>
        <w:rPr>
          <w:rFonts w:ascii="Times New Roman" w:hAnsi="Times New Roman"/>
          <w:sz w:val="24"/>
        </w:rPr>
        <w:t xml:space="preserve">Michèle </w:t>
      </w:r>
      <w:proofErr w:type="spellStart"/>
      <w:r>
        <w:rPr>
          <w:rFonts w:ascii="Times New Roman" w:hAnsi="Times New Roman"/>
          <w:sz w:val="24"/>
        </w:rPr>
        <w:t>Boujikian</w:t>
      </w:r>
      <w:proofErr w:type="spellEnd"/>
      <w:r>
        <w:rPr>
          <w:rFonts w:ascii="Times New Roman" w:hAnsi="Times New Roman"/>
          <w:sz w:val="24"/>
        </w:rPr>
        <w:t xml:space="preserve">, Alice Carter et Katy Jordan étendent ces idées à un programme soutenant l’apprentissage des réfugiés en Syrie. Les auteurs soulignent l’importance de WhatsApp pour permettre aux enfants libanais de continuer à apprendre lorsque les écoles ont fermé pendant la pandémie. Ils proposent également un nouveau modèle de « bac à sable » utilisé pour tester rapidement et répéter les cycles du programme afin de s’assurer qu’il atteignait les objectifs fixés. Ils soutiennent que cette approche peut être utile dans de nombreux contextes différents. </w:t>
      </w:r>
    </w:p>
    <w:p w14:paraId="122C529F" w14:textId="77777777" w:rsidR="00E76998" w:rsidRPr="00095E29" w:rsidRDefault="00E76998" w:rsidP="00095E29">
      <w:pPr>
        <w:spacing w:after="0" w:line="480" w:lineRule="auto"/>
        <w:jc w:val="both"/>
        <w:rPr>
          <w:rFonts w:ascii="Times New Roman" w:hAnsi="Times New Roman" w:cs="Times New Roman"/>
          <w:sz w:val="24"/>
          <w:szCs w:val="24"/>
        </w:rPr>
      </w:pPr>
    </w:p>
    <w:p w14:paraId="03368265" w14:textId="54BD454A" w:rsidR="0057185F" w:rsidRPr="00095E29" w:rsidRDefault="00B870FE" w:rsidP="00095E29">
      <w:pPr>
        <w:spacing w:after="0" w:line="480" w:lineRule="auto"/>
        <w:jc w:val="both"/>
        <w:rPr>
          <w:rFonts w:ascii="Times New Roman" w:hAnsi="Times New Roman" w:cs="Times New Roman"/>
          <w:sz w:val="24"/>
          <w:szCs w:val="24"/>
        </w:rPr>
      </w:pPr>
      <w:r>
        <w:rPr>
          <w:rFonts w:ascii="Times New Roman" w:hAnsi="Times New Roman"/>
          <w:sz w:val="24"/>
        </w:rPr>
        <w:t>Dans « </w:t>
      </w:r>
      <w:proofErr w:type="spellStart"/>
      <w:r>
        <w:rPr>
          <w:rFonts w:ascii="Times New Roman" w:hAnsi="Times New Roman"/>
          <w:color w:val="000000"/>
          <w:sz w:val="24"/>
        </w:rPr>
        <w:t>Remote</w:t>
      </w:r>
      <w:proofErr w:type="spellEnd"/>
      <w:r>
        <w:rPr>
          <w:rFonts w:ascii="Times New Roman" w:hAnsi="Times New Roman"/>
          <w:color w:val="000000"/>
          <w:sz w:val="24"/>
        </w:rPr>
        <w:t xml:space="preserve"> Family Engagement </w:t>
      </w:r>
      <w:proofErr w:type="spellStart"/>
      <w:r>
        <w:rPr>
          <w:rFonts w:ascii="Times New Roman" w:hAnsi="Times New Roman"/>
          <w:color w:val="000000"/>
          <w:sz w:val="24"/>
        </w:rPr>
        <w:t>through</w:t>
      </w:r>
      <w:proofErr w:type="spellEnd"/>
      <w:r>
        <w:rPr>
          <w:rFonts w:ascii="Times New Roman" w:hAnsi="Times New Roman"/>
          <w:color w:val="000000"/>
          <w:sz w:val="24"/>
        </w:rPr>
        <w:t xml:space="preserve"> Virtual </w:t>
      </w:r>
      <w:proofErr w:type="spellStart"/>
      <w:proofErr w:type="gramStart"/>
      <w:r>
        <w:rPr>
          <w:rFonts w:ascii="Times New Roman" w:hAnsi="Times New Roman"/>
          <w:color w:val="000000"/>
          <w:sz w:val="24"/>
        </w:rPr>
        <w:t>Tutoring</w:t>
      </w:r>
      <w:proofErr w:type="spellEnd"/>
      <w:r>
        <w:rPr>
          <w:rFonts w:ascii="Times New Roman" w:hAnsi="Times New Roman"/>
          <w:color w:val="000000"/>
          <w:sz w:val="24"/>
        </w:rPr>
        <w:t>:</w:t>
      </w:r>
      <w:proofErr w:type="gramEnd"/>
      <w:r>
        <w:rPr>
          <w:rFonts w:ascii="Times New Roman" w:hAnsi="Times New Roman"/>
          <w:color w:val="000000"/>
          <w:sz w:val="24"/>
        </w:rPr>
        <w:t xml:space="preserve"> An Emergency </w:t>
      </w:r>
      <w:proofErr w:type="spellStart"/>
      <w:r>
        <w:rPr>
          <w:rFonts w:ascii="Times New Roman" w:hAnsi="Times New Roman"/>
          <w:color w:val="000000"/>
          <w:sz w:val="24"/>
        </w:rPr>
        <w:t>Response</w:t>
      </w:r>
      <w:proofErr w:type="spellEnd"/>
      <w:r>
        <w:rPr>
          <w:rFonts w:ascii="Times New Roman" w:hAnsi="Times New Roman"/>
          <w:color w:val="000000"/>
          <w:sz w:val="24"/>
        </w:rPr>
        <w:t xml:space="preserve"> to Support </w:t>
      </w:r>
      <w:proofErr w:type="spellStart"/>
      <w:r>
        <w:rPr>
          <w:rFonts w:ascii="Times New Roman" w:hAnsi="Times New Roman"/>
          <w:color w:val="000000"/>
          <w:sz w:val="24"/>
        </w:rPr>
        <w:t>Children</w:t>
      </w:r>
      <w:proofErr w:type="spellEnd"/>
      <w:r>
        <w:rPr>
          <w:rFonts w:ascii="Times New Roman" w:hAnsi="Times New Roman"/>
          <w:color w:val="000000"/>
          <w:sz w:val="24"/>
        </w:rPr>
        <w:t xml:space="preserve">, </w:t>
      </w:r>
      <w:proofErr w:type="spellStart"/>
      <w:r>
        <w:rPr>
          <w:rFonts w:ascii="Times New Roman" w:hAnsi="Times New Roman"/>
          <w:color w:val="000000"/>
          <w:sz w:val="24"/>
        </w:rPr>
        <w:t>Families</w:t>
      </w:r>
      <w:proofErr w:type="spellEnd"/>
      <w:r>
        <w:rPr>
          <w:rFonts w:ascii="Times New Roman" w:hAnsi="Times New Roman"/>
          <w:color w:val="000000"/>
          <w:sz w:val="24"/>
        </w:rPr>
        <w:t xml:space="preserve">, and </w:t>
      </w:r>
      <w:proofErr w:type="spellStart"/>
      <w:r>
        <w:rPr>
          <w:rFonts w:ascii="Times New Roman" w:hAnsi="Times New Roman"/>
          <w:color w:val="000000"/>
          <w:sz w:val="24"/>
        </w:rPr>
        <w:t>Students</w:t>
      </w:r>
      <w:proofErr w:type="spellEnd"/>
      <w:r>
        <w:rPr>
          <w:rFonts w:ascii="Times New Roman" w:hAnsi="Times New Roman"/>
          <w:color w:val="000000"/>
          <w:sz w:val="24"/>
        </w:rPr>
        <w:t xml:space="preserve"> », </w:t>
      </w:r>
      <w:r>
        <w:rPr>
          <w:rFonts w:ascii="Times New Roman" w:hAnsi="Times New Roman"/>
          <w:sz w:val="24"/>
        </w:rPr>
        <w:t>Carmen Sherry Brown étudie l’importance du tutorat virtuel pendant la pandémie et ses effets sur les familles et les enfants, ainsi que sur les stagiaires de terrain qui fréquentaient un établissement scolaire basé aux États-Unis. Elle propose également des leçons pour ceux qui mettent en place des programmes de tutorat virtuel. Enfin, dans « </w:t>
      </w:r>
      <w:r>
        <w:rPr>
          <w:rFonts w:ascii="Times New Roman" w:hAnsi="Times New Roman"/>
          <w:color w:val="000000"/>
          <w:sz w:val="24"/>
        </w:rPr>
        <w:t>Project-</w:t>
      </w:r>
      <w:proofErr w:type="spellStart"/>
      <w:r>
        <w:rPr>
          <w:rFonts w:ascii="Times New Roman" w:hAnsi="Times New Roman"/>
          <w:color w:val="000000"/>
          <w:sz w:val="24"/>
        </w:rPr>
        <w:t>Based</w:t>
      </w:r>
      <w:proofErr w:type="spellEnd"/>
      <w:r>
        <w:rPr>
          <w:rFonts w:ascii="Times New Roman" w:hAnsi="Times New Roman"/>
          <w:color w:val="000000"/>
          <w:sz w:val="24"/>
        </w:rPr>
        <w:t xml:space="preserve"> Learning as an Innovative COVID-19 </w:t>
      </w:r>
      <w:proofErr w:type="spellStart"/>
      <w:r>
        <w:rPr>
          <w:rFonts w:ascii="Times New Roman" w:hAnsi="Times New Roman"/>
          <w:color w:val="000000"/>
          <w:sz w:val="24"/>
        </w:rPr>
        <w:t>Response</w:t>
      </w:r>
      <w:proofErr w:type="spellEnd"/>
      <w:r>
        <w:rPr>
          <w:rFonts w:ascii="Times New Roman" w:hAnsi="Times New Roman"/>
          <w:color w:val="000000"/>
          <w:sz w:val="24"/>
        </w:rPr>
        <w:t xml:space="preserve"> », </w:t>
      </w:r>
      <w:proofErr w:type="spellStart"/>
      <w:r>
        <w:rPr>
          <w:rFonts w:ascii="Times New Roman" w:hAnsi="Times New Roman"/>
          <w:sz w:val="24"/>
        </w:rPr>
        <w:t>Leena</w:t>
      </w:r>
      <w:proofErr w:type="spellEnd"/>
      <w:r>
        <w:rPr>
          <w:rFonts w:ascii="Times New Roman" w:hAnsi="Times New Roman"/>
          <w:sz w:val="24"/>
        </w:rPr>
        <w:t xml:space="preserve"> </w:t>
      </w:r>
      <w:proofErr w:type="spellStart"/>
      <w:r>
        <w:rPr>
          <w:rFonts w:ascii="Times New Roman" w:hAnsi="Times New Roman"/>
          <w:sz w:val="24"/>
        </w:rPr>
        <w:t>Zahir</w:t>
      </w:r>
      <w:proofErr w:type="spellEnd"/>
      <w:r>
        <w:rPr>
          <w:rFonts w:ascii="Times New Roman" w:hAnsi="Times New Roman"/>
          <w:sz w:val="24"/>
        </w:rPr>
        <w:t xml:space="preserve"> et </w:t>
      </w:r>
      <w:proofErr w:type="spellStart"/>
      <w:r>
        <w:rPr>
          <w:rFonts w:ascii="Times New Roman" w:hAnsi="Times New Roman"/>
          <w:sz w:val="24"/>
        </w:rPr>
        <w:t>Janhvi</w:t>
      </w:r>
      <w:proofErr w:type="spellEnd"/>
      <w:r>
        <w:rPr>
          <w:rFonts w:ascii="Times New Roman" w:hAnsi="Times New Roman"/>
          <w:sz w:val="24"/>
        </w:rPr>
        <w:t xml:space="preserve"> </w:t>
      </w:r>
      <w:proofErr w:type="spellStart"/>
      <w:r>
        <w:rPr>
          <w:rFonts w:ascii="Times New Roman" w:hAnsi="Times New Roman"/>
          <w:sz w:val="24"/>
        </w:rPr>
        <w:t>Maheshwari-Kanoria</w:t>
      </w:r>
      <w:proofErr w:type="spellEnd"/>
      <w:r>
        <w:rPr>
          <w:rFonts w:ascii="Times New Roman" w:hAnsi="Times New Roman"/>
          <w:sz w:val="24"/>
        </w:rPr>
        <w:t xml:space="preserve"> présentent l’apprentissage par projet comme une approche pédagogique importante pour </w:t>
      </w:r>
      <w:r>
        <w:rPr>
          <w:rFonts w:ascii="Times New Roman" w:hAnsi="Times New Roman"/>
          <w:sz w:val="24"/>
        </w:rPr>
        <w:lastRenderedPageBreak/>
        <w:t>atteindre ceux marginalisés sur le plan numérique. L’apprentissage par projet pourrait constituer une stratégie précieuse dans de nombreux contextes en réponse à des crises. Ces quatre notes d’observation offrent des réponses programmatiques importantes aux crises, et sont probablement évolutives et adaptables à de nombreux contextes.</w:t>
      </w:r>
    </w:p>
    <w:p w14:paraId="4D58B5FA" w14:textId="77777777" w:rsidR="002907B2" w:rsidRPr="00095E29" w:rsidRDefault="002907B2" w:rsidP="00095E29">
      <w:pPr>
        <w:spacing w:after="0" w:line="480" w:lineRule="auto"/>
        <w:jc w:val="both"/>
        <w:rPr>
          <w:rFonts w:ascii="Times New Roman" w:hAnsi="Times New Roman" w:cs="Times New Roman"/>
          <w:sz w:val="24"/>
          <w:szCs w:val="24"/>
        </w:rPr>
      </w:pPr>
    </w:p>
    <w:p w14:paraId="1481930A" w14:textId="4A6CF2A6" w:rsidR="008E03AD" w:rsidRPr="00095E29" w:rsidRDefault="00B21490" w:rsidP="00095E29">
      <w:pPr>
        <w:spacing w:after="0" w:line="480" w:lineRule="auto"/>
        <w:jc w:val="both"/>
        <w:rPr>
          <w:rFonts w:ascii="Times New Roman" w:hAnsi="Times New Roman" w:cs="Times New Roman"/>
          <w:sz w:val="24"/>
          <w:szCs w:val="24"/>
        </w:rPr>
      </w:pPr>
      <w:r>
        <w:rPr>
          <w:rFonts w:ascii="Times New Roman" w:hAnsi="Times New Roman"/>
          <w:sz w:val="24"/>
        </w:rPr>
        <w:t xml:space="preserve">Outre les six articles de recherche et les quatre notes d’observation, ce numéro spécial du </w:t>
      </w:r>
      <w:proofErr w:type="spellStart"/>
      <w:r>
        <w:rPr>
          <w:rFonts w:ascii="Times New Roman" w:hAnsi="Times New Roman"/>
          <w:i/>
          <w:sz w:val="24"/>
        </w:rPr>
        <w:t>JEiE</w:t>
      </w:r>
      <w:proofErr w:type="spellEnd"/>
      <w:r>
        <w:rPr>
          <w:rFonts w:ascii="Times New Roman" w:hAnsi="Times New Roman"/>
          <w:i/>
          <w:sz w:val="24"/>
        </w:rPr>
        <w:t xml:space="preserve"> </w:t>
      </w:r>
      <w:r>
        <w:rPr>
          <w:rFonts w:ascii="Times New Roman" w:hAnsi="Times New Roman"/>
          <w:sz w:val="24"/>
        </w:rPr>
        <w:t xml:space="preserve">comprend trois critiques littéraires. Dans la première, Noah </w:t>
      </w:r>
      <w:proofErr w:type="spellStart"/>
      <w:r>
        <w:rPr>
          <w:rFonts w:ascii="Times New Roman" w:hAnsi="Times New Roman"/>
          <w:sz w:val="24"/>
        </w:rPr>
        <w:t>Kippley-Ogman</w:t>
      </w:r>
      <w:proofErr w:type="spellEnd"/>
      <w:r>
        <w:rPr>
          <w:rFonts w:ascii="Times New Roman" w:hAnsi="Times New Roman"/>
          <w:sz w:val="24"/>
        </w:rPr>
        <w:t xml:space="preserve"> discute de l’ouvrage co-écrit par Michael A. Peters et Tina </w:t>
      </w:r>
      <w:proofErr w:type="spellStart"/>
      <w:r>
        <w:rPr>
          <w:rFonts w:ascii="Times New Roman" w:hAnsi="Times New Roman"/>
          <w:sz w:val="24"/>
        </w:rPr>
        <w:t>Besley</w:t>
      </w:r>
      <w:proofErr w:type="spellEnd"/>
      <w:r>
        <w:rPr>
          <w:rFonts w:ascii="Times New Roman" w:hAnsi="Times New Roman"/>
          <w:sz w:val="24"/>
        </w:rPr>
        <w:t xml:space="preserve">, </w:t>
      </w:r>
      <w:proofErr w:type="spellStart"/>
      <w:r>
        <w:rPr>
          <w:rFonts w:ascii="Times New Roman" w:hAnsi="Times New Roman"/>
          <w:i/>
          <w:sz w:val="24"/>
        </w:rPr>
        <w:t>Pandemic</w:t>
      </w:r>
      <w:proofErr w:type="spellEnd"/>
      <w:r>
        <w:rPr>
          <w:rFonts w:ascii="Times New Roman" w:hAnsi="Times New Roman"/>
          <w:i/>
          <w:sz w:val="24"/>
        </w:rPr>
        <w:t xml:space="preserve"> Education and Viral </w:t>
      </w:r>
      <w:proofErr w:type="spellStart"/>
      <w:r>
        <w:rPr>
          <w:rFonts w:ascii="Times New Roman" w:hAnsi="Times New Roman"/>
          <w:i/>
          <w:sz w:val="24"/>
        </w:rPr>
        <w:t>Politics</w:t>
      </w:r>
      <w:proofErr w:type="spellEnd"/>
      <w:r>
        <w:rPr>
          <w:rFonts w:ascii="Times New Roman" w:hAnsi="Times New Roman"/>
          <w:sz w:val="24"/>
        </w:rPr>
        <w:t xml:space="preserve">. Dans la deuxième, </w:t>
      </w:r>
      <w:proofErr w:type="spellStart"/>
      <w:r>
        <w:rPr>
          <w:rFonts w:ascii="Times New Roman" w:hAnsi="Times New Roman"/>
          <w:sz w:val="24"/>
        </w:rPr>
        <w:t>Deepa</w:t>
      </w:r>
      <w:proofErr w:type="spellEnd"/>
      <w:r>
        <w:rPr>
          <w:rFonts w:ascii="Times New Roman" w:hAnsi="Times New Roman"/>
          <w:sz w:val="24"/>
        </w:rPr>
        <w:t xml:space="preserve"> </w:t>
      </w:r>
      <w:proofErr w:type="spellStart"/>
      <w:r>
        <w:rPr>
          <w:rFonts w:ascii="Times New Roman" w:hAnsi="Times New Roman"/>
          <w:sz w:val="24"/>
        </w:rPr>
        <w:t>Srikantaiah</w:t>
      </w:r>
      <w:proofErr w:type="spellEnd"/>
      <w:r>
        <w:rPr>
          <w:rFonts w:ascii="Times New Roman" w:hAnsi="Times New Roman"/>
          <w:sz w:val="24"/>
        </w:rPr>
        <w:t xml:space="preserve"> donne un aperçu et commente l’ouvrage </w:t>
      </w:r>
      <w:proofErr w:type="spellStart"/>
      <w:r>
        <w:rPr>
          <w:rFonts w:ascii="Times New Roman" w:hAnsi="Times New Roman"/>
          <w:sz w:val="24"/>
        </w:rPr>
        <w:t>co-publié</w:t>
      </w:r>
      <w:proofErr w:type="spellEnd"/>
      <w:r>
        <w:rPr>
          <w:rFonts w:ascii="Times New Roman" w:hAnsi="Times New Roman"/>
          <w:sz w:val="24"/>
        </w:rPr>
        <w:t xml:space="preserve"> par </w:t>
      </w:r>
      <w:proofErr w:type="spellStart"/>
      <w:r>
        <w:rPr>
          <w:rFonts w:ascii="Times New Roman" w:hAnsi="Times New Roman"/>
          <w:sz w:val="24"/>
        </w:rPr>
        <w:t>Inny</w:t>
      </w:r>
      <w:proofErr w:type="spellEnd"/>
      <w:r>
        <w:rPr>
          <w:rFonts w:ascii="Times New Roman" w:hAnsi="Times New Roman"/>
          <w:sz w:val="24"/>
        </w:rPr>
        <w:t xml:space="preserve"> </w:t>
      </w:r>
      <w:proofErr w:type="spellStart"/>
      <w:r>
        <w:rPr>
          <w:rFonts w:ascii="Times New Roman" w:hAnsi="Times New Roman"/>
          <w:sz w:val="24"/>
        </w:rPr>
        <w:t>Accioly</w:t>
      </w:r>
      <w:proofErr w:type="spellEnd"/>
      <w:r>
        <w:rPr>
          <w:rFonts w:ascii="Times New Roman" w:hAnsi="Times New Roman"/>
          <w:sz w:val="24"/>
        </w:rPr>
        <w:t xml:space="preserve"> et </w:t>
      </w:r>
      <w:proofErr w:type="spellStart"/>
      <w:r>
        <w:rPr>
          <w:rFonts w:ascii="Times New Roman" w:hAnsi="Times New Roman"/>
          <w:sz w:val="24"/>
        </w:rPr>
        <w:t>Donaldo</w:t>
      </w:r>
      <w:proofErr w:type="spellEnd"/>
      <w:r>
        <w:rPr>
          <w:rFonts w:ascii="Times New Roman" w:hAnsi="Times New Roman"/>
          <w:sz w:val="24"/>
        </w:rPr>
        <w:t xml:space="preserve"> Macedo, </w:t>
      </w:r>
      <w:r>
        <w:rPr>
          <w:rFonts w:ascii="Times New Roman" w:hAnsi="Times New Roman"/>
          <w:i/>
          <w:sz w:val="24"/>
        </w:rPr>
        <w:t xml:space="preserve">Education, </w:t>
      </w:r>
      <w:proofErr w:type="spellStart"/>
      <w:r>
        <w:rPr>
          <w:rFonts w:ascii="Times New Roman" w:hAnsi="Times New Roman"/>
          <w:i/>
          <w:sz w:val="24"/>
        </w:rPr>
        <w:t>Equality</w:t>
      </w:r>
      <w:proofErr w:type="spellEnd"/>
      <w:r>
        <w:rPr>
          <w:rFonts w:ascii="Times New Roman" w:hAnsi="Times New Roman"/>
          <w:i/>
          <w:sz w:val="24"/>
        </w:rPr>
        <w:t xml:space="preserve"> and Justice in the New </w:t>
      </w:r>
      <w:proofErr w:type="gramStart"/>
      <w:r>
        <w:rPr>
          <w:rFonts w:ascii="Times New Roman" w:hAnsi="Times New Roman"/>
          <w:i/>
          <w:sz w:val="24"/>
        </w:rPr>
        <w:t>Normal:</w:t>
      </w:r>
      <w:proofErr w:type="gramEnd"/>
      <w:r>
        <w:rPr>
          <w:rFonts w:ascii="Times New Roman" w:hAnsi="Times New Roman"/>
          <w:i/>
          <w:sz w:val="24"/>
        </w:rPr>
        <w:t xml:space="preserve"> Global </w:t>
      </w:r>
      <w:proofErr w:type="spellStart"/>
      <w:r>
        <w:rPr>
          <w:rFonts w:ascii="Times New Roman" w:hAnsi="Times New Roman"/>
          <w:i/>
          <w:sz w:val="24"/>
        </w:rPr>
        <w:t>Responses</w:t>
      </w:r>
      <w:proofErr w:type="spellEnd"/>
      <w:r>
        <w:rPr>
          <w:rFonts w:ascii="Times New Roman" w:hAnsi="Times New Roman"/>
          <w:i/>
          <w:sz w:val="24"/>
        </w:rPr>
        <w:t xml:space="preserve"> to the </w:t>
      </w:r>
      <w:proofErr w:type="spellStart"/>
      <w:r>
        <w:rPr>
          <w:rFonts w:ascii="Times New Roman" w:hAnsi="Times New Roman"/>
          <w:i/>
          <w:sz w:val="24"/>
        </w:rPr>
        <w:t>Pandemic</w:t>
      </w:r>
      <w:proofErr w:type="spellEnd"/>
      <w:r>
        <w:rPr>
          <w:rFonts w:ascii="Times New Roman" w:hAnsi="Times New Roman"/>
          <w:sz w:val="24"/>
        </w:rPr>
        <w:t xml:space="preserve">. Enfin, dans la troisième critique littéraire, </w:t>
      </w:r>
      <w:proofErr w:type="spellStart"/>
      <w:r>
        <w:rPr>
          <w:rFonts w:ascii="Times New Roman" w:hAnsi="Times New Roman"/>
          <w:sz w:val="24"/>
        </w:rPr>
        <w:t>Changha</w:t>
      </w:r>
      <w:proofErr w:type="spellEnd"/>
      <w:r>
        <w:rPr>
          <w:rFonts w:ascii="Times New Roman" w:hAnsi="Times New Roman"/>
          <w:sz w:val="24"/>
        </w:rPr>
        <w:t xml:space="preserve"> Lee examine le volume </w:t>
      </w:r>
      <w:proofErr w:type="spellStart"/>
      <w:r>
        <w:rPr>
          <w:rFonts w:ascii="Times New Roman" w:hAnsi="Times New Roman"/>
          <w:sz w:val="24"/>
        </w:rPr>
        <w:t>co-publié</w:t>
      </w:r>
      <w:proofErr w:type="spellEnd"/>
      <w:r>
        <w:rPr>
          <w:rFonts w:ascii="Times New Roman" w:hAnsi="Times New Roman"/>
          <w:sz w:val="24"/>
        </w:rPr>
        <w:t xml:space="preserve"> par Daniel A. Wagner, Nathan M. Castillo et Suzanne Grant Lewis, </w:t>
      </w:r>
      <w:r>
        <w:rPr>
          <w:rFonts w:ascii="Times New Roman" w:hAnsi="Times New Roman"/>
          <w:i/>
          <w:sz w:val="24"/>
        </w:rPr>
        <w:t xml:space="preserve">Learning, </w:t>
      </w:r>
      <w:proofErr w:type="spellStart"/>
      <w:r>
        <w:rPr>
          <w:rFonts w:ascii="Times New Roman" w:hAnsi="Times New Roman"/>
          <w:i/>
          <w:sz w:val="24"/>
        </w:rPr>
        <w:t>Marginalization</w:t>
      </w:r>
      <w:proofErr w:type="spellEnd"/>
      <w:r>
        <w:rPr>
          <w:rFonts w:ascii="Times New Roman" w:hAnsi="Times New Roman"/>
          <w:i/>
          <w:sz w:val="24"/>
        </w:rPr>
        <w:t xml:space="preserve">, and </w:t>
      </w:r>
      <w:proofErr w:type="spellStart"/>
      <w:r>
        <w:rPr>
          <w:rFonts w:ascii="Times New Roman" w:hAnsi="Times New Roman"/>
          <w:i/>
          <w:sz w:val="24"/>
        </w:rPr>
        <w:t>Improving</w:t>
      </w:r>
      <w:proofErr w:type="spellEnd"/>
      <w:r>
        <w:rPr>
          <w:rFonts w:ascii="Times New Roman" w:hAnsi="Times New Roman"/>
          <w:i/>
          <w:sz w:val="24"/>
        </w:rPr>
        <w:t xml:space="preserve"> the </w:t>
      </w:r>
      <w:proofErr w:type="spellStart"/>
      <w:r>
        <w:rPr>
          <w:rFonts w:ascii="Times New Roman" w:hAnsi="Times New Roman"/>
          <w:i/>
          <w:sz w:val="24"/>
        </w:rPr>
        <w:t>Quality</w:t>
      </w:r>
      <w:proofErr w:type="spellEnd"/>
      <w:r>
        <w:rPr>
          <w:rFonts w:ascii="Times New Roman" w:hAnsi="Times New Roman"/>
          <w:i/>
          <w:sz w:val="24"/>
        </w:rPr>
        <w:t xml:space="preserve"> of Education in Low-</w:t>
      </w:r>
      <w:proofErr w:type="spellStart"/>
      <w:r>
        <w:rPr>
          <w:rFonts w:ascii="Times New Roman" w:hAnsi="Times New Roman"/>
          <w:i/>
          <w:sz w:val="24"/>
        </w:rPr>
        <w:t>income</w:t>
      </w:r>
      <w:proofErr w:type="spellEnd"/>
      <w:r>
        <w:rPr>
          <w:rFonts w:ascii="Times New Roman" w:hAnsi="Times New Roman"/>
          <w:i/>
          <w:sz w:val="24"/>
        </w:rPr>
        <w:t xml:space="preserve"> Countries</w:t>
      </w:r>
      <w:r>
        <w:rPr>
          <w:rFonts w:ascii="Times New Roman" w:hAnsi="Times New Roman"/>
          <w:sz w:val="24"/>
        </w:rPr>
        <w:t>.</w:t>
      </w:r>
    </w:p>
    <w:p w14:paraId="0955F43D" w14:textId="77777777" w:rsidR="002907B2" w:rsidRPr="00095E29" w:rsidRDefault="002907B2" w:rsidP="00095E29">
      <w:pPr>
        <w:spacing w:after="0" w:line="480" w:lineRule="auto"/>
        <w:jc w:val="both"/>
        <w:rPr>
          <w:rFonts w:ascii="Times New Roman" w:hAnsi="Times New Roman" w:cs="Times New Roman"/>
          <w:sz w:val="24"/>
          <w:szCs w:val="24"/>
        </w:rPr>
      </w:pPr>
    </w:p>
    <w:p w14:paraId="1FDAACD9" w14:textId="77777777" w:rsidR="00095E29" w:rsidRPr="00095E29" w:rsidRDefault="00095E29" w:rsidP="00095E29">
      <w:pPr>
        <w:spacing w:after="0" w:line="480" w:lineRule="auto"/>
        <w:jc w:val="center"/>
        <w:rPr>
          <w:rFonts w:ascii="Times New Roman" w:eastAsia="Times New Roman" w:hAnsi="Times New Roman" w:cs="Times New Roman"/>
          <w:b/>
          <w:bCs/>
          <w:sz w:val="24"/>
          <w:szCs w:val="24"/>
        </w:rPr>
      </w:pPr>
      <w:r>
        <w:rPr>
          <w:rFonts w:ascii="Times New Roman" w:hAnsi="Times New Roman"/>
          <w:b/>
          <w:sz w:val="24"/>
        </w:rPr>
        <w:t>REMERCIEMENTS</w:t>
      </w:r>
    </w:p>
    <w:p w14:paraId="2325CBC3" w14:textId="77777777" w:rsidR="00095E29" w:rsidRPr="00095E29" w:rsidRDefault="00095E29" w:rsidP="00095E29">
      <w:pPr>
        <w:spacing w:after="0" w:line="480" w:lineRule="auto"/>
        <w:jc w:val="both"/>
        <w:rPr>
          <w:rFonts w:ascii="Times New Roman" w:eastAsia="Times New Roman" w:hAnsi="Times New Roman" w:cs="Times New Roman"/>
          <w:sz w:val="24"/>
          <w:szCs w:val="24"/>
        </w:rPr>
      </w:pPr>
    </w:p>
    <w:p w14:paraId="0626F6E7" w14:textId="6F576FE1" w:rsidR="00095E29" w:rsidRDefault="00095E29" w:rsidP="00095E29">
      <w:pPr>
        <w:spacing w:after="0" w:line="480" w:lineRule="auto"/>
        <w:jc w:val="both"/>
        <w:rPr>
          <w:rFonts w:ascii="Times New Roman" w:eastAsia="Times New Roman" w:hAnsi="Times New Roman" w:cs="Times New Roman"/>
          <w:sz w:val="24"/>
          <w:szCs w:val="24"/>
        </w:rPr>
      </w:pPr>
      <w:r>
        <w:rPr>
          <w:rFonts w:ascii="Times New Roman" w:hAnsi="Times New Roman"/>
          <w:sz w:val="24"/>
        </w:rPr>
        <w:t xml:space="preserve">Nous sommes extrêmement reconnaissants à tous ceux qui ont permis la création de ce numéro spécial de </w:t>
      </w:r>
      <w:proofErr w:type="spellStart"/>
      <w:r>
        <w:rPr>
          <w:rFonts w:ascii="Times New Roman" w:hAnsi="Times New Roman"/>
          <w:i/>
          <w:sz w:val="24"/>
        </w:rPr>
        <w:t>JEiE</w:t>
      </w:r>
      <w:proofErr w:type="spellEnd"/>
      <w:r>
        <w:rPr>
          <w:rFonts w:ascii="Times New Roman" w:hAnsi="Times New Roman"/>
          <w:sz w:val="24"/>
        </w:rPr>
        <w:t xml:space="preserve">. Nous tenons à exprimer notre profonde gratitude à la rédactrice en chef du </w:t>
      </w:r>
      <w:proofErr w:type="spellStart"/>
      <w:r>
        <w:rPr>
          <w:rFonts w:ascii="Times New Roman" w:hAnsi="Times New Roman"/>
          <w:i/>
          <w:sz w:val="24"/>
        </w:rPr>
        <w:t>JEiE</w:t>
      </w:r>
      <w:proofErr w:type="spellEnd"/>
      <w:r>
        <w:rPr>
          <w:rFonts w:ascii="Times New Roman" w:hAnsi="Times New Roman"/>
          <w:sz w:val="24"/>
        </w:rPr>
        <w:t xml:space="preserve">, Dana </w:t>
      </w:r>
      <w:proofErr w:type="spellStart"/>
      <w:r>
        <w:rPr>
          <w:rFonts w:ascii="Times New Roman" w:hAnsi="Times New Roman"/>
          <w:sz w:val="24"/>
        </w:rPr>
        <w:t>Burde</w:t>
      </w:r>
      <w:proofErr w:type="spellEnd"/>
      <w:r>
        <w:rPr>
          <w:rFonts w:ascii="Times New Roman" w:hAnsi="Times New Roman"/>
          <w:sz w:val="24"/>
        </w:rPr>
        <w:t xml:space="preserve">, et à son équipe, notamment </w:t>
      </w:r>
      <w:proofErr w:type="spellStart"/>
      <w:r>
        <w:rPr>
          <w:rFonts w:ascii="Times New Roman" w:hAnsi="Times New Roman"/>
          <w:sz w:val="24"/>
        </w:rPr>
        <w:t>Heddy</w:t>
      </w:r>
      <w:proofErr w:type="spellEnd"/>
      <w:r>
        <w:rPr>
          <w:rFonts w:ascii="Times New Roman" w:hAnsi="Times New Roman"/>
          <w:sz w:val="24"/>
        </w:rPr>
        <w:t xml:space="preserve"> </w:t>
      </w:r>
      <w:proofErr w:type="spellStart"/>
      <w:r>
        <w:rPr>
          <w:rFonts w:ascii="Times New Roman" w:hAnsi="Times New Roman"/>
          <w:sz w:val="24"/>
        </w:rPr>
        <w:t>Lahmann</w:t>
      </w:r>
      <w:proofErr w:type="spellEnd"/>
      <w:r>
        <w:rPr>
          <w:rFonts w:ascii="Times New Roman" w:hAnsi="Times New Roman"/>
          <w:sz w:val="24"/>
        </w:rPr>
        <w:t xml:space="preserve">, rédactrice en chef principale et directrice de programme, Nathan Thompson, rédacteur en chef adjoint, Samantha Colón, assistante de rédaction, et João </w:t>
      </w:r>
      <w:proofErr w:type="spellStart"/>
      <w:r>
        <w:rPr>
          <w:rFonts w:ascii="Times New Roman" w:hAnsi="Times New Roman"/>
          <w:sz w:val="24"/>
        </w:rPr>
        <w:t>Souto</w:t>
      </w:r>
      <w:proofErr w:type="spellEnd"/>
      <w:r>
        <w:rPr>
          <w:rFonts w:ascii="Times New Roman" w:hAnsi="Times New Roman"/>
          <w:sz w:val="24"/>
        </w:rPr>
        <w:t xml:space="preserve"> </w:t>
      </w:r>
      <w:proofErr w:type="spellStart"/>
      <w:r>
        <w:rPr>
          <w:rFonts w:ascii="Times New Roman" w:hAnsi="Times New Roman"/>
          <w:sz w:val="24"/>
        </w:rPr>
        <w:t>Maior</w:t>
      </w:r>
      <w:proofErr w:type="spellEnd"/>
      <w:r>
        <w:rPr>
          <w:rFonts w:ascii="Times New Roman" w:hAnsi="Times New Roman"/>
          <w:sz w:val="24"/>
        </w:rPr>
        <w:t xml:space="preserve">, réviseur technique. Nous remercions les membres du comité de rédaction du </w:t>
      </w:r>
      <w:proofErr w:type="spellStart"/>
      <w:r>
        <w:rPr>
          <w:rFonts w:ascii="Times New Roman" w:hAnsi="Times New Roman"/>
          <w:i/>
          <w:sz w:val="24"/>
        </w:rPr>
        <w:t>JEiE</w:t>
      </w:r>
      <w:proofErr w:type="spellEnd"/>
      <w:r>
        <w:rPr>
          <w:rFonts w:ascii="Times New Roman" w:hAnsi="Times New Roman"/>
          <w:sz w:val="24"/>
        </w:rPr>
        <w:t xml:space="preserve">, Carine </w:t>
      </w:r>
      <w:proofErr w:type="spellStart"/>
      <w:r>
        <w:rPr>
          <w:rFonts w:ascii="Times New Roman" w:hAnsi="Times New Roman"/>
          <w:sz w:val="24"/>
        </w:rPr>
        <w:t>Allaf</w:t>
      </w:r>
      <w:proofErr w:type="spellEnd"/>
      <w:r>
        <w:rPr>
          <w:rFonts w:ascii="Times New Roman" w:hAnsi="Times New Roman"/>
          <w:sz w:val="24"/>
        </w:rPr>
        <w:t xml:space="preserve">, Augustino Ting </w:t>
      </w:r>
      <w:proofErr w:type="spellStart"/>
      <w:r>
        <w:rPr>
          <w:rFonts w:ascii="Times New Roman" w:hAnsi="Times New Roman"/>
          <w:sz w:val="24"/>
        </w:rPr>
        <w:t>Mayai</w:t>
      </w:r>
      <w:proofErr w:type="spellEnd"/>
      <w:r>
        <w:rPr>
          <w:rFonts w:ascii="Times New Roman" w:hAnsi="Times New Roman"/>
          <w:sz w:val="24"/>
        </w:rPr>
        <w:t xml:space="preserve">, Ruth </w:t>
      </w:r>
      <w:proofErr w:type="spellStart"/>
      <w:r>
        <w:rPr>
          <w:rFonts w:ascii="Times New Roman" w:hAnsi="Times New Roman"/>
          <w:sz w:val="24"/>
        </w:rPr>
        <w:t>Naylor</w:t>
      </w:r>
      <w:proofErr w:type="spellEnd"/>
      <w:r>
        <w:rPr>
          <w:rFonts w:ascii="Times New Roman" w:hAnsi="Times New Roman"/>
          <w:sz w:val="24"/>
        </w:rPr>
        <w:t xml:space="preserve">, S. Garnett Russell et James Williams, pour leur leadership constant et réfléchi en matière de recherche et de pratiques dans le </w:t>
      </w:r>
      <w:r>
        <w:rPr>
          <w:rFonts w:ascii="Times New Roman" w:hAnsi="Times New Roman"/>
          <w:sz w:val="24"/>
        </w:rPr>
        <w:lastRenderedPageBreak/>
        <w:t xml:space="preserve">domaine de l’éducation en situation d’urgence. Nous remercions en particulier </w:t>
      </w:r>
      <w:proofErr w:type="spellStart"/>
      <w:r>
        <w:rPr>
          <w:rFonts w:ascii="Times New Roman" w:hAnsi="Times New Roman"/>
          <w:sz w:val="24"/>
        </w:rPr>
        <w:t>Randa</w:t>
      </w:r>
      <w:proofErr w:type="spellEnd"/>
      <w:r>
        <w:rPr>
          <w:rFonts w:ascii="Times New Roman" w:hAnsi="Times New Roman"/>
          <w:sz w:val="24"/>
        </w:rPr>
        <w:t xml:space="preserve"> Grob-</w:t>
      </w:r>
      <w:proofErr w:type="spellStart"/>
      <w:r>
        <w:rPr>
          <w:rFonts w:ascii="Times New Roman" w:hAnsi="Times New Roman"/>
          <w:sz w:val="24"/>
        </w:rPr>
        <w:t>Zakhary</w:t>
      </w:r>
      <w:proofErr w:type="spellEnd"/>
      <w:r>
        <w:rPr>
          <w:rFonts w:ascii="Times New Roman" w:hAnsi="Times New Roman"/>
          <w:sz w:val="24"/>
        </w:rPr>
        <w:t xml:space="preserve"> pour son leadership dans l’initiation et l’orientation de ce numéro spécial, et pour le généreux soutien financier apporté à ce numéro par Education.org. Nous sommes profondément reconnaissants du financement de ce numéro spécial par la Fondation </w:t>
      </w:r>
      <w:proofErr w:type="spellStart"/>
      <w:r>
        <w:rPr>
          <w:rFonts w:ascii="Times New Roman" w:hAnsi="Times New Roman"/>
          <w:sz w:val="24"/>
        </w:rPr>
        <w:t>Porticus</w:t>
      </w:r>
      <w:proofErr w:type="spellEnd"/>
      <w:r>
        <w:rPr>
          <w:rFonts w:ascii="Times New Roman" w:hAnsi="Times New Roman"/>
          <w:sz w:val="24"/>
        </w:rPr>
        <w:t xml:space="preserve">. Le </w:t>
      </w:r>
      <w:proofErr w:type="spellStart"/>
      <w:r>
        <w:rPr>
          <w:rFonts w:ascii="Times New Roman" w:hAnsi="Times New Roman"/>
          <w:i/>
          <w:sz w:val="24"/>
        </w:rPr>
        <w:t>JEiE</w:t>
      </w:r>
      <w:proofErr w:type="spellEnd"/>
      <w:r>
        <w:rPr>
          <w:rFonts w:ascii="Times New Roman" w:hAnsi="Times New Roman"/>
          <w:i/>
          <w:sz w:val="24"/>
        </w:rPr>
        <w:t xml:space="preserve"> </w:t>
      </w:r>
      <w:r>
        <w:rPr>
          <w:rFonts w:ascii="Times New Roman" w:hAnsi="Times New Roman"/>
          <w:sz w:val="24"/>
        </w:rPr>
        <w:t xml:space="preserve">est hébergé par le département des statistiques appliquées, des sciences sociales et des sciences humaines de l’université de New York, le programme d’éducation internationale et le Center for Practice and </w:t>
      </w:r>
      <w:proofErr w:type="spellStart"/>
      <w:r>
        <w:rPr>
          <w:rFonts w:ascii="Times New Roman" w:hAnsi="Times New Roman"/>
          <w:sz w:val="24"/>
        </w:rPr>
        <w:t>Research</w:t>
      </w:r>
      <w:proofErr w:type="spellEnd"/>
      <w:r>
        <w:rPr>
          <w:rFonts w:ascii="Times New Roman" w:hAnsi="Times New Roman"/>
          <w:sz w:val="24"/>
        </w:rPr>
        <w:t xml:space="preserve"> at the Intersection of Information, Society, and </w:t>
      </w:r>
      <w:proofErr w:type="spellStart"/>
      <w:r>
        <w:rPr>
          <w:rFonts w:ascii="Times New Roman" w:hAnsi="Times New Roman"/>
          <w:sz w:val="24"/>
        </w:rPr>
        <w:t>Methodology</w:t>
      </w:r>
      <w:proofErr w:type="spellEnd"/>
      <w:r>
        <w:rPr>
          <w:rFonts w:ascii="Times New Roman" w:hAnsi="Times New Roman"/>
          <w:sz w:val="24"/>
        </w:rPr>
        <w:t xml:space="preserve"> (PRIISM). La publication de ce numéro spécial de </w:t>
      </w:r>
      <w:proofErr w:type="spellStart"/>
      <w:r>
        <w:rPr>
          <w:rFonts w:ascii="Times New Roman" w:hAnsi="Times New Roman"/>
          <w:i/>
          <w:sz w:val="24"/>
        </w:rPr>
        <w:t>JEiE</w:t>
      </w:r>
      <w:proofErr w:type="spellEnd"/>
      <w:r>
        <w:rPr>
          <w:rFonts w:ascii="Times New Roman" w:hAnsi="Times New Roman"/>
          <w:sz w:val="24"/>
        </w:rPr>
        <w:t xml:space="preserve"> aurait été impossible sans leurs services administratifs essentiels, leurs espaces de réunion, leurs services de bibliothèque et autres. Dean Brooks, Sonja Anderson, Peter </w:t>
      </w:r>
      <w:proofErr w:type="spellStart"/>
      <w:r>
        <w:rPr>
          <w:rFonts w:ascii="Times New Roman" w:hAnsi="Times New Roman"/>
          <w:sz w:val="24"/>
        </w:rPr>
        <w:t>Transburg</w:t>
      </w:r>
      <w:proofErr w:type="spellEnd"/>
      <w:r>
        <w:rPr>
          <w:rFonts w:ascii="Times New Roman" w:hAnsi="Times New Roman"/>
          <w:sz w:val="24"/>
        </w:rPr>
        <w:t xml:space="preserve">, Sarah Montgomery, Lindsey Fraser, Matt Michaels, et bien d’autres à l’INEE ont joué un rôle essentiel en soutenant le </w:t>
      </w:r>
      <w:proofErr w:type="spellStart"/>
      <w:r>
        <w:rPr>
          <w:rFonts w:ascii="Times New Roman" w:hAnsi="Times New Roman"/>
          <w:i/>
          <w:sz w:val="24"/>
        </w:rPr>
        <w:t>JEiE</w:t>
      </w:r>
      <w:proofErr w:type="spellEnd"/>
      <w:r>
        <w:rPr>
          <w:rFonts w:ascii="Times New Roman" w:hAnsi="Times New Roman"/>
          <w:i/>
          <w:sz w:val="24"/>
        </w:rPr>
        <w:t xml:space="preserve"> </w:t>
      </w:r>
      <w:r>
        <w:rPr>
          <w:rFonts w:ascii="Times New Roman" w:hAnsi="Times New Roman"/>
          <w:sz w:val="24"/>
        </w:rPr>
        <w:t xml:space="preserve">pour conserver et diffuser des recherches de haute qualité. Nous remercions </w:t>
      </w:r>
      <w:proofErr w:type="spellStart"/>
      <w:r>
        <w:rPr>
          <w:rFonts w:ascii="Times New Roman" w:hAnsi="Times New Roman"/>
          <w:sz w:val="24"/>
        </w:rPr>
        <w:t>Dody</w:t>
      </w:r>
      <w:proofErr w:type="spellEnd"/>
      <w:r>
        <w:rPr>
          <w:rFonts w:ascii="Times New Roman" w:hAnsi="Times New Roman"/>
          <w:sz w:val="24"/>
        </w:rPr>
        <w:t xml:space="preserve"> </w:t>
      </w:r>
      <w:proofErr w:type="spellStart"/>
      <w:r>
        <w:rPr>
          <w:rFonts w:ascii="Times New Roman" w:hAnsi="Times New Roman"/>
          <w:sz w:val="24"/>
        </w:rPr>
        <w:t>Riggs</w:t>
      </w:r>
      <w:proofErr w:type="spellEnd"/>
      <w:r>
        <w:rPr>
          <w:rFonts w:ascii="Times New Roman" w:hAnsi="Times New Roman"/>
          <w:sz w:val="24"/>
        </w:rPr>
        <w:t>, notre rédacteur en chef, et Patrick McCarthy, notre concepteur, pour leur travail acharné sur ce numéro. Nous remercions également les chercheurs et les praticiens qui ont réalisé les importants travaux présentés ici. Enfin, nous exprimons notre reconnaissance et notre gratitude aux nombreux pairs examinateurs anonymes qui ont généreusement offert de leur temps et de leur expertise, en particulier pendant les défis posés par la pandémie de COVID-19.</w:t>
      </w:r>
    </w:p>
    <w:p w14:paraId="086BEDF2" w14:textId="77777777" w:rsidR="00095E29" w:rsidRPr="00095E29" w:rsidRDefault="00095E29" w:rsidP="00095E29">
      <w:pPr>
        <w:spacing w:after="0" w:line="480" w:lineRule="auto"/>
        <w:jc w:val="both"/>
        <w:rPr>
          <w:rFonts w:ascii="Times New Roman" w:hAnsi="Times New Roman" w:cs="Times New Roman"/>
          <w:sz w:val="24"/>
          <w:szCs w:val="24"/>
        </w:rPr>
      </w:pPr>
    </w:p>
    <w:p w14:paraId="465B81B8" w14:textId="3F8C585E" w:rsidR="00095E29" w:rsidRPr="00095E29" w:rsidRDefault="00095E29" w:rsidP="00095E29">
      <w:pPr>
        <w:spacing w:after="0" w:line="480" w:lineRule="auto"/>
        <w:rPr>
          <w:rFonts w:ascii="Times New Roman" w:hAnsi="Times New Roman" w:cs="Times New Roman"/>
          <w:b/>
          <w:bCs/>
          <w:sz w:val="24"/>
          <w:szCs w:val="24"/>
        </w:rPr>
      </w:pPr>
      <w:r>
        <w:br w:type="page"/>
      </w:r>
    </w:p>
    <w:p w14:paraId="06F0E92B" w14:textId="7799122F" w:rsidR="0083761C" w:rsidRPr="00095E29" w:rsidRDefault="002907B2" w:rsidP="00095E29">
      <w:pPr>
        <w:spacing w:after="0" w:line="480" w:lineRule="auto"/>
        <w:jc w:val="center"/>
        <w:rPr>
          <w:rFonts w:ascii="Times New Roman" w:hAnsi="Times New Roman" w:cs="Times New Roman"/>
          <w:b/>
          <w:bCs/>
          <w:sz w:val="24"/>
          <w:szCs w:val="24"/>
        </w:rPr>
      </w:pPr>
      <w:r>
        <w:rPr>
          <w:rFonts w:ascii="Times New Roman" w:hAnsi="Times New Roman"/>
          <w:b/>
          <w:sz w:val="24"/>
        </w:rPr>
        <w:lastRenderedPageBreak/>
        <w:t>RÉFÉRENCES</w:t>
      </w:r>
    </w:p>
    <w:p w14:paraId="17B10ABD" w14:textId="30CCE41F" w:rsidR="002907B2" w:rsidRPr="00095E29" w:rsidRDefault="002907B2" w:rsidP="00095E29">
      <w:pPr>
        <w:spacing w:after="0" w:line="480" w:lineRule="auto"/>
        <w:jc w:val="both"/>
        <w:rPr>
          <w:rFonts w:ascii="Times New Roman" w:hAnsi="Times New Roman" w:cs="Times New Roman"/>
          <w:sz w:val="24"/>
          <w:szCs w:val="24"/>
        </w:rPr>
      </w:pPr>
    </w:p>
    <w:p w14:paraId="53B04106" w14:textId="2FB34865" w:rsidR="00BD3B4A" w:rsidRPr="00A3471E" w:rsidRDefault="00BD3B4A" w:rsidP="00095E29">
      <w:pPr>
        <w:spacing w:after="0" w:line="480" w:lineRule="auto"/>
        <w:ind w:left="720" w:hanging="720"/>
        <w:jc w:val="both"/>
        <w:rPr>
          <w:rFonts w:ascii="Times New Roman" w:hAnsi="Times New Roman" w:cs="Times New Roman"/>
          <w:sz w:val="24"/>
          <w:szCs w:val="24"/>
          <w:lang w:val="en-US"/>
        </w:rPr>
      </w:pPr>
      <w:proofErr w:type="spellStart"/>
      <w:r>
        <w:rPr>
          <w:rFonts w:ascii="Times New Roman" w:hAnsi="Times New Roman"/>
          <w:sz w:val="24"/>
        </w:rPr>
        <w:t>Accioly</w:t>
      </w:r>
      <w:proofErr w:type="spellEnd"/>
      <w:r>
        <w:rPr>
          <w:rFonts w:ascii="Times New Roman" w:hAnsi="Times New Roman"/>
          <w:sz w:val="24"/>
        </w:rPr>
        <w:t xml:space="preserve">, </w:t>
      </w:r>
      <w:proofErr w:type="spellStart"/>
      <w:r>
        <w:rPr>
          <w:rFonts w:ascii="Times New Roman" w:hAnsi="Times New Roman"/>
          <w:sz w:val="24"/>
        </w:rPr>
        <w:t>Inny</w:t>
      </w:r>
      <w:proofErr w:type="spellEnd"/>
      <w:r>
        <w:rPr>
          <w:rFonts w:ascii="Times New Roman" w:hAnsi="Times New Roman"/>
          <w:sz w:val="24"/>
        </w:rPr>
        <w:t xml:space="preserve">, et </w:t>
      </w:r>
      <w:proofErr w:type="spellStart"/>
      <w:r>
        <w:rPr>
          <w:rFonts w:ascii="Times New Roman" w:hAnsi="Times New Roman"/>
          <w:sz w:val="24"/>
        </w:rPr>
        <w:t>Donaldo</w:t>
      </w:r>
      <w:proofErr w:type="spellEnd"/>
      <w:r>
        <w:rPr>
          <w:rFonts w:ascii="Times New Roman" w:hAnsi="Times New Roman"/>
          <w:sz w:val="24"/>
        </w:rPr>
        <w:t xml:space="preserve"> Macedo. </w:t>
      </w:r>
      <w:r w:rsidRPr="00A3471E">
        <w:rPr>
          <w:rFonts w:ascii="Times New Roman" w:hAnsi="Times New Roman"/>
          <w:sz w:val="24"/>
          <w:lang w:val="en-US"/>
        </w:rPr>
        <w:t>2021. « Moving Beyond the Slow Death of Neoliberalism to a Life-Centered Education: An Introduction.</w:t>
      </w:r>
      <w:bookmarkStart w:id="4" w:name="_Hlk96076165"/>
      <w:r w:rsidRPr="00A3471E">
        <w:rPr>
          <w:lang w:val="en-US"/>
        </w:rPr>
        <w:t> »</w:t>
      </w:r>
      <w:r w:rsidRPr="00A3471E">
        <w:rPr>
          <w:rFonts w:ascii="Times New Roman" w:hAnsi="Times New Roman"/>
          <w:sz w:val="24"/>
          <w:lang w:val="en-US"/>
        </w:rPr>
        <w:t xml:space="preserve"> Dans </w:t>
      </w:r>
      <w:r w:rsidRPr="00A3471E">
        <w:rPr>
          <w:rFonts w:ascii="Times New Roman" w:hAnsi="Times New Roman"/>
          <w:i/>
          <w:sz w:val="24"/>
          <w:lang w:val="en-US"/>
        </w:rPr>
        <w:t>Education, Equality and Justice in the New Normal: Global Responses to the Pandemic,</w:t>
      </w:r>
      <w:r w:rsidRPr="00A3471E">
        <w:rPr>
          <w:rFonts w:ascii="Times New Roman" w:hAnsi="Times New Roman"/>
          <w:sz w:val="24"/>
          <w:lang w:val="en-US"/>
        </w:rPr>
        <w:t xml:space="preserve"> </w:t>
      </w:r>
      <w:proofErr w:type="spellStart"/>
      <w:r w:rsidRPr="00A3471E">
        <w:rPr>
          <w:rFonts w:ascii="Times New Roman" w:hAnsi="Times New Roman"/>
          <w:sz w:val="24"/>
          <w:lang w:val="en-US"/>
        </w:rPr>
        <w:t>publié</w:t>
      </w:r>
      <w:proofErr w:type="spellEnd"/>
      <w:r w:rsidRPr="00A3471E">
        <w:rPr>
          <w:rFonts w:ascii="Times New Roman" w:hAnsi="Times New Roman"/>
          <w:sz w:val="24"/>
          <w:lang w:val="en-US"/>
        </w:rPr>
        <w:t xml:space="preserve"> par </w:t>
      </w:r>
      <w:proofErr w:type="spellStart"/>
      <w:r w:rsidRPr="00A3471E">
        <w:rPr>
          <w:rFonts w:ascii="Times New Roman" w:hAnsi="Times New Roman"/>
          <w:sz w:val="24"/>
          <w:lang w:val="en-US"/>
        </w:rPr>
        <w:t>Inny</w:t>
      </w:r>
      <w:proofErr w:type="spellEnd"/>
      <w:r w:rsidRPr="00A3471E">
        <w:rPr>
          <w:rFonts w:ascii="Times New Roman" w:hAnsi="Times New Roman"/>
          <w:sz w:val="24"/>
          <w:lang w:val="en-US"/>
        </w:rPr>
        <w:t xml:space="preserve"> </w:t>
      </w:r>
      <w:proofErr w:type="spellStart"/>
      <w:r w:rsidRPr="00A3471E">
        <w:rPr>
          <w:rFonts w:ascii="Times New Roman" w:hAnsi="Times New Roman"/>
          <w:sz w:val="24"/>
          <w:lang w:val="en-US"/>
        </w:rPr>
        <w:t>Accioly</w:t>
      </w:r>
      <w:proofErr w:type="spellEnd"/>
      <w:r w:rsidRPr="00A3471E">
        <w:rPr>
          <w:rFonts w:ascii="Times New Roman" w:hAnsi="Times New Roman"/>
          <w:sz w:val="24"/>
          <w:lang w:val="en-US"/>
        </w:rPr>
        <w:t xml:space="preserve"> et </w:t>
      </w:r>
      <w:proofErr w:type="spellStart"/>
      <w:r w:rsidRPr="00A3471E">
        <w:rPr>
          <w:rFonts w:ascii="Times New Roman" w:hAnsi="Times New Roman"/>
          <w:sz w:val="24"/>
          <w:lang w:val="en-US"/>
        </w:rPr>
        <w:t>Donaldo</w:t>
      </w:r>
      <w:proofErr w:type="spellEnd"/>
      <w:r w:rsidRPr="00A3471E">
        <w:rPr>
          <w:rFonts w:ascii="Times New Roman" w:hAnsi="Times New Roman"/>
          <w:sz w:val="24"/>
          <w:lang w:val="en-US"/>
        </w:rPr>
        <w:t xml:space="preserve"> Macedo, 1-14. </w:t>
      </w:r>
      <w:proofErr w:type="spellStart"/>
      <w:proofErr w:type="gramStart"/>
      <w:r w:rsidRPr="00A3471E">
        <w:rPr>
          <w:rFonts w:ascii="Times New Roman" w:hAnsi="Times New Roman"/>
          <w:sz w:val="24"/>
          <w:lang w:val="en-US"/>
        </w:rPr>
        <w:t>Londres</w:t>
      </w:r>
      <w:proofErr w:type="spellEnd"/>
      <w:r w:rsidRPr="00A3471E">
        <w:rPr>
          <w:rFonts w:ascii="Times New Roman" w:hAnsi="Times New Roman"/>
          <w:sz w:val="24"/>
          <w:lang w:val="en-US"/>
        </w:rPr>
        <w:t> :</w:t>
      </w:r>
      <w:proofErr w:type="gramEnd"/>
      <w:r w:rsidRPr="00A3471E">
        <w:rPr>
          <w:rFonts w:ascii="Times New Roman" w:hAnsi="Times New Roman"/>
          <w:sz w:val="24"/>
          <w:lang w:val="en-US"/>
        </w:rPr>
        <w:t xml:space="preserve"> Bloomsbury Publishing.</w:t>
      </w:r>
      <w:bookmarkEnd w:id="4"/>
    </w:p>
    <w:p w14:paraId="4F08EDAF" w14:textId="4E3316C1" w:rsidR="00BD3B4A" w:rsidRPr="00A3471E" w:rsidRDefault="00BD3B4A" w:rsidP="00095E29">
      <w:pPr>
        <w:spacing w:after="0" w:line="480" w:lineRule="auto"/>
        <w:ind w:left="720" w:hanging="720"/>
        <w:jc w:val="both"/>
        <w:rPr>
          <w:rFonts w:ascii="Times New Roman" w:hAnsi="Times New Roman" w:cs="Times New Roman"/>
          <w:sz w:val="24"/>
          <w:szCs w:val="24"/>
          <w:lang w:val="en-US"/>
        </w:rPr>
      </w:pPr>
      <w:r w:rsidRPr="00A3471E">
        <w:rPr>
          <w:rFonts w:ascii="Times New Roman" w:hAnsi="Times New Roman"/>
          <w:sz w:val="24"/>
          <w:lang w:val="en-US"/>
        </w:rPr>
        <w:t xml:space="preserve">Arnold, Catharine. 2018. </w:t>
      </w:r>
      <w:r w:rsidRPr="00A3471E">
        <w:rPr>
          <w:rFonts w:ascii="Times New Roman" w:hAnsi="Times New Roman"/>
          <w:i/>
          <w:sz w:val="24"/>
          <w:lang w:val="en-US"/>
        </w:rPr>
        <w:t>Pandemic 1918: Eyewitness Accounts from the Greatest Medical Holocaust in Modern History</w:t>
      </w:r>
      <w:r w:rsidRPr="00A3471E">
        <w:rPr>
          <w:rFonts w:ascii="Times New Roman" w:hAnsi="Times New Roman"/>
          <w:sz w:val="24"/>
          <w:lang w:val="en-US"/>
        </w:rPr>
        <w:t xml:space="preserve">. New </w:t>
      </w:r>
      <w:proofErr w:type="gramStart"/>
      <w:r w:rsidRPr="00A3471E">
        <w:rPr>
          <w:rFonts w:ascii="Times New Roman" w:hAnsi="Times New Roman"/>
          <w:sz w:val="24"/>
          <w:lang w:val="en-US"/>
        </w:rPr>
        <w:t>York :</w:t>
      </w:r>
      <w:proofErr w:type="gramEnd"/>
      <w:r w:rsidRPr="00A3471E">
        <w:rPr>
          <w:rFonts w:ascii="Times New Roman" w:hAnsi="Times New Roman"/>
          <w:sz w:val="24"/>
          <w:lang w:val="en-US"/>
        </w:rPr>
        <w:t xml:space="preserve"> St. Martin’s Press.</w:t>
      </w:r>
    </w:p>
    <w:p w14:paraId="354C49EC" w14:textId="77777777" w:rsidR="00923252" w:rsidRPr="00095E29" w:rsidRDefault="00923252" w:rsidP="00095E29">
      <w:pPr>
        <w:spacing w:after="0" w:line="480" w:lineRule="auto"/>
        <w:ind w:left="720" w:hanging="720"/>
        <w:jc w:val="both"/>
        <w:rPr>
          <w:rFonts w:ascii="Times New Roman" w:hAnsi="Times New Roman" w:cs="Times New Roman"/>
          <w:sz w:val="24"/>
          <w:szCs w:val="24"/>
        </w:rPr>
      </w:pPr>
      <w:r w:rsidRPr="00A3471E">
        <w:rPr>
          <w:rFonts w:ascii="Times New Roman" w:hAnsi="Times New Roman"/>
          <w:sz w:val="24"/>
          <w:lang w:val="en-US"/>
        </w:rPr>
        <w:t xml:space="preserve">Azevedo, João Pedro, Amer Hasan, Diana </w:t>
      </w:r>
      <w:proofErr w:type="spellStart"/>
      <w:r w:rsidRPr="00A3471E">
        <w:rPr>
          <w:rFonts w:ascii="Times New Roman" w:hAnsi="Times New Roman"/>
          <w:sz w:val="24"/>
          <w:lang w:val="en-US"/>
        </w:rPr>
        <w:t>Goldemberg</w:t>
      </w:r>
      <w:proofErr w:type="spellEnd"/>
      <w:r w:rsidRPr="00A3471E">
        <w:rPr>
          <w:rFonts w:ascii="Times New Roman" w:hAnsi="Times New Roman"/>
          <w:sz w:val="24"/>
          <w:lang w:val="en-US"/>
        </w:rPr>
        <w:t xml:space="preserve">, </w:t>
      </w:r>
      <w:proofErr w:type="spellStart"/>
      <w:r w:rsidRPr="00A3471E">
        <w:rPr>
          <w:rFonts w:ascii="Times New Roman" w:hAnsi="Times New Roman"/>
          <w:sz w:val="24"/>
          <w:lang w:val="en-US"/>
        </w:rPr>
        <w:t>Syedah</w:t>
      </w:r>
      <w:proofErr w:type="spellEnd"/>
      <w:r w:rsidRPr="00A3471E">
        <w:rPr>
          <w:rFonts w:ascii="Times New Roman" w:hAnsi="Times New Roman"/>
          <w:sz w:val="24"/>
          <w:lang w:val="en-US"/>
        </w:rPr>
        <w:t xml:space="preserve"> </w:t>
      </w:r>
      <w:proofErr w:type="spellStart"/>
      <w:r w:rsidRPr="00A3471E">
        <w:rPr>
          <w:rFonts w:ascii="Times New Roman" w:hAnsi="Times New Roman"/>
          <w:sz w:val="24"/>
          <w:lang w:val="en-US"/>
        </w:rPr>
        <w:t>Aroob</w:t>
      </w:r>
      <w:proofErr w:type="spellEnd"/>
      <w:r w:rsidRPr="00A3471E">
        <w:rPr>
          <w:rFonts w:ascii="Times New Roman" w:hAnsi="Times New Roman"/>
          <w:sz w:val="24"/>
          <w:lang w:val="en-US"/>
        </w:rPr>
        <w:t xml:space="preserve"> Iqbal et Koen </w:t>
      </w:r>
      <w:proofErr w:type="spellStart"/>
      <w:r w:rsidRPr="00A3471E">
        <w:rPr>
          <w:rFonts w:ascii="Times New Roman" w:hAnsi="Times New Roman"/>
          <w:sz w:val="24"/>
          <w:lang w:val="en-US"/>
        </w:rPr>
        <w:t>Geven</w:t>
      </w:r>
      <w:proofErr w:type="spellEnd"/>
      <w:r w:rsidRPr="00A3471E">
        <w:rPr>
          <w:rFonts w:ascii="Times New Roman" w:hAnsi="Times New Roman"/>
          <w:sz w:val="24"/>
          <w:lang w:val="en-US"/>
        </w:rPr>
        <w:t xml:space="preserve">. 2020. « Simulating the Potential Impacts of the COVID-19 School Closures on Schooling and Learning Outcomes: A Set of Global Estimates. » </w:t>
      </w:r>
      <w:r>
        <w:rPr>
          <w:rFonts w:ascii="Times New Roman" w:hAnsi="Times New Roman"/>
          <w:sz w:val="24"/>
        </w:rPr>
        <w:t xml:space="preserve">Washington, DC : Banque mondiale. </w:t>
      </w:r>
      <w:hyperlink r:id="rId8" w:history="1">
        <w:r>
          <w:rPr>
            <w:rStyle w:val="Lienhypertexte"/>
            <w:rFonts w:ascii="Times New Roman" w:hAnsi="Times New Roman"/>
            <w:sz w:val="24"/>
          </w:rPr>
          <w:t>https://thedocs.worldbank.org/en/doc/798061592482682799-0090022020/original/covidandeducationJune17r6.pdf</w:t>
        </w:r>
      </w:hyperlink>
      <w:r>
        <w:rPr>
          <w:rFonts w:ascii="Times New Roman" w:hAnsi="Times New Roman"/>
          <w:sz w:val="24"/>
        </w:rPr>
        <w:t xml:space="preserve">. </w:t>
      </w:r>
    </w:p>
    <w:p w14:paraId="70129E5E" w14:textId="4FA70302" w:rsidR="00BD3B4A" w:rsidRPr="00095E29" w:rsidRDefault="00BD3B4A" w:rsidP="00095E29">
      <w:pPr>
        <w:spacing w:after="0" w:line="480" w:lineRule="auto"/>
        <w:ind w:left="720" w:hanging="720"/>
        <w:jc w:val="both"/>
        <w:rPr>
          <w:rFonts w:ascii="Times New Roman" w:hAnsi="Times New Roman" w:cs="Times New Roman"/>
          <w:sz w:val="24"/>
          <w:szCs w:val="24"/>
        </w:rPr>
      </w:pPr>
      <w:r>
        <w:rPr>
          <w:rFonts w:ascii="Times New Roman" w:hAnsi="Times New Roman"/>
          <w:sz w:val="24"/>
        </w:rPr>
        <w:t xml:space="preserve">Centres de contrôle et de prévention des maladies (CDC). 2022. </w:t>
      </w:r>
      <w:r w:rsidRPr="00A3471E">
        <w:rPr>
          <w:rFonts w:ascii="Times New Roman" w:hAnsi="Times New Roman"/>
          <w:sz w:val="24"/>
          <w:lang w:val="en-US"/>
        </w:rPr>
        <w:t xml:space="preserve">« Risk for COVID-19 Infection, Hospitalization, and Death by Race/Ethnicity. » </w:t>
      </w:r>
      <w:r>
        <w:t>CDC, 15 septembre 2022</w:t>
      </w:r>
      <w:r>
        <w:rPr>
          <w:rFonts w:ascii="Times New Roman" w:hAnsi="Times New Roman"/>
          <w:sz w:val="24"/>
        </w:rPr>
        <w:t xml:space="preserve">. </w:t>
      </w:r>
      <w:hyperlink r:id="rId9" w:history="1">
        <w:r>
          <w:rPr>
            <w:rStyle w:val="Lienhypertexte"/>
            <w:rFonts w:ascii="Times New Roman" w:hAnsi="Times New Roman"/>
            <w:sz w:val="24"/>
          </w:rPr>
          <w:t>https://www.cdc.gov/coronavirus/2019-ncov/covid-data/investigations-discovery/hospitalization-death-by-race-ethnicity.html</w:t>
        </w:r>
      </w:hyperlink>
      <w:r>
        <w:rPr>
          <w:rFonts w:ascii="Times New Roman" w:hAnsi="Times New Roman"/>
          <w:sz w:val="24"/>
        </w:rPr>
        <w:t xml:space="preserve">. </w:t>
      </w:r>
    </w:p>
    <w:p w14:paraId="18933935" w14:textId="313D774C" w:rsidR="00BD3B4A" w:rsidRPr="00095E29" w:rsidRDefault="00BD3B4A" w:rsidP="00095E29">
      <w:pPr>
        <w:spacing w:after="0" w:line="480" w:lineRule="auto"/>
        <w:ind w:left="720" w:hanging="720"/>
        <w:jc w:val="both"/>
        <w:rPr>
          <w:rFonts w:ascii="Times New Roman" w:hAnsi="Times New Roman" w:cs="Times New Roman"/>
          <w:sz w:val="24"/>
          <w:szCs w:val="24"/>
        </w:rPr>
      </w:pPr>
      <w:r w:rsidRPr="00A3471E">
        <w:rPr>
          <w:rFonts w:ascii="Times New Roman" w:hAnsi="Times New Roman"/>
          <w:sz w:val="24"/>
          <w:lang w:val="en-US"/>
        </w:rPr>
        <w:t xml:space="preserve">Crompton, Helen, Katy Jordan, Samuel Wilson, et Susan Nicolai. 2021. « Making Visible’ Inequality: Remote Learning with Technology during COVID-19. » </w:t>
      </w:r>
      <w:r>
        <w:rPr>
          <w:rFonts w:ascii="Times New Roman" w:hAnsi="Times New Roman"/>
          <w:i/>
          <w:sz w:val="24"/>
        </w:rPr>
        <w:t xml:space="preserve">Numéro spécial NORRAG </w:t>
      </w:r>
      <w:r>
        <w:rPr>
          <w:rFonts w:ascii="Times New Roman" w:hAnsi="Times New Roman"/>
          <w:sz w:val="24"/>
        </w:rPr>
        <w:t xml:space="preserve">6 : 62-63. </w:t>
      </w:r>
      <w:hyperlink r:id="rId10" w:history="1">
        <w:r>
          <w:rPr>
            <w:rStyle w:val="Lienhypertexte"/>
            <w:rFonts w:ascii="Times New Roman" w:hAnsi="Times New Roman"/>
            <w:sz w:val="24"/>
          </w:rPr>
          <w:t>https://resources.norrag.org/resource/view/659/385</w:t>
        </w:r>
      </w:hyperlink>
      <w:r>
        <w:rPr>
          <w:rFonts w:ascii="Times New Roman" w:hAnsi="Times New Roman"/>
          <w:sz w:val="24"/>
        </w:rPr>
        <w:t xml:space="preserve">. </w:t>
      </w:r>
    </w:p>
    <w:p w14:paraId="1C9B9C7F" w14:textId="3E231C4C" w:rsidR="00BD3B4A" w:rsidRPr="00A3471E" w:rsidRDefault="00BD3B4A" w:rsidP="00095E29">
      <w:pPr>
        <w:spacing w:after="0" w:line="480" w:lineRule="auto"/>
        <w:ind w:left="720" w:hanging="720"/>
        <w:jc w:val="both"/>
        <w:rPr>
          <w:rFonts w:ascii="Times New Roman" w:hAnsi="Times New Roman" w:cs="Times New Roman"/>
          <w:sz w:val="24"/>
          <w:szCs w:val="24"/>
          <w:lang w:val="en-US"/>
        </w:rPr>
      </w:pPr>
      <w:bookmarkStart w:id="5" w:name="_Hlk66104577"/>
      <w:r>
        <w:rPr>
          <w:rFonts w:ascii="Times New Roman" w:hAnsi="Times New Roman"/>
          <w:sz w:val="24"/>
        </w:rPr>
        <w:t>Grob-</w:t>
      </w:r>
      <w:proofErr w:type="spellStart"/>
      <w:r>
        <w:rPr>
          <w:rFonts w:ascii="Times New Roman" w:hAnsi="Times New Roman"/>
          <w:sz w:val="24"/>
        </w:rPr>
        <w:t>Zakhary</w:t>
      </w:r>
      <w:proofErr w:type="spellEnd"/>
      <w:r>
        <w:rPr>
          <w:rFonts w:ascii="Times New Roman" w:hAnsi="Times New Roman"/>
          <w:sz w:val="24"/>
        </w:rPr>
        <w:t>,</w:t>
      </w:r>
      <w:bookmarkEnd w:id="5"/>
      <w:r>
        <w:rPr>
          <w:rFonts w:ascii="Times New Roman" w:hAnsi="Times New Roman"/>
          <w:sz w:val="24"/>
        </w:rPr>
        <w:t xml:space="preserve"> </w:t>
      </w:r>
      <w:proofErr w:type="spellStart"/>
      <w:r>
        <w:rPr>
          <w:rFonts w:ascii="Times New Roman" w:hAnsi="Times New Roman"/>
          <w:sz w:val="24"/>
        </w:rPr>
        <w:t>Randa</w:t>
      </w:r>
      <w:proofErr w:type="spellEnd"/>
      <w:r>
        <w:rPr>
          <w:rFonts w:ascii="Times New Roman" w:hAnsi="Times New Roman"/>
          <w:sz w:val="24"/>
        </w:rPr>
        <w:t xml:space="preserve">, Andrew </w:t>
      </w:r>
      <w:proofErr w:type="spellStart"/>
      <w:r>
        <w:rPr>
          <w:rFonts w:ascii="Times New Roman" w:hAnsi="Times New Roman"/>
          <w:sz w:val="24"/>
        </w:rPr>
        <w:t>Bollington</w:t>
      </w:r>
      <w:proofErr w:type="spellEnd"/>
      <w:r>
        <w:rPr>
          <w:rFonts w:ascii="Times New Roman" w:hAnsi="Times New Roman"/>
          <w:sz w:val="24"/>
        </w:rPr>
        <w:t xml:space="preserve">, Domitille Harb, Beau </w:t>
      </w:r>
      <w:proofErr w:type="spellStart"/>
      <w:r>
        <w:rPr>
          <w:rFonts w:ascii="Times New Roman" w:hAnsi="Times New Roman"/>
          <w:sz w:val="24"/>
        </w:rPr>
        <w:t>Crowder</w:t>
      </w:r>
      <w:proofErr w:type="spellEnd"/>
      <w:r>
        <w:rPr>
          <w:rFonts w:ascii="Times New Roman" w:hAnsi="Times New Roman"/>
          <w:sz w:val="24"/>
        </w:rPr>
        <w:t xml:space="preserve">, et </w:t>
      </w:r>
      <w:proofErr w:type="spellStart"/>
      <w:r>
        <w:rPr>
          <w:rFonts w:ascii="Times New Roman" w:hAnsi="Times New Roman"/>
          <w:sz w:val="24"/>
        </w:rPr>
        <w:t>Aleesha</w:t>
      </w:r>
      <w:proofErr w:type="spellEnd"/>
      <w:r>
        <w:rPr>
          <w:rFonts w:ascii="Times New Roman" w:hAnsi="Times New Roman"/>
          <w:sz w:val="24"/>
        </w:rPr>
        <w:t xml:space="preserve"> Taylor. 2021. « One </w:t>
      </w:r>
      <w:proofErr w:type="spellStart"/>
      <w:r>
        <w:rPr>
          <w:rFonts w:ascii="Times New Roman" w:hAnsi="Times New Roman"/>
          <w:sz w:val="24"/>
        </w:rPr>
        <w:t>Year</w:t>
      </w:r>
      <w:proofErr w:type="spellEnd"/>
      <w:r>
        <w:rPr>
          <w:rFonts w:ascii="Times New Roman" w:hAnsi="Times New Roman"/>
          <w:sz w:val="24"/>
        </w:rPr>
        <w:t xml:space="preserve"> of </w:t>
      </w:r>
      <w:proofErr w:type="spellStart"/>
      <w:r>
        <w:rPr>
          <w:rFonts w:ascii="Times New Roman" w:hAnsi="Times New Roman"/>
          <w:sz w:val="24"/>
        </w:rPr>
        <w:t>School</w:t>
      </w:r>
      <w:proofErr w:type="spellEnd"/>
      <w:r>
        <w:rPr>
          <w:rFonts w:ascii="Times New Roman" w:hAnsi="Times New Roman"/>
          <w:sz w:val="24"/>
        </w:rPr>
        <w:t xml:space="preserve"> Disruption. » </w:t>
      </w:r>
      <w:proofErr w:type="gramStart"/>
      <w:r w:rsidRPr="00A3471E">
        <w:rPr>
          <w:rFonts w:ascii="Times New Roman" w:hAnsi="Times New Roman"/>
          <w:sz w:val="24"/>
          <w:lang w:val="en-US"/>
        </w:rPr>
        <w:t>Zurich :</w:t>
      </w:r>
      <w:proofErr w:type="gramEnd"/>
      <w:r w:rsidRPr="00A3471E">
        <w:rPr>
          <w:rFonts w:ascii="Times New Roman" w:hAnsi="Times New Roman"/>
          <w:sz w:val="24"/>
          <w:lang w:val="en-US"/>
        </w:rPr>
        <w:t xml:space="preserve"> Education.org. </w:t>
      </w:r>
      <w:hyperlink r:id="rId11" w:history="1">
        <w:r w:rsidRPr="00A3471E">
          <w:rPr>
            <w:rStyle w:val="Lienhypertexte"/>
            <w:rFonts w:ascii="Times New Roman" w:hAnsi="Times New Roman"/>
            <w:sz w:val="24"/>
            <w:lang w:val="en-US"/>
          </w:rPr>
          <w:t>https://education.org/facts-and-insights</w:t>
        </w:r>
      </w:hyperlink>
      <w:r w:rsidRPr="00A3471E">
        <w:rPr>
          <w:rFonts w:ascii="Times New Roman" w:hAnsi="Times New Roman"/>
          <w:sz w:val="24"/>
          <w:lang w:val="en-US"/>
        </w:rPr>
        <w:t xml:space="preserve">. </w:t>
      </w:r>
    </w:p>
    <w:p w14:paraId="6C670E6C" w14:textId="76CF246E" w:rsidR="00BD3B4A" w:rsidRPr="00A3471E" w:rsidRDefault="00BD3B4A" w:rsidP="00095E29">
      <w:pPr>
        <w:spacing w:after="0" w:line="480" w:lineRule="auto"/>
        <w:ind w:left="720" w:hanging="720"/>
        <w:jc w:val="both"/>
        <w:rPr>
          <w:rFonts w:ascii="Times New Roman" w:hAnsi="Times New Roman" w:cs="Times New Roman"/>
          <w:sz w:val="24"/>
          <w:szCs w:val="24"/>
          <w:lang w:val="en-US"/>
        </w:rPr>
      </w:pPr>
      <w:proofErr w:type="spellStart"/>
      <w:r w:rsidRPr="00A3471E">
        <w:rPr>
          <w:rFonts w:ascii="Times New Roman" w:hAnsi="Times New Roman"/>
          <w:sz w:val="24"/>
          <w:lang w:val="en-US"/>
        </w:rPr>
        <w:lastRenderedPageBreak/>
        <w:t>Inal</w:t>
      </w:r>
      <w:proofErr w:type="spellEnd"/>
      <w:r w:rsidRPr="00A3471E">
        <w:rPr>
          <w:rFonts w:ascii="Times New Roman" w:hAnsi="Times New Roman"/>
          <w:sz w:val="24"/>
          <w:lang w:val="en-US"/>
        </w:rPr>
        <w:t xml:space="preserve">, Kemal. 2022. « Critical Pedagogy Confronts Technology: Responses to the Challenges of the New Education Reality during the Pandemic. » Dans </w:t>
      </w:r>
      <w:r w:rsidRPr="00A3471E">
        <w:rPr>
          <w:rFonts w:ascii="Times New Roman" w:hAnsi="Times New Roman"/>
          <w:i/>
          <w:sz w:val="24"/>
          <w:lang w:val="en-US"/>
        </w:rPr>
        <w:t>Critical Pedagogy and the Covid-19 Pandemic: Keeping Communities Together in Times of Crisis,</w:t>
      </w:r>
      <w:r w:rsidRPr="00A3471E">
        <w:rPr>
          <w:rFonts w:ascii="Times New Roman" w:hAnsi="Times New Roman"/>
          <w:sz w:val="24"/>
          <w:lang w:val="en-US"/>
        </w:rPr>
        <w:t xml:space="preserve"> edited by Fatma </w:t>
      </w:r>
      <w:proofErr w:type="spellStart"/>
      <w:r w:rsidRPr="00A3471E">
        <w:rPr>
          <w:rFonts w:ascii="Times New Roman" w:hAnsi="Times New Roman"/>
          <w:sz w:val="24"/>
          <w:lang w:val="en-US"/>
        </w:rPr>
        <w:t>Mizikaci</w:t>
      </w:r>
      <w:proofErr w:type="spellEnd"/>
      <w:r w:rsidRPr="00A3471E">
        <w:rPr>
          <w:rFonts w:ascii="Times New Roman" w:hAnsi="Times New Roman"/>
          <w:sz w:val="24"/>
          <w:lang w:val="en-US"/>
        </w:rPr>
        <w:t xml:space="preserve"> and Eda Ata, 233-46. </w:t>
      </w:r>
      <w:proofErr w:type="spellStart"/>
      <w:proofErr w:type="gramStart"/>
      <w:r w:rsidRPr="00A3471E">
        <w:rPr>
          <w:rFonts w:ascii="Times New Roman" w:hAnsi="Times New Roman"/>
          <w:sz w:val="24"/>
          <w:lang w:val="en-US"/>
        </w:rPr>
        <w:t>Londres</w:t>
      </w:r>
      <w:proofErr w:type="spellEnd"/>
      <w:r w:rsidRPr="00A3471E">
        <w:rPr>
          <w:rFonts w:ascii="Times New Roman" w:hAnsi="Times New Roman"/>
          <w:sz w:val="24"/>
          <w:lang w:val="en-US"/>
        </w:rPr>
        <w:t> :</w:t>
      </w:r>
      <w:proofErr w:type="gramEnd"/>
      <w:r w:rsidRPr="00A3471E">
        <w:rPr>
          <w:rFonts w:ascii="Times New Roman" w:hAnsi="Times New Roman"/>
          <w:sz w:val="24"/>
          <w:lang w:val="en-US"/>
        </w:rPr>
        <w:t xml:space="preserve"> Bloomsbury Academic.</w:t>
      </w:r>
    </w:p>
    <w:p w14:paraId="6C64FD47" w14:textId="539FC461" w:rsidR="00BD3B4A" w:rsidRPr="00A3471E" w:rsidRDefault="00BD3B4A" w:rsidP="00095E29">
      <w:pPr>
        <w:spacing w:after="0" w:line="480" w:lineRule="auto"/>
        <w:ind w:left="720" w:hanging="720"/>
        <w:jc w:val="both"/>
        <w:rPr>
          <w:rFonts w:ascii="Times New Roman" w:hAnsi="Times New Roman" w:cs="Times New Roman"/>
          <w:sz w:val="24"/>
          <w:szCs w:val="24"/>
          <w:lang w:val="en-US"/>
        </w:rPr>
      </w:pPr>
      <w:proofErr w:type="spellStart"/>
      <w:r w:rsidRPr="00A3471E">
        <w:rPr>
          <w:rFonts w:ascii="Times New Roman" w:hAnsi="Times New Roman"/>
          <w:sz w:val="24"/>
          <w:lang w:val="en-US"/>
        </w:rPr>
        <w:t>Kuhfeld</w:t>
      </w:r>
      <w:proofErr w:type="spellEnd"/>
      <w:r w:rsidRPr="00A3471E">
        <w:rPr>
          <w:rFonts w:ascii="Times New Roman" w:hAnsi="Times New Roman"/>
          <w:sz w:val="24"/>
          <w:lang w:val="en-US"/>
        </w:rPr>
        <w:t xml:space="preserve">, Megan, James </w:t>
      </w:r>
      <w:proofErr w:type="spellStart"/>
      <w:r w:rsidRPr="00A3471E">
        <w:rPr>
          <w:rFonts w:ascii="Times New Roman" w:hAnsi="Times New Roman"/>
          <w:sz w:val="24"/>
          <w:lang w:val="en-US"/>
        </w:rPr>
        <w:t>Soland</w:t>
      </w:r>
      <w:proofErr w:type="spellEnd"/>
      <w:r w:rsidRPr="00A3471E">
        <w:rPr>
          <w:rFonts w:ascii="Times New Roman" w:hAnsi="Times New Roman"/>
          <w:sz w:val="24"/>
          <w:lang w:val="en-US"/>
        </w:rPr>
        <w:t xml:space="preserve">, Beth </w:t>
      </w:r>
      <w:proofErr w:type="spellStart"/>
      <w:r w:rsidRPr="00A3471E">
        <w:rPr>
          <w:rFonts w:ascii="Times New Roman" w:hAnsi="Times New Roman"/>
          <w:sz w:val="24"/>
          <w:lang w:val="en-US"/>
        </w:rPr>
        <w:t>Tarasawa</w:t>
      </w:r>
      <w:proofErr w:type="spellEnd"/>
      <w:r w:rsidRPr="00A3471E">
        <w:rPr>
          <w:rFonts w:ascii="Times New Roman" w:hAnsi="Times New Roman"/>
          <w:sz w:val="24"/>
          <w:lang w:val="en-US"/>
        </w:rPr>
        <w:t xml:space="preserve">, Angela Johnson, Erik </w:t>
      </w:r>
      <w:proofErr w:type="spellStart"/>
      <w:r w:rsidRPr="00A3471E">
        <w:rPr>
          <w:rFonts w:ascii="Times New Roman" w:hAnsi="Times New Roman"/>
          <w:sz w:val="24"/>
          <w:lang w:val="en-US"/>
        </w:rPr>
        <w:t>Ruzek</w:t>
      </w:r>
      <w:proofErr w:type="spellEnd"/>
      <w:r w:rsidRPr="00A3471E">
        <w:rPr>
          <w:rFonts w:ascii="Times New Roman" w:hAnsi="Times New Roman"/>
          <w:sz w:val="24"/>
          <w:lang w:val="en-US"/>
        </w:rPr>
        <w:t xml:space="preserve"> et Jing Liu. 2020. « Projecting the Potential Impact of COVID-19 School Closures on Academic Achievement. » </w:t>
      </w:r>
      <w:r w:rsidRPr="00A3471E">
        <w:rPr>
          <w:rFonts w:ascii="Times New Roman" w:hAnsi="Times New Roman"/>
          <w:i/>
          <w:sz w:val="24"/>
          <w:lang w:val="en-US"/>
        </w:rPr>
        <w:t>Educational Researcher</w:t>
      </w:r>
      <w:r w:rsidRPr="00A3471E">
        <w:rPr>
          <w:rFonts w:ascii="Times New Roman" w:hAnsi="Times New Roman"/>
          <w:sz w:val="24"/>
          <w:lang w:val="en-US"/>
        </w:rPr>
        <w:t xml:space="preserve"> 49 (8</w:t>
      </w:r>
      <w:proofErr w:type="gramStart"/>
      <w:r w:rsidRPr="00A3471E">
        <w:rPr>
          <w:rFonts w:ascii="Times New Roman" w:hAnsi="Times New Roman"/>
          <w:sz w:val="24"/>
          <w:lang w:val="en-US"/>
        </w:rPr>
        <w:t>) :</w:t>
      </w:r>
      <w:proofErr w:type="gramEnd"/>
      <w:r w:rsidRPr="00A3471E">
        <w:rPr>
          <w:rFonts w:ascii="Times New Roman" w:hAnsi="Times New Roman"/>
          <w:sz w:val="24"/>
          <w:lang w:val="en-US"/>
        </w:rPr>
        <w:t xml:space="preserve"> 549-65. </w:t>
      </w:r>
      <w:hyperlink r:id="rId12" w:history="1">
        <w:r w:rsidRPr="00A3471E">
          <w:rPr>
            <w:rStyle w:val="Lienhypertexte"/>
            <w:rFonts w:ascii="Times New Roman" w:hAnsi="Times New Roman"/>
            <w:sz w:val="24"/>
            <w:lang w:val="en-US"/>
          </w:rPr>
          <w:t>https://doi.org/10.3102/0013189X20965918</w:t>
        </w:r>
      </w:hyperlink>
      <w:r w:rsidRPr="00A3471E">
        <w:rPr>
          <w:rFonts w:ascii="Times New Roman" w:hAnsi="Times New Roman"/>
          <w:sz w:val="24"/>
          <w:lang w:val="en-US"/>
        </w:rPr>
        <w:t xml:space="preserve">. </w:t>
      </w:r>
    </w:p>
    <w:p w14:paraId="6421E8E1" w14:textId="59D5A47B" w:rsidR="00FF7867" w:rsidRPr="00A3471E" w:rsidRDefault="00BD3B4A" w:rsidP="00095E29">
      <w:pPr>
        <w:spacing w:after="0" w:line="480" w:lineRule="auto"/>
        <w:ind w:left="720" w:hanging="720"/>
        <w:jc w:val="both"/>
        <w:rPr>
          <w:rFonts w:ascii="Times New Roman" w:hAnsi="Times New Roman" w:cs="Times New Roman"/>
          <w:sz w:val="24"/>
          <w:szCs w:val="24"/>
          <w:lang w:val="en-US"/>
        </w:rPr>
      </w:pPr>
      <w:proofErr w:type="spellStart"/>
      <w:r w:rsidRPr="00A3471E">
        <w:rPr>
          <w:rFonts w:ascii="Times New Roman" w:hAnsi="Times New Roman"/>
          <w:sz w:val="24"/>
          <w:lang w:val="en-US"/>
        </w:rPr>
        <w:t>LePan</w:t>
      </w:r>
      <w:proofErr w:type="spellEnd"/>
      <w:r w:rsidRPr="00A3471E">
        <w:rPr>
          <w:rFonts w:ascii="Times New Roman" w:hAnsi="Times New Roman"/>
          <w:sz w:val="24"/>
          <w:lang w:val="en-US"/>
        </w:rPr>
        <w:t xml:space="preserve">, Nicholas. 2020. « Visualizing the History of Pandemics. » </w:t>
      </w:r>
      <w:r w:rsidRPr="00A3471E">
        <w:rPr>
          <w:rFonts w:ascii="Times New Roman" w:hAnsi="Times New Roman"/>
          <w:i/>
          <w:sz w:val="24"/>
          <w:lang w:val="en-US"/>
        </w:rPr>
        <w:t>Visual Capitalist</w:t>
      </w:r>
      <w:r w:rsidRPr="00A3471E">
        <w:rPr>
          <w:rFonts w:ascii="Times New Roman" w:hAnsi="Times New Roman"/>
          <w:sz w:val="24"/>
          <w:lang w:val="en-US"/>
        </w:rPr>
        <w:t xml:space="preserve"> (blog), 14 mars 2020. </w:t>
      </w:r>
      <w:hyperlink r:id="rId13" w:history="1">
        <w:r w:rsidRPr="00A3471E">
          <w:rPr>
            <w:rStyle w:val="Lienhypertexte"/>
            <w:rFonts w:ascii="Times New Roman" w:hAnsi="Times New Roman"/>
            <w:sz w:val="24"/>
            <w:lang w:val="en-US"/>
          </w:rPr>
          <w:t>https://www.visualcapitalist.com/history-of-pandemics-deadliest/</w:t>
        </w:r>
      </w:hyperlink>
      <w:r w:rsidRPr="00A3471E">
        <w:rPr>
          <w:rFonts w:ascii="Times New Roman" w:hAnsi="Times New Roman"/>
          <w:sz w:val="24"/>
          <w:lang w:val="en-US"/>
        </w:rPr>
        <w:t>.</w:t>
      </w:r>
    </w:p>
    <w:p w14:paraId="2B4B23D8" w14:textId="3585176A" w:rsidR="00BD3B4A" w:rsidRPr="00A3471E" w:rsidRDefault="00BD3B4A" w:rsidP="00095E29">
      <w:pPr>
        <w:spacing w:after="0" w:line="480" w:lineRule="auto"/>
        <w:ind w:left="720" w:hanging="720"/>
        <w:jc w:val="both"/>
        <w:rPr>
          <w:rFonts w:ascii="Times New Roman" w:hAnsi="Times New Roman" w:cs="Times New Roman"/>
          <w:sz w:val="24"/>
          <w:szCs w:val="24"/>
          <w:lang w:val="en-US"/>
        </w:rPr>
      </w:pPr>
      <w:r w:rsidRPr="00A3471E">
        <w:rPr>
          <w:rFonts w:ascii="Times New Roman" w:hAnsi="Times New Roman"/>
          <w:sz w:val="24"/>
          <w:lang w:val="en-US"/>
        </w:rPr>
        <w:t xml:space="preserve">Université Loyola de Chicago et St. Edward’s School. 2020. « Pandemics: Past &amp; Present. » </w:t>
      </w:r>
      <w:hyperlink r:id="rId14" w:history="1">
        <w:r w:rsidRPr="00A3471E">
          <w:rPr>
            <w:rStyle w:val="Lienhypertexte"/>
            <w:rFonts w:ascii="Times New Roman" w:hAnsi="Times New Roman"/>
            <w:sz w:val="24"/>
            <w:lang w:val="en-US"/>
          </w:rPr>
          <w:t>https://www.pandemics.education/history</w:t>
        </w:r>
      </w:hyperlink>
      <w:r w:rsidRPr="00A3471E">
        <w:rPr>
          <w:rFonts w:ascii="Times New Roman" w:hAnsi="Times New Roman"/>
          <w:sz w:val="24"/>
          <w:lang w:val="en-US"/>
        </w:rPr>
        <w:t xml:space="preserve">. </w:t>
      </w:r>
    </w:p>
    <w:p w14:paraId="7CAAE7A9" w14:textId="481926ED" w:rsidR="00BD3B4A" w:rsidRPr="00095E29" w:rsidRDefault="00BD3B4A" w:rsidP="00095E29">
      <w:pPr>
        <w:spacing w:after="0" w:line="480" w:lineRule="auto"/>
        <w:ind w:left="720" w:hanging="720"/>
        <w:jc w:val="both"/>
        <w:rPr>
          <w:rFonts w:ascii="Times New Roman" w:hAnsi="Times New Roman" w:cs="Times New Roman"/>
          <w:sz w:val="24"/>
          <w:szCs w:val="24"/>
        </w:rPr>
      </w:pPr>
      <w:proofErr w:type="spellStart"/>
      <w:r w:rsidRPr="00A3471E">
        <w:rPr>
          <w:rFonts w:ascii="Times New Roman" w:hAnsi="Times New Roman"/>
          <w:sz w:val="24"/>
          <w:lang w:val="en-US"/>
        </w:rPr>
        <w:t>Meinck</w:t>
      </w:r>
      <w:proofErr w:type="spellEnd"/>
      <w:r w:rsidRPr="00A3471E">
        <w:rPr>
          <w:rFonts w:ascii="Times New Roman" w:hAnsi="Times New Roman"/>
          <w:sz w:val="24"/>
          <w:lang w:val="en-US"/>
        </w:rPr>
        <w:t xml:space="preserve">, Sabine, Julian </w:t>
      </w:r>
      <w:proofErr w:type="spellStart"/>
      <w:r w:rsidRPr="00A3471E">
        <w:rPr>
          <w:rFonts w:ascii="Times New Roman" w:hAnsi="Times New Roman"/>
          <w:sz w:val="24"/>
          <w:lang w:val="en-US"/>
        </w:rPr>
        <w:t>Fraillon</w:t>
      </w:r>
      <w:proofErr w:type="spellEnd"/>
      <w:r w:rsidRPr="00A3471E">
        <w:rPr>
          <w:rFonts w:ascii="Times New Roman" w:hAnsi="Times New Roman"/>
          <w:sz w:val="24"/>
          <w:lang w:val="en-US"/>
        </w:rPr>
        <w:t xml:space="preserve">, et Rolf </w:t>
      </w:r>
      <w:proofErr w:type="spellStart"/>
      <w:r w:rsidRPr="00A3471E">
        <w:rPr>
          <w:rFonts w:ascii="Times New Roman" w:hAnsi="Times New Roman"/>
          <w:sz w:val="24"/>
          <w:lang w:val="en-US"/>
        </w:rPr>
        <w:t>Strietholt</w:t>
      </w:r>
      <w:proofErr w:type="spellEnd"/>
      <w:r w:rsidRPr="00A3471E">
        <w:rPr>
          <w:rFonts w:ascii="Times New Roman" w:hAnsi="Times New Roman"/>
          <w:sz w:val="24"/>
          <w:lang w:val="en-US"/>
        </w:rPr>
        <w:t xml:space="preserve">. 2022. </w:t>
      </w:r>
      <w:r w:rsidRPr="00A3471E">
        <w:rPr>
          <w:rFonts w:ascii="Times New Roman" w:hAnsi="Times New Roman"/>
          <w:i/>
          <w:sz w:val="24"/>
          <w:lang w:val="en-US"/>
        </w:rPr>
        <w:t xml:space="preserve">The Impact of the COVID-19 Pandemic on Education: International Evidence from the Responses to Educational Disruption Survey (REDS). </w:t>
      </w:r>
      <w:r>
        <w:rPr>
          <w:rFonts w:ascii="Times New Roman" w:hAnsi="Times New Roman"/>
          <w:sz w:val="24"/>
        </w:rPr>
        <w:t xml:space="preserve">Paris : </w:t>
      </w:r>
      <w:r>
        <w:t xml:space="preserve">UNESCO et Association internationale pour l’évaluation du rendement scolaire. </w:t>
      </w:r>
      <w:hyperlink r:id="rId15" w:history="1">
        <w:r>
          <w:rPr>
            <w:rStyle w:val="Lienhypertexte"/>
            <w:rFonts w:ascii="Times New Roman" w:hAnsi="Times New Roman"/>
            <w:sz w:val="24"/>
          </w:rPr>
          <w:t>https://unesdoc.unesco.org/ark:/48223/pf0000380398</w:t>
        </w:r>
      </w:hyperlink>
      <w:r>
        <w:rPr>
          <w:rFonts w:ascii="Times New Roman" w:hAnsi="Times New Roman"/>
          <w:sz w:val="24"/>
        </w:rPr>
        <w:t xml:space="preserve">. </w:t>
      </w:r>
    </w:p>
    <w:p w14:paraId="43864890" w14:textId="5A840A8B" w:rsidR="00BD3B4A" w:rsidRPr="00A3471E" w:rsidRDefault="00BD3B4A" w:rsidP="00095E29">
      <w:pPr>
        <w:spacing w:after="0" w:line="480" w:lineRule="auto"/>
        <w:ind w:left="720" w:hanging="720"/>
        <w:jc w:val="both"/>
        <w:rPr>
          <w:rFonts w:ascii="Times New Roman" w:hAnsi="Times New Roman" w:cs="Times New Roman"/>
          <w:b/>
          <w:bCs/>
          <w:sz w:val="24"/>
          <w:szCs w:val="24"/>
          <w:lang w:val="en-US"/>
        </w:rPr>
      </w:pPr>
      <w:proofErr w:type="spellStart"/>
      <w:r>
        <w:rPr>
          <w:rFonts w:ascii="Times New Roman" w:hAnsi="Times New Roman"/>
          <w:sz w:val="24"/>
        </w:rPr>
        <w:t>Menashy</w:t>
      </w:r>
      <w:proofErr w:type="spellEnd"/>
      <w:r>
        <w:rPr>
          <w:rFonts w:ascii="Times New Roman" w:hAnsi="Times New Roman"/>
          <w:sz w:val="24"/>
        </w:rPr>
        <w:t xml:space="preserve">, Francine, et </w:t>
      </w:r>
      <w:proofErr w:type="spellStart"/>
      <w:r>
        <w:rPr>
          <w:rFonts w:ascii="Times New Roman" w:hAnsi="Times New Roman"/>
          <w:sz w:val="24"/>
        </w:rPr>
        <w:t>Zeena</w:t>
      </w:r>
      <w:proofErr w:type="spellEnd"/>
      <w:r>
        <w:rPr>
          <w:rFonts w:ascii="Times New Roman" w:hAnsi="Times New Roman"/>
          <w:sz w:val="24"/>
        </w:rPr>
        <w:t xml:space="preserve"> </w:t>
      </w:r>
      <w:proofErr w:type="spellStart"/>
      <w:r>
        <w:rPr>
          <w:rFonts w:ascii="Times New Roman" w:hAnsi="Times New Roman"/>
          <w:sz w:val="24"/>
        </w:rPr>
        <w:t>Zakharia</w:t>
      </w:r>
      <w:proofErr w:type="spellEnd"/>
      <w:r>
        <w:rPr>
          <w:rFonts w:ascii="Times New Roman" w:hAnsi="Times New Roman"/>
          <w:sz w:val="24"/>
        </w:rPr>
        <w:t xml:space="preserve">. </w:t>
      </w:r>
      <w:r w:rsidRPr="00A3471E">
        <w:rPr>
          <w:rFonts w:ascii="Times New Roman" w:hAnsi="Times New Roman"/>
          <w:sz w:val="24"/>
          <w:lang w:val="en-US"/>
        </w:rPr>
        <w:t xml:space="preserve">2022. « Crisis upon Crisis: Refugee Education Responses amid COVID-19. » </w:t>
      </w:r>
      <w:r w:rsidRPr="00A3471E">
        <w:rPr>
          <w:rFonts w:ascii="Times New Roman" w:hAnsi="Times New Roman"/>
          <w:i/>
          <w:sz w:val="24"/>
          <w:lang w:val="en-US"/>
        </w:rPr>
        <w:t>Peabody Journal of Education</w:t>
      </w:r>
      <w:r w:rsidRPr="00A3471E">
        <w:rPr>
          <w:rFonts w:ascii="Times New Roman" w:hAnsi="Times New Roman"/>
          <w:sz w:val="24"/>
          <w:lang w:val="en-US"/>
        </w:rPr>
        <w:t xml:space="preserve"> 97 (3): 309-25. </w:t>
      </w:r>
      <w:hyperlink r:id="rId16" w:history="1">
        <w:r w:rsidRPr="00A3471E">
          <w:rPr>
            <w:rStyle w:val="Lienhypertexte"/>
            <w:rFonts w:ascii="Times New Roman" w:hAnsi="Times New Roman"/>
            <w:sz w:val="24"/>
            <w:lang w:val="en-US"/>
          </w:rPr>
          <w:t>https://doi.org/10.1080/0161956X.2022.2079895</w:t>
        </w:r>
      </w:hyperlink>
      <w:r w:rsidRPr="00A3471E">
        <w:rPr>
          <w:rFonts w:ascii="Times New Roman" w:hAnsi="Times New Roman"/>
          <w:sz w:val="24"/>
          <w:lang w:val="en-US"/>
        </w:rPr>
        <w:t xml:space="preserve">. </w:t>
      </w:r>
    </w:p>
    <w:p w14:paraId="119A940F" w14:textId="3DC80AA7" w:rsidR="00BD3B4A" w:rsidRPr="00A3471E" w:rsidRDefault="00BD3B4A" w:rsidP="00095E29">
      <w:pPr>
        <w:spacing w:after="0" w:line="480" w:lineRule="auto"/>
        <w:ind w:left="720" w:hanging="720"/>
        <w:jc w:val="both"/>
        <w:rPr>
          <w:rFonts w:ascii="Times New Roman" w:hAnsi="Times New Roman" w:cs="Times New Roman"/>
          <w:bCs/>
          <w:sz w:val="24"/>
          <w:szCs w:val="24"/>
          <w:lang w:val="en-US"/>
        </w:rPr>
      </w:pPr>
      <w:bookmarkStart w:id="6" w:name="_Hlk56434749"/>
      <w:r w:rsidRPr="00A3471E">
        <w:rPr>
          <w:rFonts w:ascii="Times New Roman" w:hAnsi="Times New Roman"/>
          <w:sz w:val="24"/>
          <w:lang w:val="en-US"/>
        </w:rPr>
        <w:t xml:space="preserve">Nichols, John. 2022. </w:t>
      </w:r>
      <w:proofErr w:type="spellStart"/>
      <w:r w:rsidRPr="00A3471E">
        <w:rPr>
          <w:rFonts w:ascii="Times New Roman" w:hAnsi="Times New Roman"/>
          <w:i/>
          <w:sz w:val="24"/>
          <w:lang w:val="en-US"/>
        </w:rPr>
        <w:t>Criminels</w:t>
      </w:r>
      <w:proofErr w:type="spellEnd"/>
      <w:r w:rsidRPr="00A3471E">
        <w:rPr>
          <w:rFonts w:ascii="Times New Roman" w:hAnsi="Times New Roman"/>
          <w:i/>
          <w:sz w:val="24"/>
          <w:lang w:val="en-US"/>
        </w:rPr>
        <w:t xml:space="preserve"> du coronavirus et </w:t>
      </w:r>
      <w:proofErr w:type="spellStart"/>
      <w:r w:rsidRPr="00A3471E">
        <w:rPr>
          <w:rFonts w:ascii="Times New Roman" w:hAnsi="Times New Roman"/>
          <w:i/>
          <w:sz w:val="24"/>
          <w:lang w:val="en-US"/>
        </w:rPr>
        <w:t>profiteurs</w:t>
      </w:r>
      <w:proofErr w:type="spellEnd"/>
      <w:r w:rsidRPr="00A3471E">
        <w:rPr>
          <w:rFonts w:ascii="Times New Roman" w:hAnsi="Times New Roman"/>
          <w:i/>
          <w:sz w:val="24"/>
          <w:lang w:val="en-US"/>
        </w:rPr>
        <w:t xml:space="preserve"> de la </w:t>
      </w:r>
      <w:proofErr w:type="spellStart"/>
      <w:proofErr w:type="gramStart"/>
      <w:r w:rsidRPr="00A3471E">
        <w:rPr>
          <w:rFonts w:ascii="Times New Roman" w:hAnsi="Times New Roman"/>
          <w:i/>
          <w:sz w:val="24"/>
          <w:lang w:val="en-US"/>
        </w:rPr>
        <w:t>pandémie</w:t>
      </w:r>
      <w:proofErr w:type="spellEnd"/>
      <w:r w:rsidRPr="00A3471E">
        <w:rPr>
          <w:rFonts w:ascii="Times New Roman" w:hAnsi="Times New Roman"/>
          <w:i/>
          <w:sz w:val="24"/>
          <w:lang w:val="en-US"/>
        </w:rPr>
        <w:t> :</w:t>
      </w:r>
      <w:proofErr w:type="gramEnd"/>
      <w:r w:rsidRPr="00A3471E">
        <w:rPr>
          <w:rFonts w:ascii="Times New Roman" w:hAnsi="Times New Roman"/>
          <w:i/>
          <w:sz w:val="24"/>
          <w:lang w:val="en-US"/>
        </w:rPr>
        <w:t xml:space="preserve"> Accountability for Those Who Caused the Crisis</w:t>
      </w:r>
      <w:r w:rsidRPr="00A3471E">
        <w:rPr>
          <w:rFonts w:ascii="Times New Roman" w:hAnsi="Times New Roman"/>
          <w:sz w:val="24"/>
          <w:lang w:val="en-US"/>
        </w:rPr>
        <w:t xml:space="preserve">. New </w:t>
      </w:r>
      <w:proofErr w:type="gramStart"/>
      <w:r w:rsidRPr="00A3471E">
        <w:rPr>
          <w:rFonts w:ascii="Times New Roman" w:hAnsi="Times New Roman"/>
          <w:sz w:val="24"/>
          <w:lang w:val="en-US"/>
        </w:rPr>
        <w:t>York :</w:t>
      </w:r>
      <w:proofErr w:type="gramEnd"/>
      <w:r w:rsidRPr="00A3471E">
        <w:rPr>
          <w:rFonts w:ascii="Times New Roman" w:hAnsi="Times New Roman"/>
          <w:sz w:val="24"/>
          <w:lang w:val="en-US"/>
        </w:rPr>
        <w:t xml:space="preserve"> Verso.</w:t>
      </w:r>
    </w:p>
    <w:p w14:paraId="722EAB75" w14:textId="743ACA04" w:rsidR="00BD3B4A" w:rsidRPr="00095E29" w:rsidRDefault="00BD3B4A" w:rsidP="00095E29">
      <w:pPr>
        <w:spacing w:after="0" w:line="480" w:lineRule="auto"/>
        <w:ind w:left="720" w:hanging="720"/>
        <w:jc w:val="both"/>
        <w:rPr>
          <w:rFonts w:ascii="Times New Roman" w:hAnsi="Times New Roman" w:cs="Times New Roman"/>
          <w:bCs/>
          <w:sz w:val="24"/>
          <w:szCs w:val="24"/>
        </w:rPr>
      </w:pPr>
      <w:proofErr w:type="spellStart"/>
      <w:r w:rsidRPr="00A3471E">
        <w:rPr>
          <w:rFonts w:ascii="Times New Roman" w:hAnsi="Times New Roman"/>
          <w:sz w:val="24"/>
          <w:lang w:val="en-US"/>
        </w:rPr>
        <w:lastRenderedPageBreak/>
        <w:t>Nóvoa</w:t>
      </w:r>
      <w:proofErr w:type="spellEnd"/>
      <w:r w:rsidRPr="00A3471E">
        <w:rPr>
          <w:rFonts w:ascii="Times New Roman" w:hAnsi="Times New Roman"/>
          <w:sz w:val="24"/>
          <w:lang w:val="en-US"/>
        </w:rPr>
        <w:t xml:space="preserve">, António, et Yara </w:t>
      </w:r>
      <w:proofErr w:type="spellStart"/>
      <w:r w:rsidRPr="00A3471E">
        <w:rPr>
          <w:rFonts w:ascii="Times New Roman" w:hAnsi="Times New Roman"/>
          <w:sz w:val="24"/>
          <w:lang w:val="en-US"/>
        </w:rPr>
        <w:t>Alvim</w:t>
      </w:r>
      <w:proofErr w:type="spellEnd"/>
      <w:r w:rsidRPr="00A3471E">
        <w:rPr>
          <w:rFonts w:ascii="Times New Roman" w:hAnsi="Times New Roman"/>
          <w:sz w:val="24"/>
          <w:lang w:val="en-US"/>
        </w:rPr>
        <w:t xml:space="preserve">. 2020. « Nothing is New, but Everything Has Changed: A Viewpoint on the Future School. » </w:t>
      </w:r>
      <w:r>
        <w:rPr>
          <w:rFonts w:ascii="Times New Roman" w:hAnsi="Times New Roman"/>
          <w:i/>
          <w:sz w:val="24"/>
        </w:rPr>
        <w:t xml:space="preserve">Prospects </w:t>
      </w:r>
      <w:r>
        <w:rPr>
          <w:rFonts w:ascii="Times New Roman" w:hAnsi="Times New Roman"/>
          <w:sz w:val="24"/>
        </w:rPr>
        <w:t xml:space="preserve">49 : 35-41. </w:t>
      </w:r>
      <w:hyperlink r:id="rId17" w:history="1">
        <w:r>
          <w:rPr>
            <w:rStyle w:val="Lienhypertexte"/>
            <w:rFonts w:ascii="Times New Roman" w:hAnsi="Times New Roman"/>
            <w:sz w:val="24"/>
          </w:rPr>
          <w:t>https://doi.org/10.1007/s11125-020-09487-w</w:t>
        </w:r>
      </w:hyperlink>
      <w:r>
        <w:rPr>
          <w:rFonts w:ascii="Times New Roman" w:hAnsi="Times New Roman"/>
          <w:sz w:val="24"/>
        </w:rPr>
        <w:t xml:space="preserve">. </w:t>
      </w:r>
    </w:p>
    <w:p w14:paraId="0374A78F" w14:textId="4E974D03" w:rsidR="00BD3B4A" w:rsidRPr="00095E29" w:rsidRDefault="00BD3B4A" w:rsidP="00095E29">
      <w:pPr>
        <w:spacing w:after="0" w:line="480" w:lineRule="auto"/>
        <w:ind w:left="720" w:hanging="720"/>
        <w:jc w:val="both"/>
        <w:rPr>
          <w:rFonts w:ascii="Times New Roman" w:hAnsi="Times New Roman" w:cs="Times New Roman"/>
          <w:bCs/>
          <w:sz w:val="24"/>
          <w:szCs w:val="24"/>
        </w:rPr>
      </w:pPr>
      <w:r>
        <w:rPr>
          <w:rFonts w:ascii="Times New Roman" w:hAnsi="Times New Roman"/>
          <w:sz w:val="24"/>
        </w:rPr>
        <w:t xml:space="preserve">Programme d’éducation des Fondations pour une société ouverte. </w:t>
      </w:r>
      <w:r w:rsidRPr="00A3471E">
        <w:rPr>
          <w:rFonts w:ascii="Times New Roman" w:hAnsi="Times New Roman"/>
          <w:sz w:val="24"/>
          <w:lang w:val="en-US"/>
        </w:rPr>
        <w:t xml:space="preserve">2020. </w:t>
      </w:r>
      <w:r w:rsidRPr="00A3471E">
        <w:rPr>
          <w:rFonts w:ascii="Times New Roman" w:hAnsi="Times New Roman"/>
          <w:i/>
          <w:sz w:val="24"/>
          <w:lang w:val="en-US"/>
        </w:rPr>
        <w:t>Mapping of Education Responses to the COVID-19 Pandemic</w:t>
      </w:r>
      <w:r w:rsidRPr="00A3471E">
        <w:rPr>
          <w:rFonts w:ascii="Times New Roman" w:hAnsi="Times New Roman"/>
          <w:sz w:val="24"/>
          <w:lang w:val="en-US"/>
        </w:rPr>
        <w:t xml:space="preserve">. </w:t>
      </w:r>
      <w:r>
        <w:rPr>
          <w:rFonts w:ascii="Times New Roman" w:hAnsi="Times New Roman"/>
          <w:sz w:val="24"/>
        </w:rPr>
        <w:t xml:space="preserve">Rapport interne. </w:t>
      </w:r>
      <w:bookmarkEnd w:id="6"/>
      <w:r>
        <w:rPr>
          <w:rFonts w:ascii="Times New Roman" w:hAnsi="Times New Roman"/>
          <w:sz w:val="24"/>
        </w:rPr>
        <w:t>New York : Fondations pour une société ouverte.</w:t>
      </w:r>
    </w:p>
    <w:p w14:paraId="78BDE713" w14:textId="7C261CFA" w:rsidR="00BD3B4A" w:rsidRPr="00095E29" w:rsidRDefault="00BD3B4A" w:rsidP="00095E29">
      <w:pPr>
        <w:spacing w:after="0" w:line="480" w:lineRule="auto"/>
        <w:ind w:left="720" w:hanging="720"/>
        <w:jc w:val="both"/>
        <w:rPr>
          <w:rFonts w:ascii="Times New Roman" w:hAnsi="Times New Roman" w:cs="Times New Roman"/>
          <w:sz w:val="24"/>
          <w:szCs w:val="24"/>
        </w:rPr>
      </w:pPr>
      <w:proofErr w:type="spellStart"/>
      <w:r>
        <w:rPr>
          <w:rFonts w:ascii="Times New Roman" w:hAnsi="Times New Roman"/>
          <w:sz w:val="24"/>
        </w:rPr>
        <w:t>Quaglietti</w:t>
      </w:r>
      <w:proofErr w:type="spellEnd"/>
      <w:r>
        <w:rPr>
          <w:rFonts w:ascii="Times New Roman" w:hAnsi="Times New Roman"/>
          <w:sz w:val="24"/>
        </w:rPr>
        <w:t xml:space="preserve">, Lucia et Collette Wheeler. </w:t>
      </w:r>
      <w:r w:rsidRPr="00A3471E">
        <w:rPr>
          <w:rFonts w:ascii="Times New Roman" w:hAnsi="Times New Roman"/>
          <w:sz w:val="24"/>
          <w:lang w:val="en-US"/>
        </w:rPr>
        <w:t xml:space="preserve">2022. « The Global Economic Outlook in Five Charts. » </w:t>
      </w:r>
      <w:r>
        <w:rPr>
          <w:rFonts w:ascii="Times New Roman" w:hAnsi="Times New Roman"/>
          <w:i/>
          <w:sz w:val="24"/>
        </w:rPr>
        <w:t xml:space="preserve">Échos </w:t>
      </w:r>
      <w:r>
        <w:rPr>
          <w:rFonts w:ascii="Times New Roman" w:hAnsi="Times New Roman"/>
          <w:sz w:val="24"/>
        </w:rPr>
        <w:t xml:space="preserve">(blog), 11 janvier 2022. Washington, DC : </w:t>
      </w:r>
      <w:r>
        <w:t xml:space="preserve">Banque mondiale. </w:t>
      </w:r>
      <w:hyperlink r:id="rId18" w:history="1">
        <w:r>
          <w:rPr>
            <w:rStyle w:val="Lienhypertexte"/>
            <w:rFonts w:ascii="Times New Roman" w:hAnsi="Times New Roman"/>
            <w:sz w:val="24"/>
          </w:rPr>
          <w:t>https://blogs.worldbank.org/voices/global-economic-outlook-five-charts-1</w:t>
        </w:r>
      </w:hyperlink>
      <w:r>
        <w:rPr>
          <w:rFonts w:ascii="Times New Roman" w:hAnsi="Times New Roman"/>
          <w:sz w:val="24"/>
        </w:rPr>
        <w:t xml:space="preserve">. </w:t>
      </w:r>
    </w:p>
    <w:p w14:paraId="2856B39F" w14:textId="62D7C383" w:rsidR="00BD3B4A" w:rsidRPr="00095E29" w:rsidRDefault="00BD3B4A" w:rsidP="00095E29">
      <w:pPr>
        <w:spacing w:after="0" w:line="480" w:lineRule="auto"/>
        <w:ind w:left="720" w:hanging="720"/>
        <w:jc w:val="both"/>
        <w:rPr>
          <w:rFonts w:ascii="Times New Roman" w:hAnsi="Times New Roman" w:cs="Times New Roman"/>
          <w:sz w:val="24"/>
          <w:szCs w:val="24"/>
        </w:rPr>
      </w:pPr>
      <w:r w:rsidRPr="00A3471E">
        <w:rPr>
          <w:rFonts w:ascii="Times New Roman" w:hAnsi="Times New Roman"/>
          <w:sz w:val="24"/>
          <w:lang w:val="en-US"/>
        </w:rPr>
        <w:t xml:space="preserve">Reimers, Fernando M. et Renato </w:t>
      </w:r>
      <w:proofErr w:type="spellStart"/>
      <w:r w:rsidRPr="00A3471E">
        <w:rPr>
          <w:rFonts w:ascii="Times New Roman" w:hAnsi="Times New Roman"/>
          <w:sz w:val="24"/>
          <w:lang w:val="en-US"/>
        </w:rPr>
        <w:t>Opertti</w:t>
      </w:r>
      <w:proofErr w:type="spellEnd"/>
      <w:r w:rsidRPr="00A3471E">
        <w:rPr>
          <w:rFonts w:ascii="Times New Roman" w:hAnsi="Times New Roman"/>
          <w:sz w:val="24"/>
          <w:lang w:val="en-US"/>
        </w:rPr>
        <w:t xml:space="preserve">. 2021. « Educational Innovation during a Global Crisis. » </w:t>
      </w:r>
      <w:r w:rsidRPr="00A3471E">
        <w:rPr>
          <w:rFonts w:ascii="Times New Roman" w:hAnsi="Times New Roman"/>
          <w:i/>
          <w:sz w:val="24"/>
          <w:lang w:val="en-US"/>
        </w:rPr>
        <w:t xml:space="preserve">Learning to Build Back Better Futures for Education: Lessons from Educational Innovation during the COVID-19 Pandemic, </w:t>
      </w:r>
      <w:proofErr w:type="spellStart"/>
      <w:r w:rsidRPr="00A3471E">
        <w:rPr>
          <w:rFonts w:ascii="Times New Roman" w:hAnsi="Times New Roman"/>
          <w:sz w:val="24"/>
          <w:lang w:val="en-US"/>
        </w:rPr>
        <w:t>publié</w:t>
      </w:r>
      <w:proofErr w:type="spellEnd"/>
      <w:r w:rsidRPr="00A3471E">
        <w:rPr>
          <w:rFonts w:ascii="Times New Roman" w:hAnsi="Times New Roman"/>
          <w:sz w:val="24"/>
          <w:lang w:val="en-US"/>
        </w:rPr>
        <w:t xml:space="preserve"> par Fernando M. Reimers et Renato </w:t>
      </w:r>
      <w:proofErr w:type="spellStart"/>
      <w:r w:rsidRPr="00A3471E">
        <w:rPr>
          <w:rFonts w:ascii="Times New Roman" w:hAnsi="Times New Roman"/>
          <w:sz w:val="24"/>
          <w:lang w:val="en-US"/>
        </w:rPr>
        <w:t>Opertti</w:t>
      </w:r>
      <w:proofErr w:type="spellEnd"/>
      <w:r w:rsidRPr="00A3471E">
        <w:rPr>
          <w:rFonts w:ascii="Times New Roman" w:hAnsi="Times New Roman"/>
          <w:sz w:val="24"/>
          <w:lang w:val="en-US"/>
        </w:rPr>
        <w:t xml:space="preserve">, 8-43. </w:t>
      </w:r>
      <w:r>
        <w:rPr>
          <w:rFonts w:ascii="Times New Roman" w:hAnsi="Times New Roman"/>
          <w:sz w:val="24"/>
        </w:rPr>
        <w:t xml:space="preserve">Genève : </w:t>
      </w:r>
      <w:r>
        <w:t>Bureau international d’éducation de l’UNESCO</w:t>
      </w:r>
      <w:r>
        <w:rPr>
          <w:rFonts w:ascii="Times New Roman" w:hAnsi="Times New Roman"/>
          <w:sz w:val="24"/>
        </w:rPr>
        <w:t xml:space="preserve">. </w:t>
      </w:r>
      <w:hyperlink r:id="rId19" w:history="1">
        <w:r>
          <w:rPr>
            <w:rStyle w:val="Lienhypertexte"/>
            <w:rFonts w:ascii="Times New Roman" w:hAnsi="Times New Roman"/>
            <w:sz w:val="24"/>
          </w:rPr>
          <w:t>http://www.ibe.unesco.org/sites/default/files/resources/book_ibe_-_global_education_innovation_initiative.pdf</w:t>
        </w:r>
      </w:hyperlink>
      <w:r>
        <w:rPr>
          <w:rFonts w:ascii="Times New Roman" w:hAnsi="Times New Roman"/>
          <w:sz w:val="24"/>
        </w:rPr>
        <w:t xml:space="preserve">. </w:t>
      </w:r>
    </w:p>
    <w:p w14:paraId="4F3BF6A3" w14:textId="77777777" w:rsidR="00B1655A" w:rsidRPr="00095E29" w:rsidRDefault="00BD3B4A" w:rsidP="00095E29">
      <w:pPr>
        <w:spacing w:after="0" w:line="480" w:lineRule="auto"/>
        <w:ind w:left="720" w:hanging="720"/>
        <w:jc w:val="both"/>
        <w:rPr>
          <w:rFonts w:ascii="Times New Roman" w:hAnsi="Times New Roman" w:cs="Times New Roman"/>
          <w:sz w:val="24"/>
          <w:szCs w:val="24"/>
        </w:rPr>
      </w:pPr>
      <w:r w:rsidRPr="00A3471E">
        <w:rPr>
          <w:rFonts w:ascii="Times New Roman" w:hAnsi="Times New Roman"/>
          <w:sz w:val="24"/>
          <w:lang w:val="en-US"/>
        </w:rPr>
        <w:t xml:space="preserve">Roy, Arundhati. 2020. « The Pandemic Is a Portal. </w:t>
      </w:r>
      <w:r>
        <w:rPr>
          <w:rFonts w:ascii="Times New Roman" w:hAnsi="Times New Roman"/>
          <w:i/>
          <w:sz w:val="24"/>
        </w:rPr>
        <w:t xml:space="preserve">Financial Times, </w:t>
      </w:r>
      <w:r>
        <w:rPr>
          <w:rFonts w:ascii="Times New Roman" w:hAnsi="Times New Roman"/>
          <w:sz w:val="24"/>
        </w:rPr>
        <w:t xml:space="preserve">3 avril 2020. </w:t>
      </w:r>
      <w:hyperlink r:id="rId20" w:history="1">
        <w:r>
          <w:rPr>
            <w:rStyle w:val="Lienhypertexte"/>
            <w:rFonts w:ascii="Times New Roman" w:hAnsi="Times New Roman"/>
            <w:sz w:val="24"/>
          </w:rPr>
          <w:t>https://www.ft.com/content/10d8f5e8-74eb-11ea-95fe-fcd274e920ca</w:t>
        </w:r>
      </w:hyperlink>
      <w:r>
        <w:rPr>
          <w:rFonts w:ascii="Times New Roman" w:hAnsi="Times New Roman"/>
          <w:sz w:val="24"/>
        </w:rPr>
        <w:t xml:space="preserve">. </w:t>
      </w:r>
    </w:p>
    <w:p w14:paraId="6806A568" w14:textId="2DA56802" w:rsidR="00BD3B4A" w:rsidRPr="00A3471E" w:rsidRDefault="00BD3B4A" w:rsidP="00095E29">
      <w:pPr>
        <w:spacing w:after="0" w:line="480" w:lineRule="auto"/>
        <w:ind w:left="720" w:hanging="720"/>
        <w:jc w:val="both"/>
        <w:rPr>
          <w:rFonts w:ascii="Times New Roman" w:hAnsi="Times New Roman" w:cs="Times New Roman"/>
          <w:sz w:val="24"/>
          <w:szCs w:val="24"/>
          <w:lang w:val="es-ES"/>
        </w:rPr>
      </w:pPr>
      <w:r>
        <w:rPr>
          <w:rFonts w:ascii="Times New Roman" w:hAnsi="Times New Roman"/>
          <w:sz w:val="24"/>
        </w:rPr>
        <w:t xml:space="preserve">Russo, Kelly, Marie-Odile Magnan et Roberta Soares. </w:t>
      </w:r>
      <w:r w:rsidRPr="00A3471E">
        <w:rPr>
          <w:rFonts w:ascii="Times New Roman" w:hAnsi="Times New Roman"/>
          <w:sz w:val="24"/>
          <w:lang w:val="es-ES"/>
        </w:rPr>
        <w:t xml:space="preserve">2020. </w:t>
      </w:r>
      <w:proofErr w:type="gramStart"/>
      <w:r w:rsidRPr="00A3471E">
        <w:rPr>
          <w:rFonts w:ascii="Times New Roman" w:hAnsi="Times New Roman"/>
          <w:sz w:val="24"/>
          <w:lang w:val="es-ES"/>
        </w:rPr>
        <w:t>« A</w:t>
      </w:r>
      <w:proofErr w:type="gramEnd"/>
      <w:r w:rsidRPr="00A3471E">
        <w:rPr>
          <w:rFonts w:ascii="Times New Roman" w:hAnsi="Times New Roman"/>
          <w:sz w:val="24"/>
          <w:lang w:val="es-ES"/>
        </w:rPr>
        <w:t xml:space="preserve"> Pandemia que Amplia as Desigualdades: A COVID-19 e o Sistema Educativo de Quebec/Canadá. » </w:t>
      </w:r>
      <w:proofErr w:type="spellStart"/>
      <w:r w:rsidRPr="00A3471E">
        <w:rPr>
          <w:rFonts w:ascii="Times New Roman" w:hAnsi="Times New Roman"/>
          <w:i/>
          <w:sz w:val="24"/>
          <w:lang w:val="es-ES"/>
        </w:rPr>
        <w:t>Práxis</w:t>
      </w:r>
      <w:proofErr w:type="spellEnd"/>
      <w:r w:rsidRPr="00A3471E">
        <w:rPr>
          <w:rFonts w:ascii="Times New Roman" w:hAnsi="Times New Roman"/>
          <w:i/>
          <w:sz w:val="24"/>
          <w:lang w:val="es-ES"/>
        </w:rPr>
        <w:t xml:space="preserve"> Educativa </w:t>
      </w:r>
      <w:proofErr w:type="gramStart"/>
      <w:r w:rsidRPr="00A3471E">
        <w:rPr>
          <w:rFonts w:ascii="Times New Roman" w:hAnsi="Times New Roman"/>
          <w:sz w:val="24"/>
          <w:lang w:val="es-ES"/>
        </w:rPr>
        <w:t>15 :</w:t>
      </w:r>
      <w:proofErr w:type="gramEnd"/>
      <w:r w:rsidRPr="00A3471E">
        <w:rPr>
          <w:rFonts w:ascii="Times New Roman" w:hAnsi="Times New Roman"/>
          <w:sz w:val="24"/>
          <w:lang w:val="es-ES"/>
        </w:rPr>
        <w:t xml:space="preserve"> 1-28. </w:t>
      </w:r>
      <w:hyperlink r:id="rId21" w:history="1">
        <w:r w:rsidRPr="00A3471E">
          <w:rPr>
            <w:rStyle w:val="Lienhypertexte"/>
            <w:rFonts w:ascii="Times New Roman" w:hAnsi="Times New Roman"/>
            <w:sz w:val="24"/>
            <w:lang w:val="es-ES"/>
          </w:rPr>
          <w:t>https://doi.org/10.5212/PraxEduc.v.15.15915.073</w:t>
        </w:r>
      </w:hyperlink>
      <w:r w:rsidRPr="00A3471E">
        <w:rPr>
          <w:rFonts w:ascii="Times New Roman" w:hAnsi="Times New Roman"/>
          <w:sz w:val="24"/>
          <w:lang w:val="es-ES"/>
        </w:rPr>
        <w:t xml:space="preserve">. </w:t>
      </w:r>
    </w:p>
    <w:p w14:paraId="620480C3" w14:textId="051CD21B" w:rsidR="00BD3B4A" w:rsidRPr="00A3471E" w:rsidRDefault="00BD3B4A" w:rsidP="00095E29">
      <w:pPr>
        <w:spacing w:after="0" w:line="480" w:lineRule="auto"/>
        <w:ind w:left="720" w:hanging="720"/>
        <w:jc w:val="both"/>
        <w:rPr>
          <w:rFonts w:ascii="Times New Roman" w:hAnsi="Times New Roman" w:cs="Times New Roman"/>
          <w:sz w:val="24"/>
          <w:szCs w:val="24"/>
          <w:lang w:val="en-US"/>
        </w:rPr>
      </w:pPr>
      <w:proofErr w:type="spellStart"/>
      <w:r w:rsidRPr="00A3471E">
        <w:rPr>
          <w:rFonts w:ascii="Times New Roman" w:hAnsi="Times New Roman"/>
          <w:sz w:val="24"/>
          <w:lang w:val="es-ES"/>
        </w:rPr>
        <w:t>Saini</w:t>
      </w:r>
      <w:proofErr w:type="spellEnd"/>
      <w:r w:rsidRPr="00A3471E">
        <w:rPr>
          <w:rFonts w:ascii="Times New Roman" w:hAnsi="Times New Roman"/>
          <w:sz w:val="24"/>
          <w:lang w:val="es-ES"/>
        </w:rPr>
        <w:t xml:space="preserve">, </w:t>
      </w:r>
      <w:proofErr w:type="spellStart"/>
      <w:r w:rsidRPr="00A3471E">
        <w:rPr>
          <w:rFonts w:ascii="Times New Roman" w:hAnsi="Times New Roman"/>
          <w:sz w:val="24"/>
          <w:lang w:val="es-ES"/>
        </w:rPr>
        <w:t>Ruchi</w:t>
      </w:r>
      <w:proofErr w:type="spellEnd"/>
      <w:r w:rsidRPr="00A3471E">
        <w:rPr>
          <w:rFonts w:ascii="Times New Roman" w:hAnsi="Times New Roman"/>
          <w:sz w:val="24"/>
          <w:lang w:val="es-ES"/>
        </w:rPr>
        <w:t xml:space="preserve">. 2022. </w:t>
      </w:r>
      <w:proofErr w:type="gramStart"/>
      <w:r w:rsidRPr="00A3471E">
        <w:rPr>
          <w:rFonts w:ascii="Times New Roman" w:hAnsi="Times New Roman"/>
          <w:sz w:val="24"/>
          <w:lang w:val="en-US"/>
        </w:rPr>
        <w:t>« Using</w:t>
      </w:r>
      <w:proofErr w:type="gramEnd"/>
      <w:r w:rsidRPr="00A3471E">
        <w:rPr>
          <w:rFonts w:ascii="Times New Roman" w:hAnsi="Times New Roman"/>
          <w:sz w:val="24"/>
          <w:lang w:val="en-US"/>
        </w:rPr>
        <w:t xml:space="preserve"> ‘Positioning’ Theory to Analyze a Female School Teacher’s Experiences with Care Work during COVID-19 in India: Towards Decolonizing Feminist </w:t>
      </w:r>
      <w:r w:rsidRPr="00A3471E">
        <w:rPr>
          <w:rFonts w:ascii="Times New Roman" w:hAnsi="Times New Roman"/>
          <w:sz w:val="24"/>
          <w:lang w:val="en-US"/>
        </w:rPr>
        <w:lastRenderedPageBreak/>
        <w:t xml:space="preserve">Research. » </w:t>
      </w:r>
      <w:r w:rsidRPr="00A3471E">
        <w:rPr>
          <w:rFonts w:ascii="Times New Roman" w:hAnsi="Times New Roman"/>
          <w:i/>
          <w:sz w:val="24"/>
          <w:lang w:val="en-US"/>
        </w:rPr>
        <w:t>Current Issues in Comparative Education</w:t>
      </w:r>
      <w:r w:rsidRPr="00A3471E">
        <w:rPr>
          <w:rFonts w:ascii="Times New Roman" w:hAnsi="Times New Roman"/>
          <w:sz w:val="24"/>
          <w:lang w:val="en-US"/>
        </w:rPr>
        <w:t xml:space="preserve"> 24 (1): 41-60. </w:t>
      </w:r>
      <w:hyperlink r:id="rId22" w:history="1">
        <w:r w:rsidRPr="00A3471E">
          <w:rPr>
            <w:rStyle w:val="Lienhypertexte"/>
            <w:rFonts w:ascii="Times New Roman" w:hAnsi="Times New Roman"/>
            <w:sz w:val="24"/>
            <w:lang w:val="en-US"/>
          </w:rPr>
          <w:t>https://doi.org/10.52214/cice.v24i1.8850</w:t>
        </w:r>
      </w:hyperlink>
      <w:r w:rsidRPr="00A3471E">
        <w:rPr>
          <w:rFonts w:ascii="Times New Roman" w:hAnsi="Times New Roman"/>
          <w:sz w:val="24"/>
          <w:lang w:val="en-US"/>
        </w:rPr>
        <w:t xml:space="preserve">. </w:t>
      </w:r>
    </w:p>
    <w:p w14:paraId="0969ED83" w14:textId="77777777" w:rsidR="00FC26E3" w:rsidRPr="00A3471E" w:rsidRDefault="00BD3B4A" w:rsidP="00095E29">
      <w:pPr>
        <w:spacing w:after="0" w:line="480" w:lineRule="auto"/>
        <w:ind w:left="720" w:hanging="720"/>
        <w:jc w:val="both"/>
        <w:rPr>
          <w:rFonts w:ascii="Times New Roman" w:hAnsi="Times New Roman" w:cs="Times New Roman"/>
          <w:sz w:val="24"/>
          <w:szCs w:val="24"/>
          <w:lang w:val="en-US"/>
        </w:rPr>
      </w:pPr>
      <w:r>
        <w:rPr>
          <w:rFonts w:ascii="Times New Roman" w:hAnsi="Times New Roman"/>
          <w:sz w:val="24"/>
        </w:rPr>
        <w:t>Silva-</w:t>
      </w:r>
      <w:proofErr w:type="spellStart"/>
      <w:r>
        <w:rPr>
          <w:rFonts w:ascii="Times New Roman" w:hAnsi="Times New Roman"/>
          <w:sz w:val="24"/>
        </w:rPr>
        <w:t>Ayçaguer</w:t>
      </w:r>
      <w:proofErr w:type="spellEnd"/>
      <w:r>
        <w:rPr>
          <w:rFonts w:ascii="Times New Roman" w:hAnsi="Times New Roman"/>
          <w:sz w:val="24"/>
        </w:rPr>
        <w:t xml:space="preserve">, Luis Carlos et Jacqueline </w:t>
      </w:r>
      <w:proofErr w:type="spellStart"/>
      <w:r>
        <w:rPr>
          <w:rFonts w:ascii="Times New Roman" w:hAnsi="Times New Roman"/>
          <w:sz w:val="24"/>
        </w:rPr>
        <w:t>Ponzo</w:t>
      </w:r>
      <w:proofErr w:type="spellEnd"/>
      <w:r>
        <w:rPr>
          <w:rFonts w:ascii="Times New Roman" w:hAnsi="Times New Roman"/>
          <w:sz w:val="24"/>
        </w:rPr>
        <w:t xml:space="preserve">-Gómez. </w:t>
      </w:r>
      <w:r w:rsidRPr="00A3471E">
        <w:rPr>
          <w:rFonts w:ascii="Times New Roman" w:hAnsi="Times New Roman"/>
          <w:sz w:val="24"/>
          <w:lang w:val="en-US"/>
        </w:rPr>
        <w:t xml:space="preserve">2021. « A Year in the COVID-19 Epidemic: Cuba and Uruguay in the Latin American Context [Reprint]. » </w:t>
      </w:r>
      <w:r w:rsidRPr="00A3471E">
        <w:rPr>
          <w:rFonts w:ascii="Times New Roman" w:hAnsi="Times New Roman"/>
          <w:i/>
          <w:sz w:val="24"/>
          <w:lang w:val="en-US"/>
        </w:rPr>
        <w:t xml:space="preserve">Revue MEDICC </w:t>
      </w:r>
      <w:r w:rsidRPr="00A3471E">
        <w:rPr>
          <w:rFonts w:ascii="Times New Roman" w:hAnsi="Times New Roman"/>
          <w:sz w:val="24"/>
          <w:lang w:val="en-US"/>
        </w:rPr>
        <w:t>59 (3-4</w:t>
      </w:r>
      <w:proofErr w:type="gramStart"/>
      <w:r w:rsidRPr="00A3471E">
        <w:rPr>
          <w:rFonts w:ascii="Times New Roman" w:hAnsi="Times New Roman"/>
          <w:sz w:val="24"/>
          <w:lang w:val="en-US"/>
        </w:rPr>
        <w:t>) :</w:t>
      </w:r>
      <w:proofErr w:type="gramEnd"/>
      <w:r w:rsidRPr="00A3471E">
        <w:rPr>
          <w:rFonts w:ascii="Times New Roman" w:hAnsi="Times New Roman"/>
          <w:sz w:val="24"/>
          <w:lang w:val="en-US"/>
        </w:rPr>
        <w:t xml:space="preserve"> 65-73. </w:t>
      </w:r>
      <w:bookmarkStart w:id="7" w:name="_Hlk116546121"/>
      <w:r w:rsidR="00FC26E3" w:rsidRPr="00095E29">
        <w:rPr>
          <w:rFonts w:ascii="Times New Roman" w:hAnsi="Times New Roman" w:cs="Times New Roman"/>
          <w:sz w:val="24"/>
        </w:rPr>
        <w:fldChar w:fldCharType="begin"/>
      </w:r>
      <w:r w:rsidR="00FC26E3" w:rsidRPr="00A3471E">
        <w:rPr>
          <w:rFonts w:ascii="Times New Roman" w:hAnsi="Times New Roman" w:cs="Times New Roman"/>
          <w:sz w:val="24"/>
          <w:lang w:val="en-US"/>
        </w:rPr>
        <w:instrText xml:space="preserve"> HYPERLINK "https://doi.org/10.37757/MR2021.V23.N3.13" </w:instrText>
      </w:r>
      <w:r w:rsidR="00FC26E3" w:rsidRPr="00095E29">
        <w:rPr>
          <w:rFonts w:ascii="Times New Roman" w:hAnsi="Times New Roman" w:cs="Times New Roman"/>
          <w:sz w:val="24"/>
        </w:rPr>
      </w:r>
      <w:r w:rsidR="00FC26E3" w:rsidRPr="00095E29">
        <w:rPr>
          <w:rFonts w:ascii="Times New Roman" w:hAnsi="Times New Roman" w:cs="Times New Roman"/>
          <w:sz w:val="24"/>
        </w:rPr>
        <w:fldChar w:fldCharType="separate"/>
      </w:r>
      <w:r w:rsidRPr="00A3471E">
        <w:rPr>
          <w:rStyle w:val="Lienhypertexte"/>
          <w:rFonts w:ascii="Times New Roman" w:hAnsi="Times New Roman"/>
          <w:sz w:val="24"/>
          <w:lang w:val="en-US"/>
        </w:rPr>
        <w:t>https://doi.org/10.37757/MR2021.V23.N3.13</w:t>
      </w:r>
      <w:r w:rsidR="00FC26E3" w:rsidRPr="00095E29">
        <w:rPr>
          <w:rFonts w:ascii="Times New Roman" w:hAnsi="Times New Roman" w:cs="Times New Roman"/>
          <w:sz w:val="24"/>
        </w:rPr>
        <w:fldChar w:fldCharType="end"/>
      </w:r>
      <w:r w:rsidRPr="00A3471E">
        <w:rPr>
          <w:rFonts w:ascii="Times New Roman" w:hAnsi="Times New Roman"/>
          <w:sz w:val="24"/>
          <w:lang w:val="en-US"/>
        </w:rPr>
        <w:t xml:space="preserve">. </w:t>
      </w:r>
    </w:p>
    <w:p w14:paraId="043A3FD0" w14:textId="2B3BDAA3" w:rsidR="00BD3B4A" w:rsidRPr="00A3471E" w:rsidRDefault="00BD3B4A" w:rsidP="00095E29">
      <w:pPr>
        <w:spacing w:after="0" w:line="480" w:lineRule="auto"/>
        <w:ind w:left="720" w:hanging="720"/>
        <w:jc w:val="both"/>
        <w:rPr>
          <w:rFonts w:ascii="Times New Roman" w:hAnsi="Times New Roman" w:cs="Times New Roman"/>
          <w:sz w:val="24"/>
          <w:szCs w:val="24"/>
          <w:lang w:val="en-US"/>
        </w:rPr>
      </w:pPr>
      <w:r w:rsidRPr="00A3471E">
        <w:rPr>
          <w:rFonts w:ascii="Times New Roman" w:hAnsi="Times New Roman"/>
          <w:sz w:val="24"/>
          <w:lang w:val="en-US"/>
        </w:rPr>
        <w:t xml:space="preserve">Stern, Alexandra M., Martin S. </w:t>
      </w:r>
      <w:proofErr w:type="spellStart"/>
      <w:r w:rsidRPr="00A3471E">
        <w:rPr>
          <w:rFonts w:ascii="Times New Roman" w:hAnsi="Times New Roman"/>
          <w:sz w:val="24"/>
          <w:lang w:val="en-US"/>
        </w:rPr>
        <w:t>Cetron</w:t>
      </w:r>
      <w:proofErr w:type="spellEnd"/>
      <w:r w:rsidRPr="00A3471E">
        <w:rPr>
          <w:rFonts w:ascii="Times New Roman" w:hAnsi="Times New Roman"/>
          <w:sz w:val="24"/>
          <w:lang w:val="en-US"/>
        </w:rPr>
        <w:t xml:space="preserve"> et Howard Markel. </w:t>
      </w:r>
      <w:bookmarkEnd w:id="7"/>
      <w:r w:rsidRPr="00A3471E">
        <w:rPr>
          <w:rFonts w:ascii="Times New Roman" w:hAnsi="Times New Roman"/>
          <w:sz w:val="24"/>
          <w:lang w:val="en-US"/>
        </w:rPr>
        <w:t xml:space="preserve">2009. « Closing the Schools: Lessons from the 1918-19 U.S. Influenza Pandemic. » </w:t>
      </w:r>
      <w:r w:rsidRPr="00A3471E">
        <w:rPr>
          <w:rFonts w:ascii="Times New Roman" w:hAnsi="Times New Roman"/>
          <w:i/>
          <w:sz w:val="24"/>
          <w:lang w:val="en-US"/>
        </w:rPr>
        <w:t>Health Affairs</w:t>
      </w:r>
      <w:r w:rsidRPr="00A3471E">
        <w:rPr>
          <w:rFonts w:ascii="Times New Roman" w:hAnsi="Times New Roman"/>
          <w:sz w:val="24"/>
          <w:lang w:val="en-US"/>
        </w:rPr>
        <w:t xml:space="preserve"> 28 (6): w1066-1078. </w:t>
      </w:r>
      <w:hyperlink r:id="rId23" w:history="1">
        <w:r w:rsidRPr="00A3471E">
          <w:rPr>
            <w:rStyle w:val="Lienhypertexte"/>
            <w:rFonts w:ascii="Times New Roman" w:hAnsi="Times New Roman"/>
            <w:sz w:val="24"/>
            <w:lang w:val="en-US"/>
          </w:rPr>
          <w:t>https://doi.org/10.1377/hlthaff.28.6.w1066</w:t>
        </w:r>
      </w:hyperlink>
      <w:r w:rsidRPr="00A3471E">
        <w:rPr>
          <w:rFonts w:ascii="Times New Roman" w:hAnsi="Times New Roman"/>
          <w:sz w:val="24"/>
          <w:lang w:val="en-US"/>
        </w:rPr>
        <w:t xml:space="preserve">. </w:t>
      </w:r>
    </w:p>
    <w:p w14:paraId="4FB012CE" w14:textId="32B00F96" w:rsidR="00BD3B4A" w:rsidRPr="00095E29" w:rsidRDefault="00BD3B4A" w:rsidP="00095E29">
      <w:pPr>
        <w:spacing w:after="0" w:line="480" w:lineRule="auto"/>
        <w:ind w:left="720" w:hanging="720"/>
        <w:jc w:val="both"/>
        <w:rPr>
          <w:rFonts w:ascii="Times New Roman" w:hAnsi="Times New Roman" w:cs="Times New Roman"/>
          <w:sz w:val="24"/>
          <w:szCs w:val="24"/>
        </w:rPr>
      </w:pPr>
      <w:r w:rsidRPr="00A3471E">
        <w:rPr>
          <w:rFonts w:ascii="Times New Roman" w:hAnsi="Times New Roman"/>
          <w:sz w:val="24"/>
          <w:lang w:val="en-US"/>
        </w:rPr>
        <w:t xml:space="preserve">Taylor, Astra et David Adler. </w:t>
      </w:r>
      <w:r>
        <w:rPr>
          <w:rFonts w:ascii="Times New Roman" w:hAnsi="Times New Roman"/>
          <w:sz w:val="24"/>
        </w:rPr>
        <w:t>2020. « </w:t>
      </w:r>
      <w:proofErr w:type="spellStart"/>
      <w:r>
        <w:rPr>
          <w:rFonts w:ascii="Times New Roman" w:hAnsi="Times New Roman"/>
          <w:sz w:val="24"/>
        </w:rPr>
        <w:t>Internationalism</w:t>
      </w:r>
      <w:proofErr w:type="spellEnd"/>
      <w:r>
        <w:rPr>
          <w:rFonts w:ascii="Times New Roman" w:hAnsi="Times New Roman"/>
          <w:sz w:val="24"/>
        </w:rPr>
        <w:t xml:space="preserve"> in a </w:t>
      </w:r>
      <w:proofErr w:type="spellStart"/>
      <w:r>
        <w:rPr>
          <w:rFonts w:ascii="Times New Roman" w:hAnsi="Times New Roman"/>
          <w:sz w:val="24"/>
        </w:rPr>
        <w:t>Pandemic</w:t>
      </w:r>
      <w:proofErr w:type="spellEnd"/>
      <w:r>
        <w:rPr>
          <w:rFonts w:ascii="Times New Roman" w:hAnsi="Times New Roman"/>
          <w:sz w:val="24"/>
        </w:rPr>
        <w:t xml:space="preserve">. » </w:t>
      </w:r>
      <w:bookmarkStart w:id="8" w:name="_Hlk65767800"/>
      <w:r w:rsidRPr="00A3471E">
        <w:rPr>
          <w:rFonts w:ascii="Times New Roman" w:hAnsi="Times New Roman"/>
          <w:sz w:val="24"/>
          <w:lang w:val="en-US"/>
        </w:rPr>
        <w:t xml:space="preserve">In </w:t>
      </w:r>
      <w:r w:rsidRPr="00A3471E">
        <w:rPr>
          <w:rFonts w:ascii="Times New Roman" w:hAnsi="Times New Roman"/>
          <w:i/>
          <w:sz w:val="24"/>
          <w:lang w:val="en-US"/>
        </w:rPr>
        <w:t xml:space="preserve">Everything Must Change! The World after COVID-19, </w:t>
      </w:r>
      <w:proofErr w:type="spellStart"/>
      <w:r w:rsidRPr="00A3471E">
        <w:rPr>
          <w:rFonts w:ascii="Times New Roman" w:hAnsi="Times New Roman"/>
          <w:sz w:val="24"/>
          <w:lang w:val="en-US"/>
        </w:rPr>
        <w:t>publié</w:t>
      </w:r>
      <w:proofErr w:type="spellEnd"/>
      <w:r w:rsidRPr="00A3471E">
        <w:rPr>
          <w:rFonts w:ascii="Times New Roman" w:hAnsi="Times New Roman"/>
          <w:sz w:val="24"/>
          <w:lang w:val="en-US"/>
        </w:rPr>
        <w:t xml:space="preserve"> par Renata Ávila and </w:t>
      </w:r>
      <w:proofErr w:type="spellStart"/>
      <w:r w:rsidRPr="00A3471E">
        <w:rPr>
          <w:rFonts w:ascii="Times New Roman" w:hAnsi="Times New Roman"/>
          <w:sz w:val="24"/>
          <w:lang w:val="en-US"/>
        </w:rPr>
        <w:t>Srećko</w:t>
      </w:r>
      <w:proofErr w:type="spellEnd"/>
      <w:r w:rsidRPr="00A3471E">
        <w:rPr>
          <w:rFonts w:ascii="Times New Roman" w:hAnsi="Times New Roman"/>
          <w:sz w:val="24"/>
          <w:lang w:val="en-US"/>
        </w:rPr>
        <w:t xml:space="preserve"> Horvat, 147-59. </w:t>
      </w:r>
      <w:r>
        <w:rPr>
          <w:rFonts w:ascii="Times New Roman" w:hAnsi="Times New Roman"/>
          <w:sz w:val="24"/>
        </w:rPr>
        <w:t>New York : OR Books.</w:t>
      </w:r>
      <w:bookmarkEnd w:id="8"/>
    </w:p>
    <w:p w14:paraId="7522AA08" w14:textId="7975287E" w:rsidR="00BD3B4A" w:rsidRPr="00095E29" w:rsidRDefault="00BD3B4A" w:rsidP="00095E29">
      <w:pPr>
        <w:spacing w:after="0" w:line="480" w:lineRule="auto"/>
        <w:ind w:left="720" w:hanging="720"/>
        <w:jc w:val="both"/>
        <w:rPr>
          <w:rFonts w:ascii="Times New Roman" w:hAnsi="Times New Roman" w:cs="Times New Roman"/>
          <w:sz w:val="24"/>
          <w:szCs w:val="24"/>
        </w:rPr>
      </w:pPr>
      <w:r>
        <w:rPr>
          <w:rFonts w:ascii="Times New Roman" w:hAnsi="Times New Roman"/>
          <w:sz w:val="24"/>
        </w:rPr>
        <w:t xml:space="preserve">UNESCO (Organisation des Nations unies pour l’éducation, la science et la culture). </w:t>
      </w:r>
      <w:r w:rsidRPr="00A3471E">
        <w:rPr>
          <w:rFonts w:ascii="Times New Roman" w:hAnsi="Times New Roman"/>
          <w:sz w:val="24"/>
          <w:lang w:val="en-US"/>
        </w:rPr>
        <w:t xml:space="preserve">2022. « Evidence on the Gendered Impacts of Extended School Closures: A Systematic Review. » </w:t>
      </w:r>
      <w:r>
        <w:rPr>
          <w:rFonts w:ascii="Times New Roman" w:hAnsi="Times New Roman"/>
          <w:sz w:val="24"/>
        </w:rPr>
        <w:t xml:space="preserve">Paris : UNESCO. </w:t>
      </w:r>
      <w:hyperlink r:id="rId24" w:history="1">
        <w:r>
          <w:rPr>
            <w:rStyle w:val="Lienhypertexte"/>
            <w:rFonts w:ascii="Times New Roman" w:hAnsi="Times New Roman"/>
            <w:sz w:val="24"/>
          </w:rPr>
          <w:t>https://unesdoc.unesco.org/ark:/48223/pf0000380935</w:t>
        </w:r>
      </w:hyperlink>
      <w:r>
        <w:rPr>
          <w:rFonts w:ascii="Times New Roman" w:hAnsi="Times New Roman"/>
          <w:sz w:val="24"/>
        </w:rPr>
        <w:t xml:space="preserve">. </w:t>
      </w:r>
    </w:p>
    <w:p w14:paraId="5EDA1FF4" w14:textId="7D99982E" w:rsidR="00923252" w:rsidRPr="00A3471E" w:rsidRDefault="00BD3B4A" w:rsidP="00095E29">
      <w:pPr>
        <w:spacing w:after="0" w:line="480" w:lineRule="auto"/>
        <w:ind w:left="720" w:hanging="720"/>
        <w:jc w:val="both"/>
        <w:rPr>
          <w:rFonts w:ascii="Times New Roman" w:hAnsi="Times New Roman" w:cs="Times New Roman"/>
          <w:sz w:val="24"/>
          <w:szCs w:val="24"/>
          <w:lang w:val="en-US"/>
        </w:rPr>
      </w:pPr>
      <w:r>
        <w:rPr>
          <w:rFonts w:ascii="Times New Roman" w:hAnsi="Times New Roman"/>
          <w:sz w:val="24"/>
        </w:rPr>
        <w:t>UNESCO, UNICEF (Fonds des Nations unies pour l’enfance) et Banque mondiale. 2020. « </w:t>
      </w:r>
      <w:proofErr w:type="spellStart"/>
      <w:r>
        <w:rPr>
          <w:rFonts w:ascii="Times New Roman" w:hAnsi="Times New Roman"/>
          <w:sz w:val="24"/>
        </w:rPr>
        <w:t>What</w:t>
      </w:r>
      <w:proofErr w:type="spellEnd"/>
      <w:r>
        <w:rPr>
          <w:rFonts w:ascii="Times New Roman" w:hAnsi="Times New Roman"/>
          <w:sz w:val="24"/>
        </w:rPr>
        <w:t xml:space="preserve"> Have </w:t>
      </w:r>
      <w:proofErr w:type="spellStart"/>
      <w:r>
        <w:rPr>
          <w:rFonts w:ascii="Times New Roman" w:hAnsi="Times New Roman"/>
          <w:sz w:val="24"/>
        </w:rPr>
        <w:t>We</w:t>
      </w:r>
      <w:proofErr w:type="spellEnd"/>
      <w:r>
        <w:rPr>
          <w:rFonts w:ascii="Times New Roman" w:hAnsi="Times New Roman"/>
          <w:sz w:val="24"/>
        </w:rPr>
        <w:t xml:space="preserve"> </w:t>
      </w:r>
      <w:proofErr w:type="spellStart"/>
      <w:proofErr w:type="gramStart"/>
      <w:r>
        <w:rPr>
          <w:rFonts w:ascii="Times New Roman" w:hAnsi="Times New Roman"/>
          <w:sz w:val="24"/>
        </w:rPr>
        <w:t>Learnt</w:t>
      </w:r>
      <w:proofErr w:type="spellEnd"/>
      <w:r>
        <w:rPr>
          <w:rFonts w:ascii="Times New Roman" w:hAnsi="Times New Roman"/>
          <w:sz w:val="24"/>
        </w:rPr>
        <w:t>?</w:t>
      </w:r>
      <w:proofErr w:type="gramEnd"/>
      <w:r>
        <w:rPr>
          <w:rFonts w:ascii="Times New Roman" w:hAnsi="Times New Roman"/>
          <w:sz w:val="24"/>
        </w:rPr>
        <w:t xml:space="preserve"> </w:t>
      </w:r>
      <w:r w:rsidRPr="00A3471E">
        <w:rPr>
          <w:rFonts w:ascii="Times New Roman" w:hAnsi="Times New Roman"/>
          <w:sz w:val="24"/>
          <w:lang w:val="en-US"/>
        </w:rPr>
        <w:t xml:space="preserve">Overview of Findings from a Survey of Ministries of Education on National Responses to COVID-19. » New </w:t>
      </w:r>
      <w:proofErr w:type="gramStart"/>
      <w:r w:rsidRPr="00A3471E">
        <w:rPr>
          <w:rFonts w:ascii="Times New Roman" w:hAnsi="Times New Roman"/>
          <w:sz w:val="24"/>
          <w:lang w:val="en-US"/>
        </w:rPr>
        <w:t>York :</w:t>
      </w:r>
      <w:proofErr w:type="gramEnd"/>
      <w:r w:rsidRPr="00A3471E">
        <w:rPr>
          <w:rFonts w:ascii="Times New Roman" w:hAnsi="Times New Roman"/>
          <w:sz w:val="24"/>
          <w:lang w:val="en-US"/>
        </w:rPr>
        <w:t xml:space="preserve"> UNICEF. </w:t>
      </w:r>
      <w:hyperlink r:id="rId25" w:history="1">
        <w:r w:rsidRPr="00A3471E">
          <w:rPr>
            <w:rStyle w:val="Lienhypertexte"/>
            <w:rFonts w:ascii="Times New Roman" w:hAnsi="Times New Roman"/>
            <w:sz w:val="24"/>
            <w:lang w:val="en-US"/>
          </w:rPr>
          <w:t>https://data.unicef.org/resources/national-education-responses-to-covid19/</w:t>
        </w:r>
      </w:hyperlink>
      <w:r w:rsidRPr="00A3471E">
        <w:rPr>
          <w:rFonts w:ascii="Times New Roman" w:hAnsi="Times New Roman"/>
          <w:sz w:val="24"/>
          <w:lang w:val="en-US"/>
        </w:rPr>
        <w:t>.</w:t>
      </w:r>
    </w:p>
    <w:p w14:paraId="37A23E67" w14:textId="5D4E3D6B" w:rsidR="00923252" w:rsidRPr="00095E29" w:rsidRDefault="00923252" w:rsidP="00095E29">
      <w:pPr>
        <w:spacing w:after="0" w:line="480" w:lineRule="auto"/>
        <w:ind w:left="720" w:hanging="720"/>
        <w:jc w:val="both"/>
        <w:rPr>
          <w:rFonts w:ascii="Times New Roman" w:hAnsi="Times New Roman" w:cs="Times New Roman"/>
          <w:sz w:val="24"/>
          <w:szCs w:val="24"/>
        </w:rPr>
      </w:pPr>
      <w:r>
        <w:rPr>
          <w:rFonts w:ascii="Times New Roman" w:hAnsi="Times New Roman"/>
          <w:sz w:val="24"/>
        </w:rPr>
        <w:t xml:space="preserve">Institut de statistique de l’UNESCO. </w:t>
      </w:r>
      <w:r w:rsidRPr="00A3471E">
        <w:rPr>
          <w:rFonts w:ascii="Times New Roman" w:hAnsi="Times New Roman"/>
          <w:sz w:val="24"/>
          <w:lang w:val="en-US"/>
        </w:rPr>
        <w:t xml:space="preserve">2022. « COVID-19 in Sub-Saharan Africa: Monitoring Impacts on Learning Outcomes. » </w:t>
      </w:r>
      <w:r>
        <w:rPr>
          <w:rFonts w:ascii="Times New Roman" w:hAnsi="Times New Roman"/>
          <w:sz w:val="24"/>
        </w:rPr>
        <w:t xml:space="preserve">Montréal : </w:t>
      </w:r>
      <w:r>
        <w:t>Institut de statistique de l’UNESCO.</w:t>
      </w:r>
      <w:r>
        <w:rPr>
          <w:rFonts w:ascii="Times New Roman" w:hAnsi="Times New Roman"/>
          <w:sz w:val="24"/>
        </w:rPr>
        <w:t xml:space="preserve"> </w:t>
      </w:r>
      <w:hyperlink r:id="rId26" w:history="1">
        <w:r>
          <w:rPr>
            <w:rStyle w:val="Lienhypertexte"/>
            <w:rFonts w:ascii="Times New Roman" w:hAnsi="Times New Roman"/>
            <w:sz w:val="24"/>
          </w:rPr>
          <w:t>https://milo.uis.unesco.org/wp-content/uploads/sites/17/2022/01/MILO-Summary-Full-Report.pdf</w:t>
        </w:r>
      </w:hyperlink>
      <w:r>
        <w:rPr>
          <w:rFonts w:ascii="Times New Roman" w:hAnsi="Times New Roman"/>
          <w:sz w:val="24"/>
        </w:rPr>
        <w:t>.</w:t>
      </w:r>
    </w:p>
    <w:p w14:paraId="23213D1A" w14:textId="46C8F77F" w:rsidR="00434DFC" w:rsidRPr="00095E29" w:rsidRDefault="00434DFC" w:rsidP="00095E29">
      <w:pPr>
        <w:spacing w:after="0" w:line="480" w:lineRule="auto"/>
        <w:ind w:left="720" w:hanging="720"/>
        <w:jc w:val="both"/>
        <w:rPr>
          <w:rFonts w:ascii="Times New Roman" w:hAnsi="Times New Roman" w:cs="Times New Roman"/>
          <w:sz w:val="24"/>
          <w:szCs w:val="24"/>
        </w:rPr>
      </w:pPr>
      <w:r w:rsidRPr="00A3471E">
        <w:rPr>
          <w:rFonts w:ascii="Times New Roman" w:hAnsi="Times New Roman"/>
          <w:color w:val="000000"/>
          <w:sz w:val="24"/>
          <w:lang w:val="en-US"/>
        </w:rPr>
        <w:lastRenderedPageBreak/>
        <w:t xml:space="preserve">Banque </w:t>
      </w:r>
      <w:proofErr w:type="spellStart"/>
      <w:r w:rsidRPr="00A3471E">
        <w:rPr>
          <w:rFonts w:ascii="Times New Roman" w:hAnsi="Times New Roman"/>
          <w:color w:val="000000"/>
          <w:sz w:val="24"/>
          <w:lang w:val="en-US"/>
        </w:rPr>
        <w:t>mondiale</w:t>
      </w:r>
      <w:proofErr w:type="spellEnd"/>
      <w:r w:rsidRPr="00A3471E">
        <w:rPr>
          <w:rFonts w:ascii="Times New Roman" w:hAnsi="Times New Roman"/>
          <w:color w:val="000000"/>
          <w:sz w:val="24"/>
          <w:lang w:val="en-US"/>
        </w:rPr>
        <w:t>. 2020. « The COVID-19 Pandemic: Shocks to Education and Policy Responses. »</w:t>
      </w:r>
      <w:r w:rsidRPr="00A3471E">
        <w:rPr>
          <w:rFonts w:ascii="Times New Roman" w:hAnsi="Times New Roman"/>
          <w:i/>
          <w:color w:val="000000"/>
          <w:sz w:val="24"/>
          <w:lang w:val="en-US"/>
        </w:rPr>
        <w:t xml:space="preserve"> </w:t>
      </w:r>
      <w:r>
        <w:rPr>
          <w:rFonts w:ascii="Times New Roman" w:hAnsi="Times New Roman"/>
          <w:color w:val="000000"/>
          <w:sz w:val="24"/>
        </w:rPr>
        <w:t xml:space="preserve">Washington, DC : Banque mondiale. </w:t>
      </w:r>
      <w:hyperlink r:id="rId27" w:history="1">
        <w:r>
          <w:rPr>
            <w:rStyle w:val="Lienhypertexte"/>
            <w:rFonts w:ascii="Times New Roman" w:hAnsi="Times New Roman"/>
            <w:sz w:val="24"/>
          </w:rPr>
          <w:t>https://openknowledge.worldbank.org/bitstream/handle/10986/33696/148198.pdf</w:t>
        </w:r>
      </w:hyperlink>
      <w:r>
        <w:rPr>
          <w:rFonts w:ascii="Times New Roman" w:hAnsi="Times New Roman"/>
          <w:color w:val="000000"/>
          <w:sz w:val="24"/>
        </w:rPr>
        <w:t xml:space="preserve">. </w:t>
      </w:r>
    </w:p>
    <w:p w14:paraId="09D8D08D" w14:textId="16521E25" w:rsidR="00BD3B4A" w:rsidRPr="00A3471E" w:rsidRDefault="00C86ABB" w:rsidP="00095E29">
      <w:pPr>
        <w:spacing w:after="0" w:line="480" w:lineRule="auto"/>
        <w:ind w:left="720" w:hanging="720"/>
        <w:jc w:val="both"/>
        <w:rPr>
          <w:rFonts w:ascii="Times New Roman" w:hAnsi="Times New Roman" w:cs="Times New Roman"/>
          <w:sz w:val="24"/>
          <w:szCs w:val="24"/>
          <w:lang w:val="en-US"/>
        </w:rPr>
      </w:pPr>
      <w:r>
        <w:rPr>
          <w:rFonts w:ascii="Times New Roman" w:hAnsi="Times New Roman"/>
          <w:sz w:val="24"/>
        </w:rPr>
        <w:t xml:space="preserve">OMS (Organisation mondiale de la santé). </w:t>
      </w:r>
      <w:r w:rsidRPr="00A3471E">
        <w:rPr>
          <w:rFonts w:ascii="Times New Roman" w:hAnsi="Times New Roman"/>
          <w:sz w:val="24"/>
          <w:lang w:val="en-US"/>
        </w:rPr>
        <w:t xml:space="preserve">2022. « Coronavirus (COVID-19) Dashboard. » </w:t>
      </w:r>
      <w:r w:rsidRPr="00A3471E">
        <w:rPr>
          <w:lang w:val="en-US"/>
        </w:rPr>
        <w:t xml:space="preserve">OMS, 17 </w:t>
      </w:r>
      <w:proofErr w:type="spellStart"/>
      <w:r w:rsidRPr="00A3471E">
        <w:rPr>
          <w:lang w:val="en-US"/>
        </w:rPr>
        <w:t>octobre</w:t>
      </w:r>
      <w:proofErr w:type="spellEnd"/>
      <w:r w:rsidRPr="00A3471E">
        <w:rPr>
          <w:lang w:val="en-US"/>
        </w:rPr>
        <w:t xml:space="preserve"> 2022.</w:t>
      </w:r>
      <w:r w:rsidRPr="00A3471E">
        <w:rPr>
          <w:rFonts w:ascii="Times New Roman" w:hAnsi="Times New Roman"/>
          <w:sz w:val="24"/>
          <w:lang w:val="en-US"/>
        </w:rPr>
        <w:t xml:space="preserve"> </w:t>
      </w:r>
      <w:hyperlink r:id="rId28" w:history="1">
        <w:r w:rsidRPr="00A3471E">
          <w:rPr>
            <w:rStyle w:val="Lienhypertexte"/>
            <w:rFonts w:ascii="Times New Roman" w:hAnsi="Times New Roman"/>
            <w:sz w:val="24"/>
            <w:lang w:val="en-US"/>
          </w:rPr>
          <w:t>https://covid19.who.int/</w:t>
        </w:r>
      </w:hyperlink>
      <w:r w:rsidRPr="00A3471E">
        <w:rPr>
          <w:rFonts w:ascii="Times New Roman" w:hAnsi="Times New Roman"/>
          <w:sz w:val="24"/>
          <w:lang w:val="en-US"/>
        </w:rPr>
        <w:t xml:space="preserve">. </w:t>
      </w:r>
    </w:p>
    <w:p w14:paraId="31A476F3" w14:textId="2F914607" w:rsidR="007A4629" w:rsidRPr="00095E29" w:rsidRDefault="00BD3B4A" w:rsidP="00095E29">
      <w:pPr>
        <w:spacing w:after="0" w:line="480" w:lineRule="auto"/>
        <w:ind w:left="720" w:hanging="720"/>
        <w:jc w:val="both"/>
        <w:rPr>
          <w:rFonts w:ascii="Times New Roman" w:hAnsi="Times New Roman" w:cs="Times New Roman"/>
          <w:sz w:val="24"/>
          <w:szCs w:val="24"/>
        </w:rPr>
      </w:pPr>
      <w:bookmarkStart w:id="9" w:name="_Hlk69736118"/>
      <w:proofErr w:type="spellStart"/>
      <w:r w:rsidRPr="00A3471E">
        <w:rPr>
          <w:rFonts w:ascii="Times New Roman" w:hAnsi="Times New Roman"/>
          <w:sz w:val="24"/>
          <w:lang w:val="en-US"/>
        </w:rPr>
        <w:t>Yeyati</w:t>
      </w:r>
      <w:proofErr w:type="spellEnd"/>
      <w:r w:rsidRPr="00A3471E">
        <w:rPr>
          <w:rFonts w:ascii="Times New Roman" w:hAnsi="Times New Roman"/>
          <w:sz w:val="24"/>
          <w:lang w:val="en-US"/>
        </w:rPr>
        <w:t xml:space="preserve">, Eduardo Levy et </w:t>
      </w:r>
      <w:proofErr w:type="spellStart"/>
      <w:r w:rsidRPr="00A3471E">
        <w:rPr>
          <w:rFonts w:ascii="Times New Roman" w:hAnsi="Times New Roman"/>
          <w:sz w:val="24"/>
          <w:lang w:val="en-US"/>
        </w:rPr>
        <w:t>Filippini</w:t>
      </w:r>
      <w:proofErr w:type="spellEnd"/>
      <w:r w:rsidRPr="00A3471E">
        <w:rPr>
          <w:rFonts w:ascii="Times New Roman" w:hAnsi="Times New Roman"/>
          <w:sz w:val="24"/>
          <w:lang w:val="en-US"/>
        </w:rPr>
        <w:t xml:space="preserve"> Federico. 2021. « Social and Economic Impact of COVID-19. » </w:t>
      </w:r>
      <w:r>
        <w:rPr>
          <w:rFonts w:ascii="Times New Roman" w:hAnsi="Times New Roman"/>
          <w:sz w:val="24"/>
        </w:rPr>
        <w:t xml:space="preserve">Document de travail mondial #158 de Brookings. Washington, DC : Brookings Institution. </w:t>
      </w:r>
      <w:bookmarkEnd w:id="9"/>
      <w:r w:rsidR="00357B82" w:rsidRPr="00095E29">
        <w:rPr>
          <w:rFonts w:ascii="Times New Roman" w:hAnsi="Times New Roman" w:cs="Times New Roman"/>
          <w:sz w:val="24"/>
        </w:rPr>
        <w:fldChar w:fldCharType="begin"/>
      </w:r>
      <w:r w:rsidR="00357B82" w:rsidRPr="00095E29">
        <w:rPr>
          <w:rFonts w:ascii="Times New Roman" w:hAnsi="Times New Roman" w:cs="Times New Roman"/>
          <w:sz w:val="24"/>
        </w:rPr>
        <w:instrText xml:space="preserve"> HYPERLINK "https://www.brookings.edu/wp-content/uploads/2021/06/Social-and-economic-impact-COVID.pdf" </w:instrText>
      </w:r>
      <w:r w:rsidR="00357B82" w:rsidRPr="00095E29">
        <w:rPr>
          <w:rFonts w:ascii="Times New Roman" w:hAnsi="Times New Roman" w:cs="Times New Roman"/>
          <w:sz w:val="24"/>
        </w:rPr>
      </w:r>
      <w:r w:rsidR="00357B82" w:rsidRPr="00095E29">
        <w:rPr>
          <w:rFonts w:ascii="Times New Roman" w:hAnsi="Times New Roman" w:cs="Times New Roman"/>
          <w:sz w:val="24"/>
        </w:rPr>
        <w:fldChar w:fldCharType="separate"/>
      </w:r>
      <w:r>
        <w:rPr>
          <w:rStyle w:val="Lienhypertexte"/>
          <w:rFonts w:ascii="Times New Roman" w:hAnsi="Times New Roman"/>
          <w:sz w:val="24"/>
        </w:rPr>
        <w:t>https://www.brookings.edu/wp-content/uploads/2021/06/Social-and-economic-impact-COVID.pdf</w:t>
      </w:r>
      <w:r w:rsidR="00357B82" w:rsidRPr="00095E29">
        <w:rPr>
          <w:rFonts w:ascii="Times New Roman" w:hAnsi="Times New Roman" w:cs="Times New Roman"/>
          <w:sz w:val="24"/>
        </w:rPr>
        <w:fldChar w:fldCharType="end"/>
      </w:r>
      <w:r>
        <w:rPr>
          <w:rFonts w:ascii="Times New Roman" w:hAnsi="Times New Roman"/>
          <w:sz w:val="24"/>
        </w:rPr>
        <w:t xml:space="preserve">. </w:t>
      </w:r>
    </w:p>
    <w:p w14:paraId="7338361C" w14:textId="4E80B985" w:rsidR="00357B82" w:rsidRPr="00095E29" w:rsidRDefault="00357B82" w:rsidP="00095E29">
      <w:pPr>
        <w:spacing w:after="0" w:line="480" w:lineRule="auto"/>
        <w:ind w:left="720" w:hanging="720"/>
        <w:jc w:val="both"/>
        <w:rPr>
          <w:rFonts w:ascii="Times New Roman" w:hAnsi="Times New Roman" w:cs="Times New Roman"/>
          <w:sz w:val="24"/>
          <w:szCs w:val="24"/>
        </w:rPr>
      </w:pPr>
    </w:p>
    <w:p w14:paraId="3B5A0C24" w14:textId="77777777" w:rsidR="00357B82" w:rsidRPr="00095E29" w:rsidRDefault="00357B82" w:rsidP="00095E29">
      <w:pPr>
        <w:spacing w:after="0" w:line="480" w:lineRule="auto"/>
        <w:ind w:left="720" w:hanging="720"/>
        <w:jc w:val="both"/>
        <w:rPr>
          <w:rFonts w:ascii="Times New Roman" w:hAnsi="Times New Roman" w:cs="Times New Roman"/>
          <w:sz w:val="24"/>
          <w:szCs w:val="24"/>
        </w:rPr>
      </w:pPr>
    </w:p>
    <w:sectPr w:rsidR="00357B82" w:rsidRPr="00095E29">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91C3" w14:textId="77777777" w:rsidR="00D7628E" w:rsidRDefault="00D7628E" w:rsidP="00376F64">
      <w:pPr>
        <w:spacing w:after="0" w:line="240" w:lineRule="auto"/>
      </w:pPr>
      <w:r>
        <w:separator/>
      </w:r>
    </w:p>
  </w:endnote>
  <w:endnote w:type="continuationSeparator" w:id="0">
    <w:p w14:paraId="6B4EF84A" w14:textId="77777777" w:rsidR="00D7628E" w:rsidRDefault="00D7628E" w:rsidP="0037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563181440"/>
      <w:docPartObj>
        <w:docPartGallery w:val="Page Numbers (Bottom of Page)"/>
        <w:docPartUnique/>
      </w:docPartObj>
    </w:sdtPr>
    <w:sdtEndPr>
      <w:rPr>
        <w:noProof/>
      </w:rPr>
    </w:sdtEndPr>
    <w:sdtContent>
      <w:p w14:paraId="0766BA4E" w14:textId="39BB00D2" w:rsidR="008F5BB0" w:rsidRPr="002907B2" w:rsidRDefault="008F5BB0" w:rsidP="002907B2">
        <w:pPr>
          <w:pStyle w:val="Pieddepage"/>
          <w:jc w:val="center"/>
          <w:rPr>
            <w:rFonts w:ascii="Times New Roman" w:hAnsi="Times New Roman" w:cs="Times New Roman"/>
            <w:sz w:val="24"/>
            <w:szCs w:val="24"/>
          </w:rPr>
        </w:pPr>
        <w:r w:rsidRPr="002907B2">
          <w:rPr>
            <w:rFonts w:ascii="Times New Roman" w:hAnsi="Times New Roman" w:cs="Times New Roman"/>
            <w:sz w:val="24"/>
          </w:rPr>
          <w:fldChar w:fldCharType="begin"/>
        </w:r>
        <w:r w:rsidRPr="002907B2">
          <w:rPr>
            <w:rFonts w:ascii="Times New Roman" w:hAnsi="Times New Roman" w:cs="Times New Roman"/>
            <w:sz w:val="24"/>
          </w:rPr>
          <w:instrText xml:space="preserve"> PAGE   \* MERGEFORMAT </w:instrText>
        </w:r>
        <w:r w:rsidRPr="002907B2">
          <w:rPr>
            <w:rFonts w:ascii="Times New Roman" w:hAnsi="Times New Roman" w:cs="Times New Roman"/>
            <w:sz w:val="24"/>
          </w:rPr>
          <w:fldChar w:fldCharType="separate"/>
        </w:r>
        <w:r w:rsidRPr="002907B2">
          <w:rPr>
            <w:rFonts w:ascii="Times New Roman" w:hAnsi="Times New Roman" w:cs="Times New Roman"/>
            <w:sz w:val="24"/>
          </w:rPr>
          <w:t>2</w:t>
        </w:r>
        <w:r w:rsidRPr="002907B2">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A6D7D" w14:textId="77777777" w:rsidR="00D7628E" w:rsidRDefault="00D7628E" w:rsidP="00376F64">
      <w:pPr>
        <w:spacing w:after="0" w:line="240" w:lineRule="auto"/>
      </w:pPr>
      <w:r>
        <w:separator/>
      </w:r>
    </w:p>
  </w:footnote>
  <w:footnote w:type="continuationSeparator" w:id="0">
    <w:p w14:paraId="77FB686F" w14:textId="77777777" w:rsidR="00D7628E" w:rsidRDefault="00D7628E" w:rsidP="00376F64">
      <w:pPr>
        <w:spacing w:after="0" w:line="240" w:lineRule="auto"/>
      </w:pPr>
      <w:r>
        <w:continuationSeparator/>
      </w:r>
    </w:p>
  </w:footnote>
  <w:footnote w:id="1">
    <w:p w14:paraId="0DA44061" w14:textId="34B90852" w:rsidR="009E454C" w:rsidRPr="002907B2" w:rsidRDefault="009E454C" w:rsidP="002907B2">
      <w:pPr>
        <w:pStyle w:val="Notedebasdepage"/>
        <w:jc w:val="both"/>
        <w:rPr>
          <w:rFonts w:ascii="Times New Roman" w:hAnsi="Times New Roman" w:cs="Times New Roman"/>
        </w:rPr>
      </w:pPr>
      <w:r>
        <w:rPr>
          <w:rStyle w:val="Appelnotedebasdep"/>
          <w:rFonts w:ascii="Times New Roman" w:hAnsi="Times New Roman" w:cs="Times New Roman"/>
        </w:rPr>
        <w:footnoteRef/>
      </w:r>
      <w:proofErr w:type="spellStart"/>
      <w:r>
        <w:rPr>
          <w:i/>
        </w:rPr>
        <w:t>Current</w:t>
      </w:r>
      <w:proofErr w:type="spellEnd"/>
      <w:r>
        <w:rPr>
          <w:i/>
        </w:rPr>
        <w:t xml:space="preserve"> Issues in Comparative Education </w:t>
      </w:r>
      <w:r>
        <w:t xml:space="preserve">(2022, Vol. 24), </w:t>
      </w:r>
      <w:r>
        <w:rPr>
          <w:i/>
        </w:rPr>
        <w:t xml:space="preserve">Journal of Comparative and International </w:t>
      </w:r>
      <w:proofErr w:type="spellStart"/>
      <w:r>
        <w:rPr>
          <w:i/>
        </w:rPr>
        <w:t>Higher</w:t>
      </w:r>
      <w:proofErr w:type="spellEnd"/>
      <w:r>
        <w:rPr>
          <w:i/>
        </w:rPr>
        <w:t xml:space="preserve"> Education </w:t>
      </w:r>
      <w:r>
        <w:t xml:space="preserve">(2022, été), </w:t>
      </w:r>
      <w:r>
        <w:rPr>
          <w:i/>
        </w:rPr>
        <w:t xml:space="preserve">NORRAG </w:t>
      </w:r>
      <w:r>
        <w:t xml:space="preserve">(2021, Édition spéciale n° 6), et </w:t>
      </w:r>
      <w:r>
        <w:rPr>
          <w:i/>
        </w:rPr>
        <w:t xml:space="preserve">Prospects </w:t>
      </w:r>
      <w:r>
        <w:t>(2020, Vol. 49).</w:t>
      </w:r>
    </w:p>
  </w:footnote>
  <w:footnote w:id="2">
    <w:p w14:paraId="01E794AE" w14:textId="3E503F80" w:rsidR="002907B2" w:rsidRPr="002907B2" w:rsidRDefault="002907B2">
      <w:pPr>
        <w:pStyle w:val="Notedebasdepage"/>
        <w:rPr>
          <w:rFonts w:ascii="Times New Roman" w:hAnsi="Times New Roman" w:cs="Times New Roman"/>
        </w:rPr>
      </w:pPr>
      <w:r>
        <w:rPr>
          <w:rStyle w:val="Appelnotedebasdep"/>
          <w:rFonts w:ascii="Times New Roman" w:hAnsi="Times New Roman" w:cs="Times New Roman"/>
        </w:rPr>
        <w:footnoteRef/>
      </w:r>
      <w:r>
        <w:rPr>
          <w:rFonts w:ascii="Times New Roman" w:hAnsi="Times New Roman"/>
        </w:rPr>
        <w:t xml:space="preserve"> À partir du 17 octobre 2022 (OMS 2022)</w:t>
      </w:r>
    </w:p>
  </w:footnote>
  <w:footnote w:id="3">
    <w:p w14:paraId="045539E8" w14:textId="3397FD62" w:rsidR="009649F6" w:rsidRPr="002907B2" w:rsidRDefault="009649F6" w:rsidP="002907B2">
      <w:pPr>
        <w:pStyle w:val="Notedebasdepage"/>
        <w:jc w:val="both"/>
        <w:rPr>
          <w:rFonts w:ascii="Times New Roman" w:hAnsi="Times New Roman" w:cs="Times New Roman"/>
        </w:rPr>
      </w:pPr>
      <w:r>
        <w:rPr>
          <w:rStyle w:val="Appelnotedebasdep"/>
          <w:rFonts w:ascii="Times New Roman" w:hAnsi="Times New Roman" w:cs="Times New Roman"/>
        </w:rPr>
        <w:footnoteRef/>
      </w:r>
      <w:r>
        <w:rPr>
          <w:rFonts w:ascii="Times New Roman" w:hAnsi="Times New Roman"/>
        </w:rPr>
        <w:t xml:space="preserve"> </w:t>
      </w:r>
      <w:proofErr w:type="spellStart"/>
      <w:r>
        <w:rPr>
          <w:rFonts w:ascii="Times New Roman" w:hAnsi="Times New Roman"/>
        </w:rPr>
        <w:t>Reimers</w:t>
      </w:r>
      <w:proofErr w:type="spellEnd"/>
      <w:r>
        <w:rPr>
          <w:rFonts w:ascii="Times New Roman" w:hAnsi="Times New Roman"/>
        </w:rPr>
        <w:t xml:space="preserve"> et </w:t>
      </w:r>
      <w:proofErr w:type="spellStart"/>
      <w:r>
        <w:rPr>
          <w:rFonts w:ascii="Times New Roman" w:hAnsi="Times New Roman"/>
        </w:rPr>
        <w:t>Opertti</w:t>
      </w:r>
      <w:proofErr w:type="spellEnd"/>
      <w:r>
        <w:rPr>
          <w:rFonts w:ascii="Times New Roman" w:hAnsi="Times New Roman"/>
        </w:rPr>
        <w:t xml:space="preserve"> (2021) regroupent les 31 innovations examinées dans leur ouvrage collectif en fonction des domaines qu’elles favorisent : (1) l’apprentissage centré sur l’élève, (2) l’apprentissage approfondi, (3) le développement et le bien-être socio-émotionnel, (4) le développement professionnel des enseignants et des directeurs d’école, et (5) l’engagement familial.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6D0"/>
    <w:multiLevelType w:val="multilevel"/>
    <w:tmpl w:val="FF588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6567D4"/>
    <w:multiLevelType w:val="multilevel"/>
    <w:tmpl w:val="9BA6C6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F75811"/>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392C79BE"/>
    <w:multiLevelType w:val="hybridMultilevel"/>
    <w:tmpl w:val="841E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F6B7B"/>
    <w:multiLevelType w:val="multilevel"/>
    <w:tmpl w:val="306E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66694C"/>
    <w:multiLevelType w:val="multilevel"/>
    <w:tmpl w:val="9DCC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CD3422"/>
    <w:multiLevelType w:val="multilevel"/>
    <w:tmpl w:val="9792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422935"/>
    <w:multiLevelType w:val="multilevel"/>
    <w:tmpl w:val="0F58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BF433D"/>
    <w:multiLevelType w:val="hybridMultilevel"/>
    <w:tmpl w:val="625CE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8241A8"/>
    <w:multiLevelType w:val="multilevel"/>
    <w:tmpl w:val="3B8A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067696"/>
    <w:multiLevelType w:val="multilevel"/>
    <w:tmpl w:val="5A18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894025"/>
    <w:multiLevelType w:val="multilevel"/>
    <w:tmpl w:val="2CC4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7507AC"/>
    <w:multiLevelType w:val="hybridMultilevel"/>
    <w:tmpl w:val="E41C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EC5BCE"/>
    <w:multiLevelType w:val="hybridMultilevel"/>
    <w:tmpl w:val="8E1A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772E05"/>
    <w:multiLevelType w:val="multilevel"/>
    <w:tmpl w:val="6ACA3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F954C0"/>
    <w:multiLevelType w:val="hybridMultilevel"/>
    <w:tmpl w:val="0704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458017">
    <w:abstractNumId w:val="11"/>
  </w:num>
  <w:num w:numId="2" w16cid:durableId="447362133">
    <w:abstractNumId w:val="2"/>
  </w:num>
  <w:num w:numId="3" w16cid:durableId="1482651809">
    <w:abstractNumId w:val="10"/>
  </w:num>
  <w:num w:numId="4" w16cid:durableId="1549797777">
    <w:abstractNumId w:val="1"/>
  </w:num>
  <w:num w:numId="5" w16cid:durableId="4403870">
    <w:abstractNumId w:val="4"/>
  </w:num>
  <w:num w:numId="6" w16cid:durableId="1945654556">
    <w:abstractNumId w:val="5"/>
  </w:num>
  <w:num w:numId="7" w16cid:durableId="653145498">
    <w:abstractNumId w:val="0"/>
  </w:num>
  <w:num w:numId="8" w16cid:durableId="825588763">
    <w:abstractNumId w:val="3"/>
  </w:num>
  <w:num w:numId="9" w16cid:durableId="505873665">
    <w:abstractNumId w:val="13"/>
  </w:num>
  <w:num w:numId="10" w16cid:durableId="1494369236">
    <w:abstractNumId w:val="6"/>
  </w:num>
  <w:num w:numId="11" w16cid:durableId="198903168">
    <w:abstractNumId w:val="9"/>
  </w:num>
  <w:num w:numId="12" w16cid:durableId="1767458979">
    <w:abstractNumId w:val="8"/>
  </w:num>
  <w:num w:numId="13" w16cid:durableId="1744256629">
    <w:abstractNumId w:val="12"/>
  </w:num>
  <w:num w:numId="14" w16cid:durableId="2077848817">
    <w:abstractNumId w:val="14"/>
  </w:num>
  <w:num w:numId="15" w16cid:durableId="1816139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44"/>
    <w:rsid w:val="0001168E"/>
    <w:rsid w:val="00012732"/>
    <w:rsid w:val="000169BD"/>
    <w:rsid w:val="00016D74"/>
    <w:rsid w:val="0001747A"/>
    <w:rsid w:val="00020AA4"/>
    <w:rsid w:val="0002173D"/>
    <w:rsid w:val="00023E9F"/>
    <w:rsid w:val="00025AB7"/>
    <w:rsid w:val="000261B0"/>
    <w:rsid w:val="000263EA"/>
    <w:rsid w:val="000266C3"/>
    <w:rsid w:val="00027E7B"/>
    <w:rsid w:val="0003153B"/>
    <w:rsid w:val="0003280A"/>
    <w:rsid w:val="00034CA8"/>
    <w:rsid w:val="00036E6C"/>
    <w:rsid w:val="00040495"/>
    <w:rsid w:val="00042D9D"/>
    <w:rsid w:val="00043FC3"/>
    <w:rsid w:val="000453EE"/>
    <w:rsid w:val="00046059"/>
    <w:rsid w:val="00046F07"/>
    <w:rsid w:val="000502BF"/>
    <w:rsid w:val="000525A0"/>
    <w:rsid w:val="00054FF2"/>
    <w:rsid w:val="000554BC"/>
    <w:rsid w:val="00055B5A"/>
    <w:rsid w:val="00057FDA"/>
    <w:rsid w:val="00060D0F"/>
    <w:rsid w:val="00062464"/>
    <w:rsid w:val="00062A07"/>
    <w:rsid w:val="000648E5"/>
    <w:rsid w:val="00067B3F"/>
    <w:rsid w:val="00070034"/>
    <w:rsid w:val="00076513"/>
    <w:rsid w:val="000800E2"/>
    <w:rsid w:val="00092E55"/>
    <w:rsid w:val="00093622"/>
    <w:rsid w:val="00095E29"/>
    <w:rsid w:val="000A01D9"/>
    <w:rsid w:val="000A253E"/>
    <w:rsid w:val="000A3163"/>
    <w:rsid w:val="000A5AFD"/>
    <w:rsid w:val="000A63D4"/>
    <w:rsid w:val="000B0A2A"/>
    <w:rsid w:val="000B16A9"/>
    <w:rsid w:val="000B66A9"/>
    <w:rsid w:val="000C28CF"/>
    <w:rsid w:val="000C29FB"/>
    <w:rsid w:val="000C3FAF"/>
    <w:rsid w:val="000D2849"/>
    <w:rsid w:val="000D4424"/>
    <w:rsid w:val="000D78E9"/>
    <w:rsid w:val="000D7A87"/>
    <w:rsid w:val="000E2A39"/>
    <w:rsid w:val="000E2F2F"/>
    <w:rsid w:val="000E4274"/>
    <w:rsid w:val="000E565A"/>
    <w:rsid w:val="000E5679"/>
    <w:rsid w:val="000E56AF"/>
    <w:rsid w:val="000F2E6E"/>
    <w:rsid w:val="000F727C"/>
    <w:rsid w:val="000F7F48"/>
    <w:rsid w:val="00100B71"/>
    <w:rsid w:val="00100B83"/>
    <w:rsid w:val="001063C2"/>
    <w:rsid w:val="00110569"/>
    <w:rsid w:val="00112CF2"/>
    <w:rsid w:val="00120F65"/>
    <w:rsid w:val="00122282"/>
    <w:rsid w:val="00122DAF"/>
    <w:rsid w:val="00123AAA"/>
    <w:rsid w:val="00123C52"/>
    <w:rsid w:val="00123D89"/>
    <w:rsid w:val="00124C2D"/>
    <w:rsid w:val="0012561F"/>
    <w:rsid w:val="0014202B"/>
    <w:rsid w:val="00143761"/>
    <w:rsid w:val="0014570D"/>
    <w:rsid w:val="00147A26"/>
    <w:rsid w:val="00157034"/>
    <w:rsid w:val="00160B87"/>
    <w:rsid w:val="00160E79"/>
    <w:rsid w:val="00162DFE"/>
    <w:rsid w:val="00163AD9"/>
    <w:rsid w:val="0016407F"/>
    <w:rsid w:val="00170BEF"/>
    <w:rsid w:val="00173329"/>
    <w:rsid w:val="0017408A"/>
    <w:rsid w:val="001740C1"/>
    <w:rsid w:val="0017600F"/>
    <w:rsid w:val="00176BA4"/>
    <w:rsid w:val="00180F28"/>
    <w:rsid w:val="001815C1"/>
    <w:rsid w:val="001820B9"/>
    <w:rsid w:val="0018245B"/>
    <w:rsid w:val="00183127"/>
    <w:rsid w:val="00192A8E"/>
    <w:rsid w:val="0019512E"/>
    <w:rsid w:val="001A083C"/>
    <w:rsid w:val="001B1033"/>
    <w:rsid w:val="001B1532"/>
    <w:rsid w:val="001B2A20"/>
    <w:rsid w:val="001B4F7F"/>
    <w:rsid w:val="001B6337"/>
    <w:rsid w:val="001C138E"/>
    <w:rsid w:val="001C1DBF"/>
    <w:rsid w:val="001C25D9"/>
    <w:rsid w:val="001C4C54"/>
    <w:rsid w:val="001C53D9"/>
    <w:rsid w:val="001C5C71"/>
    <w:rsid w:val="001C6DE5"/>
    <w:rsid w:val="001D07FD"/>
    <w:rsid w:val="001D52B8"/>
    <w:rsid w:val="001E6DAA"/>
    <w:rsid w:val="001E74D9"/>
    <w:rsid w:val="001F0415"/>
    <w:rsid w:val="001F13A5"/>
    <w:rsid w:val="001F1764"/>
    <w:rsid w:val="001F1B2C"/>
    <w:rsid w:val="001F2010"/>
    <w:rsid w:val="001F3215"/>
    <w:rsid w:val="001F422F"/>
    <w:rsid w:val="001F5A0F"/>
    <w:rsid w:val="001F6E33"/>
    <w:rsid w:val="00205B77"/>
    <w:rsid w:val="00215688"/>
    <w:rsid w:val="00216EEF"/>
    <w:rsid w:val="00223CA3"/>
    <w:rsid w:val="0022465F"/>
    <w:rsid w:val="00224DAB"/>
    <w:rsid w:val="002257A1"/>
    <w:rsid w:val="0022586E"/>
    <w:rsid w:val="002260B1"/>
    <w:rsid w:val="002302D6"/>
    <w:rsid w:val="0023087D"/>
    <w:rsid w:val="00235DE5"/>
    <w:rsid w:val="0023763F"/>
    <w:rsid w:val="00240759"/>
    <w:rsid w:val="002415AE"/>
    <w:rsid w:val="00241FEA"/>
    <w:rsid w:val="002427F6"/>
    <w:rsid w:val="0024340F"/>
    <w:rsid w:val="00243C45"/>
    <w:rsid w:val="00243D33"/>
    <w:rsid w:val="002444DF"/>
    <w:rsid w:val="00244FB3"/>
    <w:rsid w:val="002457DF"/>
    <w:rsid w:val="00245E36"/>
    <w:rsid w:val="0024713B"/>
    <w:rsid w:val="00251D0B"/>
    <w:rsid w:val="00262E3F"/>
    <w:rsid w:val="002678D8"/>
    <w:rsid w:val="0027102A"/>
    <w:rsid w:val="00272040"/>
    <w:rsid w:val="0027289E"/>
    <w:rsid w:val="00275516"/>
    <w:rsid w:val="00276C36"/>
    <w:rsid w:val="00283813"/>
    <w:rsid w:val="0029047D"/>
    <w:rsid w:val="002907B2"/>
    <w:rsid w:val="00295383"/>
    <w:rsid w:val="002955F7"/>
    <w:rsid w:val="0029616B"/>
    <w:rsid w:val="00296495"/>
    <w:rsid w:val="00296B27"/>
    <w:rsid w:val="0029740F"/>
    <w:rsid w:val="002A0FA5"/>
    <w:rsid w:val="002A6217"/>
    <w:rsid w:val="002A6668"/>
    <w:rsid w:val="002B0C02"/>
    <w:rsid w:val="002B25AD"/>
    <w:rsid w:val="002B7D04"/>
    <w:rsid w:val="002C1F6B"/>
    <w:rsid w:val="002C25AC"/>
    <w:rsid w:val="002C2834"/>
    <w:rsid w:val="002C2F6A"/>
    <w:rsid w:val="002C3D59"/>
    <w:rsid w:val="002C45F7"/>
    <w:rsid w:val="002D219E"/>
    <w:rsid w:val="002D38D3"/>
    <w:rsid w:val="002D5A44"/>
    <w:rsid w:val="002E194C"/>
    <w:rsid w:val="002E53C6"/>
    <w:rsid w:val="002E5A41"/>
    <w:rsid w:val="002E6E11"/>
    <w:rsid w:val="002F432A"/>
    <w:rsid w:val="002F4507"/>
    <w:rsid w:val="00305AC0"/>
    <w:rsid w:val="00305DBF"/>
    <w:rsid w:val="0030674A"/>
    <w:rsid w:val="00306B7F"/>
    <w:rsid w:val="003076C6"/>
    <w:rsid w:val="00313249"/>
    <w:rsid w:val="00314792"/>
    <w:rsid w:val="003147AE"/>
    <w:rsid w:val="00316873"/>
    <w:rsid w:val="00320DFF"/>
    <w:rsid w:val="0032132F"/>
    <w:rsid w:val="00321B01"/>
    <w:rsid w:val="0032482A"/>
    <w:rsid w:val="0032482F"/>
    <w:rsid w:val="003250F0"/>
    <w:rsid w:val="00326EC5"/>
    <w:rsid w:val="00333355"/>
    <w:rsid w:val="00341D7D"/>
    <w:rsid w:val="00344414"/>
    <w:rsid w:val="003450B4"/>
    <w:rsid w:val="00356046"/>
    <w:rsid w:val="003563F9"/>
    <w:rsid w:val="003577DD"/>
    <w:rsid w:val="00357B82"/>
    <w:rsid w:val="00362D5D"/>
    <w:rsid w:val="00367711"/>
    <w:rsid w:val="003700D5"/>
    <w:rsid w:val="00374E1A"/>
    <w:rsid w:val="00376BD7"/>
    <w:rsid w:val="00376F64"/>
    <w:rsid w:val="0037708B"/>
    <w:rsid w:val="003824DE"/>
    <w:rsid w:val="003830DC"/>
    <w:rsid w:val="00384ABF"/>
    <w:rsid w:val="0038597F"/>
    <w:rsid w:val="00385E30"/>
    <w:rsid w:val="0039135F"/>
    <w:rsid w:val="0039147F"/>
    <w:rsid w:val="0039189E"/>
    <w:rsid w:val="003A00D1"/>
    <w:rsid w:val="003A1080"/>
    <w:rsid w:val="003A115A"/>
    <w:rsid w:val="003A3B13"/>
    <w:rsid w:val="003A4B44"/>
    <w:rsid w:val="003A4FF7"/>
    <w:rsid w:val="003A5D50"/>
    <w:rsid w:val="003A5DC2"/>
    <w:rsid w:val="003B069D"/>
    <w:rsid w:val="003B08C9"/>
    <w:rsid w:val="003B3D0F"/>
    <w:rsid w:val="003B3D7F"/>
    <w:rsid w:val="003B470A"/>
    <w:rsid w:val="003C1EA0"/>
    <w:rsid w:val="003C5819"/>
    <w:rsid w:val="003D4396"/>
    <w:rsid w:val="003D736A"/>
    <w:rsid w:val="003E3A3D"/>
    <w:rsid w:val="003E3F3E"/>
    <w:rsid w:val="003E445D"/>
    <w:rsid w:val="003E4D8B"/>
    <w:rsid w:val="003E5A77"/>
    <w:rsid w:val="003E635E"/>
    <w:rsid w:val="003E7ECD"/>
    <w:rsid w:val="003F1D44"/>
    <w:rsid w:val="003F2EF3"/>
    <w:rsid w:val="003F6EE4"/>
    <w:rsid w:val="00401681"/>
    <w:rsid w:val="00404FAD"/>
    <w:rsid w:val="00407EFB"/>
    <w:rsid w:val="00407F22"/>
    <w:rsid w:val="00410894"/>
    <w:rsid w:val="00420AAD"/>
    <w:rsid w:val="00426EB8"/>
    <w:rsid w:val="004306C9"/>
    <w:rsid w:val="00432FDB"/>
    <w:rsid w:val="00433259"/>
    <w:rsid w:val="004338C5"/>
    <w:rsid w:val="00433E2C"/>
    <w:rsid w:val="00434DFC"/>
    <w:rsid w:val="00437636"/>
    <w:rsid w:val="004436B7"/>
    <w:rsid w:val="004441F6"/>
    <w:rsid w:val="004456DD"/>
    <w:rsid w:val="004502BB"/>
    <w:rsid w:val="00451A9F"/>
    <w:rsid w:val="00452978"/>
    <w:rsid w:val="00456D1D"/>
    <w:rsid w:val="00462487"/>
    <w:rsid w:val="00462B2F"/>
    <w:rsid w:val="00463E5E"/>
    <w:rsid w:val="0046416B"/>
    <w:rsid w:val="004660C8"/>
    <w:rsid w:val="00466A33"/>
    <w:rsid w:val="0047224A"/>
    <w:rsid w:val="00473C53"/>
    <w:rsid w:val="0047402A"/>
    <w:rsid w:val="0047522C"/>
    <w:rsid w:val="00475C3D"/>
    <w:rsid w:val="00475FAC"/>
    <w:rsid w:val="00476025"/>
    <w:rsid w:val="00477CF6"/>
    <w:rsid w:val="00480108"/>
    <w:rsid w:val="00481ECC"/>
    <w:rsid w:val="00481F92"/>
    <w:rsid w:val="00483394"/>
    <w:rsid w:val="00485084"/>
    <w:rsid w:val="0048734F"/>
    <w:rsid w:val="00490709"/>
    <w:rsid w:val="00490A81"/>
    <w:rsid w:val="00497809"/>
    <w:rsid w:val="004A43E9"/>
    <w:rsid w:val="004A63C9"/>
    <w:rsid w:val="004B3065"/>
    <w:rsid w:val="004B4D76"/>
    <w:rsid w:val="004B5003"/>
    <w:rsid w:val="004C4A0B"/>
    <w:rsid w:val="004C4F5C"/>
    <w:rsid w:val="004C573C"/>
    <w:rsid w:val="004C7A84"/>
    <w:rsid w:val="004D5A27"/>
    <w:rsid w:val="004E5878"/>
    <w:rsid w:val="004E7128"/>
    <w:rsid w:val="004F209E"/>
    <w:rsid w:val="004F2984"/>
    <w:rsid w:val="00500EB8"/>
    <w:rsid w:val="00501B7A"/>
    <w:rsid w:val="005031AF"/>
    <w:rsid w:val="00506E12"/>
    <w:rsid w:val="00511695"/>
    <w:rsid w:val="00515065"/>
    <w:rsid w:val="00516EAC"/>
    <w:rsid w:val="00520CEC"/>
    <w:rsid w:val="00522356"/>
    <w:rsid w:val="00522BE5"/>
    <w:rsid w:val="00522EC4"/>
    <w:rsid w:val="005235AE"/>
    <w:rsid w:val="005276B9"/>
    <w:rsid w:val="00530184"/>
    <w:rsid w:val="00531BA2"/>
    <w:rsid w:val="00534436"/>
    <w:rsid w:val="0053500A"/>
    <w:rsid w:val="00535ACE"/>
    <w:rsid w:val="00535F04"/>
    <w:rsid w:val="00536BD8"/>
    <w:rsid w:val="005412C1"/>
    <w:rsid w:val="00541CA5"/>
    <w:rsid w:val="00542DCF"/>
    <w:rsid w:val="00543FCA"/>
    <w:rsid w:val="005443F1"/>
    <w:rsid w:val="00547F0C"/>
    <w:rsid w:val="00550AB9"/>
    <w:rsid w:val="00555282"/>
    <w:rsid w:val="00556459"/>
    <w:rsid w:val="005644D0"/>
    <w:rsid w:val="00564CC2"/>
    <w:rsid w:val="00565678"/>
    <w:rsid w:val="0057185F"/>
    <w:rsid w:val="00576D86"/>
    <w:rsid w:val="005776ED"/>
    <w:rsid w:val="00577BBF"/>
    <w:rsid w:val="00577FCB"/>
    <w:rsid w:val="005858E7"/>
    <w:rsid w:val="005914F6"/>
    <w:rsid w:val="0059578D"/>
    <w:rsid w:val="00596C3D"/>
    <w:rsid w:val="005A41E3"/>
    <w:rsid w:val="005B0582"/>
    <w:rsid w:val="005B5316"/>
    <w:rsid w:val="005B661A"/>
    <w:rsid w:val="005B6D3F"/>
    <w:rsid w:val="005C1EDE"/>
    <w:rsid w:val="005E1337"/>
    <w:rsid w:val="005E13C2"/>
    <w:rsid w:val="005E1B6A"/>
    <w:rsid w:val="005E1F8E"/>
    <w:rsid w:val="005F0160"/>
    <w:rsid w:val="005F51AE"/>
    <w:rsid w:val="005F6724"/>
    <w:rsid w:val="005F6F19"/>
    <w:rsid w:val="0060399D"/>
    <w:rsid w:val="00605CD6"/>
    <w:rsid w:val="006063B1"/>
    <w:rsid w:val="0060766C"/>
    <w:rsid w:val="006106A8"/>
    <w:rsid w:val="006109EB"/>
    <w:rsid w:val="0061154E"/>
    <w:rsid w:val="00613597"/>
    <w:rsid w:val="00614FA6"/>
    <w:rsid w:val="006157DE"/>
    <w:rsid w:val="00620822"/>
    <w:rsid w:val="006249F9"/>
    <w:rsid w:val="00633A92"/>
    <w:rsid w:val="00643CB1"/>
    <w:rsid w:val="00644D0C"/>
    <w:rsid w:val="00645F44"/>
    <w:rsid w:val="00646196"/>
    <w:rsid w:val="00646E0E"/>
    <w:rsid w:val="00650FD7"/>
    <w:rsid w:val="006541BF"/>
    <w:rsid w:val="006551E8"/>
    <w:rsid w:val="00655E4A"/>
    <w:rsid w:val="00660595"/>
    <w:rsid w:val="00661110"/>
    <w:rsid w:val="00663258"/>
    <w:rsid w:val="00663DDF"/>
    <w:rsid w:val="006664AD"/>
    <w:rsid w:val="00666793"/>
    <w:rsid w:val="006668C2"/>
    <w:rsid w:val="0066781C"/>
    <w:rsid w:val="0067006A"/>
    <w:rsid w:val="006711A4"/>
    <w:rsid w:val="006767CF"/>
    <w:rsid w:val="00677B23"/>
    <w:rsid w:val="00677B9D"/>
    <w:rsid w:val="006816F7"/>
    <w:rsid w:val="00681D49"/>
    <w:rsid w:val="0068260F"/>
    <w:rsid w:val="0068406E"/>
    <w:rsid w:val="00684D03"/>
    <w:rsid w:val="0068514B"/>
    <w:rsid w:val="006864F0"/>
    <w:rsid w:val="0068787E"/>
    <w:rsid w:val="00692624"/>
    <w:rsid w:val="00693A1C"/>
    <w:rsid w:val="00693F8F"/>
    <w:rsid w:val="006A1D7D"/>
    <w:rsid w:val="006A20B0"/>
    <w:rsid w:val="006A3316"/>
    <w:rsid w:val="006A51B1"/>
    <w:rsid w:val="006A58F5"/>
    <w:rsid w:val="006A7DE6"/>
    <w:rsid w:val="006B0FBE"/>
    <w:rsid w:val="006B19CA"/>
    <w:rsid w:val="006B3B46"/>
    <w:rsid w:val="006C20C3"/>
    <w:rsid w:val="006D03FD"/>
    <w:rsid w:val="006D1686"/>
    <w:rsid w:val="006D1842"/>
    <w:rsid w:val="006D1D89"/>
    <w:rsid w:val="006D21D2"/>
    <w:rsid w:val="006D2F86"/>
    <w:rsid w:val="006D32AD"/>
    <w:rsid w:val="006D3C63"/>
    <w:rsid w:val="006D55A0"/>
    <w:rsid w:val="006D56A3"/>
    <w:rsid w:val="006D637F"/>
    <w:rsid w:val="006D6FF7"/>
    <w:rsid w:val="006D73F2"/>
    <w:rsid w:val="006E22A9"/>
    <w:rsid w:val="006E3EB7"/>
    <w:rsid w:val="006E5AF5"/>
    <w:rsid w:val="006F3CAC"/>
    <w:rsid w:val="006F48E3"/>
    <w:rsid w:val="006F632F"/>
    <w:rsid w:val="00700F63"/>
    <w:rsid w:val="007019EA"/>
    <w:rsid w:val="00705D6D"/>
    <w:rsid w:val="00707473"/>
    <w:rsid w:val="00710CBD"/>
    <w:rsid w:val="00711DB7"/>
    <w:rsid w:val="00716034"/>
    <w:rsid w:val="00721CCF"/>
    <w:rsid w:val="00723918"/>
    <w:rsid w:val="00725985"/>
    <w:rsid w:val="00726866"/>
    <w:rsid w:val="00734314"/>
    <w:rsid w:val="007369AF"/>
    <w:rsid w:val="00740267"/>
    <w:rsid w:val="007443DE"/>
    <w:rsid w:val="00746A23"/>
    <w:rsid w:val="00747507"/>
    <w:rsid w:val="00747D98"/>
    <w:rsid w:val="007548C5"/>
    <w:rsid w:val="0075550B"/>
    <w:rsid w:val="00755784"/>
    <w:rsid w:val="00763E65"/>
    <w:rsid w:val="00765A76"/>
    <w:rsid w:val="0076665A"/>
    <w:rsid w:val="00767020"/>
    <w:rsid w:val="0077147B"/>
    <w:rsid w:val="007733AD"/>
    <w:rsid w:val="007745ED"/>
    <w:rsid w:val="00775357"/>
    <w:rsid w:val="007759BE"/>
    <w:rsid w:val="007774F3"/>
    <w:rsid w:val="00780E81"/>
    <w:rsid w:val="007813BB"/>
    <w:rsid w:val="00790CB2"/>
    <w:rsid w:val="00792A89"/>
    <w:rsid w:val="007941F4"/>
    <w:rsid w:val="0079610C"/>
    <w:rsid w:val="007A2E1B"/>
    <w:rsid w:val="007A4629"/>
    <w:rsid w:val="007A4717"/>
    <w:rsid w:val="007B5F1F"/>
    <w:rsid w:val="007C0122"/>
    <w:rsid w:val="007C09A5"/>
    <w:rsid w:val="007C2C99"/>
    <w:rsid w:val="007C3479"/>
    <w:rsid w:val="007C3BA8"/>
    <w:rsid w:val="007C42B4"/>
    <w:rsid w:val="007C4719"/>
    <w:rsid w:val="007C4D35"/>
    <w:rsid w:val="007C5DC0"/>
    <w:rsid w:val="007D2A48"/>
    <w:rsid w:val="007D2CB7"/>
    <w:rsid w:val="007D40DE"/>
    <w:rsid w:val="007D6947"/>
    <w:rsid w:val="007D73A2"/>
    <w:rsid w:val="007E0610"/>
    <w:rsid w:val="007E3ECC"/>
    <w:rsid w:val="007E4B98"/>
    <w:rsid w:val="007E7382"/>
    <w:rsid w:val="007E7D71"/>
    <w:rsid w:val="007F3346"/>
    <w:rsid w:val="007F7D1B"/>
    <w:rsid w:val="00802C0D"/>
    <w:rsid w:val="008062C8"/>
    <w:rsid w:val="008073A0"/>
    <w:rsid w:val="00811BB4"/>
    <w:rsid w:val="00811EAA"/>
    <w:rsid w:val="00817E96"/>
    <w:rsid w:val="00820CC9"/>
    <w:rsid w:val="00820E68"/>
    <w:rsid w:val="00821C19"/>
    <w:rsid w:val="00827D16"/>
    <w:rsid w:val="00833DF5"/>
    <w:rsid w:val="00834EFA"/>
    <w:rsid w:val="0083761C"/>
    <w:rsid w:val="0084604C"/>
    <w:rsid w:val="008475BF"/>
    <w:rsid w:val="00851A1B"/>
    <w:rsid w:val="00851B71"/>
    <w:rsid w:val="0085314D"/>
    <w:rsid w:val="00853235"/>
    <w:rsid w:val="00854F35"/>
    <w:rsid w:val="00854F57"/>
    <w:rsid w:val="008627FD"/>
    <w:rsid w:val="0086369E"/>
    <w:rsid w:val="00863DC6"/>
    <w:rsid w:val="008669B2"/>
    <w:rsid w:val="00872426"/>
    <w:rsid w:val="0087244F"/>
    <w:rsid w:val="0087459D"/>
    <w:rsid w:val="00875971"/>
    <w:rsid w:val="00875BC6"/>
    <w:rsid w:val="008760FA"/>
    <w:rsid w:val="0087641A"/>
    <w:rsid w:val="00880235"/>
    <w:rsid w:val="0088278E"/>
    <w:rsid w:val="00884B66"/>
    <w:rsid w:val="008867A0"/>
    <w:rsid w:val="00886EFB"/>
    <w:rsid w:val="00887EDC"/>
    <w:rsid w:val="00891171"/>
    <w:rsid w:val="008917B7"/>
    <w:rsid w:val="00891B09"/>
    <w:rsid w:val="00891F28"/>
    <w:rsid w:val="00891F4D"/>
    <w:rsid w:val="00895DDE"/>
    <w:rsid w:val="00897173"/>
    <w:rsid w:val="00897E84"/>
    <w:rsid w:val="008A0623"/>
    <w:rsid w:val="008A15D5"/>
    <w:rsid w:val="008A5065"/>
    <w:rsid w:val="008A62F4"/>
    <w:rsid w:val="008A647D"/>
    <w:rsid w:val="008B05E2"/>
    <w:rsid w:val="008B3D6C"/>
    <w:rsid w:val="008B723B"/>
    <w:rsid w:val="008B770A"/>
    <w:rsid w:val="008C2D73"/>
    <w:rsid w:val="008C3032"/>
    <w:rsid w:val="008C3539"/>
    <w:rsid w:val="008C5347"/>
    <w:rsid w:val="008C5456"/>
    <w:rsid w:val="008D3F21"/>
    <w:rsid w:val="008D4EDD"/>
    <w:rsid w:val="008D693A"/>
    <w:rsid w:val="008D699C"/>
    <w:rsid w:val="008E03AD"/>
    <w:rsid w:val="008E041B"/>
    <w:rsid w:val="008E1440"/>
    <w:rsid w:val="008E1460"/>
    <w:rsid w:val="008E1FF6"/>
    <w:rsid w:val="008F03B3"/>
    <w:rsid w:val="008F1B29"/>
    <w:rsid w:val="008F1B55"/>
    <w:rsid w:val="008F3DA1"/>
    <w:rsid w:val="008F5BB0"/>
    <w:rsid w:val="008F621B"/>
    <w:rsid w:val="008F6C57"/>
    <w:rsid w:val="00904A7A"/>
    <w:rsid w:val="00910DD1"/>
    <w:rsid w:val="00913C25"/>
    <w:rsid w:val="00915B08"/>
    <w:rsid w:val="00916982"/>
    <w:rsid w:val="00923252"/>
    <w:rsid w:val="009243BB"/>
    <w:rsid w:val="0093586F"/>
    <w:rsid w:val="009402FA"/>
    <w:rsid w:val="009423DD"/>
    <w:rsid w:val="00942B37"/>
    <w:rsid w:val="00945E61"/>
    <w:rsid w:val="00950101"/>
    <w:rsid w:val="009510D1"/>
    <w:rsid w:val="00954165"/>
    <w:rsid w:val="00963D54"/>
    <w:rsid w:val="009649F6"/>
    <w:rsid w:val="00965354"/>
    <w:rsid w:val="0096652B"/>
    <w:rsid w:val="009700F0"/>
    <w:rsid w:val="009711C7"/>
    <w:rsid w:val="0097245A"/>
    <w:rsid w:val="00973F65"/>
    <w:rsid w:val="00973F72"/>
    <w:rsid w:val="00984258"/>
    <w:rsid w:val="0098471D"/>
    <w:rsid w:val="009910CC"/>
    <w:rsid w:val="0099157E"/>
    <w:rsid w:val="00991606"/>
    <w:rsid w:val="00993A6F"/>
    <w:rsid w:val="00993C6B"/>
    <w:rsid w:val="00995D6E"/>
    <w:rsid w:val="0099660A"/>
    <w:rsid w:val="009A0058"/>
    <w:rsid w:val="009A1257"/>
    <w:rsid w:val="009A5BF5"/>
    <w:rsid w:val="009B1806"/>
    <w:rsid w:val="009B3858"/>
    <w:rsid w:val="009B3D40"/>
    <w:rsid w:val="009B545E"/>
    <w:rsid w:val="009B7196"/>
    <w:rsid w:val="009B733A"/>
    <w:rsid w:val="009B7AE8"/>
    <w:rsid w:val="009C0F36"/>
    <w:rsid w:val="009C27F0"/>
    <w:rsid w:val="009C33ED"/>
    <w:rsid w:val="009C44EE"/>
    <w:rsid w:val="009C496B"/>
    <w:rsid w:val="009D0013"/>
    <w:rsid w:val="009D1D02"/>
    <w:rsid w:val="009D21AE"/>
    <w:rsid w:val="009D27E0"/>
    <w:rsid w:val="009D42E9"/>
    <w:rsid w:val="009D6D9E"/>
    <w:rsid w:val="009E140D"/>
    <w:rsid w:val="009E31C0"/>
    <w:rsid w:val="009E454C"/>
    <w:rsid w:val="009E7439"/>
    <w:rsid w:val="009F31C3"/>
    <w:rsid w:val="009F6A90"/>
    <w:rsid w:val="00A01F70"/>
    <w:rsid w:val="00A03B0B"/>
    <w:rsid w:val="00A052DE"/>
    <w:rsid w:val="00A11AA7"/>
    <w:rsid w:val="00A20621"/>
    <w:rsid w:val="00A211D9"/>
    <w:rsid w:val="00A21D02"/>
    <w:rsid w:val="00A23C1A"/>
    <w:rsid w:val="00A23E70"/>
    <w:rsid w:val="00A26D34"/>
    <w:rsid w:val="00A31442"/>
    <w:rsid w:val="00A3471E"/>
    <w:rsid w:val="00A353D0"/>
    <w:rsid w:val="00A37DC6"/>
    <w:rsid w:val="00A40506"/>
    <w:rsid w:val="00A4235B"/>
    <w:rsid w:val="00A4350E"/>
    <w:rsid w:val="00A4400B"/>
    <w:rsid w:val="00A46291"/>
    <w:rsid w:val="00A5030C"/>
    <w:rsid w:val="00A51AF4"/>
    <w:rsid w:val="00A53648"/>
    <w:rsid w:val="00A55C72"/>
    <w:rsid w:val="00A55FD8"/>
    <w:rsid w:val="00A6230A"/>
    <w:rsid w:val="00A64878"/>
    <w:rsid w:val="00A64CF4"/>
    <w:rsid w:val="00A65AE6"/>
    <w:rsid w:val="00A705E7"/>
    <w:rsid w:val="00A70BAF"/>
    <w:rsid w:val="00A71AB7"/>
    <w:rsid w:val="00A72F5F"/>
    <w:rsid w:val="00A748FF"/>
    <w:rsid w:val="00A75D7B"/>
    <w:rsid w:val="00A80297"/>
    <w:rsid w:val="00A8092C"/>
    <w:rsid w:val="00A82A67"/>
    <w:rsid w:val="00AA13AC"/>
    <w:rsid w:val="00AA5556"/>
    <w:rsid w:val="00AA7552"/>
    <w:rsid w:val="00AB00C2"/>
    <w:rsid w:val="00AB070E"/>
    <w:rsid w:val="00AB0F0D"/>
    <w:rsid w:val="00AB3316"/>
    <w:rsid w:val="00AB4FA6"/>
    <w:rsid w:val="00AB72B0"/>
    <w:rsid w:val="00AB7CB2"/>
    <w:rsid w:val="00AC1FA1"/>
    <w:rsid w:val="00AD1E85"/>
    <w:rsid w:val="00AD386E"/>
    <w:rsid w:val="00AD684C"/>
    <w:rsid w:val="00AD7941"/>
    <w:rsid w:val="00AE06E4"/>
    <w:rsid w:val="00AE06F7"/>
    <w:rsid w:val="00AE2668"/>
    <w:rsid w:val="00AE34C5"/>
    <w:rsid w:val="00AE70AE"/>
    <w:rsid w:val="00AF0BAA"/>
    <w:rsid w:val="00AF21F6"/>
    <w:rsid w:val="00AF318D"/>
    <w:rsid w:val="00B0069F"/>
    <w:rsid w:val="00B0348B"/>
    <w:rsid w:val="00B049AB"/>
    <w:rsid w:val="00B10179"/>
    <w:rsid w:val="00B12F0C"/>
    <w:rsid w:val="00B13DBF"/>
    <w:rsid w:val="00B141F5"/>
    <w:rsid w:val="00B1655A"/>
    <w:rsid w:val="00B21490"/>
    <w:rsid w:val="00B26BAD"/>
    <w:rsid w:val="00B26ECA"/>
    <w:rsid w:val="00B30403"/>
    <w:rsid w:val="00B30D45"/>
    <w:rsid w:val="00B367F9"/>
    <w:rsid w:val="00B41877"/>
    <w:rsid w:val="00B43FDC"/>
    <w:rsid w:val="00B4572C"/>
    <w:rsid w:val="00B524D6"/>
    <w:rsid w:val="00B57F67"/>
    <w:rsid w:val="00B624A5"/>
    <w:rsid w:val="00B634BB"/>
    <w:rsid w:val="00B63733"/>
    <w:rsid w:val="00B6476E"/>
    <w:rsid w:val="00B65A6A"/>
    <w:rsid w:val="00B675DA"/>
    <w:rsid w:val="00B67EEF"/>
    <w:rsid w:val="00B70BFF"/>
    <w:rsid w:val="00B728F5"/>
    <w:rsid w:val="00B72C42"/>
    <w:rsid w:val="00B736EB"/>
    <w:rsid w:val="00B74AC3"/>
    <w:rsid w:val="00B7664D"/>
    <w:rsid w:val="00B76686"/>
    <w:rsid w:val="00B76C95"/>
    <w:rsid w:val="00B84A8F"/>
    <w:rsid w:val="00B84B4E"/>
    <w:rsid w:val="00B870FE"/>
    <w:rsid w:val="00B91B01"/>
    <w:rsid w:val="00B923CE"/>
    <w:rsid w:val="00B941BA"/>
    <w:rsid w:val="00B951A8"/>
    <w:rsid w:val="00B965CD"/>
    <w:rsid w:val="00B96C98"/>
    <w:rsid w:val="00BA003C"/>
    <w:rsid w:val="00BA0504"/>
    <w:rsid w:val="00BA21FC"/>
    <w:rsid w:val="00BA3BB0"/>
    <w:rsid w:val="00BA3FEF"/>
    <w:rsid w:val="00BA61CA"/>
    <w:rsid w:val="00BB44F1"/>
    <w:rsid w:val="00BB46F0"/>
    <w:rsid w:val="00BB5C3F"/>
    <w:rsid w:val="00BC105C"/>
    <w:rsid w:val="00BC5BB8"/>
    <w:rsid w:val="00BD1CD9"/>
    <w:rsid w:val="00BD3B4A"/>
    <w:rsid w:val="00BD550B"/>
    <w:rsid w:val="00BD6D31"/>
    <w:rsid w:val="00BE009E"/>
    <w:rsid w:val="00BE043B"/>
    <w:rsid w:val="00BE3E52"/>
    <w:rsid w:val="00BF2E94"/>
    <w:rsid w:val="00BF5184"/>
    <w:rsid w:val="00BF5892"/>
    <w:rsid w:val="00BF5EEE"/>
    <w:rsid w:val="00BF6967"/>
    <w:rsid w:val="00C00288"/>
    <w:rsid w:val="00C04655"/>
    <w:rsid w:val="00C0494D"/>
    <w:rsid w:val="00C07797"/>
    <w:rsid w:val="00C16FCC"/>
    <w:rsid w:val="00C20CC7"/>
    <w:rsid w:val="00C26442"/>
    <w:rsid w:val="00C26CE5"/>
    <w:rsid w:val="00C3106F"/>
    <w:rsid w:val="00C31AF1"/>
    <w:rsid w:val="00C323DC"/>
    <w:rsid w:val="00C33EF5"/>
    <w:rsid w:val="00C3466C"/>
    <w:rsid w:val="00C35056"/>
    <w:rsid w:val="00C36ECA"/>
    <w:rsid w:val="00C3796F"/>
    <w:rsid w:val="00C4151B"/>
    <w:rsid w:val="00C4438B"/>
    <w:rsid w:val="00C4508C"/>
    <w:rsid w:val="00C529D7"/>
    <w:rsid w:val="00C55B04"/>
    <w:rsid w:val="00C564F2"/>
    <w:rsid w:val="00C62C38"/>
    <w:rsid w:val="00C64784"/>
    <w:rsid w:val="00C701F5"/>
    <w:rsid w:val="00C71CD9"/>
    <w:rsid w:val="00C739EC"/>
    <w:rsid w:val="00C7420E"/>
    <w:rsid w:val="00C7536F"/>
    <w:rsid w:val="00C81C7E"/>
    <w:rsid w:val="00C83225"/>
    <w:rsid w:val="00C83E8F"/>
    <w:rsid w:val="00C84A2C"/>
    <w:rsid w:val="00C86ABB"/>
    <w:rsid w:val="00C87EE9"/>
    <w:rsid w:val="00C91B66"/>
    <w:rsid w:val="00C92740"/>
    <w:rsid w:val="00C95781"/>
    <w:rsid w:val="00CA0688"/>
    <w:rsid w:val="00CA1640"/>
    <w:rsid w:val="00CA35A7"/>
    <w:rsid w:val="00CA51B9"/>
    <w:rsid w:val="00CA70DD"/>
    <w:rsid w:val="00CB1430"/>
    <w:rsid w:val="00CB20A3"/>
    <w:rsid w:val="00CB3619"/>
    <w:rsid w:val="00CB4C1F"/>
    <w:rsid w:val="00CB51A6"/>
    <w:rsid w:val="00CB7D5B"/>
    <w:rsid w:val="00CC12F5"/>
    <w:rsid w:val="00CC2468"/>
    <w:rsid w:val="00CC2A4B"/>
    <w:rsid w:val="00CC32F9"/>
    <w:rsid w:val="00CC4589"/>
    <w:rsid w:val="00CC4FE3"/>
    <w:rsid w:val="00CC7FAF"/>
    <w:rsid w:val="00CD0EA5"/>
    <w:rsid w:val="00CD37D7"/>
    <w:rsid w:val="00CE22BF"/>
    <w:rsid w:val="00CE41FF"/>
    <w:rsid w:val="00CE4D5D"/>
    <w:rsid w:val="00CE7DE8"/>
    <w:rsid w:val="00CF0526"/>
    <w:rsid w:val="00CF0D5D"/>
    <w:rsid w:val="00CF12C8"/>
    <w:rsid w:val="00CF1959"/>
    <w:rsid w:val="00CF410F"/>
    <w:rsid w:val="00CF4E8A"/>
    <w:rsid w:val="00D01F4B"/>
    <w:rsid w:val="00D02CF3"/>
    <w:rsid w:val="00D05886"/>
    <w:rsid w:val="00D06F18"/>
    <w:rsid w:val="00D106E5"/>
    <w:rsid w:val="00D10A61"/>
    <w:rsid w:val="00D12154"/>
    <w:rsid w:val="00D171BE"/>
    <w:rsid w:val="00D222A4"/>
    <w:rsid w:val="00D22F59"/>
    <w:rsid w:val="00D23328"/>
    <w:rsid w:val="00D27B3F"/>
    <w:rsid w:val="00D30F81"/>
    <w:rsid w:val="00D3122F"/>
    <w:rsid w:val="00D31D3C"/>
    <w:rsid w:val="00D33920"/>
    <w:rsid w:val="00D34780"/>
    <w:rsid w:val="00D36E4B"/>
    <w:rsid w:val="00D37197"/>
    <w:rsid w:val="00D45448"/>
    <w:rsid w:val="00D50CAC"/>
    <w:rsid w:val="00D52010"/>
    <w:rsid w:val="00D652E8"/>
    <w:rsid w:val="00D66A5A"/>
    <w:rsid w:val="00D66DF4"/>
    <w:rsid w:val="00D67037"/>
    <w:rsid w:val="00D7225D"/>
    <w:rsid w:val="00D739C8"/>
    <w:rsid w:val="00D7628E"/>
    <w:rsid w:val="00D80AF9"/>
    <w:rsid w:val="00D80FC0"/>
    <w:rsid w:val="00D822E1"/>
    <w:rsid w:val="00D86A24"/>
    <w:rsid w:val="00D91E34"/>
    <w:rsid w:val="00D9215A"/>
    <w:rsid w:val="00D926D1"/>
    <w:rsid w:val="00D93B77"/>
    <w:rsid w:val="00DA1490"/>
    <w:rsid w:val="00DA2030"/>
    <w:rsid w:val="00DB3E94"/>
    <w:rsid w:val="00DB65BD"/>
    <w:rsid w:val="00DC130A"/>
    <w:rsid w:val="00DC27C8"/>
    <w:rsid w:val="00DC7D99"/>
    <w:rsid w:val="00DD3650"/>
    <w:rsid w:val="00DD4BB9"/>
    <w:rsid w:val="00DD51DC"/>
    <w:rsid w:val="00DE1616"/>
    <w:rsid w:val="00DE1816"/>
    <w:rsid w:val="00DE4306"/>
    <w:rsid w:val="00DF3006"/>
    <w:rsid w:val="00DF3F44"/>
    <w:rsid w:val="00DF7CE8"/>
    <w:rsid w:val="00E00305"/>
    <w:rsid w:val="00E04D76"/>
    <w:rsid w:val="00E078FB"/>
    <w:rsid w:val="00E131B3"/>
    <w:rsid w:val="00E1719E"/>
    <w:rsid w:val="00E225ED"/>
    <w:rsid w:val="00E2320A"/>
    <w:rsid w:val="00E23FB2"/>
    <w:rsid w:val="00E32E22"/>
    <w:rsid w:val="00E35842"/>
    <w:rsid w:val="00E35B95"/>
    <w:rsid w:val="00E40B44"/>
    <w:rsid w:val="00E41DF0"/>
    <w:rsid w:val="00E51899"/>
    <w:rsid w:val="00E56FF6"/>
    <w:rsid w:val="00E6196E"/>
    <w:rsid w:val="00E6483B"/>
    <w:rsid w:val="00E673BF"/>
    <w:rsid w:val="00E67AD8"/>
    <w:rsid w:val="00E7420E"/>
    <w:rsid w:val="00E7466C"/>
    <w:rsid w:val="00E75154"/>
    <w:rsid w:val="00E76998"/>
    <w:rsid w:val="00E8509A"/>
    <w:rsid w:val="00E85B6D"/>
    <w:rsid w:val="00E90F51"/>
    <w:rsid w:val="00E91B9A"/>
    <w:rsid w:val="00E92019"/>
    <w:rsid w:val="00E927FC"/>
    <w:rsid w:val="00E92CAF"/>
    <w:rsid w:val="00E93BF2"/>
    <w:rsid w:val="00E95370"/>
    <w:rsid w:val="00EA7E14"/>
    <w:rsid w:val="00EB2656"/>
    <w:rsid w:val="00EB3A02"/>
    <w:rsid w:val="00EB492D"/>
    <w:rsid w:val="00EB6681"/>
    <w:rsid w:val="00EC24F5"/>
    <w:rsid w:val="00EC52BF"/>
    <w:rsid w:val="00EC59FA"/>
    <w:rsid w:val="00EC71A7"/>
    <w:rsid w:val="00ED371C"/>
    <w:rsid w:val="00ED3E6E"/>
    <w:rsid w:val="00ED7450"/>
    <w:rsid w:val="00EE049B"/>
    <w:rsid w:val="00EE231B"/>
    <w:rsid w:val="00EE3D98"/>
    <w:rsid w:val="00EE5B1D"/>
    <w:rsid w:val="00EE5EF0"/>
    <w:rsid w:val="00EF07D2"/>
    <w:rsid w:val="00EF40A9"/>
    <w:rsid w:val="00EF44B3"/>
    <w:rsid w:val="00EF4B16"/>
    <w:rsid w:val="00EF5810"/>
    <w:rsid w:val="00EF5973"/>
    <w:rsid w:val="00F011FE"/>
    <w:rsid w:val="00F0185F"/>
    <w:rsid w:val="00F03503"/>
    <w:rsid w:val="00F03DA3"/>
    <w:rsid w:val="00F04699"/>
    <w:rsid w:val="00F0490A"/>
    <w:rsid w:val="00F05D55"/>
    <w:rsid w:val="00F067C5"/>
    <w:rsid w:val="00F13585"/>
    <w:rsid w:val="00F16223"/>
    <w:rsid w:val="00F1722C"/>
    <w:rsid w:val="00F20FFE"/>
    <w:rsid w:val="00F23C72"/>
    <w:rsid w:val="00F24179"/>
    <w:rsid w:val="00F269F7"/>
    <w:rsid w:val="00F37814"/>
    <w:rsid w:val="00F40480"/>
    <w:rsid w:val="00F5101B"/>
    <w:rsid w:val="00F51292"/>
    <w:rsid w:val="00F55EAF"/>
    <w:rsid w:val="00F57802"/>
    <w:rsid w:val="00F57B20"/>
    <w:rsid w:val="00F647D4"/>
    <w:rsid w:val="00F6564D"/>
    <w:rsid w:val="00F6637F"/>
    <w:rsid w:val="00F7042A"/>
    <w:rsid w:val="00F714F6"/>
    <w:rsid w:val="00F749DA"/>
    <w:rsid w:val="00F759A6"/>
    <w:rsid w:val="00F82AEB"/>
    <w:rsid w:val="00F85E77"/>
    <w:rsid w:val="00F86B2E"/>
    <w:rsid w:val="00F9028B"/>
    <w:rsid w:val="00F90FC8"/>
    <w:rsid w:val="00F930B4"/>
    <w:rsid w:val="00F95DD4"/>
    <w:rsid w:val="00F979CA"/>
    <w:rsid w:val="00F97CB8"/>
    <w:rsid w:val="00FA21AC"/>
    <w:rsid w:val="00FA2546"/>
    <w:rsid w:val="00FA259E"/>
    <w:rsid w:val="00FA25D1"/>
    <w:rsid w:val="00FA3971"/>
    <w:rsid w:val="00FB1304"/>
    <w:rsid w:val="00FB13AE"/>
    <w:rsid w:val="00FB2FCF"/>
    <w:rsid w:val="00FB34E7"/>
    <w:rsid w:val="00FB72E7"/>
    <w:rsid w:val="00FB7C64"/>
    <w:rsid w:val="00FC06CF"/>
    <w:rsid w:val="00FC26E3"/>
    <w:rsid w:val="00FC33F1"/>
    <w:rsid w:val="00FC3D0D"/>
    <w:rsid w:val="00FC6B96"/>
    <w:rsid w:val="00FD15C0"/>
    <w:rsid w:val="00FD1EC1"/>
    <w:rsid w:val="00FD5007"/>
    <w:rsid w:val="00FD5A3D"/>
    <w:rsid w:val="00FD6733"/>
    <w:rsid w:val="00FE1653"/>
    <w:rsid w:val="00FE1754"/>
    <w:rsid w:val="00FE247B"/>
    <w:rsid w:val="00FF2800"/>
    <w:rsid w:val="00FF6D41"/>
    <w:rsid w:val="00FF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D6EF"/>
  <w15:chartTrackingRefBased/>
  <w15:docId w15:val="{CFDDA681-8925-4365-A4FA-8781336B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34E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40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376F64"/>
    <w:pPr>
      <w:spacing w:after="0" w:line="240" w:lineRule="auto"/>
    </w:pPr>
    <w:rPr>
      <w:sz w:val="20"/>
      <w:szCs w:val="20"/>
    </w:rPr>
  </w:style>
  <w:style w:type="character" w:customStyle="1" w:styleId="NotedefinCar">
    <w:name w:val="Note de fin Car"/>
    <w:basedOn w:val="Policepardfaut"/>
    <w:link w:val="Notedefin"/>
    <w:uiPriority w:val="99"/>
    <w:semiHidden/>
    <w:rsid w:val="00376F64"/>
    <w:rPr>
      <w:sz w:val="20"/>
      <w:szCs w:val="20"/>
    </w:rPr>
  </w:style>
  <w:style w:type="character" w:styleId="Appeldenotedefin">
    <w:name w:val="endnote reference"/>
    <w:basedOn w:val="Policepardfaut"/>
    <w:uiPriority w:val="99"/>
    <w:semiHidden/>
    <w:unhideWhenUsed/>
    <w:rsid w:val="00376F64"/>
    <w:rPr>
      <w:vertAlign w:val="superscript"/>
    </w:rPr>
  </w:style>
  <w:style w:type="character" w:styleId="Lienhypertexte">
    <w:name w:val="Hyperlink"/>
    <w:basedOn w:val="Policepardfaut"/>
    <w:uiPriority w:val="99"/>
    <w:unhideWhenUsed/>
    <w:rsid w:val="00376F64"/>
    <w:rPr>
      <w:color w:val="0563C1" w:themeColor="hyperlink"/>
      <w:u w:val="single"/>
    </w:rPr>
  </w:style>
  <w:style w:type="character" w:styleId="Mentionnonrsolue">
    <w:name w:val="Unresolved Mention"/>
    <w:basedOn w:val="Policepardfaut"/>
    <w:uiPriority w:val="99"/>
    <w:semiHidden/>
    <w:unhideWhenUsed/>
    <w:rsid w:val="00376F64"/>
    <w:rPr>
      <w:color w:val="605E5C"/>
      <w:shd w:val="clear" w:color="auto" w:fill="E1DFDD"/>
    </w:rPr>
  </w:style>
  <w:style w:type="paragraph" w:styleId="Paragraphedeliste">
    <w:name w:val="List Paragraph"/>
    <w:basedOn w:val="Normal"/>
    <w:uiPriority w:val="34"/>
    <w:qFormat/>
    <w:rsid w:val="006D1842"/>
    <w:pPr>
      <w:ind w:left="720"/>
      <w:contextualSpacing/>
    </w:pPr>
  </w:style>
  <w:style w:type="paragraph" w:customStyle="1" w:styleId="Default">
    <w:name w:val="Default"/>
    <w:rsid w:val="00B049AB"/>
    <w:pPr>
      <w:autoSpaceDE w:val="0"/>
      <w:autoSpaceDN w:val="0"/>
      <w:adjustRightInd w:val="0"/>
      <w:spacing w:after="0" w:line="240" w:lineRule="auto"/>
    </w:pPr>
    <w:rPr>
      <w:rFonts w:ascii="Arial" w:hAnsi="Arial" w:cs="Arial"/>
      <w:color w:val="000000"/>
      <w:sz w:val="24"/>
      <w:szCs w:val="24"/>
    </w:rPr>
  </w:style>
  <w:style w:type="paragraph" w:styleId="Notedebasdepage">
    <w:name w:val="footnote text"/>
    <w:basedOn w:val="Normal"/>
    <w:link w:val="NotedebasdepageCar"/>
    <w:uiPriority w:val="99"/>
    <w:unhideWhenUsed/>
    <w:rsid w:val="005644D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644D0"/>
    <w:rPr>
      <w:sz w:val="20"/>
      <w:szCs w:val="20"/>
    </w:rPr>
  </w:style>
  <w:style w:type="character" w:styleId="Appelnotedebasdep">
    <w:name w:val="footnote reference"/>
    <w:basedOn w:val="Policepardfaut"/>
    <w:uiPriority w:val="99"/>
    <w:semiHidden/>
    <w:unhideWhenUsed/>
    <w:rsid w:val="005644D0"/>
    <w:rPr>
      <w:vertAlign w:val="superscript"/>
    </w:rPr>
  </w:style>
  <w:style w:type="paragraph" w:styleId="En-tte">
    <w:name w:val="header"/>
    <w:basedOn w:val="Normal"/>
    <w:link w:val="En-tteCar"/>
    <w:uiPriority w:val="99"/>
    <w:unhideWhenUsed/>
    <w:rsid w:val="00D30F81"/>
    <w:pPr>
      <w:tabs>
        <w:tab w:val="center" w:pos="4680"/>
        <w:tab w:val="right" w:pos="9360"/>
      </w:tabs>
      <w:spacing w:after="0" w:line="240" w:lineRule="auto"/>
    </w:pPr>
  </w:style>
  <w:style w:type="character" w:customStyle="1" w:styleId="En-tteCar">
    <w:name w:val="En-tête Car"/>
    <w:basedOn w:val="Policepardfaut"/>
    <w:link w:val="En-tte"/>
    <w:uiPriority w:val="99"/>
    <w:rsid w:val="00D30F81"/>
  </w:style>
  <w:style w:type="paragraph" w:styleId="Pieddepage">
    <w:name w:val="footer"/>
    <w:basedOn w:val="Normal"/>
    <w:link w:val="PieddepageCar"/>
    <w:uiPriority w:val="99"/>
    <w:unhideWhenUsed/>
    <w:rsid w:val="00D30F8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30F81"/>
  </w:style>
  <w:style w:type="character" w:customStyle="1" w:styleId="Titre1Car">
    <w:name w:val="Titre 1 Car"/>
    <w:basedOn w:val="Policepardfaut"/>
    <w:link w:val="Titre1"/>
    <w:uiPriority w:val="9"/>
    <w:rsid w:val="00834EF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BE043B"/>
    <w:rPr>
      <w:rFonts w:ascii="Times New Roman" w:hAnsi="Times New Roman" w:cs="Times New Roman"/>
      <w:sz w:val="24"/>
      <w:szCs w:val="24"/>
    </w:rPr>
  </w:style>
  <w:style w:type="paragraph" w:styleId="PrformatHTML">
    <w:name w:val="HTML Preformatted"/>
    <w:basedOn w:val="Normal"/>
    <w:link w:val="PrformatHTMLCar"/>
    <w:uiPriority w:val="99"/>
    <w:semiHidden/>
    <w:unhideWhenUsed/>
    <w:rsid w:val="0038597F"/>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38597F"/>
    <w:rPr>
      <w:rFonts w:ascii="Consolas" w:hAnsi="Consolas"/>
      <w:sz w:val="20"/>
      <w:szCs w:val="20"/>
    </w:rPr>
  </w:style>
  <w:style w:type="paragraph" w:styleId="Rvision">
    <w:name w:val="Revision"/>
    <w:hidden/>
    <w:uiPriority w:val="99"/>
    <w:semiHidden/>
    <w:rsid w:val="006F48E3"/>
    <w:pPr>
      <w:spacing w:after="0" w:line="240" w:lineRule="auto"/>
    </w:pPr>
  </w:style>
  <w:style w:type="character" w:styleId="Marquedecommentaire">
    <w:name w:val="annotation reference"/>
    <w:basedOn w:val="Policepardfaut"/>
    <w:uiPriority w:val="99"/>
    <w:semiHidden/>
    <w:unhideWhenUsed/>
    <w:rsid w:val="001C4C54"/>
    <w:rPr>
      <w:sz w:val="16"/>
      <w:szCs w:val="16"/>
    </w:rPr>
  </w:style>
  <w:style w:type="paragraph" w:styleId="Commentaire">
    <w:name w:val="annotation text"/>
    <w:basedOn w:val="Normal"/>
    <w:link w:val="CommentaireCar"/>
    <w:uiPriority w:val="99"/>
    <w:unhideWhenUsed/>
    <w:rsid w:val="001C4C54"/>
    <w:pPr>
      <w:spacing w:line="240" w:lineRule="auto"/>
    </w:pPr>
    <w:rPr>
      <w:sz w:val="20"/>
      <w:szCs w:val="20"/>
    </w:rPr>
  </w:style>
  <w:style w:type="character" w:customStyle="1" w:styleId="CommentaireCar">
    <w:name w:val="Commentaire Car"/>
    <w:basedOn w:val="Policepardfaut"/>
    <w:link w:val="Commentaire"/>
    <w:uiPriority w:val="99"/>
    <w:rsid w:val="001C4C54"/>
    <w:rPr>
      <w:sz w:val="20"/>
      <w:szCs w:val="20"/>
    </w:rPr>
  </w:style>
  <w:style w:type="paragraph" w:styleId="Objetducommentaire">
    <w:name w:val="annotation subject"/>
    <w:basedOn w:val="Commentaire"/>
    <w:next w:val="Commentaire"/>
    <w:link w:val="ObjetducommentaireCar"/>
    <w:uiPriority w:val="99"/>
    <w:semiHidden/>
    <w:unhideWhenUsed/>
    <w:rsid w:val="001C4C54"/>
    <w:rPr>
      <w:b/>
      <w:bCs/>
    </w:rPr>
  </w:style>
  <w:style w:type="character" w:customStyle="1" w:styleId="ObjetducommentaireCar">
    <w:name w:val="Objet du commentaire Car"/>
    <w:basedOn w:val="CommentaireCar"/>
    <w:link w:val="Objetducommentaire"/>
    <w:uiPriority w:val="99"/>
    <w:semiHidden/>
    <w:rsid w:val="001C4C54"/>
    <w:rPr>
      <w:b/>
      <w:bCs/>
      <w:sz w:val="20"/>
      <w:szCs w:val="20"/>
    </w:rPr>
  </w:style>
  <w:style w:type="character" w:styleId="Lienhypertextesuivivisit">
    <w:name w:val="FollowedHyperlink"/>
    <w:basedOn w:val="Policepardfaut"/>
    <w:uiPriority w:val="99"/>
    <w:semiHidden/>
    <w:unhideWhenUsed/>
    <w:rsid w:val="00C32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11042">
      <w:bodyDiv w:val="1"/>
      <w:marLeft w:val="0"/>
      <w:marRight w:val="0"/>
      <w:marTop w:val="0"/>
      <w:marBottom w:val="0"/>
      <w:divBdr>
        <w:top w:val="none" w:sz="0" w:space="0" w:color="auto"/>
        <w:left w:val="none" w:sz="0" w:space="0" w:color="auto"/>
        <w:bottom w:val="none" w:sz="0" w:space="0" w:color="auto"/>
        <w:right w:val="none" w:sz="0" w:space="0" w:color="auto"/>
      </w:divBdr>
    </w:div>
    <w:div w:id="231425408">
      <w:bodyDiv w:val="1"/>
      <w:marLeft w:val="0"/>
      <w:marRight w:val="0"/>
      <w:marTop w:val="0"/>
      <w:marBottom w:val="0"/>
      <w:divBdr>
        <w:top w:val="none" w:sz="0" w:space="0" w:color="auto"/>
        <w:left w:val="none" w:sz="0" w:space="0" w:color="auto"/>
        <w:bottom w:val="none" w:sz="0" w:space="0" w:color="auto"/>
        <w:right w:val="none" w:sz="0" w:space="0" w:color="auto"/>
      </w:divBdr>
    </w:div>
    <w:div w:id="429551887">
      <w:bodyDiv w:val="1"/>
      <w:marLeft w:val="0"/>
      <w:marRight w:val="0"/>
      <w:marTop w:val="0"/>
      <w:marBottom w:val="0"/>
      <w:divBdr>
        <w:top w:val="none" w:sz="0" w:space="0" w:color="auto"/>
        <w:left w:val="none" w:sz="0" w:space="0" w:color="auto"/>
        <w:bottom w:val="none" w:sz="0" w:space="0" w:color="auto"/>
        <w:right w:val="none" w:sz="0" w:space="0" w:color="auto"/>
      </w:divBdr>
    </w:div>
    <w:div w:id="585579185">
      <w:bodyDiv w:val="1"/>
      <w:marLeft w:val="0"/>
      <w:marRight w:val="0"/>
      <w:marTop w:val="0"/>
      <w:marBottom w:val="0"/>
      <w:divBdr>
        <w:top w:val="none" w:sz="0" w:space="0" w:color="auto"/>
        <w:left w:val="none" w:sz="0" w:space="0" w:color="auto"/>
        <w:bottom w:val="none" w:sz="0" w:space="0" w:color="auto"/>
        <w:right w:val="none" w:sz="0" w:space="0" w:color="auto"/>
      </w:divBdr>
    </w:div>
    <w:div w:id="586615898">
      <w:bodyDiv w:val="1"/>
      <w:marLeft w:val="0"/>
      <w:marRight w:val="0"/>
      <w:marTop w:val="0"/>
      <w:marBottom w:val="0"/>
      <w:divBdr>
        <w:top w:val="none" w:sz="0" w:space="0" w:color="auto"/>
        <w:left w:val="none" w:sz="0" w:space="0" w:color="auto"/>
        <w:bottom w:val="none" w:sz="0" w:space="0" w:color="auto"/>
        <w:right w:val="none" w:sz="0" w:space="0" w:color="auto"/>
      </w:divBdr>
      <w:divsChild>
        <w:div w:id="1600407971">
          <w:marLeft w:val="0"/>
          <w:marRight w:val="0"/>
          <w:marTop w:val="200"/>
          <w:marBottom w:val="200"/>
          <w:divBdr>
            <w:top w:val="none" w:sz="0" w:space="0" w:color="auto"/>
            <w:left w:val="none" w:sz="0" w:space="0" w:color="auto"/>
            <w:bottom w:val="none" w:sz="0" w:space="0" w:color="auto"/>
            <w:right w:val="none" w:sz="0" w:space="0" w:color="auto"/>
          </w:divBdr>
          <w:divsChild>
            <w:div w:id="80393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7652">
      <w:bodyDiv w:val="1"/>
      <w:marLeft w:val="0"/>
      <w:marRight w:val="0"/>
      <w:marTop w:val="0"/>
      <w:marBottom w:val="0"/>
      <w:divBdr>
        <w:top w:val="none" w:sz="0" w:space="0" w:color="auto"/>
        <w:left w:val="none" w:sz="0" w:space="0" w:color="auto"/>
        <w:bottom w:val="none" w:sz="0" w:space="0" w:color="auto"/>
        <w:right w:val="none" w:sz="0" w:space="0" w:color="auto"/>
      </w:divBdr>
    </w:div>
    <w:div w:id="1018505220">
      <w:bodyDiv w:val="1"/>
      <w:marLeft w:val="0"/>
      <w:marRight w:val="0"/>
      <w:marTop w:val="0"/>
      <w:marBottom w:val="0"/>
      <w:divBdr>
        <w:top w:val="none" w:sz="0" w:space="0" w:color="auto"/>
        <w:left w:val="none" w:sz="0" w:space="0" w:color="auto"/>
        <w:bottom w:val="none" w:sz="0" w:space="0" w:color="auto"/>
        <w:right w:val="none" w:sz="0" w:space="0" w:color="auto"/>
      </w:divBdr>
    </w:div>
    <w:div w:id="1285580878">
      <w:bodyDiv w:val="1"/>
      <w:marLeft w:val="0"/>
      <w:marRight w:val="0"/>
      <w:marTop w:val="0"/>
      <w:marBottom w:val="0"/>
      <w:divBdr>
        <w:top w:val="none" w:sz="0" w:space="0" w:color="auto"/>
        <w:left w:val="none" w:sz="0" w:space="0" w:color="auto"/>
        <w:bottom w:val="none" w:sz="0" w:space="0" w:color="auto"/>
        <w:right w:val="none" w:sz="0" w:space="0" w:color="auto"/>
      </w:divBdr>
      <w:divsChild>
        <w:div w:id="2107342448">
          <w:marLeft w:val="0"/>
          <w:marRight w:val="0"/>
          <w:marTop w:val="0"/>
          <w:marBottom w:val="0"/>
          <w:divBdr>
            <w:top w:val="none" w:sz="0" w:space="0" w:color="auto"/>
            <w:left w:val="none" w:sz="0" w:space="0" w:color="auto"/>
            <w:bottom w:val="none" w:sz="0" w:space="0" w:color="auto"/>
            <w:right w:val="none" w:sz="0" w:space="0" w:color="auto"/>
          </w:divBdr>
          <w:divsChild>
            <w:div w:id="618683558">
              <w:marLeft w:val="0"/>
              <w:marRight w:val="0"/>
              <w:marTop w:val="0"/>
              <w:marBottom w:val="0"/>
              <w:divBdr>
                <w:top w:val="none" w:sz="0" w:space="0" w:color="auto"/>
                <w:left w:val="none" w:sz="0" w:space="0" w:color="auto"/>
                <w:bottom w:val="none" w:sz="0" w:space="0" w:color="auto"/>
                <w:right w:val="none" w:sz="0" w:space="0" w:color="auto"/>
              </w:divBdr>
            </w:div>
          </w:divsChild>
        </w:div>
        <w:div w:id="1365061677">
          <w:marLeft w:val="0"/>
          <w:marRight w:val="0"/>
          <w:marTop w:val="0"/>
          <w:marBottom w:val="0"/>
          <w:divBdr>
            <w:top w:val="none" w:sz="0" w:space="0" w:color="auto"/>
            <w:left w:val="none" w:sz="0" w:space="0" w:color="auto"/>
            <w:bottom w:val="none" w:sz="0" w:space="0" w:color="auto"/>
            <w:right w:val="none" w:sz="0" w:space="0" w:color="auto"/>
          </w:divBdr>
          <w:divsChild>
            <w:div w:id="1056392716">
              <w:marLeft w:val="0"/>
              <w:marRight w:val="0"/>
              <w:marTop w:val="0"/>
              <w:marBottom w:val="0"/>
              <w:divBdr>
                <w:top w:val="none" w:sz="0" w:space="0" w:color="auto"/>
                <w:left w:val="none" w:sz="0" w:space="0" w:color="auto"/>
                <w:bottom w:val="none" w:sz="0" w:space="0" w:color="auto"/>
                <w:right w:val="none" w:sz="0" w:space="0" w:color="auto"/>
              </w:divBdr>
              <w:divsChild>
                <w:div w:id="13184138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57463">
      <w:bodyDiv w:val="1"/>
      <w:marLeft w:val="0"/>
      <w:marRight w:val="0"/>
      <w:marTop w:val="0"/>
      <w:marBottom w:val="0"/>
      <w:divBdr>
        <w:top w:val="none" w:sz="0" w:space="0" w:color="auto"/>
        <w:left w:val="none" w:sz="0" w:space="0" w:color="auto"/>
        <w:bottom w:val="none" w:sz="0" w:space="0" w:color="auto"/>
        <w:right w:val="none" w:sz="0" w:space="0" w:color="auto"/>
      </w:divBdr>
      <w:divsChild>
        <w:div w:id="983392195">
          <w:marLeft w:val="0"/>
          <w:marRight w:val="0"/>
          <w:marTop w:val="0"/>
          <w:marBottom w:val="0"/>
          <w:divBdr>
            <w:top w:val="none" w:sz="0" w:space="0" w:color="auto"/>
            <w:left w:val="none" w:sz="0" w:space="0" w:color="auto"/>
            <w:bottom w:val="none" w:sz="0" w:space="0" w:color="auto"/>
            <w:right w:val="none" w:sz="0" w:space="0" w:color="auto"/>
          </w:divBdr>
        </w:div>
      </w:divsChild>
    </w:div>
    <w:div w:id="1389650494">
      <w:bodyDiv w:val="1"/>
      <w:marLeft w:val="0"/>
      <w:marRight w:val="0"/>
      <w:marTop w:val="0"/>
      <w:marBottom w:val="0"/>
      <w:divBdr>
        <w:top w:val="none" w:sz="0" w:space="0" w:color="auto"/>
        <w:left w:val="none" w:sz="0" w:space="0" w:color="auto"/>
        <w:bottom w:val="none" w:sz="0" w:space="0" w:color="auto"/>
        <w:right w:val="none" w:sz="0" w:space="0" w:color="auto"/>
      </w:divBdr>
      <w:divsChild>
        <w:div w:id="1076897996">
          <w:marLeft w:val="0"/>
          <w:marRight w:val="0"/>
          <w:marTop w:val="0"/>
          <w:marBottom w:val="0"/>
          <w:divBdr>
            <w:top w:val="none" w:sz="0" w:space="0" w:color="auto"/>
            <w:left w:val="none" w:sz="0" w:space="0" w:color="auto"/>
            <w:bottom w:val="none" w:sz="0" w:space="0" w:color="auto"/>
            <w:right w:val="none" w:sz="0" w:space="0" w:color="auto"/>
          </w:divBdr>
        </w:div>
        <w:div w:id="882405497">
          <w:marLeft w:val="0"/>
          <w:marRight w:val="0"/>
          <w:marTop w:val="0"/>
          <w:marBottom w:val="0"/>
          <w:divBdr>
            <w:top w:val="none" w:sz="0" w:space="0" w:color="auto"/>
            <w:left w:val="none" w:sz="0" w:space="0" w:color="auto"/>
            <w:bottom w:val="none" w:sz="0" w:space="0" w:color="auto"/>
            <w:right w:val="none" w:sz="0" w:space="0" w:color="auto"/>
          </w:divBdr>
        </w:div>
        <w:div w:id="2059434348">
          <w:marLeft w:val="0"/>
          <w:marRight w:val="0"/>
          <w:marTop w:val="0"/>
          <w:marBottom w:val="0"/>
          <w:divBdr>
            <w:top w:val="none" w:sz="0" w:space="0" w:color="auto"/>
            <w:left w:val="none" w:sz="0" w:space="0" w:color="auto"/>
            <w:bottom w:val="none" w:sz="0" w:space="0" w:color="auto"/>
            <w:right w:val="none" w:sz="0" w:space="0" w:color="auto"/>
          </w:divBdr>
        </w:div>
      </w:divsChild>
    </w:div>
    <w:div w:id="1839542607">
      <w:bodyDiv w:val="1"/>
      <w:marLeft w:val="0"/>
      <w:marRight w:val="0"/>
      <w:marTop w:val="0"/>
      <w:marBottom w:val="0"/>
      <w:divBdr>
        <w:top w:val="none" w:sz="0" w:space="0" w:color="auto"/>
        <w:left w:val="none" w:sz="0" w:space="0" w:color="auto"/>
        <w:bottom w:val="none" w:sz="0" w:space="0" w:color="auto"/>
        <w:right w:val="none" w:sz="0" w:space="0" w:color="auto"/>
      </w:divBdr>
    </w:div>
    <w:div w:id="2043171378">
      <w:bodyDiv w:val="1"/>
      <w:marLeft w:val="0"/>
      <w:marRight w:val="0"/>
      <w:marTop w:val="0"/>
      <w:marBottom w:val="0"/>
      <w:divBdr>
        <w:top w:val="none" w:sz="0" w:space="0" w:color="auto"/>
        <w:left w:val="none" w:sz="0" w:space="0" w:color="auto"/>
        <w:bottom w:val="none" w:sz="0" w:space="0" w:color="auto"/>
        <w:right w:val="none" w:sz="0" w:space="0" w:color="auto"/>
      </w:divBdr>
    </w:div>
    <w:div w:id="208005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ocs.worldbank.org/en/doc/798061592482682799-0090022020/original/covidandeducationJune17r6.pdf" TargetMode="External"/><Relationship Id="rId13" Type="http://schemas.openxmlformats.org/officeDocument/2006/relationships/hyperlink" Target="https://www.visualcapitalist.com/history-of-pandemics-deadliest/" TargetMode="External"/><Relationship Id="rId18" Type="http://schemas.openxmlformats.org/officeDocument/2006/relationships/hyperlink" Target="https://blogs.worldbank.org/voices/global-economic-outlook-five-charts-1" TargetMode="External"/><Relationship Id="rId26" Type="http://schemas.openxmlformats.org/officeDocument/2006/relationships/hyperlink" Target="https://milo.uis.unesco.org/wp-content/uploads/sites/17/2022/01/MILO-Summary-Full-Report.pdf" TargetMode="External"/><Relationship Id="rId3" Type="http://schemas.openxmlformats.org/officeDocument/2006/relationships/styles" Target="styles.xml"/><Relationship Id="rId21" Type="http://schemas.openxmlformats.org/officeDocument/2006/relationships/hyperlink" Target="https://doi.org/10.5212/PraxEduc.v.15.15915.073" TargetMode="External"/><Relationship Id="rId7" Type="http://schemas.openxmlformats.org/officeDocument/2006/relationships/endnotes" Target="endnotes.xml"/><Relationship Id="rId12" Type="http://schemas.openxmlformats.org/officeDocument/2006/relationships/hyperlink" Target="https://doi.org/10.3102/0013189X20965918" TargetMode="External"/><Relationship Id="rId17" Type="http://schemas.openxmlformats.org/officeDocument/2006/relationships/hyperlink" Target="https://doi.org/10.1007/s11125-020-09487-w" TargetMode="External"/><Relationship Id="rId25" Type="http://schemas.openxmlformats.org/officeDocument/2006/relationships/hyperlink" Target="https://data.unicef.org/resources/national-education-responses-to-covid19/" TargetMode="External"/><Relationship Id="rId2" Type="http://schemas.openxmlformats.org/officeDocument/2006/relationships/numbering" Target="numbering.xml"/><Relationship Id="rId16" Type="http://schemas.openxmlformats.org/officeDocument/2006/relationships/hyperlink" Target="https://doi.org/10.1080/0161956X.2022.2079895" TargetMode="External"/><Relationship Id="rId20" Type="http://schemas.openxmlformats.org/officeDocument/2006/relationships/hyperlink" Target="https://www.ft.com/content/10d8f5e8-74eb-11ea-95fe-fcd274e920c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org/facts-and-insights" TargetMode="External"/><Relationship Id="rId24" Type="http://schemas.openxmlformats.org/officeDocument/2006/relationships/hyperlink" Target="https://unesdoc.unesco.org/ark:/48223/pf0000380935" TargetMode="External"/><Relationship Id="rId5" Type="http://schemas.openxmlformats.org/officeDocument/2006/relationships/webSettings" Target="webSettings.xml"/><Relationship Id="rId15" Type="http://schemas.openxmlformats.org/officeDocument/2006/relationships/hyperlink" Target="https://unesdoc.unesco.org/ark:/48223/pf0000380398" TargetMode="External"/><Relationship Id="rId23" Type="http://schemas.openxmlformats.org/officeDocument/2006/relationships/hyperlink" Target="https://doi.org/10.1377/hlthaff.28.6.w1066" TargetMode="External"/><Relationship Id="rId28" Type="http://schemas.openxmlformats.org/officeDocument/2006/relationships/hyperlink" Target="https://covid19.who.int/" TargetMode="External"/><Relationship Id="rId10" Type="http://schemas.openxmlformats.org/officeDocument/2006/relationships/hyperlink" Target="https://resources.norrag.org/resource/view/659/385" TargetMode="External"/><Relationship Id="rId19" Type="http://schemas.openxmlformats.org/officeDocument/2006/relationships/hyperlink" Target="http://www.ibe.unesco.org/sites/default/files/resources/book_ibe_-_global_education_innovation_initiative.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dc.gov/coronavirus/2019-ncov/covid-data/investigations-discovery/hospitalization-death-by-race-ethnicity.html" TargetMode="External"/><Relationship Id="rId14" Type="http://schemas.openxmlformats.org/officeDocument/2006/relationships/hyperlink" Target="https://www.pandemics.education/history" TargetMode="External"/><Relationship Id="rId22" Type="http://schemas.openxmlformats.org/officeDocument/2006/relationships/hyperlink" Target="https://doi.org/10.52214/cice.v24i1.8850" TargetMode="External"/><Relationship Id="rId27" Type="http://schemas.openxmlformats.org/officeDocument/2006/relationships/hyperlink" Target="https://openknowledge.worldbank.org/bitstream/handle/10986/33696/148198.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5F5CE-5495-4C5C-ADF4-C61222C66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4728</Words>
  <Characters>26006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 Ginsburg</dc:creator>
  <cp:keywords/>
  <dc:description/>
  <cp:lastModifiedBy>Julie Dondi</cp:lastModifiedBy>
  <cp:revision>3</cp:revision>
  <dcterms:created xsi:type="dcterms:W3CDTF">2022-11-03T07:10:00Z</dcterms:created>
  <dcterms:modified xsi:type="dcterms:W3CDTF">2022-11-09T03:05:00Z</dcterms:modified>
</cp:coreProperties>
</file>