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469D9" w14:textId="04B40D47" w:rsidR="00BB7E14" w:rsidRDefault="00BB7E14" w:rsidP="00E406FE">
      <w:pPr>
        <w:pStyle w:val="Title"/>
        <w:rPr>
          <w:rtl/>
        </w:rPr>
      </w:pPr>
      <w:r w:rsidRPr="007029FD">
        <w:t xml:space="preserve">Nomadism and </w:t>
      </w:r>
      <w:proofErr w:type="spellStart"/>
      <w:r w:rsidRPr="007029FD">
        <w:t>Sedentarization</w:t>
      </w:r>
      <w:proofErr w:type="spellEnd"/>
      <w:r w:rsidRPr="007029FD">
        <w:t xml:space="preserve"> Under British </w:t>
      </w:r>
      <w:r>
        <w:t xml:space="preserve">and </w:t>
      </w:r>
      <w:r w:rsidRPr="007029FD">
        <w:t xml:space="preserve">Israeli Rule: The Shehadeh </w:t>
      </w:r>
      <w:commentRangeStart w:id="0"/>
      <w:r w:rsidR="00D94989">
        <w:t>Clan</w:t>
      </w:r>
      <w:r w:rsidRPr="007029FD">
        <w:t xml:space="preserve"> </w:t>
      </w:r>
      <w:commentRangeEnd w:id="0"/>
      <w:r w:rsidR="00D94989">
        <w:rPr>
          <w:rStyle w:val="CommentReference"/>
        </w:rPr>
        <w:commentReference w:id="0"/>
      </w:r>
      <w:r w:rsidRPr="007029FD">
        <w:t>in the Galilee</w:t>
      </w:r>
      <w:r>
        <w:t>,</w:t>
      </w:r>
      <w:r w:rsidRPr="007029FD">
        <w:t xml:space="preserve"> 1918-1981</w:t>
      </w:r>
    </w:p>
    <w:p w14:paraId="1DAECF02" w14:textId="5BD3974B" w:rsidR="008C1BCA" w:rsidRDefault="00DB17E5" w:rsidP="00BB3330">
      <w:r w:rsidRPr="005D2D56">
        <w:t xml:space="preserve">This paper addresses the dealings of the British Mandate and the State of Israel with the Shehadeh clan, Bedouins from the </w:t>
      </w:r>
      <w:commentRangeStart w:id="1"/>
      <w:proofErr w:type="spellStart"/>
      <w:r w:rsidRPr="005D2D56">
        <w:t>Suweid</w:t>
      </w:r>
      <w:proofErr w:type="spellEnd"/>
      <w:r w:rsidRPr="005D2D56">
        <w:t xml:space="preserve"> </w:t>
      </w:r>
      <w:commentRangeEnd w:id="1"/>
      <w:r w:rsidRPr="005D2D56">
        <w:rPr>
          <w:rStyle w:val="CommentReference"/>
          <w:sz w:val="24"/>
          <w:szCs w:val="24"/>
        </w:rPr>
        <w:commentReference w:id="1"/>
      </w:r>
      <w:r w:rsidRPr="005D2D56">
        <w:t xml:space="preserve">tribe who live on Mount </w:t>
      </w:r>
      <w:proofErr w:type="spellStart"/>
      <w:r w:rsidRPr="005D2D56">
        <w:t>Kammon</w:t>
      </w:r>
      <w:proofErr w:type="spellEnd"/>
      <w:r w:rsidRPr="005D2D56">
        <w:t xml:space="preserve"> in the Galilee. It will also discuss how the </w:t>
      </w:r>
      <w:r>
        <w:t>clan</w:t>
      </w:r>
      <w:r w:rsidRPr="005D2D56">
        <w:t xml:space="preserve"> came to live in the middle of a Jewish </w:t>
      </w:r>
      <w:r>
        <w:t>settlement</w:t>
      </w:r>
      <w:r w:rsidRPr="005D2D56">
        <w:t xml:space="preserve"> without being considered residents of that </w:t>
      </w:r>
      <w:r>
        <w:t>settlement</w:t>
      </w:r>
      <w:r w:rsidRPr="005D2D56">
        <w:t>. T</w:t>
      </w:r>
      <w:r>
        <w:t xml:space="preserve">wo Bedouin villages on Mount </w:t>
      </w:r>
      <w:proofErr w:type="spellStart"/>
      <w:r>
        <w:t>Kammon</w:t>
      </w:r>
      <w:proofErr w:type="spellEnd"/>
      <w:r w:rsidRPr="005D2D56">
        <w:t xml:space="preserve"> are also populated by members of the </w:t>
      </w:r>
      <w:proofErr w:type="spellStart"/>
      <w:r w:rsidRPr="005D2D56">
        <w:t>Suweid</w:t>
      </w:r>
      <w:proofErr w:type="spellEnd"/>
      <w:r w:rsidRPr="005D2D56">
        <w:t xml:space="preserve"> tribe, </w:t>
      </w:r>
      <w:proofErr w:type="spellStart"/>
      <w:r w:rsidRPr="005D2D56">
        <w:t>Kammaneh</w:t>
      </w:r>
      <w:proofErr w:type="spellEnd"/>
      <w:r w:rsidRPr="005D2D56">
        <w:t xml:space="preserve"> and </w:t>
      </w:r>
      <w:proofErr w:type="spellStart"/>
      <w:r w:rsidR="008C1BCA">
        <w:t>Jalassa</w:t>
      </w:r>
      <w:proofErr w:type="spellEnd"/>
      <w:r w:rsidRPr="005D2D56">
        <w:t xml:space="preserve">. These villages were granted the status of municipalities in 1994 while the Shehadeh neighborhood was defined as an illegal settlement until </w:t>
      </w:r>
      <w:proofErr w:type="gramStart"/>
      <w:r w:rsidRPr="005D2D56">
        <w:t xml:space="preserve">2018, </w:t>
      </w:r>
      <w:r>
        <w:t>and</w:t>
      </w:r>
      <w:proofErr w:type="gramEnd"/>
      <w:r>
        <w:t xml:space="preserve"> suffered</w:t>
      </w:r>
      <w:r w:rsidRPr="005D2D56">
        <w:t xml:space="preserve"> from poorly developed infrastructure and building bans.</w:t>
      </w:r>
      <w:r w:rsidRPr="005D2D56">
        <w:rPr>
          <w:rStyle w:val="FootnoteReference"/>
        </w:rPr>
        <w:footnoteReference w:id="1"/>
      </w:r>
      <w:r w:rsidRPr="005D2D56">
        <w:t xml:space="preserve"> The building of the Jewish village of </w:t>
      </w:r>
      <w:proofErr w:type="spellStart"/>
      <w:r w:rsidRPr="005D2D56">
        <w:t>Kamon</w:t>
      </w:r>
      <w:proofErr w:type="spellEnd"/>
      <w:r w:rsidRPr="005D2D56">
        <w:t xml:space="preserve"> around the Shehadeh neighborhood without including it as part of the municipality led to it being cut off from the rest of the tribe. The Shehadeh became a clan that was not connected to any village; they were neglected by both the Jewish and the Bedouin sides in the legalization process of the Bedouin villages on Mount </w:t>
      </w:r>
      <w:proofErr w:type="spellStart"/>
      <w:r w:rsidRPr="005D2D56">
        <w:t>Kammon</w:t>
      </w:r>
      <w:proofErr w:type="spellEnd"/>
      <w:r w:rsidRPr="005D2D56">
        <w:t xml:space="preserve">. The story of the Shehadeh reflects the story of many Bedouin clans in Israel and the process of </w:t>
      </w:r>
      <w:commentRangeStart w:id="2"/>
      <w:r w:rsidRPr="005D2D56">
        <w:t xml:space="preserve">standardization </w:t>
      </w:r>
      <w:commentRangeEnd w:id="2"/>
      <w:r>
        <w:rPr>
          <w:rStyle w:val="CommentReference"/>
          <w:rtl/>
        </w:rPr>
        <w:commentReference w:id="2"/>
      </w:r>
      <w:r w:rsidRPr="005D2D56">
        <w:t xml:space="preserve">that they underwent </w:t>
      </w:r>
      <w:r>
        <w:t>under the</w:t>
      </w:r>
      <w:r w:rsidRPr="005D2D56">
        <w:t xml:space="preserve"> British Mandate and the State of Israel. In my discussion of the Shehadeh clan, I will relate to the period from the onset of the British Mandate in 1918 until the establishment of </w:t>
      </w:r>
      <w:proofErr w:type="spellStart"/>
      <w:r w:rsidRPr="005D2D56">
        <w:t>Kamon</w:t>
      </w:r>
      <w:proofErr w:type="spellEnd"/>
      <w:r w:rsidRPr="005D2D56">
        <w:t xml:space="preserve"> in 1981.</w:t>
      </w:r>
      <w:commentRangeStart w:id="3"/>
    </w:p>
    <w:p w14:paraId="16BC3551" w14:textId="729EC32B" w:rsidR="00BB3330" w:rsidRDefault="00BB3330" w:rsidP="00BB3330"/>
    <w:p w14:paraId="7A58B0AA" w14:textId="736B1509" w:rsidR="00BB3330" w:rsidRDefault="00BA34AC" w:rsidP="00BB3330">
      <w:r>
        <w:rPr>
          <w:noProof/>
        </w:rPr>
        <w:pict w14:anchorId="2F8C81C5">
          <v:shapetype id="_x0000_t202" coordsize="21600,21600" o:spt="202" path="m,l,21600r21600,l21600,xe">
            <v:stroke joinstyle="miter"/>
            <v:path gradientshapeok="t" o:connecttype="rect"/>
          </v:shapetype>
          <v:shape id="_x0000_s1042" type="#_x0000_t202" style="position:absolute;margin-left:78.65pt;margin-top:188.55pt;width:359.25pt;height:.05pt;z-index:251661312;mso-position-horizontal-relative:text;mso-position-vertical-relative:text" wrapcoords="-45 0 -45 20829 21600 20829 21600 0 -45 0" stroked="f">
            <v:textbox style="mso-fit-shape-to-text:t" inset="0,0,0,0">
              <w:txbxContent>
                <w:p w14:paraId="3C5B3B95" w14:textId="07592727" w:rsidR="00BA34AC" w:rsidRPr="00620397" w:rsidRDefault="00BA34AC" w:rsidP="00BA34AC">
                  <w:pPr>
                    <w:pStyle w:val="Caption"/>
                    <w:rPr>
                      <w:noProof/>
                      <w:sz w:val="24"/>
                      <w:szCs w:val="24"/>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Map of </w:t>
                  </w:r>
                  <w:proofErr w:type="spellStart"/>
                  <w:r>
                    <w:t>Kamon</w:t>
                  </w:r>
                  <w:proofErr w:type="spellEnd"/>
                  <w:r>
                    <w:t xml:space="preserve">, East </w:t>
                  </w:r>
                  <w:proofErr w:type="spellStart"/>
                  <w:r>
                    <w:t>Kammaneh</w:t>
                  </w:r>
                  <w:proofErr w:type="spellEnd"/>
                  <w:r>
                    <w:t xml:space="preserve">, </w:t>
                  </w:r>
                  <w:proofErr w:type="spellStart"/>
                  <w:r>
                    <w:t>Jalassa</w:t>
                  </w:r>
                  <w:proofErr w:type="spellEnd"/>
                  <w:r>
                    <w:t xml:space="preserve"> and Shehadeh, 2021</w:t>
                  </w:r>
                </w:p>
              </w:txbxContent>
            </v:textbox>
            <w10:wrap type="tight"/>
          </v:shape>
        </w:pict>
      </w:r>
      <w:r w:rsidR="004E33AB">
        <w:rPr>
          <w:noProof/>
        </w:rPr>
        <w:drawing>
          <wp:anchor distT="0" distB="0" distL="114300" distR="114300" simplePos="0" relativeHeight="251652096" behindDoc="1" locked="0" layoutInCell="1" allowOverlap="1" wp14:anchorId="2766450A" wp14:editId="363F3A03">
            <wp:simplePos x="0" y="0"/>
            <wp:positionH relativeFrom="margin">
              <wp:posOffset>998855</wp:posOffset>
            </wp:positionH>
            <wp:positionV relativeFrom="page">
              <wp:posOffset>5688330</wp:posOffset>
            </wp:positionV>
            <wp:extent cx="4562475" cy="2294890"/>
            <wp:effectExtent l="0" t="0" r="0" b="0"/>
            <wp:wrapTight wrapText="bothSides">
              <wp:wrapPolygon edited="0">
                <wp:start x="0" y="0"/>
                <wp:lineTo x="0" y="21337"/>
                <wp:lineTo x="21465" y="21337"/>
                <wp:lineTo x="21465" y="0"/>
                <wp:lineTo x="0" y="0"/>
              </wp:wrapPolygon>
            </wp:wrapTight>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141" t="16381" r="11148" b="4925"/>
                    <a:stretch/>
                  </pic:blipFill>
                  <pic:spPr bwMode="auto">
                    <a:xfrm>
                      <a:off x="0" y="0"/>
                      <a:ext cx="4562475" cy="2294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EA71BC" w14:textId="23DC74C1" w:rsidR="00BB3330" w:rsidRDefault="00BB3330" w:rsidP="00BB3330"/>
    <w:p w14:paraId="2A5FC962" w14:textId="5BDC4FE2" w:rsidR="008C1BCA" w:rsidRDefault="008C1BCA" w:rsidP="00067839"/>
    <w:p w14:paraId="7D08C27D" w14:textId="77777777" w:rsidR="008C1BCA" w:rsidRDefault="008C1BCA" w:rsidP="00067839"/>
    <w:p w14:paraId="0B2BC982" w14:textId="77777777" w:rsidR="008C1BCA" w:rsidRDefault="008C1BCA" w:rsidP="00067839"/>
    <w:p w14:paraId="4E74DAEA" w14:textId="77777777" w:rsidR="008C1BCA" w:rsidRDefault="008C1BCA" w:rsidP="00067839"/>
    <w:p w14:paraId="1BA0F26A" w14:textId="77777777" w:rsidR="008C1BCA" w:rsidRPr="005D2D56" w:rsidRDefault="008C1BCA" w:rsidP="00067839"/>
    <w:p w14:paraId="08D7B26E" w14:textId="77777777" w:rsidR="00BB3330" w:rsidRDefault="00BB3330" w:rsidP="00067839"/>
    <w:commentRangeEnd w:id="3"/>
    <w:p w14:paraId="476AEFE0" w14:textId="3B756E68" w:rsidR="00BB3330" w:rsidRDefault="00230BBD" w:rsidP="00067839">
      <w:r>
        <w:rPr>
          <w:rStyle w:val="CommentReference"/>
        </w:rPr>
        <w:commentReference w:id="3"/>
      </w:r>
    </w:p>
    <w:p w14:paraId="5F0A03BC" w14:textId="77777777" w:rsidR="00BA34AC" w:rsidRDefault="00BA34AC" w:rsidP="00067839"/>
    <w:p w14:paraId="0FC2F323" w14:textId="77777777" w:rsidR="00B40CEC" w:rsidRDefault="00B40CEC" w:rsidP="00067839">
      <w:pPr>
        <w:rPr>
          <w:rtl/>
        </w:rPr>
      </w:pPr>
    </w:p>
    <w:p w14:paraId="3838B93A" w14:textId="77777777" w:rsidR="00B40CEC" w:rsidRDefault="00B40CEC" w:rsidP="00067839">
      <w:pPr>
        <w:rPr>
          <w:rtl/>
        </w:rPr>
      </w:pPr>
    </w:p>
    <w:p w14:paraId="30E7DBF5" w14:textId="3B8207CB" w:rsidR="00B40CEC" w:rsidRDefault="00BA099F" w:rsidP="00067839">
      <w:pPr>
        <w:rPr>
          <w:rtl/>
        </w:rPr>
      </w:pPr>
      <w:r>
        <w:rPr>
          <w:noProof/>
        </w:rPr>
        <w:drawing>
          <wp:anchor distT="0" distB="0" distL="114300" distR="114300" simplePos="0" relativeHeight="251663360" behindDoc="1" locked="0" layoutInCell="1" allowOverlap="1" wp14:anchorId="0671D981" wp14:editId="3950A6BE">
            <wp:simplePos x="0" y="0"/>
            <wp:positionH relativeFrom="column">
              <wp:align>center</wp:align>
            </wp:positionH>
            <wp:positionV relativeFrom="paragraph">
              <wp:posOffset>262890</wp:posOffset>
            </wp:positionV>
            <wp:extent cx="4572000" cy="2377440"/>
            <wp:effectExtent l="0" t="0" r="0" b="0"/>
            <wp:wrapTight wrapText="bothSides">
              <wp:wrapPolygon edited="0">
                <wp:start x="0" y="0"/>
                <wp:lineTo x="0" y="21462"/>
                <wp:lineTo x="21510" y="21462"/>
                <wp:lineTo x="21510" y="0"/>
                <wp:lineTo x="0" y="0"/>
              </wp:wrapPolygon>
            </wp:wrapTight>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975" t="16702" r="12592" b="6211"/>
                    <a:stretch/>
                  </pic:blipFill>
                  <pic:spPr bwMode="auto">
                    <a:xfrm>
                      <a:off x="0" y="0"/>
                      <a:ext cx="4572000"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A8286C" w14:textId="77777777" w:rsidR="00B40CEC" w:rsidRDefault="00B40CEC" w:rsidP="00067839">
      <w:pPr>
        <w:rPr>
          <w:rtl/>
        </w:rPr>
      </w:pPr>
    </w:p>
    <w:p w14:paraId="60EB8747" w14:textId="77777777" w:rsidR="00B40CEC" w:rsidRDefault="00B40CEC" w:rsidP="00067839">
      <w:pPr>
        <w:rPr>
          <w:rtl/>
        </w:rPr>
      </w:pPr>
    </w:p>
    <w:p w14:paraId="266E6286" w14:textId="77777777" w:rsidR="00B40CEC" w:rsidRDefault="00B40CEC" w:rsidP="00067839">
      <w:pPr>
        <w:rPr>
          <w:rtl/>
        </w:rPr>
      </w:pPr>
    </w:p>
    <w:p w14:paraId="1D1225CF" w14:textId="77777777" w:rsidR="00B40CEC" w:rsidRDefault="00B40CEC" w:rsidP="00067839">
      <w:pPr>
        <w:rPr>
          <w:rtl/>
        </w:rPr>
      </w:pPr>
    </w:p>
    <w:p w14:paraId="4CD70D46" w14:textId="77777777" w:rsidR="00B40CEC" w:rsidRDefault="00B40CEC" w:rsidP="00067839">
      <w:pPr>
        <w:rPr>
          <w:rtl/>
        </w:rPr>
      </w:pPr>
    </w:p>
    <w:p w14:paraId="38DF16DB" w14:textId="77777777" w:rsidR="00B40CEC" w:rsidRDefault="00B40CEC" w:rsidP="00067839">
      <w:pPr>
        <w:rPr>
          <w:rtl/>
        </w:rPr>
      </w:pPr>
    </w:p>
    <w:p w14:paraId="05958A14" w14:textId="77777777" w:rsidR="00B40CEC" w:rsidRDefault="00B40CEC" w:rsidP="00067839">
      <w:pPr>
        <w:rPr>
          <w:rtl/>
        </w:rPr>
      </w:pPr>
    </w:p>
    <w:p w14:paraId="21D3B23E" w14:textId="77777777" w:rsidR="00BA099F" w:rsidRDefault="00BA099F" w:rsidP="00067839"/>
    <w:p w14:paraId="62AE7C80" w14:textId="77777777" w:rsidR="00BA099F" w:rsidRDefault="00BA099F" w:rsidP="00067839"/>
    <w:p w14:paraId="087DB383" w14:textId="77777777" w:rsidR="00BA099F" w:rsidRDefault="00BA099F" w:rsidP="00067839"/>
    <w:p w14:paraId="08523CFE" w14:textId="5F5FF0F6" w:rsidR="00DB17E5" w:rsidRPr="005D2D56" w:rsidRDefault="00DB17E5" w:rsidP="00067839">
      <w:r w:rsidRPr="005D2D56">
        <w:t xml:space="preserve">In his article, “Nomads and Sedentary Dwellers in the Middle East” (Hebrew), Emanuel Marx shows how the tribes who did not fit into </w:t>
      </w:r>
      <w:r>
        <w:t xml:space="preserve">the </w:t>
      </w:r>
      <w:r w:rsidRPr="005D2D56">
        <w:t>tribal model that the State of Israel had created and did not accept the plans that Israel had made for them found themselves on “</w:t>
      </w:r>
      <w:r>
        <w:t xml:space="preserve">a </w:t>
      </w:r>
      <w:r w:rsidRPr="005D2D56">
        <w:t xml:space="preserve">limited and deprived ethnic reservation,” a concept that he applied to Negev Bedouin but which also is an apt description of the </w:t>
      </w:r>
      <w:proofErr w:type="spellStart"/>
      <w:r w:rsidRPr="005D2D56">
        <w:t>Shehadah</w:t>
      </w:r>
      <w:proofErr w:type="spellEnd"/>
      <w:r w:rsidRPr="005D2D56">
        <w:t xml:space="preserve"> clan’s situation.</w:t>
      </w:r>
      <w:r w:rsidRPr="005D2D56">
        <w:rPr>
          <w:rStyle w:val="FootnoteReference"/>
        </w:rPr>
        <w:footnoteReference w:id="2"/>
      </w:r>
      <w:r w:rsidRPr="005D2D56">
        <w:t xml:space="preserve"> </w:t>
      </w:r>
      <w:r w:rsidRPr="005D2D56">
        <w:rPr>
          <w:rStyle w:val="FootnoteReference"/>
        </w:rPr>
        <w:footnoteReference w:id="3"/>
      </w:r>
      <w:r w:rsidRPr="005D2D56">
        <w:t xml:space="preserve"> This paper is based on the analysis of archival sources combined with interviews that I conducted with members of the </w:t>
      </w:r>
      <w:proofErr w:type="spellStart"/>
      <w:r w:rsidRPr="005D2D56">
        <w:t>Shehadah</w:t>
      </w:r>
      <w:proofErr w:type="spellEnd"/>
      <w:r w:rsidRPr="005D2D56">
        <w:t xml:space="preserve"> clan and the </w:t>
      </w:r>
      <w:proofErr w:type="spellStart"/>
      <w:r w:rsidRPr="005D2D56">
        <w:t>Suweid</w:t>
      </w:r>
      <w:proofErr w:type="spellEnd"/>
      <w:r w:rsidRPr="005D2D56">
        <w:t xml:space="preserve"> tribe as well as Jewish residents of </w:t>
      </w:r>
      <w:proofErr w:type="spellStart"/>
      <w:r w:rsidRPr="005D2D56">
        <w:t>Kamon</w:t>
      </w:r>
      <w:proofErr w:type="spellEnd"/>
      <w:r w:rsidRPr="005D2D56">
        <w:t xml:space="preserve">. As a native of </w:t>
      </w:r>
      <w:proofErr w:type="spellStart"/>
      <w:r w:rsidRPr="005D2D56">
        <w:t>Kamon</w:t>
      </w:r>
      <w:proofErr w:type="spellEnd"/>
      <w:r w:rsidRPr="005D2D56">
        <w:t xml:space="preserve">, I was already familiar with both the Jewish and the Bedouin residents of the area and members of both communities opened their homes to me and also directed me to important archival material. Coming back to </w:t>
      </w:r>
      <w:proofErr w:type="spellStart"/>
      <w:r w:rsidRPr="005D2D56">
        <w:t>Kamon</w:t>
      </w:r>
      <w:proofErr w:type="spellEnd"/>
      <w:r w:rsidRPr="005D2D56">
        <w:t xml:space="preserve"> as </w:t>
      </w:r>
      <w:r>
        <w:t xml:space="preserve">a </w:t>
      </w:r>
      <w:r w:rsidRPr="005D2D56">
        <w:t xml:space="preserve">researcher who was fluent in Arabic made it possible for me to hear narratives of the history of the place where I </w:t>
      </w:r>
      <w:r>
        <w:t>grew</w:t>
      </w:r>
      <w:r w:rsidRPr="005D2D56">
        <w:t xml:space="preserve"> up that were different from those that I </w:t>
      </w:r>
      <w:r>
        <w:t>was familiar with</w:t>
      </w:r>
      <w:r w:rsidRPr="005D2D56">
        <w:t>. Many of the interviews I conducted were in fact in Arabic, the language my subjects felt more comfortable expressing themselves.</w:t>
      </w:r>
    </w:p>
    <w:p w14:paraId="55FA9658" w14:textId="7EABE99A" w:rsidR="00DB17E5" w:rsidRPr="005D2D56" w:rsidRDefault="00DB17E5" w:rsidP="00067839">
      <w:r w:rsidRPr="005D2D56">
        <w:t xml:space="preserve">In the second half of the nineteenth century, several clans from the </w:t>
      </w:r>
      <w:proofErr w:type="spellStart"/>
      <w:r w:rsidRPr="005D2D56">
        <w:t>Suweid</w:t>
      </w:r>
      <w:proofErr w:type="spellEnd"/>
      <w:r w:rsidRPr="005D2D56">
        <w:t xml:space="preserve"> tribe moved from the Hula Valley to </w:t>
      </w:r>
      <w:commentRangeStart w:id="4"/>
      <w:r w:rsidRPr="005D2D56">
        <w:t xml:space="preserve">Mount </w:t>
      </w:r>
      <w:proofErr w:type="spellStart"/>
      <w:r w:rsidRPr="005D2D56">
        <w:t>Kammon</w:t>
      </w:r>
      <w:proofErr w:type="spellEnd"/>
      <w:r w:rsidRPr="005D2D56">
        <w:t xml:space="preserve"> </w:t>
      </w:r>
      <w:commentRangeEnd w:id="4"/>
      <w:r w:rsidRPr="005D2D56">
        <w:rPr>
          <w:rStyle w:val="CommentReference"/>
          <w:sz w:val="24"/>
          <w:szCs w:val="24"/>
        </w:rPr>
        <w:commentReference w:id="4"/>
      </w:r>
      <w:r w:rsidRPr="005D2D56">
        <w:t xml:space="preserve">and the adjacent Wadi Salameh </w:t>
      </w:r>
      <w:r>
        <w:t>which</w:t>
      </w:r>
      <w:r w:rsidRPr="005D2D56">
        <w:t xml:space="preserve"> were forested and remote from the </w:t>
      </w:r>
      <w:r w:rsidRPr="005D2D56">
        <w:lastRenderedPageBreak/>
        <w:t>Ottoman authorities.</w:t>
      </w:r>
      <w:r w:rsidRPr="005D2D56">
        <w:rPr>
          <w:rStyle w:val="FootnoteReference"/>
        </w:rPr>
        <w:footnoteReference w:id="4"/>
      </w:r>
      <w:r w:rsidRPr="005D2D56">
        <w:t xml:space="preserve"> The main reason for the move was the Ottoman land law of 1858 (the Tabu law) </w:t>
      </w:r>
      <w:r>
        <w:t>which</w:t>
      </w:r>
      <w:r w:rsidRPr="005D2D56">
        <w:t xml:space="preserve"> strengthened government control of land ownership and required land owners to pay taxes and also serve in the army. The first member of the tribe to settle on Mount </w:t>
      </w:r>
      <w:proofErr w:type="spellStart"/>
      <w:r w:rsidRPr="005D2D56">
        <w:t>Kammon</w:t>
      </w:r>
      <w:proofErr w:type="spellEnd"/>
      <w:r w:rsidRPr="005D2D56">
        <w:t xml:space="preserve"> was </w:t>
      </w:r>
      <w:commentRangeStart w:id="5"/>
      <w:r w:rsidRPr="005D2D56">
        <w:t xml:space="preserve">Ali </w:t>
      </w:r>
      <w:proofErr w:type="spellStart"/>
      <w:r w:rsidRPr="005D2D56">
        <w:t>Sheban</w:t>
      </w:r>
      <w:proofErr w:type="spellEnd"/>
      <w:r w:rsidRPr="005D2D56">
        <w:t xml:space="preserve"> </w:t>
      </w:r>
      <w:commentRangeEnd w:id="5"/>
      <w:r w:rsidRPr="005D2D56">
        <w:rPr>
          <w:rStyle w:val="CommentReference"/>
          <w:sz w:val="24"/>
          <w:szCs w:val="24"/>
        </w:rPr>
        <w:commentReference w:id="5"/>
      </w:r>
      <w:r w:rsidRPr="005D2D56">
        <w:t xml:space="preserve">of the </w:t>
      </w:r>
      <w:commentRangeStart w:id="6"/>
      <w:proofErr w:type="spellStart"/>
      <w:r w:rsidRPr="005D2D56">
        <w:t>Sheban</w:t>
      </w:r>
      <w:proofErr w:type="spellEnd"/>
      <w:r w:rsidRPr="005D2D56">
        <w:t xml:space="preserve"> </w:t>
      </w:r>
      <w:commentRangeEnd w:id="6"/>
      <w:r w:rsidRPr="005D2D56">
        <w:rPr>
          <w:rStyle w:val="CommentReference"/>
          <w:sz w:val="24"/>
          <w:szCs w:val="24"/>
        </w:rPr>
        <w:commentReference w:id="6"/>
      </w:r>
      <w:r w:rsidRPr="005D2D56">
        <w:t>clan.</w:t>
      </w:r>
      <w:r w:rsidRPr="005D2D56">
        <w:rPr>
          <w:rStyle w:val="FootnoteReference"/>
        </w:rPr>
        <w:footnoteReference w:id="5"/>
      </w:r>
      <w:r w:rsidRPr="005D2D56">
        <w:rPr>
          <w:rFonts w:hint="cs"/>
          <w:rtl/>
        </w:rPr>
        <w:t xml:space="preserve"> </w:t>
      </w:r>
      <w:r w:rsidRPr="005D2D56">
        <w:rPr>
          <w:rFonts w:hint="cs"/>
        </w:rPr>
        <w:t>T</w:t>
      </w:r>
      <w:r w:rsidRPr="005D2D56">
        <w:t xml:space="preserve">he members of that clan gradually settled in </w:t>
      </w:r>
      <w:proofErr w:type="spellStart"/>
      <w:r w:rsidRPr="005D2D56">
        <w:t>Hirbet</w:t>
      </w:r>
      <w:proofErr w:type="spellEnd"/>
      <w:r w:rsidRPr="005D2D56">
        <w:t xml:space="preserve"> </w:t>
      </w:r>
      <w:proofErr w:type="spellStart"/>
      <w:r w:rsidRPr="005D2D56">
        <w:t>Kammaneh</w:t>
      </w:r>
      <w:proofErr w:type="spellEnd"/>
      <w:r w:rsidRPr="005D2D56">
        <w:t xml:space="preserve"> (today – East </w:t>
      </w:r>
      <w:proofErr w:type="spellStart"/>
      <w:r w:rsidRPr="005D2D56">
        <w:t>Kammaneh</w:t>
      </w:r>
      <w:proofErr w:type="spellEnd"/>
      <w:r w:rsidRPr="005D2D56">
        <w:t xml:space="preserve">), in the </w:t>
      </w:r>
      <w:proofErr w:type="spellStart"/>
      <w:r w:rsidR="008C1BCA">
        <w:t>Jalassa</w:t>
      </w:r>
      <w:proofErr w:type="spellEnd"/>
      <w:r w:rsidRPr="005D2D56">
        <w:t xml:space="preserve"> and Shehadeh neighborhoods, buying plots of land from the </w:t>
      </w:r>
      <w:proofErr w:type="spellStart"/>
      <w:r w:rsidRPr="005D2D56">
        <w:t>Thiv</w:t>
      </w:r>
      <w:proofErr w:type="spellEnd"/>
      <w:r w:rsidRPr="005D2D56">
        <w:t xml:space="preserve"> and </w:t>
      </w:r>
      <w:proofErr w:type="spellStart"/>
      <w:r w:rsidRPr="005D2D56">
        <w:t>Askander</w:t>
      </w:r>
      <w:proofErr w:type="spellEnd"/>
      <w:r w:rsidRPr="005D2D56">
        <w:t xml:space="preserve"> clans from </w:t>
      </w:r>
      <w:proofErr w:type="spellStart"/>
      <w:r w:rsidRPr="005D2D56">
        <w:t>Rameh</w:t>
      </w:r>
      <w:proofErr w:type="spellEnd"/>
      <w:r w:rsidRPr="005D2D56">
        <w:t>, a village at the bottom of the mountain.</w:t>
      </w:r>
      <w:r w:rsidRPr="005D2D56">
        <w:rPr>
          <w:rStyle w:val="FootnoteReference"/>
        </w:rPr>
        <w:footnoteReference w:id="6"/>
      </w:r>
      <w:r w:rsidRPr="005D2D56">
        <w:t xml:space="preserve"> </w:t>
      </w:r>
      <w:commentRangeStart w:id="7"/>
      <w:proofErr w:type="spellStart"/>
      <w:r w:rsidRPr="005D2D56">
        <w:t>Wadha</w:t>
      </w:r>
      <w:commentRangeEnd w:id="7"/>
      <w:proofErr w:type="spellEnd"/>
      <w:r w:rsidRPr="005D2D56">
        <w:rPr>
          <w:rStyle w:val="CommentReference"/>
          <w:sz w:val="24"/>
          <w:szCs w:val="24"/>
        </w:rPr>
        <w:commentReference w:id="7"/>
      </w:r>
      <w:r w:rsidRPr="005D2D56">
        <w:t xml:space="preserve">, a member of the Shehadeh clan who lives in the neighborhood today, was born in 1964 in the Shehadeh neighborhood and reports that her grandfather lived in the area in the first half of the twentieth century. Her family were shepherds and farmers whose practice was to move between their land at the top of the mountain and other land belonging to the </w:t>
      </w:r>
      <w:proofErr w:type="spellStart"/>
      <w:r w:rsidRPr="005D2D56">
        <w:t>Suweid</w:t>
      </w:r>
      <w:proofErr w:type="spellEnd"/>
      <w:r w:rsidRPr="005D2D56">
        <w:t xml:space="preserve"> tribe in the area.</w:t>
      </w:r>
    </w:p>
    <w:p w14:paraId="09667F0B" w14:textId="77777777" w:rsidR="00DB17E5" w:rsidRPr="005D2D56" w:rsidRDefault="00DB17E5" w:rsidP="00067839">
      <w:pPr>
        <w:pStyle w:val="Heading1"/>
      </w:pPr>
      <w:r w:rsidRPr="005D2D56">
        <w:t>The British Mandate: 1918 – 1948. Forced Standardization</w:t>
      </w:r>
    </w:p>
    <w:p w14:paraId="3C249101" w14:textId="77777777" w:rsidR="00DB17E5" w:rsidRPr="005D2D56" w:rsidRDefault="00DB17E5" w:rsidP="00067839">
      <w:pPr>
        <w:rPr>
          <w:lang w:eastAsia="en-GB"/>
        </w:rPr>
      </w:pPr>
      <w:r w:rsidRPr="005D2D56">
        <w:rPr>
          <w:lang w:val="en-GB" w:eastAsia="en-GB"/>
        </w:rPr>
        <w:t xml:space="preserve"> The British Mandate for Palestine set a policy of </w:t>
      </w:r>
      <w:commentRangeStart w:id="8"/>
      <w:r w:rsidRPr="005D2D56">
        <w:rPr>
          <w:lang w:val="en-GB" w:eastAsia="en-GB"/>
        </w:rPr>
        <w:t xml:space="preserve">standardization </w:t>
      </w:r>
      <w:commentRangeEnd w:id="8"/>
      <w:r w:rsidRPr="005D2D56">
        <w:rPr>
          <w:rStyle w:val="CommentReference"/>
          <w:sz w:val="24"/>
          <w:szCs w:val="24"/>
        </w:rPr>
        <w:commentReference w:id="8"/>
      </w:r>
      <w:r w:rsidRPr="005D2D56">
        <w:rPr>
          <w:lang w:val="en-GB" w:eastAsia="en-GB"/>
        </w:rPr>
        <w:t>for the Bedouin. This policy was a continuation of the trend that began with the Ottoman land law.</w:t>
      </w:r>
      <w:r w:rsidRPr="005D2D56">
        <w:rPr>
          <w:rStyle w:val="FootnoteReference"/>
          <w:lang w:val="en-GB" w:eastAsia="en-GB"/>
        </w:rPr>
        <w:footnoteReference w:id="7"/>
      </w:r>
      <w:r w:rsidRPr="005D2D56">
        <w:rPr>
          <w:rFonts w:hint="cs"/>
          <w:rtl/>
          <w:lang w:val="en-GB" w:eastAsia="en-GB"/>
        </w:rPr>
        <w:t xml:space="preserve"> </w:t>
      </w:r>
      <w:r w:rsidRPr="005D2D56">
        <w:rPr>
          <w:rFonts w:hint="cs"/>
          <w:lang w:val="en-GB" w:eastAsia="en-GB"/>
        </w:rPr>
        <w:t>I</w:t>
      </w:r>
      <w:r w:rsidRPr="005D2D56">
        <w:rPr>
          <w:lang w:eastAsia="en-GB"/>
        </w:rPr>
        <w:t xml:space="preserve">n 1920 the Mandate authorities published the “Forests Ordinance” that established that forested land whose ownership cannot be determined will become a nature reserve in which it is prohibited to build, live, graze flocks, and the like. Between 1925-1947, 805,680 dunam (1 dunam = 1000 </w:t>
      </w:r>
      <w:proofErr w:type="spellStart"/>
      <w:r w:rsidRPr="005D2D56">
        <w:rPr>
          <w:lang w:eastAsia="en-GB"/>
        </w:rPr>
        <w:t>m</w:t>
      </w:r>
      <w:r w:rsidRPr="005D2D56">
        <w:rPr>
          <w:vertAlign w:val="superscript"/>
          <w:lang w:eastAsia="en-GB"/>
        </w:rPr>
        <w:t>2</w:t>
      </w:r>
      <w:proofErr w:type="spellEnd"/>
      <w:r w:rsidRPr="005D2D56">
        <w:rPr>
          <w:lang w:eastAsia="en-GB"/>
        </w:rPr>
        <w:t>) in northern Palestine became nature reserves.</w:t>
      </w:r>
      <w:r w:rsidRPr="005D2D56">
        <w:rPr>
          <w:rStyle w:val="FootnoteReference"/>
          <w:lang w:eastAsia="en-GB"/>
        </w:rPr>
        <w:footnoteReference w:id="8"/>
      </w:r>
      <w:r w:rsidRPr="005D2D56">
        <w:rPr>
          <w:lang w:eastAsia="en-GB"/>
        </w:rPr>
        <w:t xml:space="preserve"> The British Ministry of Agriculture, which was the ministry responsible for the ordinance, accepted only official documents like deeds of sale or land tax receipts as proof of land ownership. Anyone who could not produce such documents would have his land seized. Many of the Bedouin tribes in the Galilee did not possess such documents, even though they had worked their land for many years </w:t>
      </w:r>
      <w:r w:rsidRPr="005D2D56">
        <w:rPr>
          <w:lang w:eastAsia="en-GB"/>
        </w:rPr>
        <w:lastRenderedPageBreak/>
        <w:t>and received ownership through oral agreements.</w:t>
      </w:r>
      <w:r w:rsidRPr="005D2D56">
        <w:rPr>
          <w:rStyle w:val="FootnoteReference"/>
          <w:lang w:eastAsia="en-GB"/>
        </w:rPr>
        <w:footnoteReference w:id="9"/>
      </w:r>
      <w:r w:rsidRPr="005D2D56">
        <w:rPr>
          <w:lang w:eastAsia="en-GB"/>
        </w:rPr>
        <w:t xml:space="preserve"> The </w:t>
      </w:r>
      <w:proofErr w:type="spellStart"/>
      <w:r w:rsidRPr="005D2D56">
        <w:rPr>
          <w:lang w:eastAsia="en-GB"/>
        </w:rPr>
        <w:t>Suweid</w:t>
      </w:r>
      <w:proofErr w:type="spellEnd"/>
      <w:r w:rsidRPr="005D2D56">
        <w:rPr>
          <w:lang w:eastAsia="en-GB"/>
        </w:rPr>
        <w:t xml:space="preserve"> tribe, which the Palestine Index Gazetteer identified as residents of Mount </w:t>
      </w:r>
      <w:proofErr w:type="spellStart"/>
      <w:r w:rsidRPr="005D2D56">
        <w:rPr>
          <w:lang w:eastAsia="en-GB"/>
        </w:rPr>
        <w:t>Kammon</w:t>
      </w:r>
      <w:proofErr w:type="spellEnd"/>
      <w:r w:rsidRPr="005D2D56">
        <w:rPr>
          <w:lang w:eastAsia="en-GB"/>
        </w:rPr>
        <w:t xml:space="preserve"> between 1931-1948, </w:t>
      </w:r>
      <w:r>
        <w:rPr>
          <w:lang w:eastAsia="en-GB"/>
        </w:rPr>
        <w:t>was</w:t>
      </w:r>
      <w:r w:rsidRPr="005D2D56">
        <w:rPr>
          <w:lang w:eastAsia="en-GB"/>
        </w:rPr>
        <w:t xml:space="preserve"> banned from grazing their flocks (their main source of livelihood) on large parts of the mountain, most of which had been declared a nature reserve.</w:t>
      </w:r>
      <w:r w:rsidRPr="005D2D56">
        <w:rPr>
          <w:rStyle w:val="FootnoteReference"/>
          <w:lang w:eastAsia="en-GB"/>
        </w:rPr>
        <w:footnoteReference w:id="10"/>
      </w:r>
    </w:p>
    <w:p w14:paraId="61DB9C31" w14:textId="242DA9CA" w:rsidR="00DB17E5" w:rsidRPr="005D2D56" w:rsidRDefault="00DB17E5" w:rsidP="00067839">
      <w:pPr>
        <w:rPr>
          <w:lang w:eastAsia="en-GB"/>
        </w:rPr>
      </w:pPr>
      <w:r w:rsidRPr="005D2D56">
        <w:rPr>
          <w:lang w:eastAsia="en-GB"/>
        </w:rPr>
        <w:t>Two more steps towards standardization were taken in 1942. The first was the Bedouin Control Ordinance:</w:t>
      </w:r>
    </w:p>
    <w:p w14:paraId="4103F2EB" w14:textId="77777777" w:rsidR="00DB17E5" w:rsidRPr="005D2D56" w:rsidRDefault="00DB17E5" w:rsidP="00AB781D">
      <w:pPr>
        <w:pStyle w:val="Quote"/>
        <w:bidi/>
        <w:rPr>
          <w:rtl/>
        </w:rPr>
      </w:pPr>
      <w:r w:rsidRPr="005D2D56">
        <w:rPr>
          <w:rtl/>
        </w:rPr>
        <w:t xml:space="preserve">פקודה המקנה למושלי </w:t>
      </w:r>
      <w:commentRangeStart w:id="9"/>
      <w:r w:rsidRPr="005D2D56">
        <w:rPr>
          <w:rtl/>
        </w:rPr>
        <w:t>מחוזות</w:t>
      </w:r>
      <w:commentRangeEnd w:id="9"/>
      <w:r w:rsidRPr="005D2D56">
        <w:rPr>
          <w:rStyle w:val="CommentReference"/>
          <w:i/>
          <w:iCs/>
          <w:sz w:val="24"/>
          <w:szCs w:val="24"/>
        </w:rPr>
        <w:commentReference w:id="9"/>
      </w:r>
      <w:r w:rsidRPr="005D2D56">
        <w:rPr>
          <w:rtl/>
        </w:rPr>
        <w:t xml:space="preserve"> סמכות-פיקוח כללית על שבטים וציבורי בני אדם נודדים בארץ. לרבות הסמכות לחקור בעבירות הנעשות על ידי אנשי השבטים והציבורים האלה, ולענוש אותם על כך</w:t>
      </w:r>
      <w:r w:rsidRPr="005D2D56">
        <w:t>.</w:t>
      </w:r>
      <w:r w:rsidRPr="005D2D56">
        <w:rPr>
          <w:rStyle w:val="FootnoteReference"/>
          <w:i/>
          <w:iCs/>
          <w:rtl/>
        </w:rPr>
        <w:footnoteReference w:id="11"/>
      </w:r>
    </w:p>
    <w:p w14:paraId="4F8B0985" w14:textId="06D77324" w:rsidR="00DB17E5" w:rsidRPr="005D2D56" w:rsidRDefault="00DB17E5" w:rsidP="00067839">
      <w:r w:rsidRPr="005D2D56">
        <w:t>The ordinance granted District Commissioners more flexible powers to deal with nomadic tribes th</w:t>
      </w:r>
      <w:r>
        <w:t>a</w:t>
      </w:r>
      <w:r w:rsidRPr="005D2D56">
        <w:t>n in the past. It permitted interrogation, seizure of property, and collective punishment</w:t>
      </w:r>
      <w:r>
        <w:t>,</w:t>
      </w:r>
      <w:r w:rsidRPr="005D2D56">
        <w:t xml:space="preserve"> all at the broad discretion of the Commissioners. Its goal was to improve the Mandate’s ability to govern the tribes and improve the efficiency of efforts to prevent theft, enforce the law, and prevent the Bedouin tribes’ nomadic migrations and appropriation of land that was not officially registered as theirs (in the Tabu).</w:t>
      </w:r>
      <w:r w:rsidRPr="005D2D56">
        <w:rPr>
          <w:rStyle w:val="FootnoteReference"/>
        </w:rPr>
        <w:footnoteReference w:id="12"/>
      </w:r>
      <w:r w:rsidRPr="005D2D56">
        <w:t xml:space="preserve"> The second step was to designate large tracts of land throughout Palestine as firing ranges for military training. One of these was </w:t>
      </w:r>
      <w:commentRangeStart w:id="10"/>
      <w:r w:rsidRPr="005D2D56">
        <w:t>firing range 9 of the British Middle Eastern School for Infantry training</w:t>
      </w:r>
      <w:commentRangeEnd w:id="10"/>
      <w:r w:rsidRPr="005D2D56">
        <w:rPr>
          <w:rStyle w:val="CommentReference"/>
          <w:sz w:val="24"/>
          <w:szCs w:val="24"/>
        </w:rPr>
        <w:commentReference w:id="10"/>
      </w:r>
      <w:r w:rsidRPr="005D2D56">
        <w:t xml:space="preserve"> which served mostly as an artillery range. During those years</w:t>
      </w:r>
      <w:r>
        <w:t>,</w:t>
      </w:r>
      <w:r w:rsidRPr="005D2D56">
        <w:t xml:space="preserve"> all of Mount </w:t>
      </w:r>
      <w:proofErr w:type="spellStart"/>
      <w:r w:rsidRPr="005D2D56">
        <w:t>Kammon</w:t>
      </w:r>
      <w:proofErr w:type="spellEnd"/>
      <w:r w:rsidRPr="005D2D56">
        <w:t xml:space="preserve"> and its environs were part of a firing range</w:t>
      </w:r>
      <w:r>
        <w:t>,</w:t>
      </w:r>
      <w:r w:rsidRPr="005D2D56">
        <w:t xml:space="preserve"> and travel outside of the limited areas set aside for the Bedouin was dangerous.</w:t>
      </w:r>
      <w:r w:rsidRPr="005D2D56">
        <w:rPr>
          <w:rStyle w:val="FootnoteReference"/>
        </w:rPr>
        <w:footnoteReference w:id="13"/>
      </w:r>
      <w:r w:rsidRPr="005D2D56">
        <w:t xml:space="preserve"> The policy instituted in 1942 testifies to the fact that the standardization of the Bedouin in the Galilee had not met the British ambitions.</w:t>
      </w:r>
    </w:p>
    <w:p w14:paraId="23F91F97" w14:textId="1268EDDE" w:rsidR="00DB17E5" w:rsidRPr="005D2D56" w:rsidRDefault="00DB17E5" w:rsidP="00067839">
      <w:r w:rsidRPr="005D2D56">
        <w:t xml:space="preserve">The Shehadeh clan bought land on Mount </w:t>
      </w:r>
      <w:proofErr w:type="spellStart"/>
      <w:r w:rsidRPr="005D2D56">
        <w:t>Kammon</w:t>
      </w:r>
      <w:proofErr w:type="spellEnd"/>
      <w:r w:rsidRPr="005D2D56">
        <w:t xml:space="preserve"> in an area that was somewhat distant from the already existing settlement of the </w:t>
      </w:r>
      <w:proofErr w:type="spellStart"/>
      <w:r w:rsidRPr="005D2D56">
        <w:t>Suweid</w:t>
      </w:r>
      <w:proofErr w:type="spellEnd"/>
      <w:r w:rsidRPr="005D2D56">
        <w:t xml:space="preserve"> tribe in East </w:t>
      </w:r>
      <w:proofErr w:type="spellStart"/>
      <w:r w:rsidRPr="005D2D56">
        <w:t>Kammaneh</w:t>
      </w:r>
      <w:proofErr w:type="spellEnd"/>
      <w:r w:rsidRPr="005D2D56">
        <w:t xml:space="preserve"> and </w:t>
      </w:r>
      <w:proofErr w:type="spellStart"/>
      <w:r w:rsidR="008C1BCA">
        <w:t>Jalassa</w:t>
      </w:r>
      <w:proofErr w:type="spellEnd"/>
      <w:r w:rsidRPr="005D2D56">
        <w:t xml:space="preserve">. The British policy to settle the Bedouin in permanent villages and to put an end to their nomadic lifestyle intensified the </w:t>
      </w:r>
      <w:r w:rsidRPr="005D2D56">
        <w:lastRenderedPageBreak/>
        <w:t xml:space="preserve">separation of the Shehadeh neighborhood from East </w:t>
      </w:r>
      <w:proofErr w:type="spellStart"/>
      <w:r w:rsidRPr="005D2D56">
        <w:t>Kammaneh</w:t>
      </w:r>
      <w:proofErr w:type="spellEnd"/>
      <w:r w:rsidRPr="005D2D56">
        <w:t xml:space="preserve"> and </w:t>
      </w:r>
      <w:proofErr w:type="spellStart"/>
      <w:r w:rsidR="008C1BCA">
        <w:t>Jalassa</w:t>
      </w:r>
      <w:proofErr w:type="spellEnd"/>
      <w:r w:rsidRPr="005D2D56">
        <w:t xml:space="preserve">; the clans established permanent settlements in different areas. </w:t>
      </w:r>
      <w:proofErr w:type="spellStart"/>
      <w:r w:rsidRPr="005D2D56">
        <w:t>Wadha</w:t>
      </w:r>
      <w:proofErr w:type="spellEnd"/>
      <w:r w:rsidRPr="005D2D56">
        <w:t xml:space="preserve"> claims that the Israeli claim that the distance between the villages indicates that the clans were in conflict is incorrect. Rather, the distance between the land of the different clans matches the normal patterns of the tribe, with both dispersed living areas and each clan living apart in order to enable enough grazing for all. She emphasized that some of her brothers even live in East </w:t>
      </w:r>
      <w:proofErr w:type="spellStart"/>
      <w:r w:rsidRPr="005D2D56">
        <w:t>Kammaneh</w:t>
      </w:r>
      <w:proofErr w:type="spellEnd"/>
      <w:r w:rsidRPr="005D2D56">
        <w:t xml:space="preserve"> and that there are marriages between families in Shehadeh, </w:t>
      </w:r>
      <w:proofErr w:type="spellStart"/>
      <w:r w:rsidRPr="005D2D56">
        <w:t>Kammaneh</w:t>
      </w:r>
      <w:proofErr w:type="spellEnd"/>
      <w:r w:rsidRPr="005D2D56">
        <w:t xml:space="preserve">, and </w:t>
      </w:r>
      <w:proofErr w:type="spellStart"/>
      <w:r w:rsidR="008C1BCA">
        <w:t>Jalassa</w:t>
      </w:r>
      <w:proofErr w:type="spellEnd"/>
      <w:r w:rsidRPr="005D2D56">
        <w:t>. Moreover, she claims that it is her tribal identity (</w:t>
      </w:r>
      <w:proofErr w:type="spellStart"/>
      <w:r w:rsidRPr="005D2D56">
        <w:t>Suweid</w:t>
      </w:r>
      <w:proofErr w:type="spellEnd"/>
      <w:r w:rsidRPr="005D2D56">
        <w:t xml:space="preserve">) rather than her clan identity (Shehadeh) that is most important in her life. The distinction between the different </w:t>
      </w:r>
      <w:proofErr w:type="spellStart"/>
      <w:r w:rsidRPr="005D2D56">
        <w:t>Suweid</w:t>
      </w:r>
      <w:proofErr w:type="spellEnd"/>
      <w:r w:rsidRPr="005D2D56">
        <w:t xml:space="preserve"> clans is, she claims, the result of the constraints placed on the </w:t>
      </w:r>
      <w:proofErr w:type="spellStart"/>
      <w:r w:rsidRPr="005D2D56">
        <w:t>Suweid</w:t>
      </w:r>
      <w:proofErr w:type="spellEnd"/>
      <w:r w:rsidRPr="005D2D56">
        <w:t xml:space="preserve"> by the British and the Israelis and even more so the result of the separation of the different villages resulting from the Israelis establishing </w:t>
      </w:r>
      <w:proofErr w:type="spellStart"/>
      <w:r w:rsidRPr="005D2D56">
        <w:t>Kamon</w:t>
      </w:r>
      <w:proofErr w:type="spellEnd"/>
      <w:r w:rsidRPr="005D2D56">
        <w:t xml:space="preserve"> in 1981.</w:t>
      </w:r>
    </w:p>
    <w:p w14:paraId="273DA964" w14:textId="77777777" w:rsidR="00DB17E5" w:rsidRPr="005D2D56" w:rsidRDefault="00DB17E5" w:rsidP="00F13C12">
      <w:pPr>
        <w:pStyle w:val="Heading1"/>
      </w:pPr>
      <w:r w:rsidRPr="005D2D56">
        <w:t xml:space="preserve">1947-1981: The Tightening and Loosening of Relations between the </w:t>
      </w:r>
      <w:proofErr w:type="spellStart"/>
      <w:r w:rsidRPr="005D2D56">
        <w:t>Suweid</w:t>
      </w:r>
      <w:proofErr w:type="spellEnd"/>
      <w:r w:rsidRPr="005D2D56">
        <w:t xml:space="preserve"> and the State of Israel</w:t>
      </w:r>
    </w:p>
    <w:p w14:paraId="03982A63" w14:textId="79D4600C" w:rsidR="00DB17E5" w:rsidRPr="005D2D56" w:rsidRDefault="00DB17E5" w:rsidP="00491E3B">
      <w:pPr>
        <w:rPr>
          <w:lang w:eastAsia="en-GB"/>
        </w:rPr>
      </w:pPr>
      <w:r w:rsidRPr="005D2D56">
        <w:rPr>
          <w:lang w:val="en-GB" w:eastAsia="en-GB"/>
        </w:rPr>
        <w:t>The fighting between the Arabs of Palestine and its Jewish residents broke out in November 1947. Fearing the fighting, m</w:t>
      </w:r>
      <w:r w:rsidRPr="005D2D56">
        <w:rPr>
          <w:lang w:eastAsia="en-GB"/>
        </w:rPr>
        <w:t xml:space="preserve">any members of the </w:t>
      </w:r>
      <w:proofErr w:type="spellStart"/>
      <w:r w:rsidRPr="005D2D56">
        <w:rPr>
          <w:lang w:eastAsia="en-GB"/>
        </w:rPr>
        <w:t>Sheban</w:t>
      </w:r>
      <w:proofErr w:type="spellEnd"/>
      <w:r w:rsidRPr="005D2D56">
        <w:rPr>
          <w:lang w:eastAsia="en-GB"/>
        </w:rPr>
        <w:t xml:space="preserve"> clan fled north to Beit Jann and </w:t>
      </w:r>
      <w:commentRangeStart w:id="11"/>
      <w:r w:rsidRPr="005D2D56">
        <w:rPr>
          <w:lang w:eastAsia="en-GB"/>
        </w:rPr>
        <w:t xml:space="preserve">Ein </w:t>
      </w:r>
      <w:proofErr w:type="spellStart"/>
      <w:r w:rsidRPr="005D2D56">
        <w:rPr>
          <w:lang w:eastAsia="en-GB"/>
        </w:rPr>
        <w:t>Sahala</w:t>
      </w:r>
      <w:commentRangeEnd w:id="11"/>
      <w:proofErr w:type="spellEnd"/>
      <w:r w:rsidRPr="005D2D56">
        <w:rPr>
          <w:rStyle w:val="CommentReference"/>
          <w:sz w:val="24"/>
          <w:szCs w:val="24"/>
        </w:rPr>
        <w:commentReference w:id="11"/>
      </w:r>
      <w:r w:rsidRPr="005D2D56">
        <w:rPr>
          <w:lang w:eastAsia="en-GB"/>
        </w:rPr>
        <w:t>, near the Lebanese border</w:t>
      </w:r>
      <w:r>
        <w:rPr>
          <w:lang w:eastAsia="en-GB"/>
        </w:rPr>
        <w:t>,</w:t>
      </w:r>
      <w:r w:rsidRPr="005D2D56">
        <w:rPr>
          <w:lang w:eastAsia="en-GB"/>
        </w:rPr>
        <w:t xml:space="preserve"> and only returned several months later. The </w:t>
      </w:r>
      <w:proofErr w:type="spellStart"/>
      <w:r w:rsidRPr="005D2D56">
        <w:rPr>
          <w:lang w:eastAsia="en-GB"/>
        </w:rPr>
        <w:t>Suweid</w:t>
      </w:r>
      <w:proofErr w:type="spellEnd"/>
      <w:r w:rsidRPr="005D2D56">
        <w:rPr>
          <w:lang w:eastAsia="en-GB"/>
        </w:rPr>
        <w:t xml:space="preserve"> who live on Mount </w:t>
      </w:r>
      <w:proofErr w:type="spellStart"/>
      <w:r w:rsidRPr="005D2D56">
        <w:rPr>
          <w:lang w:eastAsia="en-GB"/>
        </w:rPr>
        <w:t>Kammon</w:t>
      </w:r>
      <w:proofErr w:type="spellEnd"/>
      <w:r w:rsidRPr="005D2D56">
        <w:rPr>
          <w:lang w:eastAsia="en-GB"/>
        </w:rPr>
        <w:t xml:space="preserve"> did not actively participate in the fighting and members of the </w:t>
      </w:r>
      <w:proofErr w:type="spellStart"/>
      <w:r w:rsidRPr="005D2D56">
        <w:rPr>
          <w:lang w:eastAsia="en-GB"/>
        </w:rPr>
        <w:t>Suweid</w:t>
      </w:r>
      <w:proofErr w:type="spellEnd"/>
      <w:r w:rsidRPr="005D2D56">
        <w:rPr>
          <w:lang w:eastAsia="en-GB"/>
        </w:rPr>
        <w:t xml:space="preserve"> tribe living beneath the mountain even cooperated with Shai (the </w:t>
      </w:r>
      <w:proofErr w:type="spellStart"/>
      <w:r w:rsidRPr="005D2D56">
        <w:rPr>
          <w:lang w:eastAsia="en-GB"/>
        </w:rPr>
        <w:t>Haganah’s</w:t>
      </w:r>
      <w:proofErr w:type="spellEnd"/>
      <w:r w:rsidRPr="005D2D56">
        <w:rPr>
          <w:lang w:eastAsia="en-GB"/>
        </w:rPr>
        <w:t xml:space="preserve"> intelligence arm) agent </w:t>
      </w:r>
      <w:proofErr w:type="spellStart"/>
      <w:r w:rsidRPr="005D2D56">
        <w:rPr>
          <w:lang w:eastAsia="en-GB"/>
        </w:rPr>
        <w:t>Giora</w:t>
      </w:r>
      <w:proofErr w:type="spellEnd"/>
      <w:r w:rsidRPr="005D2D56">
        <w:rPr>
          <w:lang w:eastAsia="en-GB"/>
        </w:rPr>
        <w:t xml:space="preserve"> </w:t>
      </w:r>
      <w:proofErr w:type="spellStart"/>
      <w:r w:rsidRPr="005D2D56">
        <w:rPr>
          <w:lang w:eastAsia="en-GB"/>
        </w:rPr>
        <w:t>Zeid</w:t>
      </w:r>
      <w:proofErr w:type="spellEnd"/>
      <w:r w:rsidRPr="005D2D56">
        <w:rPr>
          <w:lang w:eastAsia="en-GB"/>
        </w:rPr>
        <w:t>, gathering weapons from Bedouin villages for use by Jewish forces.</w:t>
      </w:r>
      <w:r w:rsidRPr="005D2D56">
        <w:rPr>
          <w:rStyle w:val="FootnoteReference"/>
          <w:lang w:eastAsia="en-GB"/>
        </w:rPr>
        <w:footnoteReference w:id="14"/>
      </w:r>
      <w:r w:rsidRPr="005D2D56">
        <w:rPr>
          <w:lang w:eastAsia="en-GB"/>
        </w:rPr>
        <w:t xml:space="preserve"> This cooperation gave rise to a favorable attitude to the </w:t>
      </w:r>
      <w:proofErr w:type="spellStart"/>
      <w:r w:rsidRPr="005D2D56">
        <w:rPr>
          <w:lang w:eastAsia="en-GB"/>
        </w:rPr>
        <w:t>Suweid</w:t>
      </w:r>
      <w:proofErr w:type="spellEnd"/>
      <w:r w:rsidRPr="005D2D56">
        <w:rPr>
          <w:lang w:eastAsia="en-GB"/>
        </w:rPr>
        <w:t xml:space="preserve"> from the Israeli authorities once the </w:t>
      </w:r>
      <w:r w:rsidR="00F120D1">
        <w:rPr>
          <w:lang w:eastAsia="en-GB"/>
        </w:rPr>
        <w:t>s</w:t>
      </w:r>
      <w:r w:rsidRPr="005D2D56">
        <w:rPr>
          <w:lang w:eastAsia="en-GB"/>
        </w:rPr>
        <w:t>tate was established. In the context of the significant reduction of Bedouin living in the Galilee, from 20,000 before the war to 6500 after it,</w:t>
      </w:r>
      <w:r w:rsidRPr="005D2D56">
        <w:rPr>
          <w:rStyle w:val="FootnoteReference"/>
          <w:lang w:eastAsia="en-GB"/>
        </w:rPr>
        <w:footnoteReference w:id="15"/>
      </w:r>
      <w:r w:rsidRPr="005D2D56">
        <w:rPr>
          <w:lang w:eastAsia="en-GB"/>
        </w:rPr>
        <w:t xml:space="preserve"> the right of the residents of </w:t>
      </w:r>
      <w:commentRangeStart w:id="12"/>
      <w:proofErr w:type="spellStart"/>
      <w:r w:rsidRPr="005D2D56">
        <w:rPr>
          <w:lang w:eastAsia="en-GB"/>
        </w:rPr>
        <w:t>Kammaneh</w:t>
      </w:r>
      <w:commentRangeEnd w:id="12"/>
      <w:proofErr w:type="spellEnd"/>
      <w:r w:rsidRPr="005D2D56">
        <w:rPr>
          <w:rStyle w:val="CommentReference"/>
          <w:sz w:val="24"/>
          <w:szCs w:val="24"/>
        </w:rPr>
        <w:commentReference w:id="12"/>
      </w:r>
      <w:r w:rsidRPr="005D2D56">
        <w:rPr>
          <w:lang w:eastAsia="en-GB"/>
        </w:rPr>
        <w:t>, including the Shehadeh clan</w:t>
      </w:r>
      <w:r>
        <w:rPr>
          <w:lang w:eastAsia="en-GB"/>
        </w:rPr>
        <w:t>,</w:t>
      </w:r>
      <w:r w:rsidRPr="005D2D56">
        <w:rPr>
          <w:lang w:eastAsia="en-GB"/>
        </w:rPr>
        <w:t xml:space="preserve"> to live there was accepted de facto, although not officially recognized.</w:t>
      </w:r>
      <w:r w:rsidRPr="005D2D56">
        <w:rPr>
          <w:rStyle w:val="FootnoteReference"/>
          <w:lang w:eastAsia="en-GB"/>
        </w:rPr>
        <w:footnoteReference w:id="16"/>
      </w:r>
      <w:r w:rsidRPr="005D2D56">
        <w:rPr>
          <w:lang w:eastAsia="en-GB"/>
        </w:rPr>
        <w:t xml:space="preserve"> The </w:t>
      </w:r>
      <w:proofErr w:type="spellStart"/>
      <w:r w:rsidRPr="005D2D56">
        <w:rPr>
          <w:lang w:eastAsia="en-GB"/>
        </w:rPr>
        <w:t>Sheban</w:t>
      </w:r>
      <w:proofErr w:type="spellEnd"/>
      <w:r w:rsidRPr="005D2D56">
        <w:rPr>
          <w:lang w:eastAsia="en-GB"/>
        </w:rPr>
        <w:t xml:space="preserve"> clan in East </w:t>
      </w:r>
      <w:proofErr w:type="spellStart"/>
      <w:r w:rsidRPr="005D2D56">
        <w:rPr>
          <w:lang w:eastAsia="en-GB"/>
        </w:rPr>
        <w:t>Kammaneh</w:t>
      </w:r>
      <w:proofErr w:type="spellEnd"/>
      <w:r w:rsidRPr="005D2D56">
        <w:rPr>
          <w:lang w:eastAsia="en-GB"/>
        </w:rPr>
        <w:t xml:space="preserve"> even set up an elementary school for the children of the area. The members of the tribe had economic and social ties with the villages in the vicinity of Mount </w:t>
      </w:r>
      <w:proofErr w:type="spellStart"/>
      <w:r w:rsidRPr="005D2D56">
        <w:rPr>
          <w:lang w:eastAsia="en-GB"/>
        </w:rPr>
        <w:t>Kammon</w:t>
      </w:r>
      <w:proofErr w:type="spellEnd"/>
      <w:r w:rsidRPr="005D2D56">
        <w:rPr>
          <w:lang w:eastAsia="en-GB"/>
        </w:rPr>
        <w:t xml:space="preserve">, particularly with </w:t>
      </w:r>
      <w:proofErr w:type="spellStart"/>
      <w:r w:rsidRPr="005D2D56">
        <w:rPr>
          <w:lang w:eastAsia="en-GB"/>
        </w:rPr>
        <w:t>Rameh</w:t>
      </w:r>
      <w:proofErr w:type="spellEnd"/>
      <w:r w:rsidRPr="005D2D56">
        <w:rPr>
          <w:lang w:eastAsia="en-GB"/>
        </w:rPr>
        <w:t xml:space="preserve"> and </w:t>
      </w:r>
      <w:proofErr w:type="spellStart"/>
      <w:r w:rsidRPr="005D2D56">
        <w:rPr>
          <w:lang w:eastAsia="en-GB"/>
        </w:rPr>
        <w:t>Nahf</w:t>
      </w:r>
      <w:proofErr w:type="spellEnd"/>
      <w:r w:rsidRPr="005D2D56">
        <w:rPr>
          <w:lang w:eastAsia="en-GB"/>
        </w:rPr>
        <w:t>.</w:t>
      </w:r>
      <w:r w:rsidRPr="005D2D56">
        <w:rPr>
          <w:rStyle w:val="FootnoteReference"/>
          <w:lang w:eastAsia="en-GB"/>
        </w:rPr>
        <w:footnoteReference w:id="17"/>
      </w:r>
    </w:p>
    <w:p w14:paraId="7F9ECF42" w14:textId="5E7A238E" w:rsidR="00DB17E5" w:rsidRPr="005D2D56" w:rsidRDefault="00DB17E5" w:rsidP="00491E3B">
      <w:pPr>
        <w:rPr>
          <w:lang w:eastAsia="en-GB"/>
        </w:rPr>
      </w:pPr>
      <w:r w:rsidRPr="005D2D56">
        <w:rPr>
          <w:lang w:eastAsia="en-GB"/>
        </w:rPr>
        <w:lastRenderedPageBreak/>
        <w:t xml:space="preserve">Despite the good relations that had been established by their cooperation in the 1948 war, the martial law that was imposed upon most of the Arab population in Israel following the war generated many points of tension between the government and the </w:t>
      </w:r>
      <w:commentRangeStart w:id="13"/>
      <w:r w:rsidRPr="005D2D56">
        <w:rPr>
          <w:lang w:eastAsia="en-GB"/>
        </w:rPr>
        <w:t xml:space="preserve">Shehadeh clan. </w:t>
      </w:r>
      <w:commentRangeEnd w:id="13"/>
      <w:r w:rsidRPr="005D2D56">
        <w:rPr>
          <w:rStyle w:val="CommentReference"/>
          <w:sz w:val="24"/>
          <w:szCs w:val="24"/>
        </w:rPr>
        <w:commentReference w:id="13"/>
      </w:r>
      <w:r w:rsidRPr="005D2D56">
        <w:rPr>
          <w:lang w:eastAsia="en-GB"/>
        </w:rPr>
        <w:t xml:space="preserve">The status of the land under the control of the military government frequently changed. These changes included the designation of certain areas as closed military zones into which entry was prohibited without special permission and the </w:t>
      </w:r>
      <w:r w:rsidRPr="005D2D56">
        <w:rPr>
          <w:lang w:eastAsia="en-GB"/>
        </w:rPr>
        <w:t>expropriation</w:t>
      </w:r>
      <w:r w:rsidRPr="005D2D56">
        <w:rPr>
          <w:lang w:eastAsia="en-GB"/>
        </w:rPr>
        <w:t xml:space="preserve"> of land for security reason</w:t>
      </w:r>
      <w:r>
        <w:rPr>
          <w:lang w:eastAsia="en-GB"/>
        </w:rPr>
        <w:t>s</w:t>
      </w:r>
      <w:r w:rsidRPr="005D2D56">
        <w:rPr>
          <w:lang w:eastAsia="en-GB"/>
        </w:rPr>
        <w:t xml:space="preserve"> that were not made explicit to the local population.</w:t>
      </w:r>
      <w:r w:rsidRPr="005D2D56">
        <w:rPr>
          <w:rStyle w:val="FootnoteReference"/>
          <w:lang w:eastAsia="en-GB"/>
        </w:rPr>
        <w:footnoteReference w:id="18"/>
      </w:r>
      <w:r w:rsidRPr="005D2D56">
        <w:rPr>
          <w:lang w:eastAsia="en-GB"/>
        </w:rPr>
        <w:t xml:space="preserve"> Besides continuing to designate Mount </w:t>
      </w:r>
      <w:proofErr w:type="spellStart"/>
      <w:r w:rsidRPr="005D2D56">
        <w:rPr>
          <w:lang w:eastAsia="en-GB"/>
        </w:rPr>
        <w:t>Kammon</w:t>
      </w:r>
      <w:proofErr w:type="spellEnd"/>
      <w:r w:rsidRPr="005D2D56">
        <w:rPr>
          <w:lang w:eastAsia="en-GB"/>
        </w:rPr>
        <w:t xml:space="preserve"> as a firing range, the military government severely limited the </w:t>
      </w:r>
      <w:proofErr w:type="spellStart"/>
      <w:r w:rsidRPr="005D2D56">
        <w:rPr>
          <w:lang w:eastAsia="en-GB"/>
        </w:rPr>
        <w:t>Suweid’s</w:t>
      </w:r>
      <w:proofErr w:type="spellEnd"/>
      <w:r w:rsidRPr="005D2D56">
        <w:rPr>
          <w:lang w:eastAsia="en-GB"/>
        </w:rPr>
        <w:t xml:space="preserve"> movement by requiring that they receive permits for herding the flocks, visiting relatives</w:t>
      </w:r>
      <w:r>
        <w:rPr>
          <w:lang w:eastAsia="en-GB"/>
        </w:rPr>
        <w:t>,</w:t>
      </w:r>
      <w:r w:rsidRPr="005D2D56">
        <w:rPr>
          <w:lang w:eastAsia="en-GB"/>
        </w:rPr>
        <w:t xml:space="preserve"> and other matters. The map shows that the entire </w:t>
      </w:r>
      <w:proofErr w:type="spellStart"/>
      <w:r w:rsidRPr="005D2D56">
        <w:rPr>
          <w:lang w:eastAsia="en-GB"/>
        </w:rPr>
        <w:t>Suweid</w:t>
      </w:r>
      <w:proofErr w:type="spellEnd"/>
      <w:r w:rsidRPr="005D2D56">
        <w:rPr>
          <w:lang w:eastAsia="en-GB"/>
        </w:rPr>
        <w:t xml:space="preserve"> tribe lived in the firing range</w:t>
      </w:r>
      <w:r w:rsidRPr="005D2D56">
        <w:rPr>
          <w:rStyle w:val="FootnoteReference"/>
          <w:lang w:eastAsia="en-GB"/>
        </w:rPr>
        <w:footnoteReference w:id="19"/>
      </w:r>
      <w:r w:rsidRPr="005D2D56">
        <w:rPr>
          <w:lang w:eastAsia="en-GB"/>
        </w:rPr>
        <w:t xml:space="preserve"> until it was closed in the ‘</w:t>
      </w:r>
      <w:proofErr w:type="spellStart"/>
      <w:r w:rsidRPr="005D2D56">
        <w:rPr>
          <w:lang w:eastAsia="en-GB"/>
        </w:rPr>
        <w:t>80s</w:t>
      </w:r>
      <w:proofErr w:type="spellEnd"/>
      <w:r w:rsidRPr="005D2D56">
        <w:rPr>
          <w:lang w:eastAsia="en-GB"/>
        </w:rPr>
        <w:t>.</w:t>
      </w:r>
    </w:p>
    <w:p w14:paraId="0A821921" w14:textId="33CAB935" w:rsidR="00DB17E5" w:rsidRPr="005D2D56" w:rsidRDefault="00EF0415" w:rsidP="00491E3B">
      <w:pPr>
        <w:rPr>
          <w:lang w:eastAsia="en-GB"/>
        </w:rPr>
      </w:pPr>
      <w:commentRangeStart w:id="14"/>
      <w:r>
        <w:rPr>
          <w:noProof/>
          <w:lang w:eastAsia="en-GB"/>
        </w:rPr>
        <w:drawing>
          <wp:anchor distT="0" distB="0" distL="114300" distR="114300" simplePos="0" relativeHeight="251653120" behindDoc="1" locked="0" layoutInCell="1" allowOverlap="1" wp14:anchorId="134856B7" wp14:editId="032FE6FF">
            <wp:simplePos x="0" y="0"/>
            <wp:positionH relativeFrom="column">
              <wp:align>center</wp:align>
            </wp:positionH>
            <wp:positionV relativeFrom="paragraph">
              <wp:posOffset>260985</wp:posOffset>
            </wp:positionV>
            <wp:extent cx="3246120" cy="2624328"/>
            <wp:effectExtent l="0" t="0" r="0" b="0"/>
            <wp:wrapTight wrapText="bothSides">
              <wp:wrapPolygon edited="0">
                <wp:start x="0" y="0"/>
                <wp:lineTo x="0" y="21485"/>
                <wp:lineTo x="21423" y="21485"/>
                <wp:lineTo x="214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6120" cy="2624328"/>
                    </a:xfrm>
                    <a:prstGeom prst="rect">
                      <a:avLst/>
                    </a:prstGeom>
                    <a:noFill/>
                  </pic:spPr>
                </pic:pic>
              </a:graphicData>
            </a:graphic>
            <wp14:sizeRelH relativeFrom="page">
              <wp14:pctWidth>0</wp14:pctWidth>
            </wp14:sizeRelH>
            <wp14:sizeRelV relativeFrom="page">
              <wp14:pctHeight>0</wp14:pctHeight>
            </wp14:sizeRelV>
          </wp:anchor>
        </w:drawing>
      </w:r>
      <w:commentRangeEnd w:id="14"/>
      <w:r>
        <w:rPr>
          <w:rStyle w:val="CommentReference"/>
        </w:rPr>
        <w:commentReference w:id="14"/>
      </w:r>
    </w:p>
    <w:p w14:paraId="3C0ACE19" w14:textId="77777777" w:rsidR="00DB17E5" w:rsidRPr="005D2D56" w:rsidRDefault="00DB17E5" w:rsidP="00491E3B">
      <w:pPr>
        <w:rPr>
          <w:lang w:eastAsia="en-GB"/>
        </w:rPr>
      </w:pPr>
    </w:p>
    <w:p w14:paraId="05915706" w14:textId="77777777" w:rsidR="00DB17E5" w:rsidRPr="005D2D56" w:rsidRDefault="00DB17E5" w:rsidP="00491E3B">
      <w:pPr>
        <w:rPr>
          <w:lang w:eastAsia="en-GB"/>
        </w:rPr>
      </w:pPr>
    </w:p>
    <w:p w14:paraId="33C42EAA" w14:textId="77777777" w:rsidR="00DB17E5" w:rsidRDefault="00DB17E5" w:rsidP="00491E3B">
      <w:pPr>
        <w:rPr>
          <w:lang w:eastAsia="en-GB"/>
        </w:rPr>
      </w:pPr>
    </w:p>
    <w:p w14:paraId="5B3CC0BB" w14:textId="77777777" w:rsidR="00F16DCA" w:rsidRDefault="00F16DCA" w:rsidP="00491E3B">
      <w:pPr>
        <w:rPr>
          <w:lang w:eastAsia="en-GB"/>
        </w:rPr>
      </w:pPr>
    </w:p>
    <w:p w14:paraId="4A6A343E" w14:textId="77777777" w:rsidR="00F16DCA" w:rsidRPr="005D2D56" w:rsidRDefault="00F16DCA" w:rsidP="00491E3B">
      <w:pPr>
        <w:rPr>
          <w:lang w:eastAsia="en-GB"/>
        </w:rPr>
      </w:pPr>
    </w:p>
    <w:p w14:paraId="083EED0E" w14:textId="77777777" w:rsidR="00DB17E5" w:rsidRPr="005D2D56" w:rsidRDefault="00DB17E5" w:rsidP="00491E3B">
      <w:pPr>
        <w:rPr>
          <w:lang w:eastAsia="en-GB"/>
        </w:rPr>
      </w:pPr>
    </w:p>
    <w:p w14:paraId="7118D586" w14:textId="77777777" w:rsidR="00DB17E5" w:rsidRPr="005D2D56" w:rsidRDefault="00DB17E5" w:rsidP="00491E3B">
      <w:pPr>
        <w:rPr>
          <w:lang w:eastAsia="en-GB"/>
        </w:rPr>
      </w:pPr>
    </w:p>
    <w:p w14:paraId="60C472A9" w14:textId="77777777" w:rsidR="00DB17E5" w:rsidRPr="005D2D56" w:rsidRDefault="00DB17E5" w:rsidP="00491E3B">
      <w:pPr>
        <w:rPr>
          <w:lang w:eastAsia="en-GB"/>
        </w:rPr>
      </w:pPr>
    </w:p>
    <w:p w14:paraId="6B6F9655" w14:textId="77777777" w:rsidR="00DB17E5" w:rsidRPr="005D2D56" w:rsidRDefault="00DB17E5" w:rsidP="00491E3B">
      <w:pPr>
        <w:rPr>
          <w:lang w:eastAsia="en-GB"/>
        </w:rPr>
      </w:pPr>
    </w:p>
    <w:p w14:paraId="0259C65A" w14:textId="77777777" w:rsidR="00EF0415" w:rsidRDefault="00EF0415" w:rsidP="00491E3B">
      <w:pPr>
        <w:rPr>
          <w:lang w:eastAsia="en-GB"/>
        </w:rPr>
      </w:pPr>
    </w:p>
    <w:p w14:paraId="3086ADFB" w14:textId="77777777" w:rsidR="00EF0415" w:rsidRDefault="00EF0415" w:rsidP="00491E3B">
      <w:pPr>
        <w:rPr>
          <w:lang w:eastAsia="en-GB"/>
        </w:rPr>
      </w:pPr>
    </w:p>
    <w:p w14:paraId="32E72C06" w14:textId="0EB2EA7C" w:rsidR="00DB17E5" w:rsidRPr="005D2D56" w:rsidRDefault="00DB17E5" w:rsidP="00491E3B">
      <w:pPr>
        <w:rPr>
          <w:lang w:eastAsia="en-GB"/>
        </w:rPr>
      </w:pPr>
      <w:r w:rsidRPr="005D2D56">
        <w:rPr>
          <w:lang w:eastAsia="en-GB"/>
        </w:rPr>
        <w:t xml:space="preserve">An event in 1956 that was reported upon in the </w:t>
      </w:r>
      <w:proofErr w:type="spellStart"/>
      <w:r w:rsidRPr="005D2D56">
        <w:rPr>
          <w:lang w:eastAsia="en-GB"/>
        </w:rPr>
        <w:t>Maariv</w:t>
      </w:r>
      <w:proofErr w:type="spellEnd"/>
      <w:r w:rsidRPr="005D2D56">
        <w:rPr>
          <w:lang w:eastAsia="en-GB"/>
        </w:rPr>
        <w:t xml:space="preserve"> newspaper describes the tensions between the tribe and the military government:</w:t>
      </w:r>
    </w:p>
    <w:p w14:paraId="6990A071" w14:textId="77777777" w:rsidR="00DB17E5" w:rsidRPr="005D2D56" w:rsidRDefault="00DB17E5" w:rsidP="00AB781D">
      <w:pPr>
        <w:pStyle w:val="Quote"/>
        <w:rPr>
          <w:rtl/>
        </w:rPr>
      </w:pPr>
      <w:r w:rsidRPr="005D2D56">
        <w:t xml:space="preserve">The </w:t>
      </w:r>
      <w:proofErr w:type="spellStart"/>
      <w:r w:rsidRPr="005D2D56">
        <w:t>Defence</w:t>
      </w:r>
      <w:proofErr w:type="spellEnd"/>
      <w:r w:rsidRPr="005D2D56">
        <w:t xml:space="preserve"> authorities are now taking administrative measures against the </w:t>
      </w:r>
      <w:proofErr w:type="spellStart"/>
      <w:r w:rsidRPr="005D2D56">
        <w:t>bedouin</w:t>
      </w:r>
      <w:proofErr w:type="spellEnd"/>
      <w:r w:rsidRPr="005D2D56">
        <w:t xml:space="preserve"> tribe of the </w:t>
      </w:r>
      <w:commentRangeStart w:id="15"/>
      <w:proofErr w:type="spellStart"/>
      <w:r w:rsidRPr="005D2D56">
        <w:t>Sawaid</w:t>
      </w:r>
      <w:commentRangeEnd w:id="15"/>
      <w:proofErr w:type="spellEnd"/>
      <w:r w:rsidRPr="005D2D56">
        <w:rPr>
          <w:rStyle w:val="CommentReference"/>
          <w:sz w:val="24"/>
          <w:szCs w:val="24"/>
        </w:rPr>
        <w:commentReference w:id="15"/>
      </w:r>
      <w:r w:rsidRPr="005D2D56">
        <w:t xml:space="preserve">, who live in the hills of Galilee, after their </w:t>
      </w:r>
      <w:r w:rsidRPr="005D2D56">
        <w:t>‘</w:t>
      </w:r>
      <w:r w:rsidRPr="005D2D56">
        <w:t>revolt</w:t>
      </w:r>
      <w:r w:rsidRPr="005D2D56">
        <w:t>’</w:t>
      </w:r>
      <w:r w:rsidRPr="005D2D56">
        <w:t xml:space="preserve"> against a military order and their refusal to remove their tents, which were pitched in a closed area. The penalties imposed on this </w:t>
      </w:r>
      <w:r w:rsidRPr="005D2D56">
        <w:lastRenderedPageBreak/>
        <w:t>Bedouin tribe include the prohibition of its members to move from their place of residence to the neighboring area, the withdrawal of all government permits (for hunting, pasturing, movement</w:t>
      </w:r>
      <w:r>
        <w:t>,</w:t>
      </w:r>
      <w:r w:rsidRPr="005D2D56">
        <w:t xml:space="preserve"> etc.), the closing of the primary school, and a ban on the providing of the tribe with foodstuffs, and on its selling its produce outside its place of residence</w:t>
      </w:r>
      <w:r w:rsidRPr="005D2D56">
        <w:t>.</w:t>
      </w:r>
      <w:r w:rsidRPr="005D2D56">
        <w:rPr>
          <w:rStyle w:val="FootnoteReference"/>
          <w:rtl/>
        </w:rPr>
        <w:footnoteReference w:id="20"/>
      </w:r>
    </w:p>
    <w:p w14:paraId="6C680D14" w14:textId="77777777" w:rsidR="00DB17E5" w:rsidRPr="005D2D56" w:rsidRDefault="00DB17E5" w:rsidP="00491E3B">
      <w:pPr>
        <w:rPr>
          <w:lang w:eastAsia="en-GB"/>
        </w:rPr>
      </w:pPr>
      <w:proofErr w:type="spellStart"/>
      <w:r w:rsidRPr="005D2D56">
        <w:rPr>
          <w:lang w:eastAsia="en-GB"/>
        </w:rPr>
        <w:t>Wadha</w:t>
      </w:r>
      <w:proofErr w:type="spellEnd"/>
      <w:r w:rsidRPr="005D2D56">
        <w:rPr>
          <w:lang w:eastAsia="en-GB"/>
        </w:rPr>
        <w:t xml:space="preserve"> reports that because the school was closed, she had</w:t>
      </w:r>
      <w:r>
        <w:rPr>
          <w:lang w:eastAsia="en-GB"/>
        </w:rPr>
        <w:t xml:space="preserve"> to</w:t>
      </w:r>
      <w:r w:rsidRPr="005D2D56">
        <w:rPr>
          <w:lang w:eastAsia="en-GB"/>
        </w:rPr>
        <w:t xml:space="preserve"> walk ten kilometers each day to attend the school in </w:t>
      </w:r>
      <w:proofErr w:type="spellStart"/>
      <w:r w:rsidRPr="005D2D56">
        <w:rPr>
          <w:lang w:eastAsia="en-GB"/>
        </w:rPr>
        <w:t>Rameh</w:t>
      </w:r>
      <w:proofErr w:type="spellEnd"/>
      <w:r w:rsidRPr="005D2D56">
        <w:rPr>
          <w:lang w:eastAsia="en-GB"/>
        </w:rPr>
        <w:t>.</w:t>
      </w:r>
      <w:r w:rsidRPr="005D2D56">
        <w:rPr>
          <w:rStyle w:val="FootnoteReference"/>
          <w:lang w:eastAsia="en-GB"/>
        </w:rPr>
        <w:footnoteReference w:id="21"/>
      </w:r>
    </w:p>
    <w:p w14:paraId="6ECAA608" w14:textId="00DA601B" w:rsidR="00DB17E5" w:rsidRPr="005D2D56" w:rsidRDefault="00DB17E5" w:rsidP="00491E3B">
      <w:pPr>
        <w:rPr>
          <w:lang w:eastAsia="en-GB"/>
        </w:rPr>
      </w:pPr>
      <w:r w:rsidRPr="005D2D56">
        <w:rPr>
          <w:lang w:eastAsia="en-GB"/>
        </w:rPr>
        <w:t xml:space="preserve">During the </w:t>
      </w:r>
      <w:r>
        <w:rPr>
          <w:lang w:eastAsia="en-GB"/>
        </w:rPr>
        <w:t>’</w:t>
      </w:r>
      <w:proofErr w:type="spellStart"/>
      <w:r>
        <w:rPr>
          <w:lang w:eastAsia="en-GB"/>
        </w:rPr>
        <w:t>60</w:t>
      </w:r>
      <w:r w:rsidRPr="005D2D56">
        <w:rPr>
          <w:lang w:eastAsia="en-GB"/>
        </w:rPr>
        <w:t>s</w:t>
      </w:r>
      <w:proofErr w:type="spellEnd"/>
      <w:r w:rsidRPr="005D2D56">
        <w:rPr>
          <w:lang w:eastAsia="en-GB"/>
        </w:rPr>
        <w:t xml:space="preserve"> and the </w:t>
      </w:r>
      <w:r>
        <w:rPr>
          <w:lang w:eastAsia="en-GB"/>
        </w:rPr>
        <w:t>’</w:t>
      </w:r>
      <w:proofErr w:type="spellStart"/>
      <w:r>
        <w:rPr>
          <w:lang w:eastAsia="en-GB"/>
        </w:rPr>
        <w:t>70</w:t>
      </w:r>
      <w:r w:rsidRPr="005D2D56">
        <w:rPr>
          <w:lang w:eastAsia="en-GB"/>
        </w:rPr>
        <w:t>s</w:t>
      </w:r>
      <w:proofErr w:type="spellEnd"/>
      <w:r w:rsidRPr="005D2D56">
        <w:rPr>
          <w:lang w:eastAsia="en-GB"/>
        </w:rPr>
        <w:t xml:space="preserve">, the </w:t>
      </w:r>
      <w:proofErr w:type="spellStart"/>
      <w:r w:rsidRPr="005D2D56">
        <w:rPr>
          <w:lang w:eastAsia="en-GB"/>
        </w:rPr>
        <w:t>Suweid</w:t>
      </w:r>
      <w:proofErr w:type="spellEnd"/>
      <w:r w:rsidRPr="005D2D56">
        <w:rPr>
          <w:lang w:eastAsia="en-GB"/>
        </w:rPr>
        <w:t xml:space="preserve"> were not allowed to add extensions to their homes, connect them to infrastructure, or build schools or infirmaries. The Israeli military government claimed that the area they lived in is a military zone and that it is dangerous to live there.</w:t>
      </w:r>
      <w:r w:rsidRPr="005D2D56">
        <w:rPr>
          <w:rStyle w:val="FootnoteReference"/>
          <w:lang w:eastAsia="en-GB"/>
        </w:rPr>
        <w:footnoteReference w:id="22"/>
      </w:r>
      <w:r w:rsidRPr="005D2D56">
        <w:rPr>
          <w:lang w:eastAsia="en-GB"/>
        </w:rPr>
        <w:t xml:space="preserve"> </w:t>
      </w:r>
      <w:proofErr w:type="spellStart"/>
      <w:r w:rsidRPr="005D2D56">
        <w:rPr>
          <w:lang w:eastAsia="en-GB"/>
        </w:rPr>
        <w:t>Wadha</w:t>
      </w:r>
      <w:proofErr w:type="spellEnd"/>
      <w:r w:rsidRPr="005D2D56">
        <w:rPr>
          <w:lang w:eastAsia="en-GB"/>
        </w:rPr>
        <w:t xml:space="preserve"> reports that when she was </w:t>
      </w:r>
      <w:r>
        <w:rPr>
          <w:lang w:eastAsia="en-GB"/>
        </w:rPr>
        <w:t xml:space="preserve">a </w:t>
      </w:r>
      <w:r w:rsidRPr="005D2D56">
        <w:rPr>
          <w:lang w:eastAsia="en-GB"/>
        </w:rPr>
        <w:t>child, they could not even construct a chicken</w:t>
      </w:r>
      <w:r>
        <w:rPr>
          <w:lang w:eastAsia="en-GB"/>
        </w:rPr>
        <w:t xml:space="preserve"> </w:t>
      </w:r>
      <w:r w:rsidRPr="005D2D56">
        <w:rPr>
          <w:lang w:eastAsia="en-GB"/>
        </w:rPr>
        <w:t>coop without it be</w:t>
      </w:r>
      <w:r>
        <w:rPr>
          <w:lang w:eastAsia="en-GB"/>
        </w:rPr>
        <w:t>ing</w:t>
      </w:r>
      <w:r w:rsidRPr="005D2D56">
        <w:rPr>
          <w:lang w:eastAsia="en-GB"/>
        </w:rPr>
        <w:t xml:space="preserve"> destroyed by the authorities soon afterward.</w:t>
      </w:r>
      <w:commentRangeStart w:id="16"/>
      <w:r w:rsidRPr="005D2D56">
        <w:rPr>
          <w:rStyle w:val="FootnoteReference"/>
          <w:lang w:eastAsia="en-GB"/>
        </w:rPr>
        <w:footnoteReference w:id="23"/>
      </w:r>
      <w:commentRangeEnd w:id="16"/>
      <w:r w:rsidRPr="005D2D56">
        <w:rPr>
          <w:rStyle w:val="CommentReference"/>
          <w:sz w:val="24"/>
          <w:szCs w:val="24"/>
        </w:rPr>
        <w:commentReference w:id="16"/>
      </w:r>
      <w:r w:rsidRPr="005D2D56">
        <w:rPr>
          <w:lang w:eastAsia="en-GB"/>
        </w:rPr>
        <w:t xml:space="preserve"> The attempt to build a dirt road from the neighborhood to </w:t>
      </w:r>
      <w:proofErr w:type="spellStart"/>
      <w:r w:rsidRPr="005D2D56">
        <w:rPr>
          <w:lang w:eastAsia="en-GB"/>
        </w:rPr>
        <w:t>Rameh</w:t>
      </w:r>
      <w:proofErr w:type="spellEnd"/>
      <w:r w:rsidRPr="005D2D56">
        <w:rPr>
          <w:lang w:eastAsia="en-GB"/>
        </w:rPr>
        <w:t xml:space="preserve"> was also blocked by the military.</w:t>
      </w:r>
      <w:r w:rsidRPr="005D2D56">
        <w:rPr>
          <w:rStyle w:val="FootnoteReference"/>
          <w:lang w:eastAsia="en-GB"/>
        </w:rPr>
        <w:footnoteReference w:id="24"/>
      </w:r>
      <w:r w:rsidRPr="005D2D56">
        <w:rPr>
          <w:lang w:eastAsia="en-GB"/>
        </w:rPr>
        <w:t xml:space="preserve"> </w:t>
      </w:r>
      <w:r>
        <w:rPr>
          <w:lang w:eastAsia="en-GB"/>
        </w:rPr>
        <w:t>Gha</w:t>
      </w:r>
      <w:commentRangeStart w:id="17"/>
      <w:r w:rsidRPr="005D2D56">
        <w:rPr>
          <w:lang w:eastAsia="en-GB"/>
        </w:rPr>
        <w:t>zi Falah</w:t>
      </w:r>
      <w:commentRangeEnd w:id="17"/>
      <w:r w:rsidRPr="005D2D56">
        <w:rPr>
          <w:rStyle w:val="CommentReference"/>
          <w:sz w:val="24"/>
          <w:szCs w:val="24"/>
        </w:rPr>
        <w:commentReference w:id="17"/>
      </w:r>
      <w:r w:rsidRPr="005D2D56">
        <w:rPr>
          <w:lang w:eastAsia="en-GB"/>
        </w:rPr>
        <w:t xml:space="preserve"> describes how this state policy led to the </w:t>
      </w:r>
      <w:proofErr w:type="spellStart"/>
      <w:r w:rsidRPr="005D2D56">
        <w:rPr>
          <w:lang w:eastAsia="en-GB"/>
        </w:rPr>
        <w:t>Suweid</w:t>
      </w:r>
      <w:proofErr w:type="spellEnd"/>
      <w:r w:rsidRPr="005D2D56">
        <w:rPr>
          <w:lang w:eastAsia="en-GB"/>
        </w:rPr>
        <w:t xml:space="preserve"> losing control of much of their land, from 656 dunam in 1949 to 139 dunam in 1958. This policy was put into place to enable building by Jews in these areas,</w:t>
      </w:r>
      <w:r w:rsidRPr="005D2D56">
        <w:rPr>
          <w:rStyle w:val="FootnoteReference"/>
          <w:lang w:eastAsia="en-GB"/>
        </w:rPr>
        <w:footnoteReference w:id="25"/>
      </w:r>
      <w:r w:rsidRPr="005D2D56">
        <w:rPr>
          <w:lang w:eastAsia="en-GB"/>
        </w:rPr>
        <w:t xml:space="preserve"> as is clearly expressed in this statement issued by the Agriculture Ministry in 1960:</w:t>
      </w:r>
    </w:p>
    <w:p w14:paraId="6F508527" w14:textId="77777777" w:rsidR="00DB17E5" w:rsidRDefault="00DB17E5" w:rsidP="005D2D56">
      <w:pPr>
        <w:pStyle w:val="Quote"/>
      </w:pPr>
      <w:commentRangeStart w:id="18"/>
      <w:r w:rsidRPr="005D2D56">
        <w:t xml:space="preserve">The state and the Development Authority and the Keren </w:t>
      </w:r>
      <w:proofErr w:type="spellStart"/>
      <w:r w:rsidRPr="005D2D56">
        <w:t>Kay</w:t>
      </w:r>
      <w:r w:rsidRPr="005D2D56">
        <w:t>e</w:t>
      </w:r>
      <w:r w:rsidRPr="005D2D56">
        <w:t>met</w:t>
      </w:r>
      <w:proofErr w:type="spellEnd"/>
      <w:r w:rsidRPr="005D2D56">
        <w:t xml:space="preserve"> Le Israel are the legal owners of thousands of donums in the Galilee, Triangle and Wadi Ara districts and more than 250,000 donums divided up into small plots are surrounded by the lands of other Arab owners. There is no possibility of exploiting these lands for settlement or development purposes unless the government takes action to concentrate the lands they </w:t>
      </w:r>
      <w:r w:rsidRPr="005D2D56">
        <w:lastRenderedPageBreak/>
        <w:t xml:space="preserve">own in large lots for the purpose of improving, </w:t>
      </w:r>
      <w:proofErr w:type="gramStart"/>
      <w:r w:rsidRPr="005D2D56">
        <w:t>developing</w:t>
      </w:r>
      <w:proofErr w:type="gramEnd"/>
      <w:r w:rsidRPr="005D2D56">
        <w:t xml:space="preserve"> and settling them in accordance with requirements of the State</w:t>
      </w:r>
      <w:commentRangeEnd w:id="18"/>
      <w:r>
        <w:rPr>
          <w:rStyle w:val="CommentReference"/>
        </w:rPr>
        <w:commentReference w:id="18"/>
      </w:r>
      <w:r w:rsidRPr="005D2D56">
        <w:t>.</w:t>
      </w:r>
      <w:r>
        <w:rPr>
          <w:rStyle w:val="FootnoteReference"/>
        </w:rPr>
        <w:footnoteReference w:id="26"/>
      </w:r>
    </w:p>
    <w:p w14:paraId="7F1119EE" w14:textId="54A5A31B" w:rsidR="00DB17E5" w:rsidRPr="00062825" w:rsidRDefault="00DB17E5" w:rsidP="005D2D56">
      <w:r w:rsidRPr="00062825">
        <w:t xml:space="preserve">The success of this policy was manifest in the implementation of the </w:t>
      </w:r>
      <w:commentRangeStart w:id="19"/>
      <w:r w:rsidRPr="00062825">
        <w:t xml:space="preserve">“Lookouts” (Hebrew: </w:t>
      </w:r>
      <w:proofErr w:type="spellStart"/>
      <w:r w:rsidRPr="00062825">
        <w:rPr>
          <w:i/>
          <w:iCs/>
        </w:rPr>
        <w:t>Mitzpim</w:t>
      </w:r>
      <w:proofErr w:type="spellEnd"/>
      <w:r w:rsidRPr="00062825">
        <w:t>) plan</w:t>
      </w:r>
      <w:commentRangeEnd w:id="19"/>
      <w:r w:rsidRPr="00062825">
        <w:rPr>
          <w:rStyle w:val="CommentReference"/>
          <w:sz w:val="18"/>
          <w:szCs w:val="18"/>
        </w:rPr>
        <w:commentReference w:id="19"/>
      </w:r>
      <w:r w:rsidRPr="00062825">
        <w:t xml:space="preserve"> </w:t>
      </w:r>
      <w:r>
        <w:t>under</w:t>
      </w:r>
      <w:r w:rsidRPr="00062825">
        <w:t xml:space="preserve"> which the Jewish settlement</w:t>
      </w:r>
      <w:r>
        <w:t>s</w:t>
      </w:r>
      <w:r w:rsidRPr="00062825">
        <w:t xml:space="preserve"> of </w:t>
      </w:r>
      <w:proofErr w:type="spellStart"/>
      <w:r w:rsidRPr="00062825">
        <w:t>Kamon</w:t>
      </w:r>
      <w:proofErr w:type="spellEnd"/>
      <w:r w:rsidRPr="00062825">
        <w:t xml:space="preserve"> and </w:t>
      </w:r>
      <w:proofErr w:type="spellStart"/>
      <w:r w:rsidRPr="00062825">
        <w:t>Mikhmanim</w:t>
      </w:r>
      <w:proofErr w:type="spellEnd"/>
      <w:r>
        <w:t xml:space="preserve"> were founded</w:t>
      </w:r>
      <w:r w:rsidRPr="00062825">
        <w:t xml:space="preserve"> on Mount </w:t>
      </w:r>
      <w:proofErr w:type="spellStart"/>
      <w:r w:rsidRPr="00062825">
        <w:t>Kammon</w:t>
      </w:r>
      <w:proofErr w:type="spellEnd"/>
      <w:r w:rsidRPr="00062825">
        <w:t>.</w:t>
      </w:r>
    </w:p>
    <w:p w14:paraId="4E1CCDE6" w14:textId="35587767" w:rsidR="00DB17E5" w:rsidRDefault="00DB17E5" w:rsidP="005D2D56">
      <w:r w:rsidRPr="00062825">
        <w:t xml:space="preserve">In 1974, the settlement division of the Jewish Agency proposed a plan to advance the building of Jewish settlements in the Galilee that would serve as barriers between Arab population centers which were regarded by the </w:t>
      </w:r>
      <w:r w:rsidR="00F120D1">
        <w:t>s</w:t>
      </w:r>
      <w:r w:rsidRPr="00062825">
        <w:t>tate as a threat. The plan was named the “Lookouts Plan” and</w:t>
      </w:r>
      <w:r>
        <w:t xml:space="preserve"> in its framework,</w:t>
      </w:r>
      <w:r w:rsidRPr="00062825">
        <w:t xml:space="preserve"> 58 settlements were founded in the northern part of Israel. On the top of Mount </w:t>
      </w:r>
      <w:proofErr w:type="spellStart"/>
      <w:r w:rsidRPr="00062825">
        <w:t>Kammaneh</w:t>
      </w:r>
      <w:proofErr w:type="spellEnd"/>
      <w:r w:rsidRPr="00062825">
        <w:t xml:space="preserve">, whose name was changed to </w:t>
      </w:r>
      <w:proofErr w:type="spellStart"/>
      <w:r w:rsidRPr="00062825">
        <w:t>Kammon</w:t>
      </w:r>
      <w:proofErr w:type="spellEnd"/>
      <w:r w:rsidRPr="00062825">
        <w:t xml:space="preserve">, two settlements, </w:t>
      </w:r>
      <w:proofErr w:type="spellStart"/>
      <w:r w:rsidRPr="00062825">
        <w:t>Kamon</w:t>
      </w:r>
      <w:proofErr w:type="spellEnd"/>
      <w:r w:rsidRPr="00062825">
        <w:t xml:space="preserve"> and </w:t>
      </w:r>
      <w:proofErr w:type="spellStart"/>
      <w:r w:rsidRPr="00062825">
        <w:t>Mikhmanim</w:t>
      </w:r>
      <w:proofErr w:type="spellEnd"/>
      <w:r w:rsidRPr="00062825">
        <w:t xml:space="preserve">, were </w:t>
      </w:r>
      <w:r>
        <w:t>set up</w:t>
      </w:r>
      <w:r w:rsidRPr="00062825">
        <w:t xml:space="preserve"> as part of a long belt of Jewish settlements that stretched east to west and served as a barrier separating the southern </w:t>
      </w:r>
      <w:r>
        <w:t>bloc</w:t>
      </w:r>
      <w:r w:rsidRPr="00062825">
        <w:t xml:space="preserve"> of Arab villages </w:t>
      </w:r>
      <w:r>
        <w:t xml:space="preserve">including </w:t>
      </w:r>
      <w:proofErr w:type="spellStart"/>
      <w:r w:rsidRPr="00062825">
        <w:t>Sakhnin</w:t>
      </w:r>
      <w:proofErr w:type="spellEnd"/>
      <w:r w:rsidRPr="00062825">
        <w:t>, Deir Hanna,</w:t>
      </w:r>
      <w:r>
        <w:t xml:space="preserve"> and</w:t>
      </w:r>
      <w:r w:rsidRPr="00062825">
        <w:t xml:space="preserve"> </w:t>
      </w:r>
      <w:proofErr w:type="spellStart"/>
      <w:r w:rsidRPr="00062825">
        <w:t>Arabeh</w:t>
      </w:r>
      <w:proofErr w:type="spellEnd"/>
      <w:r w:rsidRPr="00062825">
        <w:t xml:space="preserve"> from the northern bloc </w:t>
      </w:r>
      <w:r>
        <w:t xml:space="preserve">that included </w:t>
      </w:r>
      <w:proofErr w:type="spellStart"/>
      <w:r w:rsidRPr="00062825">
        <w:t>Rameh</w:t>
      </w:r>
      <w:proofErr w:type="spellEnd"/>
      <w:r w:rsidRPr="00062825">
        <w:t xml:space="preserve">, </w:t>
      </w:r>
      <w:proofErr w:type="spellStart"/>
      <w:r w:rsidRPr="00062825">
        <w:t>Nahf</w:t>
      </w:r>
      <w:proofErr w:type="spellEnd"/>
      <w:r w:rsidRPr="00062825">
        <w:t xml:space="preserve">, </w:t>
      </w:r>
      <w:r>
        <w:t xml:space="preserve">and </w:t>
      </w:r>
      <w:r w:rsidRPr="00062825">
        <w:t xml:space="preserve">Deir Al </w:t>
      </w:r>
      <w:proofErr w:type="spellStart"/>
      <w:r w:rsidRPr="00062825">
        <w:t>Asad</w:t>
      </w:r>
      <w:proofErr w:type="spellEnd"/>
      <w:r w:rsidRPr="00062825">
        <w:t>.</w:t>
      </w:r>
      <w:r w:rsidRPr="00062825">
        <w:rPr>
          <w:rStyle w:val="FootnoteReference"/>
        </w:rPr>
        <w:footnoteReference w:id="27"/>
      </w:r>
    </w:p>
    <w:p w14:paraId="4E96929C" w14:textId="5608076F" w:rsidR="001F6A4F" w:rsidRDefault="00504C97" w:rsidP="005D2D56">
      <w:r>
        <w:rPr>
          <w:noProof/>
        </w:rPr>
        <w:drawing>
          <wp:anchor distT="0" distB="0" distL="114300" distR="114300" simplePos="0" relativeHeight="251653632" behindDoc="1" locked="0" layoutInCell="1" allowOverlap="1" wp14:anchorId="6781817E" wp14:editId="219E6EA9">
            <wp:simplePos x="0" y="0"/>
            <wp:positionH relativeFrom="column">
              <wp:posOffset>0</wp:posOffset>
            </wp:positionH>
            <wp:positionV relativeFrom="paragraph">
              <wp:posOffset>260985</wp:posOffset>
            </wp:positionV>
            <wp:extent cx="3700780" cy="2877820"/>
            <wp:effectExtent l="0" t="0" r="0" b="0"/>
            <wp:wrapTight wrapText="bothSides">
              <wp:wrapPolygon edited="0">
                <wp:start x="0" y="0"/>
                <wp:lineTo x="0" y="21447"/>
                <wp:lineTo x="21459" y="21447"/>
                <wp:lineTo x="214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0780" cy="2877820"/>
                    </a:xfrm>
                    <a:prstGeom prst="rect">
                      <a:avLst/>
                    </a:prstGeom>
                    <a:noFill/>
                  </pic:spPr>
                </pic:pic>
              </a:graphicData>
            </a:graphic>
            <wp14:sizeRelH relativeFrom="page">
              <wp14:pctWidth>0</wp14:pctWidth>
            </wp14:sizeRelH>
            <wp14:sizeRelV relativeFrom="page">
              <wp14:pctHeight>0</wp14:pctHeight>
            </wp14:sizeRelV>
          </wp:anchor>
        </w:drawing>
      </w:r>
    </w:p>
    <w:p w14:paraId="4213D5EF" w14:textId="1A0BFEAB" w:rsidR="00DB17E5" w:rsidRPr="00062825" w:rsidRDefault="00DB17E5" w:rsidP="00CD22E4">
      <w:r w:rsidRPr="00062825">
        <w:t xml:space="preserve">The construction of </w:t>
      </w:r>
      <w:proofErr w:type="spellStart"/>
      <w:r w:rsidRPr="00062825">
        <w:t>Kamon</w:t>
      </w:r>
      <w:proofErr w:type="spellEnd"/>
      <w:r w:rsidRPr="00062825">
        <w:t xml:space="preserve"> and </w:t>
      </w:r>
      <w:proofErr w:type="spellStart"/>
      <w:r w:rsidRPr="00062825">
        <w:t>Mikhmanim</w:t>
      </w:r>
      <w:proofErr w:type="spellEnd"/>
      <w:r w:rsidRPr="00062825">
        <w:t xml:space="preserve"> took place in parallel to attempts by the authorities to remove the </w:t>
      </w:r>
      <w:proofErr w:type="spellStart"/>
      <w:r w:rsidRPr="00062825">
        <w:t>Suweid</w:t>
      </w:r>
      <w:proofErr w:type="spellEnd"/>
      <w:r w:rsidRPr="00062825">
        <w:t xml:space="preserve"> from the mountain. In 1970, the Bedouin village of Salameh had been constructed on the southeastern slopes of the mountain with the purpose of concentrating the entire </w:t>
      </w:r>
      <w:proofErr w:type="spellStart"/>
      <w:r w:rsidRPr="00062825">
        <w:t>Suweid</w:t>
      </w:r>
      <w:proofErr w:type="spellEnd"/>
      <w:r w:rsidRPr="00062825">
        <w:t xml:space="preserve"> tribe in one village. The state offered the families living on the mountain generous economic incentives to move that were rejected in </w:t>
      </w:r>
      <w:r w:rsidRPr="00062825">
        <w:lastRenderedPageBreak/>
        <w:t>most cases.</w:t>
      </w:r>
      <w:r w:rsidRPr="00062825">
        <w:rPr>
          <w:rStyle w:val="FootnoteReference"/>
        </w:rPr>
        <w:footnoteReference w:id="28"/>
      </w:r>
      <w:r w:rsidRPr="00062825">
        <w:t xml:space="preserve"> Alongside the incentives offered to the </w:t>
      </w:r>
      <w:proofErr w:type="spellStart"/>
      <w:r w:rsidRPr="00062825">
        <w:t>Suweid</w:t>
      </w:r>
      <w:proofErr w:type="spellEnd"/>
      <w:r w:rsidRPr="00062825">
        <w:t xml:space="preserve"> to relocate from the mountain, sanctions were imposed on those members of the tribe who stayed. These included the denial of requests for building licenses</w:t>
      </w:r>
      <w:r>
        <w:t xml:space="preserve">, </w:t>
      </w:r>
      <w:r w:rsidRPr="00062825">
        <w:t>the rejection of zoning plans</w:t>
      </w:r>
      <w:r>
        <w:t>,</w:t>
      </w:r>
      <w:r w:rsidRPr="00062825">
        <w:t xml:space="preserve"> and </w:t>
      </w:r>
      <w:r>
        <w:t xml:space="preserve">the </w:t>
      </w:r>
      <w:r w:rsidRPr="00062825">
        <w:t>refusal to develop infrastructure while the Jewish settlements were being built and developed and did not face similar obstacles.</w:t>
      </w:r>
      <w:r w:rsidRPr="00062825">
        <w:rPr>
          <w:rStyle w:val="FootnoteReference"/>
        </w:rPr>
        <w:footnoteReference w:id="29"/>
      </w:r>
      <w:r w:rsidRPr="00062825">
        <w:t xml:space="preserve"> Firing Range 9 was closed to pave the way for the building of the Jewish settlements.</w:t>
      </w:r>
      <w:r w:rsidRPr="00062825">
        <w:rPr>
          <w:rStyle w:val="FootnoteReference"/>
        </w:rPr>
        <w:footnoteReference w:id="30"/>
      </w:r>
      <w:r w:rsidRPr="00062825">
        <w:t xml:space="preserve"> The Shehadeh clan became a prominent hindrance to the construction of </w:t>
      </w:r>
      <w:proofErr w:type="spellStart"/>
      <w:r w:rsidRPr="00062825">
        <w:t>Kamon</w:t>
      </w:r>
      <w:proofErr w:type="spellEnd"/>
      <w:r w:rsidRPr="00062825">
        <w:t xml:space="preserve">. East </w:t>
      </w:r>
      <w:proofErr w:type="spellStart"/>
      <w:r w:rsidRPr="00062825">
        <w:t>Kammaneh</w:t>
      </w:r>
      <w:proofErr w:type="spellEnd"/>
      <w:r w:rsidRPr="00062825">
        <w:t xml:space="preserve"> and </w:t>
      </w:r>
      <w:proofErr w:type="spellStart"/>
      <w:r w:rsidR="008C1BCA">
        <w:t>Jalassa</w:t>
      </w:r>
      <w:proofErr w:type="spellEnd"/>
      <w:r w:rsidRPr="00062825">
        <w:t xml:space="preserve"> were blocs of Arab population next to which the settlement could be constructed, the land belonging to the Shehadeh was the very same land on which the settlement of </w:t>
      </w:r>
      <w:proofErr w:type="spellStart"/>
      <w:r w:rsidRPr="00062825">
        <w:t>Kamon</w:t>
      </w:r>
      <w:proofErr w:type="spellEnd"/>
      <w:r w:rsidRPr="00062825">
        <w:t xml:space="preserve"> was supposed to be built. The Shehadeh did not accede to the suggestions that </w:t>
      </w:r>
      <w:r>
        <w:t>t</w:t>
      </w:r>
      <w:r w:rsidRPr="00062825">
        <w:t xml:space="preserve">hey move to Salameh or East </w:t>
      </w:r>
      <w:proofErr w:type="spellStart"/>
      <w:r w:rsidRPr="00062825">
        <w:t>Kammaneh</w:t>
      </w:r>
      <w:proofErr w:type="spellEnd"/>
      <w:r w:rsidRPr="00062825">
        <w:t xml:space="preserve"> and let it be known that they had no intention of leaving their land. They claimed that it was not a matter of money and the fact that they had relatives in </w:t>
      </w:r>
      <w:proofErr w:type="spellStart"/>
      <w:r w:rsidRPr="00062825">
        <w:t>Kammaneh</w:t>
      </w:r>
      <w:proofErr w:type="spellEnd"/>
      <w:r w:rsidRPr="00062825">
        <w:t xml:space="preserve"> was irrelevant. This was their land and they refused to relinquish it.</w:t>
      </w:r>
      <w:r w:rsidRPr="00062825">
        <w:rPr>
          <w:rStyle w:val="FootnoteReference"/>
        </w:rPr>
        <w:footnoteReference w:id="31"/>
      </w:r>
    </w:p>
    <w:p w14:paraId="0E030273" w14:textId="77777777" w:rsidR="00DB17E5" w:rsidRPr="00062825" w:rsidRDefault="00DB17E5" w:rsidP="00CD22E4">
      <w:r w:rsidRPr="00062825">
        <w:t xml:space="preserve">As the Shehadeh resisted moving, a road was paved in 1981 from the Jewish city of </w:t>
      </w:r>
      <w:proofErr w:type="spellStart"/>
      <w:r w:rsidRPr="00062825">
        <w:t>Karmiel</w:t>
      </w:r>
      <w:proofErr w:type="spellEnd"/>
      <w:r w:rsidRPr="00062825">
        <w:t xml:space="preserve"> at the bottom of the mountain to the new Jewish settlements at the top. It is evident that this road was part of the struggle against the Bedouin on the mountain as it did not go into their villages and was not built before the Jewish settlements were founded. Along with the new road, </w:t>
      </w:r>
      <w:proofErr w:type="spellStart"/>
      <w:r w:rsidRPr="00062825">
        <w:t>Kamon</w:t>
      </w:r>
      <w:proofErr w:type="spellEnd"/>
      <w:r w:rsidRPr="00062825">
        <w:t xml:space="preserve"> and </w:t>
      </w:r>
      <w:proofErr w:type="spellStart"/>
      <w:r w:rsidRPr="00062825">
        <w:t>Mikhmanin</w:t>
      </w:r>
      <w:proofErr w:type="spellEnd"/>
      <w:r w:rsidRPr="00062825">
        <w:t xml:space="preserve"> </w:t>
      </w:r>
      <w:r>
        <w:t xml:space="preserve">were </w:t>
      </w:r>
      <w:r w:rsidRPr="00062825">
        <w:t xml:space="preserve">connected </w:t>
      </w:r>
      <w:r>
        <w:t xml:space="preserve">to </w:t>
      </w:r>
      <w:r w:rsidRPr="00062825">
        <w:t xml:space="preserve">the water and electric grids. Even though the pipes and cables passed over or under the houses of the Shehadeh clan and East </w:t>
      </w:r>
      <w:proofErr w:type="spellStart"/>
      <w:r w:rsidRPr="00062825">
        <w:t>Kammaneh</w:t>
      </w:r>
      <w:proofErr w:type="spellEnd"/>
      <w:r w:rsidRPr="00062825">
        <w:t>, these homes were not connected to the infrastructure as they were considered illegal by the authorities.</w:t>
      </w:r>
      <w:r w:rsidRPr="00062825">
        <w:rPr>
          <w:rStyle w:val="FootnoteReference"/>
        </w:rPr>
        <w:footnoteReference w:id="32"/>
      </w:r>
    </w:p>
    <w:p w14:paraId="2481BA57" w14:textId="77777777" w:rsidR="00DB17E5" w:rsidRPr="00062825" w:rsidRDefault="00DB17E5" w:rsidP="00B35F3D">
      <w:pPr>
        <w:pStyle w:val="Heading1"/>
      </w:pPr>
      <w:r w:rsidRPr="00062825">
        <w:t>Conclusions</w:t>
      </w:r>
    </w:p>
    <w:p w14:paraId="1FD656CD" w14:textId="77777777" w:rsidR="00DB17E5" w:rsidRPr="00062825" w:rsidRDefault="00DB17E5" w:rsidP="00B35F3D">
      <w:pPr>
        <w:rPr>
          <w:lang w:val="en-GB" w:eastAsia="en-GB"/>
        </w:rPr>
      </w:pPr>
      <w:r w:rsidRPr="00062825">
        <w:rPr>
          <w:lang w:val="en-GB" w:eastAsia="en-GB"/>
        </w:rPr>
        <w:t xml:space="preserve">The story of the Shehadeh clan is an example of how </w:t>
      </w:r>
      <w:r>
        <w:rPr>
          <w:lang w:val="en-GB" w:eastAsia="en-GB"/>
        </w:rPr>
        <w:t xml:space="preserve">the </w:t>
      </w:r>
      <w:r w:rsidRPr="00062825">
        <w:rPr>
          <w:lang w:val="en-GB" w:eastAsia="en-GB"/>
        </w:rPr>
        <w:t xml:space="preserve">traditional Bedouin lifestyle clashed with both British and Israeli policy in the land of Israel. The British limited the </w:t>
      </w:r>
      <w:proofErr w:type="spellStart"/>
      <w:r w:rsidRPr="00062825">
        <w:rPr>
          <w:lang w:val="en-GB" w:eastAsia="en-GB"/>
        </w:rPr>
        <w:t>Suweid</w:t>
      </w:r>
      <w:proofErr w:type="spellEnd"/>
      <w:r w:rsidRPr="00062825">
        <w:rPr>
          <w:lang w:val="en-GB" w:eastAsia="en-GB"/>
        </w:rPr>
        <w:t xml:space="preserve"> lands by designating firing ranges and legislating ordinances that made it easy to sanction them. The State of Israel viewed the Shehadeh as a recalcitrant group that should be moved </w:t>
      </w:r>
      <w:proofErr w:type="gramStart"/>
      <w:r w:rsidRPr="00062825">
        <w:rPr>
          <w:lang w:val="en-GB" w:eastAsia="en-GB"/>
        </w:rPr>
        <w:t>in order to</w:t>
      </w:r>
      <w:proofErr w:type="gramEnd"/>
      <w:r w:rsidRPr="00062825">
        <w:rPr>
          <w:lang w:val="en-GB" w:eastAsia="en-GB"/>
        </w:rPr>
        <w:t xml:space="preserve"> Judaize the area. When the village of </w:t>
      </w:r>
      <w:proofErr w:type="spellStart"/>
      <w:r w:rsidRPr="00062825">
        <w:rPr>
          <w:lang w:val="en-GB" w:eastAsia="en-GB"/>
        </w:rPr>
        <w:t>Kamon</w:t>
      </w:r>
      <w:proofErr w:type="spellEnd"/>
      <w:r w:rsidRPr="00062825">
        <w:rPr>
          <w:lang w:val="en-GB" w:eastAsia="en-GB"/>
        </w:rPr>
        <w:t xml:space="preserve"> was constructed around the residences of the Shehadeh, the Shehadeh were perceived as </w:t>
      </w:r>
      <w:r w:rsidRPr="00062825">
        <w:rPr>
          <w:lang w:val="en-GB" w:eastAsia="en-GB"/>
        </w:rPr>
        <w:lastRenderedPageBreak/>
        <w:t>obstruct</w:t>
      </w:r>
      <w:r>
        <w:rPr>
          <w:lang w:val="en-GB" w:eastAsia="en-GB"/>
        </w:rPr>
        <w:t>ing</w:t>
      </w:r>
      <w:r w:rsidRPr="00062825">
        <w:rPr>
          <w:lang w:val="en-GB" w:eastAsia="en-GB"/>
        </w:rPr>
        <w:t xml:space="preserve"> the development of </w:t>
      </w:r>
      <w:proofErr w:type="spellStart"/>
      <w:r w:rsidRPr="00062825">
        <w:rPr>
          <w:lang w:val="en-GB" w:eastAsia="en-GB"/>
        </w:rPr>
        <w:t>Kamon</w:t>
      </w:r>
      <w:proofErr w:type="spellEnd"/>
      <w:r w:rsidRPr="00062825">
        <w:rPr>
          <w:lang w:val="en-GB" w:eastAsia="en-GB"/>
        </w:rPr>
        <w:t xml:space="preserve"> rather than the opposite. The artificial disconnection of the Shehadeh from the other members of the </w:t>
      </w:r>
      <w:proofErr w:type="spellStart"/>
      <w:r w:rsidRPr="00062825">
        <w:rPr>
          <w:lang w:val="en-GB" w:eastAsia="en-GB"/>
        </w:rPr>
        <w:t>Suweid</w:t>
      </w:r>
      <w:proofErr w:type="spellEnd"/>
      <w:r w:rsidRPr="00062825">
        <w:rPr>
          <w:lang w:val="en-GB" w:eastAsia="en-GB"/>
        </w:rPr>
        <w:t xml:space="preserve"> tribe in East </w:t>
      </w:r>
      <w:proofErr w:type="spellStart"/>
      <w:r w:rsidRPr="00062825">
        <w:rPr>
          <w:lang w:val="en-GB" w:eastAsia="en-GB"/>
        </w:rPr>
        <w:t>Kammaneh</w:t>
      </w:r>
      <w:proofErr w:type="spellEnd"/>
      <w:r w:rsidRPr="00062825">
        <w:rPr>
          <w:lang w:val="en-GB" w:eastAsia="en-GB"/>
        </w:rPr>
        <w:t xml:space="preserve"> and </w:t>
      </w:r>
      <w:proofErr w:type="spellStart"/>
      <w:r w:rsidRPr="00062825">
        <w:rPr>
          <w:lang w:val="en-GB" w:eastAsia="en-GB"/>
        </w:rPr>
        <w:t>Jalsa</w:t>
      </w:r>
      <w:proofErr w:type="spellEnd"/>
      <w:r w:rsidRPr="00062825">
        <w:rPr>
          <w:lang w:val="en-GB" w:eastAsia="en-GB"/>
        </w:rPr>
        <w:t xml:space="preserve"> inspired the Israeli claim that the Shehadeh should be moved back to their lands in </w:t>
      </w:r>
      <w:proofErr w:type="spellStart"/>
      <w:r w:rsidRPr="00062825">
        <w:rPr>
          <w:lang w:val="en-GB" w:eastAsia="en-GB"/>
        </w:rPr>
        <w:t>Kammaneh</w:t>
      </w:r>
      <w:proofErr w:type="spellEnd"/>
      <w:r w:rsidRPr="00062825">
        <w:rPr>
          <w:lang w:val="en-GB" w:eastAsia="en-GB"/>
        </w:rPr>
        <w:t xml:space="preserve"> as if they had originally built their homes on land that was not theirs. In practice, the Israeli policy ignored the history of property ownership on Mount </w:t>
      </w:r>
      <w:proofErr w:type="spellStart"/>
      <w:r w:rsidRPr="00062825">
        <w:rPr>
          <w:lang w:val="en-GB" w:eastAsia="en-GB"/>
        </w:rPr>
        <w:t>Kammon</w:t>
      </w:r>
      <w:proofErr w:type="spellEnd"/>
      <w:r w:rsidRPr="00062825">
        <w:rPr>
          <w:lang w:val="en-GB" w:eastAsia="en-GB"/>
        </w:rPr>
        <w:t xml:space="preserve">. By making living conditions difficult on the one hand and offering generous economic incentives to relinquish their lands on the other, the State of Israel sought to concentrate the Bedouin of Mount </w:t>
      </w:r>
      <w:proofErr w:type="spellStart"/>
      <w:r w:rsidRPr="00062825">
        <w:rPr>
          <w:lang w:val="en-GB" w:eastAsia="en-GB"/>
        </w:rPr>
        <w:t>Kammon</w:t>
      </w:r>
      <w:proofErr w:type="spellEnd"/>
      <w:r w:rsidRPr="00062825">
        <w:rPr>
          <w:lang w:val="en-GB" w:eastAsia="en-GB"/>
        </w:rPr>
        <w:t xml:space="preserve"> in areas that were acceptable to the Jewish residents.</w:t>
      </w:r>
    </w:p>
    <w:p w14:paraId="7CCCBCFA" w14:textId="77777777" w:rsidR="00DB17E5" w:rsidRPr="00B35F3D" w:rsidRDefault="00DB17E5" w:rsidP="00B35F3D">
      <w:pPr>
        <w:rPr>
          <w:rtl/>
          <w:lang w:val="en-GB" w:eastAsia="en-GB"/>
        </w:rPr>
      </w:pPr>
      <w:r w:rsidRPr="00062825">
        <w:rPr>
          <w:lang w:val="en-GB" w:eastAsia="en-GB"/>
        </w:rPr>
        <w:t>T</w:t>
      </w:r>
      <w:r w:rsidRPr="00062825">
        <w:rPr>
          <w:lang w:val="en-GB" w:eastAsia="en-GB"/>
        </w:rPr>
        <w:t>he misunderstanding of the Bedouin way of life and the</w:t>
      </w:r>
      <w:r w:rsidRPr="00062825">
        <w:rPr>
          <w:lang w:val="en-GB" w:eastAsia="en-GB"/>
        </w:rPr>
        <w:t xml:space="preserve"> nature of</w:t>
      </w:r>
      <w:r w:rsidRPr="00062825">
        <w:rPr>
          <w:lang w:val="en-GB" w:eastAsia="en-GB"/>
        </w:rPr>
        <w:t xml:space="preserve"> clan ties within the tribe led to </w:t>
      </w:r>
      <w:r w:rsidRPr="00062825">
        <w:rPr>
          <w:lang w:val="en-GB" w:eastAsia="en-GB"/>
        </w:rPr>
        <w:t>the conflict</w:t>
      </w:r>
      <w:r w:rsidRPr="00062825">
        <w:rPr>
          <w:lang w:val="en-GB" w:eastAsia="en-GB"/>
        </w:rPr>
        <w:t xml:space="preserve"> between the Israeli aspirations and the Sh</w:t>
      </w:r>
      <w:r w:rsidRPr="00062825">
        <w:rPr>
          <w:lang w:val="en-GB" w:eastAsia="en-GB"/>
        </w:rPr>
        <w:t>e</w:t>
      </w:r>
      <w:r w:rsidRPr="00062825">
        <w:rPr>
          <w:lang w:val="en-GB" w:eastAsia="en-GB"/>
        </w:rPr>
        <w:t>had</w:t>
      </w:r>
      <w:r w:rsidRPr="00062825">
        <w:rPr>
          <w:lang w:val="en-GB" w:eastAsia="en-GB"/>
        </w:rPr>
        <w:t>eh</w:t>
      </w:r>
      <w:r w:rsidRPr="00062825">
        <w:rPr>
          <w:lang w:val="en-GB" w:eastAsia="en-GB"/>
        </w:rPr>
        <w:t xml:space="preserve"> </w:t>
      </w:r>
      <w:r w:rsidRPr="00062825">
        <w:rPr>
          <w:lang w:val="en-GB" w:eastAsia="en-GB"/>
        </w:rPr>
        <w:t>clan</w:t>
      </w:r>
      <w:r w:rsidRPr="00062825">
        <w:rPr>
          <w:lang w:val="en-GB" w:eastAsia="en-GB"/>
        </w:rPr>
        <w:t xml:space="preserve">. </w:t>
      </w:r>
      <w:r w:rsidRPr="00062825">
        <w:rPr>
          <w:lang w:val="en-GB" w:eastAsia="en-GB"/>
        </w:rPr>
        <w:t>Analysis of this</w:t>
      </w:r>
      <w:r w:rsidRPr="00062825">
        <w:rPr>
          <w:lang w:val="en-GB" w:eastAsia="en-GB"/>
        </w:rPr>
        <w:t xml:space="preserve"> case </w:t>
      </w:r>
      <w:r w:rsidRPr="00062825">
        <w:rPr>
          <w:lang w:val="en-GB" w:eastAsia="en-GB"/>
        </w:rPr>
        <w:t>with the help of Arabic sources</w:t>
      </w:r>
      <w:r w:rsidRPr="00062825">
        <w:rPr>
          <w:lang w:val="en-GB" w:eastAsia="en-GB"/>
        </w:rPr>
        <w:t xml:space="preserve"> </w:t>
      </w:r>
      <w:r w:rsidRPr="00062825">
        <w:rPr>
          <w:lang w:val="en-GB" w:eastAsia="en-GB"/>
        </w:rPr>
        <w:t xml:space="preserve">and interviews </w:t>
      </w:r>
      <w:r>
        <w:rPr>
          <w:lang w:val="en-GB" w:eastAsia="en-GB"/>
        </w:rPr>
        <w:t xml:space="preserve">with </w:t>
      </w:r>
      <w:r w:rsidRPr="00062825">
        <w:rPr>
          <w:lang w:val="en-GB" w:eastAsia="en-GB"/>
        </w:rPr>
        <w:t xml:space="preserve">the Bedouin </w:t>
      </w:r>
      <w:r w:rsidRPr="00062825">
        <w:rPr>
          <w:lang w:val="en-GB" w:eastAsia="en-GB"/>
        </w:rPr>
        <w:t xml:space="preserve">who present their </w:t>
      </w:r>
      <w:r w:rsidRPr="00062825">
        <w:rPr>
          <w:lang w:val="en-GB" w:eastAsia="en-GB"/>
        </w:rPr>
        <w:t xml:space="preserve">side of the </w:t>
      </w:r>
      <w:r w:rsidRPr="00062825">
        <w:rPr>
          <w:lang w:val="en-GB" w:eastAsia="en-GB"/>
        </w:rPr>
        <w:t>issue</w:t>
      </w:r>
      <w:r w:rsidRPr="00062825">
        <w:rPr>
          <w:lang w:val="en-GB" w:eastAsia="en-GB"/>
        </w:rPr>
        <w:t xml:space="preserve"> sheds new light on past and present</w:t>
      </w:r>
      <w:r w:rsidRPr="00062825">
        <w:rPr>
          <w:lang w:val="en-GB" w:eastAsia="en-GB"/>
        </w:rPr>
        <w:t xml:space="preserve"> </w:t>
      </w:r>
      <w:r w:rsidRPr="00062825">
        <w:rPr>
          <w:lang w:val="en-GB" w:eastAsia="en-GB"/>
        </w:rPr>
        <w:t>British and Israeli conduct</w:t>
      </w:r>
      <w:r w:rsidRPr="00062825">
        <w:rPr>
          <w:lang w:val="en-GB" w:eastAsia="en-GB"/>
        </w:rPr>
        <w:t xml:space="preserve"> concerning the</w:t>
      </w:r>
      <w:r w:rsidRPr="00062825">
        <w:rPr>
          <w:lang w:val="en-GB" w:eastAsia="en-GB"/>
        </w:rPr>
        <w:t xml:space="preserve"> Bedouin tribes.</w:t>
      </w:r>
    </w:p>
    <w:p w14:paraId="557AC019" w14:textId="77777777" w:rsidR="00DB17E5" w:rsidRPr="0084393C" w:rsidRDefault="00DB17E5" w:rsidP="00067839">
      <w:pPr>
        <w:bidi/>
      </w:pPr>
    </w:p>
    <w:p w14:paraId="18BF9BC0" w14:textId="77777777" w:rsidR="008A75FC" w:rsidRDefault="008A75FC" w:rsidP="00067839"/>
    <w:sectPr w:rsidR="008A75FC" w:rsidSect="00BB7E14">
      <w:pgSz w:w="12240" w:h="15840"/>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A" w:date="2022-12-27T09:38:00Z" w:initials="JA">
    <w:p w14:paraId="0A6E0A5A" w14:textId="3242D94D" w:rsidR="00D94989" w:rsidRDefault="00D94989" w:rsidP="00E406FE">
      <w:pPr>
        <w:pStyle w:val="CommentText"/>
        <w:bidi/>
        <w:rPr>
          <w:rtl/>
        </w:rPr>
      </w:pPr>
      <w:r>
        <w:rPr>
          <w:rStyle w:val="CommentReference"/>
        </w:rPr>
        <w:annotationRef/>
      </w:r>
      <w:r>
        <w:rPr>
          <w:rFonts w:hint="cs"/>
          <w:rtl/>
        </w:rPr>
        <w:t>שיניתי מ</w:t>
      </w:r>
      <w:r>
        <w:t>family</w:t>
      </w:r>
      <w:r>
        <w:rPr>
          <w:rFonts w:hint="cs"/>
          <w:rtl/>
        </w:rPr>
        <w:t xml:space="preserve">, לאחר שמדובר בחמולה.  </w:t>
      </w:r>
      <w:r>
        <w:t>Family</w:t>
      </w:r>
      <w:r>
        <w:rPr>
          <w:rFonts w:hint="cs"/>
          <w:rtl/>
        </w:rPr>
        <w:t xml:space="preserve"> באנגלית בד"כ מציין משפחה גרעינית</w:t>
      </w:r>
    </w:p>
  </w:comment>
  <w:comment w:id="1" w:author="JA" w:date="2022-12-27T09:27:00Z" w:initials="JA">
    <w:p w14:paraId="612873E5" w14:textId="77777777" w:rsidR="00DB17E5" w:rsidRDefault="00DB17E5" w:rsidP="00E406FE">
      <w:pPr>
        <w:pStyle w:val="CommentText"/>
        <w:bidi/>
        <w:rPr>
          <w:rFonts w:hint="cs"/>
          <w:rtl/>
        </w:rPr>
      </w:pPr>
      <w:r>
        <w:rPr>
          <w:rStyle w:val="CommentReference"/>
        </w:rPr>
        <w:annotationRef/>
      </w:r>
      <w:r>
        <w:rPr>
          <w:rFonts w:hint="cs"/>
          <w:rtl/>
        </w:rPr>
        <w:t>השתדלתי למצוא מקור באנגלית לשמות בערבית/עברית. כך בוויקיפדיה. במקומות שלא מצאתי, אציין כדי שתוכל לבדוק.</w:t>
      </w:r>
      <w:r>
        <w:t xml:space="preserve"> </w:t>
      </w:r>
      <w:r>
        <w:rPr>
          <w:rFonts w:hint="cs"/>
          <w:rtl/>
        </w:rPr>
        <w:t xml:space="preserve">כך מופיע השבט </w:t>
      </w:r>
      <w:proofErr w:type="spellStart"/>
      <w:r>
        <w:rPr>
          <w:rFonts w:hint="cs"/>
          <w:rtl/>
        </w:rPr>
        <w:t>בויקיפדיה</w:t>
      </w:r>
      <w:proofErr w:type="spellEnd"/>
    </w:p>
  </w:comment>
  <w:comment w:id="2" w:author="JA" w:date="2023-01-04T13:32:00Z" w:initials="JA">
    <w:p w14:paraId="67F2F8D9" w14:textId="77777777" w:rsidR="00DB17E5" w:rsidRDefault="00DB17E5" w:rsidP="004D1CCB">
      <w:pPr>
        <w:pStyle w:val="CommentText"/>
        <w:bidi/>
        <w:rPr>
          <w:rFonts w:hint="cs"/>
        </w:rPr>
      </w:pPr>
      <w:r>
        <w:rPr>
          <w:rStyle w:val="CommentReference"/>
        </w:rPr>
        <w:annotationRef/>
      </w:r>
      <w:r>
        <w:rPr>
          <w:rFonts w:hint="cs"/>
          <w:rtl/>
        </w:rPr>
        <w:t xml:space="preserve">לא ברור מה זה </w:t>
      </w:r>
      <w:proofErr w:type="spellStart"/>
      <w:r>
        <w:rPr>
          <w:rFonts w:hint="cs"/>
          <w:rtl/>
        </w:rPr>
        <w:t>סד</w:t>
      </w:r>
      <w:r w:rsidRPr="0084393C">
        <w:rPr>
          <w:rtl/>
        </w:rPr>
        <w:t>נטריזציה</w:t>
      </w:r>
      <w:proofErr w:type="spellEnd"/>
      <w:r>
        <w:rPr>
          <w:rFonts w:hint="cs"/>
          <w:rtl/>
        </w:rPr>
        <w:t>. אולי תוסיף פה משפט?</w:t>
      </w:r>
    </w:p>
  </w:comment>
  <w:comment w:id="3" w:author="JA" w:date="2023-01-04T14:18:00Z" w:initials="JA">
    <w:p w14:paraId="35E563DC" w14:textId="29522A5D" w:rsidR="00230BBD" w:rsidRDefault="00230BBD" w:rsidP="00230BBD">
      <w:pPr>
        <w:pStyle w:val="CommentText"/>
        <w:bidi/>
        <w:rPr>
          <w:rFonts w:hint="cs"/>
          <w:rtl/>
        </w:rPr>
      </w:pPr>
      <w:r>
        <w:rPr>
          <w:rStyle w:val="CommentReference"/>
        </w:rPr>
        <w:annotationRef/>
      </w:r>
      <w:r>
        <w:rPr>
          <w:rFonts w:hint="cs"/>
          <w:rtl/>
        </w:rPr>
        <w:t xml:space="preserve">לא הצלחתי להכניס את כל השמות בצורה נורמלית. איתך הסליחה. העדפתי למחוק אותם ולתת לך להכניס אותם </w:t>
      </w:r>
      <w:r>
        <w:rPr>
          <w:rtl/>
        </w:rPr>
        <w:t>–</w:t>
      </w:r>
      <w:r>
        <w:rPr>
          <w:rFonts w:hint="cs"/>
          <w:rtl/>
        </w:rPr>
        <w:t xml:space="preserve"> אתה כנראה יודע יותר טוב.</w:t>
      </w:r>
    </w:p>
  </w:comment>
  <w:comment w:id="4" w:author="JA" w:date="2022-12-27T09:19:00Z" w:initials="JA">
    <w:p w14:paraId="6F4182CF" w14:textId="77777777" w:rsidR="00DB17E5" w:rsidRDefault="00DB17E5" w:rsidP="0064662E">
      <w:pPr>
        <w:pStyle w:val="CommentText"/>
        <w:bidi/>
        <w:rPr>
          <w:rtl/>
        </w:rPr>
      </w:pPr>
      <w:r>
        <w:rPr>
          <w:rStyle w:val="CommentReference"/>
        </w:rPr>
        <w:annotationRef/>
      </w:r>
      <w:r>
        <w:rPr>
          <w:rFonts w:hint="cs"/>
          <w:rtl/>
        </w:rPr>
        <w:t xml:space="preserve">במקור כתבת הר כמאנה.  השתמשתי בשם המקביל לעברית ולא הערבית בגלל שהשתמשת בזה למעלה וזה יהיה מבלבל. </w:t>
      </w:r>
      <w:r>
        <w:t xml:space="preserve"> </w:t>
      </w:r>
      <w:r>
        <w:rPr>
          <w:rFonts w:hint="cs"/>
          <w:rtl/>
        </w:rPr>
        <w:t xml:space="preserve">אפשר, אם אתה מעדיף, לכתוב </w:t>
      </w:r>
      <w:r>
        <w:t xml:space="preserve">Mount </w:t>
      </w:r>
      <w:proofErr w:type="spellStart"/>
      <w:r>
        <w:t>Kammaneh</w:t>
      </w:r>
      <w:proofErr w:type="spellEnd"/>
      <w:r>
        <w:t xml:space="preserve"> (the original Arabic name of Mount </w:t>
      </w:r>
      <w:proofErr w:type="spellStart"/>
      <w:r>
        <w:t>Kammon</w:t>
      </w:r>
      <w:proofErr w:type="spellEnd"/>
      <w:r>
        <w:t xml:space="preserve">) </w:t>
      </w:r>
    </w:p>
    <w:p w14:paraId="3F442135" w14:textId="77777777" w:rsidR="00DB17E5" w:rsidRDefault="00DB17E5" w:rsidP="0064662E">
      <w:pPr>
        <w:pStyle w:val="CommentText"/>
        <w:bidi/>
        <w:rPr>
          <w:rtl/>
        </w:rPr>
      </w:pPr>
      <w:r>
        <w:rPr>
          <w:rFonts w:hint="cs"/>
          <w:rtl/>
        </w:rPr>
        <w:t xml:space="preserve">אחר כך אפשר לכתוב </w:t>
      </w:r>
      <w:r>
        <w:t xml:space="preserve">Mount </w:t>
      </w:r>
      <w:proofErr w:type="spellStart"/>
      <w:r>
        <w:t>Kammeh</w:t>
      </w:r>
      <w:proofErr w:type="spellEnd"/>
      <w:r>
        <w:t xml:space="preserve"> </w:t>
      </w:r>
      <w:r>
        <w:rPr>
          <w:rFonts w:hint="cs"/>
          <w:rtl/>
        </w:rPr>
        <w:t xml:space="preserve"> איפה שזה מתאים.  </w:t>
      </w:r>
    </w:p>
  </w:comment>
  <w:comment w:id="5" w:author="JA" w:date="2022-12-27T09:30:00Z" w:initials="JA">
    <w:p w14:paraId="33BAB836" w14:textId="77777777" w:rsidR="00DB17E5" w:rsidRDefault="00DB17E5" w:rsidP="00067839">
      <w:pPr>
        <w:pStyle w:val="CommentText"/>
        <w:rPr>
          <w:rtl/>
        </w:rPr>
      </w:pPr>
      <w:r>
        <w:rPr>
          <w:rStyle w:val="CommentReference"/>
        </w:rPr>
        <w:annotationRef/>
      </w:r>
      <w:r>
        <w:rPr>
          <w:rFonts w:hint="cs"/>
          <w:rtl/>
        </w:rPr>
        <w:t xml:space="preserve">נא לבדוק את השם. </w:t>
      </w:r>
    </w:p>
  </w:comment>
  <w:comment w:id="6" w:author="JA" w:date="2022-12-27T09:31:00Z" w:initials="JA">
    <w:p w14:paraId="1D39ADCF" w14:textId="77777777" w:rsidR="00DB17E5" w:rsidRDefault="00DB17E5" w:rsidP="006D775D">
      <w:pPr>
        <w:pStyle w:val="CommentText"/>
        <w:bidi/>
        <w:rPr>
          <w:rtl/>
        </w:rPr>
      </w:pPr>
      <w:r>
        <w:rPr>
          <w:rStyle w:val="CommentReference"/>
        </w:rPr>
        <w:annotationRef/>
      </w:r>
      <w:r>
        <w:rPr>
          <w:rFonts w:hint="cs"/>
          <w:rtl/>
        </w:rPr>
        <w:t>לבדוק את כל השמות בבקשה</w:t>
      </w:r>
    </w:p>
  </w:comment>
  <w:comment w:id="7" w:author="JA" w:date="2022-12-27T09:37:00Z" w:initials="JA">
    <w:p w14:paraId="48CDAEE6" w14:textId="77777777" w:rsidR="00DB17E5" w:rsidRDefault="00DB17E5" w:rsidP="00067839">
      <w:pPr>
        <w:pStyle w:val="CommentText"/>
      </w:pPr>
      <w:r>
        <w:rPr>
          <w:rStyle w:val="CommentReference"/>
        </w:rPr>
        <w:annotationRef/>
      </w:r>
      <w:r>
        <w:rPr>
          <w:rFonts w:hint="cs"/>
          <w:rtl/>
        </w:rPr>
        <w:t>לבדוק</w:t>
      </w:r>
    </w:p>
  </w:comment>
  <w:comment w:id="8" w:author="JA" w:date="2022-12-27T12:09:00Z" w:initials="JA">
    <w:p w14:paraId="15BB7916" w14:textId="77777777" w:rsidR="00DB17E5" w:rsidRDefault="00DB17E5" w:rsidP="00067839">
      <w:pPr>
        <w:pStyle w:val="CommentText"/>
        <w:bidi/>
        <w:rPr>
          <w:rFonts w:hint="cs"/>
          <w:rtl/>
        </w:rPr>
      </w:pPr>
      <w:r>
        <w:rPr>
          <w:rStyle w:val="CommentReference"/>
        </w:rPr>
        <w:annotationRef/>
      </w:r>
      <w:r>
        <w:rPr>
          <w:rStyle w:val="CommentReference"/>
          <w:rFonts w:hint="cs"/>
          <w:rtl/>
        </w:rPr>
        <w:t>צריך להסביר מה זה</w:t>
      </w:r>
    </w:p>
  </w:comment>
  <w:comment w:id="9" w:author="JA" w:date="2022-12-28T13:19:00Z" w:initials="JA">
    <w:p w14:paraId="5420F810" w14:textId="77777777" w:rsidR="00DB17E5" w:rsidRDefault="00DB17E5" w:rsidP="00067839">
      <w:pPr>
        <w:pStyle w:val="CommentText"/>
        <w:bidi/>
        <w:rPr>
          <w:rtl/>
        </w:rPr>
      </w:pPr>
      <w:r>
        <w:rPr>
          <w:rStyle w:val="CommentReference"/>
        </w:rPr>
        <w:annotationRef/>
      </w:r>
      <w:r>
        <w:rPr>
          <w:rFonts w:hint="cs"/>
          <w:rtl/>
        </w:rPr>
        <w:t xml:space="preserve">צריך לשים פה את המקור באנגלית שאינו בידי. </w:t>
      </w:r>
    </w:p>
  </w:comment>
  <w:comment w:id="10" w:author="JA" w:date="2022-12-28T13:43:00Z" w:initials="JA">
    <w:p w14:paraId="0FD96B10" w14:textId="77777777" w:rsidR="00DB17E5" w:rsidRDefault="00DB17E5" w:rsidP="00067839">
      <w:pPr>
        <w:pStyle w:val="CommentText"/>
        <w:bidi/>
        <w:rPr>
          <w:rtl/>
        </w:rPr>
      </w:pPr>
      <w:r>
        <w:rPr>
          <w:rStyle w:val="CommentReference"/>
        </w:rPr>
        <w:annotationRef/>
      </w:r>
      <w:r>
        <w:rPr>
          <w:rFonts w:hint="cs"/>
          <w:rtl/>
        </w:rPr>
        <w:t>צריך למצוא את השמות הרשמיים במסמכים של המנדט</w:t>
      </w:r>
    </w:p>
  </w:comment>
  <w:comment w:id="11" w:author="JA" w:date="2022-12-29T18:50:00Z" w:initials="JA">
    <w:p w14:paraId="22ECF1D9" w14:textId="77777777" w:rsidR="00DB17E5" w:rsidRDefault="00DB17E5" w:rsidP="00097268">
      <w:pPr>
        <w:pStyle w:val="CommentText"/>
        <w:bidi/>
        <w:rPr>
          <w:rtl/>
        </w:rPr>
      </w:pPr>
      <w:r>
        <w:rPr>
          <w:rStyle w:val="CommentReference"/>
        </w:rPr>
        <w:annotationRef/>
      </w:r>
      <w:r>
        <w:rPr>
          <w:rFonts w:hint="cs"/>
          <w:rtl/>
        </w:rPr>
        <w:t xml:space="preserve">אני משער שעין הכוונה לכפר במשולש, </w:t>
      </w:r>
      <w:r w:rsidRPr="00F84D8D">
        <w:t>Ayn al-</w:t>
      </w:r>
      <w:proofErr w:type="spellStart"/>
      <w:r w:rsidRPr="00F84D8D">
        <w:t>Sahla</w:t>
      </w:r>
      <w:proofErr w:type="spellEnd"/>
      <w:r>
        <w:t xml:space="preserve"> </w:t>
      </w:r>
      <w:r>
        <w:rPr>
          <w:rFonts w:hint="cs"/>
          <w:rtl/>
        </w:rPr>
        <w:t>אבל לא מצאתי כפר אחר בשם זה</w:t>
      </w:r>
    </w:p>
  </w:comment>
  <w:comment w:id="12" w:author="JA" w:date="2023-01-03T14:52:00Z" w:initials="JA">
    <w:p w14:paraId="7706CBAC" w14:textId="77777777" w:rsidR="00DB17E5" w:rsidRDefault="00DB17E5" w:rsidP="00A07004">
      <w:pPr>
        <w:pStyle w:val="CommentText"/>
        <w:bidi/>
      </w:pPr>
      <w:r>
        <w:rPr>
          <w:rStyle w:val="CommentReference"/>
        </w:rPr>
        <w:annotationRef/>
      </w:r>
      <w:r>
        <w:rPr>
          <w:rFonts w:hint="cs"/>
          <w:rtl/>
        </w:rPr>
        <w:t xml:space="preserve">הכוונה לכפר או להר? אם זה ההר, אז </w:t>
      </w:r>
      <w:r>
        <w:rPr>
          <w:rFonts w:hint="cs"/>
        </w:rPr>
        <w:t>M</w:t>
      </w:r>
      <w:r>
        <w:t xml:space="preserve">ount </w:t>
      </w:r>
      <w:proofErr w:type="spellStart"/>
      <w:r>
        <w:t>Kammon</w:t>
      </w:r>
      <w:proofErr w:type="spellEnd"/>
    </w:p>
  </w:comment>
  <w:comment w:id="13" w:author="JA" w:date="2023-01-03T08:18:00Z" w:initials="JA">
    <w:p w14:paraId="5AC08E61" w14:textId="77777777" w:rsidR="00DB17E5" w:rsidRDefault="00DB17E5" w:rsidP="000F5A52">
      <w:pPr>
        <w:pStyle w:val="CommentText"/>
        <w:bidi/>
        <w:rPr>
          <w:rFonts w:hint="cs"/>
          <w:rtl/>
        </w:rPr>
      </w:pPr>
      <w:r>
        <w:rPr>
          <w:rStyle w:val="CommentReference"/>
        </w:rPr>
        <w:annotationRef/>
      </w:r>
      <w:r>
        <w:rPr>
          <w:rFonts w:hint="cs"/>
          <w:rtl/>
        </w:rPr>
        <w:t xml:space="preserve">במקור: בינה לבין השלטונות.  אני מבין ש"בינה" מתייחס למשפחה, למרות שבמשפט הקודם התייחסת </w:t>
      </w:r>
      <w:proofErr w:type="spellStart"/>
      <w:r>
        <w:rPr>
          <w:rFonts w:hint="cs"/>
          <w:rtl/>
        </w:rPr>
        <w:t>דוקא</w:t>
      </w:r>
      <w:proofErr w:type="spellEnd"/>
      <w:r>
        <w:rPr>
          <w:rFonts w:hint="cs"/>
          <w:rtl/>
        </w:rPr>
        <w:t xml:space="preserve"> לשבט כולו. אם זה צריך להיות השבט, אז תחליף ל </w:t>
      </w:r>
      <w:r>
        <w:rPr>
          <w:lang w:eastAsia="en-GB"/>
        </w:rPr>
        <w:t xml:space="preserve">government and </w:t>
      </w:r>
      <w:proofErr w:type="spellStart"/>
      <w:r>
        <w:rPr>
          <w:lang w:eastAsia="en-GB"/>
        </w:rPr>
        <w:t>Suweid</w:t>
      </w:r>
      <w:proofErr w:type="spellEnd"/>
      <w:r>
        <w:rPr>
          <w:lang w:eastAsia="en-GB"/>
        </w:rPr>
        <w:t xml:space="preserve"> tribe</w:t>
      </w:r>
      <w:r>
        <w:rPr>
          <w:lang w:eastAsia="en-GB"/>
        </w:rPr>
        <w:t xml:space="preserve">. </w:t>
      </w:r>
      <w:r>
        <w:rPr>
          <w:rStyle w:val="CommentReference"/>
        </w:rPr>
        <w:annotationRef/>
      </w:r>
    </w:p>
  </w:comment>
  <w:comment w:id="14" w:author="JA" w:date="2023-01-04T14:24:00Z" w:initials="JA">
    <w:p w14:paraId="39CD3101" w14:textId="66EC05F3" w:rsidR="00EF0415" w:rsidRDefault="00EF0415" w:rsidP="00BA508F">
      <w:pPr>
        <w:pStyle w:val="CommentText"/>
        <w:bidi/>
        <w:rPr>
          <w:rFonts w:hint="cs"/>
          <w:rtl/>
        </w:rPr>
      </w:pPr>
      <w:r>
        <w:rPr>
          <w:rStyle w:val="CommentReference"/>
        </w:rPr>
        <w:annotationRef/>
      </w:r>
      <w:r>
        <w:rPr>
          <w:rFonts w:hint="cs"/>
          <w:rtl/>
        </w:rPr>
        <w:t>צריך למצוא מפה באנגלית</w:t>
      </w:r>
    </w:p>
  </w:comment>
  <w:comment w:id="15" w:author="JA" w:date="2023-01-04T10:08:00Z" w:initials="JA">
    <w:p w14:paraId="2822F3AF" w14:textId="77777777" w:rsidR="00DB17E5" w:rsidRDefault="00DB17E5" w:rsidP="002E0135">
      <w:pPr>
        <w:pStyle w:val="CommentText"/>
        <w:bidi/>
        <w:rPr>
          <w:rFonts w:hint="cs"/>
          <w:rtl/>
        </w:rPr>
      </w:pPr>
      <w:r>
        <w:rPr>
          <w:rStyle w:val="CommentReference"/>
        </w:rPr>
        <w:annotationRef/>
      </w:r>
      <w:r>
        <w:rPr>
          <w:rFonts w:hint="cs"/>
          <w:rtl/>
        </w:rPr>
        <w:t xml:space="preserve">בציטוט כתוב </w:t>
      </w:r>
      <w:proofErr w:type="spellStart"/>
      <w:r>
        <w:t>Sawaid</w:t>
      </w:r>
      <w:proofErr w:type="spellEnd"/>
      <w:r>
        <w:rPr>
          <w:rFonts w:hint="cs"/>
          <w:rtl/>
        </w:rPr>
        <w:t xml:space="preserve"> ואילו אני מצאתי </w:t>
      </w:r>
      <w:proofErr w:type="spellStart"/>
      <w:r>
        <w:t>Suwaid</w:t>
      </w:r>
      <w:proofErr w:type="spellEnd"/>
      <w:r>
        <w:rPr>
          <w:rFonts w:hint="cs"/>
          <w:rtl/>
        </w:rPr>
        <w:t>. מה אתה מעדיף?</w:t>
      </w:r>
    </w:p>
  </w:comment>
  <w:comment w:id="16" w:author="JA" w:date="2023-01-04T10:27:00Z" w:initials="JA">
    <w:p w14:paraId="5FEB4F3F" w14:textId="77777777" w:rsidR="00DB17E5" w:rsidRDefault="00DB17E5">
      <w:pPr>
        <w:pStyle w:val="CommentText"/>
        <w:rPr>
          <w:rFonts w:hint="cs"/>
          <w:rtl/>
        </w:rPr>
      </w:pPr>
      <w:r>
        <w:rPr>
          <w:rStyle w:val="CommentReference"/>
        </w:rPr>
        <w:annotationRef/>
      </w:r>
      <w:r>
        <w:rPr>
          <w:rFonts w:hint="cs"/>
          <w:rtl/>
        </w:rPr>
        <w:t>אולי טעות בהערה? ציפית שזה יפנה לראיון איתה</w:t>
      </w:r>
    </w:p>
  </w:comment>
  <w:comment w:id="17" w:author="JA" w:date="2023-01-04T10:31:00Z" w:initials="JA">
    <w:p w14:paraId="614C1973" w14:textId="77777777" w:rsidR="00DB17E5" w:rsidRDefault="00DB17E5">
      <w:pPr>
        <w:pStyle w:val="CommentText"/>
        <w:rPr>
          <w:rFonts w:hint="cs"/>
          <w:rtl/>
        </w:rPr>
      </w:pPr>
      <w:r>
        <w:rPr>
          <w:rStyle w:val="CommentReference"/>
        </w:rPr>
        <w:annotationRef/>
      </w:r>
      <w:r>
        <w:rPr>
          <w:rFonts w:hint="cs"/>
          <w:rtl/>
        </w:rPr>
        <w:t>נא לבדוק איות</w:t>
      </w:r>
    </w:p>
  </w:comment>
  <w:comment w:id="18" w:author="JA" w:date="2023-01-04T13:46:00Z" w:initials="JA">
    <w:p w14:paraId="3F792A64" w14:textId="77777777" w:rsidR="00DB17E5" w:rsidRDefault="00DB17E5" w:rsidP="00062825">
      <w:pPr>
        <w:pStyle w:val="CommentText"/>
        <w:bidi/>
        <w:rPr>
          <w:rFonts w:hint="cs"/>
          <w:rtl/>
        </w:rPr>
      </w:pPr>
      <w:r>
        <w:rPr>
          <w:rStyle w:val="CommentReference"/>
        </w:rPr>
        <w:annotationRef/>
      </w:r>
      <w:r>
        <w:rPr>
          <w:rFonts w:hint="cs"/>
          <w:rtl/>
        </w:rPr>
        <w:t>לא ערכתי את הקטע בגלל שזה ציטוט</w:t>
      </w:r>
    </w:p>
  </w:comment>
  <w:comment w:id="19" w:author="JA" w:date="2023-01-04T12:18:00Z" w:initials="JA">
    <w:p w14:paraId="265C2176" w14:textId="77777777" w:rsidR="00DB17E5" w:rsidRDefault="00DB17E5">
      <w:pPr>
        <w:pStyle w:val="CommentText"/>
        <w:rPr>
          <w:rFonts w:hint="cs"/>
          <w:rtl/>
        </w:rPr>
      </w:pPr>
      <w:r>
        <w:rPr>
          <w:rStyle w:val="CommentReference"/>
        </w:rPr>
        <w:annotationRef/>
      </w:r>
      <w:r>
        <w:rPr>
          <w:rFonts w:hint="cs"/>
          <w:rtl/>
        </w:rPr>
        <w:t>לא מצאתי לזה שם באנגלית</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6E0A5A" w15:done="0"/>
  <w15:commentEx w15:paraId="612873E5" w15:done="0"/>
  <w15:commentEx w15:paraId="67F2F8D9" w15:done="0"/>
  <w15:commentEx w15:paraId="35E563DC" w15:done="0"/>
  <w15:commentEx w15:paraId="3F442135" w15:done="0"/>
  <w15:commentEx w15:paraId="33BAB836" w15:done="0"/>
  <w15:commentEx w15:paraId="1D39ADCF" w15:done="0"/>
  <w15:commentEx w15:paraId="48CDAEE6" w15:done="0"/>
  <w15:commentEx w15:paraId="15BB7916" w15:done="0"/>
  <w15:commentEx w15:paraId="5420F810" w15:done="0"/>
  <w15:commentEx w15:paraId="0FD96B10" w15:done="0"/>
  <w15:commentEx w15:paraId="22ECF1D9" w15:done="0"/>
  <w15:commentEx w15:paraId="7706CBAC" w15:done="0"/>
  <w15:commentEx w15:paraId="5AC08E61" w15:done="0"/>
  <w15:commentEx w15:paraId="39CD3101" w15:done="0"/>
  <w15:commentEx w15:paraId="2822F3AF" w15:done="0"/>
  <w15:commentEx w15:paraId="5FEB4F3F" w15:done="0"/>
  <w15:commentEx w15:paraId="614C1973" w15:done="0"/>
  <w15:commentEx w15:paraId="3F792A64" w15:done="0"/>
  <w15:commentEx w15:paraId="265C21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53B94" w16cex:dateUtc="2022-12-27T07:38:00Z"/>
  <w16cex:commentExtensible w16cex:durableId="275538F8" w16cex:dateUtc="2022-12-27T07:27:00Z"/>
  <w16cex:commentExtensible w16cex:durableId="275FFE5D" w16cex:dateUtc="2023-01-04T11:32:00Z"/>
  <w16cex:commentExtensible w16cex:durableId="27600939" w16cex:dateUtc="2023-01-04T12:18:00Z"/>
  <w16cex:commentExtensible w16cex:durableId="27553704" w16cex:dateUtc="2022-12-27T07:19:00Z"/>
  <w16cex:commentExtensible w16cex:durableId="275539AF" w16cex:dateUtc="2022-12-27T07:30:00Z"/>
  <w16cex:commentExtensible w16cex:durableId="275539D6" w16cex:dateUtc="2022-12-27T07:31:00Z"/>
  <w16cex:commentExtensible w16cex:durableId="27553B69" w16cex:dateUtc="2022-12-27T07:37:00Z"/>
  <w16cex:commentExtensible w16cex:durableId="27555EE2" w16cex:dateUtc="2022-12-27T10:09:00Z"/>
  <w16cex:commentExtensible w16cex:durableId="2756C0F5" w16cex:dateUtc="2022-12-28T11:19:00Z"/>
  <w16cex:commentExtensible w16cex:durableId="2756C670" w16cex:dateUtc="2022-12-28T11:43:00Z"/>
  <w16cex:commentExtensible w16cex:durableId="27585FEE" w16cex:dateUtc="2022-12-29T16:50:00Z"/>
  <w16cex:commentExtensible w16cex:durableId="275EBFB8" w16cex:dateUtc="2023-01-03T12:52:00Z"/>
  <w16cex:commentExtensible w16cex:durableId="275EBFB9" w16cex:dateUtc="2023-01-03T13:18:00Z"/>
  <w16cex:commentExtensible w16cex:durableId="27600A96" w16cex:dateUtc="2023-01-04T12:24:00Z"/>
  <w16cex:commentExtensible w16cex:durableId="275FCE9B" w16cex:dateUtc="2023-01-04T08:08:00Z"/>
  <w16cex:commentExtensible w16cex:durableId="275FD301" w16cex:dateUtc="2023-01-04T08:27:00Z"/>
  <w16cex:commentExtensible w16cex:durableId="275FD402" w16cex:dateUtc="2023-01-04T08:31:00Z"/>
  <w16cex:commentExtensible w16cex:durableId="276001BA" w16cex:dateUtc="2023-01-04T11:46:00Z"/>
  <w16cex:commentExtensible w16cex:durableId="275FED33" w16cex:dateUtc="2023-01-04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6E0A5A" w16cid:durableId="27553B94"/>
  <w16cid:commentId w16cid:paraId="612873E5" w16cid:durableId="275538F8"/>
  <w16cid:commentId w16cid:paraId="67F2F8D9" w16cid:durableId="275FFE5D"/>
  <w16cid:commentId w16cid:paraId="35E563DC" w16cid:durableId="27600939"/>
  <w16cid:commentId w16cid:paraId="3F442135" w16cid:durableId="27553704"/>
  <w16cid:commentId w16cid:paraId="33BAB836" w16cid:durableId="275539AF"/>
  <w16cid:commentId w16cid:paraId="1D39ADCF" w16cid:durableId="275539D6"/>
  <w16cid:commentId w16cid:paraId="48CDAEE6" w16cid:durableId="27553B69"/>
  <w16cid:commentId w16cid:paraId="15BB7916" w16cid:durableId="27555EE2"/>
  <w16cid:commentId w16cid:paraId="5420F810" w16cid:durableId="2756C0F5"/>
  <w16cid:commentId w16cid:paraId="0FD96B10" w16cid:durableId="2756C670"/>
  <w16cid:commentId w16cid:paraId="22ECF1D9" w16cid:durableId="27585FEE"/>
  <w16cid:commentId w16cid:paraId="7706CBAC" w16cid:durableId="275EBFB8"/>
  <w16cid:commentId w16cid:paraId="5AC08E61" w16cid:durableId="275EBFB9"/>
  <w16cid:commentId w16cid:paraId="39CD3101" w16cid:durableId="27600A96"/>
  <w16cid:commentId w16cid:paraId="2822F3AF" w16cid:durableId="275FCE9B"/>
  <w16cid:commentId w16cid:paraId="5FEB4F3F" w16cid:durableId="275FD301"/>
  <w16cid:commentId w16cid:paraId="614C1973" w16cid:durableId="275FD402"/>
  <w16cid:commentId w16cid:paraId="3F792A64" w16cid:durableId="276001BA"/>
  <w16cid:commentId w16cid:paraId="265C2176" w16cid:durableId="275FED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95071" w14:textId="77777777" w:rsidR="00BF3539" w:rsidRDefault="00BF3539" w:rsidP="00067839">
      <w:r>
        <w:separator/>
      </w:r>
    </w:p>
  </w:endnote>
  <w:endnote w:type="continuationSeparator" w:id="0">
    <w:p w14:paraId="6F0B11EE" w14:textId="77777777" w:rsidR="00BF3539" w:rsidRDefault="00BF3539" w:rsidP="00067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99262" w14:textId="77777777" w:rsidR="00BF3539" w:rsidRDefault="00BF3539" w:rsidP="00067839">
      <w:r>
        <w:separator/>
      </w:r>
    </w:p>
  </w:footnote>
  <w:footnote w:type="continuationSeparator" w:id="0">
    <w:p w14:paraId="49D347BD" w14:textId="77777777" w:rsidR="00BF3539" w:rsidRDefault="00BF3539" w:rsidP="00067839">
      <w:r>
        <w:continuationSeparator/>
      </w:r>
    </w:p>
  </w:footnote>
  <w:footnote w:id="1">
    <w:p w14:paraId="377C6B42" w14:textId="77777777" w:rsidR="00DB17E5" w:rsidRDefault="00DB17E5" w:rsidP="00067839">
      <w:pPr>
        <w:pStyle w:val="FootnoteText"/>
      </w:pPr>
      <w:r>
        <w:rPr>
          <w:rStyle w:val="FootnoteReference"/>
        </w:rPr>
        <w:footnoteRef/>
      </w:r>
      <w:r>
        <w:t xml:space="preserve"> </w:t>
      </w:r>
      <w:r w:rsidRPr="00D557DD">
        <w:rPr>
          <w:rtl/>
          <w:lang w:bidi="ar-JO"/>
        </w:rPr>
        <w:t>"</w:t>
      </w:r>
      <w:r w:rsidRPr="00D557DD">
        <w:rPr>
          <w:rFonts w:ascii="Arial" w:hAnsi="Arial" w:cs="Arial" w:hint="cs"/>
          <w:rtl/>
          <w:lang w:bidi="ar-JO"/>
        </w:rPr>
        <w:t>بيان</w:t>
      </w:r>
      <w:r w:rsidRPr="00D557DD">
        <w:rPr>
          <w:rtl/>
          <w:lang w:bidi="ar-JO"/>
        </w:rPr>
        <w:t xml:space="preserve"> </w:t>
      </w:r>
      <w:r>
        <w:rPr>
          <w:rFonts w:ascii="Arial" w:hAnsi="Arial" w:cs="Arial" w:hint="cs"/>
          <w:rtl/>
          <w:lang w:bidi="ar-JO"/>
        </w:rPr>
        <w:t>ال</w:t>
      </w:r>
      <w:r w:rsidRPr="00D557DD">
        <w:rPr>
          <w:rFonts w:ascii="Arial" w:hAnsi="Arial" w:cs="Arial" w:hint="cs"/>
          <w:rtl/>
          <w:lang w:bidi="ar-JO"/>
        </w:rPr>
        <w:t>صحافة</w:t>
      </w:r>
      <w:r>
        <w:rPr>
          <w:rtl/>
          <w:lang w:bidi="ar-JO"/>
        </w:rPr>
        <w:t xml:space="preserve">" </w:t>
      </w:r>
      <w:r w:rsidRPr="00252F71">
        <w:rPr>
          <w:rFonts w:ascii="Arial" w:hAnsi="Arial" w:cs="Arial" w:hint="cs"/>
          <w:i/>
          <w:iCs/>
          <w:rtl/>
          <w:lang w:bidi="ar-JO"/>
        </w:rPr>
        <w:t>المركز</w:t>
      </w:r>
      <w:r w:rsidRPr="00252F71">
        <w:rPr>
          <w:i/>
          <w:iCs/>
          <w:rtl/>
          <w:lang w:bidi="ar-JO"/>
        </w:rPr>
        <w:t xml:space="preserve"> </w:t>
      </w:r>
      <w:r w:rsidRPr="00252F71">
        <w:rPr>
          <w:rFonts w:ascii="Arial" w:hAnsi="Arial" w:cs="Arial" w:hint="cs"/>
          <w:i/>
          <w:iCs/>
          <w:rtl/>
          <w:lang w:bidi="ar-JO"/>
        </w:rPr>
        <w:t>القانوني</w:t>
      </w:r>
      <w:r w:rsidRPr="00252F71">
        <w:rPr>
          <w:i/>
          <w:iCs/>
          <w:rtl/>
          <w:lang w:bidi="ar-JO"/>
        </w:rPr>
        <w:t xml:space="preserve"> </w:t>
      </w:r>
      <w:r w:rsidRPr="00252F71">
        <w:rPr>
          <w:rFonts w:ascii="Arial" w:hAnsi="Arial" w:cs="Arial" w:hint="cs"/>
          <w:i/>
          <w:iCs/>
          <w:rtl/>
          <w:lang w:bidi="ar-JO"/>
        </w:rPr>
        <w:t>لحقوق</w:t>
      </w:r>
      <w:r w:rsidRPr="00252F71">
        <w:rPr>
          <w:i/>
          <w:iCs/>
          <w:rtl/>
          <w:lang w:bidi="ar-JO"/>
        </w:rPr>
        <w:t xml:space="preserve"> </w:t>
      </w:r>
      <w:r w:rsidRPr="00252F71">
        <w:rPr>
          <w:rFonts w:ascii="Arial" w:hAnsi="Arial" w:cs="Arial" w:hint="cs"/>
          <w:i/>
          <w:iCs/>
          <w:rtl/>
          <w:lang w:bidi="ar-JO"/>
        </w:rPr>
        <w:t>الأقلية</w:t>
      </w:r>
      <w:r w:rsidRPr="00252F71">
        <w:rPr>
          <w:i/>
          <w:iCs/>
          <w:rtl/>
          <w:lang w:bidi="ar-JO"/>
        </w:rPr>
        <w:t xml:space="preserve"> </w:t>
      </w:r>
      <w:r w:rsidRPr="00252F71">
        <w:rPr>
          <w:rFonts w:ascii="Arial" w:hAnsi="Arial" w:cs="Arial" w:hint="cs"/>
          <w:i/>
          <w:iCs/>
          <w:rtl/>
          <w:lang w:bidi="ar-JO"/>
        </w:rPr>
        <w:t>العربية</w:t>
      </w:r>
      <w:r w:rsidRPr="00252F71">
        <w:rPr>
          <w:i/>
          <w:iCs/>
          <w:rtl/>
          <w:lang w:bidi="ar-JO"/>
        </w:rPr>
        <w:t xml:space="preserve"> </w:t>
      </w:r>
      <w:r w:rsidRPr="00252F71">
        <w:rPr>
          <w:rFonts w:ascii="Arial" w:hAnsi="Arial" w:cs="Arial" w:hint="cs"/>
          <w:i/>
          <w:iCs/>
          <w:rtl/>
          <w:lang w:bidi="ar-JO"/>
        </w:rPr>
        <w:t>في</w:t>
      </w:r>
      <w:r w:rsidRPr="00252F71">
        <w:rPr>
          <w:i/>
          <w:iCs/>
          <w:rtl/>
          <w:lang w:bidi="ar-JO"/>
        </w:rPr>
        <w:t xml:space="preserve"> </w:t>
      </w:r>
      <w:proofErr w:type="gramStart"/>
      <w:r w:rsidRPr="00252F71">
        <w:rPr>
          <w:rFonts w:ascii="Arial" w:hAnsi="Arial" w:cs="Arial" w:hint="cs"/>
          <w:i/>
          <w:iCs/>
          <w:rtl/>
          <w:lang w:bidi="ar-JO"/>
        </w:rPr>
        <w:t>إسرائيل</w:t>
      </w:r>
      <w:r w:rsidRPr="00D557DD">
        <w:rPr>
          <w:rtl/>
          <w:lang w:bidi="ar-JO"/>
        </w:rPr>
        <w:t>,</w:t>
      </w:r>
      <w:proofErr w:type="gramEnd"/>
      <w:r w:rsidRPr="00D557DD">
        <w:rPr>
          <w:rtl/>
          <w:lang w:bidi="ar-JO"/>
        </w:rPr>
        <w:t xml:space="preserve"> </w:t>
      </w:r>
      <w:r w:rsidRPr="00D557DD">
        <w:rPr>
          <w:rFonts w:ascii="Arial" w:hAnsi="Arial" w:cs="Arial" w:hint="cs"/>
          <w:rtl/>
          <w:lang w:bidi="ar-JO"/>
        </w:rPr>
        <w:t>يوليو</w:t>
      </w:r>
      <w:r w:rsidRPr="00D557DD">
        <w:rPr>
          <w:rtl/>
          <w:lang w:bidi="ar-JO"/>
        </w:rPr>
        <w:t xml:space="preserve"> 27, 2005, </w:t>
      </w:r>
      <w:hyperlink r:id="rId1" w:history="1">
        <w:r w:rsidRPr="00D557DD">
          <w:rPr>
            <w:rStyle w:val="Hyperlink"/>
            <w:rFonts w:ascii="David" w:hAnsi="David" w:cs="David"/>
            <w:lang w:bidi="ar-JO"/>
          </w:rPr>
          <w:t>https://</w:t>
        </w:r>
        <w:proofErr w:type="spellStart"/>
        <w:r w:rsidRPr="00D557DD">
          <w:rPr>
            <w:rStyle w:val="Hyperlink"/>
            <w:rFonts w:ascii="David" w:hAnsi="David" w:cs="David"/>
            <w:lang w:bidi="ar-JO"/>
          </w:rPr>
          <w:t>www.adalah.org</w:t>
        </w:r>
        <w:proofErr w:type="spellEnd"/>
        <w:r w:rsidRPr="00D557DD">
          <w:rPr>
            <w:rStyle w:val="Hyperlink"/>
            <w:rFonts w:ascii="David" w:hAnsi="David" w:cs="David"/>
            <w:lang w:bidi="ar-JO"/>
          </w:rPr>
          <w:t>/</w:t>
        </w:r>
        <w:proofErr w:type="spellStart"/>
        <w:r w:rsidRPr="00D557DD">
          <w:rPr>
            <w:rStyle w:val="Hyperlink"/>
            <w:rFonts w:ascii="David" w:hAnsi="David" w:cs="David"/>
            <w:lang w:bidi="ar-JO"/>
          </w:rPr>
          <w:t>ar</w:t>
        </w:r>
        <w:proofErr w:type="spellEnd"/>
        <w:r w:rsidRPr="00D557DD">
          <w:rPr>
            <w:rStyle w:val="Hyperlink"/>
            <w:rFonts w:ascii="David" w:hAnsi="David" w:cs="David"/>
            <w:lang w:bidi="ar-JO"/>
          </w:rPr>
          <w:t>/content/view/713</w:t>
        </w:r>
      </w:hyperlink>
    </w:p>
  </w:footnote>
  <w:footnote w:id="2">
    <w:p w14:paraId="3B2B9014" w14:textId="77777777" w:rsidR="00DB17E5" w:rsidRDefault="00DB17E5" w:rsidP="00067839">
      <w:pPr>
        <w:pStyle w:val="FootnoteText"/>
      </w:pPr>
      <w:r>
        <w:rPr>
          <w:rStyle w:val="FootnoteReference"/>
        </w:rPr>
        <w:footnoteRef/>
      </w:r>
      <w:r>
        <w:rPr>
          <w:rtl/>
        </w:rPr>
        <w:t xml:space="preserve"> </w:t>
      </w:r>
      <w:r w:rsidRPr="00EE1CE0">
        <w:rPr>
          <w:rtl/>
        </w:rPr>
        <w:t>שם, עמ' 22.</w:t>
      </w:r>
    </w:p>
  </w:footnote>
  <w:footnote w:id="3">
    <w:p w14:paraId="11432596" w14:textId="77777777" w:rsidR="00DB17E5" w:rsidRPr="00E260D5" w:rsidRDefault="00DB17E5" w:rsidP="00067839">
      <w:pPr>
        <w:pStyle w:val="FootnoteText"/>
        <w:bidi/>
      </w:pPr>
      <w:r>
        <w:rPr>
          <w:rStyle w:val="FootnoteReference"/>
        </w:rPr>
        <w:footnoteRef/>
      </w:r>
      <w:r>
        <w:rPr>
          <w:rtl/>
        </w:rPr>
        <w:t xml:space="preserve"> </w:t>
      </w:r>
      <w:r w:rsidRPr="00EE1CE0">
        <w:rPr>
          <w:rtl/>
        </w:rPr>
        <w:t xml:space="preserve">עמנואל מרקס, </w:t>
      </w:r>
      <w:r w:rsidRPr="00EE1CE0">
        <w:rPr>
          <w:i/>
          <w:iCs/>
          <w:rtl/>
        </w:rPr>
        <w:t>החברה הבדווית בנגב</w:t>
      </w:r>
      <w:r w:rsidRPr="00EE1CE0">
        <w:rPr>
          <w:rtl/>
        </w:rPr>
        <w:t xml:space="preserve"> (תל אביב: הוצאת רשפים, 1974), 13.</w:t>
      </w:r>
    </w:p>
  </w:footnote>
  <w:footnote w:id="4">
    <w:p w14:paraId="5805A88F" w14:textId="77777777" w:rsidR="00DB17E5" w:rsidRDefault="00DB17E5" w:rsidP="00067839">
      <w:pPr>
        <w:pStyle w:val="FootnoteText"/>
      </w:pPr>
      <w:r>
        <w:rPr>
          <w:rStyle w:val="FootnoteReference"/>
        </w:rPr>
        <w:footnoteRef/>
      </w:r>
      <w:r>
        <w:rPr>
          <w:rtl/>
        </w:rPr>
        <w:t xml:space="preserve"> </w:t>
      </w:r>
      <w:proofErr w:type="gramStart"/>
      <w:r w:rsidRPr="00714355">
        <w:rPr>
          <w:rFonts w:hint="cs"/>
          <w:rtl/>
          <w:lang w:bidi="ar-JO"/>
        </w:rPr>
        <w:t>سواعد</w:t>
      </w:r>
      <w:r w:rsidRPr="00714355">
        <w:rPr>
          <w:rFonts w:ascii="David" w:hAnsi="David" w:cs="David"/>
          <w:rtl/>
          <w:lang w:bidi="ar-JO"/>
        </w:rPr>
        <w:t>,</w:t>
      </w:r>
      <w:proofErr w:type="gramEnd"/>
      <w:r w:rsidRPr="00714355">
        <w:rPr>
          <w:rFonts w:ascii="David" w:hAnsi="David" w:cs="David"/>
          <w:rtl/>
          <w:lang w:bidi="ar-JO"/>
        </w:rPr>
        <w:t xml:space="preserve"> </w:t>
      </w:r>
      <w:r w:rsidRPr="00714355">
        <w:rPr>
          <w:rFonts w:hint="cs"/>
          <w:rtl/>
          <w:lang w:bidi="ar-JO"/>
        </w:rPr>
        <w:t>البدو</w:t>
      </w:r>
      <w:r w:rsidRPr="00714355">
        <w:rPr>
          <w:rFonts w:ascii="David" w:hAnsi="David" w:cs="David"/>
          <w:rtl/>
          <w:lang w:bidi="ar-JO"/>
        </w:rPr>
        <w:t xml:space="preserve"> </w:t>
      </w:r>
      <w:r w:rsidRPr="00714355">
        <w:rPr>
          <w:rFonts w:hint="cs"/>
          <w:rtl/>
          <w:lang w:bidi="ar-JO"/>
        </w:rPr>
        <w:t>في</w:t>
      </w:r>
      <w:r w:rsidRPr="00714355">
        <w:rPr>
          <w:rFonts w:ascii="David" w:hAnsi="David" w:cs="David"/>
          <w:rtl/>
          <w:lang w:bidi="ar-JO"/>
        </w:rPr>
        <w:t xml:space="preserve"> </w:t>
      </w:r>
      <w:r w:rsidRPr="00714355">
        <w:rPr>
          <w:rFonts w:hint="cs"/>
          <w:rtl/>
          <w:lang w:bidi="ar-JO"/>
        </w:rPr>
        <w:t>فلسطين</w:t>
      </w:r>
      <w:r w:rsidRPr="00714355">
        <w:rPr>
          <w:rFonts w:ascii="David" w:hAnsi="David" w:cs="David"/>
          <w:rtl/>
          <w:lang w:bidi="ar-JO"/>
        </w:rPr>
        <w:t xml:space="preserve"> </w:t>
      </w:r>
      <w:r w:rsidRPr="00714355">
        <w:rPr>
          <w:rFonts w:hint="cs"/>
          <w:rtl/>
          <w:lang w:bidi="ar-JO"/>
        </w:rPr>
        <w:t>في</w:t>
      </w:r>
      <w:r w:rsidRPr="00714355">
        <w:rPr>
          <w:rFonts w:ascii="David" w:hAnsi="David" w:cs="David"/>
          <w:rtl/>
          <w:lang w:bidi="ar-JO"/>
        </w:rPr>
        <w:t xml:space="preserve"> </w:t>
      </w:r>
      <w:r w:rsidRPr="00714355">
        <w:rPr>
          <w:rFonts w:hint="cs"/>
          <w:rtl/>
          <w:lang w:bidi="ar-JO"/>
        </w:rPr>
        <w:t>الحقبة</w:t>
      </w:r>
      <w:r w:rsidRPr="00714355">
        <w:rPr>
          <w:rFonts w:ascii="David" w:hAnsi="David" w:cs="David"/>
          <w:rtl/>
          <w:lang w:bidi="ar-JO"/>
        </w:rPr>
        <w:t xml:space="preserve"> </w:t>
      </w:r>
      <w:r w:rsidRPr="00714355">
        <w:rPr>
          <w:rFonts w:hint="cs"/>
          <w:rtl/>
          <w:lang w:bidi="ar-JO"/>
        </w:rPr>
        <w:t>العثمانية</w:t>
      </w:r>
      <w:r w:rsidRPr="00714355">
        <w:rPr>
          <w:rFonts w:ascii="David" w:hAnsi="David" w:cs="David"/>
          <w:rtl/>
          <w:lang w:bidi="ar-JO"/>
        </w:rPr>
        <w:t xml:space="preserve"> (1516- 1914)</w:t>
      </w:r>
      <w:r w:rsidRPr="00714355">
        <w:rPr>
          <w:rFonts w:ascii="David" w:hAnsi="David" w:cs="David"/>
          <w:rtl/>
        </w:rPr>
        <w:t>, 28</w:t>
      </w:r>
    </w:p>
  </w:footnote>
  <w:footnote w:id="5">
    <w:p w14:paraId="6C205136" w14:textId="77777777" w:rsidR="00DB17E5" w:rsidRDefault="00DB17E5" w:rsidP="00067839">
      <w:pPr>
        <w:pStyle w:val="FootnoteText"/>
      </w:pPr>
      <w:r>
        <w:rPr>
          <w:rStyle w:val="FootnoteReference"/>
        </w:rPr>
        <w:footnoteRef/>
      </w:r>
      <w:r>
        <w:rPr>
          <w:rtl/>
        </w:rPr>
        <w:t xml:space="preserve"> </w:t>
      </w:r>
      <w:proofErr w:type="gramStart"/>
      <w:r w:rsidRPr="00303628">
        <w:rPr>
          <w:rFonts w:hint="cs"/>
          <w:rtl/>
          <w:lang w:bidi="ar-JO"/>
        </w:rPr>
        <w:t>سواعد</w:t>
      </w:r>
      <w:r w:rsidRPr="00303628">
        <w:rPr>
          <w:rFonts w:ascii="David" w:hAnsi="David" w:cs="David"/>
          <w:rtl/>
        </w:rPr>
        <w:t>,</w:t>
      </w:r>
      <w:proofErr w:type="gramEnd"/>
      <w:r w:rsidRPr="00303628">
        <w:rPr>
          <w:rFonts w:ascii="David" w:hAnsi="David" w:cs="David"/>
          <w:rtl/>
        </w:rPr>
        <w:t xml:space="preserve"> </w:t>
      </w:r>
      <w:r w:rsidRPr="00303628">
        <w:rPr>
          <w:rFonts w:hint="cs"/>
          <w:rtl/>
          <w:lang w:bidi="ar-JO"/>
        </w:rPr>
        <w:t>عرب</w:t>
      </w:r>
      <w:r w:rsidRPr="00303628">
        <w:rPr>
          <w:rFonts w:ascii="David" w:hAnsi="David" w:cs="David"/>
          <w:rtl/>
          <w:lang w:bidi="ar-JO"/>
        </w:rPr>
        <w:t xml:space="preserve"> </w:t>
      </w:r>
      <w:r w:rsidRPr="00303628">
        <w:rPr>
          <w:rFonts w:hint="cs"/>
          <w:rtl/>
          <w:lang w:bidi="ar-JO"/>
        </w:rPr>
        <w:t>السواعد</w:t>
      </w:r>
      <w:r w:rsidRPr="00303628">
        <w:rPr>
          <w:rFonts w:ascii="David" w:hAnsi="David" w:cs="David"/>
          <w:rtl/>
          <w:lang w:bidi="ar-JO"/>
        </w:rPr>
        <w:t xml:space="preserve">: </w:t>
      </w:r>
      <w:r w:rsidRPr="00303628">
        <w:rPr>
          <w:rFonts w:hint="cs"/>
          <w:rtl/>
          <w:lang w:bidi="ar-JO"/>
        </w:rPr>
        <w:t>الترحال</w:t>
      </w:r>
      <w:r w:rsidRPr="00303628">
        <w:rPr>
          <w:rFonts w:ascii="David" w:hAnsi="David" w:cs="David"/>
          <w:rtl/>
          <w:lang w:bidi="ar-JO"/>
        </w:rPr>
        <w:t xml:space="preserve"> </w:t>
      </w:r>
      <w:r w:rsidRPr="00303628">
        <w:rPr>
          <w:rFonts w:hint="cs"/>
          <w:rtl/>
          <w:lang w:bidi="ar-JO"/>
        </w:rPr>
        <w:t>والاستقرار</w:t>
      </w:r>
      <w:r w:rsidRPr="002319A2">
        <w:rPr>
          <w:rFonts w:ascii="David" w:hAnsi="David" w:cs="David"/>
          <w:rtl/>
        </w:rPr>
        <w:t>, 17</w:t>
      </w:r>
      <w:r>
        <w:rPr>
          <w:rFonts w:ascii="David" w:hAnsi="David" w:cs="David" w:hint="cs"/>
          <w:rtl/>
        </w:rPr>
        <w:t>, 223, 225</w:t>
      </w:r>
    </w:p>
  </w:footnote>
  <w:footnote w:id="6">
    <w:p w14:paraId="2ED86799" w14:textId="6CE735FC" w:rsidR="00DB17E5" w:rsidRPr="002C2370" w:rsidRDefault="00DB17E5" w:rsidP="00067839">
      <w:pPr>
        <w:pStyle w:val="FootnoteText"/>
        <w:bidi/>
      </w:pPr>
      <w:r>
        <w:rPr>
          <w:rStyle w:val="FootnoteReference"/>
        </w:rPr>
        <w:footnoteRef/>
      </w:r>
      <w:r>
        <w:rPr>
          <w:rtl/>
        </w:rPr>
        <w:t xml:space="preserve"> </w:t>
      </w:r>
      <w:r w:rsidRPr="00303628">
        <w:rPr>
          <w:rtl/>
        </w:rPr>
        <w:t xml:space="preserve">יאיר אטינגר, "יורים באוויר והאינדיאנים לא רוצים לברוח," </w:t>
      </w:r>
      <w:r w:rsidRPr="00303628">
        <w:rPr>
          <w:i/>
          <w:iCs/>
          <w:rtl/>
        </w:rPr>
        <w:t>הארץ</w:t>
      </w:r>
      <w:r w:rsidRPr="00303628">
        <w:rPr>
          <w:rtl/>
        </w:rPr>
        <w:t xml:space="preserve">, מאי 23, 2004, </w:t>
      </w:r>
      <w:hyperlink r:id="rId2" w:history="1">
        <w:r w:rsidRPr="00303628">
          <w:rPr>
            <w:rStyle w:val="Hyperlink"/>
            <w:rFonts w:ascii="David" w:hAnsi="David" w:cs="David"/>
          </w:rPr>
          <w:t>https://</w:t>
        </w:r>
        <w:proofErr w:type="spellStart"/>
        <w:r w:rsidRPr="00303628">
          <w:rPr>
            <w:rStyle w:val="Hyperlink"/>
            <w:rFonts w:ascii="David" w:hAnsi="David" w:cs="David"/>
          </w:rPr>
          <w:t>www.haaretz.co.il</w:t>
        </w:r>
        <w:proofErr w:type="spellEnd"/>
        <w:r w:rsidRPr="00303628">
          <w:rPr>
            <w:rStyle w:val="Hyperlink"/>
            <w:rFonts w:ascii="David" w:hAnsi="David" w:cs="David"/>
          </w:rPr>
          <w:t>/news/health/1.968974</w:t>
        </w:r>
      </w:hyperlink>
      <w:r>
        <w:rPr>
          <w:rFonts w:hint="cs"/>
          <w:rtl/>
        </w:rPr>
        <w:t xml:space="preserve">; </w:t>
      </w:r>
      <w:r w:rsidRPr="00303628">
        <w:rPr>
          <w:rtl/>
        </w:rPr>
        <w:t xml:space="preserve">בג"ץ 06/ 6176 </w:t>
      </w:r>
      <w:r w:rsidRPr="00303628">
        <w:rPr>
          <w:b/>
          <w:bCs/>
          <w:rtl/>
        </w:rPr>
        <w:t>כמון- אגודה שיתופית להתיישבות חקלאית נ' המועצה הארצית לתכנון ולבניה</w:t>
      </w:r>
      <w:r w:rsidRPr="00303628">
        <w:rPr>
          <w:rtl/>
        </w:rPr>
        <w:t xml:space="preserve"> (יולי 26, 2006), </w:t>
      </w:r>
      <w:hyperlink r:id="rId3" w:history="1">
        <w:r w:rsidRPr="00303628">
          <w:rPr>
            <w:rStyle w:val="Hyperlink"/>
            <w:rFonts w:ascii="David" w:hAnsi="David" w:cs="David"/>
          </w:rPr>
          <w:t>https://www.adalah.org/uploads/oldfiles/admin/DownLoads/SPics/2787434.pdf</w:t>
        </w:r>
      </w:hyperlink>
      <w:r>
        <w:rPr>
          <w:rFonts w:hint="cs"/>
          <w:rtl/>
        </w:rPr>
        <w:t xml:space="preserve">; </w:t>
      </w:r>
      <w:r w:rsidRPr="00303628">
        <w:rPr>
          <w:rFonts w:ascii="Arial" w:hAnsi="Arial" w:cs="Arial" w:hint="cs"/>
          <w:rtl/>
          <w:lang w:bidi="ar-JO"/>
        </w:rPr>
        <w:t>عراف</w:t>
      </w:r>
      <w:r w:rsidRPr="00303628">
        <w:rPr>
          <w:rtl/>
          <w:lang w:bidi="ar-JO"/>
        </w:rPr>
        <w:t xml:space="preserve">, </w:t>
      </w:r>
      <w:r w:rsidRPr="00303628">
        <w:rPr>
          <w:rFonts w:ascii="Arial" w:hAnsi="Arial" w:cs="Arial" w:hint="cs"/>
          <w:i/>
          <w:iCs/>
          <w:rtl/>
          <w:lang w:bidi="ar-JO"/>
        </w:rPr>
        <w:t>بدو</w:t>
      </w:r>
      <w:r w:rsidRPr="00303628">
        <w:rPr>
          <w:i/>
          <w:iCs/>
          <w:rtl/>
          <w:lang w:bidi="ar-JO"/>
        </w:rPr>
        <w:t xml:space="preserve"> </w:t>
      </w:r>
      <w:r w:rsidRPr="00303628">
        <w:rPr>
          <w:rFonts w:ascii="Arial" w:hAnsi="Arial" w:cs="Arial" w:hint="cs"/>
          <w:i/>
          <w:iCs/>
          <w:rtl/>
          <w:lang w:bidi="ar-JO"/>
        </w:rPr>
        <w:t>مرج</w:t>
      </w:r>
      <w:r w:rsidRPr="00303628">
        <w:rPr>
          <w:i/>
          <w:iCs/>
          <w:rtl/>
          <w:lang w:bidi="ar-JO"/>
        </w:rPr>
        <w:t xml:space="preserve"> </w:t>
      </w:r>
      <w:r w:rsidRPr="00303628">
        <w:rPr>
          <w:rFonts w:ascii="Arial" w:hAnsi="Arial" w:cs="Arial" w:hint="cs"/>
          <w:i/>
          <w:iCs/>
          <w:rtl/>
          <w:lang w:bidi="ar-JO"/>
        </w:rPr>
        <w:t>ابن</w:t>
      </w:r>
      <w:r w:rsidRPr="00303628">
        <w:rPr>
          <w:i/>
          <w:iCs/>
          <w:rtl/>
          <w:lang w:bidi="ar-JO"/>
        </w:rPr>
        <w:t xml:space="preserve"> </w:t>
      </w:r>
      <w:r w:rsidRPr="00303628">
        <w:rPr>
          <w:rFonts w:ascii="Arial" w:hAnsi="Arial" w:cs="Arial" w:hint="cs"/>
          <w:i/>
          <w:iCs/>
          <w:rtl/>
          <w:lang w:bidi="ar-JO"/>
        </w:rPr>
        <w:t>عامر</w:t>
      </w:r>
      <w:r w:rsidRPr="00303628">
        <w:rPr>
          <w:i/>
          <w:iCs/>
          <w:rtl/>
          <w:lang w:bidi="ar-JO"/>
        </w:rPr>
        <w:t xml:space="preserve"> </w:t>
      </w:r>
      <w:r w:rsidRPr="00303628">
        <w:rPr>
          <w:rFonts w:ascii="Arial" w:hAnsi="Arial" w:cs="Arial" w:hint="cs"/>
          <w:i/>
          <w:iCs/>
          <w:rtl/>
          <w:lang w:bidi="ar-JO"/>
        </w:rPr>
        <w:t>والجليلين</w:t>
      </w:r>
      <w:r w:rsidRPr="00303628">
        <w:rPr>
          <w:i/>
          <w:iCs/>
          <w:rtl/>
          <w:lang w:bidi="ar-JO"/>
        </w:rPr>
        <w:t xml:space="preserve"> </w:t>
      </w:r>
      <w:r w:rsidRPr="00303628">
        <w:rPr>
          <w:rFonts w:ascii="Arial" w:hAnsi="Arial" w:cs="Arial" w:hint="cs"/>
          <w:i/>
          <w:iCs/>
          <w:rtl/>
          <w:lang w:bidi="ar-JO"/>
        </w:rPr>
        <w:t>بين</w:t>
      </w:r>
      <w:r w:rsidRPr="00303628">
        <w:rPr>
          <w:i/>
          <w:iCs/>
          <w:rtl/>
          <w:lang w:bidi="ar-JO"/>
        </w:rPr>
        <w:t xml:space="preserve"> </w:t>
      </w:r>
      <w:r w:rsidRPr="00303628">
        <w:rPr>
          <w:rFonts w:ascii="Arial" w:hAnsi="Arial" w:cs="Arial" w:hint="cs"/>
          <w:i/>
          <w:iCs/>
          <w:rtl/>
          <w:lang w:bidi="ar-JO"/>
        </w:rPr>
        <w:t>الماضي</w:t>
      </w:r>
      <w:r w:rsidRPr="00303628">
        <w:rPr>
          <w:i/>
          <w:iCs/>
          <w:rtl/>
          <w:lang w:bidi="ar-JO"/>
        </w:rPr>
        <w:t xml:space="preserve"> </w:t>
      </w:r>
      <w:r w:rsidRPr="00303628">
        <w:rPr>
          <w:rFonts w:ascii="Arial" w:hAnsi="Arial" w:cs="Arial" w:hint="cs"/>
          <w:i/>
          <w:iCs/>
          <w:rtl/>
          <w:lang w:bidi="ar-JO"/>
        </w:rPr>
        <w:t>والحاضر</w:t>
      </w:r>
      <w:r w:rsidRPr="00303628">
        <w:rPr>
          <w:i/>
          <w:iCs/>
          <w:rtl/>
          <w:lang w:bidi="ar-JO"/>
        </w:rPr>
        <w:t>,</w:t>
      </w:r>
      <w:r w:rsidRPr="00303628">
        <w:rPr>
          <w:rtl/>
        </w:rPr>
        <w:t xml:space="preserve"> 179.</w:t>
      </w:r>
    </w:p>
  </w:footnote>
  <w:footnote w:id="7">
    <w:p w14:paraId="3F0B3079" w14:textId="77777777" w:rsidR="00DB17E5" w:rsidRDefault="00DB17E5" w:rsidP="00067839">
      <w:pPr>
        <w:pStyle w:val="FootnoteText"/>
      </w:pPr>
      <w:r>
        <w:rPr>
          <w:rStyle w:val="FootnoteReference"/>
        </w:rPr>
        <w:footnoteRef/>
      </w:r>
      <w:r>
        <w:t xml:space="preserve"> </w:t>
      </w:r>
      <w:proofErr w:type="gramStart"/>
      <w:r w:rsidRPr="00EE1CE0">
        <w:rPr>
          <w:rFonts w:hint="cs"/>
          <w:rtl/>
          <w:lang w:bidi="ar-JO"/>
        </w:rPr>
        <w:t>عراف</w:t>
      </w:r>
      <w:r w:rsidRPr="00EE1CE0">
        <w:rPr>
          <w:rFonts w:ascii="David" w:hAnsi="David" w:cs="David"/>
          <w:rtl/>
          <w:lang w:bidi="ar-JO"/>
        </w:rPr>
        <w:t>,</w:t>
      </w:r>
      <w:proofErr w:type="gramEnd"/>
      <w:r w:rsidRPr="00EE1CE0">
        <w:rPr>
          <w:rFonts w:ascii="David" w:hAnsi="David" w:cs="David"/>
          <w:rtl/>
          <w:lang w:bidi="ar-JO"/>
        </w:rPr>
        <w:t xml:space="preserve"> </w:t>
      </w:r>
      <w:r w:rsidRPr="00EE1CE0">
        <w:rPr>
          <w:rFonts w:hint="cs"/>
          <w:rtl/>
          <w:lang w:bidi="ar-JO"/>
        </w:rPr>
        <w:t>بدو</w:t>
      </w:r>
      <w:r w:rsidRPr="00EE1CE0">
        <w:rPr>
          <w:rFonts w:ascii="David" w:hAnsi="David" w:cs="David"/>
          <w:rtl/>
          <w:lang w:bidi="ar-JO"/>
        </w:rPr>
        <w:t xml:space="preserve"> </w:t>
      </w:r>
      <w:r w:rsidRPr="00EE1CE0">
        <w:rPr>
          <w:rFonts w:hint="cs"/>
          <w:rtl/>
          <w:lang w:bidi="ar-JO"/>
        </w:rPr>
        <w:t>مرج</w:t>
      </w:r>
      <w:r w:rsidRPr="00EE1CE0">
        <w:rPr>
          <w:rFonts w:ascii="David" w:hAnsi="David" w:cs="David"/>
          <w:rtl/>
          <w:lang w:bidi="ar-JO"/>
        </w:rPr>
        <w:t xml:space="preserve"> </w:t>
      </w:r>
      <w:r w:rsidRPr="00EE1CE0">
        <w:rPr>
          <w:rFonts w:hint="cs"/>
          <w:rtl/>
          <w:lang w:bidi="ar-JO"/>
        </w:rPr>
        <w:t>ابن</w:t>
      </w:r>
      <w:r w:rsidRPr="00EE1CE0">
        <w:rPr>
          <w:rFonts w:ascii="David" w:hAnsi="David" w:cs="David"/>
          <w:rtl/>
          <w:lang w:bidi="ar-JO"/>
        </w:rPr>
        <w:t xml:space="preserve"> </w:t>
      </w:r>
      <w:r w:rsidRPr="00EE1CE0">
        <w:rPr>
          <w:rFonts w:hint="cs"/>
          <w:rtl/>
          <w:lang w:bidi="ar-JO"/>
        </w:rPr>
        <w:t>عامر</w:t>
      </w:r>
      <w:r w:rsidRPr="00EE1CE0">
        <w:rPr>
          <w:rFonts w:ascii="David" w:hAnsi="David" w:cs="David"/>
          <w:rtl/>
          <w:lang w:bidi="ar-JO"/>
        </w:rPr>
        <w:t xml:space="preserve"> </w:t>
      </w:r>
      <w:r w:rsidRPr="00EE1CE0">
        <w:rPr>
          <w:rFonts w:hint="cs"/>
          <w:rtl/>
          <w:lang w:bidi="ar-JO"/>
        </w:rPr>
        <w:t>والجليلين</w:t>
      </w:r>
      <w:r w:rsidRPr="00EE1CE0">
        <w:rPr>
          <w:rFonts w:ascii="David" w:hAnsi="David" w:cs="David"/>
          <w:rtl/>
          <w:lang w:bidi="ar-JO"/>
        </w:rPr>
        <w:t xml:space="preserve"> </w:t>
      </w:r>
      <w:r w:rsidRPr="00EE1CE0">
        <w:rPr>
          <w:rFonts w:hint="cs"/>
          <w:rtl/>
          <w:lang w:bidi="ar-JO"/>
        </w:rPr>
        <w:t>بين</w:t>
      </w:r>
      <w:r w:rsidRPr="00EE1CE0">
        <w:rPr>
          <w:rFonts w:ascii="David" w:hAnsi="David" w:cs="David"/>
          <w:rtl/>
          <w:lang w:bidi="ar-JO"/>
        </w:rPr>
        <w:t xml:space="preserve"> </w:t>
      </w:r>
      <w:r w:rsidRPr="00EE1CE0">
        <w:rPr>
          <w:rFonts w:hint="cs"/>
          <w:rtl/>
          <w:lang w:bidi="ar-JO"/>
        </w:rPr>
        <w:t>الماضي</w:t>
      </w:r>
      <w:r w:rsidRPr="00EE1CE0">
        <w:rPr>
          <w:rFonts w:ascii="David" w:hAnsi="David" w:cs="David"/>
          <w:rtl/>
          <w:lang w:bidi="ar-JO"/>
        </w:rPr>
        <w:t xml:space="preserve"> </w:t>
      </w:r>
      <w:r w:rsidRPr="00EE1CE0">
        <w:rPr>
          <w:rFonts w:hint="cs"/>
          <w:rtl/>
          <w:lang w:bidi="ar-JO"/>
        </w:rPr>
        <w:t>والحاضر</w:t>
      </w:r>
      <w:r w:rsidRPr="00EE1CE0">
        <w:rPr>
          <w:rFonts w:ascii="David" w:hAnsi="David" w:cs="David"/>
          <w:rtl/>
          <w:lang w:bidi="ar-JO"/>
        </w:rPr>
        <w:t>,</w:t>
      </w:r>
      <w:r w:rsidRPr="00EE1CE0">
        <w:rPr>
          <w:rFonts w:ascii="David" w:hAnsi="David" w:cs="David"/>
          <w:rtl/>
        </w:rPr>
        <w:t xml:space="preserve"> 176.</w:t>
      </w:r>
    </w:p>
  </w:footnote>
  <w:footnote w:id="8">
    <w:p w14:paraId="2B4F6E45" w14:textId="77777777" w:rsidR="00DB17E5" w:rsidRDefault="00DB17E5" w:rsidP="00067839">
      <w:pPr>
        <w:pStyle w:val="FootnoteText"/>
      </w:pPr>
      <w:r>
        <w:rPr>
          <w:rStyle w:val="FootnoteReference"/>
        </w:rPr>
        <w:footnoteRef/>
      </w:r>
      <w:r>
        <w:t xml:space="preserve"> </w:t>
      </w:r>
      <w:r w:rsidRPr="00771EB8">
        <w:t>Ibid, pp. 32.</w:t>
      </w:r>
    </w:p>
  </w:footnote>
  <w:footnote w:id="9">
    <w:p w14:paraId="21461E84" w14:textId="4EF5A614" w:rsidR="00DB17E5" w:rsidRDefault="00DB17E5" w:rsidP="00067839">
      <w:pPr>
        <w:pStyle w:val="FootnoteText"/>
      </w:pPr>
      <w:r>
        <w:rPr>
          <w:rStyle w:val="FootnoteReference"/>
        </w:rPr>
        <w:footnoteRef/>
      </w:r>
      <w:r>
        <w:t xml:space="preserve"> </w:t>
      </w:r>
      <w:r w:rsidRPr="00771EB8">
        <w:t xml:space="preserve">Falah, "The Processes and Patterns of </w:t>
      </w:r>
      <w:proofErr w:type="spellStart"/>
      <w:r w:rsidRPr="00771EB8">
        <w:t>Sedentarization</w:t>
      </w:r>
      <w:proofErr w:type="spellEnd"/>
      <w:r w:rsidRPr="00771EB8">
        <w:t xml:space="preserve"> of the Galilee Bedouin 1800-1982," 230-232. </w:t>
      </w:r>
    </w:p>
  </w:footnote>
  <w:footnote w:id="10">
    <w:p w14:paraId="1A0D7271" w14:textId="77777777" w:rsidR="00DB17E5" w:rsidRDefault="00DB17E5" w:rsidP="00067839">
      <w:pPr>
        <w:pStyle w:val="FootnoteText"/>
      </w:pPr>
      <w:r>
        <w:rPr>
          <w:rStyle w:val="FootnoteReference"/>
        </w:rPr>
        <w:footnoteRef/>
      </w:r>
      <w:r>
        <w:t xml:space="preserve"> </w:t>
      </w:r>
      <w:r w:rsidRPr="00EE1CE0">
        <w:t xml:space="preserve">Seth J </w:t>
      </w:r>
      <w:proofErr w:type="spellStart"/>
      <w:r>
        <w:t>Frantzman</w:t>
      </w:r>
      <w:proofErr w:type="spellEnd"/>
      <w:r>
        <w:t>, "</w:t>
      </w:r>
      <w:r w:rsidRPr="00EE1CE0">
        <w:t>The Arab Settlement of Late Ottoman and Mandatory Palestine: New Village Formation and Settlement Fixation, 1871-1948," (PhD diss., Hebrew University of Jerusalem, 2010), 285.</w:t>
      </w:r>
      <w:r w:rsidRPr="00EE1CE0">
        <w:rPr>
          <w:rtl/>
        </w:rPr>
        <w:t xml:space="preserve"> </w:t>
      </w:r>
    </w:p>
  </w:footnote>
  <w:footnote w:id="11">
    <w:p w14:paraId="10EC0D47" w14:textId="77777777" w:rsidR="00DB17E5" w:rsidRDefault="00DB17E5" w:rsidP="00067839">
      <w:pPr>
        <w:pStyle w:val="FootnoteText"/>
        <w:rPr>
          <w:rtl/>
        </w:rPr>
      </w:pPr>
      <w:r>
        <w:rPr>
          <w:rStyle w:val="FootnoteReference"/>
        </w:rPr>
        <w:footnoteRef/>
      </w:r>
      <w:r>
        <w:t xml:space="preserve"> </w:t>
      </w:r>
      <w:r w:rsidRPr="00771EB8">
        <w:rPr>
          <w:rtl/>
        </w:rPr>
        <w:t xml:space="preserve">"פקודת הפיקוח על </w:t>
      </w:r>
      <w:proofErr w:type="spellStart"/>
      <w:r w:rsidRPr="00771EB8">
        <w:rPr>
          <w:rtl/>
        </w:rPr>
        <w:t>הבידואים</w:t>
      </w:r>
      <w:proofErr w:type="spellEnd"/>
      <w:r w:rsidRPr="00771EB8">
        <w:rPr>
          <w:rtl/>
        </w:rPr>
        <w:t xml:space="preserve">," </w:t>
      </w:r>
      <w:r w:rsidRPr="00771EB8">
        <w:rPr>
          <w:i/>
          <w:iCs/>
          <w:rtl/>
        </w:rPr>
        <w:t xml:space="preserve">העיתון הרשמי </w:t>
      </w:r>
      <w:r w:rsidRPr="00771EB8">
        <w:rPr>
          <w:rtl/>
        </w:rPr>
        <w:t>מס' 1204- תוספת מס' 1 (יוני 25, 1942): 50- 52.</w:t>
      </w:r>
    </w:p>
  </w:footnote>
  <w:footnote w:id="12">
    <w:p w14:paraId="4AC6276C" w14:textId="77777777" w:rsidR="00DB17E5" w:rsidRDefault="00DB17E5" w:rsidP="00067839">
      <w:pPr>
        <w:pStyle w:val="FootnoteText"/>
      </w:pPr>
      <w:r>
        <w:rPr>
          <w:rStyle w:val="FootnoteReference"/>
        </w:rPr>
        <w:footnoteRef/>
      </w:r>
      <w:r>
        <w:t xml:space="preserve"> </w:t>
      </w:r>
      <w:r w:rsidRPr="00771EB8">
        <w:t xml:space="preserve">Falah, "The Processes and Patterns of </w:t>
      </w:r>
      <w:proofErr w:type="spellStart"/>
      <w:r w:rsidRPr="00771EB8">
        <w:t>Sedentarization</w:t>
      </w:r>
      <w:proofErr w:type="spellEnd"/>
      <w:r w:rsidRPr="00771EB8">
        <w:t xml:space="preserve"> of the Galilee Bedouin 1800-1982," 238-239.</w:t>
      </w:r>
      <w:r w:rsidRPr="00771EB8">
        <w:rPr>
          <w:rtl/>
        </w:rPr>
        <w:t xml:space="preserve"> </w:t>
      </w:r>
    </w:p>
  </w:footnote>
  <w:footnote w:id="13">
    <w:p w14:paraId="2EE330C7" w14:textId="77777777" w:rsidR="00DB17E5" w:rsidRDefault="00DB17E5" w:rsidP="00067839">
      <w:pPr>
        <w:pStyle w:val="FootnoteText"/>
      </w:pPr>
      <w:r>
        <w:rPr>
          <w:rStyle w:val="FootnoteReference"/>
        </w:rPr>
        <w:footnoteRef/>
      </w:r>
      <w:r>
        <w:t xml:space="preserve"> </w:t>
      </w:r>
      <w:r w:rsidRPr="00771EB8">
        <w:rPr>
          <w:rtl/>
        </w:rPr>
        <w:t xml:space="preserve">עמירם אורן ורפי רגב, </w:t>
      </w:r>
      <w:r w:rsidRPr="00771EB8">
        <w:rPr>
          <w:i/>
          <w:iCs/>
          <w:rtl/>
        </w:rPr>
        <w:t>ארץ בחאקי: קרקע וביטחון בישראל</w:t>
      </w:r>
      <w:r w:rsidRPr="00771EB8">
        <w:rPr>
          <w:rtl/>
        </w:rPr>
        <w:t xml:space="preserve"> (ירושלים: כרמל, 2008), 386</w:t>
      </w:r>
    </w:p>
  </w:footnote>
  <w:footnote w:id="14">
    <w:p w14:paraId="5CD31443" w14:textId="77777777" w:rsidR="00DB17E5" w:rsidRDefault="00DB17E5">
      <w:pPr>
        <w:pStyle w:val="FootnoteText"/>
      </w:pPr>
      <w:r>
        <w:rPr>
          <w:rStyle w:val="FootnoteReference"/>
        </w:rPr>
        <w:footnoteRef/>
      </w:r>
      <w:r>
        <w:t xml:space="preserve"> </w:t>
      </w:r>
      <w:r w:rsidRPr="00125644">
        <w:t xml:space="preserve">Muhammad Youssef </w:t>
      </w:r>
      <w:proofErr w:type="spellStart"/>
      <w:r w:rsidRPr="00125644">
        <w:t>Suwaed</w:t>
      </w:r>
      <w:proofErr w:type="spellEnd"/>
      <w:r w:rsidRPr="00125644">
        <w:t xml:space="preserve">, "The Bedouins in the </w:t>
      </w:r>
      <w:proofErr w:type="spellStart"/>
      <w:r w:rsidRPr="00125644">
        <w:t>Galille</w:t>
      </w:r>
      <w:proofErr w:type="spellEnd"/>
      <w:r w:rsidRPr="00125644">
        <w:t xml:space="preserve"> in the War of Independence of Israel 1948-1950," </w:t>
      </w:r>
      <w:r w:rsidRPr="00125644">
        <w:rPr>
          <w:i/>
          <w:iCs/>
        </w:rPr>
        <w:t>Middle Eastern Studies</w:t>
      </w:r>
      <w:r w:rsidRPr="00125644">
        <w:t xml:space="preserve"> 53, no. 2 (2017): 298-300.</w:t>
      </w:r>
    </w:p>
  </w:footnote>
  <w:footnote w:id="15">
    <w:p w14:paraId="28BD439B" w14:textId="40F126A8" w:rsidR="00DB17E5" w:rsidRDefault="00DB17E5">
      <w:pPr>
        <w:pStyle w:val="FootnoteText"/>
      </w:pPr>
      <w:r>
        <w:rPr>
          <w:rStyle w:val="FootnoteReference"/>
        </w:rPr>
        <w:footnoteRef/>
      </w:r>
      <w:r>
        <w:t xml:space="preserve"> </w:t>
      </w:r>
      <w:proofErr w:type="spellStart"/>
      <w:r w:rsidRPr="00125644">
        <w:t>Suwaed</w:t>
      </w:r>
      <w:proofErr w:type="spellEnd"/>
      <w:r w:rsidRPr="00125644">
        <w:t xml:space="preserve">, "The Bedouins in the </w:t>
      </w:r>
      <w:proofErr w:type="spellStart"/>
      <w:r w:rsidRPr="00125644">
        <w:t>Galille</w:t>
      </w:r>
      <w:proofErr w:type="spellEnd"/>
      <w:r w:rsidRPr="00125644">
        <w:t xml:space="preserve"> in the War of Independence of Israel 1948-1950," 310. </w:t>
      </w:r>
    </w:p>
  </w:footnote>
  <w:footnote w:id="16">
    <w:p w14:paraId="7FD74F0C" w14:textId="77777777" w:rsidR="00DB17E5" w:rsidRDefault="00DB17E5">
      <w:pPr>
        <w:pStyle w:val="FootnoteText"/>
      </w:pPr>
      <w:r>
        <w:rPr>
          <w:rStyle w:val="FootnoteReference"/>
        </w:rPr>
        <w:footnoteRef/>
      </w:r>
      <w:r>
        <w:t xml:space="preserve"> </w:t>
      </w:r>
      <w:proofErr w:type="gramStart"/>
      <w:r w:rsidRPr="00125644">
        <w:rPr>
          <w:rFonts w:hint="cs"/>
          <w:rtl/>
          <w:lang w:bidi="ar-JO"/>
        </w:rPr>
        <w:t>سواعد</w:t>
      </w:r>
      <w:r w:rsidRPr="00125644">
        <w:rPr>
          <w:rFonts w:ascii="David" w:hAnsi="David" w:cs="David"/>
          <w:rtl/>
        </w:rPr>
        <w:t>,</w:t>
      </w:r>
      <w:proofErr w:type="gramEnd"/>
      <w:r w:rsidRPr="00125644">
        <w:rPr>
          <w:rFonts w:ascii="David" w:hAnsi="David" w:cs="David"/>
          <w:rtl/>
        </w:rPr>
        <w:t xml:space="preserve"> </w:t>
      </w:r>
      <w:r w:rsidRPr="00125644">
        <w:rPr>
          <w:rFonts w:hint="cs"/>
          <w:rtl/>
          <w:lang w:bidi="ar-JO"/>
        </w:rPr>
        <w:t>عرب</w:t>
      </w:r>
      <w:r w:rsidRPr="00125644">
        <w:rPr>
          <w:rFonts w:ascii="David" w:hAnsi="David" w:cs="David"/>
          <w:rtl/>
          <w:lang w:bidi="ar-JO"/>
        </w:rPr>
        <w:t xml:space="preserve"> </w:t>
      </w:r>
      <w:r w:rsidRPr="00125644">
        <w:rPr>
          <w:rFonts w:hint="cs"/>
          <w:rtl/>
          <w:lang w:bidi="ar-JO"/>
        </w:rPr>
        <w:t>السواعد</w:t>
      </w:r>
      <w:r w:rsidRPr="00125644">
        <w:rPr>
          <w:rFonts w:ascii="David" w:hAnsi="David" w:cs="David"/>
          <w:rtl/>
          <w:lang w:bidi="ar-JO"/>
        </w:rPr>
        <w:t xml:space="preserve">: </w:t>
      </w:r>
      <w:r w:rsidRPr="00125644">
        <w:rPr>
          <w:rFonts w:hint="cs"/>
          <w:rtl/>
          <w:lang w:bidi="ar-JO"/>
        </w:rPr>
        <w:t>الترحال</w:t>
      </w:r>
      <w:r w:rsidRPr="00125644">
        <w:rPr>
          <w:rFonts w:ascii="David" w:hAnsi="David" w:cs="David"/>
          <w:rtl/>
          <w:lang w:bidi="ar-JO"/>
        </w:rPr>
        <w:t xml:space="preserve"> </w:t>
      </w:r>
      <w:r w:rsidRPr="00125644">
        <w:rPr>
          <w:rFonts w:hint="cs"/>
          <w:rtl/>
          <w:lang w:bidi="ar-JO"/>
        </w:rPr>
        <w:t>والاستقرار</w:t>
      </w:r>
      <w:r w:rsidRPr="00125644">
        <w:rPr>
          <w:rFonts w:ascii="David" w:hAnsi="David" w:cs="David"/>
          <w:rtl/>
        </w:rPr>
        <w:t>, 132</w:t>
      </w:r>
    </w:p>
  </w:footnote>
  <w:footnote w:id="17">
    <w:p w14:paraId="020072FA" w14:textId="77777777" w:rsidR="00DB17E5" w:rsidRDefault="00DB17E5">
      <w:pPr>
        <w:pStyle w:val="FootnoteText"/>
      </w:pPr>
      <w:r>
        <w:rPr>
          <w:rStyle w:val="FootnoteReference"/>
        </w:rPr>
        <w:footnoteRef/>
      </w:r>
      <w:r>
        <w:t xml:space="preserve"> </w:t>
      </w:r>
      <w:proofErr w:type="gramStart"/>
      <w:r w:rsidRPr="00125644">
        <w:rPr>
          <w:rFonts w:hint="cs"/>
          <w:rtl/>
          <w:lang w:bidi="ar-JO"/>
        </w:rPr>
        <w:t>سواعد</w:t>
      </w:r>
      <w:r w:rsidRPr="00125644">
        <w:rPr>
          <w:rFonts w:ascii="David" w:hAnsi="David" w:cs="David"/>
          <w:rtl/>
        </w:rPr>
        <w:t>,</w:t>
      </w:r>
      <w:proofErr w:type="gramEnd"/>
      <w:r w:rsidRPr="00125644">
        <w:rPr>
          <w:rFonts w:ascii="David" w:hAnsi="David" w:cs="David"/>
          <w:rtl/>
        </w:rPr>
        <w:t xml:space="preserve"> </w:t>
      </w:r>
      <w:r w:rsidRPr="00125644">
        <w:rPr>
          <w:rFonts w:hint="cs"/>
          <w:rtl/>
          <w:lang w:bidi="ar-JO"/>
        </w:rPr>
        <w:t>عرب</w:t>
      </w:r>
      <w:r w:rsidRPr="00125644">
        <w:rPr>
          <w:rFonts w:ascii="David" w:hAnsi="David" w:cs="David"/>
          <w:rtl/>
          <w:lang w:bidi="ar-JO"/>
        </w:rPr>
        <w:t xml:space="preserve"> </w:t>
      </w:r>
      <w:r w:rsidRPr="00125644">
        <w:rPr>
          <w:rFonts w:hint="cs"/>
          <w:rtl/>
          <w:lang w:bidi="ar-JO"/>
        </w:rPr>
        <w:t>السواعد</w:t>
      </w:r>
      <w:r w:rsidRPr="00125644">
        <w:rPr>
          <w:rFonts w:ascii="David" w:hAnsi="David" w:cs="David"/>
          <w:rtl/>
          <w:lang w:bidi="ar-JO"/>
        </w:rPr>
        <w:t xml:space="preserve">: </w:t>
      </w:r>
      <w:r w:rsidRPr="00125644">
        <w:rPr>
          <w:rFonts w:hint="cs"/>
          <w:rtl/>
          <w:lang w:bidi="ar-JO"/>
        </w:rPr>
        <w:t>الترحال</w:t>
      </w:r>
      <w:r w:rsidRPr="00125644">
        <w:rPr>
          <w:rFonts w:ascii="David" w:hAnsi="David" w:cs="David"/>
          <w:rtl/>
          <w:lang w:bidi="ar-JO"/>
        </w:rPr>
        <w:t xml:space="preserve"> </w:t>
      </w:r>
      <w:r w:rsidRPr="00125644">
        <w:rPr>
          <w:rFonts w:hint="cs"/>
          <w:rtl/>
          <w:lang w:bidi="ar-JO"/>
        </w:rPr>
        <w:t>والاستقرار</w:t>
      </w:r>
      <w:r w:rsidRPr="00125644">
        <w:rPr>
          <w:rFonts w:ascii="David" w:hAnsi="David" w:cs="David"/>
          <w:rtl/>
        </w:rPr>
        <w:t>, 132</w:t>
      </w:r>
    </w:p>
  </w:footnote>
  <w:footnote w:id="18">
    <w:p w14:paraId="66479EC9" w14:textId="77777777" w:rsidR="00DB17E5" w:rsidRDefault="00DB17E5" w:rsidP="006A6808">
      <w:pPr>
        <w:pStyle w:val="FootnoteText"/>
      </w:pPr>
      <w:r>
        <w:rPr>
          <w:rStyle w:val="FootnoteReference"/>
        </w:rPr>
        <w:footnoteRef/>
      </w:r>
      <w:r>
        <w:t xml:space="preserve"> </w:t>
      </w:r>
      <w:r w:rsidRPr="00125644">
        <w:t xml:space="preserve">Falah, "The Processes and Patterns of </w:t>
      </w:r>
      <w:proofErr w:type="spellStart"/>
      <w:r w:rsidRPr="00125644">
        <w:t>Sedentarization</w:t>
      </w:r>
      <w:proofErr w:type="spellEnd"/>
      <w:r w:rsidRPr="00125644">
        <w:t xml:space="preserve"> of the Galilee Bedouin 1800-1982," 268-269.</w:t>
      </w:r>
      <w:r w:rsidRPr="00125644">
        <w:rPr>
          <w:rtl/>
        </w:rPr>
        <w:t xml:space="preserve"> </w:t>
      </w:r>
    </w:p>
  </w:footnote>
  <w:footnote w:id="19">
    <w:p w14:paraId="64A3672D" w14:textId="77777777" w:rsidR="00DB17E5" w:rsidRDefault="00DB17E5">
      <w:pPr>
        <w:pStyle w:val="FootnoteText"/>
      </w:pPr>
      <w:r>
        <w:rPr>
          <w:rStyle w:val="FootnoteReference"/>
        </w:rPr>
        <w:footnoteRef/>
      </w:r>
      <w:r>
        <w:t xml:space="preserve"> </w:t>
      </w:r>
      <w:r>
        <w:rPr>
          <w:rtl/>
        </w:rPr>
        <w:t xml:space="preserve">אורן </w:t>
      </w:r>
      <w:r>
        <w:rPr>
          <w:rFonts w:hint="cs"/>
          <w:rtl/>
        </w:rPr>
        <w:t>ו</w:t>
      </w:r>
      <w:r w:rsidRPr="00771EB8">
        <w:rPr>
          <w:rtl/>
        </w:rPr>
        <w:t>רגב, ארץ בחאקי: קרקע וביטחון בישראל</w:t>
      </w:r>
      <w:r>
        <w:rPr>
          <w:rFonts w:hint="cs"/>
          <w:rtl/>
        </w:rPr>
        <w:t>, 388.</w:t>
      </w:r>
    </w:p>
  </w:footnote>
  <w:footnote w:id="20">
    <w:p w14:paraId="6BBA183D" w14:textId="77777777" w:rsidR="00DB17E5" w:rsidRDefault="00DB17E5" w:rsidP="00425CD2">
      <w:pPr>
        <w:pStyle w:val="FootnoteText"/>
      </w:pPr>
      <w:r>
        <w:rPr>
          <w:rStyle w:val="FootnoteReference"/>
        </w:rPr>
        <w:footnoteRef/>
      </w:r>
      <w:r>
        <w:t xml:space="preserve"> </w:t>
      </w:r>
      <w:r w:rsidRPr="00125644">
        <w:t xml:space="preserve">Falah, "The Processes and Patterns of </w:t>
      </w:r>
      <w:proofErr w:type="spellStart"/>
      <w:r w:rsidRPr="00125644">
        <w:t>Sedentarization</w:t>
      </w:r>
      <w:proofErr w:type="spellEnd"/>
      <w:r w:rsidRPr="00125644">
        <w:t xml:space="preserve"> of the Galilee Bedouin 1800-1982,"</w:t>
      </w:r>
      <w:r>
        <w:t xml:space="preserve"> 269.</w:t>
      </w:r>
      <w:r>
        <w:rPr>
          <w:rtl/>
        </w:rPr>
        <w:t xml:space="preserve"> </w:t>
      </w:r>
    </w:p>
  </w:footnote>
  <w:footnote w:id="21">
    <w:p w14:paraId="5D40D5C4" w14:textId="77777777" w:rsidR="00DB17E5" w:rsidRDefault="00DB17E5">
      <w:pPr>
        <w:pStyle w:val="FootnoteText"/>
      </w:pPr>
      <w:r>
        <w:rPr>
          <w:rStyle w:val="FootnoteReference"/>
        </w:rPr>
        <w:footnoteRef/>
      </w:r>
      <w:r>
        <w:t xml:space="preserve"> </w:t>
      </w:r>
      <w:r w:rsidRPr="00714355">
        <w:rPr>
          <w:rtl/>
        </w:rPr>
        <w:t xml:space="preserve">ודחה </w:t>
      </w:r>
      <w:proofErr w:type="spellStart"/>
      <w:r w:rsidRPr="00714355">
        <w:rPr>
          <w:rtl/>
        </w:rPr>
        <w:t>סואעד</w:t>
      </w:r>
      <w:proofErr w:type="spellEnd"/>
      <w:r w:rsidRPr="00714355">
        <w:rPr>
          <w:rtl/>
        </w:rPr>
        <w:t>, ראיון עם אסף לוי</w:t>
      </w:r>
      <w:r>
        <w:rPr>
          <w:rFonts w:hint="cs"/>
          <w:rtl/>
        </w:rPr>
        <w:t>.</w:t>
      </w:r>
    </w:p>
  </w:footnote>
  <w:footnote w:id="22">
    <w:p w14:paraId="1B55B8EA" w14:textId="77777777" w:rsidR="00DB17E5" w:rsidRDefault="00DB17E5">
      <w:pPr>
        <w:pStyle w:val="FootnoteText"/>
      </w:pPr>
      <w:r>
        <w:rPr>
          <w:rStyle w:val="FootnoteReference"/>
        </w:rPr>
        <w:footnoteRef/>
      </w:r>
      <w:r>
        <w:t xml:space="preserve"> </w:t>
      </w:r>
      <w:proofErr w:type="gramStart"/>
      <w:r w:rsidRPr="00E25544">
        <w:rPr>
          <w:rFonts w:hint="cs"/>
          <w:rtl/>
          <w:lang w:bidi="ar-JO"/>
        </w:rPr>
        <w:t>سواعد</w:t>
      </w:r>
      <w:r w:rsidRPr="00E25544">
        <w:rPr>
          <w:rFonts w:ascii="David" w:hAnsi="David" w:cs="David"/>
          <w:rtl/>
        </w:rPr>
        <w:t>,</w:t>
      </w:r>
      <w:proofErr w:type="gramEnd"/>
      <w:r w:rsidRPr="00E25544">
        <w:rPr>
          <w:rFonts w:ascii="David" w:hAnsi="David" w:cs="David"/>
          <w:rtl/>
        </w:rPr>
        <w:t xml:space="preserve"> </w:t>
      </w:r>
      <w:r w:rsidRPr="00E25544">
        <w:rPr>
          <w:rFonts w:hint="cs"/>
          <w:rtl/>
          <w:lang w:bidi="ar-JO"/>
        </w:rPr>
        <w:t>عرب</w:t>
      </w:r>
      <w:r w:rsidRPr="00E25544">
        <w:rPr>
          <w:rFonts w:ascii="David" w:hAnsi="David" w:cs="David"/>
          <w:rtl/>
          <w:lang w:bidi="ar-JO"/>
        </w:rPr>
        <w:t xml:space="preserve"> </w:t>
      </w:r>
      <w:r w:rsidRPr="00E25544">
        <w:rPr>
          <w:rFonts w:hint="cs"/>
          <w:rtl/>
          <w:lang w:bidi="ar-JO"/>
        </w:rPr>
        <w:t>السواعد</w:t>
      </w:r>
      <w:r w:rsidRPr="00E25544">
        <w:rPr>
          <w:rFonts w:ascii="David" w:hAnsi="David" w:cs="David"/>
          <w:rtl/>
          <w:lang w:bidi="ar-JO"/>
        </w:rPr>
        <w:t xml:space="preserve">: </w:t>
      </w:r>
      <w:r w:rsidRPr="00E25544">
        <w:rPr>
          <w:rFonts w:hint="cs"/>
          <w:rtl/>
          <w:lang w:bidi="ar-JO"/>
        </w:rPr>
        <w:t>الترحال</w:t>
      </w:r>
      <w:r w:rsidRPr="00E25544">
        <w:rPr>
          <w:rFonts w:ascii="David" w:hAnsi="David" w:cs="David"/>
          <w:rtl/>
          <w:lang w:bidi="ar-JO"/>
        </w:rPr>
        <w:t xml:space="preserve"> </w:t>
      </w:r>
      <w:r w:rsidRPr="00E25544">
        <w:rPr>
          <w:rFonts w:hint="cs"/>
          <w:rtl/>
          <w:lang w:bidi="ar-JO"/>
        </w:rPr>
        <w:t>والاستقرار</w:t>
      </w:r>
      <w:r w:rsidRPr="00E25544">
        <w:rPr>
          <w:rFonts w:ascii="David" w:hAnsi="David" w:cs="David"/>
          <w:rtl/>
        </w:rPr>
        <w:t>, 133.</w:t>
      </w:r>
    </w:p>
  </w:footnote>
  <w:footnote w:id="23">
    <w:p w14:paraId="42A3B463" w14:textId="77777777" w:rsidR="00DB17E5" w:rsidRDefault="00DB17E5">
      <w:pPr>
        <w:pStyle w:val="FootnoteText"/>
      </w:pPr>
      <w:r>
        <w:rPr>
          <w:rStyle w:val="FootnoteReference"/>
        </w:rPr>
        <w:footnoteRef/>
      </w:r>
      <w:r>
        <w:t xml:space="preserve"> </w:t>
      </w:r>
      <w:r w:rsidRPr="00E25544">
        <w:rPr>
          <w:rtl/>
        </w:rPr>
        <w:t>אורן ורגב, ארץ בחאקי: קרקע וביטחון בישראל, 386</w:t>
      </w:r>
    </w:p>
  </w:footnote>
  <w:footnote w:id="24">
    <w:p w14:paraId="1D4C0977" w14:textId="77777777" w:rsidR="00DB17E5" w:rsidRDefault="00DB17E5">
      <w:pPr>
        <w:pStyle w:val="FootnoteText"/>
      </w:pPr>
      <w:r>
        <w:rPr>
          <w:rStyle w:val="FootnoteReference"/>
        </w:rPr>
        <w:footnoteRef/>
      </w:r>
      <w:r>
        <w:t xml:space="preserve"> </w:t>
      </w:r>
      <w:proofErr w:type="gramStart"/>
      <w:r w:rsidRPr="00E25544">
        <w:rPr>
          <w:rFonts w:hint="cs"/>
          <w:rtl/>
          <w:lang w:bidi="ar-JO"/>
        </w:rPr>
        <w:t>سواعد</w:t>
      </w:r>
      <w:r w:rsidRPr="00E25544">
        <w:rPr>
          <w:rFonts w:ascii="David" w:hAnsi="David" w:cs="David"/>
          <w:rtl/>
        </w:rPr>
        <w:t>,</w:t>
      </w:r>
      <w:proofErr w:type="gramEnd"/>
      <w:r w:rsidRPr="00E25544">
        <w:rPr>
          <w:rFonts w:ascii="David" w:hAnsi="David" w:cs="David"/>
          <w:rtl/>
        </w:rPr>
        <w:t xml:space="preserve"> </w:t>
      </w:r>
      <w:r w:rsidRPr="00E25544">
        <w:rPr>
          <w:rFonts w:hint="cs"/>
          <w:rtl/>
          <w:lang w:bidi="ar-JO"/>
        </w:rPr>
        <w:t>عرب</w:t>
      </w:r>
      <w:r w:rsidRPr="00E25544">
        <w:rPr>
          <w:rFonts w:ascii="David" w:hAnsi="David" w:cs="David"/>
          <w:rtl/>
          <w:lang w:bidi="ar-JO"/>
        </w:rPr>
        <w:t xml:space="preserve"> </w:t>
      </w:r>
      <w:r w:rsidRPr="00E25544">
        <w:rPr>
          <w:rFonts w:hint="cs"/>
          <w:rtl/>
          <w:lang w:bidi="ar-JO"/>
        </w:rPr>
        <w:t>السواعد</w:t>
      </w:r>
      <w:r w:rsidRPr="00E25544">
        <w:rPr>
          <w:rFonts w:ascii="David" w:hAnsi="David" w:cs="David"/>
          <w:rtl/>
          <w:lang w:bidi="ar-JO"/>
        </w:rPr>
        <w:t xml:space="preserve">: </w:t>
      </w:r>
      <w:r w:rsidRPr="00E25544">
        <w:rPr>
          <w:rFonts w:hint="cs"/>
          <w:rtl/>
          <w:lang w:bidi="ar-JO"/>
        </w:rPr>
        <w:t>الترحال</w:t>
      </w:r>
      <w:r w:rsidRPr="00E25544">
        <w:rPr>
          <w:rFonts w:ascii="David" w:hAnsi="David" w:cs="David"/>
          <w:rtl/>
          <w:lang w:bidi="ar-JO"/>
        </w:rPr>
        <w:t xml:space="preserve"> </w:t>
      </w:r>
      <w:r w:rsidRPr="00E25544">
        <w:rPr>
          <w:rFonts w:hint="cs"/>
          <w:rtl/>
          <w:lang w:bidi="ar-JO"/>
        </w:rPr>
        <w:t>والاستقرار</w:t>
      </w:r>
      <w:r w:rsidRPr="00E25544">
        <w:rPr>
          <w:rFonts w:ascii="David" w:hAnsi="David" w:cs="David"/>
          <w:rtl/>
        </w:rPr>
        <w:t>, 134</w:t>
      </w:r>
    </w:p>
  </w:footnote>
  <w:footnote w:id="25">
    <w:p w14:paraId="0913E95C" w14:textId="7E64C941" w:rsidR="00DB17E5" w:rsidRDefault="00DB17E5">
      <w:pPr>
        <w:pStyle w:val="FootnoteText"/>
      </w:pPr>
      <w:r>
        <w:rPr>
          <w:rStyle w:val="FootnoteReference"/>
        </w:rPr>
        <w:footnoteRef/>
      </w:r>
      <w:r>
        <w:t xml:space="preserve"> </w:t>
      </w:r>
      <w:proofErr w:type="spellStart"/>
      <w:r w:rsidRPr="00E25544">
        <w:t>Medzini</w:t>
      </w:r>
      <w:proofErr w:type="spellEnd"/>
      <w:r w:rsidRPr="00E25544">
        <w:t>, "Tribalism Versus Community Organization: Geography of a Multi-Tribal Bedouin Locality in the Galilee," 242.</w:t>
      </w:r>
      <w:r w:rsidRPr="00E25544">
        <w:rPr>
          <w:rtl/>
        </w:rPr>
        <w:t xml:space="preserve"> </w:t>
      </w:r>
    </w:p>
  </w:footnote>
  <w:footnote w:id="26">
    <w:p w14:paraId="5BEC1AB4" w14:textId="77777777" w:rsidR="00DB17E5" w:rsidRDefault="00DB17E5" w:rsidP="005D2D56">
      <w:pPr>
        <w:pStyle w:val="FootnoteText"/>
      </w:pPr>
      <w:r>
        <w:rPr>
          <w:rStyle w:val="FootnoteReference"/>
        </w:rPr>
        <w:footnoteRef/>
      </w:r>
      <w:r>
        <w:t xml:space="preserve"> </w:t>
      </w:r>
      <w:r w:rsidRPr="00E25544">
        <w:t xml:space="preserve">Falah, "The Processes and Patterns of </w:t>
      </w:r>
      <w:proofErr w:type="spellStart"/>
      <w:r w:rsidRPr="00E25544">
        <w:t>Sedentarization</w:t>
      </w:r>
      <w:proofErr w:type="spellEnd"/>
      <w:r w:rsidRPr="00E25544">
        <w:t xml:space="preserve"> of the Galilee Bedouin 1800-1982," 276-277.</w:t>
      </w:r>
      <w:r w:rsidRPr="00E25544">
        <w:rPr>
          <w:rtl/>
        </w:rPr>
        <w:t xml:space="preserve"> </w:t>
      </w:r>
    </w:p>
  </w:footnote>
  <w:footnote w:id="27">
    <w:p w14:paraId="0BC952A5" w14:textId="77777777" w:rsidR="00DB17E5" w:rsidRPr="00E25544" w:rsidRDefault="00DB17E5" w:rsidP="00B76F24">
      <w:pPr>
        <w:pStyle w:val="FootnoteText"/>
        <w:rPr>
          <w:color w:val="FF0000"/>
          <w:rtl/>
        </w:rPr>
      </w:pPr>
      <w:r>
        <w:rPr>
          <w:rStyle w:val="FootnoteReference"/>
        </w:rPr>
        <w:footnoteRef/>
      </w:r>
      <w:r>
        <w:t xml:space="preserve"> </w:t>
      </w:r>
      <w:r w:rsidRPr="00E25544">
        <w:t xml:space="preserve">Ghazi Falah, "Israeli Judaization Policy in </w:t>
      </w:r>
      <w:proofErr w:type="spellStart"/>
      <w:r w:rsidRPr="00E25544">
        <w:t>Galille</w:t>
      </w:r>
      <w:proofErr w:type="spellEnd"/>
      <w:r w:rsidRPr="00E25544">
        <w:t xml:space="preserve">," </w:t>
      </w:r>
      <w:r w:rsidRPr="00E25544">
        <w:rPr>
          <w:i/>
          <w:iCs/>
        </w:rPr>
        <w:t xml:space="preserve">Journal of Palestine Studies </w:t>
      </w:r>
      <w:r w:rsidRPr="00E25544">
        <w:t>20, no. 4 (1991): 76-77.</w:t>
      </w:r>
    </w:p>
    <w:p w14:paraId="457442F5" w14:textId="77777777" w:rsidR="00DB17E5" w:rsidRDefault="00DB17E5">
      <w:pPr>
        <w:pStyle w:val="FootnoteText"/>
      </w:pPr>
    </w:p>
  </w:footnote>
  <w:footnote w:id="28">
    <w:p w14:paraId="183981A1" w14:textId="77777777" w:rsidR="00DB17E5" w:rsidRDefault="00DB17E5" w:rsidP="00B76F24">
      <w:pPr>
        <w:pStyle w:val="FootnoteText"/>
      </w:pPr>
      <w:r>
        <w:rPr>
          <w:rStyle w:val="FootnoteReference"/>
        </w:rPr>
        <w:footnoteRef/>
      </w:r>
      <w:r>
        <w:t xml:space="preserve"> </w:t>
      </w:r>
      <w:r w:rsidRPr="007C7AB3">
        <w:rPr>
          <w:rtl/>
        </w:rPr>
        <w:t xml:space="preserve">דור אברהם, "מפעל המצפים בגליל עשרים שנה אחרי," </w:t>
      </w:r>
      <w:r w:rsidRPr="007C7AB3">
        <w:rPr>
          <w:i/>
          <w:iCs/>
          <w:rtl/>
        </w:rPr>
        <w:t>עיונים בביטחון לאומי: הקתדרה הגאו-אסטרטגית אוניברסיטת חיפה</w:t>
      </w:r>
      <w:r w:rsidRPr="007C7AB3">
        <w:rPr>
          <w:rtl/>
        </w:rPr>
        <w:t xml:space="preserve"> 6 (2004): 55.</w:t>
      </w:r>
    </w:p>
  </w:footnote>
  <w:footnote w:id="29">
    <w:p w14:paraId="712EC20C" w14:textId="77777777" w:rsidR="00DB17E5" w:rsidRDefault="00DB17E5">
      <w:pPr>
        <w:pStyle w:val="FootnoteText"/>
      </w:pPr>
      <w:r>
        <w:rPr>
          <w:rStyle w:val="FootnoteReference"/>
        </w:rPr>
        <w:footnoteRef/>
      </w:r>
      <w:r>
        <w:t xml:space="preserve"> </w:t>
      </w:r>
      <w:r w:rsidRPr="007C7AB3">
        <w:t xml:space="preserve">Falah, "The Processes and Patterns of </w:t>
      </w:r>
      <w:proofErr w:type="spellStart"/>
      <w:r w:rsidRPr="007C7AB3">
        <w:t>Sedentarization</w:t>
      </w:r>
      <w:proofErr w:type="spellEnd"/>
      <w:r w:rsidRPr="007C7AB3">
        <w:t xml:space="preserve"> of the Galilee Bedouin 1800-1982," 314</w:t>
      </w:r>
    </w:p>
  </w:footnote>
  <w:footnote w:id="30">
    <w:p w14:paraId="29D727EB" w14:textId="77777777" w:rsidR="00DB17E5" w:rsidRDefault="00DB17E5" w:rsidP="0096509C">
      <w:pPr>
        <w:pStyle w:val="FootnoteText"/>
      </w:pPr>
      <w:r>
        <w:rPr>
          <w:rStyle w:val="FootnoteReference"/>
        </w:rPr>
        <w:footnoteRef/>
      </w:r>
      <w:r>
        <w:t xml:space="preserve"> </w:t>
      </w:r>
      <w:r w:rsidRPr="007C7AB3">
        <w:t xml:space="preserve">Falah, "The Processes and Patterns of </w:t>
      </w:r>
      <w:proofErr w:type="spellStart"/>
      <w:r w:rsidRPr="007C7AB3">
        <w:t>Sedentarization</w:t>
      </w:r>
      <w:proofErr w:type="spellEnd"/>
      <w:r w:rsidRPr="007C7AB3">
        <w:t xml:space="preserve"> of the Galilee Bedouin 1800-1982," 314.</w:t>
      </w:r>
      <w:r w:rsidRPr="007C7AB3">
        <w:rPr>
          <w:rtl/>
        </w:rPr>
        <w:t xml:space="preserve"> </w:t>
      </w:r>
    </w:p>
  </w:footnote>
  <w:footnote w:id="31">
    <w:p w14:paraId="3E232907" w14:textId="77777777" w:rsidR="00DB17E5" w:rsidRDefault="00DB17E5">
      <w:pPr>
        <w:pStyle w:val="FootnoteText"/>
      </w:pPr>
      <w:r>
        <w:rPr>
          <w:rStyle w:val="FootnoteReference"/>
        </w:rPr>
        <w:footnoteRef/>
      </w:r>
      <w:r>
        <w:t xml:space="preserve"> </w:t>
      </w:r>
      <w:r w:rsidRPr="00714355">
        <w:rPr>
          <w:rtl/>
        </w:rPr>
        <w:t xml:space="preserve">ודחה </w:t>
      </w:r>
      <w:proofErr w:type="spellStart"/>
      <w:r w:rsidRPr="00714355">
        <w:rPr>
          <w:rtl/>
        </w:rPr>
        <w:t>סואעד</w:t>
      </w:r>
      <w:proofErr w:type="spellEnd"/>
      <w:r w:rsidRPr="00714355">
        <w:rPr>
          <w:rtl/>
        </w:rPr>
        <w:t>, ראיון עם אסף לוי</w:t>
      </w:r>
      <w:r>
        <w:rPr>
          <w:rFonts w:hint="cs"/>
          <w:rtl/>
        </w:rPr>
        <w:t>.</w:t>
      </w:r>
    </w:p>
  </w:footnote>
  <w:footnote w:id="32">
    <w:p w14:paraId="65E9D665" w14:textId="77777777" w:rsidR="00DB17E5" w:rsidRDefault="00DB17E5" w:rsidP="00B35F3D">
      <w:pPr>
        <w:pStyle w:val="FootnoteText"/>
      </w:pPr>
      <w:r>
        <w:rPr>
          <w:rStyle w:val="FootnoteReference"/>
        </w:rPr>
        <w:footnoteRef/>
      </w:r>
      <w:r>
        <w:t xml:space="preserve"> </w:t>
      </w:r>
      <w:r w:rsidRPr="007C7AB3">
        <w:t xml:space="preserve">Falah, "The Processes and Patterns of </w:t>
      </w:r>
      <w:proofErr w:type="spellStart"/>
      <w:r w:rsidRPr="007C7AB3">
        <w:t>Sedentarization</w:t>
      </w:r>
      <w:proofErr w:type="spellEnd"/>
      <w:r w:rsidRPr="007C7AB3">
        <w:t xml:space="preserve"> of the Galilee Bedouin 1800-1982," 373.</w:t>
      </w:r>
      <w:r w:rsidRPr="007C7AB3">
        <w:rPr>
          <w:rt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400EA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8B681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3DE2D5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77648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5C07C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D4E6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6989E3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8E94E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AE0F5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882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B366DF"/>
    <w:multiLevelType w:val="multilevel"/>
    <w:tmpl w:val="0950BB52"/>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D81676"/>
    <w:multiLevelType w:val="multilevel"/>
    <w:tmpl w:val="CE82D7B4"/>
    <w:styleLink w:val="newheadings"/>
    <w:lvl w:ilvl="0">
      <w:start w:val="1"/>
      <w:numFmt w:val="decimal"/>
      <w:lvlText w:val="%1."/>
      <w:lvlJc w:val="left"/>
      <w:pPr>
        <w:ind w:left="357" w:hanging="357"/>
      </w:pPr>
      <w:rPr>
        <w:rFonts w:hint="default"/>
      </w:rPr>
    </w:lvl>
    <w:lvl w:ilvl="1">
      <w:start w:val="1"/>
      <w:numFmt w:val="decimal"/>
      <w:lvlRestart w:val="0"/>
      <w:lvlText w:val="%1.%2"/>
      <w:lvlJc w:val="left"/>
      <w:pPr>
        <w:ind w:left="357" w:hanging="357"/>
      </w:pPr>
      <w:rPr>
        <w:rFonts w:hint="default"/>
      </w:rPr>
    </w:lvl>
    <w:lvl w:ilvl="2">
      <w:start w:val="1"/>
      <w:numFmt w:val="lowerLetter"/>
      <w:lvlText w:val="%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2" w15:restartNumberingAfterBreak="0">
    <w:nsid w:val="227A5BF1"/>
    <w:multiLevelType w:val="hybridMultilevel"/>
    <w:tmpl w:val="17DA86E4"/>
    <w:lvl w:ilvl="0" w:tplc="4B0ECB2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AC12B5"/>
    <w:multiLevelType w:val="multilevel"/>
    <w:tmpl w:val="A94086E0"/>
    <w:lvl w:ilvl="0">
      <w:start w:val="1"/>
      <w:numFmt w:val="decimal"/>
      <w:pStyle w:val="Heading2"/>
      <w:lvlText w:val="%1."/>
      <w:lvlJc w:val="left"/>
      <w:pPr>
        <w:ind w:left="360" w:hanging="360"/>
      </w:pPr>
      <w:rPr>
        <w:rFonts w:hint="default"/>
      </w:rPr>
    </w:lvl>
    <w:lvl w:ilvl="1">
      <w:start w:val="1"/>
      <w:numFmt w:val="decimal"/>
      <w:lvlRestart w:val="0"/>
      <w:lvlText w:val="%1.3."/>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53D71370"/>
    <w:multiLevelType w:val="hybridMultilevel"/>
    <w:tmpl w:val="B9A2FA50"/>
    <w:lvl w:ilvl="0" w:tplc="80E0AA26">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0044BBD"/>
    <w:multiLevelType w:val="multilevel"/>
    <w:tmpl w:val="8C8C5A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883FBF"/>
    <w:multiLevelType w:val="multilevel"/>
    <w:tmpl w:val="F4FC29A8"/>
    <w:lvl w:ilvl="0">
      <w:start w:val="1"/>
      <w:numFmt w:val="decimal"/>
      <w:lvlText w:val="%1."/>
      <w:lvlJc w:val="left"/>
      <w:pPr>
        <w:ind w:left="360" w:hanging="360"/>
      </w:pPr>
      <w:rPr>
        <w:rFonts w:hint="default"/>
      </w:rPr>
    </w:lvl>
    <w:lvl w:ilvl="1">
      <w:start w:val="1"/>
      <w:numFmt w:val="decimal"/>
      <w:lvlRestart w:val="0"/>
      <w:lvlText w:val="%2.%1"/>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2093352874">
    <w:abstractNumId w:val="12"/>
  </w:num>
  <w:num w:numId="2" w16cid:durableId="1843887863">
    <w:abstractNumId w:val="10"/>
  </w:num>
  <w:num w:numId="3" w16cid:durableId="539166583">
    <w:abstractNumId w:val="10"/>
  </w:num>
  <w:num w:numId="4" w16cid:durableId="2020308215">
    <w:abstractNumId w:val="15"/>
  </w:num>
  <w:num w:numId="5" w16cid:durableId="1296374635">
    <w:abstractNumId w:val="16"/>
  </w:num>
  <w:num w:numId="6" w16cid:durableId="2098016559">
    <w:abstractNumId w:val="16"/>
  </w:num>
  <w:num w:numId="7" w16cid:durableId="383722367">
    <w:abstractNumId w:val="13"/>
  </w:num>
  <w:num w:numId="8" w16cid:durableId="2142334558">
    <w:abstractNumId w:val="13"/>
  </w:num>
  <w:num w:numId="9" w16cid:durableId="346057419">
    <w:abstractNumId w:val="13"/>
  </w:num>
  <w:num w:numId="10" w16cid:durableId="805970001">
    <w:abstractNumId w:val="13"/>
  </w:num>
  <w:num w:numId="11" w16cid:durableId="1732848463">
    <w:abstractNumId w:val="13"/>
  </w:num>
  <w:num w:numId="12" w16cid:durableId="1744915370">
    <w:abstractNumId w:val="13"/>
  </w:num>
  <w:num w:numId="13" w16cid:durableId="1802846690">
    <w:abstractNumId w:val="11"/>
  </w:num>
  <w:num w:numId="14" w16cid:durableId="718625378">
    <w:abstractNumId w:val="12"/>
  </w:num>
  <w:num w:numId="15" w16cid:durableId="2095778736">
    <w:abstractNumId w:val="12"/>
  </w:num>
  <w:num w:numId="16" w16cid:durableId="1919972683">
    <w:abstractNumId w:val="14"/>
  </w:num>
  <w:num w:numId="17" w16cid:durableId="192349281">
    <w:abstractNumId w:val="9"/>
  </w:num>
  <w:num w:numId="18" w16cid:durableId="246232884">
    <w:abstractNumId w:val="7"/>
  </w:num>
  <w:num w:numId="19" w16cid:durableId="1933974715">
    <w:abstractNumId w:val="6"/>
  </w:num>
  <w:num w:numId="20" w16cid:durableId="728770885">
    <w:abstractNumId w:val="5"/>
  </w:num>
  <w:num w:numId="21" w16cid:durableId="793987372">
    <w:abstractNumId w:val="4"/>
  </w:num>
  <w:num w:numId="22" w16cid:durableId="1935743592">
    <w:abstractNumId w:val="8"/>
  </w:num>
  <w:num w:numId="23" w16cid:durableId="1401172151">
    <w:abstractNumId w:val="3"/>
  </w:num>
  <w:num w:numId="24" w16cid:durableId="299580873">
    <w:abstractNumId w:val="2"/>
  </w:num>
  <w:num w:numId="25" w16cid:durableId="1753433955">
    <w:abstractNumId w:val="1"/>
  </w:num>
  <w:num w:numId="26" w16cid:durableId="17333809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
    <w15:presenceInfo w15:providerId="None" w15:userId="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6"/>
  <w:doNotDisplayPageBoundaries/>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M1MjI0sDAyMTM1MTFR0lEKTi0uzszPAykwqgUAiUhTtCwAAAA="/>
  </w:docVars>
  <w:rsids>
    <w:rsidRoot w:val="00BB7E14"/>
    <w:rsid w:val="00043648"/>
    <w:rsid w:val="00046782"/>
    <w:rsid w:val="0005441E"/>
    <w:rsid w:val="0006180D"/>
    <w:rsid w:val="000626DD"/>
    <w:rsid w:val="00062825"/>
    <w:rsid w:val="00067839"/>
    <w:rsid w:val="00074186"/>
    <w:rsid w:val="00094692"/>
    <w:rsid w:val="00097268"/>
    <w:rsid w:val="000B6817"/>
    <w:rsid w:val="000D582E"/>
    <w:rsid w:val="000E0C24"/>
    <w:rsid w:val="000E78A9"/>
    <w:rsid w:val="000F5A52"/>
    <w:rsid w:val="001108C2"/>
    <w:rsid w:val="001157DD"/>
    <w:rsid w:val="00120347"/>
    <w:rsid w:val="001206D0"/>
    <w:rsid w:val="00176B30"/>
    <w:rsid w:val="001947F3"/>
    <w:rsid w:val="001A0C48"/>
    <w:rsid w:val="001C3996"/>
    <w:rsid w:val="001F6A4F"/>
    <w:rsid w:val="00200980"/>
    <w:rsid w:val="0022117B"/>
    <w:rsid w:val="00230BBD"/>
    <w:rsid w:val="00243CB1"/>
    <w:rsid w:val="00266A7F"/>
    <w:rsid w:val="002829EB"/>
    <w:rsid w:val="002829F1"/>
    <w:rsid w:val="0028361E"/>
    <w:rsid w:val="00283D21"/>
    <w:rsid w:val="002C2370"/>
    <w:rsid w:val="002E0135"/>
    <w:rsid w:val="002E5DDB"/>
    <w:rsid w:val="002F213F"/>
    <w:rsid w:val="002F232B"/>
    <w:rsid w:val="002F5668"/>
    <w:rsid w:val="0032376B"/>
    <w:rsid w:val="00341B22"/>
    <w:rsid w:val="00356715"/>
    <w:rsid w:val="00383CB4"/>
    <w:rsid w:val="00386750"/>
    <w:rsid w:val="003A2C07"/>
    <w:rsid w:val="003A5F07"/>
    <w:rsid w:val="00425CD2"/>
    <w:rsid w:val="00426E21"/>
    <w:rsid w:val="00435C73"/>
    <w:rsid w:val="00461779"/>
    <w:rsid w:val="004813DD"/>
    <w:rsid w:val="00491E3B"/>
    <w:rsid w:val="004B1D3D"/>
    <w:rsid w:val="004B477B"/>
    <w:rsid w:val="004C1218"/>
    <w:rsid w:val="004D1B27"/>
    <w:rsid w:val="004D1CCB"/>
    <w:rsid w:val="004E33AB"/>
    <w:rsid w:val="004E3D36"/>
    <w:rsid w:val="004F13D6"/>
    <w:rsid w:val="004F4249"/>
    <w:rsid w:val="00503200"/>
    <w:rsid w:val="00504C97"/>
    <w:rsid w:val="005123C7"/>
    <w:rsid w:val="00534622"/>
    <w:rsid w:val="005619A8"/>
    <w:rsid w:val="00587F25"/>
    <w:rsid w:val="00594DFF"/>
    <w:rsid w:val="005D2797"/>
    <w:rsid w:val="005D2D56"/>
    <w:rsid w:val="005D353D"/>
    <w:rsid w:val="005D4899"/>
    <w:rsid w:val="00604AA9"/>
    <w:rsid w:val="00621874"/>
    <w:rsid w:val="006242E3"/>
    <w:rsid w:val="00634AFC"/>
    <w:rsid w:val="0064549F"/>
    <w:rsid w:val="0064662E"/>
    <w:rsid w:val="00653325"/>
    <w:rsid w:val="006539C1"/>
    <w:rsid w:val="00676CDC"/>
    <w:rsid w:val="006816E9"/>
    <w:rsid w:val="00683F3A"/>
    <w:rsid w:val="00696270"/>
    <w:rsid w:val="006A6808"/>
    <w:rsid w:val="006B3953"/>
    <w:rsid w:val="006B6B6D"/>
    <w:rsid w:val="006C1175"/>
    <w:rsid w:val="006C5332"/>
    <w:rsid w:val="006D775D"/>
    <w:rsid w:val="006F556C"/>
    <w:rsid w:val="006F78A5"/>
    <w:rsid w:val="00707402"/>
    <w:rsid w:val="00727404"/>
    <w:rsid w:val="0075181A"/>
    <w:rsid w:val="00756192"/>
    <w:rsid w:val="00782E42"/>
    <w:rsid w:val="00784CF1"/>
    <w:rsid w:val="0078569B"/>
    <w:rsid w:val="00790812"/>
    <w:rsid w:val="00796FC7"/>
    <w:rsid w:val="007C071A"/>
    <w:rsid w:val="007C3458"/>
    <w:rsid w:val="007D0B0E"/>
    <w:rsid w:val="007D552C"/>
    <w:rsid w:val="007D5F46"/>
    <w:rsid w:val="007E7F0F"/>
    <w:rsid w:val="007F7A05"/>
    <w:rsid w:val="00816427"/>
    <w:rsid w:val="00822D7E"/>
    <w:rsid w:val="0082314C"/>
    <w:rsid w:val="00824C46"/>
    <w:rsid w:val="008420B9"/>
    <w:rsid w:val="0084393C"/>
    <w:rsid w:val="008766BF"/>
    <w:rsid w:val="00880FAD"/>
    <w:rsid w:val="008831EA"/>
    <w:rsid w:val="00887BCC"/>
    <w:rsid w:val="008A75FC"/>
    <w:rsid w:val="008B6893"/>
    <w:rsid w:val="008C0BB7"/>
    <w:rsid w:val="008C1BCA"/>
    <w:rsid w:val="008E3716"/>
    <w:rsid w:val="008E3AE0"/>
    <w:rsid w:val="00942BFB"/>
    <w:rsid w:val="00943282"/>
    <w:rsid w:val="00957C47"/>
    <w:rsid w:val="0096509C"/>
    <w:rsid w:val="00975DC9"/>
    <w:rsid w:val="0099246C"/>
    <w:rsid w:val="0099474D"/>
    <w:rsid w:val="009B720E"/>
    <w:rsid w:val="009C7D90"/>
    <w:rsid w:val="009F32C5"/>
    <w:rsid w:val="00A07004"/>
    <w:rsid w:val="00A07989"/>
    <w:rsid w:val="00A34CE6"/>
    <w:rsid w:val="00A3741B"/>
    <w:rsid w:val="00A65497"/>
    <w:rsid w:val="00A813FB"/>
    <w:rsid w:val="00AB781D"/>
    <w:rsid w:val="00AC12AB"/>
    <w:rsid w:val="00AD7B03"/>
    <w:rsid w:val="00AF2BA4"/>
    <w:rsid w:val="00AF4D60"/>
    <w:rsid w:val="00B12FEE"/>
    <w:rsid w:val="00B22F81"/>
    <w:rsid w:val="00B2517D"/>
    <w:rsid w:val="00B3237A"/>
    <w:rsid w:val="00B35F3D"/>
    <w:rsid w:val="00B40CEC"/>
    <w:rsid w:val="00B52A5E"/>
    <w:rsid w:val="00B76F24"/>
    <w:rsid w:val="00B82567"/>
    <w:rsid w:val="00B974BC"/>
    <w:rsid w:val="00BA05BE"/>
    <w:rsid w:val="00BA099F"/>
    <w:rsid w:val="00BA34AC"/>
    <w:rsid w:val="00BA508F"/>
    <w:rsid w:val="00BB2473"/>
    <w:rsid w:val="00BB2CDD"/>
    <w:rsid w:val="00BB3330"/>
    <w:rsid w:val="00BB7E14"/>
    <w:rsid w:val="00BC23EF"/>
    <w:rsid w:val="00BC2D3B"/>
    <w:rsid w:val="00BE10B1"/>
    <w:rsid w:val="00BF05A0"/>
    <w:rsid w:val="00BF05FD"/>
    <w:rsid w:val="00BF3539"/>
    <w:rsid w:val="00C17278"/>
    <w:rsid w:val="00C2358A"/>
    <w:rsid w:val="00C250DB"/>
    <w:rsid w:val="00C2533F"/>
    <w:rsid w:val="00C5277F"/>
    <w:rsid w:val="00C741DA"/>
    <w:rsid w:val="00C80C17"/>
    <w:rsid w:val="00CC02A7"/>
    <w:rsid w:val="00CC55BD"/>
    <w:rsid w:val="00CD22E4"/>
    <w:rsid w:val="00CF3C0B"/>
    <w:rsid w:val="00D0670E"/>
    <w:rsid w:val="00D13273"/>
    <w:rsid w:val="00D2147D"/>
    <w:rsid w:val="00D247E2"/>
    <w:rsid w:val="00D271A0"/>
    <w:rsid w:val="00D4119E"/>
    <w:rsid w:val="00D43792"/>
    <w:rsid w:val="00D8756E"/>
    <w:rsid w:val="00D9321E"/>
    <w:rsid w:val="00D94989"/>
    <w:rsid w:val="00DB0135"/>
    <w:rsid w:val="00DB17E5"/>
    <w:rsid w:val="00DB7939"/>
    <w:rsid w:val="00DC0BDD"/>
    <w:rsid w:val="00DC7848"/>
    <w:rsid w:val="00DE0333"/>
    <w:rsid w:val="00DE6517"/>
    <w:rsid w:val="00E06C6A"/>
    <w:rsid w:val="00E260D5"/>
    <w:rsid w:val="00E406FE"/>
    <w:rsid w:val="00E42202"/>
    <w:rsid w:val="00E4701E"/>
    <w:rsid w:val="00E50E58"/>
    <w:rsid w:val="00E87006"/>
    <w:rsid w:val="00EA0467"/>
    <w:rsid w:val="00EC65C7"/>
    <w:rsid w:val="00EE0D2B"/>
    <w:rsid w:val="00EF0415"/>
    <w:rsid w:val="00F120D1"/>
    <w:rsid w:val="00F13C12"/>
    <w:rsid w:val="00F16DCA"/>
    <w:rsid w:val="00F35FFD"/>
    <w:rsid w:val="00F365D8"/>
    <w:rsid w:val="00F423A3"/>
    <w:rsid w:val="00F4669E"/>
    <w:rsid w:val="00F6195F"/>
    <w:rsid w:val="00F6255D"/>
    <w:rsid w:val="00F73492"/>
    <w:rsid w:val="00F77F19"/>
    <w:rsid w:val="00F842EE"/>
    <w:rsid w:val="00F8459D"/>
    <w:rsid w:val="00F84D8D"/>
    <w:rsid w:val="00F945BB"/>
    <w:rsid w:val="00FB49E9"/>
    <w:rsid w:val="00FC47D2"/>
    <w:rsid w:val="00FE178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46">
      <o:colormenu v:ext="edit" fillcolor="none [3212]"/>
    </o:shapedefaults>
    <o:shapelayout v:ext="edit">
      <o:idmap v:ext="edit" data="1"/>
    </o:shapelayout>
  </w:shapeDefaults>
  <w:decimalSymbol w:val="."/>
  <w:listSeparator w:val=","/>
  <w14:docId w14:val="2A720571"/>
  <w15:docId w15:val="{771DCDF6-CD57-4186-AC09-9364CF23E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GB" w:eastAsia="en-GB"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839"/>
    <w:pPr>
      <w:spacing w:after="0" w:line="360" w:lineRule="auto"/>
    </w:pPr>
    <w:rPr>
      <w:rFonts w:asciiTheme="majorBidi" w:eastAsiaTheme="minorHAnsi" w:hAnsiTheme="majorBidi" w:cstheme="majorBidi"/>
      <w:sz w:val="24"/>
      <w:szCs w:val="24"/>
      <w:lang w:val="en-US" w:eastAsia="en-US"/>
    </w:rPr>
  </w:style>
  <w:style w:type="paragraph" w:styleId="Heading1">
    <w:name w:val="heading 1"/>
    <w:basedOn w:val="Normal"/>
    <w:next w:val="Normal"/>
    <w:link w:val="Heading1Char"/>
    <w:uiPriority w:val="9"/>
    <w:qFormat/>
    <w:rsid w:val="0084393C"/>
    <w:pPr>
      <w:keepNext/>
      <w:keepLines/>
      <w:spacing w:before="120" w:after="120"/>
      <w:outlineLvl w:val="0"/>
    </w:pPr>
    <w:rPr>
      <w:rFonts w:eastAsiaTheme="majorEastAsia"/>
      <w:b/>
      <w:bCs/>
      <w:u w:val="single"/>
      <w:lang w:val="en-GB" w:eastAsia="en-GB"/>
    </w:rPr>
  </w:style>
  <w:style w:type="paragraph" w:styleId="Heading2">
    <w:name w:val="heading 2"/>
    <w:basedOn w:val="Normal"/>
    <w:next w:val="Normal"/>
    <w:link w:val="Heading2Char"/>
    <w:uiPriority w:val="9"/>
    <w:unhideWhenUsed/>
    <w:qFormat/>
    <w:rsid w:val="001108C2"/>
    <w:pPr>
      <w:keepNext/>
      <w:numPr>
        <w:numId w:val="10"/>
      </w:numPr>
      <w:spacing w:before="240" w:after="60"/>
      <w:outlineLvl w:val="1"/>
    </w:pPr>
    <w:rPr>
      <w:rFonts w:eastAsia="Times New Roman"/>
      <w:b/>
      <w:bCs/>
      <w:i/>
      <w:iCs/>
      <w:sz w:val="22"/>
      <w:szCs w:val="22"/>
      <w:lang w:val="en-GB" w:eastAsia="en-GB"/>
    </w:rPr>
  </w:style>
  <w:style w:type="paragraph" w:styleId="Heading3">
    <w:name w:val="heading 3"/>
    <w:basedOn w:val="Heading2"/>
    <w:next w:val="Normal"/>
    <w:link w:val="Heading3Char"/>
    <w:uiPriority w:val="9"/>
    <w:semiHidden/>
    <w:unhideWhenUsed/>
    <w:qFormat/>
    <w:rsid w:val="00796FC7"/>
    <w:pPr>
      <w:keepLines/>
      <w:numPr>
        <w:ilvl w:val="2"/>
      </w:numPr>
      <w:spacing w:before="40" w:after="0"/>
      <w:outlineLvl w:val="2"/>
    </w:pPr>
    <w:rPr>
      <w:rFonts w:asciiTheme="majorHAnsi" w:eastAsiaTheme="majorEastAsia" w:hAnsiTheme="majorHAns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93C"/>
    <w:rPr>
      <w:rFonts w:asciiTheme="majorBidi" w:eastAsiaTheme="majorEastAsia" w:hAnsiTheme="majorBidi" w:cstheme="majorBidi"/>
      <w:b/>
      <w:bCs/>
      <w:sz w:val="24"/>
      <w:szCs w:val="24"/>
      <w:u w:val="single"/>
    </w:rPr>
  </w:style>
  <w:style w:type="paragraph" w:styleId="Title">
    <w:name w:val="Title"/>
    <w:basedOn w:val="Normal"/>
    <w:next w:val="Normal"/>
    <w:link w:val="TitleChar"/>
    <w:uiPriority w:val="10"/>
    <w:qFormat/>
    <w:rsid w:val="00957C47"/>
    <w:pPr>
      <w:contextualSpacing/>
      <w:jc w:val="center"/>
    </w:pPr>
    <w:rPr>
      <w:rFonts w:eastAsiaTheme="majorEastAsia"/>
      <w:spacing w:val="-10"/>
      <w:kern w:val="28"/>
      <w:sz w:val="36"/>
      <w:szCs w:val="36"/>
    </w:rPr>
  </w:style>
  <w:style w:type="character" w:customStyle="1" w:styleId="TitleChar">
    <w:name w:val="Title Char"/>
    <w:basedOn w:val="DefaultParagraphFont"/>
    <w:link w:val="Title"/>
    <w:uiPriority w:val="10"/>
    <w:rsid w:val="00957C47"/>
    <w:rPr>
      <w:rFonts w:asciiTheme="majorBidi" w:eastAsiaTheme="majorEastAsia" w:hAnsiTheme="majorBidi" w:cstheme="majorBidi"/>
      <w:spacing w:val="-10"/>
      <w:kern w:val="28"/>
      <w:sz w:val="36"/>
      <w:szCs w:val="36"/>
    </w:rPr>
  </w:style>
  <w:style w:type="character" w:customStyle="1" w:styleId="Heading2Char">
    <w:name w:val="Heading 2 Char"/>
    <w:basedOn w:val="DefaultParagraphFont"/>
    <w:link w:val="Heading2"/>
    <w:uiPriority w:val="9"/>
    <w:rsid w:val="001108C2"/>
    <w:rPr>
      <w:rFonts w:asciiTheme="majorBidi" w:eastAsia="Times New Roman" w:hAnsiTheme="majorBidi" w:cstheme="majorBidi"/>
      <w:b/>
      <w:bCs/>
      <w:i/>
      <w:iCs/>
    </w:rPr>
  </w:style>
  <w:style w:type="character" w:customStyle="1" w:styleId="Heading3Char">
    <w:name w:val="Heading 3 Char"/>
    <w:basedOn w:val="DefaultParagraphFont"/>
    <w:link w:val="Heading3"/>
    <w:uiPriority w:val="9"/>
    <w:semiHidden/>
    <w:rsid w:val="00796FC7"/>
    <w:rPr>
      <w:rFonts w:asciiTheme="majorHAnsi" w:eastAsiaTheme="majorEastAsia" w:hAnsiTheme="majorHAnsi" w:cstheme="majorBidi"/>
      <w:b/>
      <w:bCs/>
      <w:i/>
      <w:iCs/>
      <w:color w:val="1F3763" w:themeColor="accent1" w:themeShade="7F"/>
    </w:rPr>
  </w:style>
  <w:style w:type="numbering" w:customStyle="1" w:styleId="newheadings">
    <w:name w:val="newheadings"/>
    <w:uiPriority w:val="99"/>
    <w:rsid w:val="00796FC7"/>
    <w:pPr>
      <w:numPr>
        <w:numId w:val="13"/>
      </w:numPr>
    </w:pPr>
  </w:style>
  <w:style w:type="paragraph" w:styleId="FootnoteText">
    <w:name w:val="footnote text"/>
    <w:basedOn w:val="Normal"/>
    <w:link w:val="FootnoteTextChar"/>
    <w:uiPriority w:val="99"/>
    <w:unhideWhenUsed/>
    <w:qFormat/>
    <w:rsid w:val="00E87006"/>
    <w:pPr>
      <w:widowControl w:val="0"/>
    </w:pPr>
    <w:rPr>
      <w:kern w:val="2"/>
      <w:lang w:eastAsia="zh-HK"/>
    </w:rPr>
  </w:style>
  <w:style w:type="character" w:customStyle="1" w:styleId="FootnoteTextChar">
    <w:name w:val="Footnote Text Char"/>
    <w:link w:val="FootnoteText"/>
    <w:uiPriority w:val="99"/>
    <w:rsid w:val="00E87006"/>
    <w:rPr>
      <w:kern w:val="2"/>
      <w:lang w:val="en-GB" w:eastAsia="zh-HK"/>
    </w:rPr>
  </w:style>
  <w:style w:type="table" w:styleId="TableGrid">
    <w:name w:val="Table Grid"/>
    <w:basedOn w:val="TableNormal"/>
    <w:uiPriority w:val="39"/>
    <w:rsid w:val="00BB7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BB7E14"/>
    <w:rPr>
      <w:vertAlign w:val="superscript"/>
    </w:rPr>
  </w:style>
  <w:style w:type="character" w:styleId="Hyperlink">
    <w:name w:val="Hyperlink"/>
    <w:basedOn w:val="DefaultParagraphFont"/>
    <w:uiPriority w:val="99"/>
    <w:unhideWhenUsed/>
    <w:rsid w:val="00BB7E14"/>
    <w:rPr>
      <w:color w:val="0563C1" w:themeColor="hyperlink"/>
      <w:u w:val="single"/>
    </w:rPr>
  </w:style>
  <w:style w:type="character" w:styleId="CommentReference">
    <w:name w:val="annotation reference"/>
    <w:basedOn w:val="DefaultParagraphFont"/>
    <w:uiPriority w:val="99"/>
    <w:semiHidden/>
    <w:unhideWhenUsed/>
    <w:rsid w:val="004D1B27"/>
    <w:rPr>
      <w:sz w:val="16"/>
      <w:szCs w:val="16"/>
    </w:rPr>
  </w:style>
  <w:style w:type="paragraph" w:styleId="CommentText">
    <w:name w:val="annotation text"/>
    <w:basedOn w:val="Normal"/>
    <w:link w:val="CommentTextChar"/>
    <w:uiPriority w:val="99"/>
    <w:unhideWhenUsed/>
    <w:rsid w:val="004D1B27"/>
    <w:pPr>
      <w:spacing w:line="240" w:lineRule="auto"/>
    </w:pPr>
    <w:rPr>
      <w:sz w:val="20"/>
      <w:szCs w:val="20"/>
    </w:rPr>
  </w:style>
  <w:style w:type="character" w:customStyle="1" w:styleId="CommentTextChar">
    <w:name w:val="Comment Text Char"/>
    <w:basedOn w:val="DefaultParagraphFont"/>
    <w:link w:val="CommentText"/>
    <w:uiPriority w:val="99"/>
    <w:rsid w:val="004D1B27"/>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4D1B27"/>
    <w:rPr>
      <w:b/>
      <w:bCs/>
    </w:rPr>
  </w:style>
  <w:style w:type="character" w:customStyle="1" w:styleId="CommentSubjectChar">
    <w:name w:val="Comment Subject Char"/>
    <w:basedOn w:val="CommentTextChar"/>
    <w:link w:val="CommentSubject"/>
    <w:uiPriority w:val="99"/>
    <w:semiHidden/>
    <w:rsid w:val="004D1B27"/>
    <w:rPr>
      <w:rFonts w:eastAsiaTheme="minorHAnsi"/>
      <w:b/>
      <w:bCs/>
      <w:sz w:val="20"/>
      <w:szCs w:val="20"/>
      <w:lang w:val="en-US" w:eastAsia="en-US"/>
    </w:rPr>
  </w:style>
  <w:style w:type="character" w:styleId="FollowedHyperlink">
    <w:name w:val="FollowedHyperlink"/>
    <w:basedOn w:val="DefaultParagraphFont"/>
    <w:uiPriority w:val="99"/>
    <w:semiHidden/>
    <w:unhideWhenUsed/>
    <w:rsid w:val="00BE10B1"/>
    <w:rPr>
      <w:color w:val="954F72" w:themeColor="followedHyperlink"/>
      <w:u w:val="single"/>
    </w:rPr>
  </w:style>
  <w:style w:type="paragraph" w:styleId="Quote">
    <w:name w:val="Quote"/>
    <w:basedOn w:val="Normal"/>
    <w:next w:val="Normal"/>
    <w:link w:val="QuoteChar"/>
    <w:uiPriority w:val="29"/>
    <w:qFormat/>
    <w:rsid w:val="00AB781D"/>
    <w:pPr>
      <w:spacing w:before="120" w:after="120"/>
      <w:ind w:left="1440" w:right="1440"/>
      <w:jc w:val="both"/>
    </w:pPr>
  </w:style>
  <w:style w:type="character" w:customStyle="1" w:styleId="QuoteChar">
    <w:name w:val="Quote Char"/>
    <w:basedOn w:val="DefaultParagraphFont"/>
    <w:link w:val="Quote"/>
    <w:uiPriority w:val="29"/>
    <w:rsid w:val="00AB781D"/>
    <w:rPr>
      <w:rFonts w:asciiTheme="majorBidi" w:eastAsiaTheme="minorHAnsi" w:hAnsiTheme="majorBidi" w:cstheme="majorBidi"/>
      <w:sz w:val="24"/>
      <w:szCs w:val="24"/>
      <w:lang w:val="en-US" w:eastAsia="en-US"/>
    </w:rPr>
  </w:style>
  <w:style w:type="paragraph" w:styleId="Caption">
    <w:name w:val="caption"/>
    <w:basedOn w:val="Normal"/>
    <w:next w:val="Normal"/>
    <w:uiPriority w:val="35"/>
    <w:unhideWhenUsed/>
    <w:qFormat/>
    <w:rsid w:val="00BA34A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350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adalah.org/uploads/oldfiles/admin/DownLoads/SPics/2787434.pdf" TargetMode="External"/><Relationship Id="rId2" Type="http://schemas.openxmlformats.org/officeDocument/2006/relationships/hyperlink" Target="https://www.haaretz.co.il/news/health/1.968974" TargetMode="External"/><Relationship Id="rId1" Type="http://schemas.openxmlformats.org/officeDocument/2006/relationships/hyperlink" Target="https://www.adalah.org/ar/content/view/7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E9295-F2C8-4050-8FAE-5046E4547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3941</TotalTime>
  <Pages>10</Pages>
  <Words>2965</Words>
  <Characters>13999</Characters>
  <Application>Microsoft Office Word</Application>
  <DocSecurity>0</DocSecurity>
  <Lines>378</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c:creator>
  <cp:keywords/>
  <dc:description/>
  <cp:lastModifiedBy>JA</cp:lastModifiedBy>
  <cp:revision>211</cp:revision>
  <dcterms:created xsi:type="dcterms:W3CDTF">2022-12-26T09:55:00Z</dcterms:created>
  <dcterms:modified xsi:type="dcterms:W3CDTF">2023-01-04T12:28:00Z</dcterms:modified>
</cp:coreProperties>
</file>