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7271" w:rsidRPr="00D50002" w:rsidRDefault="00DB550E" w:rsidP="00CC0494">
      <w:pPr>
        <w:pStyle w:val="Heading1"/>
        <w:spacing w:before="240"/>
        <w:jc w:val="both"/>
        <w:rPr>
          <w:rFonts w:asciiTheme="majorBidi" w:hAnsiTheme="majorBidi" w:cstheme="majorBidi"/>
          <w:sz w:val="40"/>
        </w:rPr>
      </w:pPr>
      <w:bookmarkStart w:id="0" w:name="_heading=h.fwrox3tkss62"/>
      <w:bookmarkEnd w:id="0"/>
      <w:r w:rsidRPr="00D50002">
        <w:rPr>
          <w:rFonts w:asciiTheme="majorBidi" w:hAnsiTheme="majorBidi" w:cstheme="majorBidi"/>
          <w:sz w:val="40"/>
        </w:rPr>
        <w:t>Executive Summary and Key Insights: 2022 Annual Summary</w:t>
      </w:r>
    </w:p>
    <w:p w14:paraId="00000002" w14:textId="34C7F7E0" w:rsidR="00517271" w:rsidRPr="00D50002" w:rsidRDefault="00DB550E"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2022 was a year in which the Israeli high-tech industry’s business variables returned to the long-term trends (</w:t>
      </w:r>
      <w:r w:rsidR="002C6A6B">
        <w:rPr>
          <w:rFonts w:asciiTheme="majorBidi" w:hAnsiTheme="majorBidi" w:cstheme="majorBidi"/>
          <w:sz w:val="24"/>
          <w:szCs w:val="24"/>
        </w:rPr>
        <w:t xml:space="preserve">when discounting the </w:t>
      </w:r>
      <w:r w:rsidRPr="00D50002">
        <w:rPr>
          <w:rFonts w:asciiTheme="majorBidi" w:hAnsiTheme="majorBidi" w:cstheme="majorBidi"/>
          <w:sz w:val="24"/>
          <w:szCs w:val="24"/>
        </w:rPr>
        <w:t>figures of 2021</w:t>
      </w:r>
      <w:r w:rsidR="002C6A6B">
        <w:rPr>
          <w:rFonts w:asciiTheme="majorBidi" w:hAnsiTheme="majorBidi" w:cstheme="majorBidi"/>
          <w:sz w:val="24"/>
          <w:szCs w:val="24"/>
        </w:rPr>
        <w:t xml:space="preserve"> that deviated from the norm</w:t>
      </w:r>
      <w:r w:rsidRPr="00D50002">
        <w:rPr>
          <w:rFonts w:asciiTheme="majorBidi" w:hAnsiTheme="majorBidi" w:cstheme="majorBidi"/>
          <w:sz w:val="24"/>
          <w:szCs w:val="24"/>
        </w:rPr>
        <w:t>):</w:t>
      </w:r>
    </w:p>
    <w:p w14:paraId="3803CBB5" w14:textId="77777777" w:rsidR="00CC1E32" w:rsidRPr="00D50002" w:rsidRDefault="00DB550E" w:rsidP="00CC1E32">
      <w:pPr>
        <w:pStyle w:val="ListParagraph"/>
        <w:numPr>
          <w:ilvl w:val="0"/>
          <w:numId w:val="9"/>
        </w:numPr>
        <w:spacing w:after="120" w:line="360" w:lineRule="auto"/>
        <w:ind w:right="720"/>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The total amount of </w:t>
      </w:r>
      <w:r w:rsidRPr="00D50002">
        <w:rPr>
          <w:rFonts w:asciiTheme="majorBidi" w:hAnsiTheme="majorBidi" w:cstheme="majorBidi"/>
          <w:b/>
          <w:bCs/>
          <w:sz w:val="24"/>
          <w:szCs w:val="24"/>
        </w:rPr>
        <w:t>Venture Capital (VC) investments</w:t>
      </w:r>
      <w:r w:rsidRPr="00D50002">
        <w:rPr>
          <w:rFonts w:asciiTheme="majorBidi" w:hAnsiTheme="majorBidi" w:cstheme="majorBidi"/>
          <w:sz w:val="24"/>
          <w:szCs w:val="24"/>
        </w:rPr>
        <w:t xml:space="preserve"> continued the same trend of 2014–2020, amounting to USD 15 billion.</w:t>
      </w:r>
    </w:p>
    <w:p w14:paraId="2A1F3BC4" w14:textId="77777777" w:rsidR="00CC1E32" w:rsidRPr="00D50002" w:rsidRDefault="00DB550E" w:rsidP="00CC1E32">
      <w:pPr>
        <w:pStyle w:val="ListParagraph"/>
        <w:numPr>
          <w:ilvl w:val="0"/>
          <w:numId w:val="9"/>
        </w:numPr>
        <w:spacing w:after="120" w:line="360" w:lineRule="auto"/>
        <w:ind w:right="720"/>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The </w:t>
      </w:r>
      <w:r w:rsidRPr="00D50002">
        <w:rPr>
          <w:rFonts w:asciiTheme="majorBidi" w:hAnsiTheme="majorBidi" w:cstheme="majorBidi"/>
          <w:b/>
          <w:bCs/>
          <w:sz w:val="24"/>
          <w:szCs w:val="24"/>
        </w:rPr>
        <w:t>number of transactions</w:t>
      </w:r>
      <w:r w:rsidRPr="00D50002">
        <w:rPr>
          <w:rFonts w:asciiTheme="majorBidi" w:hAnsiTheme="majorBidi" w:cstheme="majorBidi"/>
          <w:sz w:val="24"/>
          <w:szCs w:val="24"/>
        </w:rPr>
        <w:t xml:space="preserve"> was slightly lower than in 2018–2020, but given the fact that some of the funding rounds are detected later, the year is expected to reach an end with some 800 transactions, </w:t>
      </w:r>
      <w:proofErr w:type="gramStart"/>
      <w:r w:rsidRPr="00D50002">
        <w:rPr>
          <w:rFonts w:asciiTheme="majorBidi" w:hAnsiTheme="majorBidi" w:cstheme="majorBidi"/>
          <w:sz w:val="24"/>
          <w:szCs w:val="24"/>
        </w:rPr>
        <w:t>similar to</w:t>
      </w:r>
      <w:proofErr w:type="gramEnd"/>
      <w:r w:rsidRPr="00D50002">
        <w:rPr>
          <w:rFonts w:asciiTheme="majorBidi" w:hAnsiTheme="majorBidi" w:cstheme="majorBidi"/>
          <w:sz w:val="24"/>
          <w:szCs w:val="24"/>
        </w:rPr>
        <w:t xml:space="preserve"> the multiannual average.</w:t>
      </w:r>
    </w:p>
    <w:p w14:paraId="65458C9D" w14:textId="77777777" w:rsidR="00CC1E32" w:rsidRPr="00D50002" w:rsidRDefault="00DB550E" w:rsidP="00CC1E32">
      <w:pPr>
        <w:pStyle w:val="ListParagraph"/>
        <w:numPr>
          <w:ilvl w:val="0"/>
          <w:numId w:val="9"/>
        </w:numPr>
        <w:spacing w:after="120" w:line="360" w:lineRule="auto"/>
        <w:ind w:right="720"/>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89 </w:t>
      </w:r>
      <w:r w:rsidRPr="00D50002">
        <w:rPr>
          <w:rFonts w:asciiTheme="majorBidi" w:hAnsiTheme="majorBidi" w:cstheme="majorBidi"/>
          <w:b/>
          <w:bCs/>
          <w:sz w:val="24"/>
          <w:szCs w:val="24"/>
        </w:rPr>
        <w:t>Mergers &amp; Acquisitions (M&amp;As)</w:t>
      </w:r>
      <w:r w:rsidRPr="00D50002">
        <w:rPr>
          <w:rFonts w:asciiTheme="majorBidi" w:hAnsiTheme="majorBidi" w:cstheme="majorBidi"/>
          <w:sz w:val="24"/>
          <w:szCs w:val="24"/>
        </w:rPr>
        <w:t xml:space="preserve"> of Israeli companies constitutes a slight decline in the multiannual trend that amounts to 100 on average per year.</w:t>
      </w:r>
    </w:p>
    <w:p w14:paraId="00000006" w14:textId="19D04075" w:rsidR="00517271" w:rsidRPr="00D50002" w:rsidRDefault="00DB550E" w:rsidP="00CC1E32">
      <w:pPr>
        <w:pStyle w:val="ListParagraph"/>
        <w:numPr>
          <w:ilvl w:val="0"/>
          <w:numId w:val="9"/>
        </w:numPr>
        <w:spacing w:after="120" w:line="360" w:lineRule="auto"/>
        <w:ind w:right="720"/>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16 </w:t>
      </w:r>
      <w:r w:rsidRPr="00D50002">
        <w:rPr>
          <w:rFonts w:asciiTheme="majorBidi" w:hAnsiTheme="majorBidi" w:cstheme="majorBidi"/>
          <w:b/>
          <w:bCs/>
          <w:sz w:val="24"/>
          <w:szCs w:val="24"/>
        </w:rPr>
        <w:t>IPOs</w:t>
      </w:r>
      <w:r w:rsidRPr="00D50002">
        <w:rPr>
          <w:rFonts w:asciiTheme="majorBidi" w:hAnsiTheme="majorBidi" w:cstheme="majorBidi"/>
          <w:sz w:val="24"/>
          <w:szCs w:val="24"/>
        </w:rPr>
        <w:t xml:space="preserve"> (including SPACs) of Israeli companies is a return to the range (10–20) of previous years.</w:t>
      </w:r>
    </w:p>
    <w:p w14:paraId="00000007" w14:textId="454FF87A" w:rsidR="00517271" w:rsidRPr="00D50002" w:rsidRDefault="00DB550E"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However, it is patently clear to anybody closely monitoring global economic trends along with the Israeli high-tech industry developments, </w:t>
      </w:r>
      <w:r w:rsidRPr="00D50002">
        <w:rPr>
          <w:rFonts w:asciiTheme="majorBidi" w:hAnsiTheme="majorBidi" w:cstheme="majorBidi"/>
          <w:b/>
          <w:bCs/>
          <w:sz w:val="24"/>
          <w:szCs w:val="24"/>
        </w:rPr>
        <w:t>that the overall story is much more complex.</w:t>
      </w:r>
      <w:r w:rsidRPr="00D50002">
        <w:rPr>
          <w:rFonts w:asciiTheme="majorBidi" w:hAnsiTheme="majorBidi" w:cstheme="majorBidi"/>
          <w:sz w:val="24"/>
          <w:szCs w:val="24"/>
        </w:rPr>
        <w:t xml:space="preserve"> In essence, 2022 comprises two discrete periods that roughly divide up into</w:t>
      </w:r>
      <w:r w:rsidR="00A24447">
        <w:rPr>
          <w:rFonts w:asciiTheme="majorBidi" w:hAnsiTheme="majorBidi" w:cstheme="majorBidi"/>
          <w:sz w:val="24"/>
          <w:szCs w:val="24"/>
        </w:rPr>
        <w:t xml:space="preserve"> its component</w:t>
      </w:r>
      <w:r w:rsidRPr="00D50002">
        <w:rPr>
          <w:rFonts w:asciiTheme="majorBidi" w:hAnsiTheme="majorBidi" w:cstheme="majorBidi"/>
          <w:sz w:val="24"/>
          <w:szCs w:val="24"/>
        </w:rPr>
        <w:t xml:space="preserve"> </w:t>
      </w:r>
      <w:r w:rsidR="00A24447" w:rsidRPr="00D50002">
        <w:rPr>
          <w:rFonts w:asciiTheme="majorBidi" w:hAnsiTheme="majorBidi" w:cstheme="majorBidi"/>
          <w:sz w:val="24"/>
          <w:szCs w:val="24"/>
        </w:rPr>
        <w:t>two</w:t>
      </w:r>
      <w:r w:rsidRPr="00D50002">
        <w:rPr>
          <w:rFonts w:asciiTheme="majorBidi" w:hAnsiTheme="majorBidi" w:cstheme="majorBidi"/>
          <w:sz w:val="24"/>
          <w:szCs w:val="24"/>
        </w:rPr>
        <w:t xml:space="preserve"> half</w:t>
      </w:r>
      <w:r w:rsidR="00A24447">
        <w:rPr>
          <w:rFonts w:asciiTheme="majorBidi" w:hAnsiTheme="majorBidi" w:cstheme="majorBidi"/>
          <w:sz w:val="24"/>
          <w:szCs w:val="24"/>
        </w:rPr>
        <w:t>-</w:t>
      </w:r>
      <w:r w:rsidRPr="00D50002">
        <w:rPr>
          <w:rFonts w:asciiTheme="majorBidi" w:hAnsiTheme="majorBidi" w:cstheme="majorBidi"/>
          <w:sz w:val="24"/>
          <w:szCs w:val="24"/>
        </w:rPr>
        <w:t xml:space="preserve">years. The first half was a continuation of the record-breaking 2021 with extremely high </w:t>
      </w:r>
      <w:r w:rsidR="00A24447">
        <w:rPr>
          <w:rFonts w:asciiTheme="majorBidi" w:hAnsiTheme="majorBidi" w:cstheme="majorBidi"/>
          <w:sz w:val="24"/>
          <w:szCs w:val="24"/>
        </w:rPr>
        <w:t xml:space="preserve">levels of </w:t>
      </w:r>
      <w:r w:rsidRPr="00D50002">
        <w:rPr>
          <w:rFonts w:asciiTheme="majorBidi" w:hAnsiTheme="majorBidi" w:cstheme="majorBidi"/>
          <w:sz w:val="24"/>
          <w:szCs w:val="24"/>
        </w:rPr>
        <w:t xml:space="preserve">capital </w:t>
      </w:r>
      <w:r w:rsidR="00A24447">
        <w:rPr>
          <w:rFonts w:asciiTheme="majorBidi" w:hAnsiTheme="majorBidi" w:cstheme="majorBidi"/>
          <w:sz w:val="24"/>
          <w:szCs w:val="24"/>
        </w:rPr>
        <w:t>fund</w:t>
      </w:r>
      <w:r w:rsidRPr="00D50002">
        <w:rPr>
          <w:rFonts w:asciiTheme="majorBidi" w:hAnsiTheme="majorBidi" w:cstheme="majorBidi"/>
          <w:sz w:val="24"/>
          <w:szCs w:val="24"/>
        </w:rPr>
        <w:t xml:space="preserve">ing, astronomical </w:t>
      </w:r>
      <w:r w:rsidR="00413540">
        <w:rPr>
          <w:rFonts w:asciiTheme="majorBidi" w:hAnsiTheme="majorBidi" w:cstheme="majorBidi"/>
          <w:sz w:val="24"/>
          <w:szCs w:val="24"/>
        </w:rPr>
        <w:t>market cap</w:t>
      </w:r>
      <w:r w:rsidR="00C00514">
        <w:rPr>
          <w:rFonts w:asciiTheme="majorBidi" w:hAnsiTheme="majorBidi" w:cstheme="majorBidi"/>
          <w:sz w:val="24"/>
          <w:szCs w:val="24"/>
        </w:rPr>
        <w:t>italization (market cap)</w:t>
      </w:r>
      <w:r w:rsidRPr="00D50002">
        <w:rPr>
          <w:rFonts w:asciiTheme="majorBidi" w:hAnsiTheme="majorBidi" w:cstheme="majorBidi"/>
          <w:sz w:val="24"/>
          <w:szCs w:val="24"/>
        </w:rPr>
        <w:t>, high demand for workers and rising wages; the second half was already characterized by the plummeting financial markets and concern of deep global recession. During this half we witnessed a decline in the number of transactions and their overall amount, a low number of exits, a sharp decline in the value of publicly-traded tech companies, and a slowdown to almost a complete halt in the “employees</w:t>
      </w:r>
      <w:r w:rsidR="00B04A14" w:rsidRPr="00D50002">
        <w:rPr>
          <w:rFonts w:asciiTheme="majorBidi" w:hAnsiTheme="majorBidi" w:cstheme="majorBidi"/>
          <w:sz w:val="24"/>
          <w:szCs w:val="24"/>
        </w:rPr>
        <w:t>’</w:t>
      </w:r>
      <w:r w:rsidRPr="00D50002">
        <w:rPr>
          <w:rFonts w:asciiTheme="majorBidi" w:hAnsiTheme="majorBidi" w:cstheme="majorBidi"/>
          <w:sz w:val="24"/>
          <w:szCs w:val="24"/>
        </w:rPr>
        <w:t xml:space="preserve"> market” phenomenon that characterized the recent period of economic growth.</w:t>
      </w:r>
    </w:p>
    <w:p w14:paraId="00000008" w14:textId="09CD680D" w:rsidR="00517271" w:rsidRPr="00D50002" w:rsidRDefault="00DB550E"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Ostensibly there is a clear connection between them – the global slowdown had a direct impact on both the companies’ market value </w:t>
      </w:r>
      <w:proofErr w:type="gramStart"/>
      <w:r w:rsidRPr="00D50002">
        <w:rPr>
          <w:rFonts w:asciiTheme="majorBidi" w:hAnsiTheme="majorBidi" w:cstheme="majorBidi"/>
          <w:sz w:val="24"/>
          <w:szCs w:val="24"/>
        </w:rPr>
        <w:t>and also</w:t>
      </w:r>
      <w:proofErr w:type="gramEnd"/>
      <w:r w:rsidRPr="00D50002">
        <w:rPr>
          <w:rFonts w:asciiTheme="majorBidi" w:hAnsiTheme="majorBidi" w:cstheme="majorBidi"/>
          <w:sz w:val="24"/>
          <w:szCs w:val="24"/>
        </w:rPr>
        <w:t xml:space="preserve"> on the readiness to invest in Israeli high-tech, leading to the abovementioned decline. In this report; however, we bring an </w:t>
      </w:r>
      <w:r w:rsidRPr="00D50002">
        <w:rPr>
          <w:rFonts w:asciiTheme="majorBidi" w:hAnsiTheme="majorBidi" w:cstheme="majorBidi"/>
          <w:b/>
          <w:bCs/>
          <w:sz w:val="24"/>
          <w:szCs w:val="24"/>
        </w:rPr>
        <w:t>additional explanation for the decline in activity during the second half of 2022</w:t>
      </w:r>
      <w:r w:rsidRPr="00D50002">
        <w:rPr>
          <w:rFonts w:asciiTheme="majorBidi" w:hAnsiTheme="majorBidi" w:cstheme="majorBidi"/>
          <w:sz w:val="24"/>
          <w:szCs w:val="24"/>
        </w:rPr>
        <w:t xml:space="preserve">. Based on a statistical model used to examine the time elapsed between each two investment rounds (between seed and </w:t>
      </w:r>
      <w:r w:rsidRPr="00D50002">
        <w:rPr>
          <w:rFonts w:asciiTheme="majorBidi" w:hAnsiTheme="majorBidi" w:cstheme="majorBidi"/>
          <w:b/>
          <w:bCs/>
          <w:sz w:val="24"/>
          <w:szCs w:val="24"/>
        </w:rPr>
        <w:t>A</w:t>
      </w:r>
      <w:r w:rsidRPr="00D50002">
        <w:rPr>
          <w:rFonts w:asciiTheme="majorBidi" w:hAnsiTheme="majorBidi" w:cstheme="majorBidi"/>
          <w:sz w:val="24"/>
          <w:szCs w:val="24"/>
        </w:rPr>
        <w:t xml:space="preserve">, and </w:t>
      </w:r>
      <w:r w:rsidRPr="00D50002">
        <w:rPr>
          <w:rFonts w:asciiTheme="majorBidi" w:hAnsiTheme="majorBidi" w:cstheme="majorBidi"/>
          <w:b/>
          <w:bCs/>
          <w:sz w:val="24"/>
          <w:szCs w:val="24"/>
        </w:rPr>
        <w:t>A</w:t>
      </w:r>
      <w:r w:rsidRPr="00D50002">
        <w:rPr>
          <w:rFonts w:asciiTheme="majorBidi" w:hAnsiTheme="majorBidi" w:cstheme="majorBidi"/>
          <w:sz w:val="24"/>
          <w:szCs w:val="24"/>
        </w:rPr>
        <w:t xml:space="preserve"> &amp; </w:t>
      </w:r>
      <w:r w:rsidRPr="00D50002">
        <w:rPr>
          <w:rFonts w:asciiTheme="majorBidi" w:hAnsiTheme="majorBidi" w:cstheme="majorBidi"/>
          <w:b/>
          <w:bCs/>
          <w:sz w:val="24"/>
          <w:szCs w:val="24"/>
        </w:rPr>
        <w:t>B</w:t>
      </w:r>
      <w:r w:rsidRPr="00D50002">
        <w:rPr>
          <w:rFonts w:asciiTheme="majorBidi" w:hAnsiTheme="majorBidi" w:cstheme="majorBidi"/>
          <w:sz w:val="24"/>
          <w:szCs w:val="24"/>
        </w:rPr>
        <w:t xml:space="preserve">, </w:t>
      </w:r>
      <w:r w:rsidRPr="00D50002">
        <w:rPr>
          <w:rFonts w:asciiTheme="majorBidi" w:hAnsiTheme="majorBidi" w:cstheme="majorBidi"/>
          <w:sz w:val="24"/>
          <w:szCs w:val="24"/>
        </w:rPr>
        <w:lastRenderedPageBreak/>
        <w:t xml:space="preserve">etc.), we found that at least in some of the cases this involved </w:t>
      </w:r>
      <w:r w:rsidRPr="00D50002">
        <w:rPr>
          <w:rFonts w:asciiTheme="majorBidi" w:hAnsiTheme="majorBidi" w:cstheme="majorBidi"/>
          <w:b/>
          <w:bCs/>
          <w:sz w:val="24"/>
          <w:szCs w:val="24"/>
        </w:rPr>
        <w:t>funding rounds that had been brought forward rather than a dec</w:t>
      </w:r>
      <w:r w:rsidR="0002589E">
        <w:rPr>
          <w:rFonts w:asciiTheme="majorBidi" w:hAnsiTheme="majorBidi" w:cstheme="majorBidi"/>
          <w:b/>
          <w:bCs/>
          <w:sz w:val="24"/>
          <w:szCs w:val="24"/>
        </w:rPr>
        <w:t>reas</w:t>
      </w:r>
      <w:r w:rsidRPr="00D50002">
        <w:rPr>
          <w:rFonts w:asciiTheme="majorBidi" w:hAnsiTheme="majorBidi" w:cstheme="majorBidi"/>
          <w:b/>
          <w:bCs/>
          <w:sz w:val="24"/>
          <w:szCs w:val="24"/>
        </w:rPr>
        <w:t>e in the amount of capital raised</w:t>
      </w:r>
      <w:r w:rsidRPr="00D50002">
        <w:rPr>
          <w:rFonts w:asciiTheme="majorBidi" w:hAnsiTheme="majorBidi" w:cstheme="majorBidi"/>
          <w:sz w:val="24"/>
          <w:szCs w:val="24"/>
        </w:rPr>
        <w:t xml:space="preserve">. In other words, companies, which according to past data were expected to raise investment funding during H2 2022, brought forward the round to the high-growth period of 2021 and H1 2022. From the other direction, the model proposes the explanation, according to which a considerable portion of the decline in investments results from the fact that investors seeking to invest in A </w:t>
      </w:r>
      <w:proofErr w:type="gramStart"/>
      <w:r w:rsidRPr="00D50002">
        <w:rPr>
          <w:rFonts w:asciiTheme="majorBidi" w:hAnsiTheme="majorBidi" w:cstheme="majorBidi"/>
          <w:sz w:val="24"/>
          <w:szCs w:val="24"/>
        </w:rPr>
        <w:t>rounds</w:t>
      </w:r>
      <w:proofErr w:type="gramEnd"/>
      <w:r w:rsidRPr="00D50002">
        <w:rPr>
          <w:rFonts w:asciiTheme="majorBidi" w:hAnsiTheme="majorBidi" w:cstheme="majorBidi"/>
          <w:sz w:val="24"/>
          <w:szCs w:val="24"/>
        </w:rPr>
        <w:t xml:space="preserve"> during H2 2022, for example, found that the supply of companies looking for such investment was relatively limited.</w:t>
      </w:r>
    </w:p>
    <w:p w14:paraId="00000009" w14:textId="33D511C0" w:rsidR="00517271" w:rsidRPr="00D50002" w:rsidRDefault="00DB550E"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Some of those investors might have then turned to invest in seed rounds, as this is </w:t>
      </w:r>
      <w:r w:rsidRPr="00D50002">
        <w:rPr>
          <w:rFonts w:asciiTheme="majorBidi" w:hAnsiTheme="majorBidi" w:cstheme="majorBidi"/>
          <w:b/>
          <w:bCs/>
          <w:sz w:val="24"/>
          <w:szCs w:val="24"/>
        </w:rPr>
        <w:t>the only investment round in which we have seen an increase in investments during H2 2022</w:t>
      </w:r>
      <w:r w:rsidRPr="00D50002">
        <w:rPr>
          <w:rFonts w:asciiTheme="majorBidi" w:hAnsiTheme="majorBidi" w:cstheme="majorBidi"/>
          <w:sz w:val="24"/>
          <w:szCs w:val="24"/>
        </w:rPr>
        <w:t xml:space="preserve"> – a phenomenon that can be explained, in addition, by the shift of investors from late stage to seed, and by a sharp increase in the average number of investors in each seed round.  </w:t>
      </w:r>
    </w:p>
    <w:p w14:paraId="0000000A" w14:textId="48FC34BE" w:rsidR="00517271" w:rsidRPr="00D50002" w:rsidRDefault="00DB550E"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However, this explanation does not purport to claim that the emerging global recession did not have an impact on the high-tech industry in 2022. The declines in market </w:t>
      </w:r>
      <w:r w:rsidR="006F32E4">
        <w:rPr>
          <w:rFonts w:asciiTheme="majorBidi" w:hAnsiTheme="majorBidi" w:cstheme="majorBidi"/>
          <w:sz w:val="24"/>
          <w:szCs w:val="24"/>
        </w:rPr>
        <w:t>cap</w:t>
      </w:r>
      <w:r w:rsidRPr="00D50002">
        <w:rPr>
          <w:rFonts w:asciiTheme="majorBidi" w:hAnsiTheme="majorBidi" w:cstheme="majorBidi"/>
          <w:sz w:val="24"/>
          <w:szCs w:val="24"/>
        </w:rPr>
        <w:t xml:space="preserve"> clearly result from the rising interest rates of the central banks and the forecast of a recession, while the extensive layoffs and freeze on employee recruitment in numerous companies were evidently based on the understanding that the “wild party”, was now over, at least for the time being. However, as mentioned above, in this report we offer a supplementary explanation according to which the global macroeconomic shock was accompanied by a natural decline after two years of increased activity. </w:t>
      </w:r>
    </w:p>
    <w:p w14:paraId="0000000B" w14:textId="519864CC" w:rsidR="00517271" w:rsidRPr="00D50002" w:rsidRDefault="00DB550E" w:rsidP="00CC1E32">
      <w:pPr>
        <w:pStyle w:val="Heading1"/>
        <w:spacing w:before="240" w:line="360" w:lineRule="auto"/>
        <w:jc w:val="both"/>
        <w:rPr>
          <w:rFonts w:asciiTheme="majorBidi" w:hAnsiTheme="majorBidi" w:cstheme="majorBidi"/>
          <w:sz w:val="40"/>
        </w:rPr>
      </w:pPr>
      <w:bookmarkStart w:id="1" w:name="_heading=h.mcjm17lcccq0"/>
      <w:bookmarkEnd w:id="1"/>
      <w:r w:rsidRPr="00D50002">
        <w:rPr>
          <w:rFonts w:asciiTheme="majorBidi" w:hAnsiTheme="majorBidi" w:cstheme="majorBidi"/>
          <w:sz w:val="40"/>
        </w:rPr>
        <w:t>Foreword</w:t>
      </w:r>
    </w:p>
    <w:p w14:paraId="0000000C" w14:textId="1CCAB66E" w:rsidR="00517271" w:rsidRPr="00D50002" w:rsidRDefault="00DB550E" w:rsidP="00CC1E32">
      <w:pPr>
        <w:spacing w:after="120" w:line="360" w:lineRule="auto"/>
        <w:jc w:val="both"/>
        <w:rPr>
          <w:rFonts w:asciiTheme="majorBidi" w:eastAsia="Assistant" w:hAnsiTheme="majorBidi" w:cstheme="majorBidi"/>
          <w:sz w:val="24"/>
          <w:szCs w:val="24"/>
        </w:rPr>
      </w:pPr>
      <w:proofErr w:type="gramStart"/>
      <w:r w:rsidRPr="00D50002">
        <w:rPr>
          <w:rFonts w:asciiTheme="majorBidi" w:hAnsiTheme="majorBidi" w:cstheme="majorBidi"/>
          <w:sz w:val="24"/>
          <w:szCs w:val="24"/>
        </w:rPr>
        <w:t>When we come to</w:t>
      </w:r>
      <w:proofErr w:type="gramEnd"/>
      <w:r w:rsidRPr="00D50002">
        <w:rPr>
          <w:rFonts w:asciiTheme="majorBidi" w:hAnsiTheme="majorBidi" w:cstheme="majorBidi"/>
          <w:sz w:val="24"/>
          <w:szCs w:val="24"/>
        </w:rPr>
        <w:t xml:space="preserve"> sum up 2022, we need to divide up the year into two</w:t>
      </w:r>
      <w:r w:rsidR="00D53722">
        <w:rPr>
          <w:rFonts w:asciiTheme="majorBidi" w:hAnsiTheme="majorBidi" w:cstheme="majorBidi"/>
          <w:sz w:val="24"/>
          <w:szCs w:val="24"/>
        </w:rPr>
        <w:t xml:space="preserve"> distinct</w:t>
      </w:r>
      <w:r w:rsidRPr="00D50002">
        <w:rPr>
          <w:rFonts w:asciiTheme="majorBidi" w:hAnsiTheme="majorBidi" w:cstheme="majorBidi"/>
          <w:sz w:val="24"/>
          <w:szCs w:val="24"/>
        </w:rPr>
        <w:t xml:space="preserve"> halves. The start of the year was to a large extent a direct continuation of the prevailing trends in the high-tech industry during 2020–2021, a peak period in terms of capital raising, employee recruitment etc. The global macroeconomic changes (rising inflation and energy prices, the downturn in the capital markets), that arose in early 2022, only began to influence the Israeli high-tech industry towards the middle of the year, and during H2 we began to see a significant decline in funding rounds, which was compounded by layoffs, and a halt in the recruitment of new employees. </w:t>
      </w:r>
    </w:p>
    <w:p w14:paraId="0000000D"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lastRenderedPageBreak/>
        <w:t>In this report, we shall examine the overall activity during 2022, but our focus will be on analysis of the impacts of the slowdown during H2 on the Israeli high-tech industry.</w:t>
      </w:r>
    </w:p>
    <w:p w14:paraId="0000000E" w14:textId="77777777" w:rsidR="00517271" w:rsidRPr="00D50002" w:rsidRDefault="00DB550E" w:rsidP="00CC1E32">
      <w:pPr>
        <w:pStyle w:val="Heading2"/>
        <w:spacing w:line="360" w:lineRule="auto"/>
        <w:jc w:val="both"/>
        <w:rPr>
          <w:rFonts w:asciiTheme="majorBidi" w:eastAsia="Assistant" w:hAnsiTheme="majorBidi" w:cstheme="majorBidi"/>
          <w:sz w:val="24"/>
          <w:szCs w:val="24"/>
        </w:rPr>
      </w:pPr>
      <w:bookmarkStart w:id="2" w:name="_heading=h.3tc8958j6fk3"/>
      <w:bookmarkEnd w:id="2"/>
      <w:r w:rsidRPr="00D50002">
        <w:rPr>
          <w:rFonts w:asciiTheme="majorBidi" w:hAnsiTheme="majorBidi" w:cstheme="majorBidi"/>
          <w:sz w:val="24"/>
          <w:szCs w:val="24"/>
        </w:rPr>
        <w:t xml:space="preserve">The Macroeconomic Environment </w:t>
      </w:r>
    </w:p>
    <w:p w14:paraId="0000000F" w14:textId="4A420C91"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Since the beginning of 2021</w:t>
      </w:r>
      <w:r w:rsidR="00AE7AFE">
        <w:rPr>
          <w:rFonts w:asciiTheme="majorBidi" w:hAnsiTheme="majorBidi" w:cstheme="majorBidi"/>
          <w:sz w:val="24"/>
          <w:szCs w:val="24"/>
        </w:rPr>
        <w:t>,</w:t>
      </w:r>
      <w:r w:rsidRPr="00D50002">
        <w:rPr>
          <w:rFonts w:asciiTheme="majorBidi" w:hAnsiTheme="majorBidi" w:cstheme="majorBidi"/>
          <w:sz w:val="24"/>
          <w:szCs w:val="24"/>
        </w:rPr>
        <w:t xml:space="preserve"> we have witnessed rising inflation in most developed economies, which towards the end of that year reached considerably higher levels than the upper limits of the inflation targets in the USA, the Euro Bloc, and </w:t>
      </w:r>
      <w:r w:rsidR="00211825">
        <w:rPr>
          <w:rFonts w:asciiTheme="majorBidi" w:hAnsiTheme="majorBidi" w:cstheme="majorBidi"/>
          <w:sz w:val="24"/>
          <w:szCs w:val="24"/>
        </w:rPr>
        <w:t>elsewhere</w:t>
      </w:r>
      <w:r w:rsidRPr="00D50002">
        <w:rPr>
          <w:rFonts w:asciiTheme="majorBidi" w:hAnsiTheme="majorBidi" w:cstheme="majorBidi"/>
          <w:sz w:val="24"/>
          <w:szCs w:val="24"/>
        </w:rPr>
        <w:t xml:space="preserve"> too. Israel too was subject to a similar phenomenon, though the effect was less intense. </w:t>
      </w:r>
    </w:p>
    <w:p w14:paraId="00000010" w14:textId="6AF324E9"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The direct damage of inflation on the high-tech sector is lower than on the rest of the economy: </w:t>
      </w:r>
      <w:r w:rsidR="00F854FF">
        <w:rPr>
          <w:rFonts w:asciiTheme="majorBidi" w:hAnsiTheme="majorBidi" w:cstheme="majorBidi"/>
          <w:sz w:val="24"/>
          <w:szCs w:val="24"/>
        </w:rPr>
        <w:t>f</w:t>
      </w:r>
      <w:r w:rsidRPr="00D50002">
        <w:rPr>
          <w:rFonts w:asciiTheme="majorBidi" w:hAnsiTheme="majorBidi" w:cstheme="majorBidi"/>
          <w:sz w:val="24"/>
          <w:szCs w:val="24"/>
        </w:rPr>
        <w:t xml:space="preserve">irst and foremost, inflation adversely affects sales and companies are unable to readily adjust prices (price rigidity). The Israeli high-tech industry, on the other hand, is made up of companies mainly dealing with R&amp;D activity (and thus less dependent on current revenue from sales), and among the companies that are dependent on current revenues, most sell online services that suffer less from price rigidity. Furthermore, as wages in this sector have soared unprecedentedly in the last two years, the ensuing erosion in wages </w:t>
      </w:r>
      <w:r w:rsidR="00F854FF" w:rsidRPr="00D50002">
        <w:rPr>
          <w:rFonts w:asciiTheme="majorBidi" w:hAnsiTheme="majorBidi" w:cstheme="majorBidi"/>
          <w:sz w:val="24"/>
          <w:szCs w:val="24"/>
        </w:rPr>
        <w:t>because of</w:t>
      </w:r>
      <w:r w:rsidRPr="00D50002">
        <w:rPr>
          <w:rFonts w:asciiTheme="majorBidi" w:hAnsiTheme="majorBidi" w:cstheme="majorBidi"/>
          <w:sz w:val="24"/>
          <w:szCs w:val="24"/>
        </w:rPr>
        <w:t xml:space="preserve"> inflation might help the companies survive a potential recession.</w:t>
      </w:r>
    </w:p>
    <w:p w14:paraId="00000011" w14:textId="7D1CBE73"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In parallel, 2022 was a year characterized by </w:t>
      </w:r>
      <w:r w:rsidR="00682658">
        <w:rPr>
          <w:rFonts w:asciiTheme="majorBidi" w:hAnsiTheme="majorBidi" w:cstheme="majorBidi"/>
          <w:sz w:val="24"/>
          <w:szCs w:val="24"/>
        </w:rPr>
        <w:t xml:space="preserve">a </w:t>
      </w:r>
      <w:r w:rsidRPr="00D50002">
        <w:rPr>
          <w:rFonts w:asciiTheme="majorBidi" w:hAnsiTheme="majorBidi" w:cstheme="majorBidi"/>
          <w:sz w:val="24"/>
          <w:szCs w:val="24"/>
        </w:rPr>
        <w:t xml:space="preserve">sharp global downturn in the capital markets. This downturn can be attributed to a number of factors: </w:t>
      </w:r>
      <w:r w:rsidR="00682658">
        <w:rPr>
          <w:rFonts w:asciiTheme="majorBidi" w:hAnsiTheme="majorBidi" w:cstheme="majorBidi"/>
          <w:sz w:val="24"/>
          <w:szCs w:val="24"/>
        </w:rPr>
        <w:t>f</w:t>
      </w:r>
      <w:r w:rsidRPr="00D50002">
        <w:rPr>
          <w:rFonts w:asciiTheme="majorBidi" w:hAnsiTheme="majorBidi" w:cstheme="majorBidi"/>
          <w:sz w:val="24"/>
          <w:szCs w:val="24"/>
        </w:rPr>
        <w:t>irstly, inflation (and its forecast continuation) led the central banks to begin to raise nominal interest rates by a significant degree during 2022; secondly, additional factors such as the war in Ukraine and its impact on energy prices, raised the level of uncertainty regarding the economic situation in the years ahead, and particularly, increased the probability of a recession in the near future; and thirdly, in the last two years there has been much talk about the fact that the value of assets on the stock markets are inflated, and there is a feeling that many investors “were prepared” for this correction.</w:t>
      </w:r>
    </w:p>
    <w:p w14:paraId="00000012" w14:textId="53B7A5CF"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Declining markets have considerable effects on the Israeli high-tech industry, mainly as they make it difficult for companies to raise capital. The global recession, which will lead to a decline in demand for Israeli high-tech products, clearly also has a negative effect on the companies, but, as we have explained above </w:t>
      </w:r>
      <w:r w:rsidR="00682658" w:rsidRPr="00D50002">
        <w:rPr>
          <w:rFonts w:asciiTheme="majorBidi" w:hAnsiTheme="majorBidi" w:cstheme="majorBidi"/>
          <w:sz w:val="24"/>
          <w:szCs w:val="24"/>
        </w:rPr>
        <w:t>regarding</w:t>
      </w:r>
      <w:r w:rsidRPr="00D50002">
        <w:rPr>
          <w:rFonts w:asciiTheme="majorBidi" w:hAnsiTheme="majorBidi" w:cstheme="majorBidi"/>
          <w:sz w:val="24"/>
          <w:szCs w:val="24"/>
        </w:rPr>
        <w:t xml:space="preserve"> inflation, this phenomenon </w:t>
      </w:r>
      <w:proofErr w:type="gramStart"/>
      <w:r w:rsidRPr="00D50002">
        <w:rPr>
          <w:rFonts w:asciiTheme="majorBidi" w:hAnsiTheme="majorBidi" w:cstheme="majorBidi"/>
          <w:sz w:val="24"/>
          <w:szCs w:val="24"/>
        </w:rPr>
        <w:t>actually harms</w:t>
      </w:r>
      <w:proofErr w:type="gramEnd"/>
      <w:r w:rsidRPr="00D50002">
        <w:rPr>
          <w:rFonts w:asciiTheme="majorBidi" w:hAnsiTheme="majorBidi" w:cstheme="majorBidi"/>
          <w:sz w:val="24"/>
          <w:szCs w:val="24"/>
        </w:rPr>
        <w:t xml:space="preserve"> the high-tech industry less than other export sectors, as the high-tech industry is based to a lesser extent on sales revenues. As we shall see </w:t>
      </w:r>
      <w:proofErr w:type="gramStart"/>
      <w:r w:rsidRPr="00D50002">
        <w:rPr>
          <w:rFonts w:asciiTheme="majorBidi" w:hAnsiTheme="majorBidi" w:cstheme="majorBidi"/>
          <w:sz w:val="24"/>
          <w:szCs w:val="24"/>
        </w:rPr>
        <w:t>later on</w:t>
      </w:r>
      <w:proofErr w:type="gramEnd"/>
      <w:r w:rsidRPr="00D50002">
        <w:rPr>
          <w:rFonts w:asciiTheme="majorBidi" w:hAnsiTheme="majorBidi" w:cstheme="majorBidi"/>
          <w:sz w:val="24"/>
          <w:szCs w:val="24"/>
        </w:rPr>
        <w:t xml:space="preserve">, the publicly-traded Israeli high-tech companies did incur a loss </w:t>
      </w:r>
      <w:r w:rsidRPr="00D50002">
        <w:rPr>
          <w:rFonts w:asciiTheme="majorBidi" w:hAnsiTheme="majorBidi" w:cstheme="majorBidi"/>
          <w:sz w:val="24"/>
          <w:szCs w:val="24"/>
        </w:rPr>
        <w:lastRenderedPageBreak/>
        <w:t xml:space="preserve">of value during this last year, irrespective of the individual performance of these companies. In other words, this decrease in value is explained by macroeconomic factors that have an impact on the </w:t>
      </w:r>
      <w:proofErr w:type="gramStart"/>
      <w:r w:rsidRPr="00D50002">
        <w:rPr>
          <w:rFonts w:asciiTheme="majorBidi" w:hAnsiTheme="majorBidi" w:cstheme="majorBidi"/>
          <w:sz w:val="24"/>
          <w:szCs w:val="24"/>
        </w:rPr>
        <w:t>market as a whole</w:t>
      </w:r>
      <w:proofErr w:type="gramEnd"/>
      <w:r w:rsidRPr="00D50002">
        <w:rPr>
          <w:rFonts w:asciiTheme="majorBidi" w:hAnsiTheme="majorBidi" w:cstheme="majorBidi"/>
          <w:sz w:val="24"/>
          <w:szCs w:val="24"/>
        </w:rPr>
        <w:t>.</w:t>
      </w:r>
    </w:p>
    <w:p w14:paraId="00000013"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br w:type="page"/>
      </w:r>
    </w:p>
    <w:p w14:paraId="00000014" w14:textId="77777777" w:rsidR="00517271" w:rsidRPr="00D50002" w:rsidRDefault="00DB550E" w:rsidP="00CC1E32">
      <w:pPr>
        <w:pStyle w:val="Heading1"/>
        <w:spacing w:line="360" w:lineRule="auto"/>
        <w:jc w:val="both"/>
        <w:rPr>
          <w:rFonts w:asciiTheme="majorBidi" w:hAnsiTheme="majorBidi" w:cstheme="majorBidi"/>
          <w:sz w:val="40"/>
        </w:rPr>
      </w:pPr>
      <w:r w:rsidRPr="00D50002">
        <w:rPr>
          <w:rFonts w:asciiTheme="majorBidi" w:hAnsiTheme="majorBidi" w:cstheme="majorBidi"/>
          <w:sz w:val="40"/>
        </w:rPr>
        <w:lastRenderedPageBreak/>
        <w:t xml:space="preserve">Methodological Comments </w:t>
      </w:r>
    </w:p>
    <w:p w14:paraId="00000015" w14:textId="0122D163" w:rsidR="00517271" w:rsidRPr="00D50002" w:rsidRDefault="00DB550E" w:rsidP="00CC1E32">
      <w:pPr>
        <w:numPr>
          <w:ilvl w:val="0"/>
          <w:numId w:val="3"/>
        </w:numPr>
        <w:pBdr>
          <w:top w:val="nil"/>
          <w:left w:val="nil"/>
          <w:bottom w:val="nil"/>
          <w:right w:val="nil"/>
          <w:between w:val="nil"/>
        </w:pBdr>
        <w:spacing w:after="120" w:line="360" w:lineRule="auto"/>
        <w:jc w:val="both"/>
        <w:rPr>
          <w:rFonts w:asciiTheme="majorBidi" w:eastAsia="Assistant" w:hAnsiTheme="majorBidi" w:cstheme="majorBidi"/>
          <w:color w:val="000000"/>
          <w:sz w:val="24"/>
          <w:szCs w:val="24"/>
        </w:rPr>
      </w:pPr>
      <w:r w:rsidRPr="00D50002">
        <w:rPr>
          <w:rFonts w:asciiTheme="majorBidi" w:hAnsiTheme="majorBidi" w:cstheme="majorBidi"/>
          <w:color w:val="000000"/>
          <w:sz w:val="24"/>
          <w:szCs w:val="24"/>
        </w:rPr>
        <w:t xml:space="preserve">Analysis of the activity in a tremendously dynamic sector such as the Israeli high-tech industry, so close to the end of the year, poses a genuine challenge in terms of up-to-date data. </w:t>
      </w:r>
      <w:proofErr w:type="gramStart"/>
      <w:r w:rsidRPr="00D50002">
        <w:rPr>
          <w:rFonts w:asciiTheme="majorBidi" w:hAnsiTheme="majorBidi" w:cstheme="majorBidi"/>
          <w:color w:val="000000"/>
          <w:sz w:val="24"/>
          <w:szCs w:val="24"/>
        </w:rPr>
        <w:t>In particular, data</w:t>
      </w:r>
      <w:proofErr w:type="gramEnd"/>
      <w:r w:rsidRPr="00D50002">
        <w:rPr>
          <w:rFonts w:asciiTheme="majorBidi" w:hAnsiTheme="majorBidi" w:cstheme="majorBidi"/>
          <w:color w:val="000000"/>
          <w:sz w:val="24"/>
          <w:szCs w:val="24"/>
        </w:rPr>
        <w:t xml:space="preserve"> relating to funding rounds in early-stage startups are usually obtained with a several-month delay; thus, these figures are expected to be revised in due course.</w:t>
      </w:r>
    </w:p>
    <w:p w14:paraId="00000018" w14:textId="4760D37C" w:rsidR="00517271" w:rsidRPr="00D50002" w:rsidRDefault="00DB550E" w:rsidP="00CC1E32">
      <w:pPr>
        <w:numPr>
          <w:ilvl w:val="0"/>
          <w:numId w:val="3"/>
        </w:numPr>
        <w:pBdr>
          <w:top w:val="nil"/>
          <w:left w:val="nil"/>
          <w:bottom w:val="nil"/>
          <w:right w:val="nil"/>
          <w:between w:val="nil"/>
        </w:pBdr>
        <w:spacing w:after="120" w:line="360" w:lineRule="auto"/>
        <w:jc w:val="both"/>
        <w:rPr>
          <w:rFonts w:asciiTheme="majorBidi" w:eastAsia="Assistant" w:hAnsiTheme="majorBidi" w:cstheme="majorBidi"/>
          <w:color w:val="000000"/>
          <w:sz w:val="24"/>
          <w:szCs w:val="24"/>
        </w:rPr>
      </w:pPr>
      <w:r w:rsidRPr="00D50002">
        <w:rPr>
          <w:rFonts w:asciiTheme="majorBidi" w:hAnsiTheme="majorBidi" w:cstheme="majorBidi"/>
          <w:color w:val="000000"/>
          <w:sz w:val="24"/>
          <w:szCs w:val="24"/>
        </w:rPr>
        <w:t xml:space="preserve">All the data in this report, unless otherwise stated, are based on the Start-Up Nation Finder database. This database began to operate in 2014 so that the annual data in this report </w:t>
      </w:r>
      <w:proofErr w:type="gramStart"/>
      <w:r w:rsidRPr="00D50002">
        <w:rPr>
          <w:rFonts w:asciiTheme="majorBidi" w:hAnsiTheme="majorBidi" w:cstheme="majorBidi"/>
          <w:color w:val="000000"/>
          <w:sz w:val="24"/>
          <w:szCs w:val="24"/>
        </w:rPr>
        <w:t>commence</w:t>
      </w:r>
      <w:proofErr w:type="gramEnd"/>
      <w:r w:rsidRPr="00D50002">
        <w:rPr>
          <w:rFonts w:asciiTheme="majorBidi" w:hAnsiTheme="majorBidi" w:cstheme="majorBidi"/>
          <w:color w:val="000000"/>
          <w:sz w:val="24"/>
          <w:szCs w:val="24"/>
        </w:rPr>
        <w:t xml:space="preserve"> from that year. </w:t>
      </w:r>
      <w:bookmarkStart w:id="3" w:name="_heading=h.h3esithe71hp"/>
      <w:bookmarkEnd w:id="3"/>
    </w:p>
    <w:p w14:paraId="00000019" w14:textId="77777777" w:rsidR="00517271" w:rsidRPr="00D50002" w:rsidRDefault="00DB550E" w:rsidP="00CC1E32">
      <w:pPr>
        <w:pStyle w:val="Heading1"/>
        <w:spacing w:line="360" w:lineRule="auto"/>
        <w:jc w:val="both"/>
        <w:rPr>
          <w:rFonts w:asciiTheme="majorBidi" w:hAnsiTheme="majorBidi" w:cstheme="majorBidi"/>
          <w:sz w:val="40"/>
        </w:rPr>
      </w:pPr>
      <w:bookmarkStart w:id="4" w:name="_heading=h.zb33xtx2f8um"/>
      <w:bookmarkEnd w:id="4"/>
      <w:r w:rsidRPr="00D50002">
        <w:rPr>
          <w:rFonts w:asciiTheme="majorBidi" w:hAnsiTheme="majorBidi" w:cstheme="majorBidi"/>
          <w:sz w:val="40"/>
        </w:rPr>
        <w:t xml:space="preserve">Investments and Investors </w:t>
      </w:r>
    </w:p>
    <w:p w14:paraId="0E05D5DC" w14:textId="74D2C607" w:rsidR="0005395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2021 was an exceptional year globally in terms of activity in the technology sector, and Israel was no different, as an unprecedented amount, </w:t>
      </w:r>
      <w:proofErr w:type="gramStart"/>
      <w:r w:rsidRPr="00D50002">
        <w:rPr>
          <w:rFonts w:asciiTheme="majorBidi" w:hAnsiTheme="majorBidi" w:cstheme="majorBidi"/>
          <w:sz w:val="24"/>
          <w:szCs w:val="24"/>
        </w:rPr>
        <w:t>in excess of</w:t>
      </w:r>
      <w:proofErr w:type="gramEnd"/>
      <w:r w:rsidRPr="00D50002">
        <w:rPr>
          <w:rFonts w:asciiTheme="majorBidi" w:hAnsiTheme="majorBidi" w:cstheme="majorBidi"/>
          <w:sz w:val="24"/>
          <w:szCs w:val="24"/>
        </w:rPr>
        <w:t xml:space="preserve"> USD 27 billion</w:t>
      </w:r>
      <w:r w:rsidR="00946474">
        <w:rPr>
          <w:rFonts w:asciiTheme="majorBidi" w:hAnsiTheme="majorBidi" w:cstheme="majorBidi"/>
          <w:sz w:val="24"/>
          <w:szCs w:val="24"/>
        </w:rPr>
        <w:t>,</w:t>
      </w:r>
      <w:r w:rsidRPr="00D50002">
        <w:rPr>
          <w:rFonts w:asciiTheme="majorBidi" w:hAnsiTheme="majorBidi" w:cstheme="majorBidi"/>
          <w:sz w:val="24"/>
          <w:szCs w:val="24"/>
        </w:rPr>
        <w:t xml:space="preserve"> was invested in tech companies. In 2022 the volume of investments plummeted to almost half that of the previous year, amounting to some USD 16 billion.  This phenomenon is not unique to Israel, and for the sake of comparison, in Silicon Valley investments in tech companies declined by 42% (Graph 1). The number of rounds declined accordingly by about one third, both in Israel and in Silicon Valley, so that the overall number of rounds in Israel in 2022 amounted to 727 compared with 1,067 in the previous year (Graph </w:t>
      </w:r>
      <w:commentRangeStart w:id="5"/>
      <w:r w:rsidRPr="00D50002">
        <w:rPr>
          <w:rFonts w:asciiTheme="majorBidi" w:hAnsiTheme="majorBidi" w:cstheme="majorBidi"/>
          <w:sz w:val="24"/>
          <w:szCs w:val="24"/>
        </w:rPr>
        <w:t>2</w:t>
      </w:r>
      <w:commentRangeEnd w:id="5"/>
      <w:r w:rsidR="009B6D73" w:rsidRPr="00D50002">
        <w:rPr>
          <w:rStyle w:val="CommentReference"/>
          <w:rFonts w:asciiTheme="majorBidi" w:hAnsiTheme="majorBidi" w:cstheme="majorBidi"/>
          <w:sz w:val="24"/>
          <w:szCs w:val="24"/>
        </w:rPr>
        <w:commentReference w:id="5"/>
      </w:r>
      <w:r w:rsidRPr="00D50002">
        <w:rPr>
          <w:rFonts w:asciiTheme="majorBidi" w:hAnsiTheme="majorBidi" w:cstheme="majorBidi"/>
          <w:sz w:val="24"/>
          <w:szCs w:val="24"/>
        </w:rPr>
        <w:t>).</w:t>
      </w:r>
      <w:r w:rsidR="00426B6D" w:rsidRPr="00D50002">
        <w:rPr>
          <w:rFonts w:asciiTheme="majorBidi" w:hAnsiTheme="majorBidi" w:cstheme="majorBidi"/>
          <w:sz w:val="24"/>
          <w:szCs w:val="24"/>
        </w:rPr>
        <w:t xml:space="preserve"> </w:t>
      </w:r>
    </w:p>
    <w:p w14:paraId="0000001C" w14:textId="7A1CB8F1" w:rsidR="00517271" w:rsidRPr="00D50002" w:rsidRDefault="00324325"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anchor distT="0" distB="0" distL="114300" distR="114300" simplePos="0" relativeHeight="251685888" behindDoc="0" locked="0" layoutInCell="1" allowOverlap="1" wp14:anchorId="3AEFF3BB" wp14:editId="4B31A82F">
            <wp:simplePos x="0" y="0"/>
            <wp:positionH relativeFrom="column">
              <wp:posOffset>-10795</wp:posOffset>
            </wp:positionH>
            <wp:positionV relativeFrom="paragraph">
              <wp:posOffset>1905</wp:posOffset>
            </wp:positionV>
            <wp:extent cx="5943600" cy="4453255"/>
            <wp:effectExtent l="0" t="0" r="12700" b="17145"/>
            <wp:wrapTopAndBottom/>
            <wp:docPr id="12" name="Chart 12">
              <a:extLst xmlns:a="http://schemas.openxmlformats.org/drawingml/2006/main">
                <a:ext uri="{FF2B5EF4-FFF2-40B4-BE49-F238E27FC236}">
                  <a16:creationId xmlns:a16="http://schemas.microsoft.com/office/drawing/2014/main" id="{A3CD55DD-7B9F-6C6B-99DB-14870C9AE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0000001D"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1E" w14:textId="38124832" w:rsidR="00517271" w:rsidRPr="00D50002" w:rsidRDefault="003C277D"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anchor distT="0" distB="0" distL="114300" distR="114300" simplePos="0" relativeHeight="251684864" behindDoc="0" locked="0" layoutInCell="1" allowOverlap="1" wp14:anchorId="306869FA" wp14:editId="4B0DED5D">
            <wp:simplePos x="0" y="0"/>
            <wp:positionH relativeFrom="column">
              <wp:posOffset>-10633</wp:posOffset>
            </wp:positionH>
            <wp:positionV relativeFrom="paragraph">
              <wp:posOffset>0</wp:posOffset>
            </wp:positionV>
            <wp:extent cx="5943600" cy="4304665"/>
            <wp:effectExtent l="0" t="0" r="12700" b="13335"/>
            <wp:wrapTopAndBottom/>
            <wp:docPr id="6" name="Chart 6">
              <a:extLst xmlns:a="http://schemas.openxmlformats.org/drawingml/2006/main">
                <a:ext uri="{FF2B5EF4-FFF2-40B4-BE49-F238E27FC236}">
                  <a16:creationId xmlns:a16="http://schemas.microsoft.com/office/drawing/2014/main" id="{7D8B1D25-7E15-8F90-518B-92043FF767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0000001F"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ab/>
      </w:r>
      <w:commentRangeStart w:id="6"/>
      <w:commentRangeEnd w:id="6"/>
      <w:r w:rsidR="00CF436F" w:rsidRPr="00D50002">
        <w:rPr>
          <w:rStyle w:val="CommentReference"/>
          <w:rFonts w:asciiTheme="majorBidi" w:hAnsiTheme="majorBidi" w:cstheme="majorBidi"/>
          <w:sz w:val="24"/>
          <w:szCs w:val="24"/>
        </w:rPr>
        <w:commentReference w:id="6"/>
      </w:r>
    </w:p>
    <w:p w14:paraId="00000020" w14:textId="6A2D8A1B" w:rsidR="00517271" w:rsidRPr="00D50002" w:rsidRDefault="00517271" w:rsidP="00CC1E32">
      <w:pPr>
        <w:bidi/>
        <w:spacing w:after="120" w:line="360" w:lineRule="auto"/>
        <w:jc w:val="both"/>
        <w:rPr>
          <w:rFonts w:asciiTheme="majorBidi" w:eastAsia="Assistant" w:hAnsiTheme="majorBidi" w:cstheme="majorBidi"/>
          <w:sz w:val="24"/>
          <w:szCs w:val="24"/>
        </w:rPr>
      </w:pPr>
    </w:p>
    <w:p w14:paraId="3817E8F7" w14:textId="77777777" w:rsidR="00D156C5" w:rsidRPr="00D50002" w:rsidRDefault="00D156C5" w:rsidP="00CC1E32">
      <w:pPr>
        <w:bidi/>
        <w:spacing w:after="120" w:line="360" w:lineRule="auto"/>
        <w:jc w:val="both"/>
        <w:rPr>
          <w:rFonts w:asciiTheme="majorBidi" w:eastAsia="Assistant" w:hAnsiTheme="majorBidi" w:cstheme="majorBidi"/>
          <w:sz w:val="24"/>
          <w:szCs w:val="24"/>
        </w:rPr>
      </w:pPr>
    </w:p>
    <w:p w14:paraId="00000021" w14:textId="16FC1C0B"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Indeed, examination of the overall annual data does not tell the full story, and as you look at the year in greater resolution, it is possible to distinguish the initial signs of the recession (Graph 3). The first half of 2022 was a direct continuation of 2021 during which USD 10 billion were raised, constituting two thirds of total capital raised throughout the entire year. Although this figure is 31% lower in comparison to H2 2021, a figure of 482 transactions testifies to the fact that the Israeli high-tech industry was still undergoing a boom period. During H2 2022, only 260 transactions were made, the lowest figure since the start of the Finder database. Despite these declines, the amount of investment in the second half of the year was still the largest ever apart from the four half</w:t>
      </w:r>
      <w:r w:rsidR="002268D3">
        <w:rPr>
          <w:rFonts w:asciiTheme="majorBidi" w:hAnsiTheme="majorBidi" w:cstheme="majorBidi"/>
          <w:sz w:val="24"/>
          <w:szCs w:val="24"/>
        </w:rPr>
        <w:t>-</w:t>
      </w:r>
      <w:r w:rsidRPr="00D50002">
        <w:rPr>
          <w:rFonts w:asciiTheme="majorBidi" w:hAnsiTheme="majorBidi" w:cstheme="majorBidi"/>
          <w:sz w:val="24"/>
          <w:szCs w:val="24"/>
        </w:rPr>
        <w:t xml:space="preserve">years preceding it.  </w:t>
      </w:r>
    </w:p>
    <w:p w14:paraId="00000022"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23" w14:textId="1040B7C9" w:rsidR="00517271" w:rsidRPr="00D50002" w:rsidRDefault="00324325"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anchor distT="0" distB="0" distL="114300" distR="114300" simplePos="0" relativeHeight="251683840" behindDoc="0" locked="0" layoutInCell="1" allowOverlap="1" wp14:anchorId="1FA5DF2F" wp14:editId="7057DDE7">
            <wp:simplePos x="0" y="0"/>
            <wp:positionH relativeFrom="column">
              <wp:posOffset>-10633</wp:posOffset>
            </wp:positionH>
            <wp:positionV relativeFrom="paragraph">
              <wp:posOffset>0</wp:posOffset>
            </wp:positionV>
            <wp:extent cx="5943600" cy="3792220"/>
            <wp:effectExtent l="0" t="0" r="12700" b="17780"/>
            <wp:wrapTopAndBottom/>
            <wp:docPr id="21" name="Chart 21">
              <a:extLst xmlns:a="http://schemas.openxmlformats.org/drawingml/2006/main">
                <a:ext uri="{FF2B5EF4-FFF2-40B4-BE49-F238E27FC236}">
                  <a16:creationId xmlns:a16="http://schemas.microsoft.com/office/drawing/2014/main" id="{45DB8435-5520-A507-1489-258BBCACD0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commentRangeStart w:id="7"/>
      <w:commentRangeEnd w:id="7"/>
      <w:r w:rsidR="008B50DF" w:rsidRPr="00D50002">
        <w:rPr>
          <w:rStyle w:val="CommentReference"/>
          <w:rFonts w:asciiTheme="majorBidi" w:hAnsiTheme="majorBidi" w:cstheme="majorBidi"/>
          <w:sz w:val="24"/>
          <w:szCs w:val="24"/>
        </w:rPr>
        <w:commentReference w:id="7"/>
      </w:r>
    </w:p>
    <w:p w14:paraId="00000027" w14:textId="78723116" w:rsidR="00517271" w:rsidRPr="00D50002" w:rsidRDefault="00DB550E" w:rsidP="00CC1E32">
      <w:pPr>
        <w:pStyle w:val="Heading2"/>
        <w:spacing w:line="360" w:lineRule="auto"/>
        <w:jc w:val="both"/>
        <w:rPr>
          <w:rFonts w:asciiTheme="majorBidi" w:hAnsiTheme="majorBidi" w:cstheme="majorBidi"/>
          <w:sz w:val="24"/>
          <w:szCs w:val="24"/>
        </w:rPr>
      </w:pPr>
      <w:bookmarkStart w:id="8" w:name="_heading=h.n2m0ulw8kkc2"/>
      <w:bookmarkStart w:id="9" w:name="_heading=h.d5ak2assam00" w:colFirst="0" w:colLast="0"/>
      <w:bookmarkEnd w:id="8"/>
      <w:bookmarkEnd w:id="9"/>
      <w:r w:rsidRPr="00D50002">
        <w:rPr>
          <w:rFonts w:asciiTheme="majorBidi" w:hAnsiTheme="majorBidi" w:cstheme="majorBidi"/>
          <w:sz w:val="24"/>
          <w:szCs w:val="24"/>
        </w:rPr>
        <w:t>Investments per Round</w:t>
      </w:r>
    </w:p>
    <w:p w14:paraId="00000028" w14:textId="478CCE55"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In view of the downturn in the financial markets in 2022, it is not surprising that a decline was recorded in the total amount of investment in most types of investment rounds. An unusual and surprising statistic is that seed investments actually recorded an increase in 2022. Graphs 4 &amp; 5 show the absolute amounts of investment, with a breakdown according to investment years, while Graph 6 shows the annual percentage change, with a breakdown of investment </w:t>
      </w:r>
      <w:commentRangeStart w:id="10"/>
      <w:commentRangeStart w:id="11"/>
      <w:r w:rsidRPr="00D50002">
        <w:rPr>
          <w:rFonts w:asciiTheme="majorBidi" w:hAnsiTheme="majorBidi" w:cstheme="majorBidi"/>
          <w:sz w:val="24"/>
          <w:szCs w:val="24"/>
        </w:rPr>
        <w:t>rounds</w:t>
      </w:r>
      <w:commentRangeEnd w:id="10"/>
      <w:r w:rsidR="00EE1410" w:rsidRPr="00D50002">
        <w:rPr>
          <w:rStyle w:val="CommentReference"/>
          <w:rFonts w:asciiTheme="majorBidi" w:hAnsiTheme="majorBidi" w:cstheme="majorBidi"/>
          <w:sz w:val="24"/>
          <w:szCs w:val="24"/>
        </w:rPr>
        <w:commentReference w:id="10"/>
      </w:r>
      <w:commentRangeEnd w:id="11"/>
      <w:r w:rsidR="00C94F08" w:rsidRPr="00D50002">
        <w:rPr>
          <w:rStyle w:val="CommentReference"/>
          <w:rFonts w:asciiTheme="majorBidi" w:hAnsiTheme="majorBidi" w:cstheme="majorBidi"/>
          <w:sz w:val="24"/>
          <w:szCs w:val="24"/>
        </w:rPr>
        <w:commentReference w:id="11"/>
      </w:r>
      <w:r w:rsidRPr="00D50002">
        <w:rPr>
          <w:rFonts w:asciiTheme="majorBidi" w:hAnsiTheme="majorBidi" w:cstheme="majorBidi"/>
          <w:sz w:val="24"/>
          <w:szCs w:val="24"/>
        </w:rPr>
        <w:t>.</w:t>
      </w:r>
      <w:r w:rsidR="00EE1410" w:rsidRPr="00D50002">
        <w:rPr>
          <w:rFonts w:asciiTheme="majorBidi" w:hAnsiTheme="majorBidi" w:cstheme="majorBidi"/>
          <w:sz w:val="24"/>
          <w:szCs w:val="24"/>
        </w:rPr>
        <w:t xml:space="preserve"> </w:t>
      </w:r>
    </w:p>
    <w:p w14:paraId="6F3ED8F0" w14:textId="456E637A" w:rsidR="0088393A" w:rsidRPr="00D50002" w:rsidRDefault="003F10F2"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anchor distT="0" distB="0" distL="114300" distR="114300" simplePos="0" relativeHeight="251687936" behindDoc="0" locked="0" layoutInCell="1" allowOverlap="1" wp14:anchorId="25A1D30A" wp14:editId="75E8CDF1">
            <wp:simplePos x="0" y="0"/>
            <wp:positionH relativeFrom="column">
              <wp:posOffset>3104515</wp:posOffset>
            </wp:positionH>
            <wp:positionV relativeFrom="paragraph">
              <wp:posOffset>294005</wp:posOffset>
            </wp:positionV>
            <wp:extent cx="3040380" cy="2357755"/>
            <wp:effectExtent l="0" t="0" r="7620" b="17145"/>
            <wp:wrapTopAndBottom/>
            <wp:docPr id="37" name="Chart 37">
              <a:extLst xmlns:a="http://schemas.openxmlformats.org/drawingml/2006/main">
                <a:ext uri="{FF2B5EF4-FFF2-40B4-BE49-F238E27FC236}">
                  <a16:creationId xmlns:a16="http://schemas.microsoft.com/office/drawing/2014/main" id="{2036AAA3-7427-9048-930E-F1D3FB87C0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D50002">
        <w:rPr>
          <w:rFonts w:asciiTheme="majorBidi" w:hAnsiTheme="majorBidi" w:cstheme="majorBidi"/>
          <w:noProof/>
          <w:sz w:val="24"/>
          <w:szCs w:val="24"/>
        </w:rPr>
        <w:drawing>
          <wp:anchor distT="0" distB="0" distL="114300" distR="114300" simplePos="0" relativeHeight="251686912" behindDoc="0" locked="0" layoutInCell="1" allowOverlap="1" wp14:anchorId="4FA3BBF7" wp14:editId="7F318D75">
            <wp:simplePos x="0" y="0"/>
            <wp:positionH relativeFrom="column">
              <wp:posOffset>-436097</wp:posOffset>
            </wp:positionH>
            <wp:positionV relativeFrom="paragraph">
              <wp:posOffset>294123</wp:posOffset>
            </wp:positionV>
            <wp:extent cx="3051175" cy="2357755"/>
            <wp:effectExtent l="0" t="0" r="9525" b="17145"/>
            <wp:wrapTopAndBottom/>
            <wp:docPr id="35" name="Chart 35">
              <a:extLst xmlns:a="http://schemas.openxmlformats.org/drawingml/2006/main">
                <a:ext uri="{FF2B5EF4-FFF2-40B4-BE49-F238E27FC236}">
                  <a16:creationId xmlns:a16="http://schemas.microsoft.com/office/drawing/2014/main" id="{36505E2E-F173-324E-0A27-7A4F12FF0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D50002">
        <w:rPr>
          <w:rFonts w:asciiTheme="majorBidi" w:hAnsiTheme="majorBidi" w:cstheme="majorBidi"/>
          <w:sz w:val="24"/>
          <w:szCs w:val="24"/>
        </w:rPr>
        <w:t xml:space="preserve"> </w:t>
      </w:r>
    </w:p>
    <w:p w14:paraId="0000002A" w14:textId="10F34D22" w:rsidR="00517271" w:rsidRPr="00D50002" w:rsidRDefault="00517271" w:rsidP="00CC1E32">
      <w:pPr>
        <w:bidi/>
        <w:spacing w:after="120" w:line="360" w:lineRule="auto"/>
        <w:jc w:val="both"/>
        <w:rPr>
          <w:rFonts w:asciiTheme="majorBidi" w:eastAsia="Assistant" w:hAnsiTheme="majorBidi" w:cstheme="majorBidi"/>
          <w:sz w:val="24"/>
          <w:szCs w:val="24"/>
        </w:rPr>
      </w:pPr>
    </w:p>
    <w:p w14:paraId="0EC5CCBE" w14:textId="61945C2F" w:rsidR="001166CB" w:rsidRPr="00D50002" w:rsidRDefault="001166CB" w:rsidP="00CC1E32">
      <w:pPr>
        <w:bidi/>
        <w:spacing w:after="120" w:line="360" w:lineRule="auto"/>
        <w:jc w:val="both"/>
        <w:rPr>
          <w:rFonts w:asciiTheme="majorBidi" w:eastAsia="Assistant" w:hAnsiTheme="majorBidi" w:cstheme="majorBidi"/>
          <w:sz w:val="24"/>
          <w:szCs w:val="24"/>
        </w:rPr>
      </w:pPr>
    </w:p>
    <w:p w14:paraId="0000002B" w14:textId="1CCCCF84" w:rsidR="00517271" w:rsidRPr="00D50002" w:rsidRDefault="003F10F2"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anchor distT="0" distB="0" distL="114300" distR="114300" simplePos="0" relativeHeight="251688960" behindDoc="0" locked="0" layoutInCell="1" allowOverlap="1" wp14:anchorId="63B9255E" wp14:editId="2B0CCBE6">
            <wp:simplePos x="0" y="0"/>
            <wp:positionH relativeFrom="column">
              <wp:posOffset>-10795</wp:posOffset>
            </wp:positionH>
            <wp:positionV relativeFrom="paragraph">
              <wp:posOffset>206375</wp:posOffset>
            </wp:positionV>
            <wp:extent cx="5943600" cy="2838450"/>
            <wp:effectExtent l="0" t="0" r="12700" b="6350"/>
            <wp:wrapTopAndBottom/>
            <wp:docPr id="38" name="Chart 38">
              <a:extLst xmlns:a="http://schemas.openxmlformats.org/drawingml/2006/main">
                <a:ext uri="{FF2B5EF4-FFF2-40B4-BE49-F238E27FC236}">
                  <a16:creationId xmlns:a16="http://schemas.microsoft.com/office/drawing/2014/main" id="{21183FE1-3096-CCB5-7BE7-B4347E99A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p>
    <w:p w14:paraId="0000002F" w14:textId="63DFD3CA" w:rsidR="00517271" w:rsidRPr="00D50002" w:rsidRDefault="00517271" w:rsidP="00CC1E32">
      <w:pPr>
        <w:bidi/>
        <w:spacing w:after="120" w:line="360" w:lineRule="auto"/>
        <w:jc w:val="both"/>
        <w:rPr>
          <w:rFonts w:asciiTheme="majorBidi" w:eastAsia="Assistant" w:hAnsiTheme="majorBidi" w:cstheme="majorBidi"/>
          <w:sz w:val="24"/>
          <w:szCs w:val="24"/>
        </w:rPr>
      </w:pPr>
    </w:p>
    <w:p w14:paraId="7C632B9F" w14:textId="687E2B50" w:rsidR="001166CB" w:rsidRPr="00D50002" w:rsidRDefault="00615985" w:rsidP="00CC1E32">
      <w:pPr>
        <w:bidi/>
        <w:spacing w:after="120" w:line="360" w:lineRule="auto"/>
        <w:jc w:val="both"/>
        <w:rPr>
          <w:rFonts w:asciiTheme="majorBidi" w:eastAsia="Assistant" w:hAnsiTheme="majorBidi" w:cstheme="majorBidi"/>
          <w:sz w:val="24"/>
          <w:szCs w:val="24"/>
        </w:rPr>
      </w:pPr>
      <w:commentRangeStart w:id="12"/>
      <w:commentRangeEnd w:id="12"/>
      <w:r w:rsidRPr="00D50002">
        <w:rPr>
          <w:rStyle w:val="CommentReference"/>
          <w:rFonts w:asciiTheme="majorBidi" w:hAnsiTheme="majorBidi" w:cstheme="majorBidi"/>
          <w:sz w:val="24"/>
          <w:szCs w:val="24"/>
        </w:rPr>
        <w:commentReference w:id="12"/>
      </w:r>
    </w:p>
    <w:p w14:paraId="038D5EF6" w14:textId="34A15A63" w:rsidR="001166CB" w:rsidRPr="00D50002" w:rsidRDefault="001166CB" w:rsidP="00CC1E32">
      <w:pPr>
        <w:bidi/>
        <w:spacing w:after="120" w:line="360" w:lineRule="auto"/>
        <w:jc w:val="both"/>
        <w:rPr>
          <w:rFonts w:asciiTheme="majorBidi" w:eastAsia="Assistant" w:hAnsiTheme="majorBidi" w:cstheme="majorBidi"/>
          <w:sz w:val="24"/>
          <w:szCs w:val="24"/>
        </w:rPr>
      </w:pPr>
    </w:p>
    <w:p w14:paraId="00000032" w14:textId="55F567EF" w:rsidR="00517271" w:rsidRPr="00D50002" w:rsidRDefault="00517271" w:rsidP="00CC1E32">
      <w:pPr>
        <w:bidi/>
        <w:spacing w:after="120" w:line="360" w:lineRule="auto"/>
        <w:jc w:val="both"/>
        <w:rPr>
          <w:rFonts w:asciiTheme="majorBidi" w:eastAsia="Assistant" w:hAnsiTheme="majorBidi" w:cstheme="majorBidi"/>
          <w:b/>
          <w:sz w:val="24"/>
          <w:szCs w:val="24"/>
          <w:u w:val="single"/>
        </w:rPr>
      </w:pPr>
    </w:p>
    <w:p w14:paraId="6ED5B026" w14:textId="2DB12964" w:rsidR="00824268" w:rsidRPr="00D50002" w:rsidRDefault="00824268" w:rsidP="00CC1E32">
      <w:pPr>
        <w:bidi/>
        <w:spacing w:after="120" w:line="360" w:lineRule="auto"/>
        <w:jc w:val="both"/>
        <w:rPr>
          <w:rFonts w:asciiTheme="majorBidi" w:eastAsia="Assistant" w:hAnsiTheme="majorBidi" w:cstheme="majorBidi"/>
          <w:b/>
          <w:sz w:val="24"/>
          <w:szCs w:val="24"/>
          <w:u w:val="single"/>
        </w:rPr>
      </w:pPr>
    </w:p>
    <w:p w14:paraId="00000033" w14:textId="638BA566" w:rsidR="00517271" w:rsidRPr="00D50002" w:rsidRDefault="00DB550E" w:rsidP="00CC1E32">
      <w:pPr>
        <w:spacing w:after="120" w:line="360" w:lineRule="auto"/>
        <w:jc w:val="both"/>
        <w:rPr>
          <w:rFonts w:asciiTheme="majorBidi" w:eastAsia="Assistant" w:hAnsiTheme="majorBidi" w:cstheme="majorBidi"/>
          <w:b/>
          <w:sz w:val="24"/>
          <w:szCs w:val="24"/>
          <w:u w:val="single"/>
        </w:rPr>
      </w:pPr>
      <w:r w:rsidRPr="00D50002">
        <w:rPr>
          <w:rFonts w:asciiTheme="majorBidi" w:hAnsiTheme="majorBidi" w:cstheme="majorBidi"/>
          <w:sz w:val="24"/>
          <w:szCs w:val="24"/>
          <w:u w:val="single"/>
        </w:rPr>
        <w:lastRenderedPageBreak/>
        <w:t>Increase in Seed Investment</w:t>
      </w:r>
    </w:p>
    <w:p w14:paraId="00000035" w14:textId="4F03E8FE"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Seed investments in Israeli startups grew </w:t>
      </w:r>
      <w:r w:rsidR="00C17F74" w:rsidRPr="00D50002">
        <w:rPr>
          <w:rFonts w:asciiTheme="majorBidi" w:hAnsiTheme="majorBidi" w:cstheme="majorBidi"/>
          <w:sz w:val="24"/>
          <w:szCs w:val="24"/>
        </w:rPr>
        <w:t xml:space="preserve">by 65% </w:t>
      </w:r>
      <w:r w:rsidRPr="00D50002">
        <w:rPr>
          <w:rFonts w:asciiTheme="majorBidi" w:hAnsiTheme="majorBidi" w:cstheme="majorBidi"/>
          <w:sz w:val="24"/>
          <w:szCs w:val="24"/>
        </w:rPr>
        <w:t>in 2022 in relation to 2021</w:t>
      </w:r>
      <w:r w:rsidR="00C17F74">
        <w:rPr>
          <w:rFonts w:asciiTheme="majorBidi" w:hAnsiTheme="majorBidi" w:cstheme="majorBidi"/>
          <w:sz w:val="24"/>
          <w:szCs w:val="24"/>
        </w:rPr>
        <w:t>,</w:t>
      </w:r>
      <w:r w:rsidRPr="00D50002">
        <w:rPr>
          <w:rFonts w:asciiTheme="majorBidi" w:hAnsiTheme="majorBidi" w:cstheme="majorBidi"/>
          <w:sz w:val="24"/>
          <w:szCs w:val="24"/>
        </w:rPr>
        <w:t xml:space="preserve"> from USD 1.3 to 1.6 billion (this figure is expected to further rise due to the time lag in the receipt of data regarding transactions that have yet to be published). These figures are especially surprising when we take into account the decrease in the number of startups (which we reported </w:t>
      </w:r>
      <w:hyperlink r:id="rId19">
        <w:r w:rsidRPr="00D50002">
          <w:rPr>
            <w:rFonts w:asciiTheme="majorBidi" w:hAnsiTheme="majorBidi" w:cstheme="majorBidi"/>
            <w:color w:val="1155CC"/>
            <w:sz w:val="24"/>
            <w:szCs w:val="24"/>
            <w:u w:val="single"/>
          </w:rPr>
          <w:t>in previous</w:t>
        </w:r>
      </w:hyperlink>
      <w:hyperlink r:id="rId20">
        <w:r w:rsidRPr="00D50002">
          <w:rPr>
            <w:rFonts w:asciiTheme="majorBidi" w:hAnsiTheme="majorBidi" w:cstheme="majorBidi"/>
            <w:color w:val="1155CC"/>
            <w:sz w:val="24"/>
            <w:szCs w:val="24"/>
            <w:u w:val="single"/>
          </w:rPr>
          <w:t xml:space="preserve"> </w:t>
        </w:r>
      </w:hyperlink>
      <w:hyperlink r:id="rId21">
        <w:r w:rsidRPr="00D50002">
          <w:rPr>
            <w:rFonts w:asciiTheme="majorBidi" w:hAnsiTheme="majorBidi" w:cstheme="majorBidi"/>
            <w:color w:val="1155CC"/>
            <w:sz w:val="24"/>
            <w:szCs w:val="24"/>
            <w:u w:val="single"/>
          </w:rPr>
          <w:t xml:space="preserve">reports </w:t>
        </w:r>
      </w:hyperlink>
      <w:r w:rsidRPr="00D50002">
        <w:rPr>
          <w:rFonts w:asciiTheme="majorBidi" w:hAnsiTheme="majorBidi" w:cstheme="majorBidi"/>
          <w:sz w:val="24"/>
          <w:szCs w:val="24"/>
        </w:rPr>
        <w:t xml:space="preserve">) that might have been assumed would lead to a </w:t>
      </w:r>
      <w:r w:rsidRPr="00D50002">
        <w:rPr>
          <w:rFonts w:asciiTheme="majorBidi" w:hAnsiTheme="majorBidi" w:cstheme="majorBidi"/>
          <w:b/>
          <w:bCs/>
          <w:sz w:val="24"/>
          <w:szCs w:val="24"/>
        </w:rPr>
        <w:t>decline</w:t>
      </w:r>
      <w:r w:rsidRPr="00D50002">
        <w:rPr>
          <w:rFonts w:asciiTheme="majorBidi" w:hAnsiTheme="majorBidi" w:cstheme="majorBidi"/>
          <w:sz w:val="24"/>
          <w:szCs w:val="24"/>
        </w:rPr>
        <w:t xml:space="preserve"> in the amount of overall investment in seed rounds.</w:t>
      </w:r>
    </w:p>
    <w:p w14:paraId="758E8E7C" w14:textId="77777777" w:rsidR="001166CB" w:rsidRPr="00D50002" w:rsidRDefault="001166CB" w:rsidP="00CC1E32">
      <w:pPr>
        <w:bidi/>
        <w:spacing w:after="120" w:line="360" w:lineRule="auto"/>
        <w:jc w:val="both"/>
        <w:rPr>
          <w:rFonts w:asciiTheme="majorBidi" w:eastAsia="Assistant" w:hAnsiTheme="majorBidi" w:cstheme="majorBidi"/>
          <w:sz w:val="24"/>
          <w:szCs w:val="24"/>
        </w:rPr>
      </w:pPr>
    </w:p>
    <w:p w14:paraId="00000036" w14:textId="7A5E6CE9" w:rsidR="00517271" w:rsidRPr="00D50002" w:rsidRDefault="00517271" w:rsidP="00CC1E32">
      <w:pPr>
        <w:bidi/>
        <w:spacing w:after="120" w:line="360" w:lineRule="auto"/>
        <w:jc w:val="both"/>
        <w:rPr>
          <w:rFonts w:asciiTheme="majorBidi" w:eastAsia="Assistant" w:hAnsiTheme="majorBidi" w:cstheme="majorBidi"/>
          <w:sz w:val="24"/>
          <w:szCs w:val="24"/>
          <w:rtl/>
        </w:rPr>
      </w:pPr>
    </w:p>
    <w:p w14:paraId="00000037" w14:textId="2AE730A9"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Two factors contributed to the rise in seed rounds:</w:t>
      </w:r>
    </w:p>
    <w:p w14:paraId="02428BB4" w14:textId="77777777" w:rsidR="001166CB" w:rsidRPr="00D50002" w:rsidRDefault="001166CB" w:rsidP="00CC1E32">
      <w:pPr>
        <w:bidi/>
        <w:spacing w:after="120" w:line="360" w:lineRule="auto"/>
        <w:jc w:val="both"/>
        <w:rPr>
          <w:rFonts w:asciiTheme="majorBidi" w:eastAsia="Assistant" w:hAnsiTheme="majorBidi" w:cstheme="majorBidi"/>
          <w:sz w:val="24"/>
          <w:szCs w:val="24"/>
          <w:rtl/>
        </w:rPr>
      </w:pPr>
    </w:p>
    <w:p w14:paraId="00000039" w14:textId="77777777" w:rsidR="00517271" w:rsidRPr="00D50002" w:rsidRDefault="00DB550E" w:rsidP="00CC1E32">
      <w:pPr>
        <w:numPr>
          <w:ilvl w:val="0"/>
          <w:numId w:val="6"/>
        </w:numPr>
        <w:spacing w:after="120" w:line="360" w:lineRule="auto"/>
        <w:jc w:val="both"/>
        <w:rPr>
          <w:rFonts w:asciiTheme="majorBidi" w:eastAsia="Assistant" w:hAnsiTheme="majorBidi" w:cstheme="majorBidi"/>
          <w:b/>
          <w:i/>
          <w:iCs/>
          <w:sz w:val="24"/>
          <w:szCs w:val="24"/>
        </w:rPr>
      </w:pPr>
      <w:r w:rsidRPr="00D50002">
        <w:rPr>
          <w:rFonts w:asciiTheme="majorBidi" w:hAnsiTheme="majorBidi" w:cstheme="majorBidi"/>
          <w:i/>
          <w:sz w:val="24"/>
          <w:szCs w:val="24"/>
        </w:rPr>
        <w:t>The shift of late-stage investors to earlier stages</w:t>
      </w:r>
    </w:p>
    <w:p w14:paraId="348DD055" w14:textId="4C33E3F2" w:rsidR="001166CB"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Some of the increase in seed investments has been caused by a shift to earlier-stage investments by investors who had traditionally only invested in later stages. According to the analysis we conducted on all the investors in the Israeli high-tech industry from 2014, 16 different investors who until 2021 had invested only in A </w:t>
      </w:r>
      <w:proofErr w:type="gramStart"/>
      <w:r w:rsidRPr="00D50002">
        <w:rPr>
          <w:rFonts w:asciiTheme="majorBidi" w:hAnsiTheme="majorBidi" w:cstheme="majorBidi"/>
          <w:sz w:val="24"/>
          <w:szCs w:val="24"/>
        </w:rPr>
        <w:t>rounds</w:t>
      </w:r>
      <w:proofErr w:type="gramEnd"/>
      <w:r w:rsidRPr="00D50002">
        <w:rPr>
          <w:rFonts w:asciiTheme="majorBidi" w:hAnsiTheme="majorBidi" w:cstheme="majorBidi"/>
          <w:sz w:val="24"/>
          <w:szCs w:val="24"/>
        </w:rPr>
        <w:t xml:space="preserve"> and above, took part in 21 seed transactions during 2022. While there might be a variety of reasons for prioritizing seed investments </w:t>
      </w:r>
      <w:r w:rsidR="004D2DD5" w:rsidRPr="00D50002">
        <w:rPr>
          <w:rFonts w:asciiTheme="majorBidi" w:hAnsiTheme="majorBidi" w:cstheme="majorBidi"/>
          <w:sz w:val="24"/>
          <w:szCs w:val="24"/>
        </w:rPr>
        <w:t>over</w:t>
      </w:r>
      <w:r w:rsidRPr="00D50002">
        <w:rPr>
          <w:rFonts w:asciiTheme="majorBidi" w:hAnsiTheme="majorBidi" w:cstheme="majorBidi"/>
          <w:sz w:val="24"/>
          <w:szCs w:val="24"/>
        </w:rPr>
        <w:t xml:space="preserve"> later-stage transactions, the main reason for this appears to be the extremely high valuations in the later-stage rounds. To illustrate this point, by the end of 2021, the giant investment firm, Tiger Global, had taken part in 23 late-stage investments with only one seed investment. In comparison, in 2022 Tiger Global invested in three seed investments in Israel</w:t>
      </w:r>
      <w:r w:rsidR="004D2DD5">
        <w:rPr>
          <w:rFonts w:asciiTheme="majorBidi" w:hAnsiTheme="majorBidi" w:cstheme="majorBidi"/>
          <w:sz w:val="24"/>
          <w:szCs w:val="24"/>
        </w:rPr>
        <w:t>,</w:t>
      </w:r>
      <w:r w:rsidRPr="00D50002">
        <w:rPr>
          <w:rFonts w:asciiTheme="majorBidi" w:hAnsiTheme="majorBidi" w:cstheme="majorBidi"/>
          <w:sz w:val="24"/>
          <w:szCs w:val="24"/>
        </w:rPr>
        <w:t xml:space="preserve"> with an average investment of USD 50 million.</w:t>
      </w:r>
    </w:p>
    <w:p w14:paraId="6DDD5110" w14:textId="4B628109" w:rsidR="003F10F2" w:rsidRPr="00D50002" w:rsidRDefault="003F10F2"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anchor distT="0" distB="0" distL="114300" distR="114300" simplePos="0" relativeHeight="251689984" behindDoc="0" locked="0" layoutInCell="1" allowOverlap="1" wp14:anchorId="4F372791" wp14:editId="2CC21DB1">
            <wp:simplePos x="0" y="0"/>
            <wp:positionH relativeFrom="column">
              <wp:posOffset>84499</wp:posOffset>
            </wp:positionH>
            <wp:positionV relativeFrom="paragraph">
              <wp:posOffset>194059</wp:posOffset>
            </wp:positionV>
            <wp:extent cx="5943600" cy="2902585"/>
            <wp:effectExtent l="0" t="0" r="12700" b="18415"/>
            <wp:wrapTopAndBottom/>
            <wp:docPr id="39" name="Chart 39">
              <a:extLst xmlns:a="http://schemas.openxmlformats.org/drawingml/2006/main">
                <a:ext uri="{FF2B5EF4-FFF2-40B4-BE49-F238E27FC236}">
                  <a16:creationId xmlns:a16="http://schemas.microsoft.com/office/drawing/2014/main" id="{7F4BDF3D-2EED-A026-9A75-038714176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p w14:paraId="687C0708" w14:textId="577BBE69" w:rsidR="003F10F2" w:rsidRPr="00D50002" w:rsidRDefault="003F10F2" w:rsidP="00CC1E32">
      <w:pPr>
        <w:bidi/>
        <w:spacing w:after="120" w:line="360" w:lineRule="auto"/>
        <w:jc w:val="both"/>
        <w:rPr>
          <w:rFonts w:asciiTheme="majorBidi" w:eastAsia="Assistant" w:hAnsiTheme="majorBidi" w:cstheme="majorBidi"/>
          <w:sz w:val="24"/>
          <w:szCs w:val="24"/>
        </w:rPr>
      </w:pPr>
    </w:p>
    <w:p w14:paraId="2119733A" w14:textId="7E04833A" w:rsidR="003F10F2" w:rsidRPr="00D50002" w:rsidRDefault="009D2C2D" w:rsidP="00CC1E32">
      <w:pPr>
        <w:bidi/>
        <w:spacing w:after="120" w:line="360" w:lineRule="auto"/>
        <w:jc w:val="both"/>
        <w:rPr>
          <w:rFonts w:asciiTheme="majorBidi" w:eastAsia="Assistant" w:hAnsiTheme="majorBidi" w:cstheme="majorBidi"/>
          <w:sz w:val="24"/>
          <w:szCs w:val="24"/>
        </w:rPr>
      </w:pPr>
      <w:commentRangeStart w:id="13"/>
      <w:commentRangeEnd w:id="13"/>
      <w:r w:rsidRPr="00D50002">
        <w:rPr>
          <w:rStyle w:val="CommentReference"/>
          <w:rFonts w:asciiTheme="majorBidi" w:hAnsiTheme="majorBidi" w:cstheme="majorBidi"/>
          <w:sz w:val="24"/>
          <w:szCs w:val="24"/>
        </w:rPr>
        <w:commentReference w:id="13"/>
      </w:r>
    </w:p>
    <w:p w14:paraId="61FFBC49" w14:textId="75795944" w:rsidR="001166CB" w:rsidRPr="00D50002" w:rsidRDefault="001166CB" w:rsidP="00CC1E32">
      <w:pPr>
        <w:bidi/>
        <w:spacing w:after="120" w:line="360" w:lineRule="auto"/>
        <w:jc w:val="both"/>
        <w:rPr>
          <w:rFonts w:asciiTheme="majorBidi" w:eastAsia="Assistant" w:hAnsiTheme="majorBidi" w:cstheme="majorBidi"/>
          <w:sz w:val="24"/>
          <w:szCs w:val="24"/>
        </w:rPr>
      </w:pPr>
    </w:p>
    <w:p w14:paraId="4074D9E4" w14:textId="4F74B04B" w:rsidR="0042531F" w:rsidRPr="00D50002" w:rsidRDefault="003F10F2" w:rsidP="00CC1E32">
      <w:pPr>
        <w:numPr>
          <w:ilvl w:val="0"/>
          <w:numId w:val="6"/>
        </w:numPr>
        <w:spacing w:after="120" w:line="360" w:lineRule="auto"/>
        <w:jc w:val="both"/>
        <w:rPr>
          <w:rFonts w:asciiTheme="majorBidi" w:eastAsia="Assistant" w:hAnsiTheme="majorBidi" w:cstheme="majorBidi"/>
          <w:b/>
          <w:i/>
          <w:iCs/>
          <w:sz w:val="24"/>
          <w:szCs w:val="24"/>
        </w:rPr>
      </w:pPr>
      <w:r w:rsidRPr="00D50002">
        <w:rPr>
          <w:rFonts w:asciiTheme="majorBidi" w:hAnsiTheme="majorBidi" w:cstheme="majorBidi"/>
          <w:i/>
          <w:sz w:val="24"/>
          <w:szCs w:val="24"/>
        </w:rPr>
        <w:t xml:space="preserve"> </w:t>
      </w:r>
      <w:sdt>
        <w:sdtPr>
          <w:rPr>
            <w:rFonts w:asciiTheme="majorBidi" w:hAnsiTheme="majorBidi" w:cstheme="majorBidi"/>
            <w:i/>
            <w:iCs/>
            <w:sz w:val="24"/>
            <w:szCs w:val="24"/>
          </w:rPr>
          <w:tag w:val="goog_rdk_8"/>
          <w:id w:val="1679614769"/>
          <w:showingPlcHdr/>
        </w:sdtPr>
        <w:sdtEndPr/>
        <w:sdtContent>
          <w:r w:rsidRPr="00D50002">
            <w:rPr>
              <w:rFonts w:asciiTheme="majorBidi" w:hAnsiTheme="majorBidi" w:cstheme="majorBidi"/>
              <w:i/>
              <w:sz w:val="24"/>
              <w:szCs w:val="24"/>
            </w:rPr>
            <w:t xml:space="preserve">     </w:t>
          </w:r>
        </w:sdtContent>
      </w:sdt>
      <w:r w:rsidRPr="00D50002">
        <w:rPr>
          <w:rFonts w:asciiTheme="majorBidi" w:hAnsiTheme="majorBidi" w:cstheme="majorBidi"/>
          <w:b/>
          <w:i/>
          <w:sz w:val="24"/>
          <w:szCs w:val="24"/>
        </w:rPr>
        <w:t>A rise in the number of investors per round</w:t>
      </w:r>
    </w:p>
    <w:p w14:paraId="0000003D" w14:textId="6307F504" w:rsidR="00517271" w:rsidRPr="00D50002" w:rsidRDefault="00DB550E" w:rsidP="00CC1E32">
      <w:pPr>
        <w:spacing w:after="120" w:line="360" w:lineRule="auto"/>
        <w:ind w:left="360"/>
        <w:jc w:val="both"/>
        <w:rPr>
          <w:rFonts w:asciiTheme="majorBidi" w:eastAsia="Assistant" w:hAnsiTheme="majorBidi" w:cstheme="majorBidi"/>
          <w:b/>
          <w:i/>
          <w:iCs/>
          <w:sz w:val="24"/>
          <w:szCs w:val="24"/>
        </w:rPr>
      </w:pPr>
      <w:r w:rsidRPr="00D50002">
        <w:rPr>
          <w:rFonts w:asciiTheme="majorBidi" w:hAnsiTheme="majorBidi" w:cstheme="majorBidi"/>
          <w:sz w:val="24"/>
          <w:szCs w:val="24"/>
        </w:rPr>
        <w:t>The average number of investors in each early-stage round is on the rise, and this figure is especially prominent in the seed rounds. Between 2019 and 2022, the average number of investors in each round at this stage almost doubled itself. The most significant increase occurred in 2022, when on average one additional investor was added to each transaction in comparison with the same figure from 2021 (Graph 4).</w:t>
      </w:r>
    </w:p>
    <w:p w14:paraId="4FD4950C" w14:textId="77777777" w:rsidR="0042531F" w:rsidRPr="00D50002" w:rsidRDefault="0042531F" w:rsidP="00CC1E32">
      <w:pPr>
        <w:bidi/>
        <w:spacing w:after="120" w:line="360" w:lineRule="auto"/>
        <w:jc w:val="both"/>
        <w:rPr>
          <w:rFonts w:asciiTheme="majorBidi" w:eastAsia="Assistant" w:hAnsiTheme="majorBidi" w:cstheme="majorBidi"/>
          <w:sz w:val="24"/>
          <w:szCs w:val="24"/>
          <w:u w:val="single"/>
          <w:rtl/>
        </w:rPr>
      </w:pPr>
    </w:p>
    <w:p w14:paraId="00000044" w14:textId="7E098F8A"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u w:val="single"/>
        </w:rPr>
        <w:t>The Impact on Startups of the Decline in Capital Raising</w:t>
      </w:r>
      <w:r w:rsidRPr="00D50002">
        <w:rPr>
          <w:rFonts w:asciiTheme="majorBidi" w:hAnsiTheme="majorBidi" w:cstheme="majorBidi"/>
          <w:sz w:val="24"/>
          <w:szCs w:val="24"/>
        </w:rPr>
        <w:t xml:space="preserve"> </w:t>
      </w:r>
    </w:p>
    <w:p w14:paraId="00000045" w14:textId="632B957C"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As we have seen, H2 2022 was characterized by a decrease in the number of rounds, apart from the seed rounds. On the other hand, this half-year came after two years during which investments peaked both in terms of the number of rounds and the investment amount. Therefore, the question that we really should ask is what is the state of those startups founded in different years – did they miss the investment boat or is the opposite true, and they simply jumped aboard earlier on?  Are </w:t>
      </w:r>
      <w:r w:rsidRPr="00D50002">
        <w:rPr>
          <w:rFonts w:asciiTheme="majorBidi" w:hAnsiTheme="majorBidi" w:cstheme="majorBidi"/>
          <w:sz w:val="24"/>
          <w:szCs w:val="24"/>
        </w:rPr>
        <w:lastRenderedPageBreak/>
        <w:t xml:space="preserve">younger startups, which </w:t>
      </w:r>
      <w:proofErr w:type="gramStart"/>
      <w:r w:rsidRPr="00D50002">
        <w:rPr>
          <w:rFonts w:asciiTheme="majorBidi" w:hAnsiTheme="majorBidi" w:cstheme="majorBidi"/>
          <w:sz w:val="24"/>
          <w:szCs w:val="24"/>
        </w:rPr>
        <w:t>did not succeed</w:t>
      </w:r>
      <w:proofErr w:type="gramEnd"/>
      <w:r w:rsidRPr="00D50002">
        <w:rPr>
          <w:rFonts w:asciiTheme="majorBidi" w:hAnsiTheme="majorBidi" w:cstheme="majorBidi"/>
          <w:sz w:val="24"/>
          <w:szCs w:val="24"/>
        </w:rPr>
        <w:t xml:space="preserve"> in raising capital during the “good period”, now encountering hardship? In this chapter, we shall attempt to answer these questions. </w:t>
      </w:r>
    </w:p>
    <w:p w14:paraId="00000046" w14:textId="77777777" w:rsidR="00517271" w:rsidRPr="00D50002" w:rsidRDefault="00517271" w:rsidP="00CC1E32">
      <w:pPr>
        <w:bidi/>
        <w:spacing w:after="120" w:line="360" w:lineRule="auto"/>
        <w:jc w:val="both"/>
        <w:rPr>
          <w:rFonts w:asciiTheme="majorBidi" w:eastAsia="Assistant" w:hAnsiTheme="majorBidi" w:cstheme="majorBidi"/>
          <w:b/>
          <w:sz w:val="24"/>
          <w:szCs w:val="24"/>
          <w:u w:val="single"/>
        </w:rPr>
      </w:pPr>
    </w:p>
    <w:p w14:paraId="00000047" w14:textId="77777777" w:rsidR="00517271" w:rsidRPr="00D50002" w:rsidRDefault="00DB550E"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sz w:val="24"/>
          <w:szCs w:val="24"/>
          <w:u w:val="single"/>
        </w:rPr>
        <w:t xml:space="preserve">From Seed Round to Round A  </w:t>
      </w:r>
    </w:p>
    <w:p w14:paraId="00000048"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We shall commence the analysis with characteristics of the companies’ shift from seed funding rounds to A rounds. </w:t>
      </w:r>
    </w:p>
    <w:p w14:paraId="00000049"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Based on historical data, we built a statistical model describing the breakdown of the duration of time between seed rounds and A rounds, while we </w:t>
      </w:r>
      <w:proofErr w:type="gramStart"/>
      <w:r w:rsidRPr="00D50002">
        <w:rPr>
          <w:rFonts w:asciiTheme="majorBidi" w:hAnsiTheme="majorBidi" w:cstheme="majorBidi"/>
          <w:sz w:val="24"/>
          <w:szCs w:val="24"/>
        </w:rPr>
        <w:t>take into account</w:t>
      </w:r>
      <w:proofErr w:type="gramEnd"/>
      <w:r w:rsidRPr="00D50002">
        <w:rPr>
          <w:rFonts w:asciiTheme="majorBidi" w:hAnsiTheme="majorBidi" w:cstheme="majorBidi"/>
          <w:sz w:val="24"/>
          <w:szCs w:val="24"/>
        </w:rPr>
        <w:t xml:space="preserve"> two important facts: </w:t>
      </w:r>
    </w:p>
    <w:p w14:paraId="0000004A"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(1) Only 40% of companies succeed in raising Round A funding (this figure hardly varies among the different age-groups).</w:t>
      </w:r>
    </w:p>
    <w:p w14:paraId="0000004B"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(2) It takes those startups that do succeed in raising Round A funding about three years to reach this milestone, but there is a considerable degree of variance (a standard deviation of 32 months). </w:t>
      </w:r>
    </w:p>
    <w:p w14:paraId="0000004C" w14:textId="190B7FA5"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In other words, the model must contend with the fact that when we see a company that has not raised Round A funding to date, there is a certain probability that it will never succeed in doing so, which depends on the amount of time that has elapsed since the seed round.</w:t>
      </w:r>
      <w:r w:rsidRPr="00D50002">
        <w:rPr>
          <w:rFonts w:asciiTheme="majorBidi" w:hAnsiTheme="majorBidi" w:cstheme="majorBidi"/>
          <w:sz w:val="24"/>
          <w:szCs w:val="24"/>
          <w:vertAlign w:val="superscript"/>
        </w:rPr>
        <w:t xml:space="preserve"> </w:t>
      </w:r>
      <w:r w:rsidR="00641B60" w:rsidRPr="00D50002">
        <w:rPr>
          <w:rFonts w:asciiTheme="majorBidi" w:eastAsia="Assistant" w:hAnsiTheme="majorBidi" w:cstheme="majorBidi"/>
          <w:sz w:val="24"/>
          <w:szCs w:val="24"/>
          <w:vertAlign w:val="superscript"/>
        </w:rPr>
        <w:footnoteReference w:id="1"/>
      </w:r>
    </w:p>
    <w:p w14:paraId="0000004D" w14:textId="1B098FAC"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We evaluated the model on all the companies raising seed funding between 2014 and 2017. Afterwards, we used the evaluated model to compare between the actual funding rounds and the model</w:t>
      </w:r>
      <w:r w:rsidR="00D50002">
        <w:rPr>
          <w:rFonts w:asciiTheme="majorBidi" w:hAnsiTheme="majorBidi" w:cstheme="majorBidi"/>
          <w:sz w:val="24"/>
          <w:szCs w:val="24"/>
        </w:rPr>
        <w:t>’</w:t>
      </w:r>
      <w:r w:rsidRPr="00D50002">
        <w:rPr>
          <w:rFonts w:asciiTheme="majorBidi" w:hAnsiTheme="majorBidi" w:cstheme="majorBidi"/>
          <w:sz w:val="24"/>
          <w:szCs w:val="24"/>
        </w:rPr>
        <w:t xml:space="preserve">s forecast for all the companies that raised seed funding from 2014 to 2022. The model results are displayed in </w:t>
      </w:r>
      <w:r w:rsidRPr="00CC4F50">
        <w:rPr>
          <w:rFonts w:asciiTheme="majorBidi" w:hAnsiTheme="majorBidi" w:cstheme="majorBidi"/>
          <w:sz w:val="24"/>
          <w:szCs w:val="24"/>
        </w:rPr>
        <w:t xml:space="preserve">Graph </w:t>
      </w:r>
      <w:commentRangeStart w:id="14"/>
      <w:r w:rsidRPr="00CC4F50">
        <w:rPr>
          <w:rFonts w:asciiTheme="majorBidi" w:hAnsiTheme="majorBidi" w:cstheme="majorBidi"/>
          <w:sz w:val="24"/>
          <w:szCs w:val="24"/>
        </w:rPr>
        <w:t>5</w:t>
      </w:r>
      <w:commentRangeEnd w:id="14"/>
      <w:r w:rsidR="00683A72" w:rsidRPr="00CC4F50">
        <w:rPr>
          <w:rStyle w:val="CommentReference"/>
          <w:rFonts w:asciiTheme="majorBidi" w:hAnsiTheme="majorBidi" w:cstheme="majorBidi"/>
          <w:sz w:val="24"/>
          <w:szCs w:val="24"/>
        </w:rPr>
        <w:commentReference w:id="14"/>
      </w:r>
      <w:r w:rsidRPr="00CC4F50">
        <w:rPr>
          <w:rFonts w:asciiTheme="majorBidi" w:hAnsiTheme="majorBidi" w:cstheme="majorBidi"/>
          <w:sz w:val="24"/>
          <w:szCs w:val="24"/>
        </w:rPr>
        <w:t>.</w:t>
      </w:r>
      <w:r w:rsidR="00683A72" w:rsidRPr="00D50002">
        <w:rPr>
          <w:rFonts w:asciiTheme="majorBidi" w:hAnsiTheme="majorBidi" w:cstheme="majorBidi"/>
          <w:sz w:val="24"/>
          <w:szCs w:val="24"/>
        </w:rPr>
        <w:t xml:space="preserve"> </w:t>
      </w:r>
    </w:p>
    <w:p w14:paraId="0000004E"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6514C47C" w14:textId="77777777" w:rsidR="00B57F40" w:rsidRPr="00D50002" w:rsidRDefault="00B57F40"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noProof/>
          <w:sz w:val="24"/>
          <w:szCs w:val="24"/>
        </w:rPr>
        <w:lastRenderedPageBreak/>
        <w:drawing>
          <wp:inline distT="0" distB="0" distL="0" distR="0" wp14:anchorId="081108ED" wp14:editId="0EF09DF3">
            <wp:extent cx="5358809" cy="3370521"/>
            <wp:effectExtent l="0" t="0" r="13335" b="8255"/>
            <wp:docPr id="9" name="Chart 9">
              <a:extLst xmlns:a="http://schemas.openxmlformats.org/drawingml/2006/main">
                <a:ext uri="{FF2B5EF4-FFF2-40B4-BE49-F238E27FC236}">
                  <a16:creationId xmlns:a16="http://schemas.microsoft.com/office/drawing/2014/main" id="{2DFBA4AB-2CD5-4B83-82CD-09CCA0F52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000068" w14:textId="57E41C0B" w:rsidR="00517271" w:rsidRPr="00D50002" w:rsidRDefault="00DB550E"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sz w:val="24"/>
          <w:szCs w:val="24"/>
          <w:u w:val="single"/>
        </w:rPr>
        <w:t>Analysis of the Model Results</w:t>
      </w:r>
    </w:p>
    <w:p w14:paraId="00000069"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CC4F50">
        <w:rPr>
          <w:rFonts w:asciiTheme="majorBidi" w:hAnsiTheme="majorBidi" w:cstheme="majorBidi"/>
          <w:sz w:val="24"/>
          <w:szCs w:val="24"/>
        </w:rPr>
        <w:t>Graph 5</w:t>
      </w:r>
      <w:r w:rsidRPr="00D50002">
        <w:rPr>
          <w:rFonts w:asciiTheme="majorBidi" w:hAnsiTheme="majorBidi" w:cstheme="majorBidi"/>
          <w:sz w:val="24"/>
          <w:szCs w:val="24"/>
        </w:rPr>
        <w:t xml:space="preserve"> </w:t>
      </w:r>
      <w:commentRangeStart w:id="15"/>
      <w:r w:rsidRPr="00D50002">
        <w:rPr>
          <w:rFonts w:asciiTheme="majorBidi" w:hAnsiTheme="majorBidi" w:cstheme="majorBidi"/>
          <w:sz w:val="24"/>
          <w:szCs w:val="24"/>
        </w:rPr>
        <w:t>shows</w:t>
      </w:r>
      <w:commentRangeEnd w:id="15"/>
      <w:r w:rsidR="00683A72" w:rsidRPr="00D50002">
        <w:rPr>
          <w:rStyle w:val="CommentReference"/>
          <w:rFonts w:asciiTheme="majorBidi" w:hAnsiTheme="majorBidi" w:cstheme="majorBidi"/>
          <w:sz w:val="24"/>
          <w:szCs w:val="24"/>
        </w:rPr>
        <w:commentReference w:id="15"/>
      </w:r>
      <w:r w:rsidRPr="00D50002">
        <w:rPr>
          <w:rFonts w:asciiTheme="majorBidi" w:hAnsiTheme="majorBidi" w:cstheme="majorBidi"/>
          <w:sz w:val="24"/>
          <w:szCs w:val="24"/>
        </w:rPr>
        <w:t xml:space="preserve"> that while until 2021, the model forecast was a good fit for actual Round A funding, </w:t>
      </w:r>
      <w:r w:rsidRPr="00D50002">
        <w:rPr>
          <w:rFonts w:asciiTheme="majorBidi" w:hAnsiTheme="majorBidi" w:cstheme="majorBidi"/>
          <w:b/>
          <w:bCs/>
          <w:sz w:val="24"/>
          <w:szCs w:val="24"/>
        </w:rPr>
        <w:t>in the three half-years commencing in 2021 the rate of Round A funding was much higher than anticipated</w:t>
      </w:r>
      <w:r w:rsidRPr="00D50002">
        <w:rPr>
          <w:rFonts w:asciiTheme="majorBidi" w:hAnsiTheme="majorBidi" w:cstheme="majorBidi"/>
          <w:sz w:val="24"/>
          <w:szCs w:val="24"/>
        </w:rPr>
        <w:t xml:space="preserve">. This is particularly true of those companies raising seed funding in 2020 and 2021, and which on average raised Round A funding earlier than expected according to the model. Accordingly, </w:t>
      </w:r>
      <w:r w:rsidRPr="00D50002">
        <w:rPr>
          <w:rFonts w:asciiTheme="majorBidi" w:hAnsiTheme="majorBidi" w:cstheme="majorBidi"/>
          <w:b/>
          <w:bCs/>
          <w:sz w:val="24"/>
          <w:szCs w:val="24"/>
        </w:rPr>
        <w:t>these companies did not raise Round A funding during H2 2022 simply as they had raised this funding earlier</w:t>
      </w:r>
      <w:r w:rsidRPr="00D50002">
        <w:rPr>
          <w:rFonts w:asciiTheme="majorBidi" w:hAnsiTheme="majorBidi" w:cstheme="majorBidi"/>
          <w:sz w:val="24"/>
          <w:szCs w:val="24"/>
        </w:rPr>
        <w:t xml:space="preserve"> – in 2021 and during H1 2022.  Furthermore, it can clearly be seen that the surplus funding created in the three half-years commencing in 2021 exceeds the “deficit” during H2 2022. </w:t>
      </w:r>
    </w:p>
    <w:p w14:paraId="0000006A" w14:textId="637797E5"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b/>
          <w:bCs/>
          <w:sz w:val="24"/>
          <w:szCs w:val="24"/>
        </w:rPr>
        <w:t>The bottom line</w:t>
      </w:r>
      <w:r w:rsidRPr="00D50002">
        <w:rPr>
          <w:rFonts w:asciiTheme="majorBidi" w:hAnsiTheme="majorBidi" w:cstheme="majorBidi"/>
          <w:sz w:val="24"/>
          <w:szCs w:val="24"/>
        </w:rPr>
        <w:t xml:space="preserve"> is thus that the number of startups raising Round A funding among all the age-groups is </w:t>
      </w:r>
      <w:r w:rsidRPr="00D50002">
        <w:rPr>
          <w:rFonts w:asciiTheme="majorBidi" w:hAnsiTheme="majorBidi" w:cstheme="majorBidi"/>
          <w:b/>
          <w:bCs/>
          <w:sz w:val="24"/>
          <w:szCs w:val="24"/>
        </w:rPr>
        <w:t xml:space="preserve">still </w:t>
      </w:r>
      <w:proofErr w:type="gramStart"/>
      <w:r w:rsidRPr="00D50002">
        <w:rPr>
          <w:rFonts w:asciiTheme="majorBidi" w:hAnsiTheme="majorBidi" w:cstheme="majorBidi"/>
          <w:b/>
          <w:bCs/>
          <w:sz w:val="24"/>
          <w:szCs w:val="24"/>
        </w:rPr>
        <w:t>similar to</w:t>
      </w:r>
      <w:proofErr w:type="gramEnd"/>
      <w:r w:rsidRPr="00D50002">
        <w:rPr>
          <w:rFonts w:asciiTheme="majorBidi" w:hAnsiTheme="majorBidi" w:cstheme="majorBidi"/>
          <w:b/>
          <w:bCs/>
          <w:sz w:val="24"/>
          <w:szCs w:val="24"/>
        </w:rPr>
        <w:t xml:space="preserve"> or higher than</w:t>
      </w:r>
      <w:r w:rsidRPr="00D50002">
        <w:rPr>
          <w:rFonts w:asciiTheme="majorBidi" w:hAnsiTheme="majorBidi" w:cstheme="majorBidi"/>
          <w:sz w:val="24"/>
          <w:szCs w:val="24"/>
        </w:rPr>
        <w:t xml:space="preserve"> the forecast based on historical data, as can be seen in the following table:</w:t>
      </w:r>
    </w:p>
    <w:p w14:paraId="0000006B"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tbl>
      <w:tblPr>
        <w:tblStyle w:val="a"/>
        <w:tblW w:w="6304" w:type="dxa"/>
        <w:tblBorders>
          <w:top w:val="nil"/>
          <w:left w:val="nil"/>
          <w:bottom w:val="nil"/>
          <w:right w:val="nil"/>
          <w:insideH w:val="nil"/>
          <w:insideV w:val="nil"/>
        </w:tblBorders>
        <w:tblLayout w:type="fixed"/>
        <w:tblLook w:val="0600" w:firstRow="0" w:lastRow="0" w:firstColumn="0" w:lastColumn="0" w:noHBand="1" w:noVBand="1"/>
      </w:tblPr>
      <w:tblGrid>
        <w:gridCol w:w="1408"/>
        <w:gridCol w:w="1499"/>
        <w:gridCol w:w="1005"/>
        <w:gridCol w:w="960"/>
        <w:gridCol w:w="1432"/>
      </w:tblGrid>
      <w:tr w:rsidR="00517271" w:rsidRPr="00D50002" w14:paraId="4116A11D" w14:textId="77777777" w:rsidTr="00CC4F50">
        <w:trPr>
          <w:trHeight w:val="485"/>
        </w:trPr>
        <w:tc>
          <w:tcPr>
            <w:tcW w:w="140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C" w14:textId="1276F309"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Seed investment year</w:t>
            </w:r>
          </w:p>
        </w:tc>
        <w:tc>
          <w:tcPr>
            <w:tcW w:w="1499" w:type="dxa"/>
            <w:vMerge w:val="restar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000006D"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Number of</w:t>
            </w:r>
          </w:p>
          <w:p w14:paraId="0000006E"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lastRenderedPageBreak/>
              <w:t>companies</w:t>
            </w:r>
          </w:p>
        </w:tc>
        <w:tc>
          <w:tcPr>
            <w:tcW w:w="3397" w:type="dxa"/>
            <w:gridSpan w:val="3"/>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000006F" w14:textId="77777777"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lastRenderedPageBreak/>
              <w:t>Of which raised Round A funding by the end of 2022</w:t>
            </w:r>
          </w:p>
        </w:tc>
      </w:tr>
      <w:tr w:rsidR="00517271" w:rsidRPr="00D50002" w14:paraId="1C2FBB11" w14:textId="77777777" w:rsidTr="00CC4F50">
        <w:trPr>
          <w:trHeight w:val="455"/>
        </w:trPr>
        <w:tc>
          <w:tcPr>
            <w:tcW w:w="1408"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072" w14:textId="77777777" w:rsidR="00517271" w:rsidRPr="00D50002" w:rsidRDefault="00517271" w:rsidP="00CC1E32">
            <w:pPr>
              <w:bidi/>
              <w:spacing w:after="120" w:line="360" w:lineRule="auto"/>
              <w:jc w:val="both"/>
              <w:rPr>
                <w:rFonts w:asciiTheme="majorBidi" w:hAnsiTheme="majorBidi" w:cstheme="majorBidi"/>
                <w:sz w:val="24"/>
                <w:szCs w:val="24"/>
              </w:rPr>
            </w:pPr>
          </w:p>
        </w:tc>
        <w:tc>
          <w:tcPr>
            <w:tcW w:w="1499" w:type="dxa"/>
            <w:vMerge/>
            <w:tcBorders>
              <w:bottom w:val="single" w:sz="8" w:space="0" w:color="000000"/>
              <w:right w:val="nil"/>
            </w:tcBorders>
            <w:shd w:val="clear" w:color="auto" w:fill="auto"/>
            <w:tcMar>
              <w:top w:w="100" w:type="dxa"/>
              <w:left w:w="100" w:type="dxa"/>
              <w:bottom w:w="100" w:type="dxa"/>
              <w:right w:w="100" w:type="dxa"/>
            </w:tcMar>
          </w:tcPr>
          <w:p w14:paraId="00000073" w14:textId="77777777" w:rsidR="00517271" w:rsidRPr="00D50002" w:rsidRDefault="00517271" w:rsidP="00CC1E32">
            <w:pPr>
              <w:bidi/>
              <w:spacing w:after="120" w:line="360" w:lineRule="auto"/>
              <w:jc w:val="both"/>
              <w:rPr>
                <w:rFonts w:asciiTheme="majorBidi" w:hAnsiTheme="majorBidi" w:cstheme="majorBidi"/>
                <w:sz w:val="24"/>
                <w:szCs w:val="24"/>
              </w:rPr>
            </w:pP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4" w14:textId="77777777"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Model</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5" w14:textId="77777777"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Actual</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6" w14:textId="77777777"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Difference</w:t>
            </w:r>
          </w:p>
        </w:tc>
      </w:tr>
      <w:tr w:rsidR="00517271" w:rsidRPr="00D50002" w14:paraId="6E28335F" w14:textId="77777777" w:rsidTr="00CC4F50">
        <w:trPr>
          <w:trHeight w:val="485"/>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7"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2014</w:t>
            </w:r>
          </w:p>
        </w:tc>
        <w:tc>
          <w:tcPr>
            <w:tcW w:w="149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8"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299</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9"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117.1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A"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109</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B"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-7%</w:t>
            </w:r>
          </w:p>
        </w:tc>
      </w:tr>
      <w:tr w:rsidR="00517271" w:rsidRPr="00D50002" w14:paraId="1747A632" w14:textId="77777777" w:rsidTr="00CC4F50">
        <w:trPr>
          <w:trHeight w:val="485"/>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C"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2015</w:t>
            </w:r>
          </w:p>
        </w:tc>
        <w:tc>
          <w:tcPr>
            <w:tcW w:w="149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D"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380</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E"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146.2</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7F"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149</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0"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w:t>
            </w:r>
          </w:p>
        </w:tc>
      </w:tr>
      <w:tr w:rsidR="00517271" w:rsidRPr="00D50002" w14:paraId="32BF882F" w14:textId="77777777" w:rsidTr="00CC4F50">
        <w:trPr>
          <w:trHeight w:val="485"/>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1"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2016</w:t>
            </w:r>
          </w:p>
        </w:tc>
        <w:tc>
          <w:tcPr>
            <w:tcW w:w="149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2"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356</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3"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133.4</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4"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135</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5"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w:t>
            </w:r>
          </w:p>
        </w:tc>
      </w:tr>
      <w:tr w:rsidR="00517271" w:rsidRPr="00D50002" w14:paraId="78D83981" w14:textId="77777777" w:rsidTr="00CC4F50">
        <w:trPr>
          <w:trHeight w:val="485"/>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6"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2017</w:t>
            </w:r>
          </w:p>
        </w:tc>
        <w:tc>
          <w:tcPr>
            <w:tcW w:w="149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7"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328</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8"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117.9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9"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119</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A"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w:t>
            </w:r>
          </w:p>
        </w:tc>
      </w:tr>
      <w:tr w:rsidR="00517271" w:rsidRPr="00D50002" w14:paraId="1A23002D" w14:textId="77777777" w:rsidTr="00CC4F50">
        <w:trPr>
          <w:trHeight w:val="485"/>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8B"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2018</w:t>
            </w:r>
          </w:p>
        </w:tc>
        <w:tc>
          <w:tcPr>
            <w:tcW w:w="149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C"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373</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D"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125.1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E"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117</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8F"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-6%</w:t>
            </w:r>
          </w:p>
        </w:tc>
      </w:tr>
      <w:tr w:rsidR="00517271" w:rsidRPr="00D50002" w14:paraId="4BCA90FE" w14:textId="77777777" w:rsidTr="00CC4F50">
        <w:trPr>
          <w:trHeight w:val="485"/>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0"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2019</w:t>
            </w:r>
          </w:p>
        </w:tc>
        <w:tc>
          <w:tcPr>
            <w:tcW w:w="149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1"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330</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2"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97.0</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3"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108</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4"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w:t>
            </w:r>
          </w:p>
        </w:tc>
      </w:tr>
      <w:tr w:rsidR="00517271" w:rsidRPr="00D50002" w14:paraId="35294787" w14:textId="77777777" w:rsidTr="00CC4F50">
        <w:trPr>
          <w:trHeight w:val="485"/>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5"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2020</w:t>
            </w:r>
          </w:p>
        </w:tc>
        <w:tc>
          <w:tcPr>
            <w:tcW w:w="149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6"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275</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7"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61.9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8"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81</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9"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31%</w:t>
            </w:r>
          </w:p>
        </w:tc>
      </w:tr>
      <w:tr w:rsidR="00517271" w:rsidRPr="00D50002" w14:paraId="0BA9C510" w14:textId="77777777" w:rsidTr="00CC4F50">
        <w:trPr>
          <w:trHeight w:val="485"/>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9A"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2021</w:t>
            </w:r>
          </w:p>
        </w:tc>
        <w:tc>
          <w:tcPr>
            <w:tcW w:w="1499"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B"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296</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C"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36.3</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D"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55</w:t>
            </w:r>
          </w:p>
        </w:tc>
        <w:tc>
          <w:tcPr>
            <w:tcW w:w="1432"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09E"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52%</w:t>
            </w:r>
          </w:p>
        </w:tc>
      </w:tr>
    </w:tbl>
    <w:p w14:paraId="0000009F"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A0" w14:textId="3CB4C296"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An alternative explanation to the reduced amount of time between the seed rounds and the A rounds, is that there was an increase in the number of </w:t>
      </w:r>
      <w:r w:rsidR="00DF51E9">
        <w:rPr>
          <w:rFonts w:asciiTheme="majorBidi" w:hAnsiTheme="majorBidi" w:cstheme="majorBidi"/>
          <w:sz w:val="24"/>
          <w:szCs w:val="24"/>
        </w:rPr>
        <w:t>“</w:t>
      </w:r>
      <w:r w:rsidRPr="00D50002">
        <w:rPr>
          <w:rFonts w:asciiTheme="majorBidi" w:hAnsiTheme="majorBidi" w:cstheme="majorBidi"/>
          <w:sz w:val="24"/>
          <w:szCs w:val="24"/>
        </w:rPr>
        <w:t>successful” companies (in the sense of their ability to reach Round A funding).</w:t>
      </w:r>
      <w:r w:rsidRPr="00D50002">
        <w:rPr>
          <w:rFonts w:asciiTheme="majorBidi" w:hAnsiTheme="majorBidi" w:cstheme="majorBidi"/>
          <w:sz w:val="24"/>
          <w:szCs w:val="24"/>
          <w:vertAlign w:val="superscript"/>
        </w:rPr>
        <w:t xml:space="preserve"> </w:t>
      </w:r>
      <w:r w:rsidR="00745305" w:rsidRPr="00D50002">
        <w:rPr>
          <w:rFonts w:asciiTheme="majorBidi" w:eastAsia="Assistant" w:hAnsiTheme="majorBidi" w:cstheme="majorBidi"/>
          <w:sz w:val="24"/>
          <w:szCs w:val="24"/>
          <w:vertAlign w:val="superscript"/>
        </w:rPr>
        <w:footnoteReference w:id="2"/>
      </w:r>
      <w:r w:rsidRPr="00D50002">
        <w:rPr>
          <w:rFonts w:asciiTheme="majorBidi" w:hAnsiTheme="majorBidi" w:cstheme="majorBidi"/>
          <w:sz w:val="24"/>
          <w:szCs w:val="24"/>
        </w:rPr>
        <w:t xml:space="preserve"> An increase in the number of companies raising funds might also derive from the fact that those companies founded in the most recent years are of higher quality than their predecessors; thus, their chances of success are much higher, or that the quality threshold determined by the investors has been reduced. It will take </w:t>
      </w:r>
      <w:proofErr w:type="gramStart"/>
      <w:r w:rsidRPr="00D50002">
        <w:rPr>
          <w:rFonts w:asciiTheme="majorBidi" w:hAnsiTheme="majorBidi" w:cstheme="majorBidi"/>
          <w:sz w:val="24"/>
          <w:szCs w:val="24"/>
        </w:rPr>
        <w:t>a number of</w:t>
      </w:r>
      <w:proofErr w:type="gramEnd"/>
      <w:r w:rsidRPr="00D50002">
        <w:rPr>
          <w:rFonts w:asciiTheme="majorBidi" w:hAnsiTheme="majorBidi" w:cstheme="majorBidi"/>
          <w:sz w:val="24"/>
          <w:szCs w:val="24"/>
        </w:rPr>
        <w:t xml:space="preserve"> years before we will be able to discern which of these explanations is more correct, but at this stage, there is no reason to assume that in contrast to the historical stability of this statistic, all of sudden two sequential age-groups will be significantly more successful than their predecessors. Moreover, if </w:t>
      </w:r>
      <w:r w:rsidRPr="00D50002">
        <w:rPr>
          <w:rFonts w:asciiTheme="majorBidi" w:hAnsiTheme="majorBidi" w:cstheme="majorBidi"/>
          <w:sz w:val="24"/>
          <w:szCs w:val="24"/>
        </w:rPr>
        <w:lastRenderedPageBreak/>
        <w:t xml:space="preserve">there has been a reduction in the quality threshold required for investment, we would expect to see an increase in the number of companies raising funds also among those startups founded in 2018 and 2019 (there are still 200 companies in each of the groups that has not yet gained Round A funding). </w:t>
      </w:r>
    </w:p>
    <w:p w14:paraId="000000A2" w14:textId="7F3AE3E9"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An additional point emerging from the analysis is </w:t>
      </w:r>
      <w:r w:rsidRPr="00D50002">
        <w:rPr>
          <w:rFonts w:asciiTheme="majorBidi" w:hAnsiTheme="majorBidi" w:cstheme="majorBidi"/>
          <w:b/>
          <w:bCs/>
          <w:sz w:val="24"/>
          <w:szCs w:val="24"/>
        </w:rPr>
        <w:t>the decrease in the number of startups set up in Israel in recent years</w:t>
      </w:r>
      <w:r w:rsidRPr="00D50002">
        <w:rPr>
          <w:rFonts w:asciiTheme="majorBidi" w:hAnsiTheme="majorBidi" w:cstheme="majorBidi"/>
          <w:sz w:val="24"/>
          <w:szCs w:val="24"/>
        </w:rPr>
        <w:t xml:space="preserve"> (in the graph</w:t>
      </w:r>
      <w:r w:rsidR="005831E9">
        <w:rPr>
          <w:rFonts w:asciiTheme="majorBidi" w:hAnsiTheme="majorBidi" w:cstheme="majorBidi"/>
          <w:sz w:val="24"/>
          <w:szCs w:val="24"/>
        </w:rPr>
        <w:t>,</w:t>
      </w:r>
      <w:r w:rsidRPr="00D50002">
        <w:rPr>
          <w:rFonts w:asciiTheme="majorBidi" w:hAnsiTheme="majorBidi" w:cstheme="majorBidi"/>
          <w:sz w:val="24"/>
          <w:szCs w:val="24"/>
        </w:rPr>
        <w:t xml:space="preserve"> this is manifested in the downward trend of the red line indicating that the model forecast less A rounds in recent years, due to a decrease in the number of startups reaching the seed stage from the outset). </w:t>
      </w:r>
      <w:r w:rsidRPr="00D50002">
        <w:rPr>
          <w:rFonts w:asciiTheme="majorBidi" w:eastAsia="Assistant" w:hAnsiTheme="majorBidi" w:cstheme="majorBidi"/>
          <w:sz w:val="24"/>
          <w:szCs w:val="24"/>
          <w:vertAlign w:val="superscript"/>
        </w:rPr>
        <w:footnoteReference w:id="3"/>
      </w:r>
      <w:r w:rsidRPr="00D50002">
        <w:rPr>
          <w:rFonts w:asciiTheme="majorBidi" w:hAnsiTheme="majorBidi" w:cstheme="majorBidi"/>
          <w:sz w:val="24"/>
          <w:szCs w:val="24"/>
        </w:rPr>
        <w:t xml:space="preserve">We warned about this trend in previous reports published (one of them together with the Israel Innovation Authority).   </w:t>
      </w:r>
    </w:p>
    <w:p w14:paraId="000000A3"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A4" w14:textId="77777777" w:rsidR="00517271" w:rsidRPr="00D50002" w:rsidRDefault="00DB550E"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sz w:val="24"/>
          <w:szCs w:val="24"/>
          <w:u w:val="single"/>
        </w:rPr>
        <w:t>From Round A to Round B</w:t>
      </w:r>
    </w:p>
    <w:p w14:paraId="000000A5" w14:textId="0B417521"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We carried out identical analysis also for the shift between Round A and Round B funding.  This analysis is more difficult to interpret as the number of companies engaged in Round A funding is much smaller: 228 companies in 2014– 2017 (compared with 1333 that raised seed funding and which comprised the basis for the analysis in the last section), only 54% of which have succeeded in raising Round B funding to date. The average timespan between A and B rounds is slightly less than the time between seed and A rounds (31 months with a standard deviation of 25 months), but </w:t>
      </w:r>
      <w:r w:rsidR="000D76F8">
        <w:rPr>
          <w:rFonts w:asciiTheme="majorBidi" w:hAnsiTheme="majorBidi" w:cstheme="majorBidi"/>
          <w:sz w:val="24"/>
          <w:szCs w:val="24"/>
        </w:rPr>
        <w:t xml:space="preserve">this </w:t>
      </w:r>
      <w:r w:rsidRPr="00D50002">
        <w:rPr>
          <w:rFonts w:asciiTheme="majorBidi" w:hAnsiTheme="majorBidi" w:cstheme="majorBidi"/>
          <w:sz w:val="24"/>
          <w:szCs w:val="24"/>
        </w:rPr>
        <w:t xml:space="preserve">still </w:t>
      </w:r>
      <w:r w:rsidR="000D76F8">
        <w:rPr>
          <w:rFonts w:asciiTheme="majorBidi" w:hAnsiTheme="majorBidi" w:cstheme="majorBidi"/>
          <w:sz w:val="24"/>
          <w:szCs w:val="24"/>
        </w:rPr>
        <w:t xml:space="preserve">does not </w:t>
      </w:r>
      <w:r w:rsidRPr="00D50002">
        <w:rPr>
          <w:rFonts w:asciiTheme="majorBidi" w:hAnsiTheme="majorBidi" w:cstheme="majorBidi"/>
          <w:sz w:val="24"/>
          <w:szCs w:val="24"/>
        </w:rPr>
        <w:t>enable us to overcome the problem of the missing observations.</w:t>
      </w:r>
    </w:p>
    <w:p w14:paraId="000000A6"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Nevertheless, the results obtained for this analysis are </w:t>
      </w:r>
      <w:proofErr w:type="gramStart"/>
      <w:r w:rsidRPr="00D50002">
        <w:rPr>
          <w:rFonts w:asciiTheme="majorBidi" w:hAnsiTheme="majorBidi" w:cstheme="majorBidi"/>
          <w:sz w:val="24"/>
          <w:szCs w:val="24"/>
        </w:rPr>
        <w:t>similar to</w:t>
      </w:r>
      <w:proofErr w:type="gramEnd"/>
      <w:r w:rsidRPr="00D50002">
        <w:rPr>
          <w:rFonts w:asciiTheme="majorBidi" w:hAnsiTheme="majorBidi" w:cstheme="majorBidi"/>
          <w:sz w:val="24"/>
          <w:szCs w:val="24"/>
        </w:rPr>
        <w:t xml:space="preserve"> those obtained in the previous section, but due to the small numbers involved </w:t>
      </w:r>
      <w:r w:rsidRPr="000D76F8">
        <w:rPr>
          <w:rFonts w:asciiTheme="majorBidi" w:hAnsiTheme="majorBidi" w:cstheme="majorBidi"/>
          <w:sz w:val="24"/>
          <w:szCs w:val="24"/>
        </w:rPr>
        <w:t>the evaluations are</w:t>
      </w:r>
      <w:r w:rsidRPr="00D50002">
        <w:rPr>
          <w:rFonts w:asciiTheme="majorBidi" w:hAnsiTheme="majorBidi" w:cstheme="majorBidi"/>
          <w:sz w:val="24"/>
          <w:szCs w:val="24"/>
        </w:rPr>
        <w:t xml:space="preserve"> not as clear-cut. </w:t>
      </w:r>
    </w:p>
    <w:p w14:paraId="000000A7" w14:textId="2009B6CB"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In this case too, the analysis points to “surplus” investments (in relation to the model's forecast) in the three half-years commencing in 2021, which is larger than the shortage during H2 2022. The full statistical data of this analysis can be seen in the appendix.</w:t>
      </w:r>
    </w:p>
    <w:p w14:paraId="000000B4" w14:textId="33D87DFE" w:rsidR="00517271" w:rsidRPr="00D50002" w:rsidRDefault="00DB550E" w:rsidP="00CC1E32">
      <w:pPr>
        <w:pStyle w:val="Heading2"/>
        <w:spacing w:line="360" w:lineRule="auto"/>
        <w:jc w:val="both"/>
        <w:rPr>
          <w:rFonts w:asciiTheme="majorBidi" w:eastAsia="Assistant" w:hAnsiTheme="majorBidi" w:cstheme="majorBidi"/>
          <w:sz w:val="24"/>
          <w:szCs w:val="24"/>
          <w:u w:val="single"/>
        </w:rPr>
      </w:pPr>
      <w:r w:rsidRPr="00D50002">
        <w:rPr>
          <w:rFonts w:asciiTheme="majorBidi" w:hAnsiTheme="majorBidi" w:cstheme="majorBidi"/>
          <w:sz w:val="24"/>
          <w:szCs w:val="24"/>
          <w:u w:val="single"/>
        </w:rPr>
        <w:t>Exits – Mergers &amp; Acquisitions (M&amp;A)</w:t>
      </w:r>
    </w:p>
    <w:p w14:paraId="000000B5" w14:textId="77777777" w:rsidR="00517271" w:rsidRPr="00D50002" w:rsidRDefault="00DB550E"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In comparison to last year, during 2022 there was a 40% decrease both in the overall amount </w:t>
      </w:r>
      <w:proofErr w:type="gramStart"/>
      <w:r w:rsidRPr="00D50002">
        <w:rPr>
          <w:rFonts w:asciiTheme="majorBidi" w:hAnsiTheme="majorBidi" w:cstheme="majorBidi"/>
          <w:sz w:val="24"/>
          <w:szCs w:val="24"/>
        </w:rPr>
        <w:t>and also</w:t>
      </w:r>
      <w:proofErr w:type="gramEnd"/>
      <w:r w:rsidRPr="00D50002">
        <w:rPr>
          <w:rFonts w:asciiTheme="majorBidi" w:hAnsiTheme="majorBidi" w:cstheme="majorBidi"/>
          <w:sz w:val="24"/>
          <w:szCs w:val="24"/>
        </w:rPr>
        <w:t xml:space="preserve"> in the number of M&amp;As, as may be seen in Graph </w:t>
      </w:r>
      <w:r w:rsidRPr="004E3B7B">
        <w:rPr>
          <w:rFonts w:asciiTheme="majorBidi" w:hAnsiTheme="majorBidi" w:cstheme="majorBidi"/>
          <w:sz w:val="24"/>
          <w:szCs w:val="24"/>
        </w:rPr>
        <w:t>6</w:t>
      </w:r>
      <w:r w:rsidRPr="00D50002">
        <w:rPr>
          <w:rFonts w:asciiTheme="majorBidi" w:hAnsiTheme="majorBidi" w:cstheme="majorBidi"/>
          <w:sz w:val="24"/>
          <w:szCs w:val="24"/>
        </w:rPr>
        <w:t xml:space="preserve">. </w:t>
      </w:r>
      <w:commentRangeStart w:id="16"/>
      <w:r w:rsidRPr="00D50002">
        <w:rPr>
          <w:rFonts w:asciiTheme="majorBidi" w:hAnsiTheme="majorBidi" w:cstheme="majorBidi"/>
          <w:sz w:val="24"/>
          <w:szCs w:val="24"/>
        </w:rPr>
        <w:t>89</w:t>
      </w:r>
      <w:commentRangeEnd w:id="16"/>
      <w:r w:rsidR="00683A72" w:rsidRPr="00D50002">
        <w:rPr>
          <w:rStyle w:val="CommentReference"/>
          <w:rFonts w:asciiTheme="majorBidi" w:hAnsiTheme="majorBidi" w:cstheme="majorBidi"/>
          <w:sz w:val="24"/>
          <w:szCs w:val="24"/>
        </w:rPr>
        <w:commentReference w:id="16"/>
      </w:r>
      <w:r w:rsidRPr="00D50002">
        <w:rPr>
          <w:rFonts w:asciiTheme="majorBidi" w:hAnsiTheme="majorBidi" w:cstheme="majorBidi"/>
          <w:sz w:val="24"/>
          <w:szCs w:val="24"/>
        </w:rPr>
        <w:t xml:space="preserve"> companies were sold for a total sum </w:t>
      </w:r>
      <w:r w:rsidRPr="00D50002">
        <w:rPr>
          <w:rFonts w:asciiTheme="majorBidi" w:hAnsiTheme="majorBidi" w:cstheme="majorBidi"/>
          <w:sz w:val="24"/>
          <w:szCs w:val="24"/>
        </w:rPr>
        <w:lastRenderedPageBreak/>
        <w:t>of USD 4.9 billion, with the outstanding acquisitions (all of which occurred between March and May) being:</w:t>
      </w:r>
    </w:p>
    <w:p w14:paraId="000000B6" w14:textId="669248A5" w:rsidR="00517271" w:rsidRPr="00D50002" w:rsidRDefault="00DB550E" w:rsidP="00CC1E32">
      <w:pPr>
        <w:numPr>
          <w:ilvl w:val="0"/>
          <w:numId w:val="8"/>
        </w:num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 Granulate that was acquired for a sum of USD 650 million by Intel</w:t>
      </w:r>
    </w:p>
    <w:p w14:paraId="000000B7" w14:textId="02EAD886" w:rsidR="00517271" w:rsidRPr="00D50002" w:rsidRDefault="00DB550E" w:rsidP="00CC1E32">
      <w:pPr>
        <w:numPr>
          <w:ilvl w:val="0"/>
          <w:numId w:val="8"/>
        </w:numPr>
        <w:spacing w:after="120" w:line="360" w:lineRule="auto"/>
        <w:jc w:val="both"/>
        <w:rPr>
          <w:rFonts w:asciiTheme="majorBidi" w:eastAsia="Assistant" w:hAnsiTheme="majorBidi" w:cstheme="majorBidi"/>
          <w:sz w:val="24"/>
          <w:szCs w:val="24"/>
        </w:rPr>
      </w:pPr>
      <w:proofErr w:type="spellStart"/>
      <w:r w:rsidRPr="00D50002">
        <w:rPr>
          <w:rFonts w:asciiTheme="majorBidi" w:hAnsiTheme="majorBidi" w:cstheme="majorBidi"/>
          <w:sz w:val="24"/>
          <w:szCs w:val="24"/>
        </w:rPr>
        <w:t>Finaro</w:t>
      </w:r>
      <w:proofErr w:type="spellEnd"/>
      <w:r w:rsidRPr="00D50002">
        <w:rPr>
          <w:rFonts w:asciiTheme="majorBidi" w:hAnsiTheme="majorBidi" w:cstheme="majorBidi"/>
          <w:sz w:val="24"/>
          <w:szCs w:val="24"/>
        </w:rPr>
        <w:t xml:space="preserve"> that was sold to Shift4 for USD 575 million</w:t>
      </w:r>
    </w:p>
    <w:p w14:paraId="000000B8" w14:textId="2F38ECA1" w:rsidR="00517271" w:rsidRPr="00D50002" w:rsidRDefault="00DB550E" w:rsidP="00CC1E32">
      <w:pPr>
        <w:numPr>
          <w:ilvl w:val="0"/>
          <w:numId w:val="8"/>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Zimperium that was sold to Liberty Strategic Capital for USD 525 million</w:t>
      </w:r>
    </w:p>
    <w:p w14:paraId="000000B9" w14:textId="1B011CB5" w:rsidR="00517271" w:rsidRPr="00D50002" w:rsidRDefault="00DB550E"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It is also possible to gain an impression from the number of exits per half-year. The slowdown during H2 2022 is of </w:t>
      </w:r>
      <w:proofErr w:type="gramStart"/>
      <w:r w:rsidRPr="00D50002">
        <w:rPr>
          <w:rFonts w:asciiTheme="majorBidi" w:hAnsiTheme="majorBidi" w:cstheme="majorBidi"/>
          <w:sz w:val="24"/>
          <w:szCs w:val="24"/>
        </w:rPr>
        <w:t>particular note</w:t>
      </w:r>
      <w:proofErr w:type="gramEnd"/>
      <w:r w:rsidRPr="00D50002">
        <w:rPr>
          <w:rFonts w:asciiTheme="majorBidi" w:hAnsiTheme="majorBidi" w:cstheme="majorBidi"/>
          <w:sz w:val="24"/>
          <w:szCs w:val="24"/>
        </w:rPr>
        <w:t xml:space="preserve">:  </w:t>
      </w:r>
      <w:r w:rsidR="00BE542E">
        <w:rPr>
          <w:rFonts w:asciiTheme="majorBidi" w:hAnsiTheme="majorBidi" w:cstheme="majorBidi"/>
          <w:sz w:val="24"/>
          <w:szCs w:val="24"/>
        </w:rPr>
        <w:t>t</w:t>
      </w:r>
      <w:r w:rsidRPr="00D50002">
        <w:rPr>
          <w:rFonts w:asciiTheme="majorBidi" w:hAnsiTheme="majorBidi" w:cstheme="majorBidi"/>
          <w:sz w:val="24"/>
          <w:szCs w:val="24"/>
        </w:rPr>
        <w:t xml:space="preserve">he number of M&amp;As during the last half-year was the lowest in recent years, and their overall sum amounted to the third lowest since Finder began its data collection back in </w:t>
      </w:r>
      <w:commentRangeStart w:id="17"/>
      <w:r w:rsidRPr="00D50002">
        <w:rPr>
          <w:rFonts w:asciiTheme="majorBidi" w:hAnsiTheme="majorBidi" w:cstheme="majorBidi"/>
          <w:sz w:val="24"/>
          <w:szCs w:val="24"/>
        </w:rPr>
        <w:t>2014</w:t>
      </w:r>
      <w:commentRangeEnd w:id="17"/>
      <w:r w:rsidR="003E2BD0" w:rsidRPr="00D50002">
        <w:rPr>
          <w:rStyle w:val="CommentReference"/>
          <w:rFonts w:asciiTheme="majorBidi" w:hAnsiTheme="majorBidi" w:cstheme="majorBidi"/>
          <w:sz w:val="24"/>
          <w:szCs w:val="24"/>
        </w:rPr>
        <w:commentReference w:id="17"/>
      </w:r>
      <w:r w:rsidRPr="00D50002">
        <w:rPr>
          <w:rFonts w:asciiTheme="majorBidi" w:hAnsiTheme="majorBidi" w:cstheme="majorBidi"/>
          <w:sz w:val="24"/>
          <w:szCs w:val="24"/>
        </w:rPr>
        <w:t>.</w:t>
      </w:r>
    </w:p>
    <w:p w14:paraId="000000BA" w14:textId="5C72AC2A" w:rsidR="00517271" w:rsidRPr="00D50002" w:rsidRDefault="00B57F40"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inline distT="0" distB="0" distL="0" distR="0" wp14:anchorId="3643B4A7" wp14:editId="6B4997C5">
            <wp:extent cx="5316132" cy="3104707"/>
            <wp:effectExtent l="0" t="0" r="18415" b="6985"/>
            <wp:docPr id="13" name="Chart 13">
              <a:extLst xmlns:a="http://schemas.openxmlformats.org/drawingml/2006/main">
                <a:ext uri="{FF2B5EF4-FFF2-40B4-BE49-F238E27FC236}">
                  <a16:creationId xmlns:a16="http://schemas.microsoft.com/office/drawing/2014/main" id="{9B2B5B9A-968B-5167-90D6-74B76782E7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0000BB" w14:textId="0F6030F3" w:rsidR="00517271" w:rsidRPr="00D50002" w:rsidRDefault="00517271" w:rsidP="00CC1E32">
      <w:pPr>
        <w:bidi/>
        <w:spacing w:before="240" w:after="120" w:line="360" w:lineRule="auto"/>
        <w:jc w:val="both"/>
        <w:rPr>
          <w:rFonts w:asciiTheme="majorBidi" w:eastAsia="Assistant" w:hAnsiTheme="majorBidi" w:cstheme="majorBidi"/>
          <w:sz w:val="24"/>
          <w:szCs w:val="24"/>
        </w:rPr>
      </w:pPr>
    </w:p>
    <w:p w14:paraId="000000BC" w14:textId="59F3A852" w:rsidR="00517271" w:rsidRPr="00D50002" w:rsidRDefault="00517271" w:rsidP="00CC1E32">
      <w:pPr>
        <w:bidi/>
        <w:spacing w:before="240" w:after="120" w:line="360" w:lineRule="auto"/>
        <w:jc w:val="both"/>
        <w:rPr>
          <w:rFonts w:asciiTheme="majorBidi" w:eastAsia="Assistant" w:hAnsiTheme="majorBidi" w:cstheme="majorBidi"/>
          <w:sz w:val="24"/>
          <w:szCs w:val="24"/>
        </w:rPr>
      </w:pPr>
    </w:p>
    <w:p w14:paraId="000000BD" w14:textId="51FC35DB" w:rsidR="00517271" w:rsidRPr="00D50002" w:rsidRDefault="00B57F40"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inline distT="0" distB="0" distL="0" distR="0" wp14:anchorId="53AAF996" wp14:editId="76AC0F36">
            <wp:extent cx="5326350" cy="3678866"/>
            <wp:effectExtent l="0" t="0" r="8255" b="17145"/>
            <wp:docPr id="14" name="Chart 14">
              <a:extLst xmlns:a="http://schemas.openxmlformats.org/drawingml/2006/main">
                <a:ext uri="{FF2B5EF4-FFF2-40B4-BE49-F238E27FC236}">
                  <a16:creationId xmlns:a16="http://schemas.microsoft.com/office/drawing/2014/main" id="{2FC68227-D6DA-F34C-A728-F44ED824A7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B311899" w14:textId="47E29DD3" w:rsidR="00824268" w:rsidRPr="00D50002" w:rsidRDefault="00534835" w:rsidP="00CC1E32">
      <w:pPr>
        <w:pStyle w:val="Heading2"/>
        <w:spacing w:line="360" w:lineRule="auto"/>
        <w:jc w:val="both"/>
        <w:rPr>
          <w:rFonts w:asciiTheme="majorBidi" w:eastAsia="Assistant" w:hAnsiTheme="majorBidi" w:cstheme="majorBidi"/>
          <w:sz w:val="24"/>
          <w:szCs w:val="24"/>
          <w:u w:val="single"/>
        </w:rPr>
      </w:pPr>
      <w:commentRangeStart w:id="18"/>
      <w:commentRangeEnd w:id="18"/>
      <w:r w:rsidRPr="00D50002">
        <w:rPr>
          <w:rStyle w:val="CommentReference"/>
          <w:rFonts w:asciiTheme="majorBidi" w:hAnsiTheme="majorBidi" w:cstheme="majorBidi"/>
          <w:sz w:val="24"/>
          <w:szCs w:val="24"/>
        </w:rPr>
        <w:commentReference w:id="18"/>
      </w:r>
      <w:r w:rsidR="00A00F38" w:rsidRPr="00D50002">
        <w:rPr>
          <w:rFonts w:asciiTheme="majorBidi" w:hAnsiTheme="majorBidi" w:cstheme="majorBidi"/>
          <w:sz w:val="24"/>
          <w:szCs w:val="24"/>
          <w:u w:val="single"/>
        </w:rPr>
        <w:t>Exits – IPOs</w:t>
      </w:r>
    </w:p>
    <w:p w14:paraId="000000C2" w14:textId="3C3F8C5E"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In 2022, 12 companies went public with an additional four companies doing so via SPACs (Graph 11).  On the one hand, this is a drastic reduction compared with the record number of 76 IPOs (including SPACs) that took place in 2021, and on the other hand it represents a return to the “regular” numbers (between 10 and 20 new IPOs per annum) characterizing the Israeli high-tech industry in recent years (apart from 2021 as stated above).</w:t>
      </w:r>
    </w:p>
    <w:p w14:paraId="000000C3" w14:textId="527D7268"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In this context too, 2022 was far from being a uniform year – the number of IPOs in the second half of the year (Graph 12) amounted to only three (of which one was a SPAC). This figure is hardly surprising in view of the weakness of the financial markets and the raising of interest rates by the central banks. </w:t>
      </w:r>
    </w:p>
    <w:p w14:paraId="000000C4"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C5" w14:textId="60B3E9C4"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C6" w14:textId="3FE4606C" w:rsidR="00517271" w:rsidRPr="00D50002" w:rsidRDefault="00B57F40"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inline distT="0" distB="0" distL="0" distR="0" wp14:anchorId="3753E733" wp14:editId="6C3214F5">
            <wp:extent cx="5943600" cy="2690037"/>
            <wp:effectExtent l="0" t="0" r="12700" b="15240"/>
            <wp:docPr id="15" name="Chart 15">
              <a:extLst xmlns:a="http://schemas.openxmlformats.org/drawingml/2006/main">
                <a:ext uri="{FF2B5EF4-FFF2-40B4-BE49-F238E27FC236}">
                  <a16:creationId xmlns:a16="http://schemas.microsoft.com/office/drawing/2014/main" id="{5160C6CE-078F-E1E2-A6C3-0FFB8D2D6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sdt>
        <w:sdtPr>
          <w:rPr>
            <w:rFonts w:asciiTheme="majorBidi" w:hAnsiTheme="majorBidi" w:cstheme="majorBidi"/>
            <w:sz w:val="24"/>
            <w:szCs w:val="24"/>
          </w:rPr>
          <w:tag w:val="goog_rdk_11"/>
          <w:id w:val="-1813401900"/>
        </w:sdtPr>
        <w:sdtEndPr/>
        <w:sdtContent/>
      </w:sdt>
      <w:sdt>
        <w:sdtPr>
          <w:rPr>
            <w:rFonts w:asciiTheme="majorBidi" w:hAnsiTheme="majorBidi" w:cstheme="majorBidi"/>
            <w:sz w:val="24"/>
            <w:szCs w:val="24"/>
          </w:rPr>
          <w:tag w:val="goog_rdk_12"/>
          <w:id w:val="1900559725"/>
        </w:sdtPr>
        <w:sdtEndPr/>
        <w:sdtContent/>
      </w:sdt>
      <w:sdt>
        <w:sdtPr>
          <w:rPr>
            <w:rFonts w:asciiTheme="majorBidi" w:hAnsiTheme="majorBidi" w:cstheme="majorBidi"/>
            <w:sz w:val="24"/>
            <w:szCs w:val="24"/>
          </w:rPr>
          <w:tag w:val="goog_rdk_13"/>
          <w:id w:val="-871074593"/>
        </w:sdtPr>
        <w:sdtEndPr/>
        <w:sdtContent/>
      </w:sdt>
    </w:p>
    <w:p w14:paraId="000000C8" w14:textId="2D45AC2C" w:rsidR="00517271" w:rsidRPr="00D50002" w:rsidRDefault="00B57F40"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inline distT="0" distB="0" distL="0" distR="0" wp14:anchorId="64EAECFF" wp14:editId="50BE2DE1">
            <wp:extent cx="5879804" cy="3061970"/>
            <wp:effectExtent l="0" t="0" r="13335" b="11430"/>
            <wp:docPr id="16" name="Chart 16">
              <a:extLst xmlns:a="http://schemas.openxmlformats.org/drawingml/2006/main">
                <a:ext uri="{FF2B5EF4-FFF2-40B4-BE49-F238E27FC236}">
                  <a16:creationId xmlns:a16="http://schemas.microsoft.com/office/drawing/2014/main" id="{A4994ED7-F13C-6148-8FD7-99950D4A27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0000C9" w14:textId="18AC6AC9" w:rsidR="00517271" w:rsidRPr="00D50002" w:rsidRDefault="00DB550E"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sz w:val="24"/>
          <w:szCs w:val="24"/>
        </w:rPr>
        <w:br w:type="page"/>
      </w:r>
      <w:commentRangeStart w:id="19"/>
      <w:commentRangeEnd w:id="19"/>
      <w:r w:rsidR="0099208A" w:rsidRPr="00D50002">
        <w:rPr>
          <w:rStyle w:val="CommentReference"/>
          <w:rFonts w:asciiTheme="majorBidi" w:hAnsiTheme="majorBidi" w:cstheme="majorBidi"/>
          <w:sz w:val="24"/>
          <w:szCs w:val="24"/>
        </w:rPr>
        <w:commentReference w:id="19"/>
      </w:r>
      <w:commentRangeStart w:id="20"/>
      <w:commentRangeEnd w:id="20"/>
      <w:r w:rsidR="0099208A" w:rsidRPr="00D50002">
        <w:rPr>
          <w:rStyle w:val="CommentReference"/>
          <w:rFonts w:asciiTheme="majorBidi" w:hAnsiTheme="majorBidi" w:cstheme="majorBidi"/>
          <w:sz w:val="24"/>
          <w:szCs w:val="24"/>
        </w:rPr>
        <w:commentReference w:id="20"/>
      </w:r>
    </w:p>
    <w:p w14:paraId="000000CA" w14:textId="12318E11" w:rsidR="00517271" w:rsidRPr="00D50002" w:rsidRDefault="00DB550E" w:rsidP="00CC1E32">
      <w:pPr>
        <w:pStyle w:val="Heading1"/>
        <w:spacing w:line="360" w:lineRule="auto"/>
        <w:jc w:val="both"/>
        <w:rPr>
          <w:rFonts w:asciiTheme="majorBidi" w:hAnsiTheme="majorBidi" w:cstheme="majorBidi"/>
          <w:sz w:val="40"/>
        </w:rPr>
      </w:pPr>
      <w:r w:rsidRPr="00D50002">
        <w:rPr>
          <w:rFonts w:asciiTheme="majorBidi" w:hAnsiTheme="majorBidi" w:cstheme="majorBidi"/>
          <w:sz w:val="40"/>
          <w:u w:val="single"/>
        </w:rPr>
        <w:lastRenderedPageBreak/>
        <w:t>Publicly-traded Companies</w:t>
      </w:r>
    </w:p>
    <w:p w14:paraId="000000CC" w14:textId="79A52C57" w:rsidR="00517271" w:rsidRPr="00D50002" w:rsidRDefault="00DB550E"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sz w:val="24"/>
          <w:szCs w:val="24"/>
          <w:u w:val="single"/>
        </w:rPr>
        <w:t>The change in the value of the publicly-traded companies compared with the change in revenue</w:t>
      </w:r>
    </w:p>
    <w:p w14:paraId="000000CE" w14:textId="6D210081"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Given the declining company values in all the important stock exchanges, which were manifested more strongly in the tech companies, we decided to examine whether the decline in value was linked also to company performance and not just the macroeconomic situation. According to the companies’ financial statements, we examined the change in their revenues between Q4 2021 and Q3 2022 (the most up-to-date statistic available to us at the time of writing the report). The companies’ dispersal can be seen in Graph 13, with the horizontal axis depicting the percentage change in market capitalization (market cap) and the vertical axis showing the percentage change in revenue, between the said quarters. </w:t>
      </w:r>
    </w:p>
    <w:p w14:paraId="03C90C16" w14:textId="4768FFBB" w:rsidR="004A49E0" w:rsidRPr="00D50002" w:rsidRDefault="004A49E0"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Among the companies examined, </w:t>
      </w:r>
      <w:r w:rsidRPr="00D50002">
        <w:rPr>
          <w:rFonts w:asciiTheme="majorBidi" w:hAnsiTheme="majorBidi" w:cstheme="majorBidi"/>
          <w:b/>
          <w:bCs/>
          <w:sz w:val="24"/>
          <w:szCs w:val="24"/>
        </w:rPr>
        <w:t>the majority of companies</w:t>
      </w:r>
      <w:r w:rsidRPr="00D50002">
        <w:rPr>
          <w:rFonts w:asciiTheme="majorBidi" w:hAnsiTheme="majorBidi" w:cstheme="majorBidi"/>
          <w:sz w:val="24"/>
          <w:szCs w:val="24"/>
        </w:rPr>
        <w:t xml:space="preserve">, 69 compared with 50, actually </w:t>
      </w:r>
      <w:r w:rsidRPr="00D50002">
        <w:rPr>
          <w:rFonts w:asciiTheme="majorBidi" w:hAnsiTheme="majorBidi" w:cstheme="majorBidi"/>
          <w:b/>
          <w:bCs/>
          <w:sz w:val="24"/>
          <w:szCs w:val="24"/>
        </w:rPr>
        <w:t>experienced an increase in revenues</w:t>
      </w:r>
      <w:r w:rsidRPr="00D50002">
        <w:rPr>
          <w:rFonts w:asciiTheme="majorBidi" w:hAnsiTheme="majorBidi" w:cstheme="majorBidi"/>
          <w:sz w:val="24"/>
          <w:szCs w:val="24"/>
        </w:rPr>
        <w:t xml:space="preserve"> between the relevant quarters while </w:t>
      </w:r>
      <w:r w:rsidRPr="00D50002">
        <w:rPr>
          <w:rFonts w:asciiTheme="majorBidi" w:hAnsiTheme="majorBidi" w:cstheme="majorBidi"/>
          <w:b/>
          <w:bCs/>
          <w:sz w:val="24"/>
          <w:szCs w:val="24"/>
        </w:rPr>
        <w:t>an absolute majority</w:t>
      </w:r>
      <w:r w:rsidRPr="00D50002">
        <w:rPr>
          <w:rFonts w:asciiTheme="majorBidi" w:hAnsiTheme="majorBidi" w:cstheme="majorBidi"/>
          <w:sz w:val="24"/>
          <w:szCs w:val="24"/>
        </w:rPr>
        <w:t xml:space="preserve">, 107 compared with </w:t>
      </w:r>
      <w:proofErr w:type="gramStart"/>
      <w:r w:rsidRPr="00D50002">
        <w:rPr>
          <w:rFonts w:asciiTheme="majorBidi" w:hAnsiTheme="majorBidi" w:cstheme="majorBidi"/>
          <w:sz w:val="24"/>
          <w:szCs w:val="24"/>
        </w:rPr>
        <w:t>12,</w:t>
      </w:r>
      <w:proofErr w:type="gramEnd"/>
      <w:r w:rsidRPr="00D50002">
        <w:rPr>
          <w:rFonts w:asciiTheme="majorBidi" w:hAnsiTheme="majorBidi" w:cstheme="majorBidi"/>
          <w:sz w:val="24"/>
          <w:szCs w:val="24"/>
        </w:rPr>
        <w:t xml:space="preserve"> of the Israeli publicly-traded companies recorded </w:t>
      </w:r>
      <w:r w:rsidRPr="00D50002">
        <w:rPr>
          <w:rFonts w:asciiTheme="majorBidi" w:hAnsiTheme="majorBidi" w:cstheme="majorBidi"/>
          <w:b/>
          <w:bCs/>
          <w:sz w:val="24"/>
          <w:szCs w:val="24"/>
        </w:rPr>
        <w:t>a decline in their market cap</w:t>
      </w:r>
      <w:r w:rsidRPr="00D50002">
        <w:rPr>
          <w:rFonts w:asciiTheme="majorBidi" w:hAnsiTheme="majorBidi" w:cstheme="majorBidi"/>
          <w:sz w:val="24"/>
          <w:szCs w:val="24"/>
        </w:rPr>
        <w:t>.</w:t>
      </w:r>
    </w:p>
    <w:p w14:paraId="000000CF" w14:textId="21D4E6C2"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We found no correlation between these variables, which is indicative of the fact that </w:t>
      </w:r>
      <w:r w:rsidRPr="00D50002">
        <w:rPr>
          <w:rFonts w:asciiTheme="majorBidi" w:hAnsiTheme="majorBidi" w:cstheme="majorBidi"/>
          <w:b/>
          <w:bCs/>
          <w:sz w:val="24"/>
          <w:szCs w:val="24"/>
        </w:rPr>
        <w:t xml:space="preserve">the decline in market cap was the result of macroeconomic factors rather than the companies’ </w:t>
      </w:r>
      <w:commentRangeStart w:id="21"/>
      <w:r w:rsidRPr="00D50002">
        <w:rPr>
          <w:rFonts w:asciiTheme="majorBidi" w:hAnsiTheme="majorBidi" w:cstheme="majorBidi"/>
          <w:b/>
          <w:bCs/>
          <w:sz w:val="24"/>
          <w:szCs w:val="24"/>
        </w:rPr>
        <w:t>performance</w:t>
      </w:r>
      <w:commentRangeEnd w:id="21"/>
      <w:r w:rsidR="002B0E58" w:rsidRPr="00D50002">
        <w:rPr>
          <w:rStyle w:val="CommentReference"/>
          <w:rFonts w:asciiTheme="majorBidi" w:hAnsiTheme="majorBidi" w:cstheme="majorBidi"/>
          <w:sz w:val="24"/>
          <w:szCs w:val="24"/>
        </w:rPr>
        <w:commentReference w:id="21"/>
      </w:r>
      <w:r w:rsidRPr="00D50002">
        <w:rPr>
          <w:rFonts w:asciiTheme="majorBidi" w:hAnsiTheme="majorBidi" w:cstheme="majorBidi"/>
          <w:sz w:val="24"/>
          <w:szCs w:val="24"/>
        </w:rPr>
        <w:t>.</w:t>
      </w:r>
    </w:p>
    <w:p w14:paraId="000000D0" w14:textId="64B2D879" w:rsidR="00517271" w:rsidRPr="00D50002" w:rsidRDefault="00517271" w:rsidP="00CC1E32">
      <w:pPr>
        <w:bidi/>
        <w:spacing w:after="120" w:line="360" w:lineRule="auto"/>
        <w:jc w:val="both"/>
        <w:rPr>
          <w:rFonts w:asciiTheme="majorBidi" w:eastAsia="Assistant" w:hAnsiTheme="majorBidi" w:cstheme="majorBidi"/>
          <w:sz w:val="24"/>
          <w:szCs w:val="24"/>
          <w:rtl/>
        </w:rPr>
      </w:pPr>
    </w:p>
    <w:p w14:paraId="000000D1" w14:textId="7B7AC042" w:rsidR="00517271" w:rsidRPr="00D50002" w:rsidRDefault="0005402E" w:rsidP="00CC1E32">
      <w:pPr>
        <w:spacing w:after="120" w:line="360" w:lineRule="auto"/>
        <w:jc w:val="both"/>
        <w:rPr>
          <w:rFonts w:asciiTheme="majorBidi" w:eastAsia="Assistant" w:hAnsiTheme="majorBidi" w:cstheme="majorBidi"/>
          <w:sz w:val="24"/>
          <w:szCs w:val="24"/>
        </w:rPr>
      </w:pPr>
      <w:sdt>
        <w:sdtPr>
          <w:rPr>
            <w:rFonts w:asciiTheme="majorBidi" w:hAnsiTheme="majorBidi" w:cstheme="majorBidi"/>
            <w:sz w:val="24"/>
            <w:szCs w:val="24"/>
          </w:rPr>
          <w:tag w:val="goog_rdk_15"/>
          <w:id w:val="-2084676988"/>
        </w:sdtPr>
        <w:sdtEndPr/>
        <w:sdtContent/>
      </w:sdt>
      <w:r w:rsidR="00335660" w:rsidRPr="00D50002">
        <w:rPr>
          <w:rFonts w:asciiTheme="majorBidi" w:hAnsiTheme="majorBidi" w:cstheme="majorBidi"/>
          <w:sz w:val="24"/>
          <w:szCs w:val="24"/>
        </w:rPr>
        <w:t xml:space="preserve"> </w:t>
      </w:r>
    </w:p>
    <w:p w14:paraId="000000D2" w14:textId="60497651" w:rsidR="00517271" w:rsidRPr="00D50002" w:rsidRDefault="00B57F40"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noProof/>
          <w:sz w:val="24"/>
          <w:szCs w:val="24"/>
        </w:rPr>
        <w:lastRenderedPageBreak/>
        <w:drawing>
          <wp:inline distT="0" distB="0" distL="0" distR="0" wp14:anchorId="7D4CE860" wp14:editId="20641B88">
            <wp:extent cx="5943600" cy="4464685"/>
            <wp:effectExtent l="0" t="0" r="12700" b="18415"/>
            <wp:docPr id="18" name="Chart 18">
              <a:extLst xmlns:a="http://schemas.openxmlformats.org/drawingml/2006/main">
                <a:ext uri="{FF2B5EF4-FFF2-40B4-BE49-F238E27FC236}">
                  <a16:creationId xmlns:a16="http://schemas.microsoft.com/office/drawing/2014/main" id="{544C0FF2-68C4-D681-4502-1362995C8E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00000DC" w14:textId="16FB4C9D" w:rsidR="00517271" w:rsidRPr="00D50002" w:rsidRDefault="00A12C07" w:rsidP="00CC1E32">
      <w:pPr>
        <w:bidi/>
        <w:spacing w:after="120" w:line="360" w:lineRule="auto"/>
        <w:jc w:val="both"/>
        <w:rPr>
          <w:rFonts w:asciiTheme="majorBidi" w:eastAsia="Assistant" w:hAnsiTheme="majorBidi" w:cstheme="majorBidi"/>
          <w:sz w:val="24"/>
          <w:szCs w:val="24"/>
        </w:rPr>
      </w:pPr>
      <w:commentRangeStart w:id="22"/>
      <w:commentRangeEnd w:id="22"/>
      <w:r>
        <w:rPr>
          <w:rStyle w:val="CommentReference"/>
        </w:rPr>
        <w:commentReference w:id="22"/>
      </w:r>
    </w:p>
    <w:p w14:paraId="000000DE" w14:textId="77A3E358" w:rsidR="00517271" w:rsidRPr="00D50002" w:rsidRDefault="00644758" w:rsidP="00CC1E32">
      <w:pPr>
        <w:pStyle w:val="Heading1"/>
        <w:spacing w:line="360" w:lineRule="auto"/>
        <w:jc w:val="both"/>
        <w:rPr>
          <w:rFonts w:asciiTheme="majorBidi" w:hAnsiTheme="majorBidi" w:cstheme="majorBidi"/>
          <w:sz w:val="40"/>
          <w:u w:val="single"/>
        </w:rPr>
      </w:pPr>
      <w:r w:rsidRPr="00D50002">
        <w:rPr>
          <w:rFonts w:asciiTheme="majorBidi" w:hAnsiTheme="majorBidi" w:cstheme="majorBidi"/>
          <w:sz w:val="40"/>
          <w:u w:val="single"/>
        </w:rPr>
        <w:t>Investments per Sector</w:t>
      </w:r>
    </w:p>
    <w:p w14:paraId="000000E0" w14:textId="0C7DB07B"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All the startups in the Finder database are divided into 11 sectors. Graphs X and Y present the 2022 VC investments in a breakdown according to these sectors. </w:t>
      </w:r>
    </w:p>
    <w:p w14:paraId="1CE23FD8" w14:textId="323BD710" w:rsidR="00F54BEE" w:rsidRPr="00D50002" w:rsidRDefault="00F54BE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 This year too, the leading sectors in terms of investment were software-based, and chiefly: Enterprise Software, Security Tech and FinTech. </w:t>
      </w:r>
      <w:r w:rsidR="00A12C07" w:rsidRPr="00D50002">
        <w:rPr>
          <w:rFonts w:asciiTheme="majorBidi" w:hAnsiTheme="majorBidi" w:cstheme="majorBidi"/>
          <w:sz w:val="24"/>
          <w:szCs w:val="24"/>
        </w:rPr>
        <w:t>In</w:t>
      </w:r>
      <w:r w:rsidRPr="00D50002">
        <w:rPr>
          <w:rFonts w:asciiTheme="majorBidi" w:hAnsiTheme="majorBidi" w:cstheme="majorBidi"/>
          <w:sz w:val="24"/>
          <w:szCs w:val="24"/>
        </w:rPr>
        <w:t xml:space="preserve"> most sectors, there is a</w:t>
      </w:r>
      <w:r w:rsidR="00A12C07">
        <w:rPr>
          <w:rFonts w:asciiTheme="majorBidi" w:hAnsiTheme="majorBidi" w:cstheme="majorBidi"/>
          <w:sz w:val="24"/>
          <w:szCs w:val="24"/>
        </w:rPr>
        <w:t xml:space="preserve">n evident </w:t>
      </w:r>
      <w:r w:rsidRPr="00D50002">
        <w:rPr>
          <w:rFonts w:asciiTheme="majorBidi" w:hAnsiTheme="majorBidi" w:cstheme="majorBidi"/>
          <w:sz w:val="24"/>
          <w:szCs w:val="24"/>
        </w:rPr>
        <w:t>correlation between their share of the overall amount of funds raised and their share of the total amount of transactions. On the other hand, while FinTech accounts for only 10% of all the transactions</w:t>
      </w:r>
      <w:r w:rsidR="0040532A">
        <w:rPr>
          <w:rFonts w:asciiTheme="majorBidi" w:hAnsiTheme="majorBidi" w:cstheme="majorBidi"/>
          <w:sz w:val="24"/>
          <w:szCs w:val="24"/>
        </w:rPr>
        <w:t>,</w:t>
      </w:r>
      <w:r w:rsidRPr="00D50002">
        <w:rPr>
          <w:rFonts w:asciiTheme="majorBidi" w:hAnsiTheme="majorBidi" w:cstheme="majorBidi"/>
          <w:sz w:val="24"/>
          <w:szCs w:val="24"/>
        </w:rPr>
        <w:t xml:space="preserve"> more than 15% of the capital belongs to it. In the </w:t>
      </w:r>
      <w:proofErr w:type="spellStart"/>
      <w:r w:rsidRPr="00D50002">
        <w:rPr>
          <w:rFonts w:asciiTheme="majorBidi" w:hAnsiTheme="majorBidi" w:cstheme="majorBidi"/>
          <w:sz w:val="24"/>
          <w:szCs w:val="24"/>
        </w:rPr>
        <w:t>AgriFood</w:t>
      </w:r>
      <w:proofErr w:type="spellEnd"/>
      <w:r w:rsidRPr="00D50002">
        <w:rPr>
          <w:rFonts w:asciiTheme="majorBidi" w:hAnsiTheme="majorBidi" w:cstheme="majorBidi"/>
          <w:sz w:val="24"/>
          <w:szCs w:val="24"/>
        </w:rPr>
        <w:t xml:space="preserve">-Tech sector, the opposite is true, a sector that accounts for 10% of the transactions holds only 5% of the VC </w:t>
      </w:r>
      <w:commentRangeStart w:id="23"/>
      <w:r w:rsidRPr="00D50002">
        <w:rPr>
          <w:rFonts w:asciiTheme="majorBidi" w:hAnsiTheme="majorBidi" w:cstheme="majorBidi"/>
          <w:sz w:val="24"/>
          <w:szCs w:val="24"/>
        </w:rPr>
        <w:t>investments</w:t>
      </w:r>
      <w:commentRangeEnd w:id="23"/>
      <w:r w:rsidR="007A2796" w:rsidRPr="00D50002">
        <w:rPr>
          <w:rStyle w:val="CommentReference"/>
          <w:rFonts w:asciiTheme="majorBidi" w:hAnsiTheme="majorBidi" w:cstheme="majorBidi"/>
          <w:sz w:val="24"/>
          <w:szCs w:val="24"/>
        </w:rPr>
        <w:commentReference w:id="23"/>
      </w:r>
      <w:r w:rsidRPr="00D50002">
        <w:rPr>
          <w:rFonts w:asciiTheme="majorBidi" w:hAnsiTheme="majorBidi" w:cstheme="majorBidi"/>
          <w:sz w:val="24"/>
          <w:szCs w:val="24"/>
        </w:rPr>
        <w:t xml:space="preserve">. </w:t>
      </w:r>
    </w:p>
    <w:p w14:paraId="338188D9" w14:textId="4798709E" w:rsidR="00F54BEE" w:rsidRPr="00D50002" w:rsidRDefault="00F54BEE" w:rsidP="00CC1E32">
      <w:pPr>
        <w:bidi/>
        <w:spacing w:after="120" w:line="360" w:lineRule="auto"/>
        <w:jc w:val="both"/>
        <w:rPr>
          <w:rFonts w:asciiTheme="majorBidi" w:eastAsia="Assistant" w:hAnsiTheme="majorBidi" w:cstheme="majorBidi"/>
          <w:sz w:val="24"/>
          <w:szCs w:val="24"/>
        </w:rPr>
      </w:pPr>
    </w:p>
    <w:p w14:paraId="000000E1" w14:textId="6FBE159F" w:rsidR="00517271" w:rsidRPr="00D50002" w:rsidRDefault="005D1F39"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inline distT="0" distB="0" distL="0" distR="0" wp14:anchorId="6A505963" wp14:editId="7EE76564">
            <wp:extent cx="4284921" cy="3412269"/>
            <wp:effectExtent l="0" t="0" r="8255" b="17145"/>
            <wp:docPr id="19" name="Chart 19">
              <a:extLst xmlns:a="http://schemas.openxmlformats.org/drawingml/2006/main">
                <a:ext uri="{FF2B5EF4-FFF2-40B4-BE49-F238E27FC236}">
                  <a16:creationId xmlns:a16="http://schemas.microsoft.com/office/drawing/2014/main" id="{2737C49C-EF7D-82EC-3903-4EF591EB0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00000E2" w14:textId="29A0C196" w:rsidR="00517271" w:rsidRPr="00D50002" w:rsidRDefault="00517271" w:rsidP="00CC1E32">
      <w:pPr>
        <w:bidi/>
        <w:spacing w:after="120" w:line="360" w:lineRule="auto"/>
        <w:jc w:val="both"/>
        <w:rPr>
          <w:rFonts w:asciiTheme="majorBidi" w:eastAsia="Assistant" w:hAnsiTheme="majorBidi" w:cstheme="majorBidi"/>
          <w:sz w:val="24"/>
          <w:szCs w:val="24"/>
        </w:rPr>
      </w:pPr>
    </w:p>
    <w:p w14:paraId="3EC8E435" w14:textId="77777777" w:rsidR="00AD589F" w:rsidRPr="00D50002" w:rsidRDefault="00AD589F" w:rsidP="00CC1E32">
      <w:pPr>
        <w:bidi/>
        <w:spacing w:after="120" w:line="360" w:lineRule="auto"/>
        <w:jc w:val="both"/>
        <w:rPr>
          <w:rFonts w:asciiTheme="majorBidi" w:eastAsia="Assistant" w:hAnsiTheme="majorBidi" w:cstheme="majorBidi"/>
          <w:sz w:val="24"/>
          <w:szCs w:val="24"/>
          <w:rtl/>
        </w:rPr>
      </w:pPr>
    </w:p>
    <w:p w14:paraId="000000E4" w14:textId="77777777" w:rsidR="00517271" w:rsidRPr="00D50002" w:rsidRDefault="00517271" w:rsidP="00CC1E32">
      <w:pPr>
        <w:bidi/>
        <w:spacing w:after="120" w:line="360" w:lineRule="auto"/>
        <w:jc w:val="both"/>
        <w:rPr>
          <w:rFonts w:asciiTheme="majorBidi" w:hAnsiTheme="majorBidi" w:cstheme="majorBidi"/>
          <w:sz w:val="24"/>
          <w:szCs w:val="24"/>
        </w:rPr>
      </w:pPr>
    </w:p>
    <w:p w14:paraId="000000E5" w14:textId="4B18A04D" w:rsidR="00517271" w:rsidRPr="00D50002" w:rsidRDefault="00DB550E" w:rsidP="00CC1E32">
      <w:pPr>
        <w:pStyle w:val="Heading2"/>
        <w:spacing w:line="360" w:lineRule="auto"/>
        <w:jc w:val="both"/>
        <w:rPr>
          <w:rFonts w:asciiTheme="majorBidi" w:hAnsiTheme="majorBidi" w:cstheme="majorBidi"/>
          <w:sz w:val="24"/>
          <w:szCs w:val="24"/>
        </w:rPr>
      </w:pPr>
      <w:r w:rsidRPr="00D50002">
        <w:rPr>
          <w:rFonts w:asciiTheme="majorBidi" w:hAnsiTheme="majorBidi" w:cstheme="majorBidi"/>
          <w:sz w:val="24"/>
          <w:szCs w:val="24"/>
        </w:rPr>
        <w:br w:type="page"/>
      </w:r>
      <w:r w:rsidRPr="00D50002">
        <w:rPr>
          <w:rFonts w:asciiTheme="majorBidi" w:hAnsiTheme="majorBidi" w:cstheme="majorBidi"/>
          <w:noProof/>
          <w:sz w:val="24"/>
          <w:szCs w:val="24"/>
        </w:rPr>
        <w:lastRenderedPageBreak/>
        <w:drawing>
          <wp:inline distT="0" distB="0" distL="0" distR="0" wp14:anchorId="0ACA8384" wp14:editId="4A266AFF">
            <wp:extent cx="4901609" cy="3444949"/>
            <wp:effectExtent l="0" t="0" r="13335" b="9525"/>
            <wp:docPr id="20" name="Chart 20">
              <a:extLst xmlns:a="http://schemas.openxmlformats.org/drawingml/2006/main">
                <a:ext uri="{FF2B5EF4-FFF2-40B4-BE49-F238E27FC236}">
                  <a16:creationId xmlns:a16="http://schemas.microsoft.com/office/drawing/2014/main" id="{45814AA4-AAE0-374F-FD86-C0A2B170B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F65EF8F" w14:textId="77777777" w:rsidR="005D1F39" w:rsidRPr="00D50002" w:rsidRDefault="002B15BF" w:rsidP="00CC1E32">
      <w:pPr>
        <w:pStyle w:val="Heading2"/>
        <w:spacing w:line="360" w:lineRule="auto"/>
        <w:jc w:val="both"/>
        <w:rPr>
          <w:rFonts w:asciiTheme="majorBidi" w:hAnsiTheme="majorBidi" w:cstheme="majorBidi"/>
          <w:sz w:val="24"/>
          <w:szCs w:val="24"/>
        </w:rPr>
      </w:pPr>
      <w:commentRangeStart w:id="24"/>
      <w:commentRangeEnd w:id="24"/>
      <w:r w:rsidRPr="00D50002">
        <w:rPr>
          <w:rStyle w:val="CommentReference"/>
          <w:rFonts w:asciiTheme="majorBidi" w:hAnsiTheme="majorBidi" w:cstheme="majorBidi"/>
          <w:sz w:val="24"/>
          <w:szCs w:val="24"/>
        </w:rPr>
        <w:commentReference w:id="24"/>
      </w:r>
    </w:p>
    <w:p w14:paraId="6702D2D5"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109B2F7A"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3C02B0BB"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711BD3C7"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61FF0AA5"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42826EEF"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6030AC78"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1C29A98E"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2F330F0D" w14:textId="77777777" w:rsidR="005D1F39" w:rsidRPr="00D50002" w:rsidRDefault="005D1F39" w:rsidP="00CC1E32">
      <w:pPr>
        <w:pStyle w:val="Heading2"/>
        <w:spacing w:line="360" w:lineRule="auto"/>
        <w:jc w:val="both"/>
        <w:rPr>
          <w:rFonts w:asciiTheme="majorBidi" w:hAnsiTheme="majorBidi" w:cstheme="majorBidi"/>
          <w:sz w:val="24"/>
          <w:szCs w:val="24"/>
        </w:rPr>
      </w:pPr>
    </w:p>
    <w:p w14:paraId="000000E6" w14:textId="3C80AB29" w:rsidR="00517271" w:rsidRPr="00D50002" w:rsidRDefault="00DB550E" w:rsidP="00CC1E32">
      <w:pPr>
        <w:pStyle w:val="Heading2"/>
        <w:spacing w:line="360" w:lineRule="auto"/>
        <w:jc w:val="both"/>
        <w:rPr>
          <w:rFonts w:asciiTheme="majorBidi" w:hAnsiTheme="majorBidi" w:cstheme="majorBidi"/>
          <w:sz w:val="24"/>
          <w:szCs w:val="24"/>
        </w:rPr>
      </w:pPr>
      <w:r w:rsidRPr="00D50002">
        <w:rPr>
          <w:rFonts w:asciiTheme="majorBidi" w:hAnsiTheme="majorBidi" w:cstheme="majorBidi"/>
          <w:sz w:val="24"/>
          <w:szCs w:val="24"/>
        </w:rPr>
        <w:t>Life Sciences &amp; HealthTech</w:t>
      </w:r>
    </w:p>
    <w:p w14:paraId="000000E8" w14:textId="7FF27262" w:rsidR="00517271" w:rsidRPr="00D50002" w:rsidRDefault="00D02582"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There are </w:t>
      </w:r>
      <w:r w:rsidRPr="00D50002">
        <w:rPr>
          <w:rFonts w:asciiTheme="majorBidi" w:hAnsiTheme="majorBidi" w:cstheme="majorBidi"/>
          <w:b/>
          <w:bCs/>
          <w:sz w:val="24"/>
          <w:szCs w:val="24"/>
        </w:rPr>
        <w:t>1,578</w:t>
      </w:r>
      <w:r w:rsidRPr="00D50002">
        <w:rPr>
          <w:rFonts w:asciiTheme="majorBidi" w:hAnsiTheme="majorBidi" w:cstheme="majorBidi"/>
          <w:sz w:val="24"/>
          <w:szCs w:val="24"/>
        </w:rPr>
        <w:t xml:space="preserve"> active companies as of 2022 in the Life Sciences &amp; HealthTech sector. These companies divide up into three main sub-sectors (some of the companies belong to more than one sub-sector): </w:t>
      </w:r>
    </w:p>
    <w:p w14:paraId="000000E9" w14:textId="3CB64E24" w:rsidR="00517271" w:rsidRPr="00D50002" w:rsidRDefault="00DB550E" w:rsidP="00CC1E32">
      <w:pPr>
        <w:numPr>
          <w:ilvl w:val="0"/>
          <w:numId w:val="1"/>
        </w:numPr>
        <w:pBdr>
          <w:top w:val="nil"/>
          <w:left w:val="nil"/>
          <w:bottom w:val="nil"/>
          <w:right w:val="nil"/>
          <w:between w:val="nil"/>
        </w:pBdr>
        <w:spacing w:after="120" w:line="360" w:lineRule="auto"/>
        <w:jc w:val="both"/>
        <w:rPr>
          <w:rFonts w:asciiTheme="majorBidi" w:eastAsia="Assistant" w:hAnsiTheme="majorBidi" w:cstheme="majorBidi"/>
          <w:color w:val="000000"/>
          <w:sz w:val="24"/>
          <w:szCs w:val="24"/>
        </w:rPr>
      </w:pPr>
      <w:r w:rsidRPr="00D50002">
        <w:rPr>
          <w:rFonts w:asciiTheme="majorBidi" w:hAnsiTheme="majorBidi" w:cstheme="majorBidi"/>
          <w:sz w:val="24"/>
          <w:szCs w:val="24"/>
        </w:rPr>
        <w:t>Digital health (mainly software-based services and health service platforms) – 707 companies</w:t>
      </w:r>
    </w:p>
    <w:p w14:paraId="000000EA" w14:textId="23CBEBC3" w:rsidR="00517271" w:rsidRPr="00D50002" w:rsidRDefault="00DB550E" w:rsidP="00CC1E32">
      <w:pPr>
        <w:numPr>
          <w:ilvl w:val="0"/>
          <w:numId w:val="1"/>
        </w:numPr>
        <w:pBdr>
          <w:top w:val="nil"/>
          <w:left w:val="nil"/>
          <w:bottom w:val="nil"/>
          <w:right w:val="nil"/>
          <w:between w:val="nil"/>
        </w:pBdr>
        <w:spacing w:after="120" w:line="360" w:lineRule="auto"/>
        <w:jc w:val="both"/>
        <w:rPr>
          <w:rFonts w:asciiTheme="majorBidi" w:eastAsia="Assistant" w:hAnsiTheme="majorBidi" w:cstheme="majorBidi"/>
          <w:color w:val="000000"/>
          <w:sz w:val="24"/>
          <w:szCs w:val="24"/>
        </w:rPr>
      </w:pPr>
      <w:r w:rsidRPr="00D50002">
        <w:rPr>
          <w:rFonts w:asciiTheme="majorBidi" w:hAnsiTheme="majorBidi" w:cstheme="majorBidi"/>
          <w:sz w:val="24"/>
          <w:szCs w:val="24"/>
        </w:rPr>
        <w:t>Development and manufacture of medical devices – 608</w:t>
      </w:r>
    </w:p>
    <w:p w14:paraId="000000EB" w14:textId="1798F142" w:rsidR="00517271" w:rsidRPr="00D50002" w:rsidRDefault="00DB550E" w:rsidP="00CC1E32">
      <w:pPr>
        <w:numPr>
          <w:ilvl w:val="0"/>
          <w:numId w:val="1"/>
        </w:numPr>
        <w:pBdr>
          <w:top w:val="nil"/>
          <w:left w:val="nil"/>
          <w:bottom w:val="nil"/>
          <w:right w:val="nil"/>
          <w:between w:val="nil"/>
        </w:pBdr>
        <w:spacing w:after="120" w:line="360" w:lineRule="auto"/>
        <w:jc w:val="both"/>
        <w:rPr>
          <w:rFonts w:asciiTheme="majorBidi" w:eastAsia="Assistant" w:hAnsiTheme="majorBidi" w:cstheme="majorBidi"/>
          <w:color w:val="000000"/>
          <w:sz w:val="24"/>
          <w:szCs w:val="24"/>
        </w:rPr>
      </w:pPr>
      <w:r w:rsidRPr="00D50002">
        <w:rPr>
          <w:rFonts w:asciiTheme="majorBidi" w:hAnsiTheme="majorBidi" w:cstheme="majorBidi"/>
          <w:sz w:val="24"/>
          <w:szCs w:val="24"/>
        </w:rPr>
        <w:t>Pharma and bio-medicine – 452</w:t>
      </w:r>
      <w:r w:rsidR="0040532A">
        <w:rPr>
          <w:rFonts w:asciiTheme="majorBidi" w:hAnsiTheme="majorBidi" w:cstheme="majorBidi"/>
          <w:color w:val="000000"/>
          <w:sz w:val="24"/>
          <w:szCs w:val="24"/>
        </w:rPr>
        <w:t>.</w:t>
      </w:r>
    </w:p>
    <w:p w14:paraId="000000EC"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ED" w14:textId="5A0AD065"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In 2022, startups in these sectors raised USD 2.3 billion, representing a relatively modest decline of 17% compared with 2021. At the same time, the number of funding rounds was the lowest since 2016, mainly due to the second half of the year with the lowest number of funding rounds since </w:t>
      </w:r>
      <w:commentRangeStart w:id="25"/>
      <w:r w:rsidRPr="00D50002">
        <w:rPr>
          <w:rFonts w:asciiTheme="majorBidi" w:hAnsiTheme="majorBidi" w:cstheme="majorBidi"/>
          <w:sz w:val="24"/>
          <w:szCs w:val="24"/>
        </w:rPr>
        <w:t>2014</w:t>
      </w:r>
      <w:commentRangeEnd w:id="25"/>
      <w:r w:rsidR="00366BE1" w:rsidRPr="00D50002">
        <w:rPr>
          <w:rStyle w:val="CommentReference"/>
          <w:rFonts w:asciiTheme="majorBidi" w:hAnsiTheme="majorBidi" w:cstheme="majorBidi"/>
          <w:sz w:val="24"/>
          <w:szCs w:val="24"/>
        </w:rPr>
        <w:commentReference w:id="25"/>
      </w:r>
      <w:r w:rsidRPr="00D50002">
        <w:rPr>
          <w:rFonts w:asciiTheme="majorBidi" w:hAnsiTheme="majorBidi" w:cstheme="majorBidi"/>
          <w:sz w:val="24"/>
          <w:szCs w:val="24"/>
        </w:rPr>
        <w:t>.</w:t>
      </w:r>
    </w:p>
    <w:p w14:paraId="000000EE"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EF" w14:textId="5941F57A" w:rsidR="00517271" w:rsidRPr="00D50002" w:rsidRDefault="00044356"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inline distT="0" distB="0" distL="0" distR="0" wp14:anchorId="52732D0D" wp14:editId="39D6CEF7">
            <wp:extent cx="5943600" cy="2094614"/>
            <wp:effectExtent l="0" t="0" r="12700" b="13970"/>
            <wp:docPr id="22" name="Chart 22">
              <a:extLst xmlns:a="http://schemas.openxmlformats.org/drawingml/2006/main">
                <a:ext uri="{FF2B5EF4-FFF2-40B4-BE49-F238E27FC236}">
                  <a16:creationId xmlns:a16="http://schemas.microsoft.com/office/drawing/2014/main" id="{19FF7B6D-6A32-D668-10D9-D63B88E05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00000F0"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F1" w14:textId="6410CB36" w:rsidR="00517271" w:rsidRPr="00D50002" w:rsidRDefault="00044356"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inline distT="0" distB="0" distL="0" distR="0" wp14:anchorId="7350B985" wp14:editId="653901AD">
            <wp:extent cx="5943600" cy="2169042"/>
            <wp:effectExtent l="0" t="0" r="12700" b="15875"/>
            <wp:docPr id="23" name="Chart 23">
              <a:extLst xmlns:a="http://schemas.openxmlformats.org/drawingml/2006/main">
                <a:ext uri="{FF2B5EF4-FFF2-40B4-BE49-F238E27FC236}">
                  <a16:creationId xmlns:a16="http://schemas.microsoft.com/office/drawing/2014/main" id="{D0D62012-8522-EF94-03ED-1FAE4F98EB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ECEAC5D" w14:textId="77777777" w:rsidR="00044356" w:rsidRPr="00D50002" w:rsidRDefault="00852DCA" w:rsidP="00CC1E32">
      <w:pPr>
        <w:bidi/>
        <w:spacing w:after="120" w:line="360" w:lineRule="auto"/>
        <w:jc w:val="both"/>
        <w:rPr>
          <w:rFonts w:asciiTheme="majorBidi" w:eastAsia="Assistant" w:hAnsiTheme="majorBidi" w:cstheme="majorBidi"/>
          <w:b/>
          <w:sz w:val="24"/>
          <w:szCs w:val="24"/>
        </w:rPr>
      </w:pPr>
      <w:commentRangeStart w:id="26"/>
      <w:commentRangeEnd w:id="26"/>
      <w:r w:rsidRPr="00D50002">
        <w:rPr>
          <w:rStyle w:val="CommentReference"/>
          <w:rFonts w:asciiTheme="majorBidi" w:hAnsiTheme="majorBidi" w:cstheme="majorBidi"/>
          <w:sz w:val="24"/>
          <w:szCs w:val="24"/>
        </w:rPr>
        <w:commentReference w:id="26"/>
      </w:r>
    </w:p>
    <w:p w14:paraId="000000F2" w14:textId="29D801ED"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b/>
          <w:bCs/>
          <w:sz w:val="24"/>
          <w:szCs w:val="24"/>
        </w:rPr>
        <w:t>The five largest investors</w:t>
      </w:r>
      <w:r w:rsidRPr="00D50002">
        <w:rPr>
          <w:rFonts w:asciiTheme="majorBidi" w:hAnsiTheme="majorBidi" w:cstheme="majorBidi"/>
          <w:sz w:val="24"/>
          <w:szCs w:val="24"/>
        </w:rPr>
        <w:t xml:space="preserve"> in this sector in 2022 include two specialist ventures in the health sector, which took part in nine different investments each, and they are </w:t>
      </w:r>
      <w:proofErr w:type="spellStart"/>
      <w:r w:rsidRPr="00D50002">
        <w:rPr>
          <w:rFonts w:asciiTheme="majorBidi" w:hAnsiTheme="majorBidi" w:cstheme="majorBidi"/>
          <w:sz w:val="24"/>
          <w:szCs w:val="24"/>
        </w:rPr>
        <w:t>aMoon</w:t>
      </w:r>
      <w:proofErr w:type="spellEnd"/>
      <w:r w:rsidRPr="00D50002">
        <w:rPr>
          <w:rFonts w:asciiTheme="majorBidi" w:hAnsiTheme="majorBidi" w:cstheme="majorBidi"/>
          <w:sz w:val="24"/>
          <w:szCs w:val="24"/>
        </w:rPr>
        <w:t xml:space="preserve"> Fund and eHealth </w:t>
      </w:r>
      <w:proofErr w:type="spellStart"/>
      <w:r w:rsidRPr="00D50002">
        <w:rPr>
          <w:rFonts w:asciiTheme="majorBidi" w:hAnsiTheme="majorBidi" w:cstheme="majorBidi"/>
          <w:sz w:val="24"/>
          <w:szCs w:val="24"/>
        </w:rPr>
        <w:t>Venturs</w:t>
      </w:r>
      <w:proofErr w:type="spellEnd"/>
      <w:r w:rsidRPr="00D50002">
        <w:rPr>
          <w:rFonts w:asciiTheme="majorBidi" w:hAnsiTheme="majorBidi" w:cstheme="majorBidi"/>
          <w:sz w:val="24"/>
          <w:szCs w:val="24"/>
        </w:rPr>
        <w:t xml:space="preserve">. They are followed by the Israeli fund Peregrine, which took part in eight different investments and whose portfolio also includes </w:t>
      </w:r>
      <w:proofErr w:type="gramStart"/>
      <w:r w:rsidRPr="00D50002">
        <w:rPr>
          <w:rFonts w:asciiTheme="majorBidi" w:hAnsiTheme="majorBidi" w:cstheme="majorBidi"/>
          <w:sz w:val="24"/>
          <w:szCs w:val="24"/>
        </w:rPr>
        <w:t>a number of</w:t>
      </w:r>
      <w:proofErr w:type="gramEnd"/>
      <w:r w:rsidRPr="00D50002">
        <w:rPr>
          <w:rFonts w:asciiTheme="majorBidi" w:hAnsiTheme="majorBidi" w:cstheme="majorBidi"/>
          <w:sz w:val="24"/>
          <w:szCs w:val="24"/>
        </w:rPr>
        <w:t xml:space="preserve"> Israeli HealthTech companies, and the list of five concludes with </w:t>
      </w:r>
      <w:proofErr w:type="spellStart"/>
      <w:r w:rsidRPr="00D50002">
        <w:rPr>
          <w:rFonts w:asciiTheme="majorBidi" w:hAnsiTheme="majorBidi" w:cstheme="majorBidi"/>
          <w:sz w:val="24"/>
          <w:szCs w:val="24"/>
        </w:rPr>
        <w:t>OurCrowd</w:t>
      </w:r>
      <w:proofErr w:type="spellEnd"/>
      <w:r w:rsidRPr="00D50002">
        <w:rPr>
          <w:rFonts w:asciiTheme="majorBidi" w:hAnsiTheme="majorBidi" w:cstheme="majorBidi"/>
          <w:sz w:val="24"/>
          <w:szCs w:val="24"/>
        </w:rPr>
        <w:t xml:space="preserve"> and the American fund, Insight Partners. Five exits were recorded in this sector in 2022, the most prominent being Shamir Optical Industry, </w:t>
      </w:r>
      <w:proofErr w:type="spellStart"/>
      <w:r w:rsidRPr="00D50002">
        <w:rPr>
          <w:rFonts w:asciiTheme="majorBidi" w:hAnsiTheme="majorBidi" w:cstheme="majorBidi"/>
          <w:sz w:val="24"/>
          <w:szCs w:val="24"/>
        </w:rPr>
        <w:t>Perflow</w:t>
      </w:r>
      <w:proofErr w:type="spellEnd"/>
      <w:r w:rsidRPr="00D50002">
        <w:rPr>
          <w:rFonts w:asciiTheme="majorBidi" w:hAnsiTheme="majorBidi" w:cstheme="majorBidi"/>
          <w:sz w:val="24"/>
          <w:szCs w:val="24"/>
        </w:rPr>
        <w:t xml:space="preserve"> Medical and the IPO of Stickit Labs.</w:t>
      </w:r>
    </w:p>
    <w:p w14:paraId="000000F3" w14:textId="6112A243" w:rsidR="00517271" w:rsidRPr="00D50002" w:rsidRDefault="00DB550E" w:rsidP="00CC1E32">
      <w:pPr>
        <w:pStyle w:val="Heading2"/>
        <w:spacing w:line="360" w:lineRule="auto"/>
        <w:jc w:val="both"/>
        <w:rPr>
          <w:rFonts w:asciiTheme="majorBidi" w:hAnsiTheme="majorBidi" w:cstheme="majorBidi"/>
          <w:sz w:val="24"/>
          <w:szCs w:val="24"/>
        </w:rPr>
      </w:pPr>
      <w:r w:rsidRPr="00D50002">
        <w:rPr>
          <w:rFonts w:asciiTheme="majorBidi" w:hAnsiTheme="majorBidi" w:cstheme="majorBidi"/>
          <w:sz w:val="24"/>
          <w:szCs w:val="24"/>
        </w:rPr>
        <w:t>Cyber</w:t>
      </w:r>
    </w:p>
    <w:p w14:paraId="000000FA" w14:textId="54829E75" w:rsidR="00517271" w:rsidRPr="00D50002" w:rsidRDefault="00026816" w:rsidP="00CC1E32">
      <w:pPr>
        <w:pStyle w:val="NormalWeb"/>
        <w:spacing w:before="0" w:beforeAutospacing="0" w:after="120" w:afterAutospacing="0" w:line="360" w:lineRule="auto"/>
        <w:jc w:val="both"/>
        <w:rPr>
          <w:rFonts w:asciiTheme="majorBidi" w:hAnsiTheme="majorBidi" w:cstheme="majorBidi"/>
        </w:rPr>
      </w:pPr>
      <w:r w:rsidRPr="00D50002">
        <w:rPr>
          <w:rFonts w:asciiTheme="majorBidi" w:hAnsiTheme="majorBidi" w:cstheme="majorBidi"/>
          <w:color w:val="000000"/>
        </w:rPr>
        <w:t>As of late 2022, there are 676 active cyber companies in Israel, which divide up into the following sub-sectors (some of the companies belong to more than one sub-sector): data protection, network security, cloud security, app security, endpoint security, GRC and vulnerability management.</w:t>
      </w:r>
    </w:p>
    <w:p w14:paraId="000000FB" w14:textId="616C2700"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From a multi-annual perspective at the amounts of overall funding in this sector, it appears that there was a significant decrease in the number of funding rounds in this sector between 2021 and 2022, and this represents a decline of 60%. This figure compares with the annual decline in all the ecosystems that amounts to 42%. Having said that, the number of funding rounds, which ought to be a more significant figure, is stable also in comparison to 2021, and might be indicative of the quality of the companies in this sector.</w:t>
      </w:r>
    </w:p>
    <w:p w14:paraId="000000FC" w14:textId="77777777" w:rsidR="00517271" w:rsidRPr="00D50002" w:rsidRDefault="00DB550E" w:rsidP="00CC1E32">
      <w:pPr>
        <w:spacing w:after="120" w:line="360" w:lineRule="auto"/>
        <w:jc w:val="both"/>
        <w:rPr>
          <w:rFonts w:asciiTheme="majorBidi" w:eastAsia="Assistant" w:hAnsiTheme="majorBidi" w:cstheme="majorBidi"/>
          <w:sz w:val="24"/>
          <w:szCs w:val="24"/>
          <w:shd w:val="clear" w:color="auto" w:fill="B6D7A8"/>
        </w:rPr>
      </w:pPr>
      <w:r w:rsidRPr="00D50002">
        <w:rPr>
          <w:rFonts w:asciiTheme="majorBidi" w:hAnsiTheme="majorBidi" w:cstheme="majorBidi"/>
          <w:sz w:val="24"/>
          <w:szCs w:val="24"/>
        </w:rPr>
        <w:t xml:space="preserve">The distribution into half-years helps to understand this trend, as in both halves of 2022 there was a significant decline in the overall amounts of capital raised. The number of funding rounds during </w:t>
      </w:r>
      <w:r w:rsidRPr="00D50002">
        <w:rPr>
          <w:rFonts w:asciiTheme="majorBidi" w:hAnsiTheme="majorBidi" w:cstheme="majorBidi"/>
          <w:sz w:val="24"/>
          <w:szCs w:val="24"/>
        </w:rPr>
        <w:lastRenderedPageBreak/>
        <w:t xml:space="preserve">H1 2022 was larger than those 2021, so that the decrease in their number occurred during the second half of the </w:t>
      </w:r>
      <w:commentRangeStart w:id="27"/>
      <w:r w:rsidRPr="00D50002">
        <w:rPr>
          <w:rFonts w:asciiTheme="majorBidi" w:hAnsiTheme="majorBidi" w:cstheme="majorBidi"/>
          <w:sz w:val="24"/>
          <w:szCs w:val="24"/>
        </w:rPr>
        <w:t>year</w:t>
      </w:r>
      <w:commentRangeEnd w:id="27"/>
      <w:r w:rsidR="00BB6555" w:rsidRPr="00D50002">
        <w:rPr>
          <w:rStyle w:val="CommentReference"/>
          <w:rFonts w:asciiTheme="majorBidi" w:hAnsiTheme="majorBidi" w:cstheme="majorBidi"/>
          <w:sz w:val="24"/>
          <w:szCs w:val="24"/>
        </w:rPr>
        <w:commentReference w:id="27"/>
      </w:r>
      <w:r w:rsidRPr="00D50002">
        <w:rPr>
          <w:rFonts w:asciiTheme="majorBidi" w:hAnsiTheme="majorBidi" w:cstheme="majorBidi"/>
          <w:sz w:val="24"/>
          <w:szCs w:val="24"/>
        </w:rPr>
        <w:t xml:space="preserve">. </w:t>
      </w:r>
    </w:p>
    <w:p w14:paraId="000000FE"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0FF" w14:textId="3E1156D3" w:rsidR="00517271" w:rsidRPr="00D50002" w:rsidRDefault="009D63C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inline distT="0" distB="0" distL="0" distR="0" wp14:anchorId="3A3CB9B7" wp14:editId="4D6384EF">
            <wp:extent cx="5943600" cy="2892055"/>
            <wp:effectExtent l="0" t="0" r="12700" b="16510"/>
            <wp:docPr id="24" name="Chart 24">
              <a:extLst xmlns:a="http://schemas.openxmlformats.org/drawingml/2006/main">
                <a:ext uri="{FF2B5EF4-FFF2-40B4-BE49-F238E27FC236}">
                  <a16:creationId xmlns:a16="http://schemas.microsoft.com/office/drawing/2014/main" id="{8B616355-91BF-4E34-F49C-C87DE5963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0000100"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01"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02" w14:textId="724328A6" w:rsidR="00517271" w:rsidRPr="00D50002" w:rsidRDefault="0005402E" w:rsidP="00CC1E32">
      <w:pPr>
        <w:spacing w:after="120" w:line="360" w:lineRule="auto"/>
        <w:jc w:val="both"/>
        <w:rPr>
          <w:rFonts w:asciiTheme="majorBidi" w:eastAsia="Assistant" w:hAnsiTheme="majorBidi" w:cstheme="majorBidi"/>
          <w:sz w:val="24"/>
          <w:szCs w:val="24"/>
        </w:rPr>
      </w:pPr>
      <w:sdt>
        <w:sdtPr>
          <w:rPr>
            <w:rFonts w:asciiTheme="majorBidi" w:hAnsiTheme="majorBidi" w:cstheme="majorBidi"/>
            <w:sz w:val="24"/>
            <w:szCs w:val="24"/>
          </w:rPr>
          <w:tag w:val="goog_rdk_19"/>
          <w:id w:val="-1422249872"/>
        </w:sdtPr>
        <w:sdtEndPr/>
        <w:sdtContent/>
      </w:sdt>
      <w:r w:rsidR="00335660" w:rsidRPr="00D50002">
        <w:rPr>
          <w:rFonts w:asciiTheme="majorBidi" w:hAnsiTheme="majorBidi" w:cstheme="majorBidi"/>
          <w:sz w:val="24"/>
          <w:szCs w:val="24"/>
        </w:rPr>
        <w:t xml:space="preserve"> </w:t>
      </w:r>
      <w:r w:rsidR="00335660" w:rsidRPr="00D50002">
        <w:rPr>
          <w:rFonts w:asciiTheme="majorBidi" w:hAnsiTheme="majorBidi" w:cstheme="majorBidi"/>
          <w:noProof/>
          <w:sz w:val="24"/>
          <w:szCs w:val="24"/>
        </w:rPr>
        <w:drawing>
          <wp:inline distT="0" distB="0" distL="0" distR="0" wp14:anchorId="798C84DB" wp14:editId="537B27A2">
            <wp:extent cx="5943600" cy="2785731"/>
            <wp:effectExtent l="0" t="0" r="12700" b="8890"/>
            <wp:docPr id="25" name="Chart 25">
              <a:extLst xmlns:a="http://schemas.openxmlformats.org/drawingml/2006/main">
                <a:ext uri="{FF2B5EF4-FFF2-40B4-BE49-F238E27FC236}">
                  <a16:creationId xmlns:a16="http://schemas.microsoft.com/office/drawing/2014/main" id="{A37E20DD-8B2B-8FF1-A1FF-6ABC2FC73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0000103" w14:textId="77777777" w:rsidR="00517271" w:rsidRPr="00D50002" w:rsidRDefault="002F0D4F" w:rsidP="00CC1E32">
      <w:pPr>
        <w:bidi/>
        <w:spacing w:after="120" w:line="360" w:lineRule="auto"/>
        <w:jc w:val="both"/>
        <w:rPr>
          <w:rFonts w:asciiTheme="majorBidi" w:eastAsia="Assistant" w:hAnsiTheme="majorBidi" w:cstheme="majorBidi"/>
          <w:sz w:val="24"/>
          <w:szCs w:val="24"/>
        </w:rPr>
      </w:pPr>
      <w:commentRangeStart w:id="28"/>
      <w:commentRangeEnd w:id="28"/>
      <w:r w:rsidRPr="00D50002">
        <w:rPr>
          <w:rStyle w:val="CommentReference"/>
          <w:rFonts w:asciiTheme="majorBidi" w:hAnsiTheme="majorBidi" w:cstheme="majorBidi"/>
          <w:sz w:val="24"/>
          <w:szCs w:val="24"/>
        </w:rPr>
        <w:commentReference w:id="28"/>
      </w:r>
    </w:p>
    <w:p w14:paraId="00000104" w14:textId="5EEBE9EA"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lastRenderedPageBreak/>
        <w:t xml:space="preserve">The key investors in this sector in 2022 include Glilot Capital Partners, a veteran Israeli fund investing in various sectors that was involved in 11 investments this year; </w:t>
      </w:r>
      <w:proofErr w:type="spellStart"/>
      <w:r w:rsidRPr="00D50002">
        <w:rPr>
          <w:rFonts w:asciiTheme="majorBidi" w:hAnsiTheme="majorBidi" w:cstheme="majorBidi"/>
          <w:sz w:val="24"/>
          <w:szCs w:val="24"/>
        </w:rPr>
        <w:t>Kmehin</w:t>
      </w:r>
      <w:proofErr w:type="spellEnd"/>
      <w:r w:rsidRPr="00D50002">
        <w:rPr>
          <w:rFonts w:asciiTheme="majorBidi" w:hAnsiTheme="majorBidi" w:cstheme="majorBidi"/>
          <w:sz w:val="24"/>
          <w:szCs w:val="24"/>
        </w:rPr>
        <w:t xml:space="preserve"> Ventures, a relatively new Israeli fund in the ecosystem that took part in nine </w:t>
      </w:r>
      <w:proofErr w:type="gramStart"/>
      <w:r w:rsidRPr="00D50002">
        <w:rPr>
          <w:rFonts w:asciiTheme="majorBidi" w:hAnsiTheme="majorBidi" w:cstheme="majorBidi"/>
          <w:sz w:val="24"/>
          <w:szCs w:val="24"/>
        </w:rPr>
        <w:t>investments;  the</w:t>
      </w:r>
      <w:proofErr w:type="gramEnd"/>
      <w:r w:rsidRPr="00D50002">
        <w:rPr>
          <w:rFonts w:asciiTheme="majorBidi" w:hAnsiTheme="majorBidi" w:cstheme="majorBidi"/>
          <w:sz w:val="24"/>
          <w:szCs w:val="24"/>
        </w:rPr>
        <w:t xml:space="preserve"> veteran Tiger Global and Insight Partners with eight investments each; and the Israeli fund Team8 with seven investments in cyber companies.</w:t>
      </w:r>
    </w:p>
    <w:p w14:paraId="00000105"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06" w14:textId="4ED3B369"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 xml:space="preserve">During 2022 there were </w:t>
      </w:r>
      <w:sdt>
        <w:sdtPr>
          <w:rPr>
            <w:rFonts w:asciiTheme="majorBidi" w:hAnsiTheme="majorBidi" w:cstheme="majorBidi"/>
            <w:sz w:val="24"/>
            <w:szCs w:val="24"/>
          </w:rPr>
          <w:tag w:val="goog_rdk_21"/>
          <w:id w:val="-645667977"/>
        </w:sdtPr>
        <w:sdtEndPr/>
        <w:sdtContent/>
      </w:sdt>
      <w:r w:rsidRPr="00D50002">
        <w:rPr>
          <w:rFonts w:asciiTheme="majorBidi" w:hAnsiTheme="majorBidi" w:cstheme="majorBidi"/>
          <w:sz w:val="24"/>
          <w:szCs w:val="24"/>
        </w:rPr>
        <w:t xml:space="preserve">20 </w:t>
      </w:r>
      <w:r w:rsidRPr="00D50002">
        <w:rPr>
          <w:rFonts w:asciiTheme="majorBidi" w:hAnsiTheme="majorBidi" w:cstheme="majorBidi"/>
          <w:b/>
          <w:bCs/>
          <w:sz w:val="24"/>
          <w:szCs w:val="24"/>
        </w:rPr>
        <w:t>exits</w:t>
      </w:r>
      <w:r w:rsidRPr="00D50002">
        <w:rPr>
          <w:rFonts w:asciiTheme="majorBidi" w:hAnsiTheme="majorBidi" w:cstheme="majorBidi"/>
          <w:sz w:val="24"/>
          <w:szCs w:val="24"/>
        </w:rPr>
        <w:t xml:space="preserve"> of Israeli cyber companies. The largest acquisition was that of Zimperium, which was acquired by the British investment fund, Liberty Strategic Capital for USD 525 million. The second largest was carried out by the Israeli cyber company </w:t>
      </w:r>
      <w:proofErr w:type="spellStart"/>
      <w:r w:rsidRPr="00D50002">
        <w:rPr>
          <w:rFonts w:asciiTheme="majorBidi" w:hAnsiTheme="majorBidi" w:cstheme="majorBidi"/>
          <w:sz w:val="24"/>
          <w:szCs w:val="24"/>
        </w:rPr>
        <w:t>Claroty</w:t>
      </w:r>
      <w:proofErr w:type="spellEnd"/>
      <w:r w:rsidRPr="00D50002">
        <w:rPr>
          <w:rFonts w:asciiTheme="majorBidi" w:hAnsiTheme="majorBidi" w:cstheme="majorBidi"/>
          <w:sz w:val="24"/>
          <w:szCs w:val="24"/>
        </w:rPr>
        <w:t xml:space="preserve">, which acquired </w:t>
      </w:r>
      <w:proofErr w:type="spellStart"/>
      <w:r w:rsidRPr="00D50002">
        <w:rPr>
          <w:rFonts w:asciiTheme="majorBidi" w:hAnsiTheme="majorBidi" w:cstheme="majorBidi"/>
          <w:sz w:val="24"/>
          <w:szCs w:val="24"/>
        </w:rPr>
        <w:t>Medigate</w:t>
      </w:r>
      <w:proofErr w:type="spellEnd"/>
      <w:r w:rsidRPr="00D50002">
        <w:rPr>
          <w:rFonts w:asciiTheme="majorBidi" w:hAnsiTheme="majorBidi" w:cstheme="majorBidi"/>
          <w:sz w:val="24"/>
          <w:szCs w:val="24"/>
        </w:rPr>
        <w:t xml:space="preserve"> for USD 400 million and third was executed by Palo Alto, which acquired Cider Security for USD 300 million.</w:t>
      </w:r>
      <w:r w:rsidRPr="00D50002">
        <w:rPr>
          <w:rFonts w:asciiTheme="majorBidi" w:hAnsiTheme="majorBidi" w:cstheme="majorBidi"/>
          <w:sz w:val="24"/>
          <w:szCs w:val="24"/>
        </w:rPr>
        <w:br w:type="page"/>
      </w:r>
    </w:p>
    <w:p w14:paraId="00000107" w14:textId="77777777" w:rsidR="00517271" w:rsidRPr="00D50002" w:rsidRDefault="00DB550E" w:rsidP="00CC1E32">
      <w:pPr>
        <w:pStyle w:val="Heading2"/>
        <w:spacing w:line="360" w:lineRule="auto"/>
        <w:jc w:val="both"/>
        <w:rPr>
          <w:rFonts w:asciiTheme="majorBidi" w:hAnsiTheme="majorBidi" w:cstheme="majorBidi"/>
          <w:sz w:val="24"/>
          <w:szCs w:val="24"/>
        </w:rPr>
      </w:pPr>
      <w:proofErr w:type="spellStart"/>
      <w:r w:rsidRPr="00D50002">
        <w:rPr>
          <w:rFonts w:asciiTheme="majorBidi" w:hAnsiTheme="majorBidi" w:cstheme="majorBidi"/>
          <w:sz w:val="24"/>
          <w:szCs w:val="24"/>
        </w:rPr>
        <w:lastRenderedPageBreak/>
        <w:t>AgriFood</w:t>
      </w:r>
      <w:proofErr w:type="spellEnd"/>
      <w:r w:rsidRPr="00D50002">
        <w:rPr>
          <w:rFonts w:asciiTheme="majorBidi" w:hAnsiTheme="majorBidi" w:cstheme="majorBidi"/>
          <w:sz w:val="24"/>
          <w:szCs w:val="24"/>
        </w:rPr>
        <w:t>-Tech</w:t>
      </w:r>
    </w:p>
    <w:p w14:paraId="00000109" w14:textId="622DCF76"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This sector is relatively small but has been experiencing growth in recent years. As of late 2022 there are 624 active startups in the Israel ecosystem in this sector, which divide up into the following spheres (there might be some duplication due to startups belonging to more than one field):</w:t>
      </w:r>
    </w:p>
    <w:p w14:paraId="0000010A" w14:textId="6998F342" w:rsidR="00517271" w:rsidRPr="00D50002" w:rsidRDefault="00DB550E" w:rsidP="00CC1E32">
      <w:pPr>
        <w:numPr>
          <w:ilvl w:val="0"/>
          <w:numId w:val="5"/>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167 startups dealing with irrigation-related innovation</w:t>
      </w:r>
    </w:p>
    <w:p w14:paraId="0000010B" w14:textId="792A9BD9" w:rsidR="00517271" w:rsidRPr="00D50002" w:rsidRDefault="00DB550E" w:rsidP="00CC1E32">
      <w:pPr>
        <w:numPr>
          <w:ilvl w:val="0"/>
          <w:numId w:val="5"/>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160 startups in the field of yield optimization harvest</w:t>
      </w:r>
    </w:p>
    <w:p w14:paraId="0000010C" w14:textId="7489596F" w:rsidR="00517271" w:rsidRPr="00D50002" w:rsidRDefault="00DB550E" w:rsidP="00CC1E32">
      <w:pPr>
        <w:numPr>
          <w:ilvl w:val="0"/>
          <w:numId w:val="5"/>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104 alternative food startups</w:t>
      </w:r>
    </w:p>
    <w:p w14:paraId="0000010D" w14:textId="2512EF1B" w:rsidR="00517271" w:rsidRPr="00D50002" w:rsidRDefault="00DB550E" w:rsidP="00CC1E32">
      <w:pPr>
        <w:numPr>
          <w:ilvl w:val="0"/>
          <w:numId w:val="5"/>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72 startups involved in the food production chain</w:t>
      </w:r>
    </w:p>
    <w:p w14:paraId="0000010E" w14:textId="5897B57C" w:rsidR="00517271" w:rsidRPr="00D50002" w:rsidRDefault="00DB550E" w:rsidP="00CC1E32">
      <w:pPr>
        <w:numPr>
          <w:ilvl w:val="0"/>
          <w:numId w:val="5"/>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64 pest pathogens startups</w:t>
      </w:r>
    </w:p>
    <w:p w14:paraId="0000010F" w14:textId="127CC274" w:rsidR="00517271" w:rsidRPr="00D50002" w:rsidRDefault="00DB550E" w:rsidP="00CC1E32">
      <w:pPr>
        <w:numPr>
          <w:ilvl w:val="0"/>
          <w:numId w:val="5"/>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63 in agricultural inputs</w:t>
      </w:r>
    </w:p>
    <w:p w14:paraId="00000110" w14:textId="1B799B2A" w:rsidR="00517271" w:rsidRPr="00D50002" w:rsidRDefault="00DB550E" w:rsidP="00CC1E32">
      <w:pPr>
        <w:numPr>
          <w:ilvl w:val="0"/>
          <w:numId w:val="5"/>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45 in produce preservation and trade</w:t>
      </w:r>
      <w:r w:rsidR="00D205A6">
        <w:rPr>
          <w:rFonts w:asciiTheme="majorBidi" w:hAnsiTheme="majorBidi" w:cstheme="majorBidi"/>
          <w:sz w:val="24"/>
          <w:szCs w:val="24"/>
        </w:rPr>
        <w:t>.</w:t>
      </w:r>
    </w:p>
    <w:p w14:paraId="00000111"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12"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In accordance with the relative size of this sector within the Israeli ecosystem, the number of funding rounds and their overall amount is significantly smaller than the rest. However, the difference between 2022 and 2021 is the smallest among all the sectors we chose to present in this report, with only a 7% difference emerging between the two years. As a result of the possibility of additional funding rounds that have yet to be discovered, it is possible that the total volume of investments here will be greater than that of the previous year.  This is also true of the number of funding rounds that stands at 74 during 2022. </w:t>
      </w:r>
    </w:p>
    <w:p w14:paraId="00000113" w14:textId="706A2712"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When looking at the investment half-</w:t>
      </w:r>
      <w:proofErr w:type="gramStart"/>
      <w:r w:rsidRPr="00D50002">
        <w:rPr>
          <w:rFonts w:asciiTheme="majorBidi" w:hAnsiTheme="majorBidi" w:cstheme="majorBidi"/>
          <w:sz w:val="24"/>
          <w:szCs w:val="24"/>
        </w:rPr>
        <w:t>years</w:t>
      </w:r>
      <w:proofErr w:type="gramEnd"/>
      <w:r w:rsidRPr="00D50002">
        <w:rPr>
          <w:rFonts w:asciiTheme="majorBidi" w:hAnsiTheme="majorBidi" w:cstheme="majorBidi"/>
          <w:sz w:val="24"/>
          <w:szCs w:val="24"/>
        </w:rPr>
        <w:t xml:space="preserve">, we can see the leap forward in amounts goes back to H2 2020. Despite the large difference between the two halves of 2022, it appears that the leap in investment amounts described </w:t>
      </w:r>
      <w:r w:rsidR="001B00BA" w:rsidRPr="00D50002">
        <w:rPr>
          <w:rFonts w:asciiTheme="majorBidi" w:hAnsiTheme="majorBidi" w:cstheme="majorBidi"/>
          <w:sz w:val="24"/>
          <w:szCs w:val="24"/>
        </w:rPr>
        <w:t>above,</w:t>
      </w:r>
      <w:r w:rsidRPr="00D50002">
        <w:rPr>
          <w:rFonts w:asciiTheme="majorBidi" w:hAnsiTheme="majorBidi" w:cstheme="majorBidi"/>
          <w:sz w:val="24"/>
          <w:szCs w:val="24"/>
        </w:rPr>
        <w:t xml:space="preserve"> and the number of funding rounds is relatively stable, even </w:t>
      </w:r>
      <w:proofErr w:type="gramStart"/>
      <w:r w:rsidRPr="00D50002">
        <w:rPr>
          <w:rFonts w:asciiTheme="majorBidi" w:hAnsiTheme="majorBidi" w:cstheme="majorBidi"/>
          <w:sz w:val="24"/>
          <w:szCs w:val="24"/>
        </w:rPr>
        <w:t>in light of</w:t>
      </w:r>
      <w:proofErr w:type="gramEnd"/>
      <w:r w:rsidRPr="00D50002">
        <w:rPr>
          <w:rFonts w:asciiTheme="majorBidi" w:hAnsiTheme="majorBidi" w:cstheme="majorBidi"/>
          <w:sz w:val="24"/>
          <w:szCs w:val="24"/>
        </w:rPr>
        <w:t xml:space="preserve"> the current </w:t>
      </w:r>
      <w:commentRangeStart w:id="29"/>
      <w:r w:rsidRPr="00D50002">
        <w:rPr>
          <w:rFonts w:asciiTheme="majorBidi" w:hAnsiTheme="majorBidi" w:cstheme="majorBidi"/>
          <w:sz w:val="24"/>
          <w:szCs w:val="24"/>
        </w:rPr>
        <w:t>crisis</w:t>
      </w:r>
      <w:commentRangeEnd w:id="29"/>
      <w:r w:rsidR="00024D51" w:rsidRPr="00D50002">
        <w:rPr>
          <w:rStyle w:val="CommentReference"/>
          <w:rFonts w:asciiTheme="majorBidi" w:hAnsiTheme="majorBidi" w:cstheme="majorBidi"/>
          <w:sz w:val="24"/>
          <w:szCs w:val="24"/>
        </w:rPr>
        <w:commentReference w:id="29"/>
      </w:r>
      <w:r w:rsidRPr="00D50002">
        <w:rPr>
          <w:rFonts w:asciiTheme="majorBidi" w:hAnsiTheme="majorBidi" w:cstheme="majorBidi"/>
          <w:sz w:val="24"/>
          <w:szCs w:val="24"/>
        </w:rPr>
        <w:t xml:space="preserve">. </w:t>
      </w:r>
    </w:p>
    <w:p w14:paraId="00000114"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15" w14:textId="5BFFC679" w:rsidR="00517271" w:rsidRPr="00D50002" w:rsidRDefault="0005402E" w:rsidP="00CC1E32">
      <w:pPr>
        <w:spacing w:after="120" w:line="360" w:lineRule="auto"/>
        <w:jc w:val="both"/>
        <w:rPr>
          <w:rFonts w:asciiTheme="majorBidi" w:eastAsia="Assistant" w:hAnsiTheme="majorBidi" w:cstheme="majorBidi"/>
          <w:sz w:val="24"/>
          <w:szCs w:val="24"/>
          <w:u w:val="single"/>
        </w:rPr>
      </w:pPr>
      <w:sdt>
        <w:sdtPr>
          <w:rPr>
            <w:rFonts w:asciiTheme="majorBidi" w:hAnsiTheme="majorBidi" w:cstheme="majorBidi"/>
            <w:sz w:val="24"/>
            <w:szCs w:val="24"/>
          </w:rPr>
          <w:tag w:val="goog_rdk_23"/>
          <w:id w:val="-1718654053"/>
        </w:sdtPr>
        <w:sdtEndPr/>
        <w:sdtContent/>
      </w:sdt>
      <w:r w:rsidR="00335660" w:rsidRPr="00D50002">
        <w:rPr>
          <w:rFonts w:asciiTheme="majorBidi" w:hAnsiTheme="majorBidi" w:cstheme="majorBidi"/>
          <w:sz w:val="24"/>
          <w:szCs w:val="24"/>
        </w:rPr>
        <w:t xml:space="preserve"> </w:t>
      </w:r>
      <w:r w:rsidR="00335660" w:rsidRPr="00D50002">
        <w:rPr>
          <w:rFonts w:asciiTheme="majorBidi" w:hAnsiTheme="majorBidi" w:cstheme="majorBidi"/>
          <w:noProof/>
          <w:sz w:val="24"/>
          <w:szCs w:val="24"/>
        </w:rPr>
        <w:drawing>
          <wp:inline distT="0" distB="0" distL="0" distR="0" wp14:anchorId="09571E9C" wp14:editId="2D308875">
            <wp:extent cx="5943600" cy="2923953"/>
            <wp:effectExtent l="0" t="0" r="12700" b="10160"/>
            <wp:docPr id="26" name="Chart 26">
              <a:extLst xmlns:a="http://schemas.openxmlformats.org/drawingml/2006/main">
                <a:ext uri="{FF2B5EF4-FFF2-40B4-BE49-F238E27FC236}">
                  <a16:creationId xmlns:a16="http://schemas.microsoft.com/office/drawing/2014/main" id="{735EC1C3-263C-5EBA-7AFD-74FCFBD66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0000116"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17"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18"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19" w14:textId="44E3456F" w:rsidR="00517271" w:rsidRPr="00D50002" w:rsidRDefault="0005402E" w:rsidP="00CC1E32">
      <w:pPr>
        <w:spacing w:after="120" w:line="360" w:lineRule="auto"/>
        <w:jc w:val="both"/>
        <w:rPr>
          <w:rFonts w:asciiTheme="majorBidi" w:eastAsia="Assistant" w:hAnsiTheme="majorBidi" w:cstheme="majorBidi"/>
          <w:sz w:val="24"/>
          <w:szCs w:val="24"/>
        </w:rPr>
      </w:pPr>
      <w:sdt>
        <w:sdtPr>
          <w:rPr>
            <w:rFonts w:asciiTheme="majorBidi" w:hAnsiTheme="majorBidi" w:cstheme="majorBidi"/>
            <w:sz w:val="24"/>
            <w:szCs w:val="24"/>
          </w:rPr>
          <w:tag w:val="goog_rdk_24"/>
          <w:id w:val="1859782238"/>
        </w:sdtPr>
        <w:sdtEndPr/>
        <w:sdtContent/>
      </w:sdt>
      <w:r w:rsidR="00335660" w:rsidRPr="00D50002">
        <w:rPr>
          <w:rFonts w:asciiTheme="majorBidi" w:hAnsiTheme="majorBidi" w:cstheme="majorBidi"/>
          <w:sz w:val="24"/>
          <w:szCs w:val="24"/>
        </w:rPr>
        <w:t xml:space="preserve"> </w:t>
      </w:r>
      <w:r w:rsidR="00335660" w:rsidRPr="00D50002">
        <w:rPr>
          <w:rFonts w:asciiTheme="majorBidi" w:hAnsiTheme="majorBidi" w:cstheme="majorBidi"/>
          <w:noProof/>
          <w:sz w:val="24"/>
          <w:szCs w:val="24"/>
        </w:rPr>
        <w:drawing>
          <wp:inline distT="0" distB="0" distL="0" distR="0" wp14:anchorId="091F5ADE" wp14:editId="5E1D20A1">
            <wp:extent cx="5943600" cy="3069590"/>
            <wp:effectExtent l="0" t="0" r="12700" b="16510"/>
            <wp:docPr id="27" name="Chart 27">
              <a:extLst xmlns:a="http://schemas.openxmlformats.org/drawingml/2006/main">
                <a:ext uri="{FF2B5EF4-FFF2-40B4-BE49-F238E27FC236}">
                  <a16:creationId xmlns:a16="http://schemas.microsoft.com/office/drawing/2014/main" id="{12A03366-677E-EBB6-0647-2726819BE4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000011A" w14:textId="77777777" w:rsidR="00517271" w:rsidRPr="00D50002" w:rsidRDefault="00A14C05" w:rsidP="00CC1E32">
      <w:pPr>
        <w:bidi/>
        <w:spacing w:after="120" w:line="360" w:lineRule="auto"/>
        <w:jc w:val="both"/>
        <w:rPr>
          <w:rFonts w:asciiTheme="majorBidi" w:eastAsia="Assistant" w:hAnsiTheme="majorBidi" w:cstheme="majorBidi"/>
          <w:sz w:val="24"/>
          <w:szCs w:val="24"/>
        </w:rPr>
      </w:pPr>
      <w:commentRangeStart w:id="30"/>
      <w:commentRangeEnd w:id="30"/>
      <w:r w:rsidRPr="00D50002">
        <w:rPr>
          <w:rStyle w:val="CommentReference"/>
          <w:rFonts w:asciiTheme="majorBidi" w:hAnsiTheme="majorBidi" w:cstheme="majorBidi"/>
          <w:sz w:val="24"/>
          <w:szCs w:val="24"/>
        </w:rPr>
        <w:commentReference w:id="30"/>
      </w:r>
    </w:p>
    <w:p w14:paraId="71609A20" w14:textId="0565AF7B" w:rsidR="00B7638C"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b/>
          <w:bCs/>
          <w:sz w:val="24"/>
          <w:szCs w:val="24"/>
        </w:rPr>
        <w:lastRenderedPageBreak/>
        <w:t>Outstanding investors</w:t>
      </w:r>
      <w:r w:rsidRPr="00D50002">
        <w:rPr>
          <w:rFonts w:asciiTheme="majorBidi" w:hAnsiTheme="majorBidi" w:cstheme="majorBidi"/>
          <w:sz w:val="24"/>
          <w:szCs w:val="24"/>
        </w:rPr>
        <w:t xml:space="preserve"> in this sector included </w:t>
      </w:r>
      <w:proofErr w:type="spellStart"/>
      <w:r w:rsidRPr="00D50002">
        <w:rPr>
          <w:rFonts w:asciiTheme="majorBidi" w:hAnsiTheme="majorBidi" w:cstheme="majorBidi"/>
          <w:sz w:val="24"/>
          <w:szCs w:val="24"/>
        </w:rPr>
        <w:t>OurCrowd</w:t>
      </w:r>
      <w:proofErr w:type="spellEnd"/>
      <w:r w:rsidRPr="00D50002">
        <w:rPr>
          <w:rFonts w:asciiTheme="majorBidi" w:hAnsiTheme="majorBidi" w:cstheme="majorBidi"/>
          <w:sz w:val="24"/>
          <w:szCs w:val="24"/>
        </w:rPr>
        <w:t xml:space="preserve">, which leads the number of funding rounds in 2022, with participation in ten different funding rounds. It came as no surprise that the two familiar </w:t>
      </w:r>
      <w:r w:rsidR="001B00BA" w:rsidRPr="00D50002">
        <w:rPr>
          <w:rFonts w:asciiTheme="majorBidi" w:hAnsiTheme="majorBidi" w:cstheme="majorBidi"/>
          <w:sz w:val="24"/>
          <w:szCs w:val="24"/>
        </w:rPr>
        <w:t>high-tech</w:t>
      </w:r>
      <w:r w:rsidRPr="00D50002">
        <w:rPr>
          <w:rFonts w:asciiTheme="majorBidi" w:hAnsiTheme="majorBidi" w:cstheme="majorBidi"/>
          <w:sz w:val="24"/>
          <w:szCs w:val="24"/>
        </w:rPr>
        <w:t xml:space="preserve"> incubators, The Kitchen and Fresh Start were also among the leading investors, with six and four investments respectively. They are followed by an investment fund from Malta named Peak Bridge, which specializes in companies operating in the field of food impact, and an Israeli fund named Smart </w:t>
      </w:r>
      <w:proofErr w:type="spellStart"/>
      <w:r w:rsidRPr="00D50002">
        <w:rPr>
          <w:rFonts w:asciiTheme="majorBidi" w:hAnsiTheme="majorBidi" w:cstheme="majorBidi"/>
          <w:sz w:val="24"/>
          <w:szCs w:val="24"/>
        </w:rPr>
        <w:t>Agro</w:t>
      </w:r>
      <w:proofErr w:type="spellEnd"/>
      <w:r w:rsidRPr="00D50002">
        <w:rPr>
          <w:rFonts w:asciiTheme="majorBidi" w:hAnsiTheme="majorBidi" w:cstheme="majorBidi"/>
          <w:sz w:val="24"/>
          <w:szCs w:val="24"/>
        </w:rPr>
        <w:t xml:space="preserve">, operating since 2020, and which mainly invests in agriculture companies.  In 2022 no </w:t>
      </w:r>
      <w:r w:rsidRPr="00D50002">
        <w:rPr>
          <w:rFonts w:asciiTheme="majorBidi" w:hAnsiTheme="majorBidi" w:cstheme="majorBidi"/>
          <w:b/>
          <w:bCs/>
          <w:sz w:val="24"/>
          <w:szCs w:val="24"/>
        </w:rPr>
        <w:t>exits</w:t>
      </w:r>
      <w:r w:rsidRPr="00D50002">
        <w:rPr>
          <w:rFonts w:asciiTheme="majorBidi" w:hAnsiTheme="majorBidi" w:cstheme="majorBidi"/>
          <w:sz w:val="24"/>
          <w:szCs w:val="24"/>
        </w:rPr>
        <w:t xml:space="preserve"> were recorded in this sector.</w:t>
      </w:r>
    </w:p>
    <w:p w14:paraId="28ABD14A" w14:textId="77777777" w:rsidR="007B3547" w:rsidRPr="00D50002" w:rsidRDefault="007B3547"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br w:type="page"/>
      </w:r>
    </w:p>
    <w:p w14:paraId="0000011E" w14:textId="3C8A820C" w:rsidR="00517271" w:rsidRPr="00D50002" w:rsidRDefault="00DB550E" w:rsidP="00CC1E32">
      <w:pPr>
        <w:pStyle w:val="Heading2"/>
        <w:spacing w:line="360" w:lineRule="auto"/>
        <w:jc w:val="both"/>
        <w:rPr>
          <w:rFonts w:asciiTheme="majorBidi" w:hAnsiTheme="majorBidi" w:cstheme="majorBidi"/>
          <w:sz w:val="24"/>
          <w:szCs w:val="24"/>
        </w:rPr>
      </w:pPr>
      <w:r w:rsidRPr="00D50002">
        <w:rPr>
          <w:rFonts w:asciiTheme="majorBidi" w:hAnsiTheme="majorBidi" w:cstheme="majorBidi"/>
          <w:sz w:val="24"/>
          <w:szCs w:val="24"/>
        </w:rPr>
        <w:lastRenderedPageBreak/>
        <w:t>FinTech</w:t>
      </w:r>
    </w:p>
    <w:p w14:paraId="00000120" w14:textId="1FDE47B3"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To date, there are </w:t>
      </w:r>
      <w:sdt>
        <w:sdtPr>
          <w:rPr>
            <w:rFonts w:asciiTheme="majorBidi" w:hAnsiTheme="majorBidi" w:cstheme="majorBidi"/>
            <w:sz w:val="24"/>
            <w:szCs w:val="24"/>
          </w:rPr>
          <w:tag w:val="goog_rdk_25"/>
          <w:id w:val="1989361961"/>
        </w:sdtPr>
        <w:sdtEndPr/>
        <w:sdtContent/>
      </w:sdt>
      <w:r w:rsidRPr="00D50002">
        <w:rPr>
          <w:rFonts w:asciiTheme="majorBidi" w:hAnsiTheme="majorBidi" w:cstheme="majorBidi"/>
          <w:sz w:val="24"/>
          <w:szCs w:val="24"/>
        </w:rPr>
        <w:t xml:space="preserve">441 companies in this sector, divided up according to </w:t>
      </w:r>
      <w:sdt>
        <w:sdtPr>
          <w:rPr>
            <w:rFonts w:asciiTheme="majorBidi" w:hAnsiTheme="majorBidi" w:cstheme="majorBidi"/>
            <w:sz w:val="24"/>
            <w:szCs w:val="24"/>
          </w:rPr>
          <w:tag w:val="goog_rdk_26"/>
          <w:id w:val="181254065"/>
        </w:sdtPr>
        <w:sdtEndPr/>
        <w:sdtContent/>
      </w:sdt>
      <w:r w:rsidRPr="00D50002">
        <w:rPr>
          <w:rFonts w:asciiTheme="majorBidi" w:hAnsiTheme="majorBidi" w:cstheme="majorBidi"/>
          <w:sz w:val="24"/>
          <w:szCs w:val="24"/>
        </w:rPr>
        <w:t xml:space="preserve"> the following spheres (there might be some duplication due to startups belonging to more than one field):</w:t>
      </w:r>
    </w:p>
    <w:p w14:paraId="00000121" w14:textId="3DD3A4CC" w:rsidR="00517271" w:rsidRPr="00D50002" w:rsidRDefault="00DB550E" w:rsidP="00CC1E32">
      <w:pPr>
        <w:numPr>
          <w:ilvl w:val="0"/>
          <w:numId w:val="4"/>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139 startups engaged in commerce and investment</w:t>
      </w:r>
    </w:p>
    <w:p w14:paraId="00000122" w14:textId="77777777" w:rsidR="00517271" w:rsidRPr="00D50002" w:rsidRDefault="00DB550E" w:rsidP="00CC1E32">
      <w:pPr>
        <w:numPr>
          <w:ilvl w:val="0"/>
          <w:numId w:val="4"/>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126 dealing with money transfers</w:t>
      </w:r>
    </w:p>
    <w:p w14:paraId="00000123" w14:textId="11F68C04" w:rsidR="00517271" w:rsidRPr="00D50002" w:rsidRDefault="00DB550E" w:rsidP="00CC1E32">
      <w:pPr>
        <w:numPr>
          <w:ilvl w:val="0"/>
          <w:numId w:val="4"/>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82 startups engaged in optimization and loans</w:t>
      </w:r>
    </w:p>
    <w:p w14:paraId="00000124" w14:textId="77777777" w:rsidR="00517271" w:rsidRPr="00D50002" w:rsidRDefault="00DB550E" w:rsidP="00CC1E32">
      <w:pPr>
        <w:numPr>
          <w:ilvl w:val="0"/>
          <w:numId w:val="4"/>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79 dealing with independent financial management</w:t>
      </w:r>
    </w:p>
    <w:p w14:paraId="00000125" w14:textId="2909B7DC" w:rsidR="00517271" w:rsidRPr="00D50002" w:rsidRDefault="00DB550E" w:rsidP="00CC1E32">
      <w:pPr>
        <w:numPr>
          <w:ilvl w:val="0"/>
          <w:numId w:val="4"/>
        </w:num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62 Insurtech companies</w:t>
      </w:r>
      <w:r w:rsidR="001B00BA">
        <w:rPr>
          <w:rFonts w:asciiTheme="majorBidi" w:hAnsiTheme="majorBidi" w:cstheme="majorBidi"/>
          <w:sz w:val="24"/>
          <w:szCs w:val="24"/>
        </w:rPr>
        <w:t>.</w:t>
      </w:r>
    </w:p>
    <w:p w14:paraId="00000126"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27"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When we compare between the investment figures of 2021 and 2022, we can see that the decline in the overall amounts in the shift between the years amounts to 47%, and this is a similar decrease to that of the overall ecosystems, and despite a similar decline in the funding round figures in comparison to 2021, it remains </w:t>
      </w:r>
      <w:proofErr w:type="gramStart"/>
      <w:r w:rsidRPr="00D50002">
        <w:rPr>
          <w:rFonts w:asciiTheme="majorBidi" w:hAnsiTheme="majorBidi" w:cstheme="majorBidi"/>
          <w:sz w:val="24"/>
          <w:szCs w:val="24"/>
        </w:rPr>
        <w:t>more or less identical</w:t>
      </w:r>
      <w:proofErr w:type="gramEnd"/>
      <w:r w:rsidRPr="00D50002">
        <w:rPr>
          <w:rFonts w:asciiTheme="majorBidi" w:hAnsiTheme="majorBidi" w:cstheme="majorBidi"/>
          <w:sz w:val="24"/>
          <w:szCs w:val="24"/>
        </w:rPr>
        <w:t xml:space="preserve"> to that of 2019–2020.</w:t>
      </w:r>
    </w:p>
    <w:p w14:paraId="00000128" w14:textId="16C0C6B0"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When looking at both halves of 2022, it appears that there is a relatively small difference in terms of the overall amounts, in contrast to</w:t>
      </w:r>
      <w:r w:rsidR="00C66830" w:rsidRPr="00D50002">
        <w:rPr>
          <w:rFonts w:asciiTheme="majorBidi" w:hAnsiTheme="majorBidi" w:cstheme="majorBidi"/>
          <w:sz w:val="24"/>
          <w:szCs w:val="24"/>
        </w:rPr>
        <w:t xml:space="preserve"> </w:t>
      </w:r>
      <w:r w:rsidRPr="00D50002">
        <w:rPr>
          <w:rFonts w:asciiTheme="majorBidi" w:hAnsiTheme="majorBidi" w:cstheme="majorBidi"/>
          <w:sz w:val="24"/>
          <w:szCs w:val="24"/>
        </w:rPr>
        <w:t xml:space="preserve">the trend in the </w:t>
      </w:r>
      <w:proofErr w:type="spellStart"/>
      <w:r w:rsidRPr="00D50002">
        <w:rPr>
          <w:rFonts w:asciiTheme="majorBidi" w:hAnsiTheme="majorBidi" w:cstheme="majorBidi"/>
          <w:sz w:val="24"/>
          <w:szCs w:val="24"/>
        </w:rPr>
        <w:t>AgriFood</w:t>
      </w:r>
      <w:proofErr w:type="spellEnd"/>
      <w:r w:rsidRPr="00D50002">
        <w:rPr>
          <w:rFonts w:asciiTheme="majorBidi" w:hAnsiTheme="majorBidi" w:cstheme="majorBidi"/>
          <w:sz w:val="24"/>
          <w:szCs w:val="24"/>
        </w:rPr>
        <w:t>-Tech and Cyber sectors.</w:t>
      </w:r>
    </w:p>
    <w:p w14:paraId="00000129"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2A" w14:textId="5D0A5409" w:rsidR="00517271" w:rsidRPr="00D50002" w:rsidRDefault="0005402E" w:rsidP="00CC1E32">
      <w:pPr>
        <w:spacing w:after="120" w:line="360" w:lineRule="auto"/>
        <w:jc w:val="both"/>
        <w:rPr>
          <w:rFonts w:asciiTheme="majorBidi" w:eastAsia="Assistant" w:hAnsiTheme="majorBidi" w:cstheme="majorBidi"/>
          <w:sz w:val="24"/>
          <w:szCs w:val="24"/>
        </w:rPr>
      </w:pPr>
      <w:sdt>
        <w:sdtPr>
          <w:rPr>
            <w:rFonts w:asciiTheme="majorBidi" w:hAnsiTheme="majorBidi" w:cstheme="majorBidi"/>
            <w:sz w:val="24"/>
            <w:szCs w:val="24"/>
          </w:rPr>
          <w:tag w:val="goog_rdk_27"/>
          <w:id w:val="-1379158313"/>
        </w:sdtPr>
        <w:sdtEndPr/>
        <w:sdtContent/>
      </w:sdt>
      <w:r w:rsidR="00335660" w:rsidRPr="00D50002">
        <w:rPr>
          <w:rFonts w:asciiTheme="majorBidi" w:hAnsiTheme="majorBidi" w:cstheme="majorBidi"/>
          <w:sz w:val="24"/>
          <w:szCs w:val="24"/>
        </w:rPr>
        <w:t xml:space="preserve"> </w:t>
      </w:r>
      <w:r w:rsidR="00335660" w:rsidRPr="00D50002">
        <w:rPr>
          <w:rFonts w:asciiTheme="majorBidi" w:hAnsiTheme="majorBidi" w:cstheme="majorBidi"/>
          <w:noProof/>
          <w:sz w:val="24"/>
          <w:szCs w:val="24"/>
        </w:rPr>
        <w:drawing>
          <wp:inline distT="0" distB="0" distL="0" distR="0" wp14:anchorId="7FF4DC32" wp14:editId="2B4A5A84">
            <wp:extent cx="5943600" cy="3200400"/>
            <wp:effectExtent l="0" t="0" r="12700" b="12700"/>
            <wp:docPr id="28" name="Chart 28">
              <a:extLst xmlns:a="http://schemas.openxmlformats.org/drawingml/2006/main">
                <a:ext uri="{FF2B5EF4-FFF2-40B4-BE49-F238E27FC236}">
                  <a16:creationId xmlns:a16="http://schemas.microsoft.com/office/drawing/2014/main" id="{630B0CC4-1935-27AD-4068-ABA78E446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000012B"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2C" w14:textId="77777777" w:rsidR="00517271" w:rsidRPr="00D50002" w:rsidRDefault="0027091A" w:rsidP="00CC1E32">
      <w:pPr>
        <w:bidi/>
        <w:spacing w:after="120" w:line="360" w:lineRule="auto"/>
        <w:jc w:val="both"/>
        <w:rPr>
          <w:rFonts w:asciiTheme="majorBidi" w:eastAsia="Assistant" w:hAnsiTheme="majorBidi" w:cstheme="majorBidi"/>
          <w:sz w:val="24"/>
          <w:szCs w:val="24"/>
        </w:rPr>
      </w:pPr>
      <w:commentRangeStart w:id="31"/>
      <w:commentRangeEnd w:id="31"/>
      <w:r w:rsidRPr="00D50002">
        <w:rPr>
          <w:rStyle w:val="CommentReference"/>
          <w:rFonts w:asciiTheme="majorBidi" w:hAnsiTheme="majorBidi" w:cstheme="majorBidi"/>
          <w:sz w:val="24"/>
          <w:szCs w:val="24"/>
        </w:rPr>
        <w:commentReference w:id="31"/>
      </w:r>
    </w:p>
    <w:p w14:paraId="0000012E" w14:textId="3B8D1A02" w:rsidR="00517271" w:rsidRPr="00D50002" w:rsidRDefault="007B3547"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noProof/>
          <w:sz w:val="24"/>
          <w:szCs w:val="24"/>
        </w:rPr>
        <w:drawing>
          <wp:inline distT="0" distB="0" distL="0" distR="0" wp14:anchorId="2F2B90A0" wp14:editId="5C1A5063">
            <wp:extent cx="5943600" cy="2902688"/>
            <wp:effectExtent l="0" t="0" r="12700" b="18415"/>
            <wp:docPr id="29" name="Chart 29">
              <a:extLst xmlns:a="http://schemas.openxmlformats.org/drawingml/2006/main">
                <a:ext uri="{FF2B5EF4-FFF2-40B4-BE49-F238E27FC236}">
                  <a16:creationId xmlns:a16="http://schemas.microsoft.com/office/drawing/2014/main" id="{F7F343A8-BA92-77C1-82A7-7D9CDE1EC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0DAFC82" w14:textId="77777777" w:rsidR="007B3547" w:rsidRPr="00D50002" w:rsidRDefault="001E74EA" w:rsidP="00CC1E32">
      <w:pPr>
        <w:bidi/>
        <w:spacing w:after="120" w:line="360" w:lineRule="auto"/>
        <w:jc w:val="both"/>
        <w:rPr>
          <w:rFonts w:asciiTheme="majorBidi" w:eastAsia="Assistant" w:hAnsiTheme="majorBidi" w:cstheme="majorBidi"/>
          <w:sz w:val="24"/>
          <w:szCs w:val="24"/>
        </w:rPr>
      </w:pPr>
      <w:commentRangeStart w:id="32"/>
      <w:commentRangeEnd w:id="32"/>
      <w:r w:rsidRPr="00D50002">
        <w:rPr>
          <w:rStyle w:val="CommentReference"/>
          <w:rFonts w:asciiTheme="majorBidi" w:hAnsiTheme="majorBidi" w:cstheme="majorBidi"/>
          <w:sz w:val="24"/>
          <w:szCs w:val="24"/>
        </w:rPr>
        <w:commentReference w:id="32"/>
      </w:r>
    </w:p>
    <w:p w14:paraId="5470BD9B" w14:textId="02BBFCB9" w:rsidR="00B7638C"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The five most </w:t>
      </w:r>
      <w:r w:rsidRPr="00D50002">
        <w:rPr>
          <w:rFonts w:asciiTheme="majorBidi" w:hAnsiTheme="majorBidi" w:cstheme="majorBidi"/>
          <w:b/>
          <w:bCs/>
          <w:sz w:val="24"/>
          <w:szCs w:val="24"/>
        </w:rPr>
        <w:t>outstanding investors</w:t>
      </w:r>
      <w:r w:rsidRPr="00D50002">
        <w:rPr>
          <w:rFonts w:asciiTheme="majorBidi" w:hAnsiTheme="majorBidi" w:cstheme="majorBidi"/>
          <w:sz w:val="24"/>
          <w:szCs w:val="24"/>
        </w:rPr>
        <w:t xml:space="preserve"> in this field in 2022 include </w:t>
      </w:r>
      <w:sdt>
        <w:sdtPr>
          <w:rPr>
            <w:rFonts w:asciiTheme="majorBidi" w:hAnsiTheme="majorBidi" w:cstheme="majorBidi"/>
            <w:sz w:val="24"/>
            <w:szCs w:val="24"/>
          </w:rPr>
          <w:tag w:val="goog_rdk_28"/>
          <w:id w:val="-1226526486"/>
        </w:sdtPr>
        <w:sdtEndPr/>
        <w:sdtContent/>
      </w:sdt>
      <w:r w:rsidRPr="00D50002">
        <w:rPr>
          <w:rFonts w:asciiTheme="majorBidi" w:hAnsiTheme="majorBidi" w:cstheme="majorBidi"/>
          <w:sz w:val="24"/>
          <w:szCs w:val="24"/>
        </w:rPr>
        <w:t xml:space="preserve">Viola (all the funds) with participation in 14 funding rounds throughout the year, Team8, which was also a leading investor </w:t>
      </w:r>
      <w:r w:rsidRPr="00D50002">
        <w:rPr>
          <w:rFonts w:asciiTheme="majorBidi" w:hAnsiTheme="majorBidi" w:cstheme="majorBidi"/>
          <w:sz w:val="24"/>
          <w:szCs w:val="24"/>
        </w:rPr>
        <w:lastRenderedPageBreak/>
        <w:t xml:space="preserve">in the Cyber sector with four investments, and the American venture partner, Lightspeed, with participation in four investments, followed by </w:t>
      </w:r>
      <w:proofErr w:type="spellStart"/>
      <w:r w:rsidRPr="00D50002">
        <w:rPr>
          <w:rFonts w:asciiTheme="majorBidi" w:hAnsiTheme="majorBidi" w:cstheme="majorBidi"/>
          <w:sz w:val="24"/>
          <w:szCs w:val="24"/>
        </w:rPr>
        <w:t>OurCrowd</w:t>
      </w:r>
      <w:proofErr w:type="spellEnd"/>
      <w:r w:rsidRPr="00D50002">
        <w:rPr>
          <w:rFonts w:asciiTheme="majorBidi" w:hAnsiTheme="majorBidi" w:cstheme="majorBidi"/>
          <w:sz w:val="24"/>
          <w:szCs w:val="24"/>
        </w:rPr>
        <w:t xml:space="preserve"> and </w:t>
      </w:r>
      <w:proofErr w:type="spellStart"/>
      <w:r w:rsidRPr="00D50002">
        <w:rPr>
          <w:rFonts w:asciiTheme="majorBidi" w:hAnsiTheme="majorBidi" w:cstheme="majorBidi"/>
          <w:sz w:val="24"/>
          <w:szCs w:val="24"/>
        </w:rPr>
        <w:t>Hanco</w:t>
      </w:r>
      <w:proofErr w:type="spellEnd"/>
      <w:r w:rsidRPr="00D50002">
        <w:rPr>
          <w:rFonts w:asciiTheme="majorBidi" w:hAnsiTheme="majorBidi" w:cstheme="majorBidi"/>
          <w:sz w:val="24"/>
          <w:szCs w:val="24"/>
        </w:rPr>
        <w:t xml:space="preserve">, who each participated in three investments. This year there were a total of four </w:t>
      </w:r>
      <w:r w:rsidRPr="00D50002">
        <w:rPr>
          <w:rFonts w:asciiTheme="majorBidi" w:hAnsiTheme="majorBidi" w:cstheme="majorBidi"/>
          <w:b/>
          <w:bCs/>
          <w:sz w:val="24"/>
          <w:szCs w:val="24"/>
        </w:rPr>
        <w:t>exits</w:t>
      </w:r>
      <w:r w:rsidRPr="00D50002">
        <w:rPr>
          <w:rFonts w:asciiTheme="majorBidi" w:hAnsiTheme="majorBidi" w:cstheme="majorBidi"/>
          <w:sz w:val="24"/>
          <w:szCs w:val="24"/>
        </w:rPr>
        <w:t xml:space="preserve">. The most notable of these was the SPAC merger of </w:t>
      </w:r>
      <w:proofErr w:type="spellStart"/>
      <w:r w:rsidRPr="00D50002">
        <w:rPr>
          <w:rFonts w:asciiTheme="majorBidi" w:hAnsiTheme="majorBidi" w:cstheme="majorBidi"/>
          <w:sz w:val="24"/>
          <w:szCs w:val="24"/>
        </w:rPr>
        <w:t>Pagaya</w:t>
      </w:r>
      <w:proofErr w:type="spellEnd"/>
      <w:r w:rsidRPr="00D50002">
        <w:rPr>
          <w:rFonts w:asciiTheme="majorBidi" w:hAnsiTheme="majorBidi" w:cstheme="majorBidi"/>
          <w:sz w:val="24"/>
          <w:szCs w:val="24"/>
        </w:rPr>
        <w:t xml:space="preserve"> in June, and the sale of </w:t>
      </w:r>
      <w:proofErr w:type="spellStart"/>
      <w:r w:rsidRPr="00D50002">
        <w:rPr>
          <w:rFonts w:asciiTheme="majorBidi" w:hAnsiTheme="majorBidi" w:cstheme="majorBidi"/>
          <w:sz w:val="24"/>
          <w:szCs w:val="24"/>
        </w:rPr>
        <w:t>Finaro</w:t>
      </w:r>
      <w:proofErr w:type="spellEnd"/>
      <w:r w:rsidRPr="00D50002">
        <w:rPr>
          <w:rFonts w:asciiTheme="majorBidi" w:hAnsiTheme="majorBidi" w:cstheme="majorBidi"/>
          <w:sz w:val="24"/>
          <w:szCs w:val="24"/>
        </w:rPr>
        <w:t xml:space="preserve"> to the publicly-traded company Shift4 for USD 575 million.</w:t>
      </w:r>
    </w:p>
    <w:p w14:paraId="427C0CBA" w14:textId="77777777" w:rsidR="007B3547" w:rsidRPr="00D50002" w:rsidRDefault="007B3547" w:rsidP="00CC1E32">
      <w:pPr>
        <w:bidi/>
        <w:spacing w:after="120" w:line="360" w:lineRule="auto"/>
        <w:jc w:val="both"/>
        <w:rPr>
          <w:rFonts w:asciiTheme="majorBidi" w:eastAsia="Assistant" w:hAnsiTheme="majorBidi" w:cstheme="majorBidi"/>
          <w:sz w:val="24"/>
          <w:szCs w:val="24"/>
          <w:u w:val="single"/>
        </w:rPr>
      </w:pPr>
    </w:p>
    <w:p w14:paraId="00000132" w14:textId="65E94EAC" w:rsidR="00517271" w:rsidRPr="00D50002" w:rsidRDefault="00DB550E"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sz w:val="24"/>
          <w:szCs w:val="24"/>
          <w:u w:val="single"/>
        </w:rPr>
        <w:t xml:space="preserve">Climate Tech </w:t>
      </w:r>
    </w:p>
    <w:p w14:paraId="00000133" w14:textId="40F4B077" w:rsidR="00517271" w:rsidRPr="00D50002" w:rsidRDefault="00DB550E" w:rsidP="00CC1E32">
      <w:pPr>
        <w:spacing w:before="240"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This sector is not located within the division of the general sectors in the Finder database, mainly as the companies engaged in this sphere operate in diverse fields. As of late 2022, the number of active companies in this field stood at 899. In 2022, there was a decrease in the overall amount of capital raised to USD 1.7 billion in 104 funding rounds. Although this represents a 20% decrease compared with the previous year, in which USD 2.1 billion were raised, this still constitutes an overall trend of growth, beginning in 2014 (</w:t>
      </w:r>
      <w:proofErr w:type="gramStart"/>
      <w:r w:rsidRPr="00D50002">
        <w:rPr>
          <w:rFonts w:asciiTheme="majorBidi" w:hAnsiTheme="majorBidi" w:cstheme="majorBidi"/>
          <w:sz w:val="24"/>
          <w:szCs w:val="24"/>
        </w:rPr>
        <w:t>with the exception of</w:t>
      </w:r>
      <w:proofErr w:type="gramEnd"/>
      <w:r w:rsidRPr="00D50002">
        <w:rPr>
          <w:rFonts w:asciiTheme="majorBidi" w:hAnsiTheme="majorBidi" w:cstheme="majorBidi"/>
          <w:sz w:val="24"/>
          <w:szCs w:val="24"/>
        </w:rPr>
        <w:t xml:space="preserve"> 2019), when Climate Tech first appeared on the scene and began to attract global attention. Comparison of the two halves of 2022 shows that during the first half of the year, the amount of investment was higher than the average and in essence was a direct continuation of 2021, while during the second half of the year it plummeted by </w:t>
      </w:r>
      <w:commentRangeStart w:id="33"/>
      <w:r w:rsidRPr="00D50002">
        <w:rPr>
          <w:rFonts w:asciiTheme="majorBidi" w:hAnsiTheme="majorBidi" w:cstheme="majorBidi"/>
          <w:sz w:val="24"/>
          <w:szCs w:val="24"/>
        </w:rPr>
        <w:t>60</w:t>
      </w:r>
      <w:commentRangeEnd w:id="33"/>
      <w:r w:rsidR="0040267B" w:rsidRPr="00D50002">
        <w:rPr>
          <w:rStyle w:val="CommentReference"/>
          <w:rFonts w:asciiTheme="majorBidi" w:hAnsiTheme="majorBidi" w:cstheme="majorBidi"/>
          <w:sz w:val="24"/>
          <w:szCs w:val="24"/>
        </w:rPr>
        <w:commentReference w:id="33"/>
      </w:r>
      <w:r w:rsidRPr="00D50002">
        <w:rPr>
          <w:rFonts w:asciiTheme="majorBidi" w:hAnsiTheme="majorBidi" w:cstheme="majorBidi"/>
          <w:sz w:val="24"/>
          <w:szCs w:val="24"/>
        </w:rPr>
        <w:t>%.</w:t>
      </w:r>
      <w:r w:rsidR="009F6FC8" w:rsidRPr="00D50002">
        <w:rPr>
          <w:rFonts w:asciiTheme="majorBidi" w:hAnsiTheme="majorBidi" w:cstheme="majorBidi"/>
          <w:sz w:val="24"/>
          <w:szCs w:val="24"/>
        </w:rPr>
        <w:t xml:space="preserve"> </w:t>
      </w:r>
    </w:p>
    <w:p w14:paraId="00000134" w14:textId="3F948FD9"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35" w14:textId="47E0E3CA" w:rsidR="00517271" w:rsidRPr="00D50002" w:rsidRDefault="007B3547"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lastRenderedPageBreak/>
        <w:drawing>
          <wp:inline distT="0" distB="0" distL="0" distR="0" wp14:anchorId="198FA583" wp14:editId="087ADE55">
            <wp:extent cx="5943600" cy="3264196"/>
            <wp:effectExtent l="0" t="0" r="12700" b="12700"/>
            <wp:docPr id="30" name="Chart 30">
              <a:extLst xmlns:a="http://schemas.openxmlformats.org/drawingml/2006/main">
                <a:ext uri="{FF2B5EF4-FFF2-40B4-BE49-F238E27FC236}">
                  <a16:creationId xmlns:a16="http://schemas.microsoft.com/office/drawing/2014/main" id="{AD8AE2DB-C16C-73E1-42CD-0ADAA35713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0000136"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37"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38"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39" w14:textId="6B422B9F" w:rsidR="00517271" w:rsidRPr="00D50002" w:rsidRDefault="007B3547"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inline distT="0" distB="0" distL="0" distR="0" wp14:anchorId="64905896" wp14:editId="5D807239">
            <wp:extent cx="5943600" cy="3285460"/>
            <wp:effectExtent l="0" t="0" r="12700" b="17145"/>
            <wp:docPr id="31" name="Chart 31">
              <a:extLst xmlns:a="http://schemas.openxmlformats.org/drawingml/2006/main">
                <a:ext uri="{FF2B5EF4-FFF2-40B4-BE49-F238E27FC236}">
                  <a16:creationId xmlns:a16="http://schemas.microsoft.com/office/drawing/2014/main" id="{C9A7EBA5-7AC8-D187-969D-48B0E2716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000013A"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3B" w14:textId="77777777" w:rsidR="00517271" w:rsidRPr="00D50002" w:rsidRDefault="001E46EF" w:rsidP="00CC1E32">
      <w:pPr>
        <w:bidi/>
        <w:spacing w:after="120" w:line="360" w:lineRule="auto"/>
        <w:jc w:val="both"/>
        <w:rPr>
          <w:rFonts w:asciiTheme="majorBidi" w:eastAsia="Assistant" w:hAnsiTheme="majorBidi" w:cstheme="majorBidi"/>
          <w:sz w:val="24"/>
          <w:szCs w:val="24"/>
        </w:rPr>
      </w:pPr>
      <w:commentRangeStart w:id="34"/>
      <w:commentRangeEnd w:id="34"/>
      <w:r w:rsidRPr="00D50002">
        <w:rPr>
          <w:rStyle w:val="CommentReference"/>
          <w:rFonts w:asciiTheme="majorBidi" w:hAnsiTheme="majorBidi" w:cstheme="majorBidi"/>
          <w:sz w:val="24"/>
          <w:szCs w:val="24"/>
        </w:rPr>
        <w:lastRenderedPageBreak/>
        <w:commentReference w:id="34"/>
      </w:r>
    </w:p>
    <w:p w14:paraId="0000014D" w14:textId="3BFC47FC"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The most </w:t>
      </w:r>
      <w:sdt>
        <w:sdtPr>
          <w:rPr>
            <w:rFonts w:asciiTheme="majorBidi" w:hAnsiTheme="majorBidi" w:cstheme="majorBidi"/>
            <w:sz w:val="24"/>
            <w:szCs w:val="24"/>
          </w:rPr>
          <w:tag w:val="goog_rdk_29"/>
          <w:id w:val="-518311347"/>
        </w:sdtPr>
        <w:sdtEndPr/>
        <w:sdtContent/>
      </w:sdt>
      <w:r w:rsidRPr="00D50002">
        <w:rPr>
          <w:rFonts w:asciiTheme="majorBidi" w:hAnsiTheme="majorBidi" w:cstheme="majorBidi"/>
          <w:b/>
          <w:bCs/>
          <w:sz w:val="24"/>
          <w:szCs w:val="24"/>
        </w:rPr>
        <w:t>prominent investors</w:t>
      </w:r>
      <w:r w:rsidRPr="00D50002">
        <w:rPr>
          <w:rFonts w:asciiTheme="majorBidi" w:hAnsiTheme="majorBidi" w:cstheme="majorBidi"/>
          <w:sz w:val="24"/>
          <w:szCs w:val="24"/>
        </w:rPr>
        <w:t xml:space="preserve"> in this field in 2022 included Insight Partners and Capital Nature with seven investments each, followed by </w:t>
      </w:r>
      <w:proofErr w:type="spellStart"/>
      <w:r w:rsidRPr="00D50002">
        <w:rPr>
          <w:rFonts w:asciiTheme="majorBidi" w:hAnsiTheme="majorBidi" w:cstheme="majorBidi"/>
          <w:sz w:val="24"/>
          <w:szCs w:val="24"/>
        </w:rPr>
        <w:t>OurCrowd</w:t>
      </w:r>
      <w:proofErr w:type="spellEnd"/>
      <w:r w:rsidRPr="00D50002">
        <w:rPr>
          <w:rFonts w:asciiTheme="majorBidi" w:hAnsiTheme="majorBidi" w:cstheme="majorBidi"/>
          <w:sz w:val="24"/>
          <w:szCs w:val="24"/>
        </w:rPr>
        <w:t xml:space="preserve"> and </w:t>
      </w:r>
      <w:proofErr w:type="spellStart"/>
      <w:r w:rsidRPr="00D50002">
        <w:rPr>
          <w:rFonts w:asciiTheme="majorBidi" w:hAnsiTheme="majorBidi" w:cstheme="majorBidi"/>
          <w:sz w:val="24"/>
          <w:szCs w:val="24"/>
        </w:rPr>
        <w:t>Mobilitech</w:t>
      </w:r>
      <w:proofErr w:type="spellEnd"/>
      <w:r w:rsidRPr="00D50002">
        <w:rPr>
          <w:rFonts w:asciiTheme="majorBidi" w:hAnsiTheme="majorBidi" w:cstheme="majorBidi"/>
          <w:sz w:val="24"/>
          <w:szCs w:val="24"/>
        </w:rPr>
        <w:t xml:space="preserve"> Capital with six investments each, and </w:t>
      </w:r>
      <w:proofErr w:type="spellStart"/>
      <w:r w:rsidRPr="00D50002">
        <w:rPr>
          <w:rFonts w:asciiTheme="majorBidi" w:hAnsiTheme="majorBidi" w:cstheme="majorBidi"/>
          <w:sz w:val="24"/>
          <w:szCs w:val="24"/>
        </w:rPr>
        <w:t>Pitango</w:t>
      </w:r>
      <w:proofErr w:type="spellEnd"/>
      <w:r w:rsidRPr="00D50002">
        <w:rPr>
          <w:rFonts w:asciiTheme="majorBidi" w:hAnsiTheme="majorBidi" w:cstheme="majorBidi"/>
          <w:sz w:val="24"/>
          <w:szCs w:val="24"/>
        </w:rPr>
        <w:t xml:space="preserve"> VC with five investments.</w:t>
      </w:r>
    </w:p>
    <w:p w14:paraId="0000014E" w14:textId="77777777" w:rsidR="00517271" w:rsidRPr="00D50002" w:rsidRDefault="00517271" w:rsidP="00CC1E32">
      <w:pPr>
        <w:bidi/>
        <w:spacing w:after="120" w:line="360" w:lineRule="auto"/>
        <w:jc w:val="both"/>
        <w:rPr>
          <w:rFonts w:asciiTheme="majorBidi" w:eastAsia="Assistant" w:hAnsiTheme="majorBidi" w:cstheme="majorBidi"/>
          <w:sz w:val="24"/>
          <w:szCs w:val="24"/>
          <w:u w:val="single"/>
        </w:rPr>
      </w:pPr>
    </w:p>
    <w:p w14:paraId="0000014F" w14:textId="2C7A4175"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This year there were a total of five </w:t>
      </w:r>
      <w:r w:rsidRPr="00D50002">
        <w:rPr>
          <w:rFonts w:asciiTheme="majorBidi" w:hAnsiTheme="majorBidi" w:cstheme="majorBidi"/>
          <w:b/>
          <w:bCs/>
          <w:sz w:val="24"/>
          <w:szCs w:val="24"/>
        </w:rPr>
        <w:t>exits</w:t>
      </w:r>
      <w:r w:rsidRPr="00D50002">
        <w:rPr>
          <w:rFonts w:asciiTheme="majorBidi" w:hAnsiTheme="majorBidi" w:cstheme="majorBidi"/>
          <w:sz w:val="24"/>
          <w:szCs w:val="24"/>
        </w:rPr>
        <w:t xml:space="preserve">, with the most notable of them being the sale of </w:t>
      </w:r>
      <w:proofErr w:type="spellStart"/>
      <w:r w:rsidRPr="00D50002">
        <w:rPr>
          <w:rFonts w:asciiTheme="majorBidi" w:hAnsiTheme="majorBidi" w:cstheme="majorBidi"/>
          <w:sz w:val="24"/>
          <w:szCs w:val="24"/>
        </w:rPr>
        <w:t>Seebo</w:t>
      </w:r>
      <w:proofErr w:type="spellEnd"/>
      <w:r w:rsidRPr="00D50002">
        <w:rPr>
          <w:rFonts w:asciiTheme="majorBidi" w:hAnsiTheme="majorBidi" w:cstheme="majorBidi"/>
          <w:sz w:val="24"/>
          <w:szCs w:val="24"/>
        </w:rPr>
        <w:t xml:space="preserve"> by the Israeli startup Augury for a sum of USD 100 million.</w:t>
      </w:r>
    </w:p>
    <w:p w14:paraId="6B8D8D32" w14:textId="77777777" w:rsidR="00504CF6" w:rsidRPr="00D50002" w:rsidRDefault="00504CF6"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br w:type="page"/>
      </w:r>
    </w:p>
    <w:p w14:paraId="00000150" w14:textId="66E13522" w:rsidR="00517271" w:rsidRPr="00D50002" w:rsidRDefault="00591251" w:rsidP="00CC1E32">
      <w:pPr>
        <w:pStyle w:val="Heading1"/>
        <w:spacing w:line="360" w:lineRule="auto"/>
        <w:jc w:val="both"/>
        <w:rPr>
          <w:rFonts w:asciiTheme="majorBidi" w:hAnsiTheme="majorBidi" w:cstheme="majorBidi"/>
          <w:sz w:val="40"/>
        </w:rPr>
      </w:pPr>
      <w:r>
        <w:rPr>
          <w:rFonts w:asciiTheme="majorBidi" w:hAnsiTheme="majorBidi" w:cstheme="majorBidi"/>
          <w:sz w:val="40"/>
        </w:rPr>
        <w:lastRenderedPageBreak/>
        <w:t>A</w:t>
      </w:r>
      <w:r w:rsidR="00DB550E" w:rsidRPr="00D50002">
        <w:rPr>
          <w:rFonts w:asciiTheme="majorBidi" w:hAnsiTheme="majorBidi" w:cstheme="majorBidi"/>
          <w:sz w:val="40"/>
        </w:rPr>
        <w:t>ppendices</w:t>
      </w:r>
    </w:p>
    <w:p w14:paraId="00000152" w14:textId="2E5EFCB8" w:rsidR="00517271" w:rsidRPr="00D50002" w:rsidRDefault="00B7638C" w:rsidP="00CC1E32">
      <w:pPr>
        <w:spacing w:after="120" w:line="360" w:lineRule="auto"/>
        <w:jc w:val="both"/>
        <w:rPr>
          <w:rFonts w:asciiTheme="majorBidi" w:eastAsia="Assistant" w:hAnsiTheme="majorBidi" w:cstheme="majorBidi"/>
          <w:sz w:val="24"/>
          <w:szCs w:val="24"/>
          <w:u w:val="single"/>
        </w:rPr>
      </w:pPr>
      <w:r w:rsidRPr="00D50002">
        <w:rPr>
          <w:rFonts w:asciiTheme="majorBidi" w:hAnsiTheme="majorBidi" w:cstheme="majorBidi"/>
          <w:sz w:val="24"/>
          <w:szCs w:val="24"/>
          <w:u w:val="single"/>
        </w:rPr>
        <w:t xml:space="preserve">Appendix 1 – The Impact on the Startups of the Decrease in the Number of Funding Rounds </w:t>
      </w:r>
    </w:p>
    <w:p w14:paraId="00000154"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 xml:space="preserve">The table below sums up the difference between the expected and the actual number of funding rounds in each age-group, as of the date of the data retrieval. The first point that clearly emerges from the table above is that despite the limited number of funding rounds in H2 2022, the number of startups that engaged in Round A funding among all the age-groups is still identical or higher in comparison to previous years. This is evidently due to the large number of funding rounds in these age-groups in the three half-years, H121 to H222. </w:t>
      </w:r>
    </w:p>
    <w:p w14:paraId="00000155"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tbl>
      <w:tblPr>
        <w:tblStyle w:val="a0"/>
        <w:tblW w:w="5802" w:type="dxa"/>
        <w:tblBorders>
          <w:top w:val="nil"/>
          <w:left w:val="nil"/>
          <w:bottom w:val="nil"/>
          <w:right w:val="nil"/>
          <w:insideH w:val="nil"/>
          <w:insideV w:val="nil"/>
        </w:tblBorders>
        <w:tblLayout w:type="fixed"/>
        <w:tblLook w:val="0600" w:firstRow="0" w:lastRow="0" w:firstColumn="0" w:lastColumn="0" w:noHBand="1" w:noVBand="1"/>
      </w:tblPr>
      <w:tblGrid>
        <w:gridCol w:w="1266"/>
        <w:gridCol w:w="1276"/>
        <w:gridCol w:w="1005"/>
        <w:gridCol w:w="960"/>
        <w:gridCol w:w="1295"/>
      </w:tblGrid>
      <w:tr w:rsidR="00517271" w:rsidRPr="00D50002" w14:paraId="28303D20" w14:textId="77777777" w:rsidTr="0005402E">
        <w:trPr>
          <w:trHeight w:val="485"/>
        </w:trPr>
        <w:tc>
          <w:tcPr>
            <w:tcW w:w="126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56"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Seed year</w:t>
            </w:r>
          </w:p>
        </w:tc>
        <w:tc>
          <w:tcPr>
            <w:tcW w:w="1276" w:type="dxa"/>
            <w:vMerge w:val="restart"/>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0000157"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Number of</w:t>
            </w:r>
          </w:p>
          <w:p w14:paraId="00000158" w14:textId="77777777" w:rsidR="00517271" w:rsidRPr="00D50002" w:rsidRDefault="00DB550E"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sz w:val="24"/>
                <w:szCs w:val="24"/>
              </w:rPr>
              <w:t>companies</w:t>
            </w:r>
          </w:p>
        </w:tc>
        <w:tc>
          <w:tcPr>
            <w:tcW w:w="3260" w:type="dxa"/>
            <w:gridSpan w:val="3"/>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0000159" w14:textId="77777777"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Of which raised Round A funding by the end of 2022</w:t>
            </w:r>
          </w:p>
        </w:tc>
      </w:tr>
      <w:tr w:rsidR="00517271" w:rsidRPr="00D50002" w14:paraId="5DA5B7D6" w14:textId="77777777" w:rsidTr="0005402E">
        <w:trPr>
          <w:trHeight w:val="455"/>
        </w:trPr>
        <w:tc>
          <w:tcPr>
            <w:tcW w:w="126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0000015C" w14:textId="77777777" w:rsidR="00517271" w:rsidRPr="00D50002" w:rsidRDefault="00517271" w:rsidP="00CC1E32">
            <w:pPr>
              <w:bidi/>
              <w:spacing w:after="120" w:line="360" w:lineRule="auto"/>
              <w:jc w:val="both"/>
              <w:rPr>
                <w:rFonts w:asciiTheme="majorBidi" w:hAnsiTheme="majorBidi" w:cstheme="majorBidi"/>
                <w:sz w:val="24"/>
                <w:szCs w:val="24"/>
              </w:rPr>
            </w:pPr>
          </w:p>
        </w:tc>
        <w:tc>
          <w:tcPr>
            <w:tcW w:w="1276" w:type="dxa"/>
            <w:vMerge/>
            <w:tcBorders>
              <w:bottom w:val="single" w:sz="8" w:space="0" w:color="000000"/>
              <w:right w:val="nil"/>
            </w:tcBorders>
            <w:shd w:val="clear" w:color="auto" w:fill="auto"/>
            <w:tcMar>
              <w:top w:w="100" w:type="dxa"/>
              <w:left w:w="100" w:type="dxa"/>
              <w:bottom w:w="100" w:type="dxa"/>
              <w:right w:w="100" w:type="dxa"/>
            </w:tcMar>
          </w:tcPr>
          <w:p w14:paraId="0000015D" w14:textId="77777777" w:rsidR="00517271" w:rsidRPr="00D50002" w:rsidRDefault="00517271" w:rsidP="00CC1E32">
            <w:pPr>
              <w:bidi/>
              <w:spacing w:after="120" w:line="360" w:lineRule="auto"/>
              <w:jc w:val="both"/>
              <w:rPr>
                <w:rFonts w:asciiTheme="majorBidi" w:hAnsiTheme="majorBidi" w:cstheme="majorBidi"/>
                <w:sz w:val="24"/>
                <w:szCs w:val="24"/>
              </w:rPr>
            </w:pP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5E" w14:textId="77777777"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Model</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5F" w14:textId="77777777"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Actual</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0" w14:textId="77777777" w:rsidR="00517271" w:rsidRPr="00D50002" w:rsidRDefault="00DB550E"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Difference</w:t>
            </w:r>
          </w:p>
        </w:tc>
      </w:tr>
      <w:tr w:rsidR="00517271" w:rsidRPr="00D50002" w14:paraId="398A63F6" w14:textId="77777777" w:rsidTr="0005402E">
        <w:trPr>
          <w:trHeight w:val="485"/>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1"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2014</w:t>
            </w:r>
          </w:p>
        </w:tc>
        <w:tc>
          <w:tcPr>
            <w:tcW w:w="127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2"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299</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3"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117.1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4"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109</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5"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-7%</w:t>
            </w:r>
          </w:p>
        </w:tc>
      </w:tr>
      <w:tr w:rsidR="00517271" w:rsidRPr="00D50002" w14:paraId="0D299855" w14:textId="77777777" w:rsidTr="0005402E">
        <w:trPr>
          <w:trHeight w:val="485"/>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6"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2015</w:t>
            </w:r>
          </w:p>
        </w:tc>
        <w:tc>
          <w:tcPr>
            <w:tcW w:w="127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7"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380</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8"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146.2</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9"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149</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A"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w:t>
            </w:r>
          </w:p>
        </w:tc>
      </w:tr>
      <w:tr w:rsidR="00517271" w:rsidRPr="00D50002" w14:paraId="0FC59EB1" w14:textId="77777777" w:rsidTr="0005402E">
        <w:trPr>
          <w:trHeight w:val="485"/>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6B"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2016</w:t>
            </w:r>
          </w:p>
        </w:tc>
        <w:tc>
          <w:tcPr>
            <w:tcW w:w="127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C"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356</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D"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133.4</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E"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135</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6F"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w:t>
            </w:r>
          </w:p>
        </w:tc>
      </w:tr>
      <w:tr w:rsidR="00517271" w:rsidRPr="00D50002" w14:paraId="2B65AD6A" w14:textId="77777777" w:rsidTr="0005402E">
        <w:trPr>
          <w:trHeight w:val="485"/>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0"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2017</w:t>
            </w:r>
          </w:p>
        </w:tc>
        <w:tc>
          <w:tcPr>
            <w:tcW w:w="127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1"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328</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2"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117.9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3"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119</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4"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w:t>
            </w:r>
          </w:p>
        </w:tc>
      </w:tr>
      <w:tr w:rsidR="00517271" w:rsidRPr="00D50002" w14:paraId="76BA8F6D" w14:textId="77777777" w:rsidTr="0005402E">
        <w:trPr>
          <w:trHeight w:val="485"/>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5"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2018</w:t>
            </w:r>
          </w:p>
        </w:tc>
        <w:tc>
          <w:tcPr>
            <w:tcW w:w="127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6"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373</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7"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125.1</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8"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117</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9"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-6%</w:t>
            </w:r>
          </w:p>
        </w:tc>
      </w:tr>
      <w:tr w:rsidR="00517271" w:rsidRPr="00D50002" w14:paraId="6E1D3338" w14:textId="77777777" w:rsidTr="0005402E">
        <w:trPr>
          <w:trHeight w:val="485"/>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A"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2019</w:t>
            </w:r>
          </w:p>
        </w:tc>
        <w:tc>
          <w:tcPr>
            <w:tcW w:w="127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B"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330</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C"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97.0</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D"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108</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7E"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11%</w:t>
            </w:r>
          </w:p>
        </w:tc>
      </w:tr>
      <w:tr w:rsidR="00517271" w:rsidRPr="00D50002" w14:paraId="7142D776" w14:textId="77777777" w:rsidTr="0005402E">
        <w:trPr>
          <w:trHeight w:val="485"/>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7F"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2020</w:t>
            </w:r>
          </w:p>
        </w:tc>
        <w:tc>
          <w:tcPr>
            <w:tcW w:w="127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0"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275</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1"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61.9</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2"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81</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3"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31%</w:t>
            </w:r>
          </w:p>
        </w:tc>
      </w:tr>
      <w:tr w:rsidR="00517271" w:rsidRPr="00D50002" w14:paraId="2C50CE44" w14:textId="77777777" w:rsidTr="0005402E">
        <w:trPr>
          <w:trHeight w:val="485"/>
        </w:trPr>
        <w:tc>
          <w:tcPr>
            <w:tcW w:w="12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184"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2021</w:t>
            </w:r>
          </w:p>
        </w:tc>
        <w:tc>
          <w:tcPr>
            <w:tcW w:w="1276"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5"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296</w:t>
            </w:r>
          </w:p>
        </w:tc>
        <w:tc>
          <w:tcPr>
            <w:tcW w:w="100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6"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36.3</w:t>
            </w:r>
          </w:p>
        </w:tc>
        <w:tc>
          <w:tcPr>
            <w:tcW w:w="960"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7"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55</w:t>
            </w:r>
          </w:p>
        </w:tc>
        <w:tc>
          <w:tcPr>
            <w:tcW w:w="1295"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000188" w14:textId="77777777" w:rsidR="00517271" w:rsidRPr="00D50002" w:rsidRDefault="00DB550E" w:rsidP="00CC1E32">
            <w:pPr>
              <w:spacing w:after="120" w:line="360" w:lineRule="auto"/>
              <w:jc w:val="both"/>
              <w:rPr>
                <w:rFonts w:asciiTheme="majorBidi" w:eastAsia="Calibri" w:hAnsiTheme="majorBidi" w:cstheme="majorBidi"/>
                <w:sz w:val="24"/>
                <w:szCs w:val="24"/>
              </w:rPr>
            </w:pPr>
            <w:r w:rsidRPr="00D50002">
              <w:rPr>
                <w:rFonts w:asciiTheme="majorBidi" w:hAnsiTheme="majorBidi" w:cstheme="majorBidi"/>
                <w:sz w:val="24"/>
                <w:szCs w:val="24"/>
              </w:rPr>
              <w:t>52%</w:t>
            </w:r>
          </w:p>
        </w:tc>
      </w:tr>
    </w:tbl>
    <w:p w14:paraId="0000018B" w14:textId="306EB8A4" w:rsidR="00517271" w:rsidRPr="00D50002" w:rsidRDefault="00DB550E" w:rsidP="00CC1E32">
      <w:pPr>
        <w:spacing w:after="120" w:line="360" w:lineRule="auto"/>
        <w:jc w:val="both"/>
        <w:rPr>
          <w:rFonts w:asciiTheme="majorBidi" w:eastAsia="Assistant" w:hAnsiTheme="majorBidi" w:cstheme="majorBidi"/>
          <w:sz w:val="24"/>
          <w:szCs w:val="24"/>
        </w:rPr>
      </w:pPr>
      <w:bookmarkStart w:id="35" w:name="OLE_LINK1"/>
      <w:r w:rsidRPr="00D50002">
        <w:rPr>
          <w:rFonts w:asciiTheme="majorBidi" w:hAnsiTheme="majorBidi" w:cstheme="majorBidi"/>
          <w:sz w:val="24"/>
          <w:szCs w:val="24"/>
        </w:rPr>
        <w:lastRenderedPageBreak/>
        <w:t>A cumulative amount of funding rounds according to time for companies raising funds in seed rounds in 2014–2017 (the population upon which the model was evaluated)</w:t>
      </w:r>
    </w:p>
    <w:bookmarkEnd w:id="35"/>
    <w:p w14:paraId="0000018C" w14:textId="4CFC878F" w:rsidR="00517271" w:rsidRPr="00D50002" w:rsidRDefault="00504CF6"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anchor distT="114300" distB="114300" distL="114300" distR="114300" simplePos="0" relativeHeight="251665408" behindDoc="0" locked="0" layoutInCell="1" hidden="0" allowOverlap="1" wp14:anchorId="19DC4B4B" wp14:editId="08752A40">
            <wp:simplePos x="0" y="0"/>
            <wp:positionH relativeFrom="column">
              <wp:posOffset>-533400</wp:posOffset>
            </wp:positionH>
            <wp:positionV relativeFrom="paragraph">
              <wp:posOffset>153670</wp:posOffset>
            </wp:positionV>
            <wp:extent cx="3311525" cy="2039831"/>
            <wp:effectExtent l="0" t="0" r="3175" b="5080"/>
            <wp:wrapNone/>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1"/>
                    <a:srcRect/>
                    <a:stretch>
                      <a:fillRect/>
                    </a:stretch>
                  </pic:blipFill>
                  <pic:spPr>
                    <a:xfrm>
                      <a:off x="0" y="0"/>
                      <a:ext cx="3311525" cy="2039831"/>
                    </a:xfrm>
                    <a:prstGeom prst="rect">
                      <a:avLst/>
                    </a:prstGeom>
                    <a:ln/>
                  </pic:spPr>
                </pic:pic>
              </a:graphicData>
            </a:graphic>
            <wp14:sizeRelH relativeFrom="margin">
              <wp14:pctWidth>0</wp14:pctWidth>
            </wp14:sizeRelH>
          </wp:anchor>
        </w:drawing>
      </w:r>
      <w:r w:rsidRPr="00D50002">
        <w:rPr>
          <w:rFonts w:asciiTheme="majorBidi" w:hAnsiTheme="majorBidi" w:cstheme="majorBidi"/>
          <w:noProof/>
          <w:sz w:val="24"/>
          <w:szCs w:val="24"/>
        </w:rPr>
        <w:drawing>
          <wp:anchor distT="114300" distB="114300" distL="114300" distR="114300" simplePos="0" relativeHeight="251666432" behindDoc="0" locked="0" layoutInCell="1" hidden="0" allowOverlap="1" wp14:anchorId="665AC32E" wp14:editId="731431F5">
            <wp:simplePos x="0" y="0"/>
            <wp:positionH relativeFrom="column">
              <wp:posOffset>3199977</wp:posOffset>
            </wp:positionH>
            <wp:positionV relativeFrom="paragraph">
              <wp:posOffset>153459</wp:posOffset>
            </wp:positionV>
            <wp:extent cx="3295862" cy="2031789"/>
            <wp:effectExtent l="0" t="0" r="0" b="635"/>
            <wp:wrapNone/>
            <wp:docPr id="4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2"/>
                    <a:srcRect/>
                    <a:stretch>
                      <a:fillRect/>
                    </a:stretch>
                  </pic:blipFill>
                  <pic:spPr>
                    <a:xfrm>
                      <a:off x="0" y="0"/>
                      <a:ext cx="3295862" cy="2031789"/>
                    </a:xfrm>
                    <a:prstGeom prst="rect">
                      <a:avLst/>
                    </a:prstGeom>
                    <a:ln/>
                  </pic:spPr>
                </pic:pic>
              </a:graphicData>
            </a:graphic>
            <wp14:sizeRelH relativeFrom="margin">
              <wp14:pctWidth>0</wp14:pctWidth>
            </wp14:sizeRelH>
          </wp:anchor>
        </w:drawing>
      </w:r>
    </w:p>
    <w:p w14:paraId="0000018D"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8E"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8F"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0"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1"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2"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3"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4"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5"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6" w14:textId="7DDD64C9"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7" w14:textId="4C36A20E" w:rsidR="00517271" w:rsidRPr="00D50002" w:rsidRDefault="00504CF6"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anchor distT="114300" distB="114300" distL="114300" distR="114300" simplePos="0" relativeHeight="251667456" behindDoc="0" locked="0" layoutInCell="1" hidden="0" allowOverlap="1" wp14:anchorId="3DFDD9E7" wp14:editId="485589C1">
            <wp:simplePos x="0" y="0"/>
            <wp:positionH relativeFrom="column">
              <wp:posOffset>-516255</wp:posOffset>
            </wp:positionH>
            <wp:positionV relativeFrom="paragraph">
              <wp:posOffset>114300</wp:posOffset>
            </wp:positionV>
            <wp:extent cx="3293745" cy="1982470"/>
            <wp:effectExtent l="0" t="0" r="0" b="0"/>
            <wp:wrapNone/>
            <wp:docPr id="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3293745" cy="1982470"/>
                    </a:xfrm>
                    <a:prstGeom prst="rect">
                      <a:avLst/>
                    </a:prstGeom>
                    <a:ln/>
                  </pic:spPr>
                </pic:pic>
              </a:graphicData>
            </a:graphic>
          </wp:anchor>
        </w:drawing>
      </w:r>
      <w:r w:rsidRPr="00D50002">
        <w:rPr>
          <w:rFonts w:asciiTheme="majorBidi" w:hAnsiTheme="majorBidi" w:cstheme="majorBidi"/>
          <w:noProof/>
          <w:sz w:val="24"/>
          <w:szCs w:val="24"/>
        </w:rPr>
        <w:drawing>
          <wp:anchor distT="114300" distB="114300" distL="114300" distR="114300" simplePos="0" relativeHeight="251668480" behindDoc="0" locked="0" layoutInCell="1" hidden="0" allowOverlap="1" wp14:anchorId="001E481D" wp14:editId="55CAFD93">
            <wp:simplePos x="0" y="0"/>
            <wp:positionH relativeFrom="column">
              <wp:posOffset>3199977</wp:posOffset>
            </wp:positionH>
            <wp:positionV relativeFrom="paragraph">
              <wp:posOffset>111125</wp:posOffset>
            </wp:positionV>
            <wp:extent cx="3244004" cy="1982470"/>
            <wp:effectExtent l="0" t="0" r="0" b="0"/>
            <wp:wrapNone/>
            <wp:docPr id="56"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4"/>
                    <a:srcRect/>
                    <a:stretch>
                      <a:fillRect/>
                    </a:stretch>
                  </pic:blipFill>
                  <pic:spPr>
                    <a:xfrm>
                      <a:off x="0" y="0"/>
                      <a:ext cx="3244004" cy="1982470"/>
                    </a:xfrm>
                    <a:prstGeom prst="rect">
                      <a:avLst/>
                    </a:prstGeom>
                    <a:ln/>
                  </pic:spPr>
                </pic:pic>
              </a:graphicData>
            </a:graphic>
            <wp14:sizeRelH relativeFrom="margin">
              <wp14:pctWidth>0</wp14:pctWidth>
            </wp14:sizeRelH>
            <wp14:sizeRelV relativeFrom="margin">
              <wp14:pctHeight>0</wp14:pctHeight>
            </wp14:sizeRelV>
          </wp:anchor>
        </w:drawing>
      </w:r>
    </w:p>
    <w:p w14:paraId="00000198"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9"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A"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B"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C"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D"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E"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9F"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A0"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A1" w14:textId="77777777" w:rsidR="00517271" w:rsidRPr="00D50002" w:rsidRDefault="00517271" w:rsidP="00CC1E32">
      <w:pPr>
        <w:bidi/>
        <w:spacing w:after="120" w:line="360" w:lineRule="auto"/>
        <w:jc w:val="both"/>
        <w:rPr>
          <w:rFonts w:asciiTheme="majorBidi" w:eastAsia="Assistant" w:hAnsiTheme="majorBidi" w:cstheme="majorBidi"/>
          <w:sz w:val="24"/>
          <w:szCs w:val="24"/>
        </w:rPr>
      </w:pPr>
    </w:p>
    <w:p w14:paraId="000001A6" w14:textId="26BF6504" w:rsidR="00517271" w:rsidRPr="00D50002" w:rsidRDefault="00517271" w:rsidP="00CC1E32">
      <w:pPr>
        <w:bidi/>
        <w:spacing w:after="120" w:line="360" w:lineRule="auto"/>
        <w:jc w:val="both"/>
        <w:rPr>
          <w:rFonts w:asciiTheme="majorBidi" w:eastAsia="Assistant" w:hAnsiTheme="majorBidi" w:cstheme="majorBidi"/>
          <w:sz w:val="24"/>
          <w:szCs w:val="24"/>
        </w:rPr>
      </w:pPr>
    </w:p>
    <w:p w14:paraId="63CBE2FC" w14:textId="384E6B29" w:rsidR="00504CF6" w:rsidRPr="00D50002" w:rsidRDefault="00504CF6"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A cumulative amount of funding rounds according to time for companies raising funds in seed rounds in 2018–2021 (out-of-sample)</w:t>
      </w:r>
    </w:p>
    <w:p w14:paraId="03A3B40F" w14:textId="2DA9F0B4" w:rsidR="00504CF6" w:rsidRPr="00D50002" w:rsidRDefault="00D156C5" w:rsidP="00CC1E32">
      <w:pPr>
        <w:spacing w:after="120" w:line="360" w:lineRule="auto"/>
        <w:jc w:val="both"/>
        <w:rPr>
          <w:rFonts w:asciiTheme="majorBidi" w:eastAsia="Assistant" w:hAnsiTheme="majorBidi" w:cstheme="majorBidi"/>
          <w:sz w:val="24"/>
          <w:szCs w:val="24"/>
        </w:rPr>
      </w:pPr>
      <w:r w:rsidRPr="00D50002">
        <w:rPr>
          <w:rFonts w:asciiTheme="majorBidi" w:hAnsiTheme="majorBidi" w:cstheme="majorBidi"/>
          <w:noProof/>
          <w:sz w:val="24"/>
          <w:szCs w:val="24"/>
        </w:rPr>
        <w:drawing>
          <wp:anchor distT="114300" distB="114300" distL="114300" distR="114300" simplePos="0" relativeHeight="251670528" behindDoc="0" locked="0" layoutInCell="1" hidden="0" allowOverlap="1" wp14:anchorId="35EFA1B0" wp14:editId="4C91D184">
            <wp:simplePos x="0" y="0"/>
            <wp:positionH relativeFrom="column">
              <wp:posOffset>-295910</wp:posOffset>
            </wp:positionH>
            <wp:positionV relativeFrom="paragraph">
              <wp:posOffset>71755</wp:posOffset>
            </wp:positionV>
            <wp:extent cx="3028950" cy="2167255"/>
            <wp:effectExtent l="0" t="0" r="0" b="4445"/>
            <wp:wrapNone/>
            <wp:docPr id="5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5"/>
                    <a:srcRect/>
                    <a:stretch>
                      <a:fillRect/>
                    </a:stretch>
                  </pic:blipFill>
                  <pic:spPr>
                    <a:xfrm>
                      <a:off x="0" y="0"/>
                      <a:ext cx="3028950" cy="2167255"/>
                    </a:xfrm>
                    <a:prstGeom prst="rect">
                      <a:avLst/>
                    </a:prstGeom>
                    <a:ln/>
                  </pic:spPr>
                </pic:pic>
              </a:graphicData>
            </a:graphic>
            <wp14:sizeRelH relativeFrom="margin">
              <wp14:pctWidth>0</wp14:pctWidth>
            </wp14:sizeRelH>
            <wp14:sizeRelV relativeFrom="margin">
              <wp14:pctHeight>0</wp14:pctHeight>
            </wp14:sizeRelV>
          </wp:anchor>
        </w:drawing>
      </w:r>
      <w:r w:rsidRPr="00D50002">
        <w:rPr>
          <w:rFonts w:asciiTheme="majorBidi" w:hAnsiTheme="majorBidi" w:cstheme="majorBidi"/>
          <w:noProof/>
          <w:sz w:val="24"/>
          <w:szCs w:val="24"/>
        </w:rPr>
        <w:drawing>
          <wp:anchor distT="114300" distB="114300" distL="114300" distR="114300" simplePos="0" relativeHeight="251669504" behindDoc="0" locked="0" layoutInCell="1" hidden="0" allowOverlap="1" wp14:anchorId="24007CBD" wp14:editId="1871BECB">
            <wp:simplePos x="0" y="0"/>
            <wp:positionH relativeFrom="column">
              <wp:posOffset>3028315</wp:posOffset>
            </wp:positionH>
            <wp:positionV relativeFrom="paragraph">
              <wp:posOffset>67945</wp:posOffset>
            </wp:positionV>
            <wp:extent cx="3310996" cy="2237651"/>
            <wp:effectExtent l="0" t="0" r="0" b="0"/>
            <wp:wrapNone/>
            <wp:docPr id="65"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6"/>
                    <a:srcRect/>
                    <a:stretch>
                      <a:fillRect/>
                    </a:stretch>
                  </pic:blipFill>
                  <pic:spPr>
                    <a:xfrm>
                      <a:off x="0" y="0"/>
                      <a:ext cx="3310996" cy="2237651"/>
                    </a:xfrm>
                    <a:prstGeom prst="rect">
                      <a:avLst/>
                    </a:prstGeom>
                    <a:ln/>
                  </pic:spPr>
                </pic:pic>
              </a:graphicData>
            </a:graphic>
          </wp:anchor>
        </w:drawing>
      </w:r>
    </w:p>
    <w:p w14:paraId="51333070" w14:textId="39A94844" w:rsidR="00504CF6" w:rsidRPr="00D50002" w:rsidRDefault="00504CF6" w:rsidP="00CC1E32">
      <w:pPr>
        <w:bidi/>
        <w:spacing w:after="120" w:line="360" w:lineRule="auto"/>
        <w:jc w:val="both"/>
        <w:rPr>
          <w:rFonts w:asciiTheme="majorBidi" w:hAnsiTheme="majorBidi" w:cstheme="majorBidi"/>
          <w:sz w:val="24"/>
          <w:szCs w:val="24"/>
        </w:rPr>
      </w:pPr>
    </w:p>
    <w:p w14:paraId="36A5B5CF" w14:textId="78747DE2" w:rsidR="00504CF6" w:rsidRPr="00D50002" w:rsidRDefault="00504CF6" w:rsidP="00CC1E32">
      <w:pPr>
        <w:bidi/>
        <w:spacing w:after="120" w:line="360" w:lineRule="auto"/>
        <w:jc w:val="both"/>
        <w:rPr>
          <w:rFonts w:asciiTheme="majorBidi" w:hAnsiTheme="majorBidi" w:cstheme="majorBidi"/>
          <w:sz w:val="24"/>
          <w:szCs w:val="24"/>
        </w:rPr>
      </w:pPr>
    </w:p>
    <w:p w14:paraId="57AAB5F1" w14:textId="77777777" w:rsidR="00D156C5" w:rsidRPr="00D50002" w:rsidRDefault="00D156C5"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br w:type="page"/>
      </w:r>
    </w:p>
    <w:p w14:paraId="000001A7" w14:textId="36321B85" w:rsidR="00517271" w:rsidRPr="00D50002" w:rsidRDefault="00D156C5" w:rsidP="00CC1E32">
      <w:pPr>
        <w:spacing w:after="120" w:line="360" w:lineRule="auto"/>
        <w:jc w:val="both"/>
        <w:rPr>
          <w:rFonts w:asciiTheme="majorBidi" w:hAnsiTheme="majorBidi" w:cstheme="majorBidi"/>
          <w:sz w:val="24"/>
          <w:szCs w:val="24"/>
        </w:rPr>
      </w:pPr>
      <w:r w:rsidRPr="00D50002">
        <w:rPr>
          <w:rFonts w:asciiTheme="majorBidi" w:hAnsiTheme="majorBidi" w:cstheme="majorBidi"/>
          <w:noProof/>
          <w:sz w:val="24"/>
          <w:szCs w:val="24"/>
        </w:rPr>
        <w:lastRenderedPageBreak/>
        <w:drawing>
          <wp:anchor distT="114300" distB="114300" distL="114300" distR="114300" simplePos="0" relativeHeight="251671552" behindDoc="0" locked="0" layoutInCell="1" hidden="0" allowOverlap="1" wp14:anchorId="29D7C504" wp14:editId="4BED647B">
            <wp:simplePos x="0" y="0"/>
            <wp:positionH relativeFrom="column">
              <wp:posOffset>-334645</wp:posOffset>
            </wp:positionH>
            <wp:positionV relativeFrom="paragraph">
              <wp:posOffset>-123190</wp:posOffset>
            </wp:positionV>
            <wp:extent cx="3028950" cy="2171700"/>
            <wp:effectExtent l="0" t="0" r="0" b="0"/>
            <wp:wrapNone/>
            <wp:docPr id="4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7"/>
                    <a:srcRect/>
                    <a:stretch>
                      <a:fillRect/>
                    </a:stretch>
                  </pic:blipFill>
                  <pic:spPr>
                    <a:xfrm>
                      <a:off x="0" y="0"/>
                      <a:ext cx="3028950" cy="2171700"/>
                    </a:xfrm>
                    <a:prstGeom prst="rect">
                      <a:avLst/>
                    </a:prstGeom>
                    <a:ln/>
                  </pic:spPr>
                </pic:pic>
              </a:graphicData>
            </a:graphic>
          </wp:anchor>
        </w:drawing>
      </w:r>
      <w:r w:rsidRPr="00D50002">
        <w:rPr>
          <w:rFonts w:asciiTheme="majorBidi" w:hAnsiTheme="majorBidi" w:cstheme="majorBidi"/>
          <w:noProof/>
          <w:sz w:val="24"/>
          <w:szCs w:val="24"/>
        </w:rPr>
        <w:drawing>
          <wp:anchor distT="114300" distB="114300" distL="114300" distR="114300" simplePos="0" relativeHeight="251672576" behindDoc="0" locked="0" layoutInCell="1" hidden="0" allowOverlap="1" wp14:anchorId="0ABA5E8A" wp14:editId="6E237D59">
            <wp:simplePos x="0" y="0"/>
            <wp:positionH relativeFrom="column">
              <wp:posOffset>3071495</wp:posOffset>
            </wp:positionH>
            <wp:positionV relativeFrom="paragraph">
              <wp:posOffset>-101600</wp:posOffset>
            </wp:positionV>
            <wp:extent cx="3310890" cy="2143125"/>
            <wp:effectExtent l="0" t="0" r="0" b="0"/>
            <wp:wrapNone/>
            <wp:docPr id="5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8"/>
                    <a:srcRect/>
                    <a:stretch>
                      <a:fillRect/>
                    </a:stretch>
                  </pic:blipFill>
                  <pic:spPr>
                    <a:xfrm>
                      <a:off x="0" y="0"/>
                      <a:ext cx="3310890" cy="2143125"/>
                    </a:xfrm>
                    <a:prstGeom prst="rect">
                      <a:avLst/>
                    </a:prstGeom>
                    <a:ln/>
                  </pic:spPr>
                </pic:pic>
              </a:graphicData>
            </a:graphic>
          </wp:anchor>
        </w:drawing>
      </w:r>
      <w:proofErr w:type="spellStart"/>
      <w:r w:rsidRPr="00D50002">
        <w:rPr>
          <w:rFonts w:asciiTheme="majorBidi" w:hAnsiTheme="majorBidi" w:cstheme="majorBidi"/>
          <w:sz w:val="24"/>
          <w:szCs w:val="24"/>
        </w:rPr>
        <w:t>גכ</w:t>
      </w:r>
      <w:proofErr w:type="spellEnd"/>
    </w:p>
    <w:p w14:paraId="77CE44E7" w14:textId="3F3659F3" w:rsidR="00D156C5" w:rsidRPr="00D50002" w:rsidRDefault="00D156C5" w:rsidP="00CC1E32">
      <w:pPr>
        <w:bidi/>
        <w:spacing w:after="120" w:line="360" w:lineRule="auto"/>
        <w:jc w:val="both"/>
        <w:rPr>
          <w:rFonts w:asciiTheme="majorBidi" w:hAnsiTheme="majorBidi" w:cstheme="majorBidi"/>
          <w:sz w:val="24"/>
          <w:szCs w:val="24"/>
          <w:rtl/>
        </w:rPr>
      </w:pPr>
    </w:p>
    <w:p w14:paraId="2325A375" w14:textId="75FC93B8" w:rsidR="00D156C5" w:rsidRPr="00D50002" w:rsidRDefault="00D156C5" w:rsidP="00CC1E32">
      <w:pPr>
        <w:bidi/>
        <w:spacing w:after="120" w:line="360" w:lineRule="auto"/>
        <w:jc w:val="both"/>
        <w:rPr>
          <w:rFonts w:asciiTheme="majorBidi" w:hAnsiTheme="majorBidi" w:cstheme="majorBidi"/>
          <w:sz w:val="24"/>
          <w:szCs w:val="24"/>
          <w:rtl/>
        </w:rPr>
      </w:pPr>
    </w:p>
    <w:p w14:paraId="75BC0056" w14:textId="4865E53E" w:rsidR="00D156C5" w:rsidRPr="00D50002" w:rsidRDefault="00D156C5" w:rsidP="00CC1E32">
      <w:pPr>
        <w:bidi/>
        <w:spacing w:after="120" w:line="360" w:lineRule="auto"/>
        <w:jc w:val="both"/>
        <w:rPr>
          <w:rFonts w:asciiTheme="majorBidi" w:hAnsiTheme="majorBidi" w:cstheme="majorBidi"/>
          <w:sz w:val="24"/>
          <w:szCs w:val="24"/>
          <w:rtl/>
        </w:rPr>
      </w:pPr>
    </w:p>
    <w:p w14:paraId="08185B10" w14:textId="296A18A1" w:rsidR="00D156C5" w:rsidRPr="00D50002" w:rsidRDefault="00D156C5" w:rsidP="00CC1E32">
      <w:pPr>
        <w:bidi/>
        <w:spacing w:after="120" w:line="360" w:lineRule="auto"/>
        <w:jc w:val="both"/>
        <w:rPr>
          <w:rFonts w:asciiTheme="majorBidi" w:hAnsiTheme="majorBidi" w:cstheme="majorBidi"/>
          <w:sz w:val="24"/>
          <w:szCs w:val="24"/>
          <w:rtl/>
        </w:rPr>
      </w:pPr>
    </w:p>
    <w:p w14:paraId="663FAB95" w14:textId="33A65DD4" w:rsidR="00D156C5" w:rsidRPr="00D50002" w:rsidRDefault="00D156C5" w:rsidP="00CC1E32">
      <w:pPr>
        <w:bidi/>
        <w:spacing w:after="120" w:line="360" w:lineRule="auto"/>
        <w:jc w:val="both"/>
        <w:rPr>
          <w:rFonts w:asciiTheme="majorBidi" w:hAnsiTheme="majorBidi" w:cstheme="majorBidi"/>
          <w:sz w:val="24"/>
          <w:szCs w:val="24"/>
          <w:rtl/>
        </w:rPr>
      </w:pPr>
    </w:p>
    <w:p w14:paraId="106A5AAC" w14:textId="5B2524FE" w:rsidR="00D156C5" w:rsidRPr="00D50002" w:rsidRDefault="00D156C5" w:rsidP="00CC1E32">
      <w:pPr>
        <w:bidi/>
        <w:spacing w:after="120" w:line="360" w:lineRule="auto"/>
        <w:jc w:val="both"/>
        <w:rPr>
          <w:rFonts w:asciiTheme="majorBidi" w:hAnsiTheme="majorBidi" w:cstheme="majorBidi"/>
          <w:sz w:val="24"/>
          <w:szCs w:val="24"/>
          <w:rtl/>
        </w:rPr>
      </w:pPr>
    </w:p>
    <w:p w14:paraId="350F14C5" w14:textId="1E9C8F7A" w:rsidR="00D156C5" w:rsidRPr="00D50002" w:rsidRDefault="00D156C5" w:rsidP="00CC1E32">
      <w:pPr>
        <w:bidi/>
        <w:spacing w:after="120" w:line="360" w:lineRule="auto"/>
        <w:jc w:val="both"/>
        <w:rPr>
          <w:rFonts w:asciiTheme="majorBidi" w:hAnsiTheme="majorBidi" w:cstheme="majorBidi"/>
          <w:sz w:val="24"/>
          <w:szCs w:val="24"/>
          <w:rtl/>
        </w:rPr>
      </w:pPr>
    </w:p>
    <w:p w14:paraId="30F7DCDB" w14:textId="51B6286C" w:rsidR="00D156C5" w:rsidRPr="00D50002" w:rsidRDefault="00D156C5" w:rsidP="00CC1E32">
      <w:pPr>
        <w:spacing w:after="120" w:line="360" w:lineRule="auto"/>
        <w:jc w:val="both"/>
        <w:rPr>
          <w:rFonts w:asciiTheme="majorBidi" w:hAnsiTheme="majorBidi" w:cstheme="majorBidi"/>
          <w:sz w:val="24"/>
          <w:szCs w:val="24"/>
        </w:rPr>
      </w:pPr>
      <w:r w:rsidRPr="00D50002">
        <w:rPr>
          <w:rFonts w:asciiTheme="majorBidi" w:hAnsiTheme="majorBidi" w:cstheme="majorBidi"/>
          <w:sz w:val="24"/>
          <w:szCs w:val="24"/>
        </w:rPr>
        <w:t>Number of expected funding rounds compared with actual funding rounds in the shift between Round A and Round B:</w:t>
      </w:r>
    </w:p>
    <w:p w14:paraId="1D102A54" w14:textId="1034931D" w:rsidR="00D156C5" w:rsidRPr="00D50002" w:rsidRDefault="00D156C5" w:rsidP="00CC1E32">
      <w:pPr>
        <w:bidi/>
        <w:spacing w:after="120" w:line="360" w:lineRule="auto"/>
        <w:jc w:val="both"/>
        <w:rPr>
          <w:rFonts w:asciiTheme="majorBidi" w:hAnsiTheme="majorBidi" w:cstheme="majorBidi"/>
          <w:sz w:val="24"/>
          <w:szCs w:val="24"/>
          <w:rtl/>
        </w:rPr>
      </w:pPr>
    </w:p>
    <w:p w14:paraId="4BFC74A9" w14:textId="2F1448EB" w:rsidR="00D156C5" w:rsidRPr="00D50002" w:rsidRDefault="00D156C5" w:rsidP="00CC1E32">
      <w:pPr>
        <w:bidi/>
        <w:spacing w:after="120" w:line="360" w:lineRule="auto"/>
        <w:jc w:val="both"/>
        <w:rPr>
          <w:rFonts w:asciiTheme="majorBidi" w:hAnsiTheme="majorBidi" w:cstheme="majorBidi"/>
          <w:sz w:val="24"/>
          <w:szCs w:val="24"/>
          <w:rtl/>
        </w:rPr>
      </w:pPr>
    </w:p>
    <w:p w14:paraId="383E2AD3" w14:textId="2FE1274F" w:rsidR="00D156C5" w:rsidRPr="00D50002" w:rsidRDefault="00D156C5" w:rsidP="00CC1E32">
      <w:pPr>
        <w:spacing w:after="120" w:line="360" w:lineRule="auto"/>
        <w:jc w:val="both"/>
        <w:rPr>
          <w:rFonts w:asciiTheme="majorBidi" w:hAnsiTheme="majorBidi" w:cstheme="majorBidi"/>
          <w:sz w:val="24"/>
          <w:szCs w:val="24"/>
        </w:rPr>
      </w:pPr>
      <w:r w:rsidRPr="00D50002">
        <w:rPr>
          <w:rFonts w:asciiTheme="majorBidi" w:hAnsiTheme="majorBidi" w:cstheme="majorBidi"/>
          <w:noProof/>
          <w:sz w:val="24"/>
          <w:szCs w:val="24"/>
        </w:rPr>
        <w:drawing>
          <wp:inline distT="0" distB="0" distL="0" distR="0" wp14:anchorId="6BADCC1A" wp14:editId="4D6BC280">
            <wp:extent cx="5943600" cy="3877310"/>
            <wp:effectExtent l="0" t="0" r="12700" b="8890"/>
            <wp:docPr id="1" name="Chart 1">
              <a:extLst xmlns:a="http://schemas.openxmlformats.org/drawingml/2006/main">
                <a:ext uri="{FF2B5EF4-FFF2-40B4-BE49-F238E27FC236}">
                  <a16:creationId xmlns:a16="http://schemas.microsoft.com/office/drawing/2014/main" id="{9DA6F12C-829D-47A5-8607-35307E67DF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sectPr w:rsidR="00D156C5" w:rsidRPr="00D50002">
      <w:headerReference w:type="default" r:id="rId50"/>
      <w:footerReference w:type="default" r:id="rId51"/>
      <w:footerReference w:type="first" r:id="rId52"/>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CELS65@RCENGLISHLANGUAGESOLUTIONS.onmicrosoft.com" w:date="2022-12-25T17:25:00Z" w:initials="רכ">
    <w:p w14:paraId="4720CD18" w14:textId="77777777" w:rsidR="009B6D73" w:rsidRDefault="009B6D73">
      <w:pPr>
        <w:pStyle w:val="CommentText"/>
      </w:pPr>
      <w:r>
        <w:rPr>
          <w:rStyle w:val="CommentReference"/>
        </w:rPr>
        <w:annotationRef/>
      </w:r>
      <w:r>
        <w:t>Graph 1: Equity Investment by Year - Israel</w:t>
      </w:r>
    </w:p>
    <w:p w14:paraId="60BC0296" w14:textId="77777777" w:rsidR="009B6D73" w:rsidRDefault="009B6D73" w:rsidP="000E2626">
      <w:pPr>
        <w:pStyle w:val="CommentText"/>
      </w:pPr>
      <w:r>
        <w:t>Number of rounds   Total amount in $ billion</w:t>
      </w:r>
    </w:p>
  </w:comment>
  <w:comment w:id="6" w:author="RCELS65@RCENGLISHLANGUAGESOLUTIONS.onmicrosoft.com" w:date="2022-12-25T17:26:00Z" w:initials="רכ">
    <w:p w14:paraId="553DE1B6" w14:textId="77777777" w:rsidR="00CF436F" w:rsidRDefault="00CF436F">
      <w:pPr>
        <w:pStyle w:val="CommentText"/>
      </w:pPr>
      <w:r>
        <w:rPr>
          <w:rStyle w:val="CommentReference"/>
        </w:rPr>
        <w:annotationRef/>
      </w:r>
      <w:r>
        <w:rPr>
          <w:color w:val="000000"/>
          <w:highlight w:val="white"/>
        </w:rPr>
        <w:t>Graph 2: Equity Investment by Year - Silicon Valley </w:t>
      </w:r>
      <w:r>
        <w:t xml:space="preserve"> </w:t>
      </w:r>
    </w:p>
    <w:p w14:paraId="4665AFA7" w14:textId="77777777" w:rsidR="00CF436F" w:rsidRDefault="00CF436F" w:rsidP="000045CB">
      <w:pPr>
        <w:pStyle w:val="CommentText"/>
      </w:pPr>
      <w:r>
        <w:t>Number of rounds   Total amount in $ billion</w:t>
      </w:r>
    </w:p>
  </w:comment>
  <w:comment w:id="7" w:author="RCELS65@RCENGLISHLANGUAGESOLUTIONS.onmicrosoft.com" w:date="2022-12-25T17:27:00Z" w:initials="רכ">
    <w:p w14:paraId="39943D6A" w14:textId="77777777" w:rsidR="008B50DF" w:rsidRDefault="008B50DF">
      <w:pPr>
        <w:pStyle w:val="CommentText"/>
      </w:pPr>
      <w:r>
        <w:rPr>
          <w:rStyle w:val="CommentReference"/>
        </w:rPr>
        <w:annotationRef/>
      </w:r>
      <w:r>
        <w:rPr>
          <w:color w:val="000000"/>
          <w:highlight w:val="white"/>
        </w:rPr>
        <w:t>Graph 3: Equity Investment by Half - Israel </w:t>
      </w:r>
    </w:p>
    <w:p w14:paraId="0704D9F6" w14:textId="77777777" w:rsidR="008B50DF" w:rsidRDefault="008B50DF">
      <w:pPr>
        <w:pStyle w:val="CommentText"/>
      </w:pPr>
      <w:r>
        <w:rPr>
          <w:color w:val="000000"/>
          <w:highlight w:val="white"/>
        </w:rPr>
        <w:t>N</w:t>
      </w:r>
      <w:r>
        <w:t xml:space="preserve">umber of rounds   Total amount in $ billion </w:t>
      </w:r>
    </w:p>
    <w:p w14:paraId="4571CBF6" w14:textId="77777777" w:rsidR="008B50DF" w:rsidRDefault="008B50DF" w:rsidP="006266C8">
      <w:pPr>
        <w:pStyle w:val="CommentText"/>
      </w:pPr>
      <w:r>
        <w:t>**In general, I am not sure whether to leave the term "Half" or turn it into "Half Year"...</w:t>
      </w:r>
    </w:p>
  </w:comment>
  <w:comment w:id="10" w:author="RCELS65@RCENGLISHLANGUAGESOLUTIONS.onmicrosoft.com" w:date="2022-12-25T17:27:00Z" w:initials="רכ">
    <w:p w14:paraId="5F51A261" w14:textId="77777777" w:rsidR="00EE1410" w:rsidRDefault="00EE1410" w:rsidP="00584638">
      <w:pPr>
        <w:pStyle w:val="CommentText"/>
      </w:pPr>
      <w:r>
        <w:rPr>
          <w:rStyle w:val="CommentReference"/>
        </w:rPr>
        <w:annotationRef/>
      </w:r>
      <w:r>
        <w:rPr>
          <w:color w:val="000000"/>
          <w:highlight w:val="white"/>
        </w:rPr>
        <w:t>Graph 4: Early Stage Investment - Seed &amp; Round A </w:t>
      </w:r>
      <w:r>
        <w:t xml:space="preserve"> </w:t>
      </w:r>
    </w:p>
  </w:comment>
  <w:comment w:id="11" w:author="RCELS65@RCENGLISHLANGUAGESOLUTIONS.onmicrosoft.com" w:date="2022-12-25T17:27:00Z" w:initials="רכ">
    <w:p w14:paraId="70AA75FC" w14:textId="77777777" w:rsidR="00C94F08" w:rsidRDefault="00C94F08" w:rsidP="00681C5A">
      <w:pPr>
        <w:pStyle w:val="CommentText"/>
      </w:pPr>
      <w:r>
        <w:rPr>
          <w:rStyle w:val="CommentReference"/>
        </w:rPr>
        <w:annotationRef/>
      </w:r>
      <w:r>
        <w:rPr>
          <w:color w:val="000000"/>
          <w:highlight w:val="white"/>
        </w:rPr>
        <w:t>Graph 5: Late Stage Investment - B Round &amp; C+</w:t>
      </w:r>
      <w:r>
        <w:t xml:space="preserve"> Round</w:t>
      </w:r>
    </w:p>
  </w:comment>
  <w:comment w:id="12" w:author="RCELS65@RCENGLISHLANGUAGESOLUTIONS.onmicrosoft.com" w:date="2022-12-25T17:28:00Z" w:initials="רכ">
    <w:p w14:paraId="1D7B46CD" w14:textId="77777777" w:rsidR="00615985" w:rsidRDefault="00615985" w:rsidP="00B73E2D">
      <w:pPr>
        <w:pStyle w:val="CommentText"/>
      </w:pPr>
      <w:r>
        <w:rPr>
          <w:rStyle w:val="CommentReference"/>
        </w:rPr>
        <w:annotationRef/>
      </w:r>
      <w:r>
        <w:rPr>
          <w:color w:val="000000"/>
          <w:highlight w:val="white"/>
        </w:rPr>
        <w:t>Graph 6: Yearly Change in Total Equity Amount</w:t>
      </w:r>
      <w:r>
        <w:t xml:space="preserve"> by Round Type</w:t>
      </w:r>
    </w:p>
  </w:comment>
  <w:comment w:id="13" w:author="RCELS65@RCENGLISHLANGUAGESOLUTIONS.onmicrosoft.com" w:date="2022-12-25T17:29:00Z" w:initials="רכ">
    <w:p w14:paraId="010A4E34" w14:textId="77777777" w:rsidR="009D2C2D" w:rsidRDefault="009D2C2D" w:rsidP="009B4B76">
      <w:pPr>
        <w:pStyle w:val="CommentText"/>
      </w:pPr>
      <w:r>
        <w:rPr>
          <w:rStyle w:val="CommentReference"/>
        </w:rPr>
        <w:annotationRef/>
      </w:r>
      <w:r>
        <w:t>Graph 7: Average Number of Participants per Seed Round</w:t>
      </w:r>
    </w:p>
  </w:comment>
  <w:comment w:id="14" w:author="RCELS65@RCENGLISHLANGUAGESOLUTIONS.onmicrosoft.com" w:date="2022-12-25T17:30:00Z" w:initials="רכ">
    <w:p w14:paraId="594CD9C9" w14:textId="77777777" w:rsidR="00683A72" w:rsidRDefault="00683A72" w:rsidP="00893F4C">
      <w:pPr>
        <w:pStyle w:val="CommentText"/>
      </w:pPr>
      <w:r>
        <w:rPr>
          <w:rStyle w:val="CommentReference"/>
        </w:rPr>
        <w:annotationRef/>
      </w:r>
      <w:r>
        <w:t>This would appear to be a mistake and should refer to Graph 8 rather than Graph 5.</w:t>
      </w:r>
    </w:p>
  </w:comment>
  <w:comment w:id="15" w:author="RCELS65@RCENGLISHLANGUAGESOLUTIONS.onmicrosoft.com" w:date="2022-12-25T17:30:00Z" w:initials="רכ">
    <w:p w14:paraId="54E5C1E5" w14:textId="77777777" w:rsidR="00683A72" w:rsidRDefault="00683A72" w:rsidP="00084A41">
      <w:pPr>
        <w:pStyle w:val="CommentText"/>
      </w:pPr>
      <w:r>
        <w:rPr>
          <w:rStyle w:val="CommentReference"/>
        </w:rPr>
        <w:annotationRef/>
      </w:r>
      <w:r>
        <w:t>This would appear to be a mistake and should refer to Graph 8 rather than Graph 5.</w:t>
      </w:r>
    </w:p>
  </w:comment>
  <w:comment w:id="16" w:author="RCELS65@RCENGLISHLANGUAGESOLUTIONS.onmicrosoft.com" w:date="2022-12-25T17:30:00Z" w:initials="רכ">
    <w:p w14:paraId="261FC94E" w14:textId="77777777" w:rsidR="00683A72" w:rsidRDefault="00683A72" w:rsidP="00D60D52">
      <w:pPr>
        <w:pStyle w:val="CommentText"/>
      </w:pPr>
      <w:r>
        <w:rPr>
          <w:rStyle w:val="CommentReference"/>
        </w:rPr>
        <w:annotationRef/>
      </w:r>
      <w:r>
        <w:t>This would appear to be a mistake and should refer to Graph 9 rather than Graph 6.</w:t>
      </w:r>
    </w:p>
  </w:comment>
  <w:comment w:id="17" w:author="RCELS65@RCENGLISHLANGUAGESOLUTIONS.onmicrosoft.com" w:date="2022-12-25T17:31:00Z" w:initials="רכ">
    <w:p w14:paraId="173D65C0" w14:textId="77777777" w:rsidR="003E2BD0" w:rsidRDefault="003E2BD0" w:rsidP="002B117B">
      <w:pPr>
        <w:pStyle w:val="CommentText"/>
      </w:pPr>
      <w:r>
        <w:rPr>
          <w:rStyle w:val="CommentReference"/>
        </w:rPr>
        <w:annotationRef/>
      </w:r>
      <w:r>
        <w:t>Graph 9: Number of M&amp;As and Total Amount</w:t>
      </w:r>
    </w:p>
  </w:comment>
  <w:comment w:id="18" w:author="RCELS65@RCENGLISHLANGUAGESOLUTIONS.onmicrosoft.com" w:date="2022-12-25T17:32:00Z" w:initials="רכ">
    <w:p w14:paraId="60850FDC" w14:textId="77777777" w:rsidR="00534835" w:rsidRDefault="00534835" w:rsidP="00C901D6">
      <w:pPr>
        <w:pStyle w:val="CommentText"/>
      </w:pPr>
      <w:r>
        <w:rPr>
          <w:rStyle w:val="CommentReference"/>
        </w:rPr>
        <w:annotationRef/>
      </w:r>
      <w:r>
        <w:t>Graph 10: Number of M&amp;As and Total Amount by Half</w:t>
      </w:r>
    </w:p>
  </w:comment>
  <w:comment w:id="19" w:author="RCELS65@RCENGLISHLANGUAGESOLUTIONS.onmicrosoft.com" w:date="2022-12-25T17:32:00Z" w:initials="רכ">
    <w:p w14:paraId="7E5FB1C2" w14:textId="77777777" w:rsidR="0099208A" w:rsidRDefault="0099208A" w:rsidP="004B178D">
      <w:pPr>
        <w:pStyle w:val="CommentText"/>
      </w:pPr>
      <w:r>
        <w:rPr>
          <w:rStyle w:val="CommentReference"/>
        </w:rPr>
        <w:annotationRef/>
      </w:r>
      <w:r>
        <w:t>Graph 11: IPOs &amp; SPACs by Year</w:t>
      </w:r>
    </w:p>
  </w:comment>
  <w:comment w:id="20" w:author="RCELS65@RCENGLISHLANGUAGESOLUTIONS.onmicrosoft.com" w:date="2022-12-25T17:33:00Z" w:initials="רכ">
    <w:p w14:paraId="74CECBCC" w14:textId="77777777" w:rsidR="0099208A" w:rsidRDefault="0099208A" w:rsidP="00415934">
      <w:pPr>
        <w:pStyle w:val="CommentText"/>
      </w:pPr>
      <w:r>
        <w:rPr>
          <w:rStyle w:val="CommentReference"/>
        </w:rPr>
        <w:annotationRef/>
      </w:r>
      <w:r>
        <w:t>Graph 12: IPOs &amp; SPACs by Half</w:t>
      </w:r>
    </w:p>
  </w:comment>
  <w:comment w:id="21" w:author="RCELS65@RCENGLISHLANGUAGESOLUTIONS.onmicrosoft.com" w:date="2022-12-25T17:33:00Z" w:initials="רכ">
    <w:p w14:paraId="07422F21" w14:textId="77777777" w:rsidR="002B0E58" w:rsidRDefault="002B0E58" w:rsidP="000F1B73">
      <w:pPr>
        <w:pStyle w:val="CommentText"/>
      </w:pPr>
      <w:r>
        <w:rPr>
          <w:rStyle w:val="CommentReference"/>
        </w:rPr>
        <w:annotationRef/>
      </w:r>
      <w:r>
        <w:t>Graph 13: Revenue vs Market Cap: Israeli Publicly-traded Companies</w:t>
      </w:r>
    </w:p>
  </w:comment>
  <w:comment w:id="22" w:author="RCELS65@RCENGLISHLANGUAGESOLUTIONS.onmicrosoft.com" w:date="2022-12-25T18:39:00Z" w:initials="רכ">
    <w:p w14:paraId="4ABD8E43" w14:textId="77777777" w:rsidR="00A12C07" w:rsidRDefault="00A12C07" w:rsidP="00BC4BF6">
      <w:pPr>
        <w:pStyle w:val="CommentText"/>
      </w:pPr>
      <w:r>
        <w:rPr>
          <w:rStyle w:val="CommentReference"/>
        </w:rPr>
        <w:annotationRef/>
      </w:r>
      <w:r>
        <w:t>Graph 13: Revenue vs Market Cap: Israeli Publicly-traded Companies</w:t>
      </w:r>
    </w:p>
  </w:comment>
  <w:comment w:id="23" w:author="RCELS65@RCENGLISHLANGUAGESOLUTIONS.onmicrosoft.com" w:date="2022-12-25T17:34:00Z" w:initials="רכ">
    <w:p w14:paraId="63401D91" w14:textId="7EE24CEB" w:rsidR="007A2796" w:rsidRDefault="007A2796" w:rsidP="001022FC">
      <w:pPr>
        <w:pStyle w:val="CommentText"/>
      </w:pPr>
      <w:r>
        <w:rPr>
          <w:rStyle w:val="CommentReference"/>
        </w:rPr>
        <w:annotationRef/>
      </w:r>
      <w:r>
        <w:t>AgriFood-Tech...EnergyTech (according to previous SNC publications)</w:t>
      </w:r>
    </w:p>
  </w:comment>
  <w:comment w:id="24" w:author="RCELS65@RCENGLISHLANGUAGESOLUTIONS.onmicrosoft.com" w:date="2022-12-25T17:34:00Z" w:initials="רכ">
    <w:p w14:paraId="10D27126" w14:textId="77777777" w:rsidR="002B15BF" w:rsidRDefault="002B15BF">
      <w:pPr>
        <w:pStyle w:val="CommentText"/>
      </w:pPr>
      <w:r>
        <w:rPr>
          <w:rStyle w:val="CommentReference"/>
        </w:rPr>
        <w:annotationRef/>
      </w:r>
      <w:r>
        <w:t>Graph 15: Total Investment by Sector in 2022</w:t>
      </w:r>
    </w:p>
    <w:p w14:paraId="03639410" w14:textId="77777777" w:rsidR="002B15BF" w:rsidRDefault="002B15BF" w:rsidP="004F530C">
      <w:pPr>
        <w:pStyle w:val="CommentText"/>
      </w:pPr>
      <w:r>
        <w:t>AgriFood-Tech...EnergyTech (according to previous SNC publications)</w:t>
      </w:r>
    </w:p>
  </w:comment>
  <w:comment w:id="25" w:author="RCELS65@RCENGLISHLANGUAGESOLUTIONS.onmicrosoft.com" w:date="2022-12-25T17:35:00Z" w:initials="רכ">
    <w:p w14:paraId="6F5EACB8" w14:textId="77777777" w:rsidR="00366BE1" w:rsidRDefault="00366BE1">
      <w:pPr>
        <w:pStyle w:val="CommentText"/>
      </w:pPr>
      <w:r>
        <w:rPr>
          <w:rStyle w:val="CommentReference"/>
        </w:rPr>
        <w:annotationRef/>
      </w:r>
      <w:r>
        <w:t>Graph 16: Life Science &amp; HealthTech Sector by Year</w:t>
      </w:r>
    </w:p>
    <w:p w14:paraId="638075D6" w14:textId="77777777" w:rsidR="00366BE1" w:rsidRDefault="00366BE1" w:rsidP="006C68F4">
      <w:pPr>
        <w:pStyle w:val="CommentText"/>
      </w:pPr>
      <w:r>
        <w:t>***In professional business translation the tendency is to use the term "transactions" rather than "deals", not sure if this is a hard and fast rule...this comment applies to the legend in the following graphs too.</w:t>
      </w:r>
    </w:p>
  </w:comment>
  <w:comment w:id="26" w:author="RCELS65@RCENGLISHLANGUAGESOLUTIONS.onmicrosoft.com" w:date="2022-12-25T17:35:00Z" w:initials="רכ">
    <w:p w14:paraId="5868A70E" w14:textId="77777777" w:rsidR="00852DCA" w:rsidRDefault="00852DCA" w:rsidP="0083600E">
      <w:pPr>
        <w:pStyle w:val="CommentText"/>
      </w:pPr>
      <w:r>
        <w:rPr>
          <w:rStyle w:val="CommentReference"/>
        </w:rPr>
        <w:annotationRef/>
      </w:r>
      <w:r>
        <w:t>Graph 17: Life Science &amp; HealthTech Sector by Half</w:t>
      </w:r>
    </w:p>
  </w:comment>
  <w:comment w:id="27" w:author="RCELS65@RCENGLISHLANGUAGESOLUTIONS.onmicrosoft.com" w:date="2022-12-25T17:36:00Z" w:initials="רכ">
    <w:p w14:paraId="310CD974" w14:textId="77777777" w:rsidR="00BB6555" w:rsidRDefault="00BB6555" w:rsidP="009B5616">
      <w:pPr>
        <w:pStyle w:val="CommentText"/>
      </w:pPr>
      <w:r>
        <w:rPr>
          <w:rStyle w:val="CommentReference"/>
        </w:rPr>
        <w:annotationRef/>
      </w:r>
      <w:r>
        <w:t>Graph 18: Cybersecurity Sector by Year</w:t>
      </w:r>
    </w:p>
  </w:comment>
  <w:comment w:id="28" w:author="RCELS65@RCENGLISHLANGUAGESOLUTIONS.onmicrosoft.com" w:date="2022-12-25T17:37:00Z" w:initials="רכ">
    <w:p w14:paraId="34294F63" w14:textId="77777777" w:rsidR="002F0D4F" w:rsidRDefault="002F0D4F" w:rsidP="0072093F">
      <w:pPr>
        <w:pStyle w:val="CommentText"/>
      </w:pPr>
      <w:r>
        <w:rPr>
          <w:rStyle w:val="CommentReference"/>
        </w:rPr>
        <w:annotationRef/>
      </w:r>
      <w:r>
        <w:t>Graph 19: Cybersecurity Sector by Half</w:t>
      </w:r>
    </w:p>
  </w:comment>
  <w:comment w:id="29" w:author="RCELS65@RCENGLISHLANGUAGESOLUTIONS.onmicrosoft.com" w:date="2022-12-25T17:37:00Z" w:initials="רכ">
    <w:p w14:paraId="53770F13" w14:textId="77777777" w:rsidR="00024D51" w:rsidRDefault="00024D51" w:rsidP="005D76A0">
      <w:pPr>
        <w:pStyle w:val="CommentText"/>
      </w:pPr>
      <w:r>
        <w:rPr>
          <w:rStyle w:val="CommentReference"/>
        </w:rPr>
        <w:annotationRef/>
      </w:r>
      <w:r>
        <w:t>Graph 20: AgriFood-Tech Sector by Year</w:t>
      </w:r>
    </w:p>
  </w:comment>
  <w:comment w:id="30" w:author="RCELS65@RCENGLISHLANGUAGESOLUTIONS.onmicrosoft.com" w:date="2022-12-25T17:38:00Z" w:initials="רכ">
    <w:p w14:paraId="28610CC3" w14:textId="77777777" w:rsidR="00A14C05" w:rsidRDefault="00A14C05" w:rsidP="0099295C">
      <w:pPr>
        <w:pStyle w:val="CommentText"/>
      </w:pPr>
      <w:r>
        <w:rPr>
          <w:rStyle w:val="CommentReference"/>
        </w:rPr>
        <w:annotationRef/>
      </w:r>
      <w:r>
        <w:t>Graph 21: AgriFood-Tech Sector by Half</w:t>
      </w:r>
    </w:p>
  </w:comment>
  <w:comment w:id="31" w:author="RCELS65@RCENGLISHLANGUAGESOLUTIONS.onmicrosoft.com" w:date="2022-12-25T17:38:00Z" w:initials="רכ">
    <w:p w14:paraId="519F05C9" w14:textId="77777777" w:rsidR="0027091A" w:rsidRDefault="0027091A" w:rsidP="00661091">
      <w:pPr>
        <w:pStyle w:val="CommentText"/>
      </w:pPr>
      <w:r>
        <w:rPr>
          <w:rStyle w:val="CommentReference"/>
        </w:rPr>
        <w:annotationRef/>
      </w:r>
      <w:r>
        <w:t>Graph 22: Fintech Sector by Year</w:t>
      </w:r>
    </w:p>
  </w:comment>
  <w:comment w:id="32" w:author="RCELS65@RCENGLISHLANGUAGESOLUTIONS.onmicrosoft.com" w:date="2022-12-25T17:39:00Z" w:initials="רכ">
    <w:p w14:paraId="6F5365FC" w14:textId="77777777" w:rsidR="001E74EA" w:rsidRDefault="001E74EA">
      <w:pPr>
        <w:pStyle w:val="CommentText"/>
      </w:pPr>
      <w:r>
        <w:rPr>
          <w:rStyle w:val="CommentReference"/>
        </w:rPr>
        <w:annotationRef/>
      </w:r>
      <w:r>
        <w:t>Graph 23: Fintech Sector by Half</w:t>
      </w:r>
    </w:p>
    <w:p w14:paraId="1178B6BF" w14:textId="77777777" w:rsidR="001E74EA" w:rsidRDefault="001E74EA" w:rsidP="007E0833">
      <w:pPr>
        <w:pStyle w:val="CommentText"/>
      </w:pPr>
      <w:r>
        <w:t>***NB - this is clearly a "cut and paste mistake" - refers to half years not full years</w:t>
      </w:r>
    </w:p>
  </w:comment>
  <w:comment w:id="33" w:author="RCELS65@RCENGLISHLANGUAGESOLUTIONS.onmicrosoft.com" w:date="2022-12-25T17:40:00Z" w:initials="רכ">
    <w:p w14:paraId="028400CE" w14:textId="77777777" w:rsidR="0040267B" w:rsidRDefault="0040267B" w:rsidP="00E420D6">
      <w:pPr>
        <w:pStyle w:val="CommentText"/>
      </w:pPr>
      <w:r>
        <w:rPr>
          <w:rStyle w:val="CommentReference"/>
        </w:rPr>
        <w:annotationRef/>
      </w:r>
      <w:r>
        <w:t>Graph 24: Climate Tech Sector by Year</w:t>
      </w:r>
    </w:p>
  </w:comment>
  <w:comment w:id="34" w:author="RCELS65@RCENGLISHLANGUAGESOLUTIONS.onmicrosoft.com" w:date="2022-12-25T17:40:00Z" w:initials="רכ">
    <w:p w14:paraId="015A7829" w14:textId="77777777" w:rsidR="001E46EF" w:rsidRDefault="001E46EF" w:rsidP="00235D1D">
      <w:pPr>
        <w:pStyle w:val="CommentText"/>
      </w:pPr>
      <w:r>
        <w:rPr>
          <w:rStyle w:val="CommentReference"/>
        </w:rPr>
        <w:annotationRef/>
      </w:r>
      <w:r>
        <w:t>Graph 25: Climate Tech Sector by Half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C0296" w15:done="0"/>
  <w15:commentEx w15:paraId="4665AFA7" w15:done="0"/>
  <w15:commentEx w15:paraId="4571CBF6" w15:done="0"/>
  <w15:commentEx w15:paraId="5F51A261" w15:done="0"/>
  <w15:commentEx w15:paraId="70AA75FC" w15:done="0"/>
  <w15:commentEx w15:paraId="1D7B46CD" w15:done="0"/>
  <w15:commentEx w15:paraId="010A4E34" w15:done="0"/>
  <w15:commentEx w15:paraId="594CD9C9" w15:done="0"/>
  <w15:commentEx w15:paraId="54E5C1E5" w15:done="0"/>
  <w15:commentEx w15:paraId="261FC94E" w15:done="0"/>
  <w15:commentEx w15:paraId="173D65C0" w15:done="0"/>
  <w15:commentEx w15:paraId="60850FDC" w15:done="0"/>
  <w15:commentEx w15:paraId="7E5FB1C2" w15:done="0"/>
  <w15:commentEx w15:paraId="74CECBCC" w15:done="0"/>
  <w15:commentEx w15:paraId="07422F21" w15:done="0"/>
  <w15:commentEx w15:paraId="4ABD8E43" w15:done="0"/>
  <w15:commentEx w15:paraId="63401D91" w15:done="0"/>
  <w15:commentEx w15:paraId="03639410" w15:done="0"/>
  <w15:commentEx w15:paraId="638075D6" w15:done="0"/>
  <w15:commentEx w15:paraId="5868A70E" w15:done="0"/>
  <w15:commentEx w15:paraId="310CD974" w15:done="0"/>
  <w15:commentEx w15:paraId="34294F63" w15:done="0"/>
  <w15:commentEx w15:paraId="53770F13" w15:done="0"/>
  <w15:commentEx w15:paraId="28610CC3" w15:done="0"/>
  <w15:commentEx w15:paraId="519F05C9" w15:done="0"/>
  <w15:commentEx w15:paraId="1178B6BF" w15:done="0"/>
  <w15:commentEx w15:paraId="028400CE" w15:done="0"/>
  <w15:commentEx w15:paraId="015A78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305F7" w16cex:dateUtc="2022-12-25T15:25:00Z"/>
  <w16cex:commentExtensible w16cex:durableId="2753063D" w16cex:dateUtc="2022-12-25T15:26:00Z"/>
  <w16cex:commentExtensible w16cex:durableId="27530669" w16cex:dateUtc="2022-12-25T15:27:00Z"/>
  <w16cex:commentExtensible w16cex:durableId="2753067E" w16cex:dateUtc="2022-12-25T15:27:00Z"/>
  <w16cex:commentExtensible w16cex:durableId="27530694" w16cex:dateUtc="2022-12-25T15:27:00Z"/>
  <w16cex:commentExtensible w16cex:durableId="275306BD" w16cex:dateUtc="2022-12-25T15:28:00Z"/>
  <w16cex:commentExtensible w16cex:durableId="275306DE" w16cex:dateUtc="2022-12-25T15:29:00Z"/>
  <w16cex:commentExtensible w16cex:durableId="2753072E" w16cex:dateUtc="2022-12-25T15:30:00Z"/>
  <w16cex:commentExtensible w16cex:durableId="2753072F" w16cex:dateUtc="2022-12-25T15:30:00Z"/>
  <w16cex:commentExtensible w16cex:durableId="2753073D" w16cex:dateUtc="2022-12-25T15:30:00Z"/>
  <w16cex:commentExtensible w16cex:durableId="27530769" w16cex:dateUtc="2022-12-25T15:31:00Z"/>
  <w16cex:commentExtensible w16cex:durableId="27530793" w16cex:dateUtc="2022-12-25T15:32:00Z"/>
  <w16cex:commentExtensible w16cex:durableId="275307B9" w16cex:dateUtc="2022-12-25T15:32:00Z"/>
  <w16cex:commentExtensible w16cex:durableId="275307CD" w16cex:dateUtc="2022-12-25T15:33:00Z"/>
  <w16cex:commentExtensible w16cex:durableId="27530804" w16cex:dateUtc="2022-12-25T15:33:00Z"/>
  <w16cex:commentExtensible w16cex:durableId="27531744" w16cex:dateUtc="2022-12-25T16:39:00Z"/>
  <w16cex:commentExtensible w16cex:durableId="27530823" w16cex:dateUtc="2022-12-25T15:34:00Z"/>
  <w16cex:commentExtensible w16cex:durableId="27530843" w16cex:dateUtc="2022-12-25T15:34:00Z"/>
  <w16cex:commentExtensible w16cex:durableId="27530869" w16cex:dateUtc="2022-12-25T15:35:00Z"/>
  <w16cex:commentExtensible w16cex:durableId="2753087C" w16cex:dateUtc="2022-12-25T15:35:00Z"/>
  <w16cex:commentExtensible w16cex:durableId="27530892" w16cex:dateUtc="2022-12-25T15:36:00Z"/>
  <w16cex:commentExtensible w16cex:durableId="275308CA" w16cex:dateUtc="2022-12-25T15:37:00Z"/>
  <w16cex:commentExtensible w16cex:durableId="275308E6" w16cex:dateUtc="2022-12-25T15:37:00Z"/>
  <w16cex:commentExtensible w16cex:durableId="275308FD" w16cex:dateUtc="2022-12-25T15:38:00Z"/>
  <w16cex:commentExtensible w16cex:durableId="27530921" w16cex:dateUtc="2022-12-25T15:38:00Z"/>
  <w16cex:commentExtensible w16cex:durableId="2753094E" w16cex:dateUtc="2022-12-25T15:39:00Z"/>
  <w16cex:commentExtensible w16cex:durableId="2753098B" w16cex:dateUtc="2022-12-25T15:40:00Z"/>
  <w16cex:commentExtensible w16cex:durableId="275309A5" w16cex:dateUtc="2022-12-25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C0296" w16cid:durableId="275305F7"/>
  <w16cid:commentId w16cid:paraId="4665AFA7" w16cid:durableId="2753063D"/>
  <w16cid:commentId w16cid:paraId="4571CBF6" w16cid:durableId="27530669"/>
  <w16cid:commentId w16cid:paraId="5F51A261" w16cid:durableId="2753067E"/>
  <w16cid:commentId w16cid:paraId="70AA75FC" w16cid:durableId="27530694"/>
  <w16cid:commentId w16cid:paraId="1D7B46CD" w16cid:durableId="275306BD"/>
  <w16cid:commentId w16cid:paraId="010A4E34" w16cid:durableId="275306DE"/>
  <w16cid:commentId w16cid:paraId="594CD9C9" w16cid:durableId="2753072E"/>
  <w16cid:commentId w16cid:paraId="54E5C1E5" w16cid:durableId="2753072F"/>
  <w16cid:commentId w16cid:paraId="261FC94E" w16cid:durableId="2753073D"/>
  <w16cid:commentId w16cid:paraId="173D65C0" w16cid:durableId="27530769"/>
  <w16cid:commentId w16cid:paraId="60850FDC" w16cid:durableId="27530793"/>
  <w16cid:commentId w16cid:paraId="7E5FB1C2" w16cid:durableId="275307B9"/>
  <w16cid:commentId w16cid:paraId="74CECBCC" w16cid:durableId="275307CD"/>
  <w16cid:commentId w16cid:paraId="07422F21" w16cid:durableId="27530804"/>
  <w16cid:commentId w16cid:paraId="4ABD8E43" w16cid:durableId="27531744"/>
  <w16cid:commentId w16cid:paraId="63401D91" w16cid:durableId="27530823"/>
  <w16cid:commentId w16cid:paraId="03639410" w16cid:durableId="27530843"/>
  <w16cid:commentId w16cid:paraId="638075D6" w16cid:durableId="27530869"/>
  <w16cid:commentId w16cid:paraId="5868A70E" w16cid:durableId="2753087C"/>
  <w16cid:commentId w16cid:paraId="310CD974" w16cid:durableId="27530892"/>
  <w16cid:commentId w16cid:paraId="34294F63" w16cid:durableId="275308CA"/>
  <w16cid:commentId w16cid:paraId="53770F13" w16cid:durableId="275308E6"/>
  <w16cid:commentId w16cid:paraId="28610CC3" w16cid:durableId="275308FD"/>
  <w16cid:commentId w16cid:paraId="519F05C9" w16cid:durableId="27530921"/>
  <w16cid:commentId w16cid:paraId="1178B6BF" w16cid:durableId="2753094E"/>
  <w16cid:commentId w16cid:paraId="028400CE" w16cid:durableId="2753098B"/>
  <w16cid:commentId w16cid:paraId="015A7829" w16cid:durableId="27530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EB2D" w14:textId="77777777" w:rsidR="003B2EF7" w:rsidRDefault="003B2EF7">
      <w:pPr>
        <w:spacing w:line="240" w:lineRule="auto"/>
      </w:pPr>
      <w:r>
        <w:separator/>
      </w:r>
    </w:p>
  </w:endnote>
  <w:endnote w:type="continuationSeparator" w:id="0">
    <w:p w14:paraId="6DACB5C6" w14:textId="77777777" w:rsidR="003B2EF7" w:rsidRDefault="003B2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ssistant">
    <w:altName w:val="Assistant"/>
    <w:charset w:val="B1"/>
    <w:family w:val="auto"/>
    <w:pitch w:val="variable"/>
    <w:sig w:usb0="A00008FF" w:usb1="4000204B" w:usb2="00000000" w:usb3="00000000" w:csb0="0000002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D" w14:textId="668946CA" w:rsidR="00517271" w:rsidRDefault="00DB550E">
    <w:pPr>
      <w:jc w:val="right"/>
    </w:pPr>
    <w:r>
      <w:fldChar w:fldCharType="begin"/>
    </w:r>
    <w:r>
      <w:instrText>PAGE</w:instrText>
    </w:r>
    <w:r>
      <w:fldChar w:fldCharType="separate"/>
    </w:r>
    <w:r w:rsidR="009F5DD1">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C" w14:textId="77777777" w:rsidR="00517271" w:rsidRDefault="005172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137D" w14:textId="77777777" w:rsidR="003B2EF7" w:rsidRDefault="003B2EF7">
      <w:pPr>
        <w:spacing w:line="240" w:lineRule="auto"/>
      </w:pPr>
      <w:r>
        <w:separator/>
      </w:r>
    </w:p>
  </w:footnote>
  <w:footnote w:type="continuationSeparator" w:id="0">
    <w:p w14:paraId="026470AD" w14:textId="77777777" w:rsidR="003B2EF7" w:rsidRDefault="003B2EF7">
      <w:pPr>
        <w:spacing w:line="240" w:lineRule="auto"/>
      </w:pPr>
      <w:r>
        <w:continuationSeparator/>
      </w:r>
    </w:p>
  </w:footnote>
  <w:footnote w:id="1">
    <w:p w14:paraId="66EFD000" w14:textId="572285CB" w:rsidR="00641B60" w:rsidRDefault="00641B60" w:rsidP="00CC4F50">
      <w:pPr>
        <w:spacing w:line="240" w:lineRule="auto"/>
        <w:ind w:left="284" w:hanging="284"/>
        <w:rPr>
          <w:sz w:val="20"/>
          <w:szCs w:val="20"/>
        </w:rPr>
      </w:pPr>
      <w:r>
        <w:rPr>
          <w:vertAlign w:val="superscript"/>
        </w:rPr>
        <w:footnoteRef/>
      </w:r>
      <w:r>
        <w:rPr>
          <w:sz w:val="20"/>
        </w:rPr>
        <w:t xml:space="preserve"> </w:t>
      </w:r>
      <w:r w:rsidR="00CC4F50">
        <w:rPr>
          <w:sz w:val="20"/>
        </w:rPr>
        <w:tab/>
      </w:r>
      <w:r w:rsidRPr="00CC4F50">
        <w:rPr>
          <w:rFonts w:asciiTheme="majorBidi" w:hAnsiTheme="majorBidi" w:cstheme="majorBidi"/>
          <w:sz w:val="20"/>
        </w:rPr>
        <w:t>The model assumes that each company has a fixed probability to be a “unsuccessful company”, in other words one that will never raise the funding, and with the complementary probability it will raise Round A funding according to a log-normal distribution. Additional details on the model and the evaluation can be found in the appendix.</w:t>
      </w:r>
    </w:p>
  </w:footnote>
  <w:footnote w:id="2">
    <w:p w14:paraId="6D90071C" w14:textId="784E66D4" w:rsidR="00745305" w:rsidRDefault="00745305" w:rsidP="0060110A">
      <w:pPr>
        <w:spacing w:line="240" w:lineRule="auto"/>
        <w:ind w:left="284" w:hanging="284"/>
        <w:rPr>
          <w:sz w:val="20"/>
          <w:szCs w:val="20"/>
        </w:rPr>
      </w:pPr>
      <w:r>
        <w:rPr>
          <w:vertAlign w:val="superscript"/>
        </w:rPr>
        <w:footnoteRef/>
      </w:r>
      <w:r>
        <w:rPr>
          <w:sz w:val="20"/>
        </w:rPr>
        <w:t xml:space="preserve"> </w:t>
      </w:r>
      <w:r w:rsidR="0060110A">
        <w:rPr>
          <w:sz w:val="20"/>
        </w:rPr>
        <w:tab/>
      </w:r>
      <w:r w:rsidRPr="0060110A">
        <w:rPr>
          <w:rFonts w:asciiTheme="majorBidi" w:hAnsiTheme="majorBidi" w:cstheme="majorBidi"/>
          <w:sz w:val="20"/>
        </w:rPr>
        <w:t>The small numbers involved and the short amount of time in which these companies have been observed does not enable us to evaluate the parameters of the model separately for each age-group, in a manner that would provide us with useful estimates</w:t>
      </w:r>
      <w:r>
        <w:rPr>
          <w:sz w:val="20"/>
        </w:rPr>
        <w:t>.</w:t>
      </w:r>
    </w:p>
  </w:footnote>
  <w:footnote w:id="3">
    <w:p w14:paraId="000001A9" w14:textId="75CAEC17" w:rsidR="00517271" w:rsidRPr="005831E9" w:rsidRDefault="00DB550E">
      <w:pPr>
        <w:spacing w:line="240" w:lineRule="auto"/>
        <w:rPr>
          <w:rFonts w:asciiTheme="majorBidi" w:hAnsiTheme="majorBidi" w:cstheme="majorBidi"/>
          <w:sz w:val="20"/>
          <w:szCs w:val="20"/>
        </w:rPr>
      </w:pPr>
      <w:r>
        <w:rPr>
          <w:vertAlign w:val="superscript"/>
        </w:rPr>
        <w:footnoteRef/>
      </w:r>
      <w:r>
        <w:rPr>
          <w:sz w:val="20"/>
        </w:rPr>
        <w:t xml:space="preserve"> </w:t>
      </w:r>
      <w:r w:rsidRPr="005831E9">
        <w:rPr>
          <w:rFonts w:asciiTheme="majorBidi" w:hAnsiTheme="majorBidi" w:cstheme="majorBidi"/>
          <w:sz w:val="20"/>
        </w:rPr>
        <w:t xml:space="preserve">On this issue see the decrease in the number of </w:t>
      </w:r>
      <w:hyperlink r:id="rId1">
        <w:r w:rsidRPr="005831E9">
          <w:rPr>
            <w:rFonts w:asciiTheme="majorBidi" w:hAnsiTheme="majorBidi" w:cstheme="majorBidi"/>
            <w:color w:val="1155CC"/>
            <w:sz w:val="20"/>
            <w:u w:val="single"/>
          </w:rPr>
          <w:t>start</w:t>
        </w:r>
      </w:hyperlink>
      <w:hyperlink r:id="rId2">
        <w:r w:rsidRPr="005831E9">
          <w:rPr>
            <w:rFonts w:asciiTheme="majorBidi" w:hAnsiTheme="majorBidi" w:cstheme="majorBidi"/>
            <w:color w:val="1155CC"/>
            <w:sz w:val="20"/>
            <w:u w:val="single"/>
          </w:rPr>
          <w:t>-</w:t>
        </w:r>
      </w:hyperlink>
      <w:hyperlink r:id="rId3">
        <w:r w:rsidRPr="005831E9">
          <w:rPr>
            <w:rFonts w:asciiTheme="majorBidi" w:hAnsiTheme="majorBidi" w:cstheme="majorBidi"/>
            <w:color w:val="1155CC"/>
            <w:sz w:val="20"/>
            <w:u w:val="single"/>
          </w:rPr>
          <w:t>ups</w:t>
        </w:r>
      </w:hyperlink>
      <w:r w:rsidRPr="005831E9">
        <w:rPr>
          <w:rFonts w:asciiTheme="majorBidi" w:hAnsiTheme="majorBidi" w:cstheme="majorBid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AF" w14:textId="3A761886" w:rsidR="00517271" w:rsidRDefault="00517271">
    <w:pP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9A"/>
    <w:multiLevelType w:val="multilevel"/>
    <w:tmpl w:val="F06ACB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A5C7272"/>
    <w:multiLevelType w:val="multilevel"/>
    <w:tmpl w:val="88187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5174DA"/>
    <w:multiLevelType w:val="hybridMultilevel"/>
    <w:tmpl w:val="42C04D3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22444F42"/>
    <w:multiLevelType w:val="multilevel"/>
    <w:tmpl w:val="CA56D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5E3502"/>
    <w:multiLevelType w:val="multilevel"/>
    <w:tmpl w:val="8508E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7FD1B32"/>
    <w:multiLevelType w:val="multilevel"/>
    <w:tmpl w:val="EE666C0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3D8E2A19"/>
    <w:multiLevelType w:val="multilevel"/>
    <w:tmpl w:val="914ED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E67570"/>
    <w:multiLevelType w:val="multilevel"/>
    <w:tmpl w:val="1F2C6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C1D49EF"/>
    <w:multiLevelType w:val="multilevel"/>
    <w:tmpl w:val="1004A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53763297">
    <w:abstractNumId w:val="8"/>
  </w:num>
  <w:num w:numId="2" w16cid:durableId="383600585">
    <w:abstractNumId w:val="4"/>
  </w:num>
  <w:num w:numId="3" w16cid:durableId="852690705">
    <w:abstractNumId w:val="7"/>
  </w:num>
  <w:num w:numId="4" w16cid:durableId="1587500303">
    <w:abstractNumId w:val="6"/>
  </w:num>
  <w:num w:numId="5" w16cid:durableId="26565043">
    <w:abstractNumId w:val="1"/>
  </w:num>
  <w:num w:numId="6" w16cid:durableId="483159857">
    <w:abstractNumId w:val="5"/>
  </w:num>
  <w:num w:numId="7" w16cid:durableId="392780938">
    <w:abstractNumId w:val="0"/>
  </w:num>
  <w:num w:numId="8" w16cid:durableId="2035694718">
    <w:abstractNumId w:val="3"/>
  </w:num>
  <w:num w:numId="9" w16cid:durableId="12623002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CELS65@RCENGLISHLANGUAGESOLUTIONS.onmicrosoft.com">
    <w15:presenceInfo w15:providerId="AD" w15:userId="S::RCELS65@RCENGLISHLANGUAGESOLUTIONS.onmicrosoft.com::234bf762-3103-4e18-be2e-c3d5c668e5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71"/>
    <w:rsid w:val="00015472"/>
    <w:rsid w:val="00024D51"/>
    <w:rsid w:val="0002589E"/>
    <w:rsid w:val="00026816"/>
    <w:rsid w:val="00044356"/>
    <w:rsid w:val="00053951"/>
    <w:rsid w:val="0005402E"/>
    <w:rsid w:val="00060D20"/>
    <w:rsid w:val="00086CD4"/>
    <w:rsid w:val="000A7A09"/>
    <w:rsid w:val="000D3566"/>
    <w:rsid w:val="000D76F8"/>
    <w:rsid w:val="000F0333"/>
    <w:rsid w:val="001166CB"/>
    <w:rsid w:val="001166EE"/>
    <w:rsid w:val="00125AAD"/>
    <w:rsid w:val="00140064"/>
    <w:rsid w:val="0015228A"/>
    <w:rsid w:val="001B00BA"/>
    <w:rsid w:val="001C2B81"/>
    <w:rsid w:val="001E46EF"/>
    <w:rsid w:val="001E74EA"/>
    <w:rsid w:val="002078E8"/>
    <w:rsid w:val="00211825"/>
    <w:rsid w:val="002268D3"/>
    <w:rsid w:val="0024227D"/>
    <w:rsid w:val="00251163"/>
    <w:rsid w:val="00264A7D"/>
    <w:rsid w:val="0027091A"/>
    <w:rsid w:val="002B0E58"/>
    <w:rsid w:val="002B15BF"/>
    <w:rsid w:val="002C6A6B"/>
    <w:rsid w:val="002E4402"/>
    <w:rsid w:val="002E5B47"/>
    <w:rsid w:val="002F0D4F"/>
    <w:rsid w:val="00324325"/>
    <w:rsid w:val="00335660"/>
    <w:rsid w:val="00354F5D"/>
    <w:rsid w:val="0036442E"/>
    <w:rsid w:val="00366BE1"/>
    <w:rsid w:val="003B189B"/>
    <w:rsid w:val="003B2EF7"/>
    <w:rsid w:val="003C277D"/>
    <w:rsid w:val="003E2BD0"/>
    <w:rsid w:val="003F10F2"/>
    <w:rsid w:val="003F61B3"/>
    <w:rsid w:val="0040267B"/>
    <w:rsid w:val="0040532A"/>
    <w:rsid w:val="00413540"/>
    <w:rsid w:val="0042531F"/>
    <w:rsid w:val="004256CB"/>
    <w:rsid w:val="00426B6D"/>
    <w:rsid w:val="00445E18"/>
    <w:rsid w:val="004609D8"/>
    <w:rsid w:val="00460A63"/>
    <w:rsid w:val="00476EC1"/>
    <w:rsid w:val="00486791"/>
    <w:rsid w:val="004A058D"/>
    <w:rsid w:val="004A49E0"/>
    <w:rsid w:val="004D2DD5"/>
    <w:rsid w:val="004E3B7B"/>
    <w:rsid w:val="00504CF6"/>
    <w:rsid w:val="00517271"/>
    <w:rsid w:val="00533A54"/>
    <w:rsid w:val="00534835"/>
    <w:rsid w:val="005831E9"/>
    <w:rsid w:val="00591251"/>
    <w:rsid w:val="005A74A5"/>
    <w:rsid w:val="005B7518"/>
    <w:rsid w:val="005D1F39"/>
    <w:rsid w:val="0060110A"/>
    <w:rsid w:val="00615985"/>
    <w:rsid w:val="00641B60"/>
    <w:rsid w:val="00644758"/>
    <w:rsid w:val="006621DE"/>
    <w:rsid w:val="006711B6"/>
    <w:rsid w:val="00682658"/>
    <w:rsid w:val="00683A72"/>
    <w:rsid w:val="006849BA"/>
    <w:rsid w:val="006A613C"/>
    <w:rsid w:val="006B71B4"/>
    <w:rsid w:val="006F32E4"/>
    <w:rsid w:val="007047E6"/>
    <w:rsid w:val="00707AB8"/>
    <w:rsid w:val="007204A3"/>
    <w:rsid w:val="00726B89"/>
    <w:rsid w:val="00727683"/>
    <w:rsid w:val="00745305"/>
    <w:rsid w:val="007479B2"/>
    <w:rsid w:val="007635EE"/>
    <w:rsid w:val="007A2796"/>
    <w:rsid w:val="007A2F47"/>
    <w:rsid w:val="007B3547"/>
    <w:rsid w:val="007B729A"/>
    <w:rsid w:val="007F2DF4"/>
    <w:rsid w:val="007F6386"/>
    <w:rsid w:val="00824268"/>
    <w:rsid w:val="008406AB"/>
    <w:rsid w:val="00852DCA"/>
    <w:rsid w:val="00877587"/>
    <w:rsid w:val="0088393A"/>
    <w:rsid w:val="008B50DF"/>
    <w:rsid w:val="008D04AF"/>
    <w:rsid w:val="008F30F1"/>
    <w:rsid w:val="00932E7F"/>
    <w:rsid w:val="00946474"/>
    <w:rsid w:val="00973DDF"/>
    <w:rsid w:val="00986DF0"/>
    <w:rsid w:val="0099208A"/>
    <w:rsid w:val="009B6D73"/>
    <w:rsid w:val="009D2C2D"/>
    <w:rsid w:val="009D63CE"/>
    <w:rsid w:val="009F5DD1"/>
    <w:rsid w:val="009F6FC8"/>
    <w:rsid w:val="00A00F38"/>
    <w:rsid w:val="00A10401"/>
    <w:rsid w:val="00A12C07"/>
    <w:rsid w:val="00A13E4E"/>
    <w:rsid w:val="00A14C05"/>
    <w:rsid w:val="00A22929"/>
    <w:rsid w:val="00A24447"/>
    <w:rsid w:val="00A4796A"/>
    <w:rsid w:val="00A90CD5"/>
    <w:rsid w:val="00AB3AE2"/>
    <w:rsid w:val="00AD589F"/>
    <w:rsid w:val="00AE4D70"/>
    <w:rsid w:val="00AE7AFE"/>
    <w:rsid w:val="00AF519C"/>
    <w:rsid w:val="00AF7EC9"/>
    <w:rsid w:val="00B04A14"/>
    <w:rsid w:val="00B57F40"/>
    <w:rsid w:val="00B7638C"/>
    <w:rsid w:val="00B90F8E"/>
    <w:rsid w:val="00BB6555"/>
    <w:rsid w:val="00BE542E"/>
    <w:rsid w:val="00C00514"/>
    <w:rsid w:val="00C10690"/>
    <w:rsid w:val="00C15435"/>
    <w:rsid w:val="00C17F74"/>
    <w:rsid w:val="00C66830"/>
    <w:rsid w:val="00C94F08"/>
    <w:rsid w:val="00CC0494"/>
    <w:rsid w:val="00CC1E32"/>
    <w:rsid w:val="00CC4F50"/>
    <w:rsid w:val="00CF13FA"/>
    <w:rsid w:val="00CF436F"/>
    <w:rsid w:val="00CF59FA"/>
    <w:rsid w:val="00D02582"/>
    <w:rsid w:val="00D156C5"/>
    <w:rsid w:val="00D205A6"/>
    <w:rsid w:val="00D22684"/>
    <w:rsid w:val="00D22873"/>
    <w:rsid w:val="00D50002"/>
    <w:rsid w:val="00D53722"/>
    <w:rsid w:val="00DB550E"/>
    <w:rsid w:val="00DF51E9"/>
    <w:rsid w:val="00DF5CDE"/>
    <w:rsid w:val="00E168DC"/>
    <w:rsid w:val="00EB0386"/>
    <w:rsid w:val="00EB08C4"/>
    <w:rsid w:val="00EC2158"/>
    <w:rsid w:val="00EE1410"/>
    <w:rsid w:val="00EF41CE"/>
    <w:rsid w:val="00F12B42"/>
    <w:rsid w:val="00F15DB6"/>
    <w:rsid w:val="00F2121D"/>
    <w:rsid w:val="00F505DB"/>
    <w:rsid w:val="00F54BEE"/>
    <w:rsid w:val="00F76F2D"/>
    <w:rsid w:val="00F854FF"/>
    <w:rsid w:val="00FB438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B20E"/>
  <w15:docId w15:val="{A2D5D8A6-5472-4B14-81DF-21D2676E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EA"/>
  </w:style>
  <w:style w:type="paragraph" w:styleId="Heading1">
    <w:name w:val="heading 1"/>
    <w:basedOn w:val="Normal"/>
    <w:next w:val="Normal"/>
    <w:link w:val="Heading1Char"/>
    <w:uiPriority w:val="9"/>
    <w:qFormat/>
    <w:rsid w:val="009F5DD1"/>
    <w:pPr>
      <w:keepNext/>
      <w:keepLines/>
      <w:spacing w:before="400" w:after="120"/>
      <w:outlineLvl w:val="0"/>
    </w:pPr>
    <w:rPr>
      <w:sz w:val="28"/>
      <w:szCs w:val="40"/>
    </w:rPr>
  </w:style>
  <w:style w:type="paragraph" w:styleId="Heading2">
    <w:name w:val="heading 2"/>
    <w:basedOn w:val="Normal"/>
    <w:next w:val="Normal"/>
    <w:link w:val="Heading2Char"/>
    <w:uiPriority w:val="9"/>
    <w:unhideWhenUsed/>
    <w:qFormat/>
    <w:rsid w:val="003F62EA"/>
    <w:pPr>
      <w:keepNext/>
      <w:keepLines/>
      <w:spacing w:before="360" w:after="120"/>
      <w:outlineLvl w:val="1"/>
    </w:pPr>
    <w:rPr>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F62EA"/>
    <w:pPr>
      <w:keepNext/>
      <w:keepLines/>
      <w:spacing w:after="60"/>
    </w:pPr>
    <w:rPr>
      <w:sz w:val="52"/>
      <w:szCs w:val="52"/>
    </w:rPr>
  </w:style>
  <w:style w:type="character" w:customStyle="1" w:styleId="Heading1Char">
    <w:name w:val="Heading 1 Char"/>
    <w:basedOn w:val="DefaultParagraphFont"/>
    <w:link w:val="Heading1"/>
    <w:uiPriority w:val="9"/>
    <w:rsid w:val="009F5DD1"/>
    <w:rPr>
      <w:sz w:val="28"/>
      <w:szCs w:val="40"/>
      <w:lang w:eastAsia="en-IL"/>
    </w:rPr>
  </w:style>
  <w:style w:type="character" w:customStyle="1" w:styleId="Heading2Char">
    <w:name w:val="Heading 2 Char"/>
    <w:basedOn w:val="DefaultParagraphFont"/>
    <w:link w:val="Heading2"/>
    <w:uiPriority w:val="9"/>
    <w:rsid w:val="003F62EA"/>
    <w:rPr>
      <w:rFonts w:ascii="Arial" w:eastAsia="Arial" w:hAnsi="Arial" w:cs="Arial"/>
      <w:sz w:val="26"/>
      <w:szCs w:val="26"/>
      <w:lang w:val="en-US" w:eastAsia="en-IL"/>
    </w:rPr>
  </w:style>
  <w:style w:type="character" w:customStyle="1" w:styleId="TitleChar">
    <w:name w:val="Title Char"/>
    <w:basedOn w:val="DefaultParagraphFont"/>
    <w:link w:val="Title"/>
    <w:uiPriority w:val="10"/>
    <w:rsid w:val="003F62EA"/>
    <w:rPr>
      <w:rFonts w:ascii="Arial" w:eastAsia="Arial" w:hAnsi="Arial" w:cs="Arial"/>
      <w:sz w:val="52"/>
      <w:szCs w:val="52"/>
      <w:lang w:val="en-US" w:eastAsia="en-IL"/>
    </w:rPr>
  </w:style>
  <w:style w:type="table" w:customStyle="1" w:styleId="2">
    <w:name w:val="2"/>
    <w:basedOn w:val="TableNormal"/>
    <w:rsid w:val="003F62EA"/>
    <w:tblPr>
      <w:tblStyleRowBandSize w:val="1"/>
      <w:tblStyleColBandSize w:val="1"/>
      <w:tblCellMar>
        <w:top w:w="100" w:type="dxa"/>
        <w:left w:w="100" w:type="dxa"/>
        <w:bottom w:w="100" w:type="dxa"/>
        <w:right w:w="100" w:type="dxa"/>
      </w:tblCellMar>
    </w:tblPr>
  </w:style>
  <w:style w:type="table" w:customStyle="1" w:styleId="1">
    <w:name w:val="1"/>
    <w:basedOn w:val="TableNormal"/>
    <w:rsid w:val="003F62EA"/>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3F62EA"/>
    <w:pPr>
      <w:spacing w:line="240" w:lineRule="auto"/>
    </w:pPr>
    <w:rPr>
      <w:sz w:val="20"/>
      <w:szCs w:val="20"/>
    </w:rPr>
  </w:style>
  <w:style w:type="character" w:customStyle="1" w:styleId="CommentTextChar">
    <w:name w:val="Comment Text Char"/>
    <w:basedOn w:val="DefaultParagraphFont"/>
    <w:link w:val="CommentText"/>
    <w:uiPriority w:val="99"/>
    <w:rsid w:val="003F62EA"/>
    <w:rPr>
      <w:rFonts w:ascii="Arial" w:eastAsia="Arial" w:hAnsi="Arial" w:cs="Arial"/>
      <w:sz w:val="20"/>
      <w:szCs w:val="20"/>
      <w:lang w:val="en-US" w:eastAsia="en-IL"/>
    </w:rPr>
  </w:style>
  <w:style w:type="character" w:styleId="CommentReference">
    <w:name w:val="annotation reference"/>
    <w:basedOn w:val="DefaultParagraphFont"/>
    <w:uiPriority w:val="99"/>
    <w:semiHidden/>
    <w:unhideWhenUsed/>
    <w:rsid w:val="003F62EA"/>
    <w:rPr>
      <w:sz w:val="16"/>
      <w:szCs w:val="16"/>
    </w:rPr>
  </w:style>
  <w:style w:type="paragraph" w:styleId="ListParagraph">
    <w:name w:val="List Paragraph"/>
    <w:basedOn w:val="Normal"/>
    <w:uiPriority w:val="34"/>
    <w:qFormat/>
    <w:rsid w:val="003F62E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727683"/>
    <w:pPr>
      <w:spacing w:line="240" w:lineRule="auto"/>
    </w:pPr>
  </w:style>
  <w:style w:type="paragraph" w:styleId="CommentSubject">
    <w:name w:val="annotation subject"/>
    <w:basedOn w:val="CommentText"/>
    <w:next w:val="CommentText"/>
    <w:link w:val="CommentSubjectChar"/>
    <w:uiPriority w:val="99"/>
    <w:semiHidden/>
    <w:unhideWhenUsed/>
    <w:rsid w:val="00026816"/>
    <w:rPr>
      <w:b/>
      <w:bCs/>
    </w:rPr>
  </w:style>
  <w:style w:type="character" w:customStyle="1" w:styleId="CommentSubjectChar">
    <w:name w:val="Comment Subject Char"/>
    <w:basedOn w:val="CommentTextChar"/>
    <w:link w:val="CommentSubject"/>
    <w:uiPriority w:val="99"/>
    <w:semiHidden/>
    <w:rsid w:val="00026816"/>
    <w:rPr>
      <w:rFonts w:ascii="Arial" w:eastAsia="Arial" w:hAnsi="Arial" w:cs="Arial"/>
      <w:b/>
      <w:bCs/>
      <w:sz w:val="20"/>
      <w:szCs w:val="20"/>
      <w:lang w:val="en-US" w:eastAsia="en-IL"/>
    </w:rPr>
  </w:style>
  <w:style w:type="paragraph" w:styleId="NormalWeb">
    <w:name w:val="Normal (Web)"/>
    <w:basedOn w:val="Normal"/>
    <w:uiPriority w:val="99"/>
    <w:unhideWhenUsed/>
    <w:rsid w:val="00026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21DE"/>
    <w:rPr>
      <w:color w:val="0000FF"/>
      <w:u w:val="single"/>
    </w:rPr>
  </w:style>
  <w:style w:type="character" w:styleId="FollowedHyperlink">
    <w:name w:val="FollowedHyperlink"/>
    <w:basedOn w:val="DefaultParagraphFont"/>
    <w:uiPriority w:val="99"/>
    <w:semiHidden/>
    <w:unhideWhenUsed/>
    <w:rsid w:val="006849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263193">
      <w:bodyDiv w:val="1"/>
      <w:marLeft w:val="0"/>
      <w:marRight w:val="0"/>
      <w:marTop w:val="0"/>
      <w:marBottom w:val="0"/>
      <w:divBdr>
        <w:top w:val="none" w:sz="0" w:space="0" w:color="auto"/>
        <w:left w:val="none" w:sz="0" w:space="0" w:color="auto"/>
        <w:bottom w:val="none" w:sz="0" w:space="0" w:color="auto"/>
        <w:right w:val="none" w:sz="0" w:space="0" w:color="auto"/>
      </w:divBdr>
    </w:div>
    <w:div w:id="203453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hyperlink" Target="https://view.storydoc.com/nC6GTH3Y" TargetMode="External"/><Relationship Id="rId34" Type="http://schemas.openxmlformats.org/officeDocument/2006/relationships/chart" Target="charts/chart19.xm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4.xml"/><Relationship Id="rId29" Type="http://schemas.openxmlformats.org/officeDocument/2006/relationships/chart" Target="charts/chart14.xml"/><Relationship Id="rId11" Type="http://schemas.microsoft.com/office/2016/09/relationships/commentsIds" Target="commentsIds.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image" Target="media/image5.png"/><Relationship Id="rId53" Type="http://schemas.openxmlformats.org/officeDocument/2006/relationships/fontTable" Target="fontTable.xml"/><Relationship Id="rId5" Type="http://schemas.openxmlformats.org/officeDocument/2006/relationships/settings" Target="settings.xml"/><Relationship Id="rId10" Type="http://schemas.microsoft.com/office/2011/relationships/commentsExtended" Target="commentsExtended.xml"/><Relationship Id="rId19" Type="http://schemas.openxmlformats.org/officeDocument/2006/relationships/hyperlink" Target="https://view.storydoc.com/nC6GTH3Y" TargetMode="External"/><Relationship Id="rId31" Type="http://schemas.openxmlformats.org/officeDocument/2006/relationships/chart" Target="charts/chart16.xml"/><Relationship Id="rId44" Type="http://schemas.openxmlformats.org/officeDocument/2006/relationships/image" Target="media/image4.png"/><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chart" Target="charts/chart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image" Target="media/image3.png"/><Relationship Id="rId48"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microsoft.com/office/2018/08/relationships/commentsExtensible" Target="commentsExtensible.xml"/><Relationship Id="rId17" Type="http://schemas.openxmlformats.org/officeDocument/2006/relationships/chart" Target="charts/chart5.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image" Target="media/image6.png"/><Relationship Id="rId20" Type="http://schemas.openxmlformats.org/officeDocument/2006/relationships/hyperlink" Target="https://view.storydoc.com/nC6GTH3Y" TargetMode="External"/><Relationship Id="rId41" Type="http://schemas.openxmlformats.org/officeDocument/2006/relationships/image" Target="media/image1.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26.xml"/></Relationships>
</file>

<file path=word/_rels/footnotes.xml.rels><?xml version="1.0" encoding="UTF-8" standalone="yes"?>
<Relationships xmlns="http://schemas.openxmlformats.org/package/2006/relationships"><Relationship Id="rId3" Type="http://schemas.openxmlformats.org/officeDocument/2006/relationships/hyperlink" Target="https://view.storydoc.com/nC6GTH3Y" TargetMode="External"/><Relationship Id="rId2" Type="http://schemas.openxmlformats.org/officeDocument/2006/relationships/hyperlink" Target="https://view.storydoc.com/nC6GTH3Y" TargetMode="External"/><Relationship Id="rId1" Type="http://schemas.openxmlformats.org/officeDocument/2006/relationships/hyperlink" Target="https://view.storydoc.com/nC6GTH3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eranigelnik\Downloads\results.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Users\eranigelnik\Downloads\Final%20FInal%20Graphs%202022%20Summary.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Users\eranigelnik\Downloads\results%20(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Users\eranigelnik\Downloads\Final%20FInal%20Graphs%202022%20Summary.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 השקעות הון לפי שנה- ישראל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'Equity Israel by Year'!$B$1</c:f>
              <c:strCache>
                <c:ptCount val="1"/>
                <c:pt idx="0">
                  <c:v>סה״כ גיוסים, מיליארד $</c:v>
                </c:pt>
              </c:strCache>
            </c:strRef>
          </c:tx>
          <c:spPr>
            <a:solidFill>
              <a:schemeClr val="accent1"/>
            </a:solidFill>
            <a:ln>
              <a:noFill/>
            </a:ln>
            <a:effectLst/>
          </c:spPr>
          <c:invertIfNegative val="0"/>
          <c:cat>
            <c:strRef>
              <c:f>'Equity Israel by Year'!$A$1:$A$10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'Equity Israel by Year'!$B$2:$B$10</c:f>
              <c:numCache>
                <c:formatCode>General</c:formatCode>
                <c:ptCount val="9"/>
                <c:pt idx="0">
                  <c:v>2672651787</c:v>
                </c:pt>
                <c:pt idx="1">
                  <c:v>3889994624</c:v>
                </c:pt>
                <c:pt idx="2">
                  <c:v>5554756449</c:v>
                </c:pt>
                <c:pt idx="3">
                  <c:v>5343644083</c:v>
                </c:pt>
                <c:pt idx="4">
                  <c:v>6625834254</c:v>
                </c:pt>
                <c:pt idx="5">
                  <c:v>8249699891</c:v>
                </c:pt>
                <c:pt idx="6">
                  <c:v>11007993331</c:v>
                </c:pt>
                <c:pt idx="7">
                  <c:v>27402049302</c:v>
                </c:pt>
                <c:pt idx="8">
                  <c:v>15761624705</c:v>
                </c:pt>
              </c:numCache>
            </c:numRef>
          </c:val>
          <c:extLst>
            <c:ext xmlns:c16="http://schemas.microsoft.com/office/drawing/2014/chart" uri="{C3380CC4-5D6E-409C-BE32-E72D297353CC}">
              <c16:uniqueId val="{00000000-E768-AA4F-9B15-435203039AAB}"/>
            </c:ext>
          </c:extLst>
        </c:ser>
        <c:dLbls>
          <c:showLegendKey val="0"/>
          <c:showVal val="0"/>
          <c:showCatName val="0"/>
          <c:showSerName val="0"/>
          <c:showPercent val="0"/>
          <c:showBubbleSize val="0"/>
        </c:dLbls>
        <c:gapWidth val="150"/>
        <c:axId val="517146319"/>
        <c:axId val="687455567"/>
      </c:barChart>
      <c:lineChart>
        <c:grouping val="standard"/>
        <c:varyColors val="0"/>
        <c:ser>
          <c:idx val="2"/>
          <c:order val="1"/>
          <c:tx>
            <c:strRef>
              <c:f>'Equity Israel by Year'!$C$1</c:f>
              <c:strCache>
                <c:ptCount val="1"/>
                <c:pt idx="0">
                  <c:v>מספר סבבים</c:v>
                </c:pt>
              </c:strCache>
            </c:strRef>
          </c:tx>
          <c:spPr>
            <a:ln w="47625" cap="rnd">
              <a:solidFill>
                <a:schemeClr val="accent2"/>
              </a:solidFill>
              <a:round/>
            </a:ln>
            <a:effectLst/>
          </c:spPr>
          <c:marker>
            <c:symbol val="none"/>
          </c:marker>
          <c:dLbls>
            <c:dLbl>
              <c:idx val="7"/>
              <c:layout>
                <c:manualLayout>
                  <c:x val="-7.9283456269757788E-2"/>
                  <c:y val="-4.191279887482445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68-AA4F-9B15-435203039A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'Equity Israel by Year'!$C$2:$C$10</c:f>
              <c:numCache>
                <c:formatCode>General</c:formatCode>
                <c:ptCount val="9"/>
                <c:pt idx="0">
                  <c:v>586</c:v>
                </c:pt>
                <c:pt idx="1">
                  <c:v>734</c:v>
                </c:pt>
                <c:pt idx="2">
                  <c:v>770</c:v>
                </c:pt>
                <c:pt idx="3">
                  <c:v>768</c:v>
                </c:pt>
                <c:pt idx="4">
                  <c:v>934</c:v>
                </c:pt>
                <c:pt idx="5">
                  <c:v>905</c:v>
                </c:pt>
                <c:pt idx="6">
                  <c:v>878</c:v>
                </c:pt>
                <c:pt idx="7">
                  <c:v>1081</c:v>
                </c:pt>
                <c:pt idx="8">
                  <c:v>787</c:v>
                </c:pt>
              </c:numCache>
            </c:numRef>
          </c:val>
          <c:smooth val="0"/>
          <c:extLst>
            <c:ext xmlns:c16="http://schemas.microsoft.com/office/drawing/2014/chart" uri="{C3380CC4-5D6E-409C-BE32-E72D297353CC}">
              <c16:uniqueId val="{00000002-E768-AA4F-9B15-435203039AAB}"/>
            </c:ext>
          </c:extLst>
        </c:ser>
        <c:dLbls>
          <c:showLegendKey val="0"/>
          <c:showVal val="0"/>
          <c:showCatName val="0"/>
          <c:showSerName val="0"/>
          <c:showPercent val="0"/>
          <c:showBubbleSize val="0"/>
        </c:dLbls>
        <c:marker val="1"/>
        <c:smooth val="0"/>
        <c:axId val="602626191"/>
        <c:axId val="602134415"/>
      </c:lineChart>
      <c:catAx>
        <c:axId val="51714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87455567"/>
        <c:crosses val="autoZero"/>
        <c:auto val="1"/>
        <c:lblAlgn val="ctr"/>
        <c:lblOffset val="100"/>
        <c:noMultiLvlLbl val="0"/>
      </c:catAx>
      <c:valAx>
        <c:axId val="687455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17146319"/>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602134415"/>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IL"/>
          </a:p>
        </c:txPr>
        <c:crossAx val="602626191"/>
        <c:crosses val="max"/>
        <c:crossBetween val="between"/>
      </c:valAx>
      <c:catAx>
        <c:axId val="602626191"/>
        <c:scaling>
          <c:orientation val="minMax"/>
        </c:scaling>
        <c:delete val="1"/>
        <c:axPos val="b"/>
        <c:majorTickMark val="none"/>
        <c:minorTickMark val="none"/>
        <c:tickLblPos val="nextTo"/>
        <c:crossAx val="6021344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10: Number of M&amp;A's and Total amount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1"/>
          <c:tx>
            <c:strRef>
              <c:f>'MNA''s'!$C$36</c:f>
              <c:strCache>
                <c:ptCount val="1"/>
                <c:pt idx="0">
                  <c:v>Total Amount</c:v>
                </c:pt>
              </c:strCache>
            </c:strRef>
          </c:tx>
          <c:spPr>
            <a:solidFill>
              <a:schemeClr val="accent1"/>
            </a:solidFill>
            <a:ln>
              <a:solidFill>
                <a:schemeClr val="accent1"/>
              </a:solidFill>
            </a:ln>
            <a:effectLst/>
          </c:spPr>
          <c:invertIfNegative val="0"/>
          <c:cat>
            <c:strRef>
              <c:f>'MNA''s'!$A$37:$A$54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'MNA''s'!$C$37:$C$54</c:f>
              <c:numCache>
                <c:formatCode>General</c:formatCode>
                <c:ptCount val="18"/>
                <c:pt idx="0">
                  <c:v>2634571000</c:v>
                </c:pt>
                <c:pt idx="1">
                  <c:v>1857800000</c:v>
                </c:pt>
                <c:pt idx="2">
                  <c:v>2165400000</c:v>
                </c:pt>
                <c:pt idx="3">
                  <c:v>2130026000</c:v>
                </c:pt>
                <c:pt idx="4">
                  <c:v>3755599994</c:v>
                </c:pt>
                <c:pt idx="5">
                  <c:v>847500000</c:v>
                </c:pt>
                <c:pt idx="6">
                  <c:v>2570000000</c:v>
                </c:pt>
                <c:pt idx="7">
                  <c:v>4191100000</c:v>
                </c:pt>
                <c:pt idx="8">
                  <c:v>1093970000</c:v>
                </c:pt>
                <c:pt idx="9">
                  <c:v>1414500001</c:v>
                </c:pt>
                <c:pt idx="10">
                  <c:v>3549000000</c:v>
                </c:pt>
                <c:pt idx="11">
                  <c:v>3437300000</c:v>
                </c:pt>
                <c:pt idx="12">
                  <c:v>3199104471</c:v>
                </c:pt>
                <c:pt idx="13">
                  <c:v>701566000</c:v>
                </c:pt>
                <c:pt idx="14">
                  <c:v>2029600000</c:v>
                </c:pt>
                <c:pt idx="15">
                  <c:v>6671245000</c:v>
                </c:pt>
                <c:pt idx="16">
                  <c:v>3738400000</c:v>
                </c:pt>
                <c:pt idx="17">
                  <c:v>1168000000</c:v>
                </c:pt>
              </c:numCache>
            </c:numRef>
          </c:val>
          <c:extLst>
            <c:ext xmlns:c16="http://schemas.microsoft.com/office/drawing/2014/chart" uri="{C3380CC4-5D6E-409C-BE32-E72D297353CC}">
              <c16:uniqueId val="{00000000-1DD5-6B48-ADC1-6F496D93A2D9}"/>
            </c:ext>
          </c:extLst>
        </c:ser>
        <c:dLbls>
          <c:showLegendKey val="0"/>
          <c:showVal val="0"/>
          <c:showCatName val="0"/>
          <c:showSerName val="0"/>
          <c:showPercent val="0"/>
          <c:showBubbleSize val="0"/>
        </c:dLbls>
        <c:gapWidth val="150"/>
        <c:axId val="205340047"/>
        <c:axId val="205337599"/>
      </c:barChart>
      <c:lineChart>
        <c:grouping val="standard"/>
        <c:varyColors val="0"/>
        <c:ser>
          <c:idx val="0"/>
          <c:order val="0"/>
          <c:tx>
            <c:strRef>
              <c:f>'MNA''s'!$B$36</c:f>
              <c:strCache>
                <c:ptCount val="1"/>
                <c:pt idx="0">
                  <c:v>M&amp;A's</c:v>
                </c:pt>
              </c:strCache>
            </c:strRef>
          </c:tx>
          <c:spPr>
            <a:ln w="28575" cap="rnd">
              <a:solidFill>
                <a:schemeClr val="accent2"/>
              </a:solidFill>
              <a:round/>
            </a:ln>
            <a:effectLst/>
          </c:spPr>
          <c:marker>
            <c:symbol val="none"/>
          </c:marker>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D5-6B48-ADC1-6F496D93A2D9}"/>
                </c:ext>
              </c:extLst>
            </c:dLbl>
            <c:dLbl>
              <c:idx val="17"/>
              <c:layout>
                <c:manualLayout>
                  <c:x val="-1.3395847287340924E-3"/>
                  <c:y val="-3.1569173630455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D5-6B48-ADC1-6F496D93A2D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'MNA''s'!$A$37:$A$54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'MNA''s'!$B$37:$B$54</c:f>
              <c:numCache>
                <c:formatCode>General</c:formatCode>
                <c:ptCount val="18"/>
                <c:pt idx="0">
                  <c:v>44</c:v>
                </c:pt>
                <c:pt idx="1">
                  <c:v>42</c:v>
                </c:pt>
                <c:pt idx="2">
                  <c:v>48</c:v>
                </c:pt>
                <c:pt idx="3">
                  <c:v>52</c:v>
                </c:pt>
                <c:pt idx="4">
                  <c:v>60</c:v>
                </c:pt>
                <c:pt idx="5">
                  <c:v>38</c:v>
                </c:pt>
                <c:pt idx="6">
                  <c:v>62</c:v>
                </c:pt>
                <c:pt idx="7">
                  <c:v>56</c:v>
                </c:pt>
                <c:pt idx="8">
                  <c:v>49</c:v>
                </c:pt>
                <c:pt idx="9">
                  <c:v>43</c:v>
                </c:pt>
                <c:pt idx="10">
                  <c:v>51</c:v>
                </c:pt>
                <c:pt idx="11">
                  <c:v>56</c:v>
                </c:pt>
                <c:pt idx="12">
                  <c:v>57</c:v>
                </c:pt>
                <c:pt idx="13">
                  <c:v>46</c:v>
                </c:pt>
                <c:pt idx="14">
                  <c:v>76</c:v>
                </c:pt>
                <c:pt idx="15">
                  <c:v>86</c:v>
                </c:pt>
                <c:pt idx="16">
                  <c:v>56</c:v>
                </c:pt>
                <c:pt idx="17">
                  <c:v>33</c:v>
                </c:pt>
              </c:numCache>
            </c:numRef>
          </c:val>
          <c:smooth val="0"/>
          <c:extLst>
            <c:ext xmlns:c16="http://schemas.microsoft.com/office/drawing/2014/chart" uri="{C3380CC4-5D6E-409C-BE32-E72D297353CC}">
              <c16:uniqueId val="{00000003-1DD5-6B48-ADC1-6F496D93A2D9}"/>
            </c:ext>
          </c:extLst>
        </c:ser>
        <c:dLbls>
          <c:showLegendKey val="0"/>
          <c:showVal val="0"/>
          <c:showCatName val="0"/>
          <c:showSerName val="0"/>
          <c:showPercent val="0"/>
          <c:showBubbleSize val="0"/>
        </c:dLbls>
        <c:marker val="1"/>
        <c:smooth val="0"/>
        <c:axId val="541335615"/>
        <c:axId val="2142391360"/>
      </c:lineChart>
      <c:catAx>
        <c:axId val="541335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42391360"/>
        <c:crosses val="autoZero"/>
        <c:auto val="1"/>
        <c:lblAlgn val="ctr"/>
        <c:lblOffset val="100"/>
        <c:noMultiLvlLbl val="0"/>
      </c:catAx>
      <c:valAx>
        <c:axId val="214239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41335615"/>
        <c:crosses val="autoZero"/>
        <c:crossBetween val="between"/>
      </c:valAx>
      <c:valAx>
        <c:axId val="20533759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340047"/>
        <c:crosses val="max"/>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catAx>
        <c:axId val="205340047"/>
        <c:scaling>
          <c:orientation val="minMax"/>
        </c:scaling>
        <c:delete val="1"/>
        <c:axPos val="b"/>
        <c:numFmt formatCode="General" sourceLinked="1"/>
        <c:majorTickMark val="out"/>
        <c:minorTickMark val="none"/>
        <c:tickLblPos val="nextTo"/>
        <c:crossAx val="20533759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11: IPO's &amp; Spacs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stacked"/>
        <c:varyColors val="0"/>
        <c:ser>
          <c:idx val="0"/>
          <c:order val="0"/>
          <c:tx>
            <c:strRef>
              <c:f>'IPO''s'!$B$1</c:f>
              <c:strCache>
                <c:ptCount val="1"/>
                <c:pt idx="0">
                  <c:v>IPO</c:v>
                </c:pt>
              </c:strCache>
            </c:strRef>
          </c:tx>
          <c:spPr>
            <a:solidFill>
              <a:schemeClr val="accent1"/>
            </a:solidFill>
            <a:ln>
              <a:noFill/>
            </a:ln>
            <a:effectLst/>
          </c:spPr>
          <c:invertIfNegative val="0"/>
          <c:cat>
            <c:numRef>
              <c:f>'IPO''s'!$A$2:$A$10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'IPO''s'!$B$2:$B$10</c:f>
              <c:numCache>
                <c:formatCode>General</c:formatCode>
                <c:ptCount val="9"/>
                <c:pt idx="0">
                  <c:v>20</c:v>
                </c:pt>
                <c:pt idx="1">
                  <c:v>11</c:v>
                </c:pt>
                <c:pt idx="2">
                  <c:v>15</c:v>
                </c:pt>
                <c:pt idx="3">
                  <c:v>14</c:v>
                </c:pt>
                <c:pt idx="4">
                  <c:v>12</c:v>
                </c:pt>
                <c:pt idx="5">
                  <c:v>11</c:v>
                </c:pt>
                <c:pt idx="6">
                  <c:v>22</c:v>
                </c:pt>
                <c:pt idx="7">
                  <c:v>65</c:v>
                </c:pt>
                <c:pt idx="8">
                  <c:v>12</c:v>
                </c:pt>
              </c:numCache>
            </c:numRef>
          </c:val>
          <c:extLst>
            <c:ext xmlns:c16="http://schemas.microsoft.com/office/drawing/2014/chart" uri="{C3380CC4-5D6E-409C-BE32-E72D297353CC}">
              <c16:uniqueId val="{00000000-2FE3-9B40-A9C9-8B1C09BFD3C3}"/>
            </c:ext>
          </c:extLst>
        </c:ser>
        <c:ser>
          <c:idx val="1"/>
          <c:order val="1"/>
          <c:tx>
            <c:strRef>
              <c:f>'IPO''s'!$C$1</c:f>
              <c:strCache>
                <c:ptCount val="1"/>
                <c:pt idx="0">
                  <c:v>SPAC</c:v>
                </c:pt>
              </c:strCache>
            </c:strRef>
          </c:tx>
          <c:spPr>
            <a:solidFill>
              <a:schemeClr val="accent2"/>
            </a:solidFill>
            <a:ln>
              <a:noFill/>
            </a:ln>
            <a:effectLst/>
          </c:spPr>
          <c:invertIfNegative val="0"/>
          <c:cat>
            <c:numRef>
              <c:f>'IPO''s'!$A$2:$A$10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'IPO''s'!$C$2:$C$10</c:f>
              <c:numCache>
                <c:formatCode>General</c:formatCode>
                <c:ptCount val="9"/>
                <c:pt idx="7">
                  <c:v>11</c:v>
                </c:pt>
                <c:pt idx="8">
                  <c:v>4</c:v>
                </c:pt>
              </c:numCache>
            </c:numRef>
          </c:val>
          <c:extLst>
            <c:ext xmlns:c16="http://schemas.microsoft.com/office/drawing/2014/chart" uri="{C3380CC4-5D6E-409C-BE32-E72D297353CC}">
              <c16:uniqueId val="{00000001-2FE3-9B40-A9C9-8B1C09BFD3C3}"/>
            </c:ext>
          </c:extLst>
        </c:ser>
        <c:dLbls>
          <c:showLegendKey val="0"/>
          <c:showVal val="0"/>
          <c:showCatName val="0"/>
          <c:showSerName val="0"/>
          <c:showPercent val="0"/>
          <c:showBubbleSize val="0"/>
        </c:dLbls>
        <c:gapWidth val="150"/>
        <c:overlap val="100"/>
        <c:axId val="205166143"/>
        <c:axId val="205405951"/>
      </c:barChart>
      <c:catAx>
        <c:axId val="205166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405951"/>
        <c:crosses val="autoZero"/>
        <c:auto val="1"/>
        <c:lblAlgn val="ctr"/>
        <c:lblOffset val="100"/>
        <c:noMultiLvlLbl val="0"/>
      </c:catAx>
      <c:valAx>
        <c:axId val="205405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166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12: IPO's &amp; Spacs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stacked"/>
        <c:varyColors val="0"/>
        <c:ser>
          <c:idx val="0"/>
          <c:order val="0"/>
          <c:tx>
            <c:strRef>
              <c:f>'IPO''s'!$B$21</c:f>
              <c:strCache>
                <c:ptCount val="1"/>
                <c:pt idx="0">
                  <c:v>IPO</c:v>
                </c:pt>
              </c:strCache>
            </c:strRef>
          </c:tx>
          <c:spPr>
            <a:solidFill>
              <a:schemeClr val="accent1"/>
            </a:solidFill>
            <a:ln>
              <a:noFill/>
            </a:ln>
            <a:effectLst/>
          </c:spPr>
          <c:invertIfNegative val="0"/>
          <c:cat>
            <c:strRef>
              <c:f>'IPO''s'!$A$22:$A$39</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'IPO''s'!$B$22:$B$39</c:f>
              <c:numCache>
                <c:formatCode>General</c:formatCode>
                <c:ptCount val="18"/>
                <c:pt idx="0">
                  <c:v>10</c:v>
                </c:pt>
                <c:pt idx="1">
                  <c:v>10</c:v>
                </c:pt>
                <c:pt idx="2">
                  <c:v>7</c:v>
                </c:pt>
                <c:pt idx="3">
                  <c:v>4</c:v>
                </c:pt>
                <c:pt idx="4">
                  <c:v>6</c:v>
                </c:pt>
                <c:pt idx="5">
                  <c:v>9</c:v>
                </c:pt>
                <c:pt idx="6">
                  <c:v>8</c:v>
                </c:pt>
                <c:pt idx="7">
                  <c:v>6</c:v>
                </c:pt>
                <c:pt idx="8">
                  <c:v>5</c:v>
                </c:pt>
                <c:pt idx="9">
                  <c:v>7</c:v>
                </c:pt>
                <c:pt idx="10">
                  <c:v>5</c:v>
                </c:pt>
                <c:pt idx="11">
                  <c:v>6</c:v>
                </c:pt>
                <c:pt idx="12">
                  <c:v>3</c:v>
                </c:pt>
                <c:pt idx="13">
                  <c:v>19</c:v>
                </c:pt>
                <c:pt idx="14">
                  <c:v>42</c:v>
                </c:pt>
                <c:pt idx="15">
                  <c:v>23</c:v>
                </c:pt>
                <c:pt idx="16">
                  <c:v>10</c:v>
                </c:pt>
                <c:pt idx="17">
                  <c:v>2</c:v>
                </c:pt>
              </c:numCache>
            </c:numRef>
          </c:val>
          <c:extLst>
            <c:ext xmlns:c16="http://schemas.microsoft.com/office/drawing/2014/chart" uri="{C3380CC4-5D6E-409C-BE32-E72D297353CC}">
              <c16:uniqueId val="{00000000-3A0A-1444-A838-0A17B110281D}"/>
            </c:ext>
          </c:extLst>
        </c:ser>
        <c:ser>
          <c:idx val="1"/>
          <c:order val="1"/>
          <c:tx>
            <c:strRef>
              <c:f>'IPO''s'!$C$21</c:f>
              <c:strCache>
                <c:ptCount val="1"/>
                <c:pt idx="0">
                  <c:v>SPAC</c:v>
                </c:pt>
              </c:strCache>
            </c:strRef>
          </c:tx>
          <c:spPr>
            <a:solidFill>
              <a:schemeClr val="accent2"/>
            </a:solidFill>
            <a:ln>
              <a:noFill/>
            </a:ln>
            <a:effectLst/>
          </c:spPr>
          <c:invertIfNegative val="0"/>
          <c:cat>
            <c:strRef>
              <c:f>'IPO''s'!$A$22:$A$39</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'IPO''s'!$C$22:$C$39</c:f>
              <c:numCache>
                <c:formatCode>General</c:formatCode>
                <c:ptCount val="18"/>
                <c:pt idx="14">
                  <c:v>6</c:v>
                </c:pt>
                <c:pt idx="15">
                  <c:v>3</c:v>
                </c:pt>
                <c:pt idx="16">
                  <c:v>3</c:v>
                </c:pt>
                <c:pt idx="17">
                  <c:v>1</c:v>
                </c:pt>
              </c:numCache>
            </c:numRef>
          </c:val>
          <c:extLst>
            <c:ext xmlns:c16="http://schemas.microsoft.com/office/drawing/2014/chart" uri="{C3380CC4-5D6E-409C-BE32-E72D297353CC}">
              <c16:uniqueId val="{00000001-3A0A-1444-A838-0A17B110281D}"/>
            </c:ext>
          </c:extLst>
        </c:ser>
        <c:dLbls>
          <c:showLegendKey val="0"/>
          <c:showVal val="0"/>
          <c:showCatName val="0"/>
          <c:showSerName val="0"/>
          <c:showPercent val="0"/>
          <c:showBubbleSize val="0"/>
        </c:dLbls>
        <c:gapWidth val="150"/>
        <c:overlap val="100"/>
        <c:axId val="204566543"/>
        <c:axId val="204992559"/>
      </c:barChart>
      <c:catAx>
        <c:axId val="20456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992559"/>
        <c:crosses val="autoZero"/>
        <c:auto val="1"/>
        <c:lblAlgn val="ctr"/>
        <c:lblOffset val="100"/>
        <c:noMultiLvlLbl val="0"/>
      </c:catAx>
      <c:valAx>
        <c:axId val="2049925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4566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13: Revenue VS Market Cap: Israeli Publicly Traded Companies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'Public Companies'!$C$2:$C$273</c:f>
              <c:numCache>
                <c:formatCode>General</c:formatCode>
                <c:ptCount val="272"/>
                <c:pt idx="0" formatCode="0.00%">
                  <c:v>-0.18190000000000001</c:v>
                </c:pt>
                <c:pt idx="1">
                  <c:v>#N/A</c:v>
                </c:pt>
                <c:pt idx="2" formatCode="0.00%">
                  <c:v>-0.18590000000000001</c:v>
                </c:pt>
                <c:pt idx="3" formatCode="0.00%">
                  <c:v>-0.81679999999999997</c:v>
                </c:pt>
                <c:pt idx="4" formatCode="0.00%">
                  <c:v>-0.83230000000000004</c:v>
                </c:pt>
                <c:pt idx="5" formatCode="0.00%">
                  <c:v>1.9300000000000001E-2</c:v>
                </c:pt>
                <c:pt idx="6" formatCode="0.00%">
                  <c:v>-0.5353</c:v>
                </c:pt>
                <c:pt idx="7" formatCode="0.00%">
                  <c:v>-0.25559999999999999</c:v>
                </c:pt>
                <c:pt idx="8" formatCode="0.00%">
                  <c:v>-0.60499999999999998</c:v>
                </c:pt>
                <c:pt idx="9" formatCode="0.00%">
                  <c:v>-0.13969999999999999</c:v>
                </c:pt>
                <c:pt idx="10" formatCode="0.00%">
                  <c:v>-0.72060000000000002</c:v>
                </c:pt>
                <c:pt idx="11" formatCode="0.00%">
                  <c:v>-0.50149999999999995</c:v>
                </c:pt>
                <c:pt idx="12" formatCode="0.00%">
                  <c:v>-0.42120000000000002</c:v>
                </c:pt>
                <c:pt idx="13">
                  <c:v>#N/A</c:v>
                </c:pt>
                <c:pt idx="14" formatCode="0.00%">
                  <c:v>-0.25650000000000001</c:v>
                </c:pt>
                <c:pt idx="15">
                  <c:v>#N/A</c:v>
                </c:pt>
                <c:pt idx="16" formatCode="0.00%">
                  <c:v>-0.69440000000000002</c:v>
                </c:pt>
                <c:pt idx="17" formatCode="0.00%">
                  <c:v>-0.44340000000000002</c:v>
                </c:pt>
                <c:pt idx="18">
                  <c:v>#N/A</c:v>
                </c:pt>
                <c:pt idx="19" formatCode="0.00%">
                  <c:v>-0.81</c:v>
                </c:pt>
                <c:pt idx="20" formatCode="0.00%">
                  <c:v>2.81E-2</c:v>
                </c:pt>
                <c:pt idx="21" formatCode="0.00%">
                  <c:v>0.1186</c:v>
                </c:pt>
                <c:pt idx="22" formatCode="0.00%">
                  <c:v>-0.34560000000000002</c:v>
                </c:pt>
                <c:pt idx="23" formatCode="0.00%">
                  <c:v>-0.68400000000000005</c:v>
                </c:pt>
                <c:pt idx="24" formatCode="0.00%">
                  <c:v>-0.7389</c:v>
                </c:pt>
                <c:pt idx="25">
                  <c:v>#N/A</c:v>
                </c:pt>
                <c:pt idx="26" formatCode="0.00%">
                  <c:v>-0.61370000000000002</c:v>
                </c:pt>
                <c:pt idx="27" formatCode="0.00%">
                  <c:v>-0.1158</c:v>
                </c:pt>
                <c:pt idx="28" formatCode="0.00%">
                  <c:v>-0.59670000000000001</c:v>
                </c:pt>
                <c:pt idx="29">
                  <c:v>#N/A</c:v>
                </c:pt>
                <c:pt idx="30" formatCode="0.00%">
                  <c:v>-0.27360000000000001</c:v>
                </c:pt>
                <c:pt idx="31" formatCode="0.00%">
                  <c:v>-0.55689999999999995</c:v>
                </c:pt>
                <c:pt idx="32" formatCode="0.00%">
                  <c:v>-0.31919999999999998</c:v>
                </c:pt>
                <c:pt idx="33" formatCode="0.00%">
                  <c:v>-0.29870000000000002</c:v>
                </c:pt>
                <c:pt idx="34" formatCode="0.00%">
                  <c:v>-0.63970000000000005</c:v>
                </c:pt>
                <c:pt idx="35" formatCode="0.00%">
                  <c:v>-0.78749999999999998</c:v>
                </c:pt>
                <c:pt idx="36" formatCode="0.00%">
                  <c:v>-0.3327</c:v>
                </c:pt>
                <c:pt idx="37" formatCode="0.00%">
                  <c:v>3.7900000000000003E-2</c:v>
                </c:pt>
                <c:pt idx="38" formatCode="0.00%">
                  <c:v>-0.40139999999999998</c:v>
                </c:pt>
                <c:pt idx="39" formatCode="0.00%">
                  <c:v>-0.88500000000000001</c:v>
                </c:pt>
                <c:pt idx="40" formatCode="0.00%">
                  <c:v>-0.84299999999999997</c:v>
                </c:pt>
                <c:pt idx="41" formatCode="0.00%">
                  <c:v>-0.62490000000000001</c:v>
                </c:pt>
                <c:pt idx="42" formatCode="0.00%">
                  <c:v>-0.23910000000000001</c:v>
                </c:pt>
                <c:pt idx="43" formatCode="0.00%">
                  <c:v>0.12570000000000001</c:v>
                </c:pt>
                <c:pt idx="44">
                  <c:v>#N/A</c:v>
                </c:pt>
                <c:pt idx="45" formatCode="0.00%">
                  <c:v>-0.48170000000000002</c:v>
                </c:pt>
                <c:pt idx="46" formatCode="0.00%">
                  <c:v>-0.18179999999999999</c:v>
                </c:pt>
                <c:pt idx="47" formatCode="0.00%">
                  <c:v>-0.3866</c:v>
                </c:pt>
                <c:pt idx="48">
                  <c:v>#N/A</c:v>
                </c:pt>
                <c:pt idx="49" formatCode="0.00%">
                  <c:v>-0.5635</c:v>
                </c:pt>
                <c:pt idx="50">
                  <c:v>#N/A</c:v>
                </c:pt>
                <c:pt idx="51" formatCode="0.00%">
                  <c:v>-0.72670000000000001</c:v>
                </c:pt>
                <c:pt idx="52" formatCode="0.00%">
                  <c:v>-0.94930000000000003</c:v>
                </c:pt>
                <c:pt idx="53" formatCode="0.00%">
                  <c:v>-0.4899</c:v>
                </c:pt>
                <c:pt idx="54">
                  <c:v>#N/A</c:v>
                </c:pt>
                <c:pt idx="55">
                  <c:v>#N/A</c:v>
                </c:pt>
                <c:pt idx="56" formatCode="0.00%">
                  <c:v>-0.62609999999999999</c:v>
                </c:pt>
                <c:pt idx="57">
                  <c:v>#N/A</c:v>
                </c:pt>
                <c:pt idx="58">
                  <c:v>#N/A</c:v>
                </c:pt>
                <c:pt idx="59">
                  <c:v>#N/A</c:v>
                </c:pt>
                <c:pt idx="60" formatCode="0.00%">
                  <c:v>-0.1515</c:v>
                </c:pt>
                <c:pt idx="61" formatCode="0.00%">
                  <c:v>-0.63019999999999998</c:v>
                </c:pt>
                <c:pt idx="62" formatCode="0.00%">
                  <c:v>-0.12609999999999999</c:v>
                </c:pt>
                <c:pt idx="63" formatCode="0.00%">
                  <c:v>-0.43390000000000001</c:v>
                </c:pt>
                <c:pt idx="64" formatCode="0.00%">
                  <c:v>-0.23300000000000001</c:v>
                </c:pt>
                <c:pt idx="65" formatCode="0.00%">
                  <c:v>-0.71050000000000002</c:v>
                </c:pt>
                <c:pt idx="66" formatCode="0.00%">
                  <c:v>-0.30549999999999999</c:v>
                </c:pt>
                <c:pt idx="67" formatCode="0.00%">
                  <c:v>-0.23519999999999999</c:v>
                </c:pt>
                <c:pt idx="68" formatCode="0.00%">
                  <c:v>-0.17710000000000001</c:v>
                </c:pt>
                <c:pt idx="69" formatCode="0.00%">
                  <c:v>-9.2399999999999996E-2</c:v>
                </c:pt>
                <c:pt idx="70" formatCode="0.00%">
                  <c:v>-0.5716</c:v>
                </c:pt>
                <c:pt idx="71" formatCode="0.00%">
                  <c:v>-0.38290000000000002</c:v>
                </c:pt>
                <c:pt idx="72" formatCode="0.00%">
                  <c:v>-0.52939999999999998</c:v>
                </c:pt>
                <c:pt idx="73" formatCode="0.00%">
                  <c:v>-0.31380000000000002</c:v>
                </c:pt>
                <c:pt idx="74" formatCode="0.00%">
                  <c:v>-0.47370000000000001</c:v>
                </c:pt>
                <c:pt idx="75" formatCode="0.00%">
                  <c:v>-0.71719999999999995</c:v>
                </c:pt>
                <c:pt idx="76" formatCode="0.00%">
                  <c:v>-0.1198</c:v>
                </c:pt>
                <c:pt idx="77">
                  <c:v>#N/A</c:v>
                </c:pt>
                <c:pt idx="78" formatCode="0.00%">
                  <c:v>-0.1024</c:v>
                </c:pt>
                <c:pt idx="79" formatCode="0.00%">
                  <c:v>-0.46479999999999999</c:v>
                </c:pt>
                <c:pt idx="80" formatCode="0.00%">
                  <c:v>-0.68720000000000003</c:v>
                </c:pt>
                <c:pt idx="81">
                  <c:v>#N/A</c:v>
                </c:pt>
                <c:pt idx="82">
                  <c:v>#N/A</c:v>
                </c:pt>
                <c:pt idx="83" formatCode="0.00%">
                  <c:v>-0.32129999999999997</c:v>
                </c:pt>
                <c:pt idx="84">
                  <c:v>#N/A</c:v>
                </c:pt>
                <c:pt idx="85" formatCode="0.00%">
                  <c:v>-0.36270000000000002</c:v>
                </c:pt>
                <c:pt idx="86">
                  <c:v>#N/A</c:v>
                </c:pt>
                <c:pt idx="87" formatCode="0.00%">
                  <c:v>0</c:v>
                </c:pt>
                <c:pt idx="88" formatCode="0.00%">
                  <c:v>-0.74039999999999995</c:v>
                </c:pt>
                <c:pt idx="89" formatCode="0.00%">
                  <c:v>-0.59230000000000005</c:v>
                </c:pt>
                <c:pt idx="90" formatCode="0.00%">
                  <c:v>-4.1500000000000002E-2</c:v>
                </c:pt>
                <c:pt idx="91" formatCode="0.00%">
                  <c:v>-9.5000000000000001E-2</c:v>
                </c:pt>
                <c:pt idx="92" formatCode="0.00%">
                  <c:v>-0.58179999999999998</c:v>
                </c:pt>
                <c:pt idx="93" formatCode="0.00%">
                  <c:v>-0.2656</c:v>
                </c:pt>
                <c:pt idx="94" formatCode="0.00%">
                  <c:v>-0.69010000000000005</c:v>
                </c:pt>
                <c:pt idx="95" formatCode="0.00%">
                  <c:v>-0.82040000000000002</c:v>
                </c:pt>
                <c:pt idx="96">
                  <c:v>#N/A</c:v>
                </c:pt>
                <c:pt idx="97" formatCode="0.00%">
                  <c:v>0.11700000000000001</c:v>
                </c:pt>
                <c:pt idx="98" formatCode="0.00%">
                  <c:v>-0.53739999999999999</c:v>
                </c:pt>
                <c:pt idx="99" formatCode="0.00%">
                  <c:v>-0.53569999999999995</c:v>
                </c:pt>
                <c:pt idx="100">
                  <c:v>#N/A</c:v>
                </c:pt>
                <c:pt idx="101" formatCode="0.00%">
                  <c:v>-0.74009999999999998</c:v>
                </c:pt>
                <c:pt idx="102" formatCode="0.00%">
                  <c:v>-0.36880000000000002</c:v>
                </c:pt>
                <c:pt idx="103" formatCode="0.00%">
                  <c:v>-0.50509999999999999</c:v>
                </c:pt>
                <c:pt idx="104" formatCode="0.00%">
                  <c:v>-0.46079999999999999</c:v>
                </c:pt>
                <c:pt idx="105" formatCode="0.00%">
                  <c:v>-0.54630000000000001</c:v>
                </c:pt>
                <c:pt idx="106" formatCode="0.00%">
                  <c:v>-0.59509999999999996</c:v>
                </c:pt>
                <c:pt idx="107">
                  <c:v>#N/A</c:v>
                </c:pt>
                <c:pt idx="108" formatCode="0.00%">
                  <c:v>-0.38919999999999999</c:v>
                </c:pt>
                <c:pt idx="109" formatCode="0.00%">
                  <c:v>-0.76290000000000002</c:v>
                </c:pt>
                <c:pt idx="110" formatCode="0.00%">
                  <c:v>-0.52059999999999995</c:v>
                </c:pt>
                <c:pt idx="111" formatCode="0.00%">
                  <c:v>-0.70830000000000004</c:v>
                </c:pt>
                <c:pt idx="112" formatCode="0.00%">
                  <c:v>0.34079999999999999</c:v>
                </c:pt>
                <c:pt idx="113" formatCode="0.00%">
                  <c:v>-0.45290000000000002</c:v>
                </c:pt>
                <c:pt idx="114" formatCode="0.00%">
                  <c:v>-0.44330000000000003</c:v>
                </c:pt>
                <c:pt idx="115" formatCode="0.00%">
                  <c:v>-0.60709999999999997</c:v>
                </c:pt>
                <c:pt idx="116" formatCode="0.00%">
                  <c:v>-0.1802</c:v>
                </c:pt>
                <c:pt idx="117" formatCode="0.00%">
                  <c:v>-0.72209999999999996</c:v>
                </c:pt>
                <c:pt idx="118" formatCode="0.00%">
                  <c:v>-0.47389999999999999</c:v>
                </c:pt>
                <c:pt idx="119" formatCode="0.00%">
                  <c:v>-0.4672</c:v>
                </c:pt>
                <c:pt idx="120" formatCode="0.00%">
                  <c:v>-0.25890000000000002</c:v>
                </c:pt>
                <c:pt idx="121" formatCode="0.00%">
                  <c:v>-0.69540000000000002</c:v>
                </c:pt>
                <c:pt idx="122" formatCode="0.00%">
                  <c:v>-0.44729999999999998</c:v>
                </c:pt>
                <c:pt idx="123">
                  <c:v>#N/A</c:v>
                </c:pt>
                <c:pt idx="124" formatCode="0.00%">
                  <c:v>-0.4375</c:v>
                </c:pt>
                <c:pt idx="125" formatCode="0.00%">
                  <c:v>-0.3513</c:v>
                </c:pt>
                <c:pt idx="126" formatCode="0.00%">
                  <c:v>-0.77500000000000002</c:v>
                </c:pt>
                <c:pt idx="127">
                  <c:v>#N/A</c:v>
                </c:pt>
                <c:pt idx="128">
                  <c:v>#N/A</c:v>
                </c:pt>
                <c:pt idx="129" formatCode="0.00%">
                  <c:v>-0.49049999999999999</c:v>
                </c:pt>
                <c:pt idx="130" formatCode="0.00%">
                  <c:v>-0.52949999999999997</c:v>
                </c:pt>
                <c:pt idx="131">
                  <c:v>#N/A</c:v>
                </c:pt>
                <c:pt idx="132" formatCode="0.00%">
                  <c:v>-0.5554</c:v>
                </c:pt>
                <c:pt idx="133" formatCode="0.00%">
                  <c:v>-0.7581</c:v>
                </c:pt>
                <c:pt idx="134" formatCode="0.00%">
                  <c:v>-0.73819999999999997</c:v>
                </c:pt>
                <c:pt idx="135" formatCode="0.00%">
                  <c:v>-0.48880000000000001</c:v>
                </c:pt>
                <c:pt idx="136" formatCode="0.00%">
                  <c:v>-0.1033</c:v>
                </c:pt>
                <c:pt idx="137" formatCode="0.00%">
                  <c:v>2.0899999999999998E-2</c:v>
                </c:pt>
                <c:pt idx="138" formatCode="0.00%">
                  <c:v>-0.81559999999999999</c:v>
                </c:pt>
                <c:pt idx="139" formatCode="0.00%">
                  <c:v>-0.48099999999999998</c:v>
                </c:pt>
                <c:pt idx="140" formatCode="0.00%">
                  <c:v>-0.19869999999999999</c:v>
                </c:pt>
                <c:pt idx="141" formatCode="0.00%">
                  <c:v>-0.254</c:v>
                </c:pt>
                <c:pt idx="142" formatCode="0.00%">
                  <c:v>-0.48110000000000003</c:v>
                </c:pt>
                <c:pt idx="143" formatCode="0.00%">
                  <c:v>-0.38200000000000001</c:v>
                </c:pt>
                <c:pt idx="144" formatCode="0.00%">
                  <c:v>-0.73270000000000002</c:v>
                </c:pt>
                <c:pt idx="145" formatCode="0.00%">
                  <c:v>-0.32750000000000001</c:v>
                </c:pt>
                <c:pt idx="146" formatCode="0.00%">
                  <c:v>-0.54649999999999999</c:v>
                </c:pt>
                <c:pt idx="147" formatCode="0.00%">
                  <c:v>-0.68330000000000002</c:v>
                </c:pt>
                <c:pt idx="148" formatCode="0.00%">
                  <c:v>-0.1951</c:v>
                </c:pt>
                <c:pt idx="149" formatCode="0.00%">
                  <c:v>-0.61899999999999999</c:v>
                </c:pt>
                <c:pt idx="150">
                  <c:v>#N/A</c:v>
                </c:pt>
                <c:pt idx="151" formatCode="0.00%">
                  <c:v>-0.40839999999999999</c:v>
                </c:pt>
                <c:pt idx="152" formatCode="0.00%">
                  <c:v>0.1113</c:v>
                </c:pt>
                <c:pt idx="153" formatCode="0.00%">
                  <c:v>-0.54179999999999995</c:v>
                </c:pt>
                <c:pt idx="154" formatCode="0.00%">
                  <c:v>-0.50070000000000003</c:v>
                </c:pt>
                <c:pt idx="155" formatCode="0.00%">
                  <c:v>-0.33810000000000001</c:v>
                </c:pt>
                <c:pt idx="156" formatCode="0.00%">
                  <c:v>-0.50839999999999996</c:v>
                </c:pt>
                <c:pt idx="157" formatCode="0.00%">
                  <c:v>-0.1139</c:v>
                </c:pt>
                <c:pt idx="158" formatCode="0.00%">
                  <c:v>-0.50739999999999996</c:v>
                </c:pt>
                <c:pt idx="159">
                  <c:v>#N/A</c:v>
                </c:pt>
                <c:pt idx="160" formatCode="0.00%">
                  <c:v>-0.31419999999999998</c:v>
                </c:pt>
                <c:pt idx="161" formatCode="0.00%">
                  <c:v>-0.1487</c:v>
                </c:pt>
                <c:pt idx="162">
                  <c:v>#N/A</c:v>
                </c:pt>
                <c:pt idx="163" formatCode="0.00%">
                  <c:v>-0.19320000000000001</c:v>
                </c:pt>
                <c:pt idx="164" formatCode="0.00%">
                  <c:v>-0.35099999999999998</c:v>
                </c:pt>
                <c:pt idx="165" formatCode="0.00%">
                  <c:v>-0.29039999999999999</c:v>
                </c:pt>
                <c:pt idx="166" formatCode="0.00%">
                  <c:v>-0.69189999999999996</c:v>
                </c:pt>
                <c:pt idx="167" formatCode="0.00%">
                  <c:v>0.1036</c:v>
                </c:pt>
                <c:pt idx="168" formatCode="0.00%">
                  <c:v>-0.62090000000000001</c:v>
                </c:pt>
                <c:pt idx="169">
                  <c:v>#N/A</c:v>
                </c:pt>
                <c:pt idx="170">
                  <c:v>#N/A</c:v>
                </c:pt>
                <c:pt idx="171" formatCode="0.00%">
                  <c:v>-0.216</c:v>
                </c:pt>
                <c:pt idx="172">
                  <c:v>#N/A</c:v>
                </c:pt>
                <c:pt idx="173">
                  <c:v>#N/A</c:v>
                </c:pt>
                <c:pt idx="174" formatCode="0.00%">
                  <c:v>-0.5333</c:v>
                </c:pt>
                <c:pt idx="175">
                  <c:v>#N/A</c:v>
                </c:pt>
                <c:pt idx="176">
                  <c:v>#N/A</c:v>
                </c:pt>
                <c:pt idx="177" formatCode="0.00%">
                  <c:v>-0.69040000000000001</c:v>
                </c:pt>
                <c:pt idx="178" formatCode="0.00%">
                  <c:v>-0.51119999999999999</c:v>
                </c:pt>
                <c:pt idx="179" formatCode="0.00%">
                  <c:v>-0.67430000000000001</c:v>
                </c:pt>
                <c:pt idx="180" formatCode="0.00%">
                  <c:v>-0.11260000000000001</c:v>
                </c:pt>
                <c:pt idx="181">
                  <c:v>#N/A</c:v>
                </c:pt>
                <c:pt idx="182" formatCode="0.00%">
                  <c:v>-0.1108</c:v>
                </c:pt>
                <c:pt idx="183" formatCode="0.00%">
                  <c:v>-0.31569999999999998</c:v>
                </c:pt>
                <c:pt idx="184">
                  <c:v>#N/A</c:v>
                </c:pt>
                <c:pt idx="185" formatCode="0.00%">
                  <c:v>-0.92110000000000003</c:v>
                </c:pt>
                <c:pt idx="186">
                  <c:v>#N/A</c:v>
                </c:pt>
                <c:pt idx="187" formatCode="0.00%">
                  <c:v>-0.48730000000000001</c:v>
                </c:pt>
                <c:pt idx="188" formatCode="0.00%">
                  <c:v>-0.43290000000000001</c:v>
                </c:pt>
                <c:pt idx="189" formatCode="0.00%">
                  <c:v>-0.23050000000000001</c:v>
                </c:pt>
                <c:pt idx="190" formatCode="0.00%">
                  <c:v>-0.26719999999999999</c:v>
                </c:pt>
                <c:pt idx="191" formatCode="0.00%">
                  <c:v>0.11260000000000001</c:v>
                </c:pt>
                <c:pt idx="192" formatCode="0.00%">
                  <c:v>-0.82899999999999996</c:v>
                </c:pt>
                <c:pt idx="193" formatCode="0.00%">
                  <c:v>-0.44119999999999998</c:v>
                </c:pt>
                <c:pt idx="194" formatCode="0.00%">
                  <c:v>-0.36530000000000001</c:v>
                </c:pt>
                <c:pt idx="195" formatCode="0.00%">
                  <c:v>-0.69120000000000004</c:v>
                </c:pt>
                <c:pt idx="196" formatCode="0.00%">
                  <c:v>-0.2823</c:v>
                </c:pt>
                <c:pt idx="197" formatCode="0.00%">
                  <c:v>-0.32479999999999998</c:v>
                </c:pt>
                <c:pt idx="198" formatCode="0.00%">
                  <c:v>-0.41820000000000002</c:v>
                </c:pt>
                <c:pt idx="199" formatCode="0.00%">
                  <c:v>-0.40010000000000001</c:v>
                </c:pt>
                <c:pt idx="200" formatCode="0.00%">
                  <c:v>-0.47960000000000003</c:v>
                </c:pt>
                <c:pt idx="201" formatCode="0.00%">
                  <c:v>-0.53190000000000004</c:v>
                </c:pt>
                <c:pt idx="202" formatCode="0.00%">
                  <c:v>3.6400000000000002E-2</c:v>
                </c:pt>
                <c:pt idx="203" formatCode="0.00%">
                  <c:v>-0.32119999999999999</c:v>
                </c:pt>
                <c:pt idx="204">
                  <c:v>#N/A</c:v>
                </c:pt>
                <c:pt idx="205" formatCode="0.00%">
                  <c:v>-0.5514</c:v>
                </c:pt>
                <c:pt idx="206" formatCode="0.00%">
                  <c:v>-0.58240000000000003</c:v>
                </c:pt>
                <c:pt idx="207">
                  <c:v>#N/A</c:v>
                </c:pt>
                <c:pt idx="208" formatCode="0.00%">
                  <c:v>-0.27600000000000002</c:v>
                </c:pt>
                <c:pt idx="209">
                  <c:v>#N/A</c:v>
                </c:pt>
                <c:pt idx="210">
                  <c:v>#N/A</c:v>
                </c:pt>
                <c:pt idx="211" formatCode="0.00%">
                  <c:v>-0.49980000000000002</c:v>
                </c:pt>
                <c:pt idx="212" formatCode="0.00%">
                  <c:v>4.9099999999999998E-2</c:v>
                </c:pt>
                <c:pt idx="213" formatCode="0.00%">
                  <c:v>-5.1499999999999997E-2</c:v>
                </c:pt>
                <c:pt idx="214" formatCode="0.00%">
                  <c:v>-0.4017</c:v>
                </c:pt>
                <c:pt idx="215" formatCode="0.00%">
                  <c:v>-0.46829999999999999</c:v>
                </c:pt>
                <c:pt idx="216" formatCode="0.00%">
                  <c:v>-0.23619999999999999</c:v>
                </c:pt>
                <c:pt idx="217" formatCode="0.00%">
                  <c:v>-0.23530000000000001</c:v>
                </c:pt>
                <c:pt idx="218" formatCode="0.00%">
                  <c:v>4.1200000000000001E-2</c:v>
                </c:pt>
                <c:pt idx="219" formatCode="0.00%">
                  <c:v>-0.48459999999999998</c:v>
                </c:pt>
                <c:pt idx="220" formatCode="0.00%">
                  <c:v>6.4000000000000003E-3</c:v>
                </c:pt>
                <c:pt idx="221" formatCode="0.00%">
                  <c:v>-0.55730000000000002</c:v>
                </c:pt>
                <c:pt idx="222" formatCode="0.00%">
                  <c:v>-0.25019999999999998</c:v>
                </c:pt>
                <c:pt idx="223" formatCode="0.00%">
                  <c:v>-0.6704</c:v>
                </c:pt>
                <c:pt idx="224" formatCode="0.00%">
                  <c:v>-0.6704</c:v>
                </c:pt>
                <c:pt idx="225">
                  <c:v>#N/A</c:v>
                </c:pt>
                <c:pt idx="226" formatCode="0.00%">
                  <c:v>-0.45050000000000001</c:v>
                </c:pt>
                <c:pt idx="227" formatCode="0.00%">
                  <c:v>-0.2848</c:v>
                </c:pt>
                <c:pt idx="228" formatCode="0.00%">
                  <c:v>-0.56899999999999995</c:v>
                </c:pt>
                <c:pt idx="229" formatCode="0.00%">
                  <c:v>-4.5400000000000003E-2</c:v>
                </c:pt>
                <c:pt idx="230" formatCode="0.00%">
                  <c:v>-0.81299999999999994</c:v>
                </c:pt>
                <c:pt idx="231" formatCode="0.00%">
                  <c:v>-0.36459999999999998</c:v>
                </c:pt>
                <c:pt idx="232" formatCode="0.00%">
                  <c:v>-0.50119999999999998</c:v>
                </c:pt>
                <c:pt idx="233" formatCode="0.00%">
                  <c:v>-0.60529999999999995</c:v>
                </c:pt>
                <c:pt idx="234" formatCode="0.00%">
                  <c:v>-0.45379999999999998</c:v>
                </c:pt>
                <c:pt idx="235">
                  <c:v>#N/A</c:v>
                </c:pt>
                <c:pt idx="236">
                  <c:v>#N/A</c:v>
                </c:pt>
                <c:pt idx="237" formatCode="0.00%">
                  <c:v>-0.36620000000000003</c:v>
                </c:pt>
                <c:pt idx="238" formatCode="0.00%">
                  <c:v>-0.60709999999999997</c:v>
                </c:pt>
                <c:pt idx="239" formatCode="0.00%">
                  <c:v>-0.52569999999999995</c:v>
                </c:pt>
                <c:pt idx="240" formatCode="0.00%">
                  <c:v>-0.38400000000000001</c:v>
                </c:pt>
                <c:pt idx="241" formatCode="0.00%">
                  <c:v>-0.47749999999999998</c:v>
                </c:pt>
                <c:pt idx="242" formatCode="0.00%">
                  <c:v>-0.25359999999999999</c:v>
                </c:pt>
                <c:pt idx="243" formatCode="0.00%">
                  <c:v>-0.66669999999999996</c:v>
                </c:pt>
                <c:pt idx="244">
                  <c:v>#N/A</c:v>
                </c:pt>
                <c:pt idx="245">
                  <c:v>#N/A</c:v>
                </c:pt>
                <c:pt idx="246" formatCode="0.00%">
                  <c:v>-0.14660000000000001</c:v>
                </c:pt>
                <c:pt idx="247" formatCode="0.00%">
                  <c:v>-0.16139999999999999</c:v>
                </c:pt>
                <c:pt idx="248" formatCode="0.00%">
                  <c:v>-0.96919999999999995</c:v>
                </c:pt>
                <c:pt idx="249" formatCode="0.00%">
                  <c:v>-0.498</c:v>
                </c:pt>
                <c:pt idx="250" formatCode="0.00%">
                  <c:v>-0.48359999999999997</c:v>
                </c:pt>
                <c:pt idx="251" formatCode="0.00%">
                  <c:v>-0.87549999999999994</c:v>
                </c:pt>
                <c:pt idx="252" formatCode="0.00%">
                  <c:v>-0.26479999999999998</c:v>
                </c:pt>
                <c:pt idx="253" formatCode="0.00%">
                  <c:v>-0.8992</c:v>
                </c:pt>
                <c:pt idx="254" formatCode="0.00%">
                  <c:v>-0.41610000000000003</c:v>
                </c:pt>
                <c:pt idx="255" formatCode="0.00%">
                  <c:v>-0.62360000000000004</c:v>
                </c:pt>
                <c:pt idx="256">
                  <c:v>#N/A</c:v>
                </c:pt>
                <c:pt idx="257" formatCode="0.00%">
                  <c:v>-0.2238</c:v>
                </c:pt>
                <c:pt idx="258" formatCode="0.00%">
                  <c:v>-0.44019999999999998</c:v>
                </c:pt>
                <c:pt idx="259" formatCode="0.00%">
                  <c:v>-0.70630000000000004</c:v>
                </c:pt>
                <c:pt idx="260" formatCode="0.00%">
                  <c:v>-0.74839999999999995</c:v>
                </c:pt>
                <c:pt idx="261" formatCode="0.00%">
                  <c:v>-0.6079</c:v>
                </c:pt>
                <c:pt idx="262" formatCode="0.00%">
                  <c:v>-0.17680000000000001</c:v>
                </c:pt>
                <c:pt idx="263" formatCode="0.00%">
                  <c:v>-0.72519999999999996</c:v>
                </c:pt>
                <c:pt idx="264" formatCode="0.00%">
                  <c:v>-0.26190000000000002</c:v>
                </c:pt>
                <c:pt idx="265" formatCode="0.00%">
                  <c:v>3.8899999999999997E-2</c:v>
                </c:pt>
                <c:pt idx="266" formatCode="0.00%">
                  <c:v>-0.77649999999999997</c:v>
                </c:pt>
                <c:pt idx="267" formatCode="0.00%">
                  <c:v>-0.69769999999999999</c:v>
                </c:pt>
                <c:pt idx="268" formatCode="0.00%">
                  <c:v>-0.79059999999999997</c:v>
                </c:pt>
                <c:pt idx="269" formatCode="0.00%">
                  <c:v>-0.32179999999999997</c:v>
                </c:pt>
                <c:pt idx="270" formatCode="0.00%">
                  <c:v>-0.88200000000000001</c:v>
                </c:pt>
                <c:pt idx="271">
                  <c:v>#N/A</c:v>
                </c:pt>
              </c:numCache>
            </c:numRef>
          </c:xVal>
          <c:yVal>
            <c:numRef>
              <c:f>'Public Companies'!$D$2:$D$273</c:f>
              <c:numCache>
                <c:formatCode>General</c:formatCode>
                <c:ptCount val="272"/>
                <c:pt idx="0" formatCode="0.00%">
                  <c:v>15.3848</c:v>
                </c:pt>
                <c:pt idx="1">
                  <c:v>#N/A</c:v>
                </c:pt>
                <c:pt idx="2">
                  <c:v>#N/A</c:v>
                </c:pt>
                <c:pt idx="3" formatCode="0.00%">
                  <c:v>8.5324000000000009</c:v>
                </c:pt>
                <c:pt idx="4">
                  <c:v>#N/A</c:v>
                </c:pt>
                <c:pt idx="5" formatCode="0.00%">
                  <c:v>0.44169999999999998</c:v>
                </c:pt>
                <c:pt idx="6">
                  <c:v>0</c:v>
                </c:pt>
                <c:pt idx="7">
                  <c:v>#N/A</c:v>
                </c:pt>
                <c:pt idx="8">
                  <c:v>#N/A</c:v>
                </c:pt>
                <c:pt idx="9" formatCode="0.00%">
                  <c:v>0.86960000000000004</c:v>
                </c:pt>
                <c:pt idx="10" formatCode="0.00%">
                  <c:v>-5.9299999999999999E-2</c:v>
                </c:pt>
                <c:pt idx="11">
                  <c:v>#N/A</c:v>
                </c:pt>
                <c:pt idx="12" formatCode="0.00%">
                  <c:v>2.1004999999999998</c:v>
                </c:pt>
                <c:pt idx="13" formatCode="0.00%">
                  <c:v>0.92749999999999999</c:v>
                </c:pt>
                <c:pt idx="14">
                  <c:v>#N/A</c:v>
                </c:pt>
                <c:pt idx="15" formatCode="0.00%">
                  <c:v>-3.1099999999999999E-2</c:v>
                </c:pt>
                <c:pt idx="16">
                  <c:v>#N/A</c:v>
                </c:pt>
                <c:pt idx="17">
                  <c:v>#N/A</c:v>
                </c:pt>
                <c:pt idx="18">
                  <c:v>#N/A</c:v>
                </c:pt>
                <c:pt idx="19" formatCode="0.00%">
                  <c:v>-0.71460000000000001</c:v>
                </c:pt>
                <c:pt idx="20">
                  <c:v>#N/A</c:v>
                </c:pt>
                <c:pt idx="21" formatCode="0.00%">
                  <c:v>0.39219999999999999</c:v>
                </c:pt>
                <c:pt idx="22">
                  <c:v>#N/A</c:v>
                </c:pt>
                <c:pt idx="23">
                  <c:v>#N/A</c:v>
                </c:pt>
                <c:pt idx="24" formatCode="0.00%">
                  <c:v>-0.31480000000000002</c:v>
                </c:pt>
                <c:pt idx="25">
                  <c:v>#N/A</c:v>
                </c:pt>
                <c:pt idx="26">
                  <c:v>#N/A</c:v>
                </c:pt>
                <c:pt idx="27">
                  <c:v>0</c:v>
                </c:pt>
                <c:pt idx="28">
                  <c:v>0</c:v>
                </c:pt>
                <c:pt idx="29">
                  <c:v>#N/A</c:v>
                </c:pt>
                <c:pt idx="30" formatCode="0.00%">
                  <c:v>-0.28660000000000002</c:v>
                </c:pt>
                <c:pt idx="31" formatCode="0.00%">
                  <c:v>-0.80559999999999998</c:v>
                </c:pt>
                <c:pt idx="32" formatCode="0.00%">
                  <c:v>0.3987</c:v>
                </c:pt>
                <c:pt idx="33">
                  <c:v>0</c:v>
                </c:pt>
                <c:pt idx="34">
                  <c:v>#N/A</c:v>
                </c:pt>
                <c:pt idx="35">
                  <c:v>0</c:v>
                </c:pt>
                <c:pt idx="36" formatCode="0.00%">
                  <c:v>0.1731</c:v>
                </c:pt>
                <c:pt idx="37">
                  <c:v>#N/A</c:v>
                </c:pt>
                <c:pt idx="38">
                  <c:v>#N/A</c:v>
                </c:pt>
                <c:pt idx="39" formatCode="0.00%">
                  <c:v>0.21959999999999999</c:v>
                </c:pt>
                <c:pt idx="40">
                  <c:v>0</c:v>
                </c:pt>
                <c:pt idx="41" formatCode="0.00%">
                  <c:v>0.64900000000000002</c:v>
                </c:pt>
                <c:pt idx="42">
                  <c:v>#N/A</c:v>
                </c:pt>
                <c:pt idx="43" formatCode="0.00%">
                  <c:v>3.6299999999999999E-2</c:v>
                </c:pt>
                <c:pt idx="44">
                  <c:v>#N/A</c:v>
                </c:pt>
                <c:pt idx="45" formatCode="0.00%">
                  <c:v>0.128</c:v>
                </c:pt>
                <c:pt idx="46" formatCode="0.00%">
                  <c:v>0.31059999999999999</c:v>
                </c:pt>
                <c:pt idx="47" formatCode="0.00%">
                  <c:v>2.6499999999999999E-2</c:v>
                </c:pt>
                <c:pt idx="48">
                  <c:v>#N/A</c:v>
                </c:pt>
                <c:pt idx="49" formatCode="0.00%">
                  <c:v>-0.309</c:v>
                </c:pt>
                <c:pt idx="50" formatCode="0.00%">
                  <c:v>-0.57110000000000005</c:v>
                </c:pt>
                <c:pt idx="51" formatCode="0.00%">
                  <c:v>3.49E-2</c:v>
                </c:pt>
                <c:pt idx="52">
                  <c:v>#N/A</c:v>
                </c:pt>
                <c:pt idx="53" formatCode="0.00%">
                  <c:v>-3.95E-2</c:v>
                </c:pt>
                <c:pt idx="54">
                  <c:v>#N/A</c:v>
                </c:pt>
                <c:pt idx="55">
                  <c:v>#N/A</c:v>
                </c:pt>
                <c:pt idx="56">
                  <c:v>0</c:v>
                </c:pt>
                <c:pt idx="57">
                  <c:v>#N/A</c:v>
                </c:pt>
                <c:pt idx="58" formatCode="0.00%">
                  <c:v>1.14E-2</c:v>
                </c:pt>
                <c:pt idx="59" formatCode="0.00%">
                  <c:v>-0.47139999999999999</c:v>
                </c:pt>
                <c:pt idx="60" formatCode="0.00%">
                  <c:v>0.23599999999999999</c:v>
                </c:pt>
                <c:pt idx="61" formatCode="0.00%">
                  <c:v>-0.94289999999999996</c:v>
                </c:pt>
                <c:pt idx="62" formatCode="0.00%">
                  <c:v>0.16089999999999999</c:v>
                </c:pt>
                <c:pt idx="63" formatCode="0.00%">
                  <c:v>0.01</c:v>
                </c:pt>
                <c:pt idx="64" formatCode="0.00%">
                  <c:v>0.21529999999999999</c:v>
                </c:pt>
                <c:pt idx="65" formatCode="0.00%">
                  <c:v>-3.7400000000000003E-2</c:v>
                </c:pt>
                <c:pt idx="66">
                  <c:v>#N/A</c:v>
                </c:pt>
                <c:pt idx="67">
                  <c:v>#N/A</c:v>
                </c:pt>
                <c:pt idx="68" formatCode="0.00%">
                  <c:v>8.2199999999999995E-2</c:v>
                </c:pt>
                <c:pt idx="69" formatCode="0.00%">
                  <c:v>8.1600000000000006E-2</c:v>
                </c:pt>
                <c:pt idx="70" formatCode="0.00%">
                  <c:v>0.12330000000000001</c:v>
                </c:pt>
                <c:pt idx="71" formatCode="0.00%">
                  <c:v>9.9500000000000005E-2</c:v>
                </c:pt>
                <c:pt idx="72">
                  <c:v>#N/A</c:v>
                </c:pt>
                <c:pt idx="73">
                  <c:v>#N/A</c:v>
                </c:pt>
                <c:pt idx="74">
                  <c:v>0</c:v>
                </c:pt>
                <c:pt idx="75" formatCode="0.00%">
                  <c:v>6.8677000000000001</c:v>
                </c:pt>
                <c:pt idx="76" formatCode="0.00%">
                  <c:v>-8.9300000000000004E-2</c:v>
                </c:pt>
                <c:pt idx="77">
                  <c:v>#N/A</c:v>
                </c:pt>
                <c:pt idx="78" formatCode="0.00%">
                  <c:v>0.1484</c:v>
                </c:pt>
                <c:pt idx="79">
                  <c:v>#N/A</c:v>
                </c:pt>
                <c:pt idx="80" formatCode="0.00%">
                  <c:v>-0.1231</c:v>
                </c:pt>
                <c:pt idx="81">
                  <c:v>#N/A</c:v>
                </c:pt>
                <c:pt idx="82">
                  <c:v>#N/A</c:v>
                </c:pt>
                <c:pt idx="83" formatCode="0.00%">
                  <c:v>-0.97050000000000003</c:v>
                </c:pt>
                <c:pt idx="84">
                  <c:v>#N/A</c:v>
                </c:pt>
                <c:pt idx="85">
                  <c:v>0</c:v>
                </c:pt>
                <c:pt idx="86">
                  <c:v>#N/A</c:v>
                </c:pt>
                <c:pt idx="87">
                  <c:v>#N/A</c:v>
                </c:pt>
                <c:pt idx="88">
                  <c:v>#N/A</c:v>
                </c:pt>
                <c:pt idx="89">
                  <c:v>#N/A</c:v>
                </c:pt>
                <c:pt idx="90" formatCode="0.00%">
                  <c:v>0.29649999999999999</c:v>
                </c:pt>
                <c:pt idx="91" formatCode="0.00%">
                  <c:v>-0.13320000000000001</c:v>
                </c:pt>
                <c:pt idx="92" formatCode="0.00%">
                  <c:v>22.4194</c:v>
                </c:pt>
                <c:pt idx="93" formatCode="0.00%">
                  <c:v>-0.1016</c:v>
                </c:pt>
                <c:pt idx="94">
                  <c:v>#N/A</c:v>
                </c:pt>
                <c:pt idx="95">
                  <c:v>#N/A</c:v>
                </c:pt>
                <c:pt idx="96">
                  <c:v>#N/A</c:v>
                </c:pt>
                <c:pt idx="97" formatCode="0.00%">
                  <c:v>0.63460000000000005</c:v>
                </c:pt>
                <c:pt idx="98" formatCode="0.00%">
                  <c:v>-1.5E-3</c:v>
                </c:pt>
                <c:pt idx="99">
                  <c:v>#N/A</c:v>
                </c:pt>
                <c:pt idx="100">
                  <c:v>#N/A</c:v>
                </c:pt>
                <c:pt idx="101">
                  <c:v>#N/A</c:v>
                </c:pt>
                <c:pt idx="102" formatCode="0.00%">
                  <c:v>7.2843</c:v>
                </c:pt>
                <c:pt idx="103" formatCode="0.00%">
                  <c:v>0.1734</c:v>
                </c:pt>
                <c:pt idx="104">
                  <c:v>0</c:v>
                </c:pt>
                <c:pt idx="105">
                  <c:v>#N/A</c:v>
                </c:pt>
                <c:pt idx="106" formatCode="0.00%">
                  <c:v>1.8543000000000001</c:v>
                </c:pt>
                <c:pt idx="107">
                  <c:v>#N/A</c:v>
                </c:pt>
                <c:pt idx="108" formatCode="0.00%">
                  <c:v>0.2767</c:v>
                </c:pt>
                <c:pt idx="109" formatCode="0.00%">
                  <c:v>0.25559999999999999</c:v>
                </c:pt>
                <c:pt idx="110" formatCode="0.00%">
                  <c:v>-0.3589</c:v>
                </c:pt>
                <c:pt idx="111">
                  <c:v>#N/A</c:v>
                </c:pt>
                <c:pt idx="112" formatCode="0.00%">
                  <c:v>0.17660000000000001</c:v>
                </c:pt>
                <c:pt idx="113" formatCode="0.00%">
                  <c:v>1.8700000000000001E-2</c:v>
                </c:pt>
                <c:pt idx="114" formatCode="0.00%">
                  <c:v>-2.58E-2</c:v>
                </c:pt>
                <c:pt idx="115">
                  <c:v>#N/A</c:v>
                </c:pt>
                <c:pt idx="116" formatCode="0.00%">
                  <c:v>0.13089999999999999</c:v>
                </c:pt>
                <c:pt idx="117">
                  <c:v>#N/A</c:v>
                </c:pt>
                <c:pt idx="118">
                  <c:v>#N/A</c:v>
                </c:pt>
                <c:pt idx="119" formatCode="0.00%">
                  <c:v>0.82989999999999997</c:v>
                </c:pt>
                <c:pt idx="120" formatCode="0.00%">
                  <c:v>8.2400000000000001E-2</c:v>
                </c:pt>
                <c:pt idx="121">
                  <c:v>#N/A</c:v>
                </c:pt>
                <c:pt idx="122">
                  <c:v>#N/A</c:v>
                </c:pt>
                <c:pt idx="123" formatCode="0.00%">
                  <c:v>-0.44590000000000002</c:v>
                </c:pt>
                <c:pt idx="124">
                  <c:v>#N/A</c:v>
                </c:pt>
                <c:pt idx="125" formatCode="0.00%">
                  <c:v>-1.6899999999999998E-2</c:v>
                </c:pt>
                <c:pt idx="126">
                  <c:v>0</c:v>
                </c:pt>
                <c:pt idx="127">
                  <c:v>#N/A</c:v>
                </c:pt>
                <c:pt idx="128" formatCode="0.00%">
                  <c:v>5.3199999999999997E-2</c:v>
                </c:pt>
                <c:pt idx="129" formatCode="0.00%">
                  <c:v>0.2626</c:v>
                </c:pt>
                <c:pt idx="130" formatCode="0.00%">
                  <c:v>4.1928999999999998</c:v>
                </c:pt>
                <c:pt idx="131">
                  <c:v>#N/A</c:v>
                </c:pt>
                <c:pt idx="132">
                  <c:v>#N/A</c:v>
                </c:pt>
                <c:pt idx="133">
                  <c:v>0</c:v>
                </c:pt>
                <c:pt idx="134" formatCode="0.00%">
                  <c:v>-8.6800000000000002E-2</c:v>
                </c:pt>
                <c:pt idx="135">
                  <c:v>0</c:v>
                </c:pt>
                <c:pt idx="136" formatCode="0.00%">
                  <c:v>0.17430000000000001</c:v>
                </c:pt>
                <c:pt idx="137" formatCode="0.00%">
                  <c:v>-1.66E-2</c:v>
                </c:pt>
                <c:pt idx="138">
                  <c:v>0</c:v>
                </c:pt>
                <c:pt idx="139">
                  <c:v>0</c:v>
                </c:pt>
                <c:pt idx="140">
                  <c:v>#N/A</c:v>
                </c:pt>
                <c:pt idx="141" formatCode="0.00%">
                  <c:v>-9.9599999999999994E-2</c:v>
                </c:pt>
                <c:pt idx="142" formatCode="0.00%">
                  <c:v>-7.9299999999999995E-2</c:v>
                </c:pt>
                <c:pt idx="143" formatCode="0.00%">
                  <c:v>-9.6699999999999994E-2</c:v>
                </c:pt>
                <c:pt idx="144">
                  <c:v>#N/A</c:v>
                </c:pt>
                <c:pt idx="145" formatCode="0.00%">
                  <c:v>0.52780000000000005</c:v>
                </c:pt>
                <c:pt idx="146" formatCode="0.00%">
                  <c:v>0.78549999999999998</c:v>
                </c:pt>
                <c:pt idx="147">
                  <c:v>#N/A</c:v>
                </c:pt>
                <c:pt idx="148">
                  <c:v>#N/A</c:v>
                </c:pt>
                <c:pt idx="149" formatCode="0.00%">
                  <c:v>-0.34110000000000001</c:v>
                </c:pt>
                <c:pt idx="150">
                  <c:v>#N/A</c:v>
                </c:pt>
                <c:pt idx="151">
                  <c:v>0</c:v>
                </c:pt>
                <c:pt idx="152">
                  <c:v>0</c:v>
                </c:pt>
                <c:pt idx="153">
                  <c:v>#N/A</c:v>
                </c:pt>
                <c:pt idx="154" formatCode="0.00%">
                  <c:v>9.1899999999999996E-2</c:v>
                </c:pt>
                <c:pt idx="155" formatCode="0.00%">
                  <c:v>0.19120000000000001</c:v>
                </c:pt>
                <c:pt idx="156" formatCode="0.00%">
                  <c:v>0.33610000000000001</c:v>
                </c:pt>
                <c:pt idx="157" formatCode="0.00%">
                  <c:v>0.2555</c:v>
                </c:pt>
                <c:pt idx="158" formatCode="0.00%">
                  <c:v>2.0861000000000001</c:v>
                </c:pt>
                <c:pt idx="159">
                  <c:v>#N/A</c:v>
                </c:pt>
                <c:pt idx="160" formatCode="0.00%">
                  <c:v>-0.13370000000000001</c:v>
                </c:pt>
                <c:pt idx="161">
                  <c:v>#N/A</c:v>
                </c:pt>
                <c:pt idx="162">
                  <c:v>0</c:v>
                </c:pt>
                <c:pt idx="163" formatCode="0.00%">
                  <c:v>-0.18729999999999999</c:v>
                </c:pt>
                <c:pt idx="164">
                  <c:v>0</c:v>
                </c:pt>
                <c:pt idx="165">
                  <c:v>#N/A</c:v>
                </c:pt>
                <c:pt idx="166">
                  <c:v>#N/A</c:v>
                </c:pt>
                <c:pt idx="167" formatCode="0.00%">
                  <c:v>-7.9100000000000004E-2</c:v>
                </c:pt>
                <c:pt idx="168" formatCode="0.00%">
                  <c:v>-3.3000000000000002E-2</c:v>
                </c:pt>
                <c:pt idx="169">
                  <c:v>#N/A</c:v>
                </c:pt>
                <c:pt idx="170" formatCode="0.00%">
                  <c:v>-0.31680000000000003</c:v>
                </c:pt>
                <c:pt idx="171">
                  <c:v>#N/A</c:v>
                </c:pt>
                <c:pt idx="172">
                  <c:v>#N/A</c:v>
                </c:pt>
                <c:pt idx="173">
                  <c:v>#N/A</c:v>
                </c:pt>
                <c:pt idx="174" formatCode="0.00%">
                  <c:v>0.24560000000000001</c:v>
                </c:pt>
                <c:pt idx="175" formatCode="0.00%">
                  <c:v>0.26400000000000001</c:v>
                </c:pt>
                <c:pt idx="176">
                  <c:v>#N/A</c:v>
                </c:pt>
                <c:pt idx="177" formatCode="0.00%">
                  <c:v>0.1918</c:v>
                </c:pt>
                <c:pt idx="178">
                  <c:v>#N/A</c:v>
                </c:pt>
                <c:pt idx="179" formatCode="0.00%">
                  <c:v>0.97160000000000002</c:v>
                </c:pt>
                <c:pt idx="180" formatCode="0.00%">
                  <c:v>0.41810000000000003</c:v>
                </c:pt>
                <c:pt idx="181" formatCode="0.00%">
                  <c:v>0.106</c:v>
                </c:pt>
                <c:pt idx="182" formatCode="0.00%">
                  <c:v>0.63260000000000005</c:v>
                </c:pt>
                <c:pt idx="183">
                  <c:v>#N/A</c:v>
                </c:pt>
                <c:pt idx="184" formatCode="0.00%">
                  <c:v>-0.18770000000000001</c:v>
                </c:pt>
                <c:pt idx="185" formatCode="0.00%">
                  <c:v>1.4171</c:v>
                </c:pt>
                <c:pt idx="186">
                  <c:v>#N/A</c:v>
                </c:pt>
                <c:pt idx="187" formatCode="0.00%">
                  <c:v>-9.5399999999999999E-2</c:v>
                </c:pt>
                <c:pt idx="188">
                  <c:v>#N/A</c:v>
                </c:pt>
                <c:pt idx="189">
                  <c:v>0</c:v>
                </c:pt>
                <c:pt idx="190" formatCode="0.00%">
                  <c:v>-0.1963</c:v>
                </c:pt>
                <c:pt idx="191" formatCode="0.00%">
                  <c:v>-0.74439999999999995</c:v>
                </c:pt>
                <c:pt idx="192">
                  <c:v>0</c:v>
                </c:pt>
                <c:pt idx="193">
                  <c:v>#N/A</c:v>
                </c:pt>
                <c:pt idx="194" formatCode="0.00%">
                  <c:v>-8.5000000000000006E-3</c:v>
                </c:pt>
                <c:pt idx="195" formatCode="0.00%">
                  <c:v>-0.23350000000000001</c:v>
                </c:pt>
                <c:pt idx="196" formatCode="0.00%">
                  <c:v>-4.6600000000000003E-2</c:v>
                </c:pt>
                <c:pt idx="197" formatCode="0.00%">
                  <c:v>-3.9E-2</c:v>
                </c:pt>
                <c:pt idx="198" formatCode="0.00%">
                  <c:v>-1.4999999999999999E-2</c:v>
                </c:pt>
                <c:pt idx="199" formatCode="0.00%">
                  <c:v>-2.8899999999999999E-2</c:v>
                </c:pt>
                <c:pt idx="200" formatCode="0.00%">
                  <c:v>0.15989999999999999</c:v>
                </c:pt>
                <c:pt idx="201">
                  <c:v>#N/A</c:v>
                </c:pt>
                <c:pt idx="202" formatCode="0.00%">
                  <c:v>-0.27939999999999998</c:v>
                </c:pt>
                <c:pt idx="203" formatCode="0.00%">
                  <c:v>0.4249</c:v>
                </c:pt>
                <c:pt idx="204">
                  <c:v>#N/A</c:v>
                </c:pt>
                <c:pt idx="205" formatCode="0.00%">
                  <c:v>9.6699999999999994E-2</c:v>
                </c:pt>
                <c:pt idx="206">
                  <c:v>#N/A</c:v>
                </c:pt>
                <c:pt idx="207">
                  <c:v>#N/A</c:v>
                </c:pt>
                <c:pt idx="208" formatCode="0.00%">
                  <c:v>-8.43E-2</c:v>
                </c:pt>
                <c:pt idx="209">
                  <c:v>#N/A</c:v>
                </c:pt>
                <c:pt idx="210">
                  <c:v>#N/A</c:v>
                </c:pt>
                <c:pt idx="211" formatCode="0.00%">
                  <c:v>8.1000000000000003E-2</c:v>
                </c:pt>
                <c:pt idx="212" formatCode="0.00%">
                  <c:v>-0.1158</c:v>
                </c:pt>
                <c:pt idx="213" formatCode="0.00%">
                  <c:v>0.19059999999999999</c:v>
                </c:pt>
                <c:pt idx="214" formatCode="0.00%">
                  <c:v>-6.1100000000000002E-2</c:v>
                </c:pt>
                <c:pt idx="215" formatCode="0.00%">
                  <c:v>-0.22839999999999999</c:v>
                </c:pt>
                <c:pt idx="216" formatCode="0.00%">
                  <c:v>-1</c:v>
                </c:pt>
                <c:pt idx="217" formatCode="0.00%">
                  <c:v>0.23130000000000001</c:v>
                </c:pt>
                <c:pt idx="218">
                  <c:v>#N/A</c:v>
                </c:pt>
                <c:pt idx="219" formatCode="0.00%">
                  <c:v>7.3999999999999996E-2</c:v>
                </c:pt>
                <c:pt idx="220" formatCode="0.00%">
                  <c:v>-0.27339999999999998</c:v>
                </c:pt>
                <c:pt idx="221" formatCode="0.00%">
                  <c:v>0.25230000000000002</c:v>
                </c:pt>
                <c:pt idx="222">
                  <c:v>#N/A</c:v>
                </c:pt>
                <c:pt idx="223" formatCode="0.00%">
                  <c:v>-0.34370000000000001</c:v>
                </c:pt>
                <c:pt idx="224" formatCode="0.00%">
                  <c:v>-0.34370000000000001</c:v>
                </c:pt>
                <c:pt idx="225" formatCode="0.00%">
                  <c:v>-0.19089999999999999</c:v>
                </c:pt>
                <c:pt idx="226">
                  <c:v>#N/A</c:v>
                </c:pt>
                <c:pt idx="227">
                  <c:v>#N/A</c:v>
                </c:pt>
                <c:pt idx="228" formatCode="0.00%">
                  <c:v>-0.52859999999999996</c:v>
                </c:pt>
                <c:pt idx="229">
                  <c:v>#N/A</c:v>
                </c:pt>
                <c:pt idx="230" formatCode="0.00%">
                  <c:v>-0.22939999999999999</c:v>
                </c:pt>
                <c:pt idx="231" formatCode="0.00%">
                  <c:v>0.12330000000000001</c:v>
                </c:pt>
                <c:pt idx="232">
                  <c:v>#N/A</c:v>
                </c:pt>
                <c:pt idx="233">
                  <c:v>#N/A</c:v>
                </c:pt>
                <c:pt idx="234">
                  <c:v>#N/A</c:v>
                </c:pt>
                <c:pt idx="235">
                  <c:v>#N/A</c:v>
                </c:pt>
                <c:pt idx="236">
                  <c:v>#N/A</c:v>
                </c:pt>
                <c:pt idx="237" formatCode="0.00%">
                  <c:v>0.70109999999999995</c:v>
                </c:pt>
                <c:pt idx="238">
                  <c:v>#N/A</c:v>
                </c:pt>
                <c:pt idx="239">
                  <c:v>#N/A</c:v>
                </c:pt>
                <c:pt idx="240">
                  <c:v>#N/A</c:v>
                </c:pt>
                <c:pt idx="241">
                  <c:v>#N/A</c:v>
                </c:pt>
                <c:pt idx="242">
                  <c:v>#N/A</c:v>
                </c:pt>
                <c:pt idx="243" formatCode="0.00%">
                  <c:v>0.4052</c:v>
                </c:pt>
                <c:pt idx="244">
                  <c:v>#N/A</c:v>
                </c:pt>
                <c:pt idx="245" formatCode="0.00%">
                  <c:v>-0.96489999999999998</c:v>
                </c:pt>
                <c:pt idx="246">
                  <c:v>0</c:v>
                </c:pt>
                <c:pt idx="247">
                  <c:v>#N/A</c:v>
                </c:pt>
                <c:pt idx="248">
                  <c:v>0</c:v>
                </c:pt>
                <c:pt idx="249">
                  <c:v>#N/A</c:v>
                </c:pt>
                <c:pt idx="250">
                  <c:v>#N/A</c:v>
                </c:pt>
                <c:pt idx="251" formatCode="0.00%">
                  <c:v>-0.85440000000000005</c:v>
                </c:pt>
                <c:pt idx="252" formatCode="0.00%">
                  <c:v>0.15010000000000001</c:v>
                </c:pt>
                <c:pt idx="253">
                  <c:v>#N/A</c:v>
                </c:pt>
                <c:pt idx="254">
                  <c:v>#N/A</c:v>
                </c:pt>
                <c:pt idx="255">
                  <c:v>#N/A</c:v>
                </c:pt>
                <c:pt idx="256">
                  <c:v>#N/A</c:v>
                </c:pt>
                <c:pt idx="257">
                  <c:v>0</c:v>
                </c:pt>
                <c:pt idx="258">
                  <c:v>#N/A</c:v>
                </c:pt>
                <c:pt idx="259">
                  <c:v>#N/A</c:v>
                </c:pt>
                <c:pt idx="260">
                  <c:v>#N/A</c:v>
                </c:pt>
                <c:pt idx="261">
                  <c:v>#N/A</c:v>
                </c:pt>
                <c:pt idx="262">
                  <c:v>#N/A</c:v>
                </c:pt>
                <c:pt idx="263">
                  <c:v>#N/A</c:v>
                </c:pt>
                <c:pt idx="264" formatCode="0.00%">
                  <c:v>-0.1227</c:v>
                </c:pt>
                <c:pt idx="265" formatCode="0.00%">
                  <c:v>5.04E-2</c:v>
                </c:pt>
                <c:pt idx="266">
                  <c:v>#N/A</c:v>
                </c:pt>
                <c:pt idx="267" formatCode="0.00%">
                  <c:v>4.0750000000000002</c:v>
                </c:pt>
                <c:pt idx="268">
                  <c:v>#N/A</c:v>
                </c:pt>
                <c:pt idx="269">
                  <c:v>#N/A</c:v>
                </c:pt>
                <c:pt idx="270" formatCode="0.00%">
                  <c:v>0.28160000000000002</c:v>
                </c:pt>
                <c:pt idx="271" formatCode="0.00%">
                  <c:v>-1</c:v>
                </c:pt>
              </c:numCache>
            </c:numRef>
          </c:yVal>
          <c:smooth val="0"/>
          <c:extLst>
            <c:ext xmlns:c16="http://schemas.microsoft.com/office/drawing/2014/chart" uri="{C3380CC4-5D6E-409C-BE32-E72D297353CC}">
              <c16:uniqueId val="{00000000-2BAA-9D44-BD1E-A7071502CAA8}"/>
            </c:ext>
          </c:extLst>
        </c:ser>
        <c:dLbls>
          <c:showLegendKey val="0"/>
          <c:showVal val="0"/>
          <c:showCatName val="0"/>
          <c:showSerName val="0"/>
          <c:showPercent val="0"/>
          <c:showBubbleSize val="0"/>
        </c:dLbls>
        <c:axId val="546734367"/>
        <c:axId val="547266463"/>
      </c:scatterChart>
      <c:valAx>
        <c:axId val="546734367"/>
        <c:scaling>
          <c:orientation val="minMax"/>
          <c:max val="1"/>
          <c:min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one"/>
        <c:spPr>
          <a:noFill/>
          <a:ln w="5080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47266463"/>
        <c:crossesAt val="0"/>
        <c:crossBetween val="midCat"/>
        <c:majorUnit val="1"/>
      </c:valAx>
      <c:valAx>
        <c:axId val="547266463"/>
        <c:scaling>
          <c:orientation val="minMax"/>
          <c:max val="5"/>
          <c:min val="-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one"/>
        <c:spPr>
          <a:noFill/>
          <a:ln w="5080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46734367"/>
        <c:crosses val="autoZero"/>
        <c:crossBetween val="midCat"/>
        <c:min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14: Amount Invested by Sector in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ED-CB4D-8A0D-9E4679186DF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ED-CB4D-8A0D-9E4679186DF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ED-CB4D-8A0D-9E4679186DF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ED-CB4D-8A0D-9E4679186DF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ED-CB4D-8A0D-9E4679186DF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4ED-CB4D-8A0D-9E4679186DF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4ED-CB4D-8A0D-9E4679186DF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4ED-CB4D-8A0D-9E4679186DF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4ED-CB4D-8A0D-9E4679186DF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4ED-CB4D-8A0D-9E4679186DF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4ED-CB4D-8A0D-9E4679186DFB}"/>
              </c:ext>
            </c:extLst>
          </c:dPt>
          <c:cat>
            <c:strRef>
              <c:f>'All Sectors'!$A$2:$A$12</c:f>
              <c:strCache>
                <c:ptCount val="11"/>
                <c:pt idx="0">
                  <c:v>Enterprise, IT &amp; Data Infrastructure</c:v>
                </c:pt>
                <c:pt idx="1">
                  <c:v>Security Technologies</c:v>
                </c:pt>
                <c:pt idx="2">
                  <c:v>FinTech</c:v>
                </c:pt>
                <c:pt idx="3">
                  <c:v>Life Sciences &amp; HealthTech</c:v>
                </c:pt>
                <c:pt idx="4">
                  <c:v>Content &amp; Media</c:v>
                </c:pt>
                <c:pt idx="5">
                  <c:v>Industrial Technologies</c:v>
                </c:pt>
                <c:pt idx="6">
                  <c:v>Retail &amp; Marketing</c:v>
                </c:pt>
                <c:pt idx="7">
                  <c:v>AgriFood-tech &amp; Water</c:v>
                </c:pt>
                <c:pt idx="8">
                  <c:v>Smart Mobility</c:v>
                </c:pt>
                <c:pt idx="9">
                  <c:v>Energy-tech</c:v>
                </c:pt>
                <c:pt idx="10">
                  <c:v>Aerospace &amp; Aviation</c:v>
                </c:pt>
              </c:strCache>
            </c:strRef>
          </c:cat>
          <c:val>
            <c:numRef>
              <c:f>'All Sectors'!$B$2:$B$12</c:f>
              <c:numCache>
                <c:formatCode>General</c:formatCode>
                <c:ptCount val="11"/>
                <c:pt idx="0">
                  <c:v>4161315000</c:v>
                </c:pt>
                <c:pt idx="1">
                  <c:v>2871590000</c:v>
                </c:pt>
                <c:pt idx="2">
                  <c:v>2401645000</c:v>
                </c:pt>
                <c:pt idx="3">
                  <c:v>2287655000</c:v>
                </c:pt>
                <c:pt idx="4">
                  <c:v>884550000</c:v>
                </c:pt>
                <c:pt idx="5">
                  <c:v>862310000</c:v>
                </c:pt>
                <c:pt idx="6">
                  <c:v>821505000</c:v>
                </c:pt>
                <c:pt idx="7">
                  <c:v>768334405</c:v>
                </c:pt>
                <c:pt idx="8">
                  <c:v>347200000</c:v>
                </c:pt>
                <c:pt idx="9">
                  <c:v>217100000</c:v>
                </c:pt>
                <c:pt idx="10">
                  <c:v>58100000</c:v>
                </c:pt>
              </c:numCache>
            </c:numRef>
          </c:val>
          <c:extLst>
            <c:ext xmlns:c16="http://schemas.microsoft.com/office/drawing/2014/chart" uri="{C3380CC4-5D6E-409C-BE32-E72D297353CC}">
              <c16:uniqueId val="{00000016-04ED-CB4D-8A0D-9E4679186DF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15: Total number of Investement by Sector in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pieChart>
        <c:varyColors val="1"/>
        <c:ser>
          <c:idx val="0"/>
          <c:order val="0"/>
          <c:tx>
            <c:strRef>
              <c:f>'All Sectors'!$B$21</c:f>
              <c:strCache>
                <c:ptCount val="1"/>
                <c:pt idx="0">
                  <c:v>Deals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55-1F47-ABA0-3556571253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955-1F47-ABA0-3556571253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955-1F47-ABA0-3556571253C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955-1F47-ABA0-3556571253C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955-1F47-ABA0-3556571253C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955-1F47-ABA0-3556571253C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955-1F47-ABA0-3556571253C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955-1F47-ABA0-3556571253C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955-1F47-ABA0-3556571253C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955-1F47-ABA0-3556571253C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7955-1F47-ABA0-3556571253C4}"/>
              </c:ext>
            </c:extLst>
          </c:dPt>
          <c:cat>
            <c:strRef>
              <c:f>'All Sectors'!$A$22:$A$32</c:f>
              <c:strCache>
                <c:ptCount val="11"/>
                <c:pt idx="0">
                  <c:v>Enterprise, IT &amp; Data Infrastructure</c:v>
                </c:pt>
                <c:pt idx="1">
                  <c:v>Life Sciences &amp; HealthTech</c:v>
                </c:pt>
                <c:pt idx="2">
                  <c:v>Security Technologies</c:v>
                </c:pt>
                <c:pt idx="3">
                  <c:v>AgriFood-tech &amp; Water</c:v>
                </c:pt>
                <c:pt idx="4">
                  <c:v>FinTech</c:v>
                </c:pt>
                <c:pt idx="5">
                  <c:v>Retail &amp; Marketing</c:v>
                </c:pt>
                <c:pt idx="6">
                  <c:v>Content &amp; Media</c:v>
                </c:pt>
                <c:pt idx="7">
                  <c:v>Industrial Technologies</c:v>
                </c:pt>
                <c:pt idx="8">
                  <c:v>Smart Mobility</c:v>
                </c:pt>
                <c:pt idx="9">
                  <c:v>Energy-tech</c:v>
                </c:pt>
                <c:pt idx="10">
                  <c:v>Aerospace &amp; Aviation</c:v>
                </c:pt>
              </c:strCache>
            </c:strRef>
          </c:cat>
          <c:val>
            <c:numRef>
              <c:f>'All Sectors'!$B$22:$B$32</c:f>
              <c:numCache>
                <c:formatCode>General</c:formatCode>
                <c:ptCount val="11"/>
                <c:pt idx="0">
                  <c:v>158</c:v>
                </c:pt>
                <c:pt idx="1">
                  <c:v>142</c:v>
                </c:pt>
                <c:pt idx="2">
                  <c:v>114</c:v>
                </c:pt>
                <c:pt idx="3">
                  <c:v>75</c:v>
                </c:pt>
                <c:pt idx="4">
                  <c:v>71</c:v>
                </c:pt>
                <c:pt idx="5">
                  <c:v>57</c:v>
                </c:pt>
                <c:pt idx="6">
                  <c:v>51</c:v>
                </c:pt>
                <c:pt idx="7">
                  <c:v>43</c:v>
                </c:pt>
                <c:pt idx="8">
                  <c:v>29</c:v>
                </c:pt>
                <c:pt idx="9">
                  <c:v>20</c:v>
                </c:pt>
                <c:pt idx="10">
                  <c:v>10</c:v>
                </c:pt>
              </c:numCache>
            </c:numRef>
          </c:val>
          <c:extLst>
            <c:ext xmlns:c16="http://schemas.microsoft.com/office/drawing/2014/chart" uri="{C3380CC4-5D6E-409C-BE32-E72D297353CC}">
              <c16:uniqueId val="{00000016-7955-1F47-ABA0-3556571253C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16: Life Sciense &amp; Health Tech sector by year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'Life Sciense'!$B$1</c:f>
              <c:strCache>
                <c:ptCount val="1"/>
                <c:pt idx="0">
                  <c:v>Amount_Invested</c:v>
                </c:pt>
              </c:strCache>
            </c:strRef>
          </c:tx>
          <c:spPr>
            <a:solidFill>
              <a:schemeClr val="accent1"/>
            </a:solidFill>
            <a:ln>
              <a:noFill/>
            </a:ln>
            <a:effectLst/>
          </c:spPr>
          <c:invertIfNegative val="0"/>
          <c:cat>
            <c:strRef>
              <c:f>'Life Sciense'!$A$1:$A$10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'Life Sciense'!$B$2:$B$10</c:f>
              <c:numCache>
                <c:formatCode>General</c:formatCode>
                <c:ptCount val="9"/>
                <c:pt idx="0">
                  <c:v>587749000</c:v>
                </c:pt>
                <c:pt idx="1">
                  <c:v>835662819</c:v>
                </c:pt>
                <c:pt idx="2">
                  <c:v>784848000</c:v>
                </c:pt>
                <c:pt idx="3">
                  <c:v>1229105000</c:v>
                </c:pt>
                <c:pt idx="4">
                  <c:v>1128908600</c:v>
                </c:pt>
                <c:pt idx="5">
                  <c:v>1371666176</c:v>
                </c:pt>
                <c:pt idx="6">
                  <c:v>1948536458</c:v>
                </c:pt>
                <c:pt idx="7">
                  <c:v>2726686333</c:v>
                </c:pt>
                <c:pt idx="8">
                  <c:v>2265055000</c:v>
                </c:pt>
              </c:numCache>
            </c:numRef>
          </c:val>
          <c:extLst>
            <c:ext xmlns:c16="http://schemas.microsoft.com/office/drawing/2014/chart" uri="{C3380CC4-5D6E-409C-BE32-E72D297353CC}">
              <c16:uniqueId val="{00000000-7934-9D48-BDC0-4E4BF6AECBAA}"/>
            </c:ext>
          </c:extLst>
        </c:ser>
        <c:dLbls>
          <c:showLegendKey val="0"/>
          <c:showVal val="0"/>
          <c:showCatName val="0"/>
          <c:showSerName val="0"/>
          <c:showPercent val="0"/>
          <c:showBubbleSize val="0"/>
        </c:dLbls>
        <c:gapWidth val="150"/>
        <c:axId val="2071294079"/>
        <c:axId val="2071295727"/>
      </c:barChart>
      <c:lineChart>
        <c:grouping val="standard"/>
        <c:varyColors val="0"/>
        <c:ser>
          <c:idx val="2"/>
          <c:order val="1"/>
          <c:tx>
            <c:strRef>
              <c:f>'Life Sciense'!$C$1</c:f>
              <c:strCache>
                <c:ptCount val="1"/>
                <c:pt idx="0">
                  <c:v>Deals</c:v>
                </c:pt>
              </c:strCache>
            </c:strRef>
          </c:tx>
          <c:spPr>
            <a:ln w="28575" cap="rnd">
              <a:solidFill>
                <a:schemeClr val="accent2"/>
              </a:solidFill>
              <a:round/>
            </a:ln>
            <a:effectLst/>
          </c:spPr>
          <c:marker>
            <c:symbol val="none"/>
          </c:marker>
          <c:val>
            <c:numRef>
              <c:f>'Life Sciense'!$C$2:$C$10</c:f>
              <c:numCache>
                <c:formatCode>General</c:formatCode>
                <c:ptCount val="9"/>
                <c:pt idx="0">
                  <c:v>109</c:v>
                </c:pt>
                <c:pt idx="1">
                  <c:v>141</c:v>
                </c:pt>
                <c:pt idx="2">
                  <c:v>154</c:v>
                </c:pt>
                <c:pt idx="3">
                  <c:v>162</c:v>
                </c:pt>
                <c:pt idx="4">
                  <c:v>196</c:v>
                </c:pt>
                <c:pt idx="5">
                  <c:v>220</c:v>
                </c:pt>
                <c:pt idx="6">
                  <c:v>211</c:v>
                </c:pt>
                <c:pt idx="7">
                  <c:v>223</c:v>
                </c:pt>
                <c:pt idx="8">
                  <c:v>137</c:v>
                </c:pt>
              </c:numCache>
            </c:numRef>
          </c:val>
          <c:smooth val="0"/>
          <c:extLst>
            <c:ext xmlns:c16="http://schemas.microsoft.com/office/drawing/2014/chart" uri="{C3380CC4-5D6E-409C-BE32-E72D297353CC}">
              <c16:uniqueId val="{00000001-7934-9D48-BDC0-4E4BF6AECBAA}"/>
            </c:ext>
          </c:extLst>
        </c:ser>
        <c:dLbls>
          <c:showLegendKey val="0"/>
          <c:showVal val="0"/>
          <c:showCatName val="0"/>
          <c:showSerName val="0"/>
          <c:showPercent val="0"/>
          <c:showBubbleSize val="0"/>
        </c:dLbls>
        <c:marker val="1"/>
        <c:smooth val="0"/>
        <c:axId val="1314273423"/>
        <c:axId val="109087696"/>
      </c:lineChart>
      <c:catAx>
        <c:axId val="207129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71295727"/>
        <c:crosses val="autoZero"/>
        <c:auto val="1"/>
        <c:lblAlgn val="ctr"/>
        <c:lblOffset val="100"/>
        <c:noMultiLvlLbl val="0"/>
      </c:catAx>
      <c:valAx>
        <c:axId val="2071295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71294079"/>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0908769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4273423"/>
        <c:crosses val="max"/>
        <c:crossBetween val="between"/>
      </c:valAx>
      <c:catAx>
        <c:axId val="1314273423"/>
        <c:scaling>
          <c:orientation val="minMax"/>
        </c:scaling>
        <c:delete val="1"/>
        <c:axPos val="b"/>
        <c:majorTickMark val="none"/>
        <c:minorTickMark val="none"/>
        <c:tickLblPos val="nextTo"/>
        <c:crossAx val="1090876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17: Life Sciense &amp; Health tech sector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'Life Sciense'!$B$19</c:f>
              <c:strCache>
                <c:ptCount val="1"/>
                <c:pt idx="0">
                  <c:v>Amount_Invested</c:v>
                </c:pt>
              </c:strCache>
            </c:strRef>
          </c:tx>
          <c:spPr>
            <a:solidFill>
              <a:schemeClr val="accent1"/>
            </a:solidFill>
            <a:ln>
              <a:noFill/>
            </a:ln>
            <a:effectLst/>
          </c:spPr>
          <c:invertIfNegative val="0"/>
          <c:cat>
            <c:strRef>
              <c:f>'Life Sciense'!$A$20:$A$37</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'Life Sciense'!$B$20:$B$37</c:f>
              <c:numCache>
                <c:formatCode>General</c:formatCode>
                <c:ptCount val="18"/>
                <c:pt idx="0">
                  <c:v>245059000</c:v>
                </c:pt>
                <c:pt idx="1">
                  <c:v>342690000</c:v>
                </c:pt>
                <c:pt idx="2">
                  <c:v>289242819</c:v>
                </c:pt>
                <c:pt idx="3">
                  <c:v>546420000</c:v>
                </c:pt>
                <c:pt idx="4">
                  <c:v>465286000</c:v>
                </c:pt>
                <c:pt idx="5">
                  <c:v>319562000</c:v>
                </c:pt>
                <c:pt idx="6">
                  <c:v>653520000</c:v>
                </c:pt>
                <c:pt idx="7">
                  <c:v>575585000</c:v>
                </c:pt>
                <c:pt idx="8">
                  <c:v>562533600</c:v>
                </c:pt>
                <c:pt idx="9">
                  <c:v>566375000</c:v>
                </c:pt>
                <c:pt idx="10">
                  <c:v>600080000</c:v>
                </c:pt>
                <c:pt idx="11">
                  <c:v>771586176</c:v>
                </c:pt>
                <c:pt idx="12">
                  <c:v>1080736458</c:v>
                </c:pt>
                <c:pt idx="13">
                  <c:v>867800000</c:v>
                </c:pt>
                <c:pt idx="14">
                  <c:v>1555783500</c:v>
                </c:pt>
                <c:pt idx="15">
                  <c:v>1170902833</c:v>
                </c:pt>
                <c:pt idx="16">
                  <c:v>1351562000</c:v>
                </c:pt>
                <c:pt idx="17">
                  <c:v>913493000</c:v>
                </c:pt>
              </c:numCache>
            </c:numRef>
          </c:val>
          <c:extLst>
            <c:ext xmlns:c16="http://schemas.microsoft.com/office/drawing/2014/chart" uri="{C3380CC4-5D6E-409C-BE32-E72D297353CC}">
              <c16:uniqueId val="{00000000-9752-8044-B35A-781EC25B418B}"/>
            </c:ext>
          </c:extLst>
        </c:ser>
        <c:dLbls>
          <c:showLegendKey val="0"/>
          <c:showVal val="0"/>
          <c:showCatName val="0"/>
          <c:showSerName val="0"/>
          <c:showPercent val="0"/>
          <c:showBubbleSize val="0"/>
        </c:dLbls>
        <c:gapWidth val="150"/>
        <c:axId val="2071344159"/>
        <c:axId val="2071338031"/>
      </c:barChart>
      <c:lineChart>
        <c:grouping val="standard"/>
        <c:varyColors val="0"/>
        <c:ser>
          <c:idx val="1"/>
          <c:order val="1"/>
          <c:tx>
            <c:strRef>
              <c:f>'Life Sciense'!$C$19</c:f>
              <c:strCache>
                <c:ptCount val="1"/>
                <c:pt idx="0">
                  <c:v>Deals</c:v>
                </c:pt>
              </c:strCache>
            </c:strRef>
          </c:tx>
          <c:spPr>
            <a:ln w="28575" cap="rnd">
              <a:solidFill>
                <a:schemeClr val="accent2"/>
              </a:solidFill>
              <a:round/>
            </a:ln>
            <a:effectLst/>
          </c:spPr>
          <c:marker>
            <c:symbol val="none"/>
          </c:marker>
          <c:cat>
            <c:strRef>
              <c:f>'Life Sciense'!$A$20:$A$37</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'Life Sciense'!$C$20:$C$37</c:f>
              <c:numCache>
                <c:formatCode>General</c:formatCode>
                <c:ptCount val="18"/>
                <c:pt idx="0">
                  <c:v>61</c:v>
                </c:pt>
                <c:pt idx="1">
                  <c:v>48</c:v>
                </c:pt>
                <c:pt idx="2">
                  <c:v>74</c:v>
                </c:pt>
                <c:pt idx="3">
                  <c:v>67</c:v>
                </c:pt>
                <c:pt idx="4">
                  <c:v>88</c:v>
                </c:pt>
                <c:pt idx="5">
                  <c:v>66</c:v>
                </c:pt>
                <c:pt idx="6">
                  <c:v>84</c:v>
                </c:pt>
                <c:pt idx="7">
                  <c:v>78</c:v>
                </c:pt>
                <c:pt idx="8">
                  <c:v>108</c:v>
                </c:pt>
                <c:pt idx="9">
                  <c:v>88</c:v>
                </c:pt>
                <c:pt idx="10">
                  <c:v>117</c:v>
                </c:pt>
                <c:pt idx="11">
                  <c:v>103</c:v>
                </c:pt>
                <c:pt idx="12">
                  <c:v>115</c:v>
                </c:pt>
                <c:pt idx="13">
                  <c:v>96</c:v>
                </c:pt>
                <c:pt idx="14">
                  <c:v>113</c:v>
                </c:pt>
                <c:pt idx="15">
                  <c:v>110</c:v>
                </c:pt>
                <c:pt idx="16">
                  <c:v>93</c:v>
                </c:pt>
                <c:pt idx="17">
                  <c:v>44</c:v>
                </c:pt>
              </c:numCache>
            </c:numRef>
          </c:val>
          <c:smooth val="0"/>
          <c:extLst>
            <c:ext xmlns:c16="http://schemas.microsoft.com/office/drawing/2014/chart" uri="{C3380CC4-5D6E-409C-BE32-E72D297353CC}">
              <c16:uniqueId val="{00000001-9752-8044-B35A-781EC25B418B}"/>
            </c:ext>
          </c:extLst>
        </c:ser>
        <c:dLbls>
          <c:showLegendKey val="0"/>
          <c:showVal val="0"/>
          <c:showCatName val="0"/>
          <c:showSerName val="0"/>
          <c:showPercent val="0"/>
          <c:showBubbleSize val="0"/>
        </c:dLbls>
        <c:marker val="1"/>
        <c:smooth val="0"/>
        <c:axId val="33444048"/>
        <c:axId val="2053506927"/>
      </c:lineChart>
      <c:catAx>
        <c:axId val="207134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71338031"/>
        <c:crosses val="autoZero"/>
        <c:auto val="1"/>
        <c:lblAlgn val="ctr"/>
        <c:lblOffset val="100"/>
        <c:noMultiLvlLbl val="0"/>
      </c:catAx>
      <c:valAx>
        <c:axId val="207133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71344159"/>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2053506927"/>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3444048"/>
        <c:crosses val="max"/>
        <c:crossBetween val="between"/>
      </c:valAx>
      <c:catAx>
        <c:axId val="33444048"/>
        <c:scaling>
          <c:orientation val="minMax"/>
        </c:scaling>
        <c:delete val="1"/>
        <c:axPos val="b"/>
        <c:numFmt formatCode="General" sourceLinked="1"/>
        <c:majorTickMark val="none"/>
        <c:minorTickMark val="none"/>
        <c:tickLblPos val="nextTo"/>
        <c:crossAx val="205350692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18: Cybersecurity sector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Cyber!$B$1</c:f>
              <c:strCache>
                <c:ptCount val="1"/>
                <c:pt idx="0">
                  <c:v>Amount_Invested</c:v>
                </c:pt>
              </c:strCache>
            </c:strRef>
          </c:tx>
          <c:spPr>
            <a:solidFill>
              <a:schemeClr val="accent1"/>
            </a:solidFill>
            <a:ln>
              <a:noFill/>
            </a:ln>
            <a:effectLst/>
          </c:spPr>
          <c:invertIfNegative val="0"/>
          <c:cat>
            <c:strRef>
              <c:f>Cyber!$A$1:$A$10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Cyber!$B$2:$B$10</c:f>
              <c:numCache>
                <c:formatCode>0</c:formatCode>
                <c:ptCount val="9"/>
                <c:pt idx="0">
                  <c:v>212344800</c:v>
                </c:pt>
                <c:pt idx="1">
                  <c:v>423970000</c:v>
                </c:pt>
                <c:pt idx="2">
                  <c:v>820885000</c:v>
                </c:pt>
                <c:pt idx="3">
                  <c:v>714936870</c:v>
                </c:pt>
                <c:pt idx="4">
                  <c:v>1162130000</c:v>
                </c:pt>
                <c:pt idx="5">
                  <c:v>1442920000</c:v>
                </c:pt>
                <c:pt idx="6">
                  <c:v>2637965000</c:v>
                </c:pt>
                <c:pt idx="7">
                  <c:v>7008850000</c:v>
                </c:pt>
                <c:pt idx="8">
                  <c:v>2696640000</c:v>
                </c:pt>
              </c:numCache>
            </c:numRef>
          </c:val>
          <c:extLst>
            <c:ext xmlns:c16="http://schemas.microsoft.com/office/drawing/2014/chart" uri="{C3380CC4-5D6E-409C-BE32-E72D297353CC}">
              <c16:uniqueId val="{00000000-F4D9-DF4C-9523-CE328C97492E}"/>
            </c:ext>
          </c:extLst>
        </c:ser>
        <c:dLbls>
          <c:showLegendKey val="0"/>
          <c:showVal val="0"/>
          <c:showCatName val="0"/>
          <c:showSerName val="0"/>
          <c:showPercent val="0"/>
          <c:showBubbleSize val="0"/>
        </c:dLbls>
        <c:gapWidth val="150"/>
        <c:axId val="1276256639"/>
        <c:axId val="69246304"/>
      </c:barChart>
      <c:lineChart>
        <c:grouping val="standard"/>
        <c:varyColors val="0"/>
        <c:ser>
          <c:idx val="2"/>
          <c:order val="1"/>
          <c:tx>
            <c:strRef>
              <c:f>Cyber!$C$1</c:f>
              <c:strCache>
                <c:ptCount val="1"/>
                <c:pt idx="0">
                  <c:v>Deals</c:v>
                </c:pt>
              </c:strCache>
            </c:strRef>
          </c:tx>
          <c:spPr>
            <a:ln w="28575" cap="rnd">
              <a:solidFill>
                <a:schemeClr val="accent2"/>
              </a:solidFill>
              <a:round/>
            </a:ln>
            <a:effectLst/>
          </c:spPr>
          <c:marker>
            <c:symbol val="none"/>
          </c:marker>
          <c:val>
            <c:numRef>
              <c:f>Cyber!$C$2:$C$10</c:f>
              <c:numCache>
                <c:formatCode>General</c:formatCode>
                <c:ptCount val="9"/>
                <c:pt idx="0">
                  <c:v>45</c:v>
                </c:pt>
                <c:pt idx="1">
                  <c:v>72</c:v>
                </c:pt>
                <c:pt idx="2">
                  <c:v>83</c:v>
                </c:pt>
                <c:pt idx="3">
                  <c:v>78</c:v>
                </c:pt>
                <c:pt idx="4">
                  <c:v>111</c:v>
                </c:pt>
                <c:pt idx="5">
                  <c:v>92</c:v>
                </c:pt>
                <c:pt idx="6">
                  <c:v>113</c:v>
                </c:pt>
                <c:pt idx="7">
                  <c:v>118</c:v>
                </c:pt>
                <c:pt idx="8">
                  <c:v>101</c:v>
                </c:pt>
              </c:numCache>
            </c:numRef>
          </c:val>
          <c:smooth val="0"/>
          <c:extLst>
            <c:ext xmlns:c16="http://schemas.microsoft.com/office/drawing/2014/chart" uri="{C3380CC4-5D6E-409C-BE32-E72D297353CC}">
              <c16:uniqueId val="{00000001-F4D9-DF4C-9523-CE328C97492E}"/>
            </c:ext>
          </c:extLst>
        </c:ser>
        <c:dLbls>
          <c:showLegendKey val="0"/>
          <c:showVal val="0"/>
          <c:showCatName val="0"/>
          <c:showSerName val="0"/>
          <c:showPercent val="0"/>
          <c:showBubbleSize val="0"/>
        </c:dLbls>
        <c:marker val="1"/>
        <c:smooth val="0"/>
        <c:axId val="2129429247"/>
        <c:axId val="1517331871"/>
      </c:lineChart>
      <c:catAx>
        <c:axId val="12762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9246304"/>
        <c:crosses val="autoZero"/>
        <c:auto val="1"/>
        <c:lblAlgn val="ctr"/>
        <c:lblOffset val="100"/>
        <c:noMultiLvlLbl val="0"/>
      </c:catAx>
      <c:valAx>
        <c:axId val="69246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76256639"/>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517331871"/>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29429247"/>
        <c:crosses val="max"/>
        <c:crossBetween val="between"/>
      </c:valAx>
      <c:catAx>
        <c:axId val="2129429247"/>
        <c:scaling>
          <c:orientation val="minMax"/>
        </c:scaling>
        <c:delete val="1"/>
        <c:axPos val="b"/>
        <c:majorTickMark val="none"/>
        <c:minorTickMark val="none"/>
        <c:tickLblPos val="nextTo"/>
        <c:crossAx val="15173318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19: Cybersecurity sector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Cyber!$B$18</c:f>
              <c:strCache>
                <c:ptCount val="1"/>
                <c:pt idx="0">
                  <c:v>Amount_Invested</c:v>
                </c:pt>
              </c:strCache>
            </c:strRef>
          </c:tx>
          <c:spPr>
            <a:solidFill>
              <a:schemeClr val="accent1"/>
            </a:solidFill>
            <a:ln>
              <a:noFill/>
            </a:ln>
            <a:effectLst/>
          </c:spPr>
          <c:invertIfNegative val="0"/>
          <c:cat>
            <c:strRef>
              <c:f>Cyber!$A$19:$A$36</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Cyber!$B$19:$B$36</c:f>
              <c:numCache>
                <c:formatCode>General</c:formatCode>
                <c:ptCount val="18"/>
                <c:pt idx="0">
                  <c:v>121700000</c:v>
                </c:pt>
                <c:pt idx="1">
                  <c:v>90644800</c:v>
                </c:pt>
                <c:pt idx="2">
                  <c:v>199920000</c:v>
                </c:pt>
                <c:pt idx="3">
                  <c:v>224050000</c:v>
                </c:pt>
                <c:pt idx="4">
                  <c:v>481340000</c:v>
                </c:pt>
                <c:pt idx="5">
                  <c:v>339545000</c:v>
                </c:pt>
                <c:pt idx="6">
                  <c:v>408723000</c:v>
                </c:pt>
                <c:pt idx="7">
                  <c:v>306213870</c:v>
                </c:pt>
                <c:pt idx="8">
                  <c:v>619620000</c:v>
                </c:pt>
                <c:pt idx="9">
                  <c:v>542510000</c:v>
                </c:pt>
                <c:pt idx="10">
                  <c:v>765930000</c:v>
                </c:pt>
                <c:pt idx="11">
                  <c:v>676990000</c:v>
                </c:pt>
                <c:pt idx="12">
                  <c:v>1163215000</c:v>
                </c:pt>
                <c:pt idx="13">
                  <c:v>1474750000</c:v>
                </c:pt>
                <c:pt idx="14">
                  <c:v>3055150000</c:v>
                </c:pt>
                <c:pt idx="15">
                  <c:v>3953700000</c:v>
                </c:pt>
                <c:pt idx="16">
                  <c:v>1941440000</c:v>
                </c:pt>
                <c:pt idx="17">
                  <c:v>755200000</c:v>
                </c:pt>
              </c:numCache>
            </c:numRef>
          </c:val>
          <c:extLst>
            <c:ext xmlns:c16="http://schemas.microsoft.com/office/drawing/2014/chart" uri="{C3380CC4-5D6E-409C-BE32-E72D297353CC}">
              <c16:uniqueId val="{00000000-F16B-B44D-801C-460EC91BF8BB}"/>
            </c:ext>
          </c:extLst>
        </c:ser>
        <c:dLbls>
          <c:showLegendKey val="0"/>
          <c:showVal val="0"/>
          <c:showCatName val="0"/>
          <c:showSerName val="0"/>
          <c:showPercent val="0"/>
          <c:showBubbleSize val="0"/>
        </c:dLbls>
        <c:gapWidth val="150"/>
        <c:axId val="32742592"/>
        <c:axId val="71156192"/>
      </c:barChart>
      <c:lineChart>
        <c:grouping val="standard"/>
        <c:varyColors val="0"/>
        <c:ser>
          <c:idx val="1"/>
          <c:order val="1"/>
          <c:tx>
            <c:strRef>
              <c:f>Cyber!$C$18</c:f>
              <c:strCache>
                <c:ptCount val="1"/>
                <c:pt idx="0">
                  <c:v>Deals</c:v>
                </c:pt>
              </c:strCache>
            </c:strRef>
          </c:tx>
          <c:spPr>
            <a:ln w="28575" cap="rnd">
              <a:solidFill>
                <a:schemeClr val="accent2"/>
              </a:solidFill>
              <a:round/>
            </a:ln>
            <a:effectLst/>
          </c:spPr>
          <c:marker>
            <c:symbol val="none"/>
          </c:marker>
          <c:cat>
            <c:strRef>
              <c:f>Cyber!$A$19:$A$36</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Cyber!$C$19:$C$36</c:f>
              <c:numCache>
                <c:formatCode>General</c:formatCode>
                <c:ptCount val="18"/>
                <c:pt idx="0">
                  <c:v>20</c:v>
                </c:pt>
                <c:pt idx="1">
                  <c:v>25</c:v>
                </c:pt>
                <c:pt idx="2">
                  <c:v>32</c:v>
                </c:pt>
                <c:pt idx="3">
                  <c:v>40</c:v>
                </c:pt>
                <c:pt idx="4">
                  <c:v>50</c:v>
                </c:pt>
                <c:pt idx="5">
                  <c:v>33</c:v>
                </c:pt>
                <c:pt idx="6">
                  <c:v>50</c:v>
                </c:pt>
                <c:pt idx="7">
                  <c:v>28</c:v>
                </c:pt>
                <c:pt idx="8">
                  <c:v>67</c:v>
                </c:pt>
                <c:pt idx="9">
                  <c:v>44</c:v>
                </c:pt>
                <c:pt idx="10">
                  <c:v>56</c:v>
                </c:pt>
                <c:pt idx="11">
                  <c:v>36</c:v>
                </c:pt>
                <c:pt idx="12">
                  <c:v>53</c:v>
                </c:pt>
                <c:pt idx="13">
                  <c:v>60</c:v>
                </c:pt>
                <c:pt idx="14">
                  <c:v>61</c:v>
                </c:pt>
                <c:pt idx="15">
                  <c:v>57</c:v>
                </c:pt>
                <c:pt idx="16">
                  <c:v>66</c:v>
                </c:pt>
                <c:pt idx="17">
                  <c:v>35</c:v>
                </c:pt>
              </c:numCache>
            </c:numRef>
          </c:val>
          <c:smooth val="0"/>
          <c:extLst>
            <c:ext xmlns:c16="http://schemas.microsoft.com/office/drawing/2014/chart" uri="{C3380CC4-5D6E-409C-BE32-E72D297353CC}">
              <c16:uniqueId val="{00000001-F16B-B44D-801C-460EC91BF8BB}"/>
            </c:ext>
          </c:extLst>
        </c:ser>
        <c:dLbls>
          <c:showLegendKey val="0"/>
          <c:showVal val="0"/>
          <c:showCatName val="0"/>
          <c:showSerName val="0"/>
          <c:showPercent val="0"/>
          <c:showBubbleSize val="0"/>
        </c:dLbls>
        <c:marker val="1"/>
        <c:smooth val="0"/>
        <c:axId val="30078032"/>
        <c:axId val="30087376"/>
      </c:lineChart>
      <c:catAx>
        <c:axId val="3274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1156192"/>
        <c:crosses val="autoZero"/>
        <c:auto val="1"/>
        <c:lblAlgn val="ctr"/>
        <c:lblOffset val="100"/>
        <c:noMultiLvlLbl val="0"/>
      </c:catAx>
      <c:valAx>
        <c:axId val="7115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2742592"/>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3008737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0078032"/>
        <c:crosses val="max"/>
        <c:crossBetween val="between"/>
      </c:valAx>
      <c:catAx>
        <c:axId val="30078032"/>
        <c:scaling>
          <c:orientation val="minMax"/>
        </c:scaling>
        <c:delete val="1"/>
        <c:axPos val="b"/>
        <c:numFmt formatCode="General" sourceLinked="1"/>
        <c:majorTickMark val="none"/>
        <c:minorTickMark val="none"/>
        <c:tickLblPos val="nextTo"/>
        <c:crossAx val="300873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 השקעות הון לפי שנה- סיליקון ואלי</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'Equity SV by Year'!$B$1</c:f>
              <c:strCache>
                <c:ptCount val="1"/>
                <c:pt idx="0">
                  <c:v>סה״כ גיוסים, מילארד $</c:v>
                </c:pt>
              </c:strCache>
            </c:strRef>
          </c:tx>
          <c:spPr>
            <a:solidFill>
              <a:srgbClr val="C00000"/>
            </a:solidFill>
            <a:ln>
              <a:noFill/>
            </a:ln>
            <a:effectLst/>
          </c:spPr>
          <c:invertIfNegative val="0"/>
          <c:cat>
            <c:strRef>
              <c:f>'Equity SV by Year'!$A$1:$A$10</c:f>
              <c:strCache>
                <c:ptCount val="10"/>
                <c:pt idx="0">
                  <c:v>Year of Funding</c:v>
                </c:pt>
                <c:pt idx="1">
                  <c:v>2014</c:v>
                </c:pt>
                <c:pt idx="2">
                  <c:v>2015</c:v>
                </c:pt>
                <c:pt idx="3">
                  <c:v>2016</c:v>
                </c:pt>
                <c:pt idx="4">
                  <c:v>2017</c:v>
                </c:pt>
                <c:pt idx="5">
                  <c:v>2018</c:v>
                </c:pt>
                <c:pt idx="6">
                  <c:v>2019</c:v>
                </c:pt>
                <c:pt idx="7">
                  <c:v>2020</c:v>
                </c:pt>
                <c:pt idx="8">
                  <c:v>2021</c:v>
                </c:pt>
                <c:pt idx="9">
                  <c:v>2022</c:v>
                </c:pt>
              </c:strCache>
            </c:strRef>
          </c:cat>
          <c:val>
            <c:numRef>
              <c:f>'Equity SV by Year'!$B$2:$B$10</c:f>
              <c:numCache>
                <c:formatCode>General</c:formatCode>
                <c:ptCount val="9"/>
                <c:pt idx="0">
                  <c:v>27605870000</c:v>
                </c:pt>
                <c:pt idx="1">
                  <c:v>33353360000</c:v>
                </c:pt>
                <c:pt idx="2">
                  <c:v>29473150000</c:v>
                </c:pt>
                <c:pt idx="3">
                  <c:v>30785410000</c:v>
                </c:pt>
                <c:pt idx="4">
                  <c:v>45941300000</c:v>
                </c:pt>
                <c:pt idx="5">
                  <c:v>48252220000</c:v>
                </c:pt>
                <c:pt idx="6">
                  <c:v>56813630000</c:v>
                </c:pt>
                <c:pt idx="7">
                  <c:v>114131190000</c:v>
                </c:pt>
                <c:pt idx="8">
                  <c:v>66237910000</c:v>
                </c:pt>
              </c:numCache>
            </c:numRef>
          </c:val>
          <c:extLst>
            <c:ext xmlns:c16="http://schemas.microsoft.com/office/drawing/2014/chart" uri="{C3380CC4-5D6E-409C-BE32-E72D297353CC}">
              <c16:uniqueId val="{00000000-68F3-4441-A165-84C312A6EC71}"/>
            </c:ext>
          </c:extLst>
        </c:ser>
        <c:dLbls>
          <c:showLegendKey val="0"/>
          <c:showVal val="0"/>
          <c:showCatName val="0"/>
          <c:showSerName val="0"/>
          <c:showPercent val="0"/>
          <c:showBubbleSize val="0"/>
        </c:dLbls>
        <c:gapWidth val="150"/>
        <c:axId val="2145824416"/>
        <c:axId val="768891711"/>
      </c:barChart>
      <c:lineChart>
        <c:grouping val="standard"/>
        <c:varyColors val="0"/>
        <c:ser>
          <c:idx val="2"/>
          <c:order val="1"/>
          <c:tx>
            <c:strRef>
              <c:f>'Equity SV by Year'!$C$1</c:f>
              <c:strCache>
                <c:ptCount val="1"/>
                <c:pt idx="0">
                  <c:v>מספר סבבים</c:v>
                </c:pt>
              </c:strCache>
            </c:strRef>
          </c:tx>
          <c:spPr>
            <a:ln w="44450" cap="rnd">
              <a:solidFill>
                <a:schemeClr val="tx2"/>
              </a:solidFill>
              <a:round/>
            </a:ln>
            <a:effectLst/>
          </c:spPr>
          <c:marker>
            <c:symbol val="none"/>
          </c:marker>
          <c:dLbls>
            <c:dLbl>
              <c:idx val="7"/>
              <c:layout>
                <c:manualLayout>
                  <c:x val="-6.0758570386579246E-2"/>
                  <c:y val="-1.35146022155085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8F3-4441-A165-84C312A6EC71}"/>
                </c:ext>
              </c:extLst>
            </c:dLbl>
            <c:dLbl>
              <c:idx val="8"/>
              <c:layout>
                <c:manualLayout>
                  <c:x val="-1.4077315827862981E-2"/>
                  <c:y val="-3.56696878147029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8F3-4441-A165-84C312A6EC7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'Equity SV by Year'!$C$2:$C$10</c:f>
              <c:numCache>
                <c:formatCode>General</c:formatCode>
                <c:ptCount val="9"/>
                <c:pt idx="0">
                  <c:v>2113</c:v>
                </c:pt>
                <c:pt idx="1">
                  <c:v>2090</c:v>
                </c:pt>
                <c:pt idx="2">
                  <c:v>1920</c:v>
                </c:pt>
                <c:pt idx="3">
                  <c:v>2010</c:v>
                </c:pt>
                <c:pt idx="4">
                  <c:v>2207</c:v>
                </c:pt>
                <c:pt idx="5">
                  <c:v>2250</c:v>
                </c:pt>
                <c:pt idx="6">
                  <c:v>2307</c:v>
                </c:pt>
                <c:pt idx="7">
                  <c:v>3165</c:v>
                </c:pt>
                <c:pt idx="8">
                  <c:v>2185</c:v>
                </c:pt>
              </c:numCache>
            </c:numRef>
          </c:val>
          <c:smooth val="0"/>
          <c:extLst>
            <c:ext xmlns:c16="http://schemas.microsoft.com/office/drawing/2014/chart" uri="{C3380CC4-5D6E-409C-BE32-E72D297353CC}">
              <c16:uniqueId val="{00000003-68F3-4441-A165-84C312A6EC71}"/>
            </c:ext>
          </c:extLst>
        </c:ser>
        <c:dLbls>
          <c:showLegendKey val="0"/>
          <c:showVal val="0"/>
          <c:showCatName val="0"/>
          <c:showSerName val="0"/>
          <c:showPercent val="0"/>
          <c:showBubbleSize val="0"/>
        </c:dLbls>
        <c:marker val="1"/>
        <c:smooth val="0"/>
        <c:axId val="1033393871"/>
        <c:axId val="628484815"/>
      </c:lineChart>
      <c:catAx>
        <c:axId val="214582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68891711"/>
        <c:crosses val="autoZero"/>
        <c:auto val="1"/>
        <c:lblAlgn val="ctr"/>
        <c:lblOffset val="100"/>
        <c:noMultiLvlLbl val="0"/>
      </c:catAx>
      <c:valAx>
        <c:axId val="768891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45824416"/>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 מיליארד</a:t>
                  </a:r>
                  <a:r>
                    <a:rPr lang="he-IL" baseline="0"/>
                    <a:t> </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628484815"/>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IL"/>
          </a:p>
        </c:txPr>
        <c:crossAx val="1033393871"/>
        <c:crosses val="max"/>
        <c:crossBetween val="between"/>
      </c:valAx>
      <c:catAx>
        <c:axId val="1033393871"/>
        <c:scaling>
          <c:orientation val="minMax"/>
        </c:scaling>
        <c:delete val="1"/>
        <c:axPos val="b"/>
        <c:majorTickMark val="none"/>
        <c:minorTickMark val="none"/>
        <c:tickLblPos val="nextTo"/>
        <c:crossAx val="62848481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20: Agri &amp; Food tech sector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'Agri &amp; Food Tech'!$B$1</c:f>
              <c:strCache>
                <c:ptCount val="1"/>
                <c:pt idx="0">
                  <c:v>Amount_Invested</c:v>
                </c:pt>
              </c:strCache>
            </c:strRef>
          </c:tx>
          <c:spPr>
            <a:solidFill>
              <a:schemeClr val="accent1"/>
            </a:solidFill>
            <a:ln>
              <a:noFill/>
            </a:ln>
            <a:effectLst/>
          </c:spPr>
          <c:invertIfNegative val="0"/>
          <c:cat>
            <c:strRef>
              <c:f>'Agri &amp; Food Tech'!$A$1:$A$10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'Agri &amp; Food Tech'!$B$2:$B$10</c:f>
              <c:numCache>
                <c:formatCode>General</c:formatCode>
                <c:ptCount val="9"/>
                <c:pt idx="0">
                  <c:v>60470000</c:v>
                </c:pt>
                <c:pt idx="1">
                  <c:v>53040000</c:v>
                </c:pt>
                <c:pt idx="2">
                  <c:v>59623800</c:v>
                </c:pt>
                <c:pt idx="3">
                  <c:v>117217000</c:v>
                </c:pt>
                <c:pt idx="4">
                  <c:v>130376084</c:v>
                </c:pt>
                <c:pt idx="5">
                  <c:v>196799906</c:v>
                </c:pt>
                <c:pt idx="6">
                  <c:v>319547250</c:v>
                </c:pt>
                <c:pt idx="7">
                  <c:v>837552969</c:v>
                </c:pt>
                <c:pt idx="8">
                  <c:v>768334405</c:v>
                </c:pt>
              </c:numCache>
            </c:numRef>
          </c:val>
          <c:extLst>
            <c:ext xmlns:c16="http://schemas.microsoft.com/office/drawing/2014/chart" uri="{C3380CC4-5D6E-409C-BE32-E72D297353CC}">
              <c16:uniqueId val="{00000000-B827-5741-A380-BB1415EE0EA4}"/>
            </c:ext>
          </c:extLst>
        </c:ser>
        <c:dLbls>
          <c:showLegendKey val="0"/>
          <c:showVal val="0"/>
          <c:showCatName val="0"/>
          <c:showSerName val="0"/>
          <c:showPercent val="0"/>
          <c:showBubbleSize val="0"/>
        </c:dLbls>
        <c:gapWidth val="150"/>
        <c:axId val="1246839295"/>
        <c:axId val="1246936191"/>
      </c:barChart>
      <c:lineChart>
        <c:grouping val="standard"/>
        <c:varyColors val="0"/>
        <c:ser>
          <c:idx val="2"/>
          <c:order val="1"/>
          <c:tx>
            <c:strRef>
              <c:f>'Agri &amp; Food Tech'!$C$1</c:f>
              <c:strCache>
                <c:ptCount val="1"/>
                <c:pt idx="0">
                  <c:v>Deals</c:v>
                </c:pt>
              </c:strCache>
            </c:strRef>
          </c:tx>
          <c:spPr>
            <a:ln w="28575" cap="rnd">
              <a:solidFill>
                <a:schemeClr val="accent2"/>
              </a:solidFill>
              <a:round/>
            </a:ln>
            <a:effectLst/>
          </c:spPr>
          <c:marker>
            <c:symbol val="none"/>
          </c:marker>
          <c:val>
            <c:numRef>
              <c:f>'Agri &amp; Food Tech'!$C$2:$C$10</c:f>
              <c:numCache>
                <c:formatCode>General</c:formatCode>
                <c:ptCount val="9"/>
                <c:pt idx="0">
                  <c:v>31</c:v>
                </c:pt>
                <c:pt idx="1">
                  <c:v>39</c:v>
                </c:pt>
                <c:pt idx="2">
                  <c:v>51</c:v>
                </c:pt>
                <c:pt idx="3">
                  <c:v>50</c:v>
                </c:pt>
                <c:pt idx="4">
                  <c:v>66</c:v>
                </c:pt>
                <c:pt idx="5">
                  <c:v>71</c:v>
                </c:pt>
                <c:pt idx="6">
                  <c:v>84</c:v>
                </c:pt>
                <c:pt idx="7">
                  <c:v>82</c:v>
                </c:pt>
                <c:pt idx="8">
                  <c:v>74</c:v>
                </c:pt>
              </c:numCache>
            </c:numRef>
          </c:val>
          <c:smooth val="0"/>
          <c:extLst>
            <c:ext xmlns:c16="http://schemas.microsoft.com/office/drawing/2014/chart" uri="{C3380CC4-5D6E-409C-BE32-E72D297353CC}">
              <c16:uniqueId val="{00000001-B827-5741-A380-BB1415EE0EA4}"/>
            </c:ext>
          </c:extLst>
        </c:ser>
        <c:dLbls>
          <c:showLegendKey val="0"/>
          <c:showVal val="0"/>
          <c:showCatName val="0"/>
          <c:showSerName val="0"/>
          <c:showPercent val="0"/>
          <c:showBubbleSize val="0"/>
        </c:dLbls>
        <c:marker val="1"/>
        <c:smooth val="0"/>
        <c:axId val="1314466495"/>
        <c:axId val="1276821679"/>
      </c:lineChart>
      <c:catAx>
        <c:axId val="124683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46936191"/>
        <c:crosses val="autoZero"/>
        <c:auto val="1"/>
        <c:lblAlgn val="ctr"/>
        <c:lblOffset val="100"/>
        <c:noMultiLvlLbl val="0"/>
      </c:catAx>
      <c:valAx>
        <c:axId val="12469361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46839295"/>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276821679"/>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14466495"/>
        <c:crosses val="max"/>
        <c:crossBetween val="between"/>
      </c:valAx>
      <c:catAx>
        <c:axId val="1314466495"/>
        <c:scaling>
          <c:orientation val="minMax"/>
        </c:scaling>
        <c:delete val="1"/>
        <c:axPos val="b"/>
        <c:majorTickMark val="none"/>
        <c:minorTickMark val="none"/>
        <c:tickLblPos val="nextTo"/>
        <c:crossAx val="12768216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21: Agri &amp; Food tech sector by half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'Agri &amp; Food Tech'!$B$16</c:f>
              <c:strCache>
                <c:ptCount val="1"/>
                <c:pt idx="0">
                  <c:v>Amount_Invested</c:v>
                </c:pt>
              </c:strCache>
            </c:strRef>
          </c:tx>
          <c:spPr>
            <a:solidFill>
              <a:schemeClr val="accent1"/>
            </a:solidFill>
            <a:ln>
              <a:noFill/>
            </a:ln>
            <a:effectLst/>
          </c:spPr>
          <c:invertIfNegative val="0"/>
          <c:cat>
            <c:strRef>
              <c:f>'Agri &amp; Food Tech'!$A$17:$A$34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'Agri &amp; Food Tech'!$B$17:$B$34</c:f>
              <c:numCache>
                <c:formatCode>General</c:formatCode>
                <c:ptCount val="18"/>
                <c:pt idx="0">
                  <c:v>29150000</c:v>
                </c:pt>
                <c:pt idx="1">
                  <c:v>31320000</c:v>
                </c:pt>
                <c:pt idx="2">
                  <c:v>28220000</c:v>
                </c:pt>
                <c:pt idx="3">
                  <c:v>24820000</c:v>
                </c:pt>
                <c:pt idx="4">
                  <c:v>33523800</c:v>
                </c:pt>
                <c:pt idx="5">
                  <c:v>26100000</c:v>
                </c:pt>
                <c:pt idx="6">
                  <c:v>47100000</c:v>
                </c:pt>
                <c:pt idx="7">
                  <c:v>70117000</c:v>
                </c:pt>
                <c:pt idx="8">
                  <c:v>51888889</c:v>
                </c:pt>
                <c:pt idx="9">
                  <c:v>78487195</c:v>
                </c:pt>
                <c:pt idx="10">
                  <c:v>82681000</c:v>
                </c:pt>
                <c:pt idx="11">
                  <c:v>114118906</c:v>
                </c:pt>
                <c:pt idx="12">
                  <c:v>89143000</c:v>
                </c:pt>
                <c:pt idx="13">
                  <c:v>230404250</c:v>
                </c:pt>
                <c:pt idx="14">
                  <c:v>198090969</c:v>
                </c:pt>
                <c:pt idx="15">
                  <c:v>639462000</c:v>
                </c:pt>
                <c:pt idx="16">
                  <c:v>528730555</c:v>
                </c:pt>
                <c:pt idx="17">
                  <c:v>239603850</c:v>
                </c:pt>
              </c:numCache>
            </c:numRef>
          </c:val>
          <c:extLst>
            <c:ext xmlns:c16="http://schemas.microsoft.com/office/drawing/2014/chart" uri="{C3380CC4-5D6E-409C-BE32-E72D297353CC}">
              <c16:uniqueId val="{00000000-5291-D14F-A271-BAAA022BC7E2}"/>
            </c:ext>
          </c:extLst>
        </c:ser>
        <c:dLbls>
          <c:showLegendKey val="0"/>
          <c:showVal val="0"/>
          <c:showCatName val="0"/>
          <c:showSerName val="0"/>
          <c:showPercent val="0"/>
          <c:showBubbleSize val="0"/>
        </c:dLbls>
        <c:gapWidth val="150"/>
        <c:axId val="1286130703"/>
        <c:axId val="2108608991"/>
      </c:barChart>
      <c:lineChart>
        <c:grouping val="standard"/>
        <c:varyColors val="0"/>
        <c:ser>
          <c:idx val="1"/>
          <c:order val="1"/>
          <c:tx>
            <c:strRef>
              <c:f>'Agri &amp; Food Tech'!$C$16</c:f>
              <c:strCache>
                <c:ptCount val="1"/>
                <c:pt idx="0">
                  <c:v>Deals</c:v>
                </c:pt>
              </c:strCache>
            </c:strRef>
          </c:tx>
          <c:spPr>
            <a:ln w="28575" cap="rnd">
              <a:solidFill>
                <a:schemeClr val="accent2"/>
              </a:solidFill>
              <a:round/>
            </a:ln>
            <a:effectLst/>
          </c:spPr>
          <c:marker>
            <c:symbol val="none"/>
          </c:marker>
          <c:cat>
            <c:strRef>
              <c:f>'Agri &amp; Food Tech'!$A$17:$A$34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'Agri &amp; Food Tech'!$C$17:$C$34</c:f>
              <c:numCache>
                <c:formatCode>General</c:formatCode>
                <c:ptCount val="18"/>
                <c:pt idx="0">
                  <c:v>22</c:v>
                </c:pt>
                <c:pt idx="1">
                  <c:v>9</c:v>
                </c:pt>
                <c:pt idx="2">
                  <c:v>22</c:v>
                </c:pt>
                <c:pt idx="3">
                  <c:v>17</c:v>
                </c:pt>
                <c:pt idx="4">
                  <c:v>35</c:v>
                </c:pt>
                <c:pt idx="5">
                  <c:v>16</c:v>
                </c:pt>
                <c:pt idx="6">
                  <c:v>21</c:v>
                </c:pt>
                <c:pt idx="7">
                  <c:v>29</c:v>
                </c:pt>
                <c:pt idx="8">
                  <c:v>34</c:v>
                </c:pt>
                <c:pt idx="9">
                  <c:v>32</c:v>
                </c:pt>
                <c:pt idx="10">
                  <c:v>32</c:v>
                </c:pt>
                <c:pt idx="11">
                  <c:v>39</c:v>
                </c:pt>
                <c:pt idx="12">
                  <c:v>49</c:v>
                </c:pt>
                <c:pt idx="13">
                  <c:v>35</c:v>
                </c:pt>
                <c:pt idx="14">
                  <c:v>44</c:v>
                </c:pt>
                <c:pt idx="15">
                  <c:v>38</c:v>
                </c:pt>
                <c:pt idx="16">
                  <c:v>45</c:v>
                </c:pt>
                <c:pt idx="17">
                  <c:v>29</c:v>
                </c:pt>
              </c:numCache>
            </c:numRef>
          </c:val>
          <c:smooth val="0"/>
          <c:extLst>
            <c:ext xmlns:c16="http://schemas.microsoft.com/office/drawing/2014/chart" uri="{C3380CC4-5D6E-409C-BE32-E72D297353CC}">
              <c16:uniqueId val="{00000001-5291-D14F-A271-BAAA022BC7E2}"/>
            </c:ext>
          </c:extLst>
        </c:ser>
        <c:dLbls>
          <c:showLegendKey val="0"/>
          <c:showVal val="0"/>
          <c:showCatName val="0"/>
          <c:showSerName val="0"/>
          <c:showPercent val="0"/>
          <c:showBubbleSize val="0"/>
        </c:dLbls>
        <c:marker val="1"/>
        <c:smooth val="0"/>
        <c:axId val="438707424"/>
        <c:axId val="434462784"/>
      </c:lineChart>
      <c:catAx>
        <c:axId val="128613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08608991"/>
        <c:crosses val="autoZero"/>
        <c:auto val="1"/>
        <c:lblAlgn val="ctr"/>
        <c:lblOffset val="100"/>
        <c:noMultiLvlLbl val="0"/>
      </c:catAx>
      <c:valAx>
        <c:axId val="2108608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286130703"/>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43446278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38707424"/>
        <c:crosses val="max"/>
        <c:crossBetween val="between"/>
      </c:valAx>
      <c:catAx>
        <c:axId val="438707424"/>
        <c:scaling>
          <c:orientation val="minMax"/>
        </c:scaling>
        <c:delete val="1"/>
        <c:axPos val="b"/>
        <c:numFmt formatCode="General" sourceLinked="1"/>
        <c:majorTickMark val="none"/>
        <c:minorTickMark val="none"/>
        <c:tickLblPos val="nextTo"/>
        <c:crossAx val="4344627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22: Fintech sector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Fintech!$A$1</c:f>
              <c:strCache>
                <c:ptCount val="1"/>
                <c:pt idx="0">
                  <c:v>Year</c:v>
                </c:pt>
              </c:strCache>
            </c:strRef>
          </c:tx>
          <c:spPr>
            <a:solidFill>
              <a:schemeClr val="accent1"/>
            </a:solidFill>
            <a:ln>
              <a:noFill/>
            </a:ln>
            <a:effectLst/>
          </c:spPr>
          <c:invertIfNegative val="0"/>
          <c:val>
            <c:numRef>
              <c:f>Fintech!$A$2:$A$10</c:f>
              <c:numCache>
                <c:formatCode>General</c:formatCode>
                <c:ptCount val="9"/>
                <c:pt idx="0">
                  <c:v>2014</c:v>
                </c:pt>
                <c:pt idx="1">
                  <c:v>2015</c:v>
                </c:pt>
                <c:pt idx="2">
                  <c:v>2016</c:v>
                </c:pt>
                <c:pt idx="3">
                  <c:v>2017</c:v>
                </c:pt>
                <c:pt idx="4">
                  <c:v>2018</c:v>
                </c:pt>
                <c:pt idx="5">
                  <c:v>2019</c:v>
                </c:pt>
                <c:pt idx="6">
                  <c:v>2020</c:v>
                </c:pt>
                <c:pt idx="7">
                  <c:v>2021</c:v>
                </c:pt>
                <c:pt idx="8">
                  <c:v>2022</c:v>
                </c:pt>
              </c:numCache>
            </c:numRef>
          </c:val>
          <c:extLst>
            <c:ext xmlns:c16="http://schemas.microsoft.com/office/drawing/2014/chart" uri="{C3380CC4-5D6E-409C-BE32-E72D297353CC}">
              <c16:uniqueId val="{00000000-9D98-2D45-B834-C80006A44AE9}"/>
            </c:ext>
          </c:extLst>
        </c:ser>
        <c:ser>
          <c:idx val="1"/>
          <c:order val="1"/>
          <c:tx>
            <c:strRef>
              <c:f>Fintech!$B$1</c:f>
              <c:strCache>
                <c:ptCount val="1"/>
                <c:pt idx="0">
                  <c:v>Amount_Invested</c:v>
                </c:pt>
              </c:strCache>
            </c:strRef>
          </c:tx>
          <c:spPr>
            <a:solidFill>
              <a:schemeClr val="accent1"/>
            </a:solidFill>
            <a:ln>
              <a:noFill/>
            </a:ln>
            <a:effectLst/>
          </c:spPr>
          <c:invertIfNegative val="0"/>
          <c:val>
            <c:numRef>
              <c:f>Fintech!$B$2:$B$10</c:f>
              <c:numCache>
                <c:formatCode>General</c:formatCode>
                <c:ptCount val="9"/>
                <c:pt idx="0">
                  <c:v>245430000</c:v>
                </c:pt>
                <c:pt idx="1">
                  <c:v>426961249</c:v>
                </c:pt>
                <c:pt idx="2">
                  <c:v>593044500</c:v>
                </c:pt>
                <c:pt idx="3">
                  <c:v>325402000</c:v>
                </c:pt>
                <c:pt idx="4">
                  <c:v>756302286</c:v>
                </c:pt>
                <c:pt idx="5">
                  <c:v>1370642809</c:v>
                </c:pt>
                <c:pt idx="6">
                  <c:v>1267118652</c:v>
                </c:pt>
                <c:pt idx="7">
                  <c:v>4561195000</c:v>
                </c:pt>
                <c:pt idx="8">
                  <c:v>2375645000</c:v>
                </c:pt>
              </c:numCache>
            </c:numRef>
          </c:val>
          <c:extLst>
            <c:ext xmlns:c16="http://schemas.microsoft.com/office/drawing/2014/chart" uri="{C3380CC4-5D6E-409C-BE32-E72D297353CC}">
              <c16:uniqueId val="{00000001-9D98-2D45-B834-C80006A44AE9}"/>
            </c:ext>
          </c:extLst>
        </c:ser>
        <c:dLbls>
          <c:showLegendKey val="0"/>
          <c:showVal val="0"/>
          <c:showCatName val="0"/>
          <c:showSerName val="0"/>
          <c:showPercent val="0"/>
          <c:showBubbleSize val="0"/>
        </c:dLbls>
        <c:gapWidth val="150"/>
        <c:axId val="432034544"/>
        <c:axId val="438568704"/>
      </c:barChart>
      <c:lineChart>
        <c:grouping val="standard"/>
        <c:varyColors val="0"/>
        <c:ser>
          <c:idx val="2"/>
          <c:order val="2"/>
          <c:tx>
            <c:strRef>
              <c:f>Fintech!$C$1</c:f>
              <c:strCache>
                <c:ptCount val="1"/>
                <c:pt idx="0">
                  <c:v>Deals</c:v>
                </c:pt>
              </c:strCache>
            </c:strRef>
          </c:tx>
          <c:spPr>
            <a:ln w="28575" cap="rnd">
              <a:solidFill>
                <a:schemeClr val="accent2"/>
              </a:solidFill>
              <a:round/>
            </a:ln>
            <a:effectLst/>
          </c:spPr>
          <c:marker>
            <c:symbol val="none"/>
          </c:marker>
          <c:val>
            <c:numRef>
              <c:f>Fintech!$C$2:$C$10</c:f>
              <c:numCache>
                <c:formatCode>General</c:formatCode>
                <c:ptCount val="9"/>
                <c:pt idx="0">
                  <c:v>29</c:v>
                </c:pt>
                <c:pt idx="1">
                  <c:v>48</c:v>
                </c:pt>
                <c:pt idx="2">
                  <c:v>59</c:v>
                </c:pt>
                <c:pt idx="3">
                  <c:v>57</c:v>
                </c:pt>
                <c:pt idx="4">
                  <c:v>86</c:v>
                </c:pt>
                <c:pt idx="5">
                  <c:v>67</c:v>
                </c:pt>
                <c:pt idx="6">
                  <c:v>63</c:v>
                </c:pt>
                <c:pt idx="7">
                  <c:v>118</c:v>
                </c:pt>
                <c:pt idx="8">
                  <c:v>69</c:v>
                </c:pt>
              </c:numCache>
            </c:numRef>
          </c:val>
          <c:smooth val="0"/>
          <c:extLst>
            <c:ext xmlns:c16="http://schemas.microsoft.com/office/drawing/2014/chart" uri="{C3380CC4-5D6E-409C-BE32-E72D297353CC}">
              <c16:uniqueId val="{00000002-9D98-2D45-B834-C80006A44AE9}"/>
            </c:ext>
          </c:extLst>
        </c:ser>
        <c:dLbls>
          <c:showLegendKey val="0"/>
          <c:showVal val="0"/>
          <c:showCatName val="0"/>
          <c:showSerName val="0"/>
          <c:showPercent val="0"/>
          <c:showBubbleSize val="0"/>
        </c:dLbls>
        <c:marker val="1"/>
        <c:smooth val="0"/>
        <c:axId val="575572847"/>
        <c:axId val="32924640"/>
      </c:lineChart>
      <c:catAx>
        <c:axId val="4320345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38568704"/>
        <c:crosses val="autoZero"/>
        <c:auto val="1"/>
        <c:lblAlgn val="ctr"/>
        <c:lblOffset val="100"/>
        <c:noMultiLvlLbl val="0"/>
      </c:catAx>
      <c:valAx>
        <c:axId val="43856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32034544"/>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3292464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75572847"/>
        <c:crosses val="max"/>
        <c:crossBetween val="between"/>
      </c:valAx>
      <c:catAx>
        <c:axId val="575572847"/>
        <c:scaling>
          <c:orientation val="minMax"/>
        </c:scaling>
        <c:delete val="1"/>
        <c:axPos val="b"/>
        <c:majorTickMark val="none"/>
        <c:minorTickMark val="none"/>
        <c:tickLblPos val="nextTo"/>
        <c:crossAx val="329246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23: Fintech sector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Fintech!$B$16</c:f>
              <c:strCache>
                <c:ptCount val="1"/>
                <c:pt idx="0">
                  <c:v>Amount_Invested</c:v>
                </c:pt>
              </c:strCache>
            </c:strRef>
          </c:tx>
          <c:spPr>
            <a:solidFill>
              <a:schemeClr val="accent1"/>
            </a:solidFill>
            <a:ln>
              <a:noFill/>
            </a:ln>
            <a:effectLst/>
          </c:spPr>
          <c:invertIfNegative val="0"/>
          <c:cat>
            <c:strRef>
              <c:f>Fintech!$A$17:$A$34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Fintech!$B$17:$B$34</c:f>
              <c:numCache>
                <c:formatCode>General</c:formatCode>
                <c:ptCount val="18"/>
                <c:pt idx="0">
                  <c:v>60530000</c:v>
                </c:pt>
                <c:pt idx="1">
                  <c:v>184900000</c:v>
                </c:pt>
                <c:pt idx="2">
                  <c:v>128500000</c:v>
                </c:pt>
                <c:pt idx="3">
                  <c:v>298461249</c:v>
                </c:pt>
                <c:pt idx="4">
                  <c:v>225564500</c:v>
                </c:pt>
                <c:pt idx="5">
                  <c:v>367480000</c:v>
                </c:pt>
                <c:pt idx="6">
                  <c:v>108685000</c:v>
                </c:pt>
                <c:pt idx="7">
                  <c:v>216717000</c:v>
                </c:pt>
                <c:pt idx="8">
                  <c:v>453552286</c:v>
                </c:pt>
                <c:pt idx="9">
                  <c:v>302750000</c:v>
                </c:pt>
                <c:pt idx="10">
                  <c:v>539017809</c:v>
                </c:pt>
                <c:pt idx="11">
                  <c:v>831625000</c:v>
                </c:pt>
                <c:pt idx="12">
                  <c:v>434335652</c:v>
                </c:pt>
                <c:pt idx="13">
                  <c:v>832783000</c:v>
                </c:pt>
                <c:pt idx="14">
                  <c:v>1929985000</c:v>
                </c:pt>
                <c:pt idx="15">
                  <c:v>2631210000</c:v>
                </c:pt>
                <c:pt idx="16">
                  <c:v>1404545000</c:v>
                </c:pt>
                <c:pt idx="17">
                  <c:v>971100000</c:v>
                </c:pt>
              </c:numCache>
            </c:numRef>
          </c:val>
          <c:extLst>
            <c:ext xmlns:c16="http://schemas.microsoft.com/office/drawing/2014/chart" uri="{C3380CC4-5D6E-409C-BE32-E72D297353CC}">
              <c16:uniqueId val="{00000000-2B91-E143-9B17-AF2BEC89A90C}"/>
            </c:ext>
          </c:extLst>
        </c:ser>
        <c:dLbls>
          <c:showLegendKey val="0"/>
          <c:showVal val="0"/>
          <c:showCatName val="0"/>
          <c:showSerName val="0"/>
          <c:showPercent val="0"/>
          <c:showBubbleSize val="0"/>
        </c:dLbls>
        <c:gapWidth val="150"/>
        <c:axId val="1188887727"/>
        <c:axId val="1188538031"/>
      </c:barChart>
      <c:lineChart>
        <c:grouping val="standard"/>
        <c:varyColors val="0"/>
        <c:ser>
          <c:idx val="1"/>
          <c:order val="1"/>
          <c:tx>
            <c:strRef>
              <c:f>Fintech!$C$16</c:f>
              <c:strCache>
                <c:ptCount val="1"/>
                <c:pt idx="0">
                  <c:v>Deals</c:v>
                </c:pt>
              </c:strCache>
            </c:strRef>
          </c:tx>
          <c:spPr>
            <a:ln w="28575" cap="rnd">
              <a:solidFill>
                <a:schemeClr val="accent2"/>
              </a:solidFill>
              <a:round/>
            </a:ln>
            <a:effectLst/>
          </c:spPr>
          <c:marker>
            <c:symbol val="none"/>
          </c:marker>
          <c:cat>
            <c:strRef>
              <c:f>Fintech!$A$17:$A$34</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Fintech!$C$17:$C$34</c:f>
              <c:numCache>
                <c:formatCode>General</c:formatCode>
                <c:ptCount val="18"/>
                <c:pt idx="0">
                  <c:v>13</c:v>
                </c:pt>
                <c:pt idx="1">
                  <c:v>16</c:v>
                </c:pt>
                <c:pt idx="2">
                  <c:v>28</c:v>
                </c:pt>
                <c:pt idx="3">
                  <c:v>20</c:v>
                </c:pt>
                <c:pt idx="4">
                  <c:v>33</c:v>
                </c:pt>
                <c:pt idx="5">
                  <c:v>26</c:v>
                </c:pt>
                <c:pt idx="6">
                  <c:v>30</c:v>
                </c:pt>
                <c:pt idx="7">
                  <c:v>27</c:v>
                </c:pt>
                <c:pt idx="8">
                  <c:v>52</c:v>
                </c:pt>
                <c:pt idx="9">
                  <c:v>34</c:v>
                </c:pt>
                <c:pt idx="10">
                  <c:v>36</c:v>
                </c:pt>
                <c:pt idx="11">
                  <c:v>31</c:v>
                </c:pt>
                <c:pt idx="12">
                  <c:v>34</c:v>
                </c:pt>
                <c:pt idx="13">
                  <c:v>29</c:v>
                </c:pt>
                <c:pt idx="14">
                  <c:v>59</c:v>
                </c:pt>
                <c:pt idx="15">
                  <c:v>59</c:v>
                </c:pt>
                <c:pt idx="16">
                  <c:v>41</c:v>
                </c:pt>
                <c:pt idx="17">
                  <c:v>28</c:v>
                </c:pt>
              </c:numCache>
            </c:numRef>
          </c:val>
          <c:smooth val="0"/>
          <c:extLst>
            <c:ext xmlns:c16="http://schemas.microsoft.com/office/drawing/2014/chart" uri="{C3380CC4-5D6E-409C-BE32-E72D297353CC}">
              <c16:uniqueId val="{00000001-2B91-E143-9B17-AF2BEC89A90C}"/>
            </c:ext>
          </c:extLst>
        </c:ser>
        <c:dLbls>
          <c:showLegendKey val="0"/>
          <c:showVal val="0"/>
          <c:showCatName val="0"/>
          <c:showSerName val="0"/>
          <c:showPercent val="0"/>
          <c:showBubbleSize val="0"/>
        </c:dLbls>
        <c:marker val="1"/>
        <c:smooth val="0"/>
        <c:axId val="408298432"/>
        <c:axId val="499901312"/>
      </c:lineChart>
      <c:catAx>
        <c:axId val="118888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88538031"/>
        <c:crosses val="autoZero"/>
        <c:auto val="1"/>
        <c:lblAlgn val="ctr"/>
        <c:lblOffset val="100"/>
        <c:noMultiLvlLbl val="0"/>
      </c:catAx>
      <c:valAx>
        <c:axId val="118853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88887727"/>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49990131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08298432"/>
        <c:crosses val="max"/>
        <c:crossBetween val="between"/>
      </c:valAx>
      <c:catAx>
        <c:axId val="408298432"/>
        <c:scaling>
          <c:orientation val="minMax"/>
        </c:scaling>
        <c:delete val="1"/>
        <c:axPos val="b"/>
        <c:numFmt formatCode="General" sourceLinked="1"/>
        <c:majorTickMark val="none"/>
        <c:minorTickMark val="none"/>
        <c:tickLblPos val="nextTo"/>
        <c:crossAx val="499901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24: Climate Tech Sector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1"/>
          <c:order val="0"/>
          <c:tx>
            <c:strRef>
              <c:f>'Climate Tech'!$B$1</c:f>
              <c:strCache>
                <c:ptCount val="1"/>
                <c:pt idx="0">
                  <c:v>Amount_Invested</c:v>
                </c:pt>
              </c:strCache>
            </c:strRef>
          </c:tx>
          <c:spPr>
            <a:solidFill>
              <a:schemeClr val="accent1"/>
            </a:solidFill>
            <a:ln>
              <a:noFill/>
            </a:ln>
            <a:effectLst/>
          </c:spPr>
          <c:invertIfNegative val="0"/>
          <c:cat>
            <c:strRef>
              <c:f>'Climate Tech'!$A$1:$A$10</c:f>
              <c:strCache>
                <c:ptCount val="10"/>
                <c:pt idx="0">
                  <c:v>Year</c:v>
                </c:pt>
                <c:pt idx="1">
                  <c:v>2014</c:v>
                </c:pt>
                <c:pt idx="2">
                  <c:v>2015</c:v>
                </c:pt>
                <c:pt idx="3">
                  <c:v>2016</c:v>
                </c:pt>
                <c:pt idx="4">
                  <c:v>2017</c:v>
                </c:pt>
                <c:pt idx="5">
                  <c:v>2018</c:v>
                </c:pt>
                <c:pt idx="6">
                  <c:v>2019</c:v>
                </c:pt>
                <c:pt idx="7">
                  <c:v>2020</c:v>
                </c:pt>
                <c:pt idx="8">
                  <c:v>2021</c:v>
                </c:pt>
                <c:pt idx="9">
                  <c:v>2022</c:v>
                </c:pt>
              </c:strCache>
            </c:strRef>
          </c:cat>
          <c:val>
            <c:numRef>
              <c:f>'Climate Tech'!$B$2:$B$10</c:f>
              <c:numCache>
                <c:formatCode>General</c:formatCode>
                <c:ptCount val="9"/>
                <c:pt idx="0">
                  <c:v>133118052</c:v>
                </c:pt>
                <c:pt idx="1">
                  <c:v>266550000</c:v>
                </c:pt>
                <c:pt idx="2">
                  <c:v>327000000</c:v>
                </c:pt>
                <c:pt idx="3">
                  <c:v>608947000</c:v>
                </c:pt>
                <c:pt idx="4">
                  <c:v>825411084</c:v>
                </c:pt>
                <c:pt idx="5">
                  <c:v>501086106</c:v>
                </c:pt>
                <c:pt idx="6">
                  <c:v>1109886250</c:v>
                </c:pt>
                <c:pt idx="7">
                  <c:v>2072772969</c:v>
                </c:pt>
                <c:pt idx="8">
                  <c:v>1680360000</c:v>
                </c:pt>
              </c:numCache>
            </c:numRef>
          </c:val>
          <c:extLst>
            <c:ext xmlns:c16="http://schemas.microsoft.com/office/drawing/2014/chart" uri="{C3380CC4-5D6E-409C-BE32-E72D297353CC}">
              <c16:uniqueId val="{00000000-428B-E147-8564-2EB45541642B}"/>
            </c:ext>
          </c:extLst>
        </c:ser>
        <c:dLbls>
          <c:showLegendKey val="0"/>
          <c:showVal val="0"/>
          <c:showCatName val="0"/>
          <c:showSerName val="0"/>
          <c:showPercent val="0"/>
          <c:showBubbleSize val="0"/>
        </c:dLbls>
        <c:gapWidth val="150"/>
        <c:axId val="99775920"/>
        <c:axId val="109161152"/>
      </c:barChart>
      <c:lineChart>
        <c:grouping val="standard"/>
        <c:varyColors val="0"/>
        <c:ser>
          <c:idx val="2"/>
          <c:order val="1"/>
          <c:tx>
            <c:strRef>
              <c:f>'Climate Tech'!$C$1</c:f>
              <c:strCache>
                <c:ptCount val="1"/>
                <c:pt idx="0">
                  <c:v>Deals</c:v>
                </c:pt>
              </c:strCache>
            </c:strRef>
          </c:tx>
          <c:spPr>
            <a:ln w="28575" cap="rnd">
              <a:solidFill>
                <a:schemeClr val="accent2"/>
              </a:solidFill>
              <a:round/>
            </a:ln>
            <a:effectLst/>
          </c:spPr>
          <c:marker>
            <c:symbol val="none"/>
          </c:marker>
          <c:val>
            <c:numRef>
              <c:f>'Climate Tech'!$C$2:$C$10</c:f>
              <c:numCache>
                <c:formatCode>General</c:formatCode>
                <c:ptCount val="9"/>
                <c:pt idx="0">
                  <c:v>39</c:v>
                </c:pt>
                <c:pt idx="1">
                  <c:v>61</c:v>
                </c:pt>
                <c:pt idx="2">
                  <c:v>62</c:v>
                </c:pt>
                <c:pt idx="3">
                  <c:v>85</c:v>
                </c:pt>
                <c:pt idx="4">
                  <c:v>107</c:v>
                </c:pt>
                <c:pt idx="5">
                  <c:v>108</c:v>
                </c:pt>
                <c:pt idx="6">
                  <c:v>137</c:v>
                </c:pt>
                <c:pt idx="7">
                  <c:v>141</c:v>
                </c:pt>
                <c:pt idx="8">
                  <c:v>104</c:v>
                </c:pt>
              </c:numCache>
            </c:numRef>
          </c:val>
          <c:smooth val="0"/>
          <c:extLst>
            <c:ext xmlns:c16="http://schemas.microsoft.com/office/drawing/2014/chart" uri="{C3380CC4-5D6E-409C-BE32-E72D297353CC}">
              <c16:uniqueId val="{00000001-428B-E147-8564-2EB45541642B}"/>
            </c:ext>
          </c:extLst>
        </c:ser>
        <c:dLbls>
          <c:showLegendKey val="0"/>
          <c:showVal val="0"/>
          <c:showCatName val="0"/>
          <c:showSerName val="0"/>
          <c:showPercent val="0"/>
          <c:showBubbleSize val="0"/>
        </c:dLbls>
        <c:marker val="1"/>
        <c:smooth val="0"/>
        <c:axId val="499354608"/>
        <c:axId val="499485456"/>
      </c:lineChart>
      <c:catAx>
        <c:axId val="9977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09161152"/>
        <c:crosses val="autoZero"/>
        <c:auto val="1"/>
        <c:lblAlgn val="ctr"/>
        <c:lblOffset val="100"/>
        <c:noMultiLvlLbl val="0"/>
      </c:catAx>
      <c:valAx>
        <c:axId val="10916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99775920"/>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49948545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99354608"/>
        <c:crosses val="max"/>
        <c:crossBetween val="between"/>
      </c:valAx>
      <c:catAx>
        <c:axId val="499354608"/>
        <c:scaling>
          <c:orientation val="minMax"/>
        </c:scaling>
        <c:delete val="1"/>
        <c:axPos val="b"/>
        <c:majorTickMark val="none"/>
        <c:minorTickMark val="none"/>
        <c:tickLblPos val="nextTo"/>
        <c:crossAx val="4994854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25: Climate tech sector by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'Climate Tech'!$B$18</c:f>
              <c:strCache>
                <c:ptCount val="1"/>
                <c:pt idx="0">
                  <c:v>Amount_Invested</c:v>
                </c:pt>
              </c:strCache>
            </c:strRef>
          </c:tx>
          <c:spPr>
            <a:solidFill>
              <a:schemeClr val="accent1"/>
            </a:solidFill>
            <a:ln>
              <a:noFill/>
            </a:ln>
            <a:effectLst/>
          </c:spPr>
          <c:invertIfNegative val="0"/>
          <c:cat>
            <c:strRef>
              <c:f>'Climate Tech'!$A$19:$A$36</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'Climate Tech'!$B$19:$B$36</c:f>
              <c:numCache>
                <c:formatCode>General</c:formatCode>
                <c:ptCount val="18"/>
                <c:pt idx="0">
                  <c:v>43098052</c:v>
                </c:pt>
                <c:pt idx="1">
                  <c:v>90020000</c:v>
                </c:pt>
                <c:pt idx="2">
                  <c:v>169280000</c:v>
                </c:pt>
                <c:pt idx="3">
                  <c:v>97270000</c:v>
                </c:pt>
                <c:pt idx="4">
                  <c:v>239030000</c:v>
                </c:pt>
                <c:pt idx="5">
                  <c:v>87970000</c:v>
                </c:pt>
                <c:pt idx="6">
                  <c:v>133630000</c:v>
                </c:pt>
                <c:pt idx="7">
                  <c:v>475317000</c:v>
                </c:pt>
                <c:pt idx="8">
                  <c:v>468968889</c:v>
                </c:pt>
                <c:pt idx="9">
                  <c:v>356442195</c:v>
                </c:pt>
                <c:pt idx="10">
                  <c:v>247537200</c:v>
                </c:pt>
                <c:pt idx="11">
                  <c:v>253548906</c:v>
                </c:pt>
                <c:pt idx="12">
                  <c:v>697358000</c:v>
                </c:pt>
                <c:pt idx="13">
                  <c:v>412528250</c:v>
                </c:pt>
                <c:pt idx="14">
                  <c:v>568480969</c:v>
                </c:pt>
                <c:pt idx="15">
                  <c:v>1504292000</c:v>
                </c:pt>
                <c:pt idx="16">
                  <c:v>1191250000</c:v>
                </c:pt>
                <c:pt idx="17">
                  <c:v>489110000</c:v>
                </c:pt>
              </c:numCache>
            </c:numRef>
          </c:val>
          <c:extLst>
            <c:ext xmlns:c16="http://schemas.microsoft.com/office/drawing/2014/chart" uri="{C3380CC4-5D6E-409C-BE32-E72D297353CC}">
              <c16:uniqueId val="{00000000-5095-2444-8369-0E57DD2CE0C1}"/>
            </c:ext>
          </c:extLst>
        </c:ser>
        <c:dLbls>
          <c:showLegendKey val="0"/>
          <c:showVal val="0"/>
          <c:showCatName val="0"/>
          <c:showSerName val="0"/>
          <c:showPercent val="0"/>
          <c:showBubbleSize val="0"/>
        </c:dLbls>
        <c:gapWidth val="150"/>
        <c:axId val="294417120"/>
        <c:axId val="434591632"/>
      </c:barChart>
      <c:lineChart>
        <c:grouping val="standard"/>
        <c:varyColors val="0"/>
        <c:ser>
          <c:idx val="1"/>
          <c:order val="1"/>
          <c:tx>
            <c:strRef>
              <c:f>'Climate Tech'!$C$18</c:f>
              <c:strCache>
                <c:ptCount val="1"/>
                <c:pt idx="0">
                  <c:v>Deals</c:v>
                </c:pt>
              </c:strCache>
            </c:strRef>
          </c:tx>
          <c:spPr>
            <a:ln w="28575" cap="rnd">
              <a:solidFill>
                <a:schemeClr val="accent2"/>
              </a:solidFill>
              <a:round/>
            </a:ln>
            <a:effectLst/>
          </c:spPr>
          <c:marker>
            <c:symbol val="none"/>
          </c:marker>
          <c:cat>
            <c:strRef>
              <c:f>'Climate Tech'!$A$19:$A$36</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'Climate Tech'!$C$19:$C$36</c:f>
              <c:numCache>
                <c:formatCode>General</c:formatCode>
                <c:ptCount val="18"/>
                <c:pt idx="0">
                  <c:v>19</c:v>
                </c:pt>
                <c:pt idx="1">
                  <c:v>20</c:v>
                </c:pt>
                <c:pt idx="2">
                  <c:v>35</c:v>
                </c:pt>
                <c:pt idx="3">
                  <c:v>26</c:v>
                </c:pt>
                <c:pt idx="4">
                  <c:v>38</c:v>
                </c:pt>
                <c:pt idx="5">
                  <c:v>24</c:v>
                </c:pt>
                <c:pt idx="6">
                  <c:v>39</c:v>
                </c:pt>
                <c:pt idx="7">
                  <c:v>46</c:v>
                </c:pt>
                <c:pt idx="8">
                  <c:v>54</c:v>
                </c:pt>
                <c:pt idx="9">
                  <c:v>53</c:v>
                </c:pt>
                <c:pt idx="10">
                  <c:v>47</c:v>
                </c:pt>
                <c:pt idx="11">
                  <c:v>61</c:v>
                </c:pt>
                <c:pt idx="12">
                  <c:v>78</c:v>
                </c:pt>
                <c:pt idx="13">
                  <c:v>59</c:v>
                </c:pt>
                <c:pt idx="14">
                  <c:v>73</c:v>
                </c:pt>
                <c:pt idx="15">
                  <c:v>68</c:v>
                </c:pt>
                <c:pt idx="16">
                  <c:v>68</c:v>
                </c:pt>
                <c:pt idx="17">
                  <c:v>36</c:v>
                </c:pt>
              </c:numCache>
            </c:numRef>
          </c:val>
          <c:smooth val="0"/>
          <c:extLst>
            <c:ext xmlns:c16="http://schemas.microsoft.com/office/drawing/2014/chart" uri="{C3380CC4-5D6E-409C-BE32-E72D297353CC}">
              <c16:uniqueId val="{00000001-5095-2444-8369-0E57DD2CE0C1}"/>
            </c:ext>
          </c:extLst>
        </c:ser>
        <c:dLbls>
          <c:showLegendKey val="0"/>
          <c:showVal val="0"/>
          <c:showCatName val="0"/>
          <c:showSerName val="0"/>
          <c:showPercent val="0"/>
          <c:showBubbleSize val="0"/>
        </c:dLbls>
        <c:marker val="1"/>
        <c:smooth val="0"/>
        <c:axId val="1160731024"/>
        <c:axId val="1160370560"/>
      </c:lineChart>
      <c:catAx>
        <c:axId val="2944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34591632"/>
        <c:crosses val="autoZero"/>
        <c:auto val="1"/>
        <c:lblAlgn val="ctr"/>
        <c:lblOffset val="100"/>
        <c:noMultiLvlLbl val="0"/>
      </c:catAx>
      <c:valAx>
        <c:axId val="43459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94417120"/>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16037056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160731024"/>
        <c:crosses val="max"/>
        <c:crossBetween val="between"/>
      </c:valAx>
      <c:catAx>
        <c:axId val="1160731024"/>
        <c:scaling>
          <c:orientation val="minMax"/>
        </c:scaling>
        <c:delete val="1"/>
        <c:axPos val="b"/>
        <c:numFmt formatCode="General" sourceLinked="1"/>
        <c:majorTickMark val="none"/>
        <c:minorTickMark val="none"/>
        <c:tickLblPos val="nextTo"/>
        <c:crossAx val="1160370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Actual vs Expected B-rounds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stacked"/>
        <c:varyColors val="0"/>
        <c:ser>
          <c:idx val="1"/>
          <c:order val="0"/>
          <c:tx>
            <c:strRef>
              <c:f>A2B_data!$A$3</c:f>
              <c:strCache>
                <c:ptCount val="1"/>
                <c:pt idx="0">
                  <c:v>2015</c:v>
                </c:pt>
              </c:strCache>
            </c:strRef>
          </c:tx>
          <c:spPr>
            <a:solidFill>
              <a:schemeClr val="accent2"/>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A2B_data!$B$3:$Q$3</c:f>
              <c:numCache>
                <c:formatCode>General</c:formatCode>
                <c:ptCount val="16"/>
                <c:pt idx="0">
                  <c:v>0</c:v>
                </c:pt>
                <c:pt idx="1">
                  <c:v>0</c:v>
                </c:pt>
                <c:pt idx="2">
                  <c:v>2</c:v>
                </c:pt>
                <c:pt idx="3">
                  <c:v>2</c:v>
                </c:pt>
                <c:pt idx="4">
                  <c:v>3</c:v>
                </c:pt>
                <c:pt idx="5">
                  <c:v>3</c:v>
                </c:pt>
                <c:pt idx="6">
                  <c:v>1</c:v>
                </c:pt>
                <c:pt idx="7">
                  <c:v>1</c:v>
                </c:pt>
                <c:pt idx="8">
                  <c:v>1</c:v>
                </c:pt>
                <c:pt idx="9">
                  <c:v>1</c:v>
                </c:pt>
                <c:pt idx="10">
                  <c:v>0</c:v>
                </c:pt>
                <c:pt idx="11">
                  <c:v>0</c:v>
                </c:pt>
                <c:pt idx="12">
                  <c:v>0</c:v>
                </c:pt>
                <c:pt idx="13">
                  <c:v>1</c:v>
                </c:pt>
                <c:pt idx="14">
                  <c:v>0</c:v>
                </c:pt>
                <c:pt idx="15">
                  <c:v>1</c:v>
                </c:pt>
              </c:numCache>
            </c:numRef>
          </c:val>
          <c:extLst>
            <c:ext xmlns:c16="http://schemas.microsoft.com/office/drawing/2014/chart" uri="{C3380CC4-5D6E-409C-BE32-E72D297353CC}">
              <c16:uniqueId val="{00000000-DF14-6441-863E-B16A91DC838A}"/>
            </c:ext>
          </c:extLst>
        </c:ser>
        <c:ser>
          <c:idx val="2"/>
          <c:order val="1"/>
          <c:tx>
            <c:strRef>
              <c:f>A2B_data!$A$4</c:f>
              <c:strCache>
                <c:ptCount val="1"/>
                <c:pt idx="0">
                  <c:v>2016</c:v>
                </c:pt>
              </c:strCache>
            </c:strRef>
          </c:tx>
          <c:spPr>
            <a:solidFill>
              <a:schemeClr val="accent3"/>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A2B_data!$B$4:$Q$4</c:f>
              <c:numCache>
                <c:formatCode>General</c:formatCode>
                <c:ptCount val="16"/>
                <c:pt idx="0">
                  <c:v>0</c:v>
                </c:pt>
                <c:pt idx="1">
                  <c:v>0</c:v>
                </c:pt>
                <c:pt idx="2">
                  <c:v>0</c:v>
                </c:pt>
                <c:pt idx="3">
                  <c:v>1</c:v>
                </c:pt>
                <c:pt idx="4">
                  <c:v>6</c:v>
                </c:pt>
                <c:pt idx="5">
                  <c:v>7</c:v>
                </c:pt>
                <c:pt idx="6">
                  <c:v>13</c:v>
                </c:pt>
                <c:pt idx="7">
                  <c:v>9</c:v>
                </c:pt>
                <c:pt idx="8">
                  <c:v>2</c:v>
                </c:pt>
                <c:pt idx="9">
                  <c:v>3</c:v>
                </c:pt>
                <c:pt idx="10">
                  <c:v>1</c:v>
                </c:pt>
                <c:pt idx="11">
                  <c:v>1</c:v>
                </c:pt>
                <c:pt idx="12">
                  <c:v>2</c:v>
                </c:pt>
                <c:pt idx="13">
                  <c:v>2</c:v>
                </c:pt>
                <c:pt idx="14">
                  <c:v>1</c:v>
                </c:pt>
                <c:pt idx="15">
                  <c:v>0</c:v>
                </c:pt>
              </c:numCache>
            </c:numRef>
          </c:val>
          <c:extLst>
            <c:ext xmlns:c16="http://schemas.microsoft.com/office/drawing/2014/chart" uri="{C3380CC4-5D6E-409C-BE32-E72D297353CC}">
              <c16:uniqueId val="{00000001-DF14-6441-863E-B16A91DC838A}"/>
            </c:ext>
          </c:extLst>
        </c:ser>
        <c:ser>
          <c:idx val="3"/>
          <c:order val="2"/>
          <c:tx>
            <c:strRef>
              <c:f>A2B_data!$A$5</c:f>
              <c:strCache>
                <c:ptCount val="1"/>
                <c:pt idx="0">
                  <c:v>2017</c:v>
                </c:pt>
              </c:strCache>
            </c:strRef>
          </c:tx>
          <c:spPr>
            <a:solidFill>
              <a:schemeClr val="accent4"/>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A2B_data!$B$5:$Q$5</c:f>
              <c:numCache>
                <c:formatCode>General</c:formatCode>
                <c:ptCount val="16"/>
                <c:pt idx="0">
                  <c:v>0</c:v>
                </c:pt>
                <c:pt idx="1">
                  <c:v>0</c:v>
                </c:pt>
                <c:pt idx="2">
                  <c:v>0</c:v>
                </c:pt>
                <c:pt idx="3">
                  <c:v>0</c:v>
                </c:pt>
                <c:pt idx="4">
                  <c:v>0</c:v>
                </c:pt>
                <c:pt idx="5">
                  <c:v>0</c:v>
                </c:pt>
                <c:pt idx="6">
                  <c:v>6</c:v>
                </c:pt>
                <c:pt idx="7">
                  <c:v>12</c:v>
                </c:pt>
                <c:pt idx="8">
                  <c:v>14</c:v>
                </c:pt>
                <c:pt idx="9">
                  <c:v>8</c:v>
                </c:pt>
                <c:pt idx="10">
                  <c:v>9</c:v>
                </c:pt>
                <c:pt idx="11">
                  <c:v>6</c:v>
                </c:pt>
                <c:pt idx="12">
                  <c:v>3</c:v>
                </c:pt>
                <c:pt idx="13">
                  <c:v>1</c:v>
                </c:pt>
                <c:pt idx="14">
                  <c:v>1</c:v>
                </c:pt>
                <c:pt idx="15">
                  <c:v>0</c:v>
                </c:pt>
              </c:numCache>
            </c:numRef>
          </c:val>
          <c:extLst>
            <c:ext xmlns:c16="http://schemas.microsoft.com/office/drawing/2014/chart" uri="{C3380CC4-5D6E-409C-BE32-E72D297353CC}">
              <c16:uniqueId val="{00000002-DF14-6441-863E-B16A91DC838A}"/>
            </c:ext>
          </c:extLst>
        </c:ser>
        <c:ser>
          <c:idx val="4"/>
          <c:order val="3"/>
          <c:tx>
            <c:strRef>
              <c:f>A2B_data!$A$6</c:f>
              <c:strCache>
                <c:ptCount val="1"/>
                <c:pt idx="0">
                  <c:v>2018</c:v>
                </c:pt>
              </c:strCache>
            </c:strRef>
          </c:tx>
          <c:spPr>
            <a:solidFill>
              <a:schemeClr val="accent5"/>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A2B_data!$B$6:$Q$6</c:f>
              <c:numCache>
                <c:formatCode>General</c:formatCode>
                <c:ptCount val="16"/>
                <c:pt idx="0">
                  <c:v>0</c:v>
                </c:pt>
                <c:pt idx="1">
                  <c:v>0</c:v>
                </c:pt>
                <c:pt idx="2">
                  <c:v>0</c:v>
                </c:pt>
                <c:pt idx="3">
                  <c:v>0</c:v>
                </c:pt>
                <c:pt idx="4">
                  <c:v>0</c:v>
                </c:pt>
                <c:pt idx="5">
                  <c:v>0</c:v>
                </c:pt>
                <c:pt idx="6">
                  <c:v>1</c:v>
                </c:pt>
                <c:pt idx="7">
                  <c:v>3</c:v>
                </c:pt>
                <c:pt idx="8">
                  <c:v>3</c:v>
                </c:pt>
                <c:pt idx="9">
                  <c:v>8</c:v>
                </c:pt>
                <c:pt idx="10">
                  <c:v>15</c:v>
                </c:pt>
                <c:pt idx="11">
                  <c:v>11</c:v>
                </c:pt>
                <c:pt idx="12">
                  <c:v>6</c:v>
                </c:pt>
                <c:pt idx="13">
                  <c:v>1</c:v>
                </c:pt>
                <c:pt idx="14">
                  <c:v>3</c:v>
                </c:pt>
                <c:pt idx="15">
                  <c:v>0</c:v>
                </c:pt>
              </c:numCache>
            </c:numRef>
          </c:val>
          <c:extLst>
            <c:ext xmlns:c16="http://schemas.microsoft.com/office/drawing/2014/chart" uri="{C3380CC4-5D6E-409C-BE32-E72D297353CC}">
              <c16:uniqueId val="{00000003-DF14-6441-863E-B16A91DC838A}"/>
            </c:ext>
          </c:extLst>
        </c:ser>
        <c:ser>
          <c:idx val="5"/>
          <c:order val="4"/>
          <c:tx>
            <c:strRef>
              <c:f>A2B_data!$A$7</c:f>
              <c:strCache>
                <c:ptCount val="1"/>
                <c:pt idx="0">
                  <c:v>2019</c:v>
                </c:pt>
              </c:strCache>
            </c:strRef>
          </c:tx>
          <c:spPr>
            <a:solidFill>
              <a:schemeClr val="accent6"/>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A2B_data!$B$7:$Q$7</c:f>
              <c:numCache>
                <c:formatCode>General</c:formatCode>
                <c:ptCount val="16"/>
                <c:pt idx="0">
                  <c:v>0</c:v>
                </c:pt>
                <c:pt idx="1">
                  <c:v>0</c:v>
                </c:pt>
                <c:pt idx="2">
                  <c:v>0</c:v>
                </c:pt>
                <c:pt idx="3">
                  <c:v>0</c:v>
                </c:pt>
                <c:pt idx="4">
                  <c:v>0</c:v>
                </c:pt>
                <c:pt idx="5">
                  <c:v>0</c:v>
                </c:pt>
                <c:pt idx="6">
                  <c:v>0</c:v>
                </c:pt>
                <c:pt idx="7">
                  <c:v>0</c:v>
                </c:pt>
                <c:pt idx="8">
                  <c:v>0</c:v>
                </c:pt>
                <c:pt idx="9">
                  <c:v>2</c:v>
                </c:pt>
                <c:pt idx="10">
                  <c:v>3</c:v>
                </c:pt>
                <c:pt idx="11">
                  <c:v>20</c:v>
                </c:pt>
                <c:pt idx="12">
                  <c:v>11</c:v>
                </c:pt>
                <c:pt idx="13">
                  <c:v>16</c:v>
                </c:pt>
                <c:pt idx="14">
                  <c:v>5</c:v>
                </c:pt>
                <c:pt idx="15">
                  <c:v>4</c:v>
                </c:pt>
              </c:numCache>
            </c:numRef>
          </c:val>
          <c:extLst>
            <c:ext xmlns:c16="http://schemas.microsoft.com/office/drawing/2014/chart" uri="{C3380CC4-5D6E-409C-BE32-E72D297353CC}">
              <c16:uniqueId val="{00000004-DF14-6441-863E-B16A91DC838A}"/>
            </c:ext>
          </c:extLst>
        </c:ser>
        <c:ser>
          <c:idx val="6"/>
          <c:order val="5"/>
          <c:tx>
            <c:strRef>
              <c:f>A2B_data!$A$8</c:f>
              <c:strCache>
                <c:ptCount val="1"/>
                <c:pt idx="0">
                  <c:v>2020</c:v>
                </c:pt>
              </c:strCache>
            </c:strRef>
          </c:tx>
          <c:spPr>
            <a:solidFill>
              <a:schemeClr val="accent1">
                <a:lumMod val="60000"/>
              </a:schemeClr>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A2B_data!$B$8:$Q$8</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8</c:v>
                </c:pt>
                <c:pt idx="12">
                  <c:v>7</c:v>
                </c:pt>
                <c:pt idx="13">
                  <c:v>18</c:v>
                </c:pt>
                <c:pt idx="14">
                  <c:v>16</c:v>
                </c:pt>
                <c:pt idx="15">
                  <c:v>5</c:v>
                </c:pt>
              </c:numCache>
            </c:numRef>
          </c:val>
          <c:extLst>
            <c:ext xmlns:c16="http://schemas.microsoft.com/office/drawing/2014/chart" uri="{C3380CC4-5D6E-409C-BE32-E72D297353CC}">
              <c16:uniqueId val="{00000005-DF14-6441-863E-B16A91DC838A}"/>
            </c:ext>
          </c:extLst>
        </c:ser>
        <c:ser>
          <c:idx val="7"/>
          <c:order val="6"/>
          <c:tx>
            <c:strRef>
              <c:f>A2B_data!$A$9</c:f>
              <c:strCache>
                <c:ptCount val="1"/>
                <c:pt idx="0">
                  <c:v>2021</c:v>
                </c:pt>
              </c:strCache>
            </c:strRef>
          </c:tx>
          <c:spPr>
            <a:solidFill>
              <a:schemeClr val="accent2">
                <a:lumMod val="60000"/>
              </a:schemeClr>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A2B_data!$B$9:$Q$9</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8</c:v>
                </c:pt>
                <c:pt idx="14">
                  <c:v>21</c:v>
                </c:pt>
                <c:pt idx="15">
                  <c:v>11</c:v>
                </c:pt>
              </c:numCache>
            </c:numRef>
          </c:val>
          <c:extLst>
            <c:ext xmlns:c16="http://schemas.microsoft.com/office/drawing/2014/chart" uri="{C3380CC4-5D6E-409C-BE32-E72D297353CC}">
              <c16:uniqueId val="{00000006-DF14-6441-863E-B16A91DC838A}"/>
            </c:ext>
          </c:extLst>
        </c:ser>
        <c:ser>
          <c:idx val="8"/>
          <c:order val="7"/>
          <c:tx>
            <c:strRef>
              <c:f>A2B_data!$A$10</c:f>
              <c:strCache>
                <c:ptCount val="1"/>
                <c:pt idx="0">
                  <c:v>2022</c:v>
                </c:pt>
              </c:strCache>
            </c:strRef>
          </c:tx>
          <c:spPr>
            <a:solidFill>
              <a:schemeClr val="accent3">
                <a:lumMod val="60000"/>
              </a:schemeClr>
            </a:solidFill>
            <a:ln>
              <a:noFill/>
            </a:ln>
            <a:effectLst/>
          </c:spPr>
          <c:invertIfNegative val="0"/>
          <c:cat>
            <c:strRef>
              <c:f>A2B_data!$B$2:$Q$2</c:f>
              <c:strCache>
                <c:ptCount val="16"/>
                <c:pt idx="0">
                  <c:v>'15H1</c:v>
                </c:pt>
                <c:pt idx="1">
                  <c:v>H2</c:v>
                </c:pt>
                <c:pt idx="2">
                  <c:v>'16H1</c:v>
                </c:pt>
                <c:pt idx="3">
                  <c:v>H2</c:v>
                </c:pt>
                <c:pt idx="4">
                  <c:v>'17H1</c:v>
                </c:pt>
                <c:pt idx="5">
                  <c:v>H2</c:v>
                </c:pt>
                <c:pt idx="6">
                  <c:v>'18H1</c:v>
                </c:pt>
                <c:pt idx="7">
                  <c:v>H2</c:v>
                </c:pt>
                <c:pt idx="8">
                  <c:v>'19H1</c:v>
                </c:pt>
                <c:pt idx="9">
                  <c:v>H2</c:v>
                </c:pt>
                <c:pt idx="10">
                  <c:v>'20H1</c:v>
                </c:pt>
                <c:pt idx="11">
                  <c:v>H2</c:v>
                </c:pt>
                <c:pt idx="12">
                  <c:v>'21H1</c:v>
                </c:pt>
                <c:pt idx="13">
                  <c:v>H2</c:v>
                </c:pt>
                <c:pt idx="14">
                  <c:v>'22H1</c:v>
                </c:pt>
                <c:pt idx="15">
                  <c:v>H2</c:v>
                </c:pt>
              </c:strCache>
            </c:strRef>
          </c:cat>
          <c:val>
            <c:numRef>
              <c:f>A2B_data!$B$10:$Q$10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2</c:v>
                </c:pt>
              </c:numCache>
            </c:numRef>
          </c:val>
          <c:extLst>
            <c:ext xmlns:c16="http://schemas.microsoft.com/office/drawing/2014/chart" uri="{C3380CC4-5D6E-409C-BE32-E72D297353CC}">
              <c16:uniqueId val="{00000007-DF14-6441-863E-B16A91DC838A}"/>
            </c:ext>
          </c:extLst>
        </c:ser>
        <c:dLbls>
          <c:showLegendKey val="0"/>
          <c:showVal val="0"/>
          <c:showCatName val="0"/>
          <c:showSerName val="0"/>
          <c:showPercent val="0"/>
          <c:showBubbleSize val="0"/>
        </c:dLbls>
        <c:gapWidth val="150"/>
        <c:overlap val="100"/>
        <c:axId val="603988239"/>
        <c:axId val="616428543"/>
      </c:barChart>
      <c:lineChart>
        <c:grouping val="standard"/>
        <c:varyColors val="0"/>
        <c:ser>
          <c:idx val="9"/>
          <c:order val="8"/>
          <c:tx>
            <c:v>Total Expected</c:v>
          </c:tx>
          <c:spPr>
            <a:ln w="38100" cap="rnd">
              <a:solidFill>
                <a:srgbClr val="FF0000"/>
              </a:solidFill>
              <a:round/>
            </a:ln>
            <a:effectLst/>
          </c:spPr>
          <c:marker>
            <c:symbol val="circle"/>
            <c:size val="11"/>
            <c:spPr>
              <a:solidFill>
                <a:srgbClr val="FF0000"/>
              </a:solidFill>
              <a:ln w="9525">
                <a:solidFill>
                  <a:schemeClr val="accent4">
                    <a:lumMod val="60000"/>
                  </a:schemeClr>
                </a:solidFill>
              </a:ln>
              <a:effectLst/>
            </c:spPr>
          </c:marker>
          <c:val>
            <c:numRef>
              <c:f>A2B_data!$B$20:$Q$20</c:f>
              <c:numCache>
                <c:formatCode>0.0</c:formatCode>
                <c:ptCount val="16"/>
                <c:pt idx="0">
                  <c:v>6.2363801060451703E-2</c:v>
                </c:pt>
                <c:pt idx="1">
                  <c:v>0.70213201368164702</c:v>
                </c:pt>
                <c:pt idx="2">
                  <c:v>2.4667889209417968</c:v>
                </c:pt>
                <c:pt idx="3">
                  <c:v>5.5513664864499006</c:v>
                </c:pt>
                <c:pt idx="4">
                  <c:v>9.7768168017053085</c:v>
                </c:pt>
                <c:pt idx="5">
                  <c:v>13.747254071403651</c:v>
                </c:pt>
                <c:pt idx="6">
                  <c:v>17.392904764361425</c:v>
                </c:pt>
                <c:pt idx="7">
                  <c:v>20.593024117126223</c:v>
                </c:pt>
                <c:pt idx="8">
                  <c:v>23.365758923216998</c:v>
                </c:pt>
                <c:pt idx="9">
                  <c:v>26.037074839602241</c:v>
                </c:pt>
                <c:pt idx="10">
                  <c:v>28.175233789690118</c:v>
                </c:pt>
                <c:pt idx="11">
                  <c:v>30.44794982734113</c:v>
                </c:pt>
                <c:pt idx="12">
                  <c:v>32.510100057519374</c:v>
                </c:pt>
                <c:pt idx="13">
                  <c:v>34.656867298393621</c:v>
                </c:pt>
                <c:pt idx="14">
                  <c:v>37.53054160139795</c:v>
                </c:pt>
                <c:pt idx="15">
                  <c:v>40.183879117548528</c:v>
                </c:pt>
              </c:numCache>
            </c:numRef>
          </c:val>
          <c:smooth val="0"/>
          <c:extLst>
            <c:ext xmlns:c16="http://schemas.microsoft.com/office/drawing/2014/chart" uri="{C3380CC4-5D6E-409C-BE32-E72D297353CC}">
              <c16:uniqueId val="{00000008-DF14-6441-863E-B16A91DC838A}"/>
            </c:ext>
          </c:extLst>
        </c:ser>
        <c:dLbls>
          <c:showLegendKey val="0"/>
          <c:showVal val="0"/>
          <c:showCatName val="0"/>
          <c:showSerName val="0"/>
          <c:showPercent val="0"/>
          <c:showBubbleSize val="0"/>
        </c:dLbls>
        <c:marker val="1"/>
        <c:smooth val="0"/>
        <c:axId val="603988239"/>
        <c:axId val="616428543"/>
      </c:lineChart>
      <c:catAx>
        <c:axId val="603988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16428543"/>
        <c:crosses val="autoZero"/>
        <c:auto val="1"/>
        <c:lblAlgn val="ctr"/>
        <c:lblOffset val="100"/>
        <c:noMultiLvlLbl val="0"/>
      </c:catAx>
      <c:valAx>
        <c:axId val="616428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03988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3: השקעות הון בחלוקה לחציונים, ישראל</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'Equity Israel by Half'!$B$1</c:f>
              <c:strCache>
                <c:ptCount val="1"/>
                <c:pt idx="0">
                  <c:v>סה״כ גיוסי הון, מיליארד $</c:v>
                </c:pt>
              </c:strCache>
            </c:strRef>
          </c:tx>
          <c:spPr>
            <a:solidFill>
              <a:schemeClr val="accent1"/>
            </a:solidFill>
            <a:ln>
              <a:noFill/>
            </a:ln>
            <a:effectLst/>
          </c:spPr>
          <c:invertIfNegative val="0"/>
          <c:cat>
            <c:strRef>
              <c:f>'Equity Israel by Half'!$A$2:$A$19</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'Equity Israel by Half'!$B$2:$B$19</c:f>
              <c:numCache>
                <c:formatCode>General</c:formatCode>
                <c:ptCount val="18"/>
                <c:pt idx="0">
                  <c:v>1171981306</c:v>
                </c:pt>
                <c:pt idx="1">
                  <c:v>1500670481</c:v>
                </c:pt>
                <c:pt idx="2">
                  <c:v>1975192490</c:v>
                </c:pt>
                <c:pt idx="3">
                  <c:v>1914802134</c:v>
                </c:pt>
                <c:pt idx="4">
                  <c:v>3392951417</c:v>
                </c:pt>
                <c:pt idx="5">
                  <c:v>2161805032</c:v>
                </c:pt>
                <c:pt idx="6">
                  <c:v>2348783272</c:v>
                </c:pt>
                <c:pt idx="7">
                  <c:v>2994860811</c:v>
                </c:pt>
                <c:pt idx="8">
                  <c:v>3120916929</c:v>
                </c:pt>
                <c:pt idx="9">
                  <c:v>3504917325</c:v>
                </c:pt>
                <c:pt idx="10">
                  <c:v>3762745809</c:v>
                </c:pt>
                <c:pt idx="11">
                  <c:v>4486954082</c:v>
                </c:pt>
                <c:pt idx="12">
                  <c:v>5034204381</c:v>
                </c:pt>
                <c:pt idx="13">
                  <c:v>5973788950</c:v>
                </c:pt>
                <c:pt idx="14">
                  <c:v>12439476469</c:v>
                </c:pt>
                <c:pt idx="15">
                  <c:v>14962572833</c:v>
                </c:pt>
                <c:pt idx="16">
                  <c:v>10305935630</c:v>
                </c:pt>
                <c:pt idx="17">
                  <c:v>5455689075</c:v>
                </c:pt>
              </c:numCache>
            </c:numRef>
          </c:val>
          <c:extLst>
            <c:ext xmlns:c16="http://schemas.microsoft.com/office/drawing/2014/chart" uri="{C3380CC4-5D6E-409C-BE32-E72D297353CC}">
              <c16:uniqueId val="{00000000-4A36-1C4F-BDB9-3D3B9DD597D2}"/>
            </c:ext>
          </c:extLst>
        </c:ser>
        <c:dLbls>
          <c:showLegendKey val="0"/>
          <c:showVal val="0"/>
          <c:showCatName val="0"/>
          <c:showSerName val="0"/>
          <c:showPercent val="0"/>
          <c:showBubbleSize val="0"/>
        </c:dLbls>
        <c:gapWidth val="150"/>
        <c:axId val="162645983"/>
        <c:axId val="825826448"/>
      </c:barChart>
      <c:lineChart>
        <c:grouping val="standard"/>
        <c:varyColors val="0"/>
        <c:ser>
          <c:idx val="1"/>
          <c:order val="1"/>
          <c:tx>
            <c:strRef>
              <c:f>'Equity Israel by Half'!$C$1</c:f>
              <c:strCache>
                <c:ptCount val="1"/>
                <c:pt idx="0">
                  <c:v>מספר סבבים</c:v>
                </c:pt>
              </c:strCache>
            </c:strRef>
          </c:tx>
          <c:spPr>
            <a:ln w="41275" cap="rnd">
              <a:solidFill>
                <a:schemeClr val="accent2"/>
              </a:solidFill>
              <a:round/>
            </a:ln>
            <a:effectLst/>
          </c:spPr>
          <c:marker>
            <c:symbol val="none"/>
          </c:marker>
          <c:dLbls>
            <c:dLbl>
              <c:idx val="15"/>
              <c:layout>
                <c:manualLayout>
                  <c:x val="-3.9621877110060773E-2"/>
                  <c:y val="2.22433862433862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36-1C4F-BDB9-3D3B9DD597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'Equity Israel by Half'!$A$2:$A$19</c:f>
              <c:strCache>
                <c:ptCount val="18"/>
                <c:pt idx="0">
                  <c:v>2014 H1</c:v>
                </c:pt>
                <c:pt idx="1">
                  <c:v>2014 H2</c:v>
                </c:pt>
                <c:pt idx="2">
                  <c:v>2015 H1</c:v>
                </c:pt>
                <c:pt idx="3">
                  <c:v>2015 H2</c:v>
                </c:pt>
                <c:pt idx="4">
                  <c:v>2016 H1</c:v>
                </c:pt>
                <c:pt idx="5">
                  <c:v>2016 H2</c:v>
                </c:pt>
                <c:pt idx="6">
                  <c:v>2017 H1</c:v>
                </c:pt>
                <c:pt idx="7">
                  <c:v>2017 H2</c:v>
                </c:pt>
                <c:pt idx="8">
                  <c:v>2018 H1</c:v>
                </c:pt>
                <c:pt idx="9">
                  <c:v>2018 H2</c:v>
                </c:pt>
                <c:pt idx="10">
                  <c:v>2019 H1</c:v>
                </c:pt>
                <c:pt idx="11">
                  <c:v>2019 H2</c:v>
                </c:pt>
                <c:pt idx="12">
                  <c:v>2020 H1</c:v>
                </c:pt>
                <c:pt idx="13">
                  <c:v>2020 H2</c:v>
                </c:pt>
                <c:pt idx="14">
                  <c:v>2021 H1</c:v>
                </c:pt>
                <c:pt idx="15">
                  <c:v>2021 H2</c:v>
                </c:pt>
                <c:pt idx="16">
                  <c:v>2022 H1</c:v>
                </c:pt>
                <c:pt idx="17">
                  <c:v>2022 H2</c:v>
                </c:pt>
              </c:strCache>
            </c:strRef>
          </c:cat>
          <c:val>
            <c:numRef>
              <c:f>'Equity Israel by Half'!$C$2:$C$19</c:f>
              <c:numCache>
                <c:formatCode>General</c:formatCode>
                <c:ptCount val="18"/>
                <c:pt idx="0">
                  <c:v>321</c:v>
                </c:pt>
                <c:pt idx="1">
                  <c:v>265</c:v>
                </c:pt>
                <c:pt idx="2">
                  <c:v>402</c:v>
                </c:pt>
                <c:pt idx="3">
                  <c:v>332</c:v>
                </c:pt>
                <c:pt idx="4">
                  <c:v>444</c:v>
                </c:pt>
                <c:pt idx="5">
                  <c:v>326</c:v>
                </c:pt>
                <c:pt idx="6">
                  <c:v>426</c:v>
                </c:pt>
                <c:pt idx="7">
                  <c:v>342</c:v>
                </c:pt>
                <c:pt idx="8">
                  <c:v>511</c:v>
                </c:pt>
                <c:pt idx="9">
                  <c:v>423</c:v>
                </c:pt>
                <c:pt idx="10">
                  <c:v>493</c:v>
                </c:pt>
                <c:pt idx="11">
                  <c:v>412</c:v>
                </c:pt>
                <c:pt idx="12">
                  <c:v>452</c:v>
                </c:pt>
                <c:pt idx="13">
                  <c:v>426</c:v>
                </c:pt>
                <c:pt idx="14">
                  <c:v>549</c:v>
                </c:pt>
                <c:pt idx="15">
                  <c:v>532</c:v>
                </c:pt>
                <c:pt idx="16">
                  <c:v>499</c:v>
                </c:pt>
                <c:pt idx="17">
                  <c:v>288</c:v>
                </c:pt>
              </c:numCache>
            </c:numRef>
          </c:val>
          <c:smooth val="0"/>
          <c:extLst>
            <c:ext xmlns:c16="http://schemas.microsoft.com/office/drawing/2014/chart" uri="{C3380CC4-5D6E-409C-BE32-E72D297353CC}">
              <c16:uniqueId val="{00000002-4A36-1C4F-BDB9-3D3B9DD597D2}"/>
            </c:ext>
          </c:extLst>
        </c:ser>
        <c:dLbls>
          <c:showLegendKey val="0"/>
          <c:showVal val="0"/>
          <c:showCatName val="0"/>
          <c:showSerName val="0"/>
          <c:showPercent val="0"/>
          <c:showBubbleSize val="0"/>
        </c:dLbls>
        <c:marker val="1"/>
        <c:smooth val="0"/>
        <c:axId val="530129967"/>
        <c:axId val="1275289887"/>
      </c:lineChart>
      <c:catAx>
        <c:axId val="16264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825826448"/>
        <c:crosses val="autoZero"/>
        <c:auto val="1"/>
        <c:lblAlgn val="ctr"/>
        <c:lblOffset val="100"/>
        <c:noMultiLvlLbl val="0"/>
      </c:catAx>
      <c:valAx>
        <c:axId val="82582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62645983"/>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1275289887"/>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noFill/>
                <a:latin typeface="+mn-lt"/>
                <a:ea typeface="+mn-ea"/>
                <a:cs typeface="+mn-cs"/>
              </a:defRPr>
            </a:pPr>
            <a:endParaRPr lang="en-IL"/>
          </a:p>
        </c:txPr>
        <c:crossAx val="530129967"/>
        <c:crosses val="max"/>
        <c:crossBetween val="between"/>
      </c:valAx>
      <c:catAx>
        <c:axId val="530129967"/>
        <c:scaling>
          <c:orientation val="minMax"/>
        </c:scaling>
        <c:delete val="1"/>
        <c:axPos val="b"/>
        <c:numFmt formatCode="General" sourceLinked="1"/>
        <c:majorTickMark val="none"/>
        <c:minorTickMark val="none"/>
        <c:tickLblPos val="nextTo"/>
        <c:crossAx val="12752898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n-US"/>
              <a:t>Graph 5: השקעות מאוחרות (סבבי  B ו (C+</a:t>
            </a:r>
          </a:p>
        </c:rich>
      </c:tx>
      <c:overlay val="0"/>
      <c:spPr>
        <a:noFill/>
        <a:ln>
          <a:noFill/>
        </a:ln>
        <a:effectLst/>
      </c:spPr>
    </c:title>
    <c:autoTitleDeleted val="0"/>
    <c:plotArea>
      <c:layout/>
      <c:barChart>
        <c:barDir val="col"/>
        <c:grouping val="clustered"/>
        <c:varyColors val="0"/>
        <c:ser>
          <c:idx val="3"/>
          <c:order val="0"/>
          <c:tx>
            <c:strRef>
              <c:f>'Early vs Late (types)'!$B$30</c:f>
              <c:strCache>
                <c:ptCount val="1"/>
                <c:pt idx="0">
                  <c:v>סבבי B</c:v>
                </c:pt>
              </c:strCache>
            </c:strRef>
          </c:tx>
          <c:spPr>
            <a:solidFill>
              <a:schemeClr val="accent6"/>
            </a:solidFill>
          </c:spPr>
          <c:invertIfNegative val="0"/>
          <c:val>
            <c:numRef>
              <c:f>'Early vs Late (types)'!$B$31:$B$39</c:f>
              <c:numCache>
                <c:formatCode>General</c:formatCode>
                <c:ptCount val="9"/>
                <c:pt idx="0">
                  <c:v>525758916</c:v>
                </c:pt>
                <c:pt idx="1">
                  <c:v>1058920000</c:v>
                </c:pt>
                <c:pt idx="2">
                  <c:v>897100000</c:v>
                </c:pt>
                <c:pt idx="3">
                  <c:v>1070600000</c:v>
                </c:pt>
                <c:pt idx="4">
                  <c:v>1669700000</c:v>
                </c:pt>
                <c:pt idx="5">
                  <c:v>1548650000</c:v>
                </c:pt>
                <c:pt idx="6">
                  <c:v>2231950000</c:v>
                </c:pt>
                <c:pt idx="7">
                  <c:v>5369750000</c:v>
                </c:pt>
                <c:pt idx="8">
                  <c:v>2961800000</c:v>
                </c:pt>
              </c:numCache>
            </c:numRef>
          </c:val>
          <c:extLst>
            <c:ext xmlns:c16="http://schemas.microsoft.com/office/drawing/2014/chart" uri="{C3380CC4-5D6E-409C-BE32-E72D297353CC}">
              <c16:uniqueId val="{00000000-0493-1247-BAD8-643A5F65D1FC}"/>
            </c:ext>
          </c:extLst>
        </c:ser>
        <c:ser>
          <c:idx val="0"/>
          <c:order val="1"/>
          <c:tx>
            <c:strRef>
              <c:f>'Early vs Late (types)'!$C$30</c:f>
              <c:strCache>
                <c:ptCount val="1"/>
                <c:pt idx="0">
                  <c:v>סבבי C+</c:v>
                </c:pt>
              </c:strCache>
            </c:strRef>
          </c:tx>
          <c:spPr>
            <a:solidFill>
              <a:schemeClr val="accent1"/>
            </a:solidFill>
            <a:ln>
              <a:noFill/>
            </a:ln>
            <a:effectLst/>
          </c:spPr>
          <c:invertIfNegative val="0"/>
          <c:val>
            <c:numRef>
              <c:f>'Early vs Late (types)'!$C$31:$C$39</c:f>
              <c:numCache>
                <c:formatCode>General</c:formatCode>
                <c:ptCount val="9"/>
                <c:pt idx="0">
                  <c:v>1027623000</c:v>
                </c:pt>
                <c:pt idx="1">
                  <c:v>1288850000</c:v>
                </c:pt>
                <c:pt idx="2">
                  <c:v>2453240000</c:v>
                </c:pt>
                <c:pt idx="3">
                  <c:v>2268360000</c:v>
                </c:pt>
                <c:pt idx="4">
                  <c:v>1959800000</c:v>
                </c:pt>
                <c:pt idx="5">
                  <c:v>3836250000</c:v>
                </c:pt>
                <c:pt idx="6">
                  <c:v>5319235652</c:v>
                </c:pt>
                <c:pt idx="7">
                  <c:v>15381242000</c:v>
                </c:pt>
                <c:pt idx="8">
                  <c:v>7460697750</c:v>
                </c:pt>
              </c:numCache>
            </c:numRef>
          </c:val>
          <c:extLst>
            <c:ext xmlns:c16="http://schemas.microsoft.com/office/drawing/2014/chart" uri="{C3380CC4-5D6E-409C-BE32-E72D297353CC}">
              <c16:uniqueId val="{00000001-0493-1247-BAD8-643A5F65D1FC}"/>
            </c:ext>
          </c:extLst>
        </c:ser>
        <c:dLbls>
          <c:showLegendKey val="0"/>
          <c:showVal val="0"/>
          <c:showCatName val="0"/>
          <c:showSerName val="0"/>
          <c:showPercent val="0"/>
          <c:showBubbleSize val="0"/>
        </c:dLbls>
        <c:gapWidth val="219"/>
        <c:overlap val="-27"/>
        <c:axId val="470275839"/>
        <c:axId val="799855520"/>
      </c:barChart>
      <c:catAx>
        <c:axId val="47027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99855520"/>
        <c:crosses val="autoZero"/>
        <c:auto val="1"/>
        <c:lblAlgn val="ctr"/>
        <c:lblOffset val="100"/>
        <c:noMultiLvlLbl val="0"/>
      </c:catAx>
      <c:valAx>
        <c:axId val="79985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70275839"/>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מיליארדי $</a:t>
                  </a:r>
                  <a:endParaRPr lang="en-US"/>
                </a:p>
              </c:rich>
            </c:tx>
            <c:spPr>
              <a:noFill/>
              <a:ln>
                <a:noFill/>
              </a:ln>
              <a:effectLst/>
            </c:spPr>
          </c:dispUnitsLbl>
        </c:dispUnits>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txPr>
    <a:bodyPr/>
    <a:lstStyle/>
    <a:p>
      <a:pPr>
        <a:defRPr/>
      </a:pPr>
      <a:endParaRPr lang="en-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n-US"/>
              <a:t>Graph 4: השקעות מוקדמות (Seed ו -A)</a:t>
            </a:r>
          </a:p>
        </c:rich>
      </c:tx>
      <c:layout>
        <c:manualLayout>
          <c:xMode val="edge"/>
          <c:yMode val="edge"/>
          <c:x val="0.25940170940170942"/>
          <c:y val="2.0030045067601403E-2"/>
        </c:manualLayout>
      </c:layout>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'Early vs Late (types)'!$B$1</c:f>
              <c:strCache>
                <c:ptCount val="1"/>
                <c:pt idx="0">
                  <c:v>סבבי Seed</c:v>
                </c:pt>
              </c:strCache>
            </c:strRef>
          </c:tx>
          <c:spPr>
            <a:solidFill>
              <a:schemeClr val="accent1"/>
            </a:solidFill>
            <a:ln>
              <a:noFill/>
            </a:ln>
            <a:effectLst/>
          </c:spPr>
          <c:invertIfNegative val="0"/>
          <c:cat>
            <c:numRef>
              <c:f>'Early vs Late (types)'!$A$2:$A$10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'Early vs Late (types)'!$B$2:$B$10</c:f>
              <c:numCache>
                <c:formatCode>General</c:formatCode>
                <c:ptCount val="9"/>
                <c:pt idx="0">
                  <c:v>247793104</c:v>
                </c:pt>
                <c:pt idx="1">
                  <c:v>410871556</c:v>
                </c:pt>
                <c:pt idx="2">
                  <c:v>563449787</c:v>
                </c:pt>
                <c:pt idx="3">
                  <c:v>447543941</c:v>
                </c:pt>
                <c:pt idx="4">
                  <c:v>695250308</c:v>
                </c:pt>
                <c:pt idx="5">
                  <c:v>633767000</c:v>
                </c:pt>
                <c:pt idx="6">
                  <c:v>787703171</c:v>
                </c:pt>
                <c:pt idx="7">
                  <c:v>1310676000</c:v>
                </c:pt>
                <c:pt idx="8">
                  <c:v>1823437905</c:v>
                </c:pt>
              </c:numCache>
            </c:numRef>
          </c:val>
          <c:extLst>
            <c:ext xmlns:c16="http://schemas.microsoft.com/office/drawing/2014/chart" uri="{C3380CC4-5D6E-409C-BE32-E72D297353CC}">
              <c16:uniqueId val="{00000000-2C78-9144-8344-7BA472E5FAE0}"/>
            </c:ext>
          </c:extLst>
        </c:ser>
        <c:ser>
          <c:idx val="1"/>
          <c:order val="1"/>
          <c:tx>
            <c:strRef>
              <c:f>'Early vs Late (types)'!$C$1</c:f>
              <c:strCache>
                <c:ptCount val="1"/>
                <c:pt idx="0">
                  <c:v>סבבי A</c:v>
                </c:pt>
              </c:strCache>
            </c:strRef>
          </c:tx>
          <c:spPr>
            <a:solidFill>
              <a:schemeClr val="accent2"/>
            </a:solidFill>
            <a:ln>
              <a:noFill/>
            </a:ln>
            <a:effectLst/>
          </c:spPr>
          <c:invertIfNegative val="0"/>
          <c:cat>
            <c:numRef>
              <c:f>'Early vs Late (types)'!$A$2:$A$10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'Early vs Late (types)'!$C$2:$C$10</c:f>
              <c:numCache>
                <c:formatCode>General</c:formatCode>
                <c:ptCount val="9"/>
                <c:pt idx="0">
                  <c:v>516424136</c:v>
                </c:pt>
                <c:pt idx="1">
                  <c:v>664700000</c:v>
                </c:pt>
                <c:pt idx="2">
                  <c:v>1135104000</c:v>
                </c:pt>
                <c:pt idx="3">
                  <c:v>1024755022</c:v>
                </c:pt>
                <c:pt idx="4">
                  <c:v>1245173261</c:v>
                </c:pt>
                <c:pt idx="5">
                  <c:v>1448229906</c:v>
                </c:pt>
                <c:pt idx="6">
                  <c:v>1664045000</c:v>
                </c:pt>
                <c:pt idx="7">
                  <c:v>3466420000</c:v>
                </c:pt>
                <c:pt idx="8">
                  <c:v>2627770000</c:v>
                </c:pt>
              </c:numCache>
            </c:numRef>
          </c:val>
          <c:extLst>
            <c:ext xmlns:c16="http://schemas.microsoft.com/office/drawing/2014/chart" uri="{C3380CC4-5D6E-409C-BE32-E72D297353CC}">
              <c16:uniqueId val="{00000001-2C78-9144-8344-7BA472E5FAE0}"/>
            </c:ext>
          </c:extLst>
        </c:ser>
        <c:dLbls>
          <c:showLegendKey val="0"/>
          <c:showVal val="0"/>
          <c:showCatName val="0"/>
          <c:showSerName val="0"/>
          <c:showPercent val="0"/>
          <c:showBubbleSize val="0"/>
        </c:dLbls>
        <c:gapWidth val="219"/>
        <c:overlap val="-27"/>
        <c:axId val="470275839"/>
        <c:axId val="799855520"/>
      </c:barChart>
      <c:catAx>
        <c:axId val="47027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799855520"/>
        <c:crosses val="autoZero"/>
        <c:auto val="1"/>
        <c:lblAlgn val="ctr"/>
        <c:lblOffset val="100"/>
        <c:noMultiLvlLbl val="0"/>
      </c:catAx>
      <c:valAx>
        <c:axId val="79985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470275839"/>
        <c:crosses val="autoZero"/>
        <c:crossBetween val="between"/>
        <c:dispUnits>
          <c:builtInUnit val="b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a:t>מיליארדי $</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6: שינוי באחוזים בחלוקה לפי סוג הסבב</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0.1049342149539"/>
          <c:y val="0.11263285757667782"/>
          <c:w val="0.87156151154182648"/>
          <c:h val="0.78449706009645848"/>
        </c:manualLayout>
      </c:layout>
      <c:barChart>
        <c:barDir val="col"/>
        <c:grouping val="clustered"/>
        <c:varyColors val="0"/>
        <c:ser>
          <c:idx val="0"/>
          <c:order val="0"/>
          <c:tx>
            <c:strRef>
              <c:f>'Early vs Late change'!$B$1</c:f>
              <c:strCache>
                <c:ptCount val="1"/>
                <c:pt idx="0">
                  <c:v>סבבי Seed</c:v>
                </c:pt>
              </c:strCache>
            </c:strRef>
          </c:tx>
          <c:spPr>
            <a:solidFill>
              <a:schemeClr val="accent1"/>
            </a:solidFill>
            <a:ln>
              <a:noFill/>
            </a:ln>
            <a:effectLst/>
          </c:spPr>
          <c:invertIfNegative val="0"/>
          <c:cat>
            <c:numRef>
              <c:f>'Early vs Late change'!$A$2:$A$9</c:f>
              <c:numCache>
                <c:formatCode>General</c:formatCode>
                <c:ptCount val="8"/>
                <c:pt idx="0">
                  <c:v>2015</c:v>
                </c:pt>
                <c:pt idx="1">
                  <c:v>2016</c:v>
                </c:pt>
                <c:pt idx="2">
                  <c:v>2017</c:v>
                </c:pt>
                <c:pt idx="3">
                  <c:v>2018</c:v>
                </c:pt>
                <c:pt idx="4">
                  <c:v>2019</c:v>
                </c:pt>
                <c:pt idx="5">
                  <c:v>2020</c:v>
                </c:pt>
                <c:pt idx="6">
                  <c:v>2021</c:v>
                </c:pt>
                <c:pt idx="7">
                  <c:v>2022</c:v>
                </c:pt>
              </c:numCache>
            </c:numRef>
          </c:cat>
          <c:val>
            <c:numRef>
              <c:f>'Early vs Late change'!$B$2:$B$9</c:f>
              <c:numCache>
                <c:formatCode>0.00%</c:formatCode>
                <c:ptCount val="8"/>
                <c:pt idx="0">
                  <c:v>0.65810000000000002</c:v>
                </c:pt>
                <c:pt idx="1">
                  <c:v>0.37140000000000001</c:v>
                </c:pt>
                <c:pt idx="2">
                  <c:v>-0.20569999999999999</c:v>
                </c:pt>
                <c:pt idx="3">
                  <c:v>0.55349999999999999</c:v>
                </c:pt>
                <c:pt idx="4">
                  <c:v>-8.8400000000000006E-2</c:v>
                </c:pt>
                <c:pt idx="5">
                  <c:v>0.2429</c:v>
                </c:pt>
                <c:pt idx="6">
                  <c:v>0.66390000000000005</c:v>
                </c:pt>
                <c:pt idx="7">
                  <c:v>0.39119999999999999</c:v>
                </c:pt>
              </c:numCache>
            </c:numRef>
          </c:val>
          <c:extLst>
            <c:ext xmlns:c16="http://schemas.microsoft.com/office/drawing/2014/chart" uri="{C3380CC4-5D6E-409C-BE32-E72D297353CC}">
              <c16:uniqueId val="{00000000-526B-0B4B-811C-C6CF82BD42AF}"/>
            </c:ext>
          </c:extLst>
        </c:ser>
        <c:ser>
          <c:idx val="1"/>
          <c:order val="1"/>
          <c:tx>
            <c:strRef>
              <c:f>'Early vs Late change'!$C$1</c:f>
              <c:strCache>
                <c:ptCount val="1"/>
                <c:pt idx="0">
                  <c:v>סבבי A</c:v>
                </c:pt>
              </c:strCache>
            </c:strRef>
          </c:tx>
          <c:spPr>
            <a:solidFill>
              <a:schemeClr val="accent2"/>
            </a:solidFill>
            <a:ln>
              <a:noFill/>
            </a:ln>
            <a:effectLst/>
          </c:spPr>
          <c:invertIfNegative val="0"/>
          <c:cat>
            <c:numRef>
              <c:f>'Early vs Late change'!$A$2:$A$9</c:f>
              <c:numCache>
                <c:formatCode>General</c:formatCode>
                <c:ptCount val="8"/>
                <c:pt idx="0">
                  <c:v>2015</c:v>
                </c:pt>
                <c:pt idx="1">
                  <c:v>2016</c:v>
                </c:pt>
                <c:pt idx="2">
                  <c:v>2017</c:v>
                </c:pt>
                <c:pt idx="3">
                  <c:v>2018</c:v>
                </c:pt>
                <c:pt idx="4">
                  <c:v>2019</c:v>
                </c:pt>
                <c:pt idx="5">
                  <c:v>2020</c:v>
                </c:pt>
                <c:pt idx="6">
                  <c:v>2021</c:v>
                </c:pt>
                <c:pt idx="7">
                  <c:v>2022</c:v>
                </c:pt>
              </c:numCache>
            </c:numRef>
          </c:cat>
          <c:val>
            <c:numRef>
              <c:f>'Early vs Late change'!$C$2:$C$9</c:f>
              <c:numCache>
                <c:formatCode>0.00%</c:formatCode>
                <c:ptCount val="8"/>
                <c:pt idx="0">
                  <c:v>0.28710000000000002</c:v>
                </c:pt>
                <c:pt idx="1">
                  <c:v>0.7077</c:v>
                </c:pt>
                <c:pt idx="2">
                  <c:v>-9.7199999999999995E-2</c:v>
                </c:pt>
                <c:pt idx="3">
                  <c:v>0.21510000000000001</c:v>
                </c:pt>
                <c:pt idx="4">
                  <c:v>0.16309999999999999</c:v>
                </c:pt>
                <c:pt idx="5">
                  <c:v>0.14899999999999999</c:v>
                </c:pt>
                <c:pt idx="6">
                  <c:v>1.0831</c:v>
                </c:pt>
                <c:pt idx="7">
                  <c:v>-0.2419</c:v>
                </c:pt>
              </c:numCache>
            </c:numRef>
          </c:val>
          <c:extLst>
            <c:ext xmlns:c16="http://schemas.microsoft.com/office/drawing/2014/chart" uri="{C3380CC4-5D6E-409C-BE32-E72D297353CC}">
              <c16:uniqueId val="{00000001-526B-0B4B-811C-C6CF82BD42AF}"/>
            </c:ext>
          </c:extLst>
        </c:ser>
        <c:ser>
          <c:idx val="2"/>
          <c:order val="2"/>
          <c:tx>
            <c:strRef>
              <c:f>'Early vs Late change'!$D$1</c:f>
              <c:strCache>
                <c:ptCount val="1"/>
                <c:pt idx="0">
                  <c:v>סבבי B</c:v>
                </c:pt>
              </c:strCache>
            </c:strRef>
          </c:tx>
          <c:spPr>
            <a:solidFill>
              <a:schemeClr val="accent4"/>
            </a:solidFill>
            <a:ln>
              <a:noFill/>
            </a:ln>
            <a:effectLst/>
          </c:spPr>
          <c:invertIfNegative val="0"/>
          <c:cat>
            <c:numRef>
              <c:f>'Early vs Late change'!$A$2:$A$9</c:f>
              <c:numCache>
                <c:formatCode>General</c:formatCode>
                <c:ptCount val="8"/>
                <c:pt idx="0">
                  <c:v>2015</c:v>
                </c:pt>
                <c:pt idx="1">
                  <c:v>2016</c:v>
                </c:pt>
                <c:pt idx="2">
                  <c:v>2017</c:v>
                </c:pt>
                <c:pt idx="3">
                  <c:v>2018</c:v>
                </c:pt>
                <c:pt idx="4">
                  <c:v>2019</c:v>
                </c:pt>
                <c:pt idx="5">
                  <c:v>2020</c:v>
                </c:pt>
                <c:pt idx="6">
                  <c:v>2021</c:v>
                </c:pt>
                <c:pt idx="7">
                  <c:v>2022</c:v>
                </c:pt>
              </c:numCache>
            </c:numRef>
          </c:cat>
          <c:val>
            <c:numRef>
              <c:f>'Early vs Late change'!$D$2:$D$9</c:f>
              <c:numCache>
                <c:formatCode>0.00%</c:formatCode>
                <c:ptCount val="8"/>
                <c:pt idx="0">
                  <c:v>1.0141</c:v>
                </c:pt>
                <c:pt idx="1">
                  <c:v>-0.15279999999999999</c:v>
                </c:pt>
                <c:pt idx="2">
                  <c:v>0.19339999999999999</c:v>
                </c:pt>
                <c:pt idx="3">
                  <c:v>0.55959999999999999</c:v>
                </c:pt>
                <c:pt idx="4">
                  <c:v>-7.2499999999999995E-2</c:v>
                </c:pt>
                <c:pt idx="5">
                  <c:v>0.44119999999999998</c:v>
                </c:pt>
                <c:pt idx="6">
                  <c:v>1.4058999999999999</c:v>
                </c:pt>
                <c:pt idx="7">
                  <c:v>-0.44840000000000002</c:v>
                </c:pt>
              </c:numCache>
            </c:numRef>
          </c:val>
          <c:extLst>
            <c:ext xmlns:c16="http://schemas.microsoft.com/office/drawing/2014/chart" uri="{C3380CC4-5D6E-409C-BE32-E72D297353CC}">
              <c16:uniqueId val="{00000002-526B-0B4B-811C-C6CF82BD42AF}"/>
            </c:ext>
          </c:extLst>
        </c:ser>
        <c:ser>
          <c:idx val="3"/>
          <c:order val="3"/>
          <c:tx>
            <c:strRef>
              <c:f>'Early vs Late change'!$E$1</c:f>
              <c:strCache>
                <c:ptCount val="1"/>
                <c:pt idx="0">
                  <c:v>סבבי C+</c:v>
                </c:pt>
              </c:strCache>
            </c:strRef>
          </c:tx>
          <c:spPr>
            <a:solidFill>
              <a:schemeClr val="accent6"/>
            </a:solidFill>
            <a:ln>
              <a:noFill/>
            </a:ln>
            <a:effectLst/>
          </c:spPr>
          <c:invertIfNegative val="0"/>
          <c:cat>
            <c:numRef>
              <c:f>'Early vs Late change'!$A$2:$A$9</c:f>
              <c:numCache>
                <c:formatCode>General</c:formatCode>
                <c:ptCount val="8"/>
                <c:pt idx="0">
                  <c:v>2015</c:v>
                </c:pt>
                <c:pt idx="1">
                  <c:v>2016</c:v>
                </c:pt>
                <c:pt idx="2">
                  <c:v>2017</c:v>
                </c:pt>
                <c:pt idx="3">
                  <c:v>2018</c:v>
                </c:pt>
                <c:pt idx="4">
                  <c:v>2019</c:v>
                </c:pt>
                <c:pt idx="5">
                  <c:v>2020</c:v>
                </c:pt>
                <c:pt idx="6">
                  <c:v>2021</c:v>
                </c:pt>
                <c:pt idx="7">
                  <c:v>2022</c:v>
                </c:pt>
              </c:numCache>
            </c:numRef>
          </c:cat>
          <c:val>
            <c:numRef>
              <c:f>'Early vs Late change'!$E$2:$E$9</c:f>
              <c:numCache>
                <c:formatCode>0.00%</c:formatCode>
                <c:ptCount val="8"/>
                <c:pt idx="0">
                  <c:v>0.25419999999999998</c:v>
                </c:pt>
                <c:pt idx="1">
                  <c:v>0.90339999999999998</c:v>
                </c:pt>
                <c:pt idx="2">
                  <c:v>-7.5399999999999995E-2</c:v>
                </c:pt>
                <c:pt idx="3">
                  <c:v>-0.13600000000000001</c:v>
                </c:pt>
                <c:pt idx="4">
                  <c:v>0.95750000000000002</c:v>
                </c:pt>
                <c:pt idx="5">
                  <c:v>0.3866</c:v>
                </c:pt>
                <c:pt idx="6">
                  <c:v>1.8915999999999999</c:v>
                </c:pt>
                <c:pt idx="7">
                  <c:v>-0.51490000000000002</c:v>
                </c:pt>
              </c:numCache>
            </c:numRef>
          </c:val>
          <c:extLst>
            <c:ext xmlns:c16="http://schemas.microsoft.com/office/drawing/2014/chart" uri="{C3380CC4-5D6E-409C-BE32-E72D297353CC}">
              <c16:uniqueId val="{00000003-526B-0B4B-811C-C6CF82BD42AF}"/>
            </c:ext>
          </c:extLst>
        </c:ser>
        <c:dLbls>
          <c:showLegendKey val="0"/>
          <c:showVal val="0"/>
          <c:showCatName val="0"/>
          <c:showSerName val="0"/>
          <c:showPercent val="0"/>
          <c:showBubbleSize val="0"/>
        </c:dLbls>
        <c:gapWidth val="219"/>
        <c:overlap val="-27"/>
        <c:axId val="375980015"/>
        <c:axId val="376412031"/>
      </c:barChart>
      <c:catAx>
        <c:axId val="37598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76412031"/>
        <c:crosses val="autoZero"/>
        <c:auto val="1"/>
        <c:lblAlgn val="ctr"/>
        <c:lblOffset val="1000"/>
        <c:noMultiLvlLbl val="0"/>
      </c:catAx>
      <c:valAx>
        <c:axId val="3764120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75980015"/>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r>
              <a:rPr lang="en-US"/>
              <a:t>Graph 7: מספר משתתפים ממוצע לסבב Seed</a:t>
            </a:r>
          </a:p>
        </c:rich>
      </c:tx>
      <c:overlay val="0"/>
      <c:spPr>
        <a:noFill/>
        <a:ln>
          <a:noFill/>
        </a:ln>
        <a:effectLst/>
      </c:spPr>
      <c:txPr>
        <a:bodyPr rot="0" spcFirstLastPara="1" vertOverflow="ellipsis" vert="horz" wrap="square" anchor="ctr" anchorCtr="1"/>
        <a:lstStyle/>
        <a:p>
          <a:pPr rtl="0">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manualLayout>
          <c:layoutTarget val="inner"/>
          <c:xMode val="edge"/>
          <c:yMode val="edge"/>
          <c:x val="4.5382764654418199E-2"/>
          <c:y val="0.12778639104220502"/>
          <c:w val="0.90094202167036808"/>
          <c:h val="0.79228848331943003"/>
        </c:manualLayout>
      </c:layout>
      <c:scatterChart>
        <c:scatterStyle val="lineMarker"/>
        <c:varyColors val="0"/>
        <c:ser>
          <c:idx val="0"/>
          <c:order val="0"/>
          <c:tx>
            <c:strRef>
              <c:f>'Avg number of investors Seed'!$B$1</c:f>
              <c:strCache>
                <c:ptCount val="1"/>
                <c:pt idx="0">
                  <c:v>מספר משתתפים ממוצע לסבב</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5429583702391658E-3"/>
                  <c:y val="4.3541364296081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76-FA42-931D-A8F2161E3613}"/>
                </c:ext>
              </c:extLst>
            </c:dLbl>
            <c:dLbl>
              <c:idx val="1"/>
              <c:layout>
                <c:manualLayout>
                  <c:x val="-5.3144375553587572E-3"/>
                  <c:y val="5.2249637155297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76-FA42-931D-A8F2161E3613}"/>
                </c:ext>
              </c:extLst>
            </c:dLbl>
            <c:dLbl>
              <c:idx val="2"/>
              <c:layout>
                <c:manualLayout>
                  <c:x val="0"/>
                  <c:y val="-2.6124818577648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76-FA42-931D-A8F2161E3613}"/>
                </c:ext>
              </c:extLst>
            </c:dLbl>
            <c:dLbl>
              <c:idx val="3"/>
              <c:layout>
                <c:manualLayout>
                  <c:x val="-3.5429583702391498E-3"/>
                  <c:y val="3.483309143686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76-FA42-931D-A8F2161E3613}"/>
                </c:ext>
              </c:extLst>
            </c:dLbl>
            <c:dLbl>
              <c:idx val="4"/>
              <c:layout>
                <c:manualLayout>
                  <c:x val="-3.5429583702392149E-3"/>
                  <c:y val="-3.1930333817126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76-FA42-931D-A8F2161E36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'Avg number of investors Seed'!$A$2:$A$10</c:f>
              <c:numCache>
                <c:formatCode>General</c:formatCode>
                <c:ptCount val="9"/>
                <c:pt idx="0">
                  <c:v>2014</c:v>
                </c:pt>
                <c:pt idx="1">
                  <c:v>2015</c:v>
                </c:pt>
                <c:pt idx="2">
                  <c:v>2016</c:v>
                </c:pt>
                <c:pt idx="3">
                  <c:v>2017</c:v>
                </c:pt>
                <c:pt idx="4">
                  <c:v>2018</c:v>
                </c:pt>
                <c:pt idx="5">
                  <c:v>2019</c:v>
                </c:pt>
                <c:pt idx="6">
                  <c:v>2020</c:v>
                </c:pt>
                <c:pt idx="7">
                  <c:v>2021</c:v>
                </c:pt>
                <c:pt idx="8">
                  <c:v>2022</c:v>
                </c:pt>
              </c:numCache>
            </c:numRef>
          </c:xVal>
          <c:yVal>
            <c:numRef>
              <c:f>'Avg number of investors Seed'!$B$2:$B$10</c:f>
              <c:numCache>
                <c:formatCode>General</c:formatCode>
                <c:ptCount val="9"/>
                <c:pt idx="0">
                  <c:v>1.56</c:v>
                </c:pt>
                <c:pt idx="1">
                  <c:v>1.59</c:v>
                </c:pt>
                <c:pt idx="2">
                  <c:v>1.86</c:v>
                </c:pt>
                <c:pt idx="3">
                  <c:v>1.63</c:v>
                </c:pt>
                <c:pt idx="4">
                  <c:v>1.77</c:v>
                </c:pt>
                <c:pt idx="5">
                  <c:v>1.78</c:v>
                </c:pt>
                <c:pt idx="6">
                  <c:v>2.39</c:v>
                </c:pt>
                <c:pt idx="7">
                  <c:v>2.75</c:v>
                </c:pt>
                <c:pt idx="8">
                  <c:v>3.89</c:v>
                </c:pt>
              </c:numCache>
            </c:numRef>
          </c:yVal>
          <c:smooth val="0"/>
          <c:extLst>
            <c:ext xmlns:c16="http://schemas.microsoft.com/office/drawing/2014/chart" uri="{C3380CC4-5D6E-409C-BE32-E72D297353CC}">
              <c16:uniqueId val="{00000005-FE76-FA42-931D-A8F2161E3613}"/>
            </c:ext>
          </c:extLst>
        </c:ser>
        <c:dLbls>
          <c:showLegendKey val="0"/>
          <c:showVal val="0"/>
          <c:showCatName val="0"/>
          <c:showSerName val="0"/>
          <c:showPercent val="0"/>
          <c:showBubbleSize val="0"/>
        </c:dLbls>
        <c:axId val="2143951872"/>
        <c:axId val="2143889936"/>
      </c:scatterChart>
      <c:valAx>
        <c:axId val="2143951872"/>
        <c:scaling>
          <c:orientation val="minMax"/>
          <c:max val="2022"/>
          <c:min val="201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43889936"/>
        <c:crosses val="autoZero"/>
        <c:crossBetween val="midCat"/>
      </c:valAx>
      <c:valAx>
        <c:axId val="214388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1439518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8: Actual vs Expected A-rounds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stacked"/>
        <c:varyColors val="0"/>
        <c:ser>
          <c:idx val="0"/>
          <c:order val="0"/>
          <c:tx>
            <c:strRef>
              <c:f>S2A_data!$A$3</c:f>
              <c:strCache>
                <c:ptCount val="1"/>
                <c:pt idx="0">
                  <c:v>2014</c:v>
                </c:pt>
              </c:strCache>
            </c:strRef>
          </c:tx>
          <c:spPr>
            <a:solidFill>
              <a:schemeClr val="accent1"/>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S2A_data!$B$3:$S$3</c:f>
              <c:numCache>
                <c:formatCode>General</c:formatCode>
                <c:ptCount val="18"/>
                <c:pt idx="0">
                  <c:v>0</c:v>
                </c:pt>
                <c:pt idx="1">
                  <c:v>0</c:v>
                </c:pt>
                <c:pt idx="2">
                  <c:v>12</c:v>
                </c:pt>
                <c:pt idx="3">
                  <c:v>17</c:v>
                </c:pt>
                <c:pt idx="4">
                  <c:v>21</c:v>
                </c:pt>
                <c:pt idx="5">
                  <c:v>11</c:v>
                </c:pt>
                <c:pt idx="6">
                  <c:v>10</c:v>
                </c:pt>
                <c:pt idx="7">
                  <c:v>13</c:v>
                </c:pt>
                <c:pt idx="8">
                  <c:v>4</c:v>
                </c:pt>
                <c:pt idx="9">
                  <c:v>7</c:v>
                </c:pt>
                <c:pt idx="10">
                  <c:v>4</c:v>
                </c:pt>
                <c:pt idx="11">
                  <c:v>1</c:v>
                </c:pt>
                <c:pt idx="12">
                  <c:v>5</c:v>
                </c:pt>
                <c:pt idx="13">
                  <c:v>1</c:v>
                </c:pt>
                <c:pt idx="14">
                  <c:v>1</c:v>
                </c:pt>
                <c:pt idx="15">
                  <c:v>2</c:v>
                </c:pt>
                <c:pt idx="16">
                  <c:v>0</c:v>
                </c:pt>
                <c:pt idx="17">
                  <c:v>0</c:v>
                </c:pt>
              </c:numCache>
            </c:numRef>
          </c:val>
          <c:extLst>
            <c:ext xmlns:c16="http://schemas.microsoft.com/office/drawing/2014/chart" uri="{C3380CC4-5D6E-409C-BE32-E72D297353CC}">
              <c16:uniqueId val="{00000000-05A4-7E4B-A93D-2C5705C8A147}"/>
            </c:ext>
          </c:extLst>
        </c:ser>
        <c:ser>
          <c:idx val="1"/>
          <c:order val="1"/>
          <c:tx>
            <c:strRef>
              <c:f>S2A_data!$A$4</c:f>
              <c:strCache>
                <c:ptCount val="1"/>
                <c:pt idx="0">
                  <c:v>2015</c:v>
                </c:pt>
              </c:strCache>
            </c:strRef>
          </c:tx>
          <c:spPr>
            <a:solidFill>
              <a:schemeClr val="accent2"/>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S2A_data!$B$4:$S$4</c:f>
              <c:numCache>
                <c:formatCode>General</c:formatCode>
                <c:ptCount val="18"/>
                <c:pt idx="0">
                  <c:v>0</c:v>
                </c:pt>
                <c:pt idx="1">
                  <c:v>0</c:v>
                </c:pt>
                <c:pt idx="2">
                  <c:v>1</c:v>
                </c:pt>
                <c:pt idx="3">
                  <c:v>4</c:v>
                </c:pt>
                <c:pt idx="4">
                  <c:v>15</c:v>
                </c:pt>
                <c:pt idx="5">
                  <c:v>38</c:v>
                </c:pt>
                <c:pt idx="6">
                  <c:v>17</c:v>
                </c:pt>
                <c:pt idx="7">
                  <c:v>20</c:v>
                </c:pt>
                <c:pt idx="8">
                  <c:v>9</c:v>
                </c:pt>
                <c:pt idx="9">
                  <c:v>9</c:v>
                </c:pt>
                <c:pt idx="10">
                  <c:v>7</c:v>
                </c:pt>
                <c:pt idx="11">
                  <c:v>8</c:v>
                </c:pt>
                <c:pt idx="12">
                  <c:v>7</c:v>
                </c:pt>
                <c:pt idx="13">
                  <c:v>4</c:v>
                </c:pt>
                <c:pt idx="14">
                  <c:v>6</c:v>
                </c:pt>
                <c:pt idx="15">
                  <c:v>4</c:v>
                </c:pt>
                <c:pt idx="16">
                  <c:v>0</c:v>
                </c:pt>
                <c:pt idx="17">
                  <c:v>0</c:v>
                </c:pt>
              </c:numCache>
            </c:numRef>
          </c:val>
          <c:extLst>
            <c:ext xmlns:c16="http://schemas.microsoft.com/office/drawing/2014/chart" uri="{C3380CC4-5D6E-409C-BE32-E72D297353CC}">
              <c16:uniqueId val="{00000001-05A4-7E4B-A93D-2C5705C8A147}"/>
            </c:ext>
          </c:extLst>
        </c:ser>
        <c:ser>
          <c:idx val="2"/>
          <c:order val="2"/>
          <c:tx>
            <c:strRef>
              <c:f>S2A_data!$A$5</c:f>
              <c:strCache>
                <c:ptCount val="1"/>
                <c:pt idx="0">
                  <c:v>2016</c:v>
                </c:pt>
              </c:strCache>
            </c:strRef>
          </c:tx>
          <c:spPr>
            <a:solidFill>
              <a:schemeClr val="accent3"/>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S2A_data!$B$5:$S$5</c:f>
              <c:numCache>
                <c:formatCode>General</c:formatCode>
                <c:ptCount val="18"/>
                <c:pt idx="0">
                  <c:v>0</c:v>
                </c:pt>
                <c:pt idx="1">
                  <c:v>0</c:v>
                </c:pt>
                <c:pt idx="2">
                  <c:v>0</c:v>
                </c:pt>
                <c:pt idx="3">
                  <c:v>0</c:v>
                </c:pt>
                <c:pt idx="4">
                  <c:v>0</c:v>
                </c:pt>
                <c:pt idx="5">
                  <c:v>4</c:v>
                </c:pt>
                <c:pt idx="6">
                  <c:v>19</c:v>
                </c:pt>
                <c:pt idx="7">
                  <c:v>16</c:v>
                </c:pt>
                <c:pt idx="8">
                  <c:v>22</c:v>
                </c:pt>
                <c:pt idx="9">
                  <c:v>19</c:v>
                </c:pt>
                <c:pt idx="10">
                  <c:v>13</c:v>
                </c:pt>
                <c:pt idx="11">
                  <c:v>13</c:v>
                </c:pt>
                <c:pt idx="12">
                  <c:v>10</c:v>
                </c:pt>
                <c:pt idx="13">
                  <c:v>6</c:v>
                </c:pt>
                <c:pt idx="14">
                  <c:v>6</c:v>
                </c:pt>
                <c:pt idx="15">
                  <c:v>3</c:v>
                </c:pt>
                <c:pt idx="16">
                  <c:v>4</c:v>
                </c:pt>
                <c:pt idx="17">
                  <c:v>0</c:v>
                </c:pt>
              </c:numCache>
            </c:numRef>
          </c:val>
          <c:extLst>
            <c:ext xmlns:c16="http://schemas.microsoft.com/office/drawing/2014/chart" uri="{C3380CC4-5D6E-409C-BE32-E72D297353CC}">
              <c16:uniqueId val="{00000002-05A4-7E4B-A93D-2C5705C8A147}"/>
            </c:ext>
          </c:extLst>
        </c:ser>
        <c:ser>
          <c:idx val="3"/>
          <c:order val="3"/>
          <c:tx>
            <c:strRef>
              <c:f>S2A_data!$A$6</c:f>
              <c:strCache>
                <c:ptCount val="1"/>
                <c:pt idx="0">
                  <c:v>2017</c:v>
                </c:pt>
              </c:strCache>
            </c:strRef>
          </c:tx>
          <c:spPr>
            <a:solidFill>
              <a:schemeClr val="accent4"/>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S2A_data!$B$6:$S$6</c:f>
              <c:numCache>
                <c:formatCode>General</c:formatCode>
                <c:ptCount val="18"/>
                <c:pt idx="0">
                  <c:v>0</c:v>
                </c:pt>
                <c:pt idx="1">
                  <c:v>0</c:v>
                </c:pt>
                <c:pt idx="2">
                  <c:v>0</c:v>
                </c:pt>
                <c:pt idx="3">
                  <c:v>0</c:v>
                </c:pt>
                <c:pt idx="4">
                  <c:v>0</c:v>
                </c:pt>
                <c:pt idx="5">
                  <c:v>0</c:v>
                </c:pt>
                <c:pt idx="6">
                  <c:v>0</c:v>
                </c:pt>
                <c:pt idx="7">
                  <c:v>7</c:v>
                </c:pt>
                <c:pt idx="8">
                  <c:v>13</c:v>
                </c:pt>
                <c:pt idx="9">
                  <c:v>19</c:v>
                </c:pt>
                <c:pt idx="10">
                  <c:v>20</c:v>
                </c:pt>
                <c:pt idx="11">
                  <c:v>21</c:v>
                </c:pt>
                <c:pt idx="12">
                  <c:v>12</c:v>
                </c:pt>
                <c:pt idx="13">
                  <c:v>8</c:v>
                </c:pt>
                <c:pt idx="14">
                  <c:v>5</c:v>
                </c:pt>
                <c:pt idx="15">
                  <c:v>10</c:v>
                </c:pt>
                <c:pt idx="16">
                  <c:v>3</c:v>
                </c:pt>
                <c:pt idx="17">
                  <c:v>1</c:v>
                </c:pt>
              </c:numCache>
            </c:numRef>
          </c:val>
          <c:extLst>
            <c:ext xmlns:c16="http://schemas.microsoft.com/office/drawing/2014/chart" uri="{C3380CC4-5D6E-409C-BE32-E72D297353CC}">
              <c16:uniqueId val="{00000003-05A4-7E4B-A93D-2C5705C8A147}"/>
            </c:ext>
          </c:extLst>
        </c:ser>
        <c:ser>
          <c:idx val="4"/>
          <c:order val="4"/>
          <c:tx>
            <c:strRef>
              <c:f>S2A_data!$A$7</c:f>
              <c:strCache>
                <c:ptCount val="1"/>
                <c:pt idx="0">
                  <c:v>2018</c:v>
                </c:pt>
              </c:strCache>
            </c:strRef>
          </c:tx>
          <c:spPr>
            <a:solidFill>
              <a:schemeClr val="accent5"/>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S2A_data!$B$7:$S$7</c:f>
              <c:numCache>
                <c:formatCode>General</c:formatCode>
                <c:ptCount val="18"/>
                <c:pt idx="0">
                  <c:v>0</c:v>
                </c:pt>
                <c:pt idx="1">
                  <c:v>0</c:v>
                </c:pt>
                <c:pt idx="2">
                  <c:v>0</c:v>
                </c:pt>
                <c:pt idx="3">
                  <c:v>0</c:v>
                </c:pt>
                <c:pt idx="4">
                  <c:v>0</c:v>
                </c:pt>
                <c:pt idx="5">
                  <c:v>0</c:v>
                </c:pt>
                <c:pt idx="6">
                  <c:v>0</c:v>
                </c:pt>
                <c:pt idx="7">
                  <c:v>0</c:v>
                </c:pt>
                <c:pt idx="8">
                  <c:v>0</c:v>
                </c:pt>
                <c:pt idx="9">
                  <c:v>6</c:v>
                </c:pt>
                <c:pt idx="10">
                  <c:v>19</c:v>
                </c:pt>
                <c:pt idx="11">
                  <c:v>20</c:v>
                </c:pt>
                <c:pt idx="12">
                  <c:v>19</c:v>
                </c:pt>
                <c:pt idx="13">
                  <c:v>21</c:v>
                </c:pt>
                <c:pt idx="14">
                  <c:v>10</c:v>
                </c:pt>
                <c:pt idx="15">
                  <c:v>11</c:v>
                </c:pt>
                <c:pt idx="16">
                  <c:v>9</c:v>
                </c:pt>
                <c:pt idx="17">
                  <c:v>2</c:v>
                </c:pt>
              </c:numCache>
            </c:numRef>
          </c:val>
          <c:extLst>
            <c:ext xmlns:c16="http://schemas.microsoft.com/office/drawing/2014/chart" uri="{C3380CC4-5D6E-409C-BE32-E72D297353CC}">
              <c16:uniqueId val="{00000004-05A4-7E4B-A93D-2C5705C8A147}"/>
            </c:ext>
          </c:extLst>
        </c:ser>
        <c:ser>
          <c:idx val="5"/>
          <c:order val="5"/>
          <c:tx>
            <c:strRef>
              <c:f>S2A_data!$A$8</c:f>
              <c:strCache>
                <c:ptCount val="1"/>
                <c:pt idx="0">
                  <c:v>2019</c:v>
                </c:pt>
              </c:strCache>
            </c:strRef>
          </c:tx>
          <c:spPr>
            <a:solidFill>
              <a:schemeClr val="accent6"/>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S2A_data!$B$8:$S$8</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3</c:v>
                </c:pt>
                <c:pt idx="12">
                  <c:v>14</c:v>
                </c:pt>
                <c:pt idx="13">
                  <c:v>20</c:v>
                </c:pt>
                <c:pt idx="14">
                  <c:v>29</c:v>
                </c:pt>
                <c:pt idx="15">
                  <c:v>20</c:v>
                </c:pt>
                <c:pt idx="16">
                  <c:v>14</c:v>
                </c:pt>
                <c:pt idx="17">
                  <c:v>8</c:v>
                </c:pt>
              </c:numCache>
            </c:numRef>
          </c:val>
          <c:extLst>
            <c:ext xmlns:c16="http://schemas.microsoft.com/office/drawing/2014/chart" uri="{C3380CC4-5D6E-409C-BE32-E72D297353CC}">
              <c16:uniqueId val="{00000005-05A4-7E4B-A93D-2C5705C8A147}"/>
            </c:ext>
          </c:extLst>
        </c:ser>
        <c:ser>
          <c:idx val="6"/>
          <c:order val="6"/>
          <c:tx>
            <c:strRef>
              <c:f>S2A_data!$A$9</c:f>
              <c:strCache>
                <c:ptCount val="1"/>
                <c:pt idx="0">
                  <c:v>2020</c:v>
                </c:pt>
              </c:strCache>
            </c:strRef>
          </c:tx>
          <c:spPr>
            <a:solidFill>
              <a:schemeClr val="accent1">
                <a:lumMod val="60000"/>
              </a:schemeClr>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S2A_data!$B$9:$S$9</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7</c:v>
                </c:pt>
                <c:pt idx="14">
                  <c:v>22</c:v>
                </c:pt>
                <c:pt idx="15">
                  <c:v>21</c:v>
                </c:pt>
                <c:pt idx="16">
                  <c:v>25</c:v>
                </c:pt>
                <c:pt idx="17">
                  <c:v>6</c:v>
                </c:pt>
              </c:numCache>
            </c:numRef>
          </c:val>
          <c:extLst>
            <c:ext xmlns:c16="http://schemas.microsoft.com/office/drawing/2014/chart" uri="{C3380CC4-5D6E-409C-BE32-E72D297353CC}">
              <c16:uniqueId val="{00000006-05A4-7E4B-A93D-2C5705C8A147}"/>
            </c:ext>
          </c:extLst>
        </c:ser>
        <c:ser>
          <c:idx val="7"/>
          <c:order val="7"/>
          <c:tx>
            <c:strRef>
              <c:f>S2A_data!$A$10</c:f>
              <c:strCache>
                <c:ptCount val="1"/>
                <c:pt idx="0">
                  <c:v>2021</c:v>
                </c:pt>
              </c:strCache>
            </c:strRef>
          </c:tx>
          <c:spPr>
            <a:solidFill>
              <a:schemeClr val="accent2">
                <a:lumMod val="60000"/>
              </a:schemeClr>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S2A_data!$B$10:$S$10</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13</c:v>
                </c:pt>
                <c:pt idx="16">
                  <c:v>31</c:v>
                </c:pt>
                <c:pt idx="17">
                  <c:v>10</c:v>
                </c:pt>
              </c:numCache>
            </c:numRef>
          </c:val>
          <c:extLst>
            <c:ext xmlns:c16="http://schemas.microsoft.com/office/drawing/2014/chart" uri="{C3380CC4-5D6E-409C-BE32-E72D297353CC}">
              <c16:uniqueId val="{00000007-05A4-7E4B-A93D-2C5705C8A147}"/>
            </c:ext>
          </c:extLst>
        </c:ser>
        <c:ser>
          <c:idx val="8"/>
          <c:order val="8"/>
          <c:tx>
            <c:strRef>
              <c:f>S2A_data!$A$11</c:f>
              <c:strCache>
                <c:ptCount val="1"/>
                <c:pt idx="0">
                  <c:v>2022</c:v>
                </c:pt>
              </c:strCache>
            </c:strRef>
          </c:tx>
          <c:spPr>
            <a:solidFill>
              <a:schemeClr val="accent3">
                <a:lumMod val="60000"/>
              </a:schemeClr>
            </a:solidFill>
            <a:ln>
              <a:noFill/>
            </a:ln>
            <a:effectLst/>
          </c:spPr>
          <c:invertIfNegative val="0"/>
          <c:cat>
            <c:strRef>
              <c:f>S2A_data!$B$2:$S$2</c:f>
              <c:strCache>
                <c:ptCount val="18"/>
                <c:pt idx="0">
                  <c:v>'14H1</c:v>
                </c:pt>
                <c:pt idx="1">
                  <c:v>H2</c:v>
                </c:pt>
                <c:pt idx="2">
                  <c:v>'15H1</c:v>
                </c:pt>
                <c:pt idx="3">
                  <c:v>H2</c:v>
                </c:pt>
                <c:pt idx="4">
                  <c:v>'16H1</c:v>
                </c:pt>
                <c:pt idx="5">
                  <c:v>H2</c:v>
                </c:pt>
                <c:pt idx="6">
                  <c:v>'17H1</c:v>
                </c:pt>
                <c:pt idx="7">
                  <c:v>H2</c:v>
                </c:pt>
                <c:pt idx="8">
                  <c:v>'18H1</c:v>
                </c:pt>
                <c:pt idx="9">
                  <c:v>H2</c:v>
                </c:pt>
                <c:pt idx="10">
                  <c:v>'19H1</c:v>
                </c:pt>
                <c:pt idx="11">
                  <c:v>H2</c:v>
                </c:pt>
                <c:pt idx="12">
                  <c:v>'20H1</c:v>
                </c:pt>
                <c:pt idx="13">
                  <c:v>H2</c:v>
                </c:pt>
                <c:pt idx="14">
                  <c:v>'21H1</c:v>
                </c:pt>
                <c:pt idx="15">
                  <c:v>H2</c:v>
                </c:pt>
                <c:pt idx="16">
                  <c:v>'22H1</c:v>
                </c:pt>
                <c:pt idx="17">
                  <c:v>H2</c:v>
                </c:pt>
              </c:strCache>
            </c:strRef>
          </c:cat>
          <c:val>
            <c:numRef>
              <c:f>S2A_data!$B$11:$S$11</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c:v>
                </c:pt>
                <c:pt idx="17">
                  <c:v>1</c:v>
                </c:pt>
              </c:numCache>
            </c:numRef>
          </c:val>
          <c:extLst>
            <c:ext xmlns:c16="http://schemas.microsoft.com/office/drawing/2014/chart" uri="{C3380CC4-5D6E-409C-BE32-E72D297353CC}">
              <c16:uniqueId val="{00000008-05A4-7E4B-A93D-2C5705C8A147}"/>
            </c:ext>
          </c:extLst>
        </c:ser>
        <c:dLbls>
          <c:showLegendKey val="0"/>
          <c:showVal val="0"/>
          <c:showCatName val="0"/>
          <c:showSerName val="0"/>
          <c:showPercent val="0"/>
          <c:showBubbleSize val="0"/>
        </c:dLbls>
        <c:gapWidth val="150"/>
        <c:overlap val="100"/>
        <c:axId val="603988239"/>
        <c:axId val="616428543"/>
      </c:barChart>
      <c:lineChart>
        <c:grouping val="standard"/>
        <c:varyColors val="0"/>
        <c:ser>
          <c:idx val="9"/>
          <c:order val="9"/>
          <c:tx>
            <c:v>Total Expected</c:v>
          </c:tx>
          <c:spPr>
            <a:ln w="38100" cap="rnd">
              <a:solidFill>
                <a:srgbClr val="FF0000"/>
              </a:solidFill>
              <a:round/>
            </a:ln>
            <a:effectLst/>
          </c:spPr>
          <c:marker>
            <c:symbol val="circle"/>
            <c:size val="11"/>
            <c:spPr>
              <a:solidFill>
                <a:srgbClr val="FF0000"/>
              </a:solidFill>
              <a:ln w="9525">
                <a:solidFill>
                  <a:schemeClr val="accent4">
                    <a:lumMod val="60000"/>
                  </a:schemeClr>
                </a:solidFill>
              </a:ln>
              <a:effectLst/>
            </c:spPr>
          </c:marker>
          <c:val>
            <c:numRef>
              <c:f>S2A_data!$B$22:$S$22</c:f>
              <c:numCache>
                <c:formatCode>0.0</c:formatCode>
                <c:ptCount val="18"/>
                <c:pt idx="0">
                  <c:v>0.74451967383665996</c:v>
                </c:pt>
                <c:pt idx="1">
                  <c:v>6.3620344083944103</c:v>
                </c:pt>
                <c:pt idx="2">
                  <c:v>15.057603146312491</c:v>
                </c:pt>
                <c:pt idx="3">
                  <c:v>25.43981420377547</c:v>
                </c:pt>
                <c:pt idx="4">
                  <c:v>34.564245837751656</c:v>
                </c:pt>
                <c:pt idx="5">
                  <c:v>42.950037649047331</c:v>
                </c:pt>
                <c:pt idx="6">
                  <c:v>49.133757281195464</c:v>
                </c:pt>
                <c:pt idx="7">
                  <c:v>53.942702967220512</c:v>
                </c:pt>
                <c:pt idx="8">
                  <c:v>56.478588434385962</c:v>
                </c:pt>
                <c:pt idx="9">
                  <c:v>59.842516995784784</c:v>
                </c:pt>
                <c:pt idx="10">
                  <c:v>62.134409302772937</c:v>
                </c:pt>
                <c:pt idx="11">
                  <c:v>63.549595006843269</c:v>
                </c:pt>
                <c:pt idx="12">
                  <c:v>63.825805494077755</c:v>
                </c:pt>
                <c:pt idx="13">
                  <c:v>63.143278814519206</c:v>
                </c:pt>
                <c:pt idx="14">
                  <c:v>61.7229735960752</c:v>
                </c:pt>
                <c:pt idx="15">
                  <c:v>60.986176103154683</c:v>
                </c:pt>
                <c:pt idx="16">
                  <c:v>60.335973663443902</c:v>
                </c:pt>
                <c:pt idx="17">
                  <c:v>59.890744924831118</c:v>
                </c:pt>
              </c:numCache>
            </c:numRef>
          </c:val>
          <c:smooth val="0"/>
          <c:extLst>
            <c:ext xmlns:c16="http://schemas.microsoft.com/office/drawing/2014/chart" uri="{C3380CC4-5D6E-409C-BE32-E72D297353CC}">
              <c16:uniqueId val="{00000009-05A4-7E4B-A93D-2C5705C8A147}"/>
            </c:ext>
          </c:extLst>
        </c:ser>
        <c:dLbls>
          <c:showLegendKey val="0"/>
          <c:showVal val="0"/>
          <c:showCatName val="0"/>
          <c:showSerName val="0"/>
          <c:showPercent val="0"/>
          <c:showBubbleSize val="0"/>
        </c:dLbls>
        <c:marker val="1"/>
        <c:smooth val="0"/>
        <c:axId val="603988239"/>
        <c:axId val="616428543"/>
      </c:lineChart>
      <c:catAx>
        <c:axId val="603988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16428543"/>
        <c:crosses val="autoZero"/>
        <c:auto val="1"/>
        <c:lblAlgn val="ctr"/>
        <c:lblOffset val="100"/>
        <c:noMultiLvlLbl val="0"/>
      </c:catAx>
      <c:valAx>
        <c:axId val="616428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03988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 9:Number of M&amp;A's and Total amount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'MNA''s'!$B$1</c:f>
              <c:strCache>
                <c:ptCount val="1"/>
                <c:pt idx="0">
                  <c:v>Total Amount</c:v>
                </c:pt>
              </c:strCache>
            </c:strRef>
          </c:tx>
          <c:spPr>
            <a:solidFill>
              <a:schemeClr val="accent1"/>
            </a:solidFill>
            <a:ln>
              <a:noFill/>
            </a:ln>
            <a:effectLst/>
          </c:spPr>
          <c:invertIfNegative val="0"/>
          <c:cat>
            <c:numRef>
              <c:f>'MNA''s'!$A$2:$A$10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'MNA''s'!$B$2:$B$10</c:f>
              <c:numCache>
                <c:formatCode>General</c:formatCode>
                <c:ptCount val="9"/>
                <c:pt idx="0">
                  <c:v>4492371000</c:v>
                </c:pt>
                <c:pt idx="1">
                  <c:v>4295426000</c:v>
                </c:pt>
                <c:pt idx="2">
                  <c:v>4603099994</c:v>
                </c:pt>
                <c:pt idx="3">
                  <c:v>6761100000</c:v>
                </c:pt>
                <c:pt idx="4">
                  <c:v>2508470001</c:v>
                </c:pt>
                <c:pt idx="5">
                  <c:v>6986300000</c:v>
                </c:pt>
                <c:pt idx="6">
                  <c:v>3900670471</c:v>
                </c:pt>
                <c:pt idx="7">
                  <c:v>8700845000</c:v>
                </c:pt>
                <c:pt idx="8">
                  <c:v>4906400000</c:v>
                </c:pt>
              </c:numCache>
            </c:numRef>
          </c:val>
          <c:extLst>
            <c:ext xmlns:c16="http://schemas.microsoft.com/office/drawing/2014/chart" uri="{C3380CC4-5D6E-409C-BE32-E72D297353CC}">
              <c16:uniqueId val="{00000000-09C9-7247-B31E-260283460669}"/>
            </c:ext>
          </c:extLst>
        </c:ser>
        <c:dLbls>
          <c:showLegendKey val="0"/>
          <c:showVal val="0"/>
          <c:showCatName val="0"/>
          <c:showSerName val="0"/>
          <c:showPercent val="0"/>
          <c:showBubbleSize val="0"/>
        </c:dLbls>
        <c:gapWidth val="150"/>
        <c:axId val="345757887"/>
        <c:axId val="563108031"/>
      </c:barChart>
      <c:lineChart>
        <c:grouping val="standard"/>
        <c:varyColors val="0"/>
        <c:ser>
          <c:idx val="1"/>
          <c:order val="1"/>
          <c:tx>
            <c:strRef>
              <c:f>'MNA''s'!$C$1</c:f>
              <c:strCache>
                <c:ptCount val="1"/>
                <c:pt idx="0">
                  <c:v>M&amp;A's</c:v>
                </c:pt>
              </c:strCache>
            </c:strRef>
          </c:tx>
          <c:spPr>
            <a:ln w="19050" cap="rnd">
              <a:solidFill>
                <a:schemeClr val="accent2"/>
              </a:solidFill>
              <a:round/>
            </a:ln>
            <a:effectLst/>
          </c:spPr>
          <c:marker>
            <c:symbol val="none"/>
          </c:marker>
          <c:cat>
            <c:numRef>
              <c:f>'MNA''s'!$A$2:$A$10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'MNA''s'!$C$2:$C$10</c:f>
              <c:numCache>
                <c:formatCode>General</c:formatCode>
                <c:ptCount val="9"/>
                <c:pt idx="0">
                  <c:v>86</c:v>
                </c:pt>
                <c:pt idx="1">
                  <c:v>100</c:v>
                </c:pt>
                <c:pt idx="2">
                  <c:v>98</c:v>
                </c:pt>
                <c:pt idx="3">
                  <c:v>118</c:v>
                </c:pt>
                <c:pt idx="4">
                  <c:v>92</c:v>
                </c:pt>
                <c:pt idx="5">
                  <c:v>107</c:v>
                </c:pt>
                <c:pt idx="6">
                  <c:v>103</c:v>
                </c:pt>
                <c:pt idx="7">
                  <c:v>162</c:v>
                </c:pt>
                <c:pt idx="8">
                  <c:v>89</c:v>
                </c:pt>
              </c:numCache>
            </c:numRef>
          </c:val>
          <c:smooth val="0"/>
          <c:extLst>
            <c:ext xmlns:c16="http://schemas.microsoft.com/office/drawing/2014/chart" uri="{C3380CC4-5D6E-409C-BE32-E72D297353CC}">
              <c16:uniqueId val="{00000001-09C9-7247-B31E-260283460669}"/>
            </c:ext>
          </c:extLst>
        </c:ser>
        <c:dLbls>
          <c:showLegendKey val="0"/>
          <c:showVal val="0"/>
          <c:showCatName val="0"/>
          <c:showSerName val="0"/>
          <c:showPercent val="0"/>
          <c:showBubbleSize val="0"/>
        </c:dLbls>
        <c:marker val="1"/>
        <c:smooth val="0"/>
        <c:axId val="205502495"/>
        <c:axId val="205130239"/>
      </c:lineChart>
      <c:catAx>
        <c:axId val="3457578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63108031"/>
        <c:crosses val="autoZero"/>
        <c:auto val="1"/>
        <c:lblAlgn val="ctr"/>
        <c:lblOffset val="100"/>
        <c:noMultiLvlLbl val="0"/>
      </c:catAx>
      <c:valAx>
        <c:axId val="56310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45757887"/>
        <c:crosses val="autoZero"/>
        <c:crossBetween val="between"/>
        <c:dispUnits>
          <c:builtInUnit val="b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L"/>
              </a:p>
            </c:txPr>
          </c:dispUnitsLbl>
        </c:dispUnits>
      </c:valAx>
      <c:valAx>
        <c:axId val="205130239"/>
        <c:scaling>
          <c:orientation val="minMax"/>
        </c:scaling>
        <c:delete val="0"/>
        <c:axPos val="r"/>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502495"/>
        <c:crosses val="max"/>
        <c:crossBetween val="between"/>
      </c:valAx>
      <c:catAx>
        <c:axId val="205502495"/>
        <c:scaling>
          <c:orientation val="minMax"/>
        </c:scaling>
        <c:delete val="1"/>
        <c:axPos val="b"/>
        <c:numFmt formatCode="General" sourceLinked="1"/>
        <c:majorTickMark val="out"/>
        <c:minorTickMark val="none"/>
        <c:tickLblPos val="nextTo"/>
        <c:crossAx val="20513023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sKSOTW8vz6Y6nOKJ/etm+1zbg==">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528501-34BD-B449-B7FB-4D92EDCB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38</Pages>
  <Words>4733</Words>
  <Characters>26981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Kinory</dc:creator>
  <cp:lastModifiedBy>ראובן כהן</cp:lastModifiedBy>
  <cp:revision>79</cp:revision>
  <cp:lastPrinted>2022-12-22T09:22:00Z</cp:lastPrinted>
  <dcterms:created xsi:type="dcterms:W3CDTF">2022-12-25T05:43:00Z</dcterms:created>
  <dcterms:modified xsi:type="dcterms:W3CDTF">2022-12-25T16:46:00Z</dcterms:modified>
</cp:coreProperties>
</file>